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4CC9" w:rsidRDefault="00E34CC9" w:rsidP="00E34CC9">
      <w:pPr>
        <w:jc w:val="center"/>
        <w:rPr>
          <w:sz w:val="28"/>
          <w:szCs w:val="28"/>
        </w:rPr>
      </w:pPr>
      <w:bookmarkStart w:id="0" w:name="_Toc151782175"/>
      <w:bookmarkStart w:id="1" w:name="_Toc158526215"/>
      <w:bookmarkStart w:id="2" w:name="_Toc463359328"/>
      <w:bookmarkStart w:id="3" w:name="_GoBack"/>
      <w:bookmarkEnd w:id="3"/>
    </w:p>
    <w:p w:rsidR="00E34CC9" w:rsidRDefault="00E34CC9" w:rsidP="00E34CC9">
      <w:pPr>
        <w:jc w:val="center"/>
        <w:rPr>
          <w:sz w:val="28"/>
          <w:szCs w:val="28"/>
        </w:rPr>
      </w:pPr>
    </w:p>
    <w:p w:rsidR="00E34CC9" w:rsidRDefault="00E34CC9" w:rsidP="00E34CC9">
      <w:pPr>
        <w:jc w:val="center"/>
        <w:rPr>
          <w:sz w:val="28"/>
          <w:szCs w:val="28"/>
        </w:rPr>
      </w:pPr>
    </w:p>
    <w:p w:rsidR="00E34CC9" w:rsidRPr="0022758F" w:rsidRDefault="00E34CC9" w:rsidP="00E34CC9">
      <w:pPr>
        <w:jc w:val="center"/>
        <w:rPr>
          <w:b/>
          <w:sz w:val="28"/>
          <w:szCs w:val="28"/>
        </w:rPr>
      </w:pPr>
      <w:r w:rsidRPr="0022758F">
        <w:rPr>
          <w:b/>
          <w:sz w:val="28"/>
          <w:szCs w:val="28"/>
        </w:rPr>
        <w:t>SUPPORTING STATEMENT</w:t>
      </w:r>
    </w:p>
    <w:p w:rsidR="00E34CC9" w:rsidRPr="0022758F" w:rsidRDefault="00E34CC9" w:rsidP="00E34CC9">
      <w:pPr>
        <w:jc w:val="center"/>
        <w:rPr>
          <w:b/>
          <w:sz w:val="28"/>
          <w:szCs w:val="28"/>
        </w:rPr>
      </w:pPr>
    </w:p>
    <w:p w:rsidR="00E34CC9" w:rsidRPr="0022758F" w:rsidRDefault="00E34CC9" w:rsidP="00E34CC9">
      <w:pPr>
        <w:jc w:val="center"/>
        <w:rPr>
          <w:sz w:val="28"/>
          <w:szCs w:val="28"/>
        </w:rPr>
      </w:pPr>
      <w:r w:rsidRPr="0022758F">
        <w:rPr>
          <w:b/>
          <w:sz w:val="28"/>
          <w:szCs w:val="28"/>
        </w:rPr>
        <w:t>Part A</w:t>
      </w:r>
    </w:p>
    <w:p w:rsidR="00E34CC9" w:rsidRPr="0022758F" w:rsidRDefault="00E34CC9" w:rsidP="00E34CC9">
      <w:pPr>
        <w:jc w:val="center"/>
        <w:rPr>
          <w:sz w:val="28"/>
          <w:szCs w:val="28"/>
        </w:rPr>
      </w:pPr>
    </w:p>
    <w:p w:rsidR="00E34CC9" w:rsidRPr="0022758F" w:rsidRDefault="00E34CC9" w:rsidP="00E34CC9">
      <w:pPr>
        <w:jc w:val="center"/>
        <w:rPr>
          <w:sz w:val="28"/>
          <w:szCs w:val="28"/>
        </w:rPr>
      </w:pPr>
    </w:p>
    <w:p w:rsidR="00E34CC9" w:rsidRPr="0022758F" w:rsidRDefault="00E34CC9" w:rsidP="00E34CC9">
      <w:pPr>
        <w:jc w:val="center"/>
        <w:rPr>
          <w:sz w:val="28"/>
          <w:szCs w:val="28"/>
        </w:rPr>
      </w:pPr>
    </w:p>
    <w:p w:rsidR="00E34CC9" w:rsidRPr="0022758F" w:rsidRDefault="00E34CC9" w:rsidP="00E34CC9">
      <w:pPr>
        <w:jc w:val="center"/>
        <w:rPr>
          <w:sz w:val="28"/>
          <w:szCs w:val="28"/>
        </w:rPr>
      </w:pPr>
    </w:p>
    <w:p w:rsidR="00E34CC9" w:rsidRPr="0022758F" w:rsidRDefault="00E34CC9" w:rsidP="00E34CC9">
      <w:pPr>
        <w:jc w:val="center"/>
        <w:rPr>
          <w:sz w:val="28"/>
          <w:szCs w:val="28"/>
        </w:rPr>
      </w:pPr>
    </w:p>
    <w:p w:rsidR="00E34CC9" w:rsidRPr="0022758F" w:rsidRDefault="00E34CC9" w:rsidP="00E34CC9">
      <w:pPr>
        <w:jc w:val="center"/>
        <w:rPr>
          <w:sz w:val="28"/>
          <w:szCs w:val="28"/>
        </w:rPr>
      </w:pPr>
    </w:p>
    <w:p w:rsidR="00E34CC9" w:rsidRPr="0022758F" w:rsidRDefault="00E34CC9" w:rsidP="00E34CC9">
      <w:pPr>
        <w:jc w:val="center"/>
        <w:rPr>
          <w:b/>
          <w:sz w:val="28"/>
          <w:szCs w:val="28"/>
        </w:rPr>
      </w:pPr>
      <w:r>
        <w:rPr>
          <w:b/>
          <w:sz w:val="28"/>
          <w:szCs w:val="28"/>
        </w:rPr>
        <w:t xml:space="preserve">Ambulatory </w:t>
      </w:r>
      <w:r w:rsidR="00637F73">
        <w:rPr>
          <w:b/>
          <w:sz w:val="28"/>
          <w:szCs w:val="28"/>
        </w:rPr>
        <w:t xml:space="preserve">Surgery </w:t>
      </w:r>
      <w:r>
        <w:rPr>
          <w:b/>
          <w:sz w:val="28"/>
          <w:szCs w:val="28"/>
        </w:rPr>
        <w:t>Center</w:t>
      </w:r>
      <w:r w:rsidRPr="0022758F">
        <w:rPr>
          <w:b/>
          <w:sz w:val="28"/>
          <w:szCs w:val="28"/>
        </w:rPr>
        <w:t xml:space="preserve"> Survey on Patient Safety Culture Database</w:t>
      </w:r>
    </w:p>
    <w:p w:rsidR="00E34CC9" w:rsidRPr="0022758F" w:rsidRDefault="00E34CC9" w:rsidP="00E34CC9">
      <w:pPr>
        <w:jc w:val="center"/>
        <w:rPr>
          <w:i/>
          <w:sz w:val="28"/>
          <w:szCs w:val="28"/>
          <w:highlight w:val="yellow"/>
        </w:rPr>
      </w:pPr>
    </w:p>
    <w:p w:rsidR="00E34CC9" w:rsidRPr="0022758F" w:rsidRDefault="00E34CC9" w:rsidP="00E34CC9">
      <w:pPr>
        <w:jc w:val="center"/>
        <w:rPr>
          <w:sz w:val="28"/>
          <w:szCs w:val="28"/>
          <w:highlight w:val="yellow"/>
        </w:rPr>
      </w:pPr>
    </w:p>
    <w:p w:rsidR="00E34CC9" w:rsidRPr="0022758F" w:rsidRDefault="00E34CC9" w:rsidP="00E34CC9">
      <w:pPr>
        <w:jc w:val="center"/>
        <w:rPr>
          <w:sz w:val="28"/>
          <w:szCs w:val="28"/>
          <w:highlight w:val="yellow"/>
        </w:rPr>
      </w:pPr>
    </w:p>
    <w:p w:rsidR="00E34CC9" w:rsidRPr="0022758F" w:rsidRDefault="00E34CC9" w:rsidP="00E34CC9">
      <w:pPr>
        <w:jc w:val="center"/>
        <w:rPr>
          <w:sz w:val="28"/>
          <w:szCs w:val="28"/>
          <w:highlight w:val="yellow"/>
        </w:rPr>
      </w:pPr>
    </w:p>
    <w:p w:rsidR="00E34CC9" w:rsidRPr="0022758F" w:rsidRDefault="00AB32F9" w:rsidP="00E34CC9">
      <w:pPr>
        <w:jc w:val="center"/>
        <w:rPr>
          <w:i/>
          <w:sz w:val="28"/>
          <w:szCs w:val="28"/>
        </w:rPr>
      </w:pPr>
      <w:r>
        <w:rPr>
          <w:b/>
          <w:sz w:val="28"/>
          <w:szCs w:val="28"/>
        </w:rPr>
        <w:t>February 5</w:t>
      </w:r>
      <w:r w:rsidR="00E34CC9">
        <w:rPr>
          <w:b/>
          <w:sz w:val="28"/>
          <w:szCs w:val="28"/>
        </w:rPr>
        <w:t>, 201</w:t>
      </w:r>
      <w:r w:rsidR="00190ED2">
        <w:rPr>
          <w:b/>
          <w:sz w:val="28"/>
          <w:szCs w:val="28"/>
        </w:rPr>
        <w:t>8</w:t>
      </w:r>
    </w:p>
    <w:p w:rsidR="00E34CC9" w:rsidRPr="0022758F" w:rsidRDefault="00E34CC9" w:rsidP="00E34CC9">
      <w:pPr>
        <w:jc w:val="center"/>
        <w:rPr>
          <w:i/>
          <w:sz w:val="28"/>
          <w:szCs w:val="28"/>
        </w:rPr>
      </w:pPr>
    </w:p>
    <w:p w:rsidR="00E34CC9" w:rsidRPr="0022758F" w:rsidRDefault="00E34CC9" w:rsidP="00E34CC9">
      <w:pPr>
        <w:jc w:val="center"/>
        <w:rPr>
          <w:sz w:val="28"/>
          <w:szCs w:val="28"/>
        </w:rPr>
      </w:pPr>
    </w:p>
    <w:p w:rsidR="00E34CC9" w:rsidRPr="0022758F" w:rsidRDefault="00E34CC9" w:rsidP="00E34CC9">
      <w:pPr>
        <w:jc w:val="center"/>
        <w:rPr>
          <w:sz w:val="28"/>
          <w:szCs w:val="28"/>
        </w:rPr>
      </w:pPr>
    </w:p>
    <w:p w:rsidR="00E34CC9" w:rsidRPr="0022758F" w:rsidRDefault="00E34CC9" w:rsidP="00E34CC9">
      <w:pPr>
        <w:jc w:val="center"/>
        <w:rPr>
          <w:sz w:val="28"/>
          <w:szCs w:val="28"/>
        </w:rPr>
      </w:pPr>
    </w:p>
    <w:p w:rsidR="00E34CC9" w:rsidRPr="0022758F" w:rsidRDefault="00E34CC9" w:rsidP="00E34CC9">
      <w:pPr>
        <w:jc w:val="center"/>
        <w:rPr>
          <w:sz w:val="28"/>
          <w:szCs w:val="28"/>
        </w:rPr>
      </w:pPr>
    </w:p>
    <w:p w:rsidR="00E34CC9" w:rsidRPr="0022758F" w:rsidRDefault="00E34CC9" w:rsidP="00E34CC9">
      <w:pPr>
        <w:jc w:val="center"/>
        <w:rPr>
          <w:sz w:val="28"/>
          <w:szCs w:val="28"/>
        </w:rPr>
      </w:pPr>
    </w:p>
    <w:p w:rsidR="00E34CC9" w:rsidRPr="0022758F" w:rsidRDefault="00E34CC9" w:rsidP="00E34CC9">
      <w:pPr>
        <w:jc w:val="center"/>
        <w:rPr>
          <w:sz w:val="28"/>
          <w:szCs w:val="28"/>
        </w:rPr>
      </w:pPr>
      <w:r w:rsidRPr="0022758F">
        <w:rPr>
          <w:sz w:val="28"/>
          <w:szCs w:val="28"/>
        </w:rPr>
        <w:t>Agency of Healthcare Research and Quality (AHRQ)</w:t>
      </w:r>
    </w:p>
    <w:p w:rsidR="00E34CC9" w:rsidRPr="0022758F" w:rsidRDefault="00E34CC9" w:rsidP="00E34CC9">
      <w:pPr>
        <w:rPr>
          <w:sz w:val="28"/>
          <w:szCs w:val="28"/>
          <w:highlight w:val="yellow"/>
        </w:rPr>
      </w:pPr>
    </w:p>
    <w:p w:rsidR="00E34CC9" w:rsidRPr="0022758F" w:rsidRDefault="00E34CC9" w:rsidP="00E34CC9">
      <w:pPr>
        <w:rPr>
          <w:sz w:val="28"/>
          <w:szCs w:val="28"/>
          <w:highlight w:val="yellow"/>
        </w:rPr>
      </w:pPr>
    </w:p>
    <w:p w:rsidR="00E34CC9" w:rsidRPr="00B144B9" w:rsidRDefault="00E34CC9" w:rsidP="00E34CC9">
      <w:pPr>
        <w:pStyle w:val="TOCHeading"/>
      </w:pPr>
      <w:r w:rsidRPr="0022758F">
        <w:rPr>
          <w:highlight w:val="yellow"/>
        </w:rPr>
        <w:br w:type="page"/>
      </w:r>
      <w:r w:rsidRPr="00B144B9">
        <w:lastRenderedPageBreak/>
        <w:t>Table of contents</w:t>
      </w:r>
    </w:p>
    <w:p w:rsidR="00E34CC9" w:rsidRDefault="00E34CC9">
      <w:pPr>
        <w:spacing w:after="160" w:line="259" w:lineRule="auto"/>
        <w:rPr>
          <w:b/>
          <w:szCs w:val="24"/>
        </w:rPr>
      </w:pPr>
    </w:p>
    <w:sdt>
      <w:sdtPr>
        <w:rPr>
          <w:rFonts w:ascii="Times New Roman" w:hAnsi="Times New Roman"/>
          <w:b w:val="0"/>
          <w:bCs w:val="0"/>
          <w:color w:val="auto"/>
          <w:sz w:val="24"/>
          <w:szCs w:val="20"/>
        </w:rPr>
        <w:id w:val="-2076808467"/>
        <w:docPartObj>
          <w:docPartGallery w:val="Table of Contents"/>
          <w:docPartUnique/>
        </w:docPartObj>
      </w:sdtPr>
      <w:sdtEndPr>
        <w:rPr>
          <w:noProof/>
        </w:rPr>
      </w:sdtEndPr>
      <w:sdtContent>
        <w:p w:rsidR="00E34CC9" w:rsidRDefault="00E34CC9">
          <w:pPr>
            <w:pStyle w:val="TOCHeading"/>
          </w:pPr>
        </w:p>
        <w:p w:rsidR="00E34CC9" w:rsidRDefault="00E34CC9">
          <w:pPr>
            <w:pStyle w:val="TOC1"/>
            <w:tabs>
              <w:tab w:val="right" w:leader="dot" w:pos="9350"/>
            </w:tabs>
            <w:rPr>
              <w:noProof/>
            </w:rPr>
          </w:pPr>
          <w:r>
            <w:fldChar w:fldCharType="begin"/>
          </w:r>
          <w:r>
            <w:instrText xml:space="preserve"> TOC \o "1-3" \h \z \u </w:instrText>
          </w:r>
          <w:r>
            <w:fldChar w:fldCharType="separate"/>
          </w:r>
          <w:hyperlink w:anchor="_Toc498992112" w:history="1">
            <w:r w:rsidRPr="00D906F2">
              <w:rPr>
                <w:rStyle w:val="Hyperlink"/>
                <w:noProof/>
              </w:rPr>
              <w:t>A. Justification</w:t>
            </w:r>
            <w:r>
              <w:rPr>
                <w:noProof/>
                <w:webHidden/>
              </w:rPr>
              <w:tab/>
            </w:r>
            <w:r>
              <w:rPr>
                <w:noProof/>
                <w:webHidden/>
              </w:rPr>
              <w:fldChar w:fldCharType="begin"/>
            </w:r>
            <w:r>
              <w:rPr>
                <w:noProof/>
                <w:webHidden/>
              </w:rPr>
              <w:instrText xml:space="preserve"> PAGEREF _Toc498992112 \h </w:instrText>
            </w:r>
            <w:r>
              <w:rPr>
                <w:noProof/>
                <w:webHidden/>
              </w:rPr>
            </w:r>
            <w:r>
              <w:rPr>
                <w:noProof/>
                <w:webHidden/>
              </w:rPr>
              <w:fldChar w:fldCharType="separate"/>
            </w:r>
            <w:r w:rsidR="007C5B14">
              <w:rPr>
                <w:noProof/>
                <w:webHidden/>
              </w:rPr>
              <w:t>3</w:t>
            </w:r>
            <w:r>
              <w:rPr>
                <w:noProof/>
                <w:webHidden/>
              </w:rPr>
              <w:fldChar w:fldCharType="end"/>
            </w:r>
          </w:hyperlink>
        </w:p>
        <w:p w:rsidR="00E34CC9" w:rsidRDefault="00D96204">
          <w:pPr>
            <w:pStyle w:val="TOC2"/>
            <w:tabs>
              <w:tab w:val="right" w:leader="dot" w:pos="9350"/>
            </w:tabs>
            <w:rPr>
              <w:noProof/>
            </w:rPr>
          </w:pPr>
          <w:hyperlink w:anchor="_Toc498992113" w:history="1">
            <w:r w:rsidR="00E34CC9" w:rsidRPr="00D906F2">
              <w:rPr>
                <w:rStyle w:val="Hyperlink"/>
                <w:noProof/>
              </w:rPr>
              <w:t>1. Circumstances that make the collection of information necessary</w:t>
            </w:r>
            <w:r w:rsidR="00E34CC9">
              <w:rPr>
                <w:noProof/>
                <w:webHidden/>
              </w:rPr>
              <w:tab/>
            </w:r>
            <w:r w:rsidR="00E34CC9">
              <w:rPr>
                <w:noProof/>
                <w:webHidden/>
              </w:rPr>
              <w:fldChar w:fldCharType="begin"/>
            </w:r>
            <w:r w:rsidR="00E34CC9">
              <w:rPr>
                <w:noProof/>
                <w:webHidden/>
              </w:rPr>
              <w:instrText xml:space="preserve"> PAGEREF _Toc498992113 \h </w:instrText>
            </w:r>
            <w:r w:rsidR="00E34CC9">
              <w:rPr>
                <w:noProof/>
                <w:webHidden/>
              </w:rPr>
            </w:r>
            <w:r w:rsidR="00E34CC9">
              <w:rPr>
                <w:noProof/>
                <w:webHidden/>
              </w:rPr>
              <w:fldChar w:fldCharType="separate"/>
            </w:r>
            <w:r w:rsidR="007C5B14">
              <w:rPr>
                <w:noProof/>
                <w:webHidden/>
              </w:rPr>
              <w:t>3</w:t>
            </w:r>
            <w:r w:rsidR="00E34CC9">
              <w:rPr>
                <w:noProof/>
                <w:webHidden/>
              </w:rPr>
              <w:fldChar w:fldCharType="end"/>
            </w:r>
          </w:hyperlink>
        </w:p>
        <w:p w:rsidR="00E34CC9" w:rsidRDefault="00D96204">
          <w:pPr>
            <w:pStyle w:val="TOC2"/>
            <w:tabs>
              <w:tab w:val="right" w:leader="dot" w:pos="9350"/>
            </w:tabs>
            <w:rPr>
              <w:noProof/>
            </w:rPr>
          </w:pPr>
          <w:hyperlink w:anchor="_Toc498992114" w:history="1">
            <w:r w:rsidR="00E34CC9" w:rsidRPr="00D906F2">
              <w:rPr>
                <w:rStyle w:val="Hyperlink"/>
                <w:noProof/>
              </w:rPr>
              <w:t>2. Purpose and Use of Information</w:t>
            </w:r>
            <w:r w:rsidR="00E34CC9">
              <w:rPr>
                <w:noProof/>
                <w:webHidden/>
              </w:rPr>
              <w:tab/>
            </w:r>
            <w:r w:rsidR="00E34CC9">
              <w:rPr>
                <w:noProof/>
                <w:webHidden/>
              </w:rPr>
              <w:fldChar w:fldCharType="begin"/>
            </w:r>
            <w:r w:rsidR="00E34CC9">
              <w:rPr>
                <w:noProof/>
                <w:webHidden/>
              </w:rPr>
              <w:instrText xml:space="preserve"> PAGEREF _Toc498992114 \h </w:instrText>
            </w:r>
            <w:r w:rsidR="00E34CC9">
              <w:rPr>
                <w:noProof/>
                <w:webHidden/>
              </w:rPr>
            </w:r>
            <w:r w:rsidR="00E34CC9">
              <w:rPr>
                <w:noProof/>
                <w:webHidden/>
              </w:rPr>
              <w:fldChar w:fldCharType="separate"/>
            </w:r>
            <w:r w:rsidR="007C5B14">
              <w:rPr>
                <w:noProof/>
                <w:webHidden/>
              </w:rPr>
              <w:t>6</w:t>
            </w:r>
            <w:r w:rsidR="00E34CC9">
              <w:rPr>
                <w:noProof/>
                <w:webHidden/>
              </w:rPr>
              <w:fldChar w:fldCharType="end"/>
            </w:r>
          </w:hyperlink>
        </w:p>
        <w:p w:rsidR="00E34CC9" w:rsidRDefault="00D96204">
          <w:pPr>
            <w:pStyle w:val="TOC2"/>
            <w:tabs>
              <w:tab w:val="right" w:leader="dot" w:pos="9350"/>
            </w:tabs>
            <w:rPr>
              <w:noProof/>
            </w:rPr>
          </w:pPr>
          <w:hyperlink w:anchor="_Toc498992115" w:history="1">
            <w:r w:rsidR="00E34CC9" w:rsidRPr="00D906F2">
              <w:rPr>
                <w:rStyle w:val="Hyperlink"/>
                <w:noProof/>
              </w:rPr>
              <w:t>3. Use of Improved Information Technology</w:t>
            </w:r>
            <w:r w:rsidR="00E34CC9">
              <w:rPr>
                <w:noProof/>
                <w:webHidden/>
              </w:rPr>
              <w:tab/>
            </w:r>
            <w:r w:rsidR="00E34CC9">
              <w:rPr>
                <w:noProof/>
                <w:webHidden/>
              </w:rPr>
              <w:fldChar w:fldCharType="begin"/>
            </w:r>
            <w:r w:rsidR="00E34CC9">
              <w:rPr>
                <w:noProof/>
                <w:webHidden/>
              </w:rPr>
              <w:instrText xml:space="preserve"> PAGEREF _Toc498992115 \h </w:instrText>
            </w:r>
            <w:r w:rsidR="00E34CC9">
              <w:rPr>
                <w:noProof/>
                <w:webHidden/>
              </w:rPr>
            </w:r>
            <w:r w:rsidR="00E34CC9">
              <w:rPr>
                <w:noProof/>
                <w:webHidden/>
              </w:rPr>
              <w:fldChar w:fldCharType="separate"/>
            </w:r>
            <w:r w:rsidR="007C5B14">
              <w:rPr>
                <w:noProof/>
                <w:webHidden/>
              </w:rPr>
              <w:t>7</w:t>
            </w:r>
            <w:r w:rsidR="00E34CC9">
              <w:rPr>
                <w:noProof/>
                <w:webHidden/>
              </w:rPr>
              <w:fldChar w:fldCharType="end"/>
            </w:r>
          </w:hyperlink>
        </w:p>
        <w:p w:rsidR="00E34CC9" w:rsidRDefault="00D96204">
          <w:pPr>
            <w:pStyle w:val="TOC2"/>
            <w:tabs>
              <w:tab w:val="right" w:leader="dot" w:pos="9350"/>
            </w:tabs>
            <w:rPr>
              <w:noProof/>
            </w:rPr>
          </w:pPr>
          <w:hyperlink w:anchor="_Toc498992116" w:history="1">
            <w:r w:rsidR="00E34CC9" w:rsidRPr="00D906F2">
              <w:rPr>
                <w:rStyle w:val="Hyperlink"/>
                <w:noProof/>
              </w:rPr>
              <w:t>4. Efforts to Identify Duplication</w:t>
            </w:r>
            <w:r w:rsidR="00E34CC9">
              <w:rPr>
                <w:noProof/>
                <w:webHidden/>
              </w:rPr>
              <w:tab/>
            </w:r>
            <w:r w:rsidR="00E34CC9">
              <w:rPr>
                <w:noProof/>
                <w:webHidden/>
              </w:rPr>
              <w:fldChar w:fldCharType="begin"/>
            </w:r>
            <w:r w:rsidR="00E34CC9">
              <w:rPr>
                <w:noProof/>
                <w:webHidden/>
              </w:rPr>
              <w:instrText xml:space="preserve"> PAGEREF _Toc498992116 \h </w:instrText>
            </w:r>
            <w:r w:rsidR="00E34CC9">
              <w:rPr>
                <w:noProof/>
                <w:webHidden/>
              </w:rPr>
            </w:r>
            <w:r w:rsidR="00E34CC9">
              <w:rPr>
                <w:noProof/>
                <w:webHidden/>
              </w:rPr>
              <w:fldChar w:fldCharType="separate"/>
            </w:r>
            <w:r w:rsidR="007C5B14">
              <w:rPr>
                <w:noProof/>
                <w:webHidden/>
              </w:rPr>
              <w:t>7</w:t>
            </w:r>
            <w:r w:rsidR="00E34CC9">
              <w:rPr>
                <w:noProof/>
                <w:webHidden/>
              </w:rPr>
              <w:fldChar w:fldCharType="end"/>
            </w:r>
          </w:hyperlink>
        </w:p>
        <w:p w:rsidR="00E34CC9" w:rsidRDefault="00D96204">
          <w:pPr>
            <w:pStyle w:val="TOC2"/>
            <w:tabs>
              <w:tab w:val="right" w:leader="dot" w:pos="9350"/>
            </w:tabs>
            <w:rPr>
              <w:noProof/>
            </w:rPr>
          </w:pPr>
          <w:hyperlink w:anchor="_Toc498992117" w:history="1">
            <w:r w:rsidR="00E34CC9" w:rsidRPr="00D906F2">
              <w:rPr>
                <w:rStyle w:val="Hyperlink"/>
                <w:noProof/>
              </w:rPr>
              <w:t>5. Involvement of Small Entities</w:t>
            </w:r>
            <w:r w:rsidR="00E34CC9">
              <w:rPr>
                <w:noProof/>
                <w:webHidden/>
              </w:rPr>
              <w:tab/>
            </w:r>
            <w:r w:rsidR="00E34CC9">
              <w:rPr>
                <w:noProof/>
                <w:webHidden/>
              </w:rPr>
              <w:fldChar w:fldCharType="begin"/>
            </w:r>
            <w:r w:rsidR="00E34CC9">
              <w:rPr>
                <w:noProof/>
                <w:webHidden/>
              </w:rPr>
              <w:instrText xml:space="preserve"> PAGEREF _Toc498992117 \h </w:instrText>
            </w:r>
            <w:r w:rsidR="00E34CC9">
              <w:rPr>
                <w:noProof/>
                <w:webHidden/>
              </w:rPr>
            </w:r>
            <w:r w:rsidR="00E34CC9">
              <w:rPr>
                <w:noProof/>
                <w:webHidden/>
              </w:rPr>
              <w:fldChar w:fldCharType="separate"/>
            </w:r>
            <w:r w:rsidR="007C5B14">
              <w:rPr>
                <w:noProof/>
                <w:webHidden/>
              </w:rPr>
              <w:t>7</w:t>
            </w:r>
            <w:r w:rsidR="00E34CC9">
              <w:rPr>
                <w:noProof/>
                <w:webHidden/>
              </w:rPr>
              <w:fldChar w:fldCharType="end"/>
            </w:r>
          </w:hyperlink>
        </w:p>
        <w:p w:rsidR="00E34CC9" w:rsidRDefault="00D96204">
          <w:pPr>
            <w:pStyle w:val="TOC2"/>
            <w:tabs>
              <w:tab w:val="right" w:leader="dot" w:pos="9350"/>
            </w:tabs>
            <w:rPr>
              <w:noProof/>
            </w:rPr>
          </w:pPr>
          <w:hyperlink w:anchor="_Toc498992118" w:history="1">
            <w:r w:rsidR="00E34CC9" w:rsidRPr="00D906F2">
              <w:rPr>
                <w:rStyle w:val="Hyperlink"/>
                <w:noProof/>
              </w:rPr>
              <w:t>6. Consequences if Information Collected Less Frequently</w:t>
            </w:r>
            <w:r w:rsidR="00E34CC9">
              <w:rPr>
                <w:noProof/>
                <w:webHidden/>
              </w:rPr>
              <w:tab/>
            </w:r>
            <w:r w:rsidR="00E34CC9">
              <w:rPr>
                <w:noProof/>
                <w:webHidden/>
              </w:rPr>
              <w:fldChar w:fldCharType="begin"/>
            </w:r>
            <w:r w:rsidR="00E34CC9">
              <w:rPr>
                <w:noProof/>
                <w:webHidden/>
              </w:rPr>
              <w:instrText xml:space="preserve"> PAGEREF _Toc498992118 \h </w:instrText>
            </w:r>
            <w:r w:rsidR="00E34CC9">
              <w:rPr>
                <w:noProof/>
                <w:webHidden/>
              </w:rPr>
            </w:r>
            <w:r w:rsidR="00E34CC9">
              <w:rPr>
                <w:noProof/>
                <w:webHidden/>
              </w:rPr>
              <w:fldChar w:fldCharType="separate"/>
            </w:r>
            <w:r w:rsidR="007C5B14">
              <w:rPr>
                <w:noProof/>
                <w:webHidden/>
              </w:rPr>
              <w:t>7</w:t>
            </w:r>
            <w:r w:rsidR="00E34CC9">
              <w:rPr>
                <w:noProof/>
                <w:webHidden/>
              </w:rPr>
              <w:fldChar w:fldCharType="end"/>
            </w:r>
          </w:hyperlink>
        </w:p>
        <w:p w:rsidR="00E34CC9" w:rsidRDefault="00D96204">
          <w:pPr>
            <w:pStyle w:val="TOC2"/>
            <w:tabs>
              <w:tab w:val="right" w:leader="dot" w:pos="9350"/>
            </w:tabs>
            <w:rPr>
              <w:noProof/>
            </w:rPr>
          </w:pPr>
          <w:hyperlink w:anchor="_Toc498992119" w:history="1">
            <w:r w:rsidR="00E34CC9" w:rsidRPr="00D906F2">
              <w:rPr>
                <w:rStyle w:val="Hyperlink"/>
                <w:noProof/>
              </w:rPr>
              <w:t>7. Special Circumstances</w:t>
            </w:r>
            <w:r w:rsidR="00E34CC9">
              <w:rPr>
                <w:noProof/>
                <w:webHidden/>
              </w:rPr>
              <w:tab/>
            </w:r>
            <w:r w:rsidR="00E34CC9">
              <w:rPr>
                <w:noProof/>
                <w:webHidden/>
              </w:rPr>
              <w:fldChar w:fldCharType="begin"/>
            </w:r>
            <w:r w:rsidR="00E34CC9">
              <w:rPr>
                <w:noProof/>
                <w:webHidden/>
              </w:rPr>
              <w:instrText xml:space="preserve"> PAGEREF _Toc498992119 \h </w:instrText>
            </w:r>
            <w:r w:rsidR="00E34CC9">
              <w:rPr>
                <w:noProof/>
                <w:webHidden/>
              </w:rPr>
            </w:r>
            <w:r w:rsidR="00E34CC9">
              <w:rPr>
                <w:noProof/>
                <w:webHidden/>
              </w:rPr>
              <w:fldChar w:fldCharType="separate"/>
            </w:r>
            <w:r w:rsidR="007C5B14">
              <w:rPr>
                <w:noProof/>
                <w:webHidden/>
              </w:rPr>
              <w:t>7</w:t>
            </w:r>
            <w:r w:rsidR="00E34CC9">
              <w:rPr>
                <w:noProof/>
                <w:webHidden/>
              </w:rPr>
              <w:fldChar w:fldCharType="end"/>
            </w:r>
          </w:hyperlink>
        </w:p>
        <w:p w:rsidR="00E34CC9" w:rsidRDefault="00D96204">
          <w:pPr>
            <w:pStyle w:val="TOC2"/>
            <w:tabs>
              <w:tab w:val="right" w:leader="dot" w:pos="9350"/>
            </w:tabs>
            <w:rPr>
              <w:noProof/>
            </w:rPr>
          </w:pPr>
          <w:hyperlink w:anchor="_Toc498992120" w:history="1">
            <w:r w:rsidR="00E34CC9" w:rsidRPr="00D906F2">
              <w:rPr>
                <w:rStyle w:val="Hyperlink"/>
                <w:noProof/>
              </w:rPr>
              <w:t>8. Federal Register Notice and Outside Consultations</w:t>
            </w:r>
            <w:r w:rsidR="00E34CC9">
              <w:rPr>
                <w:noProof/>
                <w:webHidden/>
              </w:rPr>
              <w:tab/>
            </w:r>
            <w:r w:rsidR="00E34CC9">
              <w:rPr>
                <w:noProof/>
                <w:webHidden/>
              </w:rPr>
              <w:fldChar w:fldCharType="begin"/>
            </w:r>
            <w:r w:rsidR="00E34CC9">
              <w:rPr>
                <w:noProof/>
                <w:webHidden/>
              </w:rPr>
              <w:instrText xml:space="preserve"> PAGEREF _Toc498992120 \h </w:instrText>
            </w:r>
            <w:r w:rsidR="00E34CC9">
              <w:rPr>
                <w:noProof/>
                <w:webHidden/>
              </w:rPr>
            </w:r>
            <w:r w:rsidR="00E34CC9">
              <w:rPr>
                <w:noProof/>
                <w:webHidden/>
              </w:rPr>
              <w:fldChar w:fldCharType="separate"/>
            </w:r>
            <w:r w:rsidR="007C5B14">
              <w:rPr>
                <w:noProof/>
                <w:webHidden/>
              </w:rPr>
              <w:t>7</w:t>
            </w:r>
            <w:r w:rsidR="00E34CC9">
              <w:rPr>
                <w:noProof/>
                <w:webHidden/>
              </w:rPr>
              <w:fldChar w:fldCharType="end"/>
            </w:r>
          </w:hyperlink>
        </w:p>
        <w:p w:rsidR="00E34CC9" w:rsidRDefault="00D96204">
          <w:pPr>
            <w:pStyle w:val="TOC2"/>
            <w:tabs>
              <w:tab w:val="right" w:leader="dot" w:pos="9350"/>
            </w:tabs>
            <w:rPr>
              <w:noProof/>
            </w:rPr>
          </w:pPr>
          <w:hyperlink w:anchor="_Toc498992121" w:history="1">
            <w:r w:rsidR="00E34CC9" w:rsidRPr="00D906F2">
              <w:rPr>
                <w:rStyle w:val="Hyperlink"/>
                <w:noProof/>
              </w:rPr>
              <w:t>9. Payments/Gifts to Respondents</w:t>
            </w:r>
            <w:r w:rsidR="00E34CC9">
              <w:rPr>
                <w:noProof/>
                <w:webHidden/>
              </w:rPr>
              <w:tab/>
            </w:r>
            <w:r w:rsidR="00E34CC9">
              <w:rPr>
                <w:noProof/>
                <w:webHidden/>
              </w:rPr>
              <w:fldChar w:fldCharType="begin"/>
            </w:r>
            <w:r w:rsidR="00E34CC9">
              <w:rPr>
                <w:noProof/>
                <w:webHidden/>
              </w:rPr>
              <w:instrText xml:space="preserve"> PAGEREF _Toc498992121 \h </w:instrText>
            </w:r>
            <w:r w:rsidR="00E34CC9">
              <w:rPr>
                <w:noProof/>
                <w:webHidden/>
              </w:rPr>
            </w:r>
            <w:r w:rsidR="00E34CC9">
              <w:rPr>
                <w:noProof/>
                <w:webHidden/>
              </w:rPr>
              <w:fldChar w:fldCharType="separate"/>
            </w:r>
            <w:r w:rsidR="007C5B14">
              <w:rPr>
                <w:noProof/>
                <w:webHidden/>
              </w:rPr>
              <w:t>8</w:t>
            </w:r>
            <w:r w:rsidR="00E34CC9">
              <w:rPr>
                <w:noProof/>
                <w:webHidden/>
              </w:rPr>
              <w:fldChar w:fldCharType="end"/>
            </w:r>
          </w:hyperlink>
        </w:p>
        <w:p w:rsidR="00E34CC9" w:rsidRDefault="00D96204">
          <w:pPr>
            <w:pStyle w:val="TOC2"/>
            <w:tabs>
              <w:tab w:val="right" w:leader="dot" w:pos="9350"/>
            </w:tabs>
            <w:rPr>
              <w:noProof/>
            </w:rPr>
          </w:pPr>
          <w:hyperlink w:anchor="_Toc498992122" w:history="1">
            <w:r w:rsidR="00E34CC9" w:rsidRPr="00D906F2">
              <w:rPr>
                <w:rStyle w:val="Hyperlink"/>
                <w:noProof/>
              </w:rPr>
              <w:t>10. Assurance of Confidentiality</w:t>
            </w:r>
            <w:r w:rsidR="00E34CC9">
              <w:rPr>
                <w:noProof/>
                <w:webHidden/>
              </w:rPr>
              <w:tab/>
            </w:r>
            <w:r w:rsidR="00E34CC9">
              <w:rPr>
                <w:noProof/>
                <w:webHidden/>
              </w:rPr>
              <w:fldChar w:fldCharType="begin"/>
            </w:r>
            <w:r w:rsidR="00E34CC9">
              <w:rPr>
                <w:noProof/>
                <w:webHidden/>
              </w:rPr>
              <w:instrText xml:space="preserve"> PAGEREF _Toc498992122 \h </w:instrText>
            </w:r>
            <w:r w:rsidR="00E34CC9">
              <w:rPr>
                <w:noProof/>
                <w:webHidden/>
              </w:rPr>
            </w:r>
            <w:r w:rsidR="00E34CC9">
              <w:rPr>
                <w:noProof/>
                <w:webHidden/>
              </w:rPr>
              <w:fldChar w:fldCharType="separate"/>
            </w:r>
            <w:r w:rsidR="007C5B14">
              <w:rPr>
                <w:noProof/>
                <w:webHidden/>
              </w:rPr>
              <w:t>8</w:t>
            </w:r>
            <w:r w:rsidR="00E34CC9">
              <w:rPr>
                <w:noProof/>
                <w:webHidden/>
              </w:rPr>
              <w:fldChar w:fldCharType="end"/>
            </w:r>
          </w:hyperlink>
        </w:p>
        <w:p w:rsidR="00E34CC9" w:rsidRDefault="00D96204">
          <w:pPr>
            <w:pStyle w:val="TOC2"/>
            <w:tabs>
              <w:tab w:val="right" w:leader="dot" w:pos="9350"/>
            </w:tabs>
            <w:rPr>
              <w:noProof/>
            </w:rPr>
          </w:pPr>
          <w:hyperlink w:anchor="_Toc498992123" w:history="1">
            <w:r w:rsidR="00E34CC9" w:rsidRPr="00D906F2">
              <w:rPr>
                <w:rStyle w:val="Hyperlink"/>
                <w:noProof/>
              </w:rPr>
              <w:t>11. Questions of a Sensitive Nature</w:t>
            </w:r>
            <w:r w:rsidR="00E34CC9">
              <w:rPr>
                <w:noProof/>
                <w:webHidden/>
              </w:rPr>
              <w:tab/>
            </w:r>
            <w:r w:rsidR="00E34CC9">
              <w:rPr>
                <w:noProof/>
                <w:webHidden/>
              </w:rPr>
              <w:fldChar w:fldCharType="begin"/>
            </w:r>
            <w:r w:rsidR="00E34CC9">
              <w:rPr>
                <w:noProof/>
                <w:webHidden/>
              </w:rPr>
              <w:instrText xml:space="preserve"> PAGEREF _Toc498992123 \h </w:instrText>
            </w:r>
            <w:r w:rsidR="00E34CC9">
              <w:rPr>
                <w:noProof/>
                <w:webHidden/>
              </w:rPr>
            </w:r>
            <w:r w:rsidR="00E34CC9">
              <w:rPr>
                <w:noProof/>
                <w:webHidden/>
              </w:rPr>
              <w:fldChar w:fldCharType="separate"/>
            </w:r>
            <w:r w:rsidR="007C5B14">
              <w:rPr>
                <w:noProof/>
                <w:webHidden/>
              </w:rPr>
              <w:t>8</w:t>
            </w:r>
            <w:r w:rsidR="00E34CC9">
              <w:rPr>
                <w:noProof/>
                <w:webHidden/>
              </w:rPr>
              <w:fldChar w:fldCharType="end"/>
            </w:r>
          </w:hyperlink>
        </w:p>
        <w:p w:rsidR="00E34CC9" w:rsidRDefault="00D96204">
          <w:pPr>
            <w:pStyle w:val="TOC2"/>
            <w:tabs>
              <w:tab w:val="right" w:leader="dot" w:pos="9350"/>
            </w:tabs>
            <w:rPr>
              <w:noProof/>
            </w:rPr>
          </w:pPr>
          <w:hyperlink w:anchor="_Toc498992124" w:history="1">
            <w:r w:rsidR="00E34CC9" w:rsidRPr="00D906F2">
              <w:rPr>
                <w:rStyle w:val="Hyperlink"/>
                <w:noProof/>
              </w:rPr>
              <w:t>12. Estimates of Annualized Burden Hours and Costs</w:t>
            </w:r>
            <w:r w:rsidR="00E34CC9">
              <w:rPr>
                <w:noProof/>
                <w:webHidden/>
              </w:rPr>
              <w:tab/>
            </w:r>
            <w:r w:rsidR="00E34CC9">
              <w:rPr>
                <w:noProof/>
                <w:webHidden/>
              </w:rPr>
              <w:fldChar w:fldCharType="begin"/>
            </w:r>
            <w:r w:rsidR="00E34CC9">
              <w:rPr>
                <w:noProof/>
                <w:webHidden/>
              </w:rPr>
              <w:instrText xml:space="preserve"> PAGEREF _Toc498992124 \h </w:instrText>
            </w:r>
            <w:r w:rsidR="00E34CC9">
              <w:rPr>
                <w:noProof/>
                <w:webHidden/>
              </w:rPr>
            </w:r>
            <w:r w:rsidR="00E34CC9">
              <w:rPr>
                <w:noProof/>
                <w:webHidden/>
              </w:rPr>
              <w:fldChar w:fldCharType="separate"/>
            </w:r>
            <w:r w:rsidR="007C5B14">
              <w:rPr>
                <w:noProof/>
                <w:webHidden/>
              </w:rPr>
              <w:t>8</w:t>
            </w:r>
            <w:r w:rsidR="00E34CC9">
              <w:rPr>
                <w:noProof/>
                <w:webHidden/>
              </w:rPr>
              <w:fldChar w:fldCharType="end"/>
            </w:r>
          </w:hyperlink>
        </w:p>
        <w:p w:rsidR="00E34CC9" w:rsidRDefault="00D96204">
          <w:pPr>
            <w:pStyle w:val="TOC2"/>
            <w:tabs>
              <w:tab w:val="right" w:leader="dot" w:pos="9350"/>
            </w:tabs>
            <w:rPr>
              <w:noProof/>
            </w:rPr>
          </w:pPr>
          <w:hyperlink w:anchor="_Toc498992125" w:history="1">
            <w:r w:rsidR="00E34CC9" w:rsidRPr="00D906F2">
              <w:rPr>
                <w:rStyle w:val="Hyperlink"/>
                <w:noProof/>
              </w:rPr>
              <w:t>13. Estimates of Annualized Respondent Capital and Maintenance Costs</w:t>
            </w:r>
            <w:r w:rsidR="00E34CC9">
              <w:rPr>
                <w:noProof/>
                <w:webHidden/>
              </w:rPr>
              <w:tab/>
            </w:r>
            <w:r w:rsidR="00E34CC9">
              <w:rPr>
                <w:noProof/>
                <w:webHidden/>
              </w:rPr>
              <w:fldChar w:fldCharType="begin"/>
            </w:r>
            <w:r w:rsidR="00E34CC9">
              <w:rPr>
                <w:noProof/>
                <w:webHidden/>
              </w:rPr>
              <w:instrText xml:space="preserve"> PAGEREF _Toc498992125 \h </w:instrText>
            </w:r>
            <w:r w:rsidR="00E34CC9">
              <w:rPr>
                <w:noProof/>
                <w:webHidden/>
              </w:rPr>
            </w:r>
            <w:r w:rsidR="00E34CC9">
              <w:rPr>
                <w:noProof/>
                <w:webHidden/>
              </w:rPr>
              <w:fldChar w:fldCharType="separate"/>
            </w:r>
            <w:r w:rsidR="007C5B14">
              <w:rPr>
                <w:noProof/>
                <w:webHidden/>
              </w:rPr>
              <w:t>9</w:t>
            </w:r>
            <w:r w:rsidR="00E34CC9">
              <w:rPr>
                <w:noProof/>
                <w:webHidden/>
              </w:rPr>
              <w:fldChar w:fldCharType="end"/>
            </w:r>
          </w:hyperlink>
        </w:p>
        <w:p w:rsidR="00E34CC9" w:rsidRDefault="00D96204">
          <w:pPr>
            <w:pStyle w:val="TOC2"/>
            <w:tabs>
              <w:tab w:val="right" w:leader="dot" w:pos="9350"/>
            </w:tabs>
            <w:rPr>
              <w:noProof/>
            </w:rPr>
          </w:pPr>
          <w:hyperlink w:anchor="_Toc498992126" w:history="1">
            <w:r w:rsidR="00E34CC9" w:rsidRPr="00D906F2">
              <w:rPr>
                <w:rStyle w:val="Hyperlink"/>
                <w:noProof/>
              </w:rPr>
              <w:t>14. Estimates of Annualized Cost to the Government</w:t>
            </w:r>
            <w:r w:rsidR="00E34CC9">
              <w:rPr>
                <w:noProof/>
                <w:webHidden/>
              </w:rPr>
              <w:tab/>
            </w:r>
            <w:r w:rsidR="00E34CC9">
              <w:rPr>
                <w:noProof/>
                <w:webHidden/>
              </w:rPr>
              <w:fldChar w:fldCharType="begin"/>
            </w:r>
            <w:r w:rsidR="00E34CC9">
              <w:rPr>
                <w:noProof/>
                <w:webHidden/>
              </w:rPr>
              <w:instrText xml:space="preserve"> PAGEREF _Toc498992126 \h </w:instrText>
            </w:r>
            <w:r w:rsidR="00E34CC9">
              <w:rPr>
                <w:noProof/>
                <w:webHidden/>
              </w:rPr>
            </w:r>
            <w:r w:rsidR="00E34CC9">
              <w:rPr>
                <w:noProof/>
                <w:webHidden/>
              </w:rPr>
              <w:fldChar w:fldCharType="separate"/>
            </w:r>
            <w:r w:rsidR="007C5B14">
              <w:rPr>
                <w:noProof/>
                <w:webHidden/>
              </w:rPr>
              <w:t>9</w:t>
            </w:r>
            <w:r w:rsidR="00E34CC9">
              <w:rPr>
                <w:noProof/>
                <w:webHidden/>
              </w:rPr>
              <w:fldChar w:fldCharType="end"/>
            </w:r>
          </w:hyperlink>
        </w:p>
        <w:p w:rsidR="00E34CC9" w:rsidRDefault="00D96204">
          <w:pPr>
            <w:pStyle w:val="TOC2"/>
            <w:tabs>
              <w:tab w:val="right" w:leader="dot" w:pos="9350"/>
            </w:tabs>
            <w:rPr>
              <w:noProof/>
            </w:rPr>
          </w:pPr>
          <w:hyperlink w:anchor="_Toc498992127" w:history="1">
            <w:r w:rsidR="00E34CC9" w:rsidRPr="00D906F2">
              <w:rPr>
                <w:rStyle w:val="Hyperlink"/>
                <w:noProof/>
              </w:rPr>
              <w:t>15. Changes in Hour Burden</w:t>
            </w:r>
            <w:r w:rsidR="00E34CC9">
              <w:rPr>
                <w:noProof/>
                <w:webHidden/>
              </w:rPr>
              <w:tab/>
            </w:r>
            <w:r w:rsidR="00E34CC9">
              <w:rPr>
                <w:noProof/>
                <w:webHidden/>
              </w:rPr>
              <w:fldChar w:fldCharType="begin"/>
            </w:r>
            <w:r w:rsidR="00E34CC9">
              <w:rPr>
                <w:noProof/>
                <w:webHidden/>
              </w:rPr>
              <w:instrText xml:space="preserve"> PAGEREF _Toc498992127 \h </w:instrText>
            </w:r>
            <w:r w:rsidR="00E34CC9">
              <w:rPr>
                <w:noProof/>
                <w:webHidden/>
              </w:rPr>
            </w:r>
            <w:r w:rsidR="00E34CC9">
              <w:rPr>
                <w:noProof/>
                <w:webHidden/>
              </w:rPr>
              <w:fldChar w:fldCharType="separate"/>
            </w:r>
            <w:r w:rsidR="007C5B14">
              <w:rPr>
                <w:noProof/>
                <w:webHidden/>
              </w:rPr>
              <w:t>10</w:t>
            </w:r>
            <w:r w:rsidR="00E34CC9">
              <w:rPr>
                <w:noProof/>
                <w:webHidden/>
              </w:rPr>
              <w:fldChar w:fldCharType="end"/>
            </w:r>
          </w:hyperlink>
        </w:p>
        <w:p w:rsidR="00E34CC9" w:rsidRDefault="00D96204">
          <w:pPr>
            <w:pStyle w:val="TOC2"/>
            <w:tabs>
              <w:tab w:val="right" w:leader="dot" w:pos="9350"/>
            </w:tabs>
            <w:rPr>
              <w:noProof/>
            </w:rPr>
          </w:pPr>
          <w:hyperlink w:anchor="_Toc498992128" w:history="1">
            <w:r w:rsidR="00E34CC9" w:rsidRPr="00D906F2">
              <w:rPr>
                <w:rStyle w:val="Hyperlink"/>
                <w:noProof/>
              </w:rPr>
              <w:t>16. Time Schedule, Publication and Analysis Plans</w:t>
            </w:r>
            <w:r w:rsidR="00E34CC9">
              <w:rPr>
                <w:noProof/>
                <w:webHidden/>
              </w:rPr>
              <w:tab/>
            </w:r>
            <w:r w:rsidR="00E34CC9">
              <w:rPr>
                <w:noProof/>
                <w:webHidden/>
              </w:rPr>
              <w:fldChar w:fldCharType="begin"/>
            </w:r>
            <w:r w:rsidR="00E34CC9">
              <w:rPr>
                <w:noProof/>
                <w:webHidden/>
              </w:rPr>
              <w:instrText xml:space="preserve"> PAGEREF _Toc498992128 \h </w:instrText>
            </w:r>
            <w:r w:rsidR="00E34CC9">
              <w:rPr>
                <w:noProof/>
                <w:webHidden/>
              </w:rPr>
            </w:r>
            <w:r w:rsidR="00E34CC9">
              <w:rPr>
                <w:noProof/>
                <w:webHidden/>
              </w:rPr>
              <w:fldChar w:fldCharType="separate"/>
            </w:r>
            <w:r w:rsidR="007C5B14">
              <w:rPr>
                <w:noProof/>
                <w:webHidden/>
              </w:rPr>
              <w:t>10</w:t>
            </w:r>
            <w:r w:rsidR="00E34CC9">
              <w:rPr>
                <w:noProof/>
                <w:webHidden/>
              </w:rPr>
              <w:fldChar w:fldCharType="end"/>
            </w:r>
          </w:hyperlink>
        </w:p>
        <w:p w:rsidR="00E34CC9" w:rsidRDefault="00D96204">
          <w:pPr>
            <w:pStyle w:val="TOC2"/>
            <w:tabs>
              <w:tab w:val="right" w:leader="dot" w:pos="9350"/>
            </w:tabs>
            <w:rPr>
              <w:noProof/>
            </w:rPr>
          </w:pPr>
          <w:hyperlink w:anchor="_Toc498992129" w:history="1">
            <w:r w:rsidR="00E34CC9" w:rsidRPr="00D906F2">
              <w:rPr>
                <w:rStyle w:val="Hyperlink"/>
                <w:noProof/>
              </w:rPr>
              <w:t>17. Exemption for Display of Expiration Date</w:t>
            </w:r>
            <w:r w:rsidR="00E34CC9">
              <w:rPr>
                <w:noProof/>
                <w:webHidden/>
              </w:rPr>
              <w:tab/>
            </w:r>
            <w:r w:rsidR="00E34CC9">
              <w:rPr>
                <w:noProof/>
                <w:webHidden/>
              </w:rPr>
              <w:fldChar w:fldCharType="begin"/>
            </w:r>
            <w:r w:rsidR="00E34CC9">
              <w:rPr>
                <w:noProof/>
                <w:webHidden/>
              </w:rPr>
              <w:instrText xml:space="preserve"> PAGEREF _Toc498992129 \h </w:instrText>
            </w:r>
            <w:r w:rsidR="00E34CC9">
              <w:rPr>
                <w:noProof/>
                <w:webHidden/>
              </w:rPr>
            </w:r>
            <w:r w:rsidR="00E34CC9">
              <w:rPr>
                <w:noProof/>
                <w:webHidden/>
              </w:rPr>
              <w:fldChar w:fldCharType="separate"/>
            </w:r>
            <w:r w:rsidR="007C5B14">
              <w:rPr>
                <w:noProof/>
                <w:webHidden/>
              </w:rPr>
              <w:t>10</w:t>
            </w:r>
            <w:r w:rsidR="00E34CC9">
              <w:rPr>
                <w:noProof/>
                <w:webHidden/>
              </w:rPr>
              <w:fldChar w:fldCharType="end"/>
            </w:r>
          </w:hyperlink>
        </w:p>
        <w:p w:rsidR="00E34CC9" w:rsidRDefault="00E34CC9">
          <w:r>
            <w:rPr>
              <w:b/>
              <w:bCs/>
              <w:noProof/>
            </w:rPr>
            <w:fldChar w:fldCharType="end"/>
          </w:r>
        </w:p>
      </w:sdtContent>
    </w:sdt>
    <w:p w:rsidR="00E34CC9" w:rsidRDefault="00E34CC9">
      <w:pPr>
        <w:spacing w:after="160" w:line="259" w:lineRule="auto"/>
        <w:rPr>
          <w:rFonts w:asciiTheme="majorHAnsi" w:eastAsiaTheme="majorEastAsia" w:hAnsiTheme="majorHAnsi" w:cstheme="majorBidi"/>
          <w:b/>
          <w:szCs w:val="24"/>
        </w:rPr>
      </w:pPr>
      <w:r>
        <w:rPr>
          <w:b/>
          <w:szCs w:val="24"/>
        </w:rPr>
        <w:br w:type="page"/>
      </w:r>
    </w:p>
    <w:p w:rsidR="00E34CC9" w:rsidRPr="00E34CC9" w:rsidRDefault="00E34CC9" w:rsidP="00BD16EF">
      <w:pPr>
        <w:pStyle w:val="Heading1"/>
        <w:tabs>
          <w:tab w:val="left" w:pos="5961"/>
        </w:tabs>
        <w:rPr>
          <w:b/>
          <w:color w:val="auto"/>
        </w:rPr>
      </w:pPr>
      <w:bookmarkStart w:id="4" w:name="_Toc498992112"/>
      <w:bookmarkStart w:id="5" w:name="_Toc151782176"/>
      <w:bookmarkStart w:id="6" w:name="_Toc158526216"/>
      <w:bookmarkStart w:id="7" w:name="_Toc463359329"/>
      <w:bookmarkEnd w:id="0"/>
      <w:bookmarkEnd w:id="1"/>
      <w:bookmarkEnd w:id="2"/>
      <w:r w:rsidRPr="00E34CC9">
        <w:rPr>
          <w:b/>
          <w:color w:val="auto"/>
        </w:rPr>
        <w:t>A. Justification</w:t>
      </w:r>
      <w:bookmarkEnd w:id="4"/>
      <w:r w:rsidRPr="00E34CC9">
        <w:rPr>
          <w:b/>
          <w:color w:val="auto"/>
        </w:rPr>
        <w:t xml:space="preserve"> </w:t>
      </w:r>
      <w:r w:rsidR="00BD16EF">
        <w:rPr>
          <w:b/>
          <w:color w:val="auto"/>
        </w:rPr>
        <w:tab/>
      </w:r>
    </w:p>
    <w:p w:rsidR="00E34CC9" w:rsidRDefault="00E34CC9" w:rsidP="000007FB">
      <w:pPr>
        <w:pStyle w:val="Heading2"/>
        <w:spacing w:before="0" w:after="0"/>
        <w:rPr>
          <w:sz w:val="24"/>
          <w:szCs w:val="24"/>
        </w:rPr>
      </w:pPr>
    </w:p>
    <w:p w:rsidR="00D22A5F" w:rsidRPr="000007FB" w:rsidRDefault="00D22A5F" w:rsidP="000007FB">
      <w:pPr>
        <w:pStyle w:val="Heading2"/>
        <w:spacing w:before="0" w:after="0"/>
        <w:rPr>
          <w:sz w:val="24"/>
          <w:szCs w:val="24"/>
        </w:rPr>
      </w:pPr>
      <w:bookmarkStart w:id="8" w:name="_Toc498992113"/>
      <w:r w:rsidRPr="000007FB">
        <w:rPr>
          <w:sz w:val="24"/>
          <w:szCs w:val="24"/>
        </w:rPr>
        <w:t xml:space="preserve">1. </w:t>
      </w:r>
      <w:bookmarkEnd w:id="5"/>
      <w:bookmarkEnd w:id="6"/>
      <w:r w:rsidRPr="000007FB">
        <w:rPr>
          <w:sz w:val="24"/>
          <w:szCs w:val="24"/>
        </w:rPr>
        <w:t>Circumstances that make the collection of information necessary</w:t>
      </w:r>
      <w:bookmarkEnd w:id="7"/>
      <w:bookmarkEnd w:id="8"/>
    </w:p>
    <w:p w:rsidR="00BD16EF" w:rsidRDefault="00BD16EF" w:rsidP="00F72EFE">
      <w:pPr>
        <w:rPr>
          <w:szCs w:val="24"/>
        </w:rPr>
      </w:pPr>
    </w:p>
    <w:p w:rsidR="00DD7536" w:rsidRDefault="0066651C" w:rsidP="00F72EFE">
      <w:pPr>
        <w:rPr>
          <w:szCs w:val="24"/>
        </w:rPr>
      </w:pPr>
      <w:r>
        <w:rPr>
          <w:szCs w:val="24"/>
        </w:rPr>
        <w:t xml:space="preserve">Ambulatory </w:t>
      </w:r>
      <w:r w:rsidR="00637F73">
        <w:rPr>
          <w:szCs w:val="24"/>
        </w:rPr>
        <w:t xml:space="preserve">surgery </w:t>
      </w:r>
      <w:r>
        <w:rPr>
          <w:szCs w:val="24"/>
        </w:rPr>
        <w:t>centers (ASCs) are a fast-growing health</w:t>
      </w:r>
      <w:r w:rsidR="00781825">
        <w:rPr>
          <w:szCs w:val="24"/>
        </w:rPr>
        <w:t xml:space="preserve"> </w:t>
      </w:r>
      <w:r>
        <w:rPr>
          <w:szCs w:val="24"/>
        </w:rPr>
        <w:t xml:space="preserve">care setting, demonstrating </w:t>
      </w:r>
      <w:r w:rsidRPr="007D0D52">
        <w:rPr>
          <w:szCs w:val="24"/>
        </w:rPr>
        <w:t xml:space="preserve">tremendous growth both in the volume and complexity of procedures being performed. </w:t>
      </w:r>
      <w:r w:rsidR="00D914E2">
        <w:rPr>
          <w:szCs w:val="24"/>
        </w:rPr>
        <w:t>ASCs</w:t>
      </w:r>
      <w:r w:rsidR="00F72EFE">
        <w:rPr>
          <w:szCs w:val="24"/>
        </w:rPr>
        <w:t xml:space="preserve"> </w:t>
      </w:r>
      <w:r w:rsidR="00F72EFE" w:rsidRPr="00E845DD">
        <w:rPr>
          <w:szCs w:val="24"/>
        </w:rPr>
        <w:t>provide surgical services to patients who are not expected to need an inpatient stay following surgery.</w:t>
      </w:r>
      <w:r w:rsidR="00F72EFE">
        <w:rPr>
          <w:rStyle w:val="EndnoteReference"/>
          <w:szCs w:val="24"/>
        </w:rPr>
        <w:endnoteReference w:id="1"/>
      </w:r>
      <w:r w:rsidR="00F72EFE" w:rsidRPr="00E845DD">
        <w:rPr>
          <w:szCs w:val="24"/>
        </w:rPr>
        <w:t xml:space="preserve"> </w:t>
      </w:r>
      <w:r w:rsidR="00E3394C">
        <w:rPr>
          <w:szCs w:val="24"/>
        </w:rPr>
        <w:t>The Centers for Medicare and Medicaid Services (CMS)</w:t>
      </w:r>
      <w:r w:rsidR="00F72EFE">
        <w:rPr>
          <w:szCs w:val="24"/>
        </w:rPr>
        <w:t xml:space="preserve"> defines </w:t>
      </w:r>
      <w:r w:rsidR="00D914E2">
        <w:rPr>
          <w:szCs w:val="24"/>
        </w:rPr>
        <w:t xml:space="preserve">ASCs </w:t>
      </w:r>
      <w:r w:rsidR="00F72EFE">
        <w:rPr>
          <w:szCs w:val="24"/>
        </w:rPr>
        <w:t xml:space="preserve">as </w:t>
      </w:r>
      <w:r w:rsidRPr="007D0D52">
        <w:rPr>
          <w:szCs w:val="24"/>
        </w:rPr>
        <w:t>distinct entities</w:t>
      </w:r>
      <w:r w:rsidR="00AB32F9">
        <w:rPr>
          <w:szCs w:val="24"/>
        </w:rPr>
        <w:t xml:space="preserve"> </w:t>
      </w:r>
      <w:r w:rsidRPr="007D0D52">
        <w:rPr>
          <w:szCs w:val="24"/>
        </w:rPr>
        <w:t>that operate exclusively to provide surgical services to patients who do not require hospitalization and are not expected to need to stay in a surgical facil</w:t>
      </w:r>
      <w:r w:rsidR="00810516">
        <w:rPr>
          <w:szCs w:val="24"/>
        </w:rPr>
        <w:t>ity longer than 24 hours</w:t>
      </w:r>
      <w:r w:rsidRPr="007D0D52">
        <w:rPr>
          <w:szCs w:val="24"/>
        </w:rPr>
        <w:t>.</w:t>
      </w:r>
      <w:r w:rsidR="00810516">
        <w:rPr>
          <w:rStyle w:val="EndnoteReference"/>
          <w:szCs w:val="24"/>
        </w:rPr>
        <w:endnoteReference w:id="2"/>
      </w:r>
      <w:r w:rsidRPr="007D0D52">
        <w:rPr>
          <w:szCs w:val="24"/>
        </w:rPr>
        <w:t xml:space="preserve"> </w:t>
      </w:r>
    </w:p>
    <w:p w:rsidR="00DD7536" w:rsidRDefault="00DD7536" w:rsidP="00F72EFE">
      <w:pPr>
        <w:rPr>
          <w:szCs w:val="24"/>
        </w:rPr>
      </w:pPr>
    </w:p>
    <w:p w:rsidR="00B429BC" w:rsidRDefault="00D914E2" w:rsidP="00D914E2">
      <w:r>
        <w:rPr>
          <w:b/>
          <w:szCs w:val="23"/>
        </w:rPr>
        <w:t xml:space="preserve">How </w:t>
      </w:r>
      <w:r w:rsidR="00714D08">
        <w:rPr>
          <w:b/>
          <w:szCs w:val="23"/>
        </w:rPr>
        <w:t>AHRQ</w:t>
      </w:r>
      <w:r w:rsidR="00476D60">
        <w:rPr>
          <w:b/>
          <w:szCs w:val="23"/>
        </w:rPr>
        <w:t xml:space="preserve">’s </w:t>
      </w:r>
      <w:r w:rsidR="00C4618C">
        <w:rPr>
          <w:b/>
          <w:szCs w:val="23"/>
        </w:rPr>
        <w:t xml:space="preserve">Mission and </w:t>
      </w:r>
      <w:r w:rsidR="00476D60">
        <w:rPr>
          <w:b/>
          <w:szCs w:val="23"/>
        </w:rPr>
        <w:t>Directives</w:t>
      </w:r>
      <w:r>
        <w:rPr>
          <w:b/>
          <w:szCs w:val="23"/>
        </w:rPr>
        <w:t xml:space="preserve"> Relate to ASCs</w:t>
      </w:r>
      <w:r w:rsidR="00714D08">
        <w:rPr>
          <w:b/>
          <w:szCs w:val="23"/>
        </w:rPr>
        <w:t>.</w:t>
      </w:r>
      <w:r w:rsidR="00714D08">
        <w:rPr>
          <w:szCs w:val="23"/>
        </w:rPr>
        <w:t xml:space="preserve"> </w:t>
      </w:r>
      <w:r w:rsidR="00C54153">
        <w:t>As described</w:t>
      </w:r>
      <w:r w:rsidR="00C54153" w:rsidRPr="00601937">
        <w:t xml:space="preserve"> in its </w:t>
      </w:r>
      <w:r w:rsidR="00C54153">
        <w:t>1999 re</w:t>
      </w:r>
      <w:r w:rsidR="00C54153" w:rsidRPr="00601937">
        <w:t>authorizing legislation</w:t>
      </w:r>
      <w:r w:rsidR="00C54153">
        <w:t xml:space="preserve">, Congress directed the </w:t>
      </w:r>
      <w:r w:rsidR="00C54153" w:rsidRPr="00601937">
        <w:t>Agency for Healthcare Research and Quality (AHRQ)</w:t>
      </w:r>
      <w:r w:rsidR="00C54153">
        <w:t xml:space="preserve"> </w:t>
      </w:r>
      <w:r w:rsidR="00C54153" w:rsidRPr="00601937">
        <w:t xml:space="preserve">to enhance the quality, appropriateness, and effectiveness of health services, </w:t>
      </w:r>
      <w:r w:rsidR="00C54153">
        <w:t xml:space="preserve">as well as </w:t>
      </w:r>
      <w:r w:rsidR="00C54153" w:rsidRPr="00601937">
        <w:t>access to such services</w:t>
      </w:r>
      <w:r w:rsidR="00C54153">
        <w:t>,</w:t>
      </w:r>
      <w:r w:rsidR="00C54153" w:rsidRPr="00601937">
        <w:t xml:space="preserve"> </w:t>
      </w:r>
      <w:r w:rsidR="00C54153">
        <w:t xml:space="preserve">by establishing </w:t>
      </w:r>
      <w:r w:rsidR="00C54153" w:rsidRPr="00601937">
        <w:t xml:space="preserve">a broad base of scientific research and </w:t>
      </w:r>
      <w:r w:rsidR="00C54153">
        <w:t xml:space="preserve">promoting </w:t>
      </w:r>
      <w:r w:rsidR="00C54153" w:rsidRPr="00601937">
        <w:t>clini</w:t>
      </w:r>
      <w:r w:rsidR="00C54153">
        <w:t>cal and health systems practice improvements.</w:t>
      </w:r>
      <w:r w:rsidR="00C54153">
        <w:rPr>
          <w:rStyle w:val="EndnoteReference"/>
        </w:rPr>
        <w:endnoteReference w:id="3"/>
      </w:r>
      <w:r w:rsidR="00C54153">
        <w:t xml:space="preserve"> </w:t>
      </w:r>
      <w:r w:rsidR="00DA2FB4">
        <w:t>The legislation also directed AHRQ to “</w:t>
      </w:r>
      <w:r w:rsidR="00B429BC" w:rsidRPr="00837BB1">
        <w:t>conduct and support research, evaluations, and training, support</w:t>
      </w:r>
      <w:r w:rsidR="00B429BC">
        <w:t xml:space="preserve"> </w:t>
      </w:r>
      <w:r w:rsidR="00B429BC" w:rsidRPr="00837BB1">
        <w:t>demonstration projects, research networks, and multidisciplinary</w:t>
      </w:r>
      <w:r w:rsidR="00B429BC">
        <w:t xml:space="preserve"> </w:t>
      </w:r>
      <w:r w:rsidR="00B429BC" w:rsidRPr="00837BB1">
        <w:t>centers, provide technical assistance, and disseminate</w:t>
      </w:r>
      <w:r w:rsidR="00B429BC">
        <w:t xml:space="preserve"> </w:t>
      </w:r>
      <w:r w:rsidR="00B429BC" w:rsidRPr="00837BB1">
        <w:t>information on health care and on systems for the delivery of</w:t>
      </w:r>
      <w:r w:rsidR="00B429BC">
        <w:t xml:space="preserve"> </w:t>
      </w:r>
      <w:r w:rsidR="00B429BC" w:rsidRPr="00837BB1">
        <w:t>such care, including activities with respect to</w:t>
      </w:r>
      <w:r w:rsidR="00B429BC">
        <w:t xml:space="preserve"> </w:t>
      </w:r>
      <w:r w:rsidR="00B429BC" w:rsidRPr="00837BB1">
        <w:t xml:space="preserve">health statistics, surveys, database development, </w:t>
      </w:r>
      <w:r w:rsidR="00B429BC">
        <w:t>a</w:t>
      </w:r>
      <w:r w:rsidR="00B429BC" w:rsidRPr="00837BB1">
        <w:t>nd</w:t>
      </w:r>
      <w:r w:rsidR="00B429BC">
        <w:t xml:space="preserve"> </w:t>
      </w:r>
      <w:r w:rsidR="00B429BC" w:rsidRPr="00837BB1">
        <w:t>epidemiology</w:t>
      </w:r>
      <w:r w:rsidR="00DA2FB4">
        <w:t>.”</w:t>
      </w:r>
      <w:r w:rsidR="00DA2FB4">
        <w:rPr>
          <w:rStyle w:val="EndnoteReference"/>
        </w:rPr>
        <w:endnoteReference w:id="4"/>
      </w:r>
    </w:p>
    <w:p w:rsidR="00B429BC" w:rsidRDefault="00B429BC" w:rsidP="00D914E2"/>
    <w:p w:rsidR="002530A8" w:rsidRDefault="00A2142E" w:rsidP="00D914E2">
      <w:r>
        <w:t xml:space="preserve">Shortly after </w:t>
      </w:r>
      <w:r w:rsidR="00D914E2">
        <w:t xml:space="preserve">Congress enacted this </w:t>
      </w:r>
      <w:r>
        <w:t>legislation, t</w:t>
      </w:r>
      <w:r w:rsidRPr="000A3183">
        <w:t>he Institute of Medicine</w:t>
      </w:r>
      <w:r>
        <w:t xml:space="preserve"> (IOM) published “To Err is Human,”</w:t>
      </w:r>
      <w:r w:rsidRPr="000A3183">
        <w:t xml:space="preserve"> </w:t>
      </w:r>
      <w:r>
        <w:t xml:space="preserve">a seminal </w:t>
      </w:r>
      <w:r>
        <w:rPr>
          <w:szCs w:val="24"/>
        </w:rPr>
        <w:t xml:space="preserve">report on medical errors that connects the dots between errors and workplace culture. In it, the IOM </w:t>
      </w:r>
      <w:r w:rsidRPr="000A3183">
        <w:t xml:space="preserve">called for health care organizations to develop a “culture of safety” such that </w:t>
      </w:r>
      <w:r>
        <w:t xml:space="preserve">staffing and system processes are aligned to improve </w:t>
      </w:r>
      <w:r w:rsidRPr="000A3183">
        <w:t>the reliability a</w:t>
      </w:r>
      <w:r>
        <w:t>nd safety of patient care</w:t>
      </w:r>
      <w:r w:rsidRPr="000A3183">
        <w:t>.</w:t>
      </w:r>
      <w:r>
        <w:rPr>
          <w:rStyle w:val="EndnoteReference"/>
        </w:rPr>
        <w:endnoteReference w:id="5"/>
      </w:r>
      <w:r w:rsidR="004400FA">
        <w:t xml:space="preserve"> This </w:t>
      </w:r>
      <w:r w:rsidR="00B7149D">
        <w:t xml:space="preserve">appeal for safety culture improvements directly relate to </w:t>
      </w:r>
      <w:r>
        <w:t xml:space="preserve">AHRQ’s </w:t>
      </w:r>
      <w:r w:rsidR="00D914E2">
        <w:t>legislative directive</w:t>
      </w:r>
      <w:r w:rsidR="00B7149D">
        <w:t xml:space="preserve"> and </w:t>
      </w:r>
      <w:r w:rsidR="00C54153">
        <w:t>mission</w:t>
      </w:r>
      <w:r w:rsidR="00D914E2">
        <w:t xml:space="preserve"> (i.e., </w:t>
      </w:r>
      <w:r w:rsidR="00C54153">
        <w:t>“</w:t>
      </w:r>
      <w:r w:rsidR="00C54153" w:rsidRPr="00425C15">
        <w:t>to produce evidence to make health care safer, higher quality, more accessible, equitable, and affordable, and to work within the U.S. Department of Health and Human Services</w:t>
      </w:r>
      <w:r w:rsidR="00C54153">
        <w:t xml:space="preserve"> </w:t>
      </w:r>
      <w:r w:rsidR="00C54153" w:rsidRPr="00425C15">
        <w:t>and with other partners to make sure that the evidence is understood and used</w:t>
      </w:r>
      <w:r w:rsidR="00C54153">
        <w:t>”</w:t>
      </w:r>
      <w:r w:rsidR="00D914E2">
        <w:t>)</w:t>
      </w:r>
      <w:r w:rsidR="00B7149D">
        <w:t>.</w:t>
      </w:r>
      <w:r w:rsidR="00C54153">
        <w:rPr>
          <w:rStyle w:val="EndnoteReference"/>
        </w:rPr>
        <w:endnoteReference w:id="6"/>
      </w:r>
      <w:r w:rsidR="00C54153">
        <w:t xml:space="preserve"> </w:t>
      </w:r>
      <w:r w:rsidR="004400FA">
        <w:t xml:space="preserve">Given its legislatively-mandated role, AHRQ is uniquely positioned to support </w:t>
      </w:r>
      <w:r w:rsidR="00A93F62">
        <w:t>data collection and analyses that will help fuel ASC patient safety culture improvements</w:t>
      </w:r>
      <w:r w:rsidR="004400FA">
        <w:t>. The e</w:t>
      </w:r>
      <w:r w:rsidR="002530A8">
        <w:t xml:space="preserve">xpanding volume and scope of ASC services, </w:t>
      </w:r>
      <w:r w:rsidR="004400FA">
        <w:t xml:space="preserve">the </w:t>
      </w:r>
      <w:r w:rsidR="002530A8">
        <w:t xml:space="preserve">growing attention of federal regulators on patient safety within ASCs, and </w:t>
      </w:r>
      <w:r w:rsidR="004400FA">
        <w:t xml:space="preserve">the </w:t>
      </w:r>
      <w:r w:rsidR="002530A8">
        <w:t>resultant implications for public health</w:t>
      </w:r>
      <w:r w:rsidR="004400FA">
        <w:t xml:space="preserve"> has prompted</w:t>
      </w:r>
      <w:r w:rsidR="002530A8">
        <w:t xml:space="preserve"> </w:t>
      </w:r>
      <w:r w:rsidR="004400FA">
        <w:t xml:space="preserve">AHRQ to present this application to the </w:t>
      </w:r>
      <w:r w:rsidR="00C95764">
        <w:t>Office of Management Budget (OMB)</w:t>
      </w:r>
      <w:r w:rsidR="004400FA">
        <w:t xml:space="preserve">. </w:t>
      </w:r>
      <w:r w:rsidR="00A93F62">
        <w:t xml:space="preserve">In this request, </w:t>
      </w:r>
      <w:r w:rsidR="004400FA">
        <w:t>AHRQ seeks OMB</w:t>
      </w:r>
      <w:r w:rsidR="00C95764">
        <w:t xml:space="preserve"> </w:t>
      </w:r>
      <w:r w:rsidR="002530A8">
        <w:t xml:space="preserve">approval </w:t>
      </w:r>
      <w:r w:rsidR="004400FA">
        <w:t xml:space="preserve">to expand its </w:t>
      </w:r>
      <w:r w:rsidR="00576778">
        <w:t xml:space="preserve">Surveys on Patient Safety Culture™ (SOPS™) </w:t>
      </w:r>
      <w:r w:rsidR="00C70BDE">
        <w:t>program</w:t>
      </w:r>
      <w:r w:rsidR="004400FA">
        <w:t xml:space="preserve"> by creating </w:t>
      </w:r>
      <w:r w:rsidR="002530A8">
        <w:t xml:space="preserve">an ASC SOPS </w:t>
      </w:r>
      <w:r w:rsidR="00EC18E6">
        <w:t>D</w:t>
      </w:r>
      <w:r w:rsidR="002530A8">
        <w:t xml:space="preserve">atabase to capture </w:t>
      </w:r>
      <w:r w:rsidR="00C70BDE">
        <w:t xml:space="preserve">and report on ASC SOPS data </w:t>
      </w:r>
      <w:r w:rsidR="002530A8">
        <w:t>voluntarily-</w:t>
      </w:r>
      <w:r w:rsidR="00C70BDE">
        <w:t>submitted by ASCs that have administered the ASC SOPS</w:t>
      </w:r>
      <w:r w:rsidR="002530A8">
        <w:t>.</w:t>
      </w:r>
      <w:r w:rsidR="00EC18E6">
        <w:t xml:space="preserve"> The ASC SOPS Database is the newest database for the SOPS program and would be modeled after AHRQ’s existing SOPS Databases for Hospitals, Medical Offices, Nursing Homes, and Community Pharmacies, which have all undergone OMB review and approval.</w:t>
      </w:r>
    </w:p>
    <w:p w:rsidR="00714D08" w:rsidRDefault="00714D08" w:rsidP="00F07829"/>
    <w:p w:rsidR="008C7853" w:rsidRPr="008C7853" w:rsidRDefault="00714D08" w:rsidP="000A2922">
      <w:pPr>
        <w:spacing w:after="160" w:line="259" w:lineRule="auto"/>
      </w:pPr>
      <w:r>
        <w:rPr>
          <w:b/>
          <w:szCs w:val="24"/>
        </w:rPr>
        <w:t xml:space="preserve">Background on </w:t>
      </w:r>
      <w:r w:rsidRPr="00F07829">
        <w:rPr>
          <w:b/>
          <w:szCs w:val="24"/>
        </w:rPr>
        <w:t xml:space="preserve">ASC </w:t>
      </w:r>
      <w:r>
        <w:rPr>
          <w:b/>
          <w:szCs w:val="24"/>
        </w:rPr>
        <w:t>SOPS.</w:t>
      </w:r>
      <w:r w:rsidR="00476D60">
        <w:rPr>
          <w:b/>
          <w:szCs w:val="24"/>
        </w:rPr>
        <w:t xml:space="preserve"> </w:t>
      </w:r>
      <w:r w:rsidR="00476D60">
        <w:rPr>
          <w:szCs w:val="24"/>
        </w:rPr>
        <w:t xml:space="preserve">This section provides context for this request to the </w:t>
      </w:r>
      <w:r w:rsidR="002530A8">
        <w:rPr>
          <w:szCs w:val="24"/>
        </w:rPr>
        <w:t xml:space="preserve">OMB </w:t>
      </w:r>
      <w:r w:rsidR="00476D60">
        <w:rPr>
          <w:szCs w:val="24"/>
        </w:rPr>
        <w:t xml:space="preserve">regarding the need for AHRQ’s requested database. </w:t>
      </w:r>
      <w:r w:rsidR="008C7853">
        <w:rPr>
          <w:szCs w:val="24"/>
        </w:rPr>
        <w:t xml:space="preserve">Factors include the </w:t>
      </w:r>
      <w:r w:rsidR="00476D60">
        <w:rPr>
          <w:szCs w:val="24"/>
        </w:rPr>
        <w:t>continued ASC growth trajectory</w:t>
      </w:r>
      <w:r w:rsidR="008C7853">
        <w:rPr>
          <w:szCs w:val="24"/>
        </w:rPr>
        <w:t xml:space="preserve"> and</w:t>
      </w:r>
      <w:r w:rsidR="00476D60">
        <w:rPr>
          <w:szCs w:val="24"/>
        </w:rPr>
        <w:t xml:space="preserve"> increasing public attention on the quality of ASC care—particularly as it relates to patient safety culture.</w:t>
      </w:r>
      <w:r w:rsidR="008C7853">
        <w:rPr>
          <w:szCs w:val="24"/>
        </w:rPr>
        <w:t xml:space="preserve"> </w:t>
      </w:r>
    </w:p>
    <w:p w:rsidR="00F07829" w:rsidRDefault="005E6329" w:rsidP="00F07829">
      <w:pPr>
        <w:rPr>
          <w:szCs w:val="24"/>
        </w:rPr>
      </w:pPr>
      <w:r>
        <w:rPr>
          <w:i/>
          <w:szCs w:val="24"/>
        </w:rPr>
        <w:t xml:space="preserve">Rapid </w:t>
      </w:r>
      <w:r w:rsidR="00DD7536" w:rsidRPr="00714D08">
        <w:rPr>
          <w:i/>
          <w:szCs w:val="24"/>
        </w:rPr>
        <w:t>ASC Growth.</w:t>
      </w:r>
      <w:r w:rsidR="00DD7536">
        <w:rPr>
          <w:szCs w:val="24"/>
        </w:rPr>
        <w:t xml:space="preserve"> </w:t>
      </w:r>
      <w:r w:rsidR="0034629F" w:rsidRPr="00355C6C">
        <w:rPr>
          <w:szCs w:val="24"/>
        </w:rPr>
        <w:t>Medicare-certified ASC</w:t>
      </w:r>
      <w:r w:rsidR="0034629F">
        <w:rPr>
          <w:szCs w:val="24"/>
        </w:rPr>
        <w:t>s</w:t>
      </w:r>
      <w:r>
        <w:rPr>
          <w:szCs w:val="24"/>
        </w:rPr>
        <w:t xml:space="preserve"> have experienced impressive growth in the last 35 years—</w:t>
      </w:r>
      <w:r w:rsidR="0027311C">
        <w:rPr>
          <w:szCs w:val="24"/>
        </w:rPr>
        <w:t xml:space="preserve">up from </w:t>
      </w:r>
      <w:r>
        <w:rPr>
          <w:szCs w:val="24"/>
        </w:rPr>
        <w:t xml:space="preserve">239 </w:t>
      </w:r>
      <w:r w:rsidR="0027311C">
        <w:rPr>
          <w:szCs w:val="24"/>
        </w:rPr>
        <w:t xml:space="preserve">facilities </w:t>
      </w:r>
      <w:r>
        <w:rPr>
          <w:szCs w:val="24"/>
        </w:rPr>
        <w:t xml:space="preserve">in 1983 </w:t>
      </w:r>
      <w:r w:rsidR="0027311C">
        <w:rPr>
          <w:szCs w:val="24"/>
        </w:rPr>
        <w:t xml:space="preserve">to </w:t>
      </w:r>
      <w:r w:rsidR="0034629F">
        <w:rPr>
          <w:szCs w:val="24"/>
        </w:rPr>
        <w:t>5,316</w:t>
      </w:r>
      <w:r>
        <w:rPr>
          <w:szCs w:val="24"/>
        </w:rPr>
        <w:t xml:space="preserve"> in 2010</w:t>
      </w:r>
      <w:r w:rsidR="0034629F">
        <w:rPr>
          <w:szCs w:val="24"/>
        </w:rPr>
        <w:t>.</w:t>
      </w:r>
      <w:r w:rsidR="0034629F">
        <w:rPr>
          <w:rStyle w:val="EndnoteReference"/>
          <w:szCs w:val="24"/>
        </w:rPr>
        <w:endnoteReference w:id="7"/>
      </w:r>
      <w:r w:rsidR="0034629F">
        <w:rPr>
          <w:szCs w:val="24"/>
        </w:rPr>
        <w:t xml:space="preserve"> </w:t>
      </w:r>
      <w:r w:rsidR="0027311C">
        <w:rPr>
          <w:szCs w:val="24"/>
        </w:rPr>
        <w:t>In r</w:t>
      </w:r>
      <w:r w:rsidR="00F07829">
        <w:rPr>
          <w:szCs w:val="24"/>
        </w:rPr>
        <w:t>ecent years</w:t>
      </w:r>
      <w:r w:rsidR="0027311C">
        <w:rPr>
          <w:szCs w:val="24"/>
        </w:rPr>
        <w:t>, Medicare ASCs</w:t>
      </w:r>
      <w:r w:rsidR="00F07829">
        <w:rPr>
          <w:szCs w:val="24"/>
        </w:rPr>
        <w:t xml:space="preserve"> have seen </w:t>
      </w:r>
      <w:r w:rsidR="0034629F">
        <w:rPr>
          <w:szCs w:val="24"/>
        </w:rPr>
        <w:t xml:space="preserve">continued </w:t>
      </w:r>
      <w:r w:rsidR="00F07829" w:rsidRPr="00355C6C">
        <w:rPr>
          <w:szCs w:val="24"/>
        </w:rPr>
        <w:t xml:space="preserve">growth in </w:t>
      </w:r>
      <w:r w:rsidR="00F07829">
        <w:rPr>
          <w:szCs w:val="24"/>
        </w:rPr>
        <w:t>both the</w:t>
      </w:r>
      <w:r w:rsidR="0034629F">
        <w:rPr>
          <w:szCs w:val="24"/>
        </w:rPr>
        <w:t>ir</w:t>
      </w:r>
      <w:r w:rsidR="00F07829">
        <w:rPr>
          <w:szCs w:val="24"/>
        </w:rPr>
        <w:t xml:space="preserve"> number and scop</w:t>
      </w:r>
      <w:r w:rsidR="0034629F">
        <w:rPr>
          <w:szCs w:val="24"/>
        </w:rPr>
        <w:t>e, as illustrated by the</w:t>
      </w:r>
      <w:r w:rsidR="00F07829">
        <w:rPr>
          <w:szCs w:val="24"/>
        </w:rPr>
        <w:t xml:space="preserve"> annual average growth rate of 1.1 percent</w:t>
      </w:r>
      <w:r w:rsidR="0034629F">
        <w:rPr>
          <w:szCs w:val="24"/>
        </w:rPr>
        <w:t xml:space="preserve"> between 2010 to 2014</w:t>
      </w:r>
      <w:r w:rsidR="00F07829">
        <w:rPr>
          <w:szCs w:val="24"/>
        </w:rPr>
        <w:t xml:space="preserve">. </w:t>
      </w:r>
      <w:r w:rsidR="00DD7536">
        <w:rPr>
          <w:szCs w:val="24"/>
        </w:rPr>
        <w:t>In</w:t>
      </w:r>
      <w:r w:rsidR="00F07829">
        <w:rPr>
          <w:szCs w:val="24"/>
        </w:rPr>
        <w:t xml:space="preserve"> 2015, </w:t>
      </w:r>
      <w:r w:rsidR="00C4618C">
        <w:rPr>
          <w:szCs w:val="24"/>
        </w:rPr>
        <w:t xml:space="preserve">CMS spent $4.1 billion for </w:t>
      </w:r>
      <w:r w:rsidR="00F07829">
        <w:rPr>
          <w:szCs w:val="24"/>
        </w:rPr>
        <w:t xml:space="preserve">3.4 million fee-for service Medicare beneficiaries </w:t>
      </w:r>
      <w:r w:rsidR="00C4618C">
        <w:rPr>
          <w:szCs w:val="24"/>
        </w:rPr>
        <w:t xml:space="preserve">to receive care across </w:t>
      </w:r>
      <w:r w:rsidR="00F07829">
        <w:rPr>
          <w:szCs w:val="24"/>
        </w:rPr>
        <w:t>5,500 Medicare-certified ASCs.</w:t>
      </w:r>
      <w:r w:rsidR="00F07829">
        <w:rPr>
          <w:rStyle w:val="EndnoteReference"/>
          <w:szCs w:val="24"/>
        </w:rPr>
        <w:endnoteReference w:id="8"/>
      </w:r>
      <w:r w:rsidR="00F07829">
        <w:rPr>
          <w:szCs w:val="24"/>
        </w:rPr>
        <w:t xml:space="preserve"> </w:t>
      </w:r>
      <w:r w:rsidR="000C5534">
        <w:rPr>
          <w:szCs w:val="24"/>
        </w:rPr>
        <w:t xml:space="preserve">Research suggests that transitioning </w:t>
      </w:r>
      <w:r w:rsidR="00425C15">
        <w:rPr>
          <w:szCs w:val="24"/>
        </w:rPr>
        <w:t xml:space="preserve">eligible surgical procedures from inpatient </w:t>
      </w:r>
      <w:r w:rsidR="00C4618C">
        <w:rPr>
          <w:szCs w:val="24"/>
        </w:rPr>
        <w:t xml:space="preserve">to ASC </w:t>
      </w:r>
      <w:r w:rsidR="00425C15">
        <w:rPr>
          <w:szCs w:val="24"/>
        </w:rPr>
        <w:t xml:space="preserve">settings </w:t>
      </w:r>
      <w:r w:rsidR="00C4618C">
        <w:rPr>
          <w:szCs w:val="24"/>
        </w:rPr>
        <w:t xml:space="preserve">may yield significant </w:t>
      </w:r>
      <w:r w:rsidR="0034629F">
        <w:rPr>
          <w:szCs w:val="24"/>
        </w:rPr>
        <w:t xml:space="preserve">and sustained </w:t>
      </w:r>
      <w:r w:rsidR="00425C15">
        <w:rPr>
          <w:szCs w:val="24"/>
        </w:rPr>
        <w:t>Medicare cost</w:t>
      </w:r>
      <w:r w:rsidR="00C4618C">
        <w:rPr>
          <w:szCs w:val="24"/>
        </w:rPr>
        <w:t xml:space="preserve"> </w:t>
      </w:r>
      <w:r w:rsidR="00425C15">
        <w:rPr>
          <w:szCs w:val="24"/>
        </w:rPr>
        <w:t>savings.</w:t>
      </w:r>
      <w:r w:rsidR="00425C15">
        <w:rPr>
          <w:rStyle w:val="EndnoteReference"/>
          <w:szCs w:val="24"/>
        </w:rPr>
        <w:endnoteReference w:id="9"/>
      </w:r>
    </w:p>
    <w:p w:rsidR="00FF43A3" w:rsidRDefault="00FF43A3" w:rsidP="00F72EFE">
      <w:pPr>
        <w:rPr>
          <w:szCs w:val="24"/>
        </w:rPr>
      </w:pPr>
    </w:p>
    <w:p w:rsidR="00277AAD" w:rsidRDefault="00566068" w:rsidP="00277AAD">
      <w:pPr>
        <w:rPr>
          <w:szCs w:val="24"/>
        </w:rPr>
      </w:pPr>
      <w:r w:rsidRPr="00476D60">
        <w:rPr>
          <w:i/>
          <w:szCs w:val="24"/>
        </w:rPr>
        <w:t xml:space="preserve">Federal Attention on ASC Care </w:t>
      </w:r>
      <w:r w:rsidR="00F07829" w:rsidRPr="00476D60">
        <w:rPr>
          <w:i/>
          <w:szCs w:val="24"/>
        </w:rPr>
        <w:t>Quality</w:t>
      </w:r>
      <w:r w:rsidR="00DB5810">
        <w:rPr>
          <w:i/>
          <w:szCs w:val="24"/>
        </w:rPr>
        <w:t xml:space="preserve"> and Safety Culture</w:t>
      </w:r>
      <w:r w:rsidR="00F07829" w:rsidRPr="00476D60">
        <w:rPr>
          <w:i/>
          <w:szCs w:val="24"/>
        </w:rPr>
        <w:t>.</w:t>
      </w:r>
      <w:r w:rsidR="00F07829">
        <w:rPr>
          <w:b/>
          <w:szCs w:val="24"/>
        </w:rPr>
        <w:t xml:space="preserve"> </w:t>
      </w:r>
      <w:r w:rsidR="00714D08">
        <w:rPr>
          <w:szCs w:val="24"/>
        </w:rPr>
        <w:t>Concern</w:t>
      </w:r>
      <w:r w:rsidR="00486A77">
        <w:rPr>
          <w:szCs w:val="24"/>
        </w:rPr>
        <w:t xml:space="preserve"> about </w:t>
      </w:r>
      <w:r w:rsidR="00C70BDE">
        <w:rPr>
          <w:szCs w:val="24"/>
        </w:rPr>
        <w:t xml:space="preserve">the </w:t>
      </w:r>
      <w:r w:rsidR="00486A77">
        <w:rPr>
          <w:szCs w:val="24"/>
        </w:rPr>
        <w:t xml:space="preserve">quality of </w:t>
      </w:r>
      <w:r w:rsidR="00714D08">
        <w:rPr>
          <w:szCs w:val="24"/>
        </w:rPr>
        <w:t xml:space="preserve">ASC </w:t>
      </w:r>
      <w:r w:rsidR="00486A77">
        <w:rPr>
          <w:szCs w:val="24"/>
        </w:rPr>
        <w:t xml:space="preserve">care </w:t>
      </w:r>
      <w:r w:rsidR="00714D08">
        <w:rPr>
          <w:szCs w:val="24"/>
        </w:rPr>
        <w:t xml:space="preserve">is </w:t>
      </w:r>
      <w:r w:rsidR="00486A77">
        <w:rPr>
          <w:szCs w:val="24"/>
        </w:rPr>
        <w:t>not new. Following a 2008 Hepatitis C outbre</w:t>
      </w:r>
      <w:r>
        <w:rPr>
          <w:szCs w:val="24"/>
        </w:rPr>
        <w:t xml:space="preserve">ak in Nevada blamed on poor ASC </w:t>
      </w:r>
      <w:r w:rsidR="00486A77">
        <w:rPr>
          <w:szCs w:val="24"/>
        </w:rPr>
        <w:t xml:space="preserve">infection control practices, </w:t>
      </w:r>
      <w:r w:rsidR="00476D60">
        <w:rPr>
          <w:szCs w:val="24"/>
        </w:rPr>
        <w:t xml:space="preserve">HHS’s </w:t>
      </w:r>
      <w:r w:rsidR="00486A77">
        <w:rPr>
          <w:szCs w:val="24"/>
        </w:rPr>
        <w:t>Office of the Secretary oversaw a $10 million program for state survey agencies to improve healthcare-associated infection reduction in ASCs.</w:t>
      </w:r>
      <w:r w:rsidR="00486A77">
        <w:rPr>
          <w:rStyle w:val="EndnoteReference"/>
          <w:szCs w:val="24"/>
        </w:rPr>
        <w:endnoteReference w:id="10"/>
      </w:r>
      <w:r w:rsidR="00486A77">
        <w:rPr>
          <w:szCs w:val="24"/>
        </w:rPr>
        <w:t xml:space="preserve"> </w:t>
      </w:r>
      <w:r w:rsidR="00D0676D">
        <w:rPr>
          <w:szCs w:val="24"/>
        </w:rPr>
        <w:t xml:space="preserve">The Centers for Disease Control’s (CDC) National Healthcare Safety Network (NHSN) subsequently expanded its surgical site infection (SSI) surveillance efforts </w:t>
      </w:r>
      <w:r w:rsidR="00714D08">
        <w:rPr>
          <w:szCs w:val="24"/>
        </w:rPr>
        <w:t>to enable ASC data submission to accommodate state SSI reporting mandates</w:t>
      </w:r>
      <w:r w:rsidR="00D0676D">
        <w:rPr>
          <w:szCs w:val="24"/>
        </w:rPr>
        <w:t>.</w:t>
      </w:r>
      <w:r w:rsidR="00D0676D">
        <w:rPr>
          <w:rStyle w:val="EndnoteReference"/>
          <w:szCs w:val="24"/>
        </w:rPr>
        <w:endnoteReference w:id="11"/>
      </w:r>
      <w:r w:rsidR="00277AAD" w:rsidRPr="00277AAD">
        <w:rPr>
          <w:szCs w:val="24"/>
        </w:rPr>
        <w:t xml:space="preserve"> </w:t>
      </w:r>
      <w:r w:rsidR="00714D08">
        <w:rPr>
          <w:szCs w:val="24"/>
        </w:rPr>
        <w:t xml:space="preserve">Through the Affordable Care Act of 2010, Congress also pursued ASC performance improvement by directing </w:t>
      </w:r>
      <w:r w:rsidR="00714D08" w:rsidRPr="00604BFB">
        <w:rPr>
          <w:szCs w:val="24"/>
        </w:rPr>
        <w:t xml:space="preserve">the </w:t>
      </w:r>
      <w:r w:rsidR="00714D08">
        <w:rPr>
          <w:szCs w:val="24"/>
        </w:rPr>
        <w:t xml:space="preserve">HHS </w:t>
      </w:r>
      <w:r w:rsidR="00714D08" w:rsidRPr="00604BFB">
        <w:rPr>
          <w:szCs w:val="24"/>
        </w:rPr>
        <w:t xml:space="preserve">Secretary </w:t>
      </w:r>
      <w:r w:rsidR="00714D08">
        <w:rPr>
          <w:szCs w:val="24"/>
        </w:rPr>
        <w:t xml:space="preserve">to implement an ASC-focused Medicare </w:t>
      </w:r>
      <w:r w:rsidR="00714D08" w:rsidRPr="00604BFB">
        <w:rPr>
          <w:szCs w:val="24"/>
        </w:rPr>
        <w:t>value-based purchasing (VBP) program</w:t>
      </w:r>
      <w:r w:rsidR="00714D08">
        <w:rPr>
          <w:rStyle w:val="EndnoteReference"/>
          <w:szCs w:val="24"/>
        </w:rPr>
        <w:endnoteReference w:id="12"/>
      </w:r>
      <w:r w:rsidR="00714D08" w:rsidRPr="00F10D99">
        <w:rPr>
          <w:szCs w:val="24"/>
          <w:vertAlign w:val="superscript"/>
        </w:rPr>
        <w:t>,</w:t>
      </w:r>
      <w:r w:rsidR="0027311C">
        <w:rPr>
          <w:szCs w:val="24"/>
          <w:vertAlign w:val="superscript"/>
        </w:rPr>
        <w:t xml:space="preserve"> </w:t>
      </w:r>
      <w:r w:rsidR="00714D08">
        <w:rPr>
          <w:rStyle w:val="EndnoteReference"/>
          <w:szCs w:val="24"/>
        </w:rPr>
        <w:endnoteReference w:id="13"/>
      </w:r>
    </w:p>
    <w:p w:rsidR="00277AAD" w:rsidRDefault="00277AAD" w:rsidP="00E10DC8">
      <w:pPr>
        <w:rPr>
          <w:szCs w:val="24"/>
        </w:rPr>
      </w:pPr>
    </w:p>
    <w:p w:rsidR="00A60ACB" w:rsidRPr="00A60ACB" w:rsidRDefault="00F84B38" w:rsidP="00F84B38">
      <w:pPr>
        <w:spacing w:after="160" w:line="259" w:lineRule="auto"/>
        <w:rPr>
          <w:szCs w:val="23"/>
        </w:rPr>
      </w:pPr>
      <w:r>
        <w:rPr>
          <w:szCs w:val="24"/>
        </w:rPr>
        <w:t>The relationship between patient safety culture and the quality of ASC care has attracted more recent attention from policymakers and regulators</w:t>
      </w:r>
      <w:r w:rsidR="00190ED2">
        <w:t>.</w:t>
      </w:r>
      <w:r w:rsidR="002079A9">
        <w:t xml:space="preserve"> </w:t>
      </w:r>
      <w:r w:rsidR="00277AAD">
        <w:rPr>
          <w:szCs w:val="24"/>
        </w:rPr>
        <w:t xml:space="preserve">On the national level, the Joint Commission in early 2017 established </w:t>
      </w:r>
      <w:r w:rsidR="00F57F76">
        <w:rPr>
          <w:szCs w:val="24"/>
        </w:rPr>
        <w:t xml:space="preserve">within its ASC accreditation manual </w:t>
      </w:r>
      <w:r w:rsidR="00277AAD">
        <w:rPr>
          <w:szCs w:val="24"/>
        </w:rPr>
        <w:t>a new</w:t>
      </w:r>
      <w:r w:rsidR="00F57F76">
        <w:rPr>
          <w:szCs w:val="24"/>
        </w:rPr>
        <w:t xml:space="preserve"> chapter on patient safety systems improvement, which includes </w:t>
      </w:r>
      <w:r w:rsidR="00277AAD">
        <w:rPr>
          <w:szCs w:val="24"/>
        </w:rPr>
        <w:t>strategies for “motivating staff to uphold a fair and just safety culture.”</w:t>
      </w:r>
      <w:r w:rsidR="00277AAD">
        <w:rPr>
          <w:rStyle w:val="EndnoteReference"/>
          <w:szCs w:val="24"/>
        </w:rPr>
        <w:endnoteReference w:id="14"/>
      </w:r>
      <w:r w:rsidR="00277AAD">
        <w:rPr>
          <w:szCs w:val="24"/>
        </w:rPr>
        <w:t xml:space="preserve"> CMS, </w:t>
      </w:r>
      <w:r w:rsidR="00F72358">
        <w:rPr>
          <w:szCs w:val="24"/>
        </w:rPr>
        <w:t xml:space="preserve">meanwhile, published in November 2017 </w:t>
      </w:r>
      <w:r w:rsidR="00277AAD">
        <w:rPr>
          <w:szCs w:val="24"/>
        </w:rPr>
        <w:t xml:space="preserve">its Final Rule outlining the ASC Quality Reporting (ASCQR) Program, which ties quality </w:t>
      </w:r>
      <w:r w:rsidR="00F57F76">
        <w:rPr>
          <w:szCs w:val="24"/>
        </w:rPr>
        <w:t xml:space="preserve">and patient safety performance </w:t>
      </w:r>
      <w:r w:rsidR="00277AAD">
        <w:rPr>
          <w:szCs w:val="24"/>
        </w:rPr>
        <w:t>to reimbursement.</w:t>
      </w:r>
      <w:r w:rsidR="00277AAD">
        <w:rPr>
          <w:rStyle w:val="EndnoteReference"/>
          <w:szCs w:val="24"/>
        </w:rPr>
        <w:endnoteReference w:id="15"/>
      </w:r>
      <w:r w:rsidR="00D50A6A">
        <w:rPr>
          <w:szCs w:val="24"/>
        </w:rPr>
        <w:t xml:space="preserve"> </w:t>
      </w:r>
    </w:p>
    <w:p w:rsidR="00425C15" w:rsidRDefault="00425C15" w:rsidP="00E10DC8">
      <w:pPr>
        <w:rPr>
          <w:szCs w:val="23"/>
        </w:rPr>
      </w:pPr>
    </w:p>
    <w:p w:rsidR="00AF71DA" w:rsidRDefault="00476D60" w:rsidP="00690D60">
      <w:pPr>
        <w:spacing w:after="160" w:line="259" w:lineRule="auto"/>
      </w:pPr>
      <w:r>
        <w:rPr>
          <w:i/>
          <w:szCs w:val="24"/>
        </w:rPr>
        <w:t>ASC SOPS</w:t>
      </w:r>
      <w:r w:rsidR="00515793">
        <w:rPr>
          <w:i/>
          <w:szCs w:val="24"/>
        </w:rPr>
        <w:t xml:space="preserve"> Pilot</w:t>
      </w:r>
      <w:r>
        <w:rPr>
          <w:i/>
          <w:szCs w:val="24"/>
        </w:rPr>
        <w:t>.</w:t>
      </w:r>
      <w:r>
        <w:rPr>
          <w:szCs w:val="24"/>
        </w:rPr>
        <w:t xml:space="preserve"> </w:t>
      </w:r>
      <w:r w:rsidR="00850473" w:rsidRPr="00850473">
        <w:rPr>
          <w:szCs w:val="24"/>
        </w:rPr>
        <w:t xml:space="preserve">AHRQ developed and pilot tested the </w:t>
      </w:r>
      <w:r w:rsidR="00850473">
        <w:rPr>
          <w:szCs w:val="24"/>
        </w:rPr>
        <w:t xml:space="preserve">Ambulatory </w:t>
      </w:r>
      <w:r w:rsidR="00165BD8">
        <w:rPr>
          <w:szCs w:val="24"/>
        </w:rPr>
        <w:t xml:space="preserve">Surgery </w:t>
      </w:r>
      <w:r w:rsidR="00850473">
        <w:rPr>
          <w:szCs w:val="24"/>
        </w:rPr>
        <w:t>Center</w:t>
      </w:r>
      <w:r w:rsidR="00850473" w:rsidRPr="00850473">
        <w:rPr>
          <w:szCs w:val="24"/>
        </w:rPr>
        <w:t xml:space="preserve"> Survey on Patient Safety Culture </w:t>
      </w:r>
      <w:r w:rsidR="00690D60">
        <w:rPr>
          <w:szCs w:val="24"/>
        </w:rPr>
        <w:t>(ASC</w:t>
      </w:r>
      <w:r w:rsidR="00850473">
        <w:rPr>
          <w:szCs w:val="24"/>
        </w:rPr>
        <w:t xml:space="preserve"> SOPS) </w:t>
      </w:r>
      <w:r w:rsidR="00850473" w:rsidRPr="00850473">
        <w:rPr>
          <w:szCs w:val="24"/>
        </w:rPr>
        <w:t>with OMB approval</w:t>
      </w:r>
      <w:r w:rsidR="00850473">
        <w:rPr>
          <w:szCs w:val="24"/>
        </w:rPr>
        <w:t xml:space="preserve"> (OMB No. 0935-0216; approved 10/31/2013)</w:t>
      </w:r>
      <w:r w:rsidR="00850473" w:rsidRPr="00850473">
        <w:rPr>
          <w:szCs w:val="24"/>
        </w:rPr>
        <w:t>. The survey is designed to</w:t>
      </w:r>
      <w:r w:rsidR="00321607">
        <w:rPr>
          <w:szCs w:val="24"/>
        </w:rPr>
        <w:t xml:space="preserve"> enable any ASC (regardless of type of procedures it performs) to </w:t>
      </w:r>
      <w:r w:rsidR="00AF71DA">
        <w:rPr>
          <w:szCs w:val="24"/>
        </w:rPr>
        <w:t xml:space="preserve">assess </w:t>
      </w:r>
      <w:r w:rsidR="00321607">
        <w:rPr>
          <w:szCs w:val="24"/>
        </w:rPr>
        <w:t xml:space="preserve">their </w:t>
      </w:r>
      <w:r w:rsidR="00321607" w:rsidRPr="002D4122">
        <w:rPr>
          <w:szCs w:val="24"/>
        </w:rPr>
        <w:t>staff</w:t>
      </w:r>
      <w:r w:rsidR="00321607">
        <w:rPr>
          <w:szCs w:val="24"/>
        </w:rPr>
        <w:t>’s</w:t>
      </w:r>
      <w:r w:rsidR="00321607" w:rsidRPr="002D4122">
        <w:rPr>
          <w:szCs w:val="24"/>
        </w:rPr>
        <w:t xml:space="preserve"> perceptions about </w:t>
      </w:r>
      <w:r w:rsidR="00AF71DA">
        <w:rPr>
          <w:szCs w:val="24"/>
        </w:rPr>
        <w:t xml:space="preserve">patient safety and quality assurance issues, including what safety-related </w:t>
      </w:r>
      <w:r w:rsidR="00321607" w:rsidRPr="002D4122">
        <w:rPr>
          <w:szCs w:val="24"/>
        </w:rPr>
        <w:t>attitudes and behaviors are supported, rewarded, and expected</w:t>
      </w:r>
      <w:r w:rsidR="00321607">
        <w:rPr>
          <w:szCs w:val="24"/>
        </w:rPr>
        <w:t xml:space="preserve">. </w:t>
      </w:r>
      <w:r w:rsidR="00321607">
        <w:t xml:space="preserve">It </w:t>
      </w:r>
      <w:r w:rsidR="00321607" w:rsidRPr="00FA2BD8">
        <w:t xml:space="preserve">includes 27 items that measure 8 composites of patient safety culture, as well five individual </w:t>
      </w:r>
      <w:r w:rsidR="00321607">
        <w:t>items</w:t>
      </w:r>
      <w:r w:rsidR="00321607" w:rsidRPr="00FA2BD8">
        <w:t xml:space="preserve"> on</w:t>
      </w:r>
      <w:r w:rsidR="00321607">
        <w:t xml:space="preserve"> near-miss documentation, overall rating on patient safety and communication in the procedure/surgery room</w:t>
      </w:r>
      <w:r w:rsidR="00321607" w:rsidRPr="00C1132D">
        <w:t>.</w:t>
      </w:r>
      <w:r w:rsidR="00AF71DA">
        <w:t xml:space="preserve"> </w:t>
      </w:r>
      <w:r w:rsidR="00AF71DA">
        <w:rPr>
          <w:szCs w:val="24"/>
        </w:rPr>
        <w:t xml:space="preserve">The pilot test was conducted in </w:t>
      </w:r>
      <w:r w:rsidR="00AF71DA" w:rsidRPr="00F728AD">
        <w:rPr>
          <w:szCs w:val="24"/>
        </w:rPr>
        <w:t>early 2014</w:t>
      </w:r>
      <w:r w:rsidR="00315970" w:rsidRPr="00315970">
        <w:rPr>
          <w:szCs w:val="24"/>
        </w:rPr>
        <w:t xml:space="preserve"> </w:t>
      </w:r>
      <w:r w:rsidR="00315970">
        <w:rPr>
          <w:szCs w:val="24"/>
        </w:rPr>
        <w:t>in ASC</w:t>
      </w:r>
      <w:r w:rsidR="00315970" w:rsidRPr="00AB32F9">
        <w:rPr>
          <w:szCs w:val="24"/>
        </w:rPr>
        <w:t xml:space="preserve"> facilities: (1) where patients have surgeries, procedures, and treatments and are not expected to need an inpatient stay, and (2) that have been certified and approved to participate in the </w:t>
      </w:r>
      <w:r w:rsidR="00315970">
        <w:rPr>
          <w:szCs w:val="24"/>
        </w:rPr>
        <w:t xml:space="preserve">CMS </w:t>
      </w:r>
      <w:r w:rsidR="00315970" w:rsidRPr="00AB32F9">
        <w:rPr>
          <w:szCs w:val="24"/>
        </w:rPr>
        <w:t>ASC program.</w:t>
      </w:r>
      <w:r w:rsidR="00315970">
        <w:rPr>
          <w:rStyle w:val="EndnoteReference"/>
          <w:szCs w:val="24"/>
        </w:rPr>
        <w:endnoteReference w:id="16"/>
      </w:r>
      <w:r w:rsidR="00315970">
        <w:rPr>
          <w:szCs w:val="24"/>
        </w:rPr>
        <w:t>. Twenty-five percent of the pilot sites were affiliated with a hospital and 75% were not hospital-affiliated</w:t>
      </w:r>
      <w:r w:rsidR="00AF71DA">
        <w:rPr>
          <w:szCs w:val="24"/>
        </w:rPr>
        <w:t>. Participants included 1,800 staff members from 59 ASCs—or approximately one percent of the total number of ASCs at that time.</w:t>
      </w:r>
      <w:r w:rsidR="00AF71DA">
        <w:rPr>
          <w:rStyle w:val="EndnoteReference"/>
          <w:szCs w:val="24"/>
        </w:rPr>
        <w:endnoteReference w:id="17"/>
      </w:r>
      <w:r w:rsidR="00AF71DA">
        <w:rPr>
          <w:szCs w:val="24"/>
        </w:rPr>
        <w:t xml:space="preserve"> </w:t>
      </w:r>
    </w:p>
    <w:p w:rsidR="00DB5810" w:rsidRDefault="00850473" w:rsidP="00DA2FB4">
      <w:pPr>
        <w:spacing w:after="160" w:line="259" w:lineRule="auto"/>
        <w:rPr>
          <w:szCs w:val="24"/>
        </w:rPr>
      </w:pPr>
      <w:r w:rsidRPr="00AF71DA">
        <w:rPr>
          <w:szCs w:val="24"/>
        </w:rPr>
        <w:t>AHRQ made the survey publicly available along with a Survey User’s Guide</w:t>
      </w:r>
      <w:r w:rsidR="00DA2FB4">
        <w:rPr>
          <w:szCs w:val="24"/>
        </w:rPr>
        <w:t>, the pilot study results,</w:t>
      </w:r>
      <w:r w:rsidR="00DA2FB4">
        <w:rPr>
          <w:rStyle w:val="EndnoteReference"/>
        </w:rPr>
        <w:endnoteReference w:id="18"/>
      </w:r>
      <w:r w:rsidRPr="00AF71DA">
        <w:rPr>
          <w:szCs w:val="24"/>
        </w:rPr>
        <w:t xml:space="preserve"> and </w:t>
      </w:r>
      <w:r w:rsidR="00DA2FB4">
        <w:rPr>
          <w:szCs w:val="24"/>
        </w:rPr>
        <w:t xml:space="preserve">related </w:t>
      </w:r>
      <w:r w:rsidRPr="00AF71DA">
        <w:rPr>
          <w:szCs w:val="24"/>
        </w:rPr>
        <w:t xml:space="preserve">toolkit materials on the </w:t>
      </w:r>
      <w:hyperlink r:id="rId9" w:history="1">
        <w:r w:rsidR="008C7853" w:rsidRPr="008C7853">
          <w:rPr>
            <w:rStyle w:val="Hyperlink"/>
          </w:rPr>
          <w:t xml:space="preserve">AHRQ Ambulatory Surgery Center Survey on Patient Safety Culture Web </w:t>
        </w:r>
      </w:hyperlink>
      <w:r w:rsidR="00EC18E6">
        <w:rPr>
          <w:rStyle w:val="Hyperlink"/>
        </w:rPr>
        <w:t>page</w:t>
      </w:r>
      <w:r w:rsidR="008C7853">
        <w:t xml:space="preserve"> in</w:t>
      </w:r>
      <w:r w:rsidR="008C7853" w:rsidRPr="00C1132D">
        <w:t xml:space="preserve"> April 2015.</w:t>
      </w:r>
      <w:r w:rsidR="008C7853">
        <w:t xml:space="preserve"> </w:t>
      </w:r>
    </w:p>
    <w:p w:rsidR="00FE5015" w:rsidRPr="00355CCD" w:rsidRDefault="00FE5015" w:rsidP="00355CCD">
      <w:pPr>
        <w:tabs>
          <w:tab w:val="left" w:pos="360"/>
        </w:tabs>
        <w:rPr>
          <w:szCs w:val="24"/>
          <w:highlight w:val="yellow"/>
        </w:rPr>
      </w:pPr>
      <w:r>
        <w:t xml:space="preserve">The AHRQ ASC SOPS Database </w:t>
      </w:r>
      <w:r w:rsidR="003F48FD">
        <w:t xml:space="preserve">will </w:t>
      </w:r>
      <w:r>
        <w:t>consist of data from the AHRQ ASC</w:t>
      </w:r>
      <w:r w:rsidR="003F48FD">
        <w:t xml:space="preserve"> patient safety culture survey</w:t>
      </w:r>
      <w:r>
        <w:t xml:space="preserve">. ASCs in the U.S. </w:t>
      </w:r>
      <w:r w:rsidR="003F48FD">
        <w:t xml:space="preserve">will be </w:t>
      </w:r>
      <w:r>
        <w:t xml:space="preserve">asked to voluntarily submit data from the survey to AHRQ, through its contractor, Westat. The ASC SOPS Database </w:t>
      </w:r>
      <w:r w:rsidR="003F48FD">
        <w:t xml:space="preserve">will be </w:t>
      </w:r>
      <w:r>
        <w:t>modeled after four other SOPS databases</w:t>
      </w:r>
      <w:r w:rsidR="00D37AFD">
        <w:t xml:space="preserve"> developed by AHRQ</w:t>
      </w:r>
      <w:r>
        <w:t xml:space="preserve">: Hospital SOPS [OMB NO. 0935-0162; </w:t>
      </w:r>
      <w:r w:rsidR="00D37AFD">
        <w:t>last a</w:t>
      </w:r>
      <w:r>
        <w:t xml:space="preserve">pproved </w:t>
      </w:r>
      <w:r w:rsidR="00D37AFD">
        <w:t>10</w:t>
      </w:r>
      <w:r>
        <w:t>/</w:t>
      </w:r>
      <w:r w:rsidR="00D37AFD">
        <w:t>18</w:t>
      </w:r>
      <w:r>
        <w:t>/</w:t>
      </w:r>
      <w:r w:rsidR="00D37AFD">
        <w:t>2016</w:t>
      </w:r>
      <w:r>
        <w:t xml:space="preserve">]; Medical Office SOPS [OMB NO. 0935-0196; </w:t>
      </w:r>
      <w:r w:rsidR="00D37AFD">
        <w:t>last a</w:t>
      </w:r>
      <w:r>
        <w:t xml:space="preserve">pproved </w:t>
      </w:r>
      <w:r w:rsidR="00D37AFD">
        <w:t>08</w:t>
      </w:r>
      <w:r>
        <w:t>/</w:t>
      </w:r>
      <w:r w:rsidR="00D37AFD">
        <w:t>25</w:t>
      </w:r>
      <w:r>
        <w:t>/</w:t>
      </w:r>
      <w:r w:rsidR="00D37AFD">
        <w:t>15</w:t>
      </w:r>
      <w:r>
        <w:t xml:space="preserve">]; Nursing Home SOPS [OMB NO. 0935-0195; </w:t>
      </w:r>
      <w:r w:rsidR="00D37AFD">
        <w:t>last a</w:t>
      </w:r>
      <w:r>
        <w:t xml:space="preserve">pproved </w:t>
      </w:r>
      <w:r w:rsidR="00D37AFD">
        <w:t>09</w:t>
      </w:r>
      <w:r>
        <w:t>/</w:t>
      </w:r>
      <w:r w:rsidR="00D37AFD">
        <w:t>30</w:t>
      </w:r>
      <w:r>
        <w:t>/</w:t>
      </w:r>
      <w:r w:rsidR="00D37AFD">
        <w:t>15</w:t>
      </w:r>
      <w:r>
        <w:t>]</w:t>
      </w:r>
      <w:r w:rsidR="00355CCD">
        <w:t xml:space="preserve">; and </w:t>
      </w:r>
      <w:r w:rsidR="003F48FD">
        <w:t xml:space="preserve">Community </w:t>
      </w:r>
      <w:r w:rsidR="00355CCD">
        <w:t>Pharmacy SOPS [</w:t>
      </w:r>
      <w:r w:rsidR="00355CCD" w:rsidRPr="00355CCD">
        <w:rPr>
          <w:szCs w:val="24"/>
        </w:rPr>
        <w:t>OMB NO. 0935-0218</w:t>
      </w:r>
      <w:r w:rsidR="00E07FC3">
        <w:rPr>
          <w:szCs w:val="24"/>
        </w:rPr>
        <w:t>;</w:t>
      </w:r>
      <w:r w:rsidR="00355CCD" w:rsidRPr="00355CCD">
        <w:rPr>
          <w:szCs w:val="24"/>
        </w:rPr>
        <w:t xml:space="preserve"> </w:t>
      </w:r>
      <w:r w:rsidR="00355CCD">
        <w:rPr>
          <w:szCs w:val="24"/>
        </w:rPr>
        <w:t xml:space="preserve">last approved </w:t>
      </w:r>
      <w:r w:rsidR="00D37AFD">
        <w:rPr>
          <w:szCs w:val="24"/>
        </w:rPr>
        <w:t>06/26/17</w:t>
      </w:r>
      <w:r w:rsidR="00355CCD">
        <w:t>]</w:t>
      </w:r>
      <w:r w:rsidR="00D37AFD">
        <w:t>.</w:t>
      </w:r>
    </w:p>
    <w:p w:rsidR="00355CCD" w:rsidRDefault="00355CCD" w:rsidP="008047C4">
      <w:pPr>
        <w:rPr>
          <w:szCs w:val="24"/>
        </w:rPr>
      </w:pPr>
    </w:p>
    <w:p w:rsidR="00E54969" w:rsidRDefault="00305811" w:rsidP="00E54969">
      <w:r>
        <w:rPr>
          <w:b/>
          <w:szCs w:val="24"/>
        </w:rPr>
        <w:t xml:space="preserve">Rationale for the information </w:t>
      </w:r>
      <w:r w:rsidRPr="00305811">
        <w:rPr>
          <w:b/>
          <w:szCs w:val="24"/>
        </w:rPr>
        <w:t>collection</w:t>
      </w:r>
      <w:r>
        <w:rPr>
          <w:szCs w:val="24"/>
        </w:rPr>
        <w:t xml:space="preserve">. </w:t>
      </w:r>
      <w:r w:rsidR="00441799">
        <w:t xml:space="preserve">AHRQ sponsored the development of the </w:t>
      </w:r>
      <w:r w:rsidR="00355CCD">
        <w:t xml:space="preserve">ASC SOPS </w:t>
      </w:r>
      <w:r w:rsidR="00441799">
        <w:t xml:space="preserve">as a new survey in the suite of AHRQ Surveys on Patient Safety Culture. </w:t>
      </w:r>
      <w:r w:rsidR="00E54969">
        <w:t xml:space="preserve">The </w:t>
      </w:r>
      <w:r w:rsidR="00355CCD">
        <w:t>d</w:t>
      </w:r>
      <w:r w:rsidR="00E54969">
        <w:t xml:space="preserve">atabase will </w:t>
      </w:r>
      <w:r w:rsidR="00E54969" w:rsidRPr="000163EF">
        <w:t>support</w:t>
      </w:r>
      <w:r w:rsidR="00E54969">
        <w:t xml:space="preserve"> AHRQ’s goals of promoting improvements in the quality and safety of health care in </w:t>
      </w:r>
      <w:r w:rsidR="00355CCD">
        <w:t xml:space="preserve">ASC </w:t>
      </w:r>
      <w:r w:rsidR="00E54969">
        <w:t xml:space="preserve">settings. </w:t>
      </w:r>
      <w:r w:rsidR="00355CCD">
        <w:t>Like t</w:t>
      </w:r>
      <w:r w:rsidR="00E54969">
        <w:t>he survey</w:t>
      </w:r>
      <w:r w:rsidR="00355CCD">
        <w:t xml:space="preserve"> and</w:t>
      </w:r>
      <w:r w:rsidR="00E54969">
        <w:t xml:space="preserve"> </w:t>
      </w:r>
      <w:r w:rsidR="003E1918">
        <w:t xml:space="preserve">other </w:t>
      </w:r>
      <w:r w:rsidR="00E54969">
        <w:t xml:space="preserve">toolkit materials, </w:t>
      </w:r>
      <w:r w:rsidR="00355CCD">
        <w:t xml:space="preserve">the </w:t>
      </w:r>
      <w:r w:rsidR="00E54969">
        <w:t xml:space="preserve">database results </w:t>
      </w:r>
      <w:r w:rsidR="00355CCD">
        <w:t xml:space="preserve">will be </w:t>
      </w:r>
      <w:r w:rsidR="00E54969">
        <w:t>made publicly available on AHRQ’s website</w:t>
      </w:r>
      <w:r w:rsidR="00E54969" w:rsidRPr="00FA2BD8">
        <w:t>. Technical assistance is provided by AHRQ through its contractor at no charge to A</w:t>
      </w:r>
      <w:r w:rsidR="00976A33">
        <w:t>S</w:t>
      </w:r>
      <w:r w:rsidR="00E54969" w:rsidRPr="00FA2BD8">
        <w:t>Cs to facilitate the use of these materials for A</w:t>
      </w:r>
      <w:r w:rsidR="00976A33">
        <w:t>S</w:t>
      </w:r>
      <w:r w:rsidR="00E54969" w:rsidRPr="00FA2BD8">
        <w:t>C patient safety and quality improvement.</w:t>
      </w:r>
      <w:r w:rsidR="00976A33">
        <w:t xml:space="preserve"> Technical assistance will also be provided to support ASC data submission.</w:t>
      </w:r>
    </w:p>
    <w:p w:rsidR="00E54969" w:rsidRDefault="00E54969" w:rsidP="00E54969"/>
    <w:p w:rsidR="00657D59" w:rsidRPr="001D0432" w:rsidRDefault="00355CCD" w:rsidP="00657D59">
      <w:r>
        <w:t xml:space="preserve">The goal of this project is to create the ASC SOPS Database. </w:t>
      </w:r>
      <w:r w:rsidR="00657D59" w:rsidRPr="001D0432">
        <w:t xml:space="preserve">This database will: </w:t>
      </w:r>
    </w:p>
    <w:p w:rsidR="00657D59" w:rsidRPr="0022758F" w:rsidRDefault="00657D59" w:rsidP="00657D59">
      <w:pPr>
        <w:rPr>
          <w:highlight w:val="yellow"/>
        </w:rPr>
      </w:pPr>
    </w:p>
    <w:p w:rsidR="00657D59" w:rsidRDefault="00657D59" w:rsidP="00657D59">
      <w:pPr>
        <w:numPr>
          <w:ilvl w:val="0"/>
          <w:numId w:val="12"/>
        </w:numPr>
      </w:pPr>
      <w:r>
        <w:t>Present results from ASCs that voluntarily submit their data;</w:t>
      </w:r>
    </w:p>
    <w:p w:rsidR="00657D59" w:rsidRDefault="00657D59" w:rsidP="00657D59">
      <w:pPr>
        <w:numPr>
          <w:ilvl w:val="0"/>
          <w:numId w:val="12"/>
        </w:numPr>
      </w:pPr>
      <w:r>
        <w:t xml:space="preserve">Present </w:t>
      </w:r>
      <w:r w:rsidR="00606F5F">
        <w:t>trend data</w:t>
      </w:r>
      <w:r w:rsidR="00386FED">
        <w:t xml:space="preserve"> </w:t>
      </w:r>
      <w:r w:rsidR="00606F5F">
        <w:t xml:space="preserve">for </w:t>
      </w:r>
      <w:r>
        <w:t>ASC</w:t>
      </w:r>
      <w:r w:rsidR="00606F5F">
        <w:t>s</w:t>
      </w:r>
      <w:r>
        <w:t xml:space="preserve"> that </w:t>
      </w:r>
      <w:r w:rsidR="00606F5F">
        <w:t xml:space="preserve">have </w:t>
      </w:r>
      <w:r>
        <w:t xml:space="preserve"> submitted </w:t>
      </w:r>
      <w:r w:rsidR="00606F5F">
        <w:t xml:space="preserve">their </w:t>
      </w:r>
      <w:r>
        <w:t>data more than once;</w:t>
      </w:r>
    </w:p>
    <w:p w:rsidR="00657D59" w:rsidRDefault="00657D59" w:rsidP="00657D59">
      <w:pPr>
        <w:numPr>
          <w:ilvl w:val="0"/>
          <w:numId w:val="12"/>
        </w:numPr>
      </w:pPr>
      <w:r>
        <w:t xml:space="preserve">Provide data to ASCs to facilitate internal assessment and learning in the patient safety improvement process; and </w:t>
      </w:r>
    </w:p>
    <w:p w:rsidR="00657D59" w:rsidRDefault="00657D59" w:rsidP="00657D59">
      <w:pPr>
        <w:numPr>
          <w:ilvl w:val="0"/>
          <w:numId w:val="12"/>
        </w:numPr>
      </w:pPr>
      <w:r>
        <w:t>Provide supplemental information to help ASCs identify their strengths and areas with potential for improvement in patient safety culture.</w:t>
      </w:r>
    </w:p>
    <w:p w:rsidR="00657D59" w:rsidRPr="0022758F" w:rsidRDefault="00657D59" w:rsidP="00657D59">
      <w:pPr>
        <w:rPr>
          <w:highlight w:val="yellow"/>
        </w:rPr>
      </w:pPr>
    </w:p>
    <w:p w:rsidR="003E1918" w:rsidRDefault="00657D59" w:rsidP="00657D59">
      <w:r w:rsidRPr="00D705D5">
        <w:t>To achieve the goal of this project the following activities and data collections will be implemented:</w:t>
      </w:r>
    </w:p>
    <w:p w:rsidR="003E1918" w:rsidRDefault="003E1918" w:rsidP="003E1918">
      <w:bookmarkStart w:id="9" w:name="_Hlk499119841"/>
    </w:p>
    <w:p w:rsidR="003E1918" w:rsidRPr="00690D60" w:rsidRDefault="003E1918" w:rsidP="003E1918">
      <w:pPr>
        <w:tabs>
          <w:tab w:val="left" w:pos="360"/>
        </w:tabs>
        <w:ind w:left="360" w:hanging="360"/>
        <w:rPr>
          <w:bCs/>
          <w:color w:val="000000"/>
        </w:rPr>
      </w:pPr>
      <w:r>
        <w:t>1)</w:t>
      </w:r>
      <w:r>
        <w:tab/>
      </w:r>
      <w:r w:rsidR="008347D0" w:rsidRPr="007D0392">
        <w:rPr>
          <w:b/>
        </w:rPr>
        <w:t>Eligibility and</w:t>
      </w:r>
      <w:r w:rsidR="008347D0">
        <w:t xml:space="preserve"> </w:t>
      </w:r>
      <w:r w:rsidRPr="00BF7750">
        <w:rPr>
          <w:b/>
        </w:rPr>
        <w:t>Registration Form</w:t>
      </w:r>
      <w:r>
        <w:t xml:space="preserve"> -- </w:t>
      </w:r>
      <w:r w:rsidRPr="005D34A4">
        <w:rPr>
          <w:bCs/>
          <w:color w:val="000000"/>
        </w:rPr>
        <w:t xml:space="preserve">The </w:t>
      </w:r>
      <w:r>
        <w:rPr>
          <w:bCs/>
          <w:color w:val="000000"/>
        </w:rPr>
        <w:t>point-of-contact (</w:t>
      </w:r>
      <w:r w:rsidRPr="005D34A4">
        <w:rPr>
          <w:bCs/>
          <w:color w:val="000000"/>
        </w:rPr>
        <w:t>POC</w:t>
      </w:r>
      <w:r>
        <w:rPr>
          <w:bCs/>
          <w:color w:val="000000"/>
        </w:rPr>
        <w:t xml:space="preserve">), </w:t>
      </w:r>
      <w:r w:rsidR="00657D59">
        <w:rPr>
          <w:bCs/>
          <w:color w:val="000000"/>
        </w:rPr>
        <w:t xml:space="preserve">often the </w:t>
      </w:r>
      <w:r>
        <w:rPr>
          <w:bCs/>
          <w:color w:val="000000"/>
        </w:rPr>
        <w:t>manage</w:t>
      </w:r>
      <w:r w:rsidR="009C647E">
        <w:rPr>
          <w:bCs/>
          <w:color w:val="000000"/>
        </w:rPr>
        <w:t>r of the ASC</w:t>
      </w:r>
      <w:r>
        <w:rPr>
          <w:bCs/>
          <w:color w:val="000000"/>
        </w:rPr>
        <w:t>,</w:t>
      </w:r>
      <w:r w:rsidRPr="005D34A4">
        <w:rPr>
          <w:bCs/>
          <w:color w:val="000000"/>
        </w:rPr>
        <w:t xml:space="preserve"> completes a number of data </w:t>
      </w:r>
      <w:r w:rsidRPr="00690D60">
        <w:rPr>
          <w:bCs/>
          <w:color w:val="000000"/>
        </w:rPr>
        <w:t xml:space="preserve">submission steps and forms, beginning with completion of an online </w:t>
      </w:r>
      <w:r w:rsidR="008347D0" w:rsidRPr="00690D60">
        <w:rPr>
          <w:bCs/>
          <w:color w:val="000000"/>
        </w:rPr>
        <w:t xml:space="preserve">Eligibility and </w:t>
      </w:r>
      <w:r w:rsidRPr="00690D60">
        <w:rPr>
          <w:bCs/>
          <w:color w:val="000000"/>
        </w:rPr>
        <w:t xml:space="preserve">Registration Form (see Attachment A). The purpose of this form is to collect basic demographic information about the </w:t>
      </w:r>
      <w:r w:rsidR="009C647E" w:rsidRPr="00690D60">
        <w:rPr>
          <w:bCs/>
          <w:color w:val="000000"/>
        </w:rPr>
        <w:t>ASC</w:t>
      </w:r>
      <w:r w:rsidRPr="00690D60">
        <w:rPr>
          <w:bCs/>
          <w:color w:val="000000"/>
        </w:rPr>
        <w:t xml:space="preserve"> and initiate the registration process.</w:t>
      </w:r>
    </w:p>
    <w:p w:rsidR="003E1918" w:rsidRPr="00690D60" w:rsidRDefault="003E1918" w:rsidP="003E1918">
      <w:pPr>
        <w:tabs>
          <w:tab w:val="left" w:pos="360"/>
        </w:tabs>
        <w:ind w:left="360" w:hanging="360"/>
        <w:rPr>
          <w:bCs/>
          <w:color w:val="000000"/>
        </w:rPr>
      </w:pPr>
    </w:p>
    <w:p w:rsidR="003E1918" w:rsidRPr="00690D60" w:rsidRDefault="003E1918" w:rsidP="003E1918">
      <w:pPr>
        <w:tabs>
          <w:tab w:val="left" w:pos="360"/>
        </w:tabs>
        <w:ind w:left="360" w:hanging="360"/>
      </w:pPr>
      <w:r w:rsidRPr="00690D60">
        <w:t>2)</w:t>
      </w:r>
      <w:r w:rsidRPr="00690D60">
        <w:tab/>
      </w:r>
      <w:r w:rsidRPr="00690D60">
        <w:rPr>
          <w:b/>
        </w:rPr>
        <w:t xml:space="preserve">ASC </w:t>
      </w:r>
      <w:r w:rsidR="008347D0" w:rsidRPr="00690D60">
        <w:rPr>
          <w:b/>
        </w:rPr>
        <w:t>Site Information</w:t>
      </w:r>
      <w:r w:rsidRPr="00690D60">
        <w:t xml:space="preserve">– The purpose of </w:t>
      </w:r>
      <w:r w:rsidR="007D0392">
        <w:t>the</w:t>
      </w:r>
      <w:r w:rsidR="007D0392" w:rsidRPr="00690D60">
        <w:t xml:space="preserve"> </w:t>
      </w:r>
      <w:r w:rsidR="007D0392">
        <w:t>site level specifications</w:t>
      </w:r>
      <w:r w:rsidR="007D0392" w:rsidRPr="00690D60">
        <w:t xml:space="preserve"> </w:t>
      </w:r>
      <w:r w:rsidRPr="00690D60">
        <w:t xml:space="preserve">(see Attachment B), completed by the </w:t>
      </w:r>
      <w:r w:rsidR="009C647E" w:rsidRPr="00690D60">
        <w:t>ASC</w:t>
      </w:r>
      <w:r w:rsidRPr="00690D60">
        <w:t xml:space="preserve"> manager, is to collect background characteristics of the </w:t>
      </w:r>
      <w:r w:rsidR="009C647E" w:rsidRPr="00690D60">
        <w:t>ASC</w:t>
      </w:r>
      <w:r w:rsidRPr="00690D60">
        <w:t>. This information will be used to analyze data collected with the ASC SOPS survey.</w:t>
      </w:r>
    </w:p>
    <w:p w:rsidR="003E1918" w:rsidRPr="00690D60" w:rsidRDefault="003E1918" w:rsidP="003E1918">
      <w:pPr>
        <w:tabs>
          <w:tab w:val="left" w:pos="360"/>
        </w:tabs>
        <w:ind w:left="360" w:hanging="360"/>
      </w:pPr>
    </w:p>
    <w:p w:rsidR="003E1918" w:rsidRPr="00690D60" w:rsidRDefault="003E1918" w:rsidP="003E1918">
      <w:pPr>
        <w:tabs>
          <w:tab w:val="left" w:pos="360"/>
        </w:tabs>
        <w:ind w:left="360" w:hanging="360"/>
      </w:pPr>
      <w:r w:rsidRPr="00690D60">
        <w:t>3)</w:t>
      </w:r>
      <w:r w:rsidRPr="00690D60">
        <w:tab/>
      </w:r>
      <w:r w:rsidRPr="00690D60">
        <w:rPr>
          <w:b/>
        </w:rPr>
        <w:t>Data Use Agreement</w:t>
      </w:r>
      <w:r w:rsidRPr="00690D60">
        <w:t xml:space="preserve"> – The purpose of the data use agreement, completed by the ASC manager, is to state how data submitted by ASCs will be used and provides </w:t>
      </w:r>
      <w:r w:rsidR="00606F5F" w:rsidRPr="00690D60">
        <w:t xml:space="preserve">privacy </w:t>
      </w:r>
      <w:r w:rsidRPr="00690D60">
        <w:t>assurances (see Attachment C).</w:t>
      </w:r>
    </w:p>
    <w:p w:rsidR="003E1918" w:rsidRPr="00690D60" w:rsidRDefault="003E1918" w:rsidP="003E1918">
      <w:pPr>
        <w:tabs>
          <w:tab w:val="left" w:pos="360"/>
        </w:tabs>
        <w:ind w:left="360" w:hanging="360"/>
      </w:pPr>
    </w:p>
    <w:p w:rsidR="009C647E" w:rsidRDefault="009C647E" w:rsidP="009C647E">
      <w:pPr>
        <w:ind w:left="360" w:hanging="360"/>
        <w:rPr>
          <w:bCs/>
          <w:color w:val="000000"/>
        </w:rPr>
      </w:pPr>
      <w:r w:rsidRPr="00690D60">
        <w:t xml:space="preserve">4)   </w:t>
      </w:r>
      <w:r w:rsidRPr="00690D60">
        <w:rPr>
          <w:b/>
        </w:rPr>
        <w:t>Data Files Submission</w:t>
      </w:r>
      <w:r w:rsidRPr="00690D60">
        <w:t xml:space="preserve"> –</w:t>
      </w:r>
      <w:r w:rsidRPr="00690D60">
        <w:rPr>
          <w:rFonts w:ascii="Times Roman" w:hAnsi="Times Roman" w:cs="Courier New"/>
        </w:rPr>
        <w:t xml:space="preserve">POCs upload their data file(s), using ASC </w:t>
      </w:r>
      <w:r w:rsidR="007D0392">
        <w:rPr>
          <w:rFonts w:ascii="Times Roman" w:hAnsi="Times Roman" w:cs="Courier New"/>
        </w:rPr>
        <w:t xml:space="preserve">survey </w:t>
      </w:r>
      <w:r w:rsidRPr="00690D60">
        <w:rPr>
          <w:rFonts w:ascii="Times Roman" w:hAnsi="Times Roman" w:cs="Courier New"/>
        </w:rPr>
        <w:t>data file specifications (see Attachment E), to ensure</w:t>
      </w:r>
      <w:r w:rsidRPr="003E2A9D">
        <w:rPr>
          <w:rFonts w:ascii="Times Roman" w:hAnsi="Times Roman" w:cs="Courier New"/>
        </w:rPr>
        <w:t xml:space="preserve"> </w:t>
      </w:r>
      <w:r>
        <w:rPr>
          <w:rFonts w:ascii="Times Roman" w:hAnsi="Times Roman" w:cs="Courier New"/>
        </w:rPr>
        <w:t xml:space="preserve">that users submit standardized and consistent data </w:t>
      </w:r>
      <w:r w:rsidRPr="003E2A9D">
        <w:rPr>
          <w:rFonts w:ascii="Times Roman" w:hAnsi="Times Roman" w:cs="Courier New"/>
        </w:rPr>
        <w:t>in the way variables are named, coded, and formatted.</w:t>
      </w:r>
      <w:r>
        <w:rPr>
          <w:rFonts w:ascii="Times Roman" w:hAnsi="Times Roman" w:cs="Courier New"/>
        </w:rPr>
        <w:t xml:space="preserve"> </w:t>
      </w:r>
      <w:r>
        <w:rPr>
          <w:bCs/>
        </w:rPr>
        <w:t xml:space="preserve">The number of </w:t>
      </w:r>
      <w:r w:rsidRPr="00B46111">
        <w:rPr>
          <w:bCs/>
        </w:rPr>
        <w:t xml:space="preserve">submissions to the database is likely to vary each year because </w:t>
      </w:r>
      <w:r>
        <w:rPr>
          <w:bCs/>
        </w:rPr>
        <w:t>ASCs</w:t>
      </w:r>
      <w:r w:rsidRPr="00B46111">
        <w:rPr>
          <w:bCs/>
        </w:rPr>
        <w:t xml:space="preserve"> do not administer the survey and submit data every year. Data submission is typically h</w:t>
      </w:r>
      <w:r>
        <w:rPr>
          <w:bCs/>
        </w:rPr>
        <w:t xml:space="preserve">andled by one POC who is either an ASC administrative </w:t>
      </w:r>
      <w:r w:rsidRPr="00B46111">
        <w:rPr>
          <w:bCs/>
        </w:rPr>
        <w:t>manager</w:t>
      </w:r>
      <w:r>
        <w:rPr>
          <w:bCs/>
        </w:rPr>
        <w:t xml:space="preserve"> or a survey vendor who contracts with an ASC to collect and submit its data</w:t>
      </w:r>
      <w:r w:rsidRPr="00B46111">
        <w:rPr>
          <w:bCs/>
        </w:rPr>
        <w:t>.</w:t>
      </w:r>
    </w:p>
    <w:bookmarkEnd w:id="9"/>
    <w:p w:rsidR="009C647E" w:rsidRDefault="009C647E" w:rsidP="009C647E">
      <w:pPr>
        <w:ind w:left="360" w:hanging="360"/>
        <w:rPr>
          <w:bCs/>
          <w:color w:val="000000"/>
        </w:rPr>
      </w:pPr>
    </w:p>
    <w:p w:rsidR="00B9649A" w:rsidRPr="00B9649A" w:rsidRDefault="00B9649A" w:rsidP="00B9649A">
      <w:pPr>
        <w:spacing w:after="160" w:line="259" w:lineRule="auto"/>
        <w:rPr>
          <w:rFonts w:ascii="Times Roman" w:hAnsi="Times Roman" w:cs="Courier New"/>
        </w:rPr>
      </w:pPr>
      <w:r w:rsidRPr="00527BBD">
        <w:t xml:space="preserve">This study is being conducted by AHRQ through its contractor, </w:t>
      </w:r>
      <w:r>
        <w:t>Westat</w:t>
      </w:r>
      <w:r w:rsidRPr="00527BBD">
        <w:t>, pursuant to AHRQ’s statutory authority to conduct and support research on healthcare and on systems for the delivery of such care, including activities with respect to the quality, effectiveness, efficiency, appropriateness and value of healthcare services and with respect to quali</w:t>
      </w:r>
      <w:r>
        <w:t>ty measurement and improvement.</w:t>
      </w:r>
      <w:r>
        <w:rPr>
          <w:rStyle w:val="EndnoteReference"/>
        </w:rPr>
        <w:endnoteReference w:id="19"/>
      </w:r>
      <w:r>
        <w:t xml:space="preserve"> </w:t>
      </w:r>
    </w:p>
    <w:p w:rsidR="00E742C3" w:rsidRPr="00B96000" w:rsidRDefault="00E742C3" w:rsidP="00E742C3">
      <w:pPr>
        <w:pStyle w:val="Heading2"/>
        <w:rPr>
          <w:sz w:val="24"/>
          <w:szCs w:val="24"/>
        </w:rPr>
      </w:pPr>
      <w:bookmarkStart w:id="10" w:name="_Toc151782177"/>
      <w:bookmarkStart w:id="11" w:name="_Toc158526217"/>
      <w:bookmarkStart w:id="12" w:name="_Toc463359330"/>
      <w:bookmarkStart w:id="13" w:name="_Toc498992114"/>
      <w:r w:rsidRPr="00B96000">
        <w:rPr>
          <w:sz w:val="24"/>
          <w:szCs w:val="24"/>
        </w:rPr>
        <w:t>2. Purpose and Use of Informatio</w:t>
      </w:r>
      <w:bookmarkEnd w:id="10"/>
      <w:bookmarkEnd w:id="11"/>
      <w:r w:rsidRPr="00B96000">
        <w:rPr>
          <w:sz w:val="24"/>
          <w:szCs w:val="24"/>
        </w:rPr>
        <w:t>n</w:t>
      </w:r>
      <w:bookmarkEnd w:id="12"/>
      <w:bookmarkEnd w:id="13"/>
    </w:p>
    <w:p w:rsidR="00441799" w:rsidRDefault="005226F5" w:rsidP="00B93DB4">
      <w:pPr>
        <w:spacing w:before="120" w:after="240"/>
      </w:pPr>
      <w:r>
        <w:t xml:space="preserve">With the approval and addition of the ASC SOPS Database, </w:t>
      </w:r>
      <w:r w:rsidR="00E742C3">
        <w:t xml:space="preserve">data from </w:t>
      </w:r>
      <w:r w:rsidR="0024631E">
        <w:t xml:space="preserve">will be </w:t>
      </w:r>
      <w:r w:rsidR="00E742C3">
        <w:t xml:space="preserve">used to produce three types of products: </w:t>
      </w:r>
    </w:p>
    <w:p w:rsidR="00441799" w:rsidRDefault="00E742C3" w:rsidP="00026715">
      <w:pPr>
        <w:pStyle w:val="ListParagraph"/>
        <w:numPr>
          <w:ilvl w:val="0"/>
          <w:numId w:val="10"/>
        </w:numPr>
        <w:spacing w:before="240" w:after="240"/>
      </w:pPr>
      <w:r>
        <w:t xml:space="preserve">An ASC SOPS Database Report that </w:t>
      </w:r>
      <w:r w:rsidR="00606F5F">
        <w:t xml:space="preserve">will be </w:t>
      </w:r>
      <w:r>
        <w:t>made publicly available on the AHRQ Web site (see</w:t>
      </w:r>
      <w:r w:rsidR="00441799">
        <w:t>,</w:t>
      </w:r>
      <w:r>
        <w:t xml:space="preserve"> </w:t>
      </w:r>
      <w:r w:rsidR="00971028">
        <w:t>for example</w:t>
      </w:r>
      <w:r w:rsidR="00441799">
        <w:t>,</w:t>
      </w:r>
      <w:r w:rsidR="00971028">
        <w:t xml:space="preserve"> </w:t>
      </w:r>
      <w:r w:rsidR="00441799">
        <w:t xml:space="preserve">another project in the SOPS suite, </w:t>
      </w:r>
      <w:r w:rsidR="00971028">
        <w:t xml:space="preserve">the </w:t>
      </w:r>
      <w:hyperlink r:id="rId10" w:history="1">
        <w:r w:rsidR="00190ED2">
          <w:rPr>
            <w:rStyle w:val="Hyperlink"/>
          </w:rPr>
          <w:t>Hospital User Database Report</w:t>
        </w:r>
      </w:hyperlink>
      <w:r>
        <w:t>)</w:t>
      </w:r>
      <w:r w:rsidR="00441799">
        <w:t>;</w:t>
      </w:r>
      <w:r w:rsidR="00971028">
        <w:rPr>
          <w:rStyle w:val="EndnoteReference"/>
        </w:rPr>
        <w:endnoteReference w:id="20"/>
      </w:r>
      <w:r>
        <w:t xml:space="preserve"> </w:t>
      </w:r>
    </w:p>
    <w:p w:rsidR="00441799" w:rsidRDefault="00E742C3" w:rsidP="00441799">
      <w:pPr>
        <w:pStyle w:val="ListParagraph"/>
        <w:numPr>
          <w:ilvl w:val="0"/>
          <w:numId w:val="10"/>
        </w:numPr>
        <w:spacing w:before="240" w:after="240"/>
      </w:pPr>
      <w:r>
        <w:t xml:space="preserve">Individual </w:t>
      </w:r>
      <w:r w:rsidR="00971028">
        <w:t>ASC</w:t>
      </w:r>
      <w:r>
        <w:t xml:space="preserve"> Survey Feedback Reports that are customized for each </w:t>
      </w:r>
      <w:r w:rsidR="00971028">
        <w:t xml:space="preserve">ASC </w:t>
      </w:r>
      <w:r>
        <w:t xml:space="preserve">that submits data to the database; and </w:t>
      </w:r>
    </w:p>
    <w:p w:rsidR="00E742C3" w:rsidRDefault="00E742C3" w:rsidP="00441799">
      <w:pPr>
        <w:pStyle w:val="ListParagraph"/>
        <w:numPr>
          <w:ilvl w:val="0"/>
          <w:numId w:val="10"/>
        </w:numPr>
        <w:spacing w:before="240" w:after="240"/>
      </w:pPr>
      <w:r>
        <w:t xml:space="preserve">Research data sets of individual-level and </w:t>
      </w:r>
      <w:r w:rsidR="00971028">
        <w:t>ASC</w:t>
      </w:r>
      <w:r>
        <w:t xml:space="preserve">-level </w:t>
      </w:r>
      <w:r w:rsidR="00386FED">
        <w:t xml:space="preserve">data to enable researchers to conduct analyses. All data released in a data set are </w:t>
      </w:r>
      <w:r>
        <w:t xml:space="preserve">de-identified </w:t>
      </w:r>
      <w:r w:rsidR="00386FED">
        <w:t xml:space="preserve">at the individual level and the ASC level. </w:t>
      </w:r>
    </w:p>
    <w:p w:rsidR="0035599A" w:rsidRDefault="00971028" w:rsidP="00BB59FE">
      <w:r>
        <w:t xml:space="preserve">ASCs </w:t>
      </w:r>
      <w:r w:rsidR="005226F5">
        <w:t xml:space="preserve">will be </w:t>
      </w:r>
      <w:r w:rsidR="00386FED">
        <w:t xml:space="preserve">invited to </w:t>
      </w:r>
      <w:r w:rsidR="00E742C3">
        <w:t xml:space="preserve">voluntarily submit their </w:t>
      </w:r>
      <w:r>
        <w:t xml:space="preserve">ASC </w:t>
      </w:r>
      <w:r w:rsidR="00E742C3">
        <w:t xml:space="preserve">SOPS survey data </w:t>
      </w:r>
      <w:r w:rsidR="005226F5">
        <w:t>in</w:t>
      </w:r>
      <w:r w:rsidR="00E742C3">
        <w:t xml:space="preserve">to the database. </w:t>
      </w:r>
      <w:r w:rsidR="005226F5">
        <w:t xml:space="preserve">AHRQ’s contractor, Westat, will then </w:t>
      </w:r>
      <w:r w:rsidR="00E742C3">
        <w:t>clean and aggregate</w:t>
      </w:r>
      <w:r w:rsidR="005226F5">
        <w:t xml:space="preserve"> the data</w:t>
      </w:r>
      <w:r w:rsidR="00E742C3">
        <w:t xml:space="preserve"> to produce a </w:t>
      </w:r>
      <w:r w:rsidR="00BB59FE">
        <w:t xml:space="preserve">PDF-formatted </w:t>
      </w:r>
      <w:r w:rsidR="00E742C3">
        <w:t xml:space="preserve">Database </w:t>
      </w:r>
      <w:r w:rsidR="00BB59FE">
        <w:t xml:space="preserve">Report displaying </w:t>
      </w:r>
      <w:r w:rsidR="00E742C3">
        <w:t xml:space="preserve">averages, standard deviations, and percentile scores on the survey’s </w:t>
      </w:r>
      <w:r>
        <w:t>33</w:t>
      </w:r>
      <w:r w:rsidR="00E742C3">
        <w:t xml:space="preserve"> items and </w:t>
      </w:r>
      <w:r>
        <w:t>8</w:t>
      </w:r>
      <w:r w:rsidR="00E742C3">
        <w:t xml:space="preserve"> patient safety culture dimensions</w:t>
      </w:r>
      <w:r w:rsidR="00BB59FE">
        <w:t xml:space="preserve">. In addition, the report will also display </w:t>
      </w:r>
      <w:r w:rsidR="00E742C3">
        <w:t>results by respondent characteristics (</w:t>
      </w:r>
      <w:r w:rsidR="0024631E">
        <w:t xml:space="preserve">e.g., </w:t>
      </w:r>
      <w:r w:rsidR="00E742C3">
        <w:t xml:space="preserve">staff position, tenure, and hours worked per week). </w:t>
      </w:r>
    </w:p>
    <w:p w:rsidR="0035599A" w:rsidRDefault="0035599A" w:rsidP="00BB59FE"/>
    <w:p w:rsidR="00E742C3" w:rsidRDefault="00BB59FE" w:rsidP="00BB59FE">
      <w:r>
        <w:t xml:space="preserve">The Database Report </w:t>
      </w:r>
      <w:r w:rsidR="0024631E">
        <w:t xml:space="preserve">will include </w:t>
      </w:r>
      <w:r w:rsidR="00E742C3">
        <w:t xml:space="preserve">a section on </w:t>
      </w:r>
      <w:r w:rsidR="0024631E">
        <w:t>d</w:t>
      </w:r>
      <w:r w:rsidR="00E742C3">
        <w:t xml:space="preserve">ata </w:t>
      </w:r>
      <w:r w:rsidR="0024631E">
        <w:t>l</w:t>
      </w:r>
      <w:r w:rsidR="00E742C3">
        <w:t>imitations</w:t>
      </w:r>
      <w:r w:rsidR="0024631E">
        <w:t xml:space="preserve">, </w:t>
      </w:r>
      <w:r>
        <w:t xml:space="preserve">emphasizing </w:t>
      </w:r>
      <w:r w:rsidR="00E742C3">
        <w:t xml:space="preserve">that </w:t>
      </w:r>
      <w:r>
        <w:t xml:space="preserve">the </w:t>
      </w:r>
      <w:r w:rsidR="0024631E">
        <w:t xml:space="preserve">report </w:t>
      </w:r>
      <w:r>
        <w:t xml:space="preserve">does </w:t>
      </w:r>
      <w:r w:rsidR="0024631E">
        <w:t xml:space="preserve">not reflect a </w:t>
      </w:r>
      <w:r w:rsidR="00E742C3">
        <w:t xml:space="preserve">representative </w:t>
      </w:r>
      <w:r w:rsidR="0024631E">
        <w:t xml:space="preserve">sampling </w:t>
      </w:r>
      <w:r w:rsidR="00E742C3">
        <w:t xml:space="preserve">of </w:t>
      </w:r>
      <w:r w:rsidR="0024631E">
        <w:t>the U.S. ASC population. B</w:t>
      </w:r>
      <w:r>
        <w:t>ecause participating ASCs</w:t>
      </w:r>
      <w:r w:rsidR="0024631E">
        <w:t xml:space="preserve"> will choose to </w:t>
      </w:r>
      <w:r w:rsidR="00E742C3">
        <w:t xml:space="preserve">voluntarily submit their data </w:t>
      </w:r>
      <w:r w:rsidR="0024631E">
        <w:t>in</w:t>
      </w:r>
      <w:r w:rsidR="00E742C3">
        <w:t>to the database</w:t>
      </w:r>
      <w:r w:rsidR="0024631E">
        <w:t xml:space="preserve"> and </w:t>
      </w:r>
      <w:r>
        <w:t xml:space="preserve">therefore are </w:t>
      </w:r>
      <w:r w:rsidR="00E742C3">
        <w:t xml:space="preserve">not a random </w:t>
      </w:r>
      <w:r w:rsidR="0024631E">
        <w:t xml:space="preserve">or national </w:t>
      </w:r>
      <w:r w:rsidR="00E742C3">
        <w:t xml:space="preserve">sample </w:t>
      </w:r>
      <w:r w:rsidR="0024631E">
        <w:t>of ASCs, e</w:t>
      </w:r>
      <w:r w:rsidR="00E742C3">
        <w:t xml:space="preserve">stimates based on this self-selected group </w:t>
      </w:r>
      <w:r w:rsidR="00386FED">
        <w:t>might be</w:t>
      </w:r>
      <w:r w:rsidR="002E4C94">
        <w:t xml:space="preserve"> biased estimates</w:t>
      </w:r>
      <w:r w:rsidR="0024631E">
        <w:t>.</w:t>
      </w:r>
      <w:r w:rsidR="002E4C94">
        <w:t xml:space="preserve"> These limitations will be noted in the database report.</w:t>
      </w:r>
      <w:r w:rsidR="0035599A">
        <w:t xml:space="preserve"> </w:t>
      </w:r>
      <w:r w:rsidR="00386FED">
        <w:t xml:space="preserve">We </w:t>
      </w:r>
      <w:r w:rsidR="002E4C94">
        <w:t xml:space="preserve">will </w:t>
      </w:r>
      <w:r w:rsidR="0035599A">
        <w:t xml:space="preserve">recommend </w:t>
      </w:r>
      <w:r w:rsidR="002E4C94">
        <w:t xml:space="preserve">that users </w:t>
      </w:r>
      <w:r w:rsidR="0035599A">
        <w:t xml:space="preserve">review the database results with these caveats in mind.   </w:t>
      </w:r>
      <w:r w:rsidR="0024631E">
        <w:t xml:space="preserve"> </w:t>
      </w:r>
    </w:p>
    <w:p w:rsidR="00E742C3" w:rsidRDefault="00E742C3" w:rsidP="00E742C3"/>
    <w:p w:rsidR="0035599A" w:rsidRDefault="00441799" w:rsidP="00BB59FE">
      <w:pPr>
        <w:spacing w:after="240"/>
      </w:pPr>
      <w:r>
        <w:t>E</w:t>
      </w:r>
      <w:r w:rsidR="00E742C3">
        <w:t xml:space="preserve">ach </w:t>
      </w:r>
      <w:r w:rsidR="0024631E">
        <w:t xml:space="preserve">ASC </w:t>
      </w:r>
      <w:r>
        <w:t xml:space="preserve">that submits its data </w:t>
      </w:r>
      <w:r w:rsidR="0024631E">
        <w:t xml:space="preserve">will receive </w:t>
      </w:r>
      <w:r>
        <w:t xml:space="preserve">a </w:t>
      </w:r>
      <w:r w:rsidR="00E742C3">
        <w:t>customized survey feedback report that presents the</w:t>
      </w:r>
      <w:r w:rsidR="009A1EE9">
        <w:t>ir</w:t>
      </w:r>
      <w:r w:rsidR="00E742C3">
        <w:t xml:space="preserve"> results </w:t>
      </w:r>
      <w:r>
        <w:t xml:space="preserve">alongside </w:t>
      </w:r>
      <w:r w:rsidR="00E742C3">
        <w:t xml:space="preserve">the aggregated results from other participating </w:t>
      </w:r>
      <w:r>
        <w:t>ASCs</w:t>
      </w:r>
      <w:r w:rsidR="00E742C3">
        <w:t>.</w:t>
      </w:r>
      <w:r w:rsidR="00E742C3" w:rsidRPr="003B664E">
        <w:t xml:space="preserve"> </w:t>
      </w:r>
      <w:r w:rsidR="00E742C3">
        <w:t>I</w:t>
      </w:r>
      <w:r w:rsidR="00E742C3" w:rsidRPr="003B664E">
        <w:t xml:space="preserve">f </w:t>
      </w:r>
      <w:r>
        <w:t xml:space="preserve">an ASC </w:t>
      </w:r>
      <w:r w:rsidR="00E742C3" w:rsidRPr="003B664E">
        <w:t xml:space="preserve">submits data more than once, its </w:t>
      </w:r>
      <w:r w:rsidR="00E742C3">
        <w:t xml:space="preserve">survey </w:t>
      </w:r>
      <w:r w:rsidR="00E742C3" w:rsidRPr="003B664E">
        <w:t xml:space="preserve">feedback report </w:t>
      </w:r>
      <w:r>
        <w:t xml:space="preserve">will </w:t>
      </w:r>
      <w:r w:rsidR="00E742C3" w:rsidRPr="003B664E">
        <w:t>also present trend data</w:t>
      </w:r>
      <w:r w:rsidR="00E742C3">
        <w:t>.</w:t>
      </w:r>
      <w:r>
        <w:t xml:space="preserve"> </w:t>
      </w:r>
    </w:p>
    <w:p w:rsidR="00E742C3" w:rsidRDefault="0035599A" w:rsidP="00BB59FE">
      <w:pPr>
        <w:spacing w:after="240"/>
      </w:pPr>
      <w:r>
        <w:t>ASCs use</w:t>
      </w:r>
      <w:r w:rsidR="00386FED">
        <w:t>rs of</w:t>
      </w:r>
      <w:r w:rsidR="00441799">
        <w:t xml:space="preserve"> the ASCs SOPS Survey, Database Reports, and Individual ASC Survey </w:t>
      </w:r>
      <w:r w:rsidR="00E742C3">
        <w:t xml:space="preserve">Feedback Reports </w:t>
      </w:r>
      <w:r w:rsidR="00441799">
        <w:t xml:space="preserve">can use these documents </w:t>
      </w:r>
      <w:r w:rsidR="00E742C3">
        <w:t xml:space="preserve">to:  </w:t>
      </w:r>
    </w:p>
    <w:p w:rsidR="00E742C3" w:rsidRPr="00BA5C94" w:rsidRDefault="00E742C3" w:rsidP="00E742C3">
      <w:pPr>
        <w:numPr>
          <w:ilvl w:val="0"/>
          <w:numId w:val="8"/>
        </w:numPr>
        <w:tabs>
          <w:tab w:val="left" w:pos="360"/>
        </w:tabs>
      </w:pPr>
      <w:r w:rsidRPr="00BA5C94">
        <w:t>Raise staff awareness about patient safety</w:t>
      </w:r>
      <w:r w:rsidR="005226F5">
        <w:t>;</w:t>
      </w:r>
    </w:p>
    <w:p w:rsidR="00E742C3" w:rsidRDefault="00E742C3" w:rsidP="00E742C3">
      <w:pPr>
        <w:numPr>
          <w:ilvl w:val="0"/>
          <w:numId w:val="8"/>
        </w:numPr>
        <w:tabs>
          <w:tab w:val="left" w:pos="360"/>
        </w:tabs>
      </w:pPr>
      <w:r w:rsidRPr="00BA5C94">
        <w:t xml:space="preserve">Diagnose and </w:t>
      </w:r>
      <w:r>
        <w:t>assess</w:t>
      </w:r>
      <w:r w:rsidRPr="00BA5C94">
        <w:t xml:space="preserve"> the current status of patient safety culture </w:t>
      </w:r>
      <w:r>
        <w:t xml:space="preserve">in their </w:t>
      </w:r>
      <w:r w:rsidR="00441799">
        <w:t>own ASC</w:t>
      </w:r>
      <w:r w:rsidR="005226F5">
        <w:t>;</w:t>
      </w:r>
    </w:p>
    <w:p w:rsidR="00E742C3" w:rsidRPr="00BA5C94" w:rsidRDefault="00E742C3" w:rsidP="00E742C3">
      <w:pPr>
        <w:numPr>
          <w:ilvl w:val="0"/>
          <w:numId w:val="8"/>
        </w:numPr>
        <w:tabs>
          <w:tab w:val="left" w:pos="360"/>
        </w:tabs>
      </w:pPr>
      <w:r>
        <w:t>I</w:t>
      </w:r>
      <w:r w:rsidRPr="00BA5C94">
        <w:t>dentify strengths and areas for</w:t>
      </w:r>
      <w:r>
        <w:t xml:space="preserve"> patient safety culture</w:t>
      </w:r>
      <w:r w:rsidRPr="00BA5C94">
        <w:t xml:space="preserve"> improvement</w:t>
      </w:r>
      <w:r w:rsidR="005226F5">
        <w:t>;</w:t>
      </w:r>
    </w:p>
    <w:p w:rsidR="00BD16EF" w:rsidRDefault="00E742C3" w:rsidP="0045437A">
      <w:pPr>
        <w:numPr>
          <w:ilvl w:val="0"/>
          <w:numId w:val="8"/>
        </w:numPr>
        <w:tabs>
          <w:tab w:val="left" w:pos="360"/>
        </w:tabs>
      </w:pPr>
      <w:r w:rsidRPr="00BA5C94">
        <w:t xml:space="preserve">Examine </w:t>
      </w:r>
      <w:r>
        <w:t xml:space="preserve">trends in patient safety </w:t>
      </w:r>
      <w:r w:rsidRPr="00BA5C94">
        <w:t>culture change over time</w:t>
      </w:r>
      <w:r w:rsidR="005226F5">
        <w:t>;</w:t>
      </w:r>
      <w:r w:rsidR="00386FED">
        <w:t xml:space="preserve"> and</w:t>
      </w:r>
    </w:p>
    <w:p w:rsidR="0045437A" w:rsidRPr="00BD16EF" w:rsidRDefault="00E742C3" w:rsidP="0045437A">
      <w:pPr>
        <w:numPr>
          <w:ilvl w:val="0"/>
          <w:numId w:val="8"/>
        </w:numPr>
        <w:tabs>
          <w:tab w:val="left" w:pos="360"/>
        </w:tabs>
      </w:pPr>
      <w:r w:rsidRPr="00BA5C94">
        <w:t xml:space="preserve">Evaluate the cultural impact of patient safety </w:t>
      </w:r>
      <w:r>
        <w:t xml:space="preserve">initiatives and </w:t>
      </w:r>
      <w:r w:rsidR="00113B9F">
        <w:t>intervention.</w:t>
      </w:r>
    </w:p>
    <w:p w:rsidR="005226F5" w:rsidRPr="00F0417A" w:rsidRDefault="005226F5" w:rsidP="005226F5">
      <w:pPr>
        <w:pStyle w:val="Heading2"/>
        <w:rPr>
          <w:sz w:val="24"/>
        </w:rPr>
      </w:pPr>
      <w:bookmarkStart w:id="14" w:name="_Toc463359331"/>
      <w:bookmarkStart w:id="15" w:name="_Toc498992115"/>
      <w:r w:rsidRPr="00F0417A">
        <w:rPr>
          <w:sz w:val="24"/>
        </w:rPr>
        <w:t>3. Use of Improved Information Technology</w:t>
      </w:r>
      <w:bookmarkEnd w:id="14"/>
      <w:bookmarkEnd w:id="15"/>
    </w:p>
    <w:p w:rsidR="005226F5" w:rsidRDefault="005226F5" w:rsidP="005226F5">
      <w:r w:rsidRPr="00F0417A">
        <w:t xml:space="preserve">All </w:t>
      </w:r>
      <w:r w:rsidR="00B67E92">
        <w:t>information collection for the</w:t>
      </w:r>
      <w:r w:rsidR="00690D60">
        <w:t xml:space="preserve"> </w:t>
      </w:r>
      <w:r>
        <w:t>ASC</w:t>
      </w:r>
      <w:r w:rsidRPr="00F0417A">
        <w:t xml:space="preserve"> SOPS Database </w:t>
      </w:r>
      <w:r w:rsidR="00B67E92">
        <w:t>is done</w:t>
      </w:r>
      <w:r w:rsidR="00BB59FE">
        <w:t xml:space="preserve"> </w:t>
      </w:r>
      <w:r w:rsidRPr="00F0417A">
        <w:t>electronically, except the Data Use Agreement (DUA)</w:t>
      </w:r>
      <w:r w:rsidR="00BB59FE">
        <w:t>,</w:t>
      </w:r>
      <w:r w:rsidRPr="00F0417A">
        <w:t xml:space="preserve"> </w:t>
      </w:r>
      <w:r w:rsidR="00BB59FE">
        <w:t xml:space="preserve">which ASCs will print, </w:t>
      </w:r>
      <w:r w:rsidRPr="00F0417A">
        <w:t>sign</w:t>
      </w:r>
      <w:r w:rsidR="00BB59FE">
        <w:t xml:space="preserve">, </w:t>
      </w:r>
      <w:r w:rsidRPr="00F0417A">
        <w:t xml:space="preserve">and </w:t>
      </w:r>
      <w:r w:rsidR="00BB59FE">
        <w:t xml:space="preserve">return (either via </w:t>
      </w:r>
      <w:r w:rsidRPr="00F0417A">
        <w:t xml:space="preserve">fax, </w:t>
      </w:r>
      <w:r w:rsidR="00BB59FE">
        <w:t xml:space="preserve">by </w:t>
      </w:r>
      <w:r w:rsidRPr="00F0417A">
        <w:t>scan</w:t>
      </w:r>
      <w:r w:rsidR="00BB59FE">
        <w:t xml:space="preserve">ning </w:t>
      </w:r>
      <w:r w:rsidRPr="00F0417A">
        <w:t>and email</w:t>
      </w:r>
      <w:r w:rsidR="00BB59FE">
        <w:t xml:space="preserve">ing or uploading </w:t>
      </w:r>
      <w:r w:rsidRPr="00F0417A">
        <w:t xml:space="preserve">to a secure Web site, or </w:t>
      </w:r>
      <w:r w:rsidR="00BB59FE">
        <w:t xml:space="preserve">by </w:t>
      </w:r>
      <w:r w:rsidRPr="00F0417A">
        <w:t>mail</w:t>
      </w:r>
      <w:r w:rsidR="00BB59FE">
        <w:t>ing</w:t>
      </w:r>
      <w:r w:rsidRPr="00F0417A">
        <w:t xml:space="preserve"> back</w:t>
      </w:r>
      <w:r w:rsidR="00BB59FE">
        <w:t>)</w:t>
      </w:r>
      <w:r w:rsidRPr="00F0417A">
        <w:t xml:space="preserve">. Registration, submission of </w:t>
      </w:r>
      <w:r w:rsidR="00BB59FE">
        <w:t xml:space="preserve">ASC </w:t>
      </w:r>
      <w:r w:rsidRPr="00F0417A">
        <w:t xml:space="preserve">information, and data upload is handled online through a secure </w:t>
      </w:r>
      <w:r>
        <w:t>w</w:t>
      </w:r>
      <w:r w:rsidRPr="00F0417A">
        <w:t xml:space="preserve">eb site. </w:t>
      </w:r>
      <w:r w:rsidR="00BB59FE">
        <w:t>C</w:t>
      </w:r>
      <w:r>
        <w:t xml:space="preserve">ustomized </w:t>
      </w:r>
      <w:r w:rsidR="00BB59FE">
        <w:t xml:space="preserve">ASC </w:t>
      </w:r>
      <w:r w:rsidRPr="00F0417A">
        <w:t xml:space="preserve">survey feedback reports </w:t>
      </w:r>
      <w:r w:rsidR="00BB59FE">
        <w:t xml:space="preserve">will be delivered </w:t>
      </w:r>
      <w:r w:rsidRPr="00F0417A">
        <w:t>electronically</w:t>
      </w:r>
      <w:r w:rsidR="00BB59FE">
        <w:t xml:space="preserve"> (the person submitting the data will </w:t>
      </w:r>
      <w:r w:rsidRPr="00F0417A">
        <w:t xml:space="preserve">enter a username and password and </w:t>
      </w:r>
      <w:r w:rsidR="00BB59FE">
        <w:t xml:space="preserve">will have access to a secure Web site from which to </w:t>
      </w:r>
      <w:r w:rsidRPr="00F0417A">
        <w:t>download their reports</w:t>
      </w:r>
      <w:r w:rsidR="00BB59FE">
        <w:t xml:space="preserve">). </w:t>
      </w:r>
    </w:p>
    <w:p w:rsidR="00104B5C" w:rsidRPr="00B144B9" w:rsidRDefault="00104B5C" w:rsidP="00104B5C">
      <w:pPr>
        <w:pStyle w:val="Heading2"/>
        <w:rPr>
          <w:sz w:val="24"/>
        </w:rPr>
      </w:pPr>
      <w:bookmarkStart w:id="16" w:name="_Toc151782179"/>
      <w:bookmarkStart w:id="17" w:name="_Toc158526219"/>
      <w:bookmarkStart w:id="18" w:name="_Toc463359332"/>
      <w:bookmarkStart w:id="19" w:name="_Toc498992116"/>
      <w:r w:rsidRPr="00B144B9">
        <w:rPr>
          <w:sz w:val="24"/>
        </w:rPr>
        <w:t>4. Efforts to Identify Duplication</w:t>
      </w:r>
      <w:bookmarkEnd w:id="16"/>
      <w:bookmarkEnd w:id="17"/>
      <w:bookmarkEnd w:id="18"/>
      <w:bookmarkEnd w:id="19"/>
    </w:p>
    <w:p w:rsidR="00104B5C" w:rsidRPr="00B144B9" w:rsidRDefault="00104B5C" w:rsidP="00104B5C">
      <w:pPr>
        <w:spacing w:after="240"/>
      </w:pPr>
      <w:r w:rsidRPr="00B144B9">
        <w:t xml:space="preserve">While survey vendors that administer the AHRQ </w:t>
      </w:r>
      <w:r>
        <w:t>ASC</w:t>
      </w:r>
      <w:r w:rsidR="00D14704">
        <w:t xml:space="preserve"> SOPS</w:t>
      </w:r>
      <w:r w:rsidRPr="00B144B9">
        <w:t xml:space="preserve"> may maintain a small database of survey</w:t>
      </w:r>
      <w:r>
        <w:t xml:space="preserve"> responses</w:t>
      </w:r>
      <w:r w:rsidRPr="00B144B9">
        <w:t xml:space="preserve">, AHRQ is the only entity that </w:t>
      </w:r>
      <w:r w:rsidR="002E4C94">
        <w:t xml:space="preserve">will </w:t>
      </w:r>
      <w:r w:rsidRPr="00B144B9">
        <w:t xml:space="preserve">serve as a central U.S. repository for data on the </w:t>
      </w:r>
      <w:r w:rsidR="002E4C94">
        <w:t xml:space="preserve">ASC SOPS </w:t>
      </w:r>
      <w:r w:rsidRPr="00B144B9">
        <w:t xml:space="preserve">survey and AHRQ </w:t>
      </w:r>
      <w:r w:rsidR="002E4C94">
        <w:t xml:space="preserve">will </w:t>
      </w:r>
      <w:r w:rsidRPr="00B144B9">
        <w:t xml:space="preserve">house the largest database of </w:t>
      </w:r>
      <w:r w:rsidR="00B67E92">
        <w:t xml:space="preserve">the survey’s </w:t>
      </w:r>
      <w:r w:rsidRPr="00B144B9">
        <w:t>results.</w:t>
      </w:r>
    </w:p>
    <w:p w:rsidR="00104B5C" w:rsidRPr="00395B7F" w:rsidRDefault="00104B5C" w:rsidP="00104B5C">
      <w:pPr>
        <w:pStyle w:val="Heading2"/>
        <w:rPr>
          <w:sz w:val="24"/>
        </w:rPr>
      </w:pPr>
      <w:bookmarkStart w:id="20" w:name="_Toc151782180"/>
      <w:bookmarkStart w:id="21" w:name="_Toc158526220"/>
      <w:bookmarkStart w:id="22" w:name="_Toc463359333"/>
      <w:bookmarkStart w:id="23" w:name="_Toc498992117"/>
      <w:r w:rsidRPr="00395B7F">
        <w:rPr>
          <w:sz w:val="24"/>
        </w:rPr>
        <w:t>5. Involvement of Small Entities</w:t>
      </w:r>
      <w:bookmarkEnd w:id="20"/>
      <w:bookmarkEnd w:id="21"/>
      <w:bookmarkEnd w:id="22"/>
      <w:bookmarkEnd w:id="23"/>
    </w:p>
    <w:p w:rsidR="00407764" w:rsidRDefault="0088309A" w:rsidP="00104B5C">
      <w:pPr>
        <w:spacing w:after="240"/>
      </w:pPr>
      <w:r>
        <w:t xml:space="preserve">AHRQ designed the </w:t>
      </w:r>
      <w:r w:rsidRPr="00407764">
        <w:t>data collection instruments and procedures to minimize burden on individual ASC staff respondents</w:t>
      </w:r>
      <w:r>
        <w:t>. The data requested of ASCs represents</w:t>
      </w:r>
      <w:r w:rsidRPr="0096018C">
        <w:t xml:space="preserve"> the absolute minimum </w:t>
      </w:r>
      <w:r>
        <w:t xml:space="preserve">information </w:t>
      </w:r>
      <w:r w:rsidRPr="0096018C">
        <w:t>required for the intended use</w:t>
      </w:r>
      <w:r>
        <w:t xml:space="preserve">s and the </w:t>
      </w:r>
      <w:r w:rsidR="00104B5C">
        <w:t xml:space="preserve">data submission </w:t>
      </w:r>
      <w:r>
        <w:t xml:space="preserve">process </w:t>
      </w:r>
      <w:r w:rsidR="00104B5C">
        <w:t xml:space="preserve">does not unduly burden small </w:t>
      </w:r>
      <w:r w:rsidR="00407764">
        <w:t xml:space="preserve">ASCs or other </w:t>
      </w:r>
      <w:r w:rsidR="00104B5C">
        <w:t>businesses.</w:t>
      </w:r>
    </w:p>
    <w:p w:rsidR="0088309A" w:rsidRPr="00E77789" w:rsidRDefault="0088309A" w:rsidP="0088309A">
      <w:pPr>
        <w:pStyle w:val="Heading2"/>
        <w:rPr>
          <w:sz w:val="24"/>
        </w:rPr>
      </w:pPr>
      <w:bookmarkStart w:id="24" w:name="_Toc463359334"/>
      <w:bookmarkStart w:id="25" w:name="_Toc498992118"/>
      <w:r w:rsidRPr="00E77789">
        <w:rPr>
          <w:sz w:val="24"/>
        </w:rPr>
        <w:t>6. Consequences if Information Collected Less Frequently</w:t>
      </w:r>
      <w:bookmarkEnd w:id="24"/>
      <w:bookmarkEnd w:id="25"/>
    </w:p>
    <w:p w:rsidR="00B9649A" w:rsidRPr="00FD0BA0" w:rsidRDefault="0088309A" w:rsidP="00B9649A">
      <w:bookmarkStart w:id="26" w:name="_Toc151782182"/>
      <w:bookmarkStart w:id="27" w:name="_Toc158526222"/>
      <w:r>
        <w:t>Based upon AHRQ’s experience with its suite of other voluntary SOPS survey</w:t>
      </w:r>
      <w:r w:rsidR="002E4C94">
        <w:t xml:space="preserve"> databases</w:t>
      </w:r>
      <w:r>
        <w:t xml:space="preserve">, most ASCs will </w:t>
      </w:r>
      <w:r w:rsidRPr="00E77789">
        <w:t>submit data once every two years</w:t>
      </w:r>
      <w:r>
        <w:t>. G</w:t>
      </w:r>
      <w:r w:rsidRPr="00E77789">
        <w:t>reater frequency may not be immediately feasible</w:t>
      </w:r>
      <w:r>
        <w:t xml:space="preserve"> or desirable, given the </w:t>
      </w:r>
      <w:r w:rsidR="00E45AC1">
        <w:t xml:space="preserve">time required to implement </w:t>
      </w:r>
      <w:r>
        <w:t>any new improvement interventions</w:t>
      </w:r>
      <w:r w:rsidRPr="00E77789">
        <w:t xml:space="preserve">. </w:t>
      </w:r>
      <w:r w:rsidR="00B9649A" w:rsidRPr="00690D60">
        <w:t xml:space="preserve">ASC data submission </w:t>
      </w:r>
      <w:r w:rsidR="00B67E92" w:rsidRPr="00690D60">
        <w:t xml:space="preserve">is expected to occur every two years. </w:t>
      </w:r>
    </w:p>
    <w:p w:rsidR="0088309A" w:rsidRPr="00B144B9" w:rsidRDefault="0088309A" w:rsidP="0088309A">
      <w:pPr>
        <w:pStyle w:val="Heading2"/>
        <w:rPr>
          <w:sz w:val="24"/>
        </w:rPr>
      </w:pPr>
      <w:bookmarkStart w:id="28" w:name="_Toc463359335"/>
      <w:bookmarkStart w:id="29" w:name="_Toc498992119"/>
      <w:r w:rsidRPr="00B144B9">
        <w:rPr>
          <w:sz w:val="24"/>
        </w:rPr>
        <w:t>7. Special Circumstances</w:t>
      </w:r>
      <w:bookmarkEnd w:id="26"/>
      <w:bookmarkEnd w:id="27"/>
      <w:bookmarkEnd w:id="28"/>
      <w:bookmarkEnd w:id="29"/>
    </w:p>
    <w:p w:rsidR="0088309A" w:rsidRPr="00B144B9" w:rsidRDefault="0088309A" w:rsidP="0088309A">
      <w:pPr>
        <w:spacing w:before="120"/>
      </w:pPr>
      <w:r w:rsidRPr="00B144B9">
        <w:t xml:space="preserve">This request is consistent with the general information collection guidelines of 5 </w:t>
      </w:r>
      <w:smartTag w:uri="urn:schemas-microsoft-com:office:smarttags" w:element="stockticker">
        <w:r w:rsidRPr="00B144B9">
          <w:t>CFR</w:t>
        </w:r>
      </w:smartTag>
      <w:r w:rsidRPr="00B144B9">
        <w:t xml:space="preserve"> 1320.5(d)(2).  No special circumstances apply.</w:t>
      </w:r>
    </w:p>
    <w:p w:rsidR="00E45AC1" w:rsidRPr="00A53D95" w:rsidRDefault="00E45AC1" w:rsidP="00E45AC1">
      <w:pPr>
        <w:pStyle w:val="Heading2"/>
        <w:rPr>
          <w:sz w:val="24"/>
          <w:szCs w:val="24"/>
        </w:rPr>
      </w:pPr>
      <w:bookmarkStart w:id="30" w:name="_Toc151782183"/>
      <w:bookmarkStart w:id="31" w:name="_Toc158526223"/>
      <w:bookmarkStart w:id="32" w:name="_Toc463359336"/>
      <w:bookmarkStart w:id="33" w:name="_Toc498992120"/>
      <w:r w:rsidRPr="00A53D95">
        <w:rPr>
          <w:sz w:val="24"/>
        </w:rPr>
        <w:t>8.</w:t>
      </w:r>
      <w:r w:rsidRPr="00A53D95">
        <w:rPr>
          <w:sz w:val="24"/>
          <w:szCs w:val="24"/>
        </w:rPr>
        <w:t xml:space="preserve"> </w:t>
      </w:r>
      <w:bookmarkEnd w:id="30"/>
      <w:bookmarkEnd w:id="31"/>
      <w:r w:rsidRPr="00A53D95">
        <w:rPr>
          <w:sz w:val="24"/>
          <w:szCs w:val="24"/>
        </w:rPr>
        <w:t>Federal Register Notice and Outside Consultations</w:t>
      </w:r>
      <w:bookmarkEnd w:id="32"/>
      <w:bookmarkEnd w:id="33"/>
    </w:p>
    <w:p w:rsidR="00E45AC1" w:rsidRPr="00A53D95" w:rsidRDefault="00E45AC1" w:rsidP="00E45AC1"/>
    <w:p w:rsidR="00E45AC1" w:rsidRPr="00A53D95" w:rsidRDefault="00E45AC1" w:rsidP="00E45AC1">
      <w:pPr>
        <w:rPr>
          <w:rFonts w:ascii="Arial" w:hAnsi="Arial" w:cs="Arial"/>
          <w:b/>
          <w:bCs/>
          <w:i/>
          <w:iCs/>
        </w:rPr>
      </w:pPr>
      <w:r w:rsidRPr="00A53D95">
        <w:rPr>
          <w:rFonts w:ascii="Arial" w:hAnsi="Arial" w:cs="Arial"/>
          <w:b/>
          <w:i/>
        </w:rPr>
        <w:t>8.a.</w:t>
      </w:r>
      <w:r w:rsidRPr="00A53D95">
        <w:t xml:space="preserve"> </w:t>
      </w:r>
      <w:r w:rsidRPr="00A53D95">
        <w:rPr>
          <w:rFonts w:ascii="Arial" w:hAnsi="Arial" w:cs="Arial"/>
          <w:b/>
          <w:bCs/>
          <w:i/>
          <w:iCs/>
        </w:rPr>
        <w:t>Federal Register Notice</w:t>
      </w:r>
    </w:p>
    <w:p w:rsidR="00E45AC1" w:rsidRPr="00A53D95" w:rsidRDefault="00E45AC1" w:rsidP="00B93DB4">
      <w:pPr>
        <w:spacing w:before="120"/>
      </w:pPr>
      <w:r w:rsidRPr="00690D60">
        <w:t xml:space="preserve">As required by 5 </w:t>
      </w:r>
      <w:smartTag w:uri="urn:schemas-microsoft-com:office:smarttags" w:element="stockticker">
        <w:r w:rsidRPr="00690D60">
          <w:t>CFR</w:t>
        </w:r>
      </w:smartTag>
      <w:r w:rsidRPr="00690D60">
        <w:t xml:space="preserve"> 1320.8(d), notice was published in the Federal Register on </w:t>
      </w:r>
      <w:r w:rsidR="007C5B14" w:rsidRPr="007C5B14">
        <w:t xml:space="preserve">March 14, 2018 </w:t>
      </w:r>
      <w:r w:rsidR="007C5B14">
        <w:t xml:space="preserve">on </w:t>
      </w:r>
      <w:r w:rsidR="007C5B14" w:rsidRPr="007C5B14">
        <w:t xml:space="preserve">Page 11203 </w:t>
      </w:r>
      <w:r w:rsidRPr="00690D60">
        <w:t xml:space="preserve">for 60 days (Attachment </w:t>
      </w:r>
      <w:r w:rsidR="00690D60" w:rsidRPr="00690D60">
        <w:t>G</w:t>
      </w:r>
      <w:r w:rsidRPr="00690D60">
        <w:t>).</w:t>
      </w:r>
      <w:r w:rsidRPr="00A53D95">
        <w:t xml:space="preserve">  </w:t>
      </w:r>
      <w:r w:rsidR="00F44886">
        <w:t>One</w:t>
      </w:r>
      <w:r w:rsidR="00A5779D">
        <w:t xml:space="preserve"> comment</w:t>
      </w:r>
      <w:r w:rsidR="00F44886">
        <w:t xml:space="preserve"> was re</w:t>
      </w:r>
      <w:r w:rsidR="00A5779D">
        <w:t>ceived.</w:t>
      </w:r>
    </w:p>
    <w:p w:rsidR="00B93DB4" w:rsidRDefault="00B93DB4" w:rsidP="00E45AC1">
      <w:pPr>
        <w:rPr>
          <w:rFonts w:ascii="Arial" w:hAnsi="Arial" w:cs="Arial"/>
          <w:b/>
          <w:bCs/>
          <w:i/>
          <w:iCs/>
        </w:rPr>
      </w:pPr>
    </w:p>
    <w:p w:rsidR="00E45AC1" w:rsidRPr="00E45AC1" w:rsidRDefault="00E45AC1" w:rsidP="00E45AC1">
      <w:pPr>
        <w:rPr>
          <w:rFonts w:ascii="Arial" w:hAnsi="Arial" w:cs="Arial"/>
          <w:b/>
          <w:bCs/>
          <w:i/>
          <w:iCs/>
        </w:rPr>
      </w:pPr>
      <w:r w:rsidRPr="00E45AC1">
        <w:rPr>
          <w:rFonts w:ascii="Arial" w:hAnsi="Arial" w:cs="Arial"/>
          <w:b/>
          <w:bCs/>
          <w:i/>
          <w:iCs/>
        </w:rPr>
        <w:t>8.b.  Outside Consultations</w:t>
      </w:r>
    </w:p>
    <w:p w:rsidR="00D37AFD" w:rsidRPr="006E08D3" w:rsidRDefault="00B9649A" w:rsidP="003D0C15">
      <w:pPr>
        <w:spacing w:before="120"/>
        <w:rPr>
          <w:i/>
        </w:rPr>
      </w:pPr>
      <w:r>
        <w:t xml:space="preserve">AHRQ </w:t>
      </w:r>
      <w:r w:rsidR="00190ED2">
        <w:t xml:space="preserve">periodically convenes </w:t>
      </w:r>
      <w:r w:rsidR="002E4C94">
        <w:t xml:space="preserve">an </w:t>
      </w:r>
      <w:r w:rsidR="003D0C15">
        <w:t>external Technical Expert Panel (TEP</w:t>
      </w:r>
      <w:r>
        <w:t>) to provide expertise and guidance to the development, functioning, and expansion of the SOPS Databases.</w:t>
      </w:r>
      <w:r w:rsidR="00190ED2">
        <w:t xml:space="preserve"> The TEP is comprised of 18 individuals with expertise for each of </w:t>
      </w:r>
      <w:r w:rsidR="00E83A46">
        <w:t xml:space="preserve">the </w:t>
      </w:r>
      <w:r w:rsidR="00190ED2">
        <w:t>seven differen</w:t>
      </w:r>
      <w:r w:rsidR="00E83A46">
        <w:t>t</w:t>
      </w:r>
      <w:r w:rsidR="00190ED2">
        <w:t xml:space="preserve"> settings: hospital, medical office, nursing home, community pharmacy, ambulatory surgery center, international, and U.S. Department of Defense (see Attachment F). With representation from ASC experts, the TEP will provide guidance as needed on the administration of the ASC SOPS database.</w:t>
      </w:r>
      <w:r>
        <w:t xml:space="preserve"> </w:t>
      </w:r>
    </w:p>
    <w:p w:rsidR="008047C4" w:rsidRPr="00722DCD" w:rsidRDefault="008047C4" w:rsidP="008047C4">
      <w:pPr>
        <w:pStyle w:val="Heading2"/>
        <w:rPr>
          <w:sz w:val="24"/>
          <w:szCs w:val="24"/>
        </w:rPr>
      </w:pPr>
      <w:bookmarkStart w:id="34" w:name="_Toc463359338"/>
      <w:bookmarkStart w:id="35" w:name="_Toc498992121"/>
      <w:r w:rsidRPr="00722DCD">
        <w:rPr>
          <w:sz w:val="24"/>
          <w:szCs w:val="24"/>
        </w:rPr>
        <w:t>9. Payments/Gifts to Respondents</w:t>
      </w:r>
      <w:bookmarkEnd w:id="34"/>
      <w:bookmarkEnd w:id="35"/>
    </w:p>
    <w:p w:rsidR="008047C4" w:rsidRPr="00825DA9" w:rsidRDefault="008047C4" w:rsidP="008047C4">
      <w:pPr>
        <w:jc w:val="both"/>
        <w:rPr>
          <w:i/>
        </w:rPr>
      </w:pPr>
      <w:r>
        <w:t>No payment or remuneration will be provided to ASCs for submitting data to the database.</w:t>
      </w:r>
    </w:p>
    <w:p w:rsidR="008047C4" w:rsidRPr="00FF749B" w:rsidRDefault="008047C4" w:rsidP="008047C4">
      <w:pPr>
        <w:pStyle w:val="Heading2"/>
        <w:rPr>
          <w:sz w:val="24"/>
        </w:rPr>
      </w:pPr>
      <w:bookmarkStart w:id="36" w:name="_Toc463359339"/>
      <w:bookmarkStart w:id="37" w:name="_Toc498992122"/>
      <w:r w:rsidRPr="00FF749B">
        <w:rPr>
          <w:sz w:val="24"/>
        </w:rPr>
        <w:t>10. Assurance of Confidentiality</w:t>
      </w:r>
      <w:bookmarkEnd w:id="36"/>
      <w:bookmarkEnd w:id="37"/>
    </w:p>
    <w:p w:rsidR="008047C4" w:rsidRDefault="008047C4" w:rsidP="008047C4">
      <w:pPr>
        <w:autoSpaceDE w:val="0"/>
        <w:autoSpaceDN w:val="0"/>
        <w:adjustRightInd w:val="0"/>
      </w:pPr>
      <w:r w:rsidRPr="008C525E">
        <w:t xml:space="preserve">Individuals and organizations </w:t>
      </w:r>
      <w:r>
        <w:t>are</w:t>
      </w:r>
      <w:r w:rsidRPr="008C525E">
        <w:t xml:space="preserve"> assured </w:t>
      </w:r>
      <w:r>
        <w:t xml:space="preserve">limitation on use of certain information </w:t>
      </w:r>
      <w:r w:rsidRPr="008C525E">
        <w:t>under Section 9</w:t>
      </w:r>
      <w:r>
        <w:t>4</w:t>
      </w:r>
      <w:r w:rsidRPr="008C525E">
        <w:t xml:space="preserve">4(c) of the </w:t>
      </w:r>
      <w:r>
        <w:t xml:space="preserve">Public Health Service Act, 42 USC 299c-3(c). </w:t>
      </w:r>
      <w:r w:rsidRPr="00012921">
        <w:t>That law requires that information collected for research conducted or supported by AHRQ that identifies individuals or establishments be used only for the purpose for which it was supplied</w:t>
      </w:r>
      <w:r>
        <w:t>.</w:t>
      </w:r>
    </w:p>
    <w:p w:rsidR="008047C4" w:rsidRDefault="008047C4" w:rsidP="008047C4">
      <w:pPr>
        <w:autoSpaceDE w:val="0"/>
        <w:autoSpaceDN w:val="0"/>
        <w:adjustRightInd w:val="0"/>
      </w:pPr>
    </w:p>
    <w:p w:rsidR="008047C4" w:rsidRDefault="008047C4" w:rsidP="008047C4">
      <w:pPr>
        <w:autoSpaceDE w:val="0"/>
        <w:autoSpaceDN w:val="0"/>
        <w:adjustRightInd w:val="0"/>
      </w:pPr>
      <w:r>
        <w:rPr>
          <w:b/>
        </w:rPr>
        <w:t>Privacy</w:t>
      </w:r>
      <w:r w:rsidRPr="003925C9">
        <w:rPr>
          <w:b/>
        </w:rPr>
        <w:t xml:space="preserve"> of the Point</w:t>
      </w:r>
      <w:r>
        <w:rPr>
          <w:b/>
        </w:rPr>
        <w:t xml:space="preserve">- </w:t>
      </w:r>
      <w:r w:rsidRPr="003925C9">
        <w:rPr>
          <w:b/>
        </w:rPr>
        <w:t>of</w:t>
      </w:r>
      <w:r>
        <w:rPr>
          <w:b/>
        </w:rPr>
        <w:t>-</w:t>
      </w:r>
      <w:r w:rsidRPr="00431308">
        <w:rPr>
          <w:b/>
        </w:rPr>
        <w:t>C</w:t>
      </w:r>
      <w:r>
        <w:rPr>
          <w:b/>
        </w:rPr>
        <w:t>ontact for an ASC</w:t>
      </w:r>
      <w:r w:rsidRPr="003925C9">
        <w:rPr>
          <w:b/>
        </w:rPr>
        <w:t>.</w:t>
      </w:r>
      <w:r>
        <w:t xml:space="preserve"> The individual that submits data on behalf of an ASC (“ASC point-of-contact”) is asked to provide his/her name, phone number and email address during the data submission process to ensure that the ASC’s individual survey feedback report is delivered to that person. Such contact information is critical if any clarifications or corrections of the submitted data set are necessary. However, the name of the ASC point-of-contact and name of the ASC is kept private and will not be reported. Only aggregated, de-identified results are displayed in any reports.</w:t>
      </w:r>
    </w:p>
    <w:p w:rsidR="008047C4" w:rsidRDefault="008047C4" w:rsidP="008047C4">
      <w:pPr>
        <w:tabs>
          <w:tab w:val="left" w:pos="6262"/>
        </w:tabs>
        <w:autoSpaceDE w:val="0"/>
        <w:autoSpaceDN w:val="0"/>
        <w:adjustRightInd w:val="0"/>
      </w:pPr>
      <w:r>
        <w:tab/>
      </w:r>
    </w:p>
    <w:p w:rsidR="008047C4" w:rsidRPr="00B144B9" w:rsidRDefault="008047C4" w:rsidP="008047C4">
      <w:pPr>
        <w:autoSpaceDE w:val="0"/>
        <w:autoSpaceDN w:val="0"/>
        <w:adjustRightInd w:val="0"/>
      </w:pPr>
      <w:r>
        <w:rPr>
          <w:b/>
        </w:rPr>
        <w:t>Privacy</w:t>
      </w:r>
      <w:r w:rsidRPr="003925C9">
        <w:rPr>
          <w:b/>
        </w:rPr>
        <w:t xml:space="preserve"> o</w:t>
      </w:r>
      <w:r>
        <w:rPr>
          <w:b/>
        </w:rPr>
        <w:t>f the Survey Data Submitted by an ASC</w:t>
      </w:r>
      <w:r w:rsidRPr="00544231">
        <w:t xml:space="preserve">. </w:t>
      </w:r>
      <w:r>
        <w:t>ASCs are assured of the privacy of their ASC SOPS survey data responses und</w:t>
      </w:r>
      <w:r w:rsidR="005845CB">
        <w:t>er the Data Use Agreement (</w:t>
      </w:r>
      <w:r w:rsidR="005845CB" w:rsidRPr="00690D60">
        <w:t>DUA) (</w:t>
      </w:r>
      <w:r w:rsidRPr="00690D60">
        <w:t xml:space="preserve">see Attachment </w:t>
      </w:r>
      <w:r w:rsidR="00690D60" w:rsidRPr="00690D60">
        <w:t>C</w:t>
      </w:r>
      <w:r w:rsidRPr="00690D60">
        <w:t>).</w:t>
      </w:r>
      <w:r>
        <w:t xml:space="preserve"> All respondents must sign the DUA</w:t>
      </w:r>
      <w:r w:rsidR="005845CB">
        <w:t xml:space="preserve">. </w:t>
      </w:r>
      <w:r w:rsidR="002E4C94">
        <w:t xml:space="preserve">Reviewed </w:t>
      </w:r>
      <w:r>
        <w:t xml:space="preserve">by </w:t>
      </w:r>
      <w:r w:rsidR="002E4C94">
        <w:t>HHS</w:t>
      </w:r>
      <w:r>
        <w:t>’s general counsel</w:t>
      </w:r>
      <w:r w:rsidR="005845CB">
        <w:t>, t</w:t>
      </w:r>
      <w:r>
        <w:t xml:space="preserve">he DUA states that </w:t>
      </w:r>
      <w:r w:rsidR="005845CB">
        <w:t xml:space="preserve">all submitted </w:t>
      </w:r>
      <w:r>
        <w:t>data will be handled in a secure manner using necessary administrative, technical and physical safeguards to limit access to it and maintain its privacy</w:t>
      </w:r>
      <w:r w:rsidRPr="00B144B9">
        <w:t xml:space="preserve">. In addition, the DUA </w:t>
      </w:r>
      <w:r w:rsidR="005845CB">
        <w:t xml:space="preserve">outlines that survey response </w:t>
      </w:r>
      <w:r w:rsidRPr="00B144B9">
        <w:t xml:space="preserve">data will be used for the purposes of the database, that only aggregated results will be reported, and that the </w:t>
      </w:r>
      <w:r w:rsidR="005845CB">
        <w:t xml:space="preserve">ASC will </w:t>
      </w:r>
      <w:r w:rsidRPr="00B144B9">
        <w:t>not</w:t>
      </w:r>
      <w:r w:rsidR="008002F3">
        <w:t xml:space="preserve"> be</w:t>
      </w:r>
      <w:r w:rsidRPr="00B144B9">
        <w:t xml:space="preserve"> identified by name.</w:t>
      </w:r>
    </w:p>
    <w:p w:rsidR="005845CB" w:rsidRPr="00B144B9" w:rsidRDefault="005845CB" w:rsidP="005845CB">
      <w:pPr>
        <w:pStyle w:val="Heading2"/>
        <w:rPr>
          <w:sz w:val="24"/>
        </w:rPr>
      </w:pPr>
      <w:bookmarkStart w:id="38" w:name="_Toc463359340"/>
      <w:bookmarkStart w:id="39" w:name="_Toc498992123"/>
      <w:r w:rsidRPr="00B144B9">
        <w:rPr>
          <w:sz w:val="24"/>
        </w:rPr>
        <w:t>11. Questions of a Sensitive Nature</w:t>
      </w:r>
      <w:bookmarkEnd w:id="38"/>
      <w:bookmarkEnd w:id="39"/>
    </w:p>
    <w:p w:rsidR="00E34F78" w:rsidRPr="00825DA9" w:rsidRDefault="005845CB" w:rsidP="00E34F78">
      <w:pPr>
        <w:jc w:val="both"/>
        <w:rPr>
          <w:i/>
        </w:rPr>
      </w:pPr>
      <w:r w:rsidRPr="00B144B9">
        <w:t>There are no questions of a sensitive nature.</w:t>
      </w:r>
      <w:r w:rsidR="00E34F78" w:rsidRPr="00E34F78">
        <w:rPr>
          <w:i/>
        </w:rPr>
        <w:t xml:space="preserve"> </w:t>
      </w:r>
    </w:p>
    <w:p w:rsidR="005845CB" w:rsidRPr="00B144B9" w:rsidRDefault="005845CB" w:rsidP="005845CB">
      <w:pPr>
        <w:pStyle w:val="Heading2"/>
        <w:rPr>
          <w:sz w:val="24"/>
        </w:rPr>
      </w:pPr>
      <w:bookmarkStart w:id="40" w:name="_Toc151782187"/>
      <w:bookmarkStart w:id="41" w:name="_Toc158526227"/>
      <w:bookmarkStart w:id="42" w:name="_Toc463359341"/>
      <w:bookmarkStart w:id="43" w:name="_Toc498992124"/>
      <w:r w:rsidRPr="00B144B9">
        <w:rPr>
          <w:sz w:val="24"/>
        </w:rPr>
        <w:t>12. Estimates of Annualized Burden Hours and Costs</w:t>
      </w:r>
      <w:bookmarkEnd w:id="40"/>
      <w:bookmarkEnd w:id="41"/>
      <w:bookmarkEnd w:id="42"/>
      <w:bookmarkEnd w:id="43"/>
    </w:p>
    <w:p w:rsidR="005845CB" w:rsidRDefault="005845CB" w:rsidP="005845CB">
      <w:pPr>
        <w:pStyle w:val="ListParagraph"/>
        <w:ind w:left="1440"/>
        <w:rPr>
          <w:bCs/>
          <w:color w:val="000000"/>
        </w:rPr>
      </w:pPr>
    </w:p>
    <w:p w:rsidR="000B628E" w:rsidRDefault="001765DB" w:rsidP="005845CB">
      <w:pPr>
        <w:rPr>
          <w:bCs/>
          <w:color w:val="000000"/>
        </w:rPr>
      </w:pPr>
      <w:r w:rsidRPr="005845CB">
        <w:rPr>
          <w:bCs/>
          <w:color w:val="000000"/>
        </w:rPr>
        <w:t xml:space="preserve">Exhibit 1 shows the estimated annualized burden hours for the respondents’ time to participate in the database. </w:t>
      </w:r>
      <w:r w:rsidR="002E4C94">
        <w:rPr>
          <w:bCs/>
          <w:color w:val="000000"/>
        </w:rPr>
        <w:t xml:space="preserve">Given that this will be the first call for voluntary data submission, participation is initially expected to be modest. </w:t>
      </w:r>
      <w:r w:rsidRPr="005845CB">
        <w:rPr>
          <w:bCs/>
          <w:color w:val="000000"/>
        </w:rPr>
        <w:t xml:space="preserve">An estimated 100 </w:t>
      </w:r>
      <w:r w:rsidR="00E85CF9">
        <w:rPr>
          <w:bCs/>
          <w:color w:val="000000"/>
        </w:rPr>
        <w:t xml:space="preserve">ASC </w:t>
      </w:r>
      <w:r w:rsidR="003D0C15">
        <w:rPr>
          <w:bCs/>
          <w:color w:val="000000"/>
        </w:rPr>
        <w:t>managers</w:t>
      </w:r>
      <w:r w:rsidR="00E85CF9">
        <w:rPr>
          <w:bCs/>
          <w:color w:val="000000"/>
        </w:rPr>
        <w:t xml:space="preserve"> (i.e., </w:t>
      </w:r>
      <w:r w:rsidRPr="005845CB">
        <w:rPr>
          <w:bCs/>
          <w:color w:val="000000"/>
        </w:rPr>
        <w:t xml:space="preserve">POCs from </w:t>
      </w:r>
      <w:r w:rsidR="005845CB">
        <w:rPr>
          <w:bCs/>
          <w:color w:val="000000"/>
        </w:rPr>
        <w:t>ASCs</w:t>
      </w:r>
      <w:r w:rsidR="00E85CF9">
        <w:rPr>
          <w:bCs/>
          <w:color w:val="000000"/>
        </w:rPr>
        <w:t>)</w:t>
      </w:r>
      <w:r w:rsidRPr="005845CB">
        <w:rPr>
          <w:bCs/>
          <w:color w:val="000000"/>
        </w:rPr>
        <w:t xml:space="preserve"> will complete the database submission steps and forms. </w:t>
      </w:r>
      <w:r w:rsidR="00FA77D3">
        <w:rPr>
          <w:bCs/>
          <w:color w:val="000000"/>
        </w:rPr>
        <w:t>Each POC will submit the following:</w:t>
      </w:r>
    </w:p>
    <w:p w:rsidR="000B628E" w:rsidRDefault="000B628E" w:rsidP="005845CB">
      <w:pPr>
        <w:pStyle w:val="ListParagraph"/>
        <w:numPr>
          <w:ilvl w:val="0"/>
          <w:numId w:val="8"/>
        </w:numPr>
        <w:rPr>
          <w:bCs/>
          <w:color w:val="000000"/>
        </w:rPr>
      </w:pPr>
      <w:r>
        <w:rPr>
          <w:bCs/>
          <w:color w:val="000000"/>
        </w:rPr>
        <w:t>E</w:t>
      </w:r>
      <w:r w:rsidR="001765DB" w:rsidRPr="000B628E">
        <w:rPr>
          <w:bCs/>
          <w:color w:val="000000"/>
        </w:rPr>
        <w:t xml:space="preserve">ligibility and registration form </w:t>
      </w:r>
      <w:r w:rsidR="00FA77D3">
        <w:rPr>
          <w:bCs/>
          <w:color w:val="000000"/>
        </w:rPr>
        <w:t>(</w:t>
      </w:r>
      <w:r>
        <w:rPr>
          <w:bCs/>
          <w:color w:val="000000"/>
        </w:rPr>
        <w:t xml:space="preserve">completion </w:t>
      </w:r>
      <w:r w:rsidR="00FA77D3">
        <w:rPr>
          <w:bCs/>
          <w:color w:val="000000"/>
        </w:rPr>
        <w:t xml:space="preserve">is estimated to </w:t>
      </w:r>
      <w:r w:rsidR="001765DB" w:rsidRPr="000B628E">
        <w:rPr>
          <w:bCs/>
          <w:color w:val="000000"/>
        </w:rPr>
        <w:t>take about 5 minutes</w:t>
      </w:r>
      <w:r w:rsidR="00FA77D3">
        <w:rPr>
          <w:bCs/>
          <w:color w:val="000000"/>
        </w:rPr>
        <w:t>)</w:t>
      </w:r>
      <w:r w:rsidR="001765DB" w:rsidRPr="000B628E">
        <w:rPr>
          <w:bCs/>
          <w:color w:val="000000"/>
        </w:rPr>
        <w:t xml:space="preserve">. </w:t>
      </w:r>
    </w:p>
    <w:p w:rsidR="000B628E" w:rsidRDefault="00FA77D3" w:rsidP="005845CB">
      <w:pPr>
        <w:pStyle w:val="ListParagraph"/>
        <w:numPr>
          <w:ilvl w:val="0"/>
          <w:numId w:val="8"/>
        </w:numPr>
        <w:rPr>
          <w:bCs/>
          <w:color w:val="000000"/>
        </w:rPr>
      </w:pPr>
      <w:r>
        <w:rPr>
          <w:bCs/>
          <w:color w:val="000000"/>
        </w:rPr>
        <w:t>D</w:t>
      </w:r>
      <w:r w:rsidR="000B628E" w:rsidRPr="000B628E">
        <w:rPr>
          <w:bCs/>
          <w:color w:val="000000"/>
        </w:rPr>
        <w:t>ata use agreement</w:t>
      </w:r>
      <w:r>
        <w:rPr>
          <w:bCs/>
          <w:color w:val="000000"/>
        </w:rPr>
        <w:t xml:space="preserve"> (completion is estimated to </w:t>
      </w:r>
      <w:r w:rsidRPr="000B628E">
        <w:rPr>
          <w:bCs/>
          <w:color w:val="000000"/>
        </w:rPr>
        <w:t xml:space="preserve">take about </w:t>
      </w:r>
      <w:r>
        <w:rPr>
          <w:bCs/>
          <w:color w:val="000000"/>
        </w:rPr>
        <w:t>3</w:t>
      </w:r>
      <w:r w:rsidRPr="000B628E">
        <w:rPr>
          <w:bCs/>
          <w:color w:val="000000"/>
        </w:rPr>
        <w:t xml:space="preserve"> minutes</w:t>
      </w:r>
      <w:r>
        <w:rPr>
          <w:bCs/>
          <w:color w:val="000000"/>
        </w:rPr>
        <w:t>)</w:t>
      </w:r>
      <w:r w:rsidRPr="000B628E">
        <w:rPr>
          <w:bCs/>
          <w:color w:val="000000"/>
        </w:rPr>
        <w:t>.</w:t>
      </w:r>
    </w:p>
    <w:p w:rsidR="000B628E" w:rsidRDefault="005845CB" w:rsidP="005845CB">
      <w:pPr>
        <w:pStyle w:val="ListParagraph"/>
        <w:numPr>
          <w:ilvl w:val="0"/>
          <w:numId w:val="8"/>
        </w:numPr>
        <w:rPr>
          <w:bCs/>
          <w:color w:val="000000"/>
        </w:rPr>
      </w:pPr>
      <w:r w:rsidRPr="000B628E">
        <w:rPr>
          <w:bCs/>
          <w:color w:val="000000"/>
        </w:rPr>
        <w:t xml:space="preserve">ASC </w:t>
      </w:r>
      <w:r w:rsidR="001765DB" w:rsidRPr="000B628E">
        <w:rPr>
          <w:bCs/>
          <w:color w:val="000000"/>
        </w:rPr>
        <w:t xml:space="preserve">Site Information Form </w:t>
      </w:r>
      <w:r w:rsidR="00FA77D3">
        <w:rPr>
          <w:bCs/>
          <w:color w:val="000000"/>
        </w:rPr>
        <w:t xml:space="preserve">(completion is estimated to </w:t>
      </w:r>
      <w:r w:rsidR="00FA77D3" w:rsidRPr="000B628E">
        <w:rPr>
          <w:bCs/>
          <w:color w:val="000000"/>
        </w:rPr>
        <w:t>take about 5 minutes</w:t>
      </w:r>
      <w:r w:rsidR="00FA77D3">
        <w:rPr>
          <w:bCs/>
          <w:color w:val="000000"/>
        </w:rPr>
        <w:t>)</w:t>
      </w:r>
      <w:r w:rsidR="00FA77D3" w:rsidRPr="000B628E">
        <w:rPr>
          <w:bCs/>
          <w:color w:val="000000"/>
        </w:rPr>
        <w:t>.</w:t>
      </w:r>
    </w:p>
    <w:p w:rsidR="00FA77D3" w:rsidRDefault="00FA77D3" w:rsidP="005845CB">
      <w:pPr>
        <w:pStyle w:val="ListParagraph"/>
        <w:numPr>
          <w:ilvl w:val="0"/>
          <w:numId w:val="8"/>
        </w:numPr>
        <w:rPr>
          <w:bCs/>
          <w:color w:val="000000"/>
        </w:rPr>
      </w:pPr>
      <w:r>
        <w:rPr>
          <w:bCs/>
          <w:color w:val="000000"/>
        </w:rPr>
        <w:t>S</w:t>
      </w:r>
      <w:r w:rsidR="005845CB" w:rsidRPr="000B628E">
        <w:rPr>
          <w:bCs/>
          <w:color w:val="000000"/>
        </w:rPr>
        <w:t xml:space="preserve">urvey data submission </w:t>
      </w:r>
      <w:r w:rsidR="001765DB" w:rsidRPr="000B628E">
        <w:rPr>
          <w:bCs/>
          <w:color w:val="000000"/>
        </w:rPr>
        <w:t xml:space="preserve">will take </w:t>
      </w:r>
      <w:r w:rsidR="005845CB" w:rsidRPr="000B628E">
        <w:rPr>
          <w:bCs/>
          <w:color w:val="000000"/>
        </w:rPr>
        <w:t xml:space="preserve">an average of one </w:t>
      </w:r>
      <w:r w:rsidR="001765DB" w:rsidRPr="000B628E">
        <w:rPr>
          <w:bCs/>
          <w:color w:val="000000"/>
        </w:rPr>
        <w:t xml:space="preserve">hour. </w:t>
      </w:r>
    </w:p>
    <w:p w:rsidR="00FA77D3" w:rsidRDefault="00FA77D3" w:rsidP="00FA77D3">
      <w:pPr>
        <w:rPr>
          <w:bCs/>
          <w:color w:val="000000"/>
        </w:rPr>
      </w:pPr>
    </w:p>
    <w:p w:rsidR="001765DB" w:rsidRPr="00FA77D3" w:rsidRDefault="001765DB" w:rsidP="00FA77D3">
      <w:pPr>
        <w:rPr>
          <w:bCs/>
          <w:color w:val="000000"/>
        </w:rPr>
      </w:pPr>
      <w:r w:rsidRPr="00FA77D3">
        <w:rPr>
          <w:bCs/>
          <w:color w:val="000000"/>
        </w:rPr>
        <w:t xml:space="preserve">The total burden is estimated to be </w:t>
      </w:r>
      <w:r w:rsidR="007721E4">
        <w:rPr>
          <w:bCs/>
          <w:color w:val="000000"/>
        </w:rPr>
        <w:t>121</w:t>
      </w:r>
      <w:r w:rsidR="007721E4" w:rsidRPr="00FA77D3">
        <w:rPr>
          <w:bCs/>
          <w:color w:val="000000"/>
        </w:rPr>
        <w:t xml:space="preserve"> </w:t>
      </w:r>
      <w:r w:rsidRPr="00FA77D3">
        <w:rPr>
          <w:bCs/>
          <w:color w:val="000000"/>
        </w:rPr>
        <w:t xml:space="preserve">hours. </w:t>
      </w:r>
    </w:p>
    <w:p w:rsidR="005845CB" w:rsidRPr="005845CB" w:rsidRDefault="005845CB" w:rsidP="005845CB">
      <w:pPr>
        <w:rPr>
          <w:bCs/>
          <w:color w:val="000000"/>
        </w:rPr>
      </w:pPr>
    </w:p>
    <w:p w:rsidR="001765DB" w:rsidRPr="00FD13EE" w:rsidRDefault="001765DB" w:rsidP="00FD13EE">
      <w:pPr>
        <w:spacing w:after="160" w:line="259" w:lineRule="auto"/>
        <w:rPr>
          <w:szCs w:val="24"/>
        </w:rPr>
      </w:pPr>
      <w:r w:rsidRPr="00FD13EE">
        <w:rPr>
          <w:bCs/>
          <w:color w:val="000000"/>
        </w:rPr>
        <w:t xml:space="preserve">Exhibit 2 shows the estimated annualized cost burden based on the respondents' time to submit their data.  The cost burden is estimated to be </w:t>
      </w:r>
      <w:r w:rsidRPr="00B144B9">
        <w:t>$</w:t>
      </w:r>
      <w:r w:rsidR="007721E4">
        <w:t>5,472.83</w:t>
      </w:r>
    </w:p>
    <w:p w:rsidR="001765DB" w:rsidRPr="00B144B9" w:rsidRDefault="001765DB" w:rsidP="007C5B14">
      <w:pPr>
        <w:spacing w:after="160" w:line="259" w:lineRule="auto"/>
      </w:pPr>
      <w:r w:rsidRPr="00B144B9">
        <w:rPr>
          <w:b/>
          <w:bCs/>
          <w:color w:val="000000"/>
        </w:rPr>
        <w:t>Exhibit 1.  Estimated annualized burden hours</w:t>
      </w:r>
    </w:p>
    <w:tbl>
      <w:tblPr>
        <w:tblW w:w="8874"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55"/>
        <w:gridCol w:w="1761"/>
        <w:gridCol w:w="1273"/>
        <w:gridCol w:w="1125"/>
        <w:gridCol w:w="960"/>
      </w:tblGrid>
      <w:tr w:rsidR="001765DB" w:rsidRPr="0022758F" w:rsidTr="001765DB">
        <w:trPr>
          <w:trHeight w:val="765"/>
        </w:trPr>
        <w:tc>
          <w:tcPr>
            <w:tcW w:w="3755" w:type="dxa"/>
            <w:shd w:val="clear" w:color="auto" w:fill="auto"/>
            <w:vAlign w:val="center"/>
          </w:tcPr>
          <w:p w:rsidR="001765DB" w:rsidRPr="003838B7" w:rsidRDefault="001765DB" w:rsidP="001765DB">
            <w:pPr>
              <w:jc w:val="center"/>
              <w:rPr>
                <w:sz w:val="20"/>
              </w:rPr>
            </w:pPr>
            <w:r w:rsidRPr="003838B7">
              <w:rPr>
                <w:sz w:val="20"/>
              </w:rPr>
              <w:t>Form Name</w:t>
            </w:r>
          </w:p>
        </w:tc>
        <w:tc>
          <w:tcPr>
            <w:tcW w:w="1761" w:type="dxa"/>
            <w:shd w:val="clear" w:color="auto" w:fill="auto"/>
            <w:vAlign w:val="center"/>
          </w:tcPr>
          <w:p w:rsidR="001765DB" w:rsidRPr="003838B7" w:rsidRDefault="001765DB" w:rsidP="001765DB">
            <w:pPr>
              <w:jc w:val="center"/>
              <w:rPr>
                <w:sz w:val="20"/>
              </w:rPr>
            </w:pPr>
            <w:r w:rsidRPr="003838B7">
              <w:rPr>
                <w:sz w:val="20"/>
              </w:rPr>
              <w:t>Number of Respondents/POCs</w:t>
            </w:r>
          </w:p>
        </w:tc>
        <w:tc>
          <w:tcPr>
            <w:tcW w:w="1273" w:type="dxa"/>
            <w:shd w:val="clear" w:color="auto" w:fill="auto"/>
            <w:vAlign w:val="center"/>
          </w:tcPr>
          <w:p w:rsidR="001765DB" w:rsidRPr="003838B7" w:rsidRDefault="001765DB" w:rsidP="001765DB">
            <w:pPr>
              <w:jc w:val="center"/>
              <w:rPr>
                <w:sz w:val="20"/>
              </w:rPr>
            </w:pPr>
            <w:r w:rsidRPr="003838B7">
              <w:rPr>
                <w:sz w:val="20"/>
              </w:rPr>
              <w:t>Number of responses per POC</w:t>
            </w:r>
          </w:p>
        </w:tc>
        <w:tc>
          <w:tcPr>
            <w:tcW w:w="1125" w:type="dxa"/>
            <w:shd w:val="clear" w:color="auto" w:fill="auto"/>
            <w:vAlign w:val="center"/>
          </w:tcPr>
          <w:p w:rsidR="001765DB" w:rsidRPr="003838B7" w:rsidRDefault="001765DB" w:rsidP="001765DB">
            <w:pPr>
              <w:jc w:val="center"/>
              <w:rPr>
                <w:sz w:val="20"/>
              </w:rPr>
            </w:pPr>
            <w:r w:rsidRPr="003838B7">
              <w:rPr>
                <w:sz w:val="20"/>
              </w:rPr>
              <w:t>Hours per response</w:t>
            </w:r>
          </w:p>
        </w:tc>
        <w:tc>
          <w:tcPr>
            <w:tcW w:w="960" w:type="dxa"/>
            <w:shd w:val="clear" w:color="auto" w:fill="auto"/>
            <w:vAlign w:val="center"/>
          </w:tcPr>
          <w:p w:rsidR="001765DB" w:rsidRPr="003838B7" w:rsidRDefault="001765DB" w:rsidP="001765DB">
            <w:pPr>
              <w:jc w:val="center"/>
              <w:rPr>
                <w:sz w:val="20"/>
              </w:rPr>
            </w:pPr>
            <w:r w:rsidRPr="003838B7">
              <w:rPr>
                <w:sz w:val="20"/>
              </w:rPr>
              <w:t>Total burden hours</w:t>
            </w:r>
          </w:p>
        </w:tc>
      </w:tr>
      <w:tr w:rsidR="001765DB" w:rsidRPr="0022758F" w:rsidTr="001765DB">
        <w:trPr>
          <w:trHeight w:val="405"/>
        </w:trPr>
        <w:tc>
          <w:tcPr>
            <w:tcW w:w="3755" w:type="dxa"/>
            <w:shd w:val="clear" w:color="auto" w:fill="auto"/>
          </w:tcPr>
          <w:p w:rsidR="001765DB" w:rsidRPr="003838B7" w:rsidRDefault="001765DB" w:rsidP="001765DB">
            <w:pPr>
              <w:rPr>
                <w:sz w:val="20"/>
              </w:rPr>
            </w:pPr>
            <w:r>
              <w:rPr>
                <w:sz w:val="20"/>
              </w:rPr>
              <w:t xml:space="preserve">Eligibility and </w:t>
            </w:r>
            <w:r w:rsidRPr="003838B7">
              <w:rPr>
                <w:sz w:val="20"/>
              </w:rPr>
              <w:t>Registration Form</w:t>
            </w:r>
          </w:p>
        </w:tc>
        <w:tc>
          <w:tcPr>
            <w:tcW w:w="1761" w:type="dxa"/>
            <w:shd w:val="clear" w:color="auto" w:fill="auto"/>
            <w:noWrap/>
            <w:vAlign w:val="bottom"/>
          </w:tcPr>
          <w:p w:rsidR="001765DB" w:rsidRPr="003838B7" w:rsidRDefault="001765DB" w:rsidP="001F799E">
            <w:pPr>
              <w:contextualSpacing/>
              <w:jc w:val="right"/>
              <w:rPr>
                <w:sz w:val="20"/>
              </w:rPr>
            </w:pPr>
            <w:r>
              <w:rPr>
                <w:sz w:val="20"/>
              </w:rPr>
              <w:t>100</w:t>
            </w:r>
          </w:p>
        </w:tc>
        <w:tc>
          <w:tcPr>
            <w:tcW w:w="1273" w:type="dxa"/>
            <w:shd w:val="clear" w:color="auto" w:fill="auto"/>
            <w:vAlign w:val="bottom"/>
          </w:tcPr>
          <w:p w:rsidR="001765DB" w:rsidRPr="003838B7" w:rsidRDefault="001765DB" w:rsidP="001F799E">
            <w:pPr>
              <w:contextualSpacing/>
              <w:jc w:val="right"/>
              <w:rPr>
                <w:sz w:val="20"/>
              </w:rPr>
            </w:pPr>
            <w:r w:rsidRPr="003838B7">
              <w:rPr>
                <w:sz w:val="20"/>
              </w:rPr>
              <w:t>1</w:t>
            </w:r>
          </w:p>
        </w:tc>
        <w:tc>
          <w:tcPr>
            <w:tcW w:w="1125" w:type="dxa"/>
            <w:shd w:val="clear" w:color="auto" w:fill="auto"/>
            <w:vAlign w:val="bottom"/>
          </w:tcPr>
          <w:p w:rsidR="001765DB" w:rsidRPr="003838B7" w:rsidRDefault="001765DB" w:rsidP="001F799E">
            <w:pPr>
              <w:contextualSpacing/>
              <w:jc w:val="right"/>
              <w:rPr>
                <w:sz w:val="20"/>
              </w:rPr>
            </w:pPr>
            <w:r w:rsidRPr="003838B7">
              <w:rPr>
                <w:sz w:val="20"/>
              </w:rPr>
              <w:t>5/60</w:t>
            </w:r>
          </w:p>
        </w:tc>
        <w:tc>
          <w:tcPr>
            <w:tcW w:w="960" w:type="dxa"/>
            <w:shd w:val="clear" w:color="auto" w:fill="auto"/>
            <w:vAlign w:val="bottom"/>
          </w:tcPr>
          <w:p w:rsidR="001765DB" w:rsidRPr="003838B7" w:rsidRDefault="001765DB" w:rsidP="001F799E">
            <w:pPr>
              <w:contextualSpacing/>
              <w:jc w:val="right"/>
              <w:rPr>
                <w:sz w:val="20"/>
              </w:rPr>
            </w:pPr>
            <w:r>
              <w:rPr>
                <w:sz w:val="20"/>
              </w:rPr>
              <w:t>8</w:t>
            </w:r>
          </w:p>
        </w:tc>
      </w:tr>
      <w:tr w:rsidR="001765DB" w:rsidRPr="0022758F" w:rsidTr="001765DB">
        <w:trPr>
          <w:trHeight w:val="377"/>
        </w:trPr>
        <w:tc>
          <w:tcPr>
            <w:tcW w:w="3755" w:type="dxa"/>
            <w:shd w:val="clear" w:color="auto" w:fill="auto"/>
          </w:tcPr>
          <w:p w:rsidR="001765DB" w:rsidRPr="003838B7" w:rsidRDefault="001765DB" w:rsidP="001765DB">
            <w:pPr>
              <w:rPr>
                <w:sz w:val="20"/>
              </w:rPr>
            </w:pPr>
            <w:r w:rsidRPr="003838B7">
              <w:rPr>
                <w:sz w:val="20"/>
              </w:rPr>
              <w:t>Data Use Agreement</w:t>
            </w:r>
          </w:p>
        </w:tc>
        <w:tc>
          <w:tcPr>
            <w:tcW w:w="1761" w:type="dxa"/>
            <w:shd w:val="clear" w:color="auto" w:fill="auto"/>
            <w:noWrap/>
            <w:vAlign w:val="bottom"/>
          </w:tcPr>
          <w:p w:rsidR="001765DB" w:rsidRPr="003838B7" w:rsidRDefault="001765DB" w:rsidP="001F799E">
            <w:pPr>
              <w:contextualSpacing/>
              <w:jc w:val="right"/>
              <w:rPr>
                <w:sz w:val="20"/>
              </w:rPr>
            </w:pPr>
            <w:r>
              <w:rPr>
                <w:sz w:val="20"/>
              </w:rPr>
              <w:t>100</w:t>
            </w:r>
          </w:p>
        </w:tc>
        <w:tc>
          <w:tcPr>
            <w:tcW w:w="1273" w:type="dxa"/>
            <w:shd w:val="clear" w:color="auto" w:fill="auto"/>
            <w:vAlign w:val="bottom"/>
          </w:tcPr>
          <w:p w:rsidR="001765DB" w:rsidRPr="003838B7" w:rsidRDefault="001765DB" w:rsidP="001F799E">
            <w:pPr>
              <w:contextualSpacing/>
              <w:jc w:val="right"/>
              <w:rPr>
                <w:sz w:val="20"/>
              </w:rPr>
            </w:pPr>
            <w:r>
              <w:rPr>
                <w:sz w:val="20"/>
              </w:rPr>
              <w:t>1</w:t>
            </w:r>
          </w:p>
        </w:tc>
        <w:tc>
          <w:tcPr>
            <w:tcW w:w="1125" w:type="dxa"/>
            <w:shd w:val="clear" w:color="auto" w:fill="auto"/>
            <w:vAlign w:val="bottom"/>
          </w:tcPr>
          <w:p w:rsidR="001765DB" w:rsidRPr="003838B7" w:rsidRDefault="001765DB" w:rsidP="001F799E">
            <w:pPr>
              <w:contextualSpacing/>
              <w:jc w:val="right"/>
              <w:rPr>
                <w:sz w:val="20"/>
              </w:rPr>
            </w:pPr>
            <w:r>
              <w:rPr>
                <w:sz w:val="20"/>
              </w:rPr>
              <w:t>3</w:t>
            </w:r>
            <w:r w:rsidRPr="003838B7">
              <w:rPr>
                <w:sz w:val="20"/>
              </w:rPr>
              <w:t>/60</w:t>
            </w:r>
          </w:p>
        </w:tc>
        <w:tc>
          <w:tcPr>
            <w:tcW w:w="960" w:type="dxa"/>
            <w:shd w:val="clear" w:color="auto" w:fill="auto"/>
            <w:vAlign w:val="bottom"/>
          </w:tcPr>
          <w:p w:rsidR="001765DB" w:rsidRPr="003838B7" w:rsidRDefault="001765DB" w:rsidP="001F799E">
            <w:pPr>
              <w:contextualSpacing/>
              <w:jc w:val="right"/>
              <w:rPr>
                <w:sz w:val="20"/>
              </w:rPr>
            </w:pPr>
            <w:r>
              <w:rPr>
                <w:sz w:val="20"/>
              </w:rPr>
              <w:t>5</w:t>
            </w:r>
          </w:p>
        </w:tc>
      </w:tr>
      <w:tr w:rsidR="001765DB" w:rsidRPr="0022758F" w:rsidTr="001765DB">
        <w:trPr>
          <w:trHeight w:val="270"/>
        </w:trPr>
        <w:tc>
          <w:tcPr>
            <w:tcW w:w="3755" w:type="dxa"/>
            <w:shd w:val="clear" w:color="auto" w:fill="auto"/>
          </w:tcPr>
          <w:p w:rsidR="001765DB" w:rsidRPr="003838B7" w:rsidRDefault="005845CB" w:rsidP="001765DB">
            <w:pPr>
              <w:rPr>
                <w:sz w:val="20"/>
              </w:rPr>
            </w:pPr>
            <w:r>
              <w:rPr>
                <w:sz w:val="20"/>
              </w:rPr>
              <w:t xml:space="preserve">ASC </w:t>
            </w:r>
            <w:r w:rsidR="001765DB">
              <w:rPr>
                <w:sz w:val="20"/>
              </w:rPr>
              <w:t>Site Information Form</w:t>
            </w:r>
          </w:p>
        </w:tc>
        <w:tc>
          <w:tcPr>
            <w:tcW w:w="1761" w:type="dxa"/>
            <w:shd w:val="clear" w:color="auto" w:fill="auto"/>
            <w:noWrap/>
            <w:vAlign w:val="bottom"/>
          </w:tcPr>
          <w:p w:rsidR="001765DB" w:rsidRPr="003838B7" w:rsidRDefault="001765DB" w:rsidP="001F799E">
            <w:pPr>
              <w:contextualSpacing/>
              <w:jc w:val="right"/>
              <w:rPr>
                <w:sz w:val="20"/>
              </w:rPr>
            </w:pPr>
            <w:r>
              <w:rPr>
                <w:sz w:val="20"/>
              </w:rPr>
              <w:t>100</w:t>
            </w:r>
          </w:p>
        </w:tc>
        <w:tc>
          <w:tcPr>
            <w:tcW w:w="1273" w:type="dxa"/>
            <w:shd w:val="clear" w:color="auto" w:fill="auto"/>
            <w:noWrap/>
            <w:vAlign w:val="bottom"/>
          </w:tcPr>
          <w:p w:rsidR="001765DB" w:rsidRPr="003838B7" w:rsidRDefault="005845CB" w:rsidP="001F799E">
            <w:pPr>
              <w:contextualSpacing/>
              <w:jc w:val="right"/>
              <w:rPr>
                <w:sz w:val="20"/>
              </w:rPr>
            </w:pPr>
            <w:r>
              <w:rPr>
                <w:sz w:val="20"/>
              </w:rPr>
              <w:t>1</w:t>
            </w:r>
          </w:p>
        </w:tc>
        <w:tc>
          <w:tcPr>
            <w:tcW w:w="1125" w:type="dxa"/>
            <w:shd w:val="clear" w:color="auto" w:fill="auto"/>
            <w:vAlign w:val="bottom"/>
          </w:tcPr>
          <w:p w:rsidR="001765DB" w:rsidRPr="003838B7" w:rsidRDefault="001765DB" w:rsidP="001F799E">
            <w:pPr>
              <w:contextualSpacing/>
              <w:jc w:val="right"/>
              <w:rPr>
                <w:sz w:val="20"/>
              </w:rPr>
            </w:pPr>
            <w:r>
              <w:rPr>
                <w:sz w:val="20"/>
              </w:rPr>
              <w:t>5</w:t>
            </w:r>
            <w:r w:rsidRPr="003838B7">
              <w:rPr>
                <w:sz w:val="20"/>
              </w:rPr>
              <w:t>/60</w:t>
            </w:r>
          </w:p>
        </w:tc>
        <w:tc>
          <w:tcPr>
            <w:tcW w:w="960" w:type="dxa"/>
            <w:shd w:val="clear" w:color="auto" w:fill="auto"/>
            <w:noWrap/>
            <w:vAlign w:val="bottom"/>
          </w:tcPr>
          <w:p w:rsidR="001765DB" w:rsidRPr="003838B7" w:rsidRDefault="005C464A" w:rsidP="001F799E">
            <w:pPr>
              <w:contextualSpacing/>
              <w:jc w:val="right"/>
              <w:rPr>
                <w:sz w:val="20"/>
              </w:rPr>
            </w:pPr>
            <w:r>
              <w:rPr>
                <w:sz w:val="20"/>
              </w:rPr>
              <w:t>8</w:t>
            </w:r>
          </w:p>
        </w:tc>
      </w:tr>
      <w:tr w:rsidR="001765DB" w:rsidRPr="0022758F" w:rsidTr="001765DB">
        <w:trPr>
          <w:trHeight w:val="270"/>
        </w:trPr>
        <w:tc>
          <w:tcPr>
            <w:tcW w:w="3755" w:type="dxa"/>
            <w:shd w:val="clear" w:color="auto" w:fill="auto"/>
          </w:tcPr>
          <w:p w:rsidR="001765DB" w:rsidRPr="003838B7" w:rsidRDefault="001765DB" w:rsidP="001765DB">
            <w:pPr>
              <w:rPr>
                <w:sz w:val="20"/>
              </w:rPr>
            </w:pPr>
            <w:r w:rsidRPr="003838B7">
              <w:rPr>
                <w:sz w:val="20"/>
              </w:rPr>
              <w:t>Data Files Submission</w:t>
            </w:r>
          </w:p>
        </w:tc>
        <w:tc>
          <w:tcPr>
            <w:tcW w:w="1761" w:type="dxa"/>
            <w:shd w:val="clear" w:color="auto" w:fill="auto"/>
            <w:noWrap/>
            <w:vAlign w:val="bottom"/>
          </w:tcPr>
          <w:p w:rsidR="001765DB" w:rsidRPr="003838B7" w:rsidRDefault="001765DB" w:rsidP="001F799E">
            <w:pPr>
              <w:contextualSpacing/>
              <w:jc w:val="right"/>
              <w:rPr>
                <w:sz w:val="20"/>
              </w:rPr>
            </w:pPr>
            <w:r>
              <w:rPr>
                <w:sz w:val="20"/>
              </w:rPr>
              <w:t>100</w:t>
            </w:r>
          </w:p>
        </w:tc>
        <w:tc>
          <w:tcPr>
            <w:tcW w:w="1273" w:type="dxa"/>
            <w:shd w:val="clear" w:color="auto" w:fill="auto"/>
            <w:noWrap/>
            <w:vAlign w:val="bottom"/>
          </w:tcPr>
          <w:p w:rsidR="001765DB" w:rsidRPr="003838B7" w:rsidRDefault="001765DB" w:rsidP="001F799E">
            <w:pPr>
              <w:contextualSpacing/>
              <w:jc w:val="right"/>
              <w:rPr>
                <w:sz w:val="20"/>
              </w:rPr>
            </w:pPr>
            <w:r w:rsidRPr="003838B7">
              <w:rPr>
                <w:sz w:val="20"/>
              </w:rPr>
              <w:t>1</w:t>
            </w:r>
          </w:p>
        </w:tc>
        <w:tc>
          <w:tcPr>
            <w:tcW w:w="1125" w:type="dxa"/>
            <w:shd w:val="clear" w:color="auto" w:fill="auto"/>
            <w:vAlign w:val="bottom"/>
          </w:tcPr>
          <w:p w:rsidR="001765DB" w:rsidRPr="003838B7" w:rsidRDefault="001765DB" w:rsidP="001F799E">
            <w:pPr>
              <w:contextualSpacing/>
              <w:jc w:val="right"/>
              <w:rPr>
                <w:sz w:val="20"/>
              </w:rPr>
            </w:pPr>
            <w:r w:rsidRPr="003838B7">
              <w:rPr>
                <w:sz w:val="20"/>
              </w:rPr>
              <w:t>1</w:t>
            </w:r>
          </w:p>
        </w:tc>
        <w:tc>
          <w:tcPr>
            <w:tcW w:w="960" w:type="dxa"/>
            <w:shd w:val="clear" w:color="auto" w:fill="auto"/>
            <w:noWrap/>
            <w:vAlign w:val="bottom"/>
          </w:tcPr>
          <w:p w:rsidR="001765DB" w:rsidRPr="003838B7" w:rsidRDefault="001765DB" w:rsidP="001F799E">
            <w:pPr>
              <w:contextualSpacing/>
              <w:jc w:val="right"/>
              <w:rPr>
                <w:sz w:val="20"/>
              </w:rPr>
            </w:pPr>
            <w:r>
              <w:rPr>
                <w:sz w:val="20"/>
              </w:rPr>
              <w:t>100</w:t>
            </w:r>
          </w:p>
        </w:tc>
      </w:tr>
      <w:tr w:rsidR="001765DB" w:rsidRPr="0022758F" w:rsidTr="001765DB">
        <w:trPr>
          <w:trHeight w:val="270"/>
        </w:trPr>
        <w:tc>
          <w:tcPr>
            <w:tcW w:w="3755" w:type="dxa"/>
            <w:shd w:val="clear" w:color="auto" w:fill="auto"/>
          </w:tcPr>
          <w:p w:rsidR="001765DB" w:rsidRPr="003838B7" w:rsidRDefault="001765DB" w:rsidP="001765DB">
            <w:pPr>
              <w:rPr>
                <w:sz w:val="20"/>
              </w:rPr>
            </w:pPr>
            <w:r w:rsidRPr="003838B7">
              <w:rPr>
                <w:sz w:val="20"/>
              </w:rPr>
              <w:t>Total</w:t>
            </w:r>
          </w:p>
        </w:tc>
        <w:tc>
          <w:tcPr>
            <w:tcW w:w="1761" w:type="dxa"/>
            <w:shd w:val="clear" w:color="auto" w:fill="auto"/>
            <w:noWrap/>
            <w:vAlign w:val="bottom"/>
          </w:tcPr>
          <w:p w:rsidR="001765DB" w:rsidRPr="003838B7" w:rsidRDefault="00372C84" w:rsidP="001F799E">
            <w:pPr>
              <w:contextualSpacing/>
              <w:jc w:val="right"/>
              <w:rPr>
                <w:sz w:val="20"/>
              </w:rPr>
            </w:pPr>
            <w:r>
              <w:rPr>
                <w:sz w:val="20"/>
              </w:rPr>
              <w:t>NA</w:t>
            </w:r>
          </w:p>
        </w:tc>
        <w:tc>
          <w:tcPr>
            <w:tcW w:w="1273" w:type="dxa"/>
            <w:shd w:val="clear" w:color="auto" w:fill="auto"/>
            <w:noWrap/>
            <w:vAlign w:val="bottom"/>
          </w:tcPr>
          <w:p w:rsidR="001765DB" w:rsidRPr="003838B7" w:rsidRDefault="001765DB" w:rsidP="001F799E">
            <w:pPr>
              <w:contextualSpacing/>
              <w:jc w:val="right"/>
              <w:rPr>
                <w:sz w:val="20"/>
              </w:rPr>
            </w:pPr>
            <w:r w:rsidRPr="003838B7">
              <w:rPr>
                <w:sz w:val="20"/>
              </w:rPr>
              <w:t>NA</w:t>
            </w:r>
          </w:p>
        </w:tc>
        <w:tc>
          <w:tcPr>
            <w:tcW w:w="1125" w:type="dxa"/>
            <w:shd w:val="clear" w:color="auto" w:fill="auto"/>
            <w:vAlign w:val="bottom"/>
          </w:tcPr>
          <w:p w:rsidR="001765DB" w:rsidRPr="003838B7" w:rsidRDefault="001765DB" w:rsidP="001F799E">
            <w:pPr>
              <w:contextualSpacing/>
              <w:jc w:val="right"/>
              <w:rPr>
                <w:sz w:val="20"/>
              </w:rPr>
            </w:pPr>
            <w:r w:rsidRPr="003838B7">
              <w:rPr>
                <w:sz w:val="20"/>
              </w:rPr>
              <w:t>NA</w:t>
            </w:r>
          </w:p>
        </w:tc>
        <w:tc>
          <w:tcPr>
            <w:tcW w:w="960" w:type="dxa"/>
            <w:shd w:val="clear" w:color="auto" w:fill="auto"/>
            <w:noWrap/>
            <w:vAlign w:val="bottom"/>
          </w:tcPr>
          <w:p w:rsidR="001765DB" w:rsidRPr="003838B7" w:rsidRDefault="007721E4" w:rsidP="001F799E">
            <w:pPr>
              <w:contextualSpacing/>
              <w:jc w:val="right"/>
              <w:rPr>
                <w:sz w:val="20"/>
              </w:rPr>
            </w:pPr>
            <w:r>
              <w:rPr>
                <w:sz w:val="20"/>
              </w:rPr>
              <w:t>121</w:t>
            </w:r>
          </w:p>
        </w:tc>
      </w:tr>
    </w:tbl>
    <w:p w:rsidR="001765DB" w:rsidRPr="0022758F" w:rsidRDefault="001765DB" w:rsidP="001765DB">
      <w:pPr>
        <w:rPr>
          <w:highlight w:val="yellow"/>
        </w:rPr>
      </w:pPr>
    </w:p>
    <w:p w:rsidR="001765DB" w:rsidRPr="00BF00C1" w:rsidRDefault="001765DB" w:rsidP="001765DB">
      <w:pPr>
        <w:rPr>
          <w:b/>
        </w:rPr>
      </w:pPr>
      <w:r w:rsidRPr="00BF00C1">
        <w:rPr>
          <w:b/>
        </w:rPr>
        <w:t>Exhibit 2.  Estimated annualized cost burden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90"/>
        <w:gridCol w:w="1800"/>
        <w:gridCol w:w="1270"/>
        <w:gridCol w:w="1047"/>
        <w:gridCol w:w="1129"/>
      </w:tblGrid>
      <w:tr w:rsidR="001765DB" w:rsidRPr="0022758F" w:rsidTr="00476FEC">
        <w:tc>
          <w:tcPr>
            <w:tcW w:w="3690" w:type="dxa"/>
            <w:shd w:val="clear" w:color="auto" w:fill="auto"/>
            <w:tcMar>
              <w:top w:w="0" w:type="dxa"/>
              <w:left w:w="108" w:type="dxa"/>
              <w:bottom w:w="0" w:type="dxa"/>
              <w:right w:w="108" w:type="dxa"/>
            </w:tcMar>
            <w:vAlign w:val="center"/>
          </w:tcPr>
          <w:p w:rsidR="001765DB" w:rsidRPr="009369EC" w:rsidRDefault="001765DB" w:rsidP="001765DB">
            <w:pPr>
              <w:jc w:val="center"/>
              <w:rPr>
                <w:sz w:val="20"/>
              </w:rPr>
            </w:pPr>
            <w:r w:rsidRPr="009369EC">
              <w:rPr>
                <w:sz w:val="20"/>
              </w:rPr>
              <w:t>Form Name</w:t>
            </w:r>
          </w:p>
        </w:tc>
        <w:tc>
          <w:tcPr>
            <w:tcW w:w="1800" w:type="dxa"/>
            <w:shd w:val="clear" w:color="auto" w:fill="auto"/>
            <w:tcMar>
              <w:top w:w="0" w:type="dxa"/>
              <w:left w:w="108" w:type="dxa"/>
              <w:bottom w:w="0" w:type="dxa"/>
              <w:right w:w="108" w:type="dxa"/>
            </w:tcMar>
            <w:vAlign w:val="center"/>
          </w:tcPr>
          <w:p w:rsidR="001765DB" w:rsidRPr="009369EC" w:rsidRDefault="001765DB" w:rsidP="001765DB">
            <w:pPr>
              <w:jc w:val="center"/>
              <w:rPr>
                <w:sz w:val="20"/>
              </w:rPr>
            </w:pPr>
            <w:r w:rsidRPr="009369EC">
              <w:rPr>
                <w:sz w:val="20"/>
              </w:rPr>
              <w:t>Number of Respondents/POCs</w:t>
            </w:r>
          </w:p>
        </w:tc>
        <w:tc>
          <w:tcPr>
            <w:tcW w:w="1270" w:type="dxa"/>
            <w:shd w:val="clear" w:color="auto" w:fill="auto"/>
            <w:tcMar>
              <w:top w:w="0" w:type="dxa"/>
              <w:left w:w="108" w:type="dxa"/>
              <w:bottom w:w="0" w:type="dxa"/>
              <w:right w:w="108" w:type="dxa"/>
            </w:tcMar>
            <w:vAlign w:val="center"/>
          </w:tcPr>
          <w:p w:rsidR="001765DB" w:rsidRPr="009369EC" w:rsidRDefault="001765DB" w:rsidP="001765DB">
            <w:pPr>
              <w:jc w:val="center"/>
              <w:rPr>
                <w:sz w:val="20"/>
              </w:rPr>
            </w:pPr>
            <w:r w:rsidRPr="009369EC">
              <w:rPr>
                <w:sz w:val="20"/>
              </w:rPr>
              <w:t>Total burden hours</w:t>
            </w:r>
          </w:p>
        </w:tc>
        <w:tc>
          <w:tcPr>
            <w:tcW w:w="1047" w:type="dxa"/>
            <w:shd w:val="clear" w:color="auto" w:fill="auto"/>
            <w:tcMar>
              <w:top w:w="0" w:type="dxa"/>
              <w:left w:w="108" w:type="dxa"/>
              <w:bottom w:w="0" w:type="dxa"/>
              <w:right w:w="108" w:type="dxa"/>
            </w:tcMar>
            <w:vAlign w:val="center"/>
          </w:tcPr>
          <w:p w:rsidR="001765DB" w:rsidRPr="009369EC" w:rsidRDefault="001765DB" w:rsidP="001765DB">
            <w:pPr>
              <w:jc w:val="center"/>
              <w:rPr>
                <w:sz w:val="20"/>
              </w:rPr>
            </w:pPr>
            <w:r w:rsidRPr="009369EC">
              <w:rPr>
                <w:sz w:val="20"/>
              </w:rPr>
              <w:t>Average hourly wa</w:t>
            </w:r>
            <w:r>
              <w:rPr>
                <w:sz w:val="20"/>
              </w:rPr>
              <w:t>g</w:t>
            </w:r>
            <w:r w:rsidRPr="009369EC">
              <w:rPr>
                <w:sz w:val="20"/>
              </w:rPr>
              <w:t>e rate*</w:t>
            </w:r>
          </w:p>
        </w:tc>
        <w:tc>
          <w:tcPr>
            <w:tcW w:w="1129" w:type="dxa"/>
            <w:shd w:val="clear" w:color="auto" w:fill="auto"/>
            <w:tcMar>
              <w:top w:w="0" w:type="dxa"/>
              <w:left w:w="108" w:type="dxa"/>
              <w:bottom w:w="0" w:type="dxa"/>
              <w:right w:w="108" w:type="dxa"/>
            </w:tcMar>
            <w:vAlign w:val="center"/>
          </w:tcPr>
          <w:p w:rsidR="001765DB" w:rsidRPr="009369EC" w:rsidRDefault="001765DB" w:rsidP="001765DB">
            <w:pPr>
              <w:jc w:val="center"/>
              <w:rPr>
                <w:sz w:val="20"/>
              </w:rPr>
            </w:pPr>
            <w:r w:rsidRPr="009369EC">
              <w:rPr>
                <w:sz w:val="20"/>
              </w:rPr>
              <w:t>Total cost burden</w:t>
            </w:r>
          </w:p>
        </w:tc>
      </w:tr>
      <w:tr w:rsidR="001765DB" w:rsidRPr="0022758F" w:rsidTr="00476FEC">
        <w:trPr>
          <w:trHeight w:val="412"/>
        </w:trPr>
        <w:tc>
          <w:tcPr>
            <w:tcW w:w="3690" w:type="dxa"/>
            <w:shd w:val="clear" w:color="auto" w:fill="auto"/>
            <w:tcMar>
              <w:top w:w="0" w:type="dxa"/>
              <w:left w:w="108" w:type="dxa"/>
              <w:bottom w:w="0" w:type="dxa"/>
              <w:right w:w="108" w:type="dxa"/>
            </w:tcMar>
          </w:tcPr>
          <w:p w:rsidR="001765DB" w:rsidRPr="009369EC" w:rsidRDefault="001765DB" w:rsidP="001765DB">
            <w:pPr>
              <w:rPr>
                <w:sz w:val="20"/>
              </w:rPr>
            </w:pPr>
            <w:r>
              <w:rPr>
                <w:sz w:val="20"/>
              </w:rPr>
              <w:t xml:space="preserve">Eligibility and </w:t>
            </w:r>
            <w:r w:rsidRPr="009369EC">
              <w:rPr>
                <w:sz w:val="20"/>
              </w:rPr>
              <w:t>Registration Form</w:t>
            </w:r>
          </w:p>
        </w:tc>
        <w:tc>
          <w:tcPr>
            <w:tcW w:w="1800" w:type="dxa"/>
            <w:shd w:val="clear" w:color="auto" w:fill="auto"/>
            <w:tcMar>
              <w:top w:w="0" w:type="dxa"/>
              <w:left w:w="108" w:type="dxa"/>
              <w:bottom w:w="0" w:type="dxa"/>
              <w:right w:w="108" w:type="dxa"/>
            </w:tcMar>
            <w:vAlign w:val="bottom"/>
          </w:tcPr>
          <w:p w:rsidR="001765DB" w:rsidRPr="009369EC" w:rsidRDefault="001765DB" w:rsidP="001765DB">
            <w:pPr>
              <w:jc w:val="right"/>
              <w:rPr>
                <w:sz w:val="20"/>
              </w:rPr>
            </w:pPr>
            <w:r>
              <w:rPr>
                <w:sz w:val="20"/>
              </w:rPr>
              <w:t>100</w:t>
            </w:r>
          </w:p>
        </w:tc>
        <w:tc>
          <w:tcPr>
            <w:tcW w:w="1270" w:type="dxa"/>
            <w:shd w:val="clear" w:color="auto" w:fill="auto"/>
            <w:tcMar>
              <w:top w:w="0" w:type="dxa"/>
              <w:left w:w="108" w:type="dxa"/>
              <w:bottom w:w="0" w:type="dxa"/>
              <w:right w:w="108" w:type="dxa"/>
            </w:tcMar>
            <w:vAlign w:val="bottom"/>
          </w:tcPr>
          <w:p w:rsidR="001765DB" w:rsidRPr="009369EC" w:rsidRDefault="001765DB" w:rsidP="001765DB">
            <w:pPr>
              <w:jc w:val="right"/>
              <w:rPr>
                <w:sz w:val="20"/>
              </w:rPr>
            </w:pPr>
            <w:r>
              <w:rPr>
                <w:sz w:val="20"/>
              </w:rPr>
              <w:t>8</w:t>
            </w:r>
          </w:p>
        </w:tc>
        <w:tc>
          <w:tcPr>
            <w:tcW w:w="1047" w:type="dxa"/>
            <w:shd w:val="clear" w:color="auto" w:fill="auto"/>
            <w:tcMar>
              <w:top w:w="0" w:type="dxa"/>
              <w:left w:w="108" w:type="dxa"/>
              <w:bottom w:w="0" w:type="dxa"/>
              <w:right w:w="108" w:type="dxa"/>
            </w:tcMar>
            <w:vAlign w:val="bottom"/>
          </w:tcPr>
          <w:p w:rsidR="001765DB" w:rsidRPr="009369EC" w:rsidRDefault="001765DB" w:rsidP="001765DB">
            <w:pPr>
              <w:jc w:val="right"/>
              <w:rPr>
                <w:sz w:val="20"/>
              </w:rPr>
            </w:pPr>
            <w:r w:rsidRPr="009369EC">
              <w:rPr>
                <w:sz w:val="20"/>
              </w:rPr>
              <w:t>$</w:t>
            </w:r>
            <w:r w:rsidR="00FD13EE">
              <w:rPr>
                <w:sz w:val="20"/>
              </w:rPr>
              <w:t>45.23</w:t>
            </w:r>
            <w:r w:rsidRPr="009369EC">
              <w:rPr>
                <w:sz w:val="20"/>
              </w:rPr>
              <w:t xml:space="preserve"> </w:t>
            </w:r>
          </w:p>
        </w:tc>
        <w:tc>
          <w:tcPr>
            <w:tcW w:w="1129" w:type="dxa"/>
            <w:shd w:val="clear" w:color="auto" w:fill="auto"/>
            <w:tcMar>
              <w:top w:w="0" w:type="dxa"/>
              <w:left w:w="108" w:type="dxa"/>
              <w:bottom w:w="0" w:type="dxa"/>
              <w:right w:w="108" w:type="dxa"/>
            </w:tcMar>
            <w:vAlign w:val="bottom"/>
          </w:tcPr>
          <w:p w:rsidR="001765DB" w:rsidRPr="00CE20E1" w:rsidRDefault="001765DB" w:rsidP="001765DB">
            <w:pPr>
              <w:jc w:val="right"/>
              <w:rPr>
                <w:sz w:val="20"/>
              </w:rPr>
            </w:pPr>
            <w:r w:rsidRPr="00CE20E1">
              <w:rPr>
                <w:sz w:val="20"/>
              </w:rPr>
              <w:t xml:space="preserve"> $</w:t>
            </w:r>
            <w:r w:rsidR="00FD13EE">
              <w:rPr>
                <w:sz w:val="20"/>
              </w:rPr>
              <w:t>361.84</w:t>
            </w:r>
            <w:r w:rsidRPr="00CE20E1">
              <w:rPr>
                <w:sz w:val="20"/>
              </w:rPr>
              <w:t xml:space="preserve"> </w:t>
            </w:r>
          </w:p>
        </w:tc>
      </w:tr>
      <w:tr w:rsidR="00FD13EE" w:rsidRPr="0022758F" w:rsidTr="00476FEC">
        <w:trPr>
          <w:trHeight w:val="322"/>
        </w:trPr>
        <w:tc>
          <w:tcPr>
            <w:tcW w:w="3690" w:type="dxa"/>
            <w:shd w:val="clear" w:color="auto" w:fill="auto"/>
            <w:tcMar>
              <w:top w:w="0" w:type="dxa"/>
              <w:left w:w="108" w:type="dxa"/>
              <w:bottom w:w="0" w:type="dxa"/>
              <w:right w:w="108" w:type="dxa"/>
            </w:tcMar>
          </w:tcPr>
          <w:p w:rsidR="00FD13EE" w:rsidRPr="009369EC" w:rsidRDefault="00FD13EE" w:rsidP="00FD13EE">
            <w:pPr>
              <w:rPr>
                <w:sz w:val="20"/>
              </w:rPr>
            </w:pPr>
            <w:r>
              <w:rPr>
                <w:sz w:val="20"/>
              </w:rPr>
              <w:t>Data Use Agreement</w:t>
            </w:r>
          </w:p>
        </w:tc>
        <w:tc>
          <w:tcPr>
            <w:tcW w:w="1800" w:type="dxa"/>
            <w:shd w:val="clear" w:color="auto" w:fill="auto"/>
            <w:tcMar>
              <w:top w:w="0" w:type="dxa"/>
              <w:left w:w="108" w:type="dxa"/>
              <w:bottom w:w="0" w:type="dxa"/>
              <w:right w:w="108" w:type="dxa"/>
            </w:tcMar>
            <w:vAlign w:val="bottom"/>
          </w:tcPr>
          <w:p w:rsidR="00FD13EE" w:rsidRPr="009369EC" w:rsidRDefault="00FD13EE" w:rsidP="00FD13EE">
            <w:pPr>
              <w:jc w:val="right"/>
              <w:rPr>
                <w:sz w:val="20"/>
              </w:rPr>
            </w:pPr>
            <w:r>
              <w:rPr>
                <w:sz w:val="20"/>
              </w:rPr>
              <w:t>100</w:t>
            </w:r>
          </w:p>
        </w:tc>
        <w:tc>
          <w:tcPr>
            <w:tcW w:w="1270" w:type="dxa"/>
            <w:shd w:val="clear" w:color="auto" w:fill="auto"/>
            <w:tcMar>
              <w:top w:w="0" w:type="dxa"/>
              <w:left w:w="108" w:type="dxa"/>
              <w:bottom w:w="0" w:type="dxa"/>
              <w:right w:w="108" w:type="dxa"/>
            </w:tcMar>
            <w:vAlign w:val="bottom"/>
          </w:tcPr>
          <w:p w:rsidR="00FD13EE" w:rsidRPr="009369EC" w:rsidRDefault="00FD13EE" w:rsidP="00FD13EE">
            <w:pPr>
              <w:jc w:val="right"/>
              <w:rPr>
                <w:sz w:val="20"/>
              </w:rPr>
            </w:pPr>
            <w:r>
              <w:rPr>
                <w:sz w:val="20"/>
              </w:rPr>
              <w:t>5</w:t>
            </w:r>
          </w:p>
        </w:tc>
        <w:tc>
          <w:tcPr>
            <w:tcW w:w="1047" w:type="dxa"/>
            <w:shd w:val="clear" w:color="auto" w:fill="auto"/>
            <w:tcMar>
              <w:top w:w="0" w:type="dxa"/>
              <w:left w:w="108" w:type="dxa"/>
              <w:bottom w:w="0" w:type="dxa"/>
              <w:right w:w="108" w:type="dxa"/>
            </w:tcMar>
            <w:vAlign w:val="bottom"/>
          </w:tcPr>
          <w:p w:rsidR="00FD13EE" w:rsidRPr="009369EC" w:rsidRDefault="00FD13EE" w:rsidP="00FD13EE">
            <w:pPr>
              <w:jc w:val="right"/>
              <w:rPr>
                <w:sz w:val="20"/>
              </w:rPr>
            </w:pPr>
            <w:r w:rsidRPr="009369EC">
              <w:rPr>
                <w:sz w:val="20"/>
              </w:rPr>
              <w:t>$</w:t>
            </w:r>
            <w:r>
              <w:rPr>
                <w:sz w:val="20"/>
              </w:rPr>
              <w:t>45.23</w:t>
            </w:r>
            <w:r w:rsidRPr="009369EC">
              <w:rPr>
                <w:sz w:val="20"/>
              </w:rPr>
              <w:t xml:space="preserve"> </w:t>
            </w:r>
          </w:p>
        </w:tc>
        <w:tc>
          <w:tcPr>
            <w:tcW w:w="1129" w:type="dxa"/>
            <w:shd w:val="clear" w:color="auto" w:fill="auto"/>
            <w:tcMar>
              <w:top w:w="0" w:type="dxa"/>
              <w:left w:w="108" w:type="dxa"/>
              <w:bottom w:w="0" w:type="dxa"/>
              <w:right w:w="108" w:type="dxa"/>
            </w:tcMar>
            <w:vAlign w:val="bottom"/>
          </w:tcPr>
          <w:p w:rsidR="00FD13EE" w:rsidRPr="00CE20E1" w:rsidRDefault="00FD13EE" w:rsidP="00FD13EE">
            <w:pPr>
              <w:jc w:val="right"/>
              <w:rPr>
                <w:sz w:val="20"/>
              </w:rPr>
            </w:pPr>
            <w:r>
              <w:rPr>
                <w:sz w:val="20"/>
              </w:rPr>
              <w:t xml:space="preserve"> $226.15</w:t>
            </w:r>
            <w:r w:rsidRPr="00CE20E1">
              <w:rPr>
                <w:sz w:val="20"/>
              </w:rPr>
              <w:t xml:space="preserve"> </w:t>
            </w:r>
          </w:p>
        </w:tc>
      </w:tr>
      <w:tr w:rsidR="00FD13EE" w:rsidRPr="0022758F" w:rsidTr="001F799E">
        <w:trPr>
          <w:trHeight w:val="332"/>
        </w:trPr>
        <w:tc>
          <w:tcPr>
            <w:tcW w:w="3690" w:type="dxa"/>
            <w:shd w:val="clear" w:color="auto" w:fill="auto"/>
            <w:tcMar>
              <w:top w:w="0" w:type="dxa"/>
              <w:left w:w="108" w:type="dxa"/>
              <w:bottom w:w="0" w:type="dxa"/>
              <w:right w:w="108" w:type="dxa"/>
            </w:tcMar>
          </w:tcPr>
          <w:p w:rsidR="00FD13EE" w:rsidRPr="009369EC" w:rsidRDefault="00FD13EE" w:rsidP="007D0392">
            <w:pPr>
              <w:rPr>
                <w:sz w:val="20"/>
              </w:rPr>
            </w:pPr>
            <w:r>
              <w:rPr>
                <w:sz w:val="20"/>
              </w:rPr>
              <w:t xml:space="preserve">ASC Site Information </w:t>
            </w:r>
          </w:p>
        </w:tc>
        <w:tc>
          <w:tcPr>
            <w:tcW w:w="1800" w:type="dxa"/>
            <w:shd w:val="clear" w:color="auto" w:fill="auto"/>
            <w:tcMar>
              <w:top w:w="0" w:type="dxa"/>
              <w:left w:w="108" w:type="dxa"/>
              <w:bottom w:w="0" w:type="dxa"/>
              <w:right w:w="108" w:type="dxa"/>
            </w:tcMar>
            <w:vAlign w:val="bottom"/>
          </w:tcPr>
          <w:p w:rsidR="00FD13EE" w:rsidRPr="009369EC" w:rsidRDefault="00FD13EE" w:rsidP="00FD13EE">
            <w:pPr>
              <w:jc w:val="right"/>
              <w:rPr>
                <w:sz w:val="20"/>
              </w:rPr>
            </w:pPr>
            <w:r>
              <w:rPr>
                <w:sz w:val="20"/>
              </w:rPr>
              <w:t>100</w:t>
            </w:r>
          </w:p>
        </w:tc>
        <w:tc>
          <w:tcPr>
            <w:tcW w:w="1270" w:type="dxa"/>
            <w:shd w:val="clear" w:color="auto" w:fill="auto"/>
            <w:tcMar>
              <w:top w:w="0" w:type="dxa"/>
              <w:left w:w="108" w:type="dxa"/>
              <w:bottom w:w="0" w:type="dxa"/>
              <w:right w:w="108" w:type="dxa"/>
            </w:tcMar>
            <w:vAlign w:val="bottom"/>
          </w:tcPr>
          <w:p w:rsidR="00FD13EE" w:rsidRPr="009369EC" w:rsidRDefault="00FD13EE" w:rsidP="00FD13EE">
            <w:pPr>
              <w:jc w:val="right"/>
              <w:rPr>
                <w:sz w:val="20"/>
              </w:rPr>
            </w:pPr>
            <w:r>
              <w:rPr>
                <w:sz w:val="20"/>
              </w:rPr>
              <w:t>8</w:t>
            </w:r>
          </w:p>
        </w:tc>
        <w:tc>
          <w:tcPr>
            <w:tcW w:w="1047" w:type="dxa"/>
            <w:shd w:val="clear" w:color="auto" w:fill="auto"/>
            <w:tcMar>
              <w:top w:w="0" w:type="dxa"/>
              <w:left w:w="108" w:type="dxa"/>
              <w:bottom w:w="0" w:type="dxa"/>
              <w:right w:w="108" w:type="dxa"/>
            </w:tcMar>
            <w:vAlign w:val="bottom"/>
          </w:tcPr>
          <w:p w:rsidR="00FD13EE" w:rsidRPr="009369EC" w:rsidRDefault="00FD13EE" w:rsidP="00FD13EE">
            <w:pPr>
              <w:jc w:val="right"/>
              <w:rPr>
                <w:sz w:val="20"/>
              </w:rPr>
            </w:pPr>
            <w:r w:rsidRPr="009369EC">
              <w:rPr>
                <w:sz w:val="20"/>
              </w:rPr>
              <w:t>$</w:t>
            </w:r>
            <w:r>
              <w:rPr>
                <w:sz w:val="20"/>
              </w:rPr>
              <w:t>45.23</w:t>
            </w:r>
          </w:p>
        </w:tc>
        <w:tc>
          <w:tcPr>
            <w:tcW w:w="1129" w:type="dxa"/>
            <w:shd w:val="clear" w:color="auto" w:fill="auto"/>
            <w:tcMar>
              <w:top w:w="0" w:type="dxa"/>
              <w:left w:w="108" w:type="dxa"/>
              <w:bottom w:w="0" w:type="dxa"/>
              <w:right w:w="108" w:type="dxa"/>
            </w:tcMar>
            <w:vAlign w:val="bottom"/>
          </w:tcPr>
          <w:p w:rsidR="00FD13EE" w:rsidRPr="00CE20E1" w:rsidRDefault="00FD13EE" w:rsidP="00FD13EE">
            <w:pPr>
              <w:jc w:val="right"/>
              <w:rPr>
                <w:sz w:val="20"/>
              </w:rPr>
            </w:pPr>
            <w:r w:rsidRPr="00CE20E1">
              <w:rPr>
                <w:sz w:val="20"/>
              </w:rPr>
              <w:t xml:space="preserve"> $</w:t>
            </w:r>
            <w:r>
              <w:rPr>
                <w:sz w:val="20"/>
              </w:rPr>
              <w:t>361.84</w:t>
            </w:r>
          </w:p>
        </w:tc>
      </w:tr>
      <w:tr w:rsidR="00FD13EE" w:rsidRPr="0022758F" w:rsidTr="001F799E">
        <w:trPr>
          <w:trHeight w:val="368"/>
        </w:trPr>
        <w:tc>
          <w:tcPr>
            <w:tcW w:w="3690" w:type="dxa"/>
            <w:shd w:val="clear" w:color="auto" w:fill="auto"/>
            <w:tcMar>
              <w:top w:w="0" w:type="dxa"/>
              <w:left w:w="108" w:type="dxa"/>
              <w:bottom w:w="0" w:type="dxa"/>
              <w:right w:w="108" w:type="dxa"/>
            </w:tcMar>
          </w:tcPr>
          <w:p w:rsidR="00FD13EE" w:rsidRPr="009369EC" w:rsidRDefault="00FD13EE" w:rsidP="00FD13EE">
            <w:pPr>
              <w:rPr>
                <w:sz w:val="20"/>
              </w:rPr>
            </w:pPr>
            <w:r w:rsidRPr="009369EC">
              <w:rPr>
                <w:sz w:val="20"/>
              </w:rPr>
              <w:t>Data Files Submission</w:t>
            </w:r>
          </w:p>
        </w:tc>
        <w:tc>
          <w:tcPr>
            <w:tcW w:w="1800" w:type="dxa"/>
            <w:shd w:val="clear" w:color="auto" w:fill="auto"/>
            <w:tcMar>
              <w:top w:w="0" w:type="dxa"/>
              <w:left w:w="108" w:type="dxa"/>
              <w:bottom w:w="0" w:type="dxa"/>
              <w:right w:w="108" w:type="dxa"/>
            </w:tcMar>
            <w:vAlign w:val="bottom"/>
          </w:tcPr>
          <w:p w:rsidR="00FD13EE" w:rsidRPr="009369EC" w:rsidRDefault="00FD13EE" w:rsidP="00FD13EE">
            <w:pPr>
              <w:jc w:val="right"/>
              <w:rPr>
                <w:sz w:val="20"/>
              </w:rPr>
            </w:pPr>
            <w:r>
              <w:rPr>
                <w:sz w:val="20"/>
              </w:rPr>
              <w:t>100</w:t>
            </w:r>
          </w:p>
        </w:tc>
        <w:tc>
          <w:tcPr>
            <w:tcW w:w="1270" w:type="dxa"/>
            <w:shd w:val="clear" w:color="auto" w:fill="auto"/>
            <w:tcMar>
              <w:top w:w="0" w:type="dxa"/>
              <w:left w:w="108" w:type="dxa"/>
              <w:bottom w:w="0" w:type="dxa"/>
              <w:right w:w="108" w:type="dxa"/>
            </w:tcMar>
            <w:vAlign w:val="bottom"/>
          </w:tcPr>
          <w:p w:rsidR="00FD13EE" w:rsidRPr="009369EC" w:rsidRDefault="00FD13EE" w:rsidP="00FD13EE">
            <w:pPr>
              <w:jc w:val="right"/>
              <w:rPr>
                <w:sz w:val="20"/>
              </w:rPr>
            </w:pPr>
            <w:r>
              <w:rPr>
                <w:sz w:val="20"/>
              </w:rPr>
              <w:t>100</w:t>
            </w:r>
          </w:p>
        </w:tc>
        <w:tc>
          <w:tcPr>
            <w:tcW w:w="1047" w:type="dxa"/>
            <w:shd w:val="clear" w:color="auto" w:fill="auto"/>
            <w:tcMar>
              <w:top w:w="0" w:type="dxa"/>
              <w:left w:w="108" w:type="dxa"/>
              <w:bottom w:w="0" w:type="dxa"/>
              <w:right w:w="108" w:type="dxa"/>
            </w:tcMar>
            <w:vAlign w:val="bottom"/>
          </w:tcPr>
          <w:p w:rsidR="00FD13EE" w:rsidRPr="009369EC" w:rsidRDefault="00FD13EE" w:rsidP="00FD13EE">
            <w:pPr>
              <w:jc w:val="right"/>
              <w:rPr>
                <w:sz w:val="20"/>
              </w:rPr>
            </w:pPr>
            <w:r w:rsidRPr="009369EC">
              <w:rPr>
                <w:sz w:val="20"/>
              </w:rPr>
              <w:t>$</w:t>
            </w:r>
            <w:r>
              <w:rPr>
                <w:sz w:val="20"/>
              </w:rPr>
              <w:t>45.23</w:t>
            </w:r>
          </w:p>
        </w:tc>
        <w:tc>
          <w:tcPr>
            <w:tcW w:w="1129" w:type="dxa"/>
            <w:shd w:val="clear" w:color="auto" w:fill="auto"/>
            <w:tcMar>
              <w:top w:w="0" w:type="dxa"/>
              <w:left w:w="108" w:type="dxa"/>
              <w:bottom w:w="0" w:type="dxa"/>
              <w:right w:w="108" w:type="dxa"/>
            </w:tcMar>
            <w:vAlign w:val="bottom"/>
          </w:tcPr>
          <w:p w:rsidR="00FD13EE" w:rsidRPr="00CE20E1" w:rsidRDefault="00FD13EE" w:rsidP="00FD13EE">
            <w:pPr>
              <w:jc w:val="right"/>
              <w:rPr>
                <w:sz w:val="20"/>
              </w:rPr>
            </w:pPr>
            <w:r w:rsidRPr="00CE20E1">
              <w:rPr>
                <w:sz w:val="20"/>
              </w:rPr>
              <w:t xml:space="preserve"> $</w:t>
            </w:r>
            <w:r>
              <w:rPr>
                <w:sz w:val="20"/>
              </w:rPr>
              <w:t>4,523.00</w:t>
            </w:r>
          </w:p>
        </w:tc>
      </w:tr>
      <w:tr w:rsidR="001F799E" w:rsidRPr="0022758F" w:rsidTr="001F799E">
        <w:trPr>
          <w:trHeight w:val="422"/>
        </w:trPr>
        <w:tc>
          <w:tcPr>
            <w:tcW w:w="3690" w:type="dxa"/>
            <w:shd w:val="clear" w:color="auto" w:fill="auto"/>
            <w:tcMar>
              <w:top w:w="0" w:type="dxa"/>
              <w:left w:w="108" w:type="dxa"/>
              <w:bottom w:w="0" w:type="dxa"/>
              <w:right w:w="108" w:type="dxa"/>
            </w:tcMar>
          </w:tcPr>
          <w:p w:rsidR="001F799E" w:rsidRPr="009369EC" w:rsidRDefault="001F799E" w:rsidP="00FD13EE">
            <w:pPr>
              <w:rPr>
                <w:sz w:val="20"/>
              </w:rPr>
            </w:pPr>
            <w:r>
              <w:rPr>
                <w:sz w:val="20"/>
              </w:rPr>
              <w:t>Total</w:t>
            </w:r>
          </w:p>
        </w:tc>
        <w:tc>
          <w:tcPr>
            <w:tcW w:w="1800" w:type="dxa"/>
            <w:shd w:val="clear" w:color="auto" w:fill="auto"/>
            <w:tcMar>
              <w:top w:w="0" w:type="dxa"/>
              <w:left w:w="108" w:type="dxa"/>
              <w:bottom w:w="0" w:type="dxa"/>
              <w:right w:w="108" w:type="dxa"/>
            </w:tcMar>
            <w:vAlign w:val="bottom"/>
          </w:tcPr>
          <w:p w:rsidR="001F799E" w:rsidRDefault="001F799E" w:rsidP="00FD13EE">
            <w:pPr>
              <w:jc w:val="right"/>
              <w:rPr>
                <w:sz w:val="20"/>
              </w:rPr>
            </w:pPr>
            <w:r>
              <w:rPr>
                <w:sz w:val="20"/>
              </w:rPr>
              <w:t>NA</w:t>
            </w:r>
          </w:p>
        </w:tc>
        <w:tc>
          <w:tcPr>
            <w:tcW w:w="1270" w:type="dxa"/>
            <w:shd w:val="clear" w:color="auto" w:fill="auto"/>
            <w:tcMar>
              <w:top w:w="0" w:type="dxa"/>
              <w:left w:w="108" w:type="dxa"/>
              <w:bottom w:w="0" w:type="dxa"/>
              <w:right w:w="108" w:type="dxa"/>
            </w:tcMar>
            <w:vAlign w:val="bottom"/>
          </w:tcPr>
          <w:p w:rsidR="001F799E" w:rsidRDefault="007721E4" w:rsidP="00FD13EE">
            <w:pPr>
              <w:jc w:val="right"/>
              <w:rPr>
                <w:sz w:val="20"/>
              </w:rPr>
            </w:pPr>
            <w:r>
              <w:rPr>
                <w:sz w:val="20"/>
              </w:rPr>
              <w:t>121</w:t>
            </w:r>
          </w:p>
        </w:tc>
        <w:tc>
          <w:tcPr>
            <w:tcW w:w="1047" w:type="dxa"/>
            <w:shd w:val="clear" w:color="auto" w:fill="auto"/>
            <w:tcMar>
              <w:top w:w="0" w:type="dxa"/>
              <w:left w:w="108" w:type="dxa"/>
              <w:bottom w:w="0" w:type="dxa"/>
              <w:right w:w="108" w:type="dxa"/>
            </w:tcMar>
            <w:vAlign w:val="bottom"/>
          </w:tcPr>
          <w:p w:rsidR="001F799E" w:rsidRPr="009369EC" w:rsidRDefault="001F799E" w:rsidP="00FD13EE">
            <w:pPr>
              <w:jc w:val="right"/>
              <w:rPr>
                <w:sz w:val="20"/>
              </w:rPr>
            </w:pPr>
            <w:r>
              <w:rPr>
                <w:sz w:val="20"/>
              </w:rPr>
              <w:t>$45.23</w:t>
            </w:r>
          </w:p>
        </w:tc>
        <w:tc>
          <w:tcPr>
            <w:tcW w:w="1129" w:type="dxa"/>
            <w:shd w:val="clear" w:color="auto" w:fill="auto"/>
            <w:tcMar>
              <w:top w:w="0" w:type="dxa"/>
              <w:left w:w="108" w:type="dxa"/>
              <w:bottom w:w="0" w:type="dxa"/>
              <w:right w:w="108" w:type="dxa"/>
            </w:tcMar>
            <w:vAlign w:val="bottom"/>
          </w:tcPr>
          <w:p w:rsidR="001F799E" w:rsidRPr="00CE20E1" w:rsidRDefault="001F799E" w:rsidP="007721E4">
            <w:pPr>
              <w:jc w:val="right"/>
              <w:rPr>
                <w:sz w:val="20"/>
              </w:rPr>
            </w:pPr>
            <w:r>
              <w:rPr>
                <w:sz w:val="20"/>
              </w:rPr>
              <w:t>$</w:t>
            </w:r>
            <w:r w:rsidR="007721E4">
              <w:rPr>
                <w:sz w:val="20"/>
              </w:rPr>
              <w:t>5,472.83</w:t>
            </w:r>
          </w:p>
        </w:tc>
      </w:tr>
    </w:tbl>
    <w:p w:rsidR="001765DB" w:rsidRPr="0022758F" w:rsidRDefault="001765DB" w:rsidP="001765DB">
      <w:pPr>
        <w:autoSpaceDE w:val="0"/>
        <w:autoSpaceDN w:val="0"/>
        <w:adjustRightInd w:val="0"/>
        <w:ind w:left="360"/>
        <w:rPr>
          <w:sz w:val="20"/>
          <w:highlight w:val="yellow"/>
        </w:rPr>
      </w:pPr>
      <w:r w:rsidRPr="00E81CB9">
        <w:rPr>
          <w:color w:val="000000"/>
          <w:sz w:val="20"/>
        </w:rPr>
        <w:t xml:space="preserve">*Based on the </w:t>
      </w:r>
      <w:r w:rsidR="00FD13EE">
        <w:rPr>
          <w:color w:val="000000"/>
          <w:sz w:val="20"/>
        </w:rPr>
        <w:t>mean</w:t>
      </w:r>
      <w:r w:rsidRPr="00E81CB9">
        <w:rPr>
          <w:color w:val="000000"/>
          <w:sz w:val="20"/>
        </w:rPr>
        <w:t xml:space="preserve"> hourly wage for 100 </w:t>
      </w:r>
      <w:r w:rsidR="00FD13EE">
        <w:rPr>
          <w:color w:val="000000"/>
          <w:sz w:val="20"/>
        </w:rPr>
        <w:t>ASC Administrative Services</w:t>
      </w:r>
      <w:r w:rsidRPr="00E81CB9">
        <w:rPr>
          <w:color w:val="000000"/>
          <w:sz w:val="20"/>
        </w:rPr>
        <w:t xml:space="preserve"> Managers (11-</w:t>
      </w:r>
      <w:r w:rsidR="00FD13EE">
        <w:rPr>
          <w:color w:val="000000"/>
          <w:sz w:val="20"/>
        </w:rPr>
        <w:t>3011</w:t>
      </w:r>
      <w:r w:rsidRPr="00E81CB9">
        <w:rPr>
          <w:color w:val="000000"/>
          <w:sz w:val="20"/>
        </w:rPr>
        <w:t>; $</w:t>
      </w:r>
      <w:r w:rsidR="00FD13EE">
        <w:rPr>
          <w:color w:val="000000"/>
          <w:sz w:val="20"/>
        </w:rPr>
        <w:t>45.23</w:t>
      </w:r>
      <w:r w:rsidRPr="00E81CB9">
        <w:rPr>
          <w:color w:val="000000"/>
          <w:sz w:val="20"/>
        </w:rPr>
        <w:t xml:space="preserve">) obtained from the May </w:t>
      </w:r>
      <w:r>
        <w:rPr>
          <w:color w:val="000000"/>
          <w:sz w:val="20"/>
        </w:rPr>
        <w:t>2016</w:t>
      </w:r>
      <w:r w:rsidRPr="00E81CB9">
        <w:rPr>
          <w:color w:val="000000"/>
          <w:sz w:val="20"/>
        </w:rPr>
        <w:t xml:space="preserve"> National Industry-Specific Occupational Employment and Wage Estimates: NAICS </w:t>
      </w:r>
      <w:r w:rsidR="00FD13EE">
        <w:rPr>
          <w:color w:val="000000"/>
          <w:sz w:val="20"/>
        </w:rPr>
        <w:t>621400</w:t>
      </w:r>
      <w:r w:rsidRPr="00E81CB9">
        <w:rPr>
          <w:color w:val="000000"/>
          <w:sz w:val="20"/>
        </w:rPr>
        <w:t xml:space="preserve"> </w:t>
      </w:r>
      <w:r w:rsidR="00FD13EE">
        <w:rPr>
          <w:color w:val="000000"/>
          <w:sz w:val="20"/>
        </w:rPr>
        <w:t>–</w:t>
      </w:r>
      <w:r w:rsidRPr="00E81CB9">
        <w:rPr>
          <w:color w:val="000000"/>
          <w:sz w:val="20"/>
        </w:rPr>
        <w:t xml:space="preserve"> </w:t>
      </w:r>
      <w:r w:rsidR="00FD13EE">
        <w:rPr>
          <w:color w:val="000000"/>
          <w:sz w:val="20"/>
        </w:rPr>
        <w:t>Outpatient Care Centers</w:t>
      </w:r>
      <w:r w:rsidRPr="00E81CB9">
        <w:rPr>
          <w:color w:val="000000"/>
          <w:sz w:val="20"/>
        </w:rPr>
        <w:t xml:space="preserve"> (located at </w:t>
      </w:r>
      <w:hyperlink r:id="rId11" w:anchor="11-0000" w:history="1">
        <w:r w:rsidR="00FD13EE" w:rsidRPr="00FD13EE">
          <w:rPr>
            <w:rStyle w:val="Hyperlink"/>
            <w:sz w:val="20"/>
          </w:rPr>
          <w:t>http://www.bls.gov/oes/current/naics4_621400.htm#11-0000</w:t>
        </w:r>
      </w:hyperlink>
      <w:r>
        <w:rPr>
          <w:color w:val="000000"/>
          <w:sz w:val="20"/>
        </w:rPr>
        <w:t xml:space="preserve">). </w:t>
      </w:r>
    </w:p>
    <w:p w:rsidR="001765DB" w:rsidRDefault="001765DB" w:rsidP="001765DB">
      <w:pPr>
        <w:rPr>
          <w:rStyle w:val="Strong"/>
          <w:b w:val="0"/>
          <w:highlight w:val="yellow"/>
        </w:rPr>
      </w:pPr>
    </w:p>
    <w:p w:rsidR="001765DB" w:rsidRDefault="001765DB" w:rsidP="001765DB">
      <w:pPr>
        <w:rPr>
          <w:rStyle w:val="Strong"/>
          <w:b w:val="0"/>
          <w:highlight w:val="yellow"/>
        </w:rPr>
      </w:pPr>
    </w:p>
    <w:p w:rsidR="00E34F78" w:rsidRPr="00AC67FF" w:rsidRDefault="00E34F78" w:rsidP="00E34F78">
      <w:pPr>
        <w:pStyle w:val="Heading2"/>
        <w:spacing w:before="0" w:after="0"/>
        <w:rPr>
          <w:sz w:val="24"/>
        </w:rPr>
      </w:pPr>
      <w:bookmarkStart w:id="44" w:name="_Toc151782188"/>
      <w:bookmarkStart w:id="45" w:name="_Toc158526228"/>
      <w:bookmarkStart w:id="46" w:name="_Toc463359342"/>
      <w:bookmarkStart w:id="47" w:name="_Toc498992125"/>
      <w:r w:rsidRPr="00AC67FF">
        <w:rPr>
          <w:sz w:val="24"/>
        </w:rPr>
        <w:t>13. Estimates of Annualized Respondent Capital and Maintenance Costs</w:t>
      </w:r>
      <w:bookmarkEnd w:id="44"/>
      <w:bookmarkEnd w:id="45"/>
      <w:bookmarkEnd w:id="46"/>
      <w:bookmarkEnd w:id="47"/>
    </w:p>
    <w:p w:rsidR="00E34F78" w:rsidRDefault="00E34F78" w:rsidP="00E34F78">
      <w:bookmarkStart w:id="48" w:name="_Toc58725299"/>
      <w:bookmarkStart w:id="49" w:name="_Toc151782189"/>
      <w:bookmarkStart w:id="50" w:name="_Toc158526229"/>
      <w:r>
        <w:t>Capital and maintenance costs include the purchase of equipment, computers or computer software or services, or storage facilities for records, as a result of complying with this data collection. There are no direct costs to respondents other than their time to participate in the study.</w:t>
      </w:r>
    </w:p>
    <w:p w:rsidR="00E34F78" w:rsidRDefault="00E34F78" w:rsidP="00E34F78">
      <w:pPr>
        <w:pStyle w:val="Heading2"/>
        <w:spacing w:before="0" w:after="0"/>
        <w:rPr>
          <w:sz w:val="24"/>
        </w:rPr>
      </w:pPr>
    </w:p>
    <w:p w:rsidR="00E34F78" w:rsidRPr="001F708A" w:rsidRDefault="00E34F78" w:rsidP="00E34F78">
      <w:pPr>
        <w:pStyle w:val="Heading2"/>
        <w:spacing w:before="0" w:after="0"/>
        <w:rPr>
          <w:b w:val="0"/>
          <w:i w:val="0"/>
          <w:sz w:val="24"/>
        </w:rPr>
      </w:pPr>
      <w:bookmarkStart w:id="51" w:name="_Toc463359343"/>
      <w:bookmarkStart w:id="52" w:name="_Toc498992126"/>
      <w:r w:rsidRPr="001F708A">
        <w:rPr>
          <w:sz w:val="24"/>
        </w:rPr>
        <w:t>14. Estimates of Annualized Cost to the Government</w:t>
      </w:r>
      <w:bookmarkEnd w:id="48"/>
      <w:bookmarkEnd w:id="49"/>
      <w:bookmarkEnd w:id="50"/>
      <w:bookmarkEnd w:id="51"/>
      <w:bookmarkEnd w:id="52"/>
    </w:p>
    <w:p w:rsidR="00E34F78" w:rsidRPr="001F708A" w:rsidRDefault="00E34F78" w:rsidP="00E34F78">
      <w:r w:rsidRPr="001F708A">
        <w:t>Exhibit 3 shows the estimated annualized cost to the government for developing, maintaining, and managing the database and analyzing the data and producing reports for each year in which data are collected. The cost is estimated to be $</w:t>
      </w:r>
      <w:r w:rsidR="009D7A2F">
        <w:t>200</w:t>
      </w:r>
      <w:r w:rsidRPr="001F708A">
        <w:t xml:space="preserve">,000 each data submission year. </w:t>
      </w:r>
    </w:p>
    <w:p w:rsidR="00E34F78" w:rsidRPr="001F708A" w:rsidRDefault="00E34F78" w:rsidP="00E34F78">
      <w:pPr>
        <w:rPr>
          <w:b/>
          <w:bCs/>
          <w:color w:val="000000"/>
        </w:rPr>
      </w:pPr>
    </w:p>
    <w:p w:rsidR="00E34F78" w:rsidRPr="001F708A" w:rsidRDefault="00E34F78" w:rsidP="00E34F78">
      <w:r w:rsidRPr="001F708A">
        <w:rPr>
          <w:b/>
          <w:bCs/>
          <w:color w:val="000000"/>
        </w:rPr>
        <w:t>Exhibit 3.  Estimated Annualized Cost</w:t>
      </w:r>
    </w:p>
    <w:tbl>
      <w:tblPr>
        <w:tblW w:w="0" w:type="auto"/>
        <w:tblCellMar>
          <w:left w:w="0" w:type="dxa"/>
          <w:right w:w="0" w:type="dxa"/>
        </w:tblCellMar>
        <w:tblLook w:val="0000" w:firstRow="0" w:lastRow="0" w:firstColumn="0" w:lastColumn="0" w:noHBand="0" w:noVBand="0"/>
      </w:tblPr>
      <w:tblGrid>
        <w:gridCol w:w="3708"/>
        <w:gridCol w:w="1980"/>
      </w:tblGrid>
      <w:tr w:rsidR="00E34F78" w:rsidRPr="001F708A" w:rsidTr="009839E8">
        <w:tc>
          <w:tcPr>
            <w:tcW w:w="3708"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E34F78" w:rsidRPr="001F708A" w:rsidRDefault="00E34F78" w:rsidP="009839E8">
            <w:pPr>
              <w:rPr>
                <w:b/>
              </w:rPr>
            </w:pPr>
            <w:r w:rsidRPr="001F708A">
              <w:rPr>
                <w:b/>
                <w:color w:val="000000"/>
              </w:rPr>
              <w:t xml:space="preserve">Cost Component </w:t>
            </w:r>
          </w:p>
        </w:tc>
        <w:tc>
          <w:tcPr>
            <w:tcW w:w="198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E34F78" w:rsidRPr="001F708A" w:rsidRDefault="00E34F78" w:rsidP="009839E8">
            <w:pPr>
              <w:jc w:val="right"/>
              <w:rPr>
                <w:b/>
              </w:rPr>
            </w:pPr>
            <w:r w:rsidRPr="001F708A">
              <w:rPr>
                <w:b/>
              </w:rPr>
              <w:t>Annualized Cost</w:t>
            </w:r>
          </w:p>
        </w:tc>
      </w:tr>
      <w:tr w:rsidR="00E34F78" w:rsidRPr="001F708A" w:rsidTr="009839E8">
        <w:tc>
          <w:tcPr>
            <w:tcW w:w="370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E34F78" w:rsidRPr="001F708A" w:rsidRDefault="00E34F78" w:rsidP="009839E8">
            <w:r w:rsidRPr="001F708A">
              <w:t>Database Development and Maintenance</w:t>
            </w:r>
          </w:p>
        </w:tc>
        <w:tc>
          <w:tcPr>
            <w:tcW w:w="19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E34F78" w:rsidRPr="001F708A" w:rsidRDefault="009D7A2F" w:rsidP="00F4408E">
            <w:pPr>
              <w:jc w:val="right"/>
            </w:pPr>
            <w:r>
              <w:t>$</w:t>
            </w:r>
            <w:r w:rsidR="00F4408E">
              <w:t>75</w:t>
            </w:r>
            <w:r w:rsidR="00E34F78" w:rsidRPr="001F708A">
              <w:t>,000</w:t>
            </w:r>
          </w:p>
        </w:tc>
      </w:tr>
      <w:tr w:rsidR="00E34F78" w:rsidRPr="001F708A" w:rsidTr="009839E8">
        <w:tc>
          <w:tcPr>
            <w:tcW w:w="370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E34F78" w:rsidRPr="001F708A" w:rsidRDefault="00E34F78" w:rsidP="009839E8">
            <w:r w:rsidRPr="001F708A">
              <w:t>Data Submission</w:t>
            </w:r>
          </w:p>
        </w:tc>
        <w:tc>
          <w:tcPr>
            <w:tcW w:w="19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E34F78" w:rsidRPr="001F708A" w:rsidRDefault="00E34F78" w:rsidP="00F4408E">
            <w:pPr>
              <w:jc w:val="right"/>
            </w:pPr>
            <w:r w:rsidRPr="001F708A">
              <w:t>$</w:t>
            </w:r>
            <w:r w:rsidR="00F4408E">
              <w:t>50</w:t>
            </w:r>
            <w:r w:rsidRPr="001F708A">
              <w:t>,000</w:t>
            </w:r>
          </w:p>
        </w:tc>
      </w:tr>
      <w:tr w:rsidR="00E34F78" w:rsidRPr="001F708A" w:rsidTr="009839E8">
        <w:tc>
          <w:tcPr>
            <w:tcW w:w="370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E34F78" w:rsidRPr="001F708A" w:rsidRDefault="00E34F78" w:rsidP="009839E8">
            <w:r w:rsidRPr="001F708A">
              <w:t>Data Analysis &amp; Reports</w:t>
            </w:r>
          </w:p>
        </w:tc>
        <w:tc>
          <w:tcPr>
            <w:tcW w:w="19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E34F78" w:rsidRPr="001F708A" w:rsidRDefault="00E34F78" w:rsidP="00F4408E">
            <w:pPr>
              <w:jc w:val="right"/>
            </w:pPr>
            <w:r w:rsidRPr="001F708A">
              <w:t>$</w:t>
            </w:r>
            <w:r w:rsidR="00F4408E">
              <w:t>75</w:t>
            </w:r>
            <w:r w:rsidRPr="001F708A">
              <w:t>,000</w:t>
            </w:r>
          </w:p>
        </w:tc>
      </w:tr>
      <w:tr w:rsidR="00E34F78" w:rsidRPr="0022758F" w:rsidTr="009839E8">
        <w:tc>
          <w:tcPr>
            <w:tcW w:w="370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E34F78" w:rsidRPr="001F708A" w:rsidRDefault="00E34F78" w:rsidP="009839E8">
            <w:r w:rsidRPr="001F708A">
              <w:rPr>
                <w:b/>
                <w:bCs/>
                <w:color w:val="000000"/>
              </w:rPr>
              <w:t>Total</w:t>
            </w:r>
          </w:p>
        </w:tc>
        <w:tc>
          <w:tcPr>
            <w:tcW w:w="19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E34F78" w:rsidRPr="001F708A" w:rsidRDefault="00E34F78" w:rsidP="009839E8">
            <w:pPr>
              <w:jc w:val="right"/>
            </w:pPr>
            <w:r w:rsidRPr="001F708A">
              <w:t>$</w:t>
            </w:r>
            <w:r w:rsidR="009D7A2F">
              <w:t>20</w:t>
            </w:r>
            <w:r w:rsidRPr="001F708A">
              <w:t>0,000</w:t>
            </w:r>
          </w:p>
        </w:tc>
      </w:tr>
    </w:tbl>
    <w:p w:rsidR="00E34F78" w:rsidRPr="0022758F" w:rsidRDefault="00E34F78" w:rsidP="00E34F78">
      <w:pPr>
        <w:rPr>
          <w:highlight w:val="yellow"/>
        </w:rPr>
      </w:pPr>
    </w:p>
    <w:p w:rsidR="00E34F78" w:rsidRPr="0022758F" w:rsidRDefault="00E34F78" w:rsidP="00E34F78">
      <w:pPr>
        <w:rPr>
          <w:b/>
          <w:highlight w:val="yellow"/>
        </w:rPr>
      </w:pPr>
      <w:r w:rsidRPr="001F708A">
        <w:rPr>
          <w:b/>
        </w:rPr>
        <w:t>Exhibit 4: Estimated Annual cost to AHRQ for project oversight</w:t>
      </w:r>
      <w:r w:rsidR="007E1DFD">
        <w:rPr>
          <w: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8"/>
        <w:gridCol w:w="1080"/>
        <w:gridCol w:w="2070"/>
      </w:tblGrid>
      <w:tr w:rsidR="00E34F78" w:rsidRPr="0022758F" w:rsidTr="009839E8">
        <w:trPr>
          <w:trHeight w:val="233"/>
        </w:trPr>
        <w:tc>
          <w:tcPr>
            <w:tcW w:w="3798" w:type="dxa"/>
            <w:shd w:val="clear" w:color="auto" w:fill="auto"/>
          </w:tcPr>
          <w:p w:rsidR="00E34F78" w:rsidRPr="001F708A" w:rsidRDefault="00E34F78" w:rsidP="009839E8">
            <w:pPr>
              <w:rPr>
                <w:b/>
              </w:rPr>
            </w:pPr>
            <w:r w:rsidRPr="001F708A">
              <w:rPr>
                <w:b/>
              </w:rPr>
              <w:t>AHRQ Position</w:t>
            </w:r>
          </w:p>
        </w:tc>
        <w:tc>
          <w:tcPr>
            <w:tcW w:w="1080" w:type="dxa"/>
            <w:shd w:val="clear" w:color="auto" w:fill="auto"/>
          </w:tcPr>
          <w:p w:rsidR="00E34F78" w:rsidRPr="001F708A" w:rsidRDefault="00E34F78" w:rsidP="009839E8">
            <w:pPr>
              <w:rPr>
                <w:b/>
              </w:rPr>
            </w:pPr>
            <w:r w:rsidRPr="001F708A">
              <w:rPr>
                <w:b/>
              </w:rPr>
              <w:t>% Time</w:t>
            </w:r>
          </w:p>
        </w:tc>
        <w:tc>
          <w:tcPr>
            <w:tcW w:w="2070" w:type="dxa"/>
            <w:shd w:val="clear" w:color="auto" w:fill="auto"/>
          </w:tcPr>
          <w:p w:rsidR="00E34F78" w:rsidRPr="001F708A" w:rsidRDefault="00E34F78" w:rsidP="009839E8">
            <w:pPr>
              <w:rPr>
                <w:b/>
              </w:rPr>
            </w:pPr>
            <w:r w:rsidRPr="001F708A">
              <w:rPr>
                <w:b/>
              </w:rPr>
              <w:t>Annualized Cos</w:t>
            </w:r>
            <w:r>
              <w:rPr>
                <w:b/>
              </w:rPr>
              <w:t>t</w:t>
            </w:r>
          </w:p>
        </w:tc>
      </w:tr>
      <w:tr w:rsidR="00E34F78" w:rsidRPr="0022758F" w:rsidTr="009839E8">
        <w:trPr>
          <w:trHeight w:val="233"/>
        </w:trPr>
        <w:tc>
          <w:tcPr>
            <w:tcW w:w="3798" w:type="dxa"/>
            <w:shd w:val="clear" w:color="auto" w:fill="auto"/>
          </w:tcPr>
          <w:p w:rsidR="00E34F78" w:rsidRPr="00B96180" w:rsidRDefault="00E34F78" w:rsidP="009839E8">
            <w:pPr>
              <w:rPr>
                <w:rFonts w:eastAsia="Calibri"/>
                <w:sz w:val="23"/>
                <w:szCs w:val="23"/>
              </w:rPr>
            </w:pPr>
          </w:p>
        </w:tc>
        <w:tc>
          <w:tcPr>
            <w:tcW w:w="1080" w:type="dxa"/>
            <w:shd w:val="clear" w:color="auto" w:fill="auto"/>
          </w:tcPr>
          <w:p w:rsidR="00E34F78" w:rsidRPr="00B96180" w:rsidRDefault="00E34F78" w:rsidP="009839E8">
            <w:pPr>
              <w:rPr>
                <w:rFonts w:eastAsia="Calibri"/>
                <w:sz w:val="23"/>
                <w:szCs w:val="23"/>
              </w:rPr>
            </w:pPr>
          </w:p>
        </w:tc>
        <w:tc>
          <w:tcPr>
            <w:tcW w:w="2070" w:type="dxa"/>
            <w:shd w:val="clear" w:color="auto" w:fill="auto"/>
          </w:tcPr>
          <w:p w:rsidR="00E34F78" w:rsidRPr="00B96180" w:rsidRDefault="00E34F78" w:rsidP="009839E8">
            <w:pPr>
              <w:rPr>
                <w:rFonts w:eastAsia="Calibri"/>
                <w:sz w:val="23"/>
                <w:szCs w:val="23"/>
              </w:rPr>
            </w:pPr>
          </w:p>
        </w:tc>
      </w:tr>
      <w:tr w:rsidR="000332D1" w:rsidRPr="0022758F" w:rsidTr="009839E8">
        <w:trPr>
          <w:trHeight w:val="233"/>
        </w:trPr>
        <w:tc>
          <w:tcPr>
            <w:tcW w:w="3798" w:type="dxa"/>
            <w:shd w:val="clear" w:color="auto" w:fill="auto"/>
          </w:tcPr>
          <w:p w:rsidR="000332D1" w:rsidRPr="00B96180" w:rsidRDefault="000332D1" w:rsidP="009839E8">
            <w:pPr>
              <w:rPr>
                <w:rFonts w:eastAsia="Calibri"/>
                <w:sz w:val="23"/>
                <w:szCs w:val="23"/>
              </w:rPr>
            </w:pPr>
            <w:r>
              <w:t>GS-15, Step-5</w:t>
            </w:r>
          </w:p>
        </w:tc>
        <w:tc>
          <w:tcPr>
            <w:tcW w:w="1080" w:type="dxa"/>
            <w:shd w:val="clear" w:color="auto" w:fill="auto"/>
          </w:tcPr>
          <w:p w:rsidR="000332D1" w:rsidRPr="00B96180" w:rsidRDefault="000332D1" w:rsidP="009839E8">
            <w:pPr>
              <w:rPr>
                <w:rFonts w:eastAsia="Calibri"/>
                <w:sz w:val="23"/>
                <w:szCs w:val="23"/>
              </w:rPr>
            </w:pPr>
            <w:r>
              <w:t>3%</w:t>
            </w:r>
          </w:p>
        </w:tc>
        <w:tc>
          <w:tcPr>
            <w:tcW w:w="2070" w:type="dxa"/>
            <w:shd w:val="clear" w:color="auto" w:fill="auto"/>
          </w:tcPr>
          <w:p w:rsidR="000332D1" w:rsidRPr="00B96180" w:rsidRDefault="000332D1" w:rsidP="009839E8">
            <w:pPr>
              <w:rPr>
                <w:rFonts w:eastAsia="Calibri"/>
                <w:sz w:val="23"/>
                <w:szCs w:val="23"/>
              </w:rPr>
            </w:pPr>
            <w:r>
              <w:t xml:space="preserve"> $3,896</w:t>
            </w:r>
          </w:p>
        </w:tc>
      </w:tr>
      <w:tr w:rsidR="000332D1" w:rsidRPr="0022758F" w:rsidTr="009839E8">
        <w:trPr>
          <w:trHeight w:val="314"/>
        </w:trPr>
        <w:tc>
          <w:tcPr>
            <w:tcW w:w="3798" w:type="dxa"/>
            <w:shd w:val="clear" w:color="auto" w:fill="auto"/>
          </w:tcPr>
          <w:p w:rsidR="000332D1" w:rsidRPr="00B96180" w:rsidRDefault="000332D1" w:rsidP="009839E8">
            <w:pPr>
              <w:rPr>
                <w:rFonts w:eastAsia="Calibri"/>
                <w:sz w:val="23"/>
                <w:szCs w:val="23"/>
              </w:rPr>
            </w:pPr>
            <w:r>
              <w:t>GS-13, Step-5</w:t>
            </w:r>
          </w:p>
        </w:tc>
        <w:tc>
          <w:tcPr>
            <w:tcW w:w="1080" w:type="dxa"/>
            <w:shd w:val="clear" w:color="auto" w:fill="auto"/>
          </w:tcPr>
          <w:p w:rsidR="000332D1" w:rsidRPr="00B96180" w:rsidRDefault="000332D1" w:rsidP="009839E8">
            <w:pPr>
              <w:rPr>
                <w:rFonts w:eastAsia="Calibri"/>
                <w:sz w:val="23"/>
                <w:szCs w:val="23"/>
              </w:rPr>
            </w:pPr>
            <w:r>
              <w:t>3%</w:t>
            </w:r>
          </w:p>
        </w:tc>
        <w:tc>
          <w:tcPr>
            <w:tcW w:w="2070" w:type="dxa"/>
            <w:shd w:val="clear" w:color="auto" w:fill="auto"/>
          </w:tcPr>
          <w:p w:rsidR="000332D1" w:rsidRPr="00B96180" w:rsidRDefault="000332D1" w:rsidP="009839E8">
            <w:pPr>
              <w:rPr>
                <w:rFonts w:eastAsia="Calibri"/>
                <w:sz w:val="23"/>
                <w:szCs w:val="23"/>
              </w:rPr>
            </w:pPr>
            <w:r>
              <w:t xml:space="preserve"> $4,582</w:t>
            </w:r>
          </w:p>
        </w:tc>
      </w:tr>
      <w:tr w:rsidR="000332D1" w:rsidRPr="0022758F" w:rsidTr="009839E8">
        <w:trPr>
          <w:trHeight w:val="314"/>
        </w:trPr>
        <w:tc>
          <w:tcPr>
            <w:tcW w:w="3798" w:type="dxa"/>
            <w:shd w:val="clear" w:color="auto" w:fill="auto"/>
          </w:tcPr>
          <w:p w:rsidR="000332D1" w:rsidRDefault="000332D1" w:rsidP="009839E8">
            <w:r>
              <w:t>Total</w:t>
            </w:r>
          </w:p>
        </w:tc>
        <w:tc>
          <w:tcPr>
            <w:tcW w:w="1080" w:type="dxa"/>
            <w:shd w:val="clear" w:color="auto" w:fill="auto"/>
          </w:tcPr>
          <w:p w:rsidR="000332D1" w:rsidRDefault="000332D1" w:rsidP="009839E8"/>
        </w:tc>
        <w:tc>
          <w:tcPr>
            <w:tcW w:w="2070" w:type="dxa"/>
            <w:shd w:val="clear" w:color="auto" w:fill="auto"/>
          </w:tcPr>
          <w:p w:rsidR="000332D1" w:rsidRDefault="000332D1" w:rsidP="009839E8">
            <w:r>
              <w:t xml:space="preserve"> $8,478</w:t>
            </w:r>
          </w:p>
        </w:tc>
      </w:tr>
    </w:tbl>
    <w:p w:rsidR="000332D1" w:rsidRDefault="000332D1" w:rsidP="000332D1">
      <w:pPr>
        <w:rPr>
          <w:rFonts w:ascii="Calibri" w:hAnsi="Calibri"/>
          <w:color w:val="000000"/>
          <w:sz w:val="20"/>
        </w:rPr>
      </w:pPr>
      <w:r w:rsidRPr="001E776F">
        <w:rPr>
          <w:rFonts w:ascii="Calibri" w:hAnsi="Calibri"/>
          <w:color w:val="000000"/>
          <w:sz w:val="20"/>
        </w:rPr>
        <w:t>https://www.opm.gov/policy-data-oversight/pay-leave/salaries-wages/salary-tables/pdf/2018/DCB.pdf</w:t>
      </w:r>
    </w:p>
    <w:p w:rsidR="001765DB" w:rsidRDefault="001765DB" w:rsidP="001765DB">
      <w:pPr>
        <w:rPr>
          <w:rStyle w:val="Strong"/>
          <w:b w:val="0"/>
          <w:highlight w:val="yellow"/>
        </w:rPr>
      </w:pPr>
    </w:p>
    <w:p w:rsidR="00E34F78" w:rsidRDefault="00E34F78" w:rsidP="001765DB">
      <w:pPr>
        <w:rPr>
          <w:rStyle w:val="Strong"/>
          <w:b w:val="0"/>
          <w:highlight w:val="yellow"/>
        </w:rPr>
      </w:pPr>
    </w:p>
    <w:p w:rsidR="00E34F78" w:rsidRPr="00D6099D" w:rsidRDefault="00E34F78" w:rsidP="00E34F78">
      <w:pPr>
        <w:pStyle w:val="Heading2"/>
        <w:spacing w:before="0" w:after="0"/>
        <w:rPr>
          <w:sz w:val="24"/>
        </w:rPr>
      </w:pPr>
      <w:bookmarkStart w:id="53" w:name="_Toc498992127"/>
      <w:r w:rsidRPr="00A53D95">
        <w:rPr>
          <w:sz w:val="24"/>
        </w:rPr>
        <w:t>15. Changes in Hour Burden</w:t>
      </w:r>
      <w:bookmarkStart w:id="54" w:name="_Toc151782191"/>
      <w:bookmarkStart w:id="55" w:name="_Toc158526231"/>
      <w:bookmarkEnd w:id="53"/>
    </w:p>
    <w:p w:rsidR="00DA388A" w:rsidRPr="00DA388A" w:rsidRDefault="00DA388A" w:rsidP="00DA388A">
      <w:pPr>
        <w:rPr>
          <w:bCs/>
          <w:iCs/>
        </w:rPr>
      </w:pPr>
      <w:r>
        <w:rPr>
          <w:bCs/>
          <w:iCs/>
        </w:rPr>
        <w:t>This is a new collection of information.</w:t>
      </w:r>
    </w:p>
    <w:p w:rsidR="00DA388A" w:rsidRPr="00DA388A" w:rsidRDefault="00DA388A" w:rsidP="00DA388A"/>
    <w:p w:rsidR="00E34F78" w:rsidRPr="00A53D95" w:rsidRDefault="00E34F78" w:rsidP="00E34F78">
      <w:pPr>
        <w:pStyle w:val="Heading2"/>
        <w:spacing w:before="0" w:after="0"/>
        <w:rPr>
          <w:sz w:val="24"/>
        </w:rPr>
      </w:pPr>
      <w:bookmarkStart w:id="56" w:name="_Toc463359345"/>
      <w:bookmarkStart w:id="57" w:name="_Toc498992128"/>
      <w:r w:rsidRPr="00A53D95">
        <w:rPr>
          <w:sz w:val="24"/>
        </w:rPr>
        <w:t>16. Time Schedule, Publication and Analysis Plans</w:t>
      </w:r>
      <w:bookmarkEnd w:id="54"/>
      <w:bookmarkEnd w:id="55"/>
      <w:bookmarkEnd w:id="56"/>
      <w:bookmarkEnd w:id="57"/>
    </w:p>
    <w:p w:rsidR="00E34F78" w:rsidRPr="0022758F" w:rsidRDefault="00E34F78" w:rsidP="00E34F78">
      <w:pPr>
        <w:rPr>
          <w:highlight w:val="yellow"/>
        </w:rPr>
      </w:pPr>
      <w:bookmarkStart w:id="58" w:name="_Toc151782192"/>
      <w:r w:rsidRPr="00A53D95">
        <w:t xml:space="preserve">Information for the </w:t>
      </w:r>
      <w:r w:rsidR="006A68D7">
        <w:t>ASC SOPS Database</w:t>
      </w:r>
      <w:r w:rsidRPr="00A53D95">
        <w:t xml:space="preserve"> </w:t>
      </w:r>
      <w:r w:rsidR="006A68D7">
        <w:t>will be</w:t>
      </w:r>
      <w:r w:rsidR="00E34CC9">
        <w:t xml:space="preserve"> </w:t>
      </w:r>
      <w:r w:rsidRPr="00A53D95">
        <w:t>collected by AHRQ through its contr</w:t>
      </w:r>
      <w:r w:rsidR="00E34CC9">
        <w:t>actor, Westat</w:t>
      </w:r>
      <w:r w:rsidRPr="00A53D95">
        <w:t xml:space="preserve">. </w:t>
      </w:r>
      <w:r w:rsidR="00E34CC9">
        <w:t xml:space="preserve">ASCs will be asked </w:t>
      </w:r>
      <w:r w:rsidRPr="00A53D95">
        <w:t xml:space="preserve">to voluntarily submit their </w:t>
      </w:r>
      <w:r w:rsidR="00E34CC9">
        <w:t xml:space="preserve">ASCs </w:t>
      </w:r>
      <w:r w:rsidRPr="00A53D95">
        <w:t>SOPS survey data to the database approximately every other year</w:t>
      </w:r>
      <w:r w:rsidR="00F4408E">
        <w:t xml:space="preserve"> in the fall</w:t>
      </w:r>
      <w:r w:rsidRPr="00A53D95">
        <w:t xml:space="preserve">. The data </w:t>
      </w:r>
      <w:r w:rsidR="00E34CC9">
        <w:t xml:space="preserve">will then be </w:t>
      </w:r>
      <w:r w:rsidRPr="00A53D95">
        <w:t xml:space="preserve">cleaned and aggregated to produce a Database Report that </w:t>
      </w:r>
      <w:r w:rsidR="00E34CC9">
        <w:t xml:space="preserve">will be </w:t>
      </w:r>
      <w:r w:rsidRPr="00A53D95">
        <w:t xml:space="preserve">posted on the AHRQ web site. </w:t>
      </w:r>
      <w:r w:rsidR="00E34CC9">
        <w:t xml:space="preserve">ASCs will </w:t>
      </w:r>
      <w:r w:rsidRPr="00A53D95">
        <w:t xml:space="preserve">also </w:t>
      </w:r>
      <w:r w:rsidR="00E34CC9">
        <w:t xml:space="preserve">receive </w:t>
      </w:r>
      <w:r w:rsidRPr="00A53D95">
        <w:t>automatically their own customized survey feedback report.</w:t>
      </w:r>
    </w:p>
    <w:p w:rsidR="00E34CC9" w:rsidRPr="00A53D95" w:rsidRDefault="00E34CC9" w:rsidP="00E34CC9">
      <w:pPr>
        <w:pStyle w:val="Heading2"/>
        <w:rPr>
          <w:sz w:val="24"/>
        </w:rPr>
      </w:pPr>
      <w:bookmarkStart w:id="59" w:name="_Toc151782196"/>
      <w:bookmarkStart w:id="60" w:name="_Toc158526232"/>
      <w:bookmarkStart w:id="61" w:name="_Toc463359346"/>
      <w:bookmarkStart w:id="62" w:name="_Toc498992129"/>
      <w:bookmarkEnd w:id="58"/>
      <w:r w:rsidRPr="00A53D95">
        <w:rPr>
          <w:sz w:val="24"/>
        </w:rPr>
        <w:t>17. Exemption for Display of Expiration Date</w:t>
      </w:r>
      <w:bookmarkEnd w:id="59"/>
      <w:bookmarkEnd w:id="60"/>
      <w:bookmarkEnd w:id="61"/>
      <w:bookmarkEnd w:id="62"/>
    </w:p>
    <w:p w:rsidR="00E34CC9" w:rsidRPr="00A53D95" w:rsidRDefault="00E34CC9" w:rsidP="00E34CC9">
      <w:r w:rsidRPr="00A53D95">
        <w:t>AHRQ does not seek this exemption.</w:t>
      </w:r>
    </w:p>
    <w:p w:rsidR="00E34CC9" w:rsidRPr="0022758F" w:rsidRDefault="00E34CC9" w:rsidP="00E34CC9">
      <w:pPr>
        <w:pStyle w:val="NormalWeb"/>
        <w:spacing w:before="0" w:beforeAutospacing="0" w:after="0" w:afterAutospacing="0"/>
        <w:rPr>
          <w:rFonts w:ascii="Arial" w:hAnsi="Arial" w:cs="Arial"/>
          <w:b/>
          <w:highlight w:val="yellow"/>
        </w:rPr>
      </w:pPr>
    </w:p>
    <w:p w:rsidR="00172662" w:rsidRPr="007E0ADE" w:rsidRDefault="00172662" w:rsidP="00172662">
      <w:pPr>
        <w:pStyle w:val="NormalWeb"/>
        <w:spacing w:before="0" w:beforeAutospacing="0" w:after="0" w:afterAutospacing="0"/>
        <w:rPr>
          <w:rFonts w:ascii="Arial" w:hAnsi="Arial" w:cs="Arial"/>
        </w:rPr>
      </w:pPr>
      <w:r>
        <w:rPr>
          <w:rFonts w:ascii="Arial" w:hAnsi="Arial" w:cs="Arial"/>
          <w:b/>
        </w:rPr>
        <w:t xml:space="preserve">List of </w:t>
      </w:r>
      <w:r w:rsidRPr="00016560">
        <w:rPr>
          <w:rFonts w:ascii="Arial" w:hAnsi="Arial" w:cs="Arial"/>
          <w:b/>
        </w:rPr>
        <w:t>Attachments:</w:t>
      </w:r>
    </w:p>
    <w:p w:rsidR="00172662" w:rsidRDefault="00172662" w:rsidP="00172662">
      <w:pPr>
        <w:ind w:left="1800" w:hanging="1800"/>
      </w:pPr>
    </w:p>
    <w:p w:rsidR="00172662" w:rsidRDefault="00172662" w:rsidP="00172662">
      <w:pPr>
        <w:ind w:left="1800" w:hanging="1800"/>
      </w:pPr>
      <w:r w:rsidRPr="00715DB6">
        <w:t xml:space="preserve">Attachment </w:t>
      </w:r>
      <w:r>
        <w:t>A:</w:t>
      </w:r>
      <w:r>
        <w:tab/>
      </w:r>
      <w:r w:rsidR="006A68D7">
        <w:t xml:space="preserve">Eligibility and </w:t>
      </w:r>
      <w:r>
        <w:t>Registration Form</w:t>
      </w:r>
    </w:p>
    <w:p w:rsidR="00690D60" w:rsidRDefault="00172662" w:rsidP="00172662">
      <w:pPr>
        <w:ind w:left="1800" w:hanging="1800"/>
      </w:pPr>
      <w:r w:rsidRPr="00581639">
        <w:t xml:space="preserve">Attachment </w:t>
      </w:r>
      <w:r>
        <w:t>B:</w:t>
      </w:r>
      <w:r>
        <w:tab/>
      </w:r>
      <w:r w:rsidR="006A68D7">
        <w:t xml:space="preserve">Site Information </w:t>
      </w:r>
      <w:r w:rsidR="007D0392">
        <w:t>(Site Level Data File Specifications)</w:t>
      </w:r>
    </w:p>
    <w:p w:rsidR="00172662" w:rsidRDefault="00172662" w:rsidP="00172662">
      <w:pPr>
        <w:ind w:left="1800" w:hanging="1800"/>
      </w:pPr>
      <w:r w:rsidRPr="00715DB6">
        <w:t xml:space="preserve">Attachment </w:t>
      </w:r>
      <w:r>
        <w:t>C</w:t>
      </w:r>
      <w:r w:rsidRPr="00715DB6">
        <w:t>:</w:t>
      </w:r>
      <w:r>
        <w:tab/>
        <w:t>Data Use Agreement</w:t>
      </w:r>
    </w:p>
    <w:p w:rsidR="00172662" w:rsidRDefault="00172662" w:rsidP="00172662">
      <w:pPr>
        <w:ind w:left="1800" w:hanging="1800"/>
      </w:pPr>
      <w:r>
        <w:t>Attachment D:</w:t>
      </w:r>
      <w:r>
        <w:tab/>
        <w:t>Data Submission Emails</w:t>
      </w:r>
    </w:p>
    <w:p w:rsidR="00172662" w:rsidRDefault="00172662" w:rsidP="00172662">
      <w:pPr>
        <w:ind w:left="1800" w:hanging="1800"/>
      </w:pPr>
      <w:r>
        <w:t>Attachment E:</w:t>
      </w:r>
      <w:r>
        <w:tab/>
        <w:t xml:space="preserve">Survey Data File Specifications </w:t>
      </w:r>
    </w:p>
    <w:p w:rsidR="00172662" w:rsidRDefault="00172662" w:rsidP="00172662">
      <w:pPr>
        <w:ind w:left="1800" w:hanging="1800"/>
      </w:pPr>
      <w:r>
        <w:t>Attachment F:</w:t>
      </w:r>
      <w:r>
        <w:tab/>
        <w:t>Databases</w:t>
      </w:r>
      <w:r w:rsidR="00B93DB4">
        <w:t xml:space="preserve"> </w:t>
      </w:r>
      <w:r w:rsidRPr="00AC3940">
        <w:t>TEP List</w:t>
      </w:r>
    </w:p>
    <w:p w:rsidR="00172662" w:rsidRDefault="00172662" w:rsidP="00172662">
      <w:pPr>
        <w:ind w:left="1800" w:hanging="1800"/>
      </w:pPr>
      <w:r>
        <w:t xml:space="preserve">Attachment </w:t>
      </w:r>
      <w:r w:rsidR="00EF18DA">
        <w:t>G</w:t>
      </w:r>
      <w:r>
        <w:t>:</w:t>
      </w:r>
      <w:r>
        <w:tab/>
        <w:t>Federal Register Notice</w:t>
      </w:r>
    </w:p>
    <w:p w:rsidR="008064F7" w:rsidRPr="008064F7" w:rsidRDefault="008064F7" w:rsidP="00172662">
      <w:pPr>
        <w:spacing w:after="160" w:line="259" w:lineRule="auto"/>
        <w:rPr>
          <w:rFonts w:asciiTheme="majorHAnsi" w:eastAsiaTheme="majorEastAsia" w:hAnsiTheme="majorHAnsi" w:cstheme="majorBidi"/>
          <w:b/>
          <w:bCs/>
          <w:szCs w:val="24"/>
        </w:rPr>
      </w:pPr>
    </w:p>
    <w:sectPr w:rsidR="008064F7" w:rsidRPr="008064F7">
      <w:footerReference w:type="default" r:id="rId12"/>
      <w:endnotePr>
        <w:numFmt w:val="decimal"/>
      </w:endnotePr>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099D0B8" w16cid:durableId="1DBFD02A"/>
  <w16cid:commentId w16cid:paraId="13C1A360" w16cid:durableId="1DBFD87D"/>
  <w16cid:commentId w16cid:paraId="144A5414" w16cid:durableId="1DBFDE72"/>
  <w16cid:commentId w16cid:paraId="47665737" w16cid:durableId="1DBFDEED"/>
  <w16cid:commentId w16cid:paraId="4B39D4E3" w16cid:durableId="1DBFDF5C"/>
  <w16cid:commentId w16cid:paraId="6FDF733B" w16cid:durableId="1DBFE3AF"/>
  <w16cid:commentId w16cid:paraId="3AB86E45" w16cid:durableId="1DBFE4F2"/>
  <w16cid:commentId w16cid:paraId="02929A77" w16cid:durableId="1DBDEA85"/>
  <w16cid:commentId w16cid:paraId="41A7FCE9" w16cid:durableId="1DBFEA12"/>
  <w16cid:commentId w16cid:paraId="5FBC7140" w16cid:durableId="1DBDF415"/>
  <w16cid:commentId w16cid:paraId="7DE2AA2F" w16cid:durableId="1DBDF4AF"/>
  <w16cid:commentId w16cid:paraId="04623F5A" w16cid:durableId="1DBFEBBA"/>
  <w16cid:commentId w16cid:paraId="22D45595" w16cid:durableId="1DBFEB99"/>
  <w16cid:commentId w16cid:paraId="32AD94BD" w16cid:durableId="1DBDF536"/>
  <w16cid:commentId w16cid:paraId="46DF2870" w16cid:durableId="1DBDFDBE"/>
  <w16cid:commentId w16cid:paraId="63C8CF3D" w16cid:durableId="1DBFF062"/>
  <w16cid:commentId w16cid:paraId="43DE80A8" w16cid:durableId="1DBFF312"/>
  <w16cid:commentId w16cid:paraId="11D22E73" w16cid:durableId="1DBFF09A"/>
  <w16cid:commentId w16cid:paraId="3561641D" w16cid:durableId="1DBFC506"/>
  <w16cid:commentId w16cid:paraId="428817E9" w16cid:durableId="1DBDFEC3"/>
  <w16cid:commentId w16cid:paraId="6FFB9A3D" w16cid:durableId="1DBE02B6"/>
  <w16cid:commentId w16cid:paraId="6DDA0F93" w16cid:durableId="1DBFF62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69DF" w:rsidRDefault="00F669DF" w:rsidP="003B242B">
      <w:r>
        <w:separator/>
      </w:r>
    </w:p>
  </w:endnote>
  <w:endnote w:type="continuationSeparator" w:id="0">
    <w:p w:rsidR="00F669DF" w:rsidRDefault="00F669DF" w:rsidP="003B242B">
      <w:r>
        <w:continuationSeparator/>
      </w:r>
    </w:p>
  </w:endnote>
  <w:endnote w:id="1">
    <w:p w:rsidR="00EC7907" w:rsidRDefault="00EC7907" w:rsidP="00F72EFE">
      <w:pPr>
        <w:pStyle w:val="EndnoteText"/>
      </w:pPr>
      <w:r>
        <w:rPr>
          <w:rStyle w:val="EndnoteReference"/>
        </w:rPr>
        <w:endnoteRef/>
      </w:r>
      <w:r>
        <w:t xml:space="preserve"> </w:t>
      </w:r>
      <w:r w:rsidRPr="00E845DD">
        <w:t>Frequently Asked Questions</w:t>
      </w:r>
      <w:r>
        <w:t>: Surveys on Patient Safety Culture</w:t>
      </w:r>
      <w:r w:rsidRPr="00E845DD">
        <w:t xml:space="preserve">. Content last reviewed April 2015. Agency for Healthcare Research and Quality, Rockville, MD. </w:t>
      </w:r>
      <w:hyperlink r:id="rId1" w:history="1">
        <w:r w:rsidRPr="00AB1B37">
          <w:rPr>
            <w:rStyle w:val="Hyperlink"/>
          </w:rPr>
          <w:t>http://www.ahrq.gov/professionals/quality-patient-safety/patientsafetyculture/pscfaq.html</w:t>
        </w:r>
      </w:hyperlink>
      <w:r>
        <w:t xml:space="preserve"> </w:t>
      </w:r>
    </w:p>
  </w:endnote>
  <w:endnote w:id="2">
    <w:p w:rsidR="00EC7907" w:rsidRDefault="00EC7907">
      <w:pPr>
        <w:pStyle w:val="EndnoteText"/>
      </w:pPr>
      <w:r>
        <w:rPr>
          <w:rStyle w:val="EndnoteReference"/>
        </w:rPr>
        <w:endnoteRef/>
      </w:r>
      <w:r>
        <w:t xml:space="preserve"> See </w:t>
      </w:r>
      <w:r w:rsidRPr="007D0D52">
        <w:rPr>
          <w:szCs w:val="24"/>
        </w:rPr>
        <w:t>42 C.F.R. §416.2</w:t>
      </w:r>
      <w:r>
        <w:rPr>
          <w:szCs w:val="24"/>
        </w:rPr>
        <w:t xml:space="preserve">. See </w:t>
      </w:r>
      <w:hyperlink r:id="rId2" w:history="1">
        <w:r w:rsidRPr="00046F6E">
          <w:rPr>
            <w:rStyle w:val="Hyperlink"/>
            <w:szCs w:val="24"/>
          </w:rPr>
          <w:t>https://www.gpo.gov/fdsys/granule/CFR-2010-title42-vol3/CFR-2010-title42-vol3-sec416-2</w:t>
        </w:r>
      </w:hyperlink>
      <w:r>
        <w:rPr>
          <w:szCs w:val="24"/>
        </w:rPr>
        <w:t>. Last accessed 11/20/2017.</w:t>
      </w:r>
    </w:p>
  </w:endnote>
  <w:endnote w:id="3">
    <w:p w:rsidR="00EC7907" w:rsidRDefault="00EC7907" w:rsidP="00C54153">
      <w:pPr>
        <w:pStyle w:val="EndnoteText"/>
      </w:pPr>
      <w:r>
        <w:rPr>
          <w:rStyle w:val="EndnoteReference"/>
        </w:rPr>
        <w:endnoteRef/>
      </w:r>
      <w:r>
        <w:t xml:space="preserve"> Healthcare Research and Quality Act of 1999. Available at </w:t>
      </w:r>
      <w:hyperlink r:id="rId3" w:history="1">
        <w:r w:rsidRPr="00046F6E">
          <w:rPr>
            <w:rStyle w:val="Hyperlink"/>
          </w:rPr>
          <w:t>https://www.ahrq.gov/policymakers/hrqa99a.html</w:t>
        </w:r>
      </w:hyperlink>
      <w:r>
        <w:t>. Last accessed 11/20/2017.</w:t>
      </w:r>
    </w:p>
  </w:endnote>
  <w:endnote w:id="4">
    <w:p w:rsidR="00EC7907" w:rsidRDefault="00EC7907">
      <w:pPr>
        <w:pStyle w:val="EndnoteText"/>
      </w:pPr>
      <w:r>
        <w:rPr>
          <w:rStyle w:val="EndnoteReference"/>
        </w:rPr>
        <w:endnoteRef/>
      </w:r>
      <w:r>
        <w:t xml:space="preserve"> See Section 902, (a) (8) of the Healthcare Research and Quality Act of 1999. Available at </w:t>
      </w:r>
      <w:hyperlink r:id="rId4" w:history="1">
        <w:r w:rsidRPr="00046F6E">
          <w:rPr>
            <w:rStyle w:val="Hyperlink"/>
          </w:rPr>
          <w:t>https://www.ahrq.gov/policymakers/hrqa99a.html</w:t>
        </w:r>
      </w:hyperlink>
      <w:r>
        <w:t>. Last accessed 11/20/2017.</w:t>
      </w:r>
    </w:p>
  </w:endnote>
  <w:endnote w:id="5">
    <w:p w:rsidR="00EC7907" w:rsidRDefault="00EC7907" w:rsidP="00A2142E">
      <w:pPr>
        <w:pStyle w:val="EndnoteText"/>
      </w:pPr>
      <w:r>
        <w:rPr>
          <w:rStyle w:val="EndnoteReference"/>
        </w:rPr>
        <w:endnoteRef/>
      </w:r>
      <w:r>
        <w:t xml:space="preserve"> </w:t>
      </w:r>
      <w:r w:rsidRPr="000A2922">
        <w:t>Institute of Medicine (US) Committee on Quality of Health Care in America; Kohn LT, Corrigan JM, Donaldson MS, editors. To Err is Human: Building a Safer Health System. Washington (DC): National Academies Press (US); 2000.</w:t>
      </w:r>
      <w:r>
        <w:t xml:space="preserve"> Available at </w:t>
      </w:r>
      <w:hyperlink r:id="rId5" w:history="1">
        <w:r w:rsidRPr="00046F6E">
          <w:rPr>
            <w:rStyle w:val="Hyperlink"/>
          </w:rPr>
          <w:t>https://www.nap.edu/resource/9728/To-Err-is-Human-1999--report-brief.pdf</w:t>
        </w:r>
      </w:hyperlink>
      <w:r>
        <w:t>. Last accessed 11/20/2017.</w:t>
      </w:r>
    </w:p>
  </w:endnote>
  <w:endnote w:id="6">
    <w:p w:rsidR="00EC7907" w:rsidRDefault="00EC7907" w:rsidP="00C54153">
      <w:pPr>
        <w:pStyle w:val="EndnoteText"/>
      </w:pPr>
      <w:r>
        <w:rPr>
          <w:rStyle w:val="EndnoteReference"/>
        </w:rPr>
        <w:endnoteRef/>
      </w:r>
      <w:r>
        <w:t xml:space="preserve"> </w:t>
      </w:r>
      <w:r w:rsidRPr="00425C15">
        <w:t xml:space="preserve">Internet Citation: Mission and Budget. Content last reviewed June 2017. Agency for Healthcare Research and Quality, Rockville, MD. </w:t>
      </w:r>
      <w:r>
        <w:t xml:space="preserve">Available at </w:t>
      </w:r>
      <w:hyperlink r:id="rId6" w:history="1">
        <w:r w:rsidRPr="00046F6E">
          <w:rPr>
            <w:rStyle w:val="Hyperlink"/>
          </w:rPr>
          <w:t>http://www.ahrq.gov/cpi/about/mission/index.html</w:t>
        </w:r>
      </w:hyperlink>
      <w:r>
        <w:t>. Last accessed 11/20/2017.</w:t>
      </w:r>
    </w:p>
  </w:endnote>
  <w:endnote w:id="7">
    <w:p w:rsidR="00EC7907" w:rsidRDefault="00EC7907" w:rsidP="0034629F">
      <w:pPr>
        <w:pStyle w:val="EndnoteText"/>
      </w:pPr>
      <w:r>
        <w:rPr>
          <w:rStyle w:val="EndnoteReference"/>
        </w:rPr>
        <w:endnoteRef/>
      </w:r>
      <w:r>
        <w:t xml:space="preserve"> </w:t>
      </w:r>
      <w:r w:rsidRPr="005371B9">
        <w:t>MEDPAC. Report to the Congress: Medicare payme</w:t>
      </w:r>
      <w:r>
        <w:t xml:space="preserve">nt policy. Washington, DC. 2012, as cited in </w:t>
      </w:r>
      <w:r w:rsidRPr="005371B9">
        <w:t>Hall MJ, Schwartzman A, Zhang J, Liu X. Ambulatory surgery data from hospitals and ambulatory surgery centers: United States, 2010. National health statistics reports; no 102. Hyattsville, MD: National Center for Health Statistics. 2017</w:t>
      </w:r>
      <w:r>
        <w:t xml:space="preserve">. Available at </w:t>
      </w:r>
      <w:hyperlink r:id="rId7" w:history="1">
        <w:r w:rsidRPr="00046F6E">
          <w:rPr>
            <w:rStyle w:val="Hyperlink"/>
          </w:rPr>
          <w:t>https://www.cdc.gov/nchs/data/nhsr/nhsr102.pdf</w:t>
        </w:r>
      </w:hyperlink>
      <w:r>
        <w:t>. Last accessed 11/20/2017.</w:t>
      </w:r>
    </w:p>
  </w:endnote>
  <w:endnote w:id="8">
    <w:p w:rsidR="00EC7907" w:rsidRDefault="00EC7907" w:rsidP="00F07829">
      <w:pPr>
        <w:pStyle w:val="EndnoteText"/>
      </w:pPr>
      <w:r>
        <w:rPr>
          <w:rStyle w:val="EndnoteReference"/>
        </w:rPr>
        <w:endnoteRef/>
      </w:r>
      <w:r>
        <w:t xml:space="preserve"> Report to the Congress: Medicare Payment Policy. Medicare Payment Advisory Commission, March 2017, Executive Summary, pg. xiv-xv. See </w:t>
      </w:r>
      <w:hyperlink r:id="rId8" w:history="1">
        <w:r w:rsidRPr="00046F6E">
          <w:rPr>
            <w:rStyle w:val="Hyperlink"/>
          </w:rPr>
          <w:t>http://medpac.gov/docs/default-source/reports/mar17_entirereport.pdf</w:t>
        </w:r>
      </w:hyperlink>
      <w:r>
        <w:t>. Last accessed 11/20/2017.</w:t>
      </w:r>
    </w:p>
  </w:endnote>
  <w:endnote w:id="9">
    <w:p w:rsidR="00EC7907" w:rsidRDefault="00EC7907">
      <w:pPr>
        <w:pStyle w:val="EndnoteText"/>
      </w:pPr>
      <w:r>
        <w:rPr>
          <w:rStyle w:val="EndnoteReference"/>
        </w:rPr>
        <w:endnoteRef/>
      </w:r>
      <w:r>
        <w:t xml:space="preserve"> </w:t>
      </w:r>
      <w:r w:rsidRPr="00425C15">
        <w:t xml:space="preserve">Koening L, Gu Q. Growth of ambulatory surgical centers, surgery volume, and savings to Medicare. </w:t>
      </w:r>
      <w:r w:rsidRPr="00425C15">
        <w:rPr>
          <w:i/>
        </w:rPr>
        <w:t>Am J Gastroenterol</w:t>
      </w:r>
      <w:r w:rsidRPr="00425C15">
        <w:t xml:space="preserve">. 2013 Jan; 108(1):10-5. doi: 10.1038/ajg.2012.183. Available at </w:t>
      </w:r>
      <w:hyperlink r:id="rId9" w:history="1">
        <w:r w:rsidRPr="00046F6E">
          <w:rPr>
            <w:rStyle w:val="Hyperlink"/>
          </w:rPr>
          <w:t>https://www.ncbi.nlm.nih.gov/pubmed/23287938</w:t>
        </w:r>
      </w:hyperlink>
      <w:r w:rsidRPr="00425C15">
        <w:t>. Last accessed 11/20/2017.</w:t>
      </w:r>
      <w:r>
        <w:t xml:space="preserve"> </w:t>
      </w:r>
    </w:p>
  </w:endnote>
  <w:endnote w:id="10">
    <w:p w:rsidR="00EC7907" w:rsidRDefault="00EC7907">
      <w:pPr>
        <w:pStyle w:val="EndnoteText"/>
      </w:pPr>
      <w:r>
        <w:rPr>
          <w:rStyle w:val="EndnoteReference"/>
        </w:rPr>
        <w:endnoteRef/>
      </w:r>
      <w:r>
        <w:t xml:space="preserve"> Ambulatory Surgical Center Healthcare-Associated Infection Initiative: Recovery Act-FY 2009 Plan Approvals. CMS website. See </w:t>
      </w:r>
      <w:hyperlink r:id="rId10" w:history="1">
        <w:r w:rsidRPr="00046F6E">
          <w:rPr>
            <w:rStyle w:val="Hyperlink"/>
          </w:rPr>
          <w:t>https://www.cms.gov/Medicare/Provider-Enrollment-and-Certification/SurveyCertificationGenInfo/Downloads/ASC_HAI_MAP.pdf</w:t>
        </w:r>
      </w:hyperlink>
      <w:r>
        <w:t>. Last accessed 11/20/2017.</w:t>
      </w:r>
    </w:p>
  </w:endnote>
  <w:endnote w:id="11">
    <w:p w:rsidR="00EC7907" w:rsidRDefault="00EC7907">
      <w:pPr>
        <w:pStyle w:val="EndnoteText"/>
      </w:pPr>
      <w:r>
        <w:rPr>
          <w:rStyle w:val="EndnoteReference"/>
        </w:rPr>
        <w:endnoteRef/>
      </w:r>
      <w:r>
        <w:t xml:space="preserve"> “National Healthcare Safety Network Surgical Site Infection Surveillance.” Published on the Web site of the Association for Professionals in Infection Control and Epidemiology, 2013. Available at </w:t>
      </w:r>
      <w:hyperlink r:id="rId11" w:history="1">
        <w:r w:rsidRPr="00046F6E">
          <w:rPr>
            <w:rStyle w:val="Hyperlink"/>
          </w:rPr>
          <w:t>https://apic.org/Resource_/TinyMceFileManager/Academy/ASC_101_resources/Surveillance_NHSN/ASCA_NHSN_SSI_Surveillance_2013.pdf</w:t>
        </w:r>
      </w:hyperlink>
      <w:r>
        <w:t>. Last accessed 11/20/2017.</w:t>
      </w:r>
    </w:p>
  </w:endnote>
  <w:endnote w:id="12">
    <w:p w:rsidR="00EC7907" w:rsidRPr="00F72EFE" w:rsidRDefault="00EC7907" w:rsidP="00714D08">
      <w:pPr>
        <w:pStyle w:val="EndnoteText"/>
        <w:rPr>
          <w:szCs w:val="24"/>
        </w:rPr>
      </w:pPr>
      <w:r>
        <w:rPr>
          <w:rStyle w:val="EndnoteReference"/>
        </w:rPr>
        <w:endnoteRef/>
      </w:r>
      <w:r>
        <w:t xml:space="preserve"> See specifically: </w:t>
      </w:r>
      <w:r w:rsidRPr="00604BFB">
        <w:rPr>
          <w:szCs w:val="24"/>
        </w:rPr>
        <w:t>Section 3006(f) of the Patient Protection and Affordable Care Act (Pub. L. 111-148), enacted on March 23, 2010, as amended by the Health Care and Education Reconciliation Act of 2010 (Pub. L. 111-152)</w:t>
      </w:r>
      <w:r>
        <w:rPr>
          <w:szCs w:val="24"/>
        </w:rPr>
        <w:t>; as well as section 10301(a)</w:t>
      </w:r>
      <w:r w:rsidRPr="00604BFB">
        <w:rPr>
          <w:szCs w:val="24"/>
        </w:rPr>
        <w:t xml:space="preserve">, </w:t>
      </w:r>
      <w:r>
        <w:rPr>
          <w:szCs w:val="24"/>
        </w:rPr>
        <w:t xml:space="preserve">which was </w:t>
      </w:r>
      <w:r w:rsidRPr="00604BFB">
        <w:rPr>
          <w:szCs w:val="24"/>
        </w:rPr>
        <w:t>enacted on M</w:t>
      </w:r>
      <w:r>
        <w:rPr>
          <w:szCs w:val="24"/>
        </w:rPr>
        <w:t>arch 30, 2010—C</w:t>
      </w:r>
      <w:r w:rsidRPr="00604BFB">
        <w:rPr>
          <w:szCs w:val="24"/>
        </w:rPr>
        <w:t>ollectively k</w:t>
      </w:r>
      <w:r>
        <w:rPr>
          <w:szCs w:val="24"/>
        </w:rPr>
        <w:t xml:space="preserve">nown as the Affordable Care Act. </w:t>
      </w:r>
    </w:p>
  </w:endnote>
  <w:endnote w:id="13">
    <w:p w:rsidR="00EC7907" w:rsidRDefault="00EC7907" w:rsidP="00714D08">
      <w:pPr>
        <w:pStyle w:val="EndnoteText"/>
      </w:pPr>
      <w:r>
        <w:rPr>
          <w:rStyle w:val="EndnoteReference"/>
        </w:rPr>
        <w:endnoteRef/>
      </w:r>
      <w:r>
        <w:t xml:space="preserve"> More information is available on the CMS ASC page (</w:t>
      </w:r>
      <w:hyperlink r:id="rId12" w:history="1">
        <w:r w:rsidRPr="00AB1B37">
          <w:rPr>
            <w:rStyle w:val="Hyperlink"/>
          </w:rPr>
          <w:t>https://www.cms.gov/Center/Provider-Type/Ambulatory-Surgical-Centers-ASC-Center.html</w:t>
        </w:r>
      </w:hyperlink>
      <w:r>
        <w:t>) and the CMS ASC Payment page (</w:t>
      </w:r>
      <w:hyperlink r:id="rId13" w:history="1">
        <w:r w:rsidRPr="00AB1B37">
          <w:rPr>
            <w:rStyle w:val="Hyperlink"/>
          </w:rPr>
          <w:t>https://www.cms.gov/Medicare/Medicare-Fee-for-Service-Payment/ASCPayment/index.html</w:t>
        </w:r>
      </w:hyperlink>
      <w:r>
        <w:t>).</w:t>
      </w:r>
    </w:p>
  </w:endnote>
  <w:endnote w:id="14">
    <w:p w:rsidR="00EC7907" w:rsidRDefault="00EC7907" w:rsidP="00277AAD">
      <w:pPr>
        <w:pStyle w:val="EndnoteText"/>
      </w:pPr>
      <w:r>
        <w:rPr>
          <w:rStyle w:val="EndnoteReference"/>
        </w:rPr>
        <w:endnoteRef/>
      </w:r>
      <w:r>
        <w:t xml:space="preserve"> Kulczycki M. “Ambulatory Buzz: New Patient Safety Systems Chapter for Ambulatory Care and Office-Based Surgery.” Joint Commission Blog. January 25, 2017. Available at </w:t>
      </w:r>
      <w:hyperlink r:id="rId14" w:history="1">
        <w:r w:rsidRPr="00046F6E">
          <w:rPr>
            <w:rStyle w:val="Hyperlink"/>
          </w:rPr>
          <w:t>https://www.jointcommission.org/ambulatory_buzz/new_patient_safety_systems_chapter_ambulatory_care_officebased_surgery/</w:t>
        </w:r>
      </w:hyperlink>
      <w:r>
        <w:t>. Last accessed 11/20/2017.</w:t>
      </w:r>
    </w:p>
  </w:endnote>
  <w:endnote w:id="15">
    <w:p w:rsidR="00EC7907" w:rsidRDefault="00EC7907" w:rsidP="00277AAD">
      <w:pPr>
        <w:pStyle w:val="EndnoteText"/>
      </w:pPr>
      <w:r>
        <w:rPr>
          <w:rStyle w:val="EndnoteReference"/>
        </w:rPr>
        <w:endnoteRef/>
      </w:r>
      <w:r>
        <w:t xml:space="preserve"> “Medicare program: Hospital Outpatient Prospective Payment and Ambulatory Surgical Center Payment Systems and Quality Reporting Programs.” Centers for Medicare and Medicaid Services, final rule with comment period. 42 CFR Parts 414, 416, and 419. Federal Register, Vol. 82, No. 217, November 13, 2017, page 52356. Available at </w:t>
      </w:r>
      <w:hyperlink r:id="rId15" w:history="1">
        <w:r w:rsidRPr="00046F6E">
          <w:rPr>
            <w:rStyle w:val="Hyperlink"/>
          </w:rPr>
          <w:t>https://www.gpo.gov/fdsys/pkg/FR-2017-11-13/pdf/2017-23932.pdf</w:t>
        </w:r>
      </w:hyperlink>
      <w:r>
        <w:t xml:space="preserve">. </w:t>
      </w:r>
    </w:p>
  </w:endnote>
  <w:endnote w:id="16">
    <w:p w:rsidR="00315970" w:rsidRDefault="00315970" w:rsidP="00315970">
      <w:pPr>
        <w:pStyle w:val="EndnoteText"/>
      </w:pPr>
      <w:r>
        <w:rPr>
          <w:rStyle w:val="EndnoteReference"/>
        </w:rPr>
        <w:endnoteRef/>
      </w:r>
      <w:r>
        <w:t xml:space="preserve"> </w:t>
      </w:r>
      <w:r w:rsidRPr="00AB32F9">
        <w:t xml:space="preserve">Ambulatory Surgery Center Survey on Patient Safety Culture. Content last reviewed June 2017. Agency for Healthcare Research and Quality, Rockville, MD. </w:t>
      </w:r>
      <w:hyperlink r:id="rId16" w:history="1">
        <w:r w:rsidRPr="00387536">
          <w:rPr>
            <w:rStyle w:val="Hyperlink"/>
          </w:rPr>
          <w:t>http://www.ahrq.gov/sops/quality-patient-safety/patientsafetyculture/asc/index.html</w:t>
        </w:r>
      </w:hyperlink>
      <w:r>
        <w:t>. Last accessed 2/5/2018.</w:t>
      </w:r>
    </w:p>
  </w:endnote>
  <w:endnote w:id="17">
    <w:p w:rsidR="00EC7907" w:rsidRDefault="00EC7907" w:rsidP="00AF71DA">
      <w:pPr>
        <w:pStyle w:val="EndnoteText"/>
      </w:pPr>
      <w:r>
        <w:rPr>
          <w:rStyle w:val="EndnoteReference"/>
        </w:rPr>
        <w:endnoteRef/>
      </w:r>
      <w:r>
        <w:t xml:space="preserve"> </w:t>
      </w:r>
      <w:r w:rsidRPr="005371B9">
        <w:t>MEDPAC. Report to the Congress: Medicare payme</w:t>
      </w:r>
      <w:r>
        <w:t xml:space="preserve">nt policy. Washington, DC. 2012, as cited in </w:t>
      </w:r>
      <w:r w:rsidRPr="005371B9">
        <w:t>Hall MJ, Schwartzman A, Zhang J, Liu X. Ambulatory surgery data from hospitals and ambulatory surgery centers: United States, 2010. National health statistics reports; no 102. Hyattsville, MD: National Center for Health Statistics. 2017</w:t>
      </w:r>
      <w:r>
        <w:t xml:space="preserve">. Available at </w:t>
      </w:r>
      <w:hyperlink r:id="rId17" w:history="1">
        <w:r w:rsidRPr="00046F6E">
          <w:rPr>
            <w:rStyle w:val="Hyperlink"/>
          </w:rPr>
          <w:t>https://www.cdc.gov/nchs/data/nhsr/nhsr102.pdf</w:t>
        </w:r>
      </w:hyperlink>
      <w:r>
        <w:t>. Last accessed 11/20/2017.</w:t>
      </w:r>
    </w:p>
  </w:endnote>
  <w:endnote w:id="18">
    <w:p w:rsidR="00315970" w:rsidRDefault="00315970" w:rsidP="00AF71DA">
      <w:pPr>
        <w:pStyle w:val="EndnoteText"/>
      </w:pPr>
      <w:r>
        <w:t xml:space="preserve"> </w:t>
      </w:r>
      <w:r w:rsidRPr="005371B9">
        <w:t>MEDPAC. Report to the Congress: Medicare payme</w:t>
      </w:r>
      <w:r>
        <w:t xml:space="preserve">nt policy. Washington, DC. 2012, as cited in </w:t>
      </w:r>
      <w:r w:rsidRPr="005371B9">
        <w:t>Hall MJ, Schwartzman A, Zhang J, Liu X. Ambulatory surgery data from hospitals and ambulatory surgery centers: United States, 2010. National health statistics reports; no 102. Hyattsville, MD: National Center for Health Statistics. 2017</w:t>
      </w:r>
      <w:r>
        <w:t xml:space="preserve">. Available at </w:t>
      </w:r>
      <w:hyperlink r:id="rId18" w:history="1">
        <w:r w:rsidRPr="00046F6E">
          <w:rPr>
            <w:rStyle w:val="Hyperlink"/>
          </w:rPr>
          <w:t>https://www.cdc.gov/nchs/data/nhsr/nhsr102.pdf</w:t>
        </w:r>
      </w:hyperlink>
      <w:r>
        <w:t>. Last accessed 11/20/2017.</w:t>
      </w:r>
    </w:p>
    <w:p w:rsidR="00EC7907" w:rsidRDefault="00EC7907" w:rsidP="00DA2FB4">
      <w:pPr>
        <w:pStyle w:val="EndnoteText"/>
      </w:pPr>
      <w:r w:rsidRPr="00AB1B37">
        <w:rPr>
          <w:rStyle w:val="Hyperlink"/>
        </w:rPr>
        <w:t>tps://www.ahrq.gov/sites/default/files/wysiwyg/professionals/quality-patient-safety/patientsafetyculture/asc/resources/asc_pilotstudy.pdf</w:t>
      </w:r>
      <w:r>
        <w:t>. Last accessed 11/20/2017.</w:t>
      </w:r>
    </w:p>
  </w:endnote>
  <w:endnote w:id="19">
    <w:p w:rsidR="00EC7907" w:rsidRDefault="00EC7907" w:rsidP="00B9649A">
      <w:pPr>
        <w:pStyle w:val="EndnoteText"/>
      </w:pPr>
      <w:r>
        <w:rPr>
          <w:rStyle w:val="EndnoteReference"/>
        </w:rPr>
        <w:endnoteRef/>
      </w:r>
      <w:r>
        <w:t xml:space="preserve"> See </w:t>
      </w:r>
      <w:r w:rsidRPr="00527BBD">
        <w:t>42 U.S.C. 299a(a)(1) and (2).</w:t>
      </w:r>
    </w:p>
  </w:endnote>
  <w:endnote w:id="20">
    <w:p w:rsidR="00EC7907" w:rsidRDefault="00EC7907" w:rsidP="00026715">
      <w:pPr>
        <w:pStyle w:val="EndnoteText"/>
      </w:pPr>
      <w:r>
        <w:rPr>
          <w:rStyle w:val="EndnoteReference"/>
        </w:rPr>
        <w:endnoteRef/>
      </w:r>
      <w:r>
        <w:t xml:space="preserve"> </w:t>
      </w:r>
      <w:r w:rsidR="00190ED2">
        <w:t xml:space="preserve">Hospital </w:t>
      </w:r>
      <w:r w:rsidRPr="00971028">
        <w:t>User Database Reports. Content last reviewed November 2017. Agency for Healthcare Research and Quality, Rockville, MD.</w:t>
      </w:r>
      <w:r>
        <w:t xml:space="preserve"> Available at</w:t>
      </w:r>
      <w:r w:rsidRPr="00971028">
        <w:t xml:space="preserve"> </w:t>
      </w:r>
      <w:hyperlink r:id="rId19" w:history="1">
        <w:r w:rsidR="00190ED2" w:rsidRPr="00392EAD">
          <w:rPr>
            <w:rStyle w:val="Hyperlink"/>
          </w:rPr>
          <w:t>https://www.ahrq.gov/sops/quality-patient-safety/patientsafetyculture/hospital/hosp-reports.html</w:t>
        </w:r>
      </w:hyperlink>
      <w:r w:rsidR="00190ED2">
        <w:t xml:space="preserve">. </w:t>
      </w:r>
      <w:r>
        <w:t xml:space="preserve"> Last accessed 1/</w:t>
      </w:r>
      <w:r w:rsidR="00190ED2">
        <w:t>12/2018</w:t>
      </w: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Roman">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93273920"/>
      <w:docPartObj>
        <w:docPartGallery w:val="Page Numbers (Bottom of Page)"/>
        <w:docPartUnique/>
      </w:docPartObj>
    </w:sdtPr>
    <w:sdtEndPr>
      <w:rPr>
        <w:noProof/>
      </w:rPr>
    </w:sdtEndPr>
    <w:sdtContent>
      <w:p w:rsidR="00EC7907" w:rsidRDefault="00EC7907">
        <w:pPr>
          <w:pStyle w:val="Footer"/>
          <w:jc w:val="right"/>
        </w:pPr>
        <w:r>
          <w:fldChar w:fldCharType="begin"/>
        </w:r>
        <w:r>
          <w:instrText xml:space="preserve"> PAGE   \* MERGEFORMAT </w:instrText>
        </w:r>
        <w:r>
          <w:fldChar w:fldCharType="separate"/>
        </w:r>
        <w:r w:rsidR="00D96204">
          <w:rPr>
            <w:noProof/>
          </w:rPr>
          <w:t>1</w:t>
        </w:r>
        <w:r>
          <w:rPr>
            <w:noProof/>
          </w:rPr>
          <w:fldChar w:fldCharType="end"/>
        </w:r>
      </w:p>
    </w:sdtContent>
  </w:sdt>
  <w:p w:rsidR="00EC7907" w:rsidRDefault="00EC790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69DF" w:rsidRDefault="00F669DF" w:rsidP="003B242B">
      <w:r>
        <w:separator/>
      </w:r>
    </w:p>
  </w:footnote>
  <w:footnote w:type="continuationSeparator" w:id="0">
    <w:p w:rsidR="00F669DF" w:rsidRDefault="00F669DF" w:rsidP="003B242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E584A"/>
    <w:multiLevelType w:val="hybridMultilevel"/>
    <w:tmpl w:val="990250B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7C15A3"/>
    <w:multiLevelType w:val="hybridMultilevel"/>
    <w:tmpl w:val="2FE493B4"/>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5435AF3"/>
    <w:multiLevelType w:val="hybridMultilevel"/>
    <w:tmpl w:val="50CAC6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43A00D5"/>
    <w:multiLevelType w:val="hybridMultilevel"/>
    <w:tmpl w:val="6A805114"/>
    <w:lvl w:ilvl="0" w:tplc="4EE05CA0">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D51275A"/>
    <w:multiLevelType w:val="hybridMultilevel"/>
    <w:tmpl w:val="DEC4B106"/>
    <w:lvl w:ilvl="0" w:tplc="7A069F5A">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E2C5797"/>
    <w:multiLevelType w:val="hybridMultilevel"/>
    <w:tmpl w:val="C5B441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025537B"/>
    <w:multiLevelType w:val="hybridMultilevel"/>
    <w:tmpl w:val="990250B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0C96841"/>
    <w:multiLevelType w:val="hybridMultilevel"/>
    <w:tmpl w:val="A560FDC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610685A"/>
    <w:multiLevelType w:val="hybridMultilevel"/>
    <w:tmpl w:val="F08E367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4D15F80"/>
    <w:multiLevelType w:val="hybridMultilevel"/>
    <w:tmpl w:val="386A96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DE11A89"/>
    <w:multiLevelType w:val="hybridMultilevel"/>
    <w:tmpl w:val="387C7C1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421769B"/>
    <w:multiLevelType w:val="hybridMultilevel"/>
    <w:tmpl w:val="A6B03714"/>
    <w:lvl w:ilvl="0" w:tplc="60809A9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6FB4C1C"/>
    <w:multiLevelType w:val="hybridMultilevel"/>
    <w:tmpl w:val="18DE581A"/>
    <w:lvl w:ilvl="0" w:tplc="6A8AC9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5"/>
  </w:num>
  <w:num w:numId="3">
    <w:abstractNumId w:val="11"/>
  </w:num>
  <w:num w:numId="4">
    <w:abstractNumId w:val="3"/>
  </w:num>
  <w:num w:numId="5">
    <w:abstractNumId w:val="9"/>
  </w:num>
  <w:num w:numId="6">
    <w:abstractNumId w:val="2"/>
  </w:num>
  <w:num w:numId="7">
    <w:abstractNumId w:val="0"/>
  </w:num>
  <w:num w:numId="8">
    <w:abstractNumId w:val="4"/>
  </w:num>
  <w:num w:numId="9">
    <w:abstractNumId w:val="1"/>
  </w:num>
  <w:num w:numId="10">
    <w:abstractNumId w:val="7"/>
  </w:num>
  <w:num w:numId="11">
    <w:abstractNumId w:val="8"/>
  </w:num>
  <w:num w:numId="12">
    <w:abstractNumId w:val="6"/>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displayBackgroundShape/>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31B2"/>
    <w:rsid w:val="000007FB"/>
    <w:rsid w:val="00025CB6"/>
    <w:rsid w:val="00026715"/>
    <w:rsid w:val="000332D1"/>
    <w:rsid w:val="0006113D"/>
    <w:rsid w:val="00065007"/>
    <w:rsid w:val="00067767"/>
    <w:rsid w:val="00093FDC"/>
    <w:rsid w:val="000A2922"/>
    <w:rsid w:val="000B628E"/>
    <w:rsid w:val="000C5534"/>
    <w:rsid w:val="000C6706"/>
    <w:rsid w:val="000E0259"/>
    <w:rsid w:val="00104B5C"/>
    <w:rsid w:val="00104F28"/>
    <w:rsid w:val="00113B9F"/>
    <w:rsid w:val="00123C56"/>
    <w:rsid w:val="00136BC8"/>
    <w:rsid w:val="00140F56"/>
    <w:rsid w:val="00161CB7"/>
    <w:rsid w:val="00165BD8"/>
    <w:rsid w:val="00171F09"/>
    <w:rsid w:val="00172662"/>
    <w:rsid w:val="00175654"/>
    <w:rsid w:val="001765DB"/>
    <w:rsid w:val="00190ED2"/>
    <w:rsid w:val="001A5ADB"/>
    <w:rsid w:val="001A78AE"/>
    <w:rsid w:val="001E0947"/>
    <w:rsid w:val="001E2E73"/>
    <w:rsid w:val="001E6168"/>
    <w:rsid w:val="001F799E"/>
    <w:rsid w:val="002079A9"/>
    <w:rsid w:val="002245C2"/>
    <w:rsid w:val="00235C92"/>
    <w:rsid w:val="0024631E"/>
    <w:rsid w:val="002530A8"/>
    <w:rsid w:val="0027311C"/>
    <w:rsid w:val="00277AAD"/>
    <w:rsid w:val="002959A2"/>
    <w:rsid w:val="00296CD3"/>
    <w:rsid w:val="002B4A61"/>
    <w:rsid w:val="002E4C94"/>
    <w:rsid w:val="00305811"/>
    <w:rsid w:val="00315970"/>
    <w:rsid w:val="00321607"/>
    <w:rsid w:val="00336C1C"/>
    <w:rsid w:val="003405D1"/>
    <w:rsid w:val="00344051"/>
    <w:rsid w:val="0034629F"/>
    <w:rsid w:val="003548C3"/>
    <w:rsid w:val="0035599A"/>
    <w:rsid w:val="00355C6C"/>
    <w:rsid w:val="00355CCD"/>
    <w:rsid w:val="00372C84"/>
    <w:rsid w:val="00386FED"/>
    <w:rsid w:val="00392E4B"/>
    <w:rsid w:val="003B242B"/>
    <w:rsid w:val="003D0C15"/>
    <w:rsid w:val="003D7C60"/>
    <w:rsid w:val="003E1918"/>
    <w:rsid w:val="003F48FD"/>
    <w:rsid w:val="00407764"/>
    <w:rsid w:val="0041568E"/>
    <w:rsid w:val="00425C15"/>
    <w:rsid w:val="004400FA"/>
    <w:rsid w:val="00441799"/>
    <w:rsid w:val="004500CA"/>
    <w:rsid w:val="0045437A"/>
    <w:rsid w:val="004756E5"/>
    <w:rsid w:val="00476D60"/>
    <w:rsid w:val="00476FEC"/>
    <w:rsid w:val="00486A77"/>
    <w:rsid w:val="004C7FF7"/>
    <w:rsid w:val="004F248D"/>
    <w:rsid w:val="00515793"/>
    <w:rsid w:val="005226F5"/>
    <w:rsid w:val="00527C61"/>
    <w:rsid w:val="005371B9"/>
    <w:rsid w:val="00540EA9"/>
    <w:rsid w:val="00552E01"/>
    <w:rsid w:val="00555756"/>
    <w:rsid w:val="00561757"/>
    <w:rsid w:val="00566068"/>
    <w:rsid w:val="00576778"/>
    <w:rsid w:val="005845CB"/>
    <w:rsid w:val="005966F0"/>
    <w:rsid w:val="005B31B2"/>
    <w:rsid w:val="005C464A"/>
    <w:rsid w:val="005D3921"/>
    <w:rsid w:val="005E552E"/>
    <w:rsid w:val="005E6329"/>
    <w:rsid w:val="00604BFB"/>
    <w:rsid w:val="00606F5F"/>
    <w:rsid w:val="00607E9D"/>
    <w:rsid w:val="00624470"/>
    <w:rsid w:val="00637F73"/>
    <w:rsid w:val="006446CA"/>
    <w:rsid w:val="00647DF6"/>
    <w:rsid w:val="006545A4"/>
    <w:rsid w:val="00657D59"/>
    <w:rsid w:val="0066651C"/>
    <w:rsid w:val="00690D60"/>
    <w:rsid w:val="00696D52"/>
    <w:rsid w:val="006A68D7"/>
    <w:rsid w:val="006C3804"/>
    <w:rsid w:val="006E478C"/>
    <w:rsid w:val="006E7E55"/>
    <w:rsid w:val="00700780"/>
    <w:rsid w:val="00710530"/>
    <w:rsid w:val="00714D08"/>
    <w:rsid w:val="00723E2A"/>
    <w:rsid w:val="007329EC"/>
    <w:rsid w:val="007410CE"/>
    <w:rsid w:val="0075457A"/>
    <w:rsid w:val="00756145"/>
    <w:rsid w:val="00764909"/>
    <w:rsid w:val="007721E4"/>
    <w:rsid w:val="00781825"/>
    <w:rsid w:val="00785003"/>
    <w:rsid w:val="0079488F"/>
    <w:rsid w:val="00795BD2"/>
    <w:rsid w:val="007B4D30"/>
    <w:rsid w:val="007C5B14"/>
    <w:rsid w:val="007D0392"/>
    <w:rsid w:val="007D37DF"/>
    <w:rsid w:val="007E1DFD"/>
    <w:rsid w:val="007E7D1E"/>
    <w:rsid w:val="008002F3"/>
    <w:rsid w:val="008006E5"/>
    <w:rsid w:val="008047C4"/>
    <w:rsid w:val="00804BFC"/>
    <w:rsid w:val="008064F7"/>
    <w:rsid w:val="00810516"/>
    <w:rsid w:val="0083037D"/>
    <w:rsid w:val="008347D0"/>
    <w:rsid w:val="00850473"/>
    <w:rsid w:val="0088309A"/>
    <w:rsid w:val="008C0EE6"/>
    <w:rsid w:val="008C7853"/>
    <w:rsid w:val="00905575"/>
    <w:rsid w:val="00916AD7"/>
    <w:rsid w:val="00971028"/>
    <w:rsid w:val="00976A33"/>
    <w:rsid w:val="009839E8"/>
    <w:rsid w:val="009A1EE9"/>
    <w:rsid w:val="009C647E"/>
    <w:rsid w:val="009D7A2F"/>
    <w:rsid w:val="00A1187C"/>
    <w:rsid w:val="00A17E97"/>
    <w:rsid w:val="00A2142E"/>
    <w:rsid w:val="00A3622F"/>
    <w:rsid w:val="00A5431C"/>
    <w:rsid w:val="00A5779D"/>
    <w:rsid w:val="00A60ACB"/>
    <w:rsid w:val="00A655C7"/>
    <w:rsid w:val="00A763FF"/>
    <w:rsid w:val="00A80AC6"/>
    <w:rsid w:val="00A91989"/>
    <w:rsid w:val="00A93F62"/>
    <w:rsid w:val="00AA1F8D"/>
    <w:rsid w:val="00AB0F89"/>
    <w:rsid w:val="00AB32F9"/>
    <w:rsid w:val="00AB6107"/>
    <w:rsid w:val="00AB63C5"/>
    <w:rsid w:val="00AD1144"/>
    <w:rsid w:val="00AE5F14"/>
    <w:rsid w:val="00AF71DA"/>
    <w:rsid w:val="00AF7E3D"/>
    <w:rsid w:val="00B429BC"/>
    <w:rsid w:val="00B53BAF"/>
    <w:rsid w:val="00B67E92"/>
    <w:rsid w:val="00B7149D"/>
    <w:rsid w:val="00B821FE"/>
    <w:rsid w:val="00B83006"/>
    <w:rsid w:val="00B93766"/>
    <w:rsid w:val="00B93DB4"/>
    <w:rsid w:val="00B9649A"/>
    <w:rsid w:val="00BB45D9"/>
    <w:rsid w:val="00BB59FE"/>
    <w:rsid w:val="00BD16EF"/>
    <w:rsid w:val="00BF227E"/>
    <w:rsid w:val="00C1132D"/>
    <w:rsid w:val="00C23A74"/>
    <w:rsid w:val="00C4618C"/>
    <w:rsid w:val="00C54153"/>
    <w:rsid w:val="00C70BDE"/>
    <w:rsid w:val="00C91103"/>
    <w:rsid w:val="00C95764"/>
    <w:rsid w:val="00CC2A3F"/>
    <w:rsid w:val="00CE32DB"/>
    <w:rsid w:val="00CF01C6"/>
    <w:rsid w:val="00CF1CE9"/>
    <w:rsid w:val="00D0676D"/>
    <w:rsid w:val="00D14704"/>
    <w:rsid w:val="00D20F59"/>
    <w:rsid w:val="00D22A5F"/>
    <w:rsid w:val="00D37AFD"/>
    <w:rsid w:val="00D50A6A"/>
    <w:rsid w:val="00D87D85"/>
    <w:rsid w:val="00D914E2"/>
    <w:rsid w:val="00D95319"/>
    <w:rsid w:val="00D95891"/>
    <w:rsid w:val="00D9589B"/>
    <w:rsid w:val="00D96204"/>
    <w:rsid w:val="00DA2FB4"/>
    <w:rsid w:val="00DA388A"/>
    <w:rsid w:val="00DA4AED"/>
    <w:rsid w:val="00DB2914"/>
    <w:rsid w:val="00DB5810"/>
    <w:rsid w:val="00DD7536"/>
    <w:rsid w:val="00DE1DD4"/>
    <w:rsid w:val="00E05216"/>
    <w:rsid w:val="00E07FC3"/>
    <w:rsid w:val="00E10DC8"/>
    <w:rsid w:val="00E3394C"/>
    <w:rsid w:val="00E34CC9"/>
    <w:rsid w:val="00E34F78"/>
    <w:rsid w:val="00E416BA"/>
    <w:rsid w:val="00E45AC1"/>
    <w:rsid w:val="00E54969"/>
    <w:rsid w:val="00E742C3"/>
    <w:rsid w:val="00E83A46"/>
    <w:rsid w:val="00E845DD"/>
    <w:rsid w:val="00E85CF9"/>
    <w:rsid w:val="00E94E21"/>
    <w:rsid w:val="00EB40E4"/>
    <w:rsid w:val="00EC0F33"/>
    <w:rsid w:val="00EC18E6"/>
    <w:rsid w:val="00EC7907"/>
    <w:rsid w:val="00EF18DA"/>
    <w:rsid w:val="00F07829"/>
    <w:rsid w:val="00F4408E"/>
    <w:rsid w:val="00F44886"/>
    <w:rsid w:val="00F534E5"/>
    <w:rsid w:val="00F57F76"/>
    <w:rsid w:val="00F669DF"/>
    <w:rsid w:val="00F72358"/>
    <w:rsid w:val="00F728AD"/>
    <w:rsid w:val="00F72EFE"/>
    <w:rsid w:val="00F83864"/>
    <w:rsid w:val="00F84B38"/>
    <w:rsid w:val="00F979F0"/>
    <w:rsid w:val="00FA2BD8"/>
    <w:rsid w:val="00FA71A6"/>
    <w:rsid w:val="00FA77D3"/>
    <w:rsid w:val="00FB4F63"/>
    <w:rsid w:val="00FB7945"/>
    <w:rsid w:val="00FD13EE"/>
    <w:rsid w:val="00FE2DF6"/>
    <w:rsid w:val="00FE5015"/>
    <w:rsid w:val="00FF43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31B2"/>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D22A5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1765DB"/>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31B2"/>
    <w:pPr>
      <w:ind w:left="720"/>
      <w:contextualSpacing/>
    </w:pPr>
  </w:style>
  <w:style w:type="character" w:styleId="Hyperlink">
    <w:name w:val="Hyperlink"/>
    <w:basedOn w:val="DefaultParagraphFont"/>
    <w:uiPriority w:val="99"/>
    <w:unhideWhenUsed/>
    <w:rsid w:val="005B31B2"/>
    <w:rPr>
      <w:rFonts w:cs="Times New Roman"/>
      <w:color w:val="0563C1" w:themeColor="hyperlink"/>
      <w:u w:val="single"/>
    </w:rPr>
  </w:style>
  <w:style w:type="character" w:customStyle="1" w:styleId="UnresolvedMention1">
    <w:name w:val="Unresolved Mention1"/>
    <w:basedOn w:val="DefaultParagraphFont"/>
    <w:uiPriority w:val="99"/>
    <w:semiHidden/>
    <w:unhideWhenUsed/>
    <w:rsid w:val="005B31B2"/>
    <w:rPr>
      <w:color w:val="808080"/>
      <w:shd w:val="clear" w:color="auto" w:fill="E6E6E6"/>
    </w:rPr>
  </w:style>
  <w:style w:type="character" w:styleId="FootnoteReference">
    <w:name w:val="footnote reference"/>
    <w:basedOn w:val="DefaultParagraphFont"/>
    <w:semiHidden/>
    <w:unhideWhenUsed/>
    <w:rsid w:val="003B242B"/>
    <w:rPr>
      <w:vertAlign w:val="superscript"/>
    </w:rPr>
  </w:style>
  <w:style w:type="paragraph" w:styleId="EndnoteText">
    <w:name w:val="endnote text"/>
    <w:basedOn w:val="Normal"/>
    <w:link w:val="EndnoteTextChar"/>
    <w:uiPriority w:val="99"/>
    <w:semiHidden/>
    <w:unhideWhenUsed/>
    <w:rsid w:val="003B242B"/>
    <w:rPr>
      <w:sz w:val="20"/>
    </w:rPr>
  </w:style>
  <w:style w:type="character" w:customStyle="1" w:styleId="EndnoteTextChar">
    <w:name w:val="Endnote Text Char"/>
    <w:basedOn w:val="DefaultParagraphFont"/>
    <w:link w:val="EndnoteText"/>
    <w:uiPriority w:val="99"/>
    <w:semiHidden/>
    <w:rsid w:val="003B242B"/>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3B242B"/>
    <w:rPr>
      <w:vertAlign w:val="superscript"/>
    </w:rPr>
  </w:style>
  <w:style w:type="paragraph" w:styleId="Header">
    <w:name w:val="header"/>
    <w:basedOn w:val="Normal"/>
    <w:link w:val="HeaderChar"/>
    <w:uiPriority w:val="99"/>
    <w:unhideWhenUsed/>
    <w:rsid w:val="0045437A"/>
    <w:pPr>
      <w:tabs>
        <w:tab w:val="center" w:pos="4680"/>
        <w:tab w:val="right" w:pos="9360"/>
      </w:tabs>
    </w:pPr>
  </w:style>
  <w:style w:type="character" w:customStyle="1" w:styleId="HeaderChar">
    <w:name w:val="Header Char"/>
    <w:basedOn w:val="DefaultParagraphFont"/>
    <w:link w:val="Header"/>
    <w:uiPriority w:val="99"/>
    <w:rsid w:val="0045437A"/>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45437A"/>
    <w:pPr>
      <w:tabs>
        <w:tab w:val="center" w:pos="4680"/>
        <w:tab w:val="right" w:pos="9360"/>
      </w:tabs>
    </w:pPr>
  </w:style>
  <w:style w:type="character" w:customStyle="1" w:styleId="FooterChar">
    <w:name w:val="Footer Char"/>
    <w:basedOn w:val="DefaultParagraphFont"/>
    <w:link w:val="Footer"/>
    <w:uiPriority w:val="99"/>
    <w:rsid w:val="0045437A"/>
    <w:rPr>
      <w:rFonts w:ascii="Times New Roman" w:eastAsia="Times New Roman" w:hAnsi="Times New Roman" w:cs="Times New Roman"/>
      <w:sz w:val="24"/>
      <w:szCs w:val="20"/>
    </w:rPr>
  </w:style>
  <w:style w:type="character" w:customStyle="1" w:styleId="Heading2Char">
    <w:name w:val="Heading 2 Char"/>
    <w:basedOn w:val="DefaultParagraphFont"/>
    <w:link w:val="Heading2"/>
    <w:rsid w:val="001765DB"/>
    <w:rPr>
      <w:rFonts w:ascii="Arial" w:eastAsia="Times New Roman" w:hAnsi="Arial" w:cs="Arial"/>
      <w:b/>
      <w:bCs/>
      <w:i/>
      <w:iCs/>
      <w:sz w:val="28"/>
      <w:szCs w:val="28"/>
    </w:rPr>
  </w:style>
  <w:style w:type="paragraph" w:styleId="FootnoteText">
    <w:name w:val="footnote text"/>
    <w:basedOn w:val="Normal"/>
    <w:link w:val="FootnoteTextChar"/>
    <w:rsid w:val="001765DB"/>
    <w:pPr>
      <w:bidi/>
      <w:jc w:val="right"/>
    </w:pPr>
    <w:rPr>
      <w:sz w:val="20"/>
      <w:lang w:bidi="ar-QA"/>
    </w:rPr>
  </w:style>
  <w:style w:type="character" w:customStyle="1" w:styleId="FootnoteTextChar">
    <w:name w:val="Footnote Text Char"/>
    <w:basedOn w:val="DefaultParagraphFont"/>
    <w:link w:val="FootnoteText"/>
    <w:rsid w:val="001765DB"/>
    <w:rPr>
      <w:rFonts w:ascii="Times New Roman" w:eastAsia="Times New Roman" w:hAnsi="Times New Roman" w:cs="Times New Roman"/>
      <w:sz w:val="20"/>
      <w:szCs w:val="20"/>
      <w:lang w:bidi="ar-QA"/>
    </w:rPr>
  </w:style>
  <w:style w:type="character" w:styleId="Strong">
    <w:name w:val="Strong"/>
    <w:qFormat/>
    <w:rsid w:val="001765DB"/>
    <w:rPr>
      <w:b/>
      <w:bCs/>
    </w:rPr>
  </w:style>
  <w:style w:type="character" w:styleId="CommentReference">
    <w:name w:val="annotation reference"/>
    <w:basedOn w:val="DefaultParagraphFont"/>
    <w:uiPriority w:val="99"/>
    <w:semiHidden/>
    <w:unhideWhenUsed/>
    <w:rsid w:val="00C91103"/>
    <w:rPr>
      <w:sz w:val="16"/>
      <w:szCs w:val="16"/>
    </w:rPr>
  </w:style>
  <w:style w:type="paragraph" w:styleId="CommentText">
    <w:name w:val="annotation text"/>
    <w:basedOn w:val="Normal"/>
    <w:link w:val="CommentTextChar"/>
    <w:uiPriority w:val="99"/>
    <w:unhideWhenUsed/>
    <w:rsid w:val="00C91103"/>
    <w:rPr>
      <w:sz w:val="20"/>
    </w:rPr>
  </w:style>
  <w:style w:type="character" w:customStyle="1" w:styleId="CommentTextChar">
    <w:name w:val="Comment Text Char"/>
    <w:basedOn w:val="DefaultParagraphFont"/>
    <w:link w:val="CommentText"/>
    <w:uiPriority w:val="99"/>
    <w:rsid w:val="00C9110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91103"/>
    <w:rPr>
      <w:b/>
      <w:bCs/>
    </w:rPr>
  </w:style>
  <w:style w:type="character" w:customStyle="1" w:styleId="CommentSubjectChar">
    <w:name w:val="Comment Subject Char"/>
    <w:basedOn w:val="CommentTextChar"/>
    <w:link w:val="CommentSubject"/>
    <w:uiPriority w:val="99"/>
    <w:semiHidden/>
    <w:rsid w:val="00C91103"/>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C9110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1103"/>
    <w:rPr>
      <w:rFonts w:ascii="Segoe UI" w:eastAsia="Times New Roman" w:hAnsi="Segoe UI" w:cs="Segoe UI"/>
      <w:sz w:val="18"/>
      <w:szCs w:val="18"/>
    </w:rPr>
  </w:style>
  <w:style w:type="character" w:customStyle="1" w:styleId="Heading1Char">
    <w:name w:val="Heading 1 Char"/>
    <w:basedOn w:val="DefaultParagraphFont"/>
    <w:link w:val="Heading1"/>
    <w:uiPriority w:val="9"/>
    <w:rsid w:val="00D22A5F"/>
    <w:rPr>
      <w:rFonts w:asciiTheme="majorHAnsi" w:eastAsiaTheme="majorEastAsia" w:hAnsiTheme="majorHAnsi" w:cstheme="majorBidi"/>
      <w:color w:val="2F5496" w:themeColor="accent1" w:themeShade="BF"/>
      <w:sz w:val="32"/>
      <w:szCs w:val="32"/>
    </w:rPr>
  </w:style>
  <w:style w:type="character" w:customStyle="1" w:styleId="UnresolvedMention2">
    <w:name w:val="Unresolved Mention2"/>
    <w:basedOn w:val="DefaultParagraphFont"/>
    <w:uiPriority w:val="99"/>
    <w:semiHidden/>
    <w:unhideWhenUsed/>
    <w:rsid w:val="000007FB"/>
    <w:rPr>
      <w:color w:val="808080"/>
      <w:shd w:val="clear" w:color="auto" w:fill="E6E6E6"/>
    </w:rPr>
  </w:style>
  <w:style w:type="character" w:customStyle="1" w:styleId="UnresolvedMention3">
    <w:name w:val="Unresolved Mention3"/>
    <w:basedOn w:val="DefaultParagraphFont"/>
    <w:uiPriority w:val="99"/>
    <w:semiHidden/>
    <w:unhideWhenUsed/>
    <w:rsid w:val="005371B9"/>
    <w:rPr>
      <w:color w:val="808080"/>
      <w:shd w:val="clear" w:color="auto" w:fill="E6E6E6"/>
    </w:rPr>
  </w:style>
  <w:style w:type="character" w:styleId="FollowedHyperlink">
    <w:name w:val="FollowedHyperlink"/>
    <w:basedOn w:val="DefaultParagraphFont"/>
    <w:uiPriority w:val="99"/>
    <w:semiHidden/>
    <w:unhideWhenUsed/>
    <w:rsid w:val="00CE32DB"/>
    <w:rPr>
      <w:color w:val="954F72" w:themeColor="followedHyperlink"/>
      <w:u w:val="single"/>
    </w:rPr>
  </w:style>
  <w:style w:type="paragraph" w:styleId="NormalWeb">
    <w:name w:val="Normal (Web)"/>
    <w:basedOn w:val="Normal"/>
    <w:rsid w:val="00E34CC9"/>
    <w:pPr>
      <w:spacing w:before="100" w:beforeAutospacing="1" w:after="100" w:afterAutospacing="1"/>
    </w:pPr>
    <w:rPr>
      <w:szCs w:val="24"/>
    </w:rPr>
  </w:style>
  <w:style w:type="paragraph" w:styleId="TOCHeading">
    <w:name w:val="TOC Heading"/>
    <w:basedOn w:val="Heading1"/>
    <w:next w:val="Normal"/>
    <w:uiPriority w:val="39"/>
    <w:unhideWhenUsed/>
    <w:qFormat/>
    <w:rsid w:val="00E34CC9"/>
    <w:pPr>
      <w:spacing w:before="480" w:line="276" w:lineRule="auto"/>
      <w:outlineLvl w:val="9"/>
    </w:pPr>
    <w:rPr>
      <w:rFonts w:ascii="Cambria" w:eastAsia="Times New Roman" w:hAnsi="Cambria" w:cs="Times New Roman"/>
      <w:b/>
      <w:bCs/>
      <w:color w:val="365F91"/>
      <w:sz w:val="28"/>
      <w:szCs w:val="28"/>
    </w:rPr>
  </w:style>
  <w:style w:type="paragraph" w:styleId="TOC1">
    <w:name w:val="toc 1"/>
    <w:basedOn w:val="Normal"/>
    <w:next w:val="Normal"/>
    <w:autoRedefine/>
    <w:uiPriority w:val="39"/>
    <w:unhideWhenUsed/>
    <w:rsid w:val="00E34CC9"/>
    <w:pPr>
      <w:spacing w:after="100"/>
    </w:pPr>
  </w:style>
  <w:style w:type="paragraph" w:styleId="TOC2">
    <w:name w:val="toc 2"/>
    <w:basedOn w:val="Normal"/>
    <w:next w:val="Normal"/>
    <w:autoRedefine/>
    <w:uiPriority w:val="39"/>
    <w:unhideWhenUsed/>
    <w:rsid w:val="00E34CC9"/>
    <w:pPr>
      <w:spacing w:after="100"/>
      <w:ind w:left="240"/>
    </w:pPr>
  </w:style>
  <w:style w:type="paragraph" w:styleId="Revision">
    <w:name w:val="Revision"/>
    <w:hidden/>
    <w:uiPriority w:val="99"/>
    <w:semiHidden/>
    <w:rsid w:val="00140F56"/>
    <w:pPr>
      <w:spacing w:after="0" w:line="240" w:lineRule="auto"/>
    </w:pPr>
    <w:rPr>
      <w:rFonts w:ascii="Times New Roman" w:eastAsia="Times New Roman" w:hAnsi="Times New Roman" w:cs="Times New Roman"/>
      <w:sz w:val="24"/>
      <w:szCs w:val="20"/>
    </w:rPr>
  </w:style>
  <w:style w:type="character" w:customStyle="1" w:styleId="UnresolvedMention">
    <w:name w:val="Unresolved Mention"/>
    <w:basedOn w:val="DefaultParagraphFont"/>
    <w:uiPriority w:val="99"/>
    <w:semiHidden/>
    <w:unhideWhenUsed/>
    <w:rsid w:val="00AF71DA"/>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31B2"/>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D22A5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1765DB"/>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31B2"/>
    <w:pPr>
      <w:ind w:left="720"/>
      <w:contextualSpacing/>
    </w:pPr>
  </w:style>
  <w:style w:type="character" w:styleId="Hyperlink">
    <w:name w:val="Hyperlink"/>
    <w:basedOn w:val="DefaultParagraphFont"/>
    <w:uiPriority w:val="99"/>
    <w:unhideWhenUsed/>
    <w:rsid w:val="005B31B2"/>
    <w:rPr>
      <w:rFonts w:cs="Times New Roman"/>
      <w:color w:val="0563C1" w:themeColor="hyperlink"/>
      <w:u w:val="single"/>
    </w:rPr>
  </w:style>
  <w:style w:type="character" w:customStyle="1" w:styleId="UnresolvedMention1">
    <w:name w:val="Unresolved Mention1"/>
    <w:basedOn w:val="DefaultParagraphFont"/>
    <w:uiPriority w:val="99"/>
    <w:semiHidden/>
    <w:unhideWhenUsed/>
    <w:rsid w:val="005B31B2"/>
    <w:rPr>
      <w:color w:val="808080"/>
      <w:shd w:val="clear" w:color="auto" w:fill="E6E6E6"/>
    </w:rPr>
  </w:style>
  <w:style w:type="character" w:styleId="FootnoteReference">
    <w:name w:val="footnote reference"/>
    <w:basedOn w:val="DefaultParagraphFont"/>
    <w:semiHidden/>
    <w:unhideWhenUsed/>
    <w:rsid w:val="003B242B"/>
    <w:rPr>
      <w:vertAlign w:val="superscript"/>
    </w:rPr>
  </w:style>
  <w:style w:type="paragraph" w:styleId="EndnoteText">
    <w:name w:val="endnote text"/>
    <w:basedOn w:val="Normal"/>
    <w:link w:val="EndnoteTextChar"/>
    <w:uiPriority w:val="99"/>
    <w:semiHidden/>
    <w:unhideWhenUsed/>
    <w:rsid w:val="003B242B"/>
    <w:rPr>
      <w:sz w:val="20"/>
    </w:rPr>
  </w:style>
  <w:style w:type="character" w:customStyle="1" w:styleId="EndnoteTextChar">
    <w:name w:val="Endnote Text Char"/>
    <w:basedOn w:val="DefaultParagraphFont"/>
    <w:link w:val="EndnoteText"/>
    <w:uiPriority w:val="99"/>
    <w:semiHidden/>
    <w:rsid w:val="003B242B"/>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3B242B"/>
    <w:rPr>
      <w:vertAlign w:val="superscript"/>
    </w:rPr>
  </w:style>
  <w:style w:type="paragraph" w:styleId="Header">
    <w:name w:val="header"/>
    <w:basedOn w:val="Normal"/>
    <w:link w:val="HeaderChar"/>
    <w:uiPriority w:val="99"/>
    <w:unhideWhenUsed/>
    <w:rsid w:val="0045437A"/>
    <w:pPr>
      <w:tabs>
        <w:tab w:val="center" w:pos="4680"/>
        <w:tab w:val="right" w:pos="9360"/>
      </w:tabs>
    </w:pPr>
  </w:style>
  <w:style w:type="character" w:customStyle="1" w:styleId="HeaderChar">
    <w:name w:val="Header Char"/>
    <w:basedOn w:val="DefaultParagraphFont"/>
    <w:link w:val="Header"/>
    <w:uiPriority w:val="99"/>
    <w:rsid w:val="0045437A"/>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45437A"/>
    <w:pPr>
      <w:tabs>
        <w:tab w:val="center" w:pos="4680"/>
        <w:tab w:val="right" w:pos="9360"/>
      </w:tabs>
    </w:pPr>
  </w:style>
  <w:style w:type="character" w:customStyle="1" w:styleId="FooterChar">
    <w:name w:val="Footer Char"/>
    <w:basedOn w:val="DefaultParagraphFont"/>
    <w:link w:val="Footer"/>
    <w:uiPriority w:val="99"/>
    <w:rsid w:val="0045437A"/>
    <w:rPr>
      <w:rFonts w:ascii="Times New Roman" w:eastAsia="Times New Roman" w:hAnsi="Times New Roman" w:cs="Times New Roman"/>
      <w:sz w:val="24"/>
      <w:szCs w:val="20"/>
    </w:rPr>
  </w:style>
  <w:style w:type="character" w:customStyle="1" w:styleId="Heading2Char">
    <w:name w:val="Heading 2 Char"/>
    <w:basedOn w:val="DefaultParagraphFont"/>
    <w:link w:val="Heading2"/>
    <w:rsid w:val="001765DB"/>
    <w:rPr>
      <w:rFonts w:ascii="Arial" w:eastAsia="Times New Roman" w:hAnsi="Arial" w:cs="Arial"/>
      <w:b/>
      <w:bCs/>
      <w:i/>
      <w:iCs/>
      <w:sz w:val="28"/>
      <w:szCs w:val="28"/>
    </w:rPr>
  </w:style>
  <w:style w:type="paragraph" w:styleId="FootnoteText">
    <w:name w:val="footnote text"/>
    <w:basedOn w:val="Normal"/>
    <w:link w:val="FootnoteTextChar"/>
    <w:rsid w:val="001765DB"/>
    <w:pPr>
      <w:bidi/>
      <w:jc w:val="right"/>
    </w:pPr>
    <w:rPr>
      <w:sz w:val="20"/>
      <w:lang w:bidi="ar-QA"/>
    </w:rPr>
  </w:style>
  <w:style w:type="character" w:customStyle="1" w:styleId="FootnoteTextChar">
    <w:name w:val="Footnote Text Char"/>
    <w:basedOn w:val="DefaultParagraphFont"/>
    <w:link w:val="FootnoteText"/>
    <w:rsid w:val="001765DB"/>
    <w:rPr>
      <w:rFonts w:ascii="Times New Roman" w:eastAsia="Times New Roman" w:hAnsi="Times New Roman" w:cs="Times New Roman"/>
      <w:sz w:val="20"/>
      <w:szCs w:val="20"/>
      <w:lang w:bidi="ar-QA"/>
    </w:rPr>
  </w:style>
  <w:style w:type="character" w:styleId="Strong">
    <w:name w:val="Strong"/>
    <w:qFormat/>
    <w:rsid w:val="001765DB"/>
    <w:rPr>
      <w:b/>
      <w:bCs/>
    </w:rPr>
  </w:style>
  <w:style w:type="character" w:styleId="CommentReference">
    <w:name w:val="annotation reference"/>
    <w:basedOn w:val="DefaultParagraphFont"/>
    <w:uiPriority w:val="99"/>
    <w:semiHidden/>
    <w:unhideWhenUsed/>
    <w:rsid w:val="00C91103"/>
    <w:rPr>
      <w:sz w:val="16"/>
      <w:szCs w:val="16"/>
    </w:rPr>
  </w:style>
  <w:style w:type="paragraph" w:styleId="CommentText">
    <w:name w:val="annotation text"/>
    <w:basedOn w:val="Normal"/>
    <w:link w:val="CommentTextChar"/>
    <w:uiPriority w:val="99"/>
    <w:unhideWhenUsed/>
    <w:rsid w:val="00C91103"/>
    <w:rPr>
      <w:sz w:val="20"/>
    </w:rPr>
  </w:style>
  <w:style w:type="character" w:customStyle="1" w:styleId="CommentTextChar">
    <w:name w:val="Comment Text Char"/>
    <w:basedOn w:val="DefaultParagraphFont"/>
    <w:link w:val="CommentText"/>
    <w:uiPriority w:val="99"/>
    <w:rsid w:val="00C9110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91103"/>
    <w:rPr>
      <w:b/>
      <w:bCs/>
    </w:rPr>
  </w:style>
  <w:style w:type="character" w:customStyle="1" w:styleId="CommentSubjectChar">
    <w:name w:val="Comment Subject Char"/>
    <w:basedOn w:val="CommentTextChar"/>
    <w:link w:val="CommentSubject"/>
    <w:uiPriority w:val="99"/>
    <w:semiHidden/>
    <w:rsid w:val="00C91103"/>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C9110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1103"/>
    <w:rPr>
      <w:rFonts w:ascii="Segoe UI" w:eastAsia="Times New Roman" w:hAnsi="Segoe UI" w:cs="Segoe UI"/>
      <w:sz w:val="18"/>
      <w:szCs w:val="18"/>
    </w:rPr>
  </w:style>
  <w:style w:type="character" w:customStyle="1" w:styleId="Heading1Char">
    <w:name w:val="Heading 1 Char"/>
    <w:basedOn w:val="DefaultParagraphFont"/>
    <w:link w:val="Heading1"/>
    <w:uiPriority w:val="9"/>
    <w:rsid w:val="00D22A5F"/>
    <w:rPr>
      <w:rFonts w:asciiTheme="majorHAnsi" w:eastAsiaTheme="majorEastAsia" w:hAnsiTheme="majorHAnsi" w:cstheme="majorBidi"/>
      <w:color w:val="2F5496" w:themeColor="accent1" w:themeShade="BF"/>
      <w:sz w:val="32"/>
      <w:szCs w:val="32"/>
    </w:rPr>
  </w:style>
  <w:style w:type="character" w:customStyle="1" w:styleId="UnresolvedMention2">
    <w:name w:val="Unresolved Mention2"/>
    <w:basedOn w:val="DefaultParagraphFont"/>
    <w:uiPriority w:val="99"/>
    <w:semiHidden/>
    <w:unhideWhenUsed/>
    <w:rsid w:val="000007FB"/>
    <w:rPr>
      <w:color w:val="808080"/>
      <w:shd w:val="clear" w:color="auto" w:fill="E6E6E6"/>
    </w:rPr>
  </w:style>
  <w:style w:type="character" w:customStyle="1" w:styleId="UnresolvedMention3">
    <w:name w:val="Unresolved Mention3"/>
    <w:basedOn w:val="DefaultParagraphFont"/>
    <w:uiPriority w:val="99"/>
    <w:semiHidden/>
    <w:unhideWhenUsed/>
    <w:rsid w:val="005371B9"/>
    <w:rPr>
      <w:color w:val="808080"/>
      <w:shd w:val="clear" w:color="auto" w:fill="E6E6E6"/>
    </w:rPr>
  </w:style>
  <w:style w:type="character" w:styleId="FollowedHyperlink">
    <w:name w:val="FollowedHyperlink"/>
    <w:basedOn w:val="DefaultParagraphFont"/>
    <w:uiPriority w:val="99"/>
    <w:semiHidden/>
    <w:unhideWhenUsed/>
    <w:rsid w:val="00CE32DB"/>
    <w:rPr>
      <w:color w:val="954F72" w:themeColor="followedHyperlink"/>
      <w:u w:val="single"/>
    </w:rPr>
  </w:style>
  <w:style w:type="paragraph" w:styleId="NormalWeb">
    <w:name w:val="Normal (Web)"/>
    <w:basedOn w:val="Normal"/>
    <w:rsid w:val="00E34CC9"/>
    <w:pPr>
      <w:spacing w:before="100" w:beforeAutospacing="1" w:after="100" w:afterAutospacing="1"/>
    </w:pPr>
    <w:rPr>
      <w:szCs w:val="24"/>
    </w:rPr>
  </w:style>
  <w:style w:type="paragraph" w:styleId="TOCHeading">
    <w:name w:val="TOC Heading"/>
    <w:basedOn w:val="Heading1"/>
    <w:next w:val="Normal"/>
    <w:uiPriority w:val="39"/>
    <w:unhideWhenUsed/>
    <w:qFormat/>
    <w:rsid w:val="00E34CC9"/>
    <w:pPr>
      <w:spacing w:before="480" w:line="276" w:lineRule="auto"/>
      <w:outlineLvl w:val="9"/>
    </w:pPr>
    <w:rPr>
      <w:rFonts w:ascii="Cambria" w:eastAsia="Times New Roman" w:hAnsi="Cambria" w:cs="Times New Roman"/>
      <w:b/>
      <w:bCs/>
      <w:color w:val="365F91"/>
      <w:sz w:val="28"/>
      <w:szCs w:val="28"/>
    </w:rPr>
  </w:style>
  <w:style w:type="paragraph" w:styleId="TOC1">
    <w:name w:val="toc 1"/>
    <w:basedOn w:val="Normal"/>
    <w:next w:val="Normal"/>
    <w:autoRedefine/>
    <w:uiPriority w:val="39"/>
    <w:unhideWhenUsed/>
    <w:rsid w:val="00E34CC9"/>
    <w:pPr>
      <w:spacing w:after="100"/>
    </w:pPr>
  </w:style>
  <w:style w:type="paragraph" w:styleId="TOC2">
    <w:name w:val="toc 2"/>
    <w:basedOn w:val="Normal"/>
    <w:next w:val="Normal"/>
    <w:autoRedefine/>
    <w:uiPriority w:val="39"/>
    <w:unhideWhenUsed/>
    <w:rsid w:val="00E34CC9"/>
    <w:pPr>
      <w:spacing w:after="100"/>
      <w:ind w:left="240"/>
    </w:pPr>
  </w:style>
  <w:style w:type="paragraph" w:styleId="Revision">
    <w:name w:val="Revision"/>
    <w:hidden/>
    <w:uiPriority w:val="99"/>
    <w:semiHidden/>
    <w:rsid w:val="00140F56"/>
    <w:pPr>
      <w:spacing w:after="0" w:line="240" w:lineRule="auto"/>
    </w:pPr>
    <w:rPr>
      <w:rFonts w:ascii="Times New Roman" w:eastAsia="Times New Roman" w:hAnsi="Times New Roman" w:cs="Times New Roman"/>
      <w:sz w:val="24"/>
      <w:szCs w:val="20"/>
    </w:rPr>
  </w:style>
  <w:style w:type="character" w:customStyle="1" w:styleId="UnresolvedMention">
    <w:name w:val="Unresolved Mention"/>
    <w:basedOn w:val="DefaultParagraphFont"/>
    <w:uiPriority w:val="99"/>
    <w:semiHidden/>
    <w:unhideWhenUsed/>
    <w:rsid w:val="00AF71D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4316842">
      <w:bodyDiv w:val="1"/>
      <w:marLeft w:val="0"/>
      <w:marRight w:val="0"/>
      <w:marTop w:val="0"/>
      <w:marBottom w:val="0"/>
      <w:divBdr>
        <w:top w:val="none" w:sz="0" w:space="0" w:color="auto"/>
        <w:left w:val="none" w:sz="0" w:space="0" w:color="auto"/>
        <w:bottom w:val="none" w:sz="0" w:space="0" w:color="auto"/>
        <w:right w:val="none" w:sz="0" w:space="0" w:color="auto"/>
      </w:divBdr>
    </w:div>
    <w:div w:id="1442341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ls.gov/oes/current/naics4_621400.htm" TargetMode="External"/><Relationship Id="rId5" Type="http://schemas.openxmlformats.org/officeDocument/2006/relationships/settings" Target="settings.xml"/><Relationship Id="rId10" Type="http://schemas.openxmlformats.org/officeDocument/2006/relationships/hyperlink" Target="https://www.ahrq.gov/sops/quality-patient-safety/patientsafetyculture/hospital/hosp-reports.html" TargetMode="External"/><Relationship Id="rId4" Type="http://schemas.microsoft.com/office/2007/relationships/stylesWithEffects" Target="stylesWithEffects.xml"/><Relationship Id="rId9" Type="http://schemas.openxmlformats.org/officeDocument/2006/relationships/hyperlink" Target="https://www.ahrq.gov/sops/quality-patient-safety/patientsafetyculture/asc/index.html" TargetMode="External"/><Relationship Id="rId14" Type="http://schemas.openxmlformats.org/officeDocument/2006/relationships/theme" Target="theme/theme1.xml"/></Relationships>
</file>

<file path=word/_rels/endnotes.xml.rels><?xml version="1.0" encoding="UTF-8" standalone="yes"?>
<Relationships xmlns="http://schemas.openxmlformats.org/package/2006/relationships"><Relationship Id="rId8" Type="http://schemas.openxmlformats.org/officeDocument/2006/relationships/hyperlink" Target="http://medpac.gov/docs/default-source/reports/mar17_entirereport.pdf" TargetMode="External"/><Relationship Id="rId13" Type="http://schemas.openxmlformats.org/officeDocument/2006/relationships/hyperlink" Target="https://www.cms.gov/Medicare/Medicare-Fee-for-Service-Payment/ASCPayment/index.html" TargetMode="External"/><Relationship Id="rId18" Type="http://schemas.openxmlformats.org/officeDocument/2006/relationships/hyperlink" Target="https://www.cdc.gov/nchs/data/nhsr/nhsr102.pdf" TargetMode="External"/><Relationship Id="rId3" Type="http://schemas.openxmlformats.org/officeDocument/2006/relationships/hyperlink" Target="https://www.ahrq.gov/policymakers/hrqa99a.html" TargetMode="External"/><Relationship Id="rId7" Type="http://schemas.openxmlformats.org/officeDocument/2006/relationships/hyperlink" Target="https://www.cdc.gov/nchs/data/nhsr/nhsr102.pdf" TargetMode="External"/><Relationship Id="rId12" Type="http://schemas.openxmlformats.org/officeDocument/2006/relationships/hyperlink" Target="https://www.cms.gov/Center/Provider-Type/Ambulatory-Surgical-Centers-ASC-Center.html" TargetMode="External"/><Relationship Id="rId17" Type="http://schemas.openxmlformats.org/officeDocument/2006/relationships/hyperlink" Target="https://www.cdc.gov/nchs/data/nhsr/nhsr102.pdf" TargetMode="External"/><Relationship Id="rId2" Type="http://schemas.openxmlformats.org/officeDocument/2006/relationships/hyperlink" Target="https://www.gpo.gov/fdsys/granule/CFR-2010-title42-vol3/CFR-2010-title42-vol3-sec416-2" TargetMode="External"/><Relationship Id="rId16" Type="http://schemas.openxmlformats.org/officeDocument/2006/relationships/hyperlink" Target="http://www.ahrq.gov/sops/quality-patient-safety/patientsafetyculture/asc/index.html" TargetMode="External"/><Relationship Id="rId1" Type="http://schemas.openxmlformats.org/officeDocument/2006/relationships/hyperlink" Target="http://www.ahrq.gov/professionals/quality-patient-safety/patientsafetyculture/pscfaq.html" TargetMode="External"/><Relationship Id="rId6" Type="http://schemas.openxmlformats.org/officeDocument/2006/relationships/hyperlink" Target="http://www.ahrq.gov/cpi/about/mission/index.html" TargetMode="External"/><Relationship Id="rId11" Type="http://schemas.openxmlformats.org/officeDocument/2006/relationships/hyperlink" Target="https://apic.org/Resource_/TinyMceFileManager/Academy/ASC_101_resources/Surveillance_NHSN/ASCA_NHSN_SSI_Surveillance_2013.pdf" TargetMode="External"/><Relationship Id="rId5" Type="http://schemas.openxmlformats.org/officeDocument/2006/relationships/hyperlink" Target="https://www.nap.edu/resource/9728/To-Err-is-Human-1999--report-brief.pdf" TargetMode="External"/><Relationship Id="rId15" Type="http://schemas.openxmlformats.org/officeDocument/2006/relationships/hyperlink" Target="https://www.gpo.gov/fdsys/pkg/FR-2017-11-13/pdf/2017-23932.pdf" TargetMode="External"/><Relationship Id="rId10" Type="http://schemas.openxmlformats.org/officeDocument/2006/relationships/hyperlink" Target="https://www.cms.gov/Medicare/Provider-Enrollment-and-Certification/SurveyCertificationGenInfo/Downloads/ASC_HAI_MAP.pdf" TargetMode="External"/><Relationship Id="rId19" Type="http://schemas.openxmlformats.org/officeDocument/2006/relationships/hyperlink" Target="https://www.ahrq.gov/sops/quality-patient-safety/patientsafetyculture/hospital/hosp-reports.html" TargetMode="External"/><Relationship Id="rId4" Type="http://schemas.openxmlformats.org/officeDocument/2006/relationships/hyperlink" Target="https://www.ahrq.gov/policymakers/hrqa99a.html" TargetMode="External"/><Relationship Id="rId9" Type="http://schemas.openxmlformats.org/officeDocument/2006/relationships/hyperlink" Target="https://www.ncbi.nlm.nih.gov/pubmed/23287938" TargetMode="External"/><Relationship Id="rId14" Type="http://schemas.openxmlformats.org/officeDocument/2006/relationships/hyperlink" Target="https://www.jointcommission.org/ambulatory_buzz/new_patient_safety_systems_chapter_ambulatory_care_officebased_surge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4362E2-CC9C-4728-8647-3625E57065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3534</Words>
  <Characters>20149</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23636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Sari Siegel</dc:creator>
  <cp:lastModifiedBy>SYSTEM</cp:lastModifiedBy>
  <cp:revision>2</cp:revision>
  <cp:lastPrinted>2018-07-06T18:25:00Z</cp:lastPrinted>
  <dcterms:created xsi:type="dcterms:W3CDTF">2018-07-09T15:35:00Z</dcterms:created>
  <dcterms:modified xsi:type="dcterms:W3CDTF">2018-07-09T15:35:00Z</dcterms:modified>
</cp:coreProperties>
</file>