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6885D" w14:textId="77777777" w:rsidR="005C3DC2" w:rsidRDefault="005C3DC2" w:rsidP="005C3DC2">
      <w:pPr>
        <w:ind w:left="1440" w:firstLine="720"/>
      </w:pPr>
      <w:bookmarkStart w:id="0" w:name="_GoBack"/>
      <w:bookmarkEnd w:id="0"/>
    </w:p>
    <w:p w14:paraId="72CA2017" w14:textId="77777777" w:rsidR="005C3DC2" w:rsidRDefault="005C3DC2" w:rsidP="005C3DC2">
      <w:pPr>
        <w:ind w:left="1440" w:firstLine="720"/>
      </w:pPr>
    </w:p>
    <w:p w14:paraId="4F3DF70F" w14:textId="77777777" w:rsidR="005C3DC2" w:rsidRDefault="005C3DC2" w:rsidP="005C3DC2">
      <w:pPr>
        <w:ind w:left="1440" w:firstLine="720"/>
      </w:pPr>
    </w:p>
    <w:p w14:paraId="173BD916" w14:textId="77777777" w:rsidR="005C3DC2" w:rsidRPr="00C67E99" w:rsidRDefault="005C3DC2" w:rsidP="007143FA">
      <w:pPr>
        <w:jc w:val="center"/>
        <w:rPr>
          <w:rFonts w:asciiTheme="minorHAnsi" w:hAnsiTheme="minorHAnsi"/>
          <w:sz w:val="32"/>
          <w:szCs w:val="32"/>
        </w:rPr>
      </w:pPr>
      <w:r w:rsidRPr="00C67E99">
        <w:rPr>
          <w:rFonts w:asciiTheme="minorHAnsi" w:hAnsiTheme="minorHAnsi"/>
          <w:sz w:val="32"/>
          <w:szCs w:val="32"/>
        </w:rPr>
        <w:t>Supporting Statement A for</w:t>
      </w:r>
    </w:p>
    <w:p w14:paraId="6E03E446" w14:textId="77777777" w:rsidR="005C3DC2" w:rsidRPr="00C67E99" w:rsidRDefault="005C3DC2" w:rsidP="007143FA">
      <w:pPr>
        <w:jc w:val="center"/>
        <w:rPr>
          <w:rFonts w:asciiTheme="minorHAnsi" w:hAnsiTheme="minorHAnsi"/>
          <w:sz w:val="28"/>
          <w:szCs w:val="28"/>
        </w:rPr>
      </w:pPr>
    </w:p>
    <w:p w14:paraId="265955FB" w14:textId="77777777" w:rsidR="00680E77" w:rsidRPr="00C67E99" w:rsidRDefault="00680E77" w:rsidP="007143FA">
      <w:pPr>
        <w:jc w:val="center"/>
        <w:rPr>
          <w:rFonts w:asciiTheme="minorHAnsi" w:hAnsiTheme="minorHAnsi"/>
          <w:sz w:val="28"/>
          <w:szCs w:val="28"/>
        </w:rPr>
      </w:pPr>
    </w:p>
    <w:p w14:paraId="6BC8F96A" w14:textId="77777777" w:rsidR="00CA02BF" w:rsidRPr="00C67E99" w:rsidRDefault="00CA02BF" w:rsidP="007143FA">
      <w:pPr>
        <w:jc w:val="center"/>
        <w:rPr>
          <w:rFonts w:asciiTheme="minorHAnsi" w:hAnsiTheme="minorHAnsi"/>
          <w:sz w:val="28"/>
          <w:szCs w:val="28"/>
        </w:rPr>
      </w:pPr>
    </w:p>
    <w:p w14:paraId="18153DA3" w14:textId="36A4B16F" w:rsidR="005C3DC2" w:rsidRPr="00C67E99" w:rsidRDefault="00472481" w:rsidP="007143FA">
      <w:pPr>
        <w:jc w:val="center"/>
        <w:rPr>
          <w:rFonts w:asciiTheme="minorHAnsi" w:hAnsiTheme="minorHAnsi"/>
          <w:sz w:val="32"/>
          <w:szCs w:val="32"/>
        </w:rPr>
      </w:pPr>
      <w:r w:rsidRPr="00C67E99">
        <w:rPr>
          <w:rFonts w:asciiTheme="minorHAnsi" w:hAnsiTheme="minorHAnsi"/>
          <w:sz w:val="32"/>
          <w:szCs w:val="32"/>
        </w:rPr>
        <w:t>NIEHS DERT Extramural Grantee Data Collection</w:t>
      </w:r>
      <w:r w:rsidR="00C9784F" w:rsidRPr="00C67E99">
        <w:rPr>
          <w:rFonts w:asciiTheme="minorHAnsi" w:hAnsiTheme="minorHAnsi"/>
          <w:sz w:val="32"/>
          <w:szCs w:val="32"/>
        </w:rPr>
        <w:t xml:space="preserve"> Re</w:t>
      </w:r>
      <w:r w:rsidR="00AB751F" w:rsidRPr="00C67E99">
        <w:rPr>
          <w:rFonts w:asciiTheme="minorHAnsi" w:hAnsiTheme="minorHAnsi"/>
          <w:sz w:val="32"/>
          <w:szCs w:val="32"/>
        </w:rPr>
        <w:t>vision</w:t>
      </w:r>
      <w:r w:rsidR="002E6718" w:rsidRPr="00C67E99">
        <w:rPr>
          <w:rFonts w:asciiTheme="minorHAnsi" w:hAnsiTheme="minorHAnsi"/>
          <w:sz w:val="32"/>
          <w:szCs w:val="32"/>
        </w:rPr>
        <w:t xml:space="preserve"> (NIEHS)</w:t>
      </w:r>
    </w:p>
    <w:p w14:paraId="56AA28A7" w14:textId="77777777" w:rsidR="00F03E27" w:rsidRPr="00C67E99" w:rsidRDefault="00F03E27" w:rsidP="00F03E27">
      <w:pPr>
        <w:ind w:left="360"/>
        <w:jc w:val="center"/>
        <w:rPr>
          <w:rFonts w:asciiTheme="minorHAnsi" w:hAnsiTheme="minorHAnsi" w:cstheme="minorHAnsi"/>
          <w:b/>
        </w:rPr>
      </w:pPr>
      <w:r w:rsidRPr="00C67E99">
        <w:rPr>
          <w:rFonts w:asciiTheme="minorHAnsi" w:hAnsiTheme="minorHAnsi" w:cstheme="minorHAnsi"/>
          <w:b/>
        </w:rPr>
        <w:t xml:space="preserve">OMB No. </w:t>
      </w:r>
      <w:bookmarkStart w:id="1" w:name="_Hlk517261236"/>
      <w:r w:rsidRPr="00C67E99">
        <w:rPr>
          <w:rFonts w:asciiTheme="minorHAnsi" w:hAnsiTheme="minorHAnsi" w:cstheme="minorHAnsi"/>
        </w:rPr>
        <w:t>0925-0657</w:t>
      </w:r>
      <w:bookmarkEnd w:id="1"/>
    </w:p>
    <w:p w14:paraId="4824670C" w14:textId="695756CF" w:rsidR="00F03E27" w:rsidRPr="00C67E99" w:rsidRDefault="00F03E27" w:rsidP="00F03E27">
      <w:pPr>
        <w:ind w:left="360"/>
        <w:jc w:val="center"/>
        <w:rPr>
          <w:rFonts w:asciiTheme="minorHAnsi" w:hAnsiTheme="minorHAnsi" w:cstheme="minorHAnsi"/>
          <w:b/>
        </w:rPr>
      </w:pPr>
      <w:r w:rsidRPr="00C67E99">
        <w:rPr>
          <w:rFonts w:asciiTheme="minorHAnsi" w:hAnsiTheme="minorHAnsi" w:cstheme="minorHAnsi"/>
          <w:b/>
        </w:rPr>
        <w:t xml:space="preserve">Exp. Date </w:t>
      </w:r>
      <w:r w:rsidRPr="00C67E99">
        <w:rPr>
          <w:rFonts w:asciiTheme="minorHAnsi" w:hAnsiTheme="minorHAnsi" w:cstheme="minorHAnsi"/>
          <w:highlight w:val="yellow"/>
        </w:rPr>
        <w:t>07/31/2018</w:t>
      </w:r>
    </w:p>
    <w:p w14:paraId="01EA5FE0" w14:textId="77777777" w:rsidR="00967AAE" w:rsidRPr="00C67E99" w:rsidRDefault="00967AAE" w:rsidP="007143FA">
      <w:pPr>
        <w:jc w:val="center"/>
        <w:rPr>
          <w:rFonts w:asciiTheme="minorHAnsi" w:hAnsiTheme="minorHAnsi"/>
          <w:sz w:val="32"/>
          <w:szCs w:val="32"/>
        </w:rPr>
      </w:pPr>
    </w:p>
    <w:p w14:paraId="176CB6B2" w14:textId="77777777" w:rsidR="00967AAE" w:rsidRPr="00C67E99" w:rsidRDefault="00967AAE" w:rsidP="007143FA">
      <w:pPr>
        <w:jc w:val="center"/>
        <w:rPr>
          <w:rFonts w:asciiTheme="minorHAnsi" w:hAnsiTheme="minorHAnsi"/>
          <w:sz w:val="32"/>
          <w:szCs w:val="32"/>
        </w:rPr>
      </w:pPr>
    </w:p>
    <w:p w14:paraId="40A9857C" w14:textId="77777777" w:rsidR="00967AAE" w:rsidRPr="00C67E99" w:rsidRDefault="00967AAE" w:rsidP="007143FA">
      <w:pPr>
        <w:jc w:val="center"/>
        <w:rPr>
          <w:rFonts w:asciiTheme="minorHAnsi" w:hAnsiTheme="minorHAnsi"/>
          <w:sz w:val="32"/>
          <w:szCs w:val="32"/>
        </w:rPr>
      </w:pPr>
    </w:p>
    <w:p w14:paraId="4272C714" w14:textId="225DA354" w:rsidR="00967AAE" w:rsidRPr="00C67E99" w:rsidRDefault="002E6718" w:rsidP="002E6718">
      <w:pPr>
        <w:rPr>
          <w:rFonts w:asciiTheme="minorHAnsi" w:hAnsiTheme="minorHAnsi"/>
        </w:rPr>
      </w:pPr>
      <w:r w:rsidRPr="00C67E99">
        <w:rPr>
          <w:rFonts w:asciiTheme="minorHAnsi" w:hAnsiTheme="minorHAnsi"/>
        </w:rPr>
        <w:t xml:space="preserve">Date: </w:t>
      </w:r>
      <w:r w:rsidR="0018777A" w:rsidRPr="00C67E99">
        <w:rPr>
          <w:rFonts w:asciiTheme="minorHAnsi" w:hAnsiTheme="minorHAnsi"/>
        </w:rPr>
        <w:t>July 1</w:t>
      </w:r>
      <w:r w:rsidR="006522C0" w:rsidRPr="00C67E99">
        <w:rPr>
          <w:rFonts w:asciiTheme="minorHAnsi" w:hAnsiTheme="minorHAnsi"/>
        </w:rPr>
        <w:t>,</w:t>
      </w:r>
      <w:r w:rsidR="00C9784F" w:rsidRPr="00C67E99">
        <w:rPr>
          <w:rFonts w:asciiTheme="minorHAnsi" w:hAnsiTheme="minorHAnsi"/>
        </w:rPr>
        <w:t xml:space="preserve"> 201</w:t>
      </w:r>
      <w:r w:rsidR="00AC43F3" w:rsidRPr="00C67E99">
        <w:rPr>
          <w:rFonts w:asciiTheme="minorHAnsi" w:hAnsiTheme="minorHAnsi"/>
        </w:rPr>
        <w:t>8</w:t>
      </w:r>
    </w:p>
    <w:p w14:paraId="484C2CB9" w14:textId="77777777" w:rsidR="00967AAE" w:rsidRPr="00C67E99" w:rsidRDefault="00967AAE" w:rsidP="002E6718">
      <w:pPr>
        <w:rPr>
          <w:rFonts w:asciiTheme="minorHAnsi" w:hAnsiTheme="minorHAnsi"/>
          <w:sz w:val="32"/>
          <w:szCs w:val="32"/>
        </w:rPr>
      </w:pPr>
    </w:p>
    <w:p w14:paraId="09D74A28" w14:textId="77777777" w:rsidR="002E6718" w:rsidRPr="00C67E99" w:rsidRDefault="002E6718" w:rsidP="002E6718">
      <w:pPr>
        <w:pStyle w:val="P1-StandPara"/>
        <w:tabs>
          <w:tab w:val="left" w:pos="720"/>
          <w:tab w:val="right" w:leader="dot" w:pos="9504"/>
        </w:tabs>
        <w:spacing w:before="120" w:line="240" w:lineRule="auto"/>
        <w:ind w:firstLine="0"/>
        <w:rPr>
          <w:rFonts w:asciiTheme="minorHAnsi" w:hAnsiTheme="minorHAnsi"/>
          <w:szCs w:val="22"/>
        </w:rPr>
      </w:pPr>
      <w:r w:rsidRPr="00C67E99">
        <w:rPr>
          <w:rFonts w:asciiTheme="minorHAnsi" w:hAnsiTheme="minorHAnsi"/>
          <w:szCs w:val="22"/>
        </w:rPr>
        <w:t>Check off which applies:</w:t>
      </w:r>
    </w:p>
    <w:p w14:paraId="2344A29F" w14:textId="77777777" w:rsidR="002E6718" w:rsidRPr="00C67E99" w:rsidRDefault="002E6718" w:rsidP="002E6718">
      <w:pPr>
        <w:pStyle w:val="ListParagraph"/>
        <w:numPr>
          <w:ilvl w:val="0"/>
          <w:numId w:val="12"/>
        </w:numPr>
        <w:spacing w:after="0" w:line="240" w:lineRule="auto"/>
        <w:rPr>
          <w:rFonts w:asciiTheme="minorHAnsi" w:hAnsiTheme="minorHAnsi"/>
        </w:rPr>
      </w:pPr>
      <w:r w:rsidRPr="00C67E99">
        <w:rPr>
          <w:rFonts w:asciiTheme="minorHAnsi" w:hAnsiTheme="minorHAnsi"/>
        </w:rPr>
        <w:t xml:space="preserve">New </w:t>
      </w:r>
    </w:p>
    <w:p w14:paraId="1B1F692F" w14:textId="5D86A1CF" w:rsidR="002E6718" w:rsidRPr="00C67E99" w:rsidRDefault="002E6718" w:rsidP="002E6718">
      <w:pPr>
        <w:ind w:left="360"/>
        <w:rPr>
          <w:rFonts w:asciiTheme="minorHAnsi" w:hAnsiTheme="minorHAnsi"/>
        </w:rPr>
      </w:pPr>
      <w:r w:rsidRPr="00C67E99">
        <w:rPr>
          <w:rFonts w:asciiTheme="minorHAnsi" w:hAnsiTheme="minorHAnsi"/>
        </w:rPr>
        <w:t>X</w:t>
      </w:r>
      <w:r w:rsidRPr="00C67E99">
        <w:rPr>
          <w:rFonts w:asciiTheme="minorHAnsi" w:hAnsiTheme="minorHAnsi"/>
        </w:rPr>
        <w:tab/>
        <w:t>Revision</w:t>
      </w:r>
      <w:r w:rsidRPr="00C67E99">
        <w:rPr>
          <w:rFonts w:asciiTheme="minorHAnsi" w:hAnsiTheme="minorHAnsi"/>
        </w:rPr>
        <w:tab/>
      </w:r>
      <w:r w:rsidRPr="00C67E99">
        <w:rPr>
          <w:rFonts w:asciiTheme="minorHAnsi" w:hAnsiTheme="minorHAnsi"/>
        </w:rPr>
        <w:tab/>
      </w:r>
      <w:r w:rsidRPr="00C67E99">
        <w:rPr>
          <w:rFonts w:asciiTheme="minorHAnsi" w:hAnsiTheme="minorHAnsi"/>
        </w:rPr>
        <w:tab/>
      </w:r>
    </w:p>
    <w:p w14:paraId="1F12E520" w14:textId="77777777" w:rsidR="002E6718" w:rsidRPr="00C67E99" w:rsidRDefault="002E6718" w:rsidP="002E6718">
      <w:pPr>
        <w:numPr>
          <w:ilvl w:val="0"/>
          <w:numId w:val="12"/>
        </w:numPr>
        <w:rPr>
          <w:rFonts w:asciiTheme="minorHAnsi" w:hAnsiTheme="minorHAnsi"/>
        </w:rPr>
      </w:pPr>
      <w:r w:rsidRPr="00C67E99">
        <w:rPr>
          <w:rFonts w:asciiTheme="minorHAnsi" w:hAnsiTheme="minorHAnsi"/>
        </w:rPr>
        <w:t>Reinstatement with Change</w:t>
      </w:r>
    </w:p>
    <w:p w14:paraId="32ECC72E" w14:textId="77777777" w:rsidR="002E6718" w:rsidRPr="00C67E99" w:rsidRDefault="002E6718" w:rsidP="002E6718">
      <w:pPr>
        <w:numPr>
          <w:ilvl w:val="0"/>
          <w:numId w:val="12"/>
        </w:numPr>
        <w:rPr>
          <w:rFonts w:asciiTheme="minorHAnsi" w:hAnsiTheme="minorHAnsi"/>
        </w:rPr>
      </w:pPr>
      <w:r w:rsidRPr="00C67E99">
        <w:rPr>
          <w:rFonts w:asciiTheme="minorHAnsi" w:hAnsiTheme="minorHAnsi"/>
        </w:rPr>
        <w:t>Reinstatement without Change</w:t>
      </w:r>
    </w:p>
    <w:p w14:paraId="40A1FF49" w14:textId="77777777" w:rsidR="002E6718" w:rsidRPr="00C67E99" w:rsidRDefault="002E6718" w:rsidP="002E6718">
      <w:pPr>
        <w:numPr>
          <w:ilvl w:val="0"/>
          <w:numId w:val="12"/>
        </w:numPr>
        <w:rPr>
          <w:rFonts w:asciiTheme="minorHAnsi" w:hAnsiTheme="minorHAnsi"/>
        </w:rPr>
      </w:pPr>
      <w:r w:rsidRPr="00C67E99">
        <w:rPr>
          <w:rFonts w:asciiTheme="minorHAnsi" w:hAnsiTheme="minorHAnsi"/>
        </w:rPr>
        <w:t>Extension</w:t>
      </w:r>
    </w:p>
    <w:p w14:paraId="21CB699D" w14:textId="77777777" w:rsidR="002E6718" w:rsidRPr="00C67E99" w:rsidRDefault="002E6718" w:rsidP="002E6718">
      <w:pPr>
        <w:numPr>
          <w:ilvl w:val="0"/>
          <w:numId w:val="12"/>
        </w:numPr>
        <w:rPr>
          <w:rFonts w:asciiTheme="minorHAnsi" w:hAnsiTheme="minorHAnsi"/>
        </w:rPr>
      </w:pPr>
      <w:r w:rsidRPr="00C67E99">
        <w:rPr>
          <w:rFonts w:asciiTheme="minorHAnsi" w:hAnsiTheme="minorHAnsi"/>
        </w:rPr>
        <w:t>Emergency</w:t>
      </w:r>
    </w:p>
    <w:p w14:paraId="139F7A90" w14:textId="77777777" w:rsidR="002E6718" w:rsidRPr="00C67E99" w:rsidRDefault="002E6718" w:rsidP="002E6718">
      <w:pPr>
        <w:numPr>
          <w:ilvl w:val="0"/>
          <w:numId w:val="12"/>
        </w:numPr>
        <w:rPr>
          <w:rFonts w:asciiTheme="minorHAnsi" w:hAnsiTheme="minorHAnsi"/>
        </w:rPr>
      </w:pPr>
      <w:r w:rsidRPr="00C67E99">
        <w:rPr>
          <w:rFonts w:asciiTheme="minorHAnsi" w:hAnsiTheme="minorHAnsi"/>
        </w:rPr>
        <w:t>Existing</w:t>
      </w:r>
    </w:p>
    <w:p w14:paraId="2D5C829C" w14:textId="77777777" w:rsidR="00967AAE" w:rsidRPr="00C67E99" w:rsidRDefault="00967AAE" w:rsidP="002E6718">
      <w:pPr>
        <w:rPr>
          <w:rFonts w:asciiTheme="minorHAnsi" w:hAnsiTheme="minorHAnsi"/>
          <w:color w:val="0000FF"/>
          <w:sz w:val="32"/>
          <w:szCs w:val="32"/>
        </w:rPr>
      </w:pPr>
    </w:p>
    <w:p w14:paraId="510B6680" w14:textId="77777777" w:rsidR="005C3DC2" w:rsidRPr="00C67E99" w:rsidRDefault="005C3DC2" w:rsidP="005C3DC2">
      <w:pPr>
        <w:rPr>
          <w:rFonts w:asciiTheme="minorHAnsi" w:hAnsiTheme="minorHAnsi"/>
          <w:color w:val="FF0000"/>
          <w:sz w:val="32"/>
          <w:szCs w:val="32"/>
        </w:rPr>
      </w:pPr>
    </w:p>
    <w:p w14:paraId="5C25652D" w14:textId="77777777" w:rsidR="005C3DC2" w:rsidRPr="00C67E99" w:rsidRDefault="005C3DC2" w:rsidP="005C3DC2">
      <w:pPr>
        <w:rPr>
          <w:rFonts w:asciiTheme="minorHAnsi" w:hAnsiTheme="minorHAnsi"/>
          <w:color w:val="0000FF"/>
          <w:sz w:val="32"/>
          <w:szCs w:val="32"/>
        </w:rPr>
      </w:pPr>
    </w:p>
    <w:p w14:paraId="3B7A7970" w14:textId="77777777" w:rsidR="002E6718" w:rsidRPr="00C67E99" w:rsidRDefault="002E6718" w:rsidP="002E6718">
      <w:pPr>
        <w:pStyle w:val="NormalWeb"/>
        <w:rPr>
          <w:rFonts w:asciiTheme="minorHAnsi" w:hAnsiTheme="minorHAnsi"/>
        </w:rPr>
      </w:pPr>
      <w:r w:rsidRPr="00C67E99">
        <w:rPr>
          <w:rFonts w:asciiTheme="minorHAnsi" w:hAnsiTheme="minorHAnsi"/>
        </w:rPr>
        <w:t>Federal Government Employee Information:</w:t>
      </w:r>
    </w:p>
    <w:p w14:paraId="5FDE26C7" w14:textId="2C687207" w:rsidR="007143FA" w:rsidRPr="00C67E99" w:rsidRDefault="002E6718" w:rsidP="002E6718">
      <w:pPr>
        <w:pStyle w:val="NormalWeb"/>
        <w:rPr>
          <w:rFonts w:asciiTheme="minorHAnsi" w:hAnsiTheme="minorHAnsi"/>
        </w:rPr>
      </w:pPr>
      <w:r w:rsidRPr="00C67E99">
        <w:rPr>
          <w:rFonts w:asciiTheme="minorHAnsi" w:hAnsiTheme="minorHAnsi"/>
        </w:rPr>
        <w:t xml:space="preserve">Name: </w:t>
      </w:r>
      <w:r w:rsidR="007143FA" w:rsidRPr="00C67E99">
        <w:rPr>
          <w:rFonts w:asciiTheme="minorHAnsi" w:hAnsiTheme="minorHAnsi"/>
        </w:rPr>
        <w:t>Project Officer Kristianna Pettibone, PhD</w:t>
      </w:r>
    </w:p>
    <w:p w14:paraId="68827C27" w14:textId="4C02DCEA" w:rsidR="007143FA" w:rsidRPr="00C67E99" w:rsidRDefault="002E6718" w:rsidP="002E6718">
      <w:pPr>
        <w:pStyle w:val="NormalWeb"/>
        <w:spacing w:before="0" w:beforeAutospacing="0" w:after="0" w:afterAutospacing="0"/>
        <w:rPr>
          <w:rFonts w:asciiTheme="minorHAnsi" w:hAnsiTheme="minorHAnsi"/>
        </w:rPr>
      </w:pPr>
      <w:r w:rsidRPr="00C67E99">
        <w:rPr>
          <w:rFonts w:asciiTheme="minorHAnsi" w:hAnsiTheme="minorHAnsi"/>
        </w:rPr>
        <w:t xml:space="preserve">Address: </w:t>
      </w:r>
      <w:r w:rsidR="007143FA" w:rsidRPr="00C67E99">
        <w:rPr>
          <w:rFonts w:asciiTheme="minorHAnsi" w:hAnsiTheme="minorHAnsi"/>
        </w:rPr>
        <w:t>Division of Extramural Research and Training</w:t>
      </w:r>
    </w:p>
    <w:p w14:paraId="70E1D887" w14:textId="77777777" w:rsidR="007143FA" w:rsidRPr="00C67E99" w:rsidRDefault="007143FA" w:rsidP="002E6718">
      <w:pPr>
        <w:pStyle w:val="NormalWeb"/>
        <w:spacing w:before="0" w:beforeAutospacing="0" w:after="0" w:afterAutospacing="0"/>
        <w:ind w:left="900"/>
        <w:rPr>
          <w:rFonts w:asciiTheme="minorHAnsi" w:hAnsiTheme="minorHAnsi"/>
        </w:rPr>
      </w:pPr>
      <w:r w:rsidRPr="00C67E99">
        <w:rPr>
          <w:rFonts w:asciiTheme="minorHAnsi" w:hAnsiTheme="minorHAnsi"/>
        </w:rPr>
        <w:t>National Institute of Environmental Health Sciences</w:t>
      </w:r>
    </w:p>
    <w:p w14:paraId="233CB69E" w14:textId="77777777" w:rsidR="007143FA" w:rsidRPr="00C67E99" w:rsidRDefault="007143FA" w:rsidP="002E6718">
      <w:pPr>
        <w:pStyle w:val="NormalWeb"/>
        <w:spacing w:before="0" w:beforeAutospacing="0" w:after="0" w:afterAutospacing="0"/>
        <w:ind w:left="900"/>
        <w:rPr>
          <w:rFonts w:asciiTheme="minorHAnsi" w:hAnsiTheme="minorHAnsi"/>
        </w:rPr>
      </w:pPr>
      <w:r w:rsidRPr="00C67E99">
        <w:rPr>
          <w:rFonts w:asciiTheme="minorHAnsi" w:hAnsiTheme="minorHAnsi"/>
        </w:rPr>
        <w:t>530 Davis Dr., MD KS-13</w:t>
      </w:r>
    </w:p>
    <w:p w14:paraId="6B36A3BD" w14:textId="77777777" w:rsidR="007143FA" w:rsidRPr="00C67E99" w:rsidRDefault="007143FA" w:rsidP="002E6718">
      <w:pPr>
        <w:pStyle w:val="NormalWeb"/>
        <w:spacing w:before="0" w:beforeAutospacing="0" w:after="0" w:afterAutospacing="0"/>
        <w:ind w:left="900"/>
        <w:rPr>
          <w:rFonts w:asciiTheme="minorHAnsi" w:hAnsiTheme="minorHAnsi"/>
        </w:rPr>
      </w:pPr>
      <w:r w:rsidRPr="00C67E99">
        <w:rPr>
          <w:rFonts w:asciiTheme="minorHAnsi" w:hAnsiTheme="minorHAnsi"/>
        </w:rPr>
        <w:t>Morrisville, NC 27560</w:t>
      </w:r>
    </w:p>
    <w:p w14:paraId="2A34696C" w14:textId="4D572527" w:rsidR="007143FA" w:rsidRPr="00C67E99" w:rsidRDefault="002E6718" w:rsidP="002E6718">
      <w:pPr>
        <w:pStyle w:val="NormalWeb"/>
        <w:spacing w:before="0" w:beforeAutospacing="0" w:after="0" w:afterAutospacing="0"/>
        <w:rPr>
          <w:rFonts w:asciiTheme="minorHAnsi" w:hAnsiTheme="minorHAnsi"/>
        </w:rPr>
      </w:pPr>
      <w:r w:rsidRPr="00C67E99">
        <w:rPr>
          <w:rFonts w:asciiTheme="minorHAnsi" w:hAnsiTheme="minorHAnsi"/>
        </w:rPr>
        <w:t>Telephone</w:t>
      </w:r>
      <w:r w:rsidR="007143FA" w:rsidRPr="00C67E99">
        <w:rPr>
          <w:rFonts w:asciiTheme="minorHAnsi" w:hAnsiTheme="minorHAnsi"/>
        </w:rPr>
        <w:t>: (919) 541- 7752</w:t>
      </w:r>
    </w:p>
    <w:p w14:paraId="37BD0D1B" w14:textId="77777777" w:rsidR="007143FA" w:rsidRPr="00C67E99" w:rsidRDefault="007143FA" w:rsidP="002E6718">
      <w:pPr>
        <w:pStyle w:val="NormalWeb"/>
        <w:spacing w:before="0" w:beforeAutospacing="0" w:after="0" w:afterAutospacing="0"/>
        <w:rPr>
          <w:rFonts w:asciiTheme="minorHAnsi" w:hAnsiTheme="minorHAnsi"/>
        </w:rPr>
      </w:pPr>
      <w:r w:rsidRPr="00C67E99">
        <w:rPr>
          <w:rFonts w:asciiTheme="minorHAnsi" w:hAnsiTheme="minorHAnsi"/>
        </w:rPr>
        <w:t>Fax: (919) 541-4937</w:t>
      </w:r>
    </w:p>
    <w:p w14:paraId="6AAC997A" w14:textId="77777777" w:rsidR="007143FA" w:rsidRDefault="007143FA" w:rsidP="002E6718">
      <w:pPr>
        <w:pStyle w:val="NormalWeb"/>
        <w:spacing w:before="0" w:beforeAutospacing="0" w:after="0" w:afterAutospacing="0"/>
        <w:rPr>
          <w:b/>
        </w:rPr>
        <w:sectPr w:rsidR="007143FA" w:rsidSect="007143FA">
          <w:footerReference w:type="default" r:id="rId9"/>
          <w:pgSz w:w="12240" w:h="15840"/>
          <w:pgMar w:top="1440" w:right="1440" w:bottom="1440" w:left="1440" w:header="720" w:footer="720" w:gutter="0"/>
          <w:pgNumType w:fmt="lowerRoman" w:start="1"/>
          <w:cols w:space="720"/>
          <w:titlePg/>
          <w:docGrid w:linePitch="360"/>
        </w:sectPr>
      </w:pPr>
      <w:r w:rsidRPr="00C67E99">
        <w:rPr>
          <w:rFonts w:asciiTheme="minorHAnsi" w:hAnsiTheme="minorHAnsi"/>
        </w:rPr>
        <w:t>Email: pettibonekg@niehs.nih.gov</w:t>
      </w:r>
      <w:r w:rsidRPr="00C67E99">
        <w:rPr>
          <w:rFonts w:asciiTheme="minorHAnsi" w:hAnsiTheme="minorHAnsi"/>
        </w:rPr>
        <w:tab/>
      </w:r>
    </w:p>
    <w:p w14:paraId="7A88C0E6" w14:textId="77777777" w:rsidR="005C3DC2" w:rsidRDefault="005C3DC2" w:rsidP="005C3DC2">
      <w:pPr>
        <w:rPr>
          <w:sz w:val="32"/>
          <w:szCs w:val="32"/>
        </w:rPr>
      </w:pPr>
    </w:p>
    <w:p w14:paraId="7E67896B" w14:textId="02968534" w:rsidR="00253C78" w:rsidRPr="0019360A" w:rsidRDefault="00253C78" w:rsidP="0019360A">
      <w:pPr>
        <w:tabs>
          <w:tab w:val="left" w:pos="3510"/>
        </w:tabs>
        <w:rPr>
          <w:b/>
          <w:u w:val="single"/>
        </w:rPr>
      </w:pPr>
      <w:r w:rsidRPr="0019360A">
        <w:rPr>
          <w:b/>
          <w:u w:val="single"/>
        </w:rPr>
        <w:t>Table of contents</w:t>
      </w:r>
    </w:p>
    <w:p w14:paraId="6380DCDA" w14:textId="77777777" w:rsidR="0019360A" w:rsidRPr="00C37610" w:rsidRDefault="0019360A" w:rsidP="00253C78">
      <w:pPr>
        <w:tabs>
          <w:tab w:val="left" w:pos="3510"/>
        </w:tabs>
        <w:jc w:val="center"/>
      </w:pPr>
    </w:p>
    <w:p w14:paraId="650FD258" w14:textId="1FE8E5CF" w:rsidR="00253C78" w:rsidRPr="00952B80" w:rsidRDefault="00A8778A" w:rsidP="00A276AB">
      <w:pPr>
        <w:pStyle w:val="TOC1"/>
        <w:spacing w:line="240" w:lineRule="auto"/>
        <w:rPr>
          <w:b w:val="0"/>
          <w:caps w:val="0"/>
          <w:sz w:val="22"/>
          <w:szCs w:val="22"/>
        </w:rPr>
      </w:pPr>
      <w:r w:rsidRPr="00952B80">
        <w:rPr>
          <w:caps w:val="0"/>
          <w:sz w:val="22"/>
          <w:szCs w:val="22"/>
        </w:rPr>
        <w:fldChar w:fldCharType="begin"/>
      </w:r>
      <w:r w:rsidR="00253C78" w:rsidRPr="00952B80">
        <w:rPr>
          <w:caps w:val="0"/>
          <w:sz w:val="22"/>
          <w:szCs w:val="22"/>
        </w:rPr>
        <w:instrText xml:space="preserve"> TOC \o "1-2" \u </w:instrText>
      </w:r>
      <w:r w:rsidRPr="00952B80">
        <w:rPr>
          <w:caps w:val="0"/>
          <w:sz w:val="22"/>
          <w:szCs w:val="22"/>
        </w:rPr>
        <w:fldChar w:fldCharType="separate"/>
      </w:r>
      <w:r w:rsidR="00253C78" w:rsidRPr="00952B80">
        <w:rPr>
          <w:b w:val="0"/>
          <w:caps w:val="0"/>
          <w:sz w:val="22"/>
          <w:szCs w:val="22"/>
        </w:rPr>
        <w:t>A.</w:t>
      </w:r>
      <w:r w:rsidR="00253C78" w:rsidRPr="00952B80">
        <w:rPr>
          <w:b w:val="0"/>
          <w:caps w:val="0"/>
          <w:sz w:val="22"/>
          <w:szCs w:val="22"/>
        </w:rPr>
        <w:tab/>
      </w:r>
      <w:r w:rsidR="00A276AB" w:rsidRPr="00952B80">
        <w:rPr>
          <w:b w:val="0"/>
          <w:caps w:val="0"/>
          <w:sz w:val="22"/>
          <w:szCs w:val="22"/>
        </w:rPr>
        <w:t>ABSTRACT</w:t>
      </w:r>
    </w:p>
    <w:p w14:paraId="2B055934" w14:textId="0616C737" w:rsidR="00253C78" w:rsidRPr="00952B80" w:rsidRDefault="00253C78" w:rsidP="00952B80">
      <w:pPr>
        <w:pStyle w:val="TOC2"/>
        <w:rPr>
          <w:smallCaps w:val="0"/>
          <w:noProof/>
          <w:sz w:val="22"/>
          <w:szCs w:val="22"/>
        </w:rPr>
      </w:pPr>
      <w:r w:rsidRPr="00952B80">
        <w:rPr>
          <w:smallCaps w:val="0"/>
          <w:noProof/>
          <w:sz w:val="22"/>
          <w:szCs w:val="22"/>
        </w:rPr>
        <w:t>A.1</w:t>
      </w:r>
      <w:r w:rsidRPr="00952B80">
        <w:rPr>
          <w:smallCaps w:val="0"/>
          <w:noProof/>
          <w:sz w:val="22"/>
          <w:szCs w:val="22"/>
        </w:rPr>
        <w:tab/>
        <w:t>Circumstances Making the Collection of Information Necessary</w:t>
      </w:r>
    </w:p>
    <w:p w14:paraId="073BF490" w14:textId="32E532B7" w:rsidR="00253C78" w:rsidRPr="00952B80" w:rsidRDefault="00253C78" w:rsidP="00952B80">
      <w:pPr>
        <w:pStyle w:val="TOC2"/>
        <w:rPr>
          <w:smallCaps w:val="0"/>
          <w:noProof/>
          <w:sz w:val="22"/>
          <w:szCs w:val="22"/>
        </w:rPr>
      </w:pPr>
      <w:r w:rsidRPr="00952B80">
        <w:rPr>
          <w:smallCaps w:val="0"/>
          <w:noProof/>
          <w:sz w:val="22"/>
          <w:szCs w:val="22"/>
        </w:rPr>
        <w:t>A.2.</w:t>
      </w:r>
      <w:r w:rsidRPr="00952B80">
        <w:rPr>
          <w:smallCaps w:val="0"/>
          <w:noProof/>
          <w:sz w:val="22"/>
          <w:szCs w:val="22"/>
        </w:rPr>
        <w:tab/>
        <w:t>Purpose and Use of the Information COLLECTION</w:t>
      </w:r>
    </w:p>
    <w:p w14:paraId="2221F588" w14:textId="1DD776FE" w:rsidR="00253C78" w:rsidRPr="00952B80" w:rsidRDefault="00253C78" w:rsidP="00952B80">
      <w:pPr>
        <w:pStyle w:val="TOC2"/>
        <w:rPr>
          <w:smallCaps w:val="0"/>
          <w:noProof/>
          <w:sz w:val="22"/>
          <w:szCs w:val="22"/>
        </w:rPr>
      </w:pPr>
      <w:r w:rsidRPr="00952B80">
        <w:rPr>
          <w:smallCaps w:val="0"/>
          <w:noProof/>
          <w:sz w:val="22"/>
          <w:szCs w:val="22"/>
        </w:rPr>
        <w:t>A.3</w:t>
      </w:r>
      <w:r w:rsidRPr="00952B80">
        <w:rPr>
          <w:smallCaps w:val="0"/>
          <w:noProof/>
          <w:sz w:val="22"/>
          <w:szCs w:val="22"/>
        </w:rPr>
        <w:tab/>
        <w:t>Use of Information Technology and Burden Reduction</w:t>
      </w:r>
    </w:p>
    <w:p w14:paraId="0BD5253F" w14:textId="584E5546" w:rsidR="00253C78" w:rsidRPr="00952B80" w:rsidRDefault="00253C78" w:rsidP="00952B80">
      <w:pPr>
        <w:pStyle w:val="TOC2"/>
        <w:rPr>
          <w:smallCaps w:val="0"/>
          <w:noProof/>
          <w:sz w:val="22"/>
          <w:szCs w:val="22"/>
        </w:rPr>
      </w:pPr>
      <w:r w:rsidRPr="00952B80">
        <w:rPr>
          <w:smallCaps w:val="0"/>
          <w:noProof/>
          <w:sz w:val="22"/>
          <w:szCs w:val="22"/>
        </w:rPr>
        <w:t>A.4</w:t>
      </w:r>
      <w:r w:rsidRPr="00952B80">
        <w:rPr>
          <w:smallCaps w:val="0"/>
          <w:noProof/>
          <w:sz w:val="22"/>
          <w:szCs w:val="22"/>
        </w:rPr>
        <w:tab/>
        <w:t>Efforts to Identify Duplication and Use of Similar Information</w:t>
      </w:r>
    </w:p>
    <w:p w14:paraId="0B029644" w14:textId="502A460E" w:rsidR="00253C78" w:rsidRPr="00952B80" w:rsidRDefault="00253C78" w:rsidP="00952B80">
      <w:pPr>
        <w:pStyle w:val="TOC2"/>
        <w:rPr>
          <w:smallCaps w:val="0"/>
          <w:noProof/>
          <w:sz w:val="22"/>
          <w:szCs w:val="22"/>
        </w:rPr>
      </w:pPr>
      <w:r w:rsidRPr="00952B80">
        <w:rPr>
          <w:smallCaps w:val="0"/>
          <w:noProof/>
          <w:sz w:val="22"/>
          <w:szCs w:val="22"/>
        </w:rPr>
        <w:t>A.5</w:t>
      </w:r>
      <w:r w:rsidRPr="00952B80">
        <w:rPr>
          <w:smallCaps w:val="0"/>
          <w:noProof/>
          <w:sz w:val="22"/>
          <w:szCs w:val="22"/>
        </w:rPr>
        <w:tab/>
        <w:t>Impact on Small Businesses or Other Small Entities</w:t>
      </w:r>
    </w:p>
    <w:p w14:paraId="7D4B60E7" w14:textId="00CE68F2" w:rsidR="00253C78" w:rsidRPr="00952B80" w:rsidRDefault="00253C78" w:rsidP="00952B80">
      <w:pPr>
        <w:pStyle w:val="TOC2"/>
        <w:rPr>
          <w:smallCaps w:val="0"/>
          <w:noProof/>
          <w:sz w:val="22"/>
          <w:szCs w:val="22"/>
        </w:rPr>
      </w:pPr>
      <w:r w:rsidRPr="00952B80">
        <w:rPr>
          <w:smallCaps w:val="0"/>
          <w:noProof/>
          <w:sz w:val="22"/>
          <w:szCs w:val="22"/>
        </w:rPr>
        <w:t>A.6</w:t>
      </w:r>
      <w:r w:rsidRPr="00952B80">
        <w:rPr>
          <w:smallCaps w:val="0"/>
          <w:noProof/>
          <w:sz w:val="22"/>
          <w:szCs w:val="22"/>
        </w:rPr>
        <w:tab/>
        <w:t>Consequences of Collecting the Information Less Frequently</w:t>
      </w:r>
    </w:p>
    <w:p w14:paraId="4FD17295" w14:textId="099CC7EF" w:rsidR="00253C78" w:rsidRPr="00952B80" w:rsidRDefault="00253C78" w:rsidP="00952B80">
      <w:pPr>
        <w:pStyle w:val="TOC2"/>
        <w:rPr>
          <w:smallCaps w:val="0"/>
          <w:noProof/>
          <w:sz w:val="22"/>
          <w:szCs w:val="22"/>
        </w:rPr>
      </w:pPr>
      <w:r w:rsidRPr="00952B80">
        <w:rPr>
          <w:smallCaps w:val="0"/>
          <w:noProof/>
          <w:sz w:val="22"/>
          <w:szCs w:val="22"/>
        </w:rPr>
        <w:t>A.7</w:t>
      </w:r>
      <w:r w:rsidRPr="00952B80">
        <w:rPr>
          <w:smallCaps w:val="0"/>
          <w:noProof/>
          <w:sz w:val="22"/>
          <w:szCs w:val="22"/>
        </w:rPr>
        <w:tab/>
        <w:t>Special Circumstances Relating to the Guidelines of 5 CFR 1320.5</w:t>
      </w:r>
    </w:p>
    <w:p w14:paraId="312590ED" w14:textId="5EAEE242" w:rsidR="00253C78" w:rsidRPr="00952B80" w:rsidRDefault="00253C78" w:rsidP="00952B80">
      <w:pPr>
        <w:pStyle w:val="TOC2"/>
        <w:rPr>
          <w:smallCaps w:val="0"/>
          <w:noProof/>
          <w:sz w:val="22"/>
          <w:szCs w:val="22"/>
        </w:rPr>
      </w:pPr>
      <w:r w:rsidRPr="00952B80">
        <w:rPr>
          <w:smallCaps w:val="0"/>
          <w:noProof/>
          <w:sz w:val="22"/>
          <w:szCs w:val="22"/>
        </w:rPr>
        <w:t>A.8</w:t>
      </w:r>
      <w:r w:rsidRPr="00952B80">
        <w:rPr>
          <w:smallCaps w:val="0"/>
          <w:noProof/>
          <w:sz w:val="22"/>
          <w:szCs w:val="22"/>
        </w:rPr>
        <w:tab/>
        <w:t>Comments in Response to the Federal Register Notice and Efforts to Consult Outside Agency</w:t>
      </w:r>
    </w:p>
    <w:p w14:paraId="0935A2ED" w14:textId="762AD96C" w:rsidR="00253C78" w:rsidRPr="00952B80" w:rsidRDefault="00253C78" w:rsidP="00952B80">
      <w:pPr>
        <w:pStyle w:val="TOC2"/>
        <w:rPr>
          <w:smallCaps w:val="0"/>
          <w:noProof/>
          <w:sz w:val="22"/>
          <w:szCs w:val="22"/>
        </w:rPr>
      </w:pPr>
      <w:r w:rsidRPr="00952B80">
        <w:rPr>
          <w:smallCaps w:val="0"/>
          <w:noProof/>
          <w:sz w:val="22"/>
          <w:szCs w:val="22"/>
        </w:rPr>
        <w:t>A.9</w:t>
      </w:r>
      <w:r w:rsidRPr="00952B80">
        <w:rPr>
          <w:smallCaps w:val="0"/>
          <w:noProof/>
          <w:sz w:val="22"/>
          <w:szCs w:val="22"/>
        </w:rPr>
        <w:tab/>
        <w:t>Explanation of Any Payment of Gift to Respondents</w:t>
      </w:r>
    </w:p>
    <w:p w14:paraId="69B814DE" w14:textId="64E40BDA" w:rsidR="00253C78" w:rsidRPr="00952B80" w:rsidRDefault="00253C78" w:rsidP="00952B80">
      <w:pPr>
        <w:pStyle w:val="TOC2"/>
        <w:rPr>
          <w:smallCaps w:val="0"/>
          <w:noProof/>
          <w:sz w:val="22"/>
          <w:szCs w:val="22"/>
        </w:rPr>
      </w:pPr>
      <w:r w:rsidRPr="00952B80">
        <w:rPr>
          <w:smallCaps w:val="0"/>
          <w:noProof/>
          <w:sz w:val="22"/>
          <w:szCs w:val="22"/>
        </w:rPr>
        <w:t>A.10</w:t>
      </w:r>
      <w:r w:rsidRPr="00952B80">
        <w:rPr>
          <w:smallCaps w:val="0"/>
          <w:noProof/>
          <w:sz w:val="22"/>
          <w:szCs w:val="22"/>
        </w:rPr>
        <w:tab/>
        <w:t>Assurance of Confidentiality Provided to Respondents</w:t>
      </w:r>
    </w:p>
    <w:p w14:paraId="56058062" w14:textId="1BA7A1B5" w:rsidR="00253C78" w:rsidRPr="00952B80" w:rsidRDefault="00253C78" w:rsidP="00952B80">
      <w:pPr>
        <w:pStyle w:val="TOC2"/>
        <w:rPr>
          <w:smallCaps w:val="0"/>
          <w:noProof/>
          <w:sz w:val="22"/>
          <w:szCs w:val="22"/>
        </w:rPr>
      </w:pPr>
      <w:r w:rsidRPr="00952B80">
        <w:rPr>
          <w:smallCaps w:val="0"/>
          <w:noProof/>
          <w:sz w:val="22"/>
          <w:szCs w:val="22"/>
        </w:rPr>
        <w:t>A.11</w:t>
      </w:r>
      <w:r w:rsidRPr="00952B80">
        <w:rPr>
          <w:smallCaps w:val="0"/>
          <w:noProof/>
          <w:sz w:val="22"/>
          <w:szCs w:val="22"/>
        </w:rPr>
        <w:tab/>
        <w:t>Justification for Sensitive Questions</w:t>
      </w:r>
    </w:p>
    <w:p w14:paraId="2C1B137C" w14:textId="08F36BBB" w:rsidR="00253C78" w:rsidRPr="00952B80" w:rsidRDefault="00253C78" w:rsidP="00952B80">
      <w:pPr>
        <w:pStyle w:val="TOC2"/>
        <w:rPr>
          <w:smallCaps w:val="0"/>
          <w:noProof/>
          <w:sz w:val="22"/>
          <w:szCs w:val="22"/>
        </w:rPr>
      </w:pPr>
      <w:r w:rsidRPr="00952B80">
        <w:rPr>
          <w:smallCaps w:val="0"/>
          <w:noProof/>
          <w:sz w:val="22"/>
          <w:szCs w:val="22"/>
        </w:rPr>
        <w:t>A.12</w:t>
      </w:r>
      <w:r w:rsidRPr="00952B80">
        <w:rPr>
          <w:smallCaps w:val="0"/>
          <w:noProof/>
          <w:sz w:val="22"/>
          <w:szCs w:val="22"/>
        </w:rPr>
        <w:tab/>
        <w:t>Estimates of Hour Burden Including Annualized Hourly Costs</w:t>
      </w:r>
    </w:p>
    <w:p w14:paraId="6631D0F1" w14:textId="29EAC999" w:rsidR="00253C78" w:rsidRPr="00952B80" w:rsidRDefault="00253C78" w:rsidP="00952B80">
      <w:pPr>
        <w:pStyle w:val="TOC2"/>
        <w:rPr>
          <w:smallCaps w:val="0"/>
          <w:noProof/>
          <w:sz w:val="22"/>
          <w:szCs w:val="22"/>
        </w:rPr>
      </w:pPr>
      <w:r w:rsidRPr="00952B80">
        <w:rPr>
          <w:smallCaps w:val="0"/>
          <w:noProof/>
          <w:sz w:val="22"/>
          <w:szCs w:val="22"/>
        </w:rPr>
        <w:t>A.13</w:t>
      </w:r>
      <w:r w:rsidRPr="00952B80">
        <w:rPr>
          <w:smallCaps w:val="0"/>
          <w:noProof/>
          <w:sz w:val="22"/>
          <w:szCs w:val="22"/>
        </w:rPr>
        <w:tab/>
        <w:t>Estimate of Other Total Annual Cost Burden to Respondents or Recordkeepers</w:t>
      </w:r>
    </w:p>
    <w:p w14:paraId="2029ADFB" w14:textId="1910E813" w:rsidR="00253C78" w:rsidRPr="00952B80" w:rsidRDefault="00253C78" w:rsidP="00952B80">
      <w:pPr>
        <w:pStyle w:val="TOC2"/>
        <w:rPr>
          <w:smallCaps w:val="0"/>
          <w:noProof/>
          <w:sz w:val="22"/>
          <w:szCs w:val="22"/>
        </w:rPr>
      </w:pPr>
      <w:r w:rsidRPr="00952B80">
        <w:rPr>
          <w:smallCaps w:val="0"/>
          <w:noProof/>
          <w:sz w:val="22"/>
          <w:szCs w:val="22"/>
        </w:rPr>
        <w:t>A.14</w:t>
      </w:r>
      <w:r w:rsidRPr="00952B80">
        <w:rPr>
          <w:smallCaps w:val="0"/>
          <w:noProof/>
          <w:sz w:val="22"/>
          <w:szCs w:val="22"/>
        </w:rPr>
        <w:tab/>
        <w:t>Annualized Cost to the Federal Government</w:t>
      </w:r>
    </w:p>
    <w:p w14:paraId="7A043665" w14:textId="38A3DF2B" w:rsidR="00253C78" w:rsidRPr="00952B80" w:rsidRDefault="00253C78" w:rsidP="00952B80">
      <w:pPr>
        <w:pStyle w:val="TOC2"/>
        <w:rPr>
          <w:smallCaps w:val="0"/>
          <w:noProof/>
          <w:sz w:val="22"/>
          <w:szCs w:val="22"/>
        </w:rPr>
      </w:pPr>
      <w:r w:rsidRPr="00952B80">
        <w:rPr>
          <w:smallCaps w:val="0"/>
          <w:noProof/>
          <w:sz w:val="22"/>
          <w:szCs w:val="22"/>
        </w:rPr>
        <w:t>A.15</w:t>
      </w:r>
      <w:r w:rsidRPr="00952B80">
        <w:rPr>
          <w:smallCaps w:val="0"/>
          <w:noProof/>
          <w:sz w:val="22"/>
          <w:szCs w:val="22"/>
        </w:rPr>
        <w:tab/>
        <w:t>Explanation for Program Changes or Adjustments</w:t>
      </w:r>
    </w:p>
    <w:p w14:paraId="0EA7B416" w14:textId="01B54C4B" w:rsidR="00253C78" w:rsidRPr="00952B80" w:rsidRDefault="00253C78" w:rsidP="00952B80">
      <w:pPr>
        <w:pStyle w:val="TOC2"/>
        <w:rPr>
          <w:smallCaps w:val="0"/>
          <w:noProof/>
          <w:sz w:val="22"/>
          <w:szCs w:val="22"/>
        </w:rPr>
      </w:pPr>
      <w:r w:rsidRPr="00952B80">
        <w:rPr>
          <w:smallCaps w:val="0"/>
          <w:noProof/>
          <w:sz w:val="22"/>
          <w:szCs w:val="22"/>
        </w:rPr>
        <w:t>A.16</w:t>
      </w:r>
      <w:r w:rsidRPr="00952B80">
        <w:rPr>
          <w:smallCaps w:val="0"/>
          <w:noProof/>
          <w:sz w:val="22"/>
          <w:szCs w:val="22"/>
        </w:rPr>
        <w:tab/>
        <w:t>Plans for Tabulation and Publication and Project Time Schedule</w:t>
      </w:r>
    </w:p>
    <w:p w14:paraId="52B458FA" w14:textId="233C7A4B" w:rsidR="00253C78" w:rsidRPr="00952B80" w:rsidRDefault="00253C78" w:rsidP="00952B80">
      <w:pPr>
        <w:pStyle w:val="TOC2"/>
        <w:rPr>
          <w:smallCaps w:val="0"/>
          <w:noProof/>
          <w:sz w:val="22"/>
          <w:szCs w:val="22"/>
        </w:rPr>
      </w:pPr>
      <w:r w:rsidRPr="00952B80">
        <w:rPr>
          <w:smallCaps w:val="0"/>
          <w:noProof/>
          <w:sz w:val="22"/>
          <w:szCs w:val="22"/>
        </w:rPr>
        <w:t>A.17</w:t>
      </w:r>
      <w:r w:rsidRPr="00952B80">
        <w:rPr>
          <w:smallCaps w:val="0"/>
          <w:noProof/>
          <w:sz w:val="22"/>
          <w:szCs w:val="22"/>
        </w:rPr>
        <w:tab/>
        <w:t>Reason(s) Display of OMB Expiration Date is Inappropriate</w:t>
      </w:r>
    </w:p>
    <w:p w14:paraId="6BC6565E" w14:textId="622C46B2" w:rsidR="00253C78" w:rsidRPr="00952B80" w:rsidRDefault="00253C78" w:rsidP="00952B80">
      <w:pPr>
        <w:pStyle w:val="TOC2"/>
        <w:rPr>
          <w:smallCaps w:val="0"/>
          <w:noProof/>
          <w:sz w:val="22"/>
          <w:szCs w:val="22"/>
        </w:rPr>
      </w:pPr>
      <w:r w:rsidRPr="00952B80">
        <w:rPr>
          <w:smallCaps w:val="0"/>
          <w:noProof/>
          <w:sz w:val="22"/>
          <w:szCs w:val="22"/>
        </w:rPr>
        <w:t>A.18</w:t>
      </w:r>
      <w:r w:rsidRPr="00952B80">
        <w:rPr>
          <w:smallCaps w:val="0"/>
          <w:noProof/>
          <w:sz w:val="22"/>
          <w:szCs w:val="22"/>
        </w:rPr>
        <w:tab/>
        <w:t>Exceptions to Certification for Paperwork Reduction Act Submissions</w:t>
      </w:r>
    </w:p>
    <w:p w14:paraId="32EC5567" w14:textId="77777777" w:rsidR="005C3DC2" w:rsidRDefault="00A8778A" w:rsidP="00253C78">
      <w:pPr>
        <w:rPr>
          <w:caps/>
          <w:noProof/>
        </w:rPr>
      </w:pPr>
      <w:r w:rsidRPr="00952B80">
        <w:rPr>
          <w:noProof/>
          <w:sz w:val="22"/>
          <w:szCs w:val="22"/>
        </w:rPr>
        <w:fldChar w:fldCharType="end"/>
      </w:r>
    </w:p>
    <w:p w14:paraId="2639623B" w14:textId="72F0D892" w:rsidR="00A45EFE" w:rsidRPr="007D11BF" w:rsidRDefault="00A45EFE" w:rsidP="00A45EFE">
      <w:pPr>
        <w:pStyle w:val="P1-StandPara"/>
        <w:ind w:firstLine="0"/>
        <w:rPr>
          <w:rFonts w:asciiTheme="minorHAnsi" w:hAnsiTheme="minorHAnsi"/>
          <w:b/>
          <w:i/>
          <w:szCs w:val="22"/>
        </w:rPr>
      </w:pPr>
      <w:r w:rsidRPr="007D11BF">
        <w:rPr>
          <w:rFonts w:asciiTheme="minorHAnsi" w:hAnsiTheme="minorHAnsi"/>
          <w:b/>
          <w:i/>
          <w:szCs w:val="22"/>
        </w:rPr>
        <w:t xml:space="preserve">Attachments </w:t>
      </w:r>
    </w:p>
    <w:p w14:paraId="61A14A0F" w14:textId="0670F062" w:rsidR="005473DB" w:rsidRPr="00267009" w:rsidRDefault="00F03E27" w:rsidP="005473DB">
      <w:r>
        <w:t xml:space="preserve">Attachment A. </w:t>
      </w:r>
      <w:r w:rsidR="005473DB" w:rsidRPr="00267009">
        <w:t>DEGDC Survey February 201</w:t>
      </w:r>
      <w:r w:rsidR="005473DB">
        <w:t>8</w:t>
      </w:r>
      <w:r w:rsidR="005473DB" w:rsidRPr="00267009">
        <w:t xml:space="preserve">     </w:t>
      </w:r>
    </w:p>
    <w:p w14:paraId="592BFA2D" w14:textId="595BAF6B" w:rsidR="0044516B" w:rsidRDefault="0044516B" w:rsidP="005473DB">
      <w:r>
        <w:t xml:space="preserve">Attachment B. PIA for NIEHS DERT Extramural Grantee Data Collection Survey </w:t>
      </w:r>
    </w:p>
    <w:p w14:paraId="03A30914" w14:textId="132D3BBF" w:rsidR="005473DB" w:rsidRPr="00267009" w:rsidRDefault="00F03E27" w:rsidP="005473DB">
      <w:r>
        <w:t xml:space="preserve">Attachment </w:t>
      </w:r>
      <w:r w:rsidR="00455F78">
        <w:t>C</w:t>
      </w:r>
      <w:r>
        <w:t xml:space="preserve">. </w:t>
      </w:r>
      <w:r w:rsidR="005473DB">
        <w:t xml:space="preserve">NIEHS DEGDC </w:t>
      </w:r>
      <w:r w:rsidR="005473DB" w:rsidRPr="00267009">
        <w:t xml:space="preserve">Table Shells     </w:t>
      </w:r>
    </w:p>
    <w:p w14:paraId="224B13DE" w14:textId="77777777" w:rsidR="00680E77" w:rsidRDefault="00680E77" w:rsidP="00253C78">
      <w:pPr>
        <w:rPr>
          <w:caps/>
          <w:noProof/>
        </w:rPr>
      </w:pPr>
    </w:p>
    <w:p w14:paraId="2905CBE6" w14:textId="77777777" w:rsidR="0044516B" w:rsidRDefault="0044516B">
      <w:pPr>
        <w:rPr>
          <w:rFonts w:asciiTheme="minorHAnsi" w:hAnsiTheme="minorHAnsi"/>
          <w:b/>
          <w:sz w:val="22"/>
          <w:szCs w:val="22"/>
        </w:rPr>
      </w:pPr>
      <w:r>
        <w:rPr>
          <w:rFonts w:asciiTheme="minorHAnsi" w:hAnsiTheme="minorHAnsi"/>
          <w:b/>
          <w:szCs w:val="22"/>
        </w:rPr>
        <w:br w:type="page"/>
      </w:r>
    </w:p>
    <w:p w14:paraId="3C96AE5B" w14:textId="713C1530" w:rsidR="00194902" w:rsidRDefault="00194902" w:rsidP="00194902">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lastRenderedPageBreak/>
        <w:t xml:space="preserve">A. </w:t>
      </w:r>
      <w:r w:rsidRPr="00BE76A7">
        <w:rPr>
          <w:rFonts w:asciiTheme="minorHAnsi" w:hAnsiTheme="minorHAnsi"/>
          <w:b/>
          <w:szCs w:val="22"/>
        </w:rPr>
        <w:t>Justification</w:t>
      </w:r>
    </w:p>
    <w:p w14:paraId="2BABC933" w14:textId="475671D6" w:rsidR="00C9784F" w:rsidRPr="00AC43F3" w:rsidRDefault="00194902" w:rsidP="00C9784F">
      <w:pPr>
        <w:pStyle w:val="CM10"/>
        <w:spacing w:after="0" w:line="480" w:lineRule="auto"/>
      </w:pPr>
      <w:r>
        <w:rPr>
          <w:rFonts w:asciiTheme="minorHAnsi" w:hAnsiTheme="minorHAnsi"/>
          <w:szCs w:val="22"/>
        </w:rPr>
        <w:t xml:space="preserve">Abstract: </w:t>
      </w:r>
      <w:r w:rsidR="000C1B60">
        <w:t xml:space="preserve">The National Institute of Environmental Health Sciences (NIEHS) is </w:t>
      </w:r>
      <w:r w:rsidR="000C1B60" w:rsidRPr="00AC43F3">
        <w:t xml:space="preserve">requesting a </w:t>
      </w:r>
      <w:r w:rsidR="00C9784F" w:rsidRPr="00AC43F3">
        <w:t>re</w:t>
      </w:r>
      <w:r w:rsidR="00AB751F" w:rsidRPr="00AC43F3">
        <w:t>vision</w:t>
      </w:r>
      <w:r w:rsidR="00C9784F" w:rsidRPr="00AC43F3">
        <w:t xml:space="preserve"> </w:t>
      </w:r>
      <w:r w:rsidR="000C1B60" w:rsidRPr="00AC43F3">
        <w:t>for</w:t>
      </w:r>
      <w:r w:rsidR="00C9784F" w:rsidRPr="00AC43F3">
        <w:t xml:space="preserve"> the</w:t>
      </w:r>
      <w:r w:rsidR="000C1B60" w:rsidRPr="00AC43F3">
        <w:t xml:space="preserve"> </w:t>
      </w:r>
      <w:r w:rsidR="00472481" w:rsidRPr="00AC43F3">
        <w:t xml:space="preserve">Extramural Grantee Data Collection </w:t>
      </w:r>
      <w:r w:rsidR="00C9784F" w:rsidRPr="00AC43F3">
        <w:t>Survey (OMB Clearance #0925-0657</w:t>
      </w:r>
      <w:r w:rsidR="00AB751F" w:rsidRPr="00AC43F3">
        <w:t xml:space="preserve">, exp </w:t>
      </w:r>
      <w:r w:rsidR="008B2E91">
        <w:t>07/31/2018</w:t>
      </w:r>
      <w:r w:rsidR="00C9784F" w:rsidRPr="00AC43F3">
        <w:t xml:space="preserve">) for use by: </w:t>
      </w:r>
    </w:p>
    <w:p w14:paraId="78526338" w14:textId="77777777" w:rsidR="00C9784F" w:rsidRPr="00AC43F3" w:rsidRDefault="00C9784F" w:rsidP="00C9784F">
      <w:pPr>
        <w:pStyle w:val="CM10"/>
        <w:numPr>
          <w:ilvl w:val="0"/>
          <w:numId w:val="6"/>
        </w:numPr>
        <w:spacing w:after="0"/>
        <w:rPr>
          <w:rFonts w:asciiTheme="majorHAnsi" w:hAnsiTheme="majorHAnsi"/>
          <w:sz w:val="22"/>
          <w:szCs w:val="22"/>
        </w:rPr>
      </w:pPr>
      <w:r w:rsidRPr="00AC43F3">
        <w:rPr>
          <w:rFonts w:asciiTheme="majorHAnsi" w:hAnsiTheme="majorHAnsi"/>
          <w:i/>
          <w:sz w:val="22"/>
          <w:szCs w:val="22"/>
        </w:rPr>
        <w:t>Eunice Kennedy Shriver</w:t>
      </w:r>
      <w:r w:rsidRPr="00AC43F3">
        <w:rPr>
          <w:rFonts w:asciiTheme="majorHAnsi" w:hAnsiTheme="majorHAnsi"/>
          <w:sz w:val="22"/>
          <w:szCs w:val="22"/>
        </w:rPr>
        <w:t xml:space="preserve"> National Institute of Child Health and Human Development (NICHD); </w:t>
      </w:r>
    </w:p>
    <w:p w14:paraId="0BB5564E" w14:textId="77777777" w:rsidR="00C9784F" w:rsidRPr="00AC43F3" w:rsidRDefault="00C9784F" w:rsidP="00C9784F">
      <w:pPr>
        <w:pStyle w:val="ListParagraph"/>
        <w:numPr>
          <w:ilvl w:val="0"/>
          <w:numId w:val="6"/>
        </w:numPr>
        <w:spacing w:after="0" w:line="240" w:lineRule="auto"/>
        <w:rPr>
          <w:rFonts w:asciiTheme="majorHAnsi" w:hAnsiTheme="majorHAnsi"/>
          <w:color w:val="000000"/>
        </w:rPr>
      </w:pPr>
      <w:r w:rsidRPr="00AC43F3">
        <w:rPr>
          <w:rFonts w:asciiTheme="majorHAnsi" w:hAnsiTheme="majorHAnsi"/>
          <w:color w:val="000000"/>
        </w:rPr>
        <w:t xml:space="preserve">National Institute on Deafness and Other Communication Disorders (NIDCD); </w:t>
      </w:r>
    </w:p>
    <w:p w14:paraId="46BCA4A9" w14:textId="77777777" w:rsidR="00C9784F" w:rsidRPr="00AC43F3" w:rsidRDefault="00C9784F" w:rsidP="00C9784F">
      <w:pPr>
        <w:pStyle w:val="ListParagraph"/>
        <w:numPr>
          <w:ilvl w:val="0"/>
          <w:numId w:val="6"/>
        </w:numPr>
        <w:spacing w:after="0" w:line="240" w:lineRule="auto"/>
        <w:rPr>
          <w:rFonts w:asciiTheme="majorHAnsi" w:hAnsiTheme="majorHAnsi"/>
          <w:color w:val="000000"/>
        </w:rPr>
      </w:pPr>
      <w:r w:rsidRPr="00AC43F3">
        <w:rPr>
          <w:rFonts w:asciiTheme="majorHAnsi" w:hAnsiTheme="majorHAnsi"/>
          <w:color w:val="000000"/>
        </w:rPr>
        <w:t xml:space="preserve">National Institute of Mental Health (NIMH);  </w:t>
      </w:r>
    </w:p>
    <w:p w14:paraId="4E05B552" w14:textId="77777777" w:rsidR="00C9784F" w:rsidRPr="00AC43F3" w:rsidRDefault="00C9784F" w:rsidP="00C9784F">
      <w:pPr>
        <w:pStyle w:val="ListParagraph"/>
        <w:numPr>
          <w:ilvl w:val="0"/>
          <w:numId w:val="6"/>
        </w:numPr>
        <w:spacing w:after="0" w:line="240" w:lineRule="auto"/>
        <w:rPr>
          <w:rFonts w:asciiTheme="majorHAnsi" w:hAnsiTheme="majorHAnsi"/>
          <w:color w:val="000000"/>
        </w:rPr>
      </w:pPr>
      <w:r w:rsidRPr="00AC43F3">
        <w:rPr>
          <w:rFonts w:asciiTheme="majorHAnsi" w:hAnsiTheme="majorHAnsi"/>
          <w:color w:val="000000"/>
        </w:rPr>
        <w:t xml:space="preserve">National Institute of Neurological Disorders and Stroke (NINDS); </w:t>
      </w:r>
    </w:p>
    <w:p w14:paraId="4C09E108" w14:textId="73A8D922" w:rsidR="00C9784F" w:rsidRPr="00AC43F3" w:rsidRDefault="00C9784F" w:rsidP="00C9784F">
      <w:pPr>
        <w:pStyle w:val="ListParagraph"/>
        <w:numPr>
          <w:ilvl w:val="0"/>
          <w:numId w:val="6"/>
        </w:numPr>
        <w:spacing w:after="0" w:line="240" w:lineRule="auto"/>
        <w:rPr>
          <w:rFonts w:asciiTheme="majorHAnsi" w:hAnsiTheme="majorHAnsi"/>
          <w:color w:val="000000"/>
        </w:rPr>
      </w:pPr>
      <w:r w:rsidRPr="00AC43F3">
        <w:rPr>
          <w:rFonts w:asciiTheme="majorHAnsi" w:hAnsiTheme="majorHAnsi"/>
          <w:color w:val="000000"/>
        </w:rPr>
        <w:t xml:space="preserve">National Institute of Environmental Health Sciences (NIEHS); </w:t>
      </w:r>
    </w:p>
    <w:p w14:paraId="7FB98D77" w14:textId="58FCFB9F" w:rsidR="00764992" w:rsidRDefault="00C9784F" w:rsidP="00C9784F">
      <w:pPr>
        <w:pStyle w:val="ListParagraph"/>
        <w:numPr>
          <w:ilvl w:val="0"/>
          <w:numId w:val="6"/>
        </w:numPr>
        <w:spacing w:after="0" w:line="240" w:lineRule="auto"/>
        <w:rPr>
          <w:rFonts w:asciiTheme="majorHAnsi" w:hAnsiTheme="majorHAnsi"/>
          <w:color w:val="000000"/>
        </w:rPr>
      </w:pPr>
      <w:r w:rsidRPr="00AC43F3">
        <w:rPr>
          <w:rFonts w:asciiTheme="majorHAnsi" w:hAnsiTheme="majorHAnsi"/>
          <w:color w:val="000000"/>
        </w:rPr>
        <w:t>National Cancer Institute (NCI)</w:t>
      </w:r>
      <w:r w:rsidR="00764992">
        <w:rPr>
          <w:rFonts w:asciiTheme="majorHAnsi" w:hAnsiTheme="majorHAnsi"/>
          <w:color w:val="000000"/>
        </w:rPr>
        <w:t>; and</w:t>
      </w:r>
    </w:p>
    <w:p w14:paraId="320ACC5E" w14:textId="2F9EF51F" w:rsidR="00C9784F" w:rsidRPr="00764992" w:rsidRDefault="00764992" w:rsidP="00C9784F">
      <w:pPr>
        <w:pStyle w:val="ListParagraph"/>
        <w:numPr>
          <w:ilvl w:val="0"/>
          <w:numId w:val="6"/>
        </w:numPr>
        <w:spacing w:after="0" w:line="240" w:lineRule="auto"/>
        <w:rPr>
          <w:rFonts w:asciiTheme="majorHAnsi" w:hAnsiTheme="majorHAnsi"/>
          <w:color w:val="000000"/>
          <w:highlight w:val="yellow"/>
        </w:rPr>
      </w:pPr>
      <w:r w:rsidRPr="00764992">
        <w:rPr>
          <w:rFonts w:asciiTheme="majorHAnsi" w:hAnsiTheme="majorHAnsi"/>
          <w:color w:val="000000"/>
          <w:highlight w:val="yellow"/>
        </w:rPr>
        <w:t>Environmental Protection Agency (EPA).</w:t>
      </w:r>
    </w:p>
    <w:p w14:paraId="634F1188" w14:textId="7EC3078E" w:rsidR="000C1B60" w:rsidRPr="000C1B60" w:rsidRDefault="000C1B60" w:rsidP="00C9784F">
      <w:pPr>
        <w:pStyle w:val="NormalWeb"/>
        <w:spacing w:line="480" w:lineRule="auto"/>
      </w:pPr>
      <w:r w:rsidRPr="00AC43F3">
        <w:t xml:space="preserve">The authorization for this clearance request is Executive Order 12862 </w:t>
      </w:r>
      <w:r w:rsidR="007B295B" w:rsidRPr="00AC43F3">
        <w:t>(</w:t>
      </w:r>
      <w:r w:rsidRPr="00AC43F3">
        <w:t>1993</w:t>
      </w:r>
      <w:r w:rsidR="007B295B" w:rsidRPr="00AC43F3">
        <w:t>)</w:t>
      </w:r>
      <w:r w:rsidRPr="00AC43F3">
        <w:t>. This data collection effort is strictly to assess extramural community satisfaction with procedures</w:t>
      </w:r>
      <w:r w:rsidR="00F306CC" w:rsidRPr="00AC43F3">
        <w:t xml:space="preserve"> and</w:t>
      </w:r>
      <w:r w:rsidRPr="00AC43F3">
        <w:t xml:space="preserve"> initiatives. </w:t>
      </w:r>
      <w:r w:rsidR="00C9784F" w:rsidRPr="00AC43F3">
        <w:t xml:space="preserve">NICHD, NIDCD, NIMH, NINDS, </w:t>
      </w:r>
      <w:r w:rsidR="00F306CC" w:rsidRPr="00AC43F3">
        <w:t>NIEHS</w:t>
      </w:r>
      <w:r w:rsidR="00C9784F" w:rsidRPr="00AC43F3">
        <w:t>, NCI</w:t>
      </w:r>
      <w:r w:rsidR="00764992">
        <w:t xml:space="preserve">, </w:t>
      </w:r>
      <w:r w:rsidR="00764992" w:rsidRPr="00764992">
        <w:rPr>
          <w:highlight w:val="yellow"/>
        </w:rPr>
        <w:t>and EPA</w:t>
      </w:r>
      <w:r w:rsidR="00F306CC" w:rsidRPr="00AC43F3">
        <w:t xml:space="preserve"> will</w:t>
      </w:r>
      <w:r w:rsidR="00F306CC">
        <w:t xml:space="preserve"> use a</w:t>
      </w:r>
      <w:r>
        <w:t xml:space="preserve"> standard data collection tool (</w:t>
      </w:r>
      <w:r w:rsidR="00D41C54">
        <w:t>Attachment A</w:t>
      </w:r>
      <w:r>
        <w:t xml:space="preserve">) </w:t>
      </w:r>
      <w:r w:rsidR="00F306CC">
        <w:t xml:space="preserve">for all grantee data collection. </w:t>
      </w:r>
      <w:r>
        <w:t xml:space="preserve"> </w:t>
      </w:r>
    </w:p>
    <w:p w14:paraId="6B607102" w14:textId="77777777" w:rsidR="00BF4042" w:rsidRPr="00C37610" w:rsidRDefault="00BF4042" w:rsidP="00156F51">
      <w:pPr>
        <w:pStyle w:val="P1-StandPara"/>
        <w:tabs>
          <w:tab w:val="left" w:pos="720"/>
          <w:tab w:val="right" w:leader="dot" w:pos="9504"/>
        </w:tabs>
        <w:spacing w:before="120" w:after="120"/>
        <w:ind w:firstLine="0"/>
        <w:rPr>
          <w:b/>
          <w:sz w:val="24"/>
          <w:szCs w:val="24"/>
        </w:rPr>
      </w:pPr>
      <w:r w:rsidRPr="00C37610">
        <w:rPr>
          <w:b/>
          <w:sz w:val="24"/>
          <w:szCs w:val="24"/>
        </w:rPr>
        <w:t>A.1</w:t>
      </w:r>
      <w:r w:rsidRPr="00C37610">
        <w:rPr>
          <w:b/>
          <w:sz w:val="24"/>
          <w:szCs w:val="24"/>
        </w:rPr>
        <w:tab/>
        <w:t>Circumstances Making the Collection of Information Necessary</w:t>
      </w:r>
    </w:p>
    <w:p w14:paraId="6DDC5B6D" w14:textId="77777777" w:rsidR="00F0709D" w:rsidRDefault="00F0709D" w:rsidP="00156F51">
      <w:pPr>
        <w:spacing w:line="480" w:lineRule="auto"/>
        <w:rPr>
          <w:rStyle w:val="A6"/>
          <w:sz w:val="24"/>
          <w:szCs w:val="24"/>
        </w:rPr>
      </w:pPr>
      <w:r w:rsidRPr="00F0709D">
        <w:rPr>
          <w:rStyle w:val="A6"/>
          <w:sz w:val="24"/>
          <w:szCs w:val="24"/>
        </w:rPr>
        <w:t xml:space="preserve">The mission of the </w:t>
      </w:r>
      <w:r w:rsidR="000C1B60">
        <w:rPr>
          <w:rStyle w:val="A6"/>
          <w:sz w:val="24"/>
          <w:szCs w:val="24"/>
        </w:rPr>
        <w:t>NIEHS</w:t>
      </w:r>
      <w:r w:rsidRPr="00F0709D">
        <w:rPr>
          <w:rStyle w:val="A6"/>
          <w:sz w:val="24"/>
          <w:szCs w:val="24"/>
        </w:rPr>
        <w:t xml:space="preserve"> is to reduce the burden of human illness and disability, by understanding how the environment influences the development and progression of human disease.</w:t>
      </w:r>
      <w:r>
        <w:rPr>
          <w:rStyle w:val="A6"/>
          <w:sz w:val="24"/>
          <w:szCs w:val="24"/>
        </w:rPr>
        <w:t xml:space="preserve"> </w:t>
      </w:r>
      <w:r w:rsidRPr="00F0709D">
        <w:t xml:space="preserve"> </w:t>
      </w:r>
      <w:r w:rsidRPr="00F0709D">
        <w:rPr>
          <w:rFonts w:cs="Univers 47 CondensedLight"/>
        </w:rPr>
        <w:t>The NIEHS supports a wide variety of research programs directed toward preventing health problems caused by our environment.</w:t>
      </w:r>
      <w:r w:rsidR="00AC5511">
        <w:rPr>
          <w:rFonts w:cs="Univers 47 CondensedLight"/>
        </w:rPr>
        <w:t xml:space="preserve"> We fund r</w:t>
      </w:r>
      <w:r w:rsidRPr="00F0709D">
        <w:rPr>
          <w:rFonts w:cs="Univers 47 CondensedLight"/>
        </w:rPr>
        <w:t xml:space="preserve">esearch across the United States </w:t>
      </w:r>
      <w:r w:rsidR="00AC5511">
        <w:rPr>
          <w:rFonts w:cs="Univers 47 CondensedLight"/>
        </w:rPr>
        <w:t xml:space="preserve">through our extramural funding </w:t>
      </w:r>
      <w:r w:rsidRPr="00F0709D">
        <w:rPr>
          <w:rFonts w:cs="Univers 47 CondensedLight"/>
        </w:rPr>
        <w:t>program. The largest portion of the NIEHS budget goes to fund laboratory research, population-based studies, and training programs at universities, hospitals, businesses and organizations.</w:t>
      </w:r>
    </w:p>
    <w:p w14:paraId="39AC4E9F" w14:textId="77777777" w:rsidR="00F0709D" w:rsidRPr="00F0709D" w:rsidRDefault="00F0709D" w:rsidP="00156F51">
      <w:pPr>
        <w:spacing w:line="480" w:lineRule="auto"/>
        <w:rPr>
          <w:rStyle w:val="A6"/>
          <w:sz w:val="24"/>
          <w:szCs w:val="24"/>
        </w:rPr>
      </w:pPr>
      <w:r w:rsidRPr="00F0709D">
        <w:rPr>
          <w:rStyle w:val="A6"/>
          <w:sz w:val="24"/>
          <w:szCs w:val="24"/>
        </w:rPr>
        <w:t xml:space="preserve"> </w:t>
      </w:r>
    </w:p>
    <w:p w14:paraId="22510481" w14:textId="77777777" w:rsidR="00F224E6" w:rsidRDefault="00F224E6" w:rsidP="00156F51">
      <w:pPr>
        <w:spacing w:line="480" w:lineRule="auto"/>
      </w:pPr>
      <w:r w:rsidRPr="00F0709D">
        <w:t xml:space="preserve">The Division of Extramural Research and Training (DERT) at </w:t>
      </w:r>
      <w:r w:rsidR="00AC5511">
        <w:t xml:space="preserve">the </w:t>
      </w:r>
      <w:r>
        <w:t>NIEHS plans, directs and evaluates the Institute's grant program which supports research and research training in environmental health. It develops program priorities and recommends funding levels to assure maximum utilization of available resources in attainment of Institute objectives. Through cooperative relationships with NIH and with public and private institutions and organizations, the Division maintains an awareness of national research efforts and assesses the need for research and research training in environmental health.</w:t>
      </w:r>
    </w:p>
    <w:p w14:paraId="19267B11" w14:textId="77777777" w:rsidR="00A4558B" w:rsidRDefault="00AC5511" w:rsidP="00156F51">
      <w:pPr>
        <w:spacing w:line="480" w:lineRule="auto"/>
      </w:pPr>
      <w:r>
        <w:t>Within DERT, t</w:t>
      </w:r>
      <w:r w:rsidR="00A4558B">
        <w:t xml:space="preserve">he Program Analysis Branch </w:t>
      </w:r>
      <w:r>
        <w:t xml:space="preserve">(PAB) </w:t>
      </w:r>
      <w:r w:rsidR="00A4558B">
        <w:t>is tasked with:</w:t>
      </w:r>
    </w:p>
    <w:p w14:paraId="744C0979" w14:textId="77777777"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Providing guidance in shaping the direction of the portfolio through grant assignment and tracking, and coordination of division activities. </w:t>
      </w:r>
    </w:p>
    <w:p w14:paraId="2414600B" w14:textId="77777777"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Conducting long and short-term scientific evaluation and analyses of grant portfolio to provide a basis for priority setting, decision-making, and strategic planning. </w:t>
      </w:r>
    </w:p>
    <w:p w14:paraId="3CB54DDA" w14:textId="77777777"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Developing methodologies to conduct impact analyses to assure maximum benefits of research funding. </w:t>
      </w:r>
    </w:p>
    <w:p w14:paraId="12788575" w14:textId="77777777"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Using results of program analyses to recommend areas for program development and to identify emerging emphasis areas for consideration by the Institute Director and advisory groups. </w:t>
      </w:r>
    </w:p>
    <w:p w14:paraId="34A48424" w14:textId="77777777" w:rsidR="00A4558B" w:rsidRDefault="00A4558B" w:rsidP="00156F51">
      <w:pPr>
        <w:numPr>
          <w:ilvl w:val="0"/>
          <w:numId w:val="1"/>
        </w:numPr>
        <w:tabs>
          <w:tab w:val="clear" w:pos="1440"/>
          <w:tab w:val="num" w:pos="630"/>
        </w:tabs>
        <w:spacing w:before="100" w:beforeAutospacing="1" w:after="100" w:afterAutospacing="1" w:line="480" w:lineRule="auto"/>
        <w:ind w:left="630" w:hanging="270"/>
      </w:pPr>
      <w:r>
        <w:t xml:space="preserve">Communicating high impact science and public health relevance of extramural research. </w:t>
      </w:r>
    </w:p>
    <w:p w14:paraId="266E1A1E" w14:textId="77777777" w:rsidR="00F224E6" w:rsidRPr="00D84961" w:rsidRDefault="00F224E6" w:rsidP="00156F51">
      <w:pPr>
        <w:spacing w:line="480" w:lineRule="auto"/>
      </w:pPr>
    </w:p>
    <w:p w14:paraId="68ECBDD9" w14:textId="77777777" w:rsidR="00F224E6" w:rsidRPr="00D84961" w:rsidRDefault="00D84961" w:rsidP="00156F51">
      <w:pPr>
        <w:pStyle w:val="Default"/>
        <w:spacing w:line="480" w:lineRule="auto"/>
        <w:rPr>
          <w:rFonts w:ascii="Times New Roman" w:hAnsi="Times New Roman" w:cs="Times New Roman"/>
          <w:color w:val="211E1E"/>
        </w:rPr>
      </w:pPr>
      <w:r w:rsidRPr="00D84961">
        <w:rPr>
          <w:rFonts w:ascii="Times New Roman" w:hAnsi="Times New Roman" w:cs="Times New Roman"/>
        </w:rPr>
        <w:t xml:space="preserve">In order to make informed management decisions about its research programs and to demonstrate the outputs, outcomes and impacts of </w:t>
      </w:r>
      <w:r w:rsidRPr="00AC43F3">
        <w:rPr>
          <w:rFonts w:ascii="Times New Roman" w:hAnsi="Times New Roman" w:cs="Times New Roman"/>
        </w:rPr>
        <w:t>its research programs NI</w:t>
      </w:r>
      <w:r w:rsidR="00C9784F" w:rsidRPr="00AC43F3">
        <w:rPr>
          <w:rFonts w:ascii="Times New Roman" w:hAnsi="Times New Roman" w:cs="Times New Roman"/>
        </w:rPr>
        <w:t>H</w:t>
      </w:r>
      <w:r w:rsidRPr="00AC43F3">
        <w:rPr>
          <w:rFonts w:ascii="Times New Roman" w:hAnsi="Times New Roman" w:cs="Times New Roman"/>
        </w:rPr>
        <w:t xml:space="preserve"> must be</w:t>
      </w:r>
      <w:r w:rsidRPr="00D84961">
        <w:rPr>
          <w:rFonts w:ascii="Times New Roman" w:hAnsi="Times New Roman" w:cs="Times New Roman"/>
        </w:rPr>
        <w:t xml:space="preserve"> able collect, analyze and report on data from extramural grantees.</w:t>
      </w:r>
      <w:r>
        <w:rPr>
          <w:rFonts w:ascii="Times New Roman" w:hAnsi="Times New Roman" w:cs="Times New Roman"/>
        </w:rPr>
        <w:t xml:space="preserve"> PAB</w:t>
      </w:r>
      <w:r w:rsidRPr="00D84961">
        <w:rPr>
          <w:rFonts w:ascii="Times New Roman" w:hAnsi="Times New Roman" w:cs="Times New Roman"/>
        </w:rPr>
        <w:t xml:space="preserve"> </w:t>
      </w:r>
      <w:r w:rsidR="00AC5511" w:rsidRPr="00D84961">
        <w:rPr>
          <w:rFonts w:ascii="Times New Roman" w:hAnsi="Times New Roman" w:cs="Times New Roman"/>
        </w:rPr>
        <w:t>must occasionally collect information directly from grantees who are currently receiving funding or who have received funding in the past on topics such as:</w:t>
      </w:r>
    </w:p>
    <w:p w14:paraId="5D3C1C93" w14:textId="77777777" w:rsidR="00AC5511" w:rsidRPr="00D84961" w:rsidRDefault="00AC5511" w:rsidP="00156F51">
      <w:pPr>
        <w:numPr>
          <w:ilvl w:val="0"/>
          <w:numId w:val="4"/>
        </w:numPr>
        <w:spacing w:line="480" w:lineRule="auto"/>
      </w:pPr>
      <w:r w:rsidRPr="00D84961">
        <w:t>Key scientific outcomes achieved through the research</w:t>
      </w:r>
      <w:r w:rsidR="00B12D1F" w:rsidRPr="00D84961">
        <w:t xml:space="preserve"> and the impact on the field of environmental health science</w:t>
      </w:r>
    </w:p>
    <w:p w14:paraId="66211F13" w14:textId="77777777" w:rsidR="00B12D1F" w:rsidRDefault="00B12D1F" w:rsidP="00156F51">
      <w:pPr>
        <w:numPr>
          <w:ilvl w:val="0"/>
          <w:numId w:val="4"/>
        </w:numPr>
        <w:spacing w:line="480" w:lineRule="auto"/>
      </w:pPr>
      <w:r>
        <w:t>Contribution of research findings to program goals and objectives</w:t>
      </w:r>
    </w:p>
    <w:p w14:paraId="1FB1F66B" w14:textId="77777777" w:rsidR="00AC5511" w:rsidRDefault="00AC5511" w:rsidP="00156F51">
      <w:pPr>
        <w:numPr>
          <w:ilvl w:val="0"/>
          <w:numId w:val="4"/>
        </w:numPr>
        <w:spacing w:line="480" w:lineRule="auto"/>
      </w:pPr>
      <w:r>
        <w:t xml:space="preserve">Satisfaction with the program support received </w:t>
      </w:r>
    </w:p>
    <w:p w14:paraId="09472A89" w14:textId="77777777" w:rsidR="00AC5511" w:rsidRDefault="00AC5511" w:rsidP="00156F51">
      <w:pPr>
        <w:numPr>
          <w:ilvl w:val="0"/>
          <w:numId w:val="4"/>
        </w:numPr>
        <w:spacing w:line="480" w:lineRule="auto"/>
      </w:pPr>
      <w:r>
        <w:t>Challenges and benefits of the funding mechanism used to support the science</w:t>
      </w:r>
    </w:p>
    <w:p w14:paraId="0A377E13" w14:textId="77777777" w:rsidR="00B12D1F" w:rsidRDefault="00B12D1F" w:rsidP="00156F51">
      <w:pPr>
        <w:numPr>
          <w:ilvl w:val="0"/>
          <w:numId w:val="4"/>
        </w:numPr>
        <w:spacing w:line="480" w:lineRule="auto"/>
      </w:pPr>
      <w:r>
        <w:t>Emerging research areas and gaps in the research</w:t>
      </w:r>
    </w:p>
    <w:p w14:paraId="0DEC4A24" w14:textId="77777777" w:rsidR="00AC5511" w:rsidRDefault="00AC5511" w:rsidP="00156F51">
      <w:pPr>
        <w:spacing w:line="480" w:lineRule="auto"/>
      </w:pPr>
    </w:p>
    <w:p w14:paraId="3CE4F323" w14:textId="77777777" w:rsidR="000C1B60" w:rsidRDefault="000D2D59" w:rsidP="00156F51">
      <w:pPr>
        <w:spacing w:line="480" w:lineRule="auto"/>
      </w:pPr>
      <w:r w:rsidRPr="00EA1384">
        <w:t>This request is similar to other</w:t>
      </w:r>
      <w:r w:rsidR="00C835B9" w:rsidRPr="00EA1384">
        <w:t xml:space="preserve"> data collections</w:t>
      </w:r>
      <w:r w:rsidRPr="00EA1384">
        <w:t xml:space="preserve"> that</w:t>
      </w:r>
      <w:r w:rsidR="00C835B9" w:rsidRPr="00EA1384">
        <w:t xml:space="preserve"> have been approved for individual grant portfolio evaluations, such as the NIEHS Asthma</w:t>
      </w:r>
      <w:r w:rsidR="00C835B9" w:rsidRPr="00103236">
        <w:t xml:space="preserve"> </w:t>
      </w:r>
      <w:r w:rsidR="00103236" w:rsidRPr="00103236">
        <w:t>Researchers Survey</w:t>
      </w:r>
      <w:r w:rsidR="00C835B9" w:rsidRPr="00103236">
        <w:t xml:space="preserve"> (</w:t>
      </w:r>
      <w:r w:rsidR="00103236" w:rsidRPr="00103236">
        <w:t>OMB Control No. 0925-0588</w:t>
      </w:r>
      <w:r w:rsidR="005955A1">
        <w:t>, exp. 4/30/2011</w:t>
      </w:r>
      <w:r w:rsidR="00C835B9" w:rsidRPr="00103236">
        <w:t xml:space="preserve">). </w:t>
      </w:r>
      <w:r w:rsidR="00007603">
        <w:t xml:space="preserve">Decisions about which portfolio evaluations to conduct in any given year are made based on </w:t>
      </w:r>
      <w:r w:rsidR="00103236">
        <w:t>strategic Institute and Division needs, project officers requests, emerging science trends and questions and requests from Congress and other stakeholders.</w:t>
      </w:r>
    </w:p>
    <w:p w14:paraId="36505810" w14:textId="77777777" w:rsidR="000C1B60" w:rsidRDefault="000C1B60" w:rsidP="00156F51">
      <w:pPr>
        <w:pStyle w:val="NormalWeb"/>
        <w:spacing w:line="480" w:lineRule="auto"/>
      </w:pPr>
      <w:r w:rsidRPr="008B66DC">
        <w:t>This data collection falls within t</w:t>
      </w:r>
      <w:r w:rsidRPr="003F49AE">
        <w:t xml:space="preserve">he mandate of the </w:t>
      </w:r>
      <w:r w:rsidR="00476787">
        <w:t>NIH</w:t>
      </w:r>
      <w:r w:rsidRPr="003F49AE">
        <w:t xml:space="preserve"> written </w:t>
      </w:r>
      <w:r w:rsidRPr="00CB5496">
        <w:t>in 42 USC 285 l</w:t>
      </w:r>
      <w:r>
        <w:t xml:space="preserve"> (</w:t>
      </w:r>
      <w:r w:rsidRPr="00CB5496">
        <w:t>Section</w:t>
      </w:r>
      <w:r w:rsidRPr="003F49AE">
        <w:t xml:space="preserve"> 463 of the Public Health Services Act</w:t>
      </w:r>
      <w:r>
        <w:t>)</w:t>
      </w:r>
      <w:r w:rsidRPr="003F49AE">
        <w:t>, as amended by the Health Research Extension Act of 1985.</w:t>
      </w:r>
    </w:p>
    <w:p w14:paraId="434F2931" w14:textId="77777777" w:rsidR="006E557B" w:rsidRPr="00D61E21" w:rsidRDefault="006E557B" w:rsidP="006E557B">
      <w:pPr>
        <w:pStyle w:val="Heading2"/>
        <w:spacing w:after="0" w:line="480" w:lineRule="auto"/>
        <w:ind w:left="0" w:firstLine="0"/>
        <w:rPr>
          <w:sz w:val="24"/>
          <w:szCs w:val="24"/>
        </w:rPr>
      </w:pPr>
      <w:bookmarkStart w:id="2" w:name="_Toc443881743"/>
      <w:bookmarkStart w:id="3" w:name="_Toc451592232"/>
      <w:bookmarkStart w:id="4" w:name="_Toc5610273"/>
      <w:bookmarkStart w:id="5" w:name="_Toc99178779"/>
      <w:r>
        <w:rPr>
          <w:sz w:val="24"/>
          <w:szCs w:val="24"/>
        </w:rPr>
        <w:t xml:space="preserve">A.2    </w:t>
      </w:r>
      <w:r w:rsidRPr="00D61E21">
        <w:rPr>
          <w:sz w:val="24"/>
          <w:szCs w:val="24"/>
        </w:rPr>
        <w:t>Purpose and Use of the Information</w:t>
      </w:r>
      <w:bookmarkEnd w:id="2"/>
      <w:bookmarkEnd w:id="3"/>
      <w:bookmarkEnd w:id="4"/>
      <w:bookmarkEnd w:id="5"/>
      <w:r w:rsidRPr="00D61E21">
        <w:rPr>
          <w:sz w:val="24"/>
          <w:szCs w:val="24"/>
        </w:rPr>
        <w:t xml:space="preserve"> Collection</w:t>
      </w:r>
    </w:p>
    <w:p w14:paraId="4EEC0C4D" w14:textId="611C5589" w:rsidR="00514470" w:rsidRPr="003C1CE4" w:rsidRDefault="00B45D77" w:rsidP="00514470">
      <w:pPr>
        <w:pStyle w:val="NormalWeb"/>
        <w:spacing w:line="480" w:lineRule="auto"/>
      </w:pPr>
      <w:r w:rsidRPr="00B45D77">
        <w:rPr>
          <w:highlight w:val="yellow"/>
        </w:rPr>
        <w:t>The collection has been converted to a “Common Form.”</w:t>
      </w:r>
      <w:r>
        <w:t xml:space="preserve"> </w:t>
      </w:r>
      <w:r w:rsidR="00514470" w:rsidRPr="003C1CE4">
        <w:t xml:space="preserve">Information gained from this primary data collection will be used in conjunction with </w:t>
      </w:r>
      <w:r w:rsidR="00514470">
        <w:t xml:space="preserve">data from grantee progress reports and presentations at grantee meetings to </w:t>
      </w:r>
      <w:r w:rsidR="00514470" w:rsidRPr="003C1CE4">
        <w:t>inform internal programs and new funding initiative</w:t>
      </w:r>
      <w:r w:rsidR="00514470">
        <w:t>s. Outcome i</w:t>
      </w:r>
      <w:r w:rsidR="00514470" w:rsidRPr="003C1CE4">
        <w:t>nformation to be collected includes measures of agency-funded research resulting in dissemination of findings, investigator career development, grant-funded knowledge and products, commercial products and drugs, laws, regulations and standards, guidelines and recommendations, information on patents and new drug applications and community outreach and public awareness relevant to extramural research funding</w:t>
      </w:r>
      <w:r w:rsidR="008601C7">
        <w:t xml:space="preserve"> and emerging areas of research</w:t>
      </w:r>
      <w:r w:rsidR="00514470" w:rsidRPr="003C1CE4">
        <w:t>.</w:t>
      </w:r>
      <w:r w:rsidR="00514470">
        <w:t xml:space="preserve"> Satisfaction information to be collected includes measures of satisfaction with the type of funding or program management mechanism used, challenges and benefits with the program support received, </w:t>
      </w:r>
      <w:r w:rsidR="008601C7">
        <w:t>and gaps in the research.</w:t>
      </w:r>
    </w:p>
    <w:p w14:paraId="50A0B519" w14:textId="41C39B63" w:rsidR="00514470" w:rsidRDefault="00514470" w:rsidP="00514470">
      <w:pPr>
        <w:pStyle w:val="NormalWeb"/>
        <w:spacing w:line="480" w:lineRule="auto"/>
      </w:pPr>
      <w:r w:rsidRPr="00AC43F3">
        <w:t xml:space="preserve">Without this research, </w:t>
      </w:r>
      <w:r w:rsidR="000D2D59" w:rsidRPr="00AC43F3">
        <w:t>NICHD, NIDCD, NIMH, NINDS, NIEHS, NCI</w:t>
      </w:r>
      <w:r w:rsidR="00764992">
        <w:t xml:space="preserve">, </w:t>
      </w:r>
      <w:r w:rsidR="00764992" w:rsidRPr="00764992">
        <w:rPr>
          <w:highlight w:val="yellow"/>
        </w:rPr>
        <w:t>and EPA</w:t>
      </w:r>
      <w:r w:rsidRPr="00AC43F3">
        <w:t xml:space="preserve"> would</w:t>
      </w:r>
      <w:r w:rsidRPr="003C1CE4">
        <w:t xml:space="preserve"> have little information regarding the impact of its extramural research and training program</w:t>
      </w:r>
      <w:r>
        <w:t>s, and thus little information on which to base future program decisions</w:t>
      </w:r>
      <w:r w:rsidRPr="003C1CE4">
        <w:t>.</w:t>
      </w:r>
    </w:p>
    <w:p w14:paraId="405052BA" w14:textId="77777777" w:rsidR="00083374" w:rsidRDefault="00083374" w:rsidP="00514470">
      <w:pPr>
        <w:pStyle w:val="NormalWeb"/>
        <w:spacing w:line="480" w:lineRule="auto"/>
      </w:pPr>
      <w:r>
        <w:t>We provide our evaluation of NIEHS’ grantees funde</w:t>
      </w:r>
      <w:r w:rsidRPr="00AB751F">
        <w:t xml:space="preserve">d through the </w:t>
      </w:r>
      <w:r w:rsidR="000D2D59" w:rsidRPr="00AB751F">
        <w:t xml:space="preserve">Children’s Environmental Health Centers </w:t>
      </w:r>
      <w:r w:rsidRPr="00AB751F">
        <w:t xml:space="preserve">funding opportunity announcement (FOA) </w:t>
      </w:r>
      <w:r w:rsidR="002B52BB" w:rsidRPr="00AB751F">
        <w:t xml:space="preserve">as an example of how this survey </w:t>
      </w:r>
      <w:r w:rsidR="000D2D59" w:rsidRPr="00AB751F">
        <w:t>has been</w:t>
      </w:r>
      <w:r w:rsidR="002B52BB" w:rsidRPr="00AB751F">
        <w:t xml:space="preserve"> used</w:t>
      </w:r>
      <w:r w:rsidRPr="00AB751F">
        <w:t xml:space="preserve">. </w:t>
      </w:r>
      <w:r w:rsidR="00BA25AA" w:rsidRPr="00AB751F">
        <w:t xml:space="preserve">We </w:t>
      </w:r>
      <w:r w:rsidR="000D2D59" w:rsidRPr="00AB751F">
        <w:t>collected</w:t>
      </w:r>
      <w:r w:rsidR="00BA25AA" w:rsidRPr="00AB751F">
        <w:t xml:space="preserve"> data from the grantees about their experiences participating in the </w:t>
      </w:r>
      <w:r w:rsidR="000D2D59" w:rsidRPr="00AB751F">
        <w:t>Children’s Center program</w:t>
      </w:r>
      <w:r w:rsidR="00BA25AA" w:rsidRPr="00AB751F">
        <w:t>, the</w:t>
      </w:r>
      <w:r w:rsidR="00BA25AA">
        <w:t xml:space="preserve"> satisfaction with the support they have received from NIEHS program staff, and their experience conducting research in such a way as to </w:t>
      </w:r>
      <w:r w:rsidR="008B3979">
        <w:t xml:space="preserve">inform </w:t>
      </w:r>
      <w:r w:rsidR="00BA25AA">
        <w:t xml:space="preserve">regulatory decision-making. </w:t>
      </w:r>
      <w:r w:rsidR="000D2D59" w:rsidRPr="00AB751F">
        <w:t>The Children’s Environmental Health Center Grantees completed the survey and responses from the survey were used to highlight for institute leadership as well as policy makers the products and impacts of the environmental health research conducted by the Children’s Centers.</w:t>
      </w:r>
      <w:r w:rsidR="000D2D59">
        <w:t xml:space="preserve"> </w:t>
      </w:r>
      <w:r w:rsidR="00BA25AA">
        <w:t>While grantees report the impacts of their research in their annual progress reports, they typically do not include information about their satisfaction with the funding process or program management.</w:t>
      </w:r>
    </w:p>
    <w:p w14:paraId="648290D2" w14:textId="77777777" w:rsidR="00BA25AA" w:rsidRDefault="00BA25AA" w:rsidP="00514470">
      <w:pPr>
        <w:pStyle w:val="NormalWeb"/>
        <w:spacing w:line="480" w:lineRule="auto"/>
      </w:pPr>
      <w:r>
        <w:t xml:space="preserve">Any grantee satisfaction or program </w:t>
      </w:r>
      <w:r w:rsidRPr="00AB751F">
        <w:t xml:space="preserve">management data collected through this survey will be used by </w:t>
      </w:r>
      <w:r w:rsidR="000D2D59" w:rsidRPr="00AB751F">
        <w:t>the ICs</w:t>
      </w:r>
      <w:r w:rsidRPr="00AB751F">
        <w:t xml:space="preserve"> to inform future program</w:t>
      </w:r>
      <w:r>
        <w:t>ming decisions.</w:t>
      </w:r>
      <w:r w:rsidR="006E07D8">
        <w:t xml:space="preserve"> Below </w:t>
      </w:r>
      <w:r w:rsidR="00C74CFE">
        <w:t>we provide</w:t>
      </w:r>
      <w:r w:rsidR="006E07D8">
        <w:t xml:space="preserve"> details of each ICs survey use and how the findings were used to inform decision</w:t>
      </w:r>
      <w:r w:rsidR="00C74CFE">
        <w:t xml:space="preserve"> (Table A</w:t>
      </w:r>
      <w:r w:rsidR="008F4BC1">
        <w:t>.</w:t>
      </w:r>
      <w:r w:rsidR="00C74CFE">
        <w:t>2-1)</w:t>
      </w:r>
      <w:r w:rsidR="006E07D8">
        <w:t>.</w:t>
      </w:r>
    </w:p>
    <w:p w14:paraId="7FFAADAA" w14:textId="77777777" w:rsidR="006E07D8" w:rsidRPr="006E07D8" w:rsidRDefault="006E07D8" w:rsidP="00514470">
      <w:pPr>
        <w:pStyle w:val="NormalWeb"/>
        <w:spacing w:line="480" w:lineRule="auto"/>
        <w:rPr>
          <w:b/>
          <w:highlight w:val="yellow"/>
        </w:rPr>
      </w:pPr>
      <w:r w:rsidRPr="006E07D8">
        <w:rPr>
          <w:b/>
          <w:highlight w:val="yellow"/>
        </w:rPr>
        <w:t>A</w:t>
      </w:r>
      <w:r w:rsidR="008F4BC1">
        <w:rPr>
          <w:b/>
          <w:highlight w:val="yellow"/>
        </w:rPr>
        <w:t>.2</w:t>
      </w:r>
      <w:r w:rsidRPr="006E07D8">
        <w:rPr>
          <w:b/>
          <w:highlight w:val="yellow"/>
        </w:rPr>
        <w:t>-1 Summary of IC Survey Use</w:t>
      </w:r>
    </w:p>
    <w:tbl>
      <w:tblPr>
        <w:tblStyle w:val="TableGrid"/>
        <w:tblW w:w="9535" w:type="dxa"/>
        <w:tblLook w:val="04A0" w:firstRow="1" w:lastRow="0" w:firstColumn="1" w:lastColumn="0" w:noHBand="0" w:noVBand="1"/>
      </w:tblPr>
      <w:tblGrid>
        <w:gridCol w:w="1075"/>
        <w:gridCol w:w="2340"/>
        <w:gridCol w:w="1260"/>
        <w:gridCol w:w="1350"/>
        <w:gridCol w:w="3510"/>
      </w:tblGrid>
      <w:tr w:rsidR="006E07D8" w:rsidRPr="006E07D8" w14:paraId="60A84541" w14:textId="77777777" w:rsidTr="003559C5">
        <w:tc>
          <w:tcPr>
            <w:tcW w:w="1075" w:type="dxa"/>
          </w:tcPr>
          <w:p w14:paraId="4EE549BE" w14:textId="77777777" w:rsidR="006E07D8" w:rsidRPr="006E07D8" w:rsidRDefault="006E07D8" w:rsidP="003559C5">
            <w:pPr>
              <w:rPr>
                <w:b/>
                <w:highlight w:val="yellow"/>
              </w:rPr>
            </w:pPr>
            <w:r w:rsidRPr="006E07D8">
              <w:rPr>
                <w:b/>
                <w:highlight w:val="yellow"/>
              </w:rPr>
              <w:t>IC</w:t>
            </w:r>
          </w:p>
        </w:tc>
        <w:tc>
          <w:tcPr>
            <w:tcW w:w="2340" w:type="dxa"/>
          </w:tcPr>
          <w:p w14:paraId="4D4AE8F2" w14:textId="77777777" w:rsidR="006E07D8" w:rsidRPr="006E07D8" w:rsidRDefault="006E07D8" w:rsidP="003559C5">
            <w:pPr>
              <w:rPr>
                <w:b/>
                <w:highlight w:val="yellow"/>
              </w:rPr>
            </w:pPr>
            <w:r w:rsidRPr="006E07D8">
              <w:rPr>
                <w:b/>
                <w:highlight w:val="yellow"/>
              </w:rPr>
              <w:t>Name of Program Surveyed</w:t>
            </w:r>
          </w:p>
        </w:tc>
        <w:tc>
          <w:tcPr>
            <w:tcW w:w="1260" w:type="dxa"/>
          </w:tcPr>
          <w:p w14:paraId="4DD76D78" w14:textId="77777777" w:rsidR="006E07D8" w:rsidRPr="006E07D8" w:rsidRDefault="006E07D8" w:rsidP="003559C5">
            <w:pPr>
              <w:rPr>
                <w:b/>
                <w:highlight w:val="yellow"/>
              </w:rPr>
            </w:pPr>
            <w:r w:rsidRPr="006E07D8">
              <w:rPr>
                <w:b/>
                <w:highlight w:val="yellow"/>
              </w:rPr>
              <w:t>Number of Surveys Sent</w:t>
            </w:r>
          </w:p>
        </w:tc>
        <w:tc>
          <w:tcPr>
            <w:tcW w:w="1350" w:type="dxa"/>
          </w:tcPr>
          <w:p w14:paraId="5C8F8177" w14:textId="77777777" w:rsidR="006E07D8" w:rsidRPr="006E07D8" w:rsidRDefault="006E07D8" w:rsidP="003559C5">
            <w:pPr>
              <w:rPr>
                <w:b/>
                <w:highlight w:val="yellow"/>
              </w:rPr>
            </w:pPr>
            <w:r w:rsidRPr="006E07D8">
              <w:rPr>
                <w:b/>
                <w:highlight w:val="yellow"/>
              </w:rPr>
              <w:t>Number of Surveys Returned</w:t>
            </w:r>
          </w:p>
        </w:tc>
        <w:tc>
          <w:tcPr>
            <w:tcW w:w="3510" w:type="dxa"/>
          </w:tcPr>
          <w:p w14:paraId="08668927" w14:textId="77777777" w:rsidR="006E07D8" w:rsidRPr="006E07D8" w:rsidRDefault="006E07D8" w:rsidP="003559C5">
            <w:pPr>
              <w:rPr>
                <w:b/>
                <w:highlight w:val="yellow"/>
              </w:rPr>
            </w:pPr>
            <w:r w:rsidRPr="006E07D8">
              <w:rPr>
                <w:b/>
                <w:highlight w:val="yellow"/>
              </w:rPr>
              <w:t>How were Findings Used</w:t>
            </w:r>
          </w:p>
        </w:tc>
      </w:tr>
      <w:tr w:rsidR="006E07D8" w:rsidRPr="006E07D8" w14:paraId="2B32C0C1" w14:textId="77777777" w:rsidTr="003559C5">
        <w:tc>
          <w:tcPr>
            <w:tcW w:w="1075" w:type="dxa"/>
          </w:tcPr>
          <w:p w14:paraId="3275AF46" w14:textId="77777777" w:rsidR="006E07D8" w:rsidRPr="006E07D8" w:rsidRDefault="006E07D8" w:rsidP="003559C5">
            <w:pPr>
              <w:rPr>
                <w:highlight w:val="yellow"/>
              </w:rPr>
            </w:pPr>
            <w:r w:rsidRPr="006E07D8">
              <w:rPr>
                <w:highlight w:val="yellow"/>
              </w:rPr>
              <w:t>NINDS</w:t>
            </w:r>
          </w:p>
        </w:tc>
        <w:tc>
          <w:tcPr>
            <w:tcW w:w="2340" w:type="dxa"/>
          </w:tcPr>
          <w:p w14:paraId="67D1D00B" w14:textId="77777777" w:rsidR="006E07D8" w:rsidRPr="006E07D8" w:rsidRDefault="006E07D8" w:rsidP="003559C5">
            <w:pPr>
              <w:rPr>
                <w:highlight w:val="yellow"/>
              </w:rPr>
            </w:pPr>
            <w:r w:rsidRPr="006E07D8">
              <w:rPr>
                <w:highlight w:val="yellow"/>
              </w:rPr>
              <w:t>Translational Cooperative Agreement Program (CAP)</w:t>
            </w:r>
          </w:p>
        </w:tc>
        <w:tc>
          <w:tcPr>
            <w:tcW w:w="1260" w:type="dxa"/>
          </w:tcPr>
          <w:p w14:paraId="77271800" w14:textId="77777777" w:rsidR="006E07D8" w:rsidRPr="006E07D8" w:rsidRDefault="006E07D8" w:rsidP="003559C5">
            <w:pPr>
              <w:rPr>
                <w:highlight w:val="yellow"/>
              </w:rPr>
            </w:pPr>
            <w:r w:rsidRPr="006E07D8">
              <w:rPr>
                <w:highlight w:val="yellow"/>
              </w:rPr>
              <w:t>9</w:t>
            </w:r>
          </w:p>
        </w:tc>
        <w:tc>
          <w:tcPr>
            <w:tcW w:w="1350" w:type="dxa"/>
          </w:tcPr>
          <w:p w14:paraId="31D0A852" w14:textId="77777777" w:rsidR="006E07D8" w:rsidRPr="006E07D8" w:rsidRDefault="006E07D8" w:rsidP="003559C5">
            <w:pPr>
              <w:rPr>
                <w:highlight w:val="yellow"/>
              </w:rPr>
            </w:pPr>
            <w:r w:rsidRPr="006E07D8">
              <w:rPr>
                <w:highlight w:val="yellow"/>
              </w:rPr>
              <w:t>4</w:t>
            </w:r>
          </w:p>
        </w:tc>
        <w:tc>
          <w:tcPr>
            <w:tcW w:w="3510" w:type="dxa"/>
          </w:tcPr>
          <w:p w14:paraId="2CD6100E" w14:textId="77777777" w:rsidR="006E07D8" w:rsidRPr="006E07D8" w:rsidRDefault="006E07D8" w:rsidP="003559C5">
            <w:pPr>
              <w:rPr>
                <w:highlight w:val="yellow"/>
              </w:rPr>
            </w:pPr>
            <w:r w:rsidRPr="006E07D8">
              <w:rPr>
                <w:highlight w:val="yellow"/>
              </w:rPr>
              <w:t>Help measure program success</w:t>
            </w:r>
          </w:p>
        </w:tc>
      </w:tr>
      <w:tr w:rsidR="006E07D8" w14:paraId="51EFDCE9" w14:textId="77777777" w:rsidTr="003559C5">
        <w:tc>
          <w:tcPr>
            <w:tcW w:w="1075" w:type="dxa"/>
          </w:tcPr>
          <w:p w14:paraId="55197385" w14:textId="77777777" w:rsidR="006E07D8" w:rsidRPr="00C74CFE" w:rsidRDefault="006E07D8" w:rsidP="003559C5">
            <w:pPr>
              <w:rPr>
                <w:highlight w:val="yellow"/>
              </w:rPr>
            </w:pPr>
            <w:r w:rsidRPr="00C74CFE">
              <w:rPr>
                <w:highlight w:val="yellow"/>
              </w:rPr>
              <w:t>NINDS</w:t>
            </w:r>
          </w:p>
        </w:tc>
        <w:tc>
          <w:tcPr>
            <w:tcW w:w="2340" w:type="dxa"/>
          </w:tcPr>
          <w:p w14:paraId="4C719320" w14:textId="77777777" w:rsidR="006E07D8" w:rsidRPr="00C74CFE" w:rsidRDefault="006E07D8" w:rsidP="003559C5">
            <w:pPr>
              <w:rPr>
                <w:highlight w:val="yellow"/>
              </w:rPr>
            </w:pPr>
            <w:r w:rsidRPr="00C74CFE">
              <w:rPr>
                <w:highlight w:val="yellow"/>
              </w:rPr>
              <w:t>Neurological Emergencies Treatment Trials (NETT) Network</w:t>
            </w:r>
          </w:p>
        </w:tc>
        <w:tc>
          <w:tcPr>
            <w:tcW w:w="1260" w:type="dxa"/>
          </w:tcPr>
          <w:p w14:paraId="3C261C59" w14:textId="77777777" w:rsidR="006E07D8" w:rsidRPr="00C74CFE" w:rsidRDefault="006E07D8" w:rsidP="003559C5">
            <w:pPr>
              <w:rPr>
                <w:highlight w:val="yellow"/>
              </w:rPr>
            </w:pPr>
            <w:r w:rsidRPr="00C74CFE">
              <w:rPr>
                <w:highlight w:val="yellow"/>
              </w:rPr>
              <w:t>320</w:t>
            </w:r>
          </w:p>
        </w:tc>
        <w:tc>
          <w:tcPr>
            <w:tcW w:w="1350" w:type="dxa"/>
          </w:tcPr>
          <w:p w14:paraId="1D1A677D" w14:textId="77777777" w:rsidR="006E07D8" w:rsidRPr="00C74CFE" w:rsidRDefault="006E07D8" w:rsidP="003559C5">
            <w:pPr>
              <w:rPr>
                <w:highlight w:val="yellow"/>
              </w:rPr>
            </w:pPr>
            <w:r w:rsidRPr="00C74CFE">
              <w:rPr>
                <w:highlight w:val="yellow"/>
              </w:rPr>
              <w:t>149</w:t>
            </w:r>
          </w:p>
        </w:tc>
        <w:tc>
          <w:tcPr>
            <w:tcW w:w="3510" w:type="dxa"/>
          </w:tcPr>
          <w:p w14:paraId="1900E221" w14:textId="77777777" w:rsidR="006E07D8" w:rsidRPr="00C74CFE" w:rsidRDefault="006E07D8" w:rsidP="003559C5">
            <w:pPr>
              <w:rPr>
                <w:highlight w:val="yellow"/>
              </w:rPr>
            </w:pPr>
            <w:r w:rsidRPr="00C74CFE">
              <w:rPr>
                <w:highlight w:val="yellow"/>
              </w:rPr>
              <w:t>To obtain feedback from program participants as part of broader effort to evaluate the program and identify future programmatic priorities</w:t>
            </w:r>
          </w:p>
        </w:tc>
      </w:tr>
      <w:tr w:rsidR="006E07D8" w14:paraId="3E14080D" w14:textId="77777777" w:rsidTr="003559C5">
        <w:tc>
          <w:tcPr>
            <w:tcW w:w="1075" w:type="dxa"/>
          </w:tcPr>
          <w:p w14:paraId="79FAB713" w14:textId="77777777" w:rsidR="006E07D8" w:rsidRPr="00C74CFE" w:rsidRDefault="00AC43F3" w:rsidP="003559C5">
            <w:pPr>
              <w:rPr>
                <w:highlight w:val="yellow"/>
              </w:rPr>
            </w:pPr>
            <w:r w:rsidRPr="00C74CFE">
              <w:rPr>
                <w:highlight w:val="yellow"/>
              </w:rPr>
              <w:t>NIEHS</w:t>
            </w:r>
          </w:p>
        </w:tc>
        <w:tc>
          <w:tcPr>
            <w:tcW w:w="2340" w:type="dxa"/>
          </w:tcPr>
          <w:p w14:paraId="224E4B57" w14:textId="77777777" w:rsidR="006E07D8" w:rsidRPr="00C74CFE" w:rsidRDefault="00AC43F3" w:rsidP="003559C5">
            <w:pPr>
              <w:rPr>
                <w:highlight w:val="yellow"/>
              </w:rPr>
            </w:pPr>
            <w:r w:rsidRPr="00C74CFE">
              <w:rPr>
                <w:highlight w:val="yellow"/>
              </w:rPr>
              <w:t>Children’s Environmental Health Centers</w:t>
            </w:r>
          </w:p>
        </w:tc>
        <w:tc>
          <w:tcPr>
            <w:tcW w:w="1260" w:type="dxa"/>
          </w:tcPr>
          <w:p w14:paraId="30AD10C3" w14:textId="77777777" w:rsidR="006E07D8" w:rsidRPr="00C74CFE" w:rsidRDefault="00AC43F3" w:rsidP="003559C5">
            <w:pPr>
              <w:rPr>
                <w:highlight w:val="yellow"/>
              </w:rPr>
            </w:pPr>
            <w:r w:rsidRPr="00C74CFE">
              <w:rPr>
                <w:highlight w:val="yellow"/>
              </w:rPr>
              <w:t>32</w:t>
            </w:r>
          </w:p>
        </w:tc>
        <w:tc>
          <w:tcPr>
            <w:tcW w:w="1350" w:type="dxa"/>
          </w:tcPr>
          <w:p w14:paraId="7A68DF9B" w14:textId="77777777" w:rsidR="006E07D8" w:rsidRPr="00C74CFE" w:rsidRDefault="00AC43F3" w:rsidP="003559C5">
            <w:pPr>
              <w:rPr>
                <w:highlight w:val="yellow"/>
              </w:rPr>
            </w:pPr>
            <w:r w:rsidRPr="00C74CFE">
              <w:rPr>
                <w:highlight w:val="yellow"/>
              </w:rPr>
              <w:t>32</w:t>
            </w:r>
          </w:p>
        </w:tc>
        <w:tc>
          <w:tcPr>
            <w:tcW w:w="3510" w:type="dxa"/>
          </w:tcPr>
          <w:p w14:paraId="24572430" w14:textId="77777777" w:rsidR="006E07D8" w:rsidRPr="00C74CFE" w:rsidRDefault="00AC43F3" w:rsidP="003559C5">
            <w:pPr>
              <w:rPr>
                <w:highlight w:val="yellow"/>
              </w:rPr>
            </w:pPr>
            <w:r w:rsidRPr="00C74CFE">
              <w:rPr>
                <w:highlight w:val="yellow"/>
              </w:rPr>
              <w:t>To obtain descriptions of program products and impacts to share with other grantees in an effort to encourage resource sharing.</w:t>
            </w:r>
          </w:p>
        </w:tc>
      </w:tr>
      <w:tr w:rsidR="00AC43F3" w14:paraId="5DF6164C" w14:textId="77777777" w:rsidTr="00AC43F3">
        <w:tc>
          <w:tcPr>
            <w:tcW w:w="1075" w:type="dxa"/>
          </w:tcPr>
          <w:p w14:paraId="2185A08F" w14:textId="77777777" w:rsidR="00AC43F3" w:rsidRPr="00C74CFE" w:rsidRDefault="00AC43F3" w:rsidP="003165EB">
            <w:pPr>
              <w:rPr>
                <w:highlight w:val="yellow"/>
              </w:rPr>
            </w:pPr>
            <w:r w:rsidRPr="00C74CFE">
              <w:rPr>
                <w:highlight w:val="yellow"/>
              </w:rPr>
              <w:t>NIEHS</w:t>
            </w:r>
          </w:p>
        </w:tc>
        <w:tc>
          <w:tcPr>
            <w:tcW w:w="2340" w:type="dxa"/>
          </w:tcPr>
          <w:p w14:paraId="1E6D4C84" w14:textId="77777777" w:rsidR="00AC43F3" w:rsidRPr="00C74CFE" w:rsidRDefault="00AC43F3" w:rsidP="003165EB">
            <w:pPr>
              <w:rPr>
                <w:highlight w:val="yellow"/>
              </w:rPr>
            </w:pPr>
            <w:r w:rsidRPr="00C74CFE">
              <w:rPr>
                <w:highlight w:val="yellow"/>
              </w:rPr>
              <w:t>Environmental Health Core Centers</w:t>
            </w:r>
          </w:p>
        </w:tc>
        <w:tc>
          <w:tcPr>
            <w:tcW w:w="1260" w:type="dxa"/>
          </w:tcPr>
          <w:p w14:paraId="621D3121" w14:textId="77777777" w:rsidR="00AC43F3" w:rsidRPr="00C74CFE" w:rsidRDefault="00AC43F3" w:rsidP="003165EB">
            <w:pPr>
              <w:rPr>
                <w:highlight w:val="yellow"/>
              </w:rPr>
            </w:pPr>
            <w:r w:rsidRPr="00C74CFE">
              <w:rPr>
                <w:highlight w:val="yellow"/>
              </w:rPr>
              <w:t>29</w:t>
            </w:r>
          </w:p>
        </w:tc>
        <w:tc>
          <w:tcPr>
            <w:tcW w:w="1350" w:type="dxa"/>
          </w:tcPr>
          <w:p w14:paraId="14F29C47" w14:textId="77777777" w:rsidR="00AC43F3" w:rsidRPr="00C74CFE" w:rsidRDefault="00AC43F3" w:rsidP="003165EB">
            <w:pPr>
              <w:rPr>
                <w:highlight w:val="yellow"/>
              </w:rPr>
            </w:pPr>
            <w:r w:rsidRPr="00C74CFE">
              <w:rPr>
                <w:highlight w:val="yellow"/>
              </w:rPr>
              <w:t>29</w:t>
            </w:r>
          </w:p>
        </w:tc>
        <w:tc>
          <w:tcPr>
            <w:tcW w:w="3510" w:type="dxa"/>
          </w:tcPr>
          <w:p w14:paraId="3A6208BD" w14:textId="77777777" w:rsidR="00AC43F3" w:rsidRPr="00C74CFE" w:rsidRDefault="00AC43F3" w:rsidP="003165EB">
            <w:pPr>
              <w:rPr>
                <w:highlight w:val="yellow"/>
              </w:rPr>
            </w:pPr>
            <w:r w:rsidRPr="00C74CFE">
              <w:rPr>
                <w:highlight w:val="yellow"/>
              </w:rPr>
              <w:t>To obtain descriptions of program products and impacts to share with other grantees in an effort to encourage resource sharing.</w:t>
            </w:r>
          </w:p>
        </w:tc>
      </w:tr>
      <w:tr w:rsidR="00AC43F3" w14:paraId="79F50C73" w14:textId="77777777" w:rsidTr="00AC43F3">
        <w:tc>
          <w:tcPr>
            <w:tcW w:w="1075" w:type="dxa"/>
          </w:tcPr>
          <w:p w14:paraId="44C24111" w14:textId="77777777" w:rsidR="00AC43F3" w:rsidRPr="00C74CFE" w:rsidRDefault="00AC43F3" w:rsidP="003165EB">
            <w:pPr>
              <w:rPr>
                <w:highlight w:val="yellow"/>
              </w:rPr>
            </w:pPr>
            <w:r w:rsidRPr="00C74CFE">
              <w:rPr>
                <w:highlight w:val="yellow"/>
              </w:rPr>
              <w:t>NIEHS</w:t>
            </w:r>
          </w:p>
        </w:tc>
        <w:tc>
          <w:tcPr>
            <w:tcW w:w="2340" w:type="dxa"/>
          </w:tcPr>
          <w:p w14:paraId="6B4712BF" w14:textId="77777777" w:rsidR="00AC43F3" w:rsidRPr="00C74CFE" w:rsidRDefault="00AC43F3" w:rsidP="003165EB">
            <w:pPr>
              <w:rPr>
                <w:highlight w:val="yellow"/>
              </w:rPr>
            </w:pPr>
            <w:r w:rsidRPr="00C74CFE">
              <w:rPr>
                <w:highlight w:val="yellow"/>
              </w:rPr>
              <w:t>Virtual Consortium for Translational Environmental Research</w:t>
            </w:r>
          </w:p>
        </w:tc>
        <w:tc>
          <w:tcPr>
            <w:tcW w:w="1260" w:type="dxa"/>
          </w:tcPr>
          <w:p w14:paraId="20A726F8" w14:textId="77777777" w:rsidR="00AC43F3" w:rsidRPr="00C74CFE" w:rsidRDefault="00AC43F3" w:rsidP="003165EB">
            <w:pPr>
              <w:rPr>
                <w:highlight w:val="yellow"/>
              </w:rPr>
            </w:pPr>
            <w:r w:rsidRPr="00C74CFE">
              <w:rPr>
                <w:highlight w:val="yellow"/>
              </w:rPr>
              <w:t>68</w:t>
            </w:r>
          </w:p>
        </w:tc>
        <w:tc>
          <w:tcPr>
            <w:tcW w:w="1350" w:type="dxa"/>
          </w:tcPr>
          <w:p w14:paraId="478EBC0E" w14:textId="77777777" w:rsidR="00AC43F3" w:rsidRPr="00C74CFE" w:rsidRDefault="00AC43F3" w:rsidP="003165EB">
            <w:pPr>
              <w:rPr>
                <w:highlight w:val="yellow"/>
              </w:rPr>
            </w:pPr>
            <w:r w:rsidRPr="00C74CFE">
              <w:rPr>
                <w:highlight w:val="yellow"/>
              </w:rPr>
              <w:t>25</w:t>
            </w:r>
          </w:p>
        </w:tc>
        <w:tc>
          <w:tcPr>
            <w:tcW w:w="3510" w:type="dxa"/>
          </w:tcPr>
          <w:p w14:paraId="49D13542" w14:textId="77777777" w:rsidR="00AC43F3" w:rsidRPr="00C74CFE" w:rsidRDefault="00AC43F3" w:rsidP="003165EB">
            <w:pPr>
              <w:rPr>
                <w:highlight w:val="yellow"/>
              </w:rPr>
            </w:pPr>
            <w:r w:rsidRPr="00C74CFE">
              <w:rPr>
                <w:highlight w:val="yellow"/>
              </w:rPr>
              <w:t>To obtain descriptions of program products and impacts in order to make decisions about future funding initiatives.</w:t>
            </w:r>
          </w:p>
        </w:tc>
      </w:tr>
      <w:tr w:rsidR="00AC43F3" w14:paraId="131F56C5" w14:textId="77777777" w:rsidTr="00AC43F3">
        <w:tc>
          <w:tcPr>
            <w:tcW w:w="1075" w:type="dxa"/>
          </w:tcPr>
          <w:p w14:paraId="48EB920F" w14:textId="77777777" w:rsidR="00AC43F3" w:rsidRPr="00C74CFE" w:rsidRDefault="00AC43F3" w:rsidP="003165EB">
            <w:pPr>
              <w:rPr>
                <w:highlight w:val="yellow"/>
              </w:rPr>
            </w:pPr>
            <w:r w:rsidRPr="00C74CFE">
              <w:rPr>
                <w:highlight w:val="yellow"/>
              </w:rPr>
              <w:t>NIEHS</w:t>
            </w:r>
          </w:p>
        </w:tc>
        <w:tc>
          <w:tcPr>
            <w:tcW w:w="2340" w:type="dxa"/>
          </w:tcPr>
          <w:p w14:paraId="104F3413" w14:textId="77777777" w:rsidR="00AC43F3" w:rsidRPr="00C74CFE" w:rsidRDefault="00AC43F3" w:rsidP="003165EB">
            <w:pPr>
              <w:rPr>
                <w:highlight w:val="yellow"/>
              </w:rPr>
            </w:pPr>
            <w:r w:rsidRPr="00C74CFE">
              <w:rPr>
                <w:highlight w:val="yellow"/>
              </w:rPr>
              <w:t>Climate Change</w:t>
            </w:r>
          </w:p>
        </w:tc>
        <w:tc>
          <w:tcPr>
            <w:tcW w:w="1260" w:type="dxa"/>
          </w:tcPr>
          <w:p w14:paraId="498D8296" w14:textId="77777777" w:rsidR="00AC43F3" w:rsidRPr="00C74CFE" w:rsidRDefault="00AC43F3" w:rsidP="003165EB">
            <w:pPr>
              <w:rPr>
                <w:highlight w:val="yellow"/>
              </w:rPr>
            </w:pPr>
            <w:r w:rsidRPr="00C74CFE">
              <w:rPr>
                <w:highlight w:val="yellow"/>
              </w:rPr>
              <w:t>19</w:t>
            </w:r>
          </w:p>
        </w:tc>
        <w:tc>
          <w:tcPr>
            <w:tcW w:w="1350" w:type="dxa"/>
          </w:tcPr>
          <w:p w14:paraId="54D78B7C" w14:textId="77777777" w:rsidR="00AC43F3" w:rsidRPr="00C74CFE" w:rsidRDefault="00AC43F3" w:rsidP="003165EB">
            <w:pPr>
              <w:rPr>
                <w:highlight w:val="yellow"/>
              </w:rPr>
            </w:pPr>
            <w:r w:rsidRPr="00C74CFE">
              <w:rPr>
                <w:highlight w:val="yellow"/>
              </w:rPr>
              <w:t>7</w:t>
            </w:r>
          </w:p>
        </w:tc>
        <w:tc>
          <w:tcPr>
            <w:tcW w:w="3510" w:type="dxa"/>
          </w:tcPr>
          <w:p w14:paraId="6C0EE976" w14:textId="77777777" w:rsidR="00AC43F3" w:rsidRPr="00C74CFE" w:rsidRDefault="00AC43F3" w:rsidP="003165EB">
            <w:pPr>
              <w:rPr>
                <w:highlight w:val="yellow"/>
              </w:rPr>
            </w:pPr>
            <w:r w:rsidRPr="00C74CFE">
              <w:rPr>
                <w:highlight w:val="yellow"/>
              </w:rPr>
              <w:t>To obtain descriptions of program products and impacts in order to make decisions about future funding initiatives.</w:t>
            </w:r>
          </w:p>
        </w:tc>
      </w:tr>
    </w:tbl>
    <w:p w14:paraId="345083A2" w14:textId="77777777" w:rsidR="006E07D8" w:rsidRDefault="006E07D8" w:rsidP="00514470">
      <w:pPr>
        <w:pStyle w:val="NormalWeb"/>
        <w:spacing w:line="480" w:lineRule="auto"/>
      </w:pPr>
    </w:p>
    <w:p w14:paraId="0FD69CF2" w14:textId="77777777" w:rsidR="006E557B" w:rsidRPr="00D61E21" w:rsidRDefault="006E557B" w:rsidP="006E557B">
      <w:pPr>
        <w:pStyle w:val="Heading2"/>
        <w:spacing w:after="0" w:line="480" w:lineRule="auto"/>
        <w:ind w:left="0" w:firstLine="0"/>
        <w:rPr>
          <w:sz w:val="24"/>
          <w:szCs w:val="24"/>
        </w:rPr>
      </w:pPr>
      <w:bookmarkStart w:id="6" w:name="_Toc443881744"/>
      <w:bookmarkStart w:id="7" w:name="_Toc451592233"/>
      <w:bookmarkStart w:id="8" w:name="_Toc5610274"/>
      <w:bookmarkStart w:id="9" w:name="_Toc99178780"/>
      <w:r>
        <w:rPr>
          <w:sz w:val="24"/>
          <w:szCs w:val="24"/>
        </w:rPr>
        <w:t xml:space="preserve">A.3     </w:t>
      </w:r>
      <w:r w:rsidRPr="00D61E21">
        <w:rPr>
          <w:sz w:val="24"/>
          <w:szCs w:val="24"/>
        </w:rPr>
        <w:t>Use of Information Technology and Burden Reduction</w:t>
      </w:r>
      <w:bookmarkEnd w:id="6"/>
      <w:bookmarkEnd w:id="7"/>
      <w:bookmarkEnd w:id="8"/>
      <w:bookmarkEnd w:id="9"/>
    </w:p>
    <w:p w14:paraId="374FA125" w14:textId="3B4B5E53" w:rsidR="00E15868" w:rsidRDefault="00A43D4A" w:rsidP="00BA25AA">
      <w:pPr>
        <w:pStyle w:val="NormalWeb"/>
        <w:spacing w:line="480" w:lineRule="auto"/>
      </w:pPr>
      <w:r>
        <w:t>Because we will be collecting and storing data electronically, w</w:t>
      </w:r>
      <w:r w:rsidR="00E15868">
        <w:t>e conducted a Privacy Impact Assessment (PIA).</w:t>
      </w:r>
      <w:r w:rsidR="0044516B">
        <w:t xml:space="preserve"> A copy of the PIA is included as Attachment B.</w:t>
      </w:r>
      <w:r w:rsidR="00E15868">
        <w:t xml:space="preserve"> </w:t>
      </w:r>
    </w:p>
    <w:p w14:paraId="04E5C8E2" w14:textId="107F9978" w:rsidR="00E15868" w:rsidRDefault="00AC244B" w:rsidP="00BA25AA">
      <w:pPr>
        <w:pStyle w:val="NormalWeb"/>
        <w:spacing w:line="480" w:lineRule="auto"/>
      </w:pPr>
      <w:r>
        <w:t xml:space="preserve">Survey </w:t>
      </w:r>
      <w:r w:rsidRPr="008F4BC1">
        <w:t>respondents will be extramural research and training grant awardees</w:t>
      </w:r>
      <w:r w:rsidR="000D2D59" w:rsidRPr="008F4BC1">
        <w:t xml:space="preserve"> from NICHD, NIDCD, NIMH, NINDS, NIEHS, NCI</w:t>
      </w:r>
      <w:r w:rsidR="00764992">
        <w:t xml:space="preserve">, </w:t>
      </w:r>
      <w:r w:rsidR="00764992" w:rsidRPr="00764992">
        <w:rPr>
          <w:highlight w:val="yellow"/>
        </w:rPr>
        <w:t>and EPA</w:t>
      </w:r>
      <w:r w:rsidRPr="008F4BC1">
        <w:t xml:space="preserve">. </w:t>
      </w:r>
      <w:r w:rsidR="000D2D59" w:rsidRPr="008F4BC1">
        <w:t>We</w:t>
      </w:r>
      <w:r w:rsidR="00BA25AA" w:rsidRPr="008F4BC1">
        <w:t xml:space="preserve"> will</w:t>
      </w:r>
      <w:r w:rsidR="00BA25AA">
        <w:t xml:space="preserve"> identify s</w:t>
      </w:r>
      <w:r w:rsidR="00BA25AA" w:rsidRPr="003C1CE4">
        <w:t xml:space="preserve">urvey respondents </w:t>
      </w:r>
      <w:r w:rsidR="00BA25AA">
        <w:t>by searching an</w:t>
      </w:r>
      <w:r w:rsidR="00BA25AA" w:rsidRPr="003C1CE4">
        <w:t xml:space="preserve"> NIH-wide database of extramural research and training grants (</w:t>
      </w:r>
      <w:r w:rsidR="00BA25AA" w:rsidRPr="00C17CBC">
        <w:t>IMPAC II</w:t>
      </w:r>
      <w:r w:rsidR="00BA25AA" w:rsidRPr="003C1CE4">
        <w:t>)</w:t>
      </w:r>
      <w:r w:rsidR="00BA25AA">
        <w:t>.</w:t>
      </w:r>
      <w:r>
        <w:t xml:space="preserve"> Data collection efforts will target specific research portfolios and only researchers who have been identified as conducting research within a defined portfolio will be asked to participate. </w:t>
      </w:r>
    </w:p>
    <w:p w14:paraId="7E5841AB" w14:textId="77777777" w:rsidR="00AC244B" w:rsidRDefault="00AC244B" w:rsidP="00BA25AA">
      <w:pPr>
        <w:pStyle w:val="NormalWeb"/>
        <w:spacing w:line="480" w:lineRule="auto"/>
      </w:pPr>
      <w:r>
        <w:t>Potential research portfolios that wi</w:t>
      </w:r>
      <w:r w:rsidR="008F4BC1">
        <w:t>ll be analyzed during the three-</w:t>
      </w:r>
      <w:r>
        <w:t>year timeframe of the OMB clearance include:</w:t>
      </w:r>
    </w:p>
    <w:p w14:paraId="1ADC2679" w14:textId="36C04019" w:rsidR="00FB76E9" w:rsidRDefault="00AC244B" w:rsidP="00FB76E9">
      <w:pPr>
        <w:pStyle w:val="NormalWeb"/>
        <w:spacing w:line="480" w:lineRule="auto"/>
      </w:pPr>
      <w:r>
        <w:t>We will send a</w:t>
      </w:r>
      <w:r w:rsidR="00BA25AA" w:rsidRPr="003C1CE4">
        <w:t>n initial email to the respondents inviting them</w:t>
      </w:r>
      <w:r w:rsidR="00BA25AA">
        <w:t xml:space="preserve"> to participate in the survey. </w:t>
      </w:r>
      <w:r>
        <w:t xml:space="preserve">Respondents will have </w:t>
      </w:r>
      <w:r w:rsidR="00BA25AA" w:rsidRPr="003C1CE4">
        <w:t>two options for completing the s</w:t>
      </w:r>
      <w:r w:rsidR="00BA25AA">
        <w:t xml:space="preserve">urvey. </w:t>
      </w:r>
      <w:r w:rsidR="000D2D59" w:rsidRPr="003C758E">
        <w:t>We</w:t>
      </w:r>
      <w:r>
        <w:t xml:space="preserve"> will provide a</w:t>
      </w:r>
      <w:r w:rsidR="00BA25AA" w:rsidRPr="003C1CE4">
        <w:t xml:space="preserve"> web-based system </w:t>
      </w:r>
      <w:r>
        <w:t>that will</w:t>
      </w:r>
      <w:r w:rsidR="00BA25AA" w:rsidRPr="003C1CE4">
        <w:t xml:space="preserve"> allow respondents the option of completing the survey electronically. </w:t>
      </w:r>
      <w:r w:rsidR="00BA25AA">
        <w:t xml:space="preserve">This option will be encouraged. </w:t>
      </w:r>
      <w:r>
        <w:t xml:space="preserve">Data submitted using the electronic system will be transferred automatically to a database. Those grantees without access to the web-based survey can respond </w:t>
      </w:r>
      <w:r w:rsidR="00534561">
        <w:t>using a</w:t>
      </w:r>
      <w:r>
        <w:t xml:space="preserve"> paper version of the survey. </w:t>
      </w:r>
      <w:r w:rsidR="000D2D59">
        <w:t>S</w:t>
      </w:r>
      <w:r>
        <w:t>taff will enter</w:t>
      </w:r>
      <w:r w:rsidR="00534561">
        <w:t xml:space="preserve"> data</w:t>
      </w:r>
      <w:r>
        <w:t xml:space="preserve"> submitted using paper survey into the database. </w:t>
      </w:r>
      <w:r w:rsidR="00534561">
        <w:t>This process is</w:t>
      </w:r>
      <w:r w:rsidR="00BA25AA" w:rsidRPr="003C1CE4">
        <w:t xml:space="preserve"> designed to minimize burden to the respondent and obtain data as efficiently as possible</w:t>
      </w:r>
      <w:r w:rsidR="00BA25AA">
        <w:t xml:space="preserve">. The survey instrument is provided in </w:t>
      </w:r>
      <w:r w:rsidR="00BA25AA" w:rsidRPr="009D4FD9">
        <w:t xml:space="preserve">Attachment </w:t>
      </w:r>
      <w:r w:rsidR="00515631">
        <w:t>A</w:t>
      </w:r>
      <w:r w:rsidR="00BA25AA">
        <w:t>.</w:t>
      </w:r>
    </w:p>
    <w:p w14:paraId="0ABCB26C" w14:textId="77777777" w:rsidR="00103236" w:rsidRDefault="000D2D59" w:rsidP="0044516B">
      <w:pPr>
        <w:pStyle w:val="NormalWeb"/>
        <w:spacing w:line="480" w:lineRule="auto"/>
      </w:pPr>
      <w:r>
        <w:t>We</w:t>
      </w:r>
      <w:r w:rsidR="00FB76E9">
        <w:t xml:space="preserve"> will review all progress reports and other grantee materials prior to conducting the survey to ensure that we capture all reported impacts and outcomes. This will reduce respondent burden by minimizing duplicate data reporting.</w:t>
      </w:r>
    </w:p>
    <w:p w14:paraId="4A6D8C29" w14:textId="2FDF42B4" w:rsidR="006E557B" w:rsidRDefault="0044516B" w:rsidP="0044516B">
      <w:pPr>
        <w:spacing w:line="480" w:lineRule="auto"/>
      </w:pPr>
      <w:bookmarkStart w:id="10" w:name="_Hlk517261447"/>
      <w:r>
        <w:t>After conducting a Privacy Impact Assessment (PIA) we determined that n</w:t>
      </w:r>
      <w:r w:rsidRPr="003C1CE4">
        <w:t xml:space="preserve">o questions regarding these topics or any other topic of a sensitive nature </w:t>
      </w:r>
      <w:r>
        <w:t xml:space="preserve">are included in this survey. Specifically, no personal identifying information (PII) will be collected. The only information collected is federal contact information, which does not qualify as personal identifying information (PII) according to the E-Government Act of 2002. </w:t>
      </w:r>
      <w:bookmarkEnd w:id="10"/>
    </w:p>
    <w:p w14:paraId="230EC72A" w14:textId="77777777" w:rsidR="0044516B" w:rsidRDefault="0044516B" w:rsidP="006E557B">
      <w:pPr>
        <w:rPr>
          <w:color w:val="FF0000"/>
        </w:rPr>
      </w:pPr>
    </w:p>
    <w:p w14:paraId="67A6CD52" w14:textId="77777777" w:rsidR="006E557B" w:rsidRPr="00D61E21" w:rsidRDefault="006E557B" w:rsidP="006E557B">
      <w:pPr>
        <w:pStyle w:val="Heading2"/>
        <w:spacing w:after="0" w:line="480" w:lineRule="auto"/>
        <w:ind w:left="720" w:hanging="720"/>
        <w:rPr>
          <w:sz w:val="24"/>
          <w:szCs w:val="24"/>
        </w:rPr>
      </w:pPr>
      <w:bookmarkStart w:id="11" w:name="_Toc443881745"/>
      <w:bookmarkStart w:id="12" w:name="_Toc451592234"/>
      <w:bookmarkStart w:id="13" w:name="_Toc5610275"/>
      <w:bookmarkStart w:id="14" w:name="_Toc99178781"/>
      <w:r>
        <w:rPr>
          <w:sz w:val="24"/>
          <w:szCs w:val="24"/>
        </w:rPr>
        <w:t>A.4</w:t>
      </w:r>
      <w:r w:rsidRPr="00D61E21">
        <w:rPr>
          <w:sz w:val="24"/>
          <w:szCs w:val="24"/>
        </w:rPr>
        <w:tab/>
        <w:t>Efforts to Identify Duplication and Use of Similar Information</w:t>
      </w:r>
      <w:bookmarkEnd w:id="11"/>
      <w:bookmarkEnd w:id="12"/>
      <w:bookmarkEnd w:id="13"/>
      <w:bookmarkEnd w:id="14"/>
    </w:p>
    <w:p w14:paraId="051FA71F" w14:textId="77777777" w:rsidR="00FB76E9" w:rsidRPr="003C1CE4" w:rsidRDefault="00FB76E9" w:rsidP="00FB76E9">
      <w:pPr>
        <w:spacing w:before="100" w:beforeAutospacing="1" w:after="100" w:afterAutospacing="1" w:line="480" w:lineRule="auto"/>
      </w:pPr>
      <w:r w:rsidRPr="003C1CE4">
        <w:t xml:space="preserve">In </w:t>
      </w:r>
      <w:r>
        <w:t>June</w:t>
      </w:r>
      <w:r w:rsidRPr="003C1CE4">
        <w:t xml:space="preserve"> 2006, NIEHS convened a meeting of experts to discuss the evaluation of </w:t>
      </w:r>
      <w:r>
        <w:t xml:space="preserve">the </w:t>
      </w:r>
      <w:r w:rsidRPr="003C1CE4">
        <w:t>NIEHS extramural r</w:t>
      </w:r>
      <w:r>
        <w:t xml:space="preserve">esearch and training programs. </w:t>
      </w:r>
      <w:r w:rsidRPr="003C1CE4">
        <w:t>As part of the discussion, experts reviewed existing data sources</w:t>
      </w:r>
      <w:r>
        <w:t xml:space="preserve"> for their adequacy to support a thorough evaluation of the impact of NIEHS’ research portfolios.</w:t>
      </w:r>
      <w:r w:rsidRPr="003C1CE4">
        <w:t xml:space="preserve"> </w:t>
      </w:r>
      <w:r>
        <w:t>A conclusion of the meeting was that the data that are requested in the proposed survey do not already exist</w:t>
      </w:r>
      <w:r w:rsidRPr="003C1CE4">
        <w:t xml:space="preserve">.  </w:t>
      </w:r>
    </w:p>
    <w:p w14:paraId="2A5B0C0E" w14:textId="77777777" w:rsidR="00B41EC6" w:rsidRDefault="00B41EC6" w:rsidP="00B41EC6">
      <w:pPr>
        <w:pStyle w:val="Heading2"/>
        <w:spacing w:after="0" w:line="480" w:lineRule="auto"/>
        <w:ind w:left="720" w:hanging="720"/>
        <w:rPr>
          <w:sz w:val="24"/>
          <w:szCs w:val="24"/>
        </w:rPr>
      </w:pPr>
      <w:bookmarkStart w:id="15" w:name="_Toc443881746"/>
      <w:bookmarkStart w:id="16" w:name="_Toc451592235"/>
      <w:bookmarkStart w:id="17" w:name="_Toc5610276"/>
      <w:bookmarkStart w:id="18" w:name="_Toc99178782"/>
      <w:r>
        <w:rPr>
          <w:sz w:val="24"/>
          <w:szCs w:val="24"/>
        </w:rPr>
        <w:t>A.5</w:t>
      </w:r>
      <w:r w:rsidRPr="00D61E21">
        <w:rPr>
          <w:sz w:val="24"/>
          <w:szCs w:val="24"/>
        </w:rPr>
        <w:tab/>
        <w:t>Impact on Small Businesses or Other Small Entities</w:t>
      </w:r>
      <w:bookmarkEnd w:id="15"/>
      <w:bookmarkEnd w:id="16"/>
      <w:bookmarkEnd w:id="17"/>
      <w:bookmarkEnd w:id="18"/>
    </w:p>
    <w:p w14:paraId="01EA4CFB" w14:textId="77777777" w:rsidR="00FB76E9" w:rsidRPr="003C1CE4" w:rsidRDefault="00FB76E9" w:rsidP="00FB76E9">
      <w:pPr>
        <w:pStyle w:val="NormalWeb"/>
        <w:spacing w:line="480" w:lineRule="auto"/>
      </w:pPr>
      <w:r w:rsidRPr="003C1CE4">
        <w:t>No small businesses will be involved in this study</w:t>
      </w:r>
      <w:r>
        <w:t>.</w:t>
      </w:r>
    </w:p>
    <w:p w14:paraId="1497EF23" w14:textId="77777777" w:rsidR="00B41EC6" w:rsidRPr="00D61E21" w:rsidRDefault="00B41EC6" w:rsidP="00B41EC6">
      <w:pPr>
        <w:pStyle w:val="Heading2"/>
        <w:spacing w:after="0" w:line="480" w:lineRule="auto"/>
        <w:ind w:left="720" w:hanging="720"/>
        <w:rPr>
          <w:sz w:val="24"/>
          <w:szCs w:val="24"/>
        </w:rPr>
      </w:pPr>
      <w:bookmarkStart w:id="19" w:name="_Toc443881747"/>
      <w:bookmarkStart w:id="20" w:name="_Toc451592236"/>
      <w:bookmarkStart w:id="21" w:name="_Toc5610277"/>
      <w:bookmarkStart w:id="22" w:name="_Toc99178783"/>
      <w:r>
        <w:rPr>
          <w:sz w:val="24"/>
          <w:szCs w:val="24"/>
        </w:rPr>
        <w:t>A.6</w:t>
      </w:r>
      <w:r w:rsidRPr="00D61E21">
        <w:rPr>
          <w:sz w:val="24"/>
          <w:szCs w:val="24"/>
        </w:rPr>
        <w:tab/>
        <w:t>Consequences of Collecting the Information Less Frequently</w:t>
      </w:r>
      <w:bookmarkEnd w:id="19"/>
      <w:bookmarkEnd w:id="20"/>
      <w:bookmarkEnd w:id="21"/>
      <w:bookmarkEnd w:id="22"/>
    </w:p>
    <w:p w14:paraId="23BDBCCE" w14:textId="350F7006" w:rsidR="008723E2" w:rsidRDefault="000D2D59" w:rsidP="00B41EC6">
      <w:r w:rsidRPr="008F4BC1">
        <w:t>NICHD, NIDCD, NIMH, NINDS, NIEHS, NCI</w:t>
      </w:r>
      <w:r w:rsidR="00764992">
        <w:t xml:space="preserve">, </w:t>
      </w:r>
      <w:r w:rsidR="00764992" w:rsidRPr="00764992">
        <w:rPr>
          <w:highlight w:val="yellow"/>
        </w:rPr>
        <w:t>and EPA</w:t>
      </w:r>
      <w:r w:rsidR="008723E2">
        <w:t xml:space="preserve"> will only collect this data one time from grantees in a specific research portfolio. </w:t>
      </w:r>
    </w:p>
    <w:p w14:paraId="4100DFF6" w14:textId="77777777" w:rsidR="008723E2" w:rsidRDefault="008723E2" w:rsidP="00B41EC6"/>
    <w:p w14:paraId="599CB1E3" w14:textId="77777777" w:rsidR="00B41EC6" w:rsidRDefault="008723E2" w:rsidP="008723E2">
      <w:pPr>
        <w:spacing w:line="480" w:lineRule="auto"/>
      </w:pPr>
      <w:r>
        <w:t xml:space="preserve">If </w:t>
      </w:r>
      <w:r w:rsidR="000D2D59" w:rsidRPr="003C758E">
        <w:t>we</w:t>
      </w:r>
      <w:r w:rsidR="000D2D59">
        <w:t xml:space="preserve"> are</w:t>
      </w:r>
      <w:r>
        <w:t xml:space="preserve"> not able to collect this data, we will be forced to make future program decisions in a vacuum, without being able to consider the impact our programming actions have on grantees and their science.</w:t>
      </w:r>
    </w:p>
    <w:p w14:paraId="6B614347" w14:textId="77777777" w:rsidR="008B3979" w:rsidRDefault="008B3979" w:rsidP="008723E2">
      <w:pPr>
        <w:spacing w:line="480" w:lineRule="auto"/>
      </w:pPr>
    </w:p>
    <w:p w14:paraId="0D5EF7A0" w14:textId="0677EB11" w:rsidR="00B41EC6" w:rsidRPr="00D61E21" w:rsidRDefault="00B41EC6" w:rsidP="0044516B">
      <w:pPr>
        <w:pStyle w:val="Heading2"/>
        <w:tabs>
          <w:tab w:val="clear" w:pos="1152"/>
          <w:tab w:val="left" w:pos="720"/>
        </w:tabs>
        <w:spacing w:after="0" w:line="480" w:lineRule="auto"/>
        <w:ind w:left="0" w:firstLine="0"/>
        <w:rPr>
          <w:sz w:val="24"/>
          <w:szCs w:val="24"/>
        </w:rPr>
      </w:pPr>
      <w:bookmarkStart w:id="23" w:name="_Toc443881748"/>
      <w:bookmarkStart w:id="24" w:name="_Toc451592237"/>
      <w:bookmarkStart w:id="25" w:name="_Toc5610278"/>
      <w:bookmarkStart w:id="26" w:name="_Toc99178784"/>
      <w:r>
        <w:rPr>
          <w:sz w:val="24"/>
          <w:szCs w:val="24"/>
        </w:rPr>
        <w:t>A.7</w:t>
      </w:r>
      <w:r w:rsidR="0044516B">
        <w:rPr>
          <w:sz w:val="24"/>
          <w:szCs w:val="24"/>
        </w:rPr>
        <w:t xml:space="preserve">  </w:t>
      </w:r>
      <w:r w:rsidRPr="00D61E21">
        <w:rPr>
          <w:sz w:val="24"/>
          <w:szCs w:val="24"/>
        </w:rPr>
        <w:t xml:space="preserve">Special Circumstances Relating to the Guidelines of 5 </w:t>
      </w:r>
      <w:smartTag w:uri="urn:schemas-microsoft-com:office:smarttags" w:element="stockticker">
        <w:r w:rsidRPr="00D61E21">
          <w:rPr>
            <w:sz w:val="24"/>
            <w:szCs w:val="24"/>
          </w:rPr>
          <w:t>CFR</w:t>
        </w:r>
      </w:smartTag>
      <w:r w:rsidRPr="00D61E21">
        <w:rPr>
          <w:sz w:val="24"/>
          <w:szCs w:val="24"/>
        </w:rPr>
        <w:t xml:space="preserve"> 1320.5</w:t>
      </w:r>
      <w:bookmarkEnd w:id="23"/>
      <w:bookmarkEnd w:id="24"/>
      <w:bookmarkEnd w:id="25"/>
      <w:bookmarkEnd w:id="26"/>
    </w:p>
    <w:p w14:paraId="0F4E8048" w14:textId="77777777" w:rsidR="008723E2" w:rsidRPr="003C1CE4" w:rsidRDefault="008723E2" w:rsidP="008723E2">
      <w:pPr>
        <w:tabs>
          <w:tab w:val="left" w:pos="-1440"/>
        </w:tabs>
        <w:spacing w:before="100" w:beforeAutospacing="1" w:after="100" w:afterAutospacing="1" w:line="480" w:lineRule="auto"/>
      </w:pPr>
      <w:r w:rsidRPr="003C1CE4">
        <w:t>This study complies fully with t</w:t>
      </w:r>
      <w:r>
        <w:t xml:space="preserve">he guidelines of 5 CFR 1320.5. </w:t>
      </w:r>
      <w:r w:rsidRPr="003C1CE4">
        <w:t>No exceptions to the guidelines are required.</w:t>
      </w:r>
    </w:p>
    <w:p w14:paraId="519C04C0" w14:textId="77777777" w:rsidR="00B41EC6" w:rsidRDefault="00B41EC6" w:rsidP="006E557B"/>
    <w:p w14:paraId="696F153C" w14:textId="3BAD3513" w:rsidR="0005035B" w:rsidRPr="00D61E21" w:rsidRDefault="0005035B" w:rsidP="0005035B">
      <w:pPr>
        <w:pStyle w:val="Heading2"/>
        <w:spacing w:after="0" w:line="480" w:lineRule="auto"/>
        <w:ind w:left="720" w:hanging="720"/>
        <w:rPr>
          <w:sz w:val="24"/>
          <w:szCs w:val="24"/>
        </w:rPr>
      </w:pPr>
      <w:bookmarkStart w:id="27" w:name="_Toc443881749"/>
      <w:bookmarkStart w:id="28" w:name="_Toc451592238"/>
      <w:bookmarkStart w:id="29" w:name="_Toc5610279"/>
      <w:bookmarkStart w:id="30" w:name="_Toc99178785"/>
      <w:r>
        <w:rPr>
          <w:sz w:val="24"/>
          <w:szCs w:val="24"/>
        </w:rPr>
        <w:t>A.8</w:t>
      </w:r>
      <w:r w:rsidR="00F23BC4">
        <w:rPr>
          <w:sz w:val="24"/>
          <w:szCs w:val="24"/>
        </w:rPr>
        <w:t>.1</w:t>
      </w:r>
      <w:r w:rsidRPr="00D61E21">
        <w:rPr>
          <w:sz w:val="24"/>
          <w:szCs w:val="24"/>
        </w:rPr>
        <w:tab/>
        <w:t xml:space="preserve">Comments in Response to the Federal Register Notice and </w:t>
      </w:r>
      <w:bookmarkEnd w:id="27"/>
      <w:bookmarkEnd w:id="28"/>
      <w:bookmarkEnd w:id="29"/>
      <w:bookmarkEnd w:id="30"/>
    </w:p>
    <w:p w14:paraId="2951AEBE" w14:textId="4BAB182F" w:rsidR="00515631" w:rsidRDefault="00267009" w:rsidP="00515631">
      <w:pPr>
        <w:spacing w:line="480" w:lineRule="auto"/>
      </w:pPr>
      <w:r w:rsidRPr="00AB751F">
        <w:t>The proposed request for a r</w:t>
      </w:r>
      <w:r>
        <w:t xml:space="preserve">evision </w:t>
      </w:r>
      <w:r w:rsidRPr="00AB751F">
        <w:t xml:space="preserve">of the data collection clearance was posted in the Federal Register on </w:t>
      </w:r>
      <w:r w:rsidR="00515631" w:rsidRPr="003D7742">
        <w:t xml:space="preserve">May 1, 2018, Volume 83, Number 84, page </w:t>
      </w:r>
      <w:r w:rsidR="00515631">
        <w:rPr>
          <w:rFonts w:ascii="Melior-Bold" w:hAnsi="Melior-Bold" w:cs="Melior-Bold"/>
          <w:bCs/>
        </w:rPr>
        <w:t xml:space="preserve">19073 </w:t>
      </w:r>
      <w:r w:rsidR="00515631" w:rsidRPr="00363F59">
        <w:t xml:space="preserve">and allowed 60-days for public comment.  No public comments were received.  </w:t>
      </w:r>
    </w:p>
    <w:p w14:paraId="5AEB67CB" w14:textId="74C3CC8C" w:rsidR="00F23BC4" w:rsidRPr="00515631" w:rsidRDefault="00F23BC4" w:rsidP="00515631">
      <w:pPr>
        <w:tabs>
          <w:tab w:val="left" w:pos="-1440"/>
        </w:tabs>
        <w:spacing w:before="100" w:beforeAutospacing="1" w:after="100" w:afterAutospacing="1" w:line="480" w:lineRule="auto"/>
        <w:rPr>
          <w:b/>
        </w:rPr>
      </w:pPr>
      <w:r w:rsidRPr="00515631">
        <w:rPr>
          <w:b/>
          <w:iCs/>
        </w:rPr>
        <w:t xml:space="preserve">A.8.2 </w:t>
      </w:r>
      <w:r w:rsidRPr="00515631">
        <w:rPr>
          <w:b/>
          <w:iCs/>
        </w:rPr>
        <w:tab/>
      </w:r>
      <w:r w:rsidRPr="00515631">
        <w:rPr>
          <w:b/>
        </w:rPr>
        <w:t>Efforts to Consult Outside Agency</w:t>
      </w:r>
    </w:p>
    <w:p w14:paraId="2A378307" w14:textId="117B35B5" w:rsidR="008723E2" w:rsidRDefault="000541C8" w:rsidP="008723E2">
      <w:pPr>
        <w:tabs>
          <w:tab w:val="left" w:pos="-1440"/>
        </w:tabs>
        <w:spacing w:before="100" w:beforeAutospacing="1" w:after="100" w:afterAutospacing="1" w:line="480" w:lineRule="auto"/>
        <w:rPr>
          <w:iCs/>
        </w:rPr>
      </w:pPr>
      <w:r>
        <w:rPr>
          <w:iCs/>
        </w:rPr>
        <w:t>NIEHS obtained input from representatives of the Food and Drug Administration as well as the Environmental Protection Agency. Researchers from the Battelle</w:t>
      </w:r>
      <w:r w:rsidRPr="00A77AA5">
        <w:rPr>
          <w:iCs/>
        </w:rPr>
        <w:t xml:space="preserve"> Centers for Public Health</w:t>
      </w:r>
      <w:r>
        <w:rPr>
          <w:iCs/>
        </w:rPr>
        <w:t xml:space="preserve"> </w:t>
      </w:r>
      <w:r w:rsidRPr="00A77AA5">
        <w:rPr>
          <w:iCs/>
        </w:rPr>
        <w:t>Research and Evaluation</w:t>
      </w:r>
      <w:r>
        <w:rPr>
          <w:iCs/>
        </w:rPr>
        <w:t xml:space="preserve">, who have conducted evaluations for NIEHS under contract number </w:t>
      </w:r>
      <w:r w:rsidRPr="001F2FBE">
        <w:t>HHSP23320045006XI, Task Order HHSP233000015T</w:t>
      </w:r>
      <w:r>
        <w:t xml:space="preserve"> also provided input on the data collection design, </w:t>
      </w:r>
      <w:r w:rsidRPr="00A77AA5">
        <w:rPr>
          <w:iCs/>
        </w:rPr>
        <w:t>survey instrument, sampling plan, and data collection procedures</w:t>
      </w:r>
      <w:r>
        <w:rPr>
          <w:iCs/>
        </w:rPr>
        <w:t xml:space="preserve">. </w:t>
      </w:r>
    </w:p>
    <w:p w14:paraId="2EAA7A03" w14:textId="77777777" w:rsidR="002052D1" w:rsidRPr="002F1DB1" w:rsidRDefault="002052D1" w:rsidP="008723E2">
      <w:pPr>
        <w:tabs>
          <w:tab w:val="left" w:pos="-1440"/>
        </w:tabs>
        <w:spacing w:before="100" w:beforeAutospacing="1" w:after="100" w:afterAutospacing="1" w:line="480" w:lineRule="auto"/>
      </w:pPr>
    </w:p>
    <w:p w14:paraId="5D179017" w14:textId="77777777" w:rsidR="0005035B" w:rsidRDefault="0005035B" w:rsidP="0005035B"/>
    <w:p w14:paraId="6BFFBBBD" w14:textId="77777777" w:rsidR="0005035B" w:rsidRPr="00D61E21" w:rsidRDefault="0005035B" w:rsidP="0005035B">
      <w:pPr>
        <w:pStyle w:val="Heading2"/>
        <w:spacing w:after="0" w:line="480" w:lineRule="auto"/>
        <w:ind w:left="720" w:hanging="720"/>
        <w:rPr>
          <w:sz w:val="24"/>
          <w:szCs w:val="24"/>
        </w:rPr>
      </w:pPr>
      <w:bookmarkStart w:id="31" w:name="_Toc443881750"/>
      <w:bookmarkStart w:id="32" w:name="_Toc451592239"/>
      <w:bookmarkStart w:id="33" w:name="_Toc5610280"/>
      <w:bookmarkStart w:id="34" w:name="_Toc99178786"/>
      <w:r>
        <w:rPr>
          <w:sz w:val="24"/>
          <w:szCs w:val="24"/>
        </w:rPr>
        <w:t>A.9</w:t>
      </w:r>
      <w:r w:rsidRPr="00D61E21">
        <w:rPr>
          <w:sz w:val="24"/>
          <w:szCs w:val="24"/>
        </w:rPr>
        <w:tab/>
        <w:t>Explanation of Any Payment of Gift to Respondents</w:t>
      </w:r>
      <w:bookmarkEnd w:id="31"/>
      <w:bookmarkEnd w:id="32"/>
      <w:bookmarkEnd w:id="33"/>
      <w:bookmarkEnd w:id="34"/>
    </w:p>
    <w:p w14:paraId="4CD22564" w14:textId="77777777" w:rsidR="000541C8" w:rsidRPr="003C1CE4" w:rsidRDefault="000541C8" w:rsidP="000541C8">
      <w:pPr>
        <w:keepNext/>
        <w:keepLines/>
        <w:spacing w:before="100" w:beforeAutospacing="1" w:after="100" w:afterAutospacing="1" w:line="480" w:lineRule="auto"/>
        <w:outlineLvl w:val="0"/>
      </w:pPr>
      <w:r w:rsidRPr="003C1CE4">
        <w:t>No payment or gift will be made to the respondents.</w:t>
      </w:r>
    </w:p>
    <w:p w14:paraId="34F13E2D" w14:textId="77777777" w:rsidR="0005035B" w:rsidRPr="00D61E21" w:rsidRDefault="0005035B" w:rsidP="0005035B">
      <w:pPr>
        <w:pStyle w:val="Heading2"/>
        <w:spacing w:after="0" w:line="480" w:lineRule="auto"/>
        <w:ind w:left="720" w:hanging="720"/>
        <w:rPr>
          <w:sz w:val="24"/>
          <w:szCs w:val="24"/>
        </w:rPr>
      </w:pPr>
      <w:bookmarkStart w:id="35" w:name="_Toc443881751"/>
      <w:bookmarkStart w:id="36" w:name="_Toc451592240"/>
      <w:bookmarkStart w:id="37" w:name="_Toc5610281"/>
      <w:bookmarkStart w:id="38" w:name="_Toc99178787"/>
      <w:r>
        <w:rPr>
          <w:sz w:val="24"/>
          <w:szCs w:val="24"/>
        </w:rPr>
        <w:t>A.10</w:t>
      </w:r>
      <w:r w:rsidRPr="00D61E21">
        <w:rPr>
          <w:sz w:val="24"/>
          <w:szCs w:val="24"/>
        </w:rPr>
        <w:tab/>
        <w:t>Assurance of Confidentiality Provided to Respondents</w:t>
      </w:r>
      <w:bookmarkEnd w:id="35"/>
      <w:bookmarkEnd w:id="36"/>
      <w:bookmarkEnd w:id="37"/>
      <w:bookmarkEnd w:id="38"/>
    </w:p>
    <w:p w14:paraId="25EB1DD0" w14:textId="77777777" w:rsidR="000541C8" w:rsidRDefault="000541C8" w:rsidP="000541C8">
      <w:pPr>
        <w:spacing w:line="480" w:lineRule="auto"/>
      </w:pPr>
      <w:r w:rsidRPr="00F23668">
        <w:t xml:space="preserve">The NIEHS Privacy Act Officer has reviewed this application and has determined that the Privacy Act is </w:t>
      </w:r>
      <w:r w:rsidR="00E15868">
        <w:t xml:space="preserve">not </w:t>
      </w:r>
      <w:r w:rsidRPr="00F23668">
        <w:t xml:space="preserve">applicable. </w:t>
      </w:r>
    </w:p>
    <w:p w14:paraId="47E389C1" w14:textId="64D5DA46" w:rsidR="00957652" w:rsidRDefault="002052D1" w:rsidP="000541C8">
      <w:pPr>
        <w:tabs>
          <w:tab w:val="left" w:pos="-1440"/>
        </w:tabs>
        <w:spacing w:before="100" w:beforeAutospacing="1" w:after="100" w:afterAutospacing="1" w:line="480" w:lineRule="auto"/>
      </w:pPr>
      <w:r w:rsidRPr="008F4BC1">
        <w:t>Staff or</w:t>
      </w:r>
      <w:r w:rsidR="00957652" w:rsidRPr="008F4BC1">
        <w:t xml:space="preserve"> contractors</w:t>
      </w:r>
      <w:r w:rsidR="000541C8" w:rsidRPr="008F4BC1">
        <w:t xml:space="preserve"> </w:t>
      </w:r>
      <w:r w:rsidRPr="008F4BC1">
        <w:t xml:space="preserve">from NICHD, NIDCD, NIMH, NINDS, NIEHS, </w:t>
      </w:r>
      <w:r w:rsidR="00764992" w:rsidRPr="008F4BC1">
        <w:t>NCI</w:t>
      </w:r>
      <w:r w:rsidR="00764992">
        <w:t xml:space="preserve">, </w:t>
      </w:r>
      <w:r w:rsidR="00764992" w:rsidRPr="00764992">
        <w:rPr>
          <w:highlight w:val="yellow"/>
        </w:rPr>
        <w:t>and EPA</w:t>
      </w:r>
      <w:r w:rsidR="00764992">
        <w:t xml:space="preserve"> </w:t>
      </w:r>
      <w:r w:rsidR="000541C8">
        <w:t xml:space="preserve">will </w:t>
      </w:r>
      <w:r w:rsidR="00957652">
        <w:t>conduct</w:t>
      </w:r>
      <w:r w:rsidR="000541C8">
        <w:t xml:space="preserve"> the survey, and tabulat</w:t>
      </w:r>
      <w:r w:rsidR="00957652">
        <w:t>e</w:t>
      </w:r>
      <w:r w:rsidR="000541C8">
        <w:t xml:space="preserve"> and stor</w:t>
      </w:r>
      <w:r w:rsidR="00957652">
        <w:t>e</w:t>
      </w:r>
      <w:r w:rsidR="000541C8">
        <w:t xml:space="preserve"> the data. </w:t>
      </w:r>
      <w:r>
        <w:t>ICs</w:t>
      </w:r>
      <w:r w:rsidR="00957652">
        <w:t xml:space="preserve"> will send respondents an email:</w:t>
      </w:r>
    </w:p>
    <w:p w14:paraId="7F289F1B"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 xml:space="preserve">inviting them to participate, </w:t>
      </w:r>
    </w:p>
    <w:p w14:paraId="546CC186"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 xml:space="preserve">describing how they were selected, </w:t>
      </w:r>
    </w:p>
    <w:p w14:paraId="6B490F1D"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 xml:space="preserve">stating the purpose of the survey, </w:t>
      </w:r>
    </w:p>
    <w:p w14:paraId="6CD5B8C7"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 xml:space="preserve">informing them that participation is voluntary, </w:t>
      </w:r>
    </w:p>
    <w:p w14:paraId="5E1EA433"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providing i</w:t>
      </w:r>
      <w:r w:rsidR="000541C8" w:rsidRPr="00D94B1A">
        <w:rPr>
          <w:highlight w:val="yellow"/>
        </w:rPr>
        <w:t>nformation about how long the survey will take</w:t>
      </w:r>
      <w:r w:rsidRPr="00D94B1A">
        <w:rPr>
          <w:highlight w:val="yellow"/>
        </w:rPr>
        <w:t xml:space="preserve">, </w:t>
      </w:r>
    </w:p>
    <w:p w14:paraId="588E26BF"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 xml:space="preserve">providing information about how the data will be used, and </w:t>
      </w:r>
    </w:p>
    <w:p w14:paraId="60714EA4" w14:textId="77777777" w:rsidR="00957652" w:rsidRPr="00D94B1A" w:rsidRDefault="00957652" w:rsidP="00957652">
      <w:pPr>
        <w:numPr>
          <w:ilvl w:val="0"/>
          <w:numId w:val="5"/>
        </w:numPr>
        <w:tabs>
          <w:tab w:val="left" w:pos="-1440"/>
        </w:tabs>
        <w:spacing w:before="100" w:beforeAutospacing="1" w:after="100" w:afterAutospacing="1"/>
        <w:rPr>
          <w:highlight w:val="yellow"/>
        </w:rPr>
      </w:pPr>
      <w:r w:rsidRPr="00D94B1A">
        <w:rPr>
          <w:highlight w:val="yellow"/>
        </w:rPr>
        <w:t>providing a phone number and email address for a data collection liaison who can answer any questions they may have</w:t>
      </w:r>
      <w:r w:rsidR="000541C8" w:rsidRPr="00D94B1A">
        <w:rPr>
          <w:highlight w:val="yellow"/>
        </w:rPr>
        <w:t xml:space="preserve">. </w:t>
      </w:r>
    </w:p>
    <w:p w14:paraId="75E2E0F0" w14:textId="77777777" w:rsidR="000541C8" w:rsidRDefault="000541C8" w:rsidP="000541C8">
      <w:pPr>
        <w:tabs>
          <w:tab w:val="left" w:pos="-1440"/>
        </w:tabs>
        <w:spacing w:before="100" w:beforeAutospacing="1" w:after="100" w:afterAutospacing="1" w:line="480" w:lineRule="auto"/>
      </w:pPr>
      <w:r w:rsidRPr="00D94B1A">
        <w:rPr>
          <w:highlight w:val="yellow"/>
        </w:rPr>
        <w:t>Respondents will have the option to skip any question they would prefer not to answer and to quit the survey at any time. They will also be told that no data will be retained that will permit anyone to personally identify them and that no individual information will be presented in any reports. Respondents will not be asked to complete a consent form. Each respondent’s willingness to go to the web link and complete the survey (or complete a hardcopy version) will be interpreted as evidence of implied consent.</w:t>
      </w:r>
      <w:r>
        <w:t xml:space="preserve"> </w:t>
      </w:r>
    </w:p>
    <w:p w14:paraId="1BDC3E97" w14:textId="77777777" w:rsidR="000541C8" w:rsidRPr="00734CB7" w:rsidRDefault="000541C8" w:rsidP="000541C8">
      <w:pPr>
        <w:tabs>
          <w:tab w:val="left" w:pos="-1440"/>
        </w:tabs>
        <w:spacing w:before="100" w:beforeAutospacing="1" w:after="100" w:afterAutospacing="1" w:line="480" w:lineRule="auto"/>
      </w:pPr>
      <w:r>
        <w:t>To</w:t>
      </w:r>
      <w:r w:rsidRPr="00734CB7">
        <w:t xml:space="preserve"> protect the confidentiality of respondents </w:t>
      </w:r>
      <w:r w:rsidR="00957652">
        <w:t>c</w:t>
      </w:r>
      <w:r w:rsidRPr="00734CB7">
        <w:rPr>
          <w:noProof/>
        </w:rPr>
        <w:t>ompleted hardcopy survey questionnaires will be stored in locked file cabinets. All project files will be password protected and access to the files will be limited to authorized project staff. Surveys entered online will be password protected and will not allow access once the respondent has completed the survey. The web survey will be hosted on a secure server protected with a Secure Sockets Layer (SSL) certificate and 128-bit encryption, the strongest online data encryption protection available</w:t>
      </w:r>
      <w:r>
        <w:rPr>
          <w:noProof/>
        </w:rPr>
        <w:t xml:space="preserve">. The tracking database with individual contact information will be stored separately from the data. The database will contain IDs only. The tracking database that links IDs to individual information will be destroyed at the end of the project. </w:t>
      </w:r>
      <w:r w:rsidRPr="00734CB7">
        <w:rPr>
          <w:noProof/>
        </w:rPr>
        <w:t>Project reports will not identify individuals who completed the survey.</w:t>
      </w:r>
      <w:r>
        <w:rPr>
          <w:noProof/>
        </w:rPr>
        <w:t xml:space="preserve"> </w:t>
      </w:r>
      <w:r w:rsidRPr="00734CB7">
        <w:t>No names, university names, or personal identifying information will be used in any published reports of this study. Survey reports will present all findings in aggregate so individual r</w:t>
      </w:r>
      <w:r>
        <w:t>esponses cannot be identified</w:t>
      </w:r>
      <w:r w:rsidRPr="00734CB7">
        <w:t>.</w:t>
      </w:r>
    </w:p>
    <w:p w14:paraId="6B59F3CE" w14:textId="77777777" w:rsidR="000541C8" w:rsidRDefault="000541C8" w:rsidP="0005035B"/>
    <w:p w14:paraId="74EB1494" w14:textId="77777777" w:rsidR="0005035B" w:rsidRPr="00D61E21" w:rsidRDefault="0005035B" w:rsidP="001C142B">
      <w:pPr>
        <w:pStyle w:val="Heading2"/>
        <w:spacing w:after="0" w:line="480" w:lineRule="auto"/>
        <w:ind w:left="0" w:firstLine="0"/>
        <w:rPr>
          <w:sz w:val="24"/>
          <w:szCs w:val="24"/>
        </w:rPr>
      </w:pPr>
      <w:bookmarkStart w:id="39" w:name="_Toc443881752"/>
      <w:bookmarkStart w:id="40" w:name="_Toc451592241"/>
      <w:bookmarkStart w:id="41" w:name="_Toc5610282"/>
      <w:bookmarkStart w:id="42" w:name="_Toc99178788"/>
      <w:r>
        <w:rPr>
          <w:sz w:val="24"/>
          <w:szCs w:val="24"/>
        </w:rPr>
        <w:t>A.11</w:t>
      </w:r>
      <w:r w:rsidRPr="00D61E21">
        <w:rPr>
          <w:sz w:val="24"/>
          <w:szCs w:val="24"/>
        </w:rPr>
        <w:tab/>
        <w:t>Justification for Sensitive Questions</w:t>
      </w:r>
      <w:bookmarkEnd w:id="39"/>
      <w:bookmarkEnd w:id="40"/>
      <w:bookmarkEnd w:id="41"/>
      <w:bookmarkEnd w:id="42"/>
    </w:p>
    <w:p w14:paraId="79815D96" w14:textId="1F203576" w:rsidR="00957652" w:rsidRPr="003C1CE4" w:rsidRDefault="00957652" w:rsidP="00957652">
      <w:pPr>
        <w:tabs>
          <w:tab w:val="left" w:pos="-1440"/>
        </w:tabs>
        <w:spacing w:before="100" w:beforeAutospacing="1" w:after="100" w:afterAutospacing="1" w:line="480" w:lineRule="auto"/>
      </w:pPr>
      <w:r w:rsidRPr="003C1CE4">
        <w:t xml:space="preserve">Topics typically considered to be of a sensitive nature include sexual practices, alcohol or drug use, religious beliefs or affiliations, immigration status, and </w:t>
      </w:r>
      <w:r w:rsidRPr="005934EC">
        <w:t>employment</w:t>
      </w:r>
      <w:r>
        <w:t xml:space="preserve"> history. </w:t>
      </w:r>
      <w:r w:rsidR="0064007E">
        <w:t>After conducting a Privacy Impact Assessment (PIA) we determined that n</w:t>
      </w:r>
      <w:r w:rsidR="0064007E" w:rsidRPr="003C1CE4">
        <w:t xml:space="preserve">o questions regarding these topics or any other topic of a sensitive nature </w:t>
      </w:r>
      <w:r w:rsidR="0064007E">
        <w:t xml:space="preserve">are included in this survey. </w:t>
      </w:r>
      <w:r w:rsidR="00716D39">
        <w:t>Specifically, no personal identifying information</w:t>
      </w:r>
      <w:r w:rsidR="0064007E">
        <w:t xml:space="preserve"> (PII)</w:t>
      </w:r>
      <w:r w:rsidR="00716D39">
        <w:t xml:space="preserve"> will be collected. </w:t>
      </w:r>
      <w:r w:rsidR="0064007E">
        <w:t xml:space="preserve">The only information collected is federal contact information, which does not qualify as personal identifying information (PII) according to the E-Government Act of 2002. </w:t>
      </w:r>
      <w:r>
        <w:t xml:space="preserve">The survey is provided in </w:t>
      </w:r>
      <w:r w:rsidRPr="004C501C">
        <w:t xml:space="preserve">Attachment </w:t>
      </w:r>
      <w:r w:rsidR="00515631">
        <w:t>A</w:t>
      </w:r>
      <w:r>
        <w:t>.</w:t>
      </w:r>
    </w:p>
    <w:p w14:paraId="72F02C04" w14:textId="77777777" w:rsidR="003E5D3E" w:rsidRDefault="003E5D3E" w:rsidP="00253C78">
      <w:pPr>
        <w:rPr>
          <w:color w:val="FF0000"/>
          <w:sz w:val="32"/>
          <w:szCs w:val="32"/>
        </w:rPr>
      </w:pPr>
    </w:p>
    <w:p w14:paraId="69BA1AA2" w14:textId="77777777" w:rsidR="00515631" w:rsidRDefault="00515631">
      <w:pPr>
        <w:rPr>
          <w:b/>
        </w:rPr>
      </w:pPr>
      <w:r>
        <w:br w:type="page"/>
      </w:r>
    </w:p>
    <w:p w14:paraId="02D57E48" w14:textId="5509882D" w:rsidR="007C16BD" w:rsidRDefault="007C16BD" w:rsidP="007C16BD">
      <w:pPr>
        <w:pStyle w:val="Heading2"/>
        <w:tabs>
          <w:tab w:val="clear" w:pos="1152"/>
          <w:tab w:val="left" w:pos="450"/>
        </w:tabs>
        <w:spacing w:after="0" w:line="480" w:lineRule="auto"/>
        <w:ind w:left="720" w:hanging="720"/>
        <w:jc w:val="left"/>
      </w:pPr>
      <w:r>
        <w:rPr>
          <w:sz w:val="24"/>
          <w:szCs w:val="24"/>
        </w:rPr>
        <w:t>A.12</w:t>
      </w:r>
      <w:r w:rsidR="00F23BC4">
        <w:rPr>
          <w:sz w:val="24"/>
          <w:szCs w:val="24"/>
        </w:rPr>
        <w:t>.1</w:t>
      </w:r>
      <w:r>
        <w:rPr>
          <w:sz w:val="24"/>
          <w:szCs w:val="24"/>
        </w:rPr>
        <w:tab/>
      </w:r>
      <w:r w:rsidRPr="00D61E21">
        <w:rPr>
          <w:sz w:val="24"/>
          <w:szCs w:val="24"/>
        </w:rPr>
        <w:t>Estimates of Hour Burden Including Annualized Hourly Costs</w:t>
      </w:r>
      <w:r w:rsidRPr="003E3ABB">
        <w:t xml:space="preserve"> </w:t>
      </w:r>
    </w:p>
    <w:p w14:paraId="535A4820" w14:textId="77777777" w:rsidR="003E5D3E" w:rsidRPr="007C16BD" w:rsidRDefault="003E5D3E" w:rsidP="00253C78">
      <w:pPr>
        <w:rPr>
          <w:color w:val="FF0000"/>
        </w:rPr>
      </w:pPr>
    </w:p>
    <w:p w14:paraId="498DE7C4" w14:textId="45F091B4" w:rsidR="00B01143" w:rsidRPr="003C1CE4" w:rsidRDefault="00B01143" w:rsidP="00B01143">
      <w:pPr>
        <w:pStyle w:val="NormalWeb"/>
        <w:spacing w:line="480" w:lineRule="auto"/>
      </w:pPr>
      <w:r w:rsidRPr="003C1CE4">
        <w:t xml:space="preserve">The total </w:t>
      </w:r>
      <w:r w:rsidRPr="008F4BC1">
        <w:t xml:space="preserve">burden hours for screening and survey administration are </w:t>
      </w:r>
      <w:r w:rsidR="002052D1" w:rsidRPr="008F4BC1">
        <w:t>7</w:t>
      </w:r>
      <w:r w:rsidRPr="008F4BC1">
        <w:t xml:space="preserve">00 hours. Because this request </w:t>
      </w:r>
      <w:r w:rsidR="00AB751F" w:rsidRPr="008F4BC1">
        <w:t>covers</w:t>
      </w:r>
      <w:r w:rsidRPr="008F4BC1">
        <w:t xml:space="preserve"> potential portfolio evaluations conducted by </w:t>
      </w:r>
      <w:r w:rsidR="002052D1" w:rsidRPr="008F4BC1">
        <w:t xml:space="preserve">NICHD, NIDCD, NIMH, NINDS, NIEHS, </w:t>
      </w:r>
      <w:r w:rsidR="00764992" w:rsidRPr="008F4BC1">
        <w:t>NCI</w:t>
      </w:r>
      <w:r w:rsidR="00764992">
        <w:t xml:space="preserve">, </w:t>
      </w:r>
      <w:r w:rsidR="00764992" w:rsidRPr="00764992">
        <w:rPr>
          <w:highlight w:val="yellow"/>
        </w:rPr>
        <w:t>and EPA</w:t>
      </w:r>
      <w:r w:rsidR="00764992">
        <w:t xml:space="preserve"> </w:t>
      </w:r>
      <w:r w:rsidRPr="008F4BC1">
        <w:t xml:space="preserve">in the next 3 years, we have estimated that approximately </w:t>
      </w:r>
      <w:r w:rsidR="002052D1" w:rsidRPr="008F4BC1">
        <w:t>1,</w:t>
      </w:r>
      <w:r w:rsidR="004D6336">
        <w:t>4</w:t>
      </w:r>
      <w:r w:rsidR="004D6336" w:rsidRPr="008F4BC1">
        <w:t xml:space="preserve">00 </w:t>
      </w:r>
      <w:r w:rsidRPr="008F4BC1">
        <w:t>grantees will complete</w:t>
      </w:r>
      <w:r>
        <w:t xml:space="preserve"> a 30</w:t>
      </w:r>
      <w:r w:rsidR="00D41C54">
        <w:t>-</w:t>
      </w:r>
      <w:r>
        <w:t>minute survey</w:t>
      </w:r>
      <w:r w:rsidR="00D41C54">
        <w:t xml:space="preserve">. In the event that participants do not have web access, we will </w:t>
      </w:r>
      <w:r w:rsidR="00534561">
        <w:t>provide a paper version of the</w:t>
      </w:r>
      <w:r w:rsidR="00D41C54">
        <w:t xml:space="preserve"> survey provided in Attachment A. </w:t>
      </w:r>
      <w:r>
        <w:t xml:space="preserve"> </w:t>
      </w:r>
    </w:p>
    <w:p w14:paraId="64012983" w14:textId="57CE1305" w:rsidR="002052D1" w:rsidRPr="00A27DD5" w:rsidRDefault="00B01143" w:rsidP="00733A59">
      <w:pPr>
        <w:pStyle w:val="Tablehead"/>
        <w:spacing w:line="240" w:lineRule="auto"/>
        <w:rPr>
          <w:rFonts w:asciiTheme="majorHAnsi" w:hAnsiTheme="majorHAnsi"/>
          <w:b/>
          <w:sz w:val="22"/>
          <w:szCs w:val="22"/>
        </w:rPr>
      </w:pPr>
      <w:bookmarkStart w:id="43" w:name="_Toc179609401"/>
      <w:r w:rsidRPr="00B01143">
        <w:rPr>
          <w:b/>
        </w:rPr>
        <w:t xml:space="preserve">A.12 – 1 Estimates of </w:t>
      </w:r>
      <w:r w:rsidR="00476787">
        <w:rPr>
          <w:b/>
        </w:rPr>
        <w:t xml:space="preserve">Annual </w:t>
      </w:r>
      <w:r w:rsidRPr="00B01143">
        <w:rPr>
          <w:b/>
        </w:rPr>
        <w:t>Hour Burden</w:t>
      </w:r>
      <w:bookmarkEnd w:id="43"/>
      <w:r w:rsidRPr="00B01143">
        <w:rPr>
          <w:b/>
        </w:rPr>
        <w:t xml:space="preserve"> </w:t>
      </w:r>
    </w:p>
    <w:tbl>
      <w:tblPr>
        <w:tblW w:w="8442" w:type="dxa"/>
        <w:tblInd w:w="5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2"/>
        <w:gridCol w:w="1620"/>
        <w:gridCol w:w="1530"/>
        <w:gridCol w:w="1800"/>
        <w:gridCol w:w="1440"/>
      </w:tblGrid>
      <w:tr w:rsidR="002052D1" w:rsidRPr="00A27DD5" w14:paraId="73DA4898" w14:textId="77777777" w:rsidTr="00733A59">
        <w:trPr>
          <w:trHeight w:val="546"/>
        </w:trPr>
        <w:tc>
          <w:tcPr>
            <w:tcW w:w="2052" w:type="dxa"/>
            <w:tcBorders>
              <w:top w:val="double" w:sz="4" w:space="0" w:color="auto"/>
              <w:bottom w:val="single" w:sz="4" w:space="0" w:color="auto"/>
            </w:tcBorders>
            <w:shd w:val="clear" w:color="auto" w:fill="auto"/>
          </w:tcPr>
          <w:p w14:paraId="1BA2623B" w14:textId="77777777" w:rsidR="002052D1" w:rsidRPr="00F86133" w:rsidRDefault="002052D1" w:rsidP="005C21E7">
            <w:pPr>
              <w:pStyle w:val="NormalWeb"/>
              <w:spacing w:before="0" w:beforeAutospacing="0" w:after="0" w:afterAutospacing="0"/>
              <w:ind w:left="180"/>
              <w:rPr>
                <w:rFonts w:asciiTheme="majorHAnsi" w:hAnsiTheme="majorHAnsi"/>
                <w:b/>
                <w:sz w:val="22"/>
                <w:szCs w:val="22"/>
              </w:rPr>
            </w:pPr>
            <w:r w:rsidRPr="00F86133">
              <w:rPr>
                <w:rFonts w:asciiTheme="majorHAnsi" w:hAnsiTheme="majorHAnsi"/>
                <w:b/>
                <w:sz w:val="22"/>
                <w:szCs w:val="22"/>
              </w:rPr>
              <w:t>Type of Respondent</w:t>
            </w:r>
          </w:p>
        </w:tc>
        <w:tc>
          <w:tcPr>
            <w:tcW w:w="1620" w:type="dxa"/>
            <w:tcBorders>
              <w:top w:val="double" w:sz="4" w:space="0" w:color="auto"/>
              <w:bottom w:val="single" w:sz="4" w:space="0" w:color="auto"/>
            </w:tcBorders>
            <w:shd w:val="clear" w:color="auto" w:fill="auto"/>
          </w:tcPr>
          <w:p w14:paraId="3F9F2A88" w14:textId="77777777" w:rsidR="002052D1" w:rsidRPr="00F86133" w:rsidRDefault="002052D1" w:rsidP="005C21E7">
            <w:pPr>
              <w:pStyle w:val="NormalWeb"/>
              <w:spacing w:before="0" w:beforeAutospacing="0" w:after="0" w:afterAutospacing="0"/>
              <w:ind w:left="72"/>
              <w:rPr>
                <w:rFonts w:asciiTheme="majorHAnsi" w:hAnsiTheme="majorHAnsi"/>
                <w:b/>
                <w:sz w:val="22"/>
                <w:szCs w:val="22"/>
              </w:rPr>
            </w:pPr>
            <w:r w:rsidRPr="00F86133">
              <w:rPr>
                <w:rFonts w:asciiTheme="majorHAnsi" w:hAnsiTheme="majorHAnsi"/>
                <w:b/>
                <w:sz w:val="22"/>
                <w:szCs w:val="22"/>
              </w:rPr>
              <w:t>Number of Respondents</w:t>
            </w:r>
          </w:p>
        </w:tc>
        <w:tc>
          <w:tcPr>
            <w:tcW w:w="1530" w:type="dxa"/>
            <w:tcBorders>
              <w:top w:val="double" w:sz="4" w:space="0" w:color="auto"/>
              <w:bottom w:val="single" w:sz="4" w:space="0" w:color="auto"/>
            </w:tcBorders>
            <w:shd w:val="clear" w:color="auto" w:fill="auto"/>
          </w:tcPr>
          <w:p w14:paraId="582F669E" w14:textId="77777777" w:rsidR="002052D1" w:rsidRPr="00F86133" w:rsidRDefault="002052D1" w:rsidP="005C21E7">
            <w:pPr>
              <w:pStyle w:val="NormalWeb"/>
              <w:spacing w:before="0" w:beforeAutospacing="0" w:after="0" w:afterAutospacing="0"/>
              <w:ind w:left="72"/>
              <w:rPr>
                <w:rFonts w:asciiTheme="majorHAnsi" w:hAnsiTheme="majorHAnsi"/>
                <w:b/>
                <w:sz w:val="22"/>
                <w:szCs w:val="22"/>
              </w:rPr>
            </w:pPr>
            <w:r w:rsidRPr="00F86133">
              <w:rPr>
                <w:rFonts w:asciiTheme="majorHAnsi" w:hAnsiTheme="majorHAnsi"/>
                <w:b/>
                <w:sz w:val="22"/>
                <w:szCs w:val="22"/>
              </w:rPr>
              <w:t>Frequency of Response</w:t>
            </w:r>
          </w:p>
        </w:tc>
        <w:tc>
          <w:tcPr>
            <w:tcW w:w="1800" w:type="dxa"/>
            <w:tcBorders>
              <w:top w:val="double" w:sz="4" w:space="0" w:color="auto"/>
              <w:bottom w:val="single" w:sz="4" w:space="0" w:color="auto"/>
            </w:tcBorders>
            <w:shd w:val="clear" w:color="auto" w:fill="auto"/>
          </w:tcPr>
          <w:p w14:paraId="2D80929E" w14:textId="77777777" w:rsidR="002052D1" w:rsidRPr="00F86133" w:rsidRDefault="002052D1" w:rsidP="005C21E7">
            <w:pPr>
              <w:pStyle w:val="NormalWeb"/>
              <w:spacing w:before="0" w:beforeAutospacing="0" w:after="0" w:afterAutospacing="0"/>
              <w:rPr>
                <w:rFonts w:asciiTheme="majorHAnsi" w:hAnsiTheme="majorHAnsi"/>
                <w:b/>
                <w:sz w:val="22"/>
                <w:szCs w:val="22"/>
              </w:rPr>
            </w:pPr>
            <w:r w:rsidRPr="00F86133">
              <w:rPr>
                <w:rFonts w:asciiTheme="majorHAnsi" w:hAnsiTheme="majorHAnsi"/>
                <w:b/>
                <w:sz w:val="22"/>
                <w:szCs w:val="22"/>
              </w:rPr>
              <w:t xml:space="preserve">Average Time per Response </w:t>
            </w:r>
          </w:p>
        </w:tc>
        <w:tc>
          <w:tcPr>
            <w:tcW w:w="1440" w:type="dxa"/>
            <w:tcBorders>
              <w:top w:val="double" w:sz="4" w:space="0" w:color="auto"/>
              <w:bottom w:val="single" w:sz="4" w:space="0" w:color="auto"/>
            </w:tcBorders>
            <w:shd w:val="clear" w:color="auto" w:fill="auto"/>
          </w:tcPr>
          <w:p w14:paraId="38857B5C" w14:textId="77777777" w:rsidR="002052D1" w:rsidRPr="00F86133" w:rsidRDefault="002052D1" w:rsidP="005C21E7">
            <w:pPr>
              <w:pStyle w:val="NormalWeb"/>
              <w:spacing w:before="0" w:beforeAutospacing="0" w:after="0" w:afterAutospacing="0"/>
              <w:rPr>
                <w:rFonts w:asciiTheme="majorHAnsi" w:hAnsiTheme="majorHAnsi"/>
                <w:b/>
                <w:sz w:val="22"/>
                <w:szCs w:val="22"/>
              </w:rPr>
            </w:pPr>
            <w:r w:rsidRPr="00F86133">
              <w:rPr>
                <w:rFonts w:asciiTheme="majorHAnsi" w:hAnsiTheme="majorHAnsi"/>
                <w:b/>
                <w:sz w:val="22"/>
                <w:szCs w:val="22"/>
              </w:rPr>
              <w:t>Annual Hour Burden</w:t>
            </w:r>
          </w:p>
        </w:tc>
      </w:tr>
      <w:tr w:rsidR="002052D1" w:rsidRPr="00A27DD5" w14:paraId="00F9641B" w14:textId="77777777" w:rsidTr="00733A59">
        <w:trPr>
          <w:cantSplit/>
          <w:trHeight w:val="576"/>
        </w:trPr>
        <w:tc>
          <w:tcPr>
            <w:tcW w:w="2052" w:type="dxa"/>
          </w:tcPr>
          <w:p w14:paraId="181FD6B3" w14:textId="77777777"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NICHD Grantee</w:t>
            </w:r>
          </w:p>
        </w:tc>
        <w:tc>
          <w:tcPr>
            <w:tcW w:w="1620" w:type="dxa"/>
          </w:tcPr>
          <w:p w14:paraId="187C3EA9"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14:paraId="717CA49F"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14:paraId="55C44FB0"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14:paraId="6731EA60"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14:paraId="03D30E50" w14:textId="77777777" w:rsidTr="00733A59">
        <w:trPr>
          <w:cantSplit/>
          <w:trHeight w:val="576"/>
        </w:trPr>
        <w:tc>
          <w:tcPr>
            <w:tcW w:w="2052" w:type="dxa"/>
          </w:tcPr>
          <w:p w14:paraId="7A82239E" w14:textId="77777777"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NIDCD Grantee</w:t>
            </w:r>
          </w:p>
        </w:tc>
        <w:tc>
          <w:tcPr>
            <w:tcW w:w="1620" w:type="dxa"/>
          </w:tcPr>
          <w:p w14:paraId="6D9D4CFF"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14:paraId="469FCDE5"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14:paraId="7BAA9C62"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14:paraId="5B3E65C5"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14:paraId="78871E39" w14:textId="77777777" w:rsidTr="00733A59">
        <w:trPr>
          <w:cantSplit/>
          <w:trHeight w:val="576"/>
        </w:trPr>
        <w:tc>
          <w:tcPr>
            <w:tcW w:w="2052" w:type="dxa"/>
          </w:tcPr>
          <w:p w14:paraId="52D8BB13" w14:textId="77777777"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NIMH Grantee</w:t>
            </w:r>
          </w:p>
        </w:tc>
        <w:tc>
          <w:tcPr>
            <w:tcW w:w="1620" w:type="dxa"/>
          </w:tcPr>
          <w:p w14:paraId="5F8DA197"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Pr>
          <w:p w14:paraId="577D07F4"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Pr>
          <w:p w14:paraId="72A6FD45"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Pr>
          <w:p w14:paraId="0B4F33E9"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14:paraId="1162C915" w14:textId="77777777" w:rsidTr="00733A59">
        <w:trPr>
          <w:cantSplit/>
          <w:trHeight w:val="576"/>
        </w:trPr>
        <w:tc>
          <w:tcPr>
            <w:tcW w:w="2052" w:type="dxa"/>
            <w:tcBorders>
              <w:bottom w:val="single" w:sz="4" w:space="0" w:color="auto"/>
            </w:tcBorders>
          </w:tcPr>
          <w:p w14:paraId="729F73D4" w14:textId="77777777"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NINDS Grantee</w:t>
            </w:r>
          </w:p>
        </w:tc>
        <w:tc>
          <w:tcPr>
            <w:tcW w:w="1620" w:type="dxa"/>
            <w:tcBorders>
              <w:bottom w:val="single" w:sz="4" w:space="0" w:color="auto"/>
            </w:tcBorders>
          </w:tcPr>
          <w:p w14:paraId="6A2B876C"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200</w:t>
            </w:r>
          </w:p>
        </w:tc>
        <w:tc>
          <w:tcPr>
            <w:tcW w:w="1530" w:type="dxa"/>
            <w:tcBorders>
              <w:bottom w:val="single" w:sz="4" w:space="0" w:color="auto"/>
            </w:tcBorders>
          </w:tcPr>
          <w:p w14:paraId="22F71A5F"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bottom w:val="single" w:sz="4" w:space="0" w:color="auto"/>
            </w:tcBorders>
          </w:tcPr>
          <w:p w14:paraId="7CBB63B5"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bottom w:val="single" w:sz="4" w:space="0" w:color="auto"/>
            </w:tcBorders>
          </w:tcPr>
          <w:p w14:paraId="3BED159C"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 xml:space="preserve">100 </w:t>
            </w:r>
          </w:p>
        </w:tc>
      </w:tr>
      <w:tr w:rsidR="002052D1" w:rsidRPr="00A27DD5" w14:paraId="59F3420A" w14:textId="77777777" w:rsidTr="00733A59">
        <w:trPr>
          <w:cantSplit/>
          <w:trHeight w:val="576"/>
        </w:trPr>
        <w:tc>
          <w:tcPr>
            <w:tcW w:w="2052" w:type="dxa"/>
            <w:tcBorders>
              <w:top w:val="single" w:sz="4" w:space="0" w:color="auto"/>
              <w:left w:val="double" w:sz="4" w:space="0" w:color="auto"/>
              <w:bottom w:val="single" w:sz="4" w:space="0" w:color="auto"/>
            </w:tcBorders>
          </w:tcPr>
          <w:p w14:paraId="15C8E214" w14:textId="77777777" w:rsidR="002052D1" w:rsidRPr="00A27DD5" w:rsidRDefault="002052D1" w:rsidP="005C21E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NCI Grantee</w:t>
            </w:r>
          </w:p>
        </w:tc>
        <w:tc>
          <w:tcPr>
            <w:tcW w:w="1620" w:type="dxa"/>
            <w:tcBorders>
              <w:top w:val="single" w:sz="4" w:space="0" w:color="auto"/>
              <w:bottom w:val="single" w:sz="4" w:space="0" w:color="auto"/>
            </w:tcBorders>
          </w:tcPr>
          <w:p w14:paraId="5695DCA0"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400</w:t>
            </w:r>
          </w:p>
        </w:tc>
        <w:tc>
          <w:tcPr>
            <w:tcW w:w="1530" w:type="dxa"/>
            <w:tcBorders>
              <w:top w:val="single" w:sz="4" w:space="0" w:color="auto"/>
              <w:bottom w:val="single" w:sz="4" w:space="0" w:color="auto"/>
            </w:tcBorders>
          </w:tcPr>
          <w:p w14:paraId="4E3DCB47"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top w:val="single" w:sz="4" w:space="0" w:color="auto"/>
              <w:bottom w:val="single" w:sz="4" w:space="0" w:color="auto"/>
            </w:tcBorders>
          </w:tcPr>
          <w:p w14:paraId="33AC44E0"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top w:val="single" w:sz="4" w:space="0" w:color="auto"/>
              <w:bottom w:val="single" w:sz="4" w:space="0" w:color="auto"/>
            </w:tcBorders>
          </w:tcPr>
          <w:p w14:paraId="72DB164B"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200</w:t>
            </w:r>
          </w:p>
        </w:tc>
      </w:tr>
      <w:tr w:rsidR="002052D1" w:rsidRPr="00A27DD5" w14:paraId="332896FA" w14:textId="77777777" w:rsidTr="00733A59">
        <w:trPr>
          <w:cantSplit/>
          <w:trHeight w:val="576"/>
        </w:trPr>
        <w:tc>
          <w:tcPr>
            <w:tcW w:w="2052" w:type="dxa"/>
            <w:tcBorders>
              <w:top w:val="single" w:sz="4" w:space="0" w:color="auto"/>
              <w:left w:val="double" w:sz="4" w:space="0" w:color="auto"/>
              <w:bottom w:val="single" w:sz="4" w:space="0" w:color="auto"/>
              <w:right w:val="single" w:sz="4" w:space="0" w:color="auto"/>
            </w:tcBorders>
          </w:tcPr>
          <w:p w14:paraId="64397124" w14:textId="77777777" w:rsidR="002052D1" w:rsidRPr="00A27DD5" w:rsidRDefault="002052D1" w:rsidP="00476787">
            <w:pPr>
              <w:pStyle w:val="NormalWeb"/>
              <w:spacing w:before="0" w:beforeAutospacing="0" w:after="0" w:afterAutospacing="0"/>
              <w:ind w:left="180"/>
              <w:rPr>
                <w:rFonts w:asciiTheme="majorHAnsi" w:hAnsiTheme="majorHAnsi"/>
                <w:sz w:val="22"/>
                <w:szCs w:val="22"/>
              </w:rPr>
            </w:pPr>
            <w:r w:rsidRPr="00A27DD5">
              <w:rPr>
                <w:rFonts w:asciiTheme="majorHAnsi" w:hAnsiTheme="majorHAnsi"/>
                <w:sz w:val="22"/>
                <w:szCs w:val="22"/>
              </w:rPr>
              <w:t xml:space="preserve">NIEHS </w:t>
            </w:r>
            <w:r w:rsidR="00476787">
              <w:rPr>
                <w:rFonts w:asciiTheme="majorHAnsi" w:hAnsiTheme="majorHAnsi"/>
                <w:sz w:val="22"/>
                <w:szCs w:val="22"/>
              </w:rPr>
              <w:t>Grantee</w:t>
            </w:r>
          </w:p>
        </w:tc>
        <w:tc>
          <w:tcPr>
            <w:tcW w:w="1620" w:type="dxa"/>
            <w:tcBorders>
              <w:top w:val="single" w:sz="4" w:space="0" w:color="auto"/>
              <w:left w:val="single" w:sz="4" w:space="0" w:color="auto"/>
              <w:bottom w:val="single" w:sz="4" w:space="0" w:color="auto"/>
              <w:right w:val="single" w:sz="4" w:space="0" w:color="auto"/>
            </w:tcBorders>
          </w:tcPr>
          <w:p w14:paraId="0AB6676B"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 xml:space="preserve">200 </w:t>
            </w:r>
          </w:p>
        </w:tc>
        <w:tc>
          <w:tcPr>
            <w:tcW w:w="1530" w:type="dxa"/>
            <w:tcBorders>
              <w:top w:val="single" w:sz="4" w:space="0" w:color="auto"/>
              <w:left w:val="single" w:sz="4" w:space="0" w:color="auto"/>
              <w:bottom w:val="single" w:sz="4" w:space="0" w:color="auto"/>
              <w:right w:val="single" w:sz="4" w:space="0" w:color="auto"/>
            </w:tcBorders>
          </w:tcPr>
          <w:p w14:paraId="12AA3895" w14:textId="77777777" w:rsidR="002052D1" w:rsidRPr="00A27DD5" w:rsidRDefault="002052D1" w:rsidP="005C21E7">
            <w:pPr>
              <w:pStyle w:val="NormalWeb"/>
              <w:spacing w:before="0" w:beforeAutospacing="0" w:after="0" w:afterAutospacing="0"/>
              <w:ind w:left="72"/>
              <w:rPr>
                <w:rFonts w:asciiTheme="majorHAnsi" w:hAnsiTheme="majorHAnsi"/>
                <w:sz w:val="22"/>
                <w:szCs w:val="22"/>
              </w:rPr>
            </w:pPr>
            <w:r w:rsidRPr="00A27DD5">
              <w:rPr>
                <w:rFonts w:asciiTheme="majorHAnsi" w:hAnsiTheme="majorHAnsi"/>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27497543"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30/60</w:t>
            </w:r>
          </w:p>
        </w:tc>
        <w:tc>
          <w:tcPr>
            <w:tcW w:w="1440" w:type="dxa"/>
            <w:tcBorders>
              <w:top w:val="single" w:sz="4" w:space="0" w:color="auto"/>
              <w:left w:val="single" w:sz="4" w:space="0" w:color="auto"/>
              <w:bottom w:val="single" w:sz="4" w:space="0" w:color="auto"/>
              <w:right w:val="double" w:sz="4" w:space="0" w:color="auto"/>
            </w:tcBorders>
          </w:tcPr>
          <w:p w14:paraId="4824499B" w14:textId="77777777" w:rsidR="002052D1" w:rsidRPr="00A27DD5" w:rsidRDefault="002052D1" w:rsidP="005C21E7">
            <w:pPr>
              <w:pStyle w:val="NormalWeb"/>
              <w:spacing w:before="0" w:beforeAutospacing="0" w:after="0" w:afterAutospacing="0"/>
              <w:rPr>
                <w:rFonts w:asciiTheme="majorHAnsi" w:hAnsiTheme="majorHAnsi"/>
                <w:sz w:val="22"/>
                <w:szCs w:val="22"/>
              </w:rPr>
            </w:pPr>
            <w:r w:rsidRPr="00A27DD5">
              <w:rPr>
                <w:rFonts w:asciiTheme="majorHAnsi" w:hAnsiTheme="majorHAnsi"/>
                <w:sz w:val="22"/>
                <w:szCs w:val="22"/>
              </w:rPr>
              <w:t>100</w:t>
            </w:r>
          </w:p>
        </w:tc>
      </w:tr>
      <w:tr w:rsidR="002052D1" w:rsidRPr="00A27DD5" w14:paraId="7CE3825D" w14:textId="77777777" w:rsidTr="00733A59">
        <w:trPr>
          <w:cantSplit/>
          <w:trHeight w:val="576"/>
        </w:trPr>
        <w:tc>
          <w:tcPr>
            <w:tcW w:w="2052" w:type="dxa"/>
            <w:tcBorders>
              <w:top w:val="single" w:sz="4" w:space="0" w:color="auto"/>
              <w:left w:val="double" w:sz="4" w:space="0" w:color="auto"/>
              <w:bottom w:val="double" w:sz="4" w:space="0" w:color="auto"/>
              <w:right w:val="single" w:sz="4" w:space="0" w:color="auto"/>
            </w:tcBorders>
          </w:tcPr>
          <w:p w14:paraId="3734BC3A" w14:textId="77777777" w:rsidR="002052D1" w:rsidRPr="00A27DD5" w:rsidRDefault="002052D1" w:rsidP="005C21E7">
            <w:pPr>
              <w:pStyle w:val="NormalWeb"/>
              <w:spacing w:before="0" w:beforeAutospacing="0" w:after="0" w:afterAutospacing="0"/>
              <w:ind w:left="180"/>
              <w:rPr>
                <w:rFonts w:asciiTheme="majorHAnsi" w:hAnsiTheme="majorHAnsi"/>
                <w:b/>
                <w:sz w:val="22"/>
                <w:szCs w:val="22"/>
              </w:rPr>
            </w:pPr>
            <w:r w:rsidRPr="00A27DD5">
              <w:rPr>
                <w:rFonts w:asciiTheme="majorHAnsi" w:hAnsiTheme="majorHAnsi"/>
                <w:b/>
                <w:sz w:val="22"/>
                <w:szCs w:val="22"/>
              </w:rPr>
              <w:t>Total</w:t>
            </w:r>
          </w:p>
        </w:tc>
        <w:tc>
          <w:tcPr>
            <w:tcW w:w="1620" w:type="dxa"/>
            <w:tcBorders>
              <w:top w:val="single" w:sz="4" w:space="0" w:color="auto"/>
              <w:left w:val="single" w:sz="4" w:space="0" w:color="auto"/>
              <w:bottom w:val="double" w:sz="4" w:space="0" w:color="auto"/>
              <w:right w:val="single" w:sz="4" w:space="0" w:color="auto"/>
            </w:tcBorders>
          </w:tcPr>
          <w:p w14:paraId="7D25DAE1" w14:textId="3E82D5EE" w:rsidR="002052D1" w:rsidRPr="00A27DD5" w:rsidRDefault="002052D1" w:rsidP="005C21E7">
            <w:pPr>
              <w:pStyle w:val="NormalWeb"/>
              <w:spacing w:before="0" w:beforeAutospacing="0" w:after="0" w:afterAutospacing="0"/>
              <w:ind w:left="72"/>
              <w:rPr>
                <w:rFonts w:asciiTheme="majorHAnsi" w:hAnsiTheme="majorHAnsi"/>
                <w:b/>
                <w:sz w:val="22"/>
                <w:szCs w:val="22"/>
              </w:rPr>
            </w:pPr>
            <w:r w:rsidRPr="00A27DD5">
              <w:rPr>
                <w:rFonts w:asciiTheme="majorHAnsi" w:hAnsiTheme="majorHAnsi"/>
                <w:b/>
                <w:sz w:val="22"/>
                <w:szCs w:val="22"/>
              </w:rPr>
              <w:t>1,</w:t>
            </w:r>
            <w:r w:rsidR="00B45D77">
              <w:rPr>
                <w:rFonts w:asciiTheme="majorHAnsi" w:hAnsiTheme="majorHAnsi"/>
                <w:b/>
                <w:sz w:val="22"/>
                <w:szCs w:val="22"/>
              </w:rPr>
              <w:t>4</w:t>
            </w:r>
            <w:r w:rsidR="00B45D77" w:rsidRPr="00A27DD5">
              <w:rPr>
                <w:rFonts w:asciiTheme="majorHAnsi" w:hAnsiTheme="majorHAnsi"/>
                <w:b/>
                <w:sz w:val="22"/>
                <w:szCs w:val="22"/>
              </w:rPr>
              <w:t>00</w:t>
            </w:r>
          </w:p>
        </w:tc>
        <w:tc>
          <w:tcPr>
            <w:tcW w:w="1530" w:type="dxa"/>
            <w:tcBorders>
              <w:top w:val="single" w:sz="4" w:space="0" w:color="auto"/>
              <w:left w:val="single" w:sz="4" w:space="0" w:color="auto"/>
              <w:bottom w:val="double" w:sz="4" w:space="0" w:color="auto"/>
              <w:right w:val="single" w:sz="4" w:space="0" w:color="auto"/>
            </w:tcBorders>
          </w:tcPr>
          <w:p w14:paraId="304AD377" w14:textId="6D855C8D" w:rsidR="002052D1" w:rsidRPr="00A27DD5" w:rsidRDefault="00B45D77" w:rsidP="005C21E7">
            <w:pPr>
              <w:pStyle w:val="NormalWeb"/>
              <w:spacing w:before="0" w:beforeAutospacing="0" w:after="0" w:afterAutospacing="0"/>
              <w:ind w:left="72"/>
              <w:rPr>
                <w:rFonts w:asciiTheme="majorHAnsi" w:hAnsiTheme="majorHAnsi"/>
                <w:b/>
                <w:sz w:val="22"/>
                <w:szCs w:val="22"/>
              </w:rPr>
            </w:pPr>
            <w:r>
              <w:rPr>
                <w:rFonts w:asciiTheme="majorHAnsi" w:hAnsiTheme="majorHAnsi"/>
                <w:b/>
                <w:sz w:val="22"/>
                <w:szCs w:val="22"/>
              </w:rPr>
              <w:t>1400</w:t>
            </w:r>
          </w:p>
        </w:tc>
        <w:tc>
          <w:tcPr>
            <w:tcW w:w="1800" w:type="dxa"/>
            <w:tcBorders>
              <w:top w:val="single" w:sz="4" w:space="0" w:color="auto"/>
              <w:left w:val="single" w:sz="4" w:space="0" w:color="auto"/>
              <w:bottom w:val="double" w:sz="4" w:space="0" w:color="auto"/>
              <w:right w:val="single" w:sz="4" w:space="0" w:color="auto"/>
            </w:tcBorders>
          </w:tcPr>
          <w:p w14:paraId="419F3B18" w14:textId="77777777" w:rsidR="002052D1" w:rsidRPr="00A27DD5" w:rsidRDefault="002052D1" w:rsidP="005C21E7">
            <w:pPr>
              <w:pStyle w:val="NormalWeb"/>
              <w:spacing w:before="0" w:beforeAutospacing="0" w:after="0" w:afterAutospacing="0"/>
              <w:rPr>
                <w:rFonts w:asciiTheme="majorHAnsi" w:hAnsiTheme="majorHAnsi"/>
                <w:b/>
                <w:sz w:val="22"/>
                <w:szCs w:val="22"/>
              </w:rPr>
            </w:pPr>
          </w:p>
        </w:tc>
        <w:tc>
          <w:tcPr>
            <w:tcW w:w="1440" w:type="dxa"/>
            <w:tcBorders>
              <w:top w:val="single" w:sz="4" w:space="0" w:color="auto"/>
              <w:left w:val="single" w:sz="4" w:space="0" w:color="auto"/>
              <w:bottom w:val="double" w:sz="4" w:space="0" w:color="auto"/>
              <w:right w:val="double" w:sz="4" w:space="0" w:color="auto"/>
            </w:tcBorders>
          </w:tcPr>
          <w:p w14:paraId="14AAF0C5" w14:textId="487B136D" w:rsidR="002052D1" w:rsidRPr="00A27DD5" w:rsidRDefault="00B45D77" w:rsidP="005C21E7">
            <w:pPr>
              <w:pStyle w:val="NormalWeb"/>
              <w:spacing w:before="0" w:beforeAutospacing="0" w:after="0" w:afterAutospacing="0"/>
              <w:rPr>
                <w:rFonts w:asciiTheme="majorHAnsi" w:hAnsiTheme="majorHAnsi"/>
                <w:b/>
                <w:sz w:val="22"/>
                <w:szCs w:val="22"/>
              </w:rPr>
            </w:pPr>
            <w:r>
              <w:rPr>
                <w:rFonts w:asciiTheme="majorHAnsi" w:hAnsiTheme="majorHAnsi"/>
                <w:b/>
                <w:sz w:val="22"/>
                <w:szCs w:val="22"/>
                <w:highlight w:val="yellow"/>
              </w:rPr>
              <w:t>7</w:t>
            </w:r>
            <w:r w:rsidRPr="00764992">
              <w:rPr>
                <w:rFonts w:asciiTheme="majorHAnsi" w:hAnsiTheme="majorHAnsi"/>
                <w:b/>
                <w:sz w:val="22"/>
                <w:szCs w:val="22"/>
                <w:highlight w:val="yellow"/>
              </w:rPr>
              <w:t xml:space="preserve">00 </w:t>
            </w:r>
            <w:r w:rsidR="002052D1" w:rsidRPr="00764992">
              <w:rPr>
                <w:rFonts w:asciiTheme="majorHAnsi" w:hAnsiTheme="majorHAnsi"/>
                <w:b/>
                <w:sz w:val="22"/>
                <w:szCs w:val="22"/>
                <w:highlight w:val="yellow"/>
              </w:rPr>
              <w:t>hours</w:t>
            </w:r>
          </w:p>
        </w:tc>
      </w:tr>
    </w:tbl>
    <w:p w14:paraId="3F0D30F5" w14:textId="77777777" w:rsidR="002052D1" w:rsidRPr="00A27DD5" w:rsidRDefault="002052D1" w:rsidP="002052D1">
      <w:pPr>
        <w:rPr>
          <w:rFonts w:asciiTheme="majorHAnsi" w:hAnsiTheme="majorHAnsi"/>
          <w:sz w:val="22"/>
          <w:szCs w:val="22"/>
        </w:rPr>
      </w:pPr>
    </w:p>
    <w:p w14:paraId="781BF48D" w14:textId="065A8A85" w:rsidR="00B01143" w:rsidRDefault="00B01143" w:rsidP="00B01143">
      <w:pPr>
        <w:tabs>
          <w:tab w:val="left" w:pos="-1440"/>
        </w:tabs>
        <w:spacing w:before="100" w:beforeAutospacing="1" w:after="100" w:afterAutospacing="1" w:line="480" w:lineRule="auto"/>
      </w:pPr>
      <w:r w:rsidRPr="003C1CE4">
        <w:t>There are no costs to respondents</w:t>
      </w:r>
      <w:r>
        <w:t xml:space="preserve"> except for their time to participate</w:t>
      </w:r>
      <w:r w:rsidRPr="003C1CE4">
        <w:t>. The approx</w:t>
      </w:r>
      <w:r>
        <w:t xml:space="preserve">imate burden over </w:t>
      </w:r>
      <w:r w:rsidRPr="008F4BC1">
        <w:t xml:space="preserve">the course of </w:t>
      </w:r>
      <w:r w:rsidR="00716D39" w:rsidRPr="008F4BC1">
        <w:t xml:space="preserve">3 </w:t>
      </w:r>
      <w:r w:rsidRPr="008F4BC1">
        <w:t xml:space="preserve">years is </w:t>
      </w:r>
      <w:r w:rsidR="00B45D77">
        <w:rPr>
          <w:highlight w:val="yellow"/>
        </w:rPr>
        <w:t>7</w:t>
      </w:r>
      <w:r w:rsidR="00B45D77" w:rsidRPr="00764992">
        <w:rPr>
          <w:highlight w:val="yellow"/>
        </w:rPr>
        <w:t>00</w:t>
      </w:r>
      <w:r w:rsidR="00B45D77" w:rsidRPr="008F4BC1">
        <w:t xml:space="preserve"> </w:t>
      </w:r>
      <w:r w:rsidRPr="008F4BC1">
        <w:t>h</w:t>
      </w:r>
      <w:r w:rsidR="001553FA" w:rsidRPr="008F4BC1">
        <w:t>ours</w:t>
      </w:r>
      <w:r w:rsidR="00D41C54" w:rsidRPr="00D41C54">
        <w:t>.</w:t>
      </w:r>
      <w:r w:rsidRPr="00D41C54">
        <w:t xml:space="preserve"> </w:t>
      </w:r>
      <w:r w:rsidRPr="008F4BC1">
        <w:t>The</w:t>
      </w:r>
      <w:r w:rsidRPr="003C1CE4">
        <w:t xml:space="preserve"> burden estimate is based on pretests along with NIEHS’ experience with surveys with similar administration protocols and lengths. The survey </w:t>
      </w:r>
      <w:r>
        <w:t xml:space="preserve">respondents </w:t>
      </w:r>
      <w:r w:rsidRPr="003C1CE4">
        <w:t>will most likely be scientists and post-secondary professors</w:t>
      </w:r>
      <w:r>
        <w:t xml:space="preserve">. </w:t>
      </w:r>
      <w:r w:rsidRPr="005934EC">
        <w:t xml:space="preserve">The average annual salary for full-time professors in </w:t>
      </w:r>
      <w:r w:rsidR="00FF7C3B">
        <w:t xml:space="preserve">2017 </w:t>
      </w:r>
      <w:r>
        <w:t>was approximately $</w:t>
      </w:r>
      <w:r w:rsidR="002E42A5">
        <w:t>93,010</w:t>
      </w:r>
      <w:r>
        <w:t>, with variation in salary by rank</w:t>
      </w:r>
      <w:r w:rsidR="002E42A5">
        <w:t xml:space="preserve"> </w:t>
      </w:r>
      <w:r w:rsidRPr="00FF7C3B">
        <w:t>(</w:t>
      </w:r>
      <w:hyperlink r:id="rId10" w:anchor="00-0000" w:history="1">
        <w:r w:rsidR="00FF7C3B" w:rsidRPr="00FF7C3B">
          <w:rPr>
            <w:rStyle w:val="Hyperlink"/>
          </w:rPr>
          <w:t>http://www.bls.gov/oes/2017/may/oes_nat.htm#00-0000</w:t>
        </w:r>
      </w:hyperlink>
      <w:r w:rsidRPr="00FF7C3B">
        <w:t xml:space="preserve">. </w:t>
      </w:r>
      <w:r w:rsidR="002E42A5">
        <w:t xml:space="preserve">Salary rate was identified using Occupation Code 25-1042, Biological Sciences Teachers, Postsecondary.) </w:t>
      </w:r>
      <w:r w:rsidR="00733A59" w:rsidRPr="00FF7C3B">
        <w:t>Table</w:t>
      </w:r>
      <w:r w:rsidR="00733A59">
        <w:t xml:space="preserve"> A.12-2 summarizes the costs to respondents.</w:t>
      </w:r>
    </w:p>
    <w:p w14:paraId="6381C559" w14:textId="750FEF17" w:rsidR="00733A59" w:rsidRPr="00733A59" w:rsidRDefault="00733A59" w:rsidP="00733A59">
      <w:pPr>
        <w:tabs>
          <w:tab w:val="left" w:pos="-1440"/>
        </w:tabs>
        <w:spacing w:before="100" w:beforeAutospacing="1" w:after="100" w:afterAutospacing="1"/>
        <w:rPr>
          <w:b/>
        </w:rPr>
      </w:pPr>
      <w:r w:rsidRPr="00733A59">
        <w:rPr>
          <w:b/>
        </w:rPr>
        <w:t>A.12-2. Annual Cost to Respondents</w:t>
      </w:r>
    </w:p>
    <w:tbl>
      <w:tblPr>
        <w:tblW w:w="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7"/>
        <w:gridCol w:w="1710"/>
        <w:gridCol w:w="1240"/>
        <w:gridCol w:w="1382"/>
      </w:tblGrid>
      <w:tr w:rsidR="00F23BC4" w14:paraId="54E919C4" w14:textId="77777777" w:rsidTr="00F23BC4">
        <w:trPr>
          <w:trHeight w:val="274"/>
          <w:jc w:val="center"/>
        </w:trPr>
        <w:tc>
          <w:tcPr>
            <w:tcW w:w="1557" w:type="dxa"/>
            <w:tcMar>
              <w:top w:w="0" w:type="dxa"/>
              <w:left w:w="108" w:type="dxa"/>
              <w:bottom w:w="0" w:type="dxa"/>
              <w:right w:w="108" w:type="dxa"/>
            </w:tcMar>
          </w:tcPr>
          <w:p w14:paraId="047CD88D" w14:textId="77777777" w:rsidR="00F23BC4" w:rsidRPr="00733A59" w:rsidRDefault="00F23BC4">
            <w:pPr>
              <w:rPr>
                <w:rFonts w:eastAsiaTheme="minorHAnsi"/>
                <w:b/>
                <w:bCs/>
                <w:sz w:val="22"/>
                <w:szCs w:val="22"/>
              </w:rPr>
            </w:pPr>
            <w:r w:rsidRPr="00733A59">
              <w:rPr>
                <w:b/>
                <w:bCs/>
                <w:sz w:val="22"/>
                <w:szCs w:val="22"/>
              </w:rPr>
              <w:t>Type of Respondents</w:t>
            </w:r>
          </w:p>
          <w:p w14:paraId="448C5E4E" w14:textId="77777777" w:rsidR="00F23BC4" w:rsidRPr="00733A59" w:rsidRDefault="00F23BC4">
            <w:pPr>
              <w:rPr>
                <w:rFonts w:eastAsiaTheme="minorHAnsi"/>
                <w:b/>
                <w:bCs/>
                <w:sz w:val="22"/>
                <w:szCs w:val="22"/>
              </w:rPr>
            </w:pPr>
          </w:p>
        </w:tc>
        <w:tc>
          <w:tcPr>
            <w:tcW w:w="1710" w:type="dxa"/>
          </w:tcPr>
          <w:p w14:paraId="580AC24E" w14:textId="7F54458E" w:rsidR="00F23BC4" w:rsidRPr="00733A59" w:rsidRDefault="00F23BC4">
            <w:pPr>
              <w:rPr>
                <w:b/>
                <w:bCs/>
                <w:sz w:val="22"/>
                <w:szCs w:val="22"/>
              </w:rPr>
            </w:pPr>
            <w:r>
              <w:rPr>
                <w:b/>
                <w:bCs/>
                <w:sz w:val="22"/>
                <w:szCs w:val="22"/>
              </w:rPr>
              <w:t>Total Annual Burden Hours</w:t>
            </w:r>
          </w:p>
        </w:tc>
        <w:tc>
          <w:tcPr>
            <w:tcW w:w="1240" w:type="dxa"/>
            <w:tcMar>
              <w:top w:w="0" w:type="dxa"/>
              <w:left w:w="108" w:type="dxa"/>
              <w:bottom w:w="0" w:type="dxa"/>
              <w:right w:w="108" w:type="dxa"/>
            </w:tcMar>
            <w:hideMark/>
          </w:tcPr>
          <w:p w14:paraId="5740A58C" w14:textId="77777777" w:rsidR="00F23BC4" w:rsidRPr="00733A59" w:rsidRDefault="00F23BC4">
            <w:pPr>
              <w:rPr>
                <w:rFonts w:eastAsiaTheme="minorHAnsi"/>
                <w:b/>
                <w:bCs/>
                <w:sz w:val="22"/>
                <w:szCs w:val="22"/>
              </w:rPr>
            </w:pPr>
            <w:r w:rsidRPr="00733A59">
              <w:rPr>
                <w:b/>
                <w:bCs/>
                <w:sz w:val="22"/>
                <w:szCs w:val="22"/>
              </w:rPr>
              <w:t>Hourly Wage Rate*</w:t>
            </w:r>
          </w:p>
        </w:tc>
        <w:tc>
          <w:tcPr>
            <w:tcW w:w="1382" w:type="dxa"/>
            <w:tcMar>
              <w:top w:w="0" w:type="dxa"/>
              <w:left w:w="108" w:type="dxa"/>
              <w:bottom w:w="0" w:type="dxa"/>
              <w:right w:w="108" w:type="dxa"/>
            </w:tcMar>
            <w:hideMark/>
          </w:tcPr>
          <w:p w14:paraId="661BD5E2" w14:textId="77777777" w:rsidR="00F23BC4" w:rsidRPr="00733A59" w:rsidRDefault="00F23BC4">
            <w:pPr>
              <w:rPr>
                <w:rFonts w:eastAsiaTheme="minorHAnsi"/>
                <w:b/>
                <w:bCs/>
                <w:sz w:val="22"/>
                <w:szCs w:val="22"/>
              </w:rPr>
            </w:pPr>
            <w:r w:rsidRPr="00733A59">
              <w:rPr>
                <w:b/>
                <w:bCs/>
                <w:sz w:val="22"/>
                <w:szCs w:val="22"/>
              </w:rPr>
              <w:t xml:space="preserve">Respondent Cost </w:t>
            </w:r>
          </w:p>
        </w:tc>
      </w:tr>
      <w:tr w:rsidR="00F23BC4" w14:paraId="0AEE0655" w14:textId="77777777" w:rsidTr="00F23BC4">
        <w:trPr>
          <w:trHeight w:val="260"/>
          <w:jc w:val="center"/>
        </w:trPr>
        <w:tc>
          <w:tcPr>
            <w:tcW w:w="1557" w:type="dxa"/>
            <w:tcMar>
              <w:top w:w="0" w:type="dxa"/>
              <w:left w:w="108" w:type="dxa"/>
              <w:bottom w:w="0" w:type="dxa"/>
              <w:right w:w="108" w:type="dxa"/>
            </w:tcMar>
            <w:hideMark/>
          </w:tcPr>
          <w:p w14:paraId="0D8E45CE" w14:textId="77777777" w:rsidR="00F23BC4" w:rsidRPr="00EA6238" w:rsidRDefault="00F23BC4">
            <w:r w:rsidRPr="00EA6238">
              <w:t>University Level Professors</w:t>
            </w:r>
          </w:p>
        </w:tc>
        <w:tc>
          <w:tcPr>
            <w:tcW w:w="1710" w:type="dxa"/>
          </w:tcPr>
          <w:p w14:paraId="26189BE5" w14:textId="18545AE3" w:rsidR="00F23BC4" w:rsidRPr="00EA6238" w:rsidRDefault="00B45D77">
            <w:r>
              <w:t>7</w:t>
            </w:r>
            <w:r w:rsidRPr="00EA6238">
              <w:t>00</w:t>
            </w:r>
          </w:p>
        </w:tc>
        <w:tc>
          <w:tcPr>
            <w:tcW w:w="1240" w:type="dxa"/>
            <w:tcMar>
              <w:top w:w="0" w:type="dxa"/>
              <w:left w:w="108" w:type="dxa"/>
              <w:bottom w:w="0" w:type="dxa"/>
              <w:right w:w="108" w:type="dxa"/>
            </w:tcMar>
            <w:hideMark/>
          </w:tcPr>
          <w:p w14:paraId="68ABE816" w14:textId="3A3999BB" w:rsidR="00F23BC4" w:rsidRPr="00EA6238" w:rsidRDefault="002E42A5">
            <w:r>
              <w:t>46.51</w:t>
            </w:r>
          </w:p>
        </w:tc>
        <w:tc>
          <w:tcPr>
            <w:tcW w:w="1382" w:type="dxa"/>
            <w:tcMar>
              <w:top w:w="0" w:type="dxa"/>
              <w:left w:w="108" w:type="dxa"/>
              <w:bottom w:w="0" w:type="dxa"/>
              <w:right w:w="108" w:type="dxa"/>
            </w:tcMar>
            <w:hideMark/>
          </w:tcPr>
          <w:p w14:paraId="25F3897B" w14:textId="70744312" w:rsidR="00F23BC4" w:rsidRPr="00EA6238" w:rsidRDefault="00F23BC4" w:rsidP="00733A59">
            <w:r w:rsidRPr="00EA6238">
              <w:t>$</w:t>
            </w:r>
            <w:r w:rsidR="00B45D77">
              <w:t>32,557.00</w:t>
            </w:r>
          </w:p>
        </w:tc>
      </w:tr>
      <w:tr w:rsidR="00F23BC4" w14:paraId="48C2CAC8" w14:textId="77777777" w:rsidTr="00F23BC4">
        <w:trPr>
          <w:trHeight w:val="289"/>
          <w:jc w:val="center"/>
        </w:trPr>
        <w:tc>
          <w:tcPr>
            <w:tcW w:w="1557" w:type="dxa"/>
            <w:tcMar>
              <w:top w:w="0" w:type="dxa"/>
              <w:left w:w="108" w:type="dxa"/>
              <w:bottom w:w="0" w:type="dxa"/>
              <w:right w:w="108" w:type="dxa"/>
            </w:tcMar>
            <w:hideMark/>
          </w:tcPr>
          <w:p w14:paraId="6875ABC4" w14:textId="77777777" w:rsidR="00F23BC4" w:rsidRPr="00EA6238" w:rsidRDefault="00F23BC4">
            <w:pPr>
              <w:rPr>
                <w:rFonts w:eastAsiaTheme="minorHAnsi"/>
                <w:bCs/>
              </w:rPr>
            </w:pPr>
            <w:r w:rsidRPr="00EA6238">
              <w:rPr>
                <w:bCs/>
              </w:rPr>
              <w:t>Totals</w:t>
            </w:r>
          </w:p>
        </w:tc>
        <w:tc>
          <w:tcPr>
            <w:tcW w:w="1710" w:type="dxa"/>
          </w:tcPr>
          <w:p w14:paraId="054B6396" w14:textId="373E0612" w:rsidR="00F23BC4" w:rsidRPr="00EA6238" w:rsidRDefault="00B45D77">
            <w:pPr>
              <w:rPr>
                <w:rFonts w:eastAsiaTheme="minorHAnsi"/>
                <w:bCs/>
              </w:rPr>
            </w:pPr>
            <w:r>
              <w:rPr>
                <w:rFonts w:eastAsiaTheme="minorHAnsi"/>
                <w:bCs/>
              </w:rPr>
              <w:t>7</w:t>
            </w:r>
            <w:r w:rsidRPr="00EA6238">
              <w:rPr>
                <w:rFonts w:eastAsiaTheme="minorHAnsi"/>
                <w:bCs/>
              </w:rPr>
              <w:t>00</w:t>
            </w:r>
          </w:p>
        </w:tc>
        <w:tc>
          <w:tcPr>
            <w:tcW w:w="1240" w:type="dxa"/>
            <w:tcMar>
              <w:top w:w="0" w:type="dxa"/>
              <w:left w:w="108" w:type="dxa"/>
              <w:bottom w:w="0" w:type="dxa"/>
              <w:right w:w="108" w:type="dxa"/>
            </w:tcMar>
          </w:tcPr>
          <w:p w14:paraId="5E67CB0A" w14:textId="77777777" w:rsidR="00F23BC4" w:rsidRPr="00EA6238" w:rsidRDefault="00F23BC4">
            <w:pPr>
              <w:rPr>
                <w:rFonts w:eastAsiaTheme="minorHAnsi"/>
              </w:rPr>
            </w:pPr>
          </w:p>
        </w:tc>
        <w:tc>
          <w:tcPr>
            <w:tcW w:w="1382" w:type="dxa"/>
            <w:tcMar>
              <w:top w:w="0" w:type="dxa"/>
              <w:left w:w="108" w:type="dxa"/>
              <w:bottom w:w="0" w:type="dxa"/>
              <w:right w:w="108" w:type="dxa"/>
            </w:tcMar>
          </w:tcPr>
          <w:p w14:paraId="4EE52B81" w14:textId="11179CA6" w:rsidR="00F23BC4" w:rsidRPr="00EA6238" w:rsidRDefault="002E42A5">
            <w:pPr>
              <w:rPr>
                <w:rFonts w:eastAsiaTheme="minorHAnsi"/>
              </w:rPr>
            </w:pPr>
            <w:r w:rsidRPr="00EA6238">
              <w:t>$3</w:t>
            </w:r>
            <w:r>
              <w:t>7</w:t>
            </w:r>
            <w:r w:rsidRPr="00EA6238">
              <w:t>,</w:t>
            </w:r>
            <w:r>
              <w:t>208</w:t>
            </w:r>
            <w:r w:rsidRPr="00EA6238">
              <w:t>.00</w:t>
            </w:r>
          </w:p>
        </w:tc>
      </w:tr>
    </w:tbl>
    <w:p w14:paraId="790765DE" w14:textId="77777777" w:rsidR="00F23BC4" w:rsidRDefault="00F23BC4" w:rsidP="007C16BD"/>
    <w:p w14:paraId="73EA291A" w14:textId="68B6F1AE" w:rsidR="00B01143" w:rsidRPr="002E42A5" w:rsidRDefault="00D41C54" w:rsidP="00D41C54">
      <w:pPr>
        <w:pStyle w:val="ListParagraph"/>
        <w:ind w:left="1350"/>
        <w:rPr>
          <w:rFonts w:ascii="Times New Roman" w:hAnsi="Times New Roman"/>
          <w:sz w:val="24"/>
          <w:szCs w:val="24"/>
        </w:rPr>
      </w:pPr>
      <w:r w:rsidRPr="00FF7C3B">
        <w:rPr>
          <w:rFonts w:ascii="Times New Roman" w:hAnsi="Times New Roman"/>
          <w:sz w:val="24"/>
          <w:szCs w:val="24"/>
        </w:rPr>
        <w:t xml:space="preserve">* </w:t>
      </w:r>
      <w:r w:rsidR="00FF7C3B" w:rsidRPr="00FF7C3B">
        <w:rPr>
          <w:rFonts w:ascii="Times New Roman" w:hAnsi="Times New Roman"/>
          <w:sz w:val="24"/>
          <w:szCs w:val="24"/>
        </w:rPr>
        <w:t xml:space="preserve">Bureau of Labor Statistics: The General Public rate was obtained </w:t>
      </w:r>
      <w:r w:rsidR="00FF7C3B" w:rsidRPr="002E42A5">
        <w:rPr>
          <w:rFonts w:ascii="Times New Roman" w:hAnsi="Times New Roman"/>
          <w:sz w:val="24"/>
          <w:szCs w:val="24"/>
        </w:rPr>
        <w:t xml:space="preserve">from the </w:t>
      </w:r>
      <w:hyperlink r:id="rId11" w:anchor="00-0000" w:history="1">
        <w:r w:rsidR="00FF7C3B" w:rsidRPr="002E42A5">
          <w:rPr>
            <w:rStyle w:val="Hyperlink"/>
            <w:rFonts w:ascii="Times New Roman" w:hAnsi="Times New Roman"/>
            <w:sz w:val="24"/>
            <w:szCs w:val="24"/>
          </w:rPr>
          <w:t>http://www.bls.gov/oes/2017/may/oes_nat.htm#00-0000</w:t>
        </w:r>
      </w:hyperlink>
      <w:r w:rsidR="002E42A5" w:rsidRPr="002E42A5">
        <w:rPr>
          <w:rStyle w:val="Hyperlink"/>
          <w:rFonts w:ascii="Times New Roman" w:hAnsi="Times New Roman"/>
          <w:sz w:val="24"/>
          <w:szCs w:val="24"/>
        </w:rPr>
        <w:t xml:space="preserve">, </w:t>
      </w:r>
      <w:r w:rsidR="002E42A5" w:rsidRPr="002E42A5">
        <w:rPr>
          <w:rFonts w:ascii="Times New Roman" w:hAnsi="Times New Roman"/>
          <w:sz w:val="24"/>
          <w:szCs w:val="24"/>
        </w:rPr>
        <w:t>using Occupation Code 25-1042, Biological Sciences Teachers, Postsecondary.</w:t>
      </w:r>
    </w:p>
    <w:p w14:paraId="0710B78D" w14:textId="77777777" w:rsidR="00F23BC4" w:rsidRDefault="00F23BC4" w:rsidP="007C16BD"/>
    <w:p w14:paraId="7937D177" w14:textId="748F0C05" w:rsidR="0093431F" w:rsidRPr="00D61E21" w:rsidRDefault="0093431F" w:rsidP="00D33E27">
      <w:pPr>
        <w:pStyle w:val="Heading2"/>
        <w:tabs>
          <w:tab w:val="clear" w:pos="1152"/>
          <w:tab w:val="left" w:pos="720"/>
        </w:tabs>
        <w:spacing w:after="0" w:line="480" w:lineRule="auto"/>
        <w:ind w:left="0" w:firstLine="0"/>
        <w:jc w:val="left"/>
        <w:rPr>
          <w:sz w:val="24"/>
          <w:szCs w:val="24"/>
        </w:rPr>
      </w:pPr>
      <w:bookmarkStart w:id="44" w:name="_Toc443881756"/>
      <w:bookmarkStart w:id="45" w:name="_Toc451592243"/>
      <w:bookmarkStart w:id="46" w:name="_Toc5610284"/>
      <w:bookmarkStart w:id="47" w:name="_Toc99178790"/>
      <w:r>
        <w:rPr>
          <w:sz w:val="24"/>
          <w:szCs w:val="24"/>
        </w:rPr>
        <w:t>A.13</w:t>
      </w:r>
      <w:r w:rsidR="00D33E27">
        <w:rPr>
          <w:sz w:val="24"/>
          <w:szCs w:val="24"/>
        </w:rPr>
        <w:t xml:space="preserve"> </w:t>
      </w:r>
      <w:r w:rsidRPr="00D61E21">
        <w:rPr>
          <w:sz w:val="24"/>
          <w:szCs w:val="24"/>
        </w:rPr>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4"/>
      <w:bookmarkEnd w:id="45"/>
      <w:bookmarkEnd w:id="46"/>
      <w:bookmarkEnd w:id="47"/>
    </w:p>
    <w:p w14:paraId="6D6BA85B" w14:textId="77777777" w:rsidR="00B01143" w:rsidRPr="003C1CE4" w:rsidRDefault="00B01143" w:rsidP="00B01143">
      <w:pPr>
        <w:keepNext/>
        <w:keepLines/>
        <w:tabs>
          <w:tab w:val="left" w:pos="-1440"/>
        </w:tabs>
        <w:spacing w:before="100" w:beforeAutospacing="1" w:after="100" w:afterAutospacing="1" w:line="480" w:lineRule="auto"/>
        <w:outlineLvl w:val="0"/>
      </w:pPr>
      <w:bookmarkStart w:id="48" w:name="_Toc443881757"/>
      <w:bookmarkStart w:id="49" w:name="_Toc451592244"/>
      <w:bookmarkStart w:id="50" w:name="_Toc5610285"/>
      <w:bookmarkStart w:id="51" w:name="_Toc99178791"/>
      <w:r w:rsidRPr="003C1CE4">
        <w:t>The data collection entails no additional costs to respondents or recordkeepers.</w:t>
      </w:r>
    </w:p>
    <w:p w14:paraId="56269B13" w14:textId="77777777" w:rsidR="00E36A07" w:rsidRPr="00E36A07" w:rsidRDefault="00E36A07" w:rsidP="00E36A07">
      <w:pPr>
        <w:rPr>
          <w:color w:val="FF0000"/>
        </w:rPr>
      </w:pPr>
    </w:p>
    <w:p w14:paraId="22181706" w14:textId="77777777" w:rsidR="00E36A07" w:rsidRPr="001553FA" w:rsidRDefault="00E36A07" w:rsidP="00E36A07">
      <w:pPr>
        <w:pStyle w:val="Heading2"/>
        <w:tabs>
          <w:tab w:val="clear" w:pos="1152"/>
          <w:tab w:val="left" w:pos="720"/>
        </w:tabs>
        <w:spacing w:after="0" w:line="480" w:lineRule="auto"/>
        <w:ind w:left="0" w:firstLine="0"/>
        <w:rPr>
          <w:sz w:val="24"/>
          <w:szCs w:val="24"/>
        </w:rPr>
      </w:pPr>
      <w:r w:rsidRPr="001553FA">
        <w:rPr>
          <w:sz w:val="24"/>
          <w:szCs w:val="24"/>
        </w:rPr>
        <w:t>A.14</w:t>
      </w:r>
      <w:r w:rsidRPr="001553FA">
        <w:rPr>
          <w:sz w:val="24"/>
          <w:szCs w:val="24"/>
        </w:rPr>
        <w:tab/>
        <w:t>Annualized Cost to the Federal Government</w:t>
      </w:r>
      <w:bookmarkEnd w:id="48"/>
      <w:bookmarkEnd w:id="49"/>
      <w:bookmarkEnd w:id="50"/>
      <w:bookmarkEnd w:id="51"/>
    </w:p>
    <w:p w14:paraId="113802F8" w14:textId="7C70EDFF" w:rsidR="00B01143" w:rsidRPr="001553FA" w:rsidRDefault="004F455F" w:rsidP="00B01143">
      <w:pPr>
        <w:tabs>
          <w:tab w:val="left" w:pos="-1440"/>
        </w:tabs>
        <w:spacing w:before="100" w:beforeAutospacing="1" w:after="100" w:afterAutospacing="1" w:line="480" w:lineRule="auto"/>
      </w:pPr>
      <w:r w:rsidRPr="004F455F">
        <w:rPr>
          <w:color w:val="000000"/>
        </w:rPr>
        <w:t>The annualized cost to the Fed Gov</w:t>
      </w:r>
      <w:r>
        <w:rPr>
          <w:color w:val="000000"/>
        </w:rPr>
        <w:t>ernment</w:t>
      </w:r>
      <w:r w:rsidRPr="004F455F">
        <w:rPr>
          <w:color w:val="000000"/>
        </w:rPr>
        <w:t xml:space="preserve"> is approximately $</w:t>
      </w:r>
      <w:r w:rsidR="00302D1A">
        <w:rPr>
          <w:color w:val="000000"/>
        </w:rPr>
        <w:t>20</w:t>
      </w:r>
      <w:r w:rsidR="009A2854">
        <w:rPr>
          <w:color w:val="000000"/>
        </w:rPr>
        <w:t>,</w:t>
      </w:r>
      <w:r w:rsidR="00302D1A">
        <w:rPr>
          <w:color w:val="000000"/>
        </w:rPr>
        <w:t>638.10</w:t>
      </w:r>
      <w:r w:rsidRPr="004F455F">
        <w:rPr>
          <w:color w:val="000000"/>
        </w:rPr>
        <w:t xml:space="preserve"> per data collection activity. </w:t>
      </w:r>
      <w:r w:rsidR="00B01143" w:rsidRPr="004F455F">
        <w:t>(see</w:t>
      </w:r>
      <w:r w:rsidR="00B01143" w:rsidRPr="001553FA">
        <w:t xml:space="preserve"> Estimated Timeline – Table A16-1). </w:t>
      </w:r>
      <w:r w:rsidR="001553FA">
        <w:t xml:space="preserve">This cost includes the salary and benefits of a project officer, and a project analyst for </w:t>
      </w:r>
      <w:r w:rsidR="00397D89">
        <w:t>3</w:t>
      </w:r>
      <w:r w:rsidR="001553FA">
        <w:t xml:space="preserve"> months.</w:t>
      </w:r>
      <w:r w:rsidR="00B01143" w:rsidRPr="001553FA">
        <w:t xml:space="preserve"> The costs </w:t>
      </w:r>
      <w:r w:rsidR="002052D1">
        <w:t xml:space="preserve">for each participating </w:t>
      </w:r>
      <w:r w:rsidR="002052D1" w:rsidRPr="008F4BC1">
        <w:t xml:space="preserve">institute (NICHD, NIDCD, NIMH, NINDS, NIEHS, </w:t>
      </w:r>
      <w:r w:rsidR="00764992" w:rsidRPr="008F4BC1">
        <w:t>NCI</w:t>
      </w:r>
      <w:r w:rsidR="00764992">
        <w:t xml:space="preserve">, </w:t>
      </w:r>
      <w:r w:rsidR="00764992" w:rsidRPr="00764992">
        <w:rPr>
          <w:highlight w:val="yellow"/>
        </w:rPr>
        <w:t>and EPA</w:t>
      </w:r>
      <w:r w:rsidR="002052D1" w:rsidRPr="008F4BC1">
        <w:t xml:space="preserve">) </w:t>
      </w:r>
      <w:r w:rsidR="00B41188" w:rsidRPr="008F4BC1">
        <w:t>are</w:t>
      </w:r>
      <w:r w:rsidR="00B41188">
        <w:t xml:space="preserve"> estimated in Table 1.14 below</w:t>
      </w:r>
      <w:r w:rsidR="00B01143" w:rsidRPr="001553FA">
        <w:t xml:space="preserve">. </w:t>
      </w:r>
    </w:p>
    <w:p w14:paraId="11546A7B" w14:textId="77777777" w:rsidR="00C23A2E" w:rsidRDefault="00C23A2E" w:rsidP="00397D89">
      <w:pPr>
        <w:pStyle w:val="E-mailSignature"/>
        <w:widowControl w:val="0"/>
        <w:adjustRightInd w:val="0"/>
        <w:snapToGrid w:val="0"/>
        <w:rPr>
          <w:b/>
        </w:rPr>
      </w:pPr>
      <w:bookmarkStart w:id="52" w:name="_Toc359938803"/>
    </w:p>
    <w:p w14:paraId="2CD6AA01" w14:textId="402CB440" w:rsidR="00397D89" w:rsidRDefault="00397D89" w:rsidP="00397D89">
      <w:pPr>
        <w:pStyle w:val="E-mailSignature"/>
        <w:widowControl w:val="0"/>
        <w:adjustRightInd w:val="0"/>
        <w:snapToGrid w:val="0"/>
        <w:rPr>
          <w:b/>
        </w:rPr>
      </w:pPr>
      <w:r>
        <w:rPr>
          <w:b/>
        </w:rPr>
        <w:t>A.14.</w:t>
      </w:r>
      <w:r>
        <w:rPr>
          <w:b/>
        </w:rPr>
        <w:tab/>
        <w:t>Annualized Cost to the Federal Government</w:t>
      </w:r>
      <w:bookmarkEnd w:id="52"/>
    </w:p>
    <w:p w14:paraId="4244ADE6" w14:textId="77777777" w:rsidR="00397D89" w:rsidRDefault="00397D89" w:rsidP="00397D89">
      <w:pPr>
        <w:widowControl w:val="0"/>
        <w:adjustRightInd w:val="0"/>
        <w:snapToGrid w:val="0"/>
        <w:jc w:val="both"/>
      </w:pPr>
    </w:p>
    <w:tbl>
      <w:tblPr>
        <w:tblW w:w="9725" w:type="dxa"/>
        <w:tblInd w:w="-465" w:type="dxa"/>
        <w:tblCellMar>
          <w:left w:w="0" w:type="dxa"/>
          <w:right w:w="0" w:type="dxa"/>
        </w:tblCellMar>
        <w:tblLook w:val="04A0" w:firstRow="1" w:lastRow="0" w:firstColumn="1" w:lastColumn="0" w:noHBand="0" w:noVBand="1"/>
      </w:tblPr>
      <w:tblGrid>
        <w:gridCol w:w="4325"/>
        <w:gridCol w:w="740"/>
        <w:gridCol w:w="1350"/>
        <w:gridCol w:w="843"/>
        <w:gridCol w:w="1154"/>
        <w:gridCol w:w="1313"/>
      </w:tblGrid>
      <w:tr w:rsidR="00EA6238" w14:paraId="24E183EB" w14:textId="77777777" w:rsidTr="00EA6238">
        <w:trPr>
          <w:trHeight w:val="574"/>
        </w:trPr>
        <w:tc>
          <w:tcPr>
            <w:tcW w:w="43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D0199C" w14:textId="77777777" w:rsidR="00397D89" w:rsidRPr="00EA6238" w:rsidRDefault="00397D89">
            <w:pPr>
              <w:spacing w:line="276" w:lineRule="auto"/>
              <w:jc w:val="center"/>
              <w:rPr>
                <w:rFonts w:eastAsia="Calibri"/>
                <w:b/>
                <w:bCs/>
                <w:color w:val="000000"/>
              </w:rPr>
            </w:pPr>
            <w:bookmarkStart w:id="53" w:name="_Hlk517262302"/>
            <w:r w:rsidRPr="00EA6238">
              <w:rPr>
                <w:i/>
              </w:rPr>
              <w:t xml:space="preserve"> </w:t>
            </w:r>
            <w:r w:rsidRPr="00EA6238">
              <w:rPr>
                <w:b/>
                <w:bCs/>
                <w:color w:val="000000"/>
              </w:rPr>
              <w:t>Staff</w:t>
            </w:r>
          </w:p>
        </w:tc>
        <w:tc>
          <w:tcPr>
            <w:tcW w:w="740" w:type="dxa"/>
            <w:tcBorders>
              <w:top w:val="single" w:sz="8" w:space="0" w:color="auto"/>
              <w:left w:val="nil"/>
              <w:bottom w:val="single" w:sz="8" w:space="0" w:color="auto"/>
              <w:right w:val="single" w:sz="8" w:space="0" w:color="auto"/>
            </w:tcBorders>
            <w:vAlign w:val="bottom"/>
          </w:tcPr>
          <w:p w14:paraId="4D735355" w14:textId="77777777" w:rsidR="00397D89" w:rsidRPr="00EA6238" w:rsidRDefault="00397D89">
            <w:pPr>
              <w:spacing w:line="276" w:lineRule="auto"/>
              <w:jc w:val="center"/>
              <w:rPr>
                <w:rFonts w:eastAsia="Calibri"/>
                <w:b/>
                <w:bCs/>
                <w:color w:val="1F497D"/>
              </w:rPr>
            </w:pPr>
          </w:p>
          <w:p w14:paraId="46D25F8D" w14:textId="77777777" w:rsidR="00EA6238" w:rsidRPr="00EA6238" w:rsidRDefault="00397D89">
            <w:pPr>
              <w:spacing w:line="276" w:lineRule="auto"/>
              <w:jc w:val="center"/>
              <w:rPr>
                <w:b/>
                <w:bCs/>
                <w:color w:val="000000"/>
              </w:rPr>
            </w:pPr>
            <w:r w:rsidRPr="00EA6238">
              <w:rPr>
                <w:b/>
                <w:bCs/>
                <w:color w:val="000000"/>
              </w:rPr>
              <w:t>Grade/</w:t>
            </w:r>
          </w:p>
          <w:p w14:paraId="5C50BFAA" w14:textId="73956F0E" w:rsidR="00397D89" w:rsidRPr="00EA6238" w:rsidRDefault="00397D89">
            <w:pPr>
              <w:spacing w:line="276" w:lineRule="auto"/>
              <w:jc w:val="center"/>
              <w:rPr>
                <w:rFonts w:eastAsia="Calibri"/>
                <w:b/>
                <w:bCs/>
                <w:color w:val="000000"/>
              </w:rPr>
            </w:pPr>
            <w:r w:rsidRPr="00EA6238">
              <w:rPr>
                <w:b/>
                <w:bCs/>
                <w:color w:val="000000"/>
              </w:rPr>
              <w:t>Step</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0D5CA28" w14:textId="77777777" w:rsidR="00397D89" w:rsidRPr="00EA6238" w:rsidRDefault="00397D89">
            <w:pPr>
              <w:spacing w:line="276" w:lineRule="auto"/>
              <w:jc w:val="center"/>
              <w:rPr>
                <w:rFonts w:eastAsia="Calibri"/>
                <w:b/>
                <w:bCs/>
              </w:rPr>
            </w:pPr>
            <w:r w:rsidRPr="00EA6238">
              <w:rPr>
                <w:b/>
                <w:bCs/>
              </w:rPr>
              <w:t>Salary</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4B91B80" w14:textId="77777777" w:rsidR="00397D89" w:rsidRPr="00EA6238" w:rsidRDefault="00397D89">
            <w:pPr>
              <w:spacing w:line="276" w:lineRule="auto"/>
              <w:jc w:val="center"/>
              <w:rPr>
                <w:rFonts w:eastAsia="Calibri"/>
                <w:b/>
                <w:bCs/>
              </w:rPr>
            </w:pPr>
            <w:r w:rsidRPr="00EA6238">
              <w:rPr>
                <w:b/>
                <w:bCs/>
              </w:rPr>
              <w:t>% of Effort</w:t>
            </w:r>
          </w:p>
        </w:tc>
        <w:tc>
          <w:tcPr>
            <w:tcW w:w="1154" w:type="dxa"/>
            <w:tcBorders>
              <w:top w:val="single" w:sz="8" w:space="0" w:color="auto"/>
              <w:left w:val="nil"/>
              <w:bottom w:val="single" w:sz="8" w:space="0" w:color="auto"/>
              <w:right w:val="single" w:sz="8" w:space="0" w:color="auto"/>
            </w:tcBorders>
            <w:hideMark/>
          </w:tcPr>
          <w:p w14:paraId="0C60D578" w14:textId="77777777" w:rsidR="00397D89" w:rsidRPr="00EA6238" w:rsidRDefault="00397D89">
            <w:pPr>
              <w:spacing w:line="276" w:lineRule="auto"/>
              <w:jc w:val="center"/>
              <w:rPr>
                <w:b/>
                <w:bCs/>
              </w:rPr>
            </w:pPr>
            <w:r w:rsidRPr="00EA6238">
              <w:rPr>
                <w:b/>
                <w:bCs/>
              </w:rPr>
              <w:t>Fringe (if applicable)</w:t>
            </w:r>
          </w:p>
        </w:tc>
        <w:tc>
          <w:tcPr>
            <w:tcW w:w="1313" w:type="dxa"/>
            <w:tcBorders>
              <w:top w:val="single" w:sz="8" w:space="0" w:color="auto"/>
              <w:left w:val="nil"/>
              <w:bottom w:val="single" w:sz="8" w:space="0" w:color="auto"/>
              <w:right w:val="single" w:sz="8" w:space="0" w:color="auto"/>
            </w:tcBorders>
            <w:hideMark/>
          </w:tcPr>
          <w:p w14:paraId="79EA1982" w14:textId="77777777" w:rsidR="00397D89" w:rsidRPr="00EA6238" w:rsidRDefault="00397D89">
            <w:pPr>
              <w:spacing w:line="276" w:lineRule="auto"/>
              <w:jc w:val="center"/>
              <w:rPr>
                <w:b/>
                <w:bCs/>
              </w:rPr>
            </w:pPr>
            <w:r w:rsidRPr="00EA6238">
              <w:rPr>
                <w:b/>
                <w:bCs/>
              </w:rPr>
              <w:t>Total Cost to Gov’t</w:t>
            </w:r>
          </w:p>
        </w:tc>
      </w:tr>
      <w:tr w:rsidR="00EA6238" w14:paraId="670AD902"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8E933A" w14:textId="77777777" w:rsidR="00397D89" w:rsidRPr="00EA6238" w:rsidRDefault="00397D89">
            <w:pPr>
              <w:spacing w:line="276" w:lineRule="auto"/>
              <w:rPr>
                <w:rFonts w:eastAsia="Calibri"/>
                <w:b/>
                <w:color w:val="000000"/>
                <w:highlight w:val="yellow"/>
              </w:rPr>
            </w:pPr>
            <w:r w:rsidRPr="00EA6238">
              <w:rPr>
                <w:rFonts w:eastAsia="Calibri"/>
                <w:b/>
                <w:color w:val="000000"/>
              </w:rPr>
              <w:t>Federal Oversight</w:t>
            </w:r>
          </w:p>
        </w:tc>
        <w:tc>
          <w:tcPr>
            <w:tcW w:w="740" w:type="dxa"/>
            <w:tcBorders>
              <w:top w:val="nil"/>
              <w:left w:val="nil"/>
              <w:bottom w:val="single" w:sz="8" w:space="0" w:color="auto"/>
              <w:right w:val="single" w:sz="8" w:space="0" w:color="auto"/>
            </w:tcBorders>
            <w:shd w:val="clear" w:color="auto" w:fill="auto"/>
          </w:tcPr>
          <w:p w14:paraId="4AB31580" w14:textId="77777777" w:rsidR="00397D89" w:rsidRPr="00EA6238" w:rsidRDefault="00397D89">
            <w:pPr>
              <w:spacing w:line="276" w:lineRule="auto"/>
              <w:jc w:val="right"/>
              <w:rPr>
                <w:rFonts w:eastAsia="Calibri"/>
                <w:color w:val="000000"/>
                <w:highlight w:val="yellow"/>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34CAC09" w14:textId="77777777" w:rsidR="00397D89" w:rsidRPr="00EA6238" w:rsidRDefault="00397D89">
            <w:pPr>
              <w:spacing w:line="276" w:lineRule="auto"/>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F70BB9F" w14:textId="77777777" w:rsidR="00397D89" w:rsidRPr="00EA6238" w:rsidRDefault="00397D89">
            <w:pPr>
              <w:spacing w:line="276" w:lineRule="auto"/>
            </w:pPr>
          </w:p>
        </w:tc>
        <w:tc>
          <w:tcPr>
            <w:tcW w:w="1154" w:type="dxa"/>
            <w:tcBorders>
              <w:top w:val="nil"/>
              <w:left w:val="nil"/>
              <w:bottom w:val="single" w:sz="8" w:space="0" w:color="auto"/>
              <w:right w:val="single" w:sz="8" w:space="0" w:color="auto"/>
            </w:tcBorders>
            <w:shd w:val="clear" w:color="auto" w:fill="auto"/>
          </w:tcPr>
          <w:p w14:paraId="62DAA13F" w14:textId="77777777" w:rsidR="00397D89" w:rsidRPr="00EA6238" w:rsidRDefault="00397D89">
            <w:pPr>
              <w:spacing w:line="276" w:lineRule="auto"/>
            </w:pPr>
          </w:p>
        </w:tc>
        <w:tc>
          <w:tcPr>
            <w:tcW w:w="1313" w:type="dxa"/>
            <w:tcBorders>
              <w:top w:val="nil"/>
              <w:left w:val="nil"/>
              <w:bottom w:val="single" w:sz="8" w:space="0" w:color="auto"/>
              <w:right w:val="single" w:sz="8" w:space="0" w:color="auto"/>
            </w:tcBorders>
          </w:tcPr>
          <w:p w14:paraId="7868C999" w14:textId="77777777" w:rsidR="00397D89" w:rsidRPr="00EA6238" w:rsidRDefault="00397D89">
            <w:pPr>
              <w:spacing w:line="276" w:lineRule="auto"/>
            </w:pPr>
          </w:p>
        </w:tc>
      </w:tr>
      <w:tr w:rsidR="00EA6238" w14:paraId="2CC3EEA3"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DCACD9" w14:textId="691D3BFB" w:rsidR="00EA6238" w:rsidRPr="00EA6238" w:rsidRDefault="00EA6238" w:rsidP="00EA6238">
            <w:pPr>
              <w:spacing w:line="276" w:lineRule="auto"/>
              <w:rPr>
                <w:rFonts w:eastAsia="Calibri"/>
                <w:b/>
                <w:color w:val="000000"/>
              </w:rPr>
            </w:pPr>
            <w:r w:rsidRPr="00EA6238">
              <w:rPr>
                <w:rFonts w:eastAsia="Calibri"/>
                <w:b/>
              </w:rPr>
              <w:t xml:space="preserve">NCI Program Analyst </w:t>
            </w:r>
          </w:p>
        </w:tc>
        <w:tc>
          <w:tcPr>
            <w:tcW w:w="740" w:type="dxa"/>
            <w:tcBorders>
              <w:top w:val="nil"/>
              <w:left w:val="nil"/>
              <w:bottom w:val="single" w:sz="8" w:space="0" w:color="auto"/>
              <w:right w:val="single" w:sz="8" w:space="0" w:color="auto"/>
            </w:tcBorders>
            <w:shd w:val="clear" w:color="auto" w:fill="auto"/>
          </w:tcPr>
          <w:p w14:paraId="21E00981" w14:textId="11ED0BF0" w:rsidR="00EA6238" w:rsidRPr="00EA6238" w:rsidRDefault="00EA6238" w:rsidP="00EA6238">
            <w:pPr>
              <w:spacing w:line="276" w:lineRule="auto"/>
              <w:rPr>
                <w:rFonts w:eastAsia="Calibri"/>
                <w:color w:val="000000"/>
                <w:highlight w:val="yellow"/>
              </w:rPr>
            </w:pPr>
            <w:r w:rsidRPr="00EA6238">
              <w:rPr>
                <w:rFonts w:eastAsia="Calibri"/>
              </w:rPr>
              <w:t>13/5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AD95954" w14:textId="4DEFB80D" w:rsidR="00EA6238" w:rsidRPr="00EA6238" w:rsidRDefault="00EA6238" w:rsidP="00EA6238">
            <w:pPr>
              <w:spacing w:line="276" w:lineRule="auto"/>
            </w:pPr>
            <w:r w:rsidRPr="00EA6238">
              <w:t>$109,900</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F44BF95" w14:textId="2192FB4E" w:rsidR="00EA6238" w:rsidRPr="00EA6238" w:rsidRDefault="00EA6238" w:rsidP="00EA6238">
            <w:pPr>
              <w:spacing w:line="276" w:lineRule="auto"/>
            </w:pPr>
            <w:r w:rsidRPr="00EA6238">
              <w:rPr>
                <w:rFonts w:eastAsia="Calibri"/>
              </w:rPr>
              <w:t>2%</w:t>
            </w:r>
          </w:p>
        </w:tc>
        <w:tc>
          <w:tcPr>
            <w:tcW w:w="1154" w:type="dxa"/>
            <w:tcBorders>
              <w:top w:val="nil"/>
              <w:left w:val="nil"/>
              <w:bottom w:val="single" w:sz="8" w:space="0" w:color="auto"/>
              <w:right w:val="single" w:sz="8" w:space="0" w:color="auto"/>
            </w:tcBorders>
            <w:shd w:val="clear" w:color="auto" w:fill="auto"/>
          </w:tcPr>
          <w:p w14:paraId="3B76AFB0" w14:textId="77777777"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533ED6D1" w14:textId="1EBFA120" w:rsidR="00EA6238" w:rsidRPr="00EA6238" w:rsidRDefault="00EA6238" w:rsidP="00EA6238">
            <w:pPr>
              <w:spacing w:line="276" w:lineRule="auto"/>
              <w:jc w:val="right"/>
            </w:pPr>
            <w:r w:rsidRPr="00EA6238">
              <w:rPr>
                <w:color w:val="000000"/>
              </w:rPr>
              <w:t xml:space="preserve">$2,199.98 </w:t>
            </w:r>
          </w:p>
        </w:tc>
      </w:tr>
      <w:tr w:rsidR="00EA6238" w14:paraId="50DEF127"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884102" w14:textId="30F3ECF9" w:rsidR="00EA6238" w:rsidRPr="00EA6238" w:rsidRDefault="00EA6238" w:rsidP="00EA6238">
            <w:pPr>
              <w:spacing w:line="276" w:lineRule="auto"/>
              <w:rPr>
                <w:rFonts w:eastAsia="Calibri"/>
                <w:b/>
                <w:color w:val="000000"/>
              </w:rPr>
            </w:pPr>
            <w:r w:rsidRPr="00EA6238">
              <w:rPr>
                <w:rFonts w:eastAsia="Calibri"/>
                <w:b/>
              </w:rPr>
              <w:t>NICHD Program Analyst</w:t>
            </w:r>
          </w:p>
        </w:tc>
        <w:tc>
          <w:tcPr>
            <w:tcW w:w="740" w:type="dxa"/>
            <w:tcBorders>
              <w:top w:val="nil"/>
              <w:left w:val="nil"/>
              <w:bottom w:val="single" w:sz="8" w:space="0" w:color="auto"/>
              <w:right w:val="single" w:sz="8" w:space="0" w:color="auto"/>
            </w:tcBorders>
            <w:shd w:val="clear" w:color="auto" w:fill="auto"/>
          </w:tcPr>
          <w:p w14:paraId="6532E069" w14:textId="18D6D1FE" w:rsidR="00EA6238" w:rsidRPr="00EA6238" w:rsidRDefault="00EA6238" w:rsidP="00EA6238">
            <w:pPr>
              <w:spacing w:line="276" w:lineRule="auto"/>
              <w:rPr>
                <w:rFonts w:eastAsia="Calibri"/>
                <w:color w:val="000000"/>
                <w:highlight w:val="yellow"/>
              </w:rPr>
            </w:pPr>
            <w:r w:rsidRPr="00EA6238">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BD8118E" w14:textId="0442C655" w:rsidR="00EA6238" w:rsidRPr="00EA6238" w:rsidRDefault="00EA6238" w:rsidP="00EA6238">
            <w:pPr>
              <w:spacing w:line="276" w:lineRule="auto"/>
            </w:pPr>
            <w:r w:rsidRPr="00EA6238">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B2666A0" w14:textId="38950E89" w:rsidR="00EA6238" w:rsidRPr="00EA6238" w:rsidRDefault="00EA6238" w:rsidP="00EA6238">
            <w:pPr>
              <w:spacing w:line="276" w:lineRule="auto"/>
            </w:pPr>
            <w:r w:rsidRPr="00EA6238">
              <w:rPr>
                <w:rFonts w:eastAsia="Calibri"/>
              </w:rPr>
              <w:t>2%</w:t>
            </w:r>
          </w:p>
        </w:tc>
        <w:tc>
          <w:tcPr>
            <w:tcW w:w="1154" w:type="dxa"/>
            <w:tcBorders>
              <w:top w:val="nil"/>
              <w:left w:val="nil"/>
              <w:bottom w:val="single" w:sz="8" w:space="0" w:color="auto"/>
              <w:right w:val="single" w:sz="8" w:space="0" w:color="auto"/>
            </w:tcBorders>
            <w:shd w:val="clear" w:color="auto" w:fill="auto"/>
          </w:tcPr>
          <w:p w14:paraId="6B3BF3A5" w14:textId="18CB796A"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75FEF3E1" w14:textId="495B634E" w:rsidR="00EA6238" w:rsidRPr="00EA6238" w:rsidRDefault="00EA6238" w:rsidP="00EA6238">
            <w:pPr>
              <w:spacing w:line="276" w:lineRule="auto"/>
              <w:jc w:val="right"/>
            </w:pPr>
            <w:r w:rsidRPr="00EA6238">
              <w:rPr>
                <w:color w:val="000000"/>
              </w:rPr>
              <w:t xml:space="preserve">$2,058.64 </w:t>
            </w:r>
          </w:p>
        </w:tc>
      </w:tr>
      <w:tr w:rsidR="00EA6238" w14:paraId="284BB1A0"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9D5C7B6" w14:textId="55A00A74" w:rsidR="00EA6238" w:rsidRPr="00EA6238" w:rsidRDefault="00EA6238" w:rsidP="00EA6238">
            <w:pPr>
              <w:spacing w:line="276" w:lineRule="auto"/>
              <w:rPr>
                <w:rFonts w:eastAsia="Calibri"/>
                <w:b/>
                <w:color w:val="000000"/>
              </w:rPr>
            </w:pPr>
            <w:r w:rsidRPr="00EA6238">
              <w:rPr>
                <w:rFonts w:eastAsia="Calibri"/>
                <w:b/>
              </w:rPr>
              <w:t>NIDCD Science Policy Analyst</w:t>
            </w:r>
          </w:p>
        </w:tc>
        <w:tc>
          <w:tcPr>
            <w:tcW w:w="740" w:type="dxa"/>
            <w:tcBorders>
              <w:top w:val="nil"/>
              <w:left w:val="nil"/>
              <w:bottom w:val="single" w:sz="8" w:space="0" w:color="auto"/>
              <w:right w:val="single" w:sz="8" w:space="0" w:color="auto"/>
            </w:tcBorders>
            <w:shd w:val="clear" w:color="auto" w:fill="auto"/>
          </w:tcPr>
          <w:p w14:paraId="295B6650" w14:textId="77BDE984" w:rsidR="00EA6238" w:rsidRPr="00EA6238" w:rsidRDefault="00EA6238" w:rsidP="00EA6238">
            <w:pPr>
              <w:spacing w:line="276" w:lineRule="auto"/>
              <w:rPr>
                <w:rFonts w:eastAsia="Calibri"/>
                <w:color w:val="000000"/>
                <w:highlight w:val="yellow"/>
              </w:rPr>
            </w:pPr>
            <w:r w:rsidRPr="00EA6238">
              <w:rPr>
                <w:rFonts w:eastAsia="Calibri"/>
              </w:rPr>
              <w:t>14/10</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270D2B2" w14:textId="4BB463F0" w:rsidR="00EA6238" w:rsidRPr="00EA6238" w:rsidRDefault="00EA6238" w:rsidP="00EA6238">
            <w:pPr>
              <w:spacing w:line="276" w:lineRule="auto"/>
            </w:pPr>
            <w:r w:rsidRPr="00EA6238">
              <w:t>$ 148,967</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D4FC304" w14:textId="51FD7064" w:rsidR="00EA6238" w:rsidRPr="00EA6238" w:rsidRDefault="00EA6238" w:rsidP="00EA6238">
            <w:pPr>
              <w:spacing w:line="276" w:lineRule="auto"/>
            </w:pPr>
            <w:r w:rsidRPr="00EA6238">
              <w:rPr>
                <w:rFonts w:eastAsia="Calibri"/>
              </w:rPr>
              <w:t>2%</w:t>
            </w:r>
          </w:p>
        </w:tc>
        <w:tc>
          <w:tcPr>
            <w:tcW w:w="1154" w:type="dxa"/>
            <w:tcBorders>
              <w:top w:val="nil"/>
              <w:left w:val="nil"/>
              <w:bottom w:val="single" w:sz="8" w:space="0" w:color="auto"/>
              <w:right w:val="single" w:sz="8" w:space="0" w:color="auto"/>
            </w:tcBorders>
            <w:shd w:val="clear" w:color="auto" w:fill="auto"/>
          </w:tcPr>
          <w:p w14:paraId="67F94DD0" w14:textId="77777777"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622B0AD6" w14:textId="22338AB3" w:rsidR="00EA6238" w:rsidRPr="00EA6238" w:rsidRDefault="00EA6238" w:rsidP="00EA6238">
            <w:pPr>
              <w:spacing w:line="276" w:lineRule="auto"/>
              <w:jc w:val="right"/>
            </w:pPr>
            <w:r w:rsidRPr="00EA6238">
              <w:rPr>
                <w:color w:val="000000"/>
              </w:rPr>
              <w:t xml:space="preserve">$2,979.34 </w:t>
            </w:r>
          </w:p>
        </w:tc>
      </w:tr>
      <w:tr w:rsidR="00EA6238" w14:paraId="15D47156"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6E1EFF" w14:textId="3DB5B6F9" w:rsidR="00EA6238" w:rsidRPr="00EA6238" w:rsidRDefault="00EA6238" w:rsidP="00EA6238">
            <w:pPr>
              <w:spacing w:line="276" w:lineRule="auto"/>
              <w:rPr>
                <w:rFonts w:eastAsia="Calibri"/>
                <w:b/>
                <w:color w:val="000000"/>
              </w:rPr>
            </w:pPr>
            <w:r w:rsidRPr="00EA6238">
              <w:rPr>
                <w:rFonts w:eastAsia="Calibri"/>
                <w:b/>
              </w:rPr>
              <w:t>NIEHS Program Analyst</w:t>
            </w:r>
          </w:p>
        </w:tc>
        <w:tc>
          <w:tcPr>
            <w:tcW w:w="740" w:type="dxa"/>
            <w:tcBorders>
              <w:top w:val="nil"/>
              <w:left w:val="nil"/>
              <w:bottom w:val="single" w:sz="8" w:space="0" w:color="auto"/>
              <w:right w:val="single" w:sz="8" w:space="0" w:color="auto"/>
            </w:tcBorders>
            <w:shd w:val="clear" w:color="auto" w:fill="auto"/>
          </w:tcPr>
          <w:p w14:paraId="18A7D609" w14:textId="7F394D63" w:rsidR="00EA6238" w:rsidRPr="00EA6238" w:rsidRDefault="00EA6238" w:rsidP="00EA6238">
            <w:pPr>
              <w:spacing w:line="276" w:lineRule="auto"/>
              <w:rPr>
                <w:rFonts w:eastAsia="Calibri"/>
                <w:color w:val="000000"/>
                <w:highlight w:val="yellow"/>
              </w:rPr>
            </w:pPr>
            <w:r w:rsidRPr="00EA6238">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9CACFFD" w14:textId="545AD47C" w:rsidR="00EA6238" w:rsidRPr="00EA6238" w:rsidRDefault="00EA6238" w:rsidP="00EA6238">
            <w:pPr>
              <w:spacing w:line="276" w:lineRule="auto"/>
            </w:pPr>
            <w:r w:rsidRPr="00EA6238">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49A0A01" w14:textId="2E5CBC10" w:rsidR="00EA6238" w:rsidRPr="00EA6238" w:rsidRDefault="00EA6238" w:rsidP="00EA6238">
            <w:pPr>
              <w:spacing w:line="276" w:lineRule="auto"/>
            </w:pPr>
            <w:r w:rsidRPr="00EA6238">
              <w:rPr>
                <w:rFonts w:eastAsia="Calibri"/>
              </w:rPr>
              <w:t>2%</w:t>
            </w:r>
          </w:p>
        </w:tc>
        <w:tc>
          <w:tcPr>
            <w:tcW w:w="1154" w:type="dxa"/>
            <w:tcBorders>
              <w:top w:val="nil"/>
              <w:left w:val="nil"/>
              <w:bottom w:val="single" w:sz="8" w:space="0" w:color="auto"/>
              <w:right w:val="single" w:sz="8" w:space="0" w:color="auto"/>
            </w:tcBorders>
            <w:shd w:val="clear" w:color="auto" w:fill="auto"/>
          </w:tcPr>
          <w:p w14:paraId="547EB42F" w14:textId="6F767038"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1BD3579A" w14:textId="36A783C9" w:rsidR="00EA6238" w:rsidRPr="00EA6238" w:rsidRDefault="00EA6238" w:rsidP="00EA6238">
            <w:pPr>
              <w:spacing w:line="276" w:lineRule="auto"/>
              <w:jc w:val="right"/>
            </w:pPr>
            <w:r w:rsidRPr="00EA6238">
              <w:rPr>
                <w:color w:val="000000"/>
              </w:rPr>
              <w:t xml:space="preserve">$2,058.64 </w:t>
            </w:r>
          </w:p>
        </w:tc>
      </w:tr>
      <w:tr w:rsidR="00EA6238" w14:paraId="00B8B17A"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F21B0D" w14:textId="5E1B7213" w:rsidR="00EA6238" w:rsidRPr="00EA6238" w:rsidRDefault="00EA6238" w:rsidP="00EA6238">
            <w:pPr>
              <w:spacing w:line="276" w:lineRule="auto"/>
              <w:rPr>
                <w:rFonts w:eastAsia="Calibri"/>
                <w:b/>
              </w:rPr>
            </w:pPr>
            <w:r w:rsidRPr="00EA6238">
              <w:rPr>
                <w:rFonts w:eastAsia="Calibri"/>
                <w:b/>
              </w:rPr>
              <w:t>NIMH Info</w:t>
            </w:r>
          </w:p>
        </w:tc>
        <w:tc>
          <w:tcPr>
            <w:tcW w:w="740" w:type="dxa"/>
            <w:tcBorders>
              <w:top w:val="nil"/>
              <w:left w:val="nil"/>
              <w:bottom w:val="single" w:sz="8" w:space="0" w:color="auto"/>
              <w:right w:val="single" w:sz="8" w:space="0" w:color="auto"/>
            </w:tcBorders>
            <w:shd w:val="clear" w:color="auto" w:fill="auto"/>
          </w:tcPr>
          <w:p w14:paraId="5604829C" w14:textId="77777777" w:rsidR="00EA6238" w:rsidRPr="00EA6238" w:rsidRDefault="00EA6238" w:rsidP="00EA6238">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613800E" w14:textId="77777777" w:rsidR="00EA6238" w:rsidRPr="00EA6238" w:rsidRDefault="00EA6238" w:rsidP="00EA6238">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5244359" w14:textId="77777777" w:rsidR="00EA6238" w:rsidRPr="00EA6238" w:rsidRDefault="00EA6238" w:rsidP="00EA6238">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4B3871E4" w14:textId="77777777"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4F761962" w14:textId="77777777" w:rsidR="00EA6238" w:rsidRPr="00EA6238" w:rsidRDefault="00EA6238" w:rsidP="00EA6238">
            <w:pPr>
              <w:spacing w:line="276" w:lineRule="auto"/>
              <w:jc w:val="right"/>
            </w:pPr>
          </w:p>
        </w:tc>
      </w:tr>
      <w:tr w:rsidR="00EA6238" w14:paraId="16DE41DD"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8069C8" w14:textId="7A6D8C5D" w:rsidR="00EA6238" w:rsidRPr="00EA6238" w:rsidRDefault="00EA6238" w:rsidP="00EA6238">
            <w:pPr>
              <w:spacing w:line="276" w:lineRule="auto"/>
              <w:rPr>
                <w:rFonts w:eastAsia="Calibri"/>
                <w:b/>
              </w:rPr>
            </w:pPr>
            <w:r w:rsidRPr="00EA6238">
              <w:rPr>
                <w:rFonts w:eastAsia="Calibri"/>
                <w:b/>
              </w:rPr>
              <w:t>NINDS Program Analyst</w:t>
            </w:r>
          </w:p>
        </w:tc>
        <w:tc>
          <w:tcPr>
            <w:tcW w:w="740" w:type="dxa"/>
            <w:tcBorders>
              <w:top w:val="nil"/>
              <w:left w:val="nil"/>
              <w:bottom w:val="single" w:sz="8" w:space="0" w:color="auto"/>
              <w:right w:val="single" w:sz="8" w:space="0" w:color="auto"/>
            </w:tcBorders>
            <w:shd w:val="clear" w:color="auto" w:fill="auto"/>
          </w:tcPr>
          <w:p w14:paraId="0A670416" w14:textId="57AED069" w:rsidR="00EA6238" w:rsidRPr="00EA6238" w:rsidRDefault="00EA6238" w:rsidP="00EA6238">
            <w:pPr>
              <w:spacing w:line="276" w:lineRule="auto"/>
              <w:rPr>
                <w:rFonts w:eastAsia="Calibri"/>
              </w:rPr>
            </w:pPr>
            <w:r w:rsidRPr="00EA6238">
              <w:rPr>
                <w:rFonts w:eastAsia="Calibri"/>
              </w:rPr>
              <w:t>12/5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D147F15" w14:textId="687E2A07" w:rsidR="00EA6238" w:rsidRPr="00EA6238" w:rsidRDefault="00EA6238" w:rsidP="00EA6238">
            <w:pPr>
              <w:spacing w:line="276" w:lineRule="auto"/>
              <w:rPr>
                <w:rFonts w:eastAsia="Calibri"/>
              </w:rPr>
            </w:pPr>
            <w:r w:rsidRPr="00EA6238">
              <w:t>$102,932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65C2039" w14:textId="537784EB" w:rsidR="00EA6238" w:rsidRPr="00EA6238" w:rsidRDefault="00EA6238" w:rsidP="00EA6238">
            <w:pPr>
              <w:spacing w:line="276" w:lineRule="auto"/>
              <w:rPr>
                <w:rFonts w:eastAsia="Calibri"/>
              </w:rPr>
            </w:pPr>
            <w:r w:rsidRPr="00EA6238">
              <w:rPr>
                <w:rFonts w:eastAsia="Calibri"/>
              </w:rPr>
              <w:t>2%</w:t>
            </w:r>
          </w:p>
        </w:tc>
        <w:tc>
          <w:tcPr>
            <w:tcW w:w="1154" w:type="dxa"/>
            <w:tcBorders>
              <w:top w:val="nil"/>
              <w:left w:val="nil"/>
              <w:bottom w:val="single" w:sz="8" w:space="0" w:color="auto"/>
              <w:right w:val="single" w:sz="8" w:space="0" w:color="auto"/>
            </w:tcBorders>
            <w:shd w:val="clear" w:color="auto" w:fill="auto"/>
          </w:tcPr>
          <w:p w14:paraId="174CEB26" w14:textId="73F8B3F9" w:rsidR="00EA6238" w:rsidRPr="00EA6238" w:rsidRDefault="00EA6238" w:rsidP="00EA6238">
            <w:pPr>
              <w:spacing w:line="276" w:lineRule="auto"/>
            </w:pPr>
          </w:p>
        </w:tc>
        <w:tc>
          <w:tcPr>
            <w:tcW w:w="1313" w:type="dxa"/>
            <w:tcBorders>
              <w:top w:val="nil"/>
              <w:left w:val="nil"/>
              <w:bottom w:val="single" w:sz="8" w:space="0" w:color="auto"/>
              <w:right w:val="single" w:sz="8" w:space="0" w:color="auto"/>
            </w:tcBorders>
            <w:vAlign w:val="bottom"/>
          </w:tcPr>
          <w:p w14:paraId="7CE5CC5F" w14:textId="2B330F7A" w:rsidR="00EA6238" w:rsidRPr="00EA6238" w:rsidRDefault="00EA6238" w:rsidP="00EA6238">
            <w:pPr>
              <w:spacing w:line="276" w:lineRule="auto"/>
              <w:jc w:val="right"/>
            </w:pPr>
            <w:r w:rsidRPr="00EA6238">
              <w:rPr>
                <w:color w:val="000000"/>
              </w:rPr>
              <w:t xml:space="preserve">$2,058.64 </w:t>
            </w:r>
          </w:p>
        </w:tc>
      </w:tr>
      <w:tr w:rsidR="00EA6238" w14:paraId="384C0A03"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6CE3B7" w14:textId="07657960" w:rsidR="00393D81" w:rsidRPr="00EA6238" w:rsidRDefault="00393D81" w:rsidP="00393D81">
            <w:pPr>
              <w:spacing w:line="276" w:lineRule="auto"/>
              <w:rPr>
                <w:rFonts w:eastAsia="Calibri"/>
                <w:b/>
              </w:rPr>
            </w:pPr>
            <w:r w:rsidRPr="00EA6238">
              <w:rPr>
                <w:b/>
                <w:color w:val="000000"/>
              </w:rPr>
              <w:t>EPA Communications Director</w:t>
            </w:r>
          </w:p>
        </w:tc>
        <w:tc>
          <w:tcPr>
            <w:tcW w:w="740" w:type="dxa"/>
            <w:tcBorders>
              <w:top w:val="nil"/>
              <w:left w:val="nil"/>
              <w:bottom w:val="single" w:sz="8" w:space="0" w:color="auto"/>
              <w:right w:val="single" w:sz="8" w:space="0" w:color="auto"/>
            </w:tcBorders>
            <w:shd w:val="clear" w:color="auto" w:fill="auto"/>
            <w:vAlign w:val="center"/>
          </w:tcPr>
          <w:p w14:paraId="3968C317" w14:textId="30BC5899" w:rsidR="00393D81" w:rsidRPr="00EA6238" w:rsidRDefault="00393D81" w:rsidP="00393D81">
            <w:pPr>
              <w:spacing w:line="276" w:lineRule="auto"/>
              <w:rPr>
                <w:rFonts w:eastAsia="Calibri"/>
              </w:rPr>
            </w:pPr>
            <w:r w:rsidRPr="00EA6238">
              <w:rPr>
                <w:color w:val="000000"/>
              </w:rPr>
              <w:t>15/5</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111A82" w14:textId="38300138" w:rsidR="00393D81" w:rsidRPr="00EA6238" w:rsidRDefault="00393D81" w:rsidP="00393D81">
            <w:pPr>
              <w:spacing w:line="276" w:lineRule="auto"/>
              <w:rPr>
                <w:rFonts w:eastAsia="Calibri"/>
              </w:rPr>
            </w:pPr>
            <w:r w:rsidRPr="00EA6238">
              <w:rPr>
                <w:color w:val="000000"/>
              </w:rPr>
              <w:t>$152,760</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23295D7" w14:textId="7E6EC119" w:rsidR="00393D81" w:rsidRPr="00EA6238" w:rsidRDefault="00393D81" w:rsidP="00393D81">
            <w:pPr>
              <w:spacing w:line="276" w:lineRule="auto"/>
              <w:rPr>
                <w:rFonts w:eastAsia="Calibri"/>
              </w:rPr>
            </w:pPr>
            <w:r w:rsidRPr="00EA6238">
              <w:rPr>
                <w:color w:val="000000"/>
              </w:rPr>
              <w:t>2%</w:t>
            </w:r>
          </w:p>
        </w:tc>
        <w:tc>
          <w:tcPr>
            <w:tcW w:w="1154" w:type="dxa"/>
            <w:tcBorders>
              <w:top w:val="nil"/>
              <w:left w:val="nil"/>
              <w:bottom w:val="single" w:sz="8" w:space="0" w:color="auto"/>
              <w:right w:val="single" w:sz="8" w:space="0" w:color="auto"/>
            </w:tcBorders>
            <w:shd w:val="clear" w:color="auto" w:fill="auto"/>
          </w:tcPr>
          <w:p w14:paraId="29AB1DD2" w14:textId="77777777" w:rsidR="00393D81" w:rsidRPr="00EA6238" w:rsidRDefault="00393D81" w:rsidP="00393D81">
            <w:pPr>
              <w:spacing w:line="276" w:lineRule="auto"/>
            </w:pPr>
          </w:p>
        </w:tc>
        <w:tc>
          <w:tcPr>
            <w:tcW w:w="1313" w:type="dxa"/>
            <w:tcBorders>
              <w:top w:val="nil"/>
              <w:left w:val="nil"/>
              <w:bottom w:val="single" w:sz="8" w:space="0" w:color="auto"/>
              <w:right w:val="single" w:sz="8" w:space="0" w:color="auto"/>
            </w:tcBorders>
            <w:vAlign w:val="center"/>
          </w:tcPr>
          <w:p w14:paraId="24A3BB10" w14:textId="349DA1E8" w:rsidR="00393D81" w:rsidRPr="00EA6238" w:rsidRDefault="00393D81" w:rsidP="00393D81">
            <w:pPr>
              <w:spacing w:line="276" w:lineRule="auto"/>
              <w:jc w:val="right"/>
            </w:pPr>
            <w:r w:rsidRPr="00EA6238">
              <w:rPr>
                <w:color w:val="000000"/>
              </w:rPr>
              <w:t>$3,055.20</w:t>
            </w:r>
          </w:p>
        </w:tc>
      </w:tr>
      <w:tr w:rsidR="00EA6238" w14:paraId="53BBD6B6" w14:textId="77777777" w:rsidTr="00EA6238">
        <w:trPr>
          <w:trHeight w:val="300"/>
        </w:trPr>
        <w:tc>
          <w:tcPr>
            <w:tcW w:w="43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3F7AD51" w14:textId="39D008AB" w:rsidR="00393D81" w:rsidRPr="00EA6238" w:rsidRDefault="00393D81" w:rsidP="00393D81">
            <w:pPr>
              <w:spacing w:line="276" w:lineRule="auto"/>
              <w:rPr>
                <w:rFonts w:eastAsia="Calibri"/>
                <w:b/>
              </w:rPr>
            </w:pPr>
            <w:r w:rsidRPr="00EA6238">
              <w:rPr>
                <w:b/>
                <w:color w:val="000000"/>
              </w:rPr>
              <w:t>EPA Information Technology Specialist</w:t>
            </w:r>
          </w:p>
        </w:tc>
        <w:tc>
          <w:tcPr>
            <w:tcW w:w="740" w:type="dxa"/>
            <w:tcBorders>
              <w:top w:val="nil"/>
              <w:left w:val="nil"/>
              <w:bottom w:val="single" w:sz="8" w:space="0" w:color="auto"/>
              <w:right w:val="single" w:sz="8" w:space="0" w:color="auto"/>
            </w:tcBorders>
            <w:shd w:val="clear" w:color="auto" w:fill="auto"/>
            <w:vAlign w:val="center"/>
          </w:tcPr>
          <w:p w14:paraId="3FC0CB40" w14:textId="722DEC10" w:rsidR="00393D81" w:rsidRPr="00EA6238" w:rsidRDefault="00393D81" w:rsidP="00393D81">
            <w:pPr>
              <w:spacing w:line="276" w:lineRule="auto"/>
              <w:rPr>
                <w:rFonts w:eastAsia="Calibri"/>
              </w:rPr>
            </w:pPr>
            <w:r w:rsidRPr="00EA6238">
              <w:rPr>
                <w:color w:val="000000"/>
              </w:rPr>
              <w:t>13/1</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2423362" w14:textId="24AB8A07" w:rsidR="00393D81" w:rsidRPr="00EA6238" w:rsidRDefault="00393D81" w:rsidP="00393D81">
            <w:pPr>
              <w:spacing w:line="276" w:lineRule="auto"/>
              <w:rPr>
                <w:rFonts w:eastAsia="Calibri"/>
              </w:rPr>
            </w:pPr>
            <w:r w:rsidRPr="00EA6238">
              <w:rPr>
                <w:color w:val="000000"/>
              </w:rPr>
              <w:t>$96,970</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0BA2E57" w14:textId="79F2E6C5" w:rsidR="00393D81" w:rsidRPr="00EA6238" w:rsidRDefault="00393D81" w:rsidP="00393D81">
            <w:pPr>
              <w:spacing w:line="276" w:lineRule="auto"/>
              <w:rPr>
                <w:rFonts w:eastAsia="Calibri"/>
              </w:rPr>
            </w:pPr>
            <w:r w:rsidRPr="00EA6238">
              <w:rPr>
                <w:color w:val="000000"/>
              </w:rPr>
              <w:t>5%</w:t>
            </w:r>
          </w:p>
        </w:tc>
        <w:tc>
          <w:tcPr>
            <w:tcW w:w="1154" w:type="dxa"/>
            <w:tcBorders>
              <w:top w:val="nil"/>
              <w:left w:val="nil"/>
              <w:bottom w:val="single" w:sz="8" w:space="0" w:color="auto"/>
              <w:right w:val="single" w:sz="8" w:space="0" w:color="auto"/>
            </w:tcBorders>
            <w:shd w:val="clear" w:color="auto" w:fill="auto"/>
          </w:tcPr>
          <w:p w14:paraId="21907D20" w14:textId="77777777" w:rsidR="00393D81" w:rsidRPr="00EA6238" w:rsidRDefault="00393D81" w:rsidP="00393D81">
            <w:pPr>
              <w:spacing w:line="276" w:lineRule="auto"/>
            </w:pPr>
          </w:p>
        </w:tc>
        <w:tc>
          <w:tcPr>
            <w:tcW w:w="1313" w:type="dxa"/>
            <w:tcBorders>
              <w:top w:val="nil"/>
              <w:left w:val="nil"/>
              <w:bottom w:val="single" w:sz="8" w:space="0" w:color="auto"/>
              <w:right w:val="single" w:sz="8" w:space="0" w:color="auto"/>
            </w:tcBorders>
            <w:shd w:val="clear" w:color="auto" w:fill="auto"/>
            <w:vAlign w:val="center"/>
          </w:tcPr>
          <w:p w14:paraId="3F1CECF9" w14:textId="1E592371" w:rsidR="00393D81" w:rsidRPr="00EA6238" w:rsidRDefault="00393D81" w:rsidP="00393D81">
            <w:pPr>
              <w:spacing w:line="276" w:lineRule="auto"/>
              <w:jc w:val="right"/>
            </w:pPr>
            <w:r w:rsidRPr="00EA6238">
              <w:rPr>
                <w:color w:val="000000"/>
              </w:rPr>
              <w:t>$4,848.50</w:t>
            </w:r>
          </w:p>
        </w:tc>
      </w:tr>
      <w:tr w:rsidR="00EA6238" w14:paraId="7AE2EE8A" w14:textId="77777777" w:rsidTr="00EA6238">
        <w:trPr>
          <w:trHeight w:val="300"/>
        </w:trPr>
        <w:tc>
          <w:tcPr>
            <w:tcW w:w="4325"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B27E836" w14:textId="5DB0ADAF" w:rsidR="00393D81" w:rsidRPr="00EA6238" w:rsidRDefault="00393D81" w:rsidP="00393D81">
            <w:pPr>
              <w:spacing w:line="276" w:lineRule="auto"/>
              <w:rPr>
                <w:rFonts w:eastAsia="Calibri"/>
                <w:b/>
              </w:rPr>
            </w:pPr>
            <w:r w:rsidRPr="00EA6238">
              <w:rPr>
                <w:b/>
                <w:color w:val="000000"/>
              </w:rPr>
              <w:t>EPA Communications Specialist</w:t>
            </w:r>
          </w:p>
        </w:tc>
        <w:tc>
          <w:tcPr>
            <w:tcW w:w="740" w:type="dxa"/>
            <w:tcBorders>
              <w:top w:val="nil"/>
              <w:left w:val="nil"/>
              <w:bottom w:val="single" w:sz="8" w:space="0" w:color="auto"/>
              <w:right w:val="single" w:sz="8" w:space="0" w:color="auto"/>
            </w:tcBorders>
            <w:shd w:val="clear" w:color="auto" w:fill="auto"/>
            <w:vAlign w:val="center"/>
          </w:tcPr>
          <w:p w14:paraId="55044AB0" w14:textId="623E4A39" w:rsidR="00393D81" w:rsidRPr="00EA6238" w:rsidRDefault="00393D81" w:rsidP="00393D81">
            <w:pPr>
              <w:spacing w:line="276" w:lineRule="auto"/>
              <w:rPr>
                <w:rFonts w:eastAsia="Calibri"/>
              </w:rPr>
            </w:pPr>
            <w:r w:rsidRPr="00EA6238">
              <w:rPr>
                <w:color w:val="000000"/>
              </w:rPr>
              <w:t>7/1</w:t>
            </w: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20B2316F" w14:textId="63DAE95C" w:rsidR="00393D81" w:rsidRPr="00EA6238" w:rsidRDefault="00393D81" w:rsidP="00393D81">
            <w:pPr>
              <w:spacing w:line="276" w:lineRule="auto"/>
              <w:rPr>
                <w:rFonts w:eastAsia="Calibri"/>
              </w:rPr>
            </w:pPr>
            <w:r w:rsidRPr="00EA6238">
              <w:rPr>
                <w:color w:val="000000"/>
              </w:rPr>
              <w:t>$45,972</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6F1F2D96" w14:textId="768C1C28" w:rsidR="00393D81" w:rsidRPr="00EA6238" w:rsidRDefault="00393D81" w:rsidP="00393D81">
            <w:pPr>
              <w:spacing w:line="276" w:lineRule="auto"/>
              <w:rPr>
                <w:rFonts w:eastAsia="Calibri"/>
              </w:rPr>
            </w:pPr>
            <w:r w:rsidRPr="00EA6238">
              <w:rPr>
                <w:color w:val="000000"/>
              </w:rPr>
              <w:t>3%</w:t>
            </w:r>
          </w:p>
        </w:tc>
        <w:tc>
          <w:tcPr>
            <w:tcW w:w="1154" w:type="dxa"/>
            <w:tcBorders>
              <w:top w:val="nil"/>
              <w:left w:val="nil"/>
              <w:bottom w:val="single" w:sz="8" w:space="0" w:color="auto"/>
              <w:right w:val="single" w:sz="8" w:space="0" w:color="auto"/>
            </w:tcBorders>
            <w:shd w:val="clear" w:color="auto" w:fill="auto"/>
          </w:tcPr>
          <w:p w14:paraId="1A24D186" w14:textId="77777777" w:rsidR="00393D81" w:rsidRPr="00EA6238" w:rsidRDefault="00393D81" w:rsidP="00393D81">
            <w:pPr>
              <w:spacing w:line="276" w:lineRule="auto"/>
            </w:pPr>
          </w:p>
        </w:tc>
        <w:tc>
          <w:tcPr>
            <w:tcW w:w="1313" w:type="dxa"/>
            <w:tcBorders>
              <w:top w:val="nil"/>
              <w:left w:val="nil"/>
              <w:bottom w:val="single" w:sz="8" w:space="0" w:color="auto"/>
              <w:right w:val="single" w:sz="8" w:space="0" w:color="auto"/>
            </w:tcBorders>
            <w:shd w:val="clear" w:color="auto" w:fill="auto"/>
            <w:vAlign w:val="center"/>
          </w:tcPr>
          <w:p w14:paraId="1186C93D" w14:textId="5CB15794" w:rsidR="00393D81" w:rsidRPr="00EA6238" w:rsidRDefault="00393D81" w:rsidP="00393D81">
            <w:pPr>
              <w:spacing w:line="276" w:lineRule="auto"/>
              <w:jc w:val="right"/>
            </w:pPr>
            <w:r w:rsidRPr="00EA6238">
              <w:rPr>
                <w:color w:val="000000"/>
              </w:rPr>
              <w:t>$1,379.16</w:t>
            </w:r>
          </w:p>
        </w:tc>
      </w:tr>
      <w:tr w:rsidR="00EA6238" w14:paraId="65D7F081"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920DB5" w14:textId="77777777" w:rsidR="00393D81" w:rsidRPr="00EA6238" w:rsidRDefault="00393D81" w:rsidP="00242E62">
            <w:pPr>
              <w:spacing w:line="276" w:lineRule="auto"/>
              <w:rPr>
                <w:rFonts w:eastAsia="Calibri"/>
                <w:b/>
              </w:rPr>
            </w:pPr>
          </w:p>
        </w:tc>
        <w:tc>
          <w:tcPr>
            <w:tcW w:w="740" w:type="dxa"/>
            <w:tcBorders>
              <w:top w:val="nil"/>
              <w:left w:val="nil"/>
              <w:bottom w:val="single" w:sz="8" w:space="0" w:color="auto"/>
              <w:right w:val="single" w:sz="8" w:space="0" w:color="auto"/>
            </w:tcBorders>
            <w:shd w:val="clear" w:color="auto" w:fill="auto"/>
          </w:tcPr>
          <w:p w14:paraId="2124D1B1" w14:textId="77777777" w:rsidR="00393D81" w:rsidRPr="00EA6238" w:rsidRDefault="00393D81"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C8D2D5F" w14:textId="77777777" w:rsidR="00393D81" w:rsidRPr="00EA6238" w:rsidRDefault="00393D81" w:rsidP="00242E62">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F126695" w14:textId="77777777" w:rsidR="00393D81" w:rsidRPr="00EA6238" w:rsidRDefault="00393D81"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2FF65080" w14:textId="77777777" w:rsidR="00393D81" w:rsidRPr="00EA6238" w:rsidRDefault="00393D81" w:rsidP="00242E62">
            <w:pPr>
              <w:spacing w:line="276" w:lineRule="auto"/>
            </w:pPr>
          </w:p>
        </w:tc>
        <w:tc>
          <w:tcPr>
            <w:tcW w:w="1313" w:type="dxa"/>
            <w:tcBorders>
              <w:top w:val="nil"/>
              <w:left w:val="nil"/>
              <w:bottom w:val="single" w:sz="8" w:space="0" w:color="auto"/>
              <w:right w:val="single" w:sz="8" w:space="0" w:color="auto"/>
            </w:tcBorders>
          </w:tcPr>
          <w:p w14:paraId="177B0768" w14:textId="77777777" w:rsidR="00393D81" w:rsidRPr="00EA6238" w:rsidRDefault="00393D81" w:rsidP="00242E62">
            <w:pPr>
              <w:spacing w:line="276" w:lineRule="auto"/>
              <w:jc w:val="right"/>
            </w:pPr>
          </w:p>
        </w:tc>
      </w:tr>
      <w:tr w:rsidR="00EA6238" w14:paraId="29BABEE4"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220876" w14:textId="26CA6AC6" w:rsidR="00242E62" w:rsidRPr="00EA6238" w:rsidRDefault="00242E62" w:rsidP="00242E62">
            <w:pPr>
              <w:spacing w:line="276" w:lineRule="auto"/>
              <w:rPr>
                <w:rFonts w:eastAsia="Calibri"/>
                <w:b/>
              </w:rPr>
            </w:pPr>
            <w:r w:rsidRPr="00EA6238">
              <w:rPr>
                <w:rFonts w:eastAsia="Calibri"/>
                <w:b/>
              </w:rPr>
              <w:t>Contractor Cost NCI</w:t>
            </w:r>
          </w:p>
        </w:tc>
        <w:tc>
          <w:tcPr>
            <w:tcW w:w="740" w:type="dxa"/>
            <w:tcBorders>
              <w:top w:val="nil"/>
              <w:left w:val="nil"/>
              <w:bottom w:val="single" w:sz="8" w:space="0" w:color="auto"/>
              <w:right w:val="single" w:sz="8" w:space="0" w:color="auto"/>
            </w:tcBorders>
            <w:shd w:val="clear" w:color="auto" w:fill="auto"/>
          </w:tcPr>
          <w:p w14:paraId="71AB9172"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DF7C8E9" w14:textId="3735B265"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5E36E49"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010A9F9E"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0F9A339D" w14:textId="77777777" w:rsidR="00242E62" w:rsidRPr="00EA6238" w:rsidRDefault="00242E62" w:rsidP="00242E62">
            <w:pPr>
              <w:spacing w:line="276" w:lineRule="auto"/>
              <w:jc w:val="right"/>
            </w:pPr>
          </w:p>
        </w:tc>
      </w:tr>
      <w:tr w:rsidR="00EA6238" w14:paraId="4F64B262"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DD108A" w14:textId="280E4F4C" w:rsidR="00242E62" w:rsidRPr="00EA6238" w:rsidRDefault="00242E62" w:rsidP="00242E62">
            <w:pPr>
              <w:spacing w:line="276" w:lineRule="auto"/>
              <w:rPr>
                <w:rFonts w:eastAsia="Calibri"/>
                <w:b/>
              </w:rPr>
            </w:pPr>
            <w:r w:rsidRPr="00EA6238">
              <w:rPr>
                <w:rFonts w:eastAsia="Calibri"/>
                <w:b/>
              </w:rPr>
              <w:t>Contractor Cost NICHD</w:t>
            </w:r>
          </w:p>
        </w:tc>
        <w:tc>
          <w:tcPr>
            <w:tcW w:w="740" w:type="dxa"/>
            <w:tcBorders>
              <w:top w:val="nil"/>
              <w:left w:val="nil"/>
              <w:bottom w:val="single" w:sz="8" w:space="0" w:color="auto"/>
              <w:right w:val="single" w:sz="8" w:space="0" w:color="auto"/>
            </w:tcBorders>
            <w:shd w:val="clear" w:color="auto" w:fill="auto"/>
          </w:tcPr>
          <w:p w14:paraId="46D02F23"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BAD239D" w14:textId="5B940B9D"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C3C05F7"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25BDBCF5"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7B06CFF4" w14:textId="77777777" w:rsidR="00242E62" w:rsidRPr="00EA6238" w:rsidRDefault="00242E62" w:rsidP="00242E62">
            <w:pPr>
              <w:spacing w:line="276" w:lineRule="auto"/>
              <w:jc w:val="right"/>
            </w:pPr>
          </w:p>
        </w:tc>
      </w:tr>
      <w:tr w:rsidR="00EA6238" w14:paraId="5BB0410D"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D19EE7" w14:textId="647AC8FD" w:rsidR="00242E62" w:rsidRPr="00EA6238" w:rsidRDefault="00242E62" w:rsidP="00242E62">
            <w:pPr>
              <w:spacing w:line="276" w:lineRule="auto"/>
              <w:rPr>
                <w:rFonts w:eastAsia="Calibri"/>
                <w:b/>
              </w:rPr>
            </w:pPr>
            <w:r w:rsidRPr="00EA6238">
              <w:rPr>
                <w:rFonts w:eastAsia="Calibri"/>
                <w:b/>
              </w:rPr>
              <w:t>Contractor Cost NIDCD</w:t>
            </w:r>
          </w:p>
        </w:tc>
        <w:tc>
          <w:tcPr>
            <w:tcW w:w="740" w:type="dxa"/>
            <w:tcBorders>
              <w:top w:val="nil"/>
              <w:left w:val="nil"/>
              <w:bottom w:val="single" w:sz="8" w:space="0" w:color="auto"/>
              <w:right w:val="single" w:sz="8" w:space="0" w:color="auto"/>
            </w:tcBorders>
            <w:shd w:val="clear" w:color="auto" w:fill="auto"/>
          </w:tcPr>
          <w:p w14:paraId="26C9AFC1"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2683C8E" w14:textId="4D421AE5"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3E7EB54"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433BC3E4"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66D6DB84" w14:textId="77777777" w:rsidR="00242E62" w:rsidRPr="00EA6238" w:rsidRDefault="00242E62" w:rsidP="00242E62">
            <w:pPr>
              <w:spacing w:line="276" w:lineRule="auto"/>
              <w:jc w:val="right"/>
            </w:pPr>
          </w:p>
        </w:tc>
      </w:tr>
      <w:tr w:rsidR="00EA6238" w14:paraId="48200211"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28DE2E" w14:textId="7A7A099F" w:rsidR="00242E62" w:rsidRPr="00EA6238" w:rsidRDefault="00242E62" w:rsidP="00242E62">
            <w:pPr>
              <w:spacing w:line="276" w:lineRule="auto"/>
              <w:rPr>
                <w:rFonts w:eastAsia="Calibri"/>
                <w:b/>
              </w:rPr>
            </w:pPr>
            <w:r w:rsidRPr="00EA6238">
              <w:rPr>
                <w:rFonts w:eastAsia="Calibri"/>
                <w:b/>
              </w:rPr>
              <w:t>Contractor Cost NIEHS</w:t>
            </w:r>
          </w:p>
        </w:tc>
        <w:tc>
          <w:tcPr>
            <w:tcW w:w="740" w:type="dxa"/>
            <w:tcBorders>
              <w:top w:val="nil"/>
              <w:left w:val="nil"/>
              <w:bottom w:val="single" w:sz="8" w:space="0" w:color="auto"/>
              <w:right w:val="single" w:sz="8" w:space="0" w:color="auto"/>
            </w:tcBorders>
            <w:shd w:val="clear" w:color="auto" w:fill="auto"/>
          </w:tcPr>
          <w:p w14:paraId="02E0714B"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766F0E8" w14:textId="6A643222"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334E9FF"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001B3D3"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3C5C9DD6" w14:textId="77777777" w:rsidR="00242E62" w:rsidRPr="00EA6238" w:rsidRDefault="00242E62" w:rsidP="00242E62">
            <w:pPr>
              <w:spacing w:line="276" w:lineRule="auto"/>
              <w:jc w:val="right"/>
            </w:pPr>
          </w:p>
        </w:tc>
      </w:tr>
      <w:tr w:rsidR="00EA6238" w14:paraId="0F8ECECA"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EFC3287" w14:textId="0498D3FB" w:rsidR="00242E62" w:rsidRPr="00EA6238" w:rsidRDefault="00242E62" w:rsidP="00242E62">
            <w:pPr>
              <w:spacing w:line="276" w:lineRule="auto"/>
              <w:rPr>
                <w:rFonts w:eastAsia="Calibri"/>
                <w:b/>
              </w:rPr>
            </w:pPr>
            <w:r w:rsidRPr="00EA6238">
              <w:rPr>
                <w:rFonts w:eastAsia="Calibri"/>
                <w:b/>
              </w:rPr>
              <w:t>Contractor Cost NIMH</w:t>
            </w:r>
          </w:p>
        </w:tc>
        <w:tc>
          <w:tcPr>
            <w:tcW w:w="740" w:type="dxa"/>
            <w:tcBorders>
              <w:top w:val="nil"/>
              <w:left w:val="nil"/>
              <w:bottom w:val="single" w:sz="8" w:space="0" w:color="auto"/>
              <w:right w:val="single" w:sz="8" w:space="0" w:color="auto"/>
            </w:tcBorders>
            <w:shd w:val="clear" w:color="auto" w:fill="auto"/>
          </w:tcPr>
          <w:p w14:paraId="7C2B0B2E"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A58CF03" w14:textId="77A3F045"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C0A5DC3"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14BBDA1C"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05AB169A" w14:textId="77777777" w:rsidR="00242E62" w:rsidRPr="00EA6238" w:rsidRDefault="00242E62" w:rsidP="00242E62">
            <w:pPr>
              <w:spacing w:line="276" w:lineRule="auto"/>
              <w:jc w:val="right"/>
            </w:pPr>
          </w:p>
        </w:tc>
      </w:tr>
      <w:tr w:rsidR="00EA6238" w14:paraId="59B0D65C"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3D8E3D" w14:textId="0EDD81F1" w:rsidR="00242E62" w:rsidRPr="00EA6238" w:rsidRDefault="00242E62" w:rsidP="00242E62">
            <w:pPr>
              <w:spacing w:line="276" w:lineRule="auto"/>
              <w:rPr>
                <w:rFonts w:eastAsia="Calibri"/>
                <w:b/>
              </w:rPr>
            </w:pPr>
            <w:r w:rsidRPr="00EA6238">
              <w:rPr>
                <w:rFonts w:eastAsia="Calibri"/>
                <w:b/>
              </w:rPr>
              <w:t>Contractor Cost NINDS</w:t>
            </w:r>
          </w:p>
        </w:tc>
        <w:tc>
          <w:tcPr>
            <w:tcW w:w="740" w:type="dxa"/>
            <w:tcBorders>
              <w:top w:val="nil"/>
              <w:left w:val="nil"/>
              <w:bottom w:val="single" w:sz="8" w:space="0" w:color="auto"/>
              <w:right w:val="single" w:sz="8" w:space="0" w:color="auto"/>
            </w:tcBorders>
            <w:shd w:val="clear" w:color="auto" w:fill="auto"/>
          </w:tcPr>
          <w:p w14:paraId="67868C81"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C9229B" w14:textId="772EBAF5"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24163CF"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319ECB53"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33EB01CD" w14:textId="77777777" w:rsidR="00242E62" w:rsidRPr="00EA6238" w:rsidRDefault="00242E62" w:rsidP="00242E62">
            <w:pPr>
              <w:spacing w:line="276" w:lineRule="auto"/>
              <w:jc w:val="right"/>
            </w:pPr>
          </w:p>
        </w:tc>
      </w:tr>
      <w:tr w:rsidR="00EA6238" w14:paraId="1C56F7E2"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F0B194F" w14:textId="2CE4A0AF" w:rsidR="00242E62" w:rsidRPr="00EA6238" w:rsidRDefault="00242E62" w:rsidP="00242E62">
            <w:pPr>
              <w:spacing w:line="276" w:lineRule="auto"/>
              <w:rPr>
                <w:rFonts w:eastAsia="Calibri"/>
                <w:b/>
              </w:rPr>
            </w:pPr>
            <w:r w:rsidRPr="00EA6238">
              <w:rPr>
                <w:rFonts w:eastAsia="Calibri"/>
                <w:b/>
              </w:rPr>
              <w:t>Contractor Cost EPA</w:t>
            </w:r>
          </w:p>
        </w:tc>
        <w:tc>
          <w:tcPr>
            <w:tcW w:w="740" w:type="dxa"/>
            <w:tcBorders>
              <w:top w:val="nil"/>
              <w:left w:val="nil"/>
              <w:bottom w:val="single" w:sz="8" w:space="0" w:color="auto"/>
              <w:right w:val="single" w:sz="8" w:space="0" w:color="auto"/>
            </w:tcBorders>
            <w:shd w:val="clear" w:color="auto" w:fill="auto"/>
          </w:tcPr>
          <w:p w14:paraId="37D69E34"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F7FF4B3" w14:textId="15967F84" w:rsidR="00242E62" w:rsidRPr="00EA6238" w:rsidRDefault="00242E62" w:rsidP="00242E62">
            <w:pPr>
              <w:spacing w:line="276" w:lineRule="auto"/>
              <w:rPr>
                <w:rFonts w:eastAsia="Calibri"/>
              </w:rPr>
            </w:pPr>
            <w:r w:rsidRPr="00EA6238">
              <w:rPr>
                <w:rFonts w:eastAsia="Calibri"/>
              </w:rPr>
              <w:t>None</w:t>
            </w: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ADB5FA1"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3CF06CD8"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6E8C6DA3" w14:textId="77777777" w:rsidR="00242E62" w:rsidRPr="00EA6238" w:rsidRDefault="00242E62" w:rsidP="00242E62">
            <w:pPr>
              <w:spacing w:line="276" w:lineRule="auto"/>
              <w:jc w:val="right"/>
            </w:pPr>
          </w:p>
        </w:tc>
      </w:tr>
      <w:tr w:rsidR="00EA6238" w14:paraId="14A79577"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F1EFF7" w14:textId="5ADD539D" w:rsidR="00242E62" w:rsidRPr="00EA6238" w:rsidRDefault="00242E62" w:rsidP="00242E62">
            <w:pPr>
              <w:spacing w:line="276" w:lineRule="auto"/>
              <w:rPr>
                <w:rFonts w:eastAsia="Calibri"/>
              </w:rPr>
            </w:pPr>
          </w:p>
        </w:tc>
        <w:tc>
          <w:tcPr>
            <w:tcW w:w="740" w:type="dxa"/>
            <w:tcBorders>
              <w:top w:val="nil"/>
              <w:left w:val="nil"/>
              <w:bottom w:val="single" w:sz="8" w:space="0" w:color="auto"/>
              <w:right w:val="single" w:sz="8" w:space="0" w:color="auto"/>
            </w:tcBorders>
            <w:shd w:val="clear" w:color="auto" w:fill="auto"/>
          </w:tcPr>
          <w:p w14:paraId="538FB524"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B24FAD2" w14:textId="77777777" w:rsidR="00242E62" w:rsidRPr="00EA6238" w:rsidRDefault="00242E62" w:rsidP="00242E62">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4B734D6"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372DAD2"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48418567" w14:textId="77777777" w:rsidR="00242E62" w:rsidRPr="00EA6238" w:rsidRDefault="00242E62" w:rsidP="00242E62">
            <w:pPr>
              <w:spacing w:line="276" w:lineRule="auto"/>
              <w:jc w:val="right"/>
            </w:pPr>
          </w:p>
        </w:tc>
      </w:tr>
      <w:tr w:rsidR="00EA6238" w14:paraId="657BD164" w14:textId="77777777" w:rsidTr="00EA6238">
        <w:trPr>
          <w:trHeight w:val="300"/>
        </w:trPr>
        <w:tc>
          <w:tcPr>
            <w:tcW w:w="43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9FE1BD" w14:textId="77777777" w:rsidR="00242E62" w:rsidRPr="00EA6238" w:rsidRDefault="00242E62" w:rsidP="00242E62">
            <w:pPr>
              <w:spacing w:line="276" w:lineRule="auto"/>
              <w:rPr>
                <w:rFonts w:eastAsia="Calibri"/>
              </w:rPr>
            </w:pPr>
            <w:r w:rsidRPr="00EA6238">
              <w:rPr>
                <w:rFonts w:eastAsia="Calibri"/>
              </w:rPr>
              <w:t>Travel</w:t>
            </w:r>
          </w:p>
        </w:tc>
        <w:tc>
          <w:tcPr>
            <w:tcW w:w="740" w:type="dxa"/>
            <w:tcBorders>
              <w:top w:val="nil"/>
              <w:left w:val="nil"/>
              <w:bottom w:val="single" w:sz="8" w:space="0" w:color="auto"/>
              <w:right w:val="single" w:sz="8" w:space="0" w:color="auto"/>
            </w:tcBorders>
            <w:shd w:val="clear" w:color="auto" w:fill="auto"/>
          </w:tcPr>
          <w:p w14:paraId="34A3FF01" w14:textId="77777777" w:rsidR="00242E62" w:rsidRPr="00EA6238" w:rsidRDefault="00242E62" w:rsidP="00242E62">
            <w:pPr>
              <w:spacing w:line="276" w:lineRule="auto"/>
              <w:rPr>
                <w:rFonts w:eastAsia="Calibri"/>
              </w:rPr>
            </w:pPr>
          </w:p>
        </w:tc>
        <w:tc>
          <w:tcPr>
            <w:tcW w:w="13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27AA035" w14:textId="77777777" w:rsidR="00242E62" w:rsidRPr="00EA6238" w:rsidRDefault="00242E62" w:rsidP="00242E62">
            <w:pPr>
              <w:spacing w:line="276" w:lineRule="auto"/>
              <w:rPr>
                <w:rFonts w:eastAsia="Calibri"/>
              </w:rPr>
            </w:pPr>
          </w:p>
        </w:tc>
        <w:tc>
          <w:tcPr>
            <w:tcW w:w="84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560D8BD" w14:textId="77777777" w:rsidR="00242E62" w:rsidRPr="00EA6238" w:rsidRDefault="00242E62" w:rsidP="00242E62">
            <w:pPr>
              <w:spacing w:line="276" w:lineRule="auto"/>
              <w:rPr>
                <w:rFonts w:eastAsia="Calibri"/>
              </w:rPr>
            </w:pPr>
          </w:p>
        </w:tc>
        <w:tc>
          <w:tcPr>
            <w:tcW w:w="1154" w:type="dxa"/>
            <w:tcBorders>
              <w:top w:val="nil"/>
              <w:left w:val="nil"/>
              <w:bottom w:val="single" w:sz="8" w:space="0" w:color="auto"/>
              <w:right w:val="single" w:sz="8" w:space="0" w:color="auto"/>
            </w:tcBorders>
            <w:shd w:val="clear" w:color="auto" w:fill="auto"/>
          </w:tcPr>
          <w:p w14:paraId="6F678913" w14:textId="77777777" w:rsidR="00242E62" w:rsidRPr="00EA6238" w:rsidRDefault="00242E62" w:rsidP="00242E62">
            <w:pPr>
              <w:spacing w:line="276" w:lineRule="auto"/>
            </w:pPr>
          </w:p>
        </w:tc>
        <w:tc>
          <w:tcPr>
            <w:tcW w:w="1313" w:type="dxa"/>
            <w:tcBorders>
              <w:top w:val="nil"/>
              <w:left w:val="nil"/>
              <w:bottom w:val="single" w:sz="8" w:space="0" w:color="auto"/>
              <w:right w:val="single" w:sz="8" w:space="0" w:color="auto"/>
            </w:tcBorders>
          </w:tcPr>
          <w:p w14:paraId="72028381" w14:textId="77777777" w:rsidR="00242E62" w:rsidRPr="00EA6238" w:rsidRDefault="00242E62" w:rsidP="00242E62">
            <w:pPr>
              <w:spacing w:line="276" w:lineRule="auto"/>
              <w:jc w:val="right"/>
            </w:pPr>
          </w:p>
        </w:tc>
      </w:tr>
      <w:tr w:rsidR="00EA6238" w14:paraId="45BC117B" w14:textId="77777777" w:rsidTr="00EA6238">
        <w:trPr>
          <w:trHeight w:val="300"/>
        </w:trPr>
        <w:tc>
          <w:tcPr>
            <w:tcW w:w="432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5A1CC7F6" w14:textId="77777777" w:rsidR="00242E62" w:rsidRPr="00EA6238" w:rsidRDefault="00242E62" w:rsidP="00242E62">
            <w:pPr>
              <w:spacing w:line="276" w:lineRule="auto"/>
              <w:rPr>
                <w:rFonts w:eastAsia="Calibri"/>
                <w:color w:val="1F497D"/>
                <w:highlight w:val="yellow"/>
              </w:rPr>
            </w:pPr>
            <w:r w:rsidRPr="00EA6238">
              <w:rPr>
                <w:rFonts w:eastAsia="Calibri"/>
              </w:rPr>
              <w:t>Other Cost</w:t>
            </w:r>
          </w:p>
        </w:tc>
        <w:tc>
          <w:tcPr>
            <w:tcW w:w="740" w:type="dxa"/>
            <w:tcBorders>
              <w:top w:val="single" w:sz="8" w:space="0" w:color="auto"/>
              <w:left w:val="nil"/>
              <w:bottom w:val="single" w:sz="4" w:space="0" w:color="auto"/>
              <w:right w:val="single" w:sz="8" w:space="0" w:color="auto"/>
            </w:tcBorders>
            <w:shd w:val="clear" w:color="auto" w:fill="auto"/>
          </w:tcPr>
          <w:p w14:paraId="1D301205" w14:textId="77777777" w:rsidR="00242E62" w:rsidRPr="00EA6238" w:rsidRDefault="00242E62" w:rsidP="00242E62">
            <w:pPr>
              <w:spacing w:line="276" w:lineRule="auto"/>
              <w:rPr>
                <w:rFonts w:eastAsia="Calibri"/>
                <w:color w:val="000000"/>
              </w:rPr>
            </w:pPr>
          </w:p>
        </w:tc>
        <w:tc>
          <w:tcPr>
            <w:tcW w:w="1350"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583001A3" w14:textId="77777777" w:rsidR="00242E62" w:rsidRPr="00EA6238" w:rsidRDefault="00242E62" w:rsidP="00242E62">
            <w:pPr>
              <w:spacing w:line="276" w:lineRule="auto"/>
              <w:rPr>
                <w:rFonts w:eastAsia="Calibri"/>
              </w:rPr>
            </w:pPr>
          </w:p>
        </w:tc>
        <w:tc>
          <w:tcPr>
            <w:tcW w:w="843" w:type="dxa"/>
            <w:tcBorders>
              <w:top w:val="single" w:sz="8" w:space="0" w:color="auto"/>
              <w:left w:val="nil"/>
              <w:bottom w:val="single" w:sz="4" w:space="0" w:color="auto"/>
              <w:right w:val="single" w:sz="8" w:space="0" w:color="auto"/>
            </w:tcBorders>
            <w:shd w:val="clear" w:color="auto" w:fill="auto"/>
            <w:noWrap/>
            <w:tcMar>
              <w:top w:w="0" w:type="dxa"/>
              <w:left w:w="108" w:type="dxa"/>
              <w:bottom w:w="0" w:type="dxa"/>
              <w:right w:w="108" w:type="dxa"/>
            </w:tcMar>
            <w:vAlign w:val="bottom"/>
          </w:tcPr>
          <w:p w14:paraId="44BBB06B" w14:textId="77777777" w:rsidR="00242E62" w:rsidRPr="00EA6238" w:rsidRDefault="00242E62" w:rsidP="00242E62">
            <w:pPr>
              <w:spacing w:line="276" w:lineRule="auto"/>
              <w:rPr>
                <w:rFonts w:eastAsia="Calibri"/>
              </w:rPr>
            </w:pPr>
          </w:p>
        </w:tc>
        <w:tc>
          <w:tcPr>
            <w:tcW w:w="1154" w:type="dxa"/>
            <w:tcBorders>
              <w:top w:val="single" w:sz="8" w:space="0" w:color="auto"/>
              <w:left w:val="nil"/>
              <w:bottom w:val="single" w:sz="4" w:space="0" w:color="auto"/>
              <w:right w:val="single" w:sz="8" w:space="0" w:color="auto"/>
            </w:tcBorders>
            <w:shd w:val="clear" w:color="auto" w:fill="auto"/>
          </w:tcPr>
          <w:p w14:paraId="6F6BC96B" w14:textId="77777777" w:rsidR="00242E62" w:rsidRPr="00EA6238" w:rsidRDefault="00242E62" w:rsidP="00242E62">
            <w:pPr>
              <w:spacing w:line="276" w:lineRule="auto"/>
              <w:rPr>
                <w:rFonts w:eastAsia="Calibri"/>
              </w:rPr>
            </w:pPr>
          </w:p>
        </w:tc>
        <w:tc>
          <w:tcPr>
            <w:tcW w:w="1313" w:type="dxa"/>
            <w:tcBorders>
              <w:top w:val="single" w:sz="8" w:space="0" w:color="auto"/>
              <w:left w:val="nil"/>
              <w:bottom w:val="single" w:sz="4" w:space="0" w:color="auto"/>
              <w:right w:val="single" w:sz="8" w:space="0" w:color="auto"/>
            </w:tcBorders>
          </w:tcPr>
          <w:p w14:paraId="151AF1D4" w14:textId="77777777" w:rsidR="00242E62" w:rsidRPr="00EA6238" w:rsidRDefault="00242E62" w:rsidP="00242E62">
            <w:pPr>
              <w:spacing w:line="276" w:lineRule="auto"/>
              <w:jc w:val="right"/>
              <w:rPr>
                <w:rFonts w:eastAsia="Calibri"/>
              </w:rPr>
            </w:pPr>
          </w:p>
        </w:tc>
      </w:tr>
      <w:tr w:rsidR="00EA6238" w14:paraId="6EDA9683" w14:textId="77777777" w:rsidTr="00EA6238">
        <w:trPr>
          <w:trHeight w:val="300"/>
        </w:trPr>
        <w:tc>
          <w:tcPr>
            <w:tcW w:w="432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F76FC0" w14:textId="77777777" w:rsidR="00242E62" w:rsidRPr="00EA6238" w:rsidRDefault="00242E62" w:rsidP="00242E62">
            <w:pPr>
              <w:spacing w:line="276" w:lineRule="auto"/>
              <w:rPr>
                <w:rFonts w:eastAsia="Calibri"/>
                <w:b/>
              </w:rPr>
            </w:pPr>
            <w:r w:rsidRPr="00EA6238">
              <w:rPr>
                <w:rFonts w:eastAsia="Calibri"/>
                <w:b/>
              </w:rPr>
              <w:t>Total Cost</w:t>
            </w:r>
          </w:p>
        </w:tc>
        <w:tc>
          <w:tcPr>
            <w:tcW w:w="740" w:type="dxa"/>
            <w:tcBorders>
              <w:top w:val="single" w:sz="4" w:space="0" w:color="auto"/>
              <w:left w:val="nil"/>
              <w:bottom w:val="single" w:sz="8" w:space="0" w:color="auto"/>
              <w:right w:val="single" w:sz="8" w:space="0" w:color="auto"/>
            </w:tcBorders>
            <w:shd w:val="clear" w:color="auto" w:fill="auto"/>
          </w:tcPr>
          <w:p w14:paraId="6187114F" w14:textId="77777777" w:rsidR="00242E62" w:rsidRPr="00EA6238" w:rsidRDefault="00242E62" w:rsidP="00242E62">
            <w:pPr>
              <w:spacing w:line="276" w:lineRule="auto"/>
              <w:rPr>
                <w:rFonts w:eastAsia="Calibri"/>
                <w:color w:val="000000"/>
              </w:rPr>
            </w:pPr>
          </w:p>
        </w:tc>
        <w:tc>
          <w:tcPr>
            <w:tcW w:w="1350"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5AFE782" w14:textId="77777777" w:rsidR="00242E62" w:rsidRPr="00EA6238" w:rsidRDefault="00242E62" w:rsidP="00242E62">
            <w:pPr>
              <w:spacing w:line="276" w:lineRule="auto"/>
              <w:rPr>
                <w:rFonts w:eastAsia="Calibri"/>
              </w:rPr>
            </w:pPr>
          </w:p>
        </w:tc>
        <w:tc>
          <w:tcPr>
            <w:tcW w:w="843" w:type="dxa"/>
            <w:tcBorders>
              <w:top w:val="single" w:sz="4"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851179B" w14:textId="77777777" w:rsidR="00242E62" w:rsidRPr="00EA6238" w:rsidRDefault="00242E62" w:rsidP="00242E62">
            <w:pPr>
              <w:spacing w:line="276" w:lineRule="auto"/>
              <w:rPr>
                <w:rFonts w:eastAsia="Calibri"/>
              </w:rPr>
            </w:pPr>
          </w:p>
        </w:tc>
        <w:tc>
          <w:tcPr>
            <w:tcW w:w="1154" w:type="dxa"/>
            <w:tcBorders>
              <w:top w:val="single" w:sz="4" w:space="0" w:color="auto"/>
              <w:left w:val="nil"/>
              <w:bottom w:val="single" w:sz="8" w:space="0" w:color="auto"/>
              <w:right w:val="single" w:sz="8" w:space="0" w:color="auto"/>
            </w:tcBorders>
            <w:shd w:val="clear" w:color="auto" w:fill="auto"/>
          </w:tcPr>
          <w:p w14:paraId="7A0363AE" w14:textId="77777777" w:rsidR="00242E62" w:rsidRPr="00EA6238" w:rsidRDefault="00242E62" w:rsidP="00242E62">
            <w:pPr>
              <w:spacing w:line="276" w:lineRule="auto"/>
              <w:rPr>
                <w:rFonts w:eastAsia="Calibri"/>
              </w:rPr>
            </w:pPr>
          </w:p>
        </w:tc>
        <w:tc>
          <w:tcPr>
            <w:tcW w:w="1313" w:type="dxa"/>
            <w:tcBorders>
              <w:top w:val="single" w:sz="4" w:space="0" w:color="auto"/>
              <w:left w:val="nil"/>
              <w:bottom w:val="single" w:sz="8" w:space="0" w:color="auto"/>
              <w:right w:val="single" w:sz="8" w:space="0" w:color="auto"/>
            </w:tcBorders>
          </w:tcPr>
          <w:p w14:paraId="54C739DC" w14:textId="77777777" w:rsidR="00EA6238" w:rsidRPr="00EA6238" w:rsidRDefault="00EA6238" w:rsidP="00EA6238">
            <w:pPr>
              <w:jc w:val="right"/>
              <w:rPr>
                <w:color w:val="000000"/>
              </w:rPr>
            </w:pPr>
            <w:r w:rsidRPr="00EA6238">
              <w:rPr>
                <w:color w:val="000000"/>
              </w:rPr>
              <w:t xml:space="preserve">$20,638.10 </w:t>
            </w:r>
          </w:p>
          <w:p w14:paraId="6F140A43" w14:textId="60E58892" w:rsidR="00242E62" w:rsidRPr="00EA6238" w:rsidRDefault="00242E62" w:rsidP="00242E62">
            <w:pPr>
              <w:spacing w:line="276" w:lineRule="auto"/>
              <w:jc w:val="right"/>
              <w:rPr>
                <w:rFonts w:eastAsia="Calibri"/>
                <w:b/>
              </w:rPr>
            </w:pPr>
          </w:p>
        </w:tc>
      </w:tr>
    </w:tbl>
    <w:p w14:paraId="1F7591A4" w14:textId="77777777" w:rsidR="0013011F" w:rsidRDefault="0013011F" w:rsidP="0013011F">
      <w:bookmarkStart w:id="54" w:name="_Toc443881758"/>
      <w:bookmarkStart w:id="55" w:name="_Toc451592245"/>
      <w:bookmarkStart w:id="56" w:name="_Toc5610286"/>
      <w:bookmarkStart w:id="57" w:name="_Toc99178792"/>
      <w:bookmarkEnd w:id="53"/>
      <w:r>
        <w:t>*</w:t>
      </w:r>
      <w:r w:rsidRPr="009747F4">
        <w:rPr>
          <w:sz w:val="18"/>
          <w:szCs w:val="18"/>
        </w:rPr>
        <w:t>the</w:t>
      </w:r>
      <w:r>
        <w:t xml:space="preserve"> </w:t>
      </w:r>
      <w:r w:rsidRPr="009747F4">
        <w:rPr>
          <w:sz w:val="18"/>
          <w:szCs w:val="18"/>
        </w:rPr>
        <w:t>Salary in table above is cited from</w:t>
      </w:r>
      <w:r>
        <w:t xml:space="preserve"> </w:t>
      </w:r>
      <w:hyperlink r:id="rId12"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14:paraId="0F41DE21" w14:textId="77777777" w:rsidR="00D41C54" w:rsidRDefault="00D41C54" w:rsidP="00E36A07">
      <w:pPr>
        <w:pStyle w:val="Heading2"/>
        <w:tabs>
          <w:tab w:val="clear" w:pos="1152"/>
          <w:tab w:val="left" w:pos="720"/>
        </w:tabs>
        <w:spacing w:after="0" w:line="480" w:lineRule="auto"/>
        <w:ind w:left="0" w:firstLine="0"/>
        <w:rPr>
          <w:sz w:val="24"/>
          <w:szCs w:val="24"/>
        </w:rPr>
      </w:pPr>
    </w:p>
    <w:p w14:paraId="52CD0844" w14:textId="06589467" w:rsidR="00E36A07" w:rsidRPr="00D61E21" w:rsidRDefault="00E36A07" w:rsidP="00E36A07">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15</w:t>
      </w:r>
      <w:r w:rsidRPr="00D61E21">
        <w:rPr>
          <w:sz w:val="24"/>
          <w:szCs w:val="24"/>
        </w:rPr>
        <w:tab/>
        <w:t>Explanation for Program Changes or Adjustments</w:t>
      </w:r>
      <w:bookmarkEnd w:id="54"/>
      <w:bookmarkEnd w:id="55"/>
      <w:bookmarkEnd w:id="56"/>
      <w:bookmarkEnd w:id="57"/>
    </w:p>
    <w:p w14:paraId="1EC2E91B" w14:textId="4B40D744" w:rsidR="00D93F4E" w:rsidRDefault="00B45D77" w:rsidP="00807E31">
      <w:pPr>
        <w:pStyle w:val="Heading2"/>
        <w:tabs>
          <w:tab w:val="clear" w:pos="1152"/>
          <w:tab w:val="left" w:pos="720"/>
        </w:tabs>
        <w:spacing w:after="0" w:line="480" w:lineRule="auto"/>
        <w:ind w:left="0" w:firstLine="0"/>
        <w:rPr>
          <w:b w:val="0"/>
          <w:sz w:val="24"/>
          <w:szCs w:val="24"/>
        </w:rPr>
      </w:pPr>
      <w:bookmarkStart w:id="58" w:name="_Toc443881759"/>
      <w:bookmarkStart w:id="59" w:name="_Toc451592246"/>
      <w:bookmarkStart w:id="60" w:name="_Toc5610287"/>
      <w:bookmarkStart w:id="61" w:name="_Toc99178793"/>
      <w:r>
        <w:rPr>
          <w:b w:val="0"/>
          <w:sz w:val="24"/>
          <w:szCs w:val="24"/>
          <w:highlight w:val="yellow"/>
        </w:rPr>
        <w:t xml:space="preserve">This submission has been converted to a common form.  </w:t>
      </w:r>
      <w:r w:rsidR="00201D39" w:rsidRPr="00201D39">
        <w:rPr>
          <w:b w:val="0"/>
          <w:sz w:val="24"/>
          <w:szCs w:val="24"/>
          <w:highlight w:val="yellow"/>
        </w:rPr>
        <w:t xml:space="preserve">The only program changes or adjustment is a request to add nine new questions related to scientific goals and objectives, RFA Goals, and Program Support. These new questions are highlighted in the attached survey (Attachment </w:t>
      </w:r>
      <w:r w:rsidR="00515631">
        <w:rPr>
          <w:b w:val="0"/>
          <w:sz w:val="24"/>
          <w:szCs w:val="24"/>
          <w:highlight w:val="yellow"/>
        </w:rPr>
        <w:t>A</w:t>
      </w:r>
      <w:r w:rsidR="00201D39" w:rsidRPr="00201D39">
        <w:rPr>
          <w:b w:val="0"/>
          <w:sz w:val="24"/>
          <w:szCs w:val="24"/>
          <w:highlight w:val="yellow"/>
        </w:rPr>
        <w:t>)</w:t>
      </w:r>
      <w:r w:rsidR="005473DB">
        <w:rPr>
          <w:b w:val="0"/>
          <w:sz w:val="24"/>
          <w:szCs w:val="24"/>
          <w:highlight w:val="yellow"/>
        </w:rPr>
        <w:t>. The new questions do not add to the response burden because we do not require respondents to answer every question, but rather we pick those questions that are most relevant to the scientific program we are analyzing.</w:t>
      </w:r>
    </w:p>
    <w:p w14:paraId="01CC87BE" w14:textId="77777777" w:rsidR="00807E31" w:rsidRDefault="00807E31" w:rsidP="00807E31">
      <w:pPr>
        <w:pStyle w:val="Heading2"/>
        <w:tabs>
          <w:tab w:val="clear" w:pos="1152"/>
          <w:tab w:val="left" w:pos="720"/>
        </w:tabs>
        <w:spacing w:after="0" w:line="480" w:lineRule="auto"/>
        <w:ind w:left="0" w:firstLine="0"/>
        <w:rPr>
          <w:sz w:val="24"/>
          <w:szCs w:val="24"/>
        </w:rPr>
      </w:pPr>
      <w:r>
        <w:rPr>
          <w:sz w:val="24"/>
          <w:szCs w:val="24"/>
        </w:rPr>
        <w:t>A.</w:t>
      </w:r>
      <w:r w:rsidRPr="00D61E21">
        <w:rPr>
          <w:sz w:val="24"/>
          <w:szCs w:val="24"/>
        </w:rPr>
        <w:t>16</w:t>
      </w:r>
      <w:r w:rsidRPr="00D61E21">
        <w:rPr>
          <w:sz w:val="24"/>
          <w:szCs w:val="24"/>
        </w:rPr>
        <w:tab/>
        <w:t>Plans for Tabulation and Publication and Project Time Schedule</w:t>
      </w:r>
      <w:bookmarkEnd w:id="58"/>
      <w:bookmarkEnd w:id="59"/>
      <w:bookmarkEnd w:id="60"/>
      <w:bookmarkEnd w:id="61"/>
    </w:p>
    <w:p w14:paraId="2226CF78" w14:textId="28FCB734" w:rsidR="00515631" w:rsidRPr="00290902" w:rsidRDefault="0044516B" w:rsidP="00515631">
      <w:pPr>
        <w:pStyle w:val="Tablehead"/>
      </w:pPr>
      <w:r>
        <w:t>Data analysis plans are detailed</w:t>
      </w:r>
      <w:r w:rsidR="00D94B1A">
        <w:t xml:space="preserve"> </w:t>
      </w:r>
      <w:r>
        <w:t xml:space="preserve">in Attachment </w:t>
      </w:r>
      <w:r w:rsidR="00455F78">
        <w:t xml:space="preserve">C </w:t>
      </w:r>
      <w:r>
        <w:t xml:space="preserve">NIEHS DEGDC </w:t>
      </w:r>
      <w:r w:rsidRPr="00267009">
        <w:t>Table Shells</w:t>
      </w:r>
      <w:r>
        <w:t xml:space="preserve">. </w:t>
      </w:r>
      <w:r w:rsidR="00515631" w:rsidRPr="003C1CE4">
        <w:t>Upon completion of the data analys</w:t>
      </w:r>
      <w:r w:rsidR="00515631">
        <w:t>e</w:t>
      </w:r>
      <w:r w:rsidR="00515631" w:rsidRPr="003C1CE4">
        <w:t>s</w:t>
      </w:r>
      <w:r w:rsidR="00515631" w:rsidRPr="00764992">
        <w:t>, NICHD, NIDCD, NIMH, NINDS, NIEHS</w:t>
      </w:r>
      <w:r w:rsidR="00515631">
        <w:t>,</w:t>
      </w:r>
      <w:r w:rsidR="00515631" w:rsidRPr="00764992">
        <w:t xml:space="preserve"> </w:t>
      </w:r>
      <w:r w:rsidR="00515631" w:rsidRPr="008F4BC1">
        <w:t>NCI</w:t>
      </w:r>
      <w:r w:rsidR="00515631">
        <w:t xml:space="preserve">, </w:t>
      </w:r>
      <w:r w:rsidR="00515631" w:rsidRPr="00764992">
        <w:rPr>
          <w:highlight w:val="yellow"/>
        </w:rPr>
        <w:t>and EPA</w:t>
      </w:r>
      <w:r w:rsidR="00515631">
        <w:t xml:space="preserve"> </w:t>
      </w:r>
      <w:r w:rsidR="00515631" w:rsidRPr="00764992">
        <w:t>will prepare technical reports intended</w:t>
      </w:r>
      <w:r w:rsidR="00515631">
        <w:t xml:space="preserve"> for internal audience</w:t>
      </w:r>
      <w:r w:rsidR="00515631" w:rsidRPr="003C1CE4">
        <w:t xml:space="preserve">. </w:t>
      </w:r>
      <w:r w:rsidR="00515631">
        <w:t xml:space="preserve">If the findings warrant further dissemination, we will publish the results of the various portfolio evaluations </w:t>
      </w:r>
      <w:r w:rsidR="00515631" w:rsidRPr="003C1CE4">
        <w:t xml:space="preserve">in peer-reviewed journals.  </w:t>
      </w:r>
      <w:r w:rsidR="00515631">
        <w:t>We do not have a defined time schedule. However, once a research portfolio is identified for an evaluation, we will follow the standard schedule below.</w:t>
      </w:r>
    </w:p>
    <w:p w14:paraId="16222DB7" w14:textId="77777777" w:rsidR="0018777A" w:rsidRPr="00E35DD1" w:rsidRDefault="0018777A" w:rsidP="0018777A"/>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3632"/>
      </w:tblGrid>
      <w:tr w:rsidR="00515631" w:rsidRPr="003C1CE4" w14:paraId="24B2B701" w14:textId="77777777" w:rsidTr="00FB7EEE">
        <w:trPr>
          <w:jc w:val="center"/>
        </w:trPr>
        <w:tc>
          <w:tcPr>
            <w:tcW w:w="9027" w:type="dxa"/>
            <w:gridSpan w:val="2"/>
            <w:tcBorders>
              <w:top w:val="single" w:sz="4" w:space="0" w:color="auto"/>
              <w:left w:val="single" w:sz="4" w:space="0" w:color="auto"/>
              <w:right w:val="single" w:sz="4" w:space="0" w:color="auto"/>
            </w:tcBorders>
            <w:vAlign w:val="center"/>
          </w:tcPr>
          <w:p w14:paraId="2F1A72CC" w14:textId="545FDF57" w:rsidR="00515631" w:rsidRPr="00515631" w:rsidRDefault="00515631" w:rsidP="00C67E99">
            <w:pPr>
              <w:tabs>
                <w:tab w:val="left" w:pos="-1440"/>
              </w:tabs>
              <w:jc w:val="center"/>
              <w:rPr>
                <w:b/>
              </w:rPr>
            </w:pPr>
            <w:r w:rsidRPr="00C67E99">
              <w:rPr>
                <w:b/>
                <w:color w:val="000000" w:themeColor="text1"/>
              </w:rPr>
              <w:t>A.16 - 1  Project Time Schedule</w:t>
            </w:r>
          </w:p>
        </w:tc>
      </w:tr>
      <w:tr w:rsidR="00290902" w:rsidRPr="003C1CE4" w14:paraId="1941E45F" w14:textId="77777777" w:rsidTr="00C67E99">
        <w:trPr>
          <w:jc w:val="center"/>
        </w:trPr>
        <w:tc>
          <w:tcPr>
            <w:tcW w:w="5395" w:type="dxa"/>
            <w:tcBorders>
              <w:top w:val="single" w:sz="4" w:space="0" w:color="auto"/>
              <w:left w:val="single" w:sz="4" w:space="0" w:color="auto"/>
              <w:right w:val="single" w:sz="4" w:space="0" w:color="auto"/>
            </w:tcBorders>
            <w:vAlign w:val="center"/>
          </w:tcPr>
          <w:p w14:paraId="7BB6223B" w14:textId="77777777" w:rsidR="00290902" w:rsidRPr="00290902" w:rsidRDefault="00290902" w:rsidP="007767C2">
            <w:pPr>
              <w:tabs>
                <w:tab w:val="left" w:pos="-1440"/>
              </w:tabs>
              <w:rPr>
                <w:b/>
              </w:rPr>
            </w:pPr>
            <w:r w:rsidRPr="00290902">
              <w:rPr>
                <w:b/>
              </w:rPr>
              <w:t>Activity</w:t>
            </w:r>
          </w:p>
        </w:tc>
        <w:tc>
          <w:tcPr>
            <w:tcW w:w="3632" w:type="dxa"/>
            <w:tcBorders>
              <w:top w:val="single" w:sz="4" w:space="0" w:color="auto"/>
              <w:left w:val="single" w:sz="4" w:space="0" w:color="auto"/>
              <w:right w:val="single" w:sz="4" w:space="0" w:color="auto"/>
            </w:tcBorders>
            <w:vAlign w:val="center"/>
          </w:tcPr>
          <w:p w14:paraId="154C1936" w14:textId="65CB3E5D" w:rsidR="00290902" w:rsidRPr="00290902" w:rsidRDefault="00515631" w:rsidP="007767C2">
            <w:pPr>
              <w:tabs>
                <w:tab w:val="left" w:pos="-1440"/>
              </w:tabs>
              <w:rPr>
                <w:b/>
              </w:rPr>
            </w:pPr>
            <w:r>
              <w:rPr>
                <w:b/>
              </w:rPr>
              <w:t xml:space="preserve">Time </w:t>
            </w:r>
            <w:r w:rsidR="00290902" w:rsidRPr="00290902">
              <w:rPr>
                <w:b/>
              </w:rPr>
              <w:t xml:space="preserve">Schedule </w:t>
            </w:r>
          </w:p>
          <w:p w14:paraId="236FF620" w14:textId="762273A8" w:rsidR="00290902" w:rsidRPr="00290902" w:rsidRDefault="00290902" w:rsidP="007767C2">
            <w:pPr>
              <w:tabs>
                <w:tab w:val="left" w:pos="-1440"/>
              </w:tabs>
              <w:rPr>
                <w:b/>
              </w:rPr>
            </w:pPr>
          </w:p>
        </w:tc>
      </w:tr>
      <w:tr w:rsidR="00290902" w:rsidRPr="003C1CE4" w14:paraId="7D8B40C6" w14:textId="77777777" w:rsidTr="00C67E99">
        <w:trPr>
          <w:jc w:val="center"/>
        </w:trPr>
        <w:tc>
          <w:tcPr>
            <w:tcW w:w="5395" w:type="dxa"/>
            <w:tcBorders>
              <w:left w:val="single" w:sz="4" w:space="0" w:color="auto"/>
            </w:tcBorders>
            <w:vAlign w:val="center"/>
          </w:tcPr>
          <w:p w14:paraId="0FE2D393" w14:textId="77777777" w:rsidR="00290902" w:rsidRPr="003C1CE4" w:rsidRDefault="00290902" w:rsidP="00290902">
            <w:pPr>
              <w:tabs>
                <w:tab w:val="left" w:pos="-1440"/>
              </w:tabs>
            </w:pPr>
            <w:r w:rsidRPr="003C1CE4">
              <w:t>Identify</w:t>
            </w:r>
            <w:r>
              <w:t xml:space="preserve"> grantees in the research portfolio</w:t>
            </w:r>
            <w:r w:rsidRPr="003C1CE4">
              <w:t xml:space="preserve"> </w:t>
            </w:r>
          </w:p>
        </w:tc>
        <w:tc>
          <w:tcPr>
            <w:tcW w:w="3632" w:type="dxa"/>
            <w:tcBorders>
              <w:right w:val="single" w:sz="4" w:space="0" w:color="auto"/>
            </w:tcBorders>
            <w:vAlign w:val="center"/>
          </w:tcPr>
          <w:p w14:paraId="0BDB77B0" w14:textId="22BBE6E6" w:rsidR="00290902" w:rsidRPr="003C1CE4" w:rsidRDefault="00C67E99" w:rsidP="007767C2">
            <w:pPr>
              <w:tabs>
                <w:tab w:val="left" w:pos="-1440"/>
              </w:tabs>
            </w:pPr>
            <w:r>
              <w:t>1 week after OMB approval</w:t>
            </w:r>
          </w:p>
        </w:tc>
      </w:tr>
      <w:tr w:rsidR="00290902" w:rsidRPr="003C1CE4" w14:paraId="60458EC4" w14:textId="77777777" w:rsidTr="00C67E99">
        <w:trPr>
          <w:jc w:val="center"/>
        </w:trPr>
        <w:tc>
          <w:tcPr>
            <w:tcW w:w="5395" w:type="dxa"/>
            <w:tcBorders>
              <w:left w:val="single" w:sz="4" w:space="0" w:color="auto"/>
            </w:tcBorders>
            <w:vAlign w:val="center"/>
          </w:tcPr>
          <w:p w14:paraId="6240E1B7" w14:textId="77777777" w:rsidR="00290902" w:rsidRPr="003C1CE4" w:rsidRDefault="00290902" w:rsidP="00290902">
            <w:pPr>
              <w:tabs>
                <w:tab w:val="left" w:pos="-1440"/>
              </w:tabs>
            </w:pPr>
            <w:r>
              <w:t>Invite grantees to participate via email contact, trace and correct</w:t>
            </w:r>
            <w:r w:rsidRPr="003C1CE4">
              <w:t xml:space="preserve"> email bounce backs</w:t>
            </w:r>
          </w:p>
        </w:tc>
        <w:tc>
          <w:tcPr>
            <w:tcW w:w="3632" w:type="dxa"/>
            <w:tcBorders>
              <w:right w:val="single" w:sz="4" w:space="0" w:color="auto"/>
            </w:tcBorders>
            <w:vAlign w:val="center"/>
          </w:tcPr>
          <w:p w14:paraId="6E2017FF" w14:textId="1D95CA91" w:rsidR="00290902" w:rsidRPr="003C1CE4" w:rsidRDefault="00C67E99" w:rsidP="007767C2">
            <w:pPr>
              <w:tabs>
                <w:tab w:val="left" w:pos="-1440"/>
              </w:tabs>
            </w:pPr>
            <w:r>
              <w:t>1 month after OMB approval</w:t>
            </w:r>
          </w:p>
        </w:tc>
      </w:tr>
      <w:tr w:rsidR="00290902" w:rsidRPr="003C1CE4" w14:paraId="2F020845" w14:textId="77777777" w:rsidTr="00C67E99">
        <w:trPr>
          <w:jc w:val="center"/>
        </w:trPr>
        <w:tc>
          <w:tcPr>
            <w:tcW w:w="5395" w:type="dxa"/>
            <w:tcBorders>
              <w:left w:val="single" w:sz="4" w:space="0" w:color="auto"/>
            </w:tcBorders>
            <w:vAlign w:val="center"/>
          </w:tcPr>
          <w:p w14:paraId="6782DC3A" w14:textId="77777777" w:rsidR="00290902" w:rsidRPr="003C1CE4" w:rsidRDefault="00290902" w:rsidP="007767C2">
            <w:pPr>
              <w:tabs>
                <w:tab w:val="left" w:pos="-1440"/>
              </w:tabs>
            </w:pPr>
            <w:r>
              <w:t>Monitor web-based and paper based data submissions</w:t>
            </w:r>
          </w:p>
        </w:tc>
        <w:tc>
          <w:tcPr>
            <w:tcW w:w="3632" w:type="dxa"/>
            <w:tcBorders>
              <w:right w:val="single" w:sz="4" w:space="0" w:color="auto"/>
            </w:tcBorders>
            <w:vAlign w:val="center"/>
          </w:tcPr>
          <w:p w14:paraId="224793E9" w14:textId="1688DB52" w:rsidR="00290902" w:rsidRPr="003C1CE4" w:rsidRDefault="00290902" w:rsidP="007767C2">
            <w:pPr>
              <w:tabs>
                <w:tab w:val="left" w:pos="-1440"/>
              </w:tabs>
            </w:pPr>
            <w:r>
              <w:t>2-3</w:t>
            </w:r>
            <w:r w:rsidR="00C67E99">
              <w:t xml:space="preserve"> months after OMB approval</w:t>
            </w:r>
          </w:p>
        </w:tc>
      </w:tr>
      <w:tr w:rsidR="00290902" w:rsidRPr="003C1CE4" w14:paraId="0C49B5CD" w14:textId="77777777" w:rsidTr="00C67E99">
        <w:trPr>
          <w:jc w:val="center"/>
        </w:trPr>
        <w:tc>
          <w:tcPr>
            <w:tcW w:w="5395" w:type="dxa"/>
            <w:tcBorders>
              <w:left w:val="single" w:sz="4" w:space="0" w:color="auto"/>
            </w:tcBorders>
            <w:vAlign w:val="center"/>
          </w:tcPr>
          <w:p w14:paraId="7C040280" w14:textId="77777777" w:rsidR="00290902" w:rsidRPr="003C1CE4" w:rsidRDefault="00290902" w:rsidP="00290902">
            <w:pPr>
              <w:tabs>
                <w:tab w:val="left" w:pos="-1440"/>
              </w:tabs>
            </w:pPr>
            <w:r w:rsidRPr="003C1CE4">
              <w:t xml:space="preserve">Conduct </w:t>
            </w:r>
            <w:r>
              <w:t xml:space="preserve">email follow-ups </w:t>
            </w:r>
          </w:p>
        </w:tc>
        <w:tc>
          <w:tcPr>
            <w:tcW w:w="3632" w:type="dxa"/>
            <w:tcBorders>
              <w:right w:val="single" w:sz="4" w:space="0" w:color="auto"/>
            </w:tcBorders>
            <w:vAlign w:val="center"/>
          </w:tcPr>
          <w:p w14:paraId="40E0D49F" w14:textId="48016834" w:rsidR="00290902" w:rsidRPr="003C1CE4" w:rsidRDefault="00C67E99" w:rsidP="007767C2">
            <w:pPr>
              <w:tabs>
                <w:tab w:val="left" w:pos="-1440"/>
              </w:tabs>
            </w:pPr>
            <w:r>
              <w:t>2-3 months after OMB approval</w:t>
            </w:r>
          </w:p>
        </w:tc>
      </w:tr>
      <w:tr w:rsidR="00290902" w:rsidRPr="003C1CE4" w14:paraId="598B63EC" w14:textId="77777777" w:rsidTr="00C67E99">
        <w:trPr>
          <w:jc w:val="center"/>
        </w:trPr>
        <w:tc>
          <w:tcPr>
            <w:tcW w:w="5395" w:type="dxa"/>
            <w:tcBorders>
              <w:left w:val="single" w:sz="4" w:space="0" w:color="auto"/>
            </w:tcBorders>
            <w:vAlign w:val="center"/>
          </w:tcPr>
          <w:p w14:paraId="32627715" w14:textId="77777777" w:rsidR="00290902" w:rsidRPr="003C1CE4" w:rsidRDefault="00290902" w:rsidP="007767C2">
            <w:pPr>
              <w:tabs>
                <w:tab w:val="left" w:pos="-1440"/>
              </w:tabs>
            </w:pPr>
            <w:r w:rsidRPr="003C1CE4">
              <w:t>Data coding, entry, and cleaning</w:t>
            </w:r>
          </w:p>
        </w:tc>
        <w:tc>
          <w:tcPr>
            <w:tcW w:w="3632" w:type="dxa"/>
            <w:tcBorders>
              <w:right w:val="single" w:sz="4" w:space="0" w:color="auto"/>
            </w:tcBorders>
            <w:vAlign w:val="center"/>
          </w:tcPr>
          <w:p w14:paraId="067F37C6" w14:textId="63A5E311" w:rsidR="00290902" w:rsidRPr="003C1CE4" w:rsidRDefault="00C67E99" w:rsidP="007767C2">
            <w:pPr>
              <w:tabs>
                <w:tab w:val="left" w:pos="-1440"/>
              </w:tabs>
            </w:pPr>
            <w:r>
              <w:t>4 months after OMB approval</w:t>
            </w:r>
          </w:p>
        </w:tc>
      </w:tr>
      <w:tr w:rsidR="00290902" w:rsidRPr="003C1CE4" w14:paraId="7B1B0961" w14:textId="77777777" w:rsidTr="00C67E99">
        <w:trPr>
          <w:jc w:val="center"/>
        </w:trPr>
        <w:tc>
          <w:tcPr>
            <w:tcW w:w="5395" w:type="dxa"/>
            <w:tcBorders>
              <w:left w:val="single" w:sz="4" w:space="0" w:color="auto"/>
            </w:tcBorders>
            <w:vAlign w:val="center"/>
          </w:tcPr>
          <w:p w14:paraId="53852907" w14:textId="77777777" w:rsidR="00290902" w:rsidRPr="003C1CE4" w:rsidRDefault="00290902" w:rsidP="007767C2">
            <w:pPr>
              <w:tabs>
                <w:tab w:val="left" w:pos="-1440"/>
              </w:tabs>
            </w:pPr>
            <w:r w:rsidRPr="003C1CE4">
              <w:t>Data analysis</w:t>
            </w:r>
          </w:p>
        </w:tc>
        <w:tc>
          <w:tcPr>
            <w:tcW w:w="3632" w:type="dxa"/>
            <w:tcBorders>
              <w:right w:val="single" w:sz="4" w:space="0" w:color="auto"/>
            </w:tcBorders>
            <w:vAlign w:val="center"/>
          </w:tcPr>
          <w:p w14:paraId="3683D8A5" w14:textId="4E5754D4" w:rsidR="00290902" w:rsidRPr="003C1CE4" w:rsidRDefault="00C67E99" w:rsidP="007767C2">
            <w:pPr>
              <w:tabs>
                <w:tab w:val="left" w:pos="-1440"/>
              </w:tabs>
            </w:pPr>
            <w:r>
              <w:t>4 months after OMB approval</w:t>
            </w:r>
          </w:p>
        </w:tc>
      </w:tr>
      <w:tr w:rsidR="00290902" w:rsidRPr="003C1CE4" w14:paraId="0B3C6FC3" w14:textId="77777777" w:rsidTr="00C67E99">
        <w:trPr>
          <w:jc w:val="center"/>
        </w:trPr>
        <w:tc>
          <w:tcPr>
            <w:tcW w:w="5395" w:type="dxa"/>
            <w:tcBorders>
              <w:left w:val="single" w:sz="4" w:space="0" w:color="auto"/>
            </w:tcBorders>
            <w:vAlign w:val="center"/>
          </w:tcPr>
          <w:p w14:paraId="5743CD77" w14:textId="77777777" w:rsidR="00290902" w:rsidRPr="003C1CE4" w:rsidRDefault="00290902" w:rsidP="007767C2">
            <w:pPr>
              <w:tabs>
                <w:tab w:val="left" w:pos="-1440"/>
              </w:tabs>
            </w:pPr>
            <w:r w:rsidRPr="003C1CE4">
              <w:t>Final  report</w:t>
            </w:r>
          </w:p>
        </w:tc>
        <w:tc>
          <w:tcPr>
            <w:tcW w:w="3632" w:type="dxa"/>
            <w:tcBorders>
              <w:right w:val="single" w:sz="4" w:space="0" w:color="auto"/>
            </w:tcBorders>
            <w:vAlign w:val="center"/>
          </w:tcPr>
          <w:p w14:paraId="5F2E388D" w14:textId="41607DBF" w:rsidR="00290902" w:rsidRPr="003C1CE4" w:rsidRDefault="00C67E99" w:rsidP="007767C2">
            <w:pPr>
              <w:tabs>
                <w:tab w:val="left" w:pos="-1440"/>
              </w:tabs>
            </w:pPr>
            <w:r>
              <w:t>4 months after OMB approval</w:t>
            </w:r>
          </w:p>
        </w:tc>
      </w:tr>
    </w:tbl>
    <w:p w14:paraId="28984CF4" w14:textId="77777777" w:rsidR="00290902" w:rsidRDefault="00290902" w:rsidP="00807E31"/>
    <w:p w14:paraId="75CD008F" w14:textId="77777777" w:rsidR="00290902" w:rsidRDefault="00290902" w:rsidP="00807E31"/>
    <w:p w14:paraId="549B5892" w14:textId="77777777" w:rsidR="00807E31" w:rsidRPr="00D61E21" w:rsidRDefault="00807E31" w:rsidP="00807E31">
      <w:pPr>
        <w:pStyle w:val="Heading2"/>
        <w:tabs>
          <w:tab w:val="clear" w:pos="1152"/>
          <w:tab w:val="left" w:pos="720"/>
        </w:tabs>
        <w:spacing w:after="0" w:line="480" w:lineRule="auto"/>
        <w:ind w:left="0" w:firstLine="0"/>
        <w:rPr>
          <w:sz w:val="24"/>
          <w:szCs w:val="24"/>
        </w:rPr>
      </w:pPr>
      <w:bookmarkStart w:id="62" w:name="_Toc443881760"/>
      <w:bookmarkStart w:id="63" w:name="_Toc451592247"/>
      <w:bookmarkStart w:id="64" w:name="_Toc5610288"/>
      <w:bookmarkStart w:id="65" w:name="_Toc99178794"/>
      <w:r>
        <w:rPr>
          <w:sz w:val="24"/>
          <w:szCs w:val="24"/>
        </w:rPr>
        <w:t>A.</w:t>
      </w:r>
      <w:r w:rsidRPr="00D61E21">
        <w:rPr>
          <w:sz w:val="24"/>
          <w:szCs w:val="24"/>
        </w:rPr>
        <w:t>17</w:t>
      </w:r>
      <w:r w:rsidRPr="00D61E21">
        <w:rPr>
          <w:sz w:val="24"/>
          <w:szCs w:val="24"/>
        </w:rPr>
        <w:tab/>
        <w:t>Reason(s) Display of OMB Expiration Date is Inappropriate</w:t>
      </w:r>
      <w:bookmarkEnd w:id="62"/>
      <w:bookmarkEnd w:id="63"/>
      <w:bookmarkEnd w:id="64"/>
      <w:bookmarkEnd w:id="65"/>
    </w:p>
    <w:p w14:paraId="66A1C529" w14:textId="77777777" w:rsidR="00CA1518" w:rsidRDefault="00CA1518" w:rsidP="00CA1518">
      <w:pPr>
        <w:keepNext/>
        <w:keepLines/>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pPr>
      <w:r w:rsidRPr="003C1CE4">
        <w:t>No exemption from display o</w:t>
      </w:r>
      <w:r>
        <w:t>f expiration date is requested.</w:t>
      </w:r>
    </w:p>
    <w:p w14:paraId="671593DA" w14:textId="77777777" w:rsidR="00CA1518" w:rsidRPr="00AF7F72" w:rsidRDefault="00CA1518" w:rsidP="00CA1518">
      <w:pPr>
        <w:pStyle w:val="Head1"/>
      </w:pPr>
      <w:bookmarkStart w:id="66" w:name="_Toc179609166"/>
      <w:r>
        <w:t xml:space="preserve">A.18. </w:t>
      </w:r>
      <w:r w:rsidRPr="003C1CE4">
        <w:t>Exceptions to Certification for Paperwork Reduction Act Submissions</w:t>
      </w:r>
      <w:bookmarkEnd w:id="66"/>
    </w:p>
    <w:p w14:paraId="41D609DB" w14:textId="77777777" w:rsidR="00CA1518" w:rsidRPr="003C1CE4" w:rsidRDefault="00CA1518" w:rsidP="00CA1518">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480" w:lineRule="auto"/>
        <w:outlineLvl w:val="0"/>
      </w:pPr>
      <w:r w:rsidRPr="003C1CE4">
        <w:t>No exceptions to certification are sought.</w:t>
      </w:r>
    </w:p>
    <w:p w14:paraId="4B44F378" w14:textId="77777777" w:rsidR="003378FA" w:rsidRPr="00267009" w:rsidRDefault="00CA02BF" w:rsidP="00253C78">
      <w:r w:rsidRPr="00267009">
        <w:t xml:space="preserve">  </w:t>
      </w:r>
      <w:r w:rsidR="003378FA" w:rsidRPr="00267009">
        <w:t xml:space="preserve">                             </w:t>
      </w:r>
    </w:p>
    <w:p w14:paraId="106E229A" w14:textId="6BBACE70" w:rsidR="0093431F" w:rsidRPr="00267009" w:rsidRDefault="0093431F" w:rsidP="00253C78">
      <w:pPr>
        <w:rPr>
          <w:sz w:val="32"/>
          <w:szCs w:val="32"/>
        </w:rPr>
      </w:pPr>
    </w:p>
    <w:sectPr w:rsidR="0093431F" w:rsidRPr="00267009" w:rsidSect="006E13FC">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DD4DF" w14:textId="77777777" w:rsidR="008630DB" w:rsidRDefault="008630DB">
      <w:r>
        <w:separator/>
      </w:r>
    </w:p>
  </w:endnote>
  <w:endnote w:type="continuationSeparator" w:id="0">
    <w:p w14:paraId="616DEB46" w14:textId="77777777" w:rsidR="008630DB" w:rsidRDefault="0086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Univers 47 CondensedLight">
    <w:altName w:val="Univers 47 CondensedLight"/>
    <w:panose1 w:val="00000000000000000000"/>
    <w:charset w:val="00"/>
    <w:family w:val="swiss"/>
    <w:notTrueType/>
    <w:pitch w:val="variable"/>
    <w:sig w:usb0="00000003" w:usb1="00000000" w:usb2="00000000" w:usb3="00000000" w:csb0="00000001" w:csb1="00000000"/>
  </w:font>
  <w:font w:name="Melior-Bol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C61AB" w14:textId="1A26CA5F" w:rsidR="002B52BB" w:rsidRDefault="002B52BB" w:rsidP="007143FA">
    <w:pPr>
      <w:pStyle w:val="Footer"/>
      <w:tabs>
        <w:tab w:val="clear" w:pos="4320"/>
        <w:tab w:val="clear" w:pos="8640"/>
        <w:tab w:val="left" w:pos="3600"/>
        <w:tab w:val="right" w:pos="9360"/>
      </w:tabs>
      <w:jc w:val="center"/>
      <w:rPr>
        <w:sz w:val="20"/>
      </w:rPr>
    </w:pPr>
    <w:r>
      <w:rPr>
        <w:rStyle w:val="PageNumber"/>
      </w:rPr>
      <w:fldChar w:fldCharType="begin"/>
    </w:r>
    <w:r>
      <w:rPr>
        <w:rStyle w:val="PageNumber"/>
      </w:rPr>
      <w:instrText xml:space="preserve"> PAGE </w:instrText>
    </w:r>
    <w:r>
      <w:rPr>
        <w:rStyle w:val="PageNumber"/>
      </w:rPr>
      <w:fldChar w:fldCharType="separate"/>
    </w:r>
    <w:r w:rsidR="00C67E99">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E1CE0" w14:textId="77777777"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6865B" w14:textId="77777777" w:rsidR="002B52BB" w:rsidRDefault="002B5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AD0A8" w14:textId="4B139D04" w:rsidR="002B52BB" w:rsidRDefault="002B52BB"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835">
      <w:rPr>
        <w:rStyle w:val="PageNumber"/>
        <w:noProof/>
      </w:rPr>
      <w:t>2</w:t>
    </w:r>
    <w:r>
      <w:rPr>
        <w:rStyle w:val="PageNumber"/>
      </w:rPr>
      <w:fldChar w:fldCharType="end"/>
    </w:r>
  </w:p>
  <w:p w14:paraId="2E03AA0E" w14:textId="77777777" w:rsidR="002B52BB" w:rsidRDefault="002B52BB"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1E0AA" w14:textId="77777777" w:rsidR="008630DB" w:rsidRDefault="008630DB">
      <w:r>
        <w:separator/>
      </w:r>
    </w:p>
  </w:footnote>
  <w:footnote w:type="continuationSeparator" w:id="0">
    <w:p w14:paraId="136FA3F2" w14:textId="77777777" w:rsidR="008630DB" w:rsidRDefault="00863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E672F"/>
    <w:multiLevelType w:val="hybridMultilevel"/>
    <w:tmpl w:val="A8B6F702"/>
    <w:lvl w:ilvl="0" w:tplc="04090001">
      <w:start w:val="1"/>
      <w:numFmt w:val="bullet"/>
      <w:lvlText w:val=""/>
      <w:lvlJc w:val="left"/>
      <w:pPr>
        <w:ind w:left="4950" w:hanging="360"/>
      </w:pPr>
      <w:rPr>
        <w:rFonts w:ascii="Symbol" w:hAnsi="Symbol" w:hint="default"/>
      </w:rPr>
    </w:lvl>
    <w:lvl w:ilvl="1" w:tplc="04090003">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nsid w:val="1A64276D"/>
    <w:multiLevelType w:val="hybridMultilevel"/>
    <w:tmpl w:val="62DA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7619C"/>
    <w:multiLevelType w:val="multilevel"/>
    <w:tmpl w:val="CD1A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9E353A"/>
    <w:multiLevelType w:val="hybridMultilevel"/>
    <w:tmpl w:val="7D28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C423A"/>
    <w:multiLevelType w:val="hybridMultilevel"/>
    <w:tmpl w:val="F098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503FC"/>
    <w:multiLevelType w:val="hybridMultilevel"/>
    <w:tmpl w:val="48C6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nsid w:val="661A5102"/>
    <w:multiLevelType w:val="hybridMultilevel"/>
    <w:tmpl w:val="7CA667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1EB08CB"/>
    <w:multiLevelType w:val="hybridMultilevel"/>
    <w:tmpl w:val="5996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7793144"/>
    <w:multiLevelType w:val="hybridMultilevel"/>
    <w:tmpl w:val="6936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11"/>
  </w:num>
  <w:num w:numId="6">
    <w:abstractNumId w:val="6"/>
  </w:num>
  <w:num w:numId="7">
    <w:abstractNumId w:val="10"/>
  </w:num>
  <w:num w:numId="8">
    <w:abstractNumId w:val="9"/>
  </w:num>
  <w:num w:numId="9">
    <w:abstractNumId w:val="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7603"/>
    <w:rsid w:val="000123E2"/>
    <w:rsid w:val="0002707D"/>
    <w:rsid w:val="000317B0"/>
    <w:rsid w:val="00041715"/>
    <w:rsid w:val="0005035B"/>
    <w:rsid w:val="00053D8D"/>
    <w:rsid w:val="000541C8"/>
    <w:rsid w:val="00067402"/>
    <w:rsid w:val="00083374"/>
    <w:rsid w:val="000B7FA1"/>
    <w:rsid w:val="000C1B60"/>
    <w:rsid w:val="000D2D59"/>
    <w:rsid w:val="000F6123"/>
    <w:rsid w:val="001023FD"/>
    <w:rsid w:val="00103236"/>
    <w:rsid w:val="00107FC3"/>
    <w:rsid w:val="0011419E"/>
    <w:rsid w:val="00122EA1"/>
    <w:rsid w:val="0013011F"/>
    <w:rsid w:val="001461B0"/>
    <w:rsid w:val="001553FA"/>
    <w:rsid w:val="00156F51"/>
    <w:rsid w:val="0016182C"/>
    <w:rsid w:val="0018777A"/>
    <w:rsid w:val="0019360A"/>
    <w:rsid w:val="00194902"/>
    <w:rsid w:val="001C142B"/>
    <w:rsid w:val="001C3449"/>
    <w:rsid w:val="001E2C04"/>
    <w:rsid w:val="001F601E"/>
    <w:rsid w:val="00201D39"/>
    <w:rsid w:val="002052D1"/>
    <w:rsid w:val="00215843"/>
    <w:rsid w:val="00225835"/>
    <w:rsid w:val="0024029C"/>
    <w:rsid w:val="00242E62"/>
    <w:rsid w:val="00253C78"/>
    <w:rsid w:val="0026021E"/>
    <w:rsid w:val="00267009"/>
    <w:rsid w:val="00290902"/>
    <w:rsid w:val="002A5B21"/>
    <w:rsid w:val="002B52BB"/>
    <w:rsid w:val="002B705F"/>
    <w:rsid w:val="002D2CA0"/>
    <w:rsid w:val="002E1650"/>
    <w:rsid w:val="002E42A5"/>
    <w:rsid w:val="002E4814"/>
    <w:rsid w:val="002E6718"/>
    <w:rsid w:val="00302D1A"/>
    <w:rsid w:val="003209BA"/>
    <w:rsid w:val="00326840"/>
    <w:rsid w:val="003353F4"/>
    <w:rsid w:val="003378FA"/>
    <w:rsid w:val="003410DC"/>
    <w:rsid w:val="00371EE3"/>
    <w:rsid w:val="0038462D"/>
    <w:rsid w:val="00390805"/>
    <w:rsid w:val="00393D81"/>
    <w:rsid w:val="00397D89"/>
    <w:rsid w:val="003A0804"/>
    <w:rsid w:val="003B3547"/>
    <w:rsid w:val="003C758E"/>
    <w:rsid w:val="003D781C"/>
    <w:rsid w:val="003E5D3E"/>
    <w:rsid w:val="003F68E6"/>
    <w:rsid w:val="0044516B"/>
    <w:rsid w:val="00455F78"/>
    <w:rsid w:val="00460BCD"/>
    <w:rsid w:val="00472481"/>
    <w:rsid w:val="00476787"/>
    <w:rsid w:val="004A70E1"/>
    <w:rsid w:val="004C16AD"/>
    <w:rsid w:val="004D6336"/>
    <w:rsid w:val="004D74C4"/>
    <w:rsid w:val="004E037B"/>
    <w:rsid w:val="004F455F"/>
    <w:rsid w:val="004F77A5"/>
    <w:rsid w:val="00514470"/>
    <w:rsid w:val="00515631"/>
    <w:rsid w:val="00521AC3"/>
    <w:rsid w:val="00527BCD"/>
    <w:rsid w:val="00534561"/>
    <w:rsid w:val="005473DB"/>
    <w:rsid w:val="00563174"/>
    <w:rsid w:val="005955A1"/>
    <w:rsid w:val="005974BD"/>
    <w:rsid w:val="005C3DC2"/>
    <w:rsid w:val="005D3103"/>
    <w:rsid w:val="005E16C8"/>
    <w:rsid w:val="005E35D6"/>
    <w:rsid w:val="0061501B"/>
    <w:rsid w:val="0064007E"/>
    <w:rsid w:val="006522C0"/>
    <w:rsid w:val="00680E77"/>
    <w:rsid w:val="006900A4"/>
    <w:rsid w:val="006E07D8"/>
    <w:rsid w:val="006E13FC"/>
    <w:rsid w:val="006E557B"/>
    <w:rsid w:val="006F75FB"/>
    <w:rsid w:val="007143FA"/>
    <w:rsid w:val="00716D39"/>
    <w:rsid w:val="00733A59"/>
    <w:rsid w:val="00741EE3"/>
    <w:rsid w:val="00764992"/>
    <w:rsid w:val="007767C2"/>
    <w:rsid w:val="007B0EA8"/>
    <w:rsid w:val="007B295B"/>
    <w:rsid w:val="007C16BD"/>
    <w:rsid w:val="00803168"/>
    <w:rsid w:val="00807E31"/>
    <w:rsid w:val="00835A43"/>
    <w:rsid w:val="008368AE"/>
    <w:rsid w:val="0085671F"/>
    <w:rsid w:val="00856E5B"/>
    <w:rsid w:val="008601C7"/>
    <w:rsid w:val="008630DB"/>
    <w:rsid w:val="008723E2"/>
    <w:rsid w:val="00873E09"/>
    <w:rsid w:val="008A3FB8"/>
    <w:rsid w:val="008B2E91"/>
    <w:rsid w:val="008B3979"/>
    <w:rsid w:val="008C310E"/>
    <w:rsid w:val="008E24B8"/>
    <w:rsid w:val="008E57F0"/>
    <w:rsid w:val="008F048F"/>
    <w:rsid w:val="008F4BC1"/>
    <w:rsid w:val="00913438"/>
    <w:rsid w:val="00920001"/>
    <w:rsid w:val="0093431F"/>
    <w:rsid w:val="0093760D"/>
    <w:rsid w:val="00946C63"/>
    <w:rsid w:val="00952B80"/>
    <w:rsid w:val="009557CD"/>
    <w:rsid w:val="00957652"/>
    <w:rsid w:val="00963A5B"/>
    <w:rsid w:val="00967AAE"/>
    <w:rsid w:val="00975122"/>
    <w:rsid w:val="009814EE"/>
    <w:rsid w:val="009965F7"/>
    <w:rsid w:val="009A2854"/>
    <w:rsid w:val="009A5C3D"/>
    <w:rsid w:val="009B01FB"/>
    <w:rsid w:val="009C2538"/>
    <w:rsid w:val="00A05570"/>
    <w:rsid w:val="00A10AC6"/>
    <w:rsid w:val="00A276AB"/>
    <w:rsid w:val="00A43D4A"/>
    <w:rsid w:val="00A4558B"/>
    <w:rsid w:val="00A45EFE"/>
    <w:rsid w:val="00A71760"/>
    <w:rsid w:val="00A75A71"/>
    <w:rsid w:val="00A8778A"/>
    <w:rsid w:val="00AA0A3B"/>
    <w:rsid w:val="00AB751F"/>
    <w:rsid w:val="00AC244B"/>
    <w:rsid w:val="00AC43F3"/>
    <w:rsid w:val="00AC5511"/>
    <w:rsid w:val="00AC5F21"/>
    <w:rsid w:val="00AF6854"/>
    <w:rsid w:val="00B01143"/>
    <w:rsid w:val="00B06047"/>
    <w:rsid w:val="00B079F2"/>
    <w:rsid w:val="00B12D1F"/>
    <w:rsid w:val="00B41188"/>
    <w:rsid w:val="00B4139D"/>
    <w:rsid w:val="00B41EC6"/>
    <w:rsid w:val="00B45D77"/>
    <w:rsid w:val="00B5145C"/>
    <w:rsid w:val="00B55855"/>
    <w:rsid w:val="00B56401"/>
    <w:rsid w:val="00BA25AA"/>
    <w:rsid w:val="00BA728E"/>
    <w:rsid w:val="00BC4E67"/>
    <w:rsid w:val="00BD6179"/>
    <w:rsid w:val="00BF4042"/>
    <w:rsid w:val="00BF4ED9"/>
    <w:rsid w:val="00C23A2E"/>
    <w:rsid w:val="00C31C56"/>
    <w:rsid w:val="00C4373A"/>
    <w:rsid w:val="00C516F1"/>
    <w:rsid w:val="00C67E99"/>
    <w:rsid w:val="00C72A82"/>
    <w:rsid w:val="00C74CFE"/>
    <w:rsid w:val="00C835B9"/>
    <w:rsid w:val="00C94EE3"/>
    <w:rsid w:val="00C9784F"/>
    <w:rsid w:val="00CA02BF"/>
    <w:rsid w:val="00CA1518"/>
    <w:rsid w:val="00CA5E71"/>
    <w:rsid w:val="00CB2404"/>
    <w:rsid w:val="00CD51A6"/>
    <w:rsid w:val="00CD5ECF"/>
    <w:rsid w:val="00CD679B"/>
    <w:rsid w:val="00CE68A5"/>
    <w:rsid w:val="00CF55FF"/>
    <w:rsid w:val="00D05880"/>
    <w:rsid w:val="00D15FB0"/>
    <w:rsid w:val="00D23882"/>
    <w:rsid w:val="00D33E27"/>
    <w:rsid w:val="00D41C54"/>
    <w:rsid w:val="00D5053E"/>
    <w:rsid w:val="00D576BA"/>
    <w:rsid w:val="00D84961"/>
    <w:rsid w:val="00D93F4E"/>
    <w:rsid w:val="00D94B1A"/>
    <w:rsid w:val="00DB3B3A"/>
    <w:rsid w:val="00DE4094"/>
    <w:rsid w:val="00DF0C00"/>
    <w:rsid w:val="00DF3087"/>
    <w:rsid w:val="00E15868"/>
    <w:rsid w:val="00E2215E"/>
    <w:rsid w:val="00E3282D"/>
    <w:rsid w:val="00E36A07"/>
    <w:rsid w:val="00E772F6"/>
    <w:rsid w:val="00EA1384"/>
    <w:rsid w:val="00EA6238"/>
    <w:rsid w:val="00EE70C9"/>
    <w:rsid w:val="00EF4589"/>
    <w:rsid w:val="00EF5CAC"/>
    <w:rsid w:val="00F03E27"/>
    <w:rsid w:val="00F0709D"/>
    <w:rsid w:val="00F224E6"/>
    <w:rsid w:val="00F23A50"/>
    <w:rsid w:val="00F23BC4"/>
    <w:rsid w:val="00F2572F"/>
    <w:rsid w:val="00F27F75"/>
    <w:rsid w:val="00F306CC"/>
    <w:rsid w:val="00F31D4A"/>
    <w:rsid w:val="00F460A8"/>
    <w:rsid w:val="00F62334"/>
    <w:rsid w:val="00F86133"/>
    <w:rsid w:val="00FB2641"/>
    <w:rsid w:val="00FB76E9"/>
    <w:rsid w:val="00FC3B2A"/>
    <w:rsid w:val="00FD11FD"/>
    <w:rsid w:val="00FF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2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4">
    <w:name w:val="heading 4"/>
    <w:basedOn w:val="Normal"/>
    <w:next w:val="Normal"/>
    <w:link w:val="Heading4Char"/>
    <w:semiHidden/>
    <w:unhideWhenUsed/>
    <w:qFormat/>
    <w:rsid w:val="001949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52B80"/>
    <w:pPr>
      <w:tabs>
        <w:tab w:val="left" w:pos="720"/>
        <w:tab w:val="right" w:leader="dot" w:pos="9494"/>
      </w:tabs>
      <w:spacing w:before="120" w:after="120" w:line="240" w:lineRule="atLeast"/>
      <w:ind w:left="720" w:right="-45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3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uiPriority w:val="99"/>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 w:type="character" w:customStyle="1" w:styleId="Heading4Char">
    <w:name w:val="Heading 4 Char"/>
    <w:basedOn w:val="DefaultParagraphFont"/>
    <w:link w:val="Heading4"/>
    <w:uiPriority w:val="9"/>
    <w:semiHidden/>
    <w:rsid w:val="00194902"/>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E-mail Signature" w:uiPriority="99"/>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3FC"/>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4">
    <w:name w:val="heading 4"/>
    <w:basedOn w:val="Normal"/>
    <w:next w:val="Normal"/>
    <w:link w:val="Heading4Char"/>
    <w:semiHidden/>
    <w:unhideWhenUsed/>
    <w:qFormat/>
    <w:rsid w:val="001949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952B80"/>
    <w:pPr>
      <w:tabs>
        <w:tab w:val="left" w:pos="720"/>
        <w:tab w:val="right" w:leader="dot" w:pos="9494"/>
      </w:tabs>
      <w:spacing w:before="120" w:after="120" w:line="240" w:lineRule="atLeast"/>
      <w:ind w:left="720" w:right="-45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uiPriority w:val="39"/>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F23A50"/>
    <w:rPr>
      <w:rFonts w:ascii="Courier New" w:eastAsia="Calibri" w:hAnsi="Courier New" w:cs="Courier New"/>
    </w:rPr>
  </w:style>
  <w:style w:type="paragraph" w:styleId="NormalWeb">
    <w:name w:val="Normal (Web)"/>
    <w:basedOn w:val="Normal"/>
    <w:unhideWhenUsed/>
    <w:rsid w:val="00F224E6"/>
    <w:pPr>
      <w:spacing w:before="100" w:beforeAutospacing="1" w:after="100" w:afterAutospacing="1"/>
    </w:pPr>
  </w:style>
  <w:style w:type="character" w:styleId="FollowedHyperlink">
    <w:name w:val="FollowedHyperlink"/>
    <w:basedOn w:val="DefaultParagraphFont"/>
    <w:rsid w:val="00A4558B"/>
    <w:rPr>
      <w:color w:val="800080"/>
      <w:u w:val="single"/>
    </w:rPr>
  </w:style>
  <w:style w:type="character" w:styleId="CommentReference">
    <w:name w:val="annotation reference"/>
    <w:basedOn w:val="DefaultParagraphFont"/>
    <w:uiPriority w:val="99"/>
    <w:rsid w:val="00A4558B"/>
    <w:rPr>
      <w:sz w:val="16"/>
      <w:szCs w:val="16"/>
    </w:rPr>
  </w:style>
  <w:style w:type="paragraph" w:styleId="CommentText">
    <w:name w:val="annotation text"/>
    <w:basedOn w:val="Normal"/>
    <w:link w:val="CommentTextChar"/>
    <w:rsid w:val="00A4558B"/>
    <w:rPr>
      <w:sz w:val="20"/>
      <w:szCs w:val="20"/>
    </w:rPr>
  </w:style>
  <w:style w:type="character" w:customStyle="1" w:styleId="CommentTextChar">
    <w:name w:val="Comment Text Char"/>
    <w:basedOn w:val="DefaultParagraphFont"/>
    <w:link w:val="CommentText"/>
    <w:rsid w:val="00A4558B"/>
  </w:style>
  <w:style w:type="paragraph" w:styleId="CommentSubject">
    <w:name w:val="annotation subject"/>
    <w:basedOn w:val="CommentText"/>
    <w:next w:val="CommentText"/>
    <w:link w:val="CommentSubjectChar"/>
    <w:rsid w:val="00A4558B"/>
    <w:rPr>
      <w:b/>
      <w:bCs/>
    </w:rPr>
  </w:style>
  <w:style w:type="character" w:customStyle="1" w:styleId="CommentSubjectChar">
    <w:name w:val="Comment Subject Char"/>
    <w:basedOn w:val="CommentTextChar"/>
    <w:link w:val="CommentSubject"/>
    <w:rsid w:val="00A4558B"/>
    <w:rPr>
      <w:b/>
      <w:bCs/>
    </w:rPr>
  </w:style>
  <w:style w:type="paragraph" w:styleId="BalloonText">
    <w:name w:val="Balloon Text"/>
    <w:basedOn w:val="Normal"/>
    <w:link w:val="BalloonTextChar"/>
    <w:rsid w:val="00A4558B"/>
    <w:rPr>
      <w:rFonts w:ascii="Tahoma" w:hAnsi="Tahoma" w:cs="Tahoma"/>
      <w:sz w:val="16"/>
      <w:szCs w:val="16"/>
    </w:rPr>
  </w:style>
  <w:style w:type="character" w:customStyle="1" w:styleId="BalloonTextChar">
    <w:name w:val="Balloon Text Char"/>
    <w:basedOn w:val="DefaultParagraphFont"/>
    <w:link w:val="BalloonText"/>
    <w:rsid w:val="00A4558B"/>
    <w:rPr>
      <w:rFonts w:ascii="Tahoma" w:hAnsi="Tahoma" w:cs="Tahoma"/>
      <w:sz w:val="16"/>
      <w:szCs w:val="16"/>
    </w:rPr>
  </w:style>
  <w:style w:type="paragraph" w:customStyle="1" w:styleId="Default">
    <w:name w:val="Default"/>
    <w:uiPriority w:val="99"/>
    <w:rsid w:val="00F0709D"/>
    <w:pPr>
      <w:autoSpaceDE w:val="0"/>
      <w:autoSpaceDN w:val="0"/>
      <w:adjustRightInd w:val="0"/>
    </w:pPr>
    <w:rPr>
      <w:rFonts w:ascii="Palatino" w:hAnsi="Palatino" w:cs="Palatino"/>
      <w:color w:val="000000"/>
      <w:sz w:val="24"/>
      <w:szCs w:val="24"/>
    </w:rPr>
  </w:style>
  <w:style w:type="character" w:customStyle="1" w:styleId="A6">
    <w:name w:val="A6"/>
    <w:uiPriority w:val="99"/>
    <w:rsid w:val="00F0709D"/>
    <w:rPr>
      <w:rFonts w:cs="Palatino"/>
      <w:color w:val="221E1F"/>
      <w:sz w:val="20"/>
      <w:szCs w:val="20"/>
    </w:rPr>
  </w:style>
  <w:style w:type="paragraph" w:customStyle="1" w:styleId="CharCharCharCharCharCharCharCharChar">
    <w:name w:val="Char Char Char Char Char Char Char Char Char"/>
    <w:basedOn w:val="Normal"/>
    <w:uiPriority w:val="99"/>
    <w:semiHidden/>
    <w:rsid w:val="00D84961"/>
    <w:pPr>
      <w:widowControl w:val="0"/>
      <w:adjustRightInd w:val="0"/>
      <w:spacing w:before="60" w:line="240" w:lineRule="exact"/>
      <w:jc w:val="both"/>
      <w:textAlignment w:val="baseline"/>
    </w:pPr>
    <w:rPr>
      <w:rFonts w:ascii="Verdana" w:hAnsi="Verdana" w:cs="Verdana"/>
      <w:color w:val="FF00FF"/>
      <w:sz w:val="22"/>
      <w:szCs w:val="22"/>
    </w:rPr>
  </w:style>
  <w:style w:type="paragraph" w:customStyle="1" w:styleId="CM9">
    <w:name w:val="CM9"/>
    <w:basedOn w:val="Default"/>
    <w:next w:val="Default"/>
    <w:uiPriority w:val="99"/>
    <w:rsid w:val="00C835B9"/>
    <w:pPr>
      <w:widowControl w:val="0"/>
      <w:spacing w:after="273"/>
    </w:pPr>
    <w:rPr>
      <w:rFonts w:ascii="Times New Roman" w:hAnsi="Times New Roman" w:cs="Times New Roman"/>
      <w:color w:val="auto"/>
    </w:rPr>
  </w:style>
  <w:style w:type="paragraph" w:customStyle="1" w:styleId="CM1">
    <w:name w:val="CM1"/>
    <w:basedOn w:val="Default"/>
    <w:next w:val="Default"/>
    <w:uiPriority w:val="99"/>
    <w:rsid w:val="00C835B9"/>
    <w:pPr>
      <w:widowControl w:val="0"/>
    </w:pPr>
    <w:rPr>
      <w:rFonts w:ascii="Times New Roman" w:hAnsi="Times New Roman" w:cs="Times New Roman"/>
      <w:color w:val="auto"/>
    </w:rPr>
  </w:style>
  <w:style w:type="paragraph" w:customStyle="1" w:styleId="CM10">
    <w:name w:val="CM10"/>
    <w:basedOn w:val="Default"/>
    <w:next w:val="Default"/>
    <w:uiPriority w:val="99"/>
    <w:rsid w:val="00C835B9"/>
    <w:pPr>
      <w:widowControl w:val="0"/>
      <w:spacing w:after="830"/>
    </w:pPr>
    <w:rPr>
      <w:rFonts w:ascii="Times New Roman" w:hAnsi="Times New Roman" w:cs="Times New Roman"/>
      <w:color w:val="auto"/>
    </w:rPr>
  </w:style>
  <w:style w:type="paragraph" w:customStyle="1" w:styleId="Tablehead">
    <w:name w:val="Tablehead"/>
    <w:basedOn w:val="NormalWeb"/>
    <w:rsid w:val="00B01143"/>
    <w:pPr>
      <w:spacing w:line="480" w:lineRule="auto"/>
    </w:pPr>
  </w:style>
  <w:style w:type="paragraph" w:styleId="BodyText">
    <w:name w:val="Body Text"/>
    <w:basedOn w:val="Normal"/>
    <w:link w:val="BodyTextChar"/>
    <w:rsid w:val="00B01143"/>
    <w:rPr>
      <w:i/>
      <w:szCs w:val="20"/>
    </w:rPr>
  </w:style>
  <w:style w:type="character" w:customStyle="1" w:styleId="BodyTextChar">
    <w:name w:val="Body Text Char"/>
    <w:basedOn w:val="DefaultParagraphFont"/>
    <w:link w:val="BodyText"/>
    <w:rsid w:val="00B01143"/>
    <w:rPr>
      <w:i/>
      <w:sz w:val="24"/>
    </w:rPr>
  </w:style>
  <w:style w:type="paragraph" w:customStyle="1" w:styleId="Head1">
    <w:name w:val="Head1"/>
    <w:basedOn w:val="NormalWeb"/>
    <w:rsid w:val="00CA1518"/>
    <w:pPr>
      <w:spacing w:line="480" w:lineRule="auto"/>
    </w:pPr>
    <w:rPr>
      <w:b/>
    </w:rPr>
  </w:style>
  <w:style w:type="paragraph" w:customStyle="1" w:styleId="Head2">
    <w:name w:val="Head2"/>
    <w:basedOn w:val="Normal"/>
    <w:rsid w:val="00290902"/>
    <w:pPr>
      <w:widowControl w:val="0"/>
      <w:tabs>
        <w:tab w:val="left" w:pos="11934"/>
      </w:tabs>
      <w:autoSpaceDE w:val="0"/>
      <w:autoSpaceDN w:val="0"/>
      <w:adjustRightInd w:val="0"/>
      <w:spacing w:line="480" w:lineRule="auto"/>
      <w:outlineLvl w:val="0"/>
    </w:pPr>
    <w:rPr>
      <w:b/>
    </w:rPr>
  </w:style>
  <w:style w:type="paragraph" w:customStyle="1" w:styleId="Head3">
    <w:name w:val="Head3"/>
    <w:basedOn w:val="Normal"/>
    <w:rsid w:val="00290902"/>
    <w:pPr>
      <w:widowControl w:val="0"/>
      <w:tabs>
        <w:tab w:val="left" w:pos="11934"/>
      </w:tabs>
      <w:autoSpaceDE w:val="0"/>
      <w:autoSpaceDN w:val="0"/>
      <w:adjustRightInd w:val="0"/>
      <w:spacing w:before="100" w:beforeAutospacing="1" w:after="100" w:afterAutospacing="1" w:line="480" w:lineRule="auto"/>
    </w:pPr>
  </w:style>
  <w:style w:type="paragraph" w:styleId="ListParagraph">
    <w:name w:val="List Paragraph"/>
    <w:basedOn w:val="Normal"/>
    <w:uiPriority w:val="34"/>
    <w:qFormat/>
    <w:rsid w:val="00C9784F"/>
    <w:pPr>
      <w:spacing w:after="200" w:line="276" w:lineRule="auto"/>
      <w:ind w:left="720"/>
      <w:contextualSpacing/>
    </w:pPr>
    <w:rPr>
      <w:rFonts w:ascii="Calibri" w:eastAsia="Calibri" w:hAnsi="Calibri"/>
      <w:sz w:val="22"/>
      <w:szCs w:val="22"/>
    </w:rPr>
  </w:style>
  <w:style w:type="paragraph" w:styleId="E-mailSignature">
    <w:name w:val="E-mail Signature"/>
    <w:basedOn w:val="Normal"/>
    <w:link w:val="E-mailSignatureChar"/>
    <w:uiPriority w:val="99"/>
    <w:unhideWhenUsed/>
    <w:rsid w:val="00397D89"/>
  </w:style>
  <w:style w:type="character" w:customStyle="1" w:styleId="E-mailSignatureChar">
    <w:name w:val="E-mail Signature Char"/>
    <w:basedOn w:val="DefaultParagraphFont"/>
    <w:link w:val="E-mailSignature"/>
    <w:uiPriority w:val="99"/>
    <w:rsid w:val="00397D89"/>
    <w:rPr>
      <w:sz w:val="24"/>
      <w:szCs w:val="24"/>
    </w:rPr>
  </w:style>
  <w:style w:type="character" w:customStyle="1" w:styleId="Heading4Char">
    <w:name w:val="Heading 4 Char"/>
    <w:basedOn w:val="DefaultParagraphFont"/>
    <w:link w:val="Heading4"/>
    <w:uiPriority w:val="9"/>
    <w:semiHidden/>
    <w:rsid w:val="0019490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7525">
      <w:bodyDiv w:val="1"/>
      <w:marLeft w:val="0"/>
      <w:marRight w:val="0"/>
      <w:marTop w:val="0"/>
      <w:marBottom w:val="0"/>
      <w:divBdr>
        <w:top w:val="none" w:sz="0" w:space="0" w:color="auto"/>
        <w:left w:val="none" w:sz="0" w:space="0" w:color="auto"/>
        <w:bottom w:val="none" w:sz="0" w:space="0" w:color="auto"/>
        <w:right w:val="none" w:sz="0" w:space="0" w:color="auto"/>
      </w:divBdr>
    </w:div>
    <w:div w:id="659574769">
      <w:bodyDiv w:val="1"/>
      <w:marLeft w:val="0"/>
      <w:marRight w:val="0"/>
      <w:marTop w:val="0"/>
      <w:marBottom w:val="0"/>
      <w:divBdr>
        <w:top w:val="none" w:sz="0" w:space="0" w:color="auto"/>
        <w:left w:val="none" w:sz="0" w:space="0" w:color="auto"/>
        <w:bottom w:val="none" w:sz="0" w:space="0" w:color="auto"/>
        <w:right w:val="none" w:sz="0" w:space="0" w:color="auto"/>
      </w:divBdr>
    </w:div>
    <w:div w:id="712848264">
      <w:bodyDiv w:val="1"/>
      <w:marLeft w:val="0"/>
      <w:marRight w:val="0"/>
      <w:marTop w:val="0"/>
      <w:marBottom w:val="0"/>
      <w:divBdr>
        <w:top w:val="none" w:sz="0" w:space="0" w:color="auto"/>
        <w:left w:val="none" w:sz="0" w:space="0" w:color="auto"/>
        <w:bottom w:val="none" w:sz="0" w:space="0" w:color="auto"/>
        <w:right w:val="none" w:sz="0" w:space="0" w:color="auto"/>
      </w:divBdr>
    </w:div>
    <w:div w:id="806318359">
      <w:bodyDiv w:val="1"/>
      <w:marLeft w:val="0"/>
      <w:marRight w:val="0"/>
      <w:marTop w:val="0"/>
      <w:marBottom w:val="0"/>
      <w:divBdr>
        <w:top w:val="none" w:sz="0" w:space="0" w:color="auto"/>
        <w:left w:val="none" w:sz="0" w:space="0" w:color="auto"/>
        <w:bottom w:val="none" w:sz="0" w:space="0" w:color="auto"/>
        <w:right w:val="none" w:sz="0" w:space="0" w:color="auto"/>
      </w:divBdr>
    </w:div>
    <w:div w:id="839809544">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758408007">
      <w:bodyDiv w:val="1"/>
      <w:marLeft w:val="0"/>
      <w:marRight w:val="0"/>
      <w:marTop w:val="0"/>
      <w:marBottom w:val="0"/>
      <w:divBdr>
        <w:top w:val="none" w:sz="0" w:space="0" w:color="auto"/>
        <w:left w:val="none" w:sz="0" w:space="0" w:color="auto"/>
        <w:bottom w:val="none" w:sz="0" w:space="0" w:color="auto"/>
        <w:right w:val="none" w:sz="0" w:space="0" w:color="auto"/>
      </w:divBdr>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2017/may/oes_nat.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2017/may/oes_nat.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A27C-74BF-450E-992F-7E827341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DHHS-NIH-NIEHS</Company>
  <LinksUpToDate>false</LinksUpToDate>
  <CharactersWithSpaces>22827</CharactersWithSpaces>
  <SharedDoc>false</SharedDoc>
  <HLinks>
    <vt:vector size="36" baseType="variant">
      <vt:variant>
        <vt:i4>8060995</vt:i4>
      </vt:variant>
      <vt:variant>
        <vt:i4>18</vt:i4>
      </vt:variant>
      <vt:variant>
        <vt:i4>0</vt:i4>
      </vt:variant>
      <vt:variant>
        <vt:i4>5</vt:i4>
      </vt:variant>
      <vt:variant>
        <vt:lpwstr>http://www.law.cornell.edu/uscode/html/uscode42/usc_sup_01_42_10_6A_20_III_30_E.html</vt:lpwstr>
      </vt:variant>
      <vt:variant>
        <vt:lpwstr/>
      </vt:variant>
      <vt:variant>
        <vt:i4>917630</vt:i4>
      </vt:variant>
      <vt:variant>
        <vt:i4>15</vt:i4>
      </vt:variant>
      <vt:variant>
        <vt:i4>0</vt:i4>
      </vt:variant>
      <vt:variant>
        <vt:i4>5</vt:i4>
      </vt:variant>
      <vt:variant>
        <vt:lpwstr>http://www.law.cornell.edu/uscode/html/uscode42/usc_sec_42_00000286----000-.html</vt:lpwstr>
      </vt:variant>
      <vt:variant>
        <vt:lpwstr/>
      </vt:variant>
      <vt:variant>
        <vt:i4>8060997</vt:i4>
      </vt:variant>
      <vt:variant>
        <vt:i4>12</vt:i4>
      </vt:variant>
      <vt:variant>
        <vt:i4>0</vt:i4>
      </vt:variant>
      <vt:variant>
        <vt:i4>5</vt:i4>
      </vt:variant>
      <vt:variant>
        <vt:lpwstr>http://www.law.cornell.edu/uscode/html/uscode42/usc_sup_01_42_10_6A_20_III_30_C.html</vt:lpwstr>
      </vt:variant>
      <vt:variant>
        <vt:lpwstr/>
      </vt:variant>
      <vt:variant>
        <vt:i4>8060996</vt:i4>
      </vt:variant>
      <vt:variant>
        <vt:i4>9</vt:i4>
      </vt:variant>
      <vt:variant>
        <vt:i4>0</vt:i4>
      </vt:variant>
      <vt:variant>
        <vt:i4>5</vt:i4>
      </vt:variant>
      <vt:variant>
        <vt:lpwstr>http://www.law.cornell.edu/uscode/html/uscode42/usc_sup_01_42_10_6A_20_III_30_B.html</vt:lpwstr>
      </vt:variant>
      <vt:variant>
        <vt:lpwstr/>
      </vt:variant>
      <vt:variant>
        <vt:i4>131193</vt:i4>
      </vt:variant>
      <vt:variant>
        <vt:i4>6</vt:i4>
      </vt:variant>
      <vt:variant>
        <vt:i4>0</vt:i4>
      </vt:variant>
      <vt:variant>
        <vt:i4>5</vt:i4>
      </vt:variant>
      <vt:variant>
        <vt:lpwstr>http://www.law.cornell.edu/uscode/html/uscode42/usc_sec_42_00000241----000-.html</vt:lpwstr>
      </vt:variant>
      <vt:variant>
        <vt:lpwstr/>
      </vt:variant>
      <vt:variant>
        <vt:i4>6619246</vt:i4>
      </vt:variant>
      <vt:variant>
        <vt:i4>3</vt:i4>
      </vt:variant>
      <vt:variant>
        <vt:i4>0</vt:i4>
      </vt:variant>
      <vt:variant>
        <vt:i4>5</vt:i4>
      </vt:variant>
      <vt:variant>
        <vt:lpwstr>http://www.law.cornell.edu/uscode/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SYSTEM</cp:lastModifiedBy>
  <cp:revision>2</cp:revision>
  <dcterms:created xsi:type="dcterms:W3CDTF">2018-09-19T16:11:00Z</dcterms:created>
  <dcterms:modified xsi:type="dcterms:W3CDTF">2018-09-19T16:11:00Z</dcterms:modified>
</cp:coreProperties>
</file>