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53F75" w14:textId="77777777" w:rsidR="000C0647" w:rsidRDefault="000C0647" w:rsidP="005F50FA">
      <w:pPr>
        <w:jc w:val="center"/>
        <w:rPr>
          <w:b/>
        </w:rPr>
      </w:pPr>
      <w:bookmarkStart w:id="0" w:name="_GoBack"/>
      <w:bookmarkEnd w:id="0"/>
    </w:p>
    <w:p w14:paraId="2AE0724D" w14:textId="77777777" w:rsidR="009868B7" w:rsidRDefault="009868B7" w:rsidP="00204865">
      <w:pPr>
        <w:jc w:val="center"/>
        <w:rPr>
          <w:b/>
          <w:sz w:val="28"/>
          <w:szCs w:val="28"/>
        </w:rPr>
      </w:pPr>
      <w:r>
        <w:rPr>
          <w:b/>
          <w:sz w:val="28"/>
          <w:szCs w:val="28"/>
        </w:rPr>
        <w:t>Supporting Statement</w:t>
      </w:r>
    </w:p>
    <w:p w14:paraId="7F8DC51E" w14:textId="77777777" w:rsidR="009868B7" w:rsidRDefault="009868B7" w:rsidP="00204865">
      <w:pPr>
        <w:jc w:val="center"/>
        <w:rPr>
          <w:b/>
          <w:sz w:val="28"/>
          <w:szCs w:val="28"/>
        </w:rPr>
      </w:pPr>
      <w:r>
        <w:rPr>
          <w:b/>
          <w:sz w:val="28"/>
          <w:szCs w:val="28"/>
        </w:rPr>
        <w:t xml:space="preserve">For OMB Information Collection Request </w:t>
      </w:r>
    </w:p>
    <w:p w14:paraId="7CD0053C" w14:textId="77777777" w:rsidR="009868B7" w:rsidRDefault="009868B7" w:rsidP="00204865">
      <w:pPr>
        <w:jc w:val="center"/>
        <w:rPr>
          <w:b/>
          <w:sz w:val="28"/>
          <w:szCs w:val="28"/>
        </w:rPr>
      </w:pPr>
    </w:p>
    <w:p w14:paraId="5365BA05" w14:textId="77777777" w:rsidR="009868B7" w:rsidRDefault="009868B7" w:rsidP="00204865">
      <w:pPr>
        <w:jc w:val="center"/>
        <w:rPr>
          <w:b/>
          <w:sz w:val="28"/>
          <w:szCs w:val="28"/>
        </w:rPr>
      </w:pPr>
    </w:p>
    <w:p w14:paraId="009E28F6" w14:textId="77777777" w:rsidR="009868B7" w:rsidRDefault="009868B7" w:rsidP="009868B7">
      <w:pPr>
        <w:jc w:val="center"/>
        <w:rPr>
          <w:b/>
          <w:sz w:val="28"/>
          <w:szCs w:val="28"/>
        </w:rPr>
      </w:pPr>
      <w:r w:rsidRPr="00152067">
        <w:rPr>
          <w:b/>
          <w:sz w:val="28"/>
          <w:szCs w:val="28"/>
        </w:rPr>
        <w:t>OMB No. 0920-</w:t>
      </w:r>
      <w:r>
        <w:rPr>
          <w:b/>
          <w:sz w:val="28"/>
          <w:szCs w:val="28"/>
        </w:rPr>
        <w:t>1072</w:t>
      </w:r>
    </w:p>
    <w:p w14:paraId="4E96225C" w14:textId="77777777" w:rsidR="009868B7" w:rsidRDefault="009868B7" w:rsidP="00204865">
      <w:pPr>
        <w:jc w:val="center"/>
        <w:rPr>
          <w:b/>
          <w:sz w:val="28"/>
          <w:szCs w:val="28"/>
        </w:rPr>
      </w:pPr>
    </w:p>
    <w:p w14:paraId="70B0F7B7" w14:textId="77777777" w:rsidR="009868B7" w:rsidRDefault="009868B7" w:rsidP="00204865">
      <w:pPr>
        <w:jc w:val="center"/>
        <w:rPr>
          <w:b/>
          <w:sz w:val="28"/>
          <w:szCs w:val="28"/>
        </w:rPr>
      </w:pPr>
    </w:p>
    <w:p w14:paraId="501C1A0C" w14:textId="77777777" w:rsidR="009868B7" w:rsidRDefault="009868B7" w:rsidP="00204865">
      <w:pPr>
        <w:jc w:val="center"/>
        <w:rPr>
          <w:b/>
          <w:sz w:val="28"/>
          <w:szCs w:val="28"/>
        </w:rPr>
      </w:pPr>
    </w:p>
    <w:p w14:paraId="61200DDB" w14:textId="77777777" w:rsidR="009868B7" w:rsidRDefault="009868B7" w:rsidP="00204865">
      <w:pPr>
        <w:jc w:val="center"/>
        <w:rPr>
          <w:b/>
          <w:sz w:val="28"/>
          <w:szCs w:val="28"/>
        </w:rPr>
      </w:pPr>
      <w:r>
        <w:rPr>
          <w:b/>
          <w:sz w:val="28"/>
          <w:szCs w:val="28"/>
        </w:rPr>
        <w:t>May 16, 2018</w:t>
      </w:r>
    </w:p>
    <w:p w14:paraId="25C0800C" w14:textId="77777777" w:rsidR="009868B7" w:rsidRDefault="009868B7" w:rsidP="00204865">
      <w:pPr>
        <w:jc w:val="center"/>
        <w:rPr>
          <w:b/>
          <w:sz w:val="28"/>
          <w:szCs w:val="28"/>
        </w:rPr>
      </w:pPr>
    </w:p>
    <w:p w14:paraId="64FD1F01" w14:textId="77777777" w:rsidR="00204865" w:rsidRPr="00152067" w:rsidRDefault="00204865" w:rsidP="00204865">
      <w:pPr>
        <w:jc w:val="center"/>
        <w:rPr>
          <w:b/>
          <w:sz w:val="28"/>
          <w:szCs w:val="28"/>
        </w:rPr>
      </w:pPr>
      <w:r w:rsidRPr="00152067">
        <w:rPr>
          <w:b/>
          <w:sz w:val="28"/>
          <w:szCs w:val="28"/>
        </w:rPr>
        <w:t>Enhanced STD Surveillance Network (SSuN)</w:t>
      </w:r>
    </w:p>
    <w:p w14:paraId="5D9B509D" w14:textId="77777777" w:rsidR="00204865" w:rsidRPr="00152067" w:rsidRDefault="00204865" w:rsidP="00204865">
      <w:pPr>
        <w:jc w:val="center"/>
        <w:rPr>
          <w:b/>
          <w:sz w:val="28"/>
          <w:szCs w:val="28"/>
        </w:rPr>
      </w:pPr>
    </w:p>
    <w:p w14:paraId="2A707C6A" w14:textId="77777777" w:rsidR="009868B7" w:rsidRDefault="009868B7" w:rsidP="00204865">
      <w:pPr>
        <w:jc w:val="center"/>
        <w:rPr>
          <w:b/>
          <w:sz w:val="28"/>
          <w:szCs w:val="28"/>
        </w:rPr>
      </w:pPr>
    </w:p>
    <w:p w14:paraId="3861BF22" w14:textId="77777777" w:rsidR="009868B7" w:rsidRDefault="009868B7" w:rsidP="00204865">
      <w:pPr>
        <w:jc w:val="center"/>
        <w:rPr>
          <w:b/>
          <w:sz w:val="28"/>
          <w:szCs w:val="28"/>
        </w:rPr>
      </w:pPr>
    </w:p>
    <w:p w14:paraId="18EE3FEA" w14:textId="77777777" w:rsidR="009868B7" w:rsidRDefault="009868B7" w:rsidP="00204865">
      <w:pPr>
        <w:jc w:val="center"/>
        <w:rPr>
          <w:b/>
          <w:sz w:val="28"/>
          <w:szCs w:val="28"/>
        </w:rPr>
      </w:pPr>
    </w:p>
    <w:p w14:paraId="0716AF34" w14:textId="77777777" w:rsidR="009868B7" w:rsidRDefault="009868B7" w:rsidP="00204865">
      <w:pPr>
        <w:jc w:val="center"/>
        <w:rPr>
          <w:b/>
          <w:sz w:val="28"/>
          <w:szCs w:val="28"/>
        </w:rPr>
      </w:pPr>
      <w:r>
        <w:rPr>
          <w:b/>
          <w:sz w:val="28"/>
          <w:szCs w:val="28"/>
        </w:rPr>
        <w:t xml:space="preserve">Supported by: </w:t>
      </w:r>
    </w:p>
    <w:p w14:paraId="0C4C2467" w14:textId="77777777" w:rsidR="009868B7" w:rsidRDefault="009868B7" w:rsidP="00204865">
      <w:pPr>
        <w:jc w:val="center"/>
        <w:rPr>
          <w:b/>
          <w:sz w:val="28"/>
          <w:szCs w:val="28"/>
        </w:rPr>
      </w:pPr>
      <w:r>
        <w:rPr>
          <w:b/>
          <w:sz w:val="28"/>
          <w:szCs w:val="28"/>
        </w:rPr>
        <w:t>Department of Health and Human Services</w:t>
      </w:r>
    </w:p>
    <w:p w14:paraId="601D33F8" w14:textId="77777777" w:rsidR="009868B7" w:rsidRDefault="009868B7" w:rsidP="00204865">
      <w:pPr>
        <w:jc w:val="center"/>
        <w:rPr>
          <w:b/>
          <w:sz w:val="28"/>
          <w:szCs w:val="28"/>
        </w:rPr>
      </w:pPr>
      <w:r>
        <w:rPr>
          <w:b/>
          <w:sz w:val="28"/>
          <w:szCs w:val="28"/>
        </w:rPr>
        <w:t>Centers for Disease Control and Prevention</w:t>
      </w:r>
    </w:p>
    <w:p w14:paraId="5B5FA5E8" w14:textId="77777777" w:rsidR="009868B7" w:rsidRDefault="009868B7" w:rsidP="00204865">
      <w:pPr>
        <w:jc w:val="center"/>
        <w:rPr>
          <w:b/>
          <w:sz w:val="28"/>
          <w:szCs w:val="28"/>
        </w:rPr>
      </w:pPr>
      <w:r w:rsidRPr="009868B7">
        <w:rPr>
          <w:b/>
          <w:sz w:val="28"/>
          <w:szCs w:val="28"/>
        </w:rPr>
        <w:t>National Center for HIV/AIDS, Viral Hepatitis, STD, and TB Prevention</w:t>
      </w:r>
    </w:p>
    <w:p w14:paraId="7F6C95EF" w14:textId="77777777" w:rsidR="009868B7" w:rsidRDefault="009868B7" w:rsidP="00204865">
      <w:pPr>
        <w:jc w:val="center"/>
        <w:rPr>
          <w:b/>
          <w:sz w:val="28"/>
          <w:szCs w:val="28"/>
        </w:rPr>
      </w:pPr>
      <w:r>
        <w:rPr>
          <w:b/>
          <w:sz w:val="28"/>
          <w:szCs w:val="28"/>
        </w:rPr>
        <w:t>Division of STD Prevention</w:t>
      </w:r>
    </w:p>
    <w:p w14:paraId="03C0FE2B" w14:textId="77777777" w:rsidR="009868B7" w:rsidRDefault="009868B7" w:rsidP="00204865">
      <w:pPr>
        <w:jc w:val="center"/>
        <w:rPr>
          <w:b/>
          <w:sz w:val="28"/>
          <w:szCs w:val="28"/>
        </w:rPr>
      </w:pPr>
    </w:p>
    <w:p w14:paraId="1DE37357" w14:textId="77777777" w:rsidR="00204865" w:rsidRDefault="00204865" w:rsidP="00204865">
      <w:pPr>
        <w:jc w:val="center"/>
      </w:pPr>
    </w:p>
    <w:p w14:paraId="39CCA187" w14:textId="77777777" w:rsidR="009868B7" w:rsidRDefault="009868B7" w:rsidP="00204865">
      <w:pPr>
        <w:jc w:val="center"/>
      </w:pPr>
    </w:p>
    <w:p w14:paraId="7A5D9879" w14:textId="77777777" w:rsidR="009868B7" w:rsidRDefault="009868B7" w:rsidP="00204865">
      <w:pPr>
        <w:jc w:val="center"/>
      </w:pPr>
    </w:p>
    <w:p w14:paraId="73AF5164" w14:textId="77777777" w:rsidR="009868B7" w:rsidRDefault="009868B7" w:rsidP="00204865">
      <w:pPr>
        <w:jc w:val="center"/>
      </w:pPr>
    </w:p>
    <w:p w14:paraId="27D257D9" w14:textId="77777777" w:rsidR="009868B7" w:rsidRDefault="009868B7" w:rsidP="00204865">
      <w:pPr>
        <w:jc w:val="center"/>
      </w:pPr>
    </w:p>
    <w:p w14:paraId="4B80F6AC" w14:textId="77777777" w:rsidR="009868B7" w:rsidRPr="009868B7" w:rsidRDefault="009868B7" w:rsidP="00204865">
      <w:pPr>
        <w:jc w:val="center"/>
        <w:rPr>
          <w:b/>
        </w:rPr>
      </w:pPr>
      <w:r w:rsidRPr="009868B7">
        <w:rPr>
          <w:b/>
        </w:rPr>
        <w:t>Project Officer:</w:t>
      </w:r>
    </w:p>
    <w:p w14:paraId="2D841255" w14:textId="77777777" w:rsidR="009868B7" w:rsidRPr="009868B7" w:rsidRDefault="009868B7" w:rsidP="00204865">
      <w:pPr>
        <w:jc w:val="center"/>
        <w:rPr>
          <w:b/>
        </w:rPr>
      </w:pPr>
      <w:r w:rsidRPr="009868B7">
        <w:rPr>
          <w:b/>
        </w:rPr>
        <w:t>Eloisa Llata, MD MPH</w:t>
      </w:r>
    </w:p>
    <w:p w14:paraId="3EC0054B" w14:textId="77777777" w:rsidR="009868B7" w:rsidRPr="009868B7" w:rsidRDefault="009868B7" w:rsidP="00204865">
      <w:pPr>
        <w:jc w:val="center"/>
        <w:rPr>
          <w:b/>
        </w:rPr>
      </w:pPr>
      <w:r w:rsidRPr="009868B7">
        <w:rPr>
          <w:b/>
        </w:rPr>
        <w:t>Medial Epidemiologist</w:t>
      </w:r>
    </w:p>
    <w:p w14:paraId="6797F3D9" w14:textId="77777777" w:rsidR="009868B7" w:rsidRPr="009868B7" w:rsidRDefault="009868B7" w:rsidP="00204865">
      <w:pPr>
        <w:jc w:val="center"/>
        <w:rPr>
          <w:b/>
        </w:rPr>
      </w:pPr>
      <w:r w:rsidRPr="009868B7">
        <w:rPr>
          <w:b/>
        </w:rPr>
        <w:t>Contact Information:</w:t>
      </w:r>
    </w:p>
    <w:p w14:paraId="4B72B15C" w14:textId="77777777" w:rsidR="009868B7" w:rsidRPr="009868B7" w:rsidRDefault="009868B7" w:rsidP="00204865">
      <w:pPr>
        <w:jc w:val="center"/>
        <w:rPr>
          <w:b/>
        </w:rPr>
      </w:pPr>
      <w:r w:rsidRPr="009868B7">
        <w:rPr>
          <w:b/>
        </w:rPr>
        <w:t>Centers for Disease Control and Prevention</w:t>
      </w:r>
    </w:p>
    <w:p w14:paraId="0A0AF4FC" w14:textId="77777777" w:rsidR="009868B7" w:rsidRPr="009868B7" w:rsidRDefault="009868B7" w:rsidP="00204865">
      <w:pPr>
        <w:jc w:val="center"/>
        <w:rPr>
          <w:b/>
        </w:rPr>
      </w:pPr>
      <w:r w:rsidRPr="009868B7">
        <w:rPr>
          <w:b/>
        </w:rPr>
        <w:t>National Center for HIV/AIDS, Viral Hepatitis, STD, and TB Prevention</w:t>
      </w:r>
    </w:p>
    <w:p w14:paraId="616523DD" w14:textId="77777777" w:rsidR="009868B7" w:rsidRPr="009868B7" w:rsidRDefault="009868B7" w:rsidP="00204865">
      <w:pPr>
        <w:jc w:val="center"/>
        <w:rPr>
          <w:b/>
        </w:rPr>
      </w:pPr>
      <w:r w:rsidRPr="009868B7">
        <w:rPr>
          <w:b/>
        </w:rPr>
        <w:t>1600 Clifton Rd, MS E-02</w:t>
      </w:r>
    </w:p>
    <w:p w14:paraId="001DB798" w14:textId="77777777" w:rsidR="009868B7" w:rsidRPr="009868B7" w:rsidRDefault="009868B7" w:rsidP="00204865">
      <w:pPr>
        <w:jc w:val="center"/>
        <w:rPr>
          <w:b/>
        </w:rPr>
      </w:pPr>
      <w:r w:rsidRPr="009868B7">
        <w:rPr>
          <w:b/>
        </w:rPr>
        <w:t>Atlanta, GA 30329</w:t>
      </w:r>
    </w:p>
    <w:p w14:paraId="0F1901B0" w14:textId="77777777" w:rsidR="009868B7" w:rsidRDefault="009868B7" w:rsidP="00204865">
      <w:pPr>
        <w:jc w:val="center"/>
        <w:rPr>
          <w:b/>
        </w:rPr>
      </w:pPr>
      <w:r w:rsidRPr="009868B7">
        <w:rPr>
          <w:b/>
        </w:rPr>
        <w:t>Phone: 404.639.6183</w:t>
      </w:r>
    </w:p>
    <w:p w14:paraId="4D626AA5" w14:textId="77777777" w:rsidR="009868B7" w:rsidRPr="009868B7" w:rsidRDefault="009868B7" w:rsidP="00204865">
      <w:pPr>
        <w:jc w:val="center"/>
        <w:rPr>
          <w:b/>
        </w:rPr>
      </w:pPr>
      <w:r w:rsidRPr="009868B7">
        <w:rPr>
          <w:b/>
        </w:rPr>
        <w:t>Fax: 404-639-8610</w:t>
      </w:r>
    </w:p>
    <w:p w14:paraId="53A21C81" w14:textId="77777777" w:rsidR="009868B7" w:rsidRPr="009868B7" w:rsidRDefault="009868B7" w:rsidP="00204865">
      <w:pPr>
        <w:jc w:val="center"/>
        <w:rPr>
          <w:b/>
        </w:rPr>
      </w:pPr>
      <w:r w:rsidRPr="009868B7">
        <w:rPr>
          <w:b/>
        </w:rPr>
        <w:t>Email: gge3@cdc.gov</w:t>
      </w:r>
    </w:p>
    <w:p w14:paraId="0D2C67BE" w14:textId="77777777" w:rsidR="00204865" w:rsidRPr="00051C47" w:rsidRDefault="00204865" w:rsidP="00204865">
      <w:pPr>
        <w:jc w:val="center"/>
      </w:pPr>
    </w:p>
    <w:p w14:paraId="7B94A68E" w14:textId="77777777" w:rsidR="00204865" w:rsidRPr="00051C47" w:rsidRDefault="00204865" w:rsidP="00204865">
      <w:pPr>
        <w:jc w:val="center"/>
      </w:pPr>
    </w:p>
    <w:p w14:paraId="10C6A12E" w14:textId="77777777" w:rsidR="00204865" w:rsidRPr="00051C47" w:rsidRDefault="00204865" w:rsidP="00204865">
      <w:pPr>
        <w:jc w:val="center"/>
      </w:pPr>
    </w:p>
    <w:p w14:paraId="2F222479" w14:textId="77777777" w:rsidR="00204865" w:rsidRPr="00204865" w:rsidRDefault="00204865" w:rsidP="00204865">
      <w:pPr>
        <w:rPr>
          <w:rFonts w:eastAsia="Calibri"/>
        </w:rPr>
      </w:pPr>
    </w:p>
    <w:p w14:paraId="4BDE09BA" w14:textId="77777777" w:rsidR="00204865" w:rsidRPr="00051C47" w:rsidRDefault="00204865" w:rsidP="00204865"/>
    <w:p w14:paraId="20280142" w14:textId="77777777" w:rsidR="00204865" w:rsidRPr="00051C47" w:rsidRDefault="00204865" w:rsidP="00204865"/>
    <w:p w14:paraId="39C50EE7" w14:textId="77777777" w:rsidR="00102574" w:rsidRPr="004712DC" w:rsidRDefault="00102574" w:rsidP="00102574">
      <w:pPr>
        <w:autoSpaceDE w:val="0"/>
        <w:autoSpaceDN w:val="0"/>
        <w:adjustRightInd w:val="0"/>
        <w:jc w:val="center"/>
        <w:rPr>
          <w:b/>
          <w:bCs/>
          <w:color w:val="000000"/>
        </w:rPr>
      </w:pPr>
      <w:r w:rsidRPr="004712DC">
        <w:rPr>
          <w:b/>
          <w:bCs/>
          <w:color w:val="000000"/>
        </w:rPr>
        <w:t>Enhanced STD Surveillance Network</w:t>
      </w:r>
    </w:p>
    <w:p w14:paraId="57D98A29" w14:textId="77777777" w:rsidR="00102574" w:rsidRPr="004712DC" w:rsidRDefault="00102574" w:rsidP="00102574">
      <w:pPr>
        <w:autoSpaceDE w:val="0"/>
        <w:autoSpaceDN w:val="0"/>
        <w:adjustRightInd w:val="0"/>
        <w:jc w:val="center"/>
        <w:rPr>
          <w:b/>
          <w:bCs/>
          <w:color w:val="000000"/>
        </w:rPr>
      </w:pPr>
      <w:r w:rsidRPr="004712DC">
        <w:rPr>
          <w:b/>
          <w:bCs/>
          <w:color w:val="000000"/>
        </w:rPr>
        <w:t>0920-1072</w:t>
      </w:r>
    </w:p>
    <w:p w14:paraId="4F96235B" w14:textId="77777777" w:rsidR="00102574" w:rsidRPr="004712DC" w:rsidRDefault="00102574" w:rsidP="00102574">
      <w:pPr>
        <w:autoSpaceDE w:val="0"/>
        <w:autoSpaceDN w:val="0"/>
        <w:adjustRightInd w:val="0"/>
        <w:jc w:val="center"/>
        <w:rPr>
          <w:b/>
          <w:bCs/>
          <w:color w:val="000000"/>
        </w:rPr>
      </w:pPr>
    </w:p>
    <w:p w14:paraId="4DD73971" w14:textId="77777777" w:rsidR="00102574" w:rsidRPr="004712DC" w:rsidRDefault="00102574" w:rsidP="00102574">
      <w:pPr>
        <w:autoSpaceDE w:val="0"/>
        <w:autoSpaceDN w:val="0"/>
        <w:adjustRightInd w:val="0"/>
        <w:jc w:val="center"/>
        <w:rPr>
          <w:b/>
          <w:bCs/>
          <w:color w:val="000000"/>
        </w:rPr>
      </w:pPr>
      <w:r w:rsidRPr="004712DC">
        <w:rPr>
          <w:b/>
          <w:bCs/>
          <w:color w:val="000000"/>
        </w:rPr>
        <w:t>TABLE OF CONTENTS</w:t>
      </w:r>
    </w:p>
    <w:p w14:paraId="54C386A8" w14:textId="77777777" w:rsidR="00102574" w:rsidRPr="004712DC" w:rsidRDefault="00102574" w:rsidP="00102574">
      <w:pPr>
        <w:autoSpaceDE w:val="0"/>
        <w:autoSpaceDN w:val="0"/>
        <w:adjustRightInd w:val="0"/>
        <w:rPr>
          <w:b/>
          <w:bCs/>
          <w:color w:val="000000"/>
        </w:rPr>
      </w:pPr>
    </w:p>
    <w:p w14:paraId="6C11B65E" w14:textId="77777777" w:rsidR="00102574" w:rsidRPr="004712DC" w:rsidRDefault="00102574" w:rsidP="00102574">
      <w:pPr>
        <w:rPr>
          <w:b/>
        </w:rPr>
      </w:pPr>
      <w:r w:rsidRPr="004712DC">
        <w:rPr>
          <w:b/>
        </w:rPr>
        <w:t>Section B. Statistical Methods</w:t>
      </w:r>
    </w:p>
    <w:p w14:paraId="7E8E1E18" w14:textId="77777777" w:rsidR="00102574" w:rsidRPr="004712DC" w:rsidRDefault="00102574" w:rsidP="00102574">
      <w:r w:rsidRPr="004712DC">
        <w:t>1. Respondent Universe and Sampling Methods</w:t>
      </w:r>
    </w:p>
    <w:p w14:paraId="2D2578EE" w14:textId="77777777" w:rsidR="00102574" w:rsidRPr="004712DC" w:rsidRDefault="00102574" w:rsidP="00102574">
      <w:r w:rsidRPr="004712DC">
        <w:t>2. Procedures for the Collection of Information</w:t>
      </w:r>
    </w:p>
    <w:p w14:paraId="119CFFD5" w14:textId="77777777" w:rsidR="00102574" w:rsidRPr="004712DC" w:rsidRDefault="00102574" w:rsidP="00102574">
      <w:r w:rsidRPr="004712DC">
        <w:t>3. Methods to Maximize Response Rates and Deal with Non-response</w:t>
      </w:r>
    </w:p>
    <w:p w14:paraId="4F0F38CA" w14:textId="77777777" w:rsidR="00102574" w:rsidRPr="004712DC" w:rsidRDefault="00102574" w:rsidP="00102574">
      <w:r w:rsidRPr="004712DC">
        <w:t>4. Test of Procedures or Methods to be Undertaken</w:t>
      </w:r>
    </w:p>
    <w:p w14:paraId="16026FE2" w14:textId="77777777" w:rsidR="00102574" w:rsidRPr="004712DC" w:rsidRDefault="00102574" w:rsidP="00102574">
      <w:r w:rsidRPr="004712DC">
        <w:t>5. Individuals Consulted on Statistical Aspects and Individuals Collecting and/or Analyzing Data</w:t>
      </w:r>
    </w:p>
    <w:p w14:paraId="768AE40D" w14:textId="77777777" w:rsidR="00FD7391" w:rsidRDefault="00FD7391" w:rsidP="00D01186">
      <w:pPr>
        <w:rPr>
          <w:b/>
        </w:rPr>
      </w:pPr>
    </w:p>
    <w:p w14:paraId="495BB458" w14:textId="77777777" w:rsidR="00102574" w:rsidRDefault="00102574" w:rsidP="00D01186">
      <w:pPr>
        <w:rPr>
          <w:b/>
        </w:rPr>
      </w:pPr>
    </w:p>
    <w:p w14:paraId="5E2263EA" w14:textId="77777777" w:rsidR="00102574" w:rsidRDefault="00102574" w:rsidP="00D01186">
      <w:pPr>
        <w:rPr>
          <w:b/>
        </w:rPr>
      </w:pPr>
    </w:p>
    <w:p w14:paraId="686000F1" w14:textId="77777777" w:rsidR="00102574" w:rsidRDefault="00102574" w:rsidP="00D01186">
      <w:pPr>
        <w:rPr>
          <w:b/>
        </w:rPr>
      </w:pPr>
    </w:p>
    <w:p w14:paraId="4610FDD5" w14:textId="77777777" w:rsidR="00102574" w:rsidRDefault="00102574" w:rsidP="00D01186">
      <w:pPr>
        <w:rPr>
          <w:b/>
        </w:rPr>
      </w:pPr>
    </w:p>
    <w:p w14:paraId="14E6BDE2" w14:textId="77777777" w:rsidR="00102574" w:rsidRDefault="00102574" w:rsidP="00D01186">
      <w:pPr>
        <w:rPr>
          <w:b/>
        </w:rPr>
      </w:pPr>
    </w:p>
    <w:p w14:paraId="730F30FC" w14:textId="77777777" w:rsidR="00102574" w:rsidRDefault="00102574" w:rsidP="00D01186">
      <w:pPr>
        <w:rPr>
          <w:b/>
        </w:rPr>
      </w:pPr>
    </w:p>
    <w:p w14:paraId="28D721FE" w14:textId="77777777" w:rsidR="00102574" w:rsidRDefault="00102574" w:rsidP="00D01186">
      <w:pPr>
        <w:rPr>
          <w:b/>
        </w:rPr>
      </w:pPr>
    </w:p>
    <w:p w14:paraId="603FDD38" w14:textId="77777777" w:rsidR="00102574" w:rsidRDefault="00102574" w:rsidP="00D01186">
      <w:pPr>
        <w:rPr>
          <w:b/>
        </w:rPr>
      </w:pPr>
    </w:p>
    <w:p w14:paraId="0D16A648" w14:textId="77777777" w:rsidR="00102574" w:rsidRDefault="00102574" w:rsidP="00D01186">
      <w:pPr>
        <w:rPr>
          <w:b/>
        </w:rPr>
      </w:pPr>
    </w:p>
    <w:p w14:paraId="38F5D214" w14:textId="77777777" w:rsidR="00102574" w:rsidRDefault="00102574" w:rsidP="00D01186">
      <w:pPr>
        <w:rPr>
          <w:b/>
        </w:rPr>
      </w:pPr>
    </w:p>
    <w:p w14:paraId="49890C67" w14:textId="77777777" w:rsidR="00102574" w:rsidRDefault="00102574" w:rsidP="00D01186">
      <w:pPr>
        <w:rPr>
          <w:b/>
        </w:rPr>
      </w:pPr>
    </w:p>
    <w:p w14:paraId="29AD9BAB" w14:textId="77777777" w:rsidR="00102574" w:rsidRDefault="00102574" w:rsidP="00D01186">
      <w:pPr>
        <w:rPr>
          <w:b/>
        </w:rPr>
      </w:pPr>
    </w:p>
    <w:p w14:paraId="0439B735" w14:textId="77777777" w:rsidR="00102574" w:rsidRDefault="00102574" w:rsidP="00D01186">
      <w:pPr>
        <w:rPr>
          <w:b/>
        </w:rPr>
      </w:pPr>
    </w:p>
    <w:p w14:paraId="353615B1" w14:textId="77777777" w:rsidR="00102574" w:rsidRDefault="00102574" w:rsidP="00D01186">
      <w:pPr>
        <w:rPr>
          <w:b/>
        </w:rPr>
      </w:pPr>
    </w:p>
    <w:p w14:paraId="76EAEBEF" w14:textId="77777777" w:rsidR="00102574" w:rsidRDefault="00102574" w:rsidP="00D01186">
      <w:pPr>
        <w:rPr>
          <w:b/>
        </w:rPr>
      </w:pPr>
    </w:p>
    <w:p w14:paraId="2D6A185A" w14:textId="77777777" w:rsidR="00102574" w:rsidRDefault="00102574" w:rsidP="00D01186">
      <w:pPr>
        <w:rPr>
          <w:b/>
        </w:rPr>
      </w:pPr>
    </w:p>
    <w:p w14:paraId="5A34F728" w14:textId="77777777" w:rsidR="00102574" w:rsidRDefault="00102574" w:rsidP="00D01186">
      <w:pPr>
        <w:rPr>
          <w:b/>
        </w:rPr>
      </w:pPr>
    </w:p>
    <w:p w14:paraId="3CFA97CB" w14:textId="77777777" w:rsidR="00102574" w:rsidRDefault="00102574" w:rsidP="00D01186">
      <w:pPr>
        <w:rPr>
          <w:b/>
        </w:rPr>
      </w:pPr>
    </w:p>
    <w:p w14:paraId="749E0D8D" w14:textId="77777777" w:rsidR="00102574" w:rsidRDefault="00102574" w:rsidP="00D01186">
      <w:pPr>
        <w:rPr>
          <w:b/>
        </w:rPr>
      </w:pPr>
    </w:p>
    <w:p w14:paraId="6E7ACD03" w14:textId="77777777" w:rsidR="00102574" w:rsidRDefault="00102574" w:rsidP="00D01186">
      <w:pPr>
        <w:rPr>
          <w:b/>
        </w:rPr>
      </w:pPr>
    </w:p>
    <w:p w14:paraId="7817D06A" w14:textId="77777777" w:rsidR="00102574" w:rsidRDefault="00102574" w:rsidP="00D01186">
      <w:pPr>
        <w:rPr>
          <w:b/>
        </w:rPr>
      </w:pPr>
    </w:p>
    <w:p w14:paraId="44A37B1A" w14:textId="77777777" w:rsidR="00102574" w:rsidRDefault="00102574" w:rsidP="00D01186">
      <w:pPr>
        <w:rPr>
          <w:b/>
        </w:rPr>
      </w:pPr>
    </w:p>
    <w:p w14:paraId="4EB67361" w14:textId="77777777" w:rsidR="00952F9D" w:rsidRDefault="00952F9D" w:rsidP="00C77DD0">
      <w:pPr>
        <w:spacing w:after="120"/>
        <w:rPr>
          <w:b/>
        </w:rPr>
      </w:pPr>
    </w:p>
    <w:p w14:paraId="48752F66" w14:textId="77777777" w:rsidR="00102574" w:rsidRDefault="00102574" w:rsidP="00C77DD0">
      <w:pPr>
        <w:spacing w:after="120"/>
        <w:rPr>
          <w:b/>
        </w:rPr>
      </w:pPr>
    </w:p>
    <w:p w14:paraId="52A829C1" w14:textId="77777777" w:rsidR="00102574" w:rsidRDefault="00102574" w:rsidP="00C77DD0">
      <w:pPr>
        <w:spacing w:after="120"/>
        <w:rPr>
          <w:b/>
        </w:rPr>
      </w:pPr>
    </w:p>
    <w:p w14:paraId="1856B8D1" w14:textId="77777777" w:rsidR="00102574" w:rsidRDefault="00102574" w:rsidP="00C77DD0">
      <w:pPr>
        <w:spacing w:after="120"/>
        <w:rPr>
          <w:b/>
        </w:rPr>
      </w:pPr>
    </w:p>
    <w:p w14:paraId="51FCEC63" w14:textId="77777777" w:rsidR="00102574" w:rsidRDefault="00102574" w:rsidP="00C77DD0">
      <w:pPr>
        <w:spacing w:after="120"/>
        <w:rPr>
          <w:b/>
        </w:rPr>
      </w:pPr>
    </w:p>
    <w:p w14:paraId="6F057039" w14:textId="77777777" w:rsidR="00102574" w:rsidRDefault="00102574" w:rsidP="00C77DD0">
      <w:pPr>
        <w:spacing w:after="120"/>
        <w:rPr>
          <w:b/>
        </w:rPr>
      </w:pPr>
    </w:p>
    <w:p w14:paraId="3EAF27E1" w14:textId="77777777" w:rsidR="00102574" w:rsidRDefault="00102574" w:rsidP="00C77DD0">
      <w:pPr>
        <w:spacing w:after="120"/>
        <w:rPr>
          <w:b/>
        </w:rPr>
      </w:pPr>
    </w:p>
    <w:p w14:paraId="6099AF3D" w14:textId="77777777" w:rsidR="00102574" w:rsidRDefault="00102574" w:rsidP="00C77DD0">
      <w:pPr>
        <w:spacing w:after="120"/>
        <w:rPr>
          <w:b/>
        </w:rPr>
      </w:pPr>
    </w:p>
    <w:p w14:paraId="02E4A276" w14:textId="77777777" w:rsidR="00102574" w:rsidRPr="009868B7" w:rsidRDefault="009868B7" w:rsidP="009868B7">
      <w:pPr>
        <w:spacing w:after="120"/>
        <w:rPr>
          <w:b/>
        </w:rPr>
      </w:pPr>
      <w:r w:rsidRPr="009868B7">
        <w:rPr>
          <w:b/>
        </w:rPr>
        <w:lastRenderedPageBreak/>
        <w:t>B. COLLECTIONS OF INFORMATION EMPLOYING STATISTICAL METHODS</w:t>
      </w:r>
    </w:p>
    <w:p w14:paraId="1839408B" w14:textId="77777777" w:rsidR="00222B9B" w:rsidRPr="00010723" w:rsidRDefault="009868B7" w:rsidP="00C77DD0">
      <w:pPr>
        <w:spacing w:after="120"/>
        <w:rPr>
          <w:b/>
        </w:rPr>
      </w:pPr>
      <w:r>
        <w:rPr>
          <w:b/>
        </w:rPr>
        <w:t>B.</w:t>
      </w:r>
      <w:r w:rsidR="00D01186" w:rsidRPr="00010723">
        <w:rPr>
          <w:b/>
        </w:rPr>
        <w:t>1. Respondent Universe and Sampling Methods</w:t>
      </w:r>
    </w:p>
    <w:p w14:paraId="676DC666" w14:textId="1B040BAA" w:rsidR="009868B7" w:rsidRDefault="009868B7" w:rsidP="009868B7">
      <w:pPr>
        <w:spacing w:before="120"/>
      </w:pPr>
      <w:r w:rsidRPr="009868B7">
        <w:t xml:space="preserve">This is a </w:t>
      </w:r>
      <w:r w:rsidR="005665A4">
        <w:t>Reinstatement with change</w:t>
      </w:r>
      <w:r w:rsidR="0000072D">
        <w:t xml:space="preserve"> </w:t>
      </w:r>
      <w:r w:rsidRPr="009868B7">
        <w:t xml:space="preserve">request for the currently approved </w:t>
      </w:r>
      <w:r>
        <w:t>enhanced STD Surveillance Network (SSuN)</w:t>
      </w:r>
      <w:r w:rsidRPr="009868B7">
        <w:t>- OMB# 0920-</w:t>
      </w:r>
      <w:r>
        <w:t>1072</w:t>
      </w:r>
      <w:r w:rsidRPr="009868B7">
        <w:t>, expiration date 0</w:t>
      </w:r>
      <w:r>
        <w:t>6</w:t>
      </w:r>
      <w:r w:rsidRPr="009868B7">
        <w:t>/3</w:t>
      </w:r>
      <w:r>
        <w:t>0</w:t>
      </w:r>
      <w:r w:rsidRPr="009868B7">
        <w:t>/2018</w:t>
      </w:r>
      <w:r>
        <w:t xml:space="preserve">. </w:t>
      </w:r>
    </w:p>
    <w:p w14:paraId="796126D8" w14:textId="77777777" w:rsidR="000E4F25" w:rsidRPr="00010723" w:rsidRDefault="009868B7" w:rsidP="00C77DD0">
      <w:pPr>
        <w:spacing w:before="120"/>
      </w:pPr>
      <w:r>
        <w:t>E</w:t>
      </w:r>
      <w:r w:rsidR="002C665B" w:rsidRPr="00010723">
        <w:t xml:space="preserve">nhanced </w:t>
      </w:r>
      <w:r w:rsidR="00337FAA" w:rsidRPr="00010723">
        <w:t xml:space="preserve">SSuN is </w:t>
      </w:r>
      <w:r w:rsidR="00137965" w:rsidRPr="00010723">
        <w:t xml:space="preserve">a </w:t>
      </w:r>
      <w:r w:rsidR="00337FAA" w:rsidRPr="00010723">
        <w:t xml:space="preserve">network of </w:t>
      </w:r>
      <w:r w:rsidR="00D6217E" w:rsidRPr="00010723">
        <w:t>1</w:t>
      </w:r>
      <w:r w:rsidR="002C665B" w:rsidRPr="00010723">
        <w:t>0</w:t>
      </w:r>
      <w:r w:rsidR="00D6217E" w:rsidRPr="00010723">
        <w:t xml:space="preserve"> </w:t>
      </w:r>
      <w:r w:rsidR="00337FAA" w:rsidRPr="00010723">
        <w:t xml:space="preserve">collaborating </w:t>
      </w:r>
      <w:r w:rsidR="007624CF" w:rsidRPr="00010723">
        <w:t xml:space="preserve">surveillance </w:t>
      </w:r>
      <w:r>
        <w:t>jurisdictions</w:t>
      </w:r>
      <w:r w:rsidR="007624CF" w:rsidRPr="00010723">
        <w:t xml:space="preserve"> </w:t>
      </w:r>
      <w:r w:rsidR="00D01CC1" w:rsidRPr="00010723">
        <w:t>in the</w:t>
      </w:r>
      <w:r w:rsidR="007624CF" w:rsidRPr="00010723">
        <w:t xml:space="preserve"> U</w:t>
      </w:r>
      <w:r w:rsidR="00D77989" w:rsidRPr="00010723">
        <w:t xml:space="preserve">nited </w:t>
      </w:r>
      <w:r w:rsidR="007624CF" w:rsidRPr="00010723">
        <w:t>S</w:t>
      </w:r>
      <w:r w:rsidR="00D77989" w:rsidRPr="00010723">
        <w:t>tates</w:t>
      </w:r>
      <w:r w:rsidR="00337FAA" w:rsidRPr="00010723">
        <w:t xml:space="preserve"> </w:t>
      </w:r>
      <w:r w:rsidR="00D01CC1" w:rsidRPr="00010723">
        <w:t xml:space="preserve">serving as a platform to identify STD trends, monitor STD epidemiology and evaluate the effectiveness of public health interventions through active surveillance collection, reporting, analysis, visualization (e.g., mapping) and interpretation of disease information. </w:t>
      </w:r>
      <w:r w:rsidR="003E2135">
        <w:t xml:space="preserve">Enhanced </w:t>
      </w:r>
      <w:r w:rsidR="0002449C" w:rsidRPr="00010723">
        <w:t xml:space="preserve">SSuN activities </w:t>
      </w:r>
      <w:r w:rsidR="00D01CC1" w:rsidRPr="00010723">
        <w:t>will utilize two distinct surveillance strategies to collect information</w:t>
      </w:r>
      <w:r w:rsidR="006B2E02" w:rsidRPr="00010723">
        <w:t>:</w:t>
      </w:r>
      <w:r w:rsidR="0002449C" w:rsidRPr="00010723">
        <w:t xml:space="preserve"> </w:t>
      </w:r>
      <w:r w:rsidR="00A3193A">
        <w:t>STD clinic</w:t>
      </w:r>
      <w:r w:rsidR="0002449C" w:rsidRPr="00010723">
        <w:t xml:space="preserve">-based surveillance and population-based </w:t>
      </w:r>
      <w:r w:rsidR="007624CF" w:rsidRPr="00010723">
        <w:t xml:space="preserve">STD </w:t>
      </w:r>
      <w:r w:rsidR="0002449C" w:rsidRPr="00010723">
        <w:t>surveillance, as outlined below.</w:t>
      </w:r>
    </w:p>
    <w:p w14:paraId="1F1C2CF9" w14:textId="77777777" w:rsidR="0002449C" w:rsidRPr="00010723" w:rsidRDefault="004663D2" w:rsidP="00C77DD0">
      <w:pPr>
        <w:spacing w:before="120"/>
        <w:rPr>
          <w:i/>
        </w:rPr>
      </w:pPr>
      <w:r>
        <w:rPr>
          <w:i/>
        </w:rPr>
        <w:t>Facility</w:t>
      </w:r>
      <w:r w:rsidR="0002449C" w:rsidRPr="00010723">
        <w:rPr>
          <w:i/>
        </w:rPr>
        <w:t>-based STD surveillance:</w:t>
      </w:r>
    </w:p>
    <w:p w14:paraId="16F613B7" w14:textId="77777777" w:rsidR="0002449C" w:rsidRPr="00010723" w:rsidRDefault="00BE54C0" w:rsidP="00C77DD0">
      <w:pPr>
        <w:spacing w:before="120"/>
      </w:pPr>
      <w:r w:rsidRPr="00010723">
        <w:t xml:space="preserve">The respondents providing the information for </w:t>
      </w:r>
      <w:r w:rsidR="00057CA8" w:rsidRPr="00010723">
        <w:t>e</w:t>
      </w:r>
      <w:r w:rsidR="002258B6">
        <w:t xml:space="preserve">nhanced </w:t>
      </w:r>
      <w:r w:rsidR="006B2E02" w:rsidRPr="00010723">
        <w:t>S</w:t>
      </w:r>
      <w:r w:rsidR="00225E00" w:rsidRPr="00010723">
        <w:t>SuN</w:t>
      </w:r>
      <w:r w:rsidR="006B2E02" w:rsidRPr="00010723">
        <w:t>’s</w:t>
      </w:r>
      <w:r w:rsidR="00225E00" w:rsidRPr="00010723">
        <w:t xml:space="preserve"> </w:t>
      </w:r>
      <w:r w:rsidR="009868B7">
        <w:t>STD clinic</w:t>
      </w:r>
      <w:r w:rsidR="006B2E02" w:rsidRPr="00010723">
        <w:t xml:space="preserve">-based surveillance </w:t>
      </w:r>
      <w:r w:rsidRPr="00010723">
        <w:t xml:space="preserve">are </w:t>
      </w:r>
      <w:r w:rsidR="001351E5">
        <w:t xml:space="preserve">(1) </w:t>
      </w:r>
      <w:r w:rsidR="0002449C" w:rsidRPr="00010723">
        <w:t xml:space="preserve">the </w:t>
      </w:r>
      <w:r w:rsidR="009868B7">
        <w:t xml:space="preserve">STD </w:t>
      </w:r>
      <w:r w:rsidR="001351E5">
        <w:t xml:space="preserve">clinic data managers at the facilities/networks and (2) the data managers at the </w:t>
      </w:r>
      <w:r w:rsidR="0002449C" w:rsidRPr="00010723">
        <w:t>1</w:t>
      </w:r>
      <w:r w:rsidR="00D01CC1" w:rsidRPr="00010723">
        <w:t>0</w:t>
      </w:r>
      <w:r w:rsidR="0002449C" w:rsidRPr="00010723">
        <w:t xml:space="preserve"> </w:t>
      </w:r>
      <w:r w:rsidR="00057CA8" w:rsidRPr="00010723">
        <w:t>e</w:t>
      </w:r>
      <w:r w:rsidR="002258B6">
        <w:t xml:space="preserve">nhanced </w:t>
      </w:r>
      <w:r w:rsidR="0002449C" w:rsidRPr="00010723">
        <w:t xml:space="preserve">SSuN </w:t>
      </w:r>
      <w:r w:rsidR="00225E00" w:rsidRPr="000E6EC7">
        <w:t xml:space="preserve">collaborating </w:t>
      </w:r>
      <w:r w:rsidR="0002449C" w:rsidRPr="000E6EC7">
        <w:t>sentinel surveillance sites</w:t>
      </w:r>
      <w:r w:rsidRPr="000E6EC7">
        <w:t xml:space="preserve"> (</w:t>
      </w:r>
      <w:r w:rsidR="00C73761" w:rsidRPr="000E6EC7">
        <w:t>Table</w:t>
      </w:r>
      <w:r w:rsidR="0002449C" w:rsidRPr="000E6EC7">
        <w:t xml:space="preserve"> B.1.A).  </w:t>
      </w:r>
      <w:r w:rsidR="00225E00" w:rsidRPr="000E6EC7">
        <w:t>Within t</w:t>
      </w:r>
      <w:r w:rsidR="0002449C" w:rsidRPr="000E6EC7">
        <w:t>hese 1</w:t>
      </w:r>
      <w:r w:rsidR="005E664C" w:rsidRPr="000E6EC7">
        <w:t>0</w:t>
      </w:r>
      <w:r w:rsidR="0002449C" w:rsidRPr="000E6EC7">
        <w:t xml:space="preserve"> </w:t>
      </w:r>
      <w:r w:rsidR="00225E00" w:rsidRPr="000E6EC7">
        <w:t xml:space="preserve">collaborating </w:t>
      </w:r>
      <w:r w:rsidR="0002449C" w:rsidRPr="000E6EC7">
        <w:t xml:space="preserve">sites </w:t>
      </w:r>
      <w:r w:rsidR="00225E00" w:rsidRPr="000E6EC7">
        <w:t xml:space="preserve">there </w:t>
      </w:r>
      <w:r w:rsidR="0002449C" w:rsidRPr="00AC03BA">
        <w:t>are</w:t>
      </w:r>
      <w:r w:rsidR="00881D03" w:rsidRPr="000E6EC7">
        <w:t xml:space="preserve"> </w:t>
      </w:r>
      <w:r w:rsidR="000E6EC7" w:rsidRPr="000E6EC7">
        <w:t>30</w:t>
      </w:r>
      <w:r w:rsidR="0002449C" w:rsidRPr="000E6EC7">
        <w:t xml:space="preserve"> STD clinics that </w:t>
      </w:r>
      <w:r w:rsidR="00E22386" w:rsidRPr="000E6EC7">
        <w:t xml:space="preserve">collectively </w:t>
      </w:r>
      <w:r w:rsidR="00FC2F15" w:rsidRPr="000E6EC7">
        <w:t>report</w:t>
      </w:r>
      <w:r w:rsidR="0002449C" w:rsidRPr="000E6EC7">
        <w:t xml:space="preserve"> </w:t>
      </w:r>
      <w:r w:rsidR="00225E00" w:rsidRPr="000E6EC7">
        <w:t xml:space="preserve">data from </w:t>
      </w:r>
      <w:r w:rsidR="0002449C" w:rsidRPr="000E6EC7">
        <w:t xml:space="preserve">approximately </w:t>
      </w:r>
      <w:r w:rsidR="00BE38E0" w:rsidRPr="000E6EC7">
        <w:t>1</w:t>
      </w:r>
      <w:r w:rsidR="000E6EC7" w:rsidRPr="000E6EC7">
        <w:t>3</w:t>
      </w:r>
      <w:r w:rsidR="00C35C1D">
        <w:t>2</w:t>
      </w:r>
      <w:r w:rsidR="0002449C" w:rsidRPr="000E6EC7">
        <w:t>,</w:t>
      </w:r>
      <w:r w:rsidR="00525985" w:rsidRPr="000E6EC7">
        <w:t>000</w:t>
      </w:r>
      <w:r w:rsidR="00C82AC4" w:rsidRPr="000E6EC7">
        <w:t xml:space="preserve"> </w:t>
      </w:r>
      <w:r w:rsidR="0002449C" w:rsidRPr="000E6EC7">
        <w:t xml:space="preserve">patient visits </w:t>
      </w:r>
      <w:r w:rsidR="00FC2F15" w:rsidRPr="000E6EC7">
        <w:t>per year</w:t>
      </w:r>
      <w:r w:rsidR="001351E5" w:rsidRPr="000E6EC7">
        <w:t xml:space="preserve"> </w:t>
      </w:r>
      <w:r w:rsidR="00225E00" w:rsidRPr="000E6EC7">
        <w:t>(</w:t>
      </w:r>
      <w:r w:rsidR="00C73761" w:rsidRPr="000E6EC7">
        <w:t>Table</w:t>
      </w:r>
      <w:r w:rsidR="00225E00" w:rsidRPr="000E6EC7">
        <w:t xml:space="preserve"> B.1.A)</w:t>
      </w:r>
      <w:r w:rsidR="0002449C" w:rsidRPr="000E6EC7">
        <w:t>.</w:t>
      </w:r>
      <w:r w:rsidR="00517C64" w:rsidRPr="000E6EC7">
        <w:t xml:space="preserve">  All patient visits to the</w:t>
      </w:r>
      <w:r w:rsidR="00E22386" w:rsidRPr="000E6EC7">
        <w:t xml:space="preserve"> participating</w:t>
      </w:r>
      <w:r w:rsidR="001351E5" w:rsidRPr="000E6EC7">
        <w:t xml:space="preserve"> STD clinics </w:t>
      </w:r>
      <w:r w:rsidR="00517C64" w:rsidRPr="000E6EC7">
        <w:t xml:space="preserve">will be included in the </w:t>
      </w:r>
      <w:r w:rsidR="001351E5" w:rsidRPr="000E6EC7">
        <w:t>project</w:t>
      </w:r>
      <w:r w:rsidR="00517C64" w:rsidRPr="000E6EC7">
        <w:t xml:space="preserve"> and reported to CDC by the collaborating sites.</w:t>
      </w:r>
      <w:r w:rsidR="009C79B3" w:rsidRPr="000E6EC7">
        <w:t xml:space="preserve">  </w:t>
      </w:r>
      <w:r w:rsidR="00FA5968" w:rsidRPr="000E6EC7">
        <w:t>As</w:t>
      </w:r>
      <w:r w:rsidR="00FA5968" w:rsidRPr="00010723">
        <w:t xml:space="preserve"> part of routine patient care, i</w:t>
      </w:r>
      <w:r w:rsidR="009C79B3" w:rsidRPr="00010723">
        <w:t>nformation</w:t>
      </w:r>
      <w:r w:rsidR="00FA5968" w:rsidRPr="00010723">
        <w:t xml:space="preserve"> on demographics, </w:t>
      </w:r>
      <w:r w:rsidR="00D24FED" w:rsidRPr="00010723">
        <w:t xml:space="preserve">limited </w:t>
      </w:r>
      <w:r w:rsidR="00FA5968" w:rsidRPr="00010723">
        <w:t xml:space="preserve">behavioral risk factors, and </w:t>
      </w:r>
      <w:r w:rsidR="00D24FED" w:rsidRPr="00010723">
        <w:t xml:space="preserve">details about the </w:t>
      </w:r>
      <w:r w:rsidR="001E6558" w:rsidRPr="00010723">
        <w:t>clinical</w:t>
      </w:r>
      <w:r w:rsidR="00D24FED" w:rsidRPr="00010723">
        <w:t xml:space="preserve"> encounter (e.g., </w:t>
      </w:r>
      <w:r w:rsidR="001351E5">
        <w:t xml:space="preserve">signs and physical exam findings, diagnoses, </w:t>
      </w:r>
      <w:r w:rsidR="00D24FED" w:rsidRPr="00010723">
        <w:t>laboratory test</w:t>
      </w:r>
      <w:r w:rsidR="001351E5">
        <w:t>s and treatment</w:t>
      </w:r>
      <w:r w:rsidR="00D24FED" w:rsidRPr="00010723">
        <w:t xml:space="preserve">) </w:t>
      </w:r>
      <w:r w:rsidR="00A3193A">
        <w:t>are</w:t>
      </w:r>
      <w:r w:rsidR="001351E5">
        <w:t xml:space="preserve"> </w:t>
      </w:r>
      <w:r w:rsidR="00D24FED" w:rsidRPr="00010723">
        <w:t xml:space="preserve">collected by clinic staff and </w:t>
      </w:r>
      <w:r w:rsidR="00FA5968" w:rsidRPr="00010723">
        <w:t xml:space="preserve">entered </w:t>
      </w:r>
      <w:r w:rsidR="009C79B3" w:rsidRPr="00010723">
        <w:t>into</w:t>
      </w:r>
      <w:r w:rsidR="00D24FED" w:rsidRPr="00010723">
        <w:t xml:space="preserve"> the patient’s health record. </w:t>
      </w:r>
      <w:r w:rsidR="00B13446">
        <w:t>Cl</w:t>
      </w:r>
      <w:r w:rsidR="001351E5">
        <w:t>i</w:t>
      </w:r>
      <w:r w:rsidR="00B13446">
        <w:t>nic</w:t>
      </w:r>
      <w:r w:rsidR="009C79B3" w:rsidRPr="00010723">
        <w:t xml:space="preserve"> staff will abstract </w:t>
      </w:r>
      <w:r w:rsidR="00A3193A">
        <w:t xml:space="preserve">routinely collected </w:t>
      </w:r>
      <w:r w:rsidR="00E72DEC" w:rsidRPr="00010723">
        <w:t xml:space="preserve">data from electronic medical records </w:t>
      </w:r>
      <w:r w:rsidR="00FA5968" w:rsidRPr="00010723">
        <w:t xml:space="preserve">and </w:t>
      </w:r>
      <w:r w:rsidR="00D24FED" w:rsidRPr="00010723">
        <w:t xml:space="preserve">transmit to SSuN project staff at the local level. </w:t>
      </w:r>
      <w:r w:rsidR="009C79B3" w:rsidRPr="00010723">
        <w:t xml:space="preserve"> </w:t>
      </w:r>
    </w:p>
    <w:p w14:paraId="795F235A" w14:textId="77777777" w:rsidR="0002449C" w:rsidRPr="00010723" w:rsidRDefault="0002449C" w:rsidP="0002449C">
      <w:pPr>
        <w:spacing w:before="120"/>
      </w:pPr>
    </w:p>
    <w:p w14:paraId="51DC25A9" w14:textId="77777777" w:rsidR="0002449C" w:rsidRPr="00010723" w:rsidRDefault="00C73761" w:rsidP="0002449C">
      <w:pPr>
        <w:spacing w:before="120"/>
      </w:pPr>
      <w:r w:rsidRPr="00010723">
        <w:t>Table</w:t>
      </w:r>
      <w:r w:rsidR="0002449C" w:rsidRPr="00010723">
        <w:t xml:space="preserve"> B.1.A</w:t>
      </w:r>
    </w:p>
    <w:tbl>
      <w:tblPr>
        <w:tblStyle w:val="TableGrid"/>
        <w:tblW w:w="10350" w:type="dxa"/>
        <w:tblInd w:w="-365" w:type="dxa"/>
        <w:tblLayout w:type="fixed"/>
        <w:tblLook w:val="01E0" w:firstRow="1" w:lastRow="1" w:firstColumn="1" w:lastColumn="1" w:noHBand="0" w:noVBand="0"/>
      </w:tblPr>
      <w:tblGrid>
        <w:gridCol w:w="1733"/>
        <w:gridCol w:w="4567"/>
        <w:gridCol w:w="2070"/>
        <w:gridCol w:w="1980"/>
      </w:tblGrid>
      <w:tr w:rsidR="00334E5D" w:rsidRPr="00E55BDE" w14:paraId="53641815" w14:textId="77777777" w:rsidTr="00A43FC5">
        <w:tc>
          <w:tcPr>
            <w:tcW w:w="1733" w:type="dxa"/>
          </w:tcPr>
          <w:p w14:paraId="059DA8E1" w14:textId="77777777" w:rsidR="00334E5D" w:rsidRPr="00E55BDE" w:rsidRDefault="00334E5D" w:rsidP="00552887">
            <w:pPr>
              <w:spacing w:before="120"/>
              <w:jc w:val="center"/>
              <w:rPr>
                <w:b/>
                <w:bCs/>
              </w:rPr>
            </w:pPr>
            <w:r w:rsidRPr="00E55BDE">
              <w:rPr>
                <w:b/>
                <w:bCs/>
              </w:rPr>
              <w:t xml:space="preserve">Collaborating sentinel surveillance </w:t>
            </w:r>
            <w:r w:rsidR="00552887" w:rsidRPr="00E55BDE">
              <w:rPr>
                <w:b/>
                <w:bCs/>
              </w:rPr>
              <w:t>jurisdictions</w:t>
            </w:r>
          </w:p>
        </w:tc>
        <w:tc>
          <w:tcPr>
            <w:tcW w:w="4567" w:type="dxa"/>
          </w:tcPr>
          <w:p w14:paraId="0C64631C" w14:textId="77777777" w:rsidR="00334E5D" w:rsidRPr="00E55BDE" w:rsidRDefault="00334E5D" w:rsidP="00552887">
            <w:pPr>
              <w:spacing w:before="120"/>
              <w:jc w:val="center"/>
              <w:rPr>
                <w:b/>
                <w:bCs/>
              </w:rPr>
            </w:pPr>
            <w:r w:rsidRPr="00E55BDE">
              <w:rPr>
                <w:b/>
                <w:bCs/>
              </w:rPr>
              <w:t xml:space="preserve">Participating </w:t>
            </w:r>
            <w:r w:rsidR="00552887" w:rsidRPr="00E55BDE">
              <w:rPr>
                <w:b/>
                <w:bCs/>
              </w:rPr>
              <w:t>STD Clinics</w:t>
            </w:r>
          </w:p>
        </w:tc>
        <w:tc>
          <w:tcPr>
            <w:tcW w:w="2070" w:type="dxa"/>
          </w:tcPr>
          <w:p w14:paraId="023AD276" w14:textId="77777777" w:rsidR="00334E5D" w:rsidRPr="00E55BDE" w:rsidRDefault="00334E5D" w:rsidP="001F1C0C">
            <w:pPr>
              <w:spacing w:before="120"/>
              <w:jc w:val="center"/>
              <w:rPr>
                <w:b/>
                <w:bCs/>
              </w:rPr>
            </w:pPr>
            <w:r w:rsidRPr="00E55BDE">
              <w:rPr>
                <w:b/>
                <w:bCs/>
              </w:rPr>
              <w:t>Total No. of Clinic Data Managers abstracting data</w:t>
            </w:r>
          </w:p>
        </w:tc>
        <w:tc>
          <w:tcPr>
            <w:tcW w:w="1980" w:type="dxa"/>
          </w:tcPr>
          <w:p w14:paraId="25A8AF91" w14:textId="77777777" w:rsidR="00334E5D" w:rsidRPr="00E55BDE" w:rsidRDefault="00334E5D" w:rsidP="001F1C0C">
            <w:pPr>
              <w:spacing w:before="120"/>
              <w:jc w:val="center"/>
              <w:rPr>
                <w:b/>
                <w:bCs/>
              </w:rPr>
            </w:pPr>
            <w:r w:rsidRPr="00E55BDE">
              <w:rPr>
                <w:b/>
                <w:bCs/>
              </w:rPr>
              <w:t>Estimated # STD patient visits/year</w:t>
            </w:r>
          </w:p>
        </w:tc>
      </w:tr>
      <w:tr w:rsidR="00334E5D" w:rsidRPr="00E55BDE" w14:paraId="2E69E9C4" w14:textId="77777777" w:rsidTr="00A43FC5">
        <w:tc>
          <w:tcPr>
            <w:tcW w:w="1733" w:type="dxa"/>
          </w:tcPr>
          <w:p w14:paraId="41FCB645" w14:textId="77777777" w:rsidR="00334E5D" w:rsidRPr="00E55BDE" w:rsidRDefault="00334E5D" w:rsidP="001F1C0C">
            <w:pPr>
              <w:spacing w:before="120"/>
              <w:jc w:val="center"/>
            </w:pPr>
          </w:p>
        </w:tc>
        <w:tc>
          <w:tcPr>
            <w:tcW w:w="4567" w:type="dxa"/>
          </w:tcPr>
          <w:p w14:paraId="16E94A56" w14:textId="77777777" w:rsidR="00334E5D" w:rsidRPr="00E55BDE" w:rsidRDefault="00334E5D" w:rsidP="001F1C0C">
            <w:pPr>
              <w:spacing w:before="120"/>
              <w:jc w:val="center"/>
            </w:pPr>
          </w:p>
        </w:tc>
        <w:tc>
          <w:tcPr>
            <w:tcW w:w="2070" w:type="dxa"/>
          </w:tcPr>
          <w:p w14:paraId="0ED593D8" w14:textId="77777777" w:rsidR="00334E5D" w:rsidRPr="00E55BDE" w:rsidRDefault="00334E5D" w:rsidP="001F1C0C">
            <w:pPr>
              <w:spacing w:before="120"/>
              <w:jc w:val="center"/>
            </w:pPr>
          </w:p>
        </w:tc>
        <w:tc>
          <w:tcPr>
            <w:tcW w:w="1980" w:type="dxa"/>
          </w:tcPr>
          <w:p w14:paraId="32958DB3" w14:textId="77777777" w:rsidR="00334E5D" w:rsidRPr="00E55BDE" w:rsidRDefault="00334E5D" w:rsidP="001F1C0C">
            <w:pPr>
              <w:spacing w:before="120"/>
              <w:jc w:val="center"/>
            </w:pPr>
          </w:p>
        </w:tc>
      </w:tr>
      <w:tr w:rsidR="00334E5D" w:rsidRPr="00E55BDE" w14:paraId="69DE62AA" w14:textId="77777777" w:rsidTr="00A43FC5">
        <w:tc>
          <w:tcPr>
            <w:tcW w:w="1733" w:type="dxa"/>
          </w:tcPr>
          <w:p w14:paraId="3039C099" w14:textId="77777777" w:rsidR="00334E5D" w:rsidRPr="00E55BDE" w:rsidRDefault="00334E5D" w:rsidP="001F1C0C">
            <w:pPr>
              <w:spacing w:before="120"/>
            </w:pPr>
            <w:r w:rsidRPr="00E55BDE">
              <w:t>Baltimore City Health Department</w:t>
            </w:r>
          </w:p>
        </w:tc>
        <w:tc>
          <w:tcPr>
            <w:tcW w:w="4567" w:type="dxa"/>
          </w:tcPr>
          <w:p w14:paraId="329E707F" w14:textId="77777777" w:rsidR="00334E5D" w:rsidRPr="00E55BDE" w:rsidRDefault="00334E5D" w:rsidP="00334E5D">
            <w:pPr>
              <w:spacing w:before="120"/>
            </w:pPr>
            <w:r w:rsidRPr="00E55BDE">
              <w:t>Druid, Eastern</w:t>
            </w:r>
          </w:p>
        </w:tc>
        <w:tc>
          <w:tcPr>
            <w:tcW w:w="2070" w:type="dxa"/>
          </w:tcPr>
          <w:p w14:paraId="034E737C" w14:textId="77777777" w:rsidR="00334E5D" w:rsidRPr="00E55BDE" w:rsidRDefault="00334E5D" w:rsidP="001F1C0C">
            <w:pPr>
              <w:spacing w:before="120"/>
              <w:jc w:val="center"/>
            </w:pPr>
            <w:r w:rsidRPr="00E55BDE">
              <w:t>1</w:t>
            </w:r>
          </w:p>
        </w:tc>
        <w:tc>
          <w:tcPr>
            <w:tcW w:w="1980" w:type="dxa"/>
          </w:tcPr>
          <w:p w14:paraId="73B10A20" w14:textId="77777777" w:rsidR="00334E5D" w:rsidRPr="00E55BDE" w:rsidRDefault="00334E5D" w:rsidP="004D050C">
            <w:pPr>
              <w:spacing w:before="120"/>
              <w:jc w:val="center"/>
            </w:pPr>
            <w:r w:rsidRPr="00E55BDE">
              <w:t>9,000</w:t>
            </w:r>
          </w:p>
        </w:tc>
      </w:tr>
      <w:tr w:rsidR="00334E5D" w:rsidRPr="00E55BDE" w14:paraId="09057EDD" w14:textId="77777777" w:rsidTr="00A43FC5">
        <w:tc>
          <w:tcPr>
            <w:tcW w:w="1733" w:type="dxa"/>
          </w:tcPr>
          <w:p w14:paraId="137BFA0A" w14:textId="77777777" w:rsidR="00334E5D" w:rsidRPr="00E55BDE" w:rsidRDefault="00334E5D" w:rsidP="001F1C0C">
            <w:pPr>
              <w:spacing w:before="120"/>
            </w:pPr>
            <w:r w:rsidRPr="00E55BDE">
              <w:t>California Department of Public Health</w:t>
            </w:r>
          </w:p>
        </w:tc>
        <w:tc>
          <w:tcPr>
            <w:tcW w:w="4567" w:type="dxa"/>
          </w:tcPr>
          <w:p w14:paraId="163402CA" w14:textId="77777777" w:rsidR="00334E5D" w:rsidRPr="00E55BDE" w:rsidRDefault="00334E5D" w:rsidP="00334E5D">
            <w:pPr>
              <w:spacing w:before="120"/>
            </w:pPr>
            <w:r w:rsidRPr="00E55BDE">
              <w:t>Antelope Valley, Central, Curtis Tucker, Hollywood-Wilshire, Monrovia, North Hollywood, Pomona, Ruth Temple, Simms Mann, South Torrance, Whittier</w:t>
            </w:r>
          </w:p>
        </w:tc>
        <w:tc>
          <w:tcPr>
            <w:tcW w:w="2070" w:type="dxa"/>
          </w:tcPr>
          <w:p w14:paraId="645BB8DA" w14:textId="77777777" w:rsidR="00334E5D" w:rsidRPr="00E55BDE" w:rsidRDefault="00334E5D" w:rsidP="001F1C0C">
            <w:pPr>
              <w:spacing w:before="120"/>
              <w:jc w:val="center"/>
            </w:pPr>
            <w:r w:rsidRPr="00E55BDE">
              <w:t>1</w:t>
            </w:r>
          </w:p>
        </w:tc>
        <w:tc>
          <w:tcPr>
            <w:tcW w:w="1980" w:type="dxa"/>
          </w:tcPr>
          <w:p w14:paraId="2DCF6940" w14:textId="77777777" w:rsidR="00334E5D" w:rsidRPr="00E55BDE" w:rsidRDefault="00334E5D" w:rsidP="004D050C">
            <w:pPr>
              <w:spacing w:before="120"/>
              <w:jc w:val="center"/>
            </w:pPr>
            <w:r w:rsidRPr="00E55BDE">
              <w:t>17,000</w:t>
            </w:r>
          </w:p>
        </w:tc>
      </w:tr>
      <w:tr w:rsidR="00334E5D" w:rsidRPr="00E55BDE" w14:paraId="0093870C" w14:textId="77777777" w:rsidTr="00A43FC5">
        <w:tc>
          <w:tcPr>
            <w:tcW w:w="1733" w:type="dxa"/>
          </w:tcPr>
          <w:p w14:paraId="32E0AA1F" w14:textId="77777777" w:rsidR="00334E5D" w:rsidRPr="00E55BDE" w:rsidRDefault="00334E5D" w:rsidP="001F1C0C">
            <w:pPr>
              <w:spacing w:before="120"/>
            </w:pPr>
            <w:r w:rsidRPr="00E55BDE">
              <w:t>Florida Department of Health</w:t>
            </w:r>
          </w:p>
        </w:tc>
        <w:tc>
          <w:tcPr>
            <w:tcW w:w="4567" w:type="dxa"/>
          </w:tcPr>
          <w:p w14:paraId="6FEB25D3" w14:textId="77777777" w:rsidR="00334E5D" w:rsidRPr="00E55BDE" w:rsidRDefault="00334E5D" w:rsidP="00334E5D">
            <w:pPr>
              <w:spacing w:before="120"/>
            </w:pPr>
            <w:r w:rsidRPr="00E55BDE">
              <w:t>Miami-Dade STD Clinic</w:t>
            </w:r>
          </w:p>
        </w:tc>
        <w:tc>
          <w:tcPr>
            <w:tcW w:w="2070" w:type="dxa"/>
          </w:tcPr>
          <w:p w14:paraId="2B170332" w14:textId="77777777" w:rsidR="00334E5D" w:rsidRPr="00E55BDE" w:rsidRDefault="00334E5D" w:rsidP="001F1C0C">
            <w:pPr>
              <w:spacing w:before="120"/>
              <w:jc w:val="center"/>
            </w:pPr>
            <w:r w:rsidRPr="00E55BDE">
              <w:t>1</w:t>
            </w:r>
          </w:p>
        </w:tc>
        <w:tc>
          <w:tcPr>
            <w:tcW w:w="1980" w:type="dxa"/>
          </w:tcPr>
          <w:p w14:paraId="2CE24C3D" w14:textId="77777777" w:rsidR="00334E5D" w:rsidRPr="00E55BDE" w:rsidRDefault="00334E5D" w:rsidP="004D050C">
            <w:pPr>
              <w:spacing w:before="120"/>
              <w:jc w:val="center"/>
            </w:pPr>
            <w:r w:rsidRPr="00E55BDE">
              <w:t>8,000</w:t>
            </w:r>
          </w:p>
        </w:tc>
      </w:tr>
      <w:tr w:rsidR="00334E5D" w:rsidRPr="00E55BDE" w14:paraId="521EB0F2" w14:textId="77777777" w:rsidTr="00A43FC5">
        <w:tc>
          <w:tcPr>
            <w:tcW w:w="1733" w:type="dxa"/>
          </w:tcPr>
          <w:p w14:paraId="36B08464" w14:textId="77777777" w:rsidR="00334E5D" w:rsidRPr="00E55BDE" w:rsidRDefault="00334E5D" w:rsidP="001F1C0C">
            <w:pPr>
              <w:spacing w:before="120"/>
            </w:pPr>
            <w:r w:rsidRPr="00E55BDE">
              <w:t>Massachusetts Department of Public Health</w:t>
            </w:r>
          </w:p>
        </w:tc>
        <w:tc>
          <w:tcPr>
            <w:tcW w:w="4567" w:type="dxa"/>
          </w:tcPr>
          <w:p w14:paraId="2CD3D08A" w14:textId="77777777" w:rsidR="00334E5D" w:rsidRPr="00E55BDE" w:rsidRDefault="00334E5D" w:rsidP="00334E5D">
            <w:pPr>
              <w:spacing w:before="120"/>
            </w:pPr>
            <w:r w:rsidRPr="00E55BDE">
              <w:t>Massachusetts STD clinic</w:t>
            </w:r>
            <w:r w:rsidR="00552887" w:rsidRPr="00E55BDE">
              <w:t xml:space="preserve"> (Fenway)</w:t>
            </w:r>
          </w:p>
        </w:tc>
        <w:tc>
          <w:tcPr>
            <w:tcW w:w="2070" w:type="dxa"/>
          </w:tcPr>
          <w:p w14:paraId="54F405C3" w14:textId="77777777" w:rsidR="00334E5D" w:rsidRPr="00E55BDE" w:rsidRDefault="00334E5D" w:rsidP="001F1C0C">
            <w:pPr>
              <w:spacing w:before="120"/>
              <w:jc w:val="center"/>
            </w:pPr>
            <w:r w:rsidRPr="00E55BDE">
              <w:t>1</w:t>
            </w:r>
          </w:p>
        </w:tc>
        <w:tc>
          <w:tcPr>
            <w:tcW w:w="1980" w:type="dxa"/>
          </w:tcPr>
          <w:p w14:paraId="308DFC8E" w14:textId="77777777" w:rsidR="00334E5D" w:rsidRPr="00E55BDE" w:rsidRDefault="00334E5D" w:rsidP="004D050C">
            <w:pPr>
              <w:spacing w:before="120"/>
              <w:jc w:val="center"/>
            </w:pPr>
            <w:r w:rsidRPr="00E55BDE">
              <w:t>900</w:t>
            </w:r>
          </w:p>
        </w:tc>
      </w:tr>
      <w:tr w:rsidR="00334E5D" w:rsidRPr="00E55BDE" w14:paraId="42FAD785" w14:textId="77777777" w:rsidTr="00A43FC5">
        <w:tc>
          <w:tcPr>
            <w:tcW w:w="1733" w:type="dxa"/>
          </w:tcPr>
          <w:p w14:paraId="7E771A30" w14:textId="77777777" w:rsidR="00334E5D" w:rsidRPr="00E55BDE" w:rsidRDefault="00334E5D" w:rsidP="001F1C0C">
            <w:pPr>
              <w:spacing w:before="120"/>
            </w:pPr>
            <w:r w:rsidRPr="00E55BDE">
              <w:t>Minnesota Department of Health</w:t>
            </w:r>
          </w:p>
        </w:tc>
        <w:tc>
          <w:tcPr>
            <w:tcW w:w="4567" w:type="dxa"/>
          </w:tcPr>
          <w:p w14:paraId="3A34A151" w14:textId="77777777" w:rsidR="00334E5D" w:rsidRPr="00E55BDE" w:rsidRDefault="00334E5D" w:rsidP="00334E5D">
            <w:r w:rsidRPr="00E55BDE">
              <w:t>Red Door</w:t>
            </w:r>
          </w:p>
        </w:tc>
        <w:tc>
          <w:tcPr>
            <w:tcW w:w="2070" w:type="dxa"/>
          </w:tcPr>
          <w:p w14:paraId="101D8043" w14:textId="77777777" w:rsidR="00334E5D" w:rsidRPr="00E55BDE" w:rsidRDefault="00334E5D" w:rsidP="001F1C0C">
            <w:pPr>
              <w:spacing w:before="120"/>
              <w:jc w:val="center"/>
            </w:pPr>
            <w:r w:rsidRPr="00E55BDE">
              <w:t>1</w:t>
            </w:r>
          </w:p>
        </w:tc>
        <w:tc>
          <w:tcPr>
            <w:tcW w:w="1980" w:type="dxa"/>
          </w:tcPr>
          <w:p w14:paraId="56CE4A07" w14:textId="77777777" w:rsidR="00334E5D" w:rsidRPr="00E55BDE" w:rsidRDefault="00334E5D" w:rsidP="004D050C">
            <w:pPr>
              <w:spacing w:before="120"/>
              <w:jc w:val="center"/>
            </w:pPr>
            <w:r w:rsidRPr="00E55BDE">
              <w:t>10,000</w:t>
            </w:r>
          </w:p>
        </w:tc>
      </w:tr>
      <w:tr w:rsidR="00334E5D" w:rsidRPr="00E55BDE" w14:paraId="3FFC4672" w14:textId="77777777" w:rsidTr="00A43FC5">
        <w:tc>
          <w:tcPr>
            <w:tcW w:w="1733" w:type="dxa"/>
          </w:tcPr>
          <w:p w14:paraId="2C2ACF27" w14:textId="77777777" w:rsidR="00334E5D" w:rsidRPr="00E55BDE" w:rsidRDefault="00334E5D" w:rsidP="001F1C0C">
            <w:pPr>
              <w:spacing w:before="120"/>
            </w:pPr>
            <w:r w:rsidRPr="00E55BDE">
              <w:t>Multnomah County Health Department</w:t>
            </w:r>
          </w:p>
        </w:tc>
        <w:tc>
          <w:tcPr>
            <w:tcW w:w="4567" w:type="dxa"/>
          </w:tcPr>
          <w:p w14:paraId="0159C9BD" w14:textId="77777777" w:rsidR="00334E5D" w:rsidRPr="00E55BDE" w:rsidRDefault="00334E5D" w:rsidP="00334E5D">
            <w:pPr>
              <w:spacing w:before="120"/>
            </w:pPr>
            <w:r w:rsidRPr="00E55BDE">
              <w:t>Multnomah STD Clinic</w:t>
            </w:r>
          </w:p>
        </w:tc>
        <w:tc>
          <w:tcPr>
            <w:tcW w:w="2070" w:type="dxa"/>
          </w:tcPr>
          <w:p w14:paraId="6C9CFE78" w14:textId="77777777" w:rsidR="00334E5D" w:rsidRPr="00E55BDE" w:rsidRDefault="00334E5D" w:rsidP="001F1C0C">
            <w:pPr>
              <w:spacing w:before="120"/>
              <w:jc w:val="center"/>
            </w:pPr>
            <w:r w:rsidRPr="00E55BDE">
              <w:t>1</w:t>
            </w:r>
          </w:p>
        </w:tc>
        <w:tc>
          <w:tcPr>
            <w:tcW w:w="1980" w:type="dxa"/>
          </w:tcPr>
          <w:p w14:paraId="5DDB453E" w14:textId="77777777" w:rsidR="00334E5D" w:rsidRPr="00E55BDE" w:rsidRDefault="00334E5D" w:rsidP="00C35C1D">
            <w:pPr>
              <w:spacing w:before="120"/>
              <w:jc w:val="center"/>
            </w:pPr>
            <w:r w:rsidRPr="00E55BDE">
              <w:t>5,000</w:t>
            </w:r>
          </w:p>
        </w:tc>
      </w:tr>
      <w:tr w:rsidR="00334E5D" w:rsidRPr="00E55BDE" w14:paraId="2E533EC6" w14:textId="77777777" w:rsidTr="00A43FC5">
        <w:tc>
          <w:tcPr>
            <w:tcW w:w="1733" w:type="dxa"/>
          </w:tcPr>
          <w:p w14:paraId="4C2764F8" w14:textId="77777777" w:rsidR="00334E5D" w:rsidRPr="00E55BDE" w:rsidRDefault="00334E5D" w:rsidP="001F1C0C">
            <w:pPr>
              <w:spacing w:before="120"/>
            </w:pPr>
            <w:r w:rsidRPr="00E55BDE">
              <w:t>New York City Department of Health &amp; Mental Hygiene</w:t>
            </w:r>
          </w:p>
        </w:tc>
        <w:tc>
          <w:tcPr>
            <w:tcW w:w="4567" w:type="dxa"/>
          </w:tcPr>
          <w:p w14:paraId="1E596AF8" w14:textId="77777777" w:rsidR="00334E5D" w:rsidRPr="00E55BDE" w:rsidRDefault="00334E5D" w:rsidP="00334E5D">
            <w:pPr>
              <w:spacing w:before="120"/>
            </w:pPr>
            <w:r w:rsidRPr="00E55BDE">
              <w:t>Central Harlem, Manhattanville, Corona, Fort Greene, Jamaica, Chelsea, Crown Heights,  Morrisania,</w:t>
            </w:r>
          </w:p>
        </w:tc>
        <w:tc>
          <w:tcPr>
            <w:tcW w:w="2070" w:type="dxa"/>
          </w:tcPr>
          <w:p w14:paraId="67695CA5" w14:textId="77777777" w:rsidR="00334E5D" w:rsidRPr="00E55BDE" w:rsidRDefault="00334E5D" w:rsidP="001F1C0C">
            <w:pPr>
              <w:spacing w:before="120"/>
              <w:jc w:val="center"/>
            </w:pPr>
            <w:r w:rsidRPr="00E55BDE">
              <w:t>1</w:t>
            </w:r>
          </w:p>
        </w:tc>
        <w:tc>
          <w:tcPr>
            <w:tcW w:w="1980" w:type="dxa"/>
          </w:tcPr>
          <w:p w14:paraId="50141AC1" w14:textId="77777777" w:rsidR="00334E5D" w:rsidRPr="00E55BDE" w:rsidRDefault="00334E5D" w:rsidP="004D050C">
            <w:pPr>
              <w:spacing w:before="120"/>
              <w:jc w:val="center"/>
            </w:pPr>
            <w:r w:rsidRPr="00E55BDE">
              <w:t>50,000</w:t>
            </w:r>
          </w:p>
        </w:tc>
      </w:tr>
      <w:tr w:rsidR="00334E5D" w:rsidRPr="00E55BDE" w14:paraId="15AFBA89" w14:textId="77777777" w:rsidTr="00A43FC5">
        <w:tc>
          <w:tcPr>
            <w:tcW w:w="1733" w:type="dxa"/>
          </w:tcPr>
          <w:p w14:paraId="4A9BF18B" w14:textId="77777777" w:rsidR="00334E5D" w:rsidRPr="00E55BDE" w:rsidRDefault="00334E5D" w:rsidP="001F1C0C">
            <w:pPr>
              <w:spacing w:before="120"/>
            </w:pPr>
            <w:r w:rsidRPr="00E55BDE">
              <w:t>Philadelphia Department of Public Health</w:t>
            </w:r>
          </w:p>
        </w:tc>
        <w:tc>
          <w:tcPr>
            <w:tcW w:w="4567" w:type="dxa"/>
          </w:tcPr>
          <w:p w14:paraId="5B8E4380" w14:textId="77777777" w:rsidR="00334E5D" w:rsidRPr="00E55BDE" w:rsidRDefault="00334E5D" w:rsidP="00334E5D">
            <w:pPr>
              <w:spacing w:before="120"/>
            </w:pPr>
            <w:r w:rsidRPr="00E55BDE">
              <w:t>Philadelphia Health Clinic # 1, Philadelphia Health Clinic # 5</w:t>
            </w:r>
          </w:p>
        </w:tc>
        <w:tc>
          <w:tcPr>
            <w:tcW w:w="2070" w:type="dxa"/>
          </w:tcPr>
          <w:p w14:paraId="7BC075D0" w14:textId="77777777" w:rsidR="00334E5D" w:rsidRPr="00E55BDE" w:rsidRDefault="00334E5D" w:rsidP="001F1C0C">
            <w:pPr>
              <w:spacing w:before="120"/>
              <w:jc w:val="center"/>
            </w:pPr>
            <w:r w:rsidRPr="00E55BDE">
              <w:t>1</w:t>
            </w:r>
          </w:p>
        </w:tc>
        <w:tc>
          <w:tcPr>
            <w:tcW w:w="1980" w:type="dxa"/>
          </w:tcPr>
          <w:p w14:paraId="2174B77B" w14:textId="77777777" w:rsidR="00334E5D" w:rsidRPr="00E55BDE" w:rsidRDefault="00334E5D" w:rsidP="004D050C">
            <w:pPr>
              <w:spacing w:before="120"/>
              <w:jc w:val="center"/>
            </w:pPr>
            <w:r w:rsidRPr="00E55BDE">
              <w:t>14,000</w:t>
            </w:r>
          </w:p>
        </w:tc>
      </w:tr>
      <w:tr w:rsidR="00334E5D" w:rsidRPr="00E55BDE" w14:paraId="7FCF035C" w14:textId="77777777" w:rsidTr="00A43FC5">
        <w:tc>
          <w:tcPr>
            <w:tcW w:w="1733" w:type="dxa"/>
          </w:tcPr>
          <w:p w14:paraId="1193CCE0" w14:textId="77777777" w:rsidR="00334E5D" w:rsidRPr="00E55BDE" w:rsidRDefault="00334E5D" w:rsidP="001F1C0C">
            <w:pPr>
              <w:spacing w:before="120"/>
            </w:pPr>
            <w:r w:rsidRPr="00E55BDE">
              <w:t>San Francisco Department of Public Health</w:t>
            </w:r>
          </w:p>
        </w:tc>
        <w:tc>
          <w:tcPr>
            <w:tcW w:w="4567" w:type="dxa"/>
          </w:tcPr>
          <w:p w14:paraId="6E275C34" w14:textId="77777777" w:rsidR="00334E5D" w:rsidRPr="00E55BDE" w:rsidRDefault="00334E5D" w:rsidP="00334E5D">
            <w:pPr>
              <w:spacing w:before="120"/>
            </w:pPr>
            <w:r w:rsidRPr="00E55BDE">
              <w:t>SF City STD Clinic</w:t>
            </w:r>
          </w:p>
        </w:tc>
        <w:tc>
          <w:tcPr>
            <w:tcW w:w="2070" w:type="dxa"/>
          </w:tcPr>
          <w:p w14:paraId="770924E2" w14:textId="77777777" w:rsidR="00334E5D" w:rsidRPr="00E55BDE" w:rsidRDefault="00334E5D" w:rsidP="001F1C0C">
            <w:pPr>
              <w:spacing w:before="120"/>
              <w:jc w:val="center"/>
            </w:pPr>
            <w:r w:rsidRPr="00E55BDE">
              <w:t>1</w:t>
            </w:r>
          </w:p>
        </w:tc>
        <w:tc>
          <w:tcPr>
            <w:tcW w:w="1980" w:type="dxa"/>
          </w:tcPr>
          <w:p w14:paraId="34D8E4D1" w14:textId="77777777" w:rsidR="00334E5D" w:rsidRPr="00E55BDE" w:rsidRDefault="00334E5D" w:rsidP="001F1C0C">
            <w:pPr>
              <w:spacing w:before="120"/>
              <w:jc w:val="center"/>
            </w:pPr>
            <w:r w:rsidRPr="00E55BDE">
              <w:t>11,000</w:t>
            </w:r>
          </w:p>
        </w:tc>
      </w:tr>
      <w:tr w:rsidR="00334E5D" w:rsidRPr="00E55BDE" w14:paraId="68CFD95F" w14:textId="77777777" w:rsidTr="00A43FC5">
        <w:trPr>
          <w:trHeight w:val="1137"/>
        </w:trPr>
        <w:tc>
          <w:tcPr>
            <w:tcW w:w="1733" w:type="dxa"/>
          </w:tcPr>
          <w:p w14:paraId="43C0CDAB" w14:textId="77777777" w:rsidR="00334E5D" w:rsidRPr="00E55BDE" w:rsidRDefault="00334E5D" w:rsidP="001F1C0C">
            <w:pPr>
              <w:spacing w:before="120"/>
            </w:pPr>
            <w:r w:rsidRPr="00E55BDE">
              <w:t>Washington State Department of Health</w:t>
            </w:r>
          </w:p>
        </w:tc>
        <w:tc>
          <w:tcPr>
            <w:tcW w:w="4567" w:type="dxa"/>
          </w:tcPr>
          <w:p w14:paraId="569EECAA" w14:textId="77777777" w:rsidR="00334E5D" w:rsidRPr="00E55BDE" w:rsidRDefault="00334E5D" w:rsidP="00334E5D">
            <w:pPr>
              <w:spacing w:before="120"/>
            </w:pPr>
            <w:r w:rsidRPr="00E55BDE">
              <w:t>Harborview STD Clinic</w:t>
            </w:r>
          </w:p>
        </w:tc>
        <w:tc>
          <w:tcPr>
            <w:tcW w:w="2070" w:type="dxa"/>
          </w:tcPr>
          <w:p w14:paraId="29EA23E7" w14:textId="77777777" w:rsidR="00334E5D" w:rsidRPr="00E55BDE" w:rsidRDefault="00334E5D" w:rsidP="001F1C0C">
            <w:pPr>
              <w:spacing w:before="120"/>
              <w:jc w:val="center"/>
            </w:pPr>
            <w:r w:rsidRPr="00E55BDE">
              <w:t>1</w:t>
            </w:r>
          </w:p>
        </w:tc>
        <w:tc>
          <w:tcPr>
            <w:tcW w:w="1980" w:type="dxa"/>
          </w:tcPr>
          <w:p w14:paraId="16702F36" w14:textId="77777777" w:rsidR="00334E5D" w:rsidRPr="00E55BDE" w:rsidRDefault="00334E5D" w:rsidP="004D050C">
            <w:pPr>
              <w:spacing w:before="120"/>
              <w:jc w:val="center"/>
            </w:pPr>
            <w:r w:rsidRPr="00E55BDE">
              <w:t>7,000</w:t>
            </w:r>
          </w:p>
        </w:tc>
      </w:tr>
      <w:tr w:rsidR="00334E5D" w:rsidRPr="00E55BDE" w14:paraId="480BBA1E" w14:textId="77777777" w:rsidTr="00A43FC5">
        <w:tc>
          <w:tcPr>
            <w:tcW w:w="1733" w:type="dxa"/>
          </w:tcPr>
          <w:p w14:paraId="08D2F88B" w14:textId="77777777" w:rsidR="00334E5D" w:rsidRPr="00E55BDE" w:rsidRDefault="00334E5D" w:rsidP="001F1C0C">
            <w:pPr>
              <w:spacing w:before="120"/>
              <w:rPr>
                <w:b/>
                <w:bCs/>
              </w:rPr>
            </w:pPr>
            <w:r w:rsidRPr="00E55BDE">
              <w:rPr>
                <w:b/>
                <w:bCs/>
              </w:rPr>
              <w:t>Totals</w:t>
            </w:r>
          </w:p>
        </w:tc>
        <w:tc>
          <w:tcPr>
            <w:tcW w:w="4567" w:type="dxa"/>
          </w:tcPr>
          <w:p w14:paraId="2095969C" w14:textId="77777777" w:rsidR="00334E5D" w:rsidRPr="00E55BDE" w:rsidRDefault="00334E5D" w:rsidP="001F1C0C">
            <w:pPr>
              <w:spacing w:before="120"/>
              <w:jc w:val="center"/>
              <w:rPr>
                <w:b/>
              </w:rPr>
            </w:pPr>
            <w:r w:rsidRPr="00E55BDE">
              <w:rPr>
                <w:b/>
              </w:rPr>
              <w:t>30 facilities</w:t>
            </w:r>
          </w:p>
        </w:tc>
        <w:tc>
          <w:tcPr>
            <w:tcW w:w="2070" w:type="dxa"/>
          </w:tcPr>
          <w:p w14:paraId="25BF954C" w14:textId="77777777" w:rsidR="00334E5D" w:rsidRPr="00E55BDE" w:rsidRDefault="00334E5D" w:rsidP="001F1C0C">
            <w:pPr>
              <w:spacing w:before="120"/>
              <w:jc w:val="center"/>
              <w:rPr>
                <w:b/>
              </w:rPr>
            </w:pPr>
            <w:r w:rsidRPr="00E55BDE">
              <w:rPr>
                <w:b/>
              </w:rPr>
              <w:t>10</w:t>
            </w:r>
          </w:p>
        </w:tc>
        <w:tc>
          <w:tcPr>
            <w:tcW w:w="1980" w:type="dxa"/>
          </w:tcPr>
          <w:p w14:paraId="41CF480C" w14:textId="77777777" w:rsidR="00334E5D" w:rsidRPr="00E55BDE" w:rsidRDefault="00334E5D" w:rsidP="00C35C1D">
            <w:pPr>
              <w:spacing w:before="120"/>
              <w:jc w:val="center"/>
              <w:rPr>
                <w:b/>
              </w:rPr>
            </w:pPr>
            <w:r w:rsidRPr="00E55BDE">
              <w:rPr>
                <w:b/>
              </w:rPr>
              <w:t>132,000</w:t>
            </w:r>
          </w:p>
        </w:tc>
      </w:tr>
    </w:tbl>
    <w:p w14:paraId="04EFEEDD" w14:textId="77777777" w:rsidR="0002449C" w:rsidRPr="00010723" w:rsidRDefault="0002449C" w:rsidP="0002449C">
      <w:pPr>
        <w:spacing w:before="120"/>
        <w:rPr>
          <w:b/>
        </w:rPr>
      </w:pPr>
    </w:p>
    <w:p w14:paraId="03AB3F39" w14:textId="77777777" w:rsidR="00FF3A05" w:rsidRPr="00010723" w:rsidRDefault="00FF3A05" w:rsidP="00C77DD0">
      <w:pPr>
        <w:spacing w:before="120"/>
        <w:rPr>
          <w:i/>
        </w:rPr>
      </w:pPr>
      <w:r w:rsidRPr="00010723">
        <w:rPr>
          <w:i/>
        </w:rPr>
        <w:t xml:space="preserve">Population-based </w:t>
      </w:r>
      <w:r w:rsidR="00063264">
        <w:rPr>
          <w:i/>
        </w:rPr>
        <w:t>gonorrhea</w:t>
      </w:r>
      <w:r w:rsidRPr="00010723">
        <w:rPr>
          <w:i/>
        </w:rPr>
        <w:t xml:space="preserve"> surveillance:</w:t>
      </w:r>
    </w:p>
    <w:p w14:paraId="5BA52441" w14:textId="77777777" w:rsidR="00722226" w:rsidRPr="00010723" w:rsidRDefault="001351E5" w:rsidP="00C77DD0">
      <w:pPr>
        <w:spacing w:before="120"/>
      </w:pPr>
      <w:r w:rsidRPr="001351E5">
        <w:t>The respondents providing the information for e</w:t>
      </w:r>
      <w:r w:rsidR="00FA639E">
        <w:t xml:space="preserve">nhanced </w:t>
      </w:r>
      <w:r w:rsidRPr="001351E5">
        <w:t xml:space="preserve">SSuN’s </w:t>
      </w:r>
      <w:r w:rsidR="00FA639E">
        <w:t xml:space="preserve">gonorrhea </w:t>
      </w:r>
      <w:r>
        <w:t>population</w:t>
      </w:r>
      <w:r w:rsidRPr="001351E5">
        <w:t>-</w:t>
      </w:r>
      <w:r w:rsidR="00994BE2">
        <w:t xml:space="preserve">based surveillance are (1) the </w:t>
      </w:r>
      <w:r w:rsidRPr="001351E5">
        <w:t>data managers at the 10 e</w:t>
      </w:r>
      <w:r w:rsidR="002258B6">
        <w:t xml:space="preserve">nhanced </w:t>
      </w:r>
      <w:r w:rsidRPr="001351E5">
        <w:t>SSuN collaborating sentinel surveillance sites (Table B.1.A)</w:t>
      </w:r>
      <w:r>
        <w:t xml:space="preserve"> and (2)</w:t>
      </w:r>
      <w:r w:rsidRPr="001351E5">
        <w:t xml:space="preserve"> persons identified as having gonorrhea by case report</w:t>
      </w:r>
      <w:r>
        <w:t xml:space="preserve"> in the</w:t>
      </w:r>
      <w:r w:rsidRPr="001351E5">
        <w:t xml:space="preserve"> 10 state or municipal health departments participating in e</w:t>
      </w:r>
      <w:r w:rsidR="002258B6">
        <w:t xml:space="preserve">nhanced </w:t>
      </w:r>
      <w:r w:rsidRPr="001351E5">
        <w:t>SSuN</w:t>
      </w:r>
      <w:r>
        <w:t xml:space="preserve">. </w:t>
      </w:r>
      <w:r w:rsidRPr="001351E5">
        <w:t>From th</w:t>
      </w:r>
      <w:r>
        <w:t>e latter</w:t>
      </w:r>
      <w:r w:rsidRPr="001351E5">
        <w:t xml:space="preserve"> </w:t>
      </w:r>
      <w:r>
        <w:t>group</w:t>
      </w:r>
      <w:r w:rsidRPr="001351E5">
        <w:t xml:space="preserve">, a sample of patients will be chosen </w:t>
      </w:r>
      <w:r>
        <w:t xml:space="preserve">for interview by systematic random sampling </w:t>
      </w:r>
      <w:r w:rsidRPr="001351E5">
        <w:t xml:space="preserve">(Table B.1.B).  </w:t>
      </w:r>
      <w:r w:rsidR="00890D55" w:rsidRPr="00010723">
        <w:t>Within these 1</w:t>
      </w:r>
      <w:r w:rsidR="001E6558" w:rsidRPr="00010723">
        <w:t>0</w:t>
      </w:r>
      <w:r w:rsidR="00890D55" w:rsidRPr="00010723">
        <w:t xml:space="preserve"> collaborating sites there </w:t>
      </w:r>
      <w:r w:rsidR="004663D2">
        <w:t>is an</w:t>
      </w:r>
      <w:r w:rsidR="00890D55" w:rsidRPr="00010723">
        <w:t xml:space="preserve"> estimated population of more than </w:t>
      </w:r>
      <w:r w:rsidR="00687636">
        <w:t>90</w:t>
      </w:r>
      <w:r w:rsidR="00890D55" w:rsidRPr="00010723">
        <w:t xml:space="preserve"> million people (U.S. Census Bureau 201</w:t>
      </w:r>
      <w:r w:rsidR="00687636">
        <w:t>7</w:t>
      </w:r>
      <w:r w:rsidR="00890D55" w:rsidRPr="00010723">
        <w:t xml:space="preserve">, </w:t>
      </w:r>
      <w:r w:rsidR="00687636" w:rsidRPr="00687636">
        <w:t>Annual Estimates of the Resident Population: April 1, 2010 to July 1, 2016</w:t>
      </w:r>
      <w:r w:rsidR="00890D55" w:rsidRPr="00010723">
        <w:t>).  In 201</w:t>
      </w:r>
      <w:r w:rsidR="00687636">
        <w:t>6</w:t>
      </w:r>
      <w:r w:rsidR="00890D55" w:rsidRPr="00010723">
        <w:t xml:space="preserve"> there were there were </w:t>
      </w:r>
      <w:r w:rsidR="00A54797">
        <w:t>129,434</w:t>
      </w:r>
      <w:r w:rsidR="00890D55" w:rsidRPr="00010723">
        <w:t xml:space="preserve"> gonorrhea case reports from this population, representing approximately </w:t>
      </w:r>
      <w:r w:rsidR="00A54797">
        <w:t>27.6</w:t>
      </w:r>
      <w:r w:rsidR="00890D55" w:rsidRPr="00010723">
        <w:t>% of the national gonorrhea case reports in that year.</w:t>
      </w:r>
      <w:r w:rsidR="00517C64" w:rsidRPr="00010723">
        <w:t xml:space="preserve">  Health departments will approach </w:t>
      </w:r>
      <w:r w:rsidR="000F57E2" w:rsidRPr="00010723">
        <w:t>randomly-selected</w:t>
      </w:r>
      <w:r w:rsidR="00C90FCF" w:rsidRPr="00010723">
        <w:t xml:space="preserve"> persons reported with gonorrhea and request their participation</w:t>
      </w:r>
      <w:r w:rsidR="00517C64" w:rsidRPr="00010723">
        <w:t xml:space="preserve"> for interview</w:t>
      </w:r>
      <w:r w:rsidR="00C90FCF" w:rsidRPr="00010723">
        <w:t xml:space="preserve">.  </w:t>
      </w:r>
    </w:p>
    <w:p w14:paraId="696CB471" w14:textId="77777777" w:rsidR="00937AAC" w:rsidRPr="00010723" w:rsidRDefault="00937AAC" w:rsidP="00DC3A0F">
      <w:pPr>
        <w:spacing w:before="120"/>
      </w:pPr>
    </w:p>
    <w:p w14:paraId="1FAFE5BD" w14:textId="77777777" w:rsidR="00A43FC5" w:rsidRDefault="00A43FC5" w:rsidP="00937AAC">
      <w:pPr>
        <w:spacing w:before="120"/>
      </w:pPr>
    </w:p>
    <w:p w14:paraId="0A53434C" w14:textId="27EBE4A9" w:rsidR="00937AAC" w:rsidRPr="00B35AD2" w:rsidRDefault="00C73761" w:rsidP="00937AAC">
      <w:pPr>
        <w:spacing w:before="120"/>
        <w:rPr>
          <w:b/>
        </w:rPr>
      </w:pPr>
      <w:r w:rsidRPr="00B35AD2">
        <w:t>Table</w:t>
      </w:r>
      <w:r w:rsidR="0002449C" w:rsidRPr="00B35AD2">
        <w:t xml:space="preserve"> B.1.B</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340"/>
        <w:gridCol w:w="2790"/>
      </w:tblGrid>
      <w:tr w:rsidR="00D24FED" w:rsidRPr="000E4E0A" w14:paraId="31A73C2B" w14:textId="77777777" w:rsidTr="00D24FED">
        <w:tc>
          <w:tcPr>
            <w:tcW w:w="4248" w:type="dxa"/>
            <w:shd w:val="clear" w:color="auto" w:fill="auto"/>
          </w:tcPr>
          <w:p w14:paraId="374971D5" w14:textId="77777777" w:rsidR="00D24FED" w:rsidRPr="000E4E0A" w:rsidRDefault="00D24FED" w:rsidP="00565BCA">
            <w:pPr>
              <w:spacing w:before="120"/>
              <w:jc w:val="center"/>
            </w:pPr>
            <w:r w:rsidRPr="000E4E0A">
              <w:t>Collaborating sentinel surveillance sites</w:t>
            </w:r>
          </w:p>
        </w:tc>
        <w:tc>
          <w:tcPr>
            <w:tcW w:w="2340" w:type="dxa"/>
            <w:shd w:val="clear" w:color="auto" w:fill="auto"/>
          </w:tcPr>
          <w:p w14:paraId="17A0CD33" w14:textId="77777777" w:rsidR="00D24FED" w:rsidRPr="000E4E0A" w:rsidRDefault="00D24FED" w:rsidP="00D24FED">
            <w:pPr>
              <w:spacing w:before="120"/>
              <w:jc w:val="center"/>
            </w:pPr>
            <w:r w:rsidRPr="000E4E0A">
              <w:t>Total # of gonorrhea case reports in 201</w:t>
            </w:r>
            <w:r w:rsidR="00F4101A" w:rsidRPr="000E4E0A">
              <w:t>6</w:t>
            </w:r>
          </w:p>
        </w:tc>
        <w:tc>
          <w:tcPr>
            <w:tcW w:w="2790" w:type="dxa"/>
            <w:shd w:val="clear" w:color="auto" w:fill="auto"/>
          </w:tcPr>
          <w:p w14:paraId="0EECE8AF" w14:textId="77777777" w:rsidR="00D24FED" w:rsidRPr="000E4E0A" w:rsidRDefault="00D24FED" w:rsidP="000C0647">
            <w:pPr>
              <w:spacing w:before="120"/>
              <w:jc w:val="center"/>
            </w:pPr>
            <w:r w:rsidRPr="000E4E0A">
              <w:t xml:space="preserve"># of interviews completed for </w:t>
            </w:r>
            <w:r w:rsidR="00014EC2" w:rsidRPr="000E4E0A">
              <w:t>e</w:t>
            </w:r>
            <w:r w:rsidR="002258B6">
              <w:t xml:space="preserve">nhanced </w:t>
            </w:r>
            <w:r w:rsidR="003E2135" w:rsidRPr="000E4E0A">
              <w:t>SSuN</w:t>
            </w:r>
            <w:r w:rsidR="00E22386" w:rsidRPr="000E4E0A">
              <w:t xml:space="preserve"> </w:t>
            </w:r>
          </w:p>
        </w:tc>
      </w:tr>
      <w:tr w:rsidR="00A54797" w:rsidRPr="000E4E0A" w14:paraId="45FEC55E" w14:textId="77777777" w:rsidTr="00B35AD2">
        <w:tc>
          <w:tcPr>
            <w:tcW w:w="4248" w:type="dxa"/>
            <w:shd w:val="clear" w:color="auto" w:fill="auto"/>
          </w:tcPr>
          <w:p w14:paraId="77BC191B" w14:textId="77777777" w:rsidR="00A54797" w:rsidRPr="000E4E0A" w:rsidRDefault="00A54797" w:rsidP="00A54797">
            <w:r w:rsidRPr="000E4E0A">
              <w:t>1 Baltimore City Health Department</w:t>
            </w:r>
          </w:p>
        </w:tc>
        <w:tc>
          <w:tcPr>
            <w:tcW w:w="2340" w:type="dxa"/>
            <w:shd w:val="clear" w:color="auto" w:fill="auto"/>
            <w:vAlign w:val="bottom"/>
          </w:tcPr>
          <w:p w14:paraId="061C18B3" w14:textId="77777777" w:rsidR="00A54797" w:rsidRPr="000E4E0A" w:rsidRDefault="00A54797" w:rsidP="00A54797">
            <w:pPr>
              <w:jc w:val="right"/>
            </w:pPr>
            <w:r w:rsidRPr="000E4E0A">
              <w:rPr>
                <w:color w:val="000000"/>
              </w:rPr>
              <w:t>3451</w:t>
            </w:r>
          </w:p>
        </w:tc>
        <w:tc>
          <w:tcPr>
            <w:tcW w:w="2790" w:type="dxa"/>
            <w:shd w:val="clear" w:color="auto" w:fill="auto"/>
          </w:tcPr>
          <w:p w14:paraId="7EEC301D" w14:textId="77777777" w:rsidR="00A54797" w:rsidRPr="000E4E0A" w:rsidRDefault="003E40C5" w:rsidP="00E22386">
            <w:pPr>
              <w:jc w:val="right"/>
            </w:pPr>
            <w:r w:rsidRPr="000E4E0A">
              <w:t>340</w:t>
            </w:r>
          </w:p>
        </w:tc>
      </w:tr>
      <w:tr w:rsidR="00A54797" w:rsidRPr="000E4E0A" w14:paraId="528D00E0" w14:textId="77777777" w:rsidTr="00B35AD2">
        <w:tc>
          <w:tcPr>
            <w:tcW w:w="4248" w:type="dxa"/>
            <w:shd w:val="clear" w:color="auto" w:fill="auto"/>
          </w:tcPr>
          <w:p w14:paraId="59E6724D" w14:textId="77777777" w:rsidR="00A54797" w:rsidRPr="000E4E0A" w:rsidRDefault="00A54797" w:rsidP="00A54797">
            <w:r w:rsidRPr="000E4E0A">
              <w:t>2 California Department of Public Health</w:t>
            </w:r>
          </w:p>
        </w:tc>
        <w:tc>
          <w:tcPr>
            <w:tcW w:w="2340" w:type="dxa"/>
            <w:shd w:val="clear" w:color="auto" w:fill="auto"/>
            <w:vAlign w:val="bottom"/>
          </w:tcPr>
          <w:p w14:paraId="78BBD4ED" w14:textId="77777777" w:rsidR="00A54797" w:rsidRPr="000E4E0A" w:rsidRDefault="00A54797" w:rsidP="00A54797">
            <w:pPr>
              <w:jc w:val="right"/>
            </w:pPr>
            <w:r w:rsidRPr="000E4E0A">
              <w:rPr>
                <w:color w:val="000000"/>
              </w:rPr>
              <w:t>53645</w:t>
            </w:r>
          </w:p>
        </w:tc>
        <w:tc>
          <w:tcPr>
            <w:tcW w:w="2790" w:type="dxa"/>
            <w:shd w:val="clear" w:color="auto" w:fill="auto"/>
          </w:tcPr>
          <w:p w14:paraId="58E489F2" w14:textId="2ACA6FE4" w:rsidR="00A54797" w:rsidRPr="000E4E0A" w:rsidRDefault="00A54797" w:rsidP="0000072D">
            <w:pPr>
              <w:jc w:val="right"/>
            </w:pPr>
            <w:r w:rsidRPr="000E4E0A">
              <w:t>1</w:t>
            </w:r>
            <w:r w:rsidR="0000072D">
              <w:t>425</w:t>
            </w:r>
          </w:p>
        </w:tc>
      </w:tr>
      <w:tr w:rsidR="00A54797" w:rsidRPr="000E4E0A" w14:paraId="6DC74799" w14:textId="77777777" w:rsidTr="00B35AD2">
        <w:tc>
          <w:tcPr>
            <w:tcW w:w="4248" w:type="dxa"/>
            <w:shd w:val="clear" w:color="auto" w:fill="auto"/>
          </w:tcPr>
          <w:p w14:paraId="066763CD" w14:textId="77777777" w:rsidR="00A54797" w:rsidRPr="000E4E0A" w:rsidRDefault="00A54797" w:rsidP="00A54797">
            <w:r w:rsidRPr="000E4E0A">
              <w:t>3 Florida Department of Health</w:t>
            </w:r>
          </w:p>
        </w:tc>
        <w:tc>
          <w:tcPr>
            <w:tcW w:w="2340" w:type="dxa"/>
            <w:shd w:val="clear" w:color="auto" w:fill="auto"/>
            <w:vAlign w:val="bottom"/>
          </w:tcPr>
          <w:p w14:paraId="476C5B75" w14:textId="77777777" w:rsidR="00A54797" w:rsidRPr="000E4E0A" w:rsidRDefault="00A54797" w:rsidP="00A54797">
            <w:pPr>
              <w:jc w:val="right"/>
            </w:pPr>
            <w:r w:rsidRPr="000E4E0A">
              <w:rPr>
                <w:color w:val="000000"/>
              </w:rPr>
              <w:t>24165</w:t>
            </w:r>
          </w:p>
        </w:tc>
        <w:tc>
          <w:tcPr>
            <w:tcW w:w="2790" w:type="dxa"/>
            <w:shd w:val="clear" w:color="auto" w:fill="auto"/>
          </w:tcPr>
          <w:p w14:paraId="22FD62E2" w14:textId="1A39185E" w:rsidR="00A54797" w:rsidRPr="000E4E0A" w:rsidRDefault="0000072D" w:rsidP="0000072D">
            <w:pPr>
              <w:jc w:val="right"/>
            </w:pPr>
            <w:r>
              <w:t>740</w:t>
            </w:r>
          </w:p>
        </w:tc>
      </w:tr>
      <w:tr w:rsidR="00A54797" w:rsidRPr="000E4E0A" w14:paraId="2DF21288" w14:textId="77777777" w:rsidTr="00B35AD2">
        <w:tc>
          <w:tcPr>
            <w:tcW w:w="4248" w:type="dxa"/>
            <w:shd w:val="clear" w:color="auto" w:fill="auto"/>
          </w:tcPr>
          <w:p w14:paraId="1112AE13" w14:textId="77777777" w:rsidR="00A54797" w:rsidRPr="000E4E0A" w:rsidRDefault="00A54797" w:rsidP="00A54797">
            <w:r w:rsidRPr="000E4E0A">
              <w:t>4 Massachusetts Department of Public Health</w:t>
            </w:r>
          </w:p>
        </w:tc>
        <w:tc>
          <w:tcPr>
            <w:tcW w:w="2340" w:type="dxa"/>
            <w:shd w:val="clear" w:color="auto" w:fill="auto"/>
            <w:vAlign w:val="bottom"/>
          </w:tcPr>
          <w:p w14:paraId="14ACBB30" w14:textId="77777777" w:rsidR="00A54797" w:rsidRPr="000E4E0A" w:rsidRDefault="00A54797" w:rsidP="00A54797">
            <w:pPr>
              <w:jc w:val="right"/>
            </w:pPr>
            <w:r w:rsidRPr="000E4E0A">
              <w:rPr>
                <w:color w:val="000000"/>
              </w:rPr>
              <w:t>4254</w:t>
            </w:r>
          </w:p>
        </w:tc>
        <w:tc>
          <w:tcPr>
            <w:tcW w:w="2790" w:type="dxa"/>
            <w:shd w:val="clear" w:color="auto" w:fill="auto"/>
          </w:tcPr>
          <w:p w14:paraId="4195E153" w14:textId="1472C3A0" w:rsidR="00A54797" w:rsidRPr="000E4E0A" w:rsidRDefault="003E40C5" w:rsidP="0000072D">
            <w:pPr>
              <w:jc w:val="right"/>
            </w:pPr>
            <w:r w:rsidRPr="000E4E0A">
              <w:t>4</w:t>
            </w:r>
            <w:r w:rsidR="0000072D">
              <w:t>50</w:t>
            </w:r>
          </w:p>
        </w:tc>
      </w:tr>
      <w:tr w:rsidR="00A54797" w:rsidRPr="000E4E0A" w14:paraId="2F3DC4E4" w14:textId="77777777" w:rsidTr="00B35AD2">
        <w:tc>
          <w:tcPr>
            <w:tcW w:w="4248" w:type="dxa"/>
            <w:shd w:val="clear" w:color="auto" w:fill="auto"/>
          </w:tcPr>
          <w:p w14:paraId="3ABDBC08" w14:textId="77777777" w:rsidR="00A54797" w:rsidRPr="000E4E0A" w:rsidRDefault="00A54797" w:rsidP="00A54797">
            <w:r w:rsidRPr="000E4E0A">
              <w:t>5 Minnesota Department of Health</w:t>
            </w:r>
          </w:p>
        </w:tc>
        <w:tc>
          <w:tcPr>
            <w:tcW w:w="2340" w:type="dxa"/>
            <w:shd w:val="clear" w:color="auto" w:fill="auto"/>
            <w:vAlign w:val="bottom"/>
          </w:tcPr>
          <w:p w14:paraId="1BE34378" w14:textId="77777777" w:rsidR="00A54797" w:rsidRPr="000E4E0A" w:rsidRDefault="00A54797" w:rsidP="00A54797">
            <w:pPr>
              <w:jc w:val="right"/>
            </w:pPr>
            <w:r w:rsidRPr="000E4E0A">
              <w:rPr>
                <w:color w:val="000000"/>
              </w:rPr>
              <w:t>1959</w:t>
            </w:r>
          </w:p>
        </w:tc>
        <w:tc>
          <w:tcPr>
            <w:tcW w:w="2790" w:type="dxa"/>
            <w:shd w:val="clear" w:color="auto" w:fill="auto"/>
          </w:tcPr>
          <w:p w14:paraId="78A00DC9" w14:textId="77777777" w:rsidR="00A54797" w:rsidRPr="000E4E0A" w:rsidRDefault="00A54797" w:rsidP="00A54797">
            <w:pPr>
              <w:jc w:val="right"/>
            </w:pPr>
            <w:r w:rsidRPr="000E4E0A">
              <w:t>250</w:t>
            </w:r>
          </w:p>
        </w:tc>
      </w:tr>
      <w:tr w:rsidR="00A54797" w:rsidRPr="000E4E0A" w14:paraId="64A4073C" w14:textId="77777777" w:rsidTr="00B35AD2">
        <w:tc>
          <w:tcPr>
            <w:tcW w:w="4248" w:type="dxa"/>
            <w:shd w:val="clear" w:color="auto" w:fill="auto"/>
          </w:tcPr>
          <w:p w14:paraId="6FB735D1" w14:textId="77777777" w:rsidR="00A54797" w:rsidRPr="000E4E0A" w:rsidRDefault="00A54797" w:rsidP="00A54797">
            <w:r w:rsidRPr="000E4E0A">
              <w:t>6 Multnomah County Health Department</w:t>
            </w:r>
          </w:p>
        </w:tc>
        <w:tc>
          <w:tcPr>
            <w:tcW w:w="2340" w:type="dxa"/>
            <w:shd w:val="clear" w:color="auto" w:fill="auto"/>
            <w:vAlign w:val="bottom"/>
          </w:tcPr>
          <w:p w14:paraId="62988EB5" w14:textId="77777777" w:rsidR="00A54797" w:rsidRPr="000E4E0A" w:rsidRDefault="00A54797" w:rsidP="00A54797">
            <w:pPr>
              <w:jc w:val="right"/>
            </w:pPr>
            <w:r w:rsidRPr="000E4E0A">
              <w:rPr>
                <w:color w:val="000000"/>
              </w:rPr>
              <w:t>3934</w:t>
            </w:r>
          </w:p>
        </w:tc>
        <w:tc>
          <w:tcPr>
            <w:tcW w:w="2790" w:type="dxa"/>
            <w:shd w:val="clear" w:color="auto" w:fill="auto"/>
          </w:tcPr>
          <w:p w14:paraId="11A7924B" w14:textId="11C7801C" w:rsidR="00A54797" w:rsidRPr="000E4E0A" w:rsidRDefault="003E40C5" w:rsidP="0000072D">
            <w:pPr>
              <w:jc w:val="right"/>
            </w:pPr>
            <w:r w:rsidRPr="000E4E0A">
              <w:t>3</w:t>
            </w:r>
            <w:r w:rsidR="0000072D">
              <w:t>96</w:t>
            </w:r>
          </w:p>
        </w:tc>
      </w:tr>
      <w:tr w:rsidR="00A54797" w:rsidRPr="000E4E0A" w14:paraId="22A0ED5B" w14:textId="77777777" w:rsidTr="00B35AD2">
        <w:tc>
          <w:tcPr>
            <w:tcW w:w="4248" w:type="dxa"/>
            <w:shd w:val="clear" w:color="auto" w:fill="auto"/>
          </w:tcPr>
          <w:p w14:paraId="03B66749" w14:textId="77777777" w:rsidR="00A54797" w:rsidRPr="000E4E0A" w:rsidRDefault="00A54797" w:rsidP="00A54797">
            <w:r w:rsidRPr="000E4E0A">
              <w:t>7 New York City Department of Health &amp; Mental Hygiene</w:t>
            </w:r>
          </w:p>
        </w:tc>
        <w:tc>
          <w:tcPr>
            <w:tcW w:w="2340" w:type="dxa"/>
            <w:shd w:val="clear" w:color="auto" w:fill="auto"/>
            <w:vAlign w:val="bottom"/>
          </w:tcPr>
          <w:p w14:paraId="07A510DF" w14:textId="77777777" w:rsidR="00A54797" w:rsidRPr="000E4E0A" w:rsidRDefault="00A54797" w:rsidP="00A54797">
            <w:pPr>
              <w:jc w:val="right"/>
            </w:pPr>
            <w:r w:rsidRPr="000E4E0A">
              <w:rPr>
                <w:color w:val="000000"/>
              </w:rPr>
              <w:t>18828</w:t>
            </w:r>
          </w:p>
        </w:tc>
        <w:tc>
          <w:tcPr>
            <w:tcW w:w="2790" w:type="dxa"/>
            <w:shd w:val="clear" w:color="auto" w:fill="auto"/>
          </w:tcPr>
          <w:p w14:paraId="6284FB13" w14:textId="77777777" w:rsidR="00A54797" w:rsidRPr="000E4E0A" w:rsidRDefault="00A54797" w:rsidP="00A54797">
            <w:pPr>
              <w:jc w:val="right"/>
            </w:pPr>
            <w:r w:rsidRPr="000E4E0A">
              <w:t>47</w:t>
            </w:r>
            <w:r w:rsidR="003E40C5" w:rsidRPr="000E4E0A">
              <w:t>1</w:t>
            </w:r>
          </w:p>
        </w:tc>
      </w:tr>
      <w:tr w:rsidR="00A54797" w:rsidRPr="000E4E0A" w14:paraId="0AA27303" w14:textId="77777777" w:rsidTr="00B35AD2">
        <w:tc>
          <w:tcPr>
            <w:tcW w:w="4248" w:type="dxa"/>
            <w:shd w:val="clear" w:color="auto" w:fill="auto"/>
          </w:tcPr>
          <w:p w14:paraId="12BE93A7" w14:textId="77777777" w:rsidR="00A54797" w:rsidRPr="000E4E0A" w:rsidRDefault="00A54797" w:rsidP="00A54797">
            <w:r w:rsidRPr="000E4E0A">
              <w:t>8 Philadelphia Department of Public Health</w:t>
            </w:r>
          </w:p>
        </w:tc>
        <w:tc>
          <w:tcPr>
            <w:tcW w:w="2340" w:type="dxa"/>
            <w:shd w:val="clear" w:color="auto" w:fill="auto"/>
            <w:vAlign w:val="bottom"/>
          </w:tcPr>
          <w:p w14:paraId="34332E1B" w14:textId="77777777" w:rsidR="00A54797" w:rsidRPr="000E4E0A" w:rsidRDefault="00A54797" w:rsidP="00A54797">
            <w:pPr>
              <w:jc w:val="right"/>
            </w:pPr>
            <w:r w:rsidRPr="000E4E0A">
              <w:rPr>
                <w:color w:val="000000"/>
              </w:rPr>
              <w:t>6876</w:t>
            </w:r>
          </w:p>
        </w:tc>
        <w:tc>
          <w:tcPr>
            <w:tcW w:w="2790" w:type="dxa"/>
            <w:shd w:val="clear" w:color="auto" w:fill="auto"/>
          </w:tcPr>
          <w:p w14:paraId="2A7CA3BE" w14:textId="2D8A6161" w:rsidR="00A54797" w:rsidRPr="000E4E0A" w:rsidRDefault="003E40C5" w:rsidP="0000072D">
            <w:pPr>
              <w:jc w:val="right"/>
            </w:pPr>
            <w:r w:rsidRPr="000E4E0A">
              <w:t>4</w:t>
            </w:r>
            <w:r w:rsidR="0000072D">
              <w:t>9</w:t>
            </w:r>
            <w:r w:rsidRPr="000E4E0A">
              <w:t>0</w:t>
            </w:r>
          </w:p>
        </w:tc>
      </w:tr>
      <w:tr w:rsidR="00A54797" w:rsidRPr="000E4E0A" w14:paraId="30FE2FA8" w14:textId="77777777" w:rsidTr="00B35AD2">
        <w:tc>
          <w:tcPr>
            <w:tcW w:w="4248" w:type="dxa"/>
            <w:shd w:val="clear" w:color="auto" w:fill="auto"/>
          </w:tcPr>
          <w:p w14:paraId="1522FC68" w14:textId="77777777" w:rsidR="00A54797" w:rsidRPr="000E4E0A" w:rsidRDefault="00A54797" w:rsidP="00A54797">
            <w:r w:rsidRPr="000E4E0A">
              <w:t>9 San Francisco Department of Public Health</w:t>
            </w:r>
          </w:p>
        </w:tc>
        <w:tc>
          <w:tcPr>
            <w:tcW w:w="2340" w:type="dxa"/>
            <w:shd w:val="clear" w:color="auto" w:fill="auto"/>
            <w:vAlign w:val="bottom"/>
          </w:tcPr>
          <w:p w14:paraId="7A39CBBD" w14:textId="77777777" w:rsidR="00A54797" w:rsidRPr="000E4E0A" w:rsidRDefault="00A54797" w:rsidP="00A54797">
            <w:pPr>
              <w:jc w:val="right"/>
            </w:pPr>
            <w:r w:rsidRPr="000E4E0A">
              <w:rPr>
                <w:color w:val="000000"/>
              </w:rPr>
              <w:t>4803</w:t>
            </w:r>
          </w:p>
        </w:tc>
        <w:tc>
          <w:tcPr>
            <w:tcW w:w="2790" w:type="dxa"/>
            <w:shd w:val="clear" w:color="auto" w:fill="auto"/>
          </w:tcPr>
          <w:p w14:paraId="164A0713" w14:textId="77777777" w:rsidR="00A54797" w:rsidRPr="000E4E0A" w:rsidRDefault="003E40C5" w:rsidP="00A54797">
            <w:pPr>
              <w:jc w:val="right"/>
            </w:pPr>
            <w:r w:rsidRPr="000E4E0A">
              <w:t>375</w:t>
            </w:r>
          </w:p>
        </w:tc>
      </w:tr>
      <w:tr w:rsidR="00A54797" w:rsidRPr="000E4E0A" w14:paraId="735DFF71" w14:textId="77777777" w:rsidTr="00B35AD2">
        <w:tc>
          <w:tcPr>
            <w:tcW w:w="4248" w:type="dxa"/>
            <w:shd w:val="clear" w:color="auto" w:fill="auto"/>
          </w:tcPr>
          <w:p w14:paraId="22770C03" w14:textId="77777777" w:rsidR="00A54797" w:rsidRPr="000E4E0A" w:rsidRDefault="00A54797" w:rsidP="00A54797">
            <w:r w:rsidRPr="000E4E0A">
              <w:t>10 Washington State Department of Health</w:t>
            </w:r>
          </w:p>
        </w:tc>
        <w:tc>
          <w:tcPr>
            <w:tcW w:w="2340" w:type="dxa"/>
            <w:shd w:val="clear" w:color="auto" w:fill="auto"/>
            <w:vAlign w:val="bottom"/>
          </w:tcPr>
          <w:p w14:paraId="4C14899C" w14:textId="77777777" w:rsidR="00A54797" w:rsidRPr="000E4E0A" w:rsidRDefault="00A54797" w:rsidP="00A54797">
            <w:pPr>
              <w:jc w:val="right"/>
            </w:pPr>
            <w:r w:rsidRPr="000E4E0A">
              <w:rPr>
                <w:color w:val="000000"/>
              </w:rPr>
              <w:t>7519</w:t>
            </w:r>
          </w:p>
        </w:tc>
        <w:tc>
          <w:tcPr>
            <w:tcW w:w="2790" w:type="dxa"/>
            <w:shd w:val="clear" w:color="auto" w:fill="auto"/>
          </w:tcPr>
          <w:p w14:paraId="4AEFFA31" w14:textId="30C68A59" w:rsidR="00A54797" w:rsidRPr="000E4E0A" w:rsidRDefault="003E40C5" w:rsidP="0000072D">
            <w:pPr>
              <w:jc w:val="right"/>
            </w:pPr>
            <w:r w:rsidRPr="000E4E0A">
              <w:t>5</w:t>
            </w:r>
            <w:r w:rsidR="0000072D">
              <w:t>5</w:t>
            </w:r>
            <w:r w:rsidRPr="000E4E0A">
              <w:t>5</w:t>
            </w:r>
          </w:p>
        </w:tc>
      </w:tr>
      <w:tr w:rsidR="00D24FED" w:rsidRPr="000E4E0A" w14:paraId="336CDA94" w14:textId="77777777" w:rsidTr="00D24FED">
        <w:tc>
          <w:tcPr>
            <w:tcW w:w="4248" w:type="dxa"/>
            <w:shd w:val="clear" w:color="auto" w:fill="auto"/>
          </w:tcPr>
          <w:p w14:paraId="781D837D" w14:textId="77777777" w:rsidR="00D24FED" w:rsidRPr="000E4E0A" w:rsidRDefault="00D24FED" w:rsidP="00565BCA">
            <w:pPr>
              <w:spacing w:before="120"/>
            </w:pPr>
            <w:r w:rsidRPr="000E4E0A">
              <w:t>Totals</w:t>
            </w:r>
          </w:p>
        </w:tc>
        <w:tc>
          <w:tcPr>
            <w:tcW w:w="2340" w:type="dxa"/>
            <w:shd w:val="clear" w:color="auto" w:fill="auto"/>
          </w:tcPr>
          <w:p w14:paraId="1F4A52EA" w14:textId="77777777" w:rsidR="00D24FED" w:rsidRPr="000E4E0A" w:rsidRDefault="00A54797" w:rsidP="00014EC2">
            <w:pPr>
              <w:spacing w:before="120"/>
              <w:jc w:val="right"/>
            </w:pPr>
            <w:r w:rsidRPr="000E4E0A">
              <w:t>129,434</w:t>
            </w:r>
          </w:p>
        </w:tc>
        <w:tc>
          <w:tcPr>
            <w:tcW w:w="2790" w:type="dxa"/>
            <w:shd w:val="clear" w:color="auto" w:fill="auto"/>
          </w:tcPr>
          <w:p w14:paraId="015BA245" w14:textId="1EF98AC4" w:rsidR="00D24FED" w:rsidRPr="000E4E0A" w:rsidRDefault="00E22386" w:rsidP="0000072D">
            <w:pPr>
              <w:spacing w:before="120"/>
              <w:jc w:val="right"/>
            </w:pPr>
            <w:r w:rsidRPr="000E4E0A">
              <w:t>5</w:t>
            </w:r>
            <w:r w:rsidR="0000072D">
              <w:t>492</w:t>
            </w:r>
          </w:p>
        </w:tc>
      </w:tr>
    </w:tbl>
    <w:p w14:paraId="720A2B5E" w14:textId="77777777" w:rsidR="006B2E02" w:rsidRPr="00010723" w:rsidRDefault="006B2E02" w:rsidP="00DC3A0F">
      <w:pPr>
        <w:spacing w:before="120"/>
      </w:pPr>
    </w:p>
    <w:p w14:paraId="0B2EA50F" w14:textId="77777777" w:rsidR="006F7E0D" w:rsidRDefault="006F7E0D" w:rsidP="00C77DD0">
      <w:pPr>
        <w:spacing w:before="120"/>
        <w:rPr>
          <w:i/>
        </w:rPr>
      </w:pPr>
      <w:r w:rsidRPr="00010723">
        <w:rPr>
          <w:i/>
        </w:rPr>
        <w:t>Minimum sample size for subgroup analysis</w:t>
      </w:r>
      <w:r w:rsidR="009568B1" w:rsidRPr="00010723">
        <w:rPr>
          <w:i/>
        </w:rPr>
        <w:t xml:space="preserve"> for </w:t>
      </w:r>
      <w:r w:rsidR="00994BE2">
        <w:rPr>
          <w:i/>
        </w:rPr>
        <w:t xml:space="preserve">gonorrhea </w:t>
      </w:r>
      <w:r w:rsidR="009568B1" w:rsidRPr="00010723">
        <w:rPr>
          <w:i/>
        </w:rPr>
        <w:t>population-based activities</w:t>
      </w:r>
    </w:p>
    <w:p w14:paraId="177EDB89" w14:textId="741B09D5" w:rsidR="009568B1" w:rsidRPr="00010723" w:rsidRDefault="00722226" w:rsidP="00C77DD0">
      <w:r w:rsidRPr="00010723">
        <w:t xml:space="preserve">For the population-based portion of </w:t>
      </w:r>
      <w:r w:rsidR="003E2135">
        <w:t>e</w:t>
      </w:r>
      <w:r w:rsidR="000C0647">
        <w:t xml:space="preserve">nhanced </w:t>
      </w:r>
      <w:r w:rsidR="003E2135">
        <w:t>SSuN</w:t>
      </w:r>
      <w:r w:rsidRPr="00010723">
        <w:t>, each of the 1</w:t>
      </w:r>
      <w:r w:rsidR="005E664C" w:rsidRPr="00010723">
        <w:t>0</w:t>
      </w:r>
      <w:r w:rsidRPr="00010723">
        <w:t xml:space="preserve"> collaborating </w:t>
      </w:r>
      <w:r w:rsidR="000C0647">
        <w:t>jurisdictions conducted a total of 5</w:t>
      </w:r>
      <w:r w:rsidR="0000072D">
        <w:t>,492</w:t>
      </w:r>
      <w:r w:rsidR="000C0647">
        <w:t xml:space="preserve"> </w:t>
      </w:r>
      <w:r w:rsidRPr="00010723">
        <w:t xml:space="preserve">interviews </w:t>
      </w:r>
      <w:r w:rsidR="000C0647">
        <w:t>in 2016</w:t>
      </w:r>
      <w:r w:rsidRPr="00010723">
        <w:t xml:space="preserve"> with persons infected with gonorrhea.  The interviews </w:t>
      </w:r>
      <w:r w:rsidR="000C0647">
        <w:t>are</w:t>
      </w:r>
      <w:r w:rsidRPr="00010723">
        <w:t xml:space="preserve"> conducted with </w:t>
      </w:r>
      <w:r w:rsidR="00D04FB5" w:rsidRPr="00010723">
        <w:t>persons who are r</w:t>
      </w:r>
      <w:r w:rsidRPr="00010723">
        <w:t xml:space="preserve">andomly selected </w:t>
      </w:r>
      <w:r w:rsidR="00D04FB5" w:rsidRPr="00010723">
        <w:t xml:space="preserve">out of the total number of gonorrhea </w:t>
      </w:r>
      <w:r w:rsidRPr="00010723">
        <w:t>cas</w:t>
      </w:r>
      <w:r w:rsidR="00593F16" w:rsidRPr="00010723">
        <w:t>e-reports received by each site.</w:t>
      </w:r>
    </w:p>
    <w:p w14:paraId="78B8DB40" w14:textId="77777777" w:rsidR="00F81CA6" w:rsidRPr="00010723" w:rsidRDefault="001351E5" w:rsidP="00C77DD0">
      <w:pPr>
        <w:spacing w:before="120"/>
      </w:pPr>
      <w:r w:rsidRPr="001351E5">
        <w:t>Through a</w:t>
      </w:r>
      <w:r w:rsidR="00A54797">
        <w:t xml:space="preserve"> verbal</w:t>
      </w:r>
      <w:r w:rsidRPr="001351E5">
        <w:t xml:space="preserve"> consent process, selected patients are </w:t>
      </w:r>
      <w:r>
        <w:t xml:space="preserve">contacted for interview. </w:t>
      </w:r>
      <w:r w:rsidRPr="001351E5">
        <w:t xml:space="preserve">Data collected from the interview </w:t>
      </w:r>
      <w:r w:rsidR="004A0E0E">
        <w:t>includes</w:t>
      </w:r>
      <w:r w:rsidRPr="001351E5">
        <w:t xml:space="preserve"> </w:t>
      </w:r>
      <w:r>
        <w:t xml:space="preserve">basic </w:t>
      </w:r>
      <w:r w:rsidRPr="001351E5">
        <w:t>demographics, medical history, high-ris</w:t>
      </w:r>
      <w:r>
        <w:t>k sexual</w:t>
      </w:r>
      <w:r w:rsidR="004A0E0E">
        <w:t xml:space="preserve"> behaviors, drug</w:t>
      </w:r>
      <w:r>
        <w:t xml:space="preserve"> use behaviors</w:t>
      </w:r>
      <w:r w:rsidR="004A0E0E">
        <w:t xml:space="preserve"> and care-seeking experiences</w:t>
      </w:r>
      <w:r w:rsidRPr="001351E5">
        <w:t xml:space="preserve">.  The questionnaires comply with OMB standards on race and ethnicity.  </w:t>
      </w:r>
      <w:r w:rsidR="000C0647">
        <w:t>Local/s</w:t>
      </w:r>
      <w:r w:rsidR="004A0E0E">
        <w:t xml:space="preserve">tate </w:t>
      </w:r>
      <w:r w:rsidR="000C0647">
        <w:t>h</w:t>
      </w:r>
      <w:r w:rsidRPr="001351E5">
        <w:t xml:space="preserve">ealth department staff </w:t>
      </w:r>
      <w:r w:rsidR="00456B42" w:rsidRPr="00010723">
        <w:t xml:space="preserve">abstract pertinent </w:t>
      </w:r>
      <w:r w:rsidR="00FA5968" w:rsidRPr="00010723">
        <w:t xml:space="preserve">information </w:t>
      </w:r>
      <w:r w:rsidR="00456B42" w:rsidRPr="00010723">
        <w:t>f</w:t>
      </w:r>
      <w:r w:rsidR="00127D2C" w:rsidRPr="00010723">
        <w:t>rom paper or electronic forms and enter</w:t>
      </w:r>
      <w:r w:rsidR="00456B42" w:rsidRPr="00010723">
        <w:t xml:space="preserve"> it</w:t>
      </w:r>
      <w:r w:rsidR="00127D2C" w:rsidRPr="00010723">
        <w:t xml:space="preserve"> into the </w:t>
      </w:r>
      <w:r w:rsidR="004A0E0E">
        <w:t xml:space="preserve">local </w:t>
      </w:r>
      <w:r w:rsidR="00127D2C" w:rsidRPr="00010723">
        <w:t>project’s electronic database</w:t>
      </w:r>
      <w:r w:rsidR="004A0E0E">
        <w:t>, perf</w:t>
      </w:r>
      <w:r w:rsidR="00D26F3F">
        <w:t>orm</w:t>
      </w:r>
      <w:r w:rsidR="004A0E0E">
        <w:t xml:space="preserve"> quality assurance and transmit de-identified date to CDC</w:t>
      </w:r>
      <w:r w:rsidR="00127D2C" w:rsidRPr="00010723">
        <w:t xml:space="preserve">.  </w:t>
      </w:r>
      <w:r w:rsidRPr="001351E5">
        <w:t>These methods</w:t>
      </w:r>
      <w:r w:rsidR="004A0E0E">
        <w:t xml:space="preserve"> </w:t>
      </w:r>
      <w:r w:rsidRPr="001351E5">
        <w:t xml:space="preserve">result in a representative sample of patients </w:t>
      </w:r>
      <w:r>
        <w:t xml:space="preserve">diagnosed with gonorrhea </w:t>
      </w:r>
      <w:r w:rsidRPr="001351E5">
        <w:t>at the project area level</w:t>
      </w:r>
      <w:r>
        <w:t xml:space="preserve"> and </w:t>
      </w:r>
      <w:r w:rsidR="00EA0917" w:rsidRPr="00010723">
        <w:t>significantly improve ascertainment of critically important information often missing from routine case reporting s</w:t>
      </w:r>
      <w:r w:rsidR="005A40CF" w:rsidRPr="00010723">
        <w:t xml:space="preserve">uch as the race, </w:t>
      </w:r>
      <w:r w:rsidR="00EA0917" w:rsidRPr="00010723">
        <w:t>Hispanic ethnicity</w:t>
      </w:r>
      <w:r>
        <w:t xml:space="preserve">, </w:t>
      </w:r>
      <w:r w:rsidR="005A40CF" w:rsidRPr="00010723">
        <w:t xml:space="preserve">gender of sex partners </w:t>
      </w:r>
      <w:r w:rsidR="00EA0917" w:rsidRPr="00010723">
        <w:t>of the patient</w:t>
      </w:r>
      <w:r>
        <w:t xml:space="preserve">, anatomic site(s) of infection, </w:t>
      </w:r>
      <w:r w:rsidRPr="001351E5">
        <w:t xml:space="preserve">clinical care </w:t>
      </w:r>
      <w:r w:rsidR="004A0E0E">
        <w:t>experience</w:t>
      </w:r>
      <w:r>
        <w:t xml:space="preserve"> and </w:t>
      </w:r>
      <w:r w:rsidRPr="001351E5">
        <w:t>HIV co-morbidity</w:t>
      </w:r>
      <w:r>
        <w:t xml:space="preserve">. </w:t>
      </w:r>
      <w:r w:rsidR="005A40CF" w:rsidRPr="00010723">
        <w:t>More complete ascertainment of these data allow</w:t>
      </w:r>
      <w:r w:rsidR="004A0E0E">
        <w:t>s</w:t>
      </w:r>
      <w:r w:rsidR="005A40CF" w:rsidRPr="00010723">
        <w:t xml:space="preserve"> for more accurate calculation of the burden of disease across populations and contribute</w:t>
      </w:r>
      <w:r w:rsidR="004A0E0E">
        <w:t>s</w:t>
      </w:r>
      <w:r w:rsidR="005A40CF" w:rsidRPr="00010723">
        <w:t xml:space="preserve"> to a more com</w:t>
      </w:r>
      <w:r w:rsidR="004A0E0E">
        <w:t>plete</w:t>
      </w:r>
      <w:r w:rsidR="005A40CF" w:rsidRPr="00010723">
        <w:t xml:space="preserve"> understanding of inequalities and identification of disproportionately affected populations</w:t>
      </w:r>
      <w:r w:rsidR="00B91BF2" w:rsidRPr="00010723">
        <w:t xml:space="preserve">.  Currently, there are no systems in place that easily identify groups of people with </w:t>
      </w:r>
      <w:r w:rsidR="005A40CF" w:rsidRPr="00010723">
        <w:t xml:space="preserve">higher burdens </w:t>
      </w:r>
      <w:r w:rsidR="00B91BF2" w:rsidRPr="00010723">
        <w:t xml:space="preserve">of gonorrhea.  </w:t>
      </w:r>
    </w:p>
    <w:p w14:paraId="66C02733" w14:textId="77777777" w:rsidR="0067005E" w:rsidRDefault="00666740" w:rsidP="00C77DD0">
      <w:pPr>
        <w:spacing w:before="120"/>
      </w:pPr>
      <w:r w:rsidRPr="00010723">
        <w:rPr>
          <w:color w:val="000000"/>
        </w:rPr>
        <w:t>To improve the capacity of national, state, and local STD programs to detect, monitor, and respond rapidly to trends in STDs</w:t>
      </w:r>
      <w:r w:rsidR="00E841DE" w:rsidRPr="00010723">
        <w:rPr>
          <w:color w:val="000000"/>
        </w:rPr>
        <w:t xml:space="preserve"> and </w:t>
      </w:r>
      <w:r w:rsidR="00E841DE" w:rsidRPr="00010723">
        <w:t>to improve the health of populations disproportionately affected by STDs and other related diseases and conditions</w:t>
      </w:r>
      <w:r w:rsidRPr="00010723">
        <w:rPr>
          <w:color w:val="000000"/>
        </w:rPr>
        <w:t>, an u</w:t>
      </w:r>
      <w:r w:rsidRPr="00010723">
        <w:t xml:space="preserve">nderstanding of </w:t>
      </w:r>
      <w:r w:rsidR="001351E5">
        <w:t>the</w:t>
      </w:r>
      <w:r w:rsidRPr="00010723">
        <w:t xml:space="preserve"> epidemiology of GC is fundamental.  </w:t>
      </w:r>
      <w:r w:rsidR="004A0E0E">
        <w:t>Design</w:t>
      </w:r>
      <w:r w:rsidR="004A0E0E" w:rsidRPr="00010723">
        <w:t xml:space="preserve"> </w:t>
      </w:r>
      <w:r w:rsidR="0067005E" w:rsidRPr="00010723">
        <w:t xml:space="preserve">weights </w:t>
      </w:r>
      <w:r w:rsidR="004A0E0E">
        <w:t>are</w:t>
      </w:r>
      <w:r w:rsidR="0067005E" w:rsidRPr="00010723">
        <w:t xml:space="preserve"> calculated separately for each collaborating jurisdiction based on the effective sample fraction for the participating jurisdiction. Post-stratification weights </w:t>
      </w:r>
      <w:r w:rsidR="004A0E0E">
        <w:t>are also</w:t>
      </w:r>
      <w:r w:rsidR="0067005E" w:rsidRPr="00010723">
        <w:t xml:space="preserve"> calculated to adjust for observed non-response at the jurisdiction level by sex</w:t>
      </w:r>
      <w:r w:rsidR="004A0E0E">
        <w:t xml:space="preserve"> and age </w:t>
      </w:r>
      <w:r w:rsidR="0067005E" w:rsidRPr="00010723">
        <w:t xml:space="preserve">allowing for weighted analysis at the individual site and overall project levels. </w:t>
      </w:r>
    </w:p>
    <w:p w14:paraId="74ACC097" w14:textId="77777777" w:rsidR="009533E8" w:rsidRDefault="009533E8" w:rsidP="00C77DD0">
      <w:pPr>
        <w:spacing w:before="120"/>
      </w:pPr>
    </w:p>
    <w:p w14:paraId="226564BB" w14:textId="77777777" w:rsidR="009533E8" w:rsidRPr="00010723" w:rsidRDefault="009533E8" w:rsidP="009533E8">
      <w:pPr>
        <w:spacing w:before="120"/>
        <w:rPr>
          <w:i/>
        </w:rPr>
      </w:pPr>
      <w:r w:rsidRPr="00010723">
        <w:rPr>
          <w:i/>
        </w:rPr>
        <w:t xml:space="preserve">Population-based </w:t>
      </w:r>
      <w:r>
        <w:rPr>
          <w:i/>
        </w:rPr>
        <w:t>neuro/ocular/otic syphilis</w:t>
      </w:r>
      <w:r w:rsidRPr="00010723">
        <w:rPr>
          <w:i/>
        </w:rPr>
        <w:t xml:space="preserve"> surveillance:</w:t>
      </w:r>
    </w:p>
    <w:p w14:paraId="26D627C9" w14:textId="6B345507" w:rsidR="009533E8" w:rsidRDefault="009533E8" w:rsidP="00C77DD0">
      <w:pPr>
        <w:spacing w:before="120"/>
      </w:pPr>
      <w:r w:rsidRPr="001351E5">
        <w:t>The respondents providing the information for e</w:t>
      </w:r>
      <w:r>
        <w:t xml:space="preserve">nhanced </w:t>
      </w:r>
      <w:r w:rsidRPr="001351E5">
        <w:t xml:space="preserve">SSuN’s </w:t>
      </w:r>
      <w:r>
        <w:t xml:space="preserve">syphilis surveillance activity are (1) the </w:t>
      </w:r>
      <w:r w:rsidRPr="001351E5">
        <w:t>data managers at the 10 e</w:t>
      </w:r>
      <w:r>
        <w:t xml:space="preserve">nhanced </w:t>
      </w:r>
      <w:r w:rsidRPr="001351E5">
        <w:t>SSuN collaborating sentinel</w:t>
      </w:r>
      <w:r>
        <w:t xml:space="preserve"> surveillance sites (Table B.1.C</w:t>
      </w:r>
      <w:r w:rsidRPr="001351E5">
        <w:t>)</w:t>
      </w:r>
      <w:r>
        <w:t xml:space="preserve"> and (2)</w:t>
      </w:r>
      <w:r w:rsidRPr="001351E5">
        <w:t xml:space="preserve"> persons identified</w:t>
      </w:r>
      <w:r w:rsidRPr="009533E8">
        <w:t xml:space="preserve"> </w:t>
      </w:r>
      <w:r w:rsidRPr="001351E5">
        <w:t xml:space="preserve">by </w:t>
      </w:r>
      <w:r>
        <w:t xml:space="preserve">routine </w:t>
      </w:r>
      <w:r w:rsidRPr="001351E5">
        <w:t>case report</w:t>
      </w:r>
      <w:r>
        <w:t>ing in the</w:t>
      </w:r>
      <w:r w:rsidRPr="001351E5">
        <w:t xml:space="preserve"> 10 state or municipal health departments participating in e</w:t>
      </w:r>
      <w:r>
        <w:t xml:space="preserve">nhanced </w:t>
      </w:r>
      <w:r w:rsidRPr="001351E5">
        <w:t xml:space="preserve">SSuN as having </w:t>
      </w:r>
      <w:r>
        <w:t xml:space="preserve">symptoms consistent with neurologic, ocular or otic involvement in their infection. This represents a small subset of all reported early syphilis cases. </w:t>
      </w:r>
      <w:r w:rsidRPr="00010723">
        <w:t xml:space="preserve">Within these 10 collaborating sites there </w:t>
      </w:r>
      <w:r>
        <w:t>is an</w:t>
      </w:r>
      <w:r w:rsidRPr="00010723">
        <w:t xml:space="preserve"> estimated population of more than </w:t>
      </w:r>
      <w:r>
        <w:t>90</w:t>
      </w:r>
      <w:r w:rsidRPr="00010723">
        <w:t xml:space="preserve"> million people (U.S. Census Bureau 201</w:t>
      </w:r>
      <w:r>
        <w:t>7</w:t>
      </w:r>
      <w:r w:rsidRPr="00010723">
        <w:t xml:space="preserve">, </w:t>
      </w:r>
      <w:r w:rsidRPr="00687636">
        <w:t>Annual Estimates of the Resident Population: April 1, 2010 to July 1, 2016</w:t>
      </w:r>
      <w:r w:rsidRPr="00010723">
        <w:t>).  In 201</w:t>
      </w:r>
      <w:r>
        <w:t>6</w:t>
      </w:r>
      <w:r w:rsidRPr="00010723">
        <w:t xml:space="preserve"> there were there were </w:t>
      </w:r>
      <w:r>
        <w:t>25,</w:t>
      </w:r>
      <w:r w:rsidR="0000072D">
        <w:t>3</w:t>
      </w:r>
      <w:r>
        <w:t>53</w:t>
      </w:r>
      <w:r w:rsidRPr="00010723">
        <w:t xml:space="preserve"> gonorrhea case reports from this population</w:t>
      </w:r>
      <w:r>
        <w:t>.</w:t>
      </w:r>
      <w:r w:rsidRPr="00010723">
        <w:t xml:space="preserve"> Health departments will </w:t>
      </w:r>
      <w:r>
        <w:t>screen early syphilis</w:t>
      </w:r>
      <w:r w:rsidRPr="00010723">
        <w:t xml:space="preserve"> </w:t>
      </w:r>
      <w:r>
        <w:t>case reports, contact providers for additional clinical and treatment for all cases with symptoms of interest (estimated at 50</w:t>
      </w:r>
      <w:r w:rsidR="0000072D">
        <w:t>7</w:t>
      </w:r>
      <w:r>
        <w:t xml:space="preserve"> total cases) </w:t>
      </w:r>
      <w:r w:rsidRPr="00010723">
        <w:t>and request</w:t>
      </w:r>
      <w:r>
        <w:t xml:space="preserve"> the patient’s </w:t>
      </w:r>
      <w:r w:rsidRPr="00010723">
        <w:t>participation</w:t>
      </w:r>
      <w:r>
        <w:t xml:space="preserve"> in an initial</w:t>
      </w:r>
      <w:r w:rsidRPr="00010723">
        <w:t xml:space="preserve"> interview</w:t>
      </w:r>
      <w:r>
        <w:t xml:space="preserve"> and follow-up at three months following treatment. </w:t>
      </w:r>
    </w:p>
    <w:p w14:paraId="00C1194C" w14:textId="77777777" w:rsidR="009533E8" w:rsidRDefault="009533E8" w:rsidP="00C77DD0">
      <w:pPr>
        <w:spacing w:before="120"/>
      </w:pPr>
      <w:r>
        <w:t xml:space="preserve">No sampling methodology is proposed for this activity; a complete census of syphilis cases reporting symptoms of interest will be recruited for enhanced investigations. </w:t>
      </w:r>
    </w:p>
    <w:p w14:paraId="0AF432D5" w14:textId="77777777" w:rsidR="009533E8" w:rsidRDefault="009533E8" w:rsidP="00C77DD0">
      <w:pPr>
        <w:spacing w:before="120"/>
      </w:pPr>
    </w:p>
    <w:p w14:paraId="554ECE06" w14:textId="77777777" w:rsidR="008F48DA" w:rsidRPr="00B35AD2" w:rsidRDefault="008F48DA" w:rsidP="008F48DA">
      <w:pPr>
        <w:spacing w:before="120"/>
        <w:rPr>
          <w:b/>
        </w:rPr>
      </w:pPr>
      <w:r w:rsidRPr="00B35AD2">
        <w:t xml:space="preserve">Table </w:t>
      </w:r>
      <w:r w:rsidR="00EF76AF">
        <w:t>B</w:t>
      </w:r>
      <w:r w:rsidRPr="00B35AD2">
        <w:t>.1.</w:t>
      </w:r>
      <w:r w:rsidR="00EF76AF">
        <w:t>C</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2870"/>
        <w:gridCol w:w="3150"/>
      </w:tblGrid>
      <w:tr w:rsidR="00994BE2" w:rsidRPr="000E4E0A" w14:paraId="4415BF06" w14:textId="77777777" w:rsidTr="008F48DA">
        <w:tc>
          <w:tcPr>
            <w:tcW w:w="3808" w:type="dxa"/>
            <w:shd w:val="clear" w:color="auto" w:fill="auto"/>
          </w:tcPr>
          <w:p w14:paraId="4B42ADCF" w14:textId="77777777" w:rsidR="00994BE2" w:rsidRPr="000E4E0A" w:rsidRDefault="00994BE2" w:rsidP="00B67963">
            <w:pPr>
              <w:spacing w:before="120"/>
              <w:jc w:val="center"/>
            </w:pPr>
            <w:r w:rsidRPr="000E4E0A">
              <w:t>Collaborating sentinel surveillance sites</w:t>
            </w:r>
          </w:p>
        </w:tc>
        <w:tc>
          <w:tcPr>
            <w:tcW w:w="2870" w:type="dxa"/>
            <w:shd w:val="clear" w:color="auto" w:fill="auto"/>
          </w:tcPr>
          <w:p w14:paraId="5812B677" w14:textId="77777777" w:rsidR="00994BE2" w:rsidRPr="000E4E0A" w:rsidRDefault="00994BE2" w:rsidP="00994BE2">
            <w:pPr>
              <w:spacing w:before="120"/>
              <w:jc w:val="center"/>
            </w:pPr>
            <w:r w:rsidRPr="000E4E0A">
              <w:t xml:space="preserve">Total # of </w:t>
            </w:r>
            <w:r>
              <w:t>early syphilis</w:t>
            </w:r>
            <w:r w:rsidRPr="000E4E0A">
              <w:t xml:space="preserve"> case reports in 2016</w:t>
            </w:r>
          </w:p>
        </w:tc>
        <w:tc>
          <w:tcPr>
            <w:tcW w:w="3150" w:type="dxa"/>
            <w:shd w:val="clear" w:color="auto" w:fill="auto"/>
          </w:tcPr>
          <w:p w14:paraId="60EECC05" w14:textId="77777777" w:rsidR="00994BE2" w:rsidRPr="000E4E0A" w:rsidRDefault="00994BE2" w:rsidP="00B67963">
            <w:pPr>
              <w:spacing w:before="120"/>
              <w:jc w:val="center"/>
            </w:pPr>
            <w:r>
              <w:t xml:space="preserve">Estimate </w:t>
            </w:r>
            <w:r w:rsidRPr="000E4E0A">
              <w:t># of interviews completed for e</w:t>
            </w:r>
            <w:r w:rsidR="002258B6">
              <w:t xml:space="preserve">nhanced </w:t>
            </w:r>
            <w:r w:rsidRPr="000E4E0A">
              <w:t xml:space="preserve">SSuN </w:t>
            </w:r>
          </w:p>
        </w:tc>
      </w:tr>
      <w:tr w:rsidR="00994BE2" w:rsidRPr="000E4E0A" w14:paraId="77AD5E0D" w14:textId="77777777" w:rsidTr="008F48DA">
        <w:tc>
          <w:tcPr>
            <w:tcW w:w="3808" w:type="dxa"/>
            <w:shd w:val="clear" w:color="auto" w:fill="auto"/>
          </w:tcPr>
          <w:p w14:paraId="114E0F8A" w14:textId="77777777" w:rsidR="00994BE2" w:rsidRPr="000E4E0A" w:rsidRDefault="00994BE2" w:rsidP="00B67963">
            <w:r w:rsidRPr="000E4E0A">
              <w:t>1 Baltimore City Health Department</w:t>
            </w:r>
          </w:p>
        </w:tc>
        <w:tc>
          <w:tcPr>
            <w:tcW w:w="2870" w:type="dxa"/>
            <w:shd w:val="clear" w:color="auto" w:fill="auto"/>
            <w:vAlign w:val="bottom"/>
          </w:tcPr>
          <w:p w14:paraId="7AB6EA1C" w14:textId="22F94408" w:rsidR="00994BE2" w:rsidRPr="000E4E0A" w:rsidRDefault="00994BE2" w:rsidP="0000072D">
            <w:pPr>
              <w:jc w:val="right"/>
            </w:pPr>
            <w:r>
              <w:rPr>
                <w:color w:val="000000"/>
              </w:rPr>
              <w:t>4</w:t>
            </w:r>
            <w:r w:rsidR="0000072D">
              <w:rPr>
                <w:color w:val="000000"/>
              </w:rPr>
              <w:t>3</w:t>
            </w:r>
            <w:r>
              <w:rPr>
                <w:color w:val="000000"/>
              </w:rPr>
              <w:t>2</w:t>
            </w:r>
          </w:p>
        </w:tc>
        <w:tc>
          <w:tcPr>
            <w:tcW w:w="3150" w:type="dxa"/>
            <w:shd w:val="clear" w:color="auto" w:fill="auto"/>
          </w:tcPr>
          <w:p w14:paraId="5640313A" w14:textId="2D7A520A" w:rsidR="00994BE2" w:rsidRPr="000E4E0A" w:rsidRDefault="0000072D" w:rsidP="00B67963">
            <w:pPr>
              <w:jc w:val="right"/>
            </w:pPr>
            <w:r>
              <w:t>10</w:t>
            </w:r>
          </w:p>
        </w:tc>
      </w:tr>
      <w:tr w:rsidR="00994BE2" w:rsidRPr="000E4E0A" w14:paraId="7C5CCF2D" w14:textId="77777777" w:rsidTr="008F48DA">
        <w:tc>
          <w:tcPr>
            <w:tcW w:w="3808" w:type="dxa"/>
            <w:shd w:val="clear" w:color="auto" w:fill="auto"/>
          </w:tcPr>
          <w:p w14:paraId="50FE0CB6" w14:textId="77777777" w:rsidR="00994BE2" w:rsidRPr="000E4E0A" w:rsidRDefault="00994BE2" w:rsidP="00B67963">
            <w:r w:rsidRPr="000E4E0A">
              <w:t>2 California Department of Public Health</w:t>
            </w:r>
          </w:p>
        </w:tc>
        <w:tc>
          <w:tcPr>
            <w:tcW w:w="2870" w:type="dxa"/>
            <w:shd w:val="clear" w:color="auto" w:fill="auto"/>
            <w:vAlign w:val="bottom"/>
          </w:tcPr>
          <w:p w14:paraId="3D3A82DA" w14:textId="4FB39968" w:rsidR="00994BE2" w:rsidRPr="000E4E0A" w:rsidRDefault="00994BE2" w:rsidP="0000072D">
            <w:pPr>
              <w:jc w:val="right"/>
            </w:pPr>
            <w:r>
              <w:rPr>
                <w:color w:val="000000"/>
              </w:rPr>
              <w:t>98</w:t>
            </w:r>
            <w:r w:rsidR="0000072D">
              <w:rPr>
                <w:color w:val="000000"/>
              </w:rPr>
              <w:t>9</w:t>
            </w:r>
            <w:r>
              <w:rPr>
                <w:color w:val="000000"/>
              </w:rPr>
              <w:t>6</w:t>
            </w:r>
          </w:p>
        </w:tc>
        <w:tc>
          <w:tcPr>
            <w:tcW w:w="3150" w:type="dxa"/>
            <w:shd w:val="clear" w:color="auto" w:fill="auto"/>
          </w:tcPr>
          <w:p w14:paraId="08BAABC8" w14:textId="77777777" w:rsidR="00994BE2" w:rsidRPr="000E4E0A" w:rsidRDefault="008F48DA" w:rsidP="00B67963">
            <w:pPr>
              <w:jc w:val="right"/>
            </w:pPr>
            <w:r>
              <w:t>198</w:t>
            </w:r>
          </w:p>
        </w:tc>
      </w:tr>
      <w:tr w:rsidR="00994BE2" w:rsidRPr="000E4E0A" w14:paraId="08FE4189" w14:textId="77777777" w:rsidTr="008F48DA">
        <w:tc>
          <w:tcPr>
            <w:tcW w:w="3808" w:type="dxa"/>
            <w:shd w:val="clear" w:color="auto" w:fill="auto"/>
          </w:tcPr>
          <w:p w14:paraId="0F84E20B" w14:textId="77777777" w:rsidR="00994BE2" w:rsidRPr="000E4E0A" w:rsidRDefault="00994BE2" w:rsidP="00B67963">
            <w:r w:rsidRPr="000E4E0A">
              <w:t>3 Florida Department of Health</w:t>
            </w:r>
          </w:p>
        </w:tc>
        <w:tc>
          <w:tcPr>
            <w:tcW w:w="2870" w:type="dxa"/>
            <w:shd w:val="clear" w:color="auto" w:fill="auto"/>
            <w:vAlign w:val="bottom"/>
          </w:tcPr>
          <w:p w14:paraId="77E07AA9" w14:textId="0D1D2A5E" w:rsidR="00994BE2" w:rsidRPr="000E4E0A" w:rsidRDefault="0000072D" w:rsidP="0000072D">
            <w:pPr>
              <w:jc w:val="right"/>
            </w:pPr>
            <w:r>
              <w:rPr>
                <w:color w:val="000000"/>
              </w:rPr>
              <w:t>5040</w:t>
            </w:r>
          </w:p>
        </w:tc>
        <w:tc>
          <w:tcPr>
            <w:tcW w:w="3150" w:type="dxa"/>
            <w:shd w:val="clear" w:color="auto" w:fill="auto"/>
          </w:tcPr>
          <w:p w14:paraId="79CEAE36" w14:textId="77777777" w:rsidR="00994BE2" w:rsidRPr="000E4E0A" w:rsidRDefault="008F48DA" w:rsidP="00B67963">
            <w:pPr>
              <w:jc w:val="right"/>
            </w:pPr>
            <w:r>
              <w:t>101</w:t>
            </w:r>
          </w:p>
        </w:tc>
      </w:tr>
      <w:tr w:rsidR="00994BE2" w:rsidRPr="000E4E0A" w14:paraId="60C3ACD4" w14:textId="77777777" w:rsidTr="008F48DA">
        <w:tc>
          <w:tcPr>
            <w:tcW w:w="3808" w:type="dxa"/>
            <w:shd w:val="clear" w:color="auto" w:fill="auto"/>
          </w:tcPr>
          <w:p w14:paraId="1D24D83F" w14:textId="77777777" w:rsidR="00994BE2" w:rsidRPr="000E4E0A" w:rsidRDefault="00994BE2" w:rsidP="00B67963">
            <w:r w:rsidRPr="000E4E0A">
              <w:t>4 Massachusetts Department of Public Health</w:t>
            </w:r>
          </w:p>
        </w:tc>
        <w:tc>
          <w:tcPr>
            <w:tcW w:w="2870" w:type="dxa"/>
            <w:shd w:val="clear" w:color="auto" w:fill="auto"/>
            <w:vAlign w:val="bottom"/>
          </w:tcPr>
          <w:p w14:paraId="2988BA8F" w14:textId="025DBD3F" w:rsidR="00994BE2" w:rsidRPr="000E4E0A" w:rsidRDefault="00994BE2" w:rsidP="0000072D">
            <w:pPr>
              <w:jc w:val="right"/>
            </w:pPr>
            <w:r>
              <w:rPr>
                <w:color w:val="000000"/>
              </w:rPr>
              <w:t>10</w:t>
            </w:r>
            <w:r w:rsidR="0000072D">
              <w:rPr>
                <w:color w:val="000000"/>
              </w:rPr>
              <w:t>3</w:t>
            </w:r>
            <w:r>
              <w:rPr>
                <w:color w:val="000000"/>
              </w:rPr>
              <w:t>7</w:t>
            </w:r>
          </w:p>
        </w:tc>
        <w:tc>
          <w:tcPr>
            <w:tcW w:w="3150" w:type="dxa"/>
            <w:shd w:val="clear" w:color="auto" w:fill="auto"/>
          </w:tcPr>
          <w:p w14:paraId="7D69D956" w14:textId="77777777" w:rsidR="00994BE2" w:rsidRPr="000E4E0A" w:rsidRDefault="008F48DA" w:rsidP="00B67963">
            <w:pPr>
              <w:jc w:val="right"/>
            </w:pPr>
            <w:r>
              <w:t>20</w:t>
            </w:r>
          </w:p>
        </w:tc>
      </w:tr>
      <w:tr w:rsidR="00994BE2" w:rsidRPr="000E4E0A" w14:paraId="53315B93" w14:textId="77777777" w:rsidTr="008F48DA">
        <w:tc>
          <w:tcPr>
            <w:tcW w:w="3808" w:type="dxa"/>
            <w:shd w:val="clear" w:color="auto" w:fill="auto"/>
          </w:tcPr>
          <w:p w14:paraId="4DCA3322" w14:textId="77777777" w:rsidR="00994BE2" w:rsidRPr="000E4E0A" w:rsidRDefault="00994BE2" w:rsidP="00B67963">
            <w:r w:rsidRPr="000E4E0A">
              <w:t>5 Minnesota Department of Health</w:t>
            </w:r>
          </w:p>
        </w:tc>
        <w:tc>
          <w:tcPr>
            <w:tcW w:w="2870" w:type="dxa"/>
            <w:shd w:val="clear" w:color="auto" w:fill="auto"/>
            <w:vAlign w:val="bottom"/>
          </w:tcPr>
          <w:p w14:paraId="61186B54" w14:textId="71D580A9" w:rsidR="00994BE2" w:rsidRPr="000E4E0A" w:rsidRDefault="0000072D" w:rsidP="0000072D">
            <w:pPr>
              <w:jc w:val="right"/>
            </w:pPr>
            <w:r>
              <w:rPr>
                <w:color w:val="000000"/>
              </w:rPr>
              <w:t>577</w:t>
            </w:r>
          </w:p>
        </w:tc>
        <w:tc>
          <w:tcPr>
            <w:tcW w:w="3150" w:type="dxa"/>
            <w:shd w:val="clear" w:color="auto" w:fill="auto"/>
          </w:tcPr>
          <w:p w14:paraId="00DA5667" w14:textId="77777777" w:rsidR="00994BE2" w:rsidRPr="000E4E0A" w:rsidRDefault="008F48DA" w:rsidP="00B67963">
            <w:pPr>
              <w:jc w:val="right"/>
            </w:pPr>
            <w:r>
              <w:t>11</w:t>
            </w:r>
          </w:p>
        </w:tc>
      </w:tr>
      <w:tr w:rsidR="00994BE2" w:rsidRPr="000E4E0A" w14:paraId="023A1ABB" w14:textId="77777777" w:rsidTr="008F48DA">
        <w:tc>
          <w:tcPr>
            <w:tcW w:w="3808" w:type="dxa"/>
            <w:shd w:val="clear" w:color="auto" w:fill="auto"/>
          </w:tcPr>
          <w:p w14:paraId="2792EC0C" w14:textId="77777777" w:rsidR="00994BE2" w:rsidRPr="000E4E0A" w:rsidRDefault="00994BE2" w:rsidP="00B67963">
            <w:r w:rsidRPr="000E4E0A">
              <w:t>6 Multnomah County Health Department</w:t>
            </w:r>
          </w:p>
        </w:tc>
        <w:tc>
          <w:tcPr>
            <w:tcW w:w="2870" w:type="dxa"/>
            <w:shd w:val="clear" w:color="auto" w:fill="auto"/>
            <w:vAlign w:val="bottom"/>
          </w:tcPr>
          <w:p w14:paraId="4A765EE7" w14:textId="4C27D6E9" w:rsidR="00994BE2" w:rsidRPr="000E4E0A" w:rsidRDefault="0000072D" w:rsidP="0000072D">
            <w:pPr>
              <w:jc w:val="right"/>
            </w:pPr>
            <w:r>
              <w:rPr>
                <w:color w:val="000000"/>
              </w:rPr>
              <w:t>307</w:t>
            </w:r>
          </w:p>
        </w:tc>
        <w:tc>
          <w:tcPr>
            <w:tcW w:w="3150" w:type="dxa"/>
            <w:shd w:val="clear" w:color="auto" w:fill="auto"/>
          </w:tcPr>
          <w:p w14:paraId="3A2395E4" w14:textId="48AA0C9E" w:rsidR="00994BE2" w:rsidRPr="000E4E0A" w:rsidRDefault="0000072D" w:rsidP="00B67963">
            <w:pPr>
              <w:jc w:val="right"/>
            </w:pPr>
            <w:r>
              <w:t>7</w:t>
            </w:r>
          </w:p>
        </w:tc>
      </w:tr>
      <w:tr w:rsidR="00994BE2" w:rsidRPr="000E4E0A" w14:paraId="258C24C1" w14:textId="77777777" w:rsidTr="008F48DA">
        <w:tc>
          <w:tcPr>
            <w:tcW w:w="3808" w:type="dxa"/>
            <w:shd w:val="clear" w:color="auto" w:fill="auto"/>
          </w:tcPr>
          <w:p w14:paraId="0A2035AE" w14:textId="77777777" w:rsidR="00994BE2" w:rsidRPr="000E4E0A" w:rsidRDefault="00994BE2" w:rsidP="00B67963">
            <w:r w:rsidRPr="000E4E0A">
              <w:t>7 New York City Department of Health &amp; Mental Hygiene</w:t>
            </w:r>
          </w:p>
        </w:tc>
        <w:tc>
          <w:tcPr>
            <w:tcW w:w="2870" w:type="dxa"/>
            <w:shd w:val="clear" w:color="auto" w:fill="auto"/>
            <w:vAlign w:val="bottom"/>
          </w:tcPr>
          <w:p w14:paraId="10B7FB1B" w14:textId="2F6C8AF4" w:rsidR="00994BE2" w:rsidRPr="000E4E0A" w:rsidRDefault="008F48DA" w:rsidP="0000072D">
            <w:pPr>
              <w:jc w:val="right"/>
            </w:pPr>
            <w:r>
              <w:rPr>
                <w:color w:val="000000"/>
              </w:rPr>
              <w:t>49</w:t>
            </w:r>
            <w:r w:rsidR="0000072D">
              <w:rPr>
                <w:color w:val="000000"/>
              </w:rPr>
              <w:t>4</w:t>
            </w:r>
            <w:r>
              <w:rPr>
                <w:color w:val="000000"/>
              </w:rPr>
              <w:t>8</w:t>
            </w:r>
          </w:p>
        </w:tc>
        <w:tc>
          <w:tcPr>
            <w:tcW w:w="3150" w:type="dxa"/>
            <w:shd w:val="clear" w:color="auto" w:fill="auto"/>
          </w:tcPr>
          <w:p w14:paraId="7D28E954" w14:textId="77777777" w:rsidR="00994BE2" w:rsidRPr="000E4E0A" w:rsidRDefault="008F48DA" w:rsidP="00B67963">
            <w:pPr>
              <w:jc w:val="right"/>
            </w:pPr>
            <w:r>
              <w:t>99</w:t>
            </w:r>
          </w:p>
        </w:tc>
      </w:tr>
      <w:tr w:rsidR="00994BE2" w:rsidRPr="000E4E0A" w14:paraId="1C38B5B3" w14:textId="77777777" w:rsidTr="008F48DA">
        <w:tc>
          <w:tcPr>
            <w:tcW w:w="3808" w:type="dxa"/>
            <w:shd w:val="clear" w:color="auto" w:fill="auto"/>
          </w:tcPr>
          <w:p w14:paraId="0C6ACB45" w14:textId="77777777" w:rsidR="00994BE2" w:rsidRPr="000E4E0A" w:rsidRDefault="00994BE2" w:rsidP="00B67963">
            <w:r w:rsidRPr="000E4E0A">
              <w:t>8 Philadelphia Department of Public Health</w:t>
            </w:r>
          </w:p>
        </w:tc>
        <w:tc>
          <w:tcPr>
            <w:tcW w:w="2870" w:type="dxa"/>
            <w:shd w:val="clear" w:color="auto" w:fill="auto"/>
            <w:vAlign w:val="bottom"/>
          </w:tcPr>
          <w:p w14:paraId="7804D0A8" w14:textId="721B721A" w:rsidR="00994BE2" w:rsidRPr="000E4E0A" w:rsidRDefault="008F48DA" w:rsidP="0000072D">
            <w:pPr>
              <w:jc w:val="right"/>
            </w:pPr>
            <w:r>
              <w:rPr>
                <w:color w:val="000000"/>
              </w:rPr>
              <w:t>9</w:t>
            </w:r>
            <w:r w:rsidR="0000072D">
              <w:rPr>
                <w:color w:val="000000"/>
              </w:rPr>
              <w:t>3</w:t>
            </w:r>
            <w:r>
              <w:rPr>
                <w:color w:val="000000"/>
              </w:rPr>
              <w:t>2</w:t>
            </w:r>
          </w:p>
        </w:tc>
        <w:tc>
          <w:tcPr>
            <w:tcW w:w="3150" w:type="dxa"/>
            <w:shd w:val="clear" w:color="auto" w:fill="auto"/>
          </w:tcPr>
          <w:p w14:paraId="6BC5BEE1" w14:textId="77777777" w:rsidR="00994BE2" w:rsidRPr="000E4E0A" w:rsidRDefault="008F48DA" w:rsidP="00B67963">
            <w:pPr>
              <w:jc w:val="right"/>
            </w:pPr>
            <w:r>
              <w:t>18</w:t>
            </w:r>
          </w:p>
        </w:tc>
      </w:tr>
      <w:tr w:rsidR="00994BE2" w:rsidRPr="000E4E0A" w14:paraId="77E31D23" w14:textId="77777777" w:rsidTr="008F48DA">
        <w:tc>
          <w:tcPr>
            <w:tcW w:w="3808" w:type="dxa"/>
            <w:shd w:val="clear" w:color="auto" w:fill="auto"/>
          </w:tcPr>
          <w:p w14:paraId="469F6686" w14:textId="77777777" w:rsidR="00994BE2" w:rsidRPr="000E4E0A" w:rsidRDefault="00994BE2" w:rsidP="00B67963">
            <w:r w:rsidRPr="000E4E0A">
              <w:t>9 San Francisco Department of Public Health</w:t>
            </w:r>
          </w:p>
        </w:tc>
        <w:tc>
          <w:tcPr>
            <w:tcW w:w="2870" w:type="dxa"/>
            <w:shd w:val="clear" w:color="auto" w:fill="auto"/>
            <w:vAlign w:val="bottom"/>
          </w:tcPr>
          <w:p w14:paraId="6C2CFBFE" w14:textId="21F549E1" w:rsidR="00994BE2" w:rsidRPr="000E4E0A" w:rsidRDefault="008F48DA" w:rsidP="0000072D">
            <w:pPr>
              <w:jc w:val="right"/>
            </w:pPr>
            <w:r>
              <w:rPr>
                <w:color w:val="000000"/>
              </w:rPr>
              <w:t>11</w:t>
            </w:r>
            <w:r w:rsidR="0000072D">
              <w:rPr>
                <w:color w:val="000000"/>
              </w:rPr>
              <w:t>6</w:t>
            </w:r>
            <w:r>
              <w:rPr>
                <w:color w:val="000000"/>
              </w:rPr>
              <w:t>3</w:t>
            </w:r>
          </w:p>
        </w:tc>
        <w:tc>
          <w:tcPr>
            <w:tcW w:w="3150" w:type="dxa"/>
            <w:shd w:val="clear" w:color="auto" w:fill="auto"/>
          </w:tcPr>
          <w:p w14:paraId="14CC2CE6" w14:textId="77777777" w:rsidR="00994BE2" w:rsidRPr="000E4E0A" w:rsidRDefault="008F48DA" w:rsidP="00B67963">
            <w:pPr>
              <w:jc w:val="right"/>
            </w:pPr>
            <w:r>
              <w:t>23</w:t>
            </w:r>
          </w:p>
        </w:tc>
      </w:tr>
      <w:tr w:rsidR="00994BE2" w:rsidRPr="000E4E0A" w14:paraId="7C192B4D" w14:textId="77777777" w:rsidTr="008F48DA">
        <w:tc>
          <w:tcPr>
            <w:tcW w:w="3808" w:type="dxa"/>
            <w:shd w:val="clear" w:color="auto" w:fill="auto"/>
          </w:tcPr>
          <w:p w14:paraId="5EE1C0A6" w14:textId="77777777" w:rsidR="00994BE2" w:rsidRPr="000E4E0A" w:rsidRDefault="00994BE2" w:rsidP="00B67963">
            <w:r w:rsidRPr="000E4E0A">
              <w:t>10 Washington State Department of Health</w:t>
            </w:r>
          </w:p>
        </w:tc>
        <w:tc>
          <w:tcPr>
            <w:tcW w:w="2870" w:type="dxa"/>
            <w:shd w:val="clear" w:color="auto" w:fill="auto"/>
            <w:vAlign w:val="bottom"/>
          </w:tcPr>
          <w:p w14:paraId="15A880BE" w14:textId="5A200F15" w:rsidR="00994BE2" w:rsidRPr="000E4E0A" w:rsidRDefault="008F48DA" w:rsidP="0000072D">
            <w:pPr>
              <w:jc w:val="right"/>
            </w:pPr>
            <w:r>
              <w:rPr>
                <w:color w:val="000000"/>
              </w:rPr>
              <w:t>10</w:t>
            </w:r>
            <w:r w:rsidR="0000072D">
              <w:rPr>
                <w:color w:val="000000"/>
              </w:rPr>
              <w:t>2</w:t>
            </w:r>
            <w:r>
              <w:rPr>
                <w:color w:val="000000"/>
              </w:rPr>
              <w:t>1</w:t>
            </w:r>
          </w:p>
        </w:tc>
        <w:tc>
          <w:tcPr>
            <w:tcW w:w="3150" w:type="dxa"/>
            <w:shd w:val="clear" w:color="auto" w:fill="auto"/>
          </w:tcPr>
          <w:p w14:paraId="7C5FA3BB" w14:textId="77777777" w:rsidR="00994BE2" w:rsidRPr="000E4E0A" w:rsidRDefault="008F48DA" w:rsidP="00B67963">
            <w:pPr>
              <w:jc w:val="right"/>
            </w:pPr>
            <w:r>
              <w:t>20</w:t>
            </w:r>
          </w:p>
        </w:tc>
      </w:tr>
      <w:tr w:rsidR="00994BE2" w:rsidRPr="000E4E0A" w14:paraId="5E75AD6A" w14:textId="77777777" w:rsidTr="008F48DA">
        <w:tc>
          <w:tcPr>
            <w:tcW w:w="3808" w:type="dxa"/>
            <w:shd w:val="clear" w:color="auto" w:fill="auto"/>
          </w:tcPr>
          <w:p w14:paraId="6C9F183D" w14:textId="77777777" w:rsidR="00994BE2" w:rsidRPr="000E4E0A" w:rsidRDefault="00994BE2" w:rsidP="00B67963">
            <w:pPr>
              <w:spacing w:before="120"/>
            </w:pPr>
            <w:r w:rsidRPr="000E4E0A">
              <w:t>Totals</w:t>
            </w:r>
          </w:p>
        </w:tc>
        <w:tc>
          <w:tcPr>
            <w:tcW w:w="2870" w:type="dxa"/>
            <w:shd w:val="clear" w:color="auto" w:fill="auto"/>
          </w:tcPr>
          <w:p w14:paraId="2E71D253" w14:textId="0EFA2187" w:rsidR="00994BE2" w:rsidRPr="000E4E0A" w:rsidRDefault="008F48DA" w:rsidP="0000072D">
            <w:pPr>
              <w:spacing w:before="120"/>
              <w:jc w:val="right"/>
            </w:pPr>
            <w:r>
              <w:t>25</w:t>
            </w:r>
            <w:r w:rsidR="00A43FC5">
              <w:t>,</w:t>
            </w:r>
            <w:r w:rsidR="0000072D">
              <w:t>3</w:t>
            </w:r>
            <w:r>
              <w:t>53</w:t>
            </w:r>
          </w:p>
        </w:tc>
        <w:tc>
          <w:tcPr>
            <w:tcW w:w="3150" w:type="dxa"/>
            <w:shd w:val="clear" w:color="auto" w:fill="auto"/>
          </w:tcPr>
          <w:p w14:paraId="5F9E7EDC" w14:textId="4A407EDC" w:rsidR="00994BE2" w:rsidRPr="000E4E0A" w:rsidRDefault="008F48DA" w:rsidP="0000072D">
            <w:pPr>
              <w:spacing w:before="120"/>
              <w:jc w:val="right"/>
            </w:pPr>
            <w:r>
              <w:t>50</w:t>
            </w:r>
            <w:r w:rsidR="0000072D">
              <w:t>7</w:t>
            </w:r>
          </w:p>
        </w:tc>
      </w:tr>
    </w:tbl>
    <w:p w14:paraId="638AA022" w14:textId="77777777" w:rsidR="00994BE2" w:rsidRDefault="00994BE2" w:rsidP="00F552D7">
      <w:pPr>
        <w:spacing w:before="120" w:line="480" w:lineRule="auto"/>
      </w:pPr>
    </w:p>
    <w:p w14:paraId="582E3661" w14:textId="77777777" w:rsidR="00D01186" w:rsidRPr="00010723" w:rsidRDefault="00D01186" w:rsidP="00C77DD0">
      <w:pPr>
        <w:spacing w:after="120"/>
        <w:rPr>
          <w:b/>
        </w:rPr>
      </w:pPr>
      <w:r w:rsidRPr="00010723">
        <w:rPr>
          <w:b/>
        </w:rPr>
        <w:t>2. Procedures for the Collection of Information</w:t>
      </w:r>
    </w:p>
    <w:p w14:paraId="7FE91501" w14:textId="77777777" w:rsidR="004C00F9" w:rsidRPr="00010723" w:rsidRDefault="004C00F9" w:rsidP="00C77DD0">
      <w:pPr>
        <w:spacing w:after="120"/>
      </w:pPr>
    </w:p>
    <w:p w14:paraId="2BD7CB8A" w14:textId="77777777" w:rsidR="00C257CF" w:rsidRPr="00010723" w:rsidRDefault="008A3A51" w:rsidP="00C77DD0">
      <w:pPr>
        <w:spacing w:after="120"/>
        <w:rPr>
          <w:i/>
        </w:rPr>
      </w:pPr>
      <w:r>
        <w:rPr>
          <w:i/>
        </w:rPr>
        <w:t>Facility</w:t>
      </w:r>
      <w:r w:rsidR="00C257CF" w:rsidRPr="00010723">
        <w:rPr>
          <w:i/>
        </w:rPr>
        <w:t>-based STD surveillance:</w:t>
      </w:r>
    </w:p>
    <w:p w14:paraId="10A8307F" w14:textId="77777777" w:rsidR="008F0328" w:rsidRDefault="001351E5" w:rsidP="00C77DD0">
      <w:pPr>
        <w:spacing w:before="120"/>
      </w:pPr>
      <w:r>
        <w:t>Clinic</w:t>
      </w:r>
      <w:r w:rsidR="00456B42" w:rsidRPr="00010723">
        <w:t xml:space="preserve"> staff </w:t>
      </w:r>
      <w:r>
        <w:t xml:space="preserve">at each facility or network of facilities at </w:t>
      </w:r>
      <w:r w:rsidR="00071005" w:rsidRPr="00010723">
        <w:t xml:space="preserve">participating </w:t>
      </w:r>
      <w:r w:rsidR="003E2135">
        <w:t>e</w:t>
      </w:r>
      <w:r w:rsidR="002258B6">
        <w:t xml:space="preserve">nhanced </w:t>
      </w:r>
      <w:r w:rsidR="00071005" w:rsidRPr="00010723">
        <w:t xml:space="preserve">SSuN sites </w:t>
      </w:r>
      <w:r w:rsidR="00127D2C" w:rsidRPr="00010723">
        <w:t>abstract</w:t>
      </w:r>
      <w:r w:rsidR="00456B42" w:rsidRPr="00010723">
        <w:t xml:space="preserve"> </w:t>
      </w:r>
      <w:r>
        <w:t xml:space="preserve">and electronically transmit clinical data </w:t>
      </w:r>
      <w:r w:rsidRPr="001351E5">
        <w:t xml:space="preserve">from </w:t>
      </w:r>
      <w:r>
        <w:t xml:space="preserve">(1) </w:t>
      </w:r>
      <w:r w:rsidRPr="001351E5">
        <w:t xml:space="preserve">all patients visiting participating STD clinics </w:t>
      </w:r>
      <w:r>
        <w:t xml:space="preserve">at the state and local health jurisdictions. </w:t>
      </w:r>
      <w:r w:rsidR="00127D2C" w:rsidRPr="00010723">
        <w:t xml:space="preserve"> </w:t>
      </w:r>
      <w:r w:rsidRPr="001351E5">
        <w:t xml:space="preserve">Data are de-identified and recoded by health departments and then </w:t>
      </w:r>
      <w:r w:rsidR="008F0328" w:rsidRPr="00010723">
        <w:t>uploaded on a</w:t>
      </w:r>
      <w:r>
        <w:t xml:space="preserve"> </w:t>
      </w:r>
      <w:r w:rsidR="004A0E0E">
        <w:t>bi-</w:t>
      </w:r>
      <w:r w:rsidR="00F552D7" w:rsidRPr="00010723">
        <w:t>month</w:t>
      </w:r>
      <w:r>
        <w:t>ly</w:t>
      </w:r>
      <w:r w:rsidR="00F552D7" w:rsidRPr="00010723">
        <w:t xml:space="preserve"> basis</w:t>
      </w:r>
      <w:r w:rsidR="008F0328" w:rsidRPr="00010723">
        <w:t xml:space="preserve"> by</w:t>
      </w:r>
      <w:r w:rsidR="00F552D7" w:rsidRPr="00010723">
        <w:t xml:space="preserve"> </w:t>
      </w:r>
      <w:r w:rsidR="008F0328" w:rsidRPr="00010723">
        <w:t xml:space="preserve">trained </w:t>
      </w:r>
      <w:r w:rsidR="00F552D7" w:rsidRPr="00010723">
        <w:t xml:space="preserve">local </w:t>
      </w:r>
      <w:r w:rsidR="008F0328" w:rsidRPr="00010723">
        <w:t>data manager</w:t>
      </w:r>
      <w:r w:rsidR="004A0E0E">
        <w:t>s</w:t>
      </w:r>
      <w:r w:rsidR="008F0328" w:rsidRPr="00010723">
        <w:t xml:space="preserve"> at collaborating site to a CDC-designed and operated secure </w:t>
      </w:r>
      <w:r w:rsidR="00010723">
        <w:t>access management</w:t>
      </w:r>
      <w:r w:rsidR="00BE38E0">
        <w:t xml:space="preserve"> system</w:t>
      </w:r>
      <w:r w:rsidR="008F0328" w:rsidRPr="00010723">
        <w:t xml:space="preserve"> (S</w:t>
      </w:r>
      <w:r w:rsidR="00F552D7" w:rsidRPr="00010723">
        <w:t>AM</w:t>
      </w:r>
      <w:r w:rsidR="00BE38E0">
        <w:t>S</w:t>
      </w:r>
      <w:r w:rsidR="008F0328" w:rsidRPr="00010723">
        <w:t>).  None of the data transmitted to CDC contain</w:t>
      </w:r>
      <w:r w:rsidR="004A0E0E">
        <w:t>s</w:t>
      </w:r>
      <w:r w:rsidR="008F0328" w:rsidRPr="00010723">
        <w:t xml:space="preserve"> any </w:t>
      </w:r>
      <w:r w:rsidR="004A0E0E">
        <w:t xml:space="preserve">identifiable </w:t>
      </w:r>
      <w:r w:rsidR="005B69CD" w:rsidRPr="00010723">
        <w:t>information</w:t>
      </w:r>
      <w:r w:rsidR="008F0328" w:rsidRPr="00010723">
        <w:t>.  Data</w:t>
      </w:r>
      <w:r w:rsidR="004A0E0E">
        <w:t xml:space="preserve"> are</w:t>
      </w:r>
      <w:r w:rsidR="008F0328" w:rsidRPr="00010723">
        <w:t xml:space="preserve"> stored and maintained at CDC by a data manager in the S</w:t>
      </w:r>
      <w:r w:rsidR="00F552D7" w:rsidRPr="00010723">
        <w:t xml:space="preserve">urveillance </w:t>
      </w:r>
      <w:r w:rsidR="008F0328" w:rsidRPr="00010723">
        <w:t>and Data Management Branch of the National Center for HIV</w:t>
      </w:r>
      <w:r>
        <w:t>/AIDS</w:t>
      </w:r>
      <w:r w:rsidR="008F0328" w:rsidRPr="00010723">
        <w:t xml:space="preserve">, </w:t>
      </w:r>
      <w:r>
        <w:t xml:space="preserve">Viral </w:t>
      </w:r>
      <w:r w:rsidR="008F0328" w:rsidRPr="00010723">
        <w:t>Hepatitis, STD, and TB Prevention.</w:t>
      </w:r>
    </w:p>
    <w:p w14:paraId="1F5936EE" w14:textId="77777777" w:rsidR="00063264" w:rsidRPr="00010723" w:rsidRDefault="00063264" w:rsidP="00C77DD0">
      <w:pPr>
        <w:spacing w:before="120"/>
      </w:pPr>
    </w:p>
    <w:p w14:paraId="3C9D042E" w14:textId="77777777" w:rsidR="00C257CF" w:rsidRPr="00010723" w:rsidRDefault="008F0328" w:rsidP="00C77DD0">
      <w:r w:rsidRPr="00010723">
        <w:t>D</w:t>
      </w:r>
      <w:r w:rsidR="00C257CF" w:rsidRPr="00010723">
        <w:t xml:space="preserve">ata elements </w:t>
      </w:r>
      <w:r w:rsidRPr="00010723">
        <w:t xml:space="preserve">collected in this </w:t>
      </w:r>
      <w:r w:rsidR="001351E5">
        <w:t>facility</w:t>
      </w:r>
      <w:r w:rsidRPr="00010723">
        <w:t xml:space="preserve">-based STD surveillance </w:t>
      </w:r>
      <w:r w:rsidR="00C257CF" w:rsidRPr="00010723">
        <w:t xml:space="preserve">include patient demographics, </w:t>
      </w:r>
      <w:r w:rsidR="00F552D7" w:rsidRPr="00010723">
        <w:t xml:space="preserve">limited </w:t>
      </w:r>
      <w:r w:rsidR="00C257CF" w:rsidRPr="00010723">
        <w:t xml:space="preserve">behavioral risk factors associated with STDs, clinical history and </w:t>
      </w:r>
      <w:r w:rsidR="00F552D7" w:rsidRPr="00010723">
        <w:t xml:space="preserve">physical exam </w:t>
      </w:r>
      <w:r w:rsidR="00C257CF" w:rsidRPr="00010723">
        <w:t>findings, STD laboratory test</w:t>
      </w:r>
      <w:r w:rsidR="00F552D7" w:rsidRPr="00010723">
        <w:t xml:space="preserve"> and</w:t>
      </w:r>
      <w:r w:rsidR="00C257CF" w:rsidRPr="00010723">
        <w:t xml:space="preserve"> results, STD diagnoses</w:t>
      </w:r>
      <w:r w:rsidR="00F552D7" w:rsidRPr="00010723">
        <w:t>, and treatment</w:t>
      </w:r>
      <w:r w:rsidR="00C257CF" w:rsidRPr="00010723">
        <w:t xml:space="preserve"> (see data elements attachment).  These data elements were developed collaboratively and agreed upon by members of </w:t>
      </w:r>
      <w:r w:rsidR="00F552D7" w:rsidRPr="00010723">
        <w:t>e</w:t>
      </w:r>
      <w:r w:rsidR="002258B6">
        <w:t xml:space="preserve">nhanced </w:t>
      </w:r>
      <w:r w:rsidR="00C257CF" w:rsidRPr="00010723">
        <w:t xml:space="preserve">SSuN.  Participation in </w:t>
      </w:r>
      <w:r w:rsidR="00F552D7" w:rsidRPr="00010723">
        <w:t>e</w:t>
      </w:r>
      <w:r w:rsidR="002258B6">
        <w:t xml:space="preserve">nhanced </w:t>
      </w:r>
      <w:r w:rsidR="00C257CF" w:rsidRPr="00010723">
        <w:t xml:space="preserve">SSuN does not require the collection of data elements that are not already collected </w:t>
      </w:r>
      <w:r w:rsidR="004A0E0E">
        <w:t xml:space="preserve">as part of routine care </w:t>
      </w:r>
      <w:r w:rsidR="00C257CF" w:rsidRPr="00010723">
        <w:t xml:space="preserve">at collaborating </w:t>
      </w:r>
      <w:r w:rsidR="003E2135">
        <w:t>facilities</w:t>
      </w:r>
      <w:r w:rsidR="00C257CF" w:rsidRPr="00010723">
        <w:t>.</w:t>
      </w:r>
      <w:r w:rsidRPr="00010723">
        <w:t xml:space="preserve">  </w:t>
      </w:r>
      <w:r w:rsidR="00C257CF" w:rsidRPr="00010723">
        <w:t>Completeness of reporting and the quality of data submitted will be monitored by CDC on a</w:t>
      </w:r>
      <w:r w:rsidR="001351E5">
        <w:t xml:space="preserve"> monthly</w:t>
      </w:r>
      <w:r w:rsidR="00F552D7" w:rsidRPr="00010723">
        <w:t xml:space="preserve"> </w:t>
      </w:r>
      <w:r w:rsidR="00C257CF" w:rsidRPr="00010723">
        <w:t>basis.  Site visits, regular communication with CDC, data quality checks</w:t>
      </w:r>
      <w:r w:rsidR="001351E5">
        <w:t xml:space="preserve"> and technical assistance</w:t>
      </w:r>
      <w:r w:rsidR="00C257CF" w:rsidRPr="00010723">
        <w:t xml:space="preserve"> will</w:t>
      </w:r>
      <w:r w:rsidR="001351E5">
        <w:t xml:space="preserve"> also</w:t>
      </w:r>
      <w:r w:rsidR="00C257CF" w:rsidRPr="00010723">
        <w:t xml:space="preserve"> provide opportunit</w:t>
      </w:r>
      <w:r w:rsidR="001351E5">
        <w:t>ies</w:t>
      </w:r>
      <w:r w:rsidR="00C257CF" w:rsidRPr="00010723">
        <w:t xml:space="preserve"> for evaluation and troubleshooting of these processes.</w:t>
      </w:r>
    </w:p>
    <w:p w14:paraId="6EB629A2" w14:textId="77777777" w:rsidR="00E55BDE" w:rsidRDefault="00E55BDE" w:rsidP="00C77DD0">
      <w:pPr>
        <w:spacing w:before="120"/>
        <w:rPr>
          <w:i/>
        </w:rPr>
      </w:pPr>
    </w:p>
    <w:p w14:paraId="5D680C48" w14:textId="77777777" w:rsidR="006F7E0D" w:rsidRPr="00010723" w:rsidRDefault="004A5F9F" w:rsidP="00C77DD0">
      <w:pPr>
        <w:spacing w:before="120"/>
        <w:rPr>
          <w:i/>
        </w:rPr>
      </w:pPr>
      <w:r w:rsidRPr="00010723">
        <w:rPr>
          <w:i/>
        </w:rPr>
        <w:t>P</w:t>
      </w:r>
      <w:r w:rsidR="006F7E0D" w:rsidRPr="00010723">
        <w:rPr>
          <w:i/>
        </w:rPr>
        <w:t xml:space="preserve">opulation-based </w:t>
      </w:r>
      <w:r w:rsidR="00602154">
        <w:rPr>
          <w:i/>
        </w:rPr>
        <w:t>gonorrhea</w:t>
      </w:r>
      <w:r w:rsidR="006F7E0D" w:rsidRPr="00010723">
        <w:rPr>
          <w:i/>
        </w:rPr>
        <w:t xml:space="preserve"> surveillance:</w:t>
      </w:r>
    </w:p>
    <w:p w14:paraId="7BAC1DAA" w14:textId="77777777" w:rsidR="007D32CC" w:rsidRDefault="00593F16" w:rsidP="00C77DD0">
      <w:r w:rsidRPr="00010723">
        <w:t xml:space="preserve">A random sample of persons with gonorrhea </w:t>
      </w:r>
      <w:r w:rsidR="00E94F31" w:rsidRPr="00010723">
        <w:t xml:space="preserve">reported to the health department </w:t>
      </w:r>
      <w:r w:rsidR="004A0E0E">
        <w:t>are</w:t>
      </w:r>
      <w:r w:rsidRPr="00010723">
        <w:t xml:space="preserve"> interviewed by </w:t>
      </w:r>
      <w:r w:rsidR="00602154">
        <w:t xml:space="preserve">trained </w:t>
      </w:r>
      <w:r w:rsidR="00933EF3" w:rsidRPr="00010723">
        <w:t>state/</w:t>
      </w:r>
      <w:r w:rsidRPr="00010723">
        <w:t>local health department</w:t>
      </w:r>
      <w:r w:rsidR="005570E8">
        <w:t xml:space="preserve"> staff</w:t>
      </w:r>
      <w:r w:rsidR="00EA17E0" w:rsidRPr="00010723">
        <w:t xml:space="preserve"> and included in </w:t>
      </w:r>
      <w:r w:rsidR="00933EF3" w:rsidRPr="00010723">
        <w:t>e</w:t>
      </w:r>
      <w:r w:rsidR="002258B6">
        <w:t xml:space="preserve">nhanced </w:t>
      </w:r>
      <w:r w:rsidR="00EA17E0" w:rsidRPr="00010723">
        <w:t>SSuN population-based STD surveillance.  These persons</w:t>
      </w:r>
      <w:r w:rsidR="004A0E0E">
        <w:t xml:space="preserve"> are</w:t>
      </w:r>
      <w:r w:rsidR="00EA17E0" w:rsidRPr="00010723">
        <w:t xml:space="preserve"> a subset of all persons diagnosed with gonorrhea and reported to a health department with</w:t>
      </w:r>
      <w:r w:rsidR="004A0E0E">
        <w:t>in</w:t>
      </w:r>
      <w:r w:rsidR="00EA17E0" w:rsidRPr="00010723">
        <w:t xml:space="preserve"> collaborating site</w:t>
      </w:r>
      <w:r w:rsidR="00167255" w:rsidRPr="00010723">
        <w:t>s</w:t>
      </w:r>
      <w:r w:rsidR="00EA17E0" w:rsidRPr="00010723">
        <w:t>.</w:t>
      </w:r>
    </w:p>
    <w:p w14:paraId="14FAF819" w14:textId="77777777" w:rsidR="0089050E" w:rsidRPr="00010723" w:rsidRDefault="0089050E" w:rsidP="00C77DD0"/>
    <w:p w14:paraId="7B0C9BF0" w14:textId="77777777" w:rsidR="00071005" w:rsidRDefault="00204EA7" w:rsidP="00C77DD0">
      <w:r w:rsidRPr="00010723">
        <w:t>As a gonorrhea case report is received</w:t>
      </w:r>
      <w:r w:rsidR="00756375" w:rsidRPr="00010723">
        <w:t xml:space="preserve"> by the local health department</w:t>
      </w:r>
      <w:r w:rsidRPr="00010723">
        <w:t xml:space="preserve">, </w:t>
      </w:r>
      <w:r w:rsidR="00EA17E0" w:rsidRPr="00010723">
        <w:t xml:space="preserve">it </w:t>
      </w:r>
      <w:r w:rsidR="004A0E0E">
        <w:t>is</w:t>
      </w:r>
      <w:r w:rsidR="00EA17E0" w:rsidRPr="00010723">
        <w:t xml:space="preserve"> assigned a</w:t>
      </w:r>
      <w:r w:rsidRPr="00010723">
        <w:t xml:space="preserve"> random number (e.g. from </w:t>
      </w:r>
      <w:r w:rsidR="002A3CE3">
        <w:t xml:space="preserve">0 to </w:t>
      </w:r>
      <w:r w:rsidRPr="00010723">
        <w:t>1)</w:t>
      </w:r>
      <w:r w:rsidR="00EA17E0" w:rsidRPr="00010723">
        <w:t xml:space="preserve"> by local officials.  If the ran</w:t>
      </w:r>
      <w:r w:rsidRPr="00010723">
        <w:t xml:space="preserve">dom number </w:t>
      </w:r>
      <w:r w:rsidR="00EA17E0" w:rsidRPr="00010723">
        <w:t xml:space="preserve">assigned to a particular case </w:t>
      </w:r>
      <w:r w:rsidRPr="00010723">
        <w:t xml:space="preserve">is below a </w:t>
      </w:r>
      <w:r w:rsidR="00756375" w:rsidRPr="00010723">
        <w:t xml:space="preserve">set </w:t>
      </w:r>
      <w:r w:rsidRPr="00010723">
        <w:t xml:space="preserve">threshold </w:t>
      </w:r>
      <w:r w:rsidR="00756375" w:rsidRPr="00010723">
        <w:t xml:space="preserve">value for </w:t>
      </w:r>
      <w:r w:rsidR="00EA17E0" w:rsidRPr="00010723">
        <w:t>the</w:t>
      </w:r>
      <w:r w:rsidRPr="00010723">
        <w:t xml:space="preserve"> site</w:t>
      </w:r>
      <w:r w:rsidR="00756375" w:rsidRPr="00010723">
        <w:t xml:space="preserve"> (the threshold value</w:t>
      </w:r>
      <w:r w:rsidR="002A3CE3">
        <w:t>s</w:t>
      </w:r>
      <w:r w:rsidR="00756375" w:rsidRPr="00010723">
        <w:t xml:space="preserve"> vary from one site to another, depending on how many case reports a particular site receive</w:t>
      </w:r>
      <w:r w:rsidR="006B00CB">
        <w:t>s</w:t>
      </w:r>
      <w:r w:rsidR="00756375" w:rsidRPr="00010723">
        <w:t xml:space="preserve"> in a year</w:t>
      </w:r>
      <w:r w:rsidR="006B00CB">
        <w:t xml:space="preserve"> and interviewer capacity </w:t>
      </w:r>
      <w:r w:rsidR="00593187">
        <w:t>availability</w:t>
      </w:r>
      <w:r w:rsidR="00756375" w:rsidRPr="00010723">
        <w:t>)</w:t>
      </w:r>
      <w:r w:rsidRPr="00010723">
        <w:t xml:space="preserve">, the case </w:t>
      </w:r>
      <w:r w:rsidR="006B00CB">
        <w:t>is</w:t>
      </w:r>
      <w:r w:rsidRPr="00010723">
        <w:t xml:space="preserve"> contacted for </w:t>
      </w:r>
      <w:r w:rsidR="00756375" w:rsidRPr="00010723">
        <w:t>interview.</w:t>
      </w:r>
      <w:r w:rsidRPr="00010723">
        <w:t xml:space="preserve">  </w:t>
      </w:r>
      <w:r w:rsidR="00756375" w:rsidRPr="00010723">
        <w:t xml:space="preserve">If the random number assigned to </w:t>
      </w:r>
      <w:r w:rsidR="00EA17E0" w:rsidRPr="00010723">
        <w:t xml:space="preserve">a </w:t>
      </w:r>
      <w:r w:rsidR="00756375" w:rsidRPr="00010723">
        <w:t xml:space="preserve">case is above the threshold number for that site, the case </w:t>
      </w:r>
      <w:r w:rsidR="006B00CB">
        <w:t>is</w:t>
      </w:r>
      <w:r w:rsidR="00756375" w:rsidRPr="00010723">
        <w:t xml:space="preserve"> not contacted for interview.  </w:t>
      </w:r>
      <w:r w:rsidR="00593F16" w:rsidRPr="00010723">
        <w:t>Each site use</w:t>
      </w:r>
      <w:r w:rsidR="00C65E1B">
        <w:t>s</w:t>
      </w:r>
      <w:r w:rsidR="00593F16" w:rsidRPr="00010723">
        <w:t xml:space="preserve"> th</w:t>
      </w:r>
      <w:r w:rsidR="00756375" w:rsidRPr="00010723">
        <w:t>is</w:t>
      </w:r>
      <w:r w:rsidR="00593F16" w:rsidRPr="00010723">
        <w:t xml:space="preserve"> randomization</w:t>
      </w:r>
      <w:r w:rsidR="00071005" w:rsidRPr="00010723">
        <w:t xml:space="preserve"> method to </w:t>
      </w:r>
      <w:r w:rsidR="007960D8">
        <w:t xml:space="preserve">identify cases and </w:t>
      </w:r>
      <w:r w:rsidR="00071005" w:rsidRPr="00010723">
        <w:t xml:space="preserve">complete </w:t>
      </w:r>
      <w:r w:rsidR="00756375" w:rsidRPr="00010723">
        <w:t>interview</w:t>
      </w:r>
      <w:r w:rsidR="00071005" w:rsidRPr="00010723">
        <w:t>s</w:t>
      </w:r>
      <w:r w:rsidR="007960D8">
        <w:t xml:space="preserve">. </w:t>
      </w:r>
      <w:r w:rsidR="00933EF3" w:rsidRPr="00010723">
        <w:t xml:space="preserve"> </w:t>
      </w:r>
      <w:r w:rsidR="00EA17E0" w:rsidRPr="00010723">
        <w:t>CDC</w:t>
      </w:r>
      <w:r w:rsidR="007D32CC" w:rsidRPr="00010723">
        <w:t xml:space="preserve"> </w:t>
      </w:r>
      <w:r w:rsidR="00C65E1B">
        <w:t xml:space="preserve">does not receive </w:t>
      </w:r>
      <w:r w:rsidR="005B69CD" w:rsidRPr="00010723">
        <w:t xml:space="preserve">information in identifiable form </w:t>
      </w:r>
      <w:r w:rsidR="007D32CC" w:rsidRPr="00010723">
        <w:t xml:space="preserve">for any cases </w:t>
      </w:r>
      <w:r w:rsidR="00EA17E0" w:rsidRPr="00010723">
        <w:t>and</w:t>
      </w:r>
      <w:r w:rsidR="00C65E1B">
        <w:t xml:space="preserve"> does</w:t>
      </w:r>
      <w:r w:rsidR="00EA17E0" w:rsidRPr="00010723">
        <w:t xml:space="preserve"> not participate in any way in the contact of cases for interview.</w:t>
      </w:r>
    </w:p>
    <w:p w14:paraId="2DC7439E" w14:textId="77777777" w:rsidR="0089050E" w:rsidRPr="00010723" w:rsidRDefault="0089050E" w:rsidP="00C77DD0"/>
    <w:p w14:paraId="5079E0EF" w14:textId="77777777" w:rsidR="00071005" w:rsidRDefault="00D73C85" w:rsidP="00C77DD0">
      <w:r w:rsidRPr="00010723">
        <w:t>Cases that fall within the sampl</w:t>
      </w:r>
      <w:r w:rsidR="00C65E1B">
        <w:t>e</w:t>
      </w:r>
      <w:r w:rsidRPr="00010723">
        <w:t xml:space="preserve"> </w:t>
      </w:r>
      <w:r w:rsidR="00C65E1B">
        <w:t>are</w:t>
      </w:r>
      <w:r w:rsidRPr="00010723">
        <w:t xml:space="preserve"> contacted</w:t>
      </w:r>
      <w:r w:rsidR="007E70BE" w:rsidRPr="00010723">
        <w:t xml:space="preserve"> </w:t>
      </w:r>
      <w:r w:rsidR="00C65E1B" w:rsidRPr="00010723">
        <w:t xml:space="preserve">within 60 days of receipt of their case report </w:t>
      </w:r>
      <w:r w:rsidR="007E70BE" w:rsidRPr="00010723">
        <w:t>by t</w:t>
      </w:r>
      <w:r w:rsidR="0042786E" w:rsidRPr="00010723">
        <w:t xml:space="preserve">rained interviewers </w:t>
      </w:r>
      <w:r w:rsidR="00071005" w:rsidRPr="00010723">
        <w:t xml:space="preserve">working </w:t>
      </w:r>
      <w:r w:rsidR="00756375" w:rsidRPr="00010723">
        <w:t xml:space="preserve">at local health departments </w:t>
      </w:r>
      <w:r w:rsidR="00C65E1B">
        <w:t>to complete</w:t>
      </w:r>
      <w:r w:rsidR="004A5F9F" w:rsidRPr="00010723">
        <w:t xml:space="preserve"> a </w:t>
      </w:r>
      <w:r w:rsidR="0066469F" w:rsidRPr="00010723">
        <w:t xml:space="preserve">telephone </w:t>
      </w:r>
      <w:r w:rsidR="00DE1C52" w:rsidRPr="00010723">
        <w:t xml:space="preserve">or in-person </w:t>
      </w:r>
      <w:r w:rsidR="004A5F9F" w:rsidRPr="00010723">
        <w:t>interview</w:t>
      </w:r>
      <w:r w:rsidR="0066469F" w:rsidRPr="00010723">
        <w:t xml:space="preserve">.  </w:t>
      </w:r>
      <w:r w:rsidR="0042786E" w:rsidRPr="00010723">
        <w:t>I</w:t>
      </w:r>
      <w:r w:rsidR="0020451F" w:rsidRPr="00010723">
        <w:t>nterviewers collect information on demographics,</w:t>
      </w:r>
      <w:r w:rsidR="00DE1C52" w:rsidRPr="00010723">
        <w:t xml:space="preserve"> STD clinical</w:t>
      </w:r>
      <w:r w:rsidR="0020451F" w:rsidRPr="00010723">
        <w:t xml:space="preserve"> history, and behavioral risk factors associated with STDs (see data elements attachment). </w:t>
      </w:r>
      <w:r w:rsidR="00EB2D92" w:rsidRPr="00EB2D92">
        <w:t>Funded jurisdictions should develop data collection instruments to elicit case-specific information from diagnosing providers consistent with national SSuN protocols. Each jurisdiction may employ whatever data collection method(s) work best in their project area.</w:t>
      </w:r>
      <w:r w:rsidR="0020451F" w:rsidRPr="00010723">
        <w:t xml:space="preserve"> </w:t>
      </w:r>
      <w:r w:rsidR="001351E5" w:rsidRPr="001351E5">
        <w:t>The entire interview last</w:t>
      </w:r>
      <w:r w:rsidR="00C65E1B">
        <w:t>s</w:t>
      </w:r>
      <w:r w:rsidR="001351E5" w:rsidRPr="001351E5">
        <w:t xml:space="preserve"> for approximately </w:t>
      </w:r>
      <w:r w:rsidR="001351E5">
        <w:t>10</w:t>
      </w:r>
      <w:r w:rsidR="001351E5" w:rsidRPr="001351E5">
        <w:t xml:space="preserve"> minutes</w:t>
      </w:r>
      <w:r w:rsidR="00C65E1B">
        <w:t xml:space="preserve"> on average</w:t>
      </w:r>
      <w:r w:rsidR="001351E5" w:rsidRPr="001351E5">
        <w:t xml:space="preserve">.  </w:t>
      </w:r>
      <w:r w:rsidR="00C65E1B">
        <w:t>D</w:t>
      </w:r>
      <w:r w:rsidR="0020451F" w:rsidRPr="00010723">
        <w:t xml:space="preserve">ata elements were developed </w:t>
      </w:r>
      <w:r w:rsidR="006545CA" w:rsidRPr="00010723">
        <w:t xml:space="preserve">collaboratively by </w:t>
      </w:r>
      <w:r w:rsidR="007960D8">
        <w:t>e</w:t>
      </w:r>
      <w:r w:rsidR="002258B6">
        <w:t xml:space="preserve">nhanced </w:t>
      </w:r>
      <w:r w:rsidR="0020451F" w:rsidRPr="00010723">
        <w:t>SSuN</w:t>
      </w:r>
      <w:r w:rsidR="006545CA" w:rsidRPr="00010723">
        <w:t xml:space="preserve"> participating sites and CDC</w:t>
      </w:r>
      <w:r w:rsidR="0020451F" w:rsidRPr="00010723">
        <w:t>.</w:t>
      </w:r>
      <w:r w:rsidR="00071005" w:rsidRPr="00010723">
        <w:t xml:space="preserve">  </w:t>
      </w:r>
    </w:p>
    <w:p w14:paraId="6EB7172C" w14:textId="77777777" w:rsidR="0089050E" w:rsidRPr="00010723" w:rsidRDefault="0089050E" w:rsidP="00C77DD0"/>
    <w:p w14:paraId="0100F7D6" w14:textId="77777777" w:rsidR="00071005" w:rsidRDefault="007960D8" w:rsidP="00C77DD0">
      <w:r>
        <w:t xml:space="preserve">Interview data </w:t>
      </w:r>
      <w:r w:rsidR="00C65E1B">
        <w:t>are</w:t>
      </w:r>
      <w:r>
        <w:t xml:space="preserve"> maintained in electronic format by the collaborating jurisdictions.</w:t>
      </w:r>
    </w:p>
    <w:p w14:paraId="1D30822B" w14:textId="77777777" w:rsidR="00DA31C4" w:rsidRDefault="00C65E1B" w:rsidP="00C77DD0">
      <w:r>
        <w:t>Data are</w:t>
      </w:r>
      <w:r w:rsidR="00504B4F" w:rsidRPr="00010723">
        <w:t xml:space="preserve"> </w:t>
      </w:r>
      <w:r w:rsidR="007960D8">
        <w:t xml:space="preserve">routinely verified </w:t>
      </w:r>
      <w:r w:rsidR="00D123D0" w:rsidRPr="00010723">
        <w:t xml:space="preserve">by trained </w:t>
      </w:r>
      <w:r w:rsidR="007960D8">
        <w:t xml:space="preserve">data management </w:t>
      </w:r>
      <w:r w:rsidR="00D123D0" w:rsidRPr="00010723">
        <w:t xml:space="preserve">personnel </w:t>
      </w:r>
      <w:r w:rsidR="004C6F59" w:rsidRPr="00010723">
        <w:t xml:space="preserve">using CDC-designed </w:t>
      </w:r>
      <w:r w:rsidR="00CA618F" w:rsidRPr="00010723">
        <w:t xml:space="preserve">edit check </w:t>
      </w:r>
      <w:r w:rsidR="004C6F59" w:rsidRPr="00010723">
        <w:t>program</w:t>
      </w:r>
      <w:r>
        <w:t>s</w:t>
      </w:r>
      <w:r w:rsidR="004C6F59" w:rsidRPr="00010723">
        <w:t xml:space="preserve">.  </w:t>
      </w:r>
      <w:r w:rsidR="00071005" w:rsidRPr="00010723">
        <w:t>On a</w:t>
      </w:r>
      <w:r w:rsidR="001351E5">
        <w:t xml:space="preserve"> </w:t>
      </w:r>
      <w:r>
        <w:t>bi-</w:t>
      </w:r>
      <w:r w:rsidR="00933EF3" w:rsidRPr="00010723">
        <w:t>month</w:t>
      </w:r>
      <w:r w:rsidR="001351E5">
        <w:t>ly</w:t>
      </w:r>
      <w:r w:rsidR="00933EF3" w:rsidRPr="00010723">
        <w:t xml:space="preserve"> basis</w:t>
      </w:r>
      <w:r w:rsidR="00071005" w:rsidRPr="00010723">
        <w:t>, d</w:t>
      </w:r>
      <w:r w:rsidR="004C6F59" w:rsidRPr="00010723">
        <w:t xml:space="preserve">ata </w:t>
      </w:r>
      <w:r>
        <w:t>are</w:t>
      </w:r>
      <w:r w:rsidR="004C6F59" w:rsidRPr="00010723">
        <w:t xml:space="preserve"> </w:t>
      </w:r>
      <w:r w:rsidR="00017CA2" w:rsidRPr="00010723">
        <w:t xml:space="preserve">uploaded </w:t>
      </w:r>
      <w:bookmarkStart w:id="1" w:name="OLE_LINK9"/>
      <w:bookmarkStart w:id="2" w:name="OLE_LINK10"/>
      <w:r w:rsidR="00504B4F" w:rsidRPr="00010723">
        <w:t xml:space="preserve">by trained data managers </w:t>
      </w:r>
      <w:bookmarkEnd w:id="1"/>
      <w:bookmarkEnd w:id="2"/>
      <w:r w:rsidR="00017CA2" w:rsidRPr="00010723">
        <w:t xml:space="preserve">at collaborating sites </w:t>
      </w:r>
      <w:r w:rsidR="004E3F53" w:rsidRPr="00010723">
        <w:t xml:space="preserve">to </w:t>
      </w:r>
      <w:r w:rsidR="00017CA2" w:rsidRPr="00010723">
        <w:t xml:space="preserve">a </w:t>
      </w:r>
      <w:r w:rsidR="004E3F53" w:rsidRPr="00010723">
        <w:t>CDC</w:t>
      </w:r>
      <w:r w:rsidR="00017CA2" w:rsidRPr="00010723">
        <w:t xml:space="preserve">-designed and operated </w:t>
      </w:r>
      <w:r w:rsidR="00BE38E0" w:rsidRPr="00BE38E0">
        <w:t>secure access management system (SAMS)</w:t>
      </w:r>
      <w:r w:rsidR="00FD6F3D" w:rsidRPr="00010723">
        <w:t xml:space="preserve">.  </w:t>
      </w:r>
      <w:r w:rsidR="00071005" w:rsidRPr="00010723">
        <w:t>At CDC, d</w:t>
      </w:r>
      <w:r w:rsidR="00FD6F3D" w:rsidRPr="00010723">
        <w:t xml:space="preserve">ata </w:t>
      </w:r>
      <w:r>
        <w:t>are</w:t>
      </w:r>
      <w:r w:rsidR="00017CA2" w:rsidRPr="00010723">
        <w:t xml:space="preserve"> </w:t>
      </w:r>
      <w:r w:rsidR="004E3F53" w:rsidRPr="00010723">
        <w:t xml:space="preserve">stored </w:t>
      </w:r>
      <w:r w:rsidR="004C6F59" w:rsidRPr="00010723">
        <w:t xml:space="preserve">and maintained </w:t>
      </w:r>
      <w:r w:rsidR="004E3F53" w:rsidRPr="00010723">
        <w:t xml:space="preserve">by a data manager in the Statistics and Data Management Branch </w:t>
      </w:r>
      <w:r w:rsidR="00593187">
        <w:t>(Division of STD and Prevention/</w:t>
      </w:r>
      <w:r w:rsidR="004E3F53" w:rsidRPr="00010723">
        <w:t xml:space="preserve"> National Center for HIV</w:t>
      </w:r>
      <w:r w:rsidR="001351E5">
        <w:t>/AIDS</w:t>
      </w:r>
      <w:r w:rsidR="004E3F53" w:rsidRPr="00010723">
        <w:t>,</w:t>
      </w:r>
      <w:r w:rsidR="001351E5">
        <w:t xml:space="preserve"> Viral</w:t>
      </w:r>
      <w:r w:rsidR="004E3F53" w:rsidRPr="00010723">
        <w:t xml:space="preserve"> Hepatitis, STD, and TB Prevention</w:t>
      </w:r>
      <w:r w:rsidR="00593187">
        <w:t>)</w:t>
      </w:r>
      <w:r w:rsidR="004E3F53" w:rsidRPr="00010723">
        <w:t>.</w:t>
      </w:r>
      <w:r w:rsidR="00B550FC" w:rsidRPr="00010723">
        <w:t xml:space="preserve">  </w:t>
      </w:r>
      <w:r w:rsidR="00563665" w:rsidRPr="00010723">
        <w:t>Completeness of reporting and the quality of data</w:t>
      </w:r>
      <w:r w:rsidR="00593187">
        <w:t xml:space="preserve"> </w:t>
      </w:r>
      <w:r w:rsidR="00563665" w:rsidRPr="00010723">
        <w:t xml:space="preserve">submitted </w:t>
      </w:r>
      <w:r>
        <w:t>is actively</w:t>
      </w:r>
      <w:r w:rsidR="00563665" w:rsidRPr="00010723">
        <w:t xml:space="preserve"> monitored by CDC</w:t>
      </w:r>
      <w:r w:rsidR="006545CA" w:rsidRPr="00010723">
        <w:t xml:space="preserve"> on </w:t>
      </w:r>
      <w:r w:rsidR="001351E5">
        <w:t>a</w:t>
      </w:r>
      <w:r>
        <w:t xml:space="preserve"> routine</w:t>
      </w:r>
      <w:r w:rsidR="00933EF3" w:rsidRPr="00010723">
        <w:t xml:space="preserve"> basis</w:t>
      </w:r>
      <w:r w:rsidR="00563665" w:rsidRPr="00010723">
        <w:t xml:space="preserve">.  </w:t>
      </w:r>
      <w:r w:rsidR="00B550FC" w:rsidRPr="00010723">
        <w:t>Site visits, regular communication with CDC, data quality checks</w:t>
      </w:r>
      <w:r w:rsidR="001351E5">
        <w:t xml:space="preserve"> and technical assistance</w:t>
      </w:r>
      <w:r w:rsidR="00B550FC" w:rsidRPr="00010723">
        <w:t xml:space="preserve"> will</w:t>
      </w:r>
      <w:r w:rsidR="001351E5">
        <w:t xml:space="preserve"> also</w:t>
      </w:r>
      <w:r w:rsidR="00B550FC" w:rsidRPr="00010723">
        <w:t xml:space="preserve"> provide opportunit</w:t>
      </w:r>
      <w:r w:rsidR="001351E5">
        <w:t>ies</w:t>
      </w:r>
      <w:r w:rsidR="00B550FC" w:rsidRPr="00010723">
        <w:t xml:space="preserve"> for evaluation a</w:t>
      </w:r>
      <w:r w:rsidR="0042786E" w:rsidRPr="00010723">
        <w:t xml:space="preserve">nd troubleshooting of these </w:t>
      </w:r>
      <w:r w:rsidR="00B550FC" w:rsidRPr="00010723">
        <w:t>processes.</w:t>
      </w:r>
    </w:p>
    <w:p w14:paraId="68FE72A7" w14:textId="77777777" w:rsidR="0089050E" w:rsidRDefault="0089050E" w:rsidP="00C77DD0"/>
    <w:p w14:paraId="04815D81" w14:textId="77777777" w:rsidR="00017CA2" w:rsidRDefault="00C257CF" w:rsidP="00C77DD0">
      <w:r w:rsidRPr="00010723">
        <w:t>Da</w:t>
      </w:r>
      <w:r w:rsidR="001A29A9" w:rsidRPr="00010723">
        <w:t>ta on r</w:t>
      </w:r>
      <w:r w:rsidR="00F87109" w:rsidRPr="00010723">
        <w:t xml:space="preserve">ace and ethnicity </w:t>
      </w:r>
      <w:r w:rsidR="00C65E1B">
        <w:t>is</w:t>
      </w:r>
      <w:r w:rsidR="00F87109" w:rsidRPr="00010723">
        <w:t xml:space="preserve"> collected in compliance with the two-question format described in the 1997 Office of Management and Budget’s Standards for Maintaining, Collecting, and Presenting Federal Data on Race and Ethnicity, also known as Statistical Policy Directive 15.</w:t>
      </w:r>
    </w:p>
    <w:p w14:paraId="71ECDE26" w14:textId="77777777" w:rsidR="00C53D5D" w:rsidRDefault="00C53D5D" w:rsidP="00C77DD0"/>
    <w:p w14:paraId="2713522A" w14:textId="77777777" w:rsidR="00C53D5D" w:rsidRPr="00010723" w:rsidRDefault="00C53D5D" w:rsidP="00C53D5D">
      <w:pPr>
        <w:spacing w:before="120"/>
        <w:rPr>
          <w:i/>
        </w:rPr>
      </w:pPr>
      <w:r w:rsidRPr="00010723">
        <w:rPr>
          <w:i/>
        </w:rPr>
        <w:t xml:space="preserve">Population-based </w:t>
      </w:r>
      <w:r>
        <w:rPr>
          <w:i/>
        </w:rPr>
        <w:t>Neuro/Ocular/Otic Syphilis Surveillance</w:t>
      </w:r>
      <w:r w:rsidRPr="00010723">
        <w:rPr>
          <w:i/>
        </w:rPr>
        <w:t>:</w:t>
      </w:r>
    </w:p>
    <w:p w14:paraId="2B43E090" w14:textId="055F9999" w:rsidR="00C53D5D" w:rsidRDefault="00C53D5D" w:rsidP="00C53D5D">
      <w:r>
        <w:t>Routine case reports for p</w:t>
      </w:r>
      <w:r w:rsidRPr="00010723">
        <w:t xml:space="preserve">ersons </w:t>
      </w:r>
      <w:r>
        <w:t>diagnosed with early syphilis infection received by</w:t>
      </w:r>
      <w:r w:rsidRPr="00010723">
        <w:t xml:space="preserve"> the health department </w:t>
      </w:r>
      <w:r>
        <w:t xml:space="preserve">are reviewed </w:t>
      </w:r>
      <w:r w:rsidRPr="00010723">
        <w:t>by state/local health department</w:t>
      </w:r>
      <w:r>
        <w:t xml:space="preserve"> staff; </w:t>
      </w:r>
      <w:r w:rsidR="00A261CD">
        <w:t>all e</w:t>
      </w:r>
      <w:r w:rsidR="00AC7653">
        <w:t xml:space="preserve">nhanced </w:t>
      </w:r>
      <w:r w:rsidR="00A261CD">
        <w:t xml:space="preserve">SSuN jurisdictions routinely conduct disease control investigations on all early syphilis cases as part of normal public health activities.  </w:t>
      </w:r>
      <w:r w:rsidR="00063264">
        <w:t>Of these</w:t>
      </w:r>
      <w:r w:rsidR="00A261CD">
        <w:t xml:space="preserve"> cases</w:t>
      </w:r>
      <w:r>
        <w:t xml:space="preserve"> reported with symptoms of neurologic or ocular involvement</w:t>
      </w:r>
      <w:r w:rsidRPr="00010723">
        <w:t xml:space="preserve"> </w:t>
      </w:r>
      <w:r>
        <w:t>are referred for</w:t>
      </w:r>
      <w:r w:rsidRPr="00010723">
        <w:t xml:space="preserve"> </w:t>
      </w:r>
      <w:r>
        <w:t xml:space="preserve">enhanced </w:t>
      </w:r>
      <w:r w:rsidR="00A261CD">
        <w:t xml:space="preserve">eSSuN </w:t>
      </w:r>
      <w:r w:rsidRPr="00010723">
        <w:t>surveillance.  These persons</w:t>
      </w:r>
      <w:r>
        <w:t xml:space="preserve"> </w:t>
      </w:r>
      <w:r w:rsidR="00A261CD">
        <w:t>constitute</w:t>
      </w:r>
      <w:r w:rsidRPr="00010723">
        <w:t xml:space="preserve"> a subset of all persons diagnosed with </w:t>
      </w:r>
      <w:r>
        <w:t>syphilis</w:t>
      </w:r>
      <w:r w:rsidRPr="00010723">
        <w:t xml:space="preserve"> and reported to a health department with</w:t>
      </w:r>
      <w:r>
        <w:t>in</w:t>
      </w:r>
      <w:r w:rsidRPr="00010723">
        <w:t xml:space="preserve"> collaborating sites.</w:t>
      </w:r>
      <w:r w:rsidR="00A261CD">
        <w:t xml:space="preserve"> </w:t>
      </w:r>
      <w:r>
        <w:t xml:space="preserve">The full census of </w:t>
      </w:r>
      <w:r w:rsidR="00A261CD">
        <w:t>this subset of patients will be investigated. Trained staff contact reporting providers and obtain clinical and treatment information in addition to the standard disease-staging information generally required as routine public health follow-up for early syphilis cases.</w:t>
      </w:r>
      <w:r>
        <w:t xml:space="preserve"> </w:t>
      </w:r>
    </w:p>
    <w:p w14:paraId="660ABCD7" w14:textId="77777777" w:rsidR="00C53D5D" w:rsidRPr="00010723" w:rsidRDefault="00C53D5D" w:rsidP="00C53D5D"/>
    <w:p w14:paraId="44FB7DB7" w14:textId="77777777" w:rsidR="00C53D5D" w:rsidRDefault="00C53D5D" w:rsidP="00C53D5D">
      <w:r w:rsidRPr="00010723">
        <w:t>Cases</w:t>
      </w:r>
      <w:r w:rsidR="00A261CD">
        <w:t xml:space="preserve"> with neurologic, ocular or otic involvement are interviewed </w:t>
      </w:r>
      <w:r w:rsidR="00593187">
        <w:t>to assess</w:t>
      </w:r>
      <w:r w:rsidR="00A261CD">
        <w:t xml:space="preserve"> additional</w:t>
      </w:r>
      <w:r w:rsidR="00593187">
        <w:t xml:space="preserve"> information regarding the</w:t>
      </w:r>
      <w:r w:rsidR="00A261CD">
        <w:t xml:space="preserve"> nature, duration and severity of </w:t>
      </w:r>
      <w:r w:rsidR="00593187">
        <w:t xml:space="preserve">these </w:t>
      </w:r>
      <w:r w:rsidR="00A261CD">
        <w:t>symptoms.</w:t>
      </w:r>
      <w:r w:rsidRPr="00010723">
        <w:t xml:space="preserve">  </w:t>
      </w:r>
      <w:r w:rsidRPr="001351E5">
        <w:t>The entire interview last</w:t>
      </w:r>
      <w:r>
        <w:t>s</w:t>
      </w:r>
      <w:r w:rsidRPr="001351E5">
        <w:t xml:space="preserve"> for approximately </w:t>
      </w:r>
      <w:r>
        <w:t>10</w:t>
      </w:r>
      <w:r w:rsidRPr="001351E5">
        <w:t xml:space="preserve"> minutes</w:t>
      </w:r>
      <w:r>
        <w:t xml:space="preserve"> on average</w:t>
      </w:r>
      <w:r w:rsidRPr="001351E5">
        <w:t xml:space="preserve">.  </w:t>
      </w:r>
      <w:r>
        <w:t>D</w:t>
      </w:r>
      <w:r w:rsidRPr="00010723">
        <w:t xml:space="preserve">ata elements were developed collaboratively by </w:t>
      </w:r>
      <w:r>
        <w:t xml:space="preserve">enhanced </w:t>
      </w:r>
      <w:r w:rsidRPr="00010723">
        <w:t xml:space="preserve">SSuN participating sites and CDC. </w:t>
      </w:r>
      <w:r w:rsidR="00EB2D92" w:rsidRPr="00EB2D92">
        <w:t xml:space="preserve">Funded jurisdictions should develop data collection instruments to elicit case-specific information consistent with national SSuN protocols. Each jurisdiction may employ whatever data collection </w:t>
      </w:r>
      <w:r w:rsidR="00EB2D92">
        <w:t>tool</w:t>
      </w:r>
      <w:r w:rsidR="00EB2D92" w:rsidRPr="00EB2D92">
        <w:t xml:space="preserve"> work</w:t>
      </w:r>
      <w:r w:rsidR="00EB2D92">
        <w:t>s</w:t>
      </w:r>
      <w:r w:rsidR="00EB2D92" w:rsidRPr="00EB2D92">
        <w:t xml:space="preserve"> best in their project area.</w:t>
      </w:r>
      <w:r w:rsidR="00EB2D92">
        <w:t xml:space="preserve"> </w:t>
      </w:r>
      <w:r w:rsidR="00A261CD">
        <w:t xml:space="preserve">A brief telephone </w:t>
      </w:r>
      <w:r w:rsidR="00593187">
        <w:t xml:space="preserve">3 month </w:t>
      </w:r>
      <w:r w:rsidR="00A261CD">
        <w:t>follow-up interview (5-minutes or less) will be conducted among these patients to determine resolution or persistence of symptoms following appropriate treatment for syphilis.</w:t>
      </w:r>
      <w:r w:rsidRPr="00010723">
        <w:t xml:space="preserve"> </w:t>
      </w:r>
    </w:p>
    <w:p w14:paraId="7F12A7C0" w14:textId="77777777" w:rsidR="00C53D5D" w:rsidRPr="00010723" w:rsidRDefault="00C53D5D" w:rsidP="00C53D5D"/>
    <w:p w14:paraId="09BA5B87" w14:textId="77777777" w:rsidR="00C53D5D" w:rsidRDefault="00C53D5D" w:rsidP="00C53D5D">
      <w:r>
        <w:t>Interview data are maintained in electronic format by the collaborating jurisdictions.</w:t>
      </w:r>
    </w:p>
    <w:p w14:paraId="4D55F760" w14:textId="77777777" w:rsidR="00C53D5D" w:rsidRDefault="00C53D5D" w:rsidP="00C53D5D">
      <w:r>
        <w:t>Data are</w:t>
      </w:r>
      <w:r w:rsidRPr="00010723">
        <w:t xml:space="preserve"> </w:t>
      </w:r>
      <w:r>
        <w:t xml:space="preserve">routinely verified </w:t>
      </w:r>
      <w:r w:rsidRPr="00010723">
        <w:t xml:space="preserve">by trained </w:t>
      </w:r>
      <w:r>
        <w:t xml:space="preserve">data management </w:t>
      </w:r>
      <w:r w:rsidRPr="00010723">
        <w:t>personnel using CDC-designed edit check program</w:t>
      </w:r>
      <w:r>
        <w:t>s</w:t>
      </w:r>
      <w:r w:rsidRPr="00010723">
        <w:t>.  On a</w:t>
      </w:r>
      <w:r>
        <w:t xml:space="preserve"> bi-</w:t>
      </w:r>
      <w:r w:rsidRPr="00010723">
        <w:t>month</w:t>
      </w:r>
      <w:r>
        <w:t>ly</w:t>
      </w:r>
      <w:r w:rsidRPr="00010723">
        <w:t xml:space="preserve"> basis, data </w:t>
      </w:r>
      <w:r>
        <w:t>are</w:t>
      </w:r>
      <w:r w:rsidRPr="00010723">
        <w:t xml:space="preserve"> uploaded by trained data managers at collaborating sites to a CDC-designed and operated </w:t>
      </w:r>
      <w:r w:rsidRPr="00BE38E0">
        <w:t>secure access management system (SAMS)</w:t>
      </w:r>
      <w:r w:rsidRPr="00010723">
        <w:t xml:space="preserve">.  At CDC, data </w:t>
      </w:r>
      <w:r>
        <w:t>are</w:t>
      </w:r>
      <w:r w:rsidRPr="00010723">
        <w:t xml:space="preserve"> stored and maintained by a data manager in the Statistics and Data Management Branch of the National Center for HIV</w:t>
      </w:r>
      <w:r>
        <w:t>/AIDS</w:t>
      </w:r>
      <w:r w:rsidRPr="00010723">
        <w:t>,</w:t>
      </w:r>
      <w:r>
        <w:t xml:space="preserve"> Viral</w:t>
      </w:r>
      <w:r w:rsidRPr="00010723">
        <w:t xml:space="preserve"> Hepatitis, STD, and TB Prevention.  Completeness of reporting and the quality of data submitted </w:t>
      </w:r>
      <w:r>
        <w:t>is actively</w:t>
      </w:r>
      <w:r w:rsidRPr="00010723">
        <w:t xml:space="preserve"> monitored by CDC on </w:t>
      </w:r>
      <w:r>
        <w:t>a routine</w:t>
      </w:r>
      <w:r w:rsidRPr="00010723">
        <w:t xml:space="preserve"> basis.  Site visits, regular communication with CDC, data quality checks</w:t>
      </w:r>
      <w:r>
        <w:t xml:space="preserve"> and technical assistance</w:t>
      </w:r>
      <w:r w:rsidRPr="00010723">
        <w:t xml:space="preserve"> will</w:t>
      </w:r>
      <w:r>
        <w:t xml:space="preserve"> also</w:t>
      </w:r>
      <w:r w:rsidRPr="00010723">
        <w:t xml:space="preserve"> provide opportunit</w:t>
      </w:r>
      <w:r>
        <w:t>ies</w:t>
      </w:r>
      <w:r w:rsidRPr="00010723">
        <w:t xml:space="preserve"> for evaluation and troubleshooting of these processes.</w:t>
      </w:r>
    </w:p>
    <w:p w14:paraId="75FFF397" w14:textId="77777777" w:rsidR="00C53D5D" w:rsidRDefault="00C53D5D" w:rsidP="00C53D5D"/>
    <w:p w14:paraId="7730E043" w14:textId="77777777" w:rsidR="00C53D5D" w:rsidRPr="00010723" w:rsidRDefault="00C53D5D" w:rsidP="00C53D5D">
      <w:r w:rsidRPr="00010723">
        <w:t xml:space="preserve">Data on race and ethnicity </w:t>
      </w:r>
      <w:r>
        <w:t>is</w:t>
      </w:r>
      <w:r w:rsidRPr="00010723">
        <w:t xml:space="preserve"> collected </w:t>
      </w:r>
      <w:r w:rsidR="00A261CD">
        <w:t xml:space="preserve">from all patients </w:t>
      </w:r>
      <w:r w:rsidRPr="00010723">
        <w:t>in compliance with the two-question format described in the 1997 Office of Management and Budget’s Standards for Maintaining, Collecting, and Presenting Federal Data on Race and Ethnicity, also known as Statistical Policy Directive 15.</w:t>
      </w:r>
    </w:p>
    <w:p w14:paraId="291866A6" w14:textId="77777777" w:rsidR="00C53D5D" w:rsidRPr="00010723" w:rsidRDefault="00C53D5D" w:rsidP="00C77DD0"/>
    <w:p w14:paraId="2826AEF8" w14:textId="77777777" w:rsidR="00E821EF" w:rsidRPr="00010723" w:rsidRDefault="00E821EF" w:rsidP="00EC018D"/>
    <w:p w14:paraId="6F133090" w14:textId="77777777" w:rsidR="00D01186" w:rsidRPr="00010723" w:rsidRDefault="00D01186" w:rsidP="00C77DD0">
      <w:pPr>
        <w:tabs>
          <w:tab w:val="left" w:pos="2880"/>
        </w:tabs>
        <w:spacing w:after="120"/>
        <w:rPr>
          <w:b/>
        </w:rPr>
      </w:pPr>
      <w:r w:rsidRPr="00010723">
        <w:rPr>
          <w:b/>
        </w:rPr>
        <w:t>3. Methods to Maximize Response Rates and Deal with Nonresponse</w:t>
      </w:r>
    </w:p>
    <w:p w14:paraId="4E3B07A9" w14:textId="77777777" w:rsidR="00C257CF" w:rsidRPr="00010723" w:rsidRDefault="008A3A51" w:rsidP="00C77DD0">
      <w:pPr>
        <w:spacing w:after="120"/>
        <w:rPr>
          <w:i/>
        </w:rPr>
      </w:pPr>
      <w:bookmarkStart w:id="3" w:name="OLE_LINK3"/>
      <w:bookmarkStart w:id="4" w:name="OLE_LINK4"/>
      <w:r>
        <w:rPr>
          <w:i/>
        </w:rPr>
        <w:t>Facility</w:t>
      </w:r>
      <w:r w:rsidR="00C257CF" w:rsidRPr="00010723">
        <w:rPr>
          <w:i/>
        </w:rPr>
        <w:t>-based STD surveillance:</w:t>
      </w:r>
    </w:p>
    <w:p w14:paraId="49A1C845" w14:textId="77777777" w:rsidR="00C257CF" w:rsidRPr="00010723" w:rsidRDefault="00933EF3" w:rsidP="00C77DD0">
      <w:pPr>
        <w:tabs>
          <w:tab w:val="left" w:pos="2880"/>
        </w:tabs>
        <w:spacing w:before="120"/>
      </w:pPr>
      <w:r w:rsidRPr="00010723">
        <w:t>Facility</w:t>
      </w:r>
      <w:r w:rsidR="00C257CF" w:rsidRPr="00010723">
        <w:t xml:space="preserve"> data for </w:t>
      </w:r>
      <w:r w:rsidRPr="00010723">
        <w:t>e</w:t>
      </w:r>
      <w:r w:rsidR="002258B6">
        <w:t xml:space="preserve">nhanced </w:t>
      </w:r>
      <w:r w:rsidR="00C257CF" w:rsidRPr="00010723">
        <w:t xml:space="preserve">SSuN are extracted from data collected as a routine part of all STD </w:t>
      </w:r>
      <w:r w:rsidR="00010723">
        <w:t>facility</w:t>
      </w:r>
      <w:r w:rsidR="007960D8">
        <w:t xml:space="preserve"> </w:t>
      </w:r>
      <w:r w:rsidR="00C257CF" w:rsidRPr="00010723">
        <w:t xml:space="preserve">encounters.  </w:t>
      </w:r>
      <w:r w:rsidR="00DE591E" w:rsidRPr="00010723">
        <w:t xml:space="preserve">The challenge of non-response is not applicable for </w:t>
      </w:r>
      <w:r w:rsidR="00AE090D" w:rsidRPr="00010723">
        <w:t xml:space="preserve">this </w:t>
      </w:r>
      <w:r w:rsidR="00C65E1B">
        <w:t xml:space="preserve">activity </w:t>
      </w:r>
      <w:r w:rsidR="00DE591E" w:rsidRPr="00010723">
        <w:t xml:space="preserve">because the data elements </w:t>
      </w:r>
      <w:r w:rsidR="00C65E1B">
        <w:t>are</w:t>
      </w:r>
      <w:r w:rsidR="00DE591E" w:rsidRPr="00010723">
        <w:t xml:space="preserve"> extracted according to a pre-determined protocol </w:t>
      </w:r>
      <w:r w:rsidR="00F01DD1" w:rsidRPr="00010723">
        <w:t xml:space="preserve">for all patients </w:t>
      </w:r>
      <w:r w:rsidR="00C65E1B">
        <w:t>presenting for care at the</w:t>
      </w:r>
      <w:r w:rsidR="00F01DD1" w:rsidRPr="00010723">
        <w:t xml:space="preserve"> </w:t>
      </w:r>
      <w:r w:rsidRPr="00010723">
        <w:t>facility</w:t>
      </w:r>
      <w:r w:rsidR="00F01DD1" w:rsidRPr="00010723">
        <w:t xml:space="preserve"> </w:t>
      </w:r>
      <w:r w:rsidR="00DE591E" w:rsidRPr="00010723">
        <w:t>and submitted to CDC through the existing secure data network.</w:t>
      </w:r>
    </w:p>
    <w:p w14:paraId="5E8CCBCB" w14:textId="77777777" w:rsidR="004A5F9F" w:rsidRPr="00010723" w:rsidRDefault="004A5F9F" w:rsidP="00C77DD0">
      <w:pPr>
        <w:spacing w:before="120"/>
        <w:rPr>
          <w:i/>
        </w:rPr>
      </w:pPr>
      <w:r w:rsidRPr="00010723">
        <w:rPr>
          <w:i/>
        </w:rPr>
        <w:t xml:space="preserve">Population-based </w:t>
      </w:r>
      <w:r w:rsidR="005570E8">
        <w:rPr>
          <w:i/>
        </w:rPr>
        <w:t>Gonorrhea</w:t>
      </w:r>
      <w:r w:rsidR="005570E8" w:rsidRPr="00010723">
        <w:rPr>
          <w:i/>
        </w:rPr>
        <w:t xml:space="preserve"> </w:t>
      </w:r>
      <w:r w:rsidRPr="00010723">
        <w:rPr>
          <w:i/>
        </w:rPr>
        <w:t>surveillance</w:t>
      </w:r>
      <w:r w:rsidR="005570E8">
        <w:rPr>
          <w:i/>
        </w:rPr>
        <w:t xml:space="preserve"> and Ocular/Neuro Syphilis Surveillance</w:t>
      </w:r>
      <w:r w:rsidRPr="00010723">
        <w:rPr>
          <w:i/>
        </w:rPr>
        <w:t>:</w:t>
      </w:r>
    </w:p>
    <w:bookmarkEnd w:id="3"/>
    <w:bookmarkEnd w:id="4"/>
    <w:p w14:paraId="5A730495" w14:textId="58266D8F" w:rsidR="00B93D3C" w:rsidRDefault="00A174A1" w:rsidP="00B93D3C">
      <w:pPr>
        <w:tabs>
          <w:tab w:val="left" w:pos="2880"/>
        </w:tabs>
        <w:spacing w:before="120"/>
      </w:pPr>
      <w:r w:rsidRPr="00A174A1">
        <w:t>The proposed project will employ the same methods to maximize response rates and to address nonresponse as was previously approved for the project.</w:t>
      </w:r>
      <w:r>
        <w:t xml:space="preserve"> </w:t>
      </w:r>
      <w:r w:rsidR="00B93D3C" w:rsidRPr="00B93D3C">
        <w:t xml:space="preserve">For the proposed </w:t>
      </w:r>
      <w:r w:rsidR="00B93D3C">
        <w:t>activity</w:t>
      </w:r>
      <w:r w:rsidR="00B93D3C" w:rsidRPr="00B93D3C">
        <w:t xml:space="preserve">, </w:t>
      </w:r>
      <w:r w:rsidR="00B93D3C">
        <w:t xml:space="preserve">trained </w:t>
      </w:r>
      <w:r w:rsidR="00B93D3C" w:rsidRPr="00B93D3C">
        <w:t>project staff will continue to employ telephone</w:t>
      </w:r>
      <w:r w:rsidR="00B93D3C">
        <w:t xml:space="preserve"> or in-person</w:t>
      </w:r>
      <w:r w:rsidR="00B93D3C" w:rsidRPr="00B93D3C">
        <w:t xml:space="preserve"> interviewing</w:t>
      </w:r>
      <w:r w:rsidR="00B93D3C">
        <w:t>.</w:t>
      </w:r>
      <w:r w:rsidR="00AC7653">
        <w:t xml:space="preserve"> </w:t>
      </w:r>
      <w:r w:rsidR="00560475" w:rsidRPr="00010723">
        <w:t xml:space="preserve">Protocols for maximizing the likelihood of a successful interview with patients vary by site, but </w:t>
      </w:r>
      <w:r w:rsidR="00C65E1B">
        <w:t>a minimum of</w:t>
      </w:r>
      <w:r w:rsidR="0015678D" w:rsidRPr="00010723">
        <w:t xml:space="preserve"> </w:t>
      </w:r>
      <w:r w:rsidR="001351E5">
        <w:t>three</w:t>
      </w:r>
      <w:r w:rsidR="0015678D" w:rsidRPr="00010723">
        <w:t xml:space="preserve"> attempts to contact selected patient</w:t>
      </w:r>
      <w:r w:rsidR="00C65E1B">
        <w:t>s</w:t>
      </w:r>
      <w:r w:rsidR="0015678D" w:rsidRPr="00010723">
        <w:t xml:space="preserve"> </w:t>
      </w:r>
      <w:r w:rsidR="00E55BDE">
        <w:t>are</w:t>
      </w:r>
      <w:r w:rsidR="00560475" w:rsidRPr="00010723">
        <w:t xml:space="preserve"> made </w:t>
      </w:r>
      <w:r w:rsidR="00501E8C" w:rsidRPr="00010723">
        <w:t>in all sites</w:t>
      </w:r>
      <w:r w:rsidR="00560475" w:rsidRPr="00010723">
        <w:t xml:space="preserve">.  </w:t>
      </w:r>
      <w:r w:rsidR="001351E5" w:rsidRPr="001351E5">
        <w:t>Participants are informed participation in the interview is voluntary and refusal to participate is at no risk or harm to them</w:t>
      </w:r>
      <w:r w:rsidR="001351E5">
        <w:t xml:space="preserve">. </w:t>
      </w:r>
      <w:r w:rsidR="00B93D3C" w:rsidRPr="00B93D3C">
        <w:t>Project staff will also be encouraged to offer evening and weekend interview hours to maximize the convenience of participation.</w:t>
      </w:r>
      <w:r w:rsidR="00B93D3C">
        <w:t xml:space="preserve"> T</w:t>
      </w:r>
      <w:r w:rsidR="00B93D3C" w:rsidRPr="00B93D3C">
        <w:t xml:space="preserve">he response rate for the proposed project is expected to be the same as or better than the most recent </w:t>
      </w:r>
      <w:r w:rsidR="00B93D3C">
        <w:t>enhanced SSuN</w:t>
      </w:r>
      <w:r w:rsidR="00B93D3C" w:rsidRPr="00B93D3C">
        <w:t xml:space="preserve"> response rate for </w:t>
      </w:r>
      <w:r w:rsidR="00B93D3C">
        <w:t xml:space="preserve">gonorrhea </w:t>
      </w:r>
      <w:r w:rsidR="00B93D3C" w:rsidRPr="00B93D3C">
        <w:t xml:space="preserve">diagnosed persons. Nevertheless, the goal of </w:t>
      </w:r>
      <w:r w:rsidR="00B93D3C">
        <w:t xml:space="preserve">enhanced SSuN </w:t>
      </w:r>
      <w:r w:rsidR="00B93D3C" w:rsidRPr="00B93D3C">
        <w:t xml:space="preserve">is to interview </w:t>
      </w:r>
      <w:r w:rsidR="00B93D3C">
        <w:t>&gt; 50</w:t>
      </w:r>
      <w:r w:rsidR="00B93D3C" w:rsidRPr="00B93D3C">
        <w:t>% of eligible persons sampled.</w:t>
      </w:r>
    </w:p>
    <w:p w14:paraId="0983C02B" w14:textId="77777777" w:rsidR="001351E5" w:rsidRDefault="001351E5" w:rsidP="00C77DD0">
      <w:pPr>
        <w:tabs>
          <w:tab w:val="left" w:pos="2880"/>
        </w:tabs>
        <w:spacing w:before="120"/>
      </w:pPr>
      <w:r w:rsidRPr="001351E5">
        <w:t xml:space="preserve">If local </w:t>
      </w:r>
      <w:r w:rsidR="00C65E1B">
        <w:t>health departments</w:t>
      </w:r>
      <w:r w:rsidR="00C65E1B" w:rsidRPr="001351E5">
        <w:t xml:space="preserve"> </w:t>
      </w:r>
      <w:r>
        <w:t>offer additional partner management services for patients with gonorrhea, patient</w:t>
      </w:r>
      <w:r w:rsidR="00C65E1B">
        <w:t xml:space="preserve">s </w:t>
      </w:r>
      <w:r w:rsidR="00365D40">
        <w:t>are referred</w:t>
      </w:r>
      <w:r>
        <w:t xml:space="preserve"> accordingly.</w:t>
      </w:r>
      <w:r w:rsidR="009533E8">
        <w:t xml:space="preserve"> All early syphilis cases are routinely offered partner management and disease prevention interventions as part of standard public health practice. </w:t>
      </w:r>
      <w:r>
        <w:t xml:space="preserve"> </w:t>
      </w:r>
    </w:p>
    <w:p w14:paraId="1E6FE4A6" w14:textId="77777777" w:rsidR="00B93D3C" w:rsidRPr="00B93D3C" w:rsidRDefault="00B93D3C" w:rsidP="00B93D3C">
      <w:pPr>
        <w:tabs>
          <w:tab w:val="left" w:pos="2880"/>
        </w:tabs>
        <w:spacing w:before="120"/>
        <w:rPr>
          <w:i/>
        </w:rPr>
      </w:pPr>
      <w:r w:rsidRPr="00B93D3C">
        <w:rPr>
          <w:i/>
        </w:rPr>
        <w:t>Assessing Non-Response Bias</w:t>
      </w:r>
    </w:p>
    <w:p w14:paraId="45A38288" w14:textId="77777777" w:rsidR="00B93D3C" w:rsidRDefault="00B93D3C" w:rsidP="00B93D3C">
      <w:pPr>
        <w:tabs>
          <w:tab w:val="left" w:pos="2880"/>
        </w:tabs>
        <w:spacing w:before="120"/>
      </w:pPr>
      <w:r>
        <w:t xml:space="preserve">The same procedures for assessing non-response bias that are currently used for enhanced SSuN population surveillance will be used for the proposed activity. Predictors with statistically significant effects will be used in the development of weight adjustment classes. Along with selection probabilities based on the sampling design, non-response data will factor into calculation of analytic weights so as to increase the generalizability of results to the universe of patients diagnosed with gonorrhea or early syphilis. </w:t>
      </w:r>
    </w:p>
    <w:p w14:paraId="2CD36729" w14:textId="77777777" w:rsidR="00B93D3C" w:rsidRDefault="00B93D3C" w:rsidP="00B93D3C">
      <w:pPr>
        <w:tabs>
          <w:tab w:val="left" w:pos="2880"/>
        </w:tabs>
        <w:spacing w:before="120"/>
      </w:pPr>
      <w:r>
        <w:t>Weights will be developed based on the assessment of non-response bias</w:t>
      </w:r>
      <w:r w:rsidR="004711C0">
        <w:t>.</w:t>
      </w:r>
      <w:r>
        <w:t xml:space="preserve"> In the analysis of non-response that was completed for the </w:t>
      </w:r>
      <w:r w:rsidR="004711C0">
        <w:t>enhanced SSuN cycle (2013-2018)</w:t>
      </w:r>
      <w:r>
        <w:t xml:space="preserve">, the most significant predictors of patient response were </w:t>
      </w:r>
      <w:r w:rsidR="004711C0">
        <w:t>jurisdiction, and gender</w:t>
      </w:r>
      <w:r>
        <w:t xml:space="preserve">. The ability to assess and adjust for nonresponse is a strength of </w:t>
      </w:r>
      <w:r w:rsidR="004711C0">
        <w:t>our project</w:t>
      </w:r>
      <w:r>
        <w:t xml:space="preserve"> that may compensate for lower than desired response r</w:t>
      </w:r>
      <w:r w:rsidR="004711C0">
        <w:t>ates</w:t>
      </w:r>
      <w:r>
        <w:t>.</w:t>
      </w:r>
    </w:p>
    <w:p w14:paraId="45295BDF" w14:textId="77777777" w:rsidR="00B93D3C" w:rsidRDefault="004711C0" w:rsidP="00B93D3C">
      <w:pPr>
        <w:tabs>
          <w:tab w:val="left" w:pos="2880"/>
        </w:tabs>
        <w:spacing w:before="120"/>
      </w:pPr>
      <w:r>
        <w:t>Interview success rates</w:t>
      </w:r>
      <w:r w:rsidR="00B93D3C">
        <w:t xml:space="preserve"> will be monitored through on-going data reports generated </w:t>
      </w:r>
      <w:r>
        <w:t>bi</w:t>
      </w:r>
      <w:r w:rsidR="00B93D3C">
        <w:t xml:space="preserve">monthly from the data submitted to CDC. The project area staff and CDC will use the data in these reports to identify problems with </w:t>
      </w:r>
      <w:r>
        <w:t>interview success</w:t>
      </w:r>
      <w:r w:rsidR="00B93D3C">
        <w:t xml:space="preserve">. </w:t>
      </w:r>
    </w:p>
    <w:p w14:paraId="5EB65AE4" w14:textId="77777777" w:rsidR="00B93D3C" w:rsidRDefault="00B93D3C" w:rsidP="00C77DD0">
      <w:pPr>
        <w:tabs>
          <w:tab w:val="left" w:pos="2880"/>
        </w:tabs>
        <w:spacing w:before="120"/>
      </w:pPr>
    </w:p>
    <w:p w14:paraId="14C9D7B7" w14:textId="77777777" w:rsidR="00747884" w:rsidRPr="00010723" w:rsidRDefault="00D01186" w:rsidP="00C77DD0">
      <w:pPr>
        <w:spacing w:before="120" w:after="120"/>
        <w:rPr>
          <w:b/>
        </w:rPr>
      </w:pPr>
      <w:r w:rsidRPr="00010723">
        <w:rPr>
          <w:b/>
        </w:rPr>
        <w:t xml:space="preserve">4. </w:t>
      </w:r>
      <w:bookmarkStart w:id="5" w:name="OLE_LINK11"/>
      <w:bookmarkStart w:id="6" w:name="OLE_LINK12"/>
      <w:r w:rsidRPr="00010723">
        <w:rPr>
          <w:b/>
        </w:rPr>
        <w:t>Test of Procedures or Methods to be Undertaken</w:t>
      </w:r>
      <w:bookmarkEnd w:id="5"/>
      <w:bookmarkEnd w:id="6"/>
    </w:p>
    <w:p w14:paraId="1E6536C3" w14:textId="77777777" w:rsidR="00C257CF" w:rsidRDefault="00933EF3" w:rsidP="00C77DD0">
      <w:pPr>
        <w:spacing w:before="120" w:after="120"/>
        <w:rPr>
          <w:i/>
        </w:rPr>
      </w:pPr>
      <w:r w:rsidRPr="00010723">
        <w:rPr>
          <w:i/>
        </w:rPr>
        <w:t>Facility</w:t>
      </w:r>
      <w:r w:rsidR="00C257CF" w:rsidRPr="00010723">
        <w:rPr>
          <w:i/>
        </w:rPr>
        <w:t>-based STD surveillance:</w:t>
      </w:r>
    </w:p>
    <w:p w14:paraId="2BF2A1EB" w14:textId="77777777" w:rsidR="001351E5" w:rsidRPr="001351E5" w:rsidRDefault="001351E5" w:rsidP="00C77DD0">
      <w:pPr>
        <w:spacing w:before="120"/>
      </w:pPr>
      <w:r w:rsidRPr="001351E5">
        <w:t>Enhanced SSuN will collect the results of multiple diagnostic tests, clinical procedures, and laboratory methods such as bacterial culture, gram stain, wet mount, nucleic acid amplification tests, pregnancy test, rapid HIV test, ELISA, Western blot.  The information received for this project reports the results carried out by the collaborating facilities as part of the routine clinical care of their patients.</w:t>
      </w:r>
    </w:p>
    <w:p w14:paraId="163A8E5D" w14:textId="77777777" w:rsidR="001C3B02" w:rsidRPr="00010723" w:rsidRDefault="001C3B02" w:rsidP="00C77DD0">
      <w:pPr>
        <w:spacing w:before="120"/>
        <w:rPr>
          <w:i/>
        </w:rPr>
      </w:pPr>
      <w:r w:rsidRPr="00010723">
        <w:rPr>
          <w:i/>
        </w:rPr>
        <w:t xml:space="preserve">Population-based </w:t>
      </w:r>
      <w:r w:rsidR="00CB27F5">
        <w:rPr>
          <w:i/>
        </w:rPr>
        <w:t xml:space="preserve">gonorrhea </w:t>
      </w:r>
      <w:r w:rsidRPr="00010723">
        <w:rPr>
          <w:i/>
        </w:rPr>
        <w:t>surveillance:</w:t>
      </w:r>
    </w:p>
    <w:p w14:paraId="5F743F07" w14:textId="77777777" w:rsidR="001351E5" w:rsidRDefault="004711C0" w:rsidP="00C77DD0">
      <w:pPr>
        <w:spacing w:before="120"/>
      </w:pPr>
      <w:r w:rsidRPr="004711C0">
        <w:t xml:space="preserve">Beginning in early 2013, CDC began an evaluation of the </w:t>
      </w:r>
      <w:r>
        <w:t xml:space="preserve">gonorrhea </w:t>
      </w:r>
      <w:r w:rsidRPr="004711C0">
        <w:t xml:space="preserve">interview template instrument that included consultation with external stakeholders, including grantees, subject matter experts, and colleagues from other federal agencies. The evaluation focused on examination of the relevance, coherence, and scientific contribution of interview questions. </w:t>
      </w:r>
      <w:r>
        <w:t xml:space="preserve">In addition, questions from </w:t>
      </w:r>
      <w:r w:rsidRPr="004711C0">
        <w:t xml:space="preserve">Behavioral Risk Factor Surveillance System </w:t>
      </w:r>
      <w:r>
        <w:t>(BRFSS), California Health Survey</w:t>
      </w:r>
      <w:r w:rsidRPr="001351E5">
        <w:t xml:space="preserve"> and </w:t>
      </w:r>
      <w:r>
        <w:t xml:space="preserve">other ongoing, or </w:t>
      </w:r>
      <w:r w:rsidRPr="001351E5">
        <w:t>previous CDC surveillance projects</w:t>
      </w:r>
      <w:r>
        <w:t xml:space="preserve"> were considered. </w:t>
      </w:r>
      <w:r w:rsidR="001351E5">
        <w:t xml:space="preserve"> Local s</w:t>
      </w:r>
      <w:r w:rsidR="001351E5" w:rsidRPr="001351E5">
        <w:t>taff</w:t>
      </w:r>
      <w:r w:rsidR="005570E8">
        <w:t xml:space="preserve"> extensively</w:t>
      </w:r>
      <w:r w:rsidR="001351E5" w:rsidRPr="001351E5">
        <w:t xml:space="preserve"> tested the skip patterns and responses using </w:t>
      </w:r>
      <w:r w:rsidR="001351E5">
        <w:t xml:space="preserve">a </w:t>
      </w:r>
      <w:r w:rsidR="001351E5" w:rsidRPr="001351E5">
        <w:t xml:space="preserve">paper version of the </w:t>
      </w:r>
      <w:r w:rsidR="001351E5">
        <w:t xml:space="preserve">interview </w:t>
      </w:r>
      <w:r w:rsidR="001351E5" w:rsidRPr="001351E5">
        <w:t>instrument</w:t>
      </w:r>
      <w:r w:rsidR="00365D40">
        <w:t xml:space="preserve"> prior to initial implementation</w:t>
      </w:r>
      <w:r w:rsidR="001351E5" w:rsidRPr="001351E5">
        <w:t>.</w:t>
      </w:r>
      <w:r w:rsidR="001351E5">
        <w:t xml:space="preserve"> </w:t>
      </w:r>
      <w:r w:rsidR="00365D40">
        <w:t>Experience in the field confirms that</w:t>
      </w:r>
      <w:r w:rsidR="001351E5">
        <w:t xml:space="preserve"> interviews</w:t>
      </w:r>
      <w:r w:rsidR="00365D40">
        <w:t xml:space="preserve"> take</w:t>
      </w:r>
      <w:r w:rsidR="001351E5">
        <w:t xml:space="preserve"> </w:t>
      </w:r>
      <w:r w:rsidR="001351E5" w:rsidRPr="001351E5">
        <w:t>approximately 10 minutes</w:t>
      </w:r>
      <w:r w:rsidR="001351E5">
        <w:t xml:space="preserve"> to complete. </w:t>
      </w:r>
    </w:p>
    <w:p w14:paraId="09A2E70F" w14:textId="77777777" w:rsidR="00A261CD" w:rsidRDefault="00A261CD" w:rsidP="00C77DD0">
      <w:pPr>
        <w:spacing w:before="120"/>
      </w:pPr>
    </w:p>
    <w:p w14:paraId="4986D30F" w14:textId="77777777" w:rsidR="00A261CD" w:rsidRPr="00010723" w:rsidRDefault="00A261CD" w:rsidP="00A261CD">
      <w:pPr>
        <w:spacing w:before="120"/>
        <w:rPr>
          <w:i/>
        </w:rPr>
      </w:pPr>
      <w:r w:rsidRPr="00010723">
        <w:rPr>
          <w:i/>
        </w:rPr>
        <w:t xml:space="preserve">Population-based </w:t>
      </w:r>
      <w:r w:rsidR="00CB27F5">
        <w:rPr>
          <w:i/>
        </w:rPr>
        <w:t xml:space="preserve">early syphilis </w:t>
      </w:r>
      <w:r w:rsidRPr="00010723">
        <w:rPr>
          <w:i/>
        </w:rPr>
        <w:t>surveillance:</w:t>
      </w:r>
    </w:p>
    <w:p w14:paraId="545BD185" w14:textId="77777777" w:rsidR="00A261CD" w:rsidRDefault="00A261CD" w:rsidP="00A261CD">
      <w:pPr>
        <w:spacing w:before="120"/>
      </w:pPr>
      <w:r w:rsidRPr="001351E5">
        <w:t xml:space="preserve">The </w:t>
      </w:r>
      <w:r>
        <w:t xml:space="preserve">neuro/ocular/otic syphilis interview </w:t>
      </w:r>
      <w:r w:rsidR="00E55BDE">
        <w:t>template</w:t>
      </w:r>
      <w:r w:rsidRPr="001351E5">
        <w:t xml:space="preserve"> w</w:t>
      </w:r>
      <w:r>
        <w:t>as</w:t>
      </w:r>
      <w:r w:rsidRPr="001351E5">
        <w:t xml:space="preserve"> developed </w:t>
      </w:r>
      <w:r w:rsidR="00CB5BF3">
        <w:t>by</w:t>
      </w:r>
      <w:r w:rsidRPr="001351E5">
        <w:t xml:space="preserve"> CDC</w:t>
      </w:r>
      <w:r w:rsidR="00CB5BF3">
        <w:t xml:space="preserve"> syphilis subject matter experts in collaboration with epidemiologists and disease intervention specialists in the participating jurisdictions.</w:t>
      </w:r>
      <w:r>
        <w:t xml:space="preserve"> Local s</w:t>
      </w:r>
      <w:r w:rsidRPr="001351E5">
        <w:t>taff</w:t>
      </w:r>
      <w:r>
        <w:t xml:space="preserve"> extensively</w:t>
      </w:r>
      <w:r w:rsidRPr="001351E5">
        <w:t xml:space="preserve"> tested responses using </w:t>
      </w:r>
      <w:r>
        <w:t xml:space="preserve">a </w:t>
      </w:r>
      <w:r w:rsidRPr="001351E5">
        <w:t xml:space="preserve">paper version of the </w:t>
      </w:r>
      <w:r>
        <w:t xml:space="preserve">interview </w:t>
      </w:r>
      <w:r w:rsidRPr="001351E5">
        <w:t>instrument</w:t>
      </w:r>
      <w:r>
        <w:t xml:space="preserve"> prior to initial implementation</w:t>
      </w:r>
      <w:r w:rsidRPr="001351E5">
        <w:t>.</w:t>
      </w:r>
      <w:r>
        <w:t xml:space="preserve"> Experience in the field confirms that </w:t>
      </w:r>
      <w:r w:rsidR="00CB5BF3">
        <w:t xml:space="preserve">the initial </w:t>
      </w:r>
      <w:r>
        <w:t>interview take</w:t>
      </w:r>
      <w:r w:rsidR="00E55BDE">
        <w:t>s</w:t>
      </w:r>
      <w:r>
        <w:t xml:space="preserve"> </w:t>
      </w:r>
      <w:r w:rsidRPr="001351E5">
        <w:t>approximately 10 minutes</w:t>
      </w:r>
      <w:r>
        <w:t xml:space="preserve"> to complete</w:t>
      </w:r>
      <w:r w:rsidR="00CB5BF3">
        <w:t xml:space="preserve"> and the follow-up interview routinely takes less than five minutes</w:t>
      </w:r>
      <w:r>
        <w:t>.</w:t>
      </w:r>
    </w:p>
    <w:p w14:paraId="6181CACF" w14:textId="77777777" w:rsidR="00A261CD" w:rsidRDefault="00A261CD" w:rsidP="00C77DD0">
      <w:pPr>
        <w:spacing w:before="120"/>
      </w:pPr>
    </w:p>
    <w:p w14:paraId="4B4E4BD4" w14:textId="77777777" w:rsidR="00D01186" w:rsidRDefault="00D01186" w:rsidP="00D01186">
      <w:pPr>
        <w:spacing w:before="120"/>
        <w:rPr>
          <w:b/>
        </w:rPr>
      </w:pPr>
      <w:r w:rsidRPr="00010723">
        <w:rPr>
          <w:b/>
        </w:rPr>
        <w:t>5. Individuals Consulted on Statistical Aspects and Individuals Collecting and/or Analyzing Data</w:t>
      </w:r>
    </w:p>
    <w:p w14:paraId="15BFDBAF" w14:textId="77777777" w:rsidR="00210166" w:rsidRDefault="004711C0" w:rsidP="001351E5">
      <w:pPr>
        <w:spacing w:before="120"/>
      </w:pPr>
      <w:r w:rsidRPr="004711C0">
        <w:t xml:space="preserve">The following individual </w:t>
      </w:r>
      <w:r w:rsidR="00E30E7E">
        <w:t xml:space="preserve">was </w:t>
      </w:r>
      <w:r w:rsidRPr="004711C0">
        <w:t>consulted on statistical aspects:</w:t>
      </w:r>
    </w:p>
    <w:p w14:paraId="7C5B8FFA" w14:textId="77777777" w:rsidR="00E30E7E" w:rsidRDefault="00E30E7E" w:rsidP="00E30E7E"/>
    <w:p w14:paraId="5FAF6DFE" w14:textId="77777777" w:rsidR="004711C0" w:rsidRDefault="00E30E7E" w:rsidP="00E30E7E">
      <w:r>
        <w:t>Joseph Kang, PhD</w:t>
      </w:r>
    </w:p>
    <w:p w14:paraId="681B92FF" w14:textId="77777777" w:rsidR="00E30E7E" w:rsidRDefault="00E30E7E" w:rsidP="00E30E7E">
      <w:r>
        <w:t>Statistics Team Lead, Epidemiology &amp; Statistics Branch</w:t>
      </w:r>
    </w:p>
    <w:p w14:paraId="04E325CB" w14:textId="77777777" w:rsidR="00E30E7E" w:rsidRDefault="00E30E7E" w:rsidP="00E30E7E">
      <w:r>
        <w:t>Division of STD Prevention</w:t>
      </w:r>
    </w:p>
    <w:p w14:paraId="192D9877" w14:textId="77777777" w:rsidR="00E30E7E" w:rsidRDefault="00E30E7E" w:rsidP="00E30E7E">
      <w:r>
        <w:t>Centers for Disease Control and Prevention</w:t>
      </w:r>
    </w:p>
    <w:p w14:paraId="053EDE28" w14:textId="77777777" w:rsidR="00E30E7E" w:rsidRDefault="00E30E7E" w:rsidP="00E30E7E">
      <w:r w:rsidRPr="00E30E7E">
        <w:t>1600 Clifton Rd, NE MS E-02</w:t>
      </w:r>
      <w:r>
        <w:t>, Atlanta, GA 30329</w:t>
      </w:r>
    </w:p>
    <w:p w14:paraId="57DD5E99" w14:textId="77777777" w:rsidR="00E30E7E" w:rsidRDefault="00E30E7E" w:rsidP="00E30E7E">
      <w:r>
        <w:t>Telephone: 404-639-2072</w:t>
      </w:r>
    </w:p>
    <w:p w14:paraId="62830B04" w14:textId="77777777" w:rsidR="00E30E7E" w:rsidRDefault="00E30E7E" w:rsidP="00E30E7E">
      <w:r>
        <w:t xml:space="preserve">Email: </w:t>
      </w:r>
      <w:hyperlink r:id="rId8" w:history="1">
        <w:r w:rsidRPr="00FD71F4">
          <w:rPr>
            <w:rStyle w:val="Hyperlink"/>
          </w:rPr>
          <w:t>yma9@cdc.gov</w:t>
        </w:r>
      </w:hyperlink>
    </w:p>
    <w:p w14:paraId="584A86D2" w14:textId="77777777" w:rsidR="00E30E7E" w:rsidRDefault="00E30E7E" w:rsidP="00E30E7E"/>
    <w:p w14:paraId="3E23157C" w14:textId="77777777" w:rsidR="00E30E7E" w:rsidRDefault="00E30E7E" w:rsidP="00E30E7E">
      <w:pPr>
        <w:spacing w:before="120"/>
      </w:pPr>
      <w:r>
        <w:t>Individuals Collecting and/or Analyzing Data</w:t>
      </w:r>
    </w:p>
    <w:p w14:paraId="62FBFECD" w14:textId="77777777" w:rsidR="00E30E7E" w:rsidRDefault="00E30E7E" w:rsidP="00E30E7E">
      <w:pPr>
        <w:spacing w:before="120"/>
      </w:pPr>
      <w:r>
        <w:t>CDC is not directly engaged with human subjects during data collection. However, CDC Project Staff below will monitor interview success rates by health department staff, and analyze the data.</w:t>
      </w:r>
    </w:p>
    <w:p w14:paraId="786AE69F" w14:textId="77777777" w:rsidR="00E30E7E" w:rsidRDefault="00E30E7E" w:rsidP="00E30E7E"/>
    <w:p w14:paraId="381E4E09" w14:textId="77777777" w:rsidR="00E30E7E" w:rsidRDefault="00E30E7E" w:rsidP="00E30E7E">
      <w:r>
        <w:t>CDC Project Staff</w:t>
      </w:r>
    </w:p>
    <w:p w14:paraId="7DA474E0" w14:textId="77777777" w:rsidR="00E30E7E" w:rsidRDefault="00E30E7E" w:rsidP="00E30E7E">
      <w:r>
        <w:t xml:space="preserve">All CDC project staff can be reached at the following address and phone number: </w:t>
      </w:r>
    </w:p>
    <w:p w14:paraId="2924ABC3" w14:textId="77777777" w:rsidR="00E30E7E" w:rsidRDefault="00E30E7E" w:rsidP="00E30E7E">
      <w:r>
        <w:t>Surveillance and Data Management Branch</w:t>
      </w:r>
    </w:p>
    <w:p w14:paraId="7EDE3160" w14:textId="77777777" w:rsidR="00E30E7E" w:rsidRDefault="00E30E7E" w:rsidP="00E30E7E">
      <w:r>
        <w:t>Division of STD Prevention</w:t>
      </w:r>
    </w:p>
    <w:p w14:paraId="2D193267" w14:textId="77777777" w:rsidR="00E30E7E" w:rsidRDefault="00E30E7E" w:rsidP="00E30E7E">
      <w:r>
        <w:t>Centers for Disease Control and Prevention</w:t>
      </w:r>
    </w:p>
    <w:p w14:paraId="3AAF5D14" w14:textId="77777777" w:rsidR="00E30E7E" w:rsidRDefault="00E30E7E" w:rsidP="00E30E7E">
      <w:r>
        <w:t>1600 Clifton Rd, NE MS E-02</w:t>
      </w:r>
    </w:p>
    <w:p w14:paraId="7492A2ED" w14:textId="77777777" w:rsidR="00E30E7E" w:rsidRDefault="00E30E7E" w:rsidP="00E30E7E">
      <w:r>
        <w:t>Atlanta, GA 30333</w:t>
      </w:r>
    </w:p>
    <w:p w14:paraId="3881560F" w14:textId="77777777" w:rsidR="00E30E7E" w:rsidRDefault="00E30E7E" w:rsidP="00E30E7E">
      <w:r>
        <w:t>Phone: (404) 639-1800</w:t>
      </w:r>
    </w:p>
    <w:p w14:paraId="54CF4FF2" w14:textId="77777777" w:rsidR="00E30E7E" w:rsidRDefault="00E30E7E" w:rsidP="00E30E7E"/>
    <w:tbl>
      <w:tblPr>
        <w:tblW w:w="0" w:type="auto"/>
        <w:tblLook w:val="04A0" w:firstRow="1" w:lastRow="0" w:firstColumn="1" w:lastColumn="0" w:noHBand="0" w:noVBand="1"/>
      </w:tblPr>
      <w:tblGrid>
        <w:gridCol w:w="4682"/>
        <w:gridCol w:w="4678"/>
      </w:tblGrid>
      <w:tr w:rsidR="00E30E7E" w:rsidRPr="00E30E7E" w14:paraId="2A904907" w14:textId="77777777" w:rsidTr="00D53363">
        <w:tc>
          <w:tcPr>
            <w:tcW w:w="4682" w:type="dxa"/>
            <w:shd w:val="clear" w:color="auto" w:fill="auto"/>
          </w:tcPr>
          <w:p w14:paraId="303AD03B" w14:textId="77777777" w:rsidR="00E30E7E" w:rsidRDefault="00E30E7E" w:rsidP="00E30E7E">
            <w:r>
              <w:t>Hillard Weinstock</w:t>
            </w:r>
          </w:p>
          <w:p w14:paraId="5B532EB0" w14:textId="77777777" w:rsidR="00E30E7E" w:rsidRDefault="00E30E7E" w:rsidP="00E30E7E">
            <w:r>
              <w:t>Branch Chief, Surveillance and Data Management Branch</w:t>
            </w:r>
          </w:p>
          <w:p w14:paraId="21330C2D" w14:textId="77777777" w:rsidR="00E30E7E" w:rsidRDefault="00E30E7E" w:rsidP="00E30E7E">
            <w:r w:rsidRPr="00E30E7E">
              <w:t xml:space="preserve">Email: </w:t>
            </w:r>
            <w:hyperlink r:id="rId9" w:history="1">
              <w:r w:rsidRPr="00FD71F4">
                <w:rPr>
                  <w:rStyle w:val="Hyperlink"/>
                </w:rPr>
                <w:t>hsw2@cdc.gov</w:t>
              </w:r>
            </w:hyperlink>
          </w:p>
          <w:p w14:paraId="3E66E5F3" w14:textId="77777777" w:rsidR="00E30E7E" w:rsidRPr="00E30E7E" w:rsidRDefault="00E30E7E" w:rsidP="00E30E7E"/>
          <w:p w14:paraId="0C907FAF" w14:textId="77777777" w:rsidR="00E30E7E" w:rsidRPr="00E30E7E" w:rsidRDefault="00E30E7E" w:rsidP="00E30E7E"/>
        </w:tc>
        <w:tc>
          <w:tcPr>
            <w:tcW w:w="4678" w:type="dxa"/>
            <w:shd w:val="clear" w:color="auto" w:fill="auto"/>
          </w:tcPr>
          <w:p w14:paraId="1E7F1F56" w14:textId="77777777" w:rsidR="00E30E7E" w:rsidRPr="00E30E7E" w:rsidRDefault="00E30E7E" w:rsidP="00E30E7E">
            <w:r>
              <w:t>Mark Stenger</w:t>
            </w:r>
          </w:p>
          <w:p w14:paraId="0DE1FA04" w14:textId="77777777" w:rsidR="00E30E7E" w:rsidRPr="00E30E7E" w:rsidRDefault="00E30E7E" w:rsidP="00E30E7E">
            <w:r w:rsidRPr="00E30E7E">
              <w:t>Epidemiologist</w:t>
            </w:r>
          </w:p>
          <w:p w14:paraId="314121C7" w14:textId="77777777" w:rsidR="00E30E7E" w:rsidRDefault="00E30E7E" w:rsidP="00E30E7E">
            <w:r w:rsidRPr="00E30E7E">
              <w:t xml:space="preserve">Email: </w:t>
            </w:r>
            <w:hyperlink r:id="rId10" w:history="1">
              <w:r w:rsidRPr="00FD71F4">
                <w:rPr>
                  <w:rStyle w:val="Hyperlink"/>
                </w:rPr>
                <w:t>zpl4@cdc.gov</w:t>
              </w:r>
            </w:hyperlink>
          </w:p>
          <w:p w14:paraId="2AB99D38" w14:textId="77777777" w:rsidR="00E30E7E" w:rsidRPr="00E30E7E" w:rsidRDefault="00E30E7E" w:rsidP="00E30E7E"/>
          <w:p w14:paraId="2DD14396" w14:textId="77777777" w:rsidR="00E30E7E" w:rsidRPr="00E30E7E" w:rsidRDefault="00E30E7E" w:rsidP="00E30E7E"/>
          <w:p w14:paraId="501AADF4" w14:textId="77777777" w:rsidR="00E30E7E" w:rsidRPr="00E30E7E" w:rsidRDefault="00E30E7E" w:rsidP="00E30E7E"/>
        </w:tc>
      </w:tr>
      <w:tr w:rsidR="00E30E7E" w:rsidRPr="00E30E7E" w14:paraId="5FCC20A9" w14:textId="77777777" w:rsidTr="00D53363">
        <w:tc>
          <w:tcPr>
            <w:tcW w:w="4682" w:type="dxa"/>
            <w:shd w:val="clear" w:color="auto" w:fill="auto"/>
          </w:tcPr>
          <w:p w14:paraId="7C4E4DC8" w14:textId="77777777" w:rsidR="00E30E7E" w:rsidRPr="00E30E7E" w:rsidRDefault="00E30E7E" w:rsidP="00E30E7E">
            <w:r>
              <w:t>Eloisa Llata</w:t>
            </w:r>
            <w:r w:rsidRPr="00E30E7E">
              <w:t xml:space="preserve">, </w:t>
            </w:r>
            <w:r>
              <w:t>MD MPH</w:t>
            </w:r>
          </w:p>
          <w:p w14:paraId="630AF35B" w14:textId="77777777" w:rsidR="00E30E7E" w:rsidRPr="00E30E7E" w:rsidRDefault="00E30E7E" w:rsidP="00E30E7E">
            <w:r>
              <w:t xml:space="preserve">Medical </w:t>
            </w:r>
            <w:r w:rsidRPr="00E30E7E">
              <w:t>Epidemiologist</w:t>
            </w:r>
          </w:p>
          <w:p w14:paraId="3626D415" w14:textId="77777777" w:rsidR="00E30E7E" w:rsidRDefault="00E30E7E" w:rsidP="00E30E7E">
            <w:r w:rsidRPr="00E30E7E">
              <w:t xml:space="preserve">Email: </w:t>
            </w:r>
            <w:hyperlink r:id="rId11" w:history="1">
              <w:r w:rsidRPr="00FD71F4">
                <w:rPr>
                  <w:rStyle w:val="Hyperlink"/>
                </w:rPr>
                <w:t>gge3@cdc.gov</w:t>
              </w:r>
            </w:hyperlink>
          </w:p>
          <w:p w14:paraId="0AA3044C" w14:textId="77777777" w:rsidR="00E30E7E" w:rsidRPr="00E30E7E" w:rsidRDefault="00E30E7E" w:rsidP="00E30E7E"/>
          <w:p w14:paraId="2AE882D8" w14:textId="77777777" w:rsidR="00E30E7E" w:rsidRPr="00E30E7E" w:rsidRDefault="00E30E7E" w:rsidP="00E30E7E"/>
        </w:tc>
        <w:tc>
          <w:tcPr>
            <w:tcW w:w="4678" w:type="dxa"/>
            <w:shd w:val="clear" w:color="auto" w:fill="auto"/>
          </w:tcPr>
          <w:p w14:paraId="34F06AE4" w14:textId="77777777" w:rsidR="00E30E7E" w:rsidRDefault="00E30E7E" w:rsidP="00E30E7E">
            <w:r>
              <w:t xml:space="preserve">Elizabeth Torrone </w:t>
            </w:r>
          </w:p>
          <w:p w14:paraId="06417F2E" w14:textId="77777777" w:rsidR="00E30E7E" w:rsidRDefault="00E30E7E" w:rsidP="00E30E7E">
            <w:r>
              <w:t>Team Lead, Surveillance and Special Studies</w:t>
            </w:r>
          </w:p>
          <w:p w14:paraId="19B8ACBA" w14:textId="77777777" w:rsidR="00E30E7E" w:rsidRDefault="00E30E7E" w:rsidP="00E30E7E">
            <w:r w:rsidRPr="00E30E7E">
              <w:t xml:space="preserve">Email: </w:t>
            </w:r>
            <w:hyperlink r:id="rId12" w:history="1">
              <w:r w:rsidRPr="00FD71F4">
                <w:rPr>
                  <w:rStyle w:val="Hyperlink"/>
                </w:rPr>
                <w:t>igf0@cdc.gov</w:t>
              </w:r>
            </w:hyperlink>
          </w:p>
          <w:p w14:paraId="5CC72B11" w14:textId="77777777" w:rsidR="00E30E7E" w:rsidRPr="00E30E7E" w:rsidRDefault="00E30E7E" w:rsidP="00E30E7E"/>
        </w:tc>
      </w:tr>
      <w:tr w:rsidR="00E30E7E" w:rsidRPr="00E30E7E" w14:paraId="6E20E5B3" w14:textId="77777777" w:rsidTr="00D53363">
        <w:tc>
          <w:tcPr>
            <w:tcW w:w="4682" w:type="dxa"/>
            <w:shd w:val="clear" w:color="auto" w:fill="auto"/>
          </w:tcPr>
          <w:p w14:paraId="350DEC68" w14:textId="77777777" w:rsidR="00E30E7E" w:rsidRDefault="00E30E7E" w:rsidP="00E30E7E">
            <w:r>
              <w:t xml:space="preserve">Jim Braxton </w:t>
            </w:r>
          </w:p>
          <w:p w14:paraId="723312AB" w14:textId="77777777" w:rsidR="00E30E7E" w:rsidRDefault="00D53363" w:rsidP="00E30E7E">
            <w:r>
              <w:t>Data Manager</w:t>
            </w:r>
          </w:p>
          <w:p w14:paraId="2C600F80" w14:textId="77777777" w:rsidR="00E30E7E" w:rsidRDefault="00E30E7E" w:rsidP="00E30E7E">
            <w:r>
              <w:t xml:space="preserve">Email: </w:t>
            </w:r>
            <w:hyperlink r:id="rId13" w:history="1">
              <w:r w:rsidR="00D53363" w:rsidRPr="00FD71F4">
                <w:rPr>
                  <w:rStyle w:val="Hyperlink"/>
                </w:rPr>
                <w:t>hzb8@cdc.gov</w:t>
              </w:r>
            </w:hyperlink>
          </w:p>
          <w:p w14:paraId="7C3F7232" w14:textId="77777777" w:rsidR="00D53363" w:rsidRPr="00E30E7E" w:rsidRDefault="00D53363" w:rsidP="00E30E7E"/>
        </w:tc>
        <w:tc>
          <w:tcPr>
            <w:tcW w:w="4678" w:type="dxa"/>
            <w:shd w:val="clear" w:color="auto" w:fill="auto"/>
          </w:tcPr>
          <w:p w14:paraId="290CDA0F" w14:textId="77777777" w:rsidR="00D53363" w:rsidRDefault="00D53363" w:rsidP="00D53363">
            <w:r>
              <w:t xml:space="preserve">LaZetta Grier </w:t>
            </w:r>
          </w:p>
          <w:p w14:paraId="6D162885" w14:textId="77777777" w:rsidR="00D53363" w:rsidRDefault="00D53363" w:rsidP="00D53363">
            <w:r>
              <w:t>Data Manager</w:t>
            </w:r>
          </w:p>
          <w:p w14:paraId="061D6391" w14:textId="77777777" w:rsidR="00E30E7E" w:rsidRDefault="00D53363" w:rsidP="00D53363">
            <w:r>
              <w:t xml:space="preserve">Email: </w:t>
            </w:r>
            <w:hyperlink r:id="rId14" w:history="1">
              <w:r w:rsidRPr="00FD71F4">
                <w:rPr>
                  <w:rStyle w:val="Hyperlink"/>
                </w:rPr>
                <w:t>lig9@cdc.gov</w:t>
              </w:r>
            </w:hyperlink>
          </w:p>
          <w:p w14:paraId="30815EDC" w14:textId="77777777" w:rsidR="00D53363" w:rsidRPr="00E30E7E" w:rsidRDefault="00D53363" w:rsidP="00D53363"/>
        </w:tc>
      </w:tr>
      <w:tr w:rsidR="00E30E7E" w:rsidRPr="00E30E7E" w14:paraId="3D36FF8A" w14:textId="77777777" w:rsidTr="00D53363">
        <w:tc>
          <w:tcPr>
            <w:tcW w:w="4682" w:type="dxa"/>
            <w:shd w:val="clear" w:color="auto" w:fill="auto"/>
          </w:tcPr>
          <w:p w14:paraId="7F1904AD" w14:textId="77777777" w:rsidR="00D53363" w:rsidRDefault="00D53363" w:rsidP="00D53363">
            <w:r>
              <w:t>Rodney Presley</w:t>
            </w:r>
          </w:p>
          <w:p w14:paraId="7DD55C67" w14:textId="77777777" w:rsidR="00D53363" w:rsidRDefault="00D53363" w:rsidP="00D53363">
            <w:r>
              <w:t>Team Lead, Data Management Team</w:t>
            </w:r>
          </w:p>
          <w:p w14:paraId="7D46C97C" w14:textId="77777777" w:rsidR="00E30E7E" w:rsidRDefault="00D53363" w:rsidP="00D53363">
            <w:r>
              <w:t xml:space="preserve">Email: </w:t>
            </w:r>
            <w:hyperlink r:id="rId15" w:history="1">
              <w:r w:rsidRPr="00FD71F4">
                <w:rPr>
                  <w:rStyle w:val="Hyperlink"/>
                </w:rPr>
                <w:t>exo8@cdc.gov</w:t>
              </w:r>
            </w:hyperlink>
          </w:p>
          <w:p w14:paraId="1FAC93CF" w14:textId="77777777" w:rsidR="00D53363" w:rsidRPr="00E30E7E" w:rsidRDefault="00D53363" w:rsidP="00D53363"/>
        </w:tc>
        <w:tc>
          <w:tcPr>
            <w:tcW w:w="4678" w:type="dxa"/>
            <w:shd w:val="clear" w:color="auto" w:fill="auto"/>
          </w:tcPr>
          <w:p w14:paraId="3AAF261F" w14:textId="77777777" w:rsidR="00E30E7E" w:rsidRPr="00E30E7E" w:rsidRDefault="00D53363" w:rsidP="00E30E7E">
            <w:r>
              <w:t>Brian Emerson</w:t>
            </w:r>
          </w:p>
          <w:p w14:paraId="6C563665" w14:textId="77777777" w:rsidR="00E30E7E" w:rsidRPr="00E30E7E" w:rsidRDefault="00D53363" w:rsidP="00E30E7E">
            <w:r>
              <w:t>ORISE Fellow</w:t>
            </w:r>
          </w:p>
          <w:p w14:paraId="4271B74E" w14:textId="77777777" w:rsidR="00E30E7E" w:rsidRDefault="00E30E7E" w:rsidP="00D53363">
            <w:r w:rsidRPr="00E30E7E">
              <w:t xml:space="preserve">Email: </w:t>
            </w:r>
            <w:hyperlink r:id="rId16" w:history="1">
              <w:r w:rsidR="00D53363" w:rsidRPr="00FD71F4">
                <w:rPr>
                  <w:rStyle w:val="Hyperlink"/>
                </w:rPr>
                <w:t>nsy2@cdc.gov</w:t>
              </w:r>
            </w:hyperlink>
          </w:p>
          <w:p w14:paraId="1F91F37F" w14:textId="77777777" w:rsidR="00D53363" w:rsidRPr="00E30E7E" w:rsidRDefault="00D53363" w:rsidP="00D53363"/>
        </w:tc>
      </w:tr>
      <w:tr w:rsidR="00D53363" w:rsidRPr="00E30E7E" w14:paraId="5803EF8C" w14:textId="77777777" w:rsidTr="00D53363">
        <w:tc>
          <w:tcPr>
            <w:tcW w:w="4682" w:type="dxa"/>
            <w:shd w:val="clear" w:color="auto" w:fill="auto"/>
          </w:tcPr>
          <w:p w14:paraId="01F63803" w14:textId="77777777" w:rsidR="00D53363" w:rsidRDefault="00D53363" w:rsidP="00D53363">
            <w:r>
              <w:t>Tremeka Sanders</w:t>
            </w:r>
          </w:p>
          <w:p w14:paraId="5DCF8DA0" w14:textId="77777777" w:rsidR="00D53363" w:rsidRDefault="00D53363" w:rsidP="00D53363">
            <w:r>
              <w:t>Contractor</w:t>
            </w:r>
          </w:p>
          <w:p w14:paraId="7E79185A" w14:textId="77777777" w:rsidR="00D53363" w:rsidRDefault="00D53363" w:rsidP="00D53363">
            <w:r>
              <w:t xml:space="preserve">Email: </w:t>
            </w:r>
            <w:hyperlink r:id="rId17" w:history="1">
              <w:r w:rsidRPr="00FD71F4">
                <w:rPr>
                  <w:rStyle w:val="Hyperlink"/>
                </w:rPr>
                <w:t>tnr4@cdc.gov</w:t>
              </w:r>
            </w:hyperlink>
          </w:p>
          <w:p w14:paraId="06A834C0" w14:textId="77777777" w:rsidR="00D53363" w:rsidRDefault="00D53363" w:rsidP="00D53363"/>
        </w:tc>
        <w:tc>
          <w:tcPr>
            <w:tcW w:w="4678" w:type="dxa"/>
            <w:shd w:val="clear" w:color="auto" w:fill="auto"/>
          </w:tcPr>
          <w:p w14:paraId="7DFC6D8F" w14:textId="77777777" w:rsidR="00D53363" w:rsidRDefault="00D53363" w:rsidP="00E30E7E"/>
        </w:tc>
      </w:tr>
    </w:tbl>
    <w:p w14:paraId="2A09BD94" w14:textId="77777777" w:rsidR="00F70F16" w:rsidRPr="00010723" w:rsidRDefault="00365D40" w:rsidP="0089050E">
      <w:r>
        <w:t xml:space="preserve">Current </w:t>
      </w:r>
      <w:r w:rsidR="00265930">
        <w:t>e</w:t>
      </w:r>
      <w:r w:rsidR="00D53363">
        <w:t xml:space="preserve">nhanced </w:t>
      </w:r>
      <w:r w:rsidR="00265930">
        <w:t xml:space="preserve">SSuN </w:t>
      </w:r>
      <w:r>
        <w:t>Awardees</w:t>
      </w:r>
      <w:r w:rsidR="00750807">
        <w:t>:</w:t>
      </w:r>
    </w:p>
    <w:p w14:paraId="52BAA9EF" w14:textId="77777777" w:rsidR="0000444B" w:rsidRPr="00010723" w:rsidRDefault="0000444B" w:rsidP="0089050E">
      <w:pPr>
        <w:numPr>
          <w:ilvl w:val="0"/>
          <w:numId w:val="11"/>
        </w:numPr>
      </w:pPr>
      <w:r w:rsidRPr="00010723">
        <w:t>Baltimore City Health Department</w:t>
      </w:r>
    </w:p>
    <w:p w14:paraId="5E16277D" w14:textId="77777777" w:rsidR="00010723" w:rsidRPr="00010723" w:rsidRDefault="00010723" w:rsidP="0089050E">
      <w:pPr>
        <w:numPr>
          <w:ilvl w:val="0"/>
          <w:numId w:val="11"/>
        </w:numPr>
      </w:pPr>
      <w:r w:rsidRPr="00010723">
        <w:t xml:space="preserve">California Department of Public Health </w:t>
      </w:r>
    </w:p>
    <w:p w14:paraId="12F5D54F" w14:textId="77777777" w:rsidR="00010723" w:rsidRPr="00010723" w:rsidRDefault="00010723" w:rsidP="0089050E">
      <w:pPr>
        <w:numPr>
          <w:ilvl w:val="0"/>
          <w:numId w:val="11"/>
        </w:numPr>
      </w:pPr>
      <w:r w:rsidRPr="00010723">
        <w:t xml:space="preserve">Florida Department of Health </w:t>
      </w:r>
    </w:p>
    <w:p w14:paraId="7C04E494" w14:textId="77777777" w:rsidR="00010723" w:rsidRPr="00010723" w:rsidRDefault="00010723" w:rsidP="0089050E">
      <w:pPr>
        <w:numPr>
          <w:ilvl w:val="0"/>
          <w:numId w:val="11"/>
        </w:numPr>
      </w:pPr>
      <w:r w:rsidRPr="00010723">
        <w:t>Massachusetts Department of Public Health</w:t>
      </w:r>
    </w:p>
    <w:p w14:paraId="62C1FA66" w14:textId="77777777" w:rsidR="00641656" w:rsidRPr="00010723" w:rsidRDefault="00010723" w:rsidP="0089050E">
      <w:pPr>
        <w:numPr>
          <w:ilvl w:val="0"/>
          <w:numId w:val="11"/>
        </w:numPr>
      </w:pPr>
      <w:r w:rsidRPr="00010723">
        <w:t>Minnesota Department of Health</w:t>
      </w:r>
    </w:p>
    <w:p w14:paraId="46B005FA" w14:textId="77777777" w:rsidR="00010723" w:rsidRPr="00010723" w:rsidRDefault="00010723" w:rsidP="0089050E">
      <w:pPr>
        <w:numPr>
          <w:ilvl w:val="0"/>
          <w:numId w:val="11"/>
        </w:numPr>
      </w:pPr>
      <w:r w:rsidRPr="00010723">
        <w:t xml:space="preserve">Multnomah County Health Department </w:t>
      </w:r>
    </w:p>
    <w:p w14:paraId="69E22960" w14:textId="77777777" w:rsidR="00641656" w:rsidRPr="00010723" w:rsidRDefault="00641656" w:rsidP="0089050E">
      <w:pPr>
        <w:numPr>
          <w:ilvl w:val="0"/>
          <w:numId w:val="11"/>
        </w:numPr>
      </w:pPr>
      <w:r w:rsidRPr="00010723">
        <w:t>New York City Department of Health and Mental Hygiene</w:t>
      </w:r>
    </w:p>
    <w:p w14:paraId="245A34BF" w14:textId="77777777" w:rsidR="00641656" w:rsidRPr="00010723" w:rsidRDefault="00641656" w:rsidP="0089050E">
      <w:pPr>
        <w:numPr>
          <w:ilvl w:val="0"/>
          <w:numId w:val="11"/>
        </w:numPr>
      </w:pPr>
      <w:r w:rsidRPr="00010723">
        <w:t>Philadelphia Department of Public Health</w:t>
      </w:r>
    </w:p>
    <w:p w14:paraId="33A65A4E" w14:textId="77777777" w:rsidR="00010723" w:rsidRPr="00010723" w:rsidRDefault="00010723" w:rsidP="0089050E">
      <w:pPr>
        <w:numPr>
          <w:ilvl w:val="0"/>
          <w:numId w:val="11"/>
        </w:numPr>
      </w:pPr>
      <w:r w:rsidRPr="00010723">
        <w:t>San Francisco Department of Public Health</w:t>
      </w:r>
    </w:p>
    <w:p w14:paraId="0FE330CA" w14:textId="77777777" w:rsidR="00641656" w:rsidRPr="00010723" w:rsidRDefault="00641656" w:rsidP="0089050E">
      <w:pPr>
        <w:numPr>
          <w:ilvl w:val="0"/>
          <w:numId w:val="11"/>
        </w:numPr>
      </w:pPr>
      <w:r w:rsidRPr="00010723">
        <w:t>Washington State Department of Health</w:t>
      </w:r>
    </w:p>
    <w:p w14:paraId="19D36FAE" w14:textId="77777777" w:rsidR="0000444B" w:rsidRDefault="0000444B" w:rsidP="0089050E"/>
    <w:p w14:paraId="5F7025D3" w14:textId="77777777" w:rsidR="008F7B39" w:rsidRDefault="008F7B39" w:rsidP="0089050E"/>
    <w:sectPr w:rsidR="008F7B39" w:rsidSect="00DA31C4">
      <w:footerReference w:type="even" r:id="rId18"/>
      <w:footerReference w:type="default" r:id="rId19"/>
      <w:footerReference w:type="first" r:id="rId20"/>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12283" w14:textId="77777777" w:rsidR="00E30E7E" w:rsidRDefault="00E30E7E">
      <w:r>
        <w:separator/>
      </w:r>
    </w:p>
  </w:endnote>
  <w:endnote w:type="continuationSeparator" w:id="0">
    <w:p w14:paraId="355ECCA3" w14:textId="77777777" w:rsidR="00E30E7E" w:rsidRDefault="00E3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9A7B6" w14:textId="77777777" w:rsidR="00E30E7E" w:rsidRDefault="00E30E7E" w:rsidP="00970F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93A1E5" w14:textId="77777777" w:rsidR="00E30E7E" w:rsidRDefault="00E30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61C26" w14:textId="1F34F2F6" w:rsidR="00E30E7E" w:rsidRDefault="00E30E7E">
    <w:pPr>
      <w:pStyle w:val="Footer"/>
      <w:jc w:val="center"/>
    </w:pPr>
    <w:r>
      <w:fldChar w:fldCharType="begin"/>
    </w:r>
    <w:r>
      <w:instrText xml:space="preserve"> PAGE   \* MERGEFORMAT </w:instrText>
    </w:r>
    <w:r>
      <w:fldChar w:fldCharType="separate"/>
    </w:r>
    <w:r w:rsidR="00C66F8E">
      <w:rPr>
        <w:noProof/>
      </w:rPr>
      <w:t>2</w:t>
    </w:r>
    <w:r>
      <w:rPr>
        <w:noProof/>
      </w:rPr>
      <w:fldChar w:fldCharType="end"/>
    </w:r>
  </w:p>
  <w:p w14:paraId="6E32EB44" w14:textId="77777777" w:rsidR="00E30E7E" w:rsidRDefault="00E30E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98D2A" w14:textId="374EADEB" w:rsidR="00E30E7E" w:rsidRDefault="00E30E7E">
    <w:pPr>
      <w:pStyle w:val="Footer"/>
      <w:jc w:val="center"/>
    </w:pPr>
    <w:r>
      <w:fldChar w:fldCharType="begin"/>
    </w:r>
    <w:r>
      <w:instrText xml:space="preserve"> PAGE   \* MERGEFORMAT </w:instrText>
    </w:r>
    <w:r>
      <w:fldChar w:fldCharType="separate"/>
    </w:r>
    <w:r w:rsidR="00C66F8E">
      <w:rPr>
        <w:noProof/>
      </w:rPr>
      <w:t>1</w:t>
    </w:r>
    <w:r>
      <w:rPr>
        <w:noProof/>
      </w:rPr>
      <w:fldChar w:fldCharType="end"/>
    </w:r>
  </w:p>
  <w:p w14:paraId="16097567" w14:textId="77777777" w:rsidR="00E30E7E" w:rsidRDefault="00E30E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71A43" w14:textId="77777777" w:rsidR="00E30E7E" w:rsidRDefault="00E30E7E">
      <w:r>
        <w:separator/>
      </w:r>
    </w:p>
  </w:footnote>
  <w:footnote w:type="continuationSeparator" w:id="0">
    <w:p w14:paraId="140DE405" w14:textId="77777777" w:rsidR="00E30E7E" w:rsidRDefault="00E30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0725"/>
    <w:multiLevelType w:val="hybridMultilevel"/>
    <w:tmpl w:val="75909F04"/>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7D0E8B"/>
    <w:multiLevelType w:val="hybridMultilevel"/>
    <w:tmpl w:val="E10885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D300D1"/>
    <w:multiLevelType w:val="hybridMultilevel"/>
    <w:tmpl w:val="4A88C8A8"/>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A58A4870">
      <w:start w:val="1"/>
      <w:numFmt w:val="bullet"/>
      <w:lvlText w:val="o"/>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6908A2"/>
    <w:multiLevelType w:val="hybridMultilevel"/>
    <w:tmpl w:val="22A47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A31780"/>
    <w:multiLevelType w:val="hybridMultilevel"/>
    <w:tmpl w:val="87AA084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F36873"/>
    <w:multiLevelType w:val="hybridMultilevel"/>
    <w:tmpl w:val="244A8E1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B67884"/>
    <w:multiLevelType w:val="hybridMultilevel"/>
    <w:tmpl w:val="42C28D70"/>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821A41"/>
    <w:multiLevelType w:val="hybridMultilevel"/>
    <w:tmpl w:val="EAC8BF4E"/>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1C0FEC"/>
    <w:multiLevelType w:val="hybridMultilevel"/>
    <w:tmpl w:val="E2DA54BC"/>
    <w:lvl w:ilvl="0" w:tplc="A58A4870">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9">
    <w:nsid w:val="69BB0887"/>
    <w:multiLevelType w:val="hybridMultilevel"/>
    <w:tmpl w:val="16E6DD3E"/>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4093DF5"/>
    <w:multiLevelType w:val="hybridMultilevel"/>
    <w:tmpl w:val="415E029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2"/>
  </w:num>
  <w:num w:numId="4">
    <w:abstractNumId w:val="4"/>
  </w:num>
  <w:num w:numId="5">
    <w:abstractNumId w:val="10"/>
  </w:num>
  <w:num w:numId="6">
    <w:abstractNumId w:val="9"/>
  </w:num>
  <w:num w:numId="7">
    <w:abstractNumId w:val="6"/>
  </w:num>
  <w:num w:numId="8">
    <w:abstractNumId w:val="8"/>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186"/>
    <w:rsid w:val="0000072D"/>
    <w:rsid w:val="0000444B"/>
    <w:rsid w:val="00010723"/>
    <w:rsid w:val="00012E3A"/>
    <w:rsid w:val="00014EC2"/>
    <w:rsid w:val="0001738A"/>
    <w:rsid w:val="00017CA2"/>
    <w:rsid w:val="0002449C"/>
    <w:rsid w:val="000260F7"/>
    <w:rsid w:val="0004154E"/>
    <w:rsid w:val="00045DBA"/>
    <w:rsid w:val="0004797D"/>
    <w:rsid w:val="0005654C"/>
    <w:rsid w:val="00057CA8"/>
    <w:rsid w:val="00057F46"/>
    <w:rsid w:val="00063264"/>
    <w:rsid w:val="00071005"/>
    <w:rsid w:val="00082FDD"/>
    <w:rsid w:val="00094732"/>
    <w:rsid w:val="000959D4"/>
    <w:rsid w:val="00096E3A"/>
    <w:rsid w:val="000A071E"/>
    <w:rsid w:val="000A697D"/>
    <w:rsid w:val="000C0647"/>
    <w:rsid w:val="000C2E1E"/>
    <w:rsid w:val="000D0F5E"/>
    <w:rsid w:val="000E2A50"/>
    <w:rsid w:val="000E3AD9"/>
    <w:rsid w:val="000E4E0A"/>
    <w:rsid w:val="000E4F25"/>
    <w:rsid w:val="000E6EC7"/>
    <w:rsid w:val="000F2584"/>
    <w:rsid w:val="000F30A9"/>
    <w:rsid w:val="000F57E2"/>
    <w:rsid w:val="00102574"/>
    <w:rsid w:val="00106562"/>
    <w:rsid w:val="00106A26"/>
    <w:rsid w:val="001074B2"/>
    <w:rsid w:val="001102E9"/>
    <w:rsid w:val="00127D2C"/>
    <w:rsid w:val="001351E5"/>
    <w:rsid w:val="0013618B"/>
    <w:rsid w:val="0013711B"/>
    <w:rsid w:val="00137965"/>
    <w:rsid w:val="00143E39"/>
    <w:rsid w:val="0014501C"/>
    <w:rsid w:val="00147F10"/>
    <w:rsid w:val="00154BD3"/>
    <w:rsid w:val="0015678D"/>
    <w:rsid w:val="00161A63"/>
    <w:rsid w:val="00166A4D"/>
    <w:rsid w:val="00167255"/>
    <w:rsid w:val="001708E3"/>
    <w:rsid w:val="0017106F"/>
    <w:rsid w:val="00176B13"/>
    <w:rsid w:val="0018248D"/>
    <w:rsid w:val="0018389C"/>
    <w:rsid w:val="001959FA"/>
    <w:rsid w:val="00195B55"/>
    <w:rsid w:val="001A00D4"/>
    <w:rsid w:val="001A29A9"/>
    <w:rsid w:val="001B068F"/>
    <w:rsid w:val="001C3B02"/>
    <w:rsid w:val="001D3050"/>
    <w:rsid w:val="001D5B03"/>
    <w:rsid w:val="001E3D1A"/>
    <w:rsid w:val="001E4A3E"/>
    <w:rsid w:val="001E5A8C"/>
    <w:rsid w:val="001E6558"/>
    <w:rsid w:val="001F04B2"/>
    <w:rsid w:val="001F1C0C"/>
    <w:rsid w:val="001F3861"/>
    <w:rsid w:val="0020451F"/>
    <w:rsid w:val="00204865"/>
    <w:rsid w:val="00204EA7"/>
    <w:rsid w:val="00210166"/>
    <w:rsid w:val="002108B7"/>
    <w:rsid w:val="00216DBB"/>
    <w:rsid w:val="00221222"/>
    <w:rsid w:val="00222B9B"/>
    <w:rsid w:val="00224795"/>
    <w:rsid w:val="002258B6"/>
    <w:rsid w:val="00225E00"/>
    <w:rsid w:val="00234B5C"/>
    <w:rsid w:val="00256D54"/>
    <w:rsid w:val="00265930"/>
    <w:rsid w:val="00267D47"/>
    <w:rsid w:val="00277A45"/>
    <w:rsid w:val="002A26EF"/>
    <w:rsid w:val="002A3CE3"/>
    <w:rsid w:val="002B4C2F"/>
    <w:rsid w:val="002B4CD5"/>
    <w:rsid w:val="002B7D82"/>
    <w:rsid w:val="002C665B"/>
    <w:rsid w:val="002E770B"/>
    <w:rsid w:val="002F0DAF"/>
    <w:rsid w:val="002F0F70"/>
    <w:rsid w:val="002F2519"/>
    <w:rsid w:val="00306881"/>
    <w:rsid w:val="00316D1C"/>
    <w:rsid w:val="003249C1"/>
    <w:rsid w:val="00327080"/>
    <w:rsid w:val="00334E5D"/>
    <w:rsid w:val="00337FAA"/>
    <w:rsid w:val="0034533B"/>
    <w:rsid w:val="00345D31"/>
    <w:rsid w:val="00355B58"/>
    <w:rsid w:val="00365D40"/>
    <w:rsid w:val="00392B7E"/>
    <w:rsid w:val="0039485B"/>
    <w:rsid w:val="00397F10"/>
    <w:rsid w:val="003A1130"/>
    <w:rsid w:val="003A1989"/>
    <w:rsid w:val="003A1C0E"/>
    <w:rsid w:val="003A3D43"/>
    <w:rsid w:val="003C0A69"/>
    <w:rsid w:val="003C1453"/>
    <w:rsid w:val="003C7E86"/>
    <w:rsid w:val="003D2098"/>
    <w:rsid w:val="003E02C1"/>
    <w:rsid w:val="003E2135"/>
    <w:rsid w:val="003E40C5"/>
    <w:rsid w:val="003E79F3"/>
    <w:rsid w:val="003F0DDF"/>
    <w:rsid w:val="004028D7"/>
    <w:rsid w:val="00403918"/>
    <w:rsid w:val="00404FFF"/>
    <w:rsid w:val="00405ACC"/>
    <w:rsid w:val="00407774"/>
    <w:rsid w:val="00407FD6"/>
    <w:rsid w:val="00413C7E"/>
    <w:rsid w:val="00416476"/>
    <w:rsid w:val="0042259D"/>
    <w:rsid w:val="0042403B"/>
    <w:rsid w:val="00425522"/>
    <w:rsid w:val="0042786E"/>
    <w:rsid w:val="00431B70"/>
    <w:rsid w:val="00434599"/>
    <w:rsid w:val="00437DC7"/>
    <w:rsid w:val="0045298F"/>
    <w:rsid w:val="004544CF"/>
    <w:rsid w:val="00456B42"/>
    <w:rsid w:val="00456F13"/>
    <w:rsid w:val="004663D2"/>
    <w:rsid w:val="004703C8"/>
    <w:rsid w:val="004711C0"/>
    <w:rsid w:val="004726C7"/>
    <w:rsid w:val="00474518"/>
    <w:rsid w:val="00485DD0"/>
    <w:rsid w:val="004903A7"/>
    <w:rsid w:val="00497158"/>
    <w:rsid w:val="004A0E0E"/>
    <w:rsid w:val="004A0E22"/>
    <w:rsid w:val="004A3369"/>
    <w:rsid w:val="004A5F9F"/>
    <w:rsid w:val="004B1287"/>
    <w:rsid w:val="004B2831"/>
    <w:rsid w:val="004B367C"/>
    <w:rsid w:val="004B72E8"/>
    <w:rsid w:val="004C00F9"/>
    <w:rsid w:val="004C436E"/>
    <w:rsid w:val="004C538E"/>
    <w:rsid w:val="004C6F59"/>
    <w:rsid w:val="004D050C"/>
    <w:rsid w:val="004D3B69"/>
    <w:rsid w:val="004D3F68"/>
    <w:rsid w:val="004D6792"/>
    <w:rsid w:val="004E1904"/>
    <w:rsid w:val="004E3F53"/>
    <w:rsid w:val="004E5B91"/>
    <w:rsid w:val="004F0496"/>
    <w:rsid w:val="004F073D"/>
    <w:rsid w:val="00501E8C"/>
    <w:rsid w:val="00504B4F"/>
    <w:rsid w:val="00506379"/>
    <w:rsid w:val="005146B4"/>
    <w:rsid w:val="00515B4C"/>
    <w:rsid w:val="00517494"/>
    <w:rsid w:val="00517C64"/>
    <w:rsid w:val="00522214"/>
    <w:rsid w:val="00523AAC"/>
    <w:rsid w:val="00525985"/>
    <w:rsid w:val="00534805"/>
    <w:rsid w:val="00544132"/>
    <w:rsid w:val="00547461"/>
    <w:rsid w:val="00552887"/>
    <w:rsid w:val="00556D33"/>
    <w:rsid w:val="005570E8"/>
    <w:rsid w:val="00560475"/>
    <w:rsid w:val="005617C1"/>
    <w:rsid w:val="00563665"/>
    <w:rsid w:val="00565BCA"/>
    <w:rsid w:val="005665A4"/>
    <w:rsid w:val="005671F8"/>
    <w:rsid w:val="00576E34"/>
    <w:rsid w:val="00587EBC"/>
    <w:rsid w:val="00593187"/>
    <w:rsid w:val="00593F16"/>
    <w:rsid w:val="00594591"/>
    <w:rsid w:val="0059771E"/>
    <w:rsid w:val="00597D2D"/>
    <w:rsid w:val="005A0590"/>
    <w:rsid w:val="005A28EE"/>
    <w:rsid w:val="005A40CF"/>
    <w:rsid w:val="005B1E51"/>
    <w:rsid w:val="005B574A"/>
    <w:rsid w:val="005B69CD"/>
    <w:rsid w:val="005C17E5"/>
    <w:rsid w:val="005D0CEE"/>
    <w:rsid w:val="005E046A"/>
    <w:rsid w:val="005E664C"/>
    <w:rsid w:val="005F50FA"/>
    <w:rsid w:val="00602154"/>
    <w:rsid w:val="00602772"/>
    <w:rsid w:val="00623440"/>
    <w:rsid w:val="00631F8B"/>
    <w:rsid w:val="006367A1"/>
    <w:rsid w:val="00641518"/>
    <w:rsid w:val="00641656"/>
    <w:rsid w:val="00643154"/>
    <w:rsid w:val="006441C9"/>
    <w:rsid w:val="00651782"/>
    <w:rsid w:val="006545CA"/>
    <w:rsid w:val="006558A5"/>
    <w:rsid w:val="0066469F"/>
    <w:rsid w:val="00665843"/>
    <w:rsid w:val="00665B2B"/>
    <w:rsid w:val="00666740"/>
    <w:rsid w:val="006677B9"/>
    <w:rsid w:val="0067005E"/>
    <w:rsid w:val="006705EB"/>
    <w:rsid w:val="0067181F"/>
    <w:rsid w:val="0067765B"/>
    <w:rsid w:val="00687636"/>
    <w:rsid w:val="00687E9E"/>
    <w:rsid w:val="006902DF"/>
    <w:rsid w:val="006A1394"/>
    <w:rsid w:val="006B00CB"/>
    <w:rsid w:val="006B23F2"/>
    <w:rsid w:val="006B2E02"/>
    <w:rsid w:val="006C55C7"/>
    <w:rsid w:val="006D0362"/>
    <w:rsid w:val="006D174A"/>
    <w:rsid w:val="006D3CAE"/>
    <w:rsid w:val="006E17CF"/>
    <w:rsid w:val="006E725C"/>
    <w:rsid w:val="006F2905"/>
    <w:rsid w:val="006F37A8"/>
    <w:rsid w:val="006F493D"/>
    <w:rsid w:val="006F65C7"/>
    <w:rsid w:val="006F7E0D"/>
    <w:rsid w:val="00701926"/>
    <w:rsid w:val="00702D74"/>
    <w:rsid w:val="00710157"/>
    <w:rsid w:val="00722226"/>
    <w:rsid w:val="0072729E"/>
    <w:rsid w:val="00732A9F"/>
    <w:rsid w:val="00733652"/>
    <w:rsid w:val="00747254"/>
    <w:rsid w:val="00747884"/>
    <w:rsid w:val="0075010C"/>
    <w:rsid w:val="00750807"/>
    <w:rsid w:val="00754F2B"/>
    <w:rsid w:val="00756375"/>
    <w:rsid w:val="007624CF"/>
    <w:rsid w:val="00765300"/>
    <w:rsid w:val="00771FA5"/>
    <w:rsid w:val="00773152"/>
    <w:rsid w:val="007771C6"/>
    <w:rsid w:val="00781905"/>
    <w:rsid w:val="0078237D"/>
    <w:rsid w:val="00786AAF"/>
    <w:rsid w:val="00790C3C"/>
    <w:rsid w:val="007921C6"/>
    <w:rsid w:val="0079252D"/>
    <w:rsid w:val="007960D8"/>
    <w:rsid w:val="007A117F"/>
    <w:rsid w:val="007A7772"/>
    <w:rsid w:val="007B2EEA"/>
    <w:rsid w:val="007B5F74"/>
    <w:rsid w:val="007C2EFE"/>
    <w:rsid w:val="007C34E2"/>
    <w:rsid w:val="007C5D6E"/>
    <w:rsid w:val="007D2D49"/>
    <w:rsid w:val="007D32CC"/>
    <w:rsid w:val="007D3E72"/>
    <w:rsid w:val="007D6833"/>
    <w:rsid w:val="007E70BE"/>
    <w:rsid w:val="007F656E"/>
    <w:rsid w:val="00802DF5"/>
    <w:rsid w:val="008064F8"/>
    <w:rsid w:val="0081435F"/>
    <w:rsid w:val="00820B11"/>
    <w:rsid w:val="0082747E"/>
    <w:rsid w:val="0083659D"/>
    <w:rsid w:val="00840287"/>
    <w:rsid w:val="00840444"/>
    <w:rsid w:val="00842AA9"/>
    <w:rsid w:val="00842F7C"/>
    <w:rsid w:val="00844F0F"/>
    <w:rsid w:val="008567D2"/>
    <w:rsid w:val="00863E52"/>
    <w:rsid w:val="00873380"/>
    <w:rsid w:val="00881D03"/>
    <w:rsid w:val="00885C17"/>
    <w:rsid w:val="0089050E"/>
    <w:rsid w:val="00890C0A"/>
    <w:rsid w:val="00890D55"/>
    <w:rsid w:val="00894BB7"/>
    <w:rsid w:val="008A16E9"/>
    <w:rsid w:val="008A3600"/>
    <w:rsid w:val="008A3A51"/>
    <w:rsid w:val="008B2B6F"/>
    <w:rsid w:val="008B7D48"/>
    <w:rsid w:val="008C19A6"/>
    <w:rsid w:val="008D1058"/>
    <w:rsid w:val="008D3183"/>
    <w:rsid w:val="008F0328"/>
    <w:rsid w:val="008F0519"/>
    <w:rsid w:val="008F35CE"/>
    <w:rsid w:val="008F48DA"/>
    <w:rsid w:val="008F688D"/>
    <w:rsid w:val="008F7B39"/>
    <w:rsid w:val="00900AC1"/>
    <w:rsid w:val="0091164A"/>
    <w:rsid w:val="0091455F"/>
    <w:rsid w:val="00920D22"/>
    <w:rsid w:val="00921517"/>
    <w:rsid w:val="009269E2"/>
    <w:rsid w:val="00927700"/>
    <w:rsid w:val="00933EF3"/>
    <w:rsid w:val="00937AAC"/>
    <w:rsid w:val="00940581"/>
    <w:rsid w:val="00942F4B"/>
    <w:rsid w:val="00952F9D"/>
    <w:rsid w:val="009533E8"/>
    <w:rsid w:val="009568B1"/>
    <w:rsid w:val="00960E9E"/>
    <w:rsid w:val="009634DD"/>
    <w:rsid w:val="00963760"/>
    <w:rsid w:val="00966C38"/>
    <w:rsid w:val="00970FD1"/>
    <w:rsid w:val="009745CC"/>
    <w:rsid w:val="0098037E"/>
    <w:rsid w:val="009868B7"/>
    <w:rsid w:val="00991FEA"/>
    <w:rsid w:val="00994BE2"/>
    <w:rsid w:val="009A13FB"/>
    <w:rsid w:val="009A2CE8"/>
    <w:rsid w:val="009A3B2D"/>
    <w:rsid w:val="009A6C1C"/>
    <w:rsid w:val="009A7D51"/>
    <w:rsid w:val="009C14A7"/>
    <w:rsid w:val="009C6E97"/>
    <w:rsid w:val="009C79B3"/>
    <w:rsid w:val="009F58DE"/>
    <w:rsid w:val="009F7ACC"/>
    <w:rsid w:val="00A0086D"/>
    <w:rsid w:val="00A04E11"/>
    <w:rsid w:val="00A14C7A"/>
    <w:rsid w:val="00A174A1"/>
    <w:rsid w:val="00A20319"/>
    <w:rsid w:val="00A206AD"/>
    <w:rsid w:val="00A20BB2"/>
    <w:rsid w:val="00A2273F"/>
    <w:rsid w:val="00A261CD"/>
    <w:rsid w:val="00A30F8F"/>
    <w:rsid w:val="00A3148F"/>
    <w:rsid w:val="00A3160E"/>
    <w:rsid w:val="00A318C7"/>
    <w:rsid w:val="00A3193A"/>
    <w:rsid w:val="00A32EAA"/>
    <w:rsid w:val="00A32F9A"/>
    <w:rsid w:val="00A43FC5"/>
    <w:rsid w:val="00A5252D"/>
    <w:rsid w:val="00A54797"/>
    <w:rsid w:val="00A61D60"/>
    <w:rsid w:val="00A81B07"/>
    <w:rsid w:val="00A8765C"/>
    <w:rsid w:val="00AA02F5"/>
    <w:rsid w:val="00AA7533"/>
    <w:rsid w:val="00AB4FF6"/>
    <w:rsid w:val="00AB6959"/>
    <w:rsid w:val="00AC03BA"/>
    <w:rsid w:val="00AC2AF0"/>
    <w:rsid w:val="00AC4FBD"/>
    <w:rsid w:val="00AC5C2D"/>
    <w:rsid w:val="00AC6857"/>
    <w:rsid w:val="00AC7653"/>
    <w:rsid w:val="00AC7AD7"/>
    <w:rsid w:val="00AD4E95"/>
    <w:rsid w:val="00AE0202"/>
    <w:rsid w:val="00AE090D"/>
    <w:rsid w:val="00AE1CC3"/>
    <w:rsid w:val="00AF5CA8"/>
    <w:rsid w:val="00B10C0F"/>
    <w:rsid w:val="00B13446"/>
    <w:rsid w:val="00B13BA9"/>
    <w:rsid w:val="00B2588D"/>
    <w:rsid w:val="00B32153"/>
    <w:rsid w:val="00B3488A"/>
    <w:rsid w:val="00B35AD2"/>
    <w:rsid w:val="00B35F8A"/>
    <w:rsid w:val="00B361BC"/>
    <w:rsid w:val="00B40FF4"/>
    <w:rsid w:val="00B41A29"/>
    <w:rsid w:val="00B550FC"/>
    <w:rsid w:val="00B62734"/>
    <w:rsid w:val="00B63D19"/>
    <w:rsid w:val="00B67963"/>
    <w:rsid w:val="00B70CDA"/>
    <w:rsid w:val="00B8076A"/>
    <w:rsid w:val="00B91BF2"/>
    <w:rsid w:val="00B92F93"/>
    <w:rsid w:val="00B93D3C"/>
    <w:rsid w:val="00B9570E"/>
    <w:rsid w:val="00BA0290"/>
    <w:rsid w:val="00BB2338"/>
    <w:rsid w:val="00BB2373"/>
    <w:rsid w:val="00BB3836"/>
    <w:rsid w:val="00BC3346"/>
    <w:rsid w:val="00BC495F"/>
    <w:rsid w:val="00BD0B4F"/>
    <w:rsid w:val="00BD0BD8"/>
    <w:rsid w:val="00BE2EE6"/>
    <w:rsid w:val="00BE38E0"/>
    <w:rsid w:val="00BE5266"/>
    <w:rsid w:val="00BE54C0"/>
    <w:rsid w:val="00BF43CA"/>
    <w:rsid w:val="00BF4830"/>
    <w:rsid w:val="00C07888"/>
    <w:rsid w:val="00C13E4F"/>
    <w:rsid w:val="00C15C0D"/>
    <w:rsid w:val="00C17356"/>
    <w:rsid w:val="00C24AF2"/>
    <w:rsid w:val="00C257CF"/>
    <w:rsid w:val="00C31520"/>
    <w:rsid w:val="00C35C1D"/>
    <w:rsid w:val="00C452BE"/>
    <w:rsid w:val="00C47A13"/>
    <w:rsid w:val="00C5216A"/>
    <w:rsid w:val="00C53D5D"/>
    <w:rsid w:val="00C5414E"/>
    <w:rsid w:val="00C57387"/>
    <w:rsid w:val="00C65E1B"/>
    <w:rsid w:val="00C66F8E"/>
    <w:rsid w:val="00C7135D"/>
    <w:rsid w:val="00C72DD5"/>
    <w:rsid w:val="00C73761"/>
    <w:rsid w:val="00C7393D"/>
    <w:rsid w:val="00C77DD0"/>
    <w:rsid w:val="00C82AC4"/>
    <w:rsid w:val="00C90FCF"/>
    <w:rsid w:val="00C915B2"/>
    <w:rsid w:val="00C92BF1"/>
    <w:rsid w:val="00C9322C"/>
    <w:rsid w:val="00C95787"/>
    <w:rsid w:val="00C95D3D"/>
    <w:rsid w:val="00CA618F"/>
    <w:rsid w:val="00CB27F5"/>
    <w:rsid w:val="00CB5BF3"/>
    <w:rsid w:val="00CC6BE7"/>
    <w:rsid w:val="00CD3437"/>
    <w:rsid w:val="00CD5D11"/>
    <w:rsid w:val="00CE103B"/>
    <w:rsid w:val="00CE3C8C"/>
    <w:rsid w:val="00CE42E0"/>
    <w:rsid w:val="00CF1A17"/>
    <w:rsid w:val="00CF343B"/>
    <w:rsid w:val="00CF3556"/>
    <w:rsid w:val="00CF6D63"/>
    <w:rsid w:val="00D01014"/>
    <w:rsid w:val="00D01186"/>
    <w:rsid w:val="00D01CC1"/>
    <w:rsid w:val="00D02CD8"/>
    <w:rsid w:val="00D04FB5"/>
    <w:rsid w:val="00D07C81"/>
    <w:rsid w:val="00D123D0"/>
    <w:rsid w:val="00D13A9A"/>
    <w:rsid w:val="00D14DCA"/>
    <w:rsid w:val="00D15B8E"/>
    <w:rsid w:val="00D213AF"/>
    <w:rsid w:val="00D23B50"/>
    <w:rsid w:val="00D24FED"/>
    <w:rsid w:val="00D26F3F"/>
    <w:rsid w:val="00D31560"/>
    <w:rsid w:val="00D34622"/>
    <w:rsid w:val="00D41B0D"/>
    <w:rsid w:val="00D41EF4"/>
    <w:rsid w:val="00D42916"/>
    <w:rsid w:val="00D51478"/>
    <w:rsid w:val="00D51F32"/>
    <w:rsid w:val="00D53363"/>
    <w:rsid w:val="00D5363C"/>
    <w:rsid w:val="00D53842"/>
    <w:rsid w:val="00D6217E"/>
    <w:rsid w:val="00D62AE6"/>
    <w:rsid w:val="00D65E6E"/>
    <w:rsid w:val="00D72491"/>
    <w:rsid w:val="00D73C85"/>
    <w:rsid w:val="00D77989"/>
    <w:rsid w:val="00D82A35"/>
    <w:rsid w:val="00D833A0"/>
    <w:rsid w:val="00D86AFB"/>
    <w:rsid w:val="00D90243"/>
    <w:rsid w:val="00DA1838"/>
    <w:rsid w:val="00DA31C4"/>
    <w:rsid w:val="00DC3A0F"/>
    <w:rsid w:val="00DC444B"/>
    <w:rsid w:val="00DD029D"/>
    <w:rsid w:val="00DD632B"/>
    <w:rsid w:val="00DE1C52"/>
    <w:rsid w:val="00DE591E"/>
    <w:rsid w:val="00DE7028"/>
    <w:rsid w:val="00DF5979"/>
    <w:rsid w:val="00DF7A90"/>
    <w:rsid w:val="00E0535E"/>
    <w:rsid w:val="00E22386"/>
    <w:rsid w:val="00E30E7E"/>
    <w:rsid w:val="00E36BD0"/>
    <w:rsid w:val="00E525A0"/>
    <w:rsid w:val="00E5260D"/>
    <w:rsid w:val="00E55BDE"/>
    <w:rsid w:val="00E612F6"/>
    <w:rsid w:val="00E71AE6"/>
    <w:rsid w:val="00E72DEC"/>
    <w:rsid w:val="00E770D5"/>
    <w:rsid w:val="00E7735F"/>
    <w:rsid w:val="00E821EF"/>
    <w:rsid w:val="00E837B0"/>
    <w:rsid w:val="00E841DE"/>
    <w:rsid w:val="00E90757"/>
    <w:rsid w:val="00E94F31"/>
    <w:rsid w:val="00E96E09"/>
    <w:rsid w:val="00E973FF"/>
    <w:rsid w:val="00EA0917"/>
    <w:rsid w:val="00EA17E0"/>
    <w:rsid w:val="00EA202A"/>
    <w:rsid w:val="00EA524D"/>
    <w:rsid w:val="00EB2D92"/>
    <w:rsid w:val="00EC018D"/>
    <w:rsid w:val="00EC055D"/>
    <w:rsid w:val="00EE0BFC"/>
    <w:rsid w:val="00EF76AF"/>
    <w:rsid w:val="00F01DD1"/>
    <w:rsid w:val="00F070F9"/>
    <w:rsid w:val="00F27F68"/>
    <w:rsid w:val="00F27FE0"/>
    <w:rsid w:val="00F33653"/>
    <w:rsid w:val="00F3445E"/>
    <w:rsid w:val="00F4090C"/>
    <w:rsid w:val="00F4101A"/>
    <w:rsid w:val="00F5156F"/>
    <w:rsid w:val="00F54947"/>
    <w:rsid w:val="00F552D7"/>
    <w:rsid w:val="00F60471"/>
    <w:rsid w:val="00F66CA2"/>
    <w:rsid w:val="00F70F16"/>
    <w:rsid w:val="00F72CF2"/>
    <w:rsid w:val="00F72EB0"/>
    <w:rsid w:val="00F7510A"/>
    <w:rsid w:val="00F80307"/>
    <w:rsid w:val="00F81CA6"/>
    <w:rsid w:val="00F833C9"/>
    <w:rsid w:val="00F83A43"/>
    <w:rsid w:val="00F87109"/>
    <w:rsid w:val="00F90A6C"/>
    <w:rsid w:val="00F93F4C"/>
    <w:rsid w:val="00F95FB7"/>
    <w:rsid w:val="00FA07A8"/>
    <w:rsid w:val="00FA1137"/>
    <w:rsid w:val="00FA5968"/>
    <w:rsid w:val="00FA639E"/>
    <w:rsid w:val="00FB3978"/>
    <w:rsid w:val="00FB434D"/>
    <w:rsid w:val="00FC2F15"/>
    <w:rsid w:val="00FD21DB"/>
    <w:rsid w:val="00FD6F3D"/>
    <w:rsid w:val="00FD7391"/>
    <w:rsid w:val="00FE10D4"/>
    <w:rsid w:val="00FE716A"/>
    <w:rsid w:val="00FE74BA"/>
    <w:rsid w:val="00FF188F"/>
    <w:rsid w:val="00FF3A05"/>
    <w:rsid w:val="00FF3C07"/>
    <w:rsid w:val="00FF4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B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11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01186"/>
    <w:rPr>
      <w:color w:val="0000FF"/>
      <w:u w:val="single"/>
    </w:rPr>
  </w:style>
  <w:style w:type="paragraph" w:styleId="FootnoteText">
    <w:name w:val="footnote text"/>
    <w:basedOn w:val="Normal"/>
    <w:semiHidden/>
    <w:rsid w:val="00D01186"/>
    <w:rPr>
      <w:sz w:val="20"/>
      <w:szCs w:val="20"/>
    </w:rPr>
  </w:style>
  <w:style w:type="character" w:styleId="FootnoteReference">
    <w:name w:val="footnote reference"/>
    <w:semiHidden/>
    <w:rsid w:val="00D01186"/>
    <w:rPr>
      <w:vertAlign w:val="superscript"/>
    </w:rPr>
  </w:style>
  <w:style w:type="paragraph" w:customStyle="1" w:styleId="Default">
    <w:name w:val="Default"/>
    <w:rsid w:val="00D01186"/>
    <w:pPr>
      <w:autoSpaceDE w:val="0"/>
      <w:autoSpaceDN w:val="0"/>
      <w:adjustRightInd w:val="0"/>
    </w:pPr>
    <w:rPr>
      <w:color w:val="000000"/>
      <w:sz w:val="24"/>
      <w:szCs w:val="24"/>
    </w:rPr>
  </w:style>
  <w:style w:type="paragraph" w:styleId="Header">
    <w:name w:val="header"/>
    <w:basedOn w:val="Normal"/>
    <w:rsid w:val="00D01186"/>
    <w:pPr>
      <w:tabs>
        <w:tab w:val="center" w:pos="4320"/>
        <w:tab w:val="right" w:pos="8640"/>
      </w:tabs>
    </w:pPr>
  </w:style>
  <w:style w:type="paragraph" w:styleId="Footer">
    <w:name w:val="footer"/>
    <w:basedOn w:val="Normal"/>
    <w:link w:val="FooterChar"/>
    <w:uiPriority w:val="99"/>
    <w:rsid w:val="00D01186"/>
    <w:pPr>
      <w:tabs>
        <w:tab w:val="center" w:pos="4320"/>
        <w:tab w:val="right" w:pos="8640"/>
      </w:tabs>
    </w:pPr>
  </w:style>
  <w:style w:type="character" w:styleId="PageNumber">
    <w:name w:val="page number"/>
    <w:basedOn w:val="DefaultParagraphFont"/>
    <w:rsid w:val="00597D2D"/>
  </w:style>
  <w:style w:type="paragraph" w:styleId="BalloonText">
    <w:name w:val="Balloon Text"/>
    <w:basedOn w:val="Normal"/>
    <w:semiHidden/>
    <w:rsid w:val="005A0590"/>
    <w:rPr>
      <w:rFonts w:ascii="Tahoma" w:hAnsi="Tahoma" w:cs="Tahoma"/>
      <w:sz w:val="16"/>
      <w:szCs w:val="16"/>
    </w:rPr>
  </w:style>
  <w:style w:type="character" w:styleId="CommentReference">
    <w:name w:val="annotation reference"/>
    <w:semiHidden/>
    <w:rsid w:val="00665843"/>
    <w:rPr>
      <w:sz w:val="16"/>
      <w:szCs w:val="16"/>
    </w:rPr>
  </w:style>
  <w:style w:type="paragraph" w:styleId="CommentText">
    <w:name w:val="annotation text"/>
    <w:basedOn w:val="Normal"/>
    <w:semiHidden/>
    <w:rsid w:val="00665843"/>
    <w:rPr>
      <w:sz w:val="20"/>
      <w:szCs w:val="20"/>
    </w:rPr>
  </w:style>
  <w:style w:type="paragraph" w:styleId="CommentSubject">
    <w:name w:val="annotation subject"/>
    <w:basedOn w:val="CommentText"/>
    <w:next w:val="CommentText"/>
    <w:semiHidden/>
    <w:rsid w:val="00665843"/>
    <w:rPr>
      <w:b/>
      <w:bCs/>
    </w:rPr>
  </w:style>
  <w:style w:type="table" w:styleId="TableGrid">
    <w:name w:val="Table Grid"/>
    <w:basedOn w:val="TableNormal"/>
    <w:rsid w:val="00665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A3A51"/>
    <w:rPr>
      <w:sz w:val="24"/>
      <w:szCs w:val="24"/>
    </w:rPr>
  </w:style>
  <w:style w:type="table" w:styleId="Table3Deffects2">
    <w:name w:val="Table 3D effects 2"/>
    <w:basedOn w:val="TableNormal"/>
    <w:rsid w:val="001351E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11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01186"/>
    <w:rPr>
      <w:color w:val="0000FF"/>
      <w:u w:val="single"/>
    </w:rPr>
  </w:style>
  <w:style w:type="paragraph" w:styleId="FootnoteText">
    <w:name w:val="footnote text"/>
    <w:basedOn w:val="Normal"/>
    <w:semiHidden/>
    <w:rsid w:val="00D01186"/>
    <w:rPr>
      <w:sz w:val="20"/>
      <w:szCs w:val="20"/>
    </w:rPr>
  </w:style>
  <w:style w:type="character" w:styleId="FootnoteReference">
    <w:name w:val="footnote reference"/>
    <w:semiHidden/>
    <w:rsid w:val="00D01186"/>
    <w:rPr>
      <w:vertAlign w:val="superscript"/>
    </w:rPr>
  </w:style>
  <w:style w:type="paragraph" w:customStyle="1" w:styleId="Default">
    <w:name w:val="Default"/>
    <w:rsid w:val="00D01186"/>
    <w:pPr>
      <w:autoSpaceDE w:val="0"/>
      <w:autoSpaceDN w:val="0"/>
      <w:adjustRightInd w:val="0"/>
    </w:pPr>
    <w:rPr>
      <w:color w:val="000000"/>
      <w:sz w:val="24"/>
      <w:szCs w:val="24"/>
    </w:rPr>
  </w:style>
  <w:style w:type="paragraph" w:styleId="Header">
    <w:name w:val="header"/>
    <w:basedOn w:val="Normal"/>
    <w:rsid w:val="00D01186"/>
    <w:pPr>
      <w:tabs>
        <w:tab w:val="center" w:pos="4320"/>
        <w:tab w:val="right" w:pos="8640"/>
      </w:tabs>
    </w:pPr>
  </w:style>
  <w:style w:type="paragraph" w:styleId="Footer">
    <w:name w:val="footer"/>
    <w:basedOn w:val="Normal"/>
    <w:link w:val="FooterChar"/>
    <w:uiPriority w:val="99"/>
    <w:rsid w:val="00D01186"/>
    <w:pPr>
      <w:tabs>
        <w:tab w:val="center" w:pos="4320"/>
        <w:tab w:val="right" w:pos="8640"/>
      </w:tabs>
    </w:pPr>
  </w:style>
  <w:style w:type="character" w:styleId="PageNumber">
    <w:name w:val="page number"/>
    <w:basedOn w:val="DefaultParagraphFont"/>
    <w:rsid w:val="00597D2D"/>
  </w:style>
  <w:style w:type="paragraph" w:styleId="BalloonText">
    <w:name w:val="Balloon Text"/>
    <w:basedOn w:val="Normal"/>
    <w:semiHidden/>
    <w:rsid w:val="005A0590"/>
    <w:rPr>
      <w:rFonts w:ascii="Tahoma" w:hAnsi="Tahoma" w:cs="Tahoma"/>
      <w:sz w:val="16"/>
      <w:szCs w:val="16"/>
    </w:rPr>
  </w:style>
  <w:style w:type="character" w:styleId="CommentReference">
    <w:name w:val="annotation reference"/>
    <w:semiHidden/>
    <w:rsid w:val="00665843"/>
    <w:rPr>
      <w:sz w:val="16"/>
      <w:szCs w:val="16"/>
    </w:rPr>
  </w:style>
  <w:style w:type="paragraph" w:styleId="CommentText">
    <w:name w:val="annotation text"/>
    <w:basedOn w:val="Normal"/>
    <w:semiHidden/>
    <w:rsid w:val="00665843"/>
    <w:rPr>
      <w:sz w:val="20"/>
      <w:szCs w:val="20"/>
    </w:rPr>
  </w:style>
  <w:style w:type="paragraph" w:styleId="CommentSubject">
    <w:name w:val="annotation subject"/>
    <w:basedOn w:val="CommentText"/>
    <w:next w:val="CommentText"/>
    <w:semiHidden/>
    <w:rsid w:val="00665843"/>
    <w:rPr>
      <w:b/>
      <w:bCs/>
    </w:rPr>
  </w:style>
  <w:style w:type="table" w:styleId="TableGrid">
    <w:name w:val="Table Grid"/>
    <w:basedOn w:val="TableNormal"/>
    <w:rsid w:val="00665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A3A51"/>
    <w:rPr>
      <w:sz w:val="24"/>
      <w:szCs w:val="24"/>
    </w:rPr>
  </w:style>
  <w:style w:type="table" w:styleId="Table3Deffects2">
    <w:name w:val="Table 3D effects 2"/>
    <w:basedOn w:val="TableNormal"/>
    <w:rsid w:val="001351E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97087">
      <w:bodyDiv w:val="1"/>
      <w:marLeft w:val="0"/>
      <w:marRight w:val="0"/>
      <w:marTop w:val="0"/>
      <w:marBottom w:val="0"/>
      <w:divBdr>
        <w:top w:val="none" w:sz="0" w:space="0" w:color="auto"/>
        <w:left w:val="none" w:sz="0" w:space="0" w:color="auto"/>
        <w:bottom w:val="none" w:sz="0" w:space="0" w:color="auto"/>
        <w:right w:val="none" w:sz="0" w:space="0" w:color="auto"/>
      </w:divBdr>
    </w:div>
    <w:div w:id="834996738">
      <w:bodyDiv w:val="1"/>
      <w:marLeft w:val="0"/>
      <w:marRight w:val="0"/>
      <w:marTop w:val="0"/>
      <w:marBottom w:val="0"/>
      <w:divBdr>
        <w:top w:val="none" w:sz="0" w:space="0" w:color="auto"/>
        <w:left w:val="none" w:sz="0" w:space="0" w:color="auto"/>
        <w:bottom w:val="none" w:sz="0" w:space="0" w:color="auto"/>
        <w:right w:val="none" w:sz="0" w:space="0" w:color="auto"/>
      </w:divBdr>
    </w:div>
    <w:div w:id="1284726557">
      <w:bodyDiv w:val="1"/>
      <w:marLeft w:val="0"/>
      <w:marRight w:val="0"/>
      <w:marTop w:val="0"/>
      <w:marBottom w:val="0"/>
      <w:divBdr>
        <w:top w:val="none" w:sz="0" w:space="0" w:color="auto"/>
        <w:left w:val="none" w:sz="0" w:space="0" w:color="auto"/>
        <w:bottom w:val="none" w:sz="0" w:space="0" w:color="auto"/>
        <w:right w:val="none" w:sz="0" w:space="0" w:color="auto"/>
      </w:divBdr>
    </w:div>
    <w:div w:id="1794785072">
      <w:bodyDiv w:val="1"/>
      <w:marLeft w:val="0"/>
      <w:marRight w:val="0"/>
      <w:marTop w:val="0"/>
      <w:marBottom w:val="0"/>
      <w:divBdr>
        <w:top w:val="none" w:sz="0" w:space="0" w:color="auto"/>
        <w:left w:val="none" w:sz="0" w:space="0" w:color="auto"/>
        <w:bottom w:val="none" w:sz="0" w:space="0" w:color="auto"/>
        <w:right w:val="none" w:sz="0" w:space="0" w:color="auto"/>
      </w:divBdr>
    </w:div>
    <w:div w:id="1825855634">
      <w:bodyDiv w:val="1"/>
      <w:marLeft w:val="0"/>
      <w:marRight w:val="0"/>
      <w:marTop w:val="0"/>
      <w:marBottom w:val="0"/>
      <w:divBdr>
        <w:top w:val="none" w:sz="0" w:space="0" w:color="auto"/>
        <w:left w:val="none" w:sz="0" w:space="0" w:color="auto"/>
        <w:bottom w:val="none" w:sz="0" w:space="0" w:color="auto"/>
        <w:right w:val="none" w:sz="0" w:space="0" w:color="auto"/>
      </w:divBdr>
    </w:div>
    <w:div w:id="1960380223">
      <w:bodyDiv w:val="1"/>
      <w:marLeft w:val="0"/>
      <w:marRight w:val="0"/>
      <w:marTop w:val="0"/>
      <w:marBottom w:val="0"/>
      <w:divBdr>
        <w:top w:val="none" w:sz="0" w:space="0" w:color="auto"/>
        <w:left w:val="none" w:sz="0" w:space="0" w:color="auto"/>
        <w:bottom w:val="none" w:sz="0" w:space="0" w:color="auto"/>
        <w:right w:val="none" w:sz="0" w:space="0" w:color="auto"/>
      </w:divBdr>
    </w:div>
    <w:div w:id="197378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ma9@cdc.gov" TargetMode="External"/><Relationship Id="rId13" Type="http://schemas.openxmlformats.org/officeDocument/2006/relationships/hyperlink" Target="mailto:hzb8@cdc.gov"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gf0@cdc.gov" TargetMode="External"/><Relationship Id="rId17" Type="http://schemas.openxmlformats.org/officeDocument/2006/relationships/hyperlink" Target="mailto:tnr4@cdc.gov" TargetMode="External"/><Relationship Id="rId2" Type="http://schemas.openxmlformats.org/officeDocument/2006/relationships/styles" Target="styles.xml"/><Relationship Id="rId16" Type="http://schemas.openxmlformats.org/officeDocument/2006/relationships/hyperlink" Target="mailto:nsy2@cdc.gov"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ge3@cdc.gov" TargetMode="External"/><Relationship Id="rId5" Type="http://schemas.openxmlformats.org/officeDocument/2006/relationships/webSettings" Target="webSettings.xml"/><Relationship Id="rId15" Type="http://schemas.openxmlformats.org/officeDocument/2006/relationships/hyperlink" Target="mailto:exo8@cdc.gov" TargetMode="External"/><Relationship Id="rId10" Type="http://schemas.openxmlformats.org/officeDocument/2006/relationships/hyperlink" Target="mailto:zpl4@cdc.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hsw2@cdc.gov" TargetMode="External"/><Relationship Id="rId14" Type="http://schemas.openxmlformats.org/officeDocument/2006/relationships/hyperlink" Target="mailto:lig9@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3685</Words>
  <Characters>21007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Title</vt:lpstr>
    </vt:vector>
  </TitlesOfParts>
  <Company>ITSO</Company>
  <LinksUpToDate>false</LinksUpToDate>
  <CharactersWithSpaces>24643</CharactersWithSpaces>
  <SharedDoc>false</SharedDoc>
  <HLinks>
    <vt:vector size="30" baseType="variant">
      <vt:variant>
        <vt:i4>524410</vt:i4>
      </vt:variant>
      <vt:variant>
        <vt:i4>12</vt:i4>
      </vt:variant>
      <vt:variant>
        <vt:i4>0</vt:i4>
      </vt:variant>
      <vt:variant>
        <vt:i4>5</vt:i4>
      </vt:variant>
      <vt:variant>
        <vt:lpwstr>mailto:igf0@cdc.gov</vt:lpwstr>
      </vt:variant>
      <vt:variant>
        <vt:lpwstr/>
      </vt:variant>
      <vt:variant>
        <vt:i4>1114217</vt:i4>
      </vt:variant>
      <vt:variant>
        <vt:i4>9</vt:i4>
      </vt:variant>
      <vt:variant>
        <vt:i4>0</vt:i4>
      </vt:variant>
      <vt:variant>
        <vt:i4>5</vt:i4>
      </vt:variant>
      <vt:variant>
        <vt:lpwstr>mailto:zpl4@cdc.gov</vt:lpwstr>
      </vt:variant>
      <vt:variant>
        <vt:lpwstr/>
      </vt:variant>
      <vt:variant>
        <vt:i4>786557</vt:i4>
      </vt:variant>
      <vt:variant>
        <vt:i4>6</vt:i4>
      </vt:variant>
      <vt:variant>
        <vt:i4>0</vt:i4>
      </vt:variant>
      <vt:variant>
        <vt:i4>5</vt:i4>
      </vt:variant>
      <vt:variant>
        <vt:lpwstr>mailto:lig9@cdc.gov</vt:lpwstr>
      </vt:variant>
      <vt:variant>
        <vt:lpwstr/>
      </vt:variant>
      <vt:variant>
        <vt:i4>852079</vt:i4>
      </vt:variant>
      <vt:variant>
        <vt:i4>3</vt:i4>
      </vt:variant>
      <vt:variant>
        <vt:i4>0</vt:i4>
      </vt:variant>
      <vt:variant>
        <vt:i4>5</vt:i4>
      </vt:variant>
      <vt:variant>
        <vt:lpwstr>mailto:hzb8@cdc.gov</vt:lpwstr>
      </vt:variant>
      <vt:variant>
        <vt:lpwstr/>
      </vt:variant>
      <vt:variant>
        <vt:i4>327801</vt:i4>
      </vt:variant>
      <vt:variant>
        <vt:i4>0</vt:i4>
      </vt:variant>
      <vt:variant>
        <vt:i4>0</vt:i4>
      </vt:variant>
      <vt:variant>
        <vt:i4>5</vt:i4>
      </vt:variant>
      <vt:variant>
        <vt:lpwstr>mailto:gge3@cdc.gov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vbs6</dc:creator>
  <cp:keywords/>
  <cp:lastModifiedBy>SYSTEM</cp:lastModifiedBy>
  <cp:revision>2</cp:revision>
  <cp:lastPrinted>2017-11-17T18:07:00Z</cp:lastPrinted>
  <dcterms:created xsi:type="dcterms:W3CDTF">2018-07-25T17:41:00Z</dcterms:created>
  <dcterms:modified xsi:type="dcterms:W3CDTF">2018-07-25T17:41:00Z</dcterms:modified>
</cp:coreProperties>
</file>