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DBBF2" w14:textId="77777777" w:rsidR="00FC35FC" w:rsidRPr="00152067" w:rsidRDefault="00FC35FC" w:rsidP="00FC35FC">
      <w:pPr>
        <w:jc w:val="center"/>
        <w:rPr>
          <w:b/>
          <w:sz w:val="28"/>
          <w:szCs w:val="28"/>
        </w:rPr>
      </w:pPr>
      <w:bookmarkStart w:id="0" w:name="_GoBack"/>
      <w:bookmarkEnd w:id="0"/>
    </w:p>
    <w:p w14:paraId="5390288E" w14:textId="6ECB4B83" w:rsidR="00FC35FC" w:rsidRPr="00152067" w:rsidRDefault="008C7183" w:rsidP="00FC35FC">
      <w:pPr>
        <w:jc w:val="center"/>
        <w:rPr>
          <w:b/>
          <w:sz w:val="28"/>
          <w:szCs w:val="28"/>
        </w:rPr>
      </w:pPr>
      <w:r w:rsidRPr="00152067">
        <w:rPr>
          <w:b/>
          <w:sz w:val="28"/>
          <w:szCs w:val="28"/>
        </w:rPr>
        <w:t>Enhanced STD Surveillance Network</w:t>
      </w:r>
      <w:r w:rsidR="006878C8" w:rsidRPr="00152067">
        <w:rPr>
          <w:b/>
          <w:sz w:val="28"/>
          <w:szCs w:val="28"/>
        </w:rPr>
        <w:t xml:space="preserve"> (SSuN)</w:t>
      </w:r>
    </w:p>
    <w:p w14:paraId="5C70A0E2" w14:textId="77777777" w:rsidR="00FC35FC" w:rsidRPr="00152067" w:rsidRDefault="00FC35FC" w:rsidP="00FC35FC">
      <w:pPr>
        <w:jc w:val="center"/>
        <w:rPr>
          <w:b/>
          <w:sz w:val="28"/>
          <w:szCs w:val="28"/>
        </w:rPr>
      </w:pPr>
    </w:p>
    <w:p w14:paraId="67D8DB03" w14:textId="77777777" w:rsidR="00FC35FC" w:rsidRDefault="00FC35FC" w:rsidP="00FC35FC">
      <w:pPr>
        <w:jc w:val="center"/>
        <w:rPr>
          <w:b/>
          <w:sz w:val="28"/>
          <w:szCs w:val="28"/>
        </w:rPr>
      </w:pPr>
      <w:r w:rsidRPr="00152067">
        <w:rPr>
          <w:b/>
          <w:sz w:val="28"/>
          <w:szCs w:val="28"/>
        </w:rPr>
        <w:t>OMB No. 0920-</w:t>
      </w:r>
      <w:r w:rsidR="00E12C95">
        <w:rPr>
          <w:b/>
          <w:sz w:val="28"/>
          <w:szCs w:val="28"/>
        </w:rPr>
        <w:t>1072</w:t>
      </w:r>
    </w:p>
    <w:p w14:paraId="0556E4ED" w14:textId="77777777" w:rsidR="00E12C95" w:rsidRPr="00051C47" w:rsidRDefault="00E12C95" w:rsidP="00FC35FC">
      <w:pPr>
        <w:jc w:val="center"/>
        <w:rPr>
          <w:b/>
        </w:rPr>
      </w:pPr>
      <w:r>
        <w:rPr>
          <w:b/>
          <w:sz w:val="28"/>
          <w:szCs w:val="28"/>
        </w:rPr>
        <w:t>Exp. 06/30/2018</w:t>
      </w:r>
    </w:p>
    <w:p w14:paraId="7198FB9C" w14:textId="77777777" w:rsidR="00FC35FC" w:rsidRPr="00051C47" w:rsidRDefault="00FC35FC" w:rsidP="00FC35FC">
      <w:pPr>
        <w:jc w:val="center"/>
      </w:pPr>
    </w:p>
    <w:p w14:paraId="14F993A0" w14:textId="77777777" w:rsidR="00FC35FC" w:rsidRPr="00051C47" w:rsidRDefault="00FC35FC" w:rsidP="00FC35FC">
      <w:pPr>
        <w:jc w:val="center"/>
      </w:pPr>
    </w:p>
    <w:p w14:paraId="45A10FA8" w14:textId="77777777" w:rsidR="00FC35FC" w:rsidRPr="00051C47" w:rsidRDefault="00FC35FC" w:rsidP="00FC35FC">
      <w:pPr>
        <w:jc w:val="center"/>
      </w:pPr>
    </w:p>
    <w:p w14:paraId="4EE27227" w14:textId="77777777" w:rsidR="00FC35FC" w:rsidRPr="00051C47" w:rsidRDefault="00FC35FC" w:rsidP="00FC35FC">
      <w:pPr>
        <w:jc w:val="center"/>
      </w:pPr>
    </w:p>
    <w:p w14:paraId="60421F01" w14:textId="77777777" w:rsidR="00FC35FC" w:rsidRPr="00051C47" w:rsidRDefault="00FC35FC" w:rsidP="00FC35FC">
      <w:pPr>
        <w:jc w:val="center"/>
      </w:pPr>
      <w:r w:rsidRPr="00051C47">
        <w:rPr>
          <w:b/>
        </w:rPr>
        <w:t>SUPPORTING STATEMENT A</w:t>
      </w:r>
    </w:p>
    <w:p w14:paraId="63AC4539" w14:textId="77777777" w:rsidR="00FC35FC" w:rsidRPr="00051C47" w:rsidRDefault="00FC35FC" w:rsidP="00FC35FC">
      <w:pPr>
        <w:jc w:val="center"/>
      </w:pPr>
    </w:p>
    <w:p w14:paraId="62E89012" w14:textId="7B00976D" w:rsidR="00FC35FC" w:rsidRPr="00051C47" w:rsidRDefault="0055560C" w:rsidP="00FC35FC">
      <w:pPr>
        <w:jc w:val="center"/>
      </w:pPr>
      <w:r>
        <w:t>Re</w:t>
      </w:r>
      <w:r w:rsidR="003A76EB">
        <w:t>instatement with Change</w:t>
      </w:r>
    </w:p>
    <w:p w14:paraId="0EEBDFC1" w14:textId="77777777" w:rsidR="00FC35FC" w:rsidRPr="00051C47" w:rsidRDefault="00FC35FC" w:rsidP="00FC35FC">
      <w:pPr>
        <w:rPr>
          <w:rFonts w:eastAsiaTheme="minorHAnsi"/>
        </w:rPr>
      </w:pPr>
    </w:p>
    <w:p w14:paraId="09F3A118" w14:textId="77777777" w:rsidR="00FC35FC" w:rsidRPr="00051C47" w:rsidRDefault="00FC35FC" w:rsidP="00FC35FC"/>
    <w:p w14:paraId="6277CF1D" w14:textId="77777777" w:rsidR="00FC35FC" w:rsidRPr="00051C47" w:rsidRDefault="00FC35FC" w:rsidP="00FC35FC"/>
    <w:p w14:paraId="29516A9F" w14:textId="52AD42A4" w:rsidR="00FC35FC" w:rsidRPr="00051C47" w:rsidRDefault="008C5496" w:rsidP="00FC35FC">
      <w:pPr>
        <w:jc w:val="center"/>
      </w:pPr>
      <w:r>
        <w:t>July 10,</w:t>
      </w:r>
      <w:r w:rsidR="00737858">
        <w:t xml:space="preserve"> 2018</w:t>
      </w:r>
    </w:p>
    <w:p w14:paraId="33741C7F" w14:textId="77777777" w:rsidR="00FC35FC" w:rsidRDefault="00FC35FC" w:rsidP="00FC35FC">
      <w:pPr>
        <w:jc w:val="center"/>
        <w:rPr>
          <w:rFonts w:ascii="Courier New" w:hAnsi="Courier New" w:cs="Courier New"/>
          <w:b/>
        </w:rPr>
      </w:pPr>
    </w:p>
    <w:p w14:paraId="0875F999" w14:textId="77777777" w:rsidR="00FC35FC" w:rsidRDefault="00FC35FC" w:rsidP="00FC35FC">
      <w:pPr>
        <w:jc w:val="center"/>
        <w:rPr>
          <w:rFonts w:ascii="Courier New" w:hAnsi="Courier New" w:cs="Courier New"/>
          <w:b/>
        </w:rPr>
      </w:pPr>
    </w:p>
    <w:p w14:paraId="30F524AC" w14:textId="77777777" w:rsidR="00FC35FC" w:rsidRDefault="00FC35FC" w:rsidP="00FC35FC">
      <w:pPr>
        <w:jc w:val="center"/>
        <w:rPr>
          <w:rFonts w:ascii="Courier New" w:hAnsi="Courier New" w:cs="Courier New"/>
          <w:b/>
        </w:rPr>
      </w:pPr>
    </w:p>
    <w:p w14:paraId="478C95E7" w14:textId="77777777" w:rsidR="00FC35FC" w:rsidRDefault="00FC35FC" w:rsidP="00FC35FC">
      <w:pPr>
        <w:jc w:val="center"/>
        <w:rPr>
          <w:rFonts w:ascii="Courier New" w:hAnsi="Courier New" w:cs="Courier New"/>
          <w:b/>
        </w:rPr>
      </w:pPr>
    </w:p>
    <w:p w14:paraId="775F9A54" w14:textId="77777777" w:rsidR="00FC35FC" w:rsidRDefault="00FC35FC" w:rsidP="00FC35FC">
      <w:pPr>
        <w:jc w:val="center"/>
        <w:rPr>
          <w:rFonts w:ascii="Courier New" w:hAnsi="Courier New" w:cs="Courier New"/>
          <w:b/>
        </w:rPr>
      </w:pPr>
    </w:p>
    <w:p w14:paraId="29B0796F" w14:textId="77777777" w:rsidR="00FC35FC" w:rsidRDefault="00FC35FC" w:rsidP="00FC35FC">
      <w:pPr>
        <w:jc w:val="center"/>
        <w:rPr>
          <w:rFonts w:ascii="Courier New" w:hAnsi="Courier New" w:cs="Courier New"/>
          <w:b/>
        </w:rPr>
      </w:pPr>
    </w:p>
    <w:p w14:paraId="722F66F8" w14:textId="77777777" w:rsidR="00FC35FC" w:rsidRPr="00152067" w:rsidRDefault="00152067" w:rsidP="00FC35FC">
      <w:pPr>
        <w:jc w:val="center"/>
        <w:rPr>
          <w:b/>
        </w:rPr>
      </w:pPr>
      <w:r w:rsidRPr="00152067">
        <w:rPr>
          <w:b/>
        </w:rPr>
        <w:t>Contact Information</w:t>
      </w:r>
    </w:p>
    <w:p w14:paraId="1F8E3B85" w14:textId="77777777" w:rsidR="00FC35FC" w:rsidRPr="00152067" w:rsidRDefault="00FC35FC" w:rsidP="00FC35FC">
      <w:pPr>
        <w:jc w:val="center"/>
        <w:rPr>
          <w:b/>
        </w:rPr>
      </w:pPr>
    </w:p>
    <w:p w14:paraId="2E8E27DF" w14:textId="77777777" w:rsidR="00FC35FC" w:rsidRPr="00152067" w:rsidRDefault="00FC35FC" w:rsidP="00FC35FC">
      <w:pPr>
        <w:jc w:val="center"/>
        <w:rPr>
          <w:b/>
        </w:rPr>
      </w:pPr>
    </w:p>
    <w:p w14:paraId="1E9C6597" w14:textId="77777777" w:rsidR="00FC35FC" w:rsidRPr="00051C47" w:rsidRDefault="00FC35FC" w:rsidP="00FC35FC">
      <w:pPr>
        <w:jc w:val="center"/>
      </w:pPr>
      <w:r>
        <w:t>Eloisa Llata</w:t>
      </w:r>
      <w:r w:rsidRPr="00051C47">
        <w:t xml:space="preserve">, </w:t>
      </w:r>
      <w:r>
        <w:t>MD, MPH</w:t>
      </w:r>
      <w:r w:rsidRPr="00051C47">
        <w:t>, Project Officer</w:t>
      </w:r>
    </w:p>
    <w:p w14:paraId="70F20195" w14:textId="77777777" w:rsidR="00FC35FC" w:rsidRPr="00051C47" w:rsidRDefault="00FC35FC" w:rsidP="00FC35FC">
      <w:pPr>
        <w:jc w:val="center"/>
      </w:pPr>
      <w:r w:rsidRPr="00051C47">
        <w:t>Centers of Disease Control and Prevention</w:t>
      </w:r>
    </w:p>
    <w:p w14:paraId="0F33A605" w14:textId="77777777" w:rsidR="00FC35FC" w:rsidRPr="00051C47" w:rsidRDefault="00FC35FC" w:rsidP="00FC35FC">
      <w:pPr>
        <w:jc w:val="center"/>
      </w:pPr>
      <w:r w:rsidRPr="00051C47">
        <w:t>National Center for HIV/AIDS, Viral Hepatitis, STD, and TB Prevention</w:t>
      </w:r>
    </w:p>
    <w:p w14:paraId="4B74CF14" w14:textId="77777777" w:rsidR="00FC35FC" w:rsidRPr="00051C47" w:rsidRDefault="00FC35FC" w:rsidP="00FC35FC">
      <w:pPr>
        <w:jc w:val="center"/>
      </w:pPr>
      <w:r w:rsidRPr="00051C47">
        <w:t xml:space="preserve">Division of </w:t>
      </w:r>
      <w:r>
        <w:t>STD Prevention</w:t>
      </w:r>
      <w:r w:rsidRPr="00051C47">
        <w:t xml:space="preserve">- Surveillance and </w:t>
      </w:r>
      <w:r>
        <w:t>Data Management</w:t>
      </w:r>
      <w:r w:rsidRPr="00051C47">
        <w:br/>
      </w:r>
      <w:r>
        <w:t>STD</w:t>
      </w:r>
      <w:r w:rsidRPr="00051C47">
        <w:t xml:space="preserve"> </w:t>
      </w:r>
      <w:r>
        <w:t>Surveillance</w:t>
      </w:r>
      <w:r w:rsidRPr="00051C47">
        <w:t xml:space="preserve"> Branch</w:t>
      </w:r>
    </w:p>
    <w:p w14:paraId="5B39141F" w14:textId="77777777" w:rsidR="00FC35FC" w:rsidRPr="00051C47" w:rsidRDefault="00FC35FC" w:rsidP="00FC35FC">
      <w:pPr>
        <w:jc w:val="center"/>
      </w:pPr>
      <w:r w:rsidRPr="00051C47">
        <w:t>1600 Clifton Rd., MS E-</w:t>
      </w:r>
      <w:r>
        <w:t>02</w:t>
      </w:r>
    </w:p>
    <w:p w14:paraId="37C5CBA5" w14:textId="655C551C" w:rsidR="00FC35FC" w:rsidRPr="00051C47" w:rsidRDefault="00FC35FC" w:rsidP="00FC35FC">
      <w:pPr>
        <w:jc w:val="center"/>
      </w:pPr>
      <w:r w:rsidRPr="00051C47">
        <w:t>Atlanta, GA 303</w:t>
      </w:r>
      <w:r w:rsidR="00A325BB">
        <w:t>29</w:t>
      </w:r>
    </w:p>
    <w:p w14:paraId="3A223F60" w14:textId="77777777" w:rsidR="00FC35FC" w:rsidRPr="00051C47" w:rsidRDefault="00FC35FC" w:rsidP="00FC35FC">
      <w:pPr>
        <w:jc w:val="center"/>
      </w:pPr>
      <w:r w:rsidRPr="00051C47">
        <w:t>Phone: 404-639-</w:t>
      </w:r>
      <w:r>
        <w:t>6183</w:t>
      </w:r>
    </w:p>
    <w:p w14:paraId="4EE615D3" w14:textId="77777777" w:rsidR="00FC35FC" w:rsidRPr="00051C47" w:rsidRDefault="00FC35FC" w:rsidP="00FC35FC">
      <w:pPr>
        <w:jc w:val="center"/>
      </w:pPr>
      <w:r w:rsidRPr="00051C47">
        <w:t>Fax: 404-639-</w:t>
      </w:r>
      <w:r>
        <w:t>8610</w:t>
      </w:r>
    </w:p>
    <w:p w14:paraId="6BE01239" w14:textId="77777777" w:rsidR="00FC35FC" w:rsidRPr="00051C47" w:rsidRDefault="00FC35FC" w:rsidP="00FC35FC">
      <w:pPr>
        <w:jc w:val="center"/>
      </w:pPr>
      <w:r w:rsidRPr="00051C47">
        <w:t xml:space="preserve">Email: </w:t>
      </w:r>
      <w:hyperlink r:id="rId9" w:history="1">
        <w:r w:rsidRPr="00203A85">
          <w:rPr>
            <w:rStyle w:val="Hyperlink"/>
          </w:rPr>
          <w:t>gge3@cdc.gov</w:t>
        </w:r>
      </w:hyperlink>
    </w:p>
    <w:p w14:paraId="0E27F4FE" w14:textId="77777777" w:rsidR="00FC35FC" w:rsidRDefault="00FC35FC" w:rsidP="00FC35FC">
      <w:pPr>
        <w:jc w:val="center"/>
        <w:rPr>
          <w:rFonts w:ascii="Courier New" w:hAnsi="Courier New" w:cs="Courier New"/>
          <w:b/>
        </w:rPr>
      </w:pPr>
    </w:p>
    <w:p w14:paraId="2DEE777C" w14:textId="77777777" w:rsidR="00FC35FC" w:rsidRDefault="00FC35FC" w:rsidP="00FC35FC">
      <w:pPr>
        <w:jc w:val="center"/>
        <w:rPr>
          <w:rFonts w:ascii="Courier New" w:hAnsi="Courier New" w:cs="Courier New"/>
          <w:b/>
        </w:rPr>
      </w:pPr>
    </w:p>
    <w:p w14:paraId="306AA744" w14:textId="77777777" w:rsidR="00FC35FC" w:rsidRDefault="00FC35FC" w:rsidP="00FC35FC">
      <w:pPr>
        <w:jc w:val="center"/>
        <w:rPr>
          <w:rFonts w:ascii="Courier New" w:hAnsi="Courier New" w:cs="Courier New"/>
          <w:b/>
        </w:rPr>
      </w:pPr>
    </w:p>
    <w:p w14:paraId="069F9FAB" w14:textId="77777777" w:rsidR="00FC35FC" w:rsidRDefault="00FC35FC" w:rsidP="00FC35FC">
      <w:pPr>
        <w:jc w:val="center"/>
        <w:rPr>
          <w:rFonts w:ascii="Courier New" w:hAnsi="Courier New" w:cs="Courier New"/>
          <w:b/>
        </w:rPr>
      </w:pPr>
    </w:p>
    <w:p w14:paraId="34BD0CEF" w14:textId="77777777" w:rsidR="00FC35FC" w:rsidRDefault="00FC35FC" w:rsidP="00FC35FC">
      <w:pPr>
        <w:jc w:val="center"/>
        <w:rPr>
          <w:rFonts w:ascii="Courier New" w:hAnsi="Courier New" w:cs="Courier New"/>
          <w:b/>
        </w:rPr>
      </w:pPr>
    </w:p>
    <w:p w14:paraId="53A5EDF0" w14:textId="77777777" w:rsidR="00FC35FC" w:rsidRDefault="00FC35FC" w:rsidP="00FC35FC">
      <w:pPr>
        <w:jc w:val="center"/>
        <w:rPr>
          <w:rFonts w:ascii="Courier New" w:hAnsi="Courier New" w:cs="Courier New"/>
          <w:b/>
        </w:rPr>
      </w:pPr>
    </w:p>
    <w:p w14:paraId="1FA5E41C" w14:textId="77777777" w:rsidR="00FC35FC" w:rsidRDefault="00FC35FC" w:rsidP="00FC35FC">
      <w:pPr>
        <w:jc w:val="center"/>
        <w:rPr>
          <w:rFonts w:ascii="Courier New" w:hAnsi="Courier New" w:cs="Courier New"/>
          <w:b/>
        </w:rPr>
      </w:pPr>
    </w:p>
    <w:p w14:paraId="3A2CCA6F" w14:textId="77777777" w:rsidR="00FC35FC" w:rsidRDefault="00FC35FC" w:rsidP="00FC35FC">
      <w:pPr>
        <w:jc w:val="center"/>
        <w:rPr>
          <w:rFonts w:ascii="Courier New" w:hAnsi="Courier New" w:cs="Courier New"/>
          <w:b/>
        </w:rPr>
      </w:pPr>
    </w:p>
    <w:p w14:paraId="635ECA01" w14:textId="77777777" w:rsidR="006878C8" w:rsidRDefault="006878C8">
      <w:pPr>
        <w:spacing w:after="200" w:line="276" w:lineRule="auto"/>
        <w:rPr>
          <w:b/>
        </w:rPr>
      </w:pPr>
      <w:r>
        <w:rPr>
          <w:b/>
        </w:rPr>
        <w:br w:type="page"/>
      </w:r>
    </w:p>
    <w:p w14:paraId="42B4B0AB" w14:textId="147A4EF3" w:rsidR="00C34EAB" w:rsidRPr="004712DC" w:rsidRDefault="00C34EAB" w:rsidP="00FE693E">
      <w:pPr>
        <w:pStyle w:val="ListParagraph"/>
        <w:numPr>
          <w:ilvl w:val="0"/>
          <w:numId w:val="14"/>
        </w:numPr>
        <w:autoSpaceDE w:val="0"/>
        <w:autoSpaceDN w:val="0"/>
        <w:adjustRightInd w:val="0"/>
        <w:rPr>
          <w:b/>
          <w:bCs/>
          <w:color w:val="000000"/>
        </w:rPr>
      </w:pPr>
      <w:r w:rsidRPr="004712DC">
        <w:rPr>
          <w:b/>
          <w:bCs/>
          <w:color w:val="000000"/>
        </w:rPr>
        <w:lastRenderedPageBreak/>
        <w:t>Justification</w:t>
      </w:r>
    </w:p>
    <w:p w14:paraId="50B8F874" w14:textId="5514A1EA" w:rsidR="00F71CD6" w:rsidRPr="004712DC" w:rsidRDefault="00F71CD6" w:rsidP="00F71CD6">
      <w:pPr>
        <w:autoSpaceDE w:val="0"/>
        <w:autoSpaceDN w:val="0"/>
        <w:adjustRightInd w:val="0"/>
        <w:rPr>
          <w:color w:val="000000"/>
        </w:rPr>
      </w:pP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p>
    <w:p w14:paraId="63204DAF" w14:textId="54BB0FF8" w:rsidR="00F71CD6" w:rsidRPr="004712DC" w:rsidRDefault="00464AB3" w:rsidP="00F71CD6">
      <w:pPr>
        <w:autoSpaceDE w:val="0"/>
        <w:autoSpaceDN w:val="0"/>
        <w:adjustRightInd w:val="0"/>
        <w:rPr>
          <w:color w:val="000000"/>
        </w:rPr>
      </w:pPr>
      <w:r w:rsidRPr="004712DC">
        <w:rPr>
          <w:color w:val="000000"/>
        </w:rPr>
        <w:t>1. Circumstances Making the Collection of Information Necessary</w:t>
      </w:r>
      <w:r w:rsidRPr="004712DC">
        <w:rPr>
          <w:color w:val="000000"/>
        </w:rPr>
        <w:tab/>
      </w:r>
      <w:r w:rsidRPr="004712DC">
        <w:rPr>
          <w:color w:val="000000"/>
        </w:rPr>
        <w:tab/>
      </w:r>
      <w:r w:rsidRPr="004712DC">
        <w:rPr>
          <w:color w:val="000000"/>
        </w:rPr>
        <w:tab/>
      </w:r>
      <w:r w:rsidRPr="004712DC">
        <w:rPr>
          <w:color w:val="000000"/>
        </w:rPr>
        <w:tab/>
      </w:r>
    </w:p>
    <w:p w14:paraId="695120B7" w14:textId="27607DAE" w:rsidR="00F71CD6" w:rsidRPr="004712DC" w:rsidRDefault="00464AB3" w:rsidP="00F71CD6">
      <w:pPr>
        <w:autoSpaceDE w:val="0"/>
        <w:autoSpaceDN w:val="0"/>
        <w:adjustRightInd w:val="0"/>
        <w:rPr>
          <w:color w:val="000000"/>
        </w:rPr>
      </w:pPr>
      <w:r w:rsidRPr="004712DC">
        <w:rPr>
          <w:color w:val="000000"/>
        </w:rPr>
        <w:t>2. Purpose and Use of Information Collection</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00F71CD6" w:rsidRPr="004712DC">
        <w:rPr>
          <w:color w:val="000000"/>
        </w:rPr>
        <w:t xml:space="preserve"> </w:t>
      </w:r>
    </w:p>
    <w:p w14:paraId="68610D21" w14:textId="3BC234DB" w:rsidR="00F71CD6" w:rsidRPr="004712DC" w:rsidRDefault="00464AB3" w:rsidP="00F71CD6">
      <w:pPr>
        <w:autoSpaceDE w:val="0"/>
        <w:autoSpaceDN w:val="0"/>
        <w:adjustRightInd w:val="0"/>
        <w:rPr>
          <w:color w:val="000000"/>
        </w:rPr>
      </w:pPr>
      <w:r w:rsidRPr="004712DC">
        <w:rPr>
          <w:color w:val="000000"/>
        </w:rPr>
        <w:t>3. Use of Improved Information Technology and Burden Reduction</w:t>
      </w:r>
      <w:r w:rsidRPr="004712DC">
        <w:rPr>
          <w:color w:val="000000"/>
        </w:rPr>
        <w:tab/>
      </w:r>
      <w:r w:rsidRPr="004712DC">
        <w:rPr>
          <w:color w:val="000000"/>
        </w:rPr>
        <w:tab/>
      </w:r>
      <w:r w:rsidRPr="004712DC">
        <w:rPr>
          <w:color w:val="000000"/>
        </w:rPr>
        <w:tab/>
      </w:r>
      <w:r w:rsidRPr="004712DC">
        <w:rPr>
          <w:color w:val="000000"/>
        </w:rPr>
        <w:tab/>
      </w:r>
    </w:p>
    <w:p w14:paraId="6E41A678" w14:textId="24729BB0" w:rsidR="00F71CD6" w:rsidRPr="004712DC" w:rsidRDefault="00464AB3" w:rsidP="00F71CD6">
      <w:pPr>
        <w:autoSpaceDE w:val="0"/>
        <w:autoSpaceDN w:val="0"/>
        <w:adjustRightInd w:val="0"/>
        <w:rPr>
          <w:color w:val="000000"/>
        </w:rPr>
      </w:pPr>
      <w:r w:rsidRPr="004712DC">
        <w:rPr>
          <w:color w:val="000000"/>
        </w:rPr>
        <w:t>4. Efforts to Identify Duplication and Use of Similar Information</w:t>
      </w:r>
      <w:r w:rsidRPr="004712DC">
        <w:rPr>
          <w:color w:val="000000"/>
        </w:rPr>
        <w:tab/>
      </w:r>
      <w:r w:rsidRPr="004712DC">
        <w:rPr>
          <w:color w:val="000000"/>
        </w:rPr>
        <w:tab/>
      </w:r>
      <w:r w:rsidRPr="004712DC">
        <w:rPr>
          <w:color w:val="000000"/>
        </w:rPr>
        <w:tab/>
      </w:r>
      <w:r w:rsidRPr="004712DC">
        <w:rPr>
          <w:color w:val="000000"/>
        </w:rPr>
        <w:tab/>
      </w:r>
    </w:p>
    <w:p w14:paraId="679C309E" w14:textId="72DE2B97" w:rsidR="00F71CD6" w:rsidRPr="004712DC" w:rsidRDefault="00464AB3" w:rsidP="00F71CD6">
      <w:pPr>
        <w:autoSpaceDE w:val="0"/>
        <w:autoSpaceDN w:val="0"/>
        <w:adjustRightInd w:val="0"/>
        <w:rPr>
          <w:color w:val="000000"/>
        </w:rPr>
      </w:pPr>
      <w:r w:rsidRPr="004712DC">
        <w:rPr>
          <w:color w:val="000000"/>
        </w:rPr>
        <w:t>5. Impact on Small Businesses or Other Small Entities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004712DC">
        <w:rPr>
          <w:color w:val="000000"/>
        </w:rPr>
        <w:t xml:space="preserve"> </w:t>
      </w:r>
    </w:p>
    <w:p w14:paraId="6E02144F" w14:textId="27DB4808" w:rsidR="00F71CD6" w:rsidRPr="004712DC" w:rsidRDefault="00464AB3" w:rsidP="00464AB3">
      <w:pPr>
        <w:autoSpaceDE w:val="0"/>
        <w:autoSpaceDN w:val="0"/>
        <w:adjustRightInd w:val="0"/>
        <w:rPr>
          <w:color w:val="000000"/>
        </w:rPr>
      </w:pPr>
      <w:r w:rsidRPr="004712DC">
        <w:rPr>
          <w:color w:val="000000"/>
        </w:rPr>
        <w:t>6. Consequences of Collecting the Information Less Frequently</w:t>
      </w:r>
      <w:r w:rsidRPr="004712DC">
        <w:rPr>
          <w:color w:val="000000"/>
        </w:rPr>
        <w:tab/>
      </w:r>
      <w:r w:rsidRPr="004712DC">
        <w:rPr>
          <w:color w:val="000000"/>
        </w:rPr>
        <w:tab/>
      </w:r>
      <w:r w:rsidRPr="004712DC">
        <w:rPr>
          <w:color w:val="000000"/>
        </w:rPr>
        <w:tab/>
      </w:r>
      <w:r w:rsidRPr="004712DC">
        <w:rPr>
          <w:color w:val="000000"/>
        </w:rPr>
        <w:tab/>
      </w:r>
    </w:p>
    <w:p w14:paraId="60D1FEA7" w14:textId="226719D9" w:rsidR="00F71CD6" w:rsidRPr="004712DC" w:rsidRDefault="00464AB3" w:rsidP="00464AB3">
      <w:pPr>
        <w:autoSpaceDE w:val="0"/>
        <w:autoSpaceDN w:val="0"/>
        <w:adjustRightInd w:val="0"/>
        <w:rPr>
          <w:color w:val="000000"/>
        </w:rPr>
      </w:pPr>
      <w:r w:rsidRPr="004712DC">
        <w:rPr>
          <w:color w:val="000000"/>
        </w:rPr>
        <w:t>7. Special Circumstances Relating to the Guidelines of 5 CFR 1320.5</w:t>
      </w:r>
      <w:r w:rsidRPr="004712DC">
        <w:rPr>
          <w:color w:val="000000"/>
        </w:rPr>
        <w:tab/>
      </w:r>
      <w:r w:rsidRPr="004712DC">
        <w:rPr>
          <w:color w:val="000000"/>
        </w:rPr>
        <w:tab/>
      </w:r>
      <w:r w:rsidRPr="004712DC">
        <w:rPr>
          <w:color w:val="000000"/>
        </w:rPr>
        <w:tab/>
      </w:r>
      <w:r w:rsidRPr="004712DC">
        <w:rPr>
          <w:color w:val="000000"/>
        </w:rPr>
        <w:tab/>
      </w:r>
    </w:p>
    <w:p w14:paraId="31060ED5" w14:textId="77777777" w:rsidR="004712DC" w:rsidRDefault="00464AB3" w:rsidP="00464AB3">
      <w:pPr>
        <w:autoSpaceDE w:val="0"/>
        <w:autoSpaceDN w:val="0"/>
        <w:adjustRightInd w:val="0"/>
        <w:rPr>
          <w:color w:val="000000"/>
        </w:rPr>
      </w:pPr>
      <w:r w:rsidRPr="004712DC">
        <w:rPr>
          <w:color w:val="000000"/>
        </w:rPr>
        <w:t>8. Comments in Response to the Federal Register Notice and</w:t>
      </w:r>
      <w:r w:rsidR="004712DC">
        <w:rPr>
          <w:color w:val="000000"/>
        </w:rPr>
        <w:t xml:space="preserve"> </w:t>
      </w:r>
      <w:r w:rsidRPr="004712DC">
        <w:rPr>
          <w:color w:val="000000"/>
        </w:rPr>
        <w:t xml:space="preserve">Efforts to Consult Outside the </w:t>
      </w:r>
    </w:p>
    <w:p w14:paraId="7323327E" w14:textId="00BF0FDD" w:rsidR="00F71CD6" w:rsidRPr="004712DC" w:rsidRDefault="004712DC" w:rsidP="00464AB3">
      <w:pPr>
        <w:autoSpaceDE w:val="0"/>
        <w:autoSpaceDN w:val="0"/>
        <w:adjustRightInd w:val="0"/>
        <w:rPr>
          <w:color w:val="000000"/>
        </w:rPr>
      </w:pPr>
      <w:r>
        <w:rPr>
          <w:color w:val="000000"/>
        </w:rPr>
        <w:t xml:space="preserve">    </w:t>
      </w:r>
      <w:r w:rsidR="00464AB3" w:rsidRPr="004712DC">
        <w:rPr>
          <w:color w:val="000000"/>
        </w:rPr>
        <w:t>Agency</w:t>
      </w:r>
      <w:r w:rsidR="00F71CD6" w:rsidRPr="004712DC">
        <w:rPr>
          <w:color w:val="000000"/>
        </w:rPr>
        <w:tab/>
      </w:r>
      <w:r w:rsidR="00F71CD6" w:rsidRPr="004712DC">
        <w:rPr>
          <w:color w:val="000000"/>
        </w:rPr>
        <w:tab/>
      </w:r>
      <w:r w:rsidR="00F71CD6" w:rsidRPr="004712DC">
        <w:rPr>
          <w:color w:val="000000"/>
        </w:rPr>
        <w:tab/>
      </w:r>
      <w:r w:rsidR="00F71CD6" w:rsidRPr="004712DC">
        <w:rPr>
          <w:color w:val="000000"/>
        </w:rPr>
        <w:tab/>
      </w:r>
      <w:r w:rsidR="00F71CD6" w:rsidRPr="004712DC">
        <w:rPr>
          <w:color w:val="000000"/>
        </w:rPr>
        <w:tab/>
      </w:r>
      <w:r w:rsidR="00F71CD6" w:rsidRPr="004712DC">
        <w:rPr>
          <w:color w:val="000000"/>
        </w:rPr>
        <w:tab/>
      </w:r>
      <w:r w:rsidR="00464AB3" w:rsidRPr="004712DC">
        <w:rPr>
          <w:color w:val="000000"/>
        </w:rPr>
        <w:tab/>
      </w:r>
      <w:r w:rsidR="00F71CD6" w:rsidRPr="004712DC">
        <w:rPr>
          <w:color w:val="000000"/>
        </w:rPr>
        <w:t xml:space="preserve"> </w:t>
      </w:r>
    </w:p>
    <w:p w14:paraId="28550635" w14:textId="50A1323C" w:rsidR="00F71CD6" w:rsidRPr="004712DC" w:rsidRDefault="00464AB3" w:rsidP="00464AB3">
      <w:pPr>
        <w:autoSpaceDE w:val="0"/>
        <w:autoSpaceDN w:val="0"/>
        <w:adjustRightInd w:val="0"/>
        <w:rPr>
          <w:color w:val="000000"/>
        </w:rPr>
      </w:pPr>
      <w:r w:rsidRPr="004712DC">
        <w:rPr>
          <w:color w:val="000000"/>
        </w:rPr>
        <w:t>9. Explanation of Any Payment or Gift to Respondents</w:t>
      </w:r>
      <w:r w:rsidRPr="004712DC">
        <w:rPr>
          <w:color w:val="000000"/>
        </w:rPr>
        <w:tab/>
      </w:r>
      <w:r w:rsidR="00F71CD6" w:rsidRPr="004712DC">
        <w:rPr>
          <w:color w:val="000000"/>
        </w:rPr>
        <w:tab/>
      </w:r>
      <w:r w:rsidR="00F71CD6" w:rsidRPr="004712DC">
        <w:rPr>
          <w:color w:val="000000"/>
        </w:rPr>
        <w:tab/>
      </w:r>
      <w:r w:rsidR="00F71CD6" w:rsidRPr="004712DC">
        <w:rPr>
          <w:color w:val="000000"/>
        </w:rPr>
        <w:tab/>
      </w:r>
      <w:r w:rsidRPr="004712DC">
        <w:rPr>
          <w:color w:val="000000"/>
        </w:rPr>
        <w:tab/>
      </w:r>
    </w:p>
    <w:p w14:paraId="6080B68F" w14:textId="77777777" w:rsidR="004712DC" w:rsidRDefault="00464AB3" w:rsidP="00F71CD6">
      <w:pPr>
        <w:autoSpaceDE w:val="0"/>
        <w:autoSpaceDN w:val="0"/>
        <w:adjustRightInd w:val="0"/>
        <w:rPr>
          <w:color w:val="000000"/>
        </w:rPr>
      </w:pPr>
      <w:r w:rsidRPr="004712DC">
        <w:rPr>
          <w:color w:val="000000"/>
        </w:rPr>
        <w:t>10. Protection of the Privacy and Confiden</w:t>
      </w:r>
      <w:r w:rsidR="004712DC">
        <w:rPr>
          <w:color w:val="000000"/>
        </w:rPr>
        <w:t>tiality of Information Provided by Respondents</w:t>
      </w:r>
    </w:p>
    <w:p w14:paraId="70D06C52" w14:textId="7E42B758" w:rsidR="00F71CD6" w:rsidRPr="004712DC" w:rsidRDefault="00464AB3" w:rsidP="00F71CD6">
      <w:pPr>
        <w:autoSpaceDE w:val="0"/>
        <w:autoSpaceDN w:val="0"/>
        <w:adjustRightInd w:val="0"/>
        <w:rPr>
          <w:color w:val="000000"/>
        </w:rPr>
      </w:pPr>
      <w:r w:rsidRPr="004712DC">
        <w:rPr>
          <w:color w:val="000000"/>
        </w:rPr>
        <w:t>11. Institutional Review Board (IRB) and Justification for Sensitive Questions</w:t>
      </w:r>
      <w:r w:rsidRPr="004712DC">
        <w:rPr>
          <w:color w:val="000000"/>
        </w:rPr>
        <w:tab/>
      </w:r>
      <w:r w:rsidRPr="004712DC">
        <w:rPr>
          <w:color w:val="000000"/>
        </w:rPr>
        <w:tab/>
      </w:r>
      <w:r w:rsidRPr="004712DC">
        <w:rPr>
          <w:color w:val="000000"/>
        </w:rPr>
        <w:tab/>
      </w:r>
    </w:p>
    <w:p w14:paraId="5C3003F4" w14:textId="77777777" w:rsidR="000E1276" w:rsidRPr="004712DC" w:rsidRDefault="00464AB3" w:rsidP="00F71CD6">
      <w:pPr>
        <w:autoSpaceDE w:val="0"/>
        <w:autoSpaceDN w:val="0"/>
        <w:adjustRightInd w:val="0"/>
        <w:rPr>
          <w:color w:val="000000"/>
        </w:rPr>
      </w:pPr>
      <w:r w:rsidRPr="004712DC">
        <w:rPr>
          <w:color w:val="000000"/>
        </w:rPr>
        <w:t>12. Estimates of Annualized Burden Hours and Costs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14:paraId="3A0C84DE" w14:textId="4C6C468E" w:rsidR="00F71CD6" w:rsidRPr="004712DC" w:rsidRDefault="00464AB3" w:rsidP="00F71CD6">
      <w:pPr>
        <w:autoSpaceDE w:val="0"/>
        <w:autoSpaceDN w:val="0"/>
        <w:adjustRightInd w:val="0"/>
        <w:rPr>
          <w:color w:val="000000"/>
        </w:rPr>
      </w:pPr>
      <w:r w:rsidRPr="004712DC">
        <w:rPr>
          <w:color w:val="000000"/>
        </w:rPr>
        <w:t>13. Estimates of Other Total Annual Cost</w:t>
      </w:r>
      <w:r w:rsidR="004712DC">
        <w:rPr>
          <w:color w:val="000000"/>
        </w:rPr>
        <w:t xml:space="preserve"> Burden to Respondents or Record </w:t>
      </w:r>
      <w:r w:rsidRPr="004712DC">
        <w:rPr>
          <w:color w:val="000000"/>
        </w:rPr>
        <w:t>Keepers</w:t>
      </w:r>
      <w:r w:rsidR="00F71CD6" w:rsidRPr="004712DC">
        <w:rPr>
          <w:color w:val="000000"/>
        </w:rPr>
        <w:tab/>
      </w:r>
    </w:p>
    <w:p w14:paraId="15C380A0" w14:textId="7B314C7E" w:rsidR="00464AB3" w:rsidRPr="004712DC" w:rsidRDefault="00464AB3" w:rsidP="00F71CD6">
      <w:pPr>
        <w:autoSpaceDE w:val="0"/>
        <w:autoSpaceDN w:val="0"/>
        <w:adjustRightInd w:val="0"/>
        <w:rPr>
          <w:color w:val="000000"/>
        </w:rPr>
      </w:pPr>
      <w:r w:rsidRPr="004712DC">
        <w:rPr>
          <w:color w:val="000000"/>
        </w:rPr>
        <w:t xml:space="preserve">14. Annualized Cost to the </w:t>
      </w:r>
      <w:r w:rsidR="009E1610" w:rsidRPr="004712DC">
        <w:rPr>
          <w:color w:val="000000"/>
        </w:rPr>
        <w:t xml:space="preserve">Federal </w:t>
      </w:r>
      <w:r w:rsidRPr="004712DC">
        <w:rPr>
          <w:color w:val="000000"/>
        </w:rPr>
        <w:t>Government</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14:paraId="18BC8647" w14:textId="2D507609" w:rsidR="00464AB3" w:rsidRPr="004712DC" w:rsidRDefault="00464AB3" w:rsidP="00F71CD6">
      <w:pPr>
        <w:autoSpaceDE w:val="0"/>
        <w:autoSpaceDN w:val="0"/>
        <w:adjustRightInd w:val="0"/>
        <w:rPr>
          <w:color w:val="000000"/>
        </w:rPr>
      </w:pPr>
      <w:r w:rsidRPr="004712DC">
        <w:rPr>
          <w:color w:val="000000"/>
        </w:rPr>
        <w:t>15. Explanation for Program Changes or Adjustments</w:t>
      </w:r>
      <w:r w:rsidRPr="004712DC">
        <w:rPr>
          <w:color w:val="000000"/>
        </w:rPr>
        <w:tab/>
      </w:r>
    </w:p>
    <w:p w14:paraId="485A474F" w14:textId="02CCFF48" w:rsidR="00464AB3" w:rsidRPr="004712DC" w:rsidRDefault="00464AB3" w:rsidP="00F71CD6">
      <w:pPr>
        <w:autoSpaceDE w:val="0"/>
        <w:autoSpaceDN w:val="0"/>
        <w:adjustRightInd w:val="0"/>
        <w:rPr>
          <w:color w:val="000000"/>
        </w:rPr>
      </w:pPr>
      <w:r w:rsidRPr="004712DC">
        <w:rPr>
          <w:color w:val="000000"/>
        </w:rPr>
        <w:t>16. Plans for Tabulation and Publication and Project Time Schedule</w:t>
      </w:r>
      <w:r w:rsidRPr="004712DC">
        <w:rPr>
          <w:color w:val="000000"/>
        </w:rPr>
        <w:tab/>
      </w:r>
      <w:r w:rsidRPr="004712DC">
        <w:rPr>
          <w:color w:val="000000"/>
        </w:rPr>
        <w:tab/>
      </w:r>
      <w:r w:rsidRPr="004712DC">
        <w:rPr>
          <w:color w:val="000000"/>
        </w:rPr>
        <w:tab/>
      </w:r>
      <w:r w:rsidRPr="004712DC">
        <w:rPr>
          <w:color w:val="000000"/>
        </w:rPr>
        <w:tab/>
      </w:r>
    </w:p>
    <w:p w14:paraId="5D34C8FE" w14:textId="72ADF7E4" w:rsidR="00464AB3" w:rsidRPr="004712DC" w:rsidRDefault="00464AB3" w:rsidP="00F71CD6">
      <w:pPr>
        <w:autoSpaceDE w:val="0"/>
        <w:autoSpaceDN w:val="0"/>
        <w:adjustRightInd w:val="0"/>
        <w:rPr>
          <w:color w:val="000000"/>
        </w:rPr>
      </w:pPr>
      <w:r w:rsidRPr="004712DC">
        <w:rPr>
          <w:color w:val="000000"/>
        </w:rPr>
        <w:t>17. Reason(s) Display of OMB Expiration Date is Inappropriate</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14:paraId="3D1CCCD1" w14:textId="170BC909" w:rsidR="00464AB3" w:rsidRPr="004712DC" w:rsidRDefault="00464AB3" w:rsidP="00F71CD6">
      <w:pPr>
        <w:autoSpaceDE w:val="0"/>
        <w:autoSpaceDN w:val="0"/>
        <w:adjustRightInd w:val="0"/>
        <w:rPr>
          <w:color w:val="000000"/>
        </w:rPr>
      </w:pPr>
      <w:r w:rsidRPr="004712DC">
        <w:rPr>
          <w:color w:val="000000"/>
        </w:rPr>
        <w:t xml:space="preserve">18. Exceptions to Certification for Paperwork Reduction Act </w:t>
      </w:r>
      <w:r w:rsidR="009E1610" w:rsidRPr="004712DC">
        <w:rPr>
          <w:color w:val="000000"/>
        </w:rPr>
        <w:t xml:space="preserve">(PRA) </w:t>
      </w:r>
      <w:r w:rsidRPr="004712DC">
        <w:rPr>
          <w:color w:val="000000"/>
        </w:rPr>
        <w:t>Submissions</w:t>
      </w:r>
      <w:r w:rsidRPr="004712DC">
        <w:rPr>
          <w:color w:val="000000"/>
        </w:rPr>
        <w:tab/>
      </w:r>
      <w:r w:rsidRPr="004712DC">
        <w:rPr>
          <w:color w:val="000000"/>
        </w:rPr>
        <w:tab/>
      </w:r>
      <w:r w:rsidRPr="004712DC">
        <w:rPr>
          <w:color w:val="000000"/>
        </w:rPr>
        <w:tab/>
      </w:r>
    </w:p>
    <w:p w14:paraId="649B5347" w14:textId="77777777" w:rsidR="00FC35FC" w:rsidRPr="004712DC" w:rsidRDefault="00FC35FC" w:rsidP="00FC35FC">
      <w:pPr>
        <w:spacing w:before="240" w:after="240"/>
        <w:rPr>
          <w:b/>
          <w:caps/>
        </w:rPr>
      </w:pPr>
      <w:r w:rsidRPr="004712DC">
        <w:rPr>
          <w:b/>
          <w:caps/>
        </w:rPr>
        <w:t>Exhibits</w:t>
      </w:r>
      <w:r w:rsidRPr="004712DC">
        <w:rPr>
          <w:b/>
          <w:caps/>
        </w:rPr>
        <w:tab/>
      </w:r>
    </w:p>
    <w:p w14:paraId="19626A30" w14:textId="3A2C24A1" w:rsidR="00C34EAB" w:rsidRPr="004712DC" w:rsidRDefault="00C34EAB" w:rsidP="00C34EAB">
      <w:pPr>
        <w:autoSpaceDE w:val="0"/>
        <w:autoSpaceDN w:val="0"/>
        <w:adjustRightInd w:val="0"/>
        <w:rPr>
          <w:rFonts w:eastAsiaTheme="minorHAnsi"/>
        </w:rPr>
      </w:pPr>
      <w:r w:rsidRPr="004712DC">
        <w:rPr>
          <w:rFonts w:eastAsiaTheme="minorHAnsi"/>
        </w:rPr>
        <w:t>Exhibit 12.A</w:t>
      </w:r>
      <w:r w:rsidRPr="004712DC">
        <w:rPr>
          <w:rFonts w:eastAsiaTheme="minorHAnsi"/>
        </w:rPr>
        <w:tab/>
        <w:t>Estimated Annualized Burden Hours</w:t>
      </w:r>
    </w:p>
    <w:p w14:paraId="6F906F01" w14:textId="77777777" w:rsidR="00C34EAB" w:rsidRPr="004712DC" w:rsidRDefault="00C34EAB" w:rsidP="00C34EAB">
      <w:pPr>
        <w:autoSpaceDE w:val="0"/>
        <w:autoSpaceDN w:val="0"/>
        <w:adjustRightInd w:val="0"/>
        <w:rPr>
          <w:rFonts w:eastAsiaTheme="minorHAnsi"/>
        </w:rPr>
      </w:pPr>
      <w:r w:rsidRPr="004712DC">
        <w:rPr>
          <w:rFonts w:eastAsiaTheme="minorHAnsi"/>
        </w:rPr>
        <w:t>Exhibit 12.B</w:t>
      </w:r>
      <w:r w:rsidRPr="004712DC">
        <w:rPr>
          <w:rFonts w:eastAsiaTheme="minorHAnsi"/>
        </w:rPr>
        <w:tab/>
        <w:t>Estimated Annualized Burden Costs</w:t>
      </w:r>
    </w:p>
    <w:p w14:paraId="08B2A95F" w14:textId="12FF62B7" w:rsidR="00FC35FC" w:rsidRPr="004712DC" w:rsidRDefault="00C34EAB" w:rsidP="00C34EAB">
      <w:pPr>
        <w:autoSpaceDE w:val="0"/>
        <w:autoSpaceDN w:val="0"/>
        <w:adjustRightInd w:val="0"/>
        <w:rPr>
          <w:rFonts w:eastAsiaTheme="minorHAnsi"/>
          <w:bCs/>
        </w:rPr>
      </w:pPr>
      <w:r w:rsidRPr="004712DC">
        <w:rPr>
          <w:rFonts w:eastAsiaTheme="minorHAnsi"/>
        </w:rPr>
        <w:t>Exhibit 14.A</w:t>
      </w:r>
      <w:r w:rsidRPr="004712DC">
        <w:rPr>
          <w:rFonts w:eastAsiaTheme="minorHAnsi"/>
        </w:rPr>
        <w:tab/>
        <w:t>Estimated Annualized Costs to the Government</w:t>
      </w:r>
    </w:p>
    <w:p w14:paraId="122D37E1" w14:textId="77777777" w:rsidR="00FE693E" w:rsidRPr="004712DC" w:rsidRDefault="00FE693E" w:rsidP="00FC35FC">
      <w:pPr>
        <w:autoSpaceDE w:val="0"/>
        <w:autoSpaceDN w:val="0"/>
        <w:adjustRightInd w:val="0"/>
        <w:rPr>
          <w:b/>
          <w:bCs/>
        </w:rPr>
      </w:pPr>
    </w:p>
    <w:p w14:paraId="49184A6C" w14:textId="56C65810" w:rsidR="00FC35FC" w:rsidRPr="004712DC" w:rsidRDefault="00FC35FC" w:rsidP="00FC35FC">
      <w:pPr>
        <w:autoSpaceDE w:val="0"/>
        <w:autoSpaceDN w:val="0"/>
        <w:adjustRightInd w:val="0"/>
        <w:rPr>
          <w:b/>
          <w:bCs/>
        </w:rPr>
      </w:pPr>
      <w:r w:rsidRPr="004712DC">
        <w:rPr>
          <w:b/>
          <w:bCs/>
        </w:rPr>
        <w:t>LIST OF ATTACHMENTS</w:t>
      </w:r>
    </w:p>
    <w:p w14:paraId="43EBF1D1" w14:textId="77666C7D" w:rsidR="00FC35FC" w:rsidRDefault="00FC35FC" w:rsidP="00FC35FC">
      <w:pPr>
        <w:autoSpaceDE w:val="0"/>
        <w:autoSpaceDN w:val="0"/>
        <w:adjustRightInd w:val="0"/>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7672"/>
      </w:tblGrid>
      <w:tr w:rsidR="00961DAD" w14:paraId="4C80EE4F" w14:textId="77777777" w:rsidTr="00961DAD">
        <w:tc>
          <w:tcPr>
            <w:tcW w:w="878" w:type="dxa"/>
          </w:tcPr>
          <w:p w14:paraId="2AAE5FAB" w14:textId="77777777" w:rsidR="00961DAD" w:rsidRPr="00965585" w:rsidRDefault="00961DAD" w:rsidP="0002694E">
            <w:r w:rsidRPr="00965585">
              <w:t>1</w:t>
            </w:r>
          </w:p>
        </w:tc>
        <w:tc>
          <w:tcPr>
            <w:tcW w:w="7672" w:type="dxa"/>
          </w:tcPr>
          <w:p w14:paraId="7E98F1CB" w14:textId="77777777" w:rsidR="00961DAD" w:rsidRPr="008865DC" w:rsidRDefault="00961DAD" w:rsidP="0002694E">
            <w:pPr>
              <w:rPr>
                <w:rFonts w:eastAsiaTheme="minorHAnsi"/>
              </w:rPr>
            </w:pPr>
            <w:r w:rsidRPr="008865DC">
              <w:rPr>
                <w:rFonts w:eastAsiaTheme="minorHAnsi"/>
              </w:rPr>
              <w:t>Section 301 of the Public Health Service Act</w:t>
            </w:r>
          </w:p>
        </w:tc>
      </w:tr>
      <w:tr w:rsidR="00961DAD" w14:paraId="456ADD72" w14:textId="77777777" w:rsidTr="00961DAD">
        <w:tc>
          <w:tcPr>
            <w:tcW w:w="878" w:type="dxa"/>
          </w:tcPr>
          <w:p w14:paraId="09432664" w14:textId="69355979" w:rsidR="00961DAD" w:rsidRPr="00965585" w:rsidRDefault="00961DAD" w:rsidP="0002694E">
            <w:r w:rsidRPr="00965585">
              <w:t>2</w:t>
            </w:r>
            <w:r w:rsidR="006D17AF">
              <w:t>a</w:t>
            </w:r>
          </w:p>
        </w:tc>
        <w:tc>
          <w:tcPr>
            <w:tcW w:w="7672" w:type="dxa"/>
          </w:tcPr>
          <w:p w14:paraId="70248E10" w14:textId="0FCC418F" w:rsidR="00D43787" w:rsidRPr="008865DC" w:rsidRDefault="00961DAD" w:rsidP="0002694E">
            <w:pPr>
              <w:rPr>
                <w:rFonts w:eastAsiaTheme="minorHAnsi"/>
              </w:rPr>
            </w:pPr>
            <w:r w:rsidRPr="008865DC">
              <w:rPr>
                <w:rFonts w:eastAsiaTheme="minorHAnsi"/>
              </w:rPr>
              <w:t>60-Day Federal Register Notice</w:t>
            </w:r>
          </w:p>
        </w:tc>
      </w:tr>
      <w:tr w:rsidR="00D43787" w14:paraId="070C740F" w14:textId="77777777" w:rsidTr="00961DAD">
        <w:tc>
          <w:tcPr>
            <w:tcW w:w="878" w:type="dxa"/>
          </w:tcPr>
          <w:p w14:paraId="40369F0E" w14:textId="344AF264" w:rsidR="00D43787" w:rsidRPr="00965585" w:rsidRDefault="00D43787" w:rsidP="0002694E">
            <w:r>
              <w:t>2b</w:t>
            </w:r>
          </w:p>
        </w:tc>
        <w:tc>
          <w:tcPr>
            <w:tcW w:w="7672" w:type="dxa"/>
          </w:tcPr>
          <w:p w14:paraId="0A80B781" w14:textId="3FFDDADA" w:rsidR="00D43787" w:rsidRPr="008865DC" w:rsidRDefault="00D43787" w:rsidP="0002694E">
            <w:pPr>
              <w:rPr>
                <w:rFonts w:eastAsiaTheme="minorHAnsi"/>
              </w:rPr>
            </w:pPr>
            <w:r>
              <w:rPr>
                <w:rFonts w:eastAsiaTheme="minorHAnsi"/>
              </w:rPr>
              <w:t>Public Comments</w:t>
            </w:r>
          </w:p>
        </w:tc>
      </w:tr>
      <w:tr w:rsidR="00961DAD" w14:paraId="5A19DED7" w14:textId="77777777" w:rsidTr="00961DAD">
        <w:tc>
          <w:tcPr>
            <w:tcW w:w="878" w:type="dxa"/>
          </w:tcPr>
          <w:p w14:paraId="2FBE2BF7" w14:textId="77777777" w:rsidR="00961DAD" w:rsidRPr="00965585" w:rsidRDefault="00961DAD" w:rsidP="0002694E">
            <w:r w:rsidRPr="00965585">
              <w:t>3</w:t>
            </w:r>
          </w:p>
        </w:tc>
        <w:tc>
          <w:tcPr>
            <w:tcW w:w="7672" w:type="dxa"/>
          </w:tcPr>
          <w:p w14:paraId="2DA97C7F" w14:textId="5887CAFD" w:rsidR="00961DAD" w:rsidRPr="008865DC" w:rsidRDefault="00D724A7" w:rsidP="00D724A7">
            <w:pPr>
              <w:rPr>
                <w:rFonts w:eastAsiaTheme="minorHAnsi"/>
              </w:rPr>
            </w:pPr>
            <w:r>
              <w:rPr>
                <w:rFonts w:eastAsiaTheme="minorHAnsi"/>
              </w:rPr>
              <w:t>Summary of Revisions</w:t>
            </w:r>
          </w:p>
        </w:tc>
      </w:tr>
      <w:tr w:rsidR="00961DAD" w14:paraId="1D70E887" w14:textId="77777777" w:rsidTr="00961DAD">
        <w:tc>
          <w:tcPr>
            <w:tcW w:w="878" w:type="dxa"/>
          </w:tcPr>
          <w:p w14:paraId="2D86BB9E" w14:textId="77777777" w:rsidR="00961DAD" w:rsidRPr="00965585" w:rsidRDefault="00961DAD" w:rsidP="0002694E">
            <w:r w:rsidRPr="00965585">
              <w:t>4</w:t>
            </w:r>
          </w:p>
        </w:tc>
        <w:tc>
          <w:tcPr>
            <w:tcW w:w="7672" w:type="dxa"/>
          </w:tcPr>
          <w:p w14:paraId="24D86A40" w14:textId="77777777" w:rsidR="00961DAD" w:rsidRPr="008865DC" w:rsidRDefault="00961DAD" w:rsidP="0002694E">
            <w:pPr>
              <w:rPr>
                <w:rFonts w:eastAsiaTheme="minorHAnsi"/>
              </w:rPr>
            </w:pPr>
            <w:r w:rsidRPr="008865DC">
              <w:rPr>
                <w:rFonts w:eastAsiaTheme="minorHAnsi"/>
              </w:rPr>
              <w:t>Enhanced SSuN Protocol</w:t>
            </w:r>
          </w:p>
        </w:tc>
      </w:tr>
      <w:tr w:rsidR="00961DAD" w14:paraId="4638C676" w14:textId="77777777" w:rsidTr="00961DAD">
        <w:tc>
          <w:tcPr>
            <w:tcW w:w="878" w:type="dxa"/>
          </w:tcPr>
          <w:p w14:paraId="0F953D44" w14:textId="77777777" w:rsidR="00961DAD" w:rsidRPr="00965585" w:rsidRDefault="00961DAD" w:rsidP="0002694E">
            <w:r w:rsidRPr="00965585">
              <w:t>5</w:t>
            </w:r>
          </w:p>
        </w:tc>
        <w:tc>
          <w:tcPr>
            <w:tcW w:w="7672" w:type="dxa"/>
          </w:tcPr>
          <w:p w14:paraId="6B5C1259" w14:textId="77777777" w:rsidR="00961DAD" w:rsidRPr="008865DC" w:rsidRDefault="00961DAD" w:rsidP="0002694E">
            <w:pPr>
              <w:rPr>
                <w:rFonts w:eastAsiaTheme="minorHAnsi"/>
              </w:rPr>
            </w:pPr>
            <w:r w:rsidRPr="008865DC">
              <w:rPr>
                <w:rFonts w:eastAsiaTheme="minorHAnsi"/>
              </w:rPr>
              <w:t>Enhanced SSuN Data Elements</w:t>
            </w:r>
          </w:p>
        </w:tc>
      </w:tr>
      <w:tr w:rsidR="00961DAD" w14:paraId="1429099B" w14:textId="77777777" w:rsidTr="00961DAD">
        <w:tc>
          <w:tcPr>
            <w:tcW w:w="878" w:type="dxa"/>
          </w:tcPr>
          <w:p w14:paraId="0B226686" w14:textId="77777777" w:rsidR="00961DAD" w:rsidRPr="00965585" w:rsidRDefault="00961DAD" w:rsidP="0002694E">
            <w:r w:rsidRPr="00965585">
              <w:t>6</w:t>
            </w:r>
          </w:p>
        </w:tc>
        <w:tc>
          <w:tcPr>
            <w:tcW w:w="7672" w:type="dxa"/>
          </w:tcPr>
          <w:p w14:paraId="41C3EB5C" w14:textId="23B5BB04" w:rsidR="00961DAD" w:rsidRPr="008865DC" w:rsidRDefault="00961DAD" w:rsidP="0002694E">
            <w:pPr>
              <w:rPr>
                <w:rFonts w:eastAsiaTheme="minorHAnsi"/>
              </w:rPr>
            </w:pPr>
            <w:r w:rsidRPr="008865DC">
              <w:rPr>
                <w:rFonts w:eastAsiaTheme="minorHAnsi"/>
              </w:rPr>
              <w:t>List of e</w:t>
            </w:r>
            <w:r>
              <w:rPr>
                <w:rFonts w:eastAsiaTheme="minorHAnsi"/>
              </w:rPr>
              <w:t xml:space="preserve">nhanced </w:t>
            </w:r>
            <w:r w:rsidRPr="008865DC">
              <w:rPr>
                <w:rFonts w:eastAsiaTheme="minorHAnsi"/>
              </w:rPr>
              <w:t>SSuN Collaborators</w:t>
            </w:r>
          </w:p>
        </w:tc>
      </w:tr>
      <w:tr w:rsidR="00961DAD" w14:paraId="092E52C9" w14:textId="77777777" w:rsidTr="00961DAD">
        <w:tc>
          <w:tcPr>
            <w:tcW w:w="878" w:type="dxa"/>
          </w:tcPr>
          <w:p w14:paraId="05624957" w14:textId="77777777" w:rsidR="00961DAD" w:rsidRPr="00965585" w:rsidRDefault="00961DAD" w:rsidP="0002694E">
            <w:r w:rsidRPr="00965585">
              <w:t>7</w:t>
            </w:r>
          </w:p>
        </w:tc>
        <w:tc>
          <w:tcPr>
            <w:tcW w:w="7672" w:type="dxa"/>
          </w:tcPr>
          <w:p w14:paraId="26A453C4" w14:textId="77777777" w:rsidR="00961DAD" w:rsidRPr="008865DC" w:rsidRDefault="00961DAD" w:rsidP="0002694E">
            <w:pPr>
              <w:rPr>
                <w:rFonts w:eastAsiaTheme="minorHAnsi"/>
              </w:rPr>
            </w:pPr>
            <w:r w:rsidRPr="008865DC">
              <w:rPr>
                <w:rFonts w:eastAsiaTheme="minorHAnsi"/>
              </w:rPr>
              <w:t>Enhanced SSuN Publications</w:t>
            </w:r>
          </w:p>
        </w:tc>
      </w:tr>
      <w:tr w:rsidR="00961DAD" w14:paraId="246B3FED" w14:textId="77777777" w:rsidTr="00961DAD">
        <w:tc>
          <w:tcPr>
            <w:tcW w:w="878" w:type="dxa"/>
          </w:tcPr>
          <w:p w14:paraId="512A8E8F" w14:textId="77777777" w:rsidR="00961DAD" w:rsidRPr="00965585" w:rsidRDefault="00961DAD" w:rsidP="0002694E">
            <w:r w:rsidRPr="00965585">
              <w:t>8</w:t>
            </w:r>
          </w:p>
        </w:tc>
        <w:tc>
          <w:tcPr>
            <w:tcW w:w="7672" w:type="dxa"/>
          </w:tcPr>
          <w:p w14:paraId="68ABDDDC" w14:textId="50B13F84" w:rsidR="00961DAD" w:rsidRPr="008865DC" w:rsidRDefault="00961DAD" w:rsidP="00961DAD">
            <w:pPr>
              <w:rPr>
                <w:rFonts w:eastAsiaTheme="minorHAnsi"/>
              </w:rPr>
            </w:pPr>
            <w:r w:rsidRPr="008865DC">
              <w:rPr>
                <w:rFonts w:eastAsiaTheme="minorHAnsi"/>
              </w:rPr>
              <w:t xml:space="preserve">Interview Template for Gonorrhea and Early </w:t>
            </w:r>
            <w:r>
              <w:rPr>
                <w:rFonts w:eastAsiaTheme="minorHAnsi"/>
              </w:rPr>
              <w:t>S</w:t>
            </w:r>
            <w:r w:rsidRPr="008865DC">
              <w:rPr>
                <w:rFonts w:eastAsiaTheme="minorHAnsi"/>
              </w:rPr>
              <w:t>yphilis Patients</w:t>
            </w:r>
          </w:p>
        </w:tc>
      </w:tr>
      <w:tr w:rsidR="00961DAD" w14:paraId="4FC17DFB" w14:textId="77777777" w:rsidTr="00961DAD">
        <w:tc>
          <w:tcPr>
            <w:tcW w:w="878" w:type="dxa"/>
          </w:tcPr>
          <w:p w14:paraId="41803C5E" w14:textId="77777777" w:rsidR="00961DAD" w:rsidRPr="00965585" w:rsidRDefault="00961DAD" w:rsidP="0002694E">
            <w:r w:rsidRPr="00965585">
              <w:t>9</w:t>
            </w:r>
          </w:p>
        </w:tc>
        <w:tc>
          <w:tcPr>
            <w:tcW w:w="7672" w:type="dxa"/>
          </w:tcPr>
          <w:p w14:paraId="6F98B0BF" w14:textId="10C9E712" w:rsidR="00961DAD" w:rsidRPr="008865DC" w:rsidRDefault="00961DAD" w:rsidP="00961DAD">
            <w:pPr>
              <w:rPr>
                <w:rFonts w:eastAsiaTheme="minorHAnsi"/>
              </w:rPr>
            </w:pPr>
            <w:r w:rsidRPr="008865DC">
              <w:rPr>
                <w:rFonts w:eastAsiaTheme="minorHAnsi"/>
              </w:rPr>
              <w:t xml:space="preserve">CDC Project Determination </w:t>
            </w:r>
          </w:p>
        </w:tc>
      </w:tr>
      <w:tr w:rsidR="00961DAD" w14:paraId="038A61E7" w14:textId="77777777" w:rsidTr="00961DAD">
        <w:tc>
          <w:tcPr>
            <w:tcW w:w="878" w:type="dxa"/>
          </w:tcPr>
          <w:p w14:paraId="4D0AE3EB" w14:textId="77777777" w:rsidR="00961DAD" w:rsidRDefault="00961DAD" w:rsidP="0002694E">
            <w:r w:rsidRPr="00965585">
              <w:t>10</w:t>
            </w:r>
          </w:p>
        </w:tc>
        <w:tc>
          <w:tcPr>
            <w:tcW w:w="7672" w:type="dxa"/>
          </w:tcPr>
          <w:p w14:paraId="35D69121" w14:textId="3559BFD7" w:rsidR="003817DA" w:rsidRPr="008865DC" w:rsidRDefault="00961DAD" w:rsidP="0002694E">
            <w:pPr>
              <w:rPr>
                <w:rFonts w:eastAsiaTheme="minorHAnsi"/>
              </w:rPr>
            </w:pPr>
            <w:r w:rsidRPr="008865DC">
              <w:rPr>
                <w:rFonts w:eastAsiaTheme="minorHAnsi"/>
              </w:rPr>
              <w:t>Table of</w:t>
            </w:r>
            <w:r w:rsidR="003817DA">
              <w:rPr>
                <w:rFonts w:eastAsiaTheme="minorHAnsi"/>
              </w:rPr>
              <w:t xml:space="preserve"> Potentially Sensitive Question</w:t>
            </w:r>
          </w:p>
        </w:tc>
      </w:tr>
      <w:tr w:rsidR="003817DA" w14:paraId="11F4F4AF" w14:textId="77777777" w:rsidTr="00961DAD">
        <w:tc>
          <w:tcPr>
            <w:tcW w:w="878" w:type="dxa"/>
          </w:tcPr>
          <w:p w14:paraId="007C458C" w14:textId="29370307" w:rsidR="003817DA" w:rsidRPr="00965585" w:rsidRDefault="003817DA" w:rsidP="0002694E">
            <w:r>
              <w:t>11</w:t>
            </w:r>
          </w:p>
        </w:tc>
        <w:tc>
          <w:tcPr>
            <w:tcW w:w="7672" w:type="dxa"/>
          </w:tcPr>
          <w:p w14:paraId="3A84C135" w14:textId="346B2EA5" w:rsidR="003817DA" w:rsidRPr="008865DC" w:rsidRDefault="003817DA" w:rsidP="0002694E">
            <w:pPr>
              <w:rPr>
                <w:rFonts w:eastAsiaTheme="minorHAnsi"/>
              </w:rPr>
            </w:pPr>
            <w:r w:rsidRPr="003817DA">
              <w:rPr>
                <w:rFonts w:eastAsiaTheme="minorHAnsi"/>
              </w:rPr>
              <w:t>Privacy Impact Assessment (PIA)</w:t>
            </w:r>
          </w:p>
        </w:tc>
      </w:tr>
    </w:tbl>
    <w:p w14:paraId="2F5CF358" w14:textId="77777777" w:rsidR="00961DAD" w:rsidRPr="004712DC" w:rsidRDefault="00961DAD" w:rsidP="00FC35FC">
      <w:pPr>
        <w:autoSpaceDE w:val="0"/>
        <w:autoSpaceDN w:val="0"/>
        <w:adjustRightInd w:val="0"/>
        <w:rPr>
          <w:bCs/>
        </w:rPr>
      </w:pPr>
    </w:p>
    <w:p w14:paraId="0F401FE2" w14:textId="77777777" w:rsidR="00773131" w:rsidRPr="004712DC" w:rsidRDefault="00773131" w:rsidP="00FC35FC">
      <w:pPr>
        <w:rPr>
          <w:rFonts w:eastAsiaTheme="minorHAnsi"/>
        </w:rPr>
      </w:pPr>
    </w:p>
    <w:p w14:paraId="4B61D421" w14:textId="41730644" w:rsidR="008D3396" w:rsidRPr="004712DC" w:rsidRDefault="008D3396" w:rsidP="00FC35FC">
      <w:pPr>
        <w:rPr>
          <w:rFonts w:eastAsiaTheme="minorHAnsi"/>
        </w:rPr>
      </w:pPr>
    </w:p>
    <w:p w14:paraId="74C43E3C" w14:textId="27947457" w:rsidR="00464AB3" w:rsidRPr="004712DC" w:rsidRDefault="00464AB3" w:rsidP="00FC35FC">
      <w:pPr>
        <w:rPr>
          <w:rFonts w:eastAsiaTheme="minorHAnsi"/>
        </w:rPr>
      </w:pPr>
    </w:p>
    <w:p w14:paraId="3C8F384C" w14:textId="6BC572F3" w:rsidR="00464AB3" w:rsidRPr="004712DC" w:rsidRDefault="00464AB3" w:rsidP="00FC35FC">
      <w:pPr>
        <w:rPr>
          <w:rFonts w:eastAsiaTheme="minorHAnsi"/>
        </w:rPr>
      </w:pPr>
    </w:p>
    <w:p w14:paraId="10D7C7AC" w14:textId="4113BA78" w:rsidR="00FE693E" w:rsidRPr="004712DC" w:rsidRDefault="00FE693E" w:rsidP="00FC35FC">
      <w:pPr>
        <w:rPr>
          <w:rFonts w:eastAsiaTheme="minorHAnsi"/>
        </w:rPr>
      </w:pPr>
    </w:p>
    <w:p w14:paraId="5A1E6E94" w14:textId="7E68AEBC" w:rsidR="00FE693E" w:rsidRPr="004712DC" w:rsidRDefault="00FE693E" w:rsidP="00FC35FC">
      <w:pPr>
        <w:rPr>
          <w:rFonts w:eastAsiaTheme="minorHAnsi"/>
        </w:rPr>
      </w:pPr>
    </w:p>
    <w:p w14:paraId="2D3505DE" w14:textId="249C8205" w:rsidR="008D3396" w:rsidRPr="004712DC" w:rsidRDefault="00E737E9" w:rsidP="00FC35FC">
      <w:pPr>
        <w:rPr>
          <w:rFonts w:eastAsiaTheme="minorHAnsi"/>
        </w:rPr>
      </w:pPr>
      <w:r w:rsidRPr="004712DC">
        <w:rPr>
          <w:b/>
          <w:bCs/>
          <w:noProof/>
        </w:rPr>
        <mc:AlternateContent>
          <mc:Choice Requires="wps">
            <w:drawing>
              <wp:anchor distT="0" distB="0" distL="114300" distR="114300" simplePos="0" relativeHeight="251658240" behindDoc="0" locked="0" layoutInCell="1" allowOverlap="1" wp14:anchorId="1C7C1256" wp14:editId="5E011B14">
                <wp:simplePos x="0" y="0"/>
                <wp:positionH relativeFrom="margin">
                  <wp:posOffset>180622</wp:posOffset>
                </wp:positionH>
                <wp:positionV relativeFrom="paragraph">
                  <wp:posOffset>5644</wp:posOffset>
                </wp:positionV>
                <wp:extent cx="5961529" cy="5808134"/>
                <wp:effectExtent l="0" t="0" r="2032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529" cy="5808134"/>
                        </a:xfrm>
                        <a:prstGeom prst="rect">
                          <a:avLst/>
                        </a:prstGeom>
                        <a:solidFill>
                          <a:srgbClr val="FFFFFF"/>
                        </a:solidFill>
                        <a:ln w="9525">
                          <a:solidFill>
                            <a:srgbClr val="000000"/>
                          </a:solidFill>
                          <a:miter lim="800000"/>
                          <a:headEnd/>
                          <a:tailEnd/>
                        </a:ln>
                      </wps:spPr>
                      <wps:txbx>
                        <w:txbxContent>
                          <w:p w14:paraId="12ADFB10" w14:textId="40F248E6" w:rsidR="003A76EB" w:rsidRPr="0091228B" w:rsidRDefault="003A76EB" w:rsidP="00F72E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enhanced STD Surveillance Network (SSuN) is a supplemental surveillance project designed to : 1) provide supplemental information on case reports of sexually transmitted diseases (STDs) of interest; 2) monitor STD and HIV screening, incidence, prevalence, and health care access in populations seeking STD clinic services, 3)provide timely surveillance and epidemiologic data on persons diagnosed with gonorrhea to direct public health STD prevention and control efforts, 4) monitor STD treatment and prevention services practices, and 5) monitor selected adverse health outcomes of STDs.   </w:t>
                            </w:r>
                          </w:p>
                          <w:p w14:paraId="37854285" w14:textId="1FCFB77C"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xml:space="preserve">:  To better interpret trends in reported case incidence, assess burden of disease by population characteristics, monitor and evaluate adherence to STD/HIV screening recommendations, and to respond to issues such as co-morbidities and decreasing antibiotic susceptibility. </w:t>
                            </w:r>
                          </w:p>
                          <w:p w14:paraId="0E55BA84" w14:textId="027E61FF"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SSuN activities will utilize two distinct surveillance strategies to collect information: Enhanced investigation (interviews) for a random sample of patients diagnosed with gonorrhea, persons diagnosed early syphilis with neuro/ocular manifestations in each of the funded jurisdictions, and sentinel surveillance in STD clinics.</w:t>
                            </w:r>
                          </w:p>
                          <w:p w14:paraId="09E11766" w14:textId="7CCB4A14"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Men and women diagnosed and reported with gonorrhea, men and women diagnosed with early syphilis and men and women seeking care at STD clinics. </w:t>
                            </w:r>
                          </w:p>
                          <w:p w14:paraId="1B4B556F" w14:textId="7879912E"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STD prevalence and trends by patient characteristics, geography, social determinants and provider type. Data collected from the facility component will be analyzed descriptively to evaluate STD/HIV testing, incidence and prevalence of STDs by patient characteristics, and monitor prescribing recommended treatment.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2pt;margin-top:.45pt;width:469.4pt;height:45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">
                <v:textbox>
                  <w:txbxContent>
                    <w:p w14:paraId="12ADFB10" w14:textId="40F248E6" w:rsidR="003A76EB" w:rsidRPr="0091228B" w:rsidRDefault="003A76EB" w:rsidP="00F72E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enhanced STD Surveillance Network (SSuN) is a supplemental surveillance project designed to : 1) provide supplemental information on case reports of sexually transmitted diseases (STDs) of interest; 2) monitor STD and HIV screening, incidence, prevalence, and health care access in populations seeking STD clinic services, 3)provide timely surveillance and epidemiologic data on persons diagnosed with gonorrhea to direct public health STD prevention and control efforts, 4) monitor STD treatment and prevention services practices, and 5) monitor selected adverse health outcomes of STDs.   </w:t>
                      </w:r>
                    </w:p>
                    <w:p w14:paraId="37854285" w14:textId="1FCFB77C"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xml:space="preserve">:  To better interpret trends in reported case incidence, assess burden of disease by population characteristics, monitor and evaluate adherence to STD/HIV screening recommendations, and to respond to issues such as co-morbidities and decreasing antibiotic susceptibility. </w:t>
                      </w:r>
                    </w:p>
                    <w:p w14:paraId="0E55BA84" w14:textId="027E61FF"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SSuN activities will utilize two distinct surveillance strategies to collect information: Enhanced investigation (interviews) for a random sample of patients diagnosed with gonorrhea, persons diagnosed early syphilis with neuro/ocular manifestations in each of the funded jurisdictions, and sentinel surveillance in STD clinics.</w:t>
                      </w:r>
                    </w:p>
                    <w:p w14:paraId="09E11766" w14:textId="7CCB4A14"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Men and women diagnosed and reported with gonorrhea, men and women diagnosed with early syphilis and men and women seeking care at STD clinics. </w:t>
                      </w:r>
                    </w:p>
                    <w:p w14:paraId="1B4B556F" w14:textId="7879912E" w:rsidR="003A76EB" w:rsidRPr="0091228B" w:rsidRDefault="003A76EB" w:rsidP="004D1B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STD prevalence and trends by patient characteristics, geography, social determinants and provider type. Data collected from the facility component will be analyzed descriptively to evaluate STD/HIV testing, incidence and prevalence of STDs by patient characteristics, and monitor prescribing recommended treatment. </w:t>
                      </w:r>
                    </w:p>
                  </w:txbxContent>
                </v:textbox>
                <w10:wrap anchorx="margin"/>
              </v:shape>
            </w:pict>
          </mc:Fallback>
        </mc:AlternateContent>
      </w:r>
    </w:p>
    <w:p w14:paraId="2D3CC9E9" w14:textId="101AC84A" w:rsidR="008D3396" w:rsidRPr="004712DC" w:rsidRDefault="008D3396" w:rsidP="00FC35FC">
      <w:pPr>
        <w:rPr>
          <w:rFonts w:eastAsiaTheme="minorHAnsi"/>
        </w:rPr>
      </w:pPr>
    </w:p>
    <w:p w14:paraId="6E826DC9" w14:textId="1CBAACFC" w:rsidR="008D3396" w:rsidRPr="004712DC" w:rsidRDefault="008D3396" w:rsidP="00FC35FC">
      <w:pPr>
        <w:rPr>
          <w:rFonts w:eastAsiaTheme="minorHAnsi"/>
        </w:rPr>
      </w:pPr>
    </w:p>
    <w:p w14:paraId="408B07DA" w14:textId="30B91AE6" w:rsidR="008D3396" w:rsidRPr="004712DC" w:rsidRDefault="008D3396" w:rsidP="00FC35FC">
      <w:pPr>
        <w:rPr>
          <w:rFonts w:eastAsiaTheme="minorHAnsi"/>
        </w:rPr>
      </w:pPr>
    </w:p>
    <w:p w14:paraId="4849C830" w14:textId="5191C316" w:rsidR="008D3396" w:rsidRPr="004712DC" w:rsidRDefault="008D3396" w:rsidP="00FC35FC">
      <w:pPr>
        <w:rPr>
          <w:rFonts w:eastAsiaTheme="minorHAnsi"/>
        </w:rPr>
      </w:pPr>
    </w:p>
    <w:p w14:paraId="5FF6012D" w14:textId="7B98018C" w:rsidR="008D3396" w:rsidRPr="004712DC" w:rsidRDefault="008D3396" w:rsidP="00FC35FC">
      <w:pPr>
        <w:rPr>
          <w:rFonts w:eastAsiaTheme="minorHAnsi"/>
        </w:rPr>
      </w:pPr>
    </w:p>
    <w:p w14:paraId="11804EC6" w14:textId="0A45588A" w:rsidR="008D3396" w:rsidRPr="004712DC" w:rsidRDefault="008D3396" w:rsidP="00FC35FC">
      <w:pPr>
        <w:rPr>
          <w:rFonts w:eastAsiaTheme="minorHAnsi"/>
        </w:rPr>
      </w:pPr>
    </w:p>
    <w:p w14:paraId="6E7516DD" w14:textId="1CFB04AA" w:rsidR="008D3396" w:rsidRPr="004712DC" w:rsidRDefault="008D3396" w:rsidP="00FC35FC">
      <w:pPr>
        <w:rPr>
          <w:rFonts w:eastAsiaTheme="minorHAnsi"/>
        </w:rPr>
      </w:pPr>
    </w:p>
    <w:p w14:paraId="64EEB935" w14:textId="35442316" w:rsidR="008D3396" w:rsidRPr="004712DC" w:rsidRDefault="008D3396" w:rsidP="00FC35FC">
      <w:pPr>
        <w:rPr>
          <w:rFonts w:eastAsiaTheme="minorHAnsi"/>
        </w:rPr>
      </w:pPr>
    </w:p>
    <w:p w14:paraId="1202CE00" w14:textId="395ECCDC" w:rsidR="008D3396" w:rsidRPr="004712DC" w:rsidRDefault="008D3396" w:rsidP="00FC35FC">
      <w:pPr>
        <w:rPr>
          <w:rFonts w:eastAsiaTheme="minorHAnsi"/>
        </w:rPr>
      </w:pPr>
    </w:p>
    <w:p w14:paraId="38924AC3" w14:textId="5F4AEB9C" w:rsidR="008D3396" w:rsidRPr="004712DC" w:rsidRDefault="008D3396" w:rsidP="00FC35FC">
      <w:pPr>
        <w:rPr>
          <w:rFonts w:eastAsiaTheme="minorHAnsi"/>
        </w:rPr>
      </w:pPr>
    </w:p>
    <w:p w14:paraId="583DB888" w14:textId="52DD12B8" w:rsidR="008D3396" w:rsidRPr="004712DC" w:rsidRDefault="008D3396" w:rsidP="00FC35FC">
      <w:pPr>
        <w:rPr>
          <w:rFonts w:eastAsiaTheme="minorHAnsi"/>
        </w:rPr>
      </w:pPr>
    </w:p>
    <w:p w14:paraId="06240A78" w14:textId="2FB2471B" w:rsidR="008D3396" w:rsidRPr="004712DC" w:rsidRDefault="008D3396" w:rsidP="00FC35FC">
      <w:pPr>
        <w:rPr>
          <w:rFonts w:eastAsiaTheme="minorHAnsi"/>
        </w:rPr>
      </w:pPr>
    </w:p>
    <w:p w14:paraId="655EA269" w14:textId="7A897A8C" w:rsidR="008D3396" w:rsidRPr="004712DC" w:rsidRDefault="008D3396" w:rsidP="00FC35FC">
      <w:pPr>
        <w:rPr>
          <w:rFonts w:eastAsiaTheme="minorHAnsi"/>
        </w:rPr>
      </w:pPr>
    </w:p>
    <w:p w14:paraId="072F35FD" w14:textId="3936D864" w:rsidR="008D3396" w:rsidRPr="004712DC" w:rsidRDefault="008D3396" w:rsidP="00FC35FC">
      <w:pPr>
        <w:rPr>
          <w:rFonts w:eastAsiaTheme="minorHAnsi"/>
        </w:rPr>
      </w:pPr>
    </w:p>
    <w:p w14:paraId="081857FD" w14:textId="3DF4E96B" w:rsidR="008D3396" w:rsidRPr="004712DC" w:rsidRDefault="008D3396" w:rsidP="00FC35FC">
      <w:pPr>
        <w:rPr>
          <w:rFonts w:eastAsiaTheme="minorHAnsi"/>
        </w:rPr>
      </w:pPr>
    </w:p>
    <w:p w14:paraId="39BCDB50" w14:textId="34BBE5DC" w:rsidR="008D3396" w:rsidRPr="004712DC" w:rsidRDefault="008D3396" w:rsidP="00FC35FC">
      <w:pPr>
        <w:rPr>
          <w:rFonts w:eastAsiaTheme="minorHAnsi"/>
        </w:rPr>
      </w:pPr>
    </w:p>
    <w:p w14:paraId="4ACDA224" w14:textId="2BD04581" w:rsidR="008D3396" w:rsidRPr="004712DC" w:rsidRDefault="008D3396" w:rsidP="00FC35FC">
      <w:pPr>
        <w:rPr>
          <w:rFonts w:eastAsiaTheme="minorHAnsi"/>
        </w:rPr>
      </w:pPr>
    </w:p>
    <w:p w14:paraId="11AAEEAF" w14:textId="659358DC" w:rsidR="008D3396" w:rsidRPr="004712DC" w:rsidRDefault="008D3396" w:rsidP="00FC35FC">
      <w:pPr>
        <w:rPr>
          <w:rFonts w:eastAsiaTheme="minorHAnsi"/>
        </w:rPr>
      </w:pPr>
    </w:p>
    <w:p w14:paraId="60C4CCFB" w14:textId="78F8A9F3" w:rsidR="008D3396" w:rsidRPr="004712DC" w:rsidRDefault="008D3396" w:rsidP="00FC35FC">
      <w:pPr>
        <w:rPr>
          <w:rFonts w:eastAsiaTheme="minorHAnsi"/>
        </w:rPr>
      </w:pPr>
    </w:p>
    <w:p w14:paraId="769CB746" w14:textId="1A01C5A6" w:rsidR="008D3396" w:rsidRPr="004712DC" w:rsidRDefault="008D3396" w:rsidP="00FC35FC">
      <w:pPr>
        <w:rPr>
          <w:rFonts w:eastAsiaTheme="minorHAnsi"/>
        </w:rPr>
      </w:pPr>
    </w:p>
    <w:p w14:paraId="4D0EA8D7" w14:textId="46700F74" w:rsidR="008D3396" w:rsidRPr="004712DC" w:rsidRDefault="008D3396" w:rsidP="00FC35FC">
      <w:pPr>
        <w:rPr>
          <w:rFonts w:eastAsiaTheme="minorHAnsi"/>
        </w:rPr>
      </w:pPr>
    </w:p>
    <w:p w14:paraId="540DBCB1" w14:textId="2E0CAD31" w:rsidR="008D3396" w:rsidRPr="004712DC" w:rsidRDefault="008D3396" w:rsidP="00FC35FC">
      <w:pPr>
        <w:rPr>
          <w:rFonts w:eastAsiaTheme="minorHAnsi"/>
        </w:rPr>
      </w:pPr>
    </w:p>
    <w:p w14:paraId="375CF0F1" w14:textId="0394139D" w:rsidR="008D3396" w:rsidRPr="004712DC" w:rsidRDefault="008D3396" w:rsidP="00FC35FC">
      <w:pPr>
        <w:rPr>
          <w:rFonts w:eastAsiaTheme="minorHAnsi"/>
        </w:rPr>
      </w:pPr>
    </w:p>
    <w:p w14:paraId="62C11B24" w14:textId="253B1B42" w:rsidR="008D3396" w:rsidRPr="004712DC" w:rsidRDefault="008D3396" w:rsidP="00FC35FC">
      <w:pPr>
        <w:rPr>
          <w:rFonts w:eastAsiaTheme="minorHAnsi"/>
        </w:rPr>
      </w:pPr>
    </w:p>
    <w:p w14:paraId="67916B05" w14:textId="50C399EC" w:rsidR="008D3396" w:rsidRPr="004712DC" w:rsidRDefault="008D3396" w:rsidP="00FC35FC">
      <w:pPr>
        <w:rPr>
          <w:rFonts w:eastAsiaTheme="minorHAnsi"/>
        </w:rPr>
      </w:pPr>
    </w:p>
    <w:p w14:paraId="3F701CA7" w14:textId="71EEFCFE" w:rsidR="00375447" w:rsidRPr="004712DC" w:rsidRDefault="00375447" w:rsidP="00FC35FC">
      <w:pPr>
        <w:rPr>
          <w:rFonts w:eastAsiaTheme="minorHAnsi"/>
        </w:rPr>
      </w:pPr>
    </w:p>
    <w:p w14:paraId="4B07FE92" w14:textId="7412E376" w:rsidR="00CA666F" w:rsidRPr="004712DC" w:rsidRDefault="00CA666F" w:rsidP="00FC35FC">
      <w:pPr>
        <w:autoSpaceDE w:val="0"/>
        <w:autoSpaceDN w:val="0"/>
        <w:adjustRightInd w:val="0"/>
        <w:spacing w:line="480" w:lineRule="auto"/>
        <w:rPr>
          <w:b/>
          <w:bCs/>
        </w:rPr>
      </w:pPr>
    </w:p>
    <w:p w14:paraId="0CBE00F5" w14:textId="2E36D29C" w:rsidR="0055560C" w:rsidRPr="004712DC" w:rsidRDefault="00FD4BFB" w:rsidP="00152067">
      <w:pPr>
        <w:spacing w:after="200" w:line="276" w:lineRule="auto"/>
        <w:rPr>
          <w:b/>
          <w:bCs/>
        </w:rPr>
      </w:pPr>
      <w:r w:rsidRPr="004712DC">
        <w:rPr>
          <w:b/>
          <w:bCs/>
        </w:rPr>
        <w:br w:type="page"/>
      </w:r>
    </w:p>
    <w:p w14:paraId="70376947" w14:textId="77777777" w:rsidR="00FC35FC" w:rsidRPr="004712DC" w:rsidRDefault="00FC35FC" w:rsidP="00152067">
      <w:pPr>
        <w:spacing w:after="200" w:line="276" w:lineRule="auto"/>
        <w:rPr>
          <w:b/>
          <w:bCs/>
        </w:rPr>
      </w:pPr>
      <w:r w:rsidRPr="004712DC">
        <w:rPr>
          <w:b/>
          <w:bCs/>
        </w:rPr>
        <w:t>A. JUSTIFICATION</w:t>
      </w:r>
    </w:p>
    <w:p w14:paraId="18CEC46D" w14:textId="77777777" w:rsidR="00FC35FC" w:rsidRPr="004712DC" w:rsidRDefault="00FC35FC" w:rsidP="00FC35FC">
      <w:pPr>
        <w:autoSpaceDE w:val="0"/>
        <w:autoSpaceDN w:val="0"/>
        <w:adjustRightInd w:val="0"/>
        <w:spacing w:line="480" w:lineRule="auto"/>
        <w:rPr>
          <w:b/>
          <w:bCs/>
          <w:u w:val="single"/>
        </w:rPr>
      </w:pPr>
      <w:r w:rsidRPr="004712DC">
        <w:rPr>
          <w:b/>
          <w:bCs/>
        </w:rPr>
        <w:t xml:space="preserve">A. 1.  </w:t>
      </w:r>
      <w:r w:rsidRPr="004712DC">
        <w:rPr>
          <w:b/>
          <w:bCs/>
          <w:u w:val="single"/>
        </w:rPr>
        <w:t>Circumstances Making the Collection of Information Necessary</w:t>
      </w:r>
    </w:p>
    <w:p w14:paraId="4E0C400D" w14:textId="778F1BC8" w:rsidR="00712EC6" w:rsidRPr="004712DC" w:rsidRDefault="001B5A21" w:rsidP="004D1B34">
      <w:r w:rsidRPr="004712DC">
        <w:t xml:space="preserve">The </w:t>
      </w:r>
      <w:r w:rsidR="00747CDF" w:rsidRPr="004712DC">
        <w:t xml:space="preserve">Centers for Disease Control and Prevention (CDC), </w:t>
      </w:r>
      <w:r w:rsidRPr="004712DC">
        <w:t>National Center for HIV, Viral Hepatitis, STD, and TB Prevention (NCHHSTP) request</w:t>
      </w:r>
      <w:r w:rsidR="00747CDF" w:rsidRPr="004712DC">
        <w:t>s</w:t>
      </w:r>
      <w:r w:rsidRPr="004712DC">
        <w:t xml:space="preserve"> a 3-year </w:t>
      </w:r>
      <w:r w:rsidR="003A76EB">
        <w:t>Reinstatement</w:t>
      </w:r>
      <w:r w:rsidR="0055560C" w:rsidRPr="004712DC">
        <w:t xml:space="preserve"> </w:t>
      </w:r>
      <w:r w:rsidR="008C5496">
        <w:t xml:space="preserve">with change </w:t>
      </w:r>
      <w:r w:rsidR="00712EC6" w:rsidRPr="004712DC">
        <w:t xml:space="preserve">of the </w:t>
      </w:r>
      <w:r w:rsidR="003A76EB">
        <w:t>previously</w:t>
      </w:r>
      <w:r w:rsidR="00712EC6" w:rsidRPr="004712DC">
        <w:t xml:space="preserve"> approved </w:t>
      </w:r>
      <w:r w:rsidRPr="004712DC">
        <w:t>data collection</w:t>
      </w:r>
      <w:r w:rsidR="00AA38BF" w:rsidRPr="004712DC">
        <w:t xml:space="preserve"> entitled, “</w:t>
      </w:r>
      <w:r w:rsidR="008C7183" w:rsidRPr="004712DC">
        <w:t xml:space="preserve">Enhanced STD </w:t>
      </w:r>
      <w:r w:rsidR="001E049C" w:rsidRPr="004712DC">
        <w:t>S</w:t>
      </w:r>
      <w:r w:rsidR="008C7183" w:rsidRPr="004712DC">
        <w:t xml:space="preserve">urveillance </w:t>
      </w:r>
      <w:r w:rsidR="006878C8" w:rsidRPr="004712DC">
        <w:t>N</w:t>
      </w:r>
      <w:r w:rsidR="008C7183" w:rsidRPr="004712DC">
        <w:t>etwork</w:t>
      </w:r>
      <w:r w:rsidR="006878C8" w:rsidRPr="004712DC">
        <w:t xml:space="preserve"> (SSuN)</w:t>
      </w:r>
      <w:r w:rsidR="00AA38BF" w:rsidRPr="004712DC">
        <w:t>”</w:t>
      </w:r>
      <w:r w:rsidR="001E049C" w:rsidRPr="004712DC">
        <w:t xml:space="preserve">. </w:t>
      </w:r>
      <w:r w:rsidR="0036658C" w:rsidRPr="004712DC">
        <w:t xml:space="preserve"> </w:t>
      </w:r>
      <w:r w:rsidR="004712DC">
        <w:t xml:space="preserve">Enhanced </w:t>
      </w:r>
      <w:r w:rsidR="001E049C" w:rsidRPr="004712DC">
        <w:t>SSuN is a</w:t>
      </w:r>
      <w:r w:rsidRPr="004712DC">
        <w:t xml:space="preserve"> sentinel surveillance system</w:t>
      </w:r>
      <w:r w:rsidR="001E049C" w:rsidRPr="004712DC">
        <w:t xml:space="preserve"> designed </w:t>
      </w:r>
      <w:r w:rsidRPr="004712DC">
        <w:t>to</w:t>
      </w:r>
      <w:r w:rsidR="008C140A">
        <w:t xml:space="preserve"> </w:t>
      </w:r>
      <w:r w:rsidRPr="004712DC">
        <w:t xml:space="preserve">better understand community burden of disease, </w:t>
      </w:r>
      <w:r w:rsidR="008C140A">
        <w:t xml:space="preserve">to </w:t>
      </w:r>
      <w:r w:rsidRPr="004712DC">
        <w:t>identify population</w:t>
      </w:r>
      <w:r w:rsidR="00B42E25" w:rsidRPr="004712DC">
        <w:t>s</w:t>
      </w:r>
      <w:r w:rsidRPr="004712DC">
        <w:t xml:space="preserve"> at greatest risk</w:t>
      </w:r>
      <w:r w:rsidR="0091228B">
        <w:t xml:space="preserve"> for STDs</w:t>
      </w:r>
      <w:r w:rsidR="008C140A">
        <w:t>,</w:t>
      </w:r>
      <w:r w:rsidRPr="004712DC">
        <w:t xml:space="preserve"> and </w:t>
      </w:r>
      <w:r w:rsidR="008C140A">
        <w:t xml:space="preserve">to </w:t>
      </w:r>
      <w:r w:rsidRPr="004712DC">
        <w:t>monitor long-term health consequences of STDs.</w:t>
      </w:r>
      <w:r w:rsidR="00BB2AD6" w:rsidRPr="004712DC">
        <w:t xml:space="preserve"> </w:t>
      </w:r>
      <w:r w:rsidR="00A344F1" w:rsidRPr="004712DC">
        <w:t xml:space="preserve">Revisions to this submission include, removal of facility-based surveillance in family planning clinics, </w:t>
      </w:r>
      <w:r w:rsidR="00A344F1" w:rsidRPr="0042165D">
        <w:t xml:space="preserve">the addition of </w:t>
      </w:r>
      <w:r w:rsidR="00343A5E">
        <w:t>11</w:t>
      </w:r>
      <w:r w:rsidR="0042165D" w:rsidRPr="0042165D">
        <w:t xml:space="preserve"> </w:t>
      </w:r>
      <w:r w:rsidR="0042165D">
        <w:t>interview questions to the gonorrhea population component</w:t>
      </w:r>
      <w:r w:rsidR="007D437E">
        <w:t>,</w:t>
      </w:r>
      <w:r w:rsidR="0042165D">
        <w:t xml:space="preserve"> 8 new </w:t>
      </w:r>
      <w:r w:rsidR="00A344F1" w:rsidRPr="0042165D">
        <w:t>data elements</w:t>
      </w:r>
      <w:r w:rsidR="0042165D">
        <w:t xml:space="preserve"> to the facility component</w:t>
      </w:r>
      <w:r w:rsidR="00A344F1" w:rsidRPr="0042165D">
        <w:t>,</w:t>
      </w:r>
      <w:r w:rsidR="00A344F1" w:rsidRPr="004712DC">
        <w:t xml:space="preserve"> and the addition of an enhanced surveillance activity to monitor adverse health outcomes of early syphilis cases with neurologic and/or ocular manifestations.  </w:t>
      </w:r>
      <w:r w:rsidR="00712EC6" w:rsidRPr="004712DC">
        <w:t xml:space="preserve">The following revisions were made to the OMB-approved project 0920-1072: (For detailed description, see </w:t>
      </w:r>
      <w:r w:rsidR="006C13DB">
        <w:rPr>
          <w:b/>
        </w:rPr>
        <w:t xml:space="preserve">ATTACHMENT </w:t>
      </w:r>
      <w:r w:rsidR="00097BED">
        <w:rPr>
          <w:b/>
        </w:rPr>
        <w:t>3</w:t>
      </w:r>
      <w:r w:rsidR="00712EC6" w:rsidRPr="004712DC">
        <w:t xml:space="preserve">) </w:t>
      </w:r>
    </w:p>
    <w:p w14:paraId="4390FEAA" w14:textId="0AF61D33" w:rsidR="008D7483" w:rsidRPr="004712DC" w:rsidRDefault="008D7483" w:rsidP="0036658C">
      <w:pPr>
        <w:pStyle w:val="ListParagraph"/>
        <w:numPr>
          <w:ilvl w:val="0"/>
          <w:numId w:val="15"/>
        </w:numPr>
      </w:pPr>
      <w:r w:rsidRPr="004712DC">
        <w:t>Addition of high priority topics to the i</w:t>
      </w:r>
      <w:r w:rsidR="00A344F1" w:rsidRPr="004712DC">
        <w:t>nterview template</w:t>
      </w:r>
      <w:r w:rsidRPr="004712DC">
        <w:t xml:space="preserve"> for gonorrhea patients: Questions were added to improve data collection of three priority emerging issues related to STD/HIV risk and prevention: Pre-Exposure Prophylaxis (PrEP), specific symptoms to allow estimation of proportion of cases identified through general STD screening versus those tested diagnostically based on clinically re</w:t>
      </w:r>
      <w:r w:rsidR="0036658C" w:rsidRPr="004712DC">
        <w:t>levant</w:t>
      </w:r>
      <w:r w:rsidRPr="004712DC">
        <w:t xml:space="preserve"> symp</w:t>
      </w:r>
      <w:r w:rsidR="0036658C" w:rsidRPr="004712DC">
        <w:t>toms</w:t>
      </w:r>
      <w:r w:rsidRPr="004712DC">
        <w:t>, and assess</w:t>
      </w:r>
      <w:r w:rsidR="0042165D">
        <w:t xml:space="preserve">ment of </w:t>
      </w:r>
      <w:r w:rsidRPr="004712DC">
        <w:t xml:space="preserve">prescription opioid and injection drug use. </w:t>
      </w:r>
    </w:p>
    <w:p w14:paraId="270E5B52" w14:textId="73D075E2" w:rsidR="00A344F1" w:rsidRPr="004712DC" w:rsidRDefault="008D7483" w:rsidP="0036658C">
      <w:pPr>
        <w:pStyle w:val="ListParagraph"/>
        <w:numPr>
          <w:ilvl w:val="0"/>
          <w:numId w:val="15"/>
        </w:numPr>
      </w:pPr>
      <w:r w:rsidRPr="004712DC">
        <w:t xml:space="preserve">Addition of high priority topics to the data abstracted from STD clinic patients: </w:t>
      </w:r>
      <w:r w:rsidR="0042165D">
        <w:t>Data elements</w:t>
      </w:r>
      <w:r w:rsidRPr="004712DC">
        <w:t xml:space="preserve"> were added to improve data collection of three priority issues related to STD/HIV risk and prevention: PrEP, assess</w:t>
      </w:r>
      <w:r w:rsidR="0042165D">
        <w:t>ment of</w:t>
      </w:r>
      <w:r w:rsidRPr="004712DC">
        <w:t xml:space="preserve"> prescription opioid and injection drug use, and </w:t>
      </w:r>
      <w:r w:rsidR="0042165D">
        <w:t xml:space="preserve">delivery of </w:t>
      </w:r>
      <w:r w:rsidRPr="004712DC">
        <w:t>expedited partner therapy</w:t>
      </w:r>
      <w:r w:rsidR="0042165D">
        <w:t xml:space="preserve"> (EPT)</w:t>
      </w:r>
      <w:r w:rsidRPr="004712DC">
        <w:t xml:space="preserve">. </w:t>
      </w:r>
    </w:p>
    <w:p w14:paraId="46DF21EE" w14:textId="1A6EF793" w:rsidR="008D7483" w:rsidRPr="004712DC" w:rsidRDefault="008D7483" w:rsidP="0036658C">
      <w:pPr>
        <w:pStyle w:val="ListParagraph"/>
        <w:numPr>
          <w:ilvl w:val="0"/>
          <w:numId w:val="15"/>
        </w:numPr>
      </w:pPr>
      <w:r w:rsidRPr="004712DC">
        <w:t>Delet</w:t>
      </w:r>
      <w:r w:rsidR="00A869DC" w:rsidRPr="004712DC">
        <w:t xml:space="preserve">ion of </w:t>
      </w:r>
      <w:r w:rsidR="0042165D">
        <w:t xml:space="preserve">108 </w:t>
      </w:r>
      <w:r w:rsidR="00A869DC" w:rsidRPr="004712DC">
        <w:t xml:space="preserve">family planning clinics from facility-based surveillance: Our experience in the </w:t>
      </w:r>
      <w:r w:rsidR="007D437E">
        <w:t>nearly 3</w:t>
      </w:r>
      <w:r w:rsidR="00A869DC" w:rsidRPr="004712DC">
        <w:t xml:space="preserve"> years of data collection has demonstrated the inability to extract critical data elements from these type of facilities.</w:t>
      </w:r>
    </w:p>
    <w:p w14:paraId="5324CDB3" w14:textId="1228F779" w:rsidR="00A869DC" w:rsidRPr="004712DC" w:rsidRDefault="00A869DC" w:rsidP="00A869DC">
      <w:pPr>
        <w:pStyle w:val="ListParagraph"/>
        <w:numPr>
          <w:ilvl w:val="0"/>
          <w:numId w:val="15"/>
        </w:numPr>
      </w:pPr>
      <w:r w:rsidRPr="004712DC">
        <w:t>Measurement improvements</w:t>
      </w:r>
      <w:r w:rsidR="00AA4CA3">
        <w:t xml:space="preserve"> including new skip patterns</w:t>
      </w:r>
      <w:r w:rsidRPr="004712DC">
        <w:t xml:space="preserve"> in the </w:t>
      </w:r>
      <w:r w:rsidR="0036658C" w:rsidRPr="004712DC">
        <w:t>interview template</w:t>
      </w:r>
      <w:r w:rsidR="002D23BC" w:rsidRPr="004712DC">
        <w:t xml:space="preserve"> </w:t>
      </w:r>
      <w:r w:rsidR="00AA4CA3">
        <w:t xml:space="preserve">were introduced for better flow and </w:t>
      </w:r>
      <w:r w:rsidRPr="004712DC">
        <w:t>cognitive ease</w:t>
      </w:r>
      <w:r w:rsidR="00AA4CA3">
        <w:t xml:space="preserve">. </w:t>
      </w:r>
      <w:r w:rsidRPr="004712DC">
        <w:t xml:space="preserve">      </w:t>
      </w:r>
    </w:p>
    <w:p w14:paraId="145159C7" w14:textId="2C374A17" w:rsidR="0036658C" w:rsidRPr="004712DC" w:rsidRDefault="0036658C" w:rsidP="0036658C">
      <w:pPr>
        <w:pStyle w:val="ListParagraph"/>
        <w:numPr>
          <w:ilvl w:val="0"/>
          <w:numId w:val="15"/>
        </w:numPr>
      </w:pPr>
      <w:r w:rsidRPr="004712DC">
        <w:t xml:space="preserve">The addition of a population-based </w:t>
      </w:r>
      <w:r w:rsidR="00AA4CA3">
        <w:t xml:space="preserve">activity to conduct surveillance </w:t>
      </w:r>
      <w:r w:rsidR="007D437E">
        <w:t>on</w:t>
      </w:r>
      <w:r w:rsidRPr="004712DC">
        <w:t xml:space="preserve"> patients diagnosed with early syphilis who report neurologic and/or ocular manifestations. Reported rates of syphilis have been increasing in the US since 2001 with an estimated 1</w:t>
      </w:r>
      <w:r w:rsidR="00AA4CA3">
        <w:t>8</w:t>
      </w:r>
      <w:r w:rsidRPr="004712DC">
        <w:t>.0% increase in the rate of primary and secondary syphilis in 201</w:t>
      </w:r>
      <w:r w:rsidR="00AA4CA3">
        <w:t>6</w:t>
      </w:r>
      <w:r w:rsidRPr="004712DC">
        <w:t xml:space="preserve"> compared with 201</w:t>
      </w:r>
      <w:r w:rsidR="00AA4CA3">
        <w:t>5</w:t>
      </w:r>
      <w:r w:rsidR="007D437E">
        <w:t xml:space="preserve"> (2016 is the latest data available)</w:t>
      </w:r>
      <w:r w:rsidRPr="004712DC">
        <w:t xml:space="preserve">. Concomitantly the proportion of early syphilis cases reporting neurologic and/or ocular manifestations has also been increasing with clusters of ocular syphilis cases being reported in </w:t>
      </w:r>
      <w:r w:rsidR="00AA4CA3">
        <w:t>several US</w:t>
      </w:r>
      <w:r w:rsidRPr="004712DC">
        <w:t xml:space="preserve"> jurisdictions. At present, there are significant gaps in the surveillance of early syphilis cases with neurologic and/or ocular manifestations and there is a need to engage in systematic surveillance to estimate the proportion of cases with neurologic and/ocular manifestations and to monitor whether there has in fact been a rise in the proportion of </w:t>
      </w:r>
      <w:r w:rsidR="00AA4CA3">
        <w:t xml:space="preserve">early </w:t>
      </w:r>
      <w:r w:rsidRPr="004712DC">
        <w:t xml:space="preserve">syphilis cases with neurologic and/or ocular symptoms over time. </w:t>
      </w:r>
    </w:p>
    <w:p w14:paraId="20AA4D39" w14:textId="77777777" w:rsidR="00A869DC" w:rsidRPr="004712DC" w:rsidRDefault="00A869DC" w:rsidP="00C95551">
      <w:pPr>
        <w:pStyle w:val="ListParagraph"/>
      </w:pPr>
    </w:p>
    <w:p w14:paraId="25142480" w14:textId="2E97EF74" w:rsidR="001B5A21" w:rsidRPr="004712DC" w:rsidRDefault="001B5A21" w:rsidP="004D1B34"/>
    <w:p w14:paraId="5E6D6995" w14:textId="77777777" w:rsidR="00AA4CA3" w:rsidRDefault="00AA4CA3" w:rsidP="00FC35FC">
      <w:pPr>
        <w:rPr>
          <w:u w:val="single"/>
        </w:rPr>
      </w:pPr>
    </w:p>
    <w:p w14:paraId="754C9523" w14:textId="77777777" w:rsidR="00AA4CA3" w:rsidRDefault="00AA4CA3" w:rsidP="00FC35FC">
      <w:pPr>
        <w:rPr>
          <w:u w:val="single"/>
        </w:rPr>
      </w:pPr>
    </w:p>
    <w:p w14:paraId="10C917FF" w14:textId="26786F25" w:rsidR="00FC35FC" w:rsidRPr="004712DC" w:rsidRDefault="0036658C" w:rsidP="00FC35FC">
      <w:pPr>
        <w:rPr>
          <w:u w:val="single"/>
        </w:rPr>
      </w:pPr>
      <w:r w:rsidRPr="004712DC">
        <w:rPr>
          <w:u w:val="single"/>
        </w:rPr>
        <w:t>Background</w:t>
      </w:r>
    </w:p>
    <w:p w14:paraId="0DAA4EC8" w14:textId="179C38AF" w:rsidR="00FC35FC" w:rsidRPr="004712DC" w:rsidRDefault="00FC35FC" w:rsidP="00FC35FC">
      <w:r w:rsidRPr="004712DC">
        <w:t xml:space="preserve">National STD case reporting data is the primary source for reporting, </w:t>
      </w:r>
      <w:r w:rsidR="00DD4210" w:rsidRPr="004712DC">
        <w:t>analysis,</w:t>
      </w:r>
      <w:r w:rsidRPr="004712DC">
        <w:t xml:space="preserve"> and interpretation of trends in the incidence, prevalence and societal impact of chlamydial infection, gonorrhea</w:t>
      </w:r>
      <w:r w:rsidR="00C83DD8" w:rsidRPr="004712DC">
        <w:t xml:space="preserve"> </w:t>
      </w:r>
      <w:r w:rsidRPr="004712DC">
        <w:t xml:space="preserve">and syphilis in the United States and U.S. Territories. However, data derived from the case reporting system are limited and incomplete. For example, case report data often lack complete information on the race and Hispanic ethnicity, gender of sex partners, and other essential epidemiologic and health care information on persons diagnosed with STDs. Second, the amount of information received by CDC and available for national analysis is limited. STD case reporting is subject to reporting and analysis delays at the national level and hence understanding disease trends may not be available in a timely manner. Third, case reporting provides little to no information for understanding key populations at risk. </w:t>
      </w:r>
      <w:r w:rsidR="008C140A">
        <w:t>Lastly, data are</w:t>
      </w:r>
      <w:r w:rsidRPr="004712DC">
        <w:t xml:space="preserve"> needed to better understand gaps and opportunities in sexual health services</w:t>
      </w:r>
      <w:r w:rsidR="000B16EA" w:rsidRPr="004712DC">
        <w:t xml:space="preserve"> that can lead to effective policy actions and resource allocation for optimizing public health activities</w:t>
      </w:r>
      <w:r w:rsidRPr="004712DC">
        <w:t xml:space="preserve">. </w:t>
      </w:r>
    </w:p>
    <w:p w14:paraId="599D0A86" w14:textId="77777777" w:rsidR="008B37C8" w:rsidRPr="004712DC" w:rsidRDefault="008B37C8"/>
    <w:p w14:paraId="0B51ED0D" w14:textId="4F32D494" w:rsidR="000C0CE1" w:rsidRPr="004712DC" w:rsidRDefault="00A57745" w:rsidP="00FC35FC">
      <w:r w:rsidRPr="004712DC">
        <w:t xml:space="preserve">The need for an enhanced and sentinel </w:t>
      </w:r>
      <w:r w:rsidR="008C7183" w:rsidRPr="004712DC">
        <w:t xml:space="preserve"> STD surveillance </w:t>
      </w:r>
      <w:r w:rsidRPr="004712DC">
        <w:t>system</w:t>
      </w:r>
      <w:r w:rsidR="00FC35FC" w:rsidRPr="004712DC">
        <w:t xml:space="preserve"> is aligned with priorities of the Division of STD and Prevention</w:t>
      </w:r>
      <w:r w:rsidR="007D437E">
        <w:t xml:space="preserve"> (DSTDP)</w:t>
      </w:r>
      <w:r w:rsidR="00FC35FC" w:rsidRPr="004712DC">
        <w:t xml:space="preserve">, the </w:t>
      </w:r>
      <w:r w:rsidR="000C0CE1" w:rsidRPr="004712DC">
        <w:t>N</w:t>
      </w:r>
      <w:r w:rsidR="00FC35FC" w:rsidRPr="004712DC">
        <w:t xml:space="preserve">ational </w:t>
      </w:r>
      <w:r w:rsidR="000C0CE1" w:rsidRPr="004712DC">
        <w:t>C</w:t>
      </w:r>
      <w:r w:rsidR="00FC35FC" w:rsidRPr="004712DC">
        <w:t>enter for HIV, Hepatitis, STD and Tuberculosis and Prevention</w:t>
      </w:r>
      <w:r w:rsidR="007D437E">
        <w:t xml:space="preserve"> (NCHHSTP)</w:t>
      </w:r>
      <w:r w:rsidR="00FC35FC" w:rsidRPr="004712DC">
        <w:t xml:space="preserve"> as well as CDC</w:t>
      </w:r>
      <w:r w:rsidR="000C0CE1" w:rsidRPr="004712DC">
        <w:t>. They include the following</w:t>
      </w:r>
      <w:r w:rsidR="00FC35FC" w:rsidRPr="004712DC">
        <w:t xml:space="preserve">: </w:t>
      </w:r>
    </w:p>
    <w:p w14:paraId="60FFD3A7" w14:textId="39D1367E" w:rsidR="000C0CE1" w:rsidRPr="004712DC" w:rsidRDefault="00FC35FC" w:rsidP="00AA4CA3">
      <w:r w:rsidRPr="004712DC">
        <w:t xml:space="preserve">(1) </w:t>
      </w:r>
      <w:r w:rsidR="00375447" w:rsidRPr="004712DC">
        <w:t>Focus</w:t>
      </w:r>
      <w:r w:rsidRPr="004712DC">
        <w:t xml:space="preserve"> on DSTDP programmatic priorities of </w:t>
      </w:r>
      <w:r w:rsidR="00557C6D" w:rsidRPr="004712DC">
        <w:t xml:space="preserve">population-level </w:t>
      </w:r>
      <w:r w:rsidRPr="004712DC">
        <w:t>sexual health, adolescents and young adults</w:t>
      </w:r>
      <w:r w:rsidR="00557C6D" w:rsidRPr="004712DC">
        <w:t xml:space="preserve">, </w:t>
      </w:r>
      <w:r w:rsidRPr="004712DC">
        <w:t xml:space="preserve">gonorrhea resistance, </w:t>
      </w:r>
      <w:r w:rsidR="00557C6D" w:rsidRPr="004712DC">
        <w:t>and preventing adverse consequences of STDs, including ocular and neuro syphilis,</w:t>
      </w:r>
    </w:p>
    <w:p w14:paraId="516795E4" w14:textId="6169A5E1" w:rsidR="000C0CE1" w:rsidRPr="004712DC" w:rsidRDefault="00FC35FC" w:rsidP="00AA4CA3">
      <w:r w:rsidRPr="004712DC">
        <w:t xml:space="preserve">(2) </w:t>
      </w:r>
      <w:r w:rsidR="00375447" w:rsidRPr="004712DC">
        <w:t>Support</w:t>
      </w:r>
      <w:r w:rsidR="00557C6D" w:rsidRPr="004712DC">
        <w:t>s</w:t>
      </w:r>
      <w:r w:rsidRPr="004712DC">
        <w:t xml:space="preserve"> program collaboration and service integration as well as prevention through healthcare initiatives and</w:t>
      </w:r>
      <w:r w:rsidR="00557C6D" w:rsidRPr="004712DC">
        <w:t>,</w:t>
      </w:r>
      <w:r w:rsidRPr="004712DC">
        <w:t xml:space="preserve"> </w:t>
      </w:r>
    </w:p>
    <w:p w14:paraId="0DEE3F12" w14:textId="1B83C693" w:rsidR="00FC35FC" w:rsidRPr="004712DC" w:rsidRDefault="00FC35FC" w:rsidP="00AA4CA3">
      <w:r w:rsidRPr="004712DC">
        <w:t>(3) Address</w:t>
      </w:r>
      <w:r w:rsidR="00557C6D" w:rsidRPr="004712DC">
        <w:t>es</w:t>
      </w:r>
      <w:r w:rsidRPr="004712DC">
        <w:t xml:space="preserve"> changes in health IT infrastructure and healthcare delivery system. Stakeholders for data collected from the active surveillance programs funded by </w:t>
      </w:r>
      <w:r w:rsidR="00F4226F" w:rsidRPr="004712DC">
        <w:t xml:space="preserve">The </w:t>
      </w:r>
      <w:r w:rsidR="008C7183" w:rsidRPr="004712DC">
        <w:t xml:space="preserve">Enhanced STD </w:t>
      </w:r>
      <w:r w:rsidR="00557C6D" w:rsidRPr="004712DC">
        <w:t>S</w:t>
      </w:r>
      <w:r w:rsidR="008C7183" w:rsidRPr="004712DC">
        <w:t xml:space="preserve">urveillance </w:t>
      </w:r>
      <w:r w:rsidR="00557C6D" w:rsidRPr="004712DC">
        <w:t>N</w:t>
      </w:r>
      <w:r w:rsidR="008C7183" w:rsidRPr="004712DC">
        <w:t>etwork</w:t>
      </w:r>
      <w:r w:rsidRPr="004712DC">
        <w:t xml:space="preserve"> include STD program managers and other public health personnel, </w:t>
      </w:r>
      <w:r w:rsidR="000E18FB" w:rsidRPr="004712DC">
        <w:t>policy makers, health care providers, and the general population.</w:t>
      </w:r>
    </w:p>
    <w:p w14:paraId="2965A7FB" w14:textId="3BEA12F6" w:rsidR="00465DBB" w:rsidRPr="004712DC" w:rsidRDefault="00465DBB" w:rsidP="00286ED0"/>
    <w:p w14:paraId="1DE64BD9" w14:textId="74EE5DC8" w:rsidR="00465DBB" w:rsidRPr="004712DC" w:rsidRDefault="00465DBB" w:rsidP="00286ED0">
      <w:r w:rsidRPr="004712DC">
        <w:t>The limitations of national case report data and the need to meet the division, center and agency g</w:t>
      </w:r>
      <w:r w:rsidR="00F430DB">
        <w:t>oals led to the development of</w:t>
      </w:r>
      <w:r w:rsidR="00AA4CA3">
        <w:t xml:space="preserve"> </w:t>
      </w:r>
      <w:r w:rsidR="00F430DB">
        <w:t>e</w:t>
      </w:r>
      <w:r w:rsidR="00AA4CA3">
        <w:t xml:space="preserve">nhanced </w:t>
      </w:r>
      <w:r w:rsidRPr="004712DC">
        <w:t xml:space="preserve">SSuN. Through </w:t>
      </w:r>
      <w:r w:rsidR="00DE5411">
        <w:t xml:space="preserve">enhanced </w:t>
      </w:r>
      <w:r w:rsidRPr="004712DC">
        <w:t>SSu</w:t>
      </w:r>
      <w:r w:rsidR="00DE5411">
        <w:t>N</w:t>
      </w:r>
      <w:r w:rsidRPr="004712DC">
        <w:t>, CDC works with state and local health departments to obtain STD-related behavioral and clinical data from those diagnosed with gonorrhea</w:t>
      </w:r>
      <w:r w:rsidR="009C13E3" w:rsidRPr="004712DC">
        <w:t xml:space="preserve">, early syphilis and those persons seeking care at STD clinics. </w:t>
      </w:r>
    </w:p>
    <w:p w14:paraId="06BB2ABC" w14:textId="55631136" w:rsidR="009C13E3" w:rsidRPr="004712DC" w:rsidRDefault="009C13E3" w:rsidP="00286ED0"/>
    <w:p w14:paraId="5498372E" w14:textId="58B26A38" w:rsidR="009C13E3" w:rsidRPr="004712DC" w:rsidRDefault="009C13E3" w:rsidP="00286ED0">
      <w:r w:rsidRPr="004712DC">
        <w:t xml:space="preserve">Collection of </w:t>
      </w:r>
      <w:r w:rsidR="0064340D" w:rsidRPr="004712DC">
        <w:t>STD</w:t>
      </w:r>
      <w:r w:rsidRPr="004712DC">
        <w:t xml:space="preserve"> surveillance data is regulated by Title III – General Powers and Duties of Public Health Service, Section 301 (241.)</w:t>
      </w:r>
      <w:r w:rsidR="00317406" w:rsidRPr="004712DC">
        <w:t xml:space="preserve"> (</w:t>
      </w:r>
      <w:r w:rsidRPr="004712DC">
        <w:t>a</w:t>
      </w:r>
      <w:r w:rsidR="00317406" w:rsidRPr="004712DC">
        <w:t>)</w:t>
      </w:r>
      <w:r w:rsidRPr="004712DC">
        <w:t xml:space="preserve"> (</w:t>
      </w:r>
      <w:r w:rsidR="006C13DB">
        <w:rPr>
          <w:b/>
        </w:rPr>
        <w:t xml:space="preserve">ATTACHMENT </w:t>
      </w:r>
      <w:r w:rsidRPr="004712DC">
        <w:rPr>
          <w:b/>
        </w:rPr>
        <w:t>1</w:t>
      </w:r>
      <w:r w:rsidRPr="004712DC">
        <w:t>).</w:t>
      </w:r>
    </w:p>
    <w:p w14:paraId="07F656F5" w14:textId="77777777" w:rsidR="000E18FB" w:rsidRPr="004712DC" w:rsidRDefault="000E18FB" w:rsidP="00FC35FC"/>
    <w:p w14:paraId="10729813" w14:textId="77777777" w:rsidR="000E18FB" w:rsidRPr="004712DC" w:rsidRDefault="000E18FB" w:rsidP="000E18FB">
      <w:pPr>
        <w:autoSpaceDE w:val="0"/>
        <w:autoSpaceDN w:val="0"/>
        <w:adjustRightInd w:val="0"/>
        <w:rPr>
          <w:b/>
          <w:bCs/>
          <w:u w:val="single"/>
        </w:rPr>
      </w:pPr>
      <w:r w:rsidRPr="004712DC">
        <w:rPr>
          <w:b/>
          <w:bCs/>
        </w:rPr>
        <w:t xml:space="preserve">A. 2.  </w:t>
      </w:r>
      <w:r w:rsidRPr="004712DC">
        <w:rPr>
          <w:b/>
          <w:bCs/>
          <w:u w:val="single"/>
        </w:rPr>
        <w:t>Purpose and Use of Information Collection</w:t>
      </w:r>
    </w:p>
    <w:p w14:paraId="1740C4AE" w14:textId="77777777" w:rsidR="000E18FB" w:rsidRPr="004712DC" w:rsidRDefault="000E18FB" w:rsidP="00FC35FC"/>
    <w:p w14:paraId="4CEEDC9C" w14:textId="4FEF826A" w:rsidR="00F56B12" w:rsidRPr="004712DC" w:rsidRDefault="00F1255C" w:rsidP="00F56B12">
      <w:r w:rsidRPr="004712DC">
        <w:t xml:space="preserve">The primary objective of </w:t>
      </w:r>
      <w:r w:rsidR="00DE5411">
        <w:t>enhanced SSuN</w:t>
      </w:r>
      <w:r w:rsidRPr="004712DC">
        <w:t xml:space="preserve"> is to </w:t>
      </w:r>
      <w:r w:rsidR="00502DFA">
        <w:t xml:space="preserve">1) </w:t>
      </w:r>
      <w:r w:rsidRPr="004712DC">
        <w:t xml:space="preserve">enhance STD surveillance data, to inform a more comprehensive understanding of epidemiologic trends and determinants of STDs of interest, </w:t>
      </w:r>
      <w:r w:rsidR="00502DFA">
        <w:t xml:space="preserve">and 2) </w:t>
      </w:r>
      <w:r w:rsidRPr="004712DC">
        <w:t>monitor public health program impact and provide a more robust evidence base for directing public health action.  The explicit ability to identify STD risk behaviors among these populations</w:t>
      </w:r>
      <w:r w:rsidR="00502DFA">
        <w:t xml:space="preserve"> at risk,</w:t>
      </w:r>
      <w:r w:rsidRPr="004712DC">
        <w:t xml:space="preserve"> otherwise unavailable through national case report data</w:t>
      </w:r>
      <w:r w:rsidR="00502DFA">
        <w:t>,</w:t>
      </w:r>
      <w:r w:rsidRPr="004712DC">
        <w:t xml:space="preserve"> is a unique and defining feature of </w:t>
      </w:r>
      <w:r w:rsidR="00DE5411">
        <w:t>enhanced SSuN</w:t>
      </w:r>
      <w:r w:rsidRPr="004712DC">
        <w:t xml:space="preserve">. </w:t>
      </w:r>
    </w:p>
    <w:p w14:paraId="3A3B7404" w14:textId="1E79AD94" w:rsidR="00F56B12" w:rsidRPr="004712DC" w:rsidRDefault="00F1255C" w:rsidP="00F56B12">
      <w:r w:rsidRPr="004712DC">
        <w:t xml:space="preserve">At the national level, data from </w:t>
      </w:r>
      <w:r w:rsidR="00DE5411">
        <w:t>enhanced SSuN</w:t>
      </w:r>
      <w:r w:rsidRPr="004712DC">
        <w:t xml:space="preserve"> are used to document the need for prevention resources and interventions targeting persons at highest risk of STD infection. The large and geographically diverse sample obtained through </w:t>
      </w:r>
      <w:r w:rsidR="00DE5411">
        <w:t>enhanced SSuN</w:t>
      </w:r>
      <w:r w:rsidRPr="004712DC">
        <w:t xml:space="preserve"> provides a valid and reliable data source for evaluating progress toward national public health goals, such as identifying priority populations for STD prevention activities, evaluating effectiveness of CDC published treatment recommendations, providing the infrastructure for identifying emerging sequelae of STDs, such as ocular/neurologic syphilis, and for ascertaining behavioral characteristics among these populations, such as opioid use, that may influence STD risk. Moreover, </w:t>
      </w:r>
      <w:r w:rsidR="00DE5411">
        <w:t>enhanced SSuN</w:t>
      </w:r>
      <w:r w:rsidRPr="004712DC">
        <w:t xml:space="preserve"> data collection is one of the only sources of information for evaluating the uptake of important STD prevention interventions </w:t>
      </w:r>
      <w:r w:rsidR="002F12D8">
        <w:t xml:space="preserve">including </w:t>
      </w:r>
      <w:r w:rsidRPr="004712DC">
        <w:t>EPT</w:t>
      </w:r>
      <w:r w:rsidR="002F12D8">
        <w:t>,</w:t>
      </w:r>
      <w:r w:rsidRPr="004712DC">
        <w:t xml:space="preserve"> and HIV prevention interventions such as PrEP</w:t>
      </w:r>
      <w:r w:rsidR="002F12D8">
        <w:t xml:space="preserve">. Enhanced </w:t>
      </w:r>
      <w:r w:rsidRPr="004712DC">
        <w:t xml:space="preserve">SSuN is the only source of this information among persons diagnosed with acute STDs, a </w:t>
      </w:r>
      <w:r w:rsidR="002F12D8">
        <w:t>population</w:t>
      </w:r>
      <w:r w:rsidRPr="004712DC">
        <w:t xml:space="preserve"> specifically targeted for PrEP. </w:t>
      </w:r>
    </w:p>
    <w:p w14:paraId="38613E33" w14:textId="77777777" w:rsidR="002F12D8" w:rsidRDefault="002F12D8" w:rsidP="00F56B12"/>
    <w:p w14:paraId="15DE8697" w14:textId="51881DB1" w:rsidR="00F56B12" w:rsidRPr="004712DC" w:rsidRDefault="00F56B12" w:rsidP="00F56B12">
      <w:r w:rsidRPr="004712DC">
        <w:t xml:space="preserve">Data from the facility component of </w:t>
      </w:r>
      <w:r w:rsidR="00DE5411">
        <w:t>enhanced SSuN</w:t>
      </w:r>
      <w:r w:rsidRPr="004712DC">
        <w:t xml:space="preserve"> are also used to ascertain patient-level provision of treatment and recommended STD screening tests, including concurrent HIV testing, </w:t>
      </w:r>
      <w:r w:rsidR="002F12D8">
        <w:t xml:space="preserve">and </w:t>
      </w:r>
      <w:r w:rsidRPr="004712DC">
        <w:t>screening for STDS across exposed anatomic sites. SSuN provides information on the characteristics of persons receiving STD prevention services and the types of services they are accessing</w:t>
      </w:r>
      <w:r w:rsidR="002F12D8">
        <w:t>.</w:t>
      </w:r>
      <w:r w:rsidRPr="004712DC">
        <w:t xml:space="preserve">  Information about access and use of these services </w:t>
      </w:r>
      <w:r w:rsidR="002F12D8">
        <w:t>are</w:t>
      </w:r>
      <w:r w:rsidRPr="004712DC">
        <w:t xml:space="preserve"> used to evaluate local prevention services for people at risk for STDs.</w:t>
      </w:r>
    </w:p>
    <w:p w14:paraId="14DDFDC3" w14:textId="77777777" w:rsidR="00F56B12" w:rsidRPr="004712DC" w:rsidRDefault="00F56B12" w:rsidP="00F56B12"/>
    <w:p w14:paraId="3F80E748" w14:textId="22D88D21" w:rsidR="00F56B12" w:rsidRDefault="00F1255C" w:rsidP="00F56B12">
      <w:r w:rsidRPr="004712DC">
        <w:t xml:space="preserve">Without </w:t>
      </w:r>
      <w:r w:rsidR="00DE5411">
        <w:t>enhanced SSuN</w:t>
      </w:r>
      <w:r w:rsidR="002F12D8">
        <w:t>,</w:t>
      </w:r>
      <w:r w:rsidRPr="004712DC">
        <w:t xml:space="preserve"> behavioral data </w:t>
      </w:r>
      <w:r w:rsidR="002F12D8">
        <w:t>are</w:t>
      </w:r>
      <w:r w:rsidRPr="004712DC">
        <w:t xml:space="preserve"> limited to </w:t>
      </w:r>
      <w:r w:rsidR="002F12D8">
        <w:t>1)</w:t>
      </w:r>
      <w:r w:rsidR="00DE5411">
        <w:t xml:space="preserve"> </w:t>
      </w:r>
      <w:r w:rsidRPr="004712DC">
        <w:t xml:space="preserve">case surveillance, which only collects a </w:t>
      </w:r>
      <w:r w:rsidR="00502DFA">
        <w:t>negligible</w:t>
      </w:r>
      <w:r w:rsidRPr="004712DC">
        <w:t xml:space="preserve"> amount of demographic and clinical information from case reports of persons diagnosed with STDs, or </w:t>
      </w:r>
      <w:r w:rsidR="002F12D8">
        <w:t xml:space="preserve">2) </w:t>
      </w:r>
      <w:r w:rsidRPr="004712DC">
        <w:t>from small-scale, periodic or ad hoc behavioral surveys. The</w:t>
      </w:r>
      <w:r w:rsidR="002F12D8">
        <w:t xml:space="preserve"> latter a</w:t>
      </w:r>
      <w:r w:rsidRPr="004712DC">
        <w:t xml:space="preserve">re not likely to have </w:t>
      </w:r>
      <w:r w:rsidR="00DE5411">
        <w:t>enhanced SSuN</w:t>
      </w:r>
      <w:r w:rsidRPr="004712DC">
        <w:t xml:space="preserve">’s large population size, or geographic diversity. Not having </w:t>
      </w:r>
      <w:r w:rsidR="00DE5411">
        <w:t>enhanced SSuN</w:t>
      </w:r>
      <w:r w:rsidRPr="004712DC">
        <w:t xml:space="preserve"> data</w:t>
      </w:r>
      <w:r w:rsidR="002F12D8">
        <w:t xml:space="preserve"> </w:t>
      </w:r>
      <w:r w:rsidRPr="004712DC">
        <w:t>adversely affect</w:t>
      </w:r>
      <w:r w:rsidR="002F12D8">
        <w:t>s</w:t>
      </w:r>
      <w:r w:rsidRPr="004712DC">
        <w:t xml:space="preserve"> the ability to monitor the STD epidemic both locally and nationally.</w:t>
      </w:r>
      <w:r w:rsidR="002F12D8">
        <w:t xml:space="preserve"> </w:t>
      </w:r>
    </w:p>
    <w:p w14:paraId="6AB774D5" w14:textId="77777777" w:rsidR="002F12D8" w:rsidRPr="004712DC" w:rsidRDefault="002F12D8" w:rsidP="00F56B12"/>
    <w:p w14:paraId="2FAB0176" w14:textId="16075D4F" w:rsidR="00F75C13" w:rsidRDefault="00F56B12" w:rsidP="00F56B12">
      <w:r w:rsidRPr="004712DC">
        <w:t xml:space="preserve">The overall strategy of </w:t>
      </w:r>
      <w:r w:rsidR="00DE5411">
        <w:t>enhanced SSuN</w:t>
      </w:r>
      <w:r w:rsidRPr="004712DC">
        <w:t xml:space="preserve"> utilizes two distinct components that conceptually are grouped into two primary categories reflecting</w:t>
      </w:r>
      <w:r w:rsidR="002F12D8">
        <w:t xml:space="preserve"> the</w:t>
      </w:r>
      <w:r w:rsidRPr="004712DC">
        <w:t xml:space="preserve"> core network functions: population-based STD surveillance and sentinel facility-based STD surveillance</w:t>
      </w:r>
      <w:r w:rsidR="001A2087">
        <w:t xml:space="preserve"> </w:t>
      </w:r>
      <w:r w:rsidR="001A2087" w:rsidRPr="001A2087">
        <w:rPr>
          <w:b/>
        </w:rPr>
        <w:t>(</w:t>
      </w:r>
      <w:r w:rsidR="006C13DB">
        <w:rPr>
          <w:b/>
        </w:rPr>
        <w:t xml:space="preserve">ATTACHMENT </w:t>
      </w:r>
      <w:r w:rsidR="00097BED">
        <w:rPr>
          <w:b/>
        </w:rPr>
        <w:t>4</w:t>
      </w:r>
      <w:r w:rsidR="001A2087" w:rsidRPr="001A2087">
        <w:rPr>
          <w:b/>
        </w:rPr>
        <w:t>)</w:t>
      </w:r>
      <w:r w:rsidRPr="001A2087">
        <w:rPr>
          <w:b/>
        </w:rPr>
        <w:t>.</w:t>
      </w:r>
      <w:r w:rsidRPr="004712DC">
        <w:t xml:space="preserve"> </w:t>
      </w:r>
    </w:p>
    <w:p w14:paraId="2C6ABE0F" w14:textId="77777777" w:rsidR="008A6594" w:rsidRDefault="008A6594" w:rsidP="00F56B12"/>
    <w:p w14:paraId="68E628A2" w14:textId="7B1B0E64" w:rsidR="00F75C13" w:rsidRPr="008A6594" w:rsidRDefault="008A6594" w:rsidP="00F56B12">
      <w:pPr>
        <w:rPr>
          <w:b/>
        </w:rPr>
      </w:pPr>
      <w:r w:rsidRPr="008A6594">
        <w:rPr>
          <w:b/>
        </w:rPr>
        <w:t>Population-based STD surveillance:</w:t>
      </w:r>
    </w:p>
    <w:p w14:paraId="6AEF3754" w14:textId="56D8A2C5" w:rsidR="00F56B12" w:rsidRPr="004712DC" w:rsidRDefault="00F56B12" w:rsidP="00F56B12">
      <w:r w:rsidRPr="004712DC">
        <w:t xml:space="preserve">The </w:t>
      </w:r>
      <w:r w:rsidR="002F12D8">
        <w:t>population-based component contains two activities</w:t>
      </w:r>
      <w:r w:rsidR="00F75C13">
        <w:t>. Th</w:t>
      </w:r>
      <w:r w:rsidR="002F12D8">
        <w:t xml:space="preserve">e </w:t>
      </w:r>
      <w:r w:rsidRPr="004712DC">
        <w:t>f</w:t>
      </w:r>
      <w:r w:rsidR="002F12D8">
        <w:t>ocus of the fir</w:t>
      </w:r>
      <w:r w:rsidRPr="004712DC">
        <w:t>st</w:t>
      </w:r>
      <w:r w:rsidR="002F12D8">
        <w:t xml:space="preserve"> </w:t>
      </w:r>
      <w:r w:rsidR="0002694E">
        <w:t>activity</w:t>
      </w:r>
      <w:r w:rsidR="002F12D8">
        <w:t xml:space="preserve"> centers around obtaining complete demographic, behavioral and clinical information on a probability sample of gonorrhea cases </w:t>
      </w:r>
      <w:r w:rsidR="00F75C13" w:rsidRPr="00F75C13">
        <w:t xml:space="preserve">(up to 10% of total gonorrhea morbidity) </w:t>
      </w:r>
      <w:r w:rsidR="002F12D8">
        <w:t xml:space="preserve">reported to </w:t>
      </w:r>
      <w:r w:rsidR="00F75C13">
        <w:t xml:space="preserve">participating </w:t>
      </w:r>
      <w:r w:rsidR="002F12D8">
        <w:t>health departments through routine case notifications</w:t>
      </w:r>
      <w:r w:rsidR="001A2087">
        <w:t xml:space="preserve"> </w:t>
      </w:r>
      <w:r w:rsidR="001A2087" w:rsidRPr="001A2087">
        <w:rPr>
          <w:b/>
        </w:rPr>
        <w:t>(</w:t>
      </w:r>
      <w:r w:rsidR="006C13DB">
        <w:rPr>
          <w:b/>
        </w:rPr>
        <w:t xml:space="preserve">ATTACHMENT </w:t>
      </w:r>
      <w:r w:rsidR="00097BED">
        <w:rPr>
          <w:b/>
        </w:rPr>
        <w:t>5</w:t>
      </w:r>
      <w:r w:rsidR="001A2087" w:rsidRPr="001A2087">
        <w:rPr>
          <w:b/>
        </w:rPr>
        <w:t>)</w:t>
      </w:r>
      <w:r w:rsidR="00F75C13" w:rsidRPr="001A2087">
        <w:t xml:space="preserve">. </w:t>
      </w:r>
      <w:r w:rsidR="00F75C13" w:rsidRPr="00F75C13">
        <w:t>Cases must be reported within 60 days of specimen collection and must have resided in the jurisdiction at the time of the diagnosis to be eligible for sampling. Sampling methodologies will be uniformly employed across jurisdictions.</w:t>
      </w:r>
      <w:r w:rsidR="00F75C13">
        <w:t xml:space="preserve"> </w:t>
      </w:r>
      <w:r w:rsidRPr="004712DC">
        <w:t xml:space="preserve">Health department staff will review sampled records against existing health department disease and laboratory registries to determine if the sampled case (i.e., patient diagnosed and reported with gonorrhea) has previously been reported to the department of health for any notifiable disease of interest (STDs, HIV, TB, viral hepatitis, etc.), document any recent history of STDs, and provide additional clinical information that is available through </w:t>
      </w:r>
      <w:r w:rsidR="00F75C13">
        <w:t xml:space="preserve">routine </w:t>
      </w:r>
      <w:r w:rsidRPr="004712DC">
        <w:t xml:space="preserve">provider case reporting. Previous diagnoses occurring within 365 days of the specimen collection date/diagnosis date of their current GC diagnoses will be documented and included in the </w:t>
      </w:r>
      <w:r w:rsidR="004D108F">
        <w:t>e</w:t>
      </w:r>
      <w:r w:rsidRPr="004712DC">
        <w:t xml:space="preserve">nhanced </w:t>
      </w:r>
      <w:r w:rsidR="004D108F">
        <w:t>SSuN</w:t>
      </w:r>
      <w:r w:rsidRPr="004712DC">
        <w:t xml:space="preserve"> record</w:t>
      </w:r>
      <w:r w:rsidR="004D108F">
        <w:t xml:space="preserve"> as well as whether the </w:t>
      </w:r>
      <w:r w:rsidRPr="004712DC">
        <w:t xml:space="preserve">record represents a ‘duplicate record’ (defined as a GC diagnosis within </w:t>
      </w:r>
      <w:r w:rsidR="00502DFA">
        <w:t>30</w:t>
      </w:r>
      <w:r w:rsidRPr="004712DC">
        <w:t xml:space="preserve"> days of the specimen collection date/diagnosis date of a previously reported record for the same anatomic site).  All laboratory data associated with the patient and specific episode of </w:t>
      </w:r>
      <w:r w:rsidR="004D108F">
        <w:t>gonorrhea are</w:t>
      </w:r>
      <w:r w:rsidRPr="004712DC">
        <w:t xml:space="preserve"> obtained and documented for provisions for multiple tests across multiple anatomic sites. Wherever available, negative laboratory results will also be included in the </w:t>
      </w:r>
      <w:r w:rsidR="00DE5411">
        <w:t>enhanced SSuN</w:t>
      </w:r>
      <w:r w:rsidRPr="004712DC">
        <w:t xml:space="preserve"> to demonstrate screening practices.</w:t>
      </w:r>
      <w:r w:rsidR="004D108F">
        <w:t xml:space="preserve"> </w:t>
      </w:r>
      <w:r w:rsidRPr="004712DC">
        <w:t xml:space="preserve">Patient-level investigations/interviews among gonorrhea cases are conducted either by phone or in-person with at least 3 documented attempts to contact each patient.  Sites are encouraged to develop locally focused protocol </w:t>
      </w:r>
      <w:r w:rsidRPr="006C1B65">
        <w:t>documents and/or data collection instruments</w:t>
      </w:r>
      <w:r w:rsidR="006C1B65">
        <w:t xml:space="preserve"> </w:t>
      </w:r>
      <w:r w:rsidRPr="004712DC">
        <w:t xml:space="preserve">for investigators, provide adequate training to </w:t>
      </w:r>
      <w:r w:rsidR="004D108F">
        <w:t xml:space="preserve">local </w:t>
      </w:r>
      <w:r w:rsidRPr="004712DC">
        <w:t>investigators conducting patient contact and to address local human subject’s requirements. Where not otherwise formally required, brief verbal informed consent is obtained from patients prior to eliciting information; consent requirements are documented in local protocols.</w:t>
      </w:r>
    </w:p>
    <w:p w14:paraId="762A7910" w14:textId="77777777" w:rsidR="00F56B12" w:rsidRPr="004712DC" w:rsidRDefault="00F56B12" w:rsidP="00F56B12"/>
    <w:p w14:paraId="4DF9FF12" w14:textId="0698E5B9" w:rsidR="00F56B12" w:rsidRPr="004712DC" w:rsidRDefault="00F75C13" w:rsidP="00F56B12">
      <w:r w:rsidRPr="00F75C13">
        <w:t xml:space="preserve">The second activity focuses on obtaining complete demographic, behavioral and clinical information on early syphilis cases </w:t>
      </w:r>
      <w:r w:rsidR="008A6594" w:rsidRPr="008A6594">
        <w:t>who report ocular/ neurologic symptoms</w:t>
      </w:r>
      <w:r w:rsidR="001A2087">
        <w:t xml:space="preserve"> </w:t>
      </w:r>
      <w:r w:rsidR="001A2087" w:rsidRPr="001A2087">
        <w:rPr>
          <w:b/>
        </w:rPr>
        <w:t>(</w:t>
      </w:r>
      <w:r w:rsidR="006C13DB">
        <w:rPr>
          <w:b/>
        </w:rPr>
        <w:t xml:space="preserve">ATTACHMENT </w:t>
      </w:r>
      <w:r w:rsidR="00097BED">
        <w:rPr>
          <w:b/>
        </w:rPr>
        <w:t>5</w:t>
      </w:r>
      <w:r w:rsidR="001A2087" w:rsidRPr="001A2087">
        <w:rPr>
          <w:b/>
        </w:rPr>
        <w:t>)</w:t>
      </w:r>
      <w:r w:rsidR="008A6594">
        <w:t xml:space="preserve">. Early syphilis cases are </w:t>
      </w:r>
      <w:r w:rsidRPr="00F75C13">
        <w:t xml:space="preserve">reported to participating health departments through routine partner services or provider reporting.  </w:t>
      </w:r>
      <w:r w:rsidR="004D108F">
        <w:t>J</w:t>
      </w:r>
      <w:r w:rsidR="00F56B12" w:rsidRPr="004712DC">
        <w:t xml:space="preserve">urisdictions routinely conduct partner investigations for patients with early (primary, secondary, and early latent) syphilis through Disease Intervention Specialists (DIS). These partner investigations ascertain </w:t>
      </w:r>
      <w:r w:rsidR="00C550B9">
        <w:t xml:space="preserve">some </w:t>
      </w:r>
      <w:r w:rsidR="00F56B12" w:rsidRPr="004712DC">
        <w:t>demographic, behavioral, and clinical information relevant to the syphilis diagnosis</w:t>
      </w:r>
      <w:r w:rsidR="008A6594">
        <w:t>, including information about ocular and/or neurologic symptoms</w:t>
      </w:r>
      <w:r w:rsidR="000B14A3">
        <w:t xml:space="preserve">. However, </w:t>
      </w:r>
      <w:r w:rsidR="008A6594">
        <w:t xml:space="preserve">additional data elements will be collected through patient interviews that will </w:t>
      </w:r>
      <w:r w:rsidR="000B14A3">
        <w:t xml:space="preserve">include additional standardized screening questions </w:t>
      </w:r>
      <w:r w:rsidR="008A6594">
        <w:t xml:space="preserve">to those who report symptoms </w:t>
      </w:r>
      <w:r w:rsidR="000B14A3">
        <w:t xml:space="preserve">for a more complete assessment of ocular/ neurologic involvement, including the full spectrum of eye, ear, </w:t>
      </w:r>
      <w:r w:rsidR="00E15A24">
        <w:t>and neurologic</w:t>
      </w:r>
      <w:r w:rsidR="000B14A3">
        <w:t xml:space="preserve"> symptoms</w:t>
      </w:r>
      <w:r w:rsidR="00097BED">
        <w:t xml:space="preserve"> </w:t>
      </w:r>
      <w:r w:rsidR="00097BED" w:rsidRPr="001A2087">
        <w:rPr>
          <w:b/>
        </w:rPr>
        <w:t>(</w:t>
      </w:r>
      <w:r w:rsidR="006C13DB">
        <w:rPr>
          <w:b/>
        </w:rPr>
        <w:t xml:space="preserve">ATTACHMENT </w:t>
      </w:r>
      <w:r w:rsidR="00097BED">
        <w:rPr>
          <w:b/>
        </w:rPr>
        <w:t>5</w:t>
      </w:r>
      <w:r w:rsidR="00097BED" w:rsidRPr="001A2087">
        <w:rPr>
          <w:b/>
        </w:rPr>
        <w:t>)</w:t>
      </w:r>
      <w:r w:rsidR="000B14A3">
        <w:t xml:space="preserve">. </w:t>
      </w:r>
      <w:r w:rsidR="008A6594">
        <w:t xml:space="preserve">In addition, a </w:t>
      </w:r>
      <w:r w:rsidR="008A6594" w:rsidRPr="008A6594">
        <w:t>follow-up evaluation with the diagnosing or reporting provider</w:t>
      </w:r>
      <w:r w:rsidR="008A6594">
        <w:t xml:space="preserve"> will be conducted to </w:t>
      </w:r>
      <w:r w:rsidR="008A6594" w:rsidRPr="008A6594">
        <w:t xml:space="preserve">ascertain additional information about </w:t>
      </w:r>
      <w:r w:rsidR="008A6594">
        <w:t>physical exam findings</w:t>
      </w:r>
      <w:r w:rsidR="008A6594" w:rsidRPr="008A6594">
        <w:t xml:space="preserve">, laboratory tests results, including cerebrospinal fluid (CSF) results, and prescribed (type and duration) treatment </w:t>
      </w:r>
      <w:r w:rsidR="00B979EC">
        <w:t xml:space="preserve">if </w:t>
      </w:r>
      <w:r w:rsidR="008A6594" w:rsidRPr="008A6594">
        <w:t xml:space="preserve">not present in the original case or laboratory report. These evaluations can be either by direct contact with providers (phone) or through other methods such as secure fax-back, mail or other means as long as privacy of patient information can be strictly maintained.  </w:t>
      </w:r>
      <w:r w:rsidR="008C140A">
        <w:t>Lastly</w:t>
      </w:r>
      <w:r w:rsidR="008A6594">
        <w:t>, e</w:t>
      </w:r>
      <w:r w:rsidR="00F56B12" w:rsidRPr="004712DC">
        <w:t>arly syphilis cases reporting neurologic and/or ocular symptoms will be re-contacted at approximately three months following prescribed treatment to ascertain whether initial symptoms have resolved. The</w:t>
      </w:r>
      <w:r w:rsidR="000B14A3">
        <w:t xml:space="preserve"> three month</w:t>
      </w:r>
      <w:r w:rsidR="00F56B12" w:rsidRPr="004712DC">
        <w:t xml:space="preserve"> follow-up patient-level investigations/interviews are conducted either by phone or in-person with at least 3 documented attempts to contact each patient. Sites are encouraged to provide adequate training to investigators conducting patient contact and to address local human subject’s requirements. Where not otherwise formally required, brief verbal informed consent should be obtained from patients prior to eliciting information; consent requirements should be documented in local protocols.  </w:t>
      </w:r>
    </w:p>
    <w:p w14:paraId="0ABB2D95" w14:textId="77777777" w:rsidR="00F56B12" w:rsidRPr="004712DC" w:rsidRDefault="00F56B12" w:rsidP="00F56B12"/>
    <w:p w14:paraId="4ACA96CC" w14:textId="77777777" w:rsidR="008A6594" w:rsidRPr="008A6594" w:rsidRDefault="008A6594" w:rsidP="00F56B12">
      <w:pPr>
        <w:rPr>
          <w:b/>
        </w:rPr>
      </w:pPr>
      <w:r w:rsidRPr="008A6594">
        <w:rPr>
          <w:b/>
        </w:rPr>
        <w:t>Sentinel facility-based STD surveillance:</w:t>
      </w:r>
    </w:p>
    <w:p w14:paraId="49D07103" w14:textId="0C62F95C" w:rsidR="00F56B12" w:rsidRPr="004712DC" w:rsidRDefault="00F56B12" w:rsidP="00F56B12">
      <w:r w:rsidRPr="004712DC">
        <w:t xml:space="preserve">The second core component of </w:t>
      </w:r>
      <w:r w:rsidR="00DE5411">
        <w:t>enhanced SSuN</w:t>
      </w:r>
      <w:r w:rsidRPr="004712DC">
        <w:t xml:space="preserve"> is the sentinel facility-based surveillance where visit-level clinical, diagnosis, laboratory and treatment data are collected from patients attending participating categorical STD clinics</w:t>
      </w:r>
      <w:r w:rsidR="00097BED">
        <w:t xml:space="preserve"> </w:t>
      </w:r>
      <w:r w:rsidR="00097BED" w:rsidRPr="001A2087">
        <w:rPr>
          <w:b/>
        </w:rPr>
        <w:t>(</w:t>
      </w:r>
      <w:r w:rsidR="006C13DB">
        <w:rPr>
          <w:b/>
        </w:rPr>
        <w:t xml:space="preserve">ATTACHMENT </w:t>
      </w:r>
      <w:r w:rsidR="00097BED">
        <w:rPr>
          <w:b/>
        </w:rPr>
        <w:t>5</w:t>
      </w:r>
      <w:r w:rsidR="00097BED" w:rsidRPr="001A2087">
        <w:rPr>
          <w:b/>
        </w:rPr>
        <w:t>)</w:t>
      </w:r>
      <w:r w:rsidRPr="004712DC">
        <w:t>.  Categorical STD clinics, for the purposes of this project, are defined as clinical facilities whose main purpose is to provide STD-related services. Transmission of the data is primarily performed by abstraction of routinely collected information from existing electronic medical records by clinic data managers that will then be sent to funded local/state health departments. For both clinic-based and population-based STD surveillance activities, funded jurisdictions are expected to maintain rigorous procedures to assure the quality and validity of data before submitting to CDC. They will also complete data verification</w:t>
      </w:r>
      <w:r w:rsidR="00A269BD" w:rsidRPr="004712DC">
        <w:t xml:space="preserve">, recode and appropriately structure the data to facilitate merging into the national </w:t>
      </w:r>
      <w:r w:rsidR="008C140A">
        <w:t>e</w:t>
      </w:r>
      <w:r w:rsidR="00A269BD" w:rsidRPr="004712DC">
        <w:t>nhanced SS</w:t>
      </w:r>
      <w:r w:rsidR="00256572">
        <w:t>u</w:t>
      </w:r>
      <w:r w:rsidR="00A269BD" w:rsidRPr="004712DC">
        <w:t>N datasets</w:t>
      </w:r>
      <w:r w:rsidR="008C140A">
        <w:t>.</w:t>
      </w:r>
      <w:r w:rsidRPr="004712DC">
        <w:t xml:space="preserve"> In collaboration with data managers in each jurisdiction, CDC will prepare syntax for data validation that will provide for appropriate quality assurance.  Jurisdictions will apply these validation checks and fix the offending records prior to transmission. </w:t>
      </w:r>
      <w:r w:rsidR="006C1B65">
        <w:t xml:space="preserve">Locally prepared SAS datasets used for validation and transmission to CDC will not </w:t>
      </w:r>
      <w:r w:rsidRPr="004712DC">
        <w:t xml:space="preserve">include patients’ names, </w:t>
      </w:r>
      <w:r w:rsidR="006C1B65">
        <w:t>date of birth, phone number, mailing address or me</w:t>
      </w:r>
      <w:r w:rsidRPr="004712DC">
        <w:t xml:space="preserve">dical record numbers.  Enhanced STD surveillance network records from STD clinics will be assigned a unique patient identifier (patient ID) and a unique event identification number for each visit; a unique patient ID code will be assigned in the enhanced population component by the corresponding state/local health department. CDC will only receive the unique identifier and will not have the ability to back-convert the Patient ID to a medical record number.  Sites will send data through the </w:t>
      </w:r>
      <w:r w:rsidR="00256572">
        <w:t xml:space="preserve">CDCs </w:t>
      </w:r>
      <w:r w:rsidRPr="004712DC">
        <w:t xml:space="preserve">secure data network (SAMS), or equivalent, using specified encryption methods on a monthly basis (alternating between the population and facility data files).  CDC agrees to accept and securely store these data, accessible only to </w:t>
      </w:r>
      <w:r w:rsidR="00DE5411">
        <w:t>enhanced SSuN</w:t>
      </w:r>
      <w:r w:rsidRPr="004712DC">
        <w:t xml:space="preserve"> project staff.   Enhanced STD surveillance network data will not be integrated into other datasets maintained by CDC and will at all times be stored on secure servers with fully restricted access.</w:t>
      </w:r>
    </w:p>
    <w:p w14:paraId="5C8C6FA8" w14:textId="77777777" w:rsidR="00F56B12" w:rsidRPr="004712DC" w:rsidRDefault="00F56B12" w:rsidP="00F56B12"/>
    <w:p w14:paraId="12A46BA2" w14:textId="1742DF3C" w:rsidR="00F56B12" w:rsidRPr="004712DC" w:rsidRDefault="00F56B12" w:rsidP="00F56B12">
      <w:r w:rsidRPr="004712DC">
        <w:t xml:space="preserve">Both components of </w:t>
      </w:r>
      <w:r w:rsidR="00DE5411">
        <w:t>enhanced SSuN</w:t>
      </w:r>
      <w:r w:rsidRPr="004712DC">
        <w:t xml:space="preserve"> are designed to integrate traditional surveillance methods to produce high-quality, timely surveillance and epidemiologic data to direct public health STD prevention and control efforts, better understand community burden of disease, identify syndemic patterns and population at greatest risk and monitor long-term health consequences of STDs. To assure comparability of activities and data across funded jurisdictions and maximize the potential success of the network, </w:t>
      </w:r>
      <w:r w:rsidR="00DE5411">
        <w:t>enhanced SSuN</w:t>
      </w:r>
      <w:r w:rsidRPr="004712DC">
        <w:t xml:space="preserve"> awardees employ substantively comparable strategies to implement </w:t>
      </w:r>
      <w:r w:rsidR="00DE5411">
        <w:t>enhanced SSuN</w:t>
      </w:r>
      <w:r w:rsidRPr="004712DC">
        <w:t xml:space="preserve"> activities in their jurisdictions. This will assure that </w:t>
      </w:r>
      <w:r w:rsidR="00DE5411">
        <w:t>enhanced SSuN</w:t>
      </w:r>
      <w:r w:rsidRPr="004712DC">
        <w:t xml:space="preserve"> functions at the national level in a way that is consistent with the principles and attributes of all robust disease surveillance systems.</w:t>
      </w:r>
    </w:p>
    <w:p w14:paraId="48C1D308" w14:textId="77777777" w:rsidR="00F56B12" w:rsidRPr="004712DC" w:rsidRDefault="00F56B12" w:rsidP="00F56B12"/>
    <w:p w14:paraId="4EC9C80D" w14:textId="3B3FFBF0" w:rsidR="00F56B12" w:rsidRPr="004712DC" w:rsidRDefault="00F56B12" w:rsidP="00F56B12">
      <w:r w:rsidRPr="004712DC">
        <w:t xml:space="preserve">The information collection described in this request is funded through </w:t>
      </w:r>
      <w:r w:rsidR="00256572">
        <w:t>a cooperative agreement</w:t>
      </w:r>
      <w:r w:rsidRPr="004712DC">
        <w:t xml:space="preserve"> with state and local health departments (CDC surveillance activities are routinely funded through cooperative agreements with state and local health departments). The five-year funding announcement PS13-1306 was published </w:t>
      </w:r>
      <w:r w:rsidR="00192FB1">
        <w:t>February 14</w:t>
      </w:r>
      <w:r w:rsidRPr="004712DC">
        <w:t xml:space="preserve">, 2013. From 2013 to 2018, 10 jurisdictions were awarded to participate in </w:t>
      </w:r>
      <w:r w:rsidR="00DE5411">
        <w:t>enhanced SSuN</w:t>
      </w:r>
      <w:r w:rsidRPr="004712DC">
        <w:t xml:space="preserve">. </w:t>
      </w:r>
      <w:r w:rsidR="00192FB1" w:rsidRPr="00192FB1">
        <w:t xml:space="preserve">See </w:t>
      </w:r>
      <w:r w:rsidR="006C13DB">
        <w:rPr>
          <w:b/>
        </w:rPr>
        <w:t xml:space="preserve">ATTACHMENT </w:t>
      </w:r>
      <w:r w:rsidR="00097BED">
        <w:rPr>
          <w:b/>
        </w:rPr>
        <w:t>6</w:t>
      </w:r>
      <w:r w:rsidR="00192FB1" w:rsidRPr="00192FB1">
        <w:t xml:space="preserve"> for a </w:t>
      </w:r>
      <w:r w:rsidR="00192FB1">
        <w:t>list of enhanced SS</w:t>
      </w:r>
      <w:r w:rsidR="00097BED">
        <w:t>u</w:t>
      </w:r>
      <w:r w:rsidR="00192FB1">
        <w:t xml:space="preserve">N collaborators. </w:t>
      </w:r>
    </w:p>
    <w:p w14:paraId="2E0C7503" w14:textId="77777777" w:rsidR="00F56B12" w:rsidRPr="004712DC" w:rsidRDefault="00F56B12" w:rsidP="00F56B12"/>
    <w:p w14:paraId="2EF1C936" w14:textId="0ED00BB9" w:rsidR="00F56B12" w:rsidRPr="00DE5411" w:rsidRDefault="00F56B12" w:rsidP="00F56B12">
      <w:r w:rsidRPr="00255077">
        <w:t xml:space="preserve">The usefulness of </w:t>
      </w:r>
      <w:r w:rsidR="00DE5411" w:rsidRPr="00255077">
        <w:t>enhanced SSuN</w:t>
      </w:r>
      <w:r w:rsidRPr="00255077">
        <w:t xml:space="preserve"> data are demonstrated by the amount of national press that </w:t>
      </w:r>
      <w:r w:rsidR="00DE5411" w:rsidRPr="00255077">
        <w:t>enhanced SSuN</w:t>
      </w:r>
      <w:r w:rsidRPr="00255077">
        <w:t xml:space="preserve"> analyses have received. For example, data from the </w:t>
      </w:r>
      <w:r w:rsidR="00105AA9" w:rsidRPr="00255077">
        <w:t>population component of the current e</w:t>
      </w:r>
      <w:r w:rsidR="000173AA">
        <w:t xml:space="preserve">nhanced </w:t>
      </w:r>
      <w:r w:rsidR="00105AA9" w:rsidRPr="00255077">
        <w:t xml:space="preserve">SSuN and the previous SSuN cycles has been presented at international conferences and published in peer-reviewed journals demonstrating a significant and ongoing increase in the burden of gonorrhea among </w:t>
      </w:r>
      <w:r w:rsidR="00F430DB" w:rsidRPr="00255077">
        <w:t>men who have sex with men (</w:t>
      </w:r>
      <w:r w:rsidR="00105AA9" w:rsidRPr="00255077">
        <w:t>MSM</w:t>
      </w:r>
      <w:r w:rsidR="00F430DB" w:rsidRPr="00255077">
        <w:t>)</w:t>
      </w:r>
      <w:r w:rsidR="00105AA9" w:rsidRPr="00255077">
        <w:t>. These data generated coverage from the general press in the U.S. as well as public health reporting from sever international media outlets.  Data from e</w:t>
      </w:r>
      <w:r w:rsidR="000173AA">
        <w:t xml:space="preserve">nhanced </w:t>
      </w:r>
      <w:r w:rsidR="00105AA9" w:rsidRPr="00255077">
        <w:t xml:space="preserve">SSuN population component has also been included in CDC’s annual STD Surveillance Report, which garnered considerable domestic coverage, including findings related to the </w:t>
      </w:r>
      <w:r w:rsidR="00256572">
        <w:t xml:space="preserve">estimated </w:t>
      </w:r>
      <w:r w:rsidR="00105AA9" w:rsidRPr="00255077">
        <w:t>proportion of gonorrhea cases attributable to MSM as well as heterosexual populations.</w:t>
      </w:r>
      <w:r w:rsidRPr="004712DC">
        <w:t xml:space="preserve"> Data from the </w:t>
      </w:r>
      <w:r w:rsidR="00105AA9">
        <w:t>e</w:t>
      </w:r>
      <w:r w:rsidR="000173AA">
        <w:t xml:space="preserve">nhanced </w:t>
      </w:r>
      <w:r w:rsidR="00105AA9">
        <w:t xml:space="preserve">SSuN </w:t>
      </w:r>
      <w:r w:rsidRPr="004712DC">
        <w:t xml:space="preserve">STD </w:t>
      </w:r>
      <w:r w:rsidR="00105AA9">
        <w:t>facility component</w:t>
      </w:r>
      <w:r w:rsidRPr="004712DC">
        <w:t xml:space="preserve"> was used for an analysis on HIV diagnoses among HIV-uninfected </w:t>
      </w:r>
      <w:r w:rsidR="00256572">
        <w:t>MSM</w:t>
      </w:r>
      <w:r w:rsidRPr="004712DC">
        <w:t xml:space="preserve"> who are repeatedly tested for HIV. Findings included an overall incidence of new HIV diagnosis of 3.1 / 100 person years, approximately 25 times higher than what is observed in heterosexual men and women. Findings were presented at the 2015 National HIV Prevention Conference and received media attention for greater efforts to promote HIV prevention </w:t>
      </w:r>
      <w:r w:rsidR="001C2661" w:rsidRPr="004712DC">
        <w:t>strategies</w:t>
      </w:r>
      <w:r w:rsidRPr="004712DC">
        <w:t xml:space="preserve"> to uninfected MSM attending STD clinics.  Finally, data from the facility component was used to examine how well pelvic inflammatory disease (PID) diagnosis and treatment practices in STD clinic settings follow CDC-recommended guidelines. The findings were that approximately 70% of the patients met the CDC treatment case definition for PID, and about two thirds were treated with a CDC-recommended outpatient regimen, underscor</w:t>
      </w:r>
      <w:r w:rsidR="00256572">
        <w:t>ing</w:t>
      </w:r>
      <w:r w:rsidRPr="004712DC">
        <w:t xml:space="preserve"> the need for continued efforts to optimize quality of care and adherence to current guidance for PID management given the anticipated expertise of providers in these settings. The results were published in 2015 in Sexually Transmitted Diseases.  </w:t>
      </w:r>
      <w:r w:rsidRPr="00DE5411">
        <w:t xml:space="preserve">See </w:t>
      </w:r>
      <w:r w:rsidR="006C13DB">
        <w:rPr>
          <w:b/>
        </w:rPr>
        <w:t xml:space="preserve">ATTACHMENT </w:t>
      </w:r>
      <w:r w:rsidR="00097BED">
        <w:rPr>
          <w:b/>
        </w:rPr>
        <w:t>7</w:t>
      </w:r>
      <w:r w:rsidR="00256572">
        <w:t xml:space="preserve"> for additional</w:t>
      </w:r>
      <w:r w:rsidR="00192FB1" w:rsidRPr="00DE5411">
        <w:t xml:space="preserve"> </w:t>
      </w:r>
      <w:r w:rsidR="00256572">
        <w:t xml:space="preserve">citations of </w:t>
      </w:r>
      <w:r w:rsidRPr="00DE5411">
        <w:t>SSuN publications.</w:t>
      </w:r>
    </w:p>
    <w:p w14:paraId="0CC0DD49" w14:textId="77777777" w:rsidR="00F56B12" w:rsidRPr="004712DC" w:rsidRDefault="00F56B12" w:rsidP="00F56B12"/>
    <w:p w14:paraId="5DF5E3A1" w14:textId="062D664A" w:rsidR="00F56B12" w:rsidRPr="004712DC" w:rsidRDefault="00293B19" w:rsidP="00F56B12">
      <w:r w:rsidRPr="004712DC">
        <w:t xml:space="preserve">Enhanced </w:t>
      </w:r>
      <w:r w:rsidR="00F56B12" w:rsidRPr="004712DC">
        <w:t>SSuN methods have been replicated by other non-</w:t>
      </w:r>
      <w:r w:rsidR="00DE5411">
        <w:t>enhanced SSuN</w:t>
      </w:r>
      <w:r w:rsidR="00F56B12" w:rsidRPr="004712DC">
        <w:t xml:space="preserve"> jurisdictions, vetted by external and internal researchers and have undergone internal validation by CDC colleagues as well as local and state health department collaborators. For example, CDC and our </w:t>
      </w:r>
      <w:r w:rsidR="00256572">
        <w:t xml:space="preserve">SSuN </w:t>
      </w:r>
      <w:r w:rsidR="00F56B12" w:rsidRPr="004712DC">
        <w:t xml:space="preserve">collaborators </w:t>
      </w:r>
      <w:r w:rsidRPr="004712DC">
        <w:t>meet</w:t>
      </w:r>
      <w:r w:rsidR="00F56B12" w:rsidRPr="004712DC">
        <w:t xml:space="preserve"> </w:t>
      </w:r>
      <w:r w:rsidR="00256572">
        <w:t>annually</w:t>
      </w:r>
      <w:r w:rsidR="00F56B12" w:rsidRPr="004712DC">
        <w:t xml:space="preserve"> for a principal investigators meeting to discuss methodological issues and lessons learned in the preceding year. </w:t>
      </w:r>
    </w:p>
    <w:p w14:paraId="3D2A747A" w14:textId="77777777" w:rsidR="00F56B12" w:rsidRPr="004712DC" w:rsidRDefault="00F56B12" w:rsidP="00F56B12"/>
    <w:p w14:paraId="4E497277" w14:textId="494F6CB8" w:rsidR="001C2661" w:rsidRPr="004712DC" w:rsidRDefault="001C2661" w:rsidP="00484B81">
      <w:pPr>
        <w:rPr>
          <w:bCs/>
        </w:rPr>
      </w:pPr>
    </w:p>
    <w:p w14:paraId="1F4699A0" w14:textId="0D373F8D" w:rsidR="00484B81" w:rsidRPr="004712DC" w:rsidRDefault="00484B81" w:rsidP="00484B81">
      <w:pPr>
        <w:autoSpaceDE w:val="0"/>
        <w:autoSpaceDN w:val="0"/>
        <w:adjustRightInd w:val="0"/>
        <w:rPr>
          <w:b/>
          <w:bCs/>
          <w:u w:val="single"/>
        </w:rPr>
      </w:pPr>
      <w:r w:rsidRPr="004712DC">
        <w:rPr>
          <w:b/>
          <w:bCs/>
        </w:rPr>
        <w:t xml:space="preserve">A. 3.  </w:t>
      </w:r>
      <w:r w:rsidRPr="004712DC">
        <w:rPr>
          <w:b/>
          <w:bCs/>
          <w:u w:val="single"/>
        </w:rPr>
        <w:t>Use of Improved Information Technology and Burden Reduction</w:t>
      </w:r>
    </w:p>
    <w:p w14:paraId="4C1CF030" w14:textId="77777777" w:rsidR="001C2661" w:rsidRPr="004712DC" w:rsidRDefault="001C2661" w:rsidP="00484B81">
      <w:pPr>
        <w:autoSpaceDE w:val="0"/>
        <w:autoSpaceDN w:val="0"/>
        <w:adjustRightInd w:val="0"/>
        <w:rPr>
          <w:b/>
          <w:bCs/>
          <w:u w:val="single"/>
        </w:rPr>
      </w:pPr>
    </w:p>
    <w:p w14:paraId="0629E6CF" w14:textId="11EE7460" w:rsidR="009A5C01" w:rsidRPr="004712DC" w:rsidRDefault="001C2661" w:rsidP="004C77F0">
      <w:r w:rsidRPr="004712DC">
        <w:t>Interview data</w:t>
      </w:r>
      <w:r w:rsidR="009A5C01" w:rsidRPr="004712DC">
        <w:t xml:space="preserve"> for both the patients diagnosed and reported with gonorrhea as well as those with early syphilis </w:t>
      </w:r>
      <w:r w:rsidR="00F030CE">
        <w:t>are</w:t>
      </w:r>
      <w:r w:rsidR="009A5C01" w:rsidRPr="004712DC">
        <w:t xml:space="preserve"> </w:t>
      </w:r>
      <w:r w:rsidR="00160E8B">
        <w:t xml:space="preserve">locally </w:t>
      </w:r>
      <w:r w:rsidR="009A5C01" w:rsidRPr="004712DC">
        <w:t xml:space="preserve">collected </w:t>
      </w:r>
      <w:r w:rsidR="00160E8B">
        <w:t xml:space="preserve">and managed </w:t>
      </w:r>
      <w:r w:rsidR="009A5C01" w:rsidRPr="004712DC">
        <w:t>on password-protected encrypted computers</w:t>
      </w:r>
      <w:r w:rsidR="00160E8B">
        <w:t xml:space="preserve"> meeting local health department security requirements</w:t>
      </w:r>
      <w:r w:rsidR="009A5C01" w:rsidRPr="004712DC">
        <w:t xml:space="preserve">. </w:t>
      </w:r>
      <w:r w:rsidR="00DE5411">
        <w:t xml:space="preserve">An interview template is provided </w:t>
      </w:r>
      <w:r w:rsidR="00160E8B">
        <w:t>only as an example for data collection</w:t>
      </w:r>
      <w:r w:rsidR="00DE5411">
        <w:t xml:space="preserve"> (See </w:t>
      </w:r>
      <w:r w:rsidR="006C13DB">
        <w:rPr>
          <w:b/>
        </w:rPr>
        <w:t>ATTACHMENT 8</w:t>
      </w:r>
      <w:r w:rsidR="00704BE7">
        <w:t>)</w:t>
      </w:r>
      <w:r w:rsidR="00DE5411">
        <w:t xml:space="preserve">. </w:t>
      </w:r>
      <w:r w:rsidR="00160E8B">
        <w:t xml:space="preserve">Collaborating jurisdictions are encouraged to develop local data collection tools improving the </w:t>
      </w:r>
      <w:r w:rsidR="00292570" w:rsidRPr="004712DC">
        <w:t>efficiency of data collection</w:t>
      </w:r>
      <w:r w:rsidR="00160E8B">
        <w:t xml:space="preserve">. </w:t>
      </w:r>
      <w:r w:rsidR="00292570" w:rsidRPr="004712DC">
        <w:t xml:space="preserve"> </w:t>
      </w:r>
      <w:r w:rsidR="009A5C01" w:rsidRPr="004712DC">
        <w:t>All interviews will be conducted by</w:t>
      </w:r>
      <w:r w:rsidR="00160E8B">
        <w:t xml:space="preserve"> locally </w:t>
      </w:r>
      <w:r w:rsidR="009A5C01" w:rsidRPr="004712DC">
        <w:t xml:space="preserve">trained staff. </w:t>
      </w:r>
    </w:p>
    <w:p w14:paraId="58E9570D" w14:textId="77777777" w:rsidR="009A5C01" w:rsidRPr="004712DC" w:rsidRDefault="009A5C01" w:rsidP="004C77F0"/>
    <w:p w14:paraId="6F3FC5B4" w14:textId="4D837ECF" w:rsidR="00292570" w:rsidRPr="004712DC" w:rsidRDefault="009A5C01" w:rsidP="004C77F0">
      <w:r w:rsidRPr="004712DC">
        <w:t xml:space="preserve">Local jurisdictions provide training that includes instructions on how to conduct the interviews and collect data. They also assign a point person to provide supervision on the project to monitor interviewers regularly. CDC conducts periodic site visits to provide further technical assistance as well as gather feedback on the interviewing process. </w:t>
      </w:r>
      <w:r w:rsidR="00292570" w:rsidRPr="004712DC">
        <w:t xml:space="preserve">During our </w:t>
      </w:r>
      <w:r w:rsidR="00256572">
        <w:t xml:space="preserve">more recent </w:t>
      </w:r>
      <w:r w:rsidR="00292570" w:rsidRPr="004712DC">
        <w:t>principal investigator’s meeting</w:t>
      </w:r>
      <w:r w:rsidR="00256572">
        <w:t xml:space="preserve">, </w:t>
      </w:r>
      <w:r w:rsidR="00292570" w:rsidRPr="00160E8B">
        <w:t xml:space="preserve">CDC and </w:t>
      </w:r>
      <w:r w:rsidR="00DE5411" w:rsidRPr="00160E8B">
        <w:t>enhanced SSuN</w:t>
      </w:r>
      <w:r w:rsidR="00292570" w:rsidRPr="00160E8B">
        <w:t xml:space="preserve"> collaborators discuss lessons-learned to identify and resolve </w:t>
      </w:r>
      <w:r w:rsidR="00256572">
        <w:t xml:space="preserve">issues related to </w:t>
      </w:r>
      <w:r w:rsidR="00292570" w:rsidRPr="00160E8B">
        <w:t xml:space="preserve">how the interviews are conducted. </w:t>
      </w:r>
      <w:r w:rsidR="008C75ED" w:rsidRPr="00160E8B">
        <w:t xml:space="preserve">Since eSSuN is not an electronic application </w:t>
      </w:r>
      <w:r w:rsidR="00256572">
        <w:t>and does not</w:t>
      </w:r>
      <w:r w:rsidR="008C75ED" w:rsidRPr="00160E8B">
        <w:t xml:space="preserve"> </w:t>
      </w:r>
      <w:r w:rsidR="00160E8B" w:rsidRPr="00160E8B">
        <w:t xml:space="preserve">utilize any </w:t>
      </w:r>
      <w:r w:rsidR="008C75ED" w:rsidRPr="00160E8B">
        <w:t>web-based software, a</w:t>
      </w:r>
      <w:r w:rsidR="00F030CE" w:rsidRPr="00160E8B">
        <w:t xml:space="preserve">ll of the data that is collected from interviews </w:t>
      </w:r>
      <w:r w:rsidR="00160E8B" w:rsidRPr="00160E8B">
        <w:t>are</w:t>
      </w:r>
      <w:r w:rsidR="008C75ED" w:rsidRPr="00160E8B">
        <w:t xml:space="preserve"> validate</w:t>
      </w:r>
      <w:r w:rsidR="00160E8B" w:rsidRPr="00160E8B">
        <w:t>d and</w:t>
      </w:r>
      <w:r w:rsidR="008C75ED" w:rsidRPr="00160E8B">
        <w:t xml:space="preserve"> formatted into SAS datasets.  </w:t>
      </w:r>
      <w:r w:rsidR="00256572">
        <w:t>CDC d</w:t>
      </w:r>
      <w:r w:rsidR="00292570" w:rsidRPr="00160E8B">
        <w:t>ata edit pre</w:t>
      </w:r>
      <w:r w:rsidR="00A269BD" w:rsidRPr="00160E8B">
        <w:t>-</w:t>
      </w:r>
      <w:r w:rsidR="00292570" w:rsidRPr="00160E8B">
        <w:t>checks are provided to the grantees as a further</w:t>
      </w:r>
      <w:r w:rsidR="008C75ED" w:rsidRPr="00160E8B">
        <w:t xml:space="preserve"> data quality check to ensure variables are in the correct syntax and response cod</w:t>
      </w:r>
      <w:r w:rsidR="00160E8B" w:rsidRPr="00160E8B">
        <w:t>e</w:t>
      </w:r>
      <w:r w:rsidR="008C75ED" w:rsidRPr="00160E8B">
        <w:t>s are valid</w:t>
      </w:r>
      <w:r w:rsidR="00292570" w:rsidRPr="00160E8B">
        <w:t xml:space="preserve">. These measures coupled with technical assistance help reduce the burden on grantees conducting </w:t>
      </w:r>
      <w:r w:rsidR="00DE5411" w:rsidRPr="00160E8B">
        <w:t>enhanced SSuN</w:t>
      </w:r>
      <w:r w:rsidR="00292570" w:rsidRPr="004712DC">
        <w:t xml:space="preserve">. </w:t>
      </w:r>
    </w:p>
    <w:p w14:paraId="44838768" w14:textId="04EE67BE" w:rsidR="00E90BC1" w:rsidRPr="004712DC" w:rsidRDefault="00E90BC1" w:rsidP="004C77F0"/>
    <w:p w14:paraId="490E9806" w14:textId="77BA229D" w:rsidR="00E90BC1" w:rsidRPr="004712DC" w:rsidRDefault="00A269BD" w:rsidP="004C77F0">
      <w:r w:rsidRPr="004712DC">
        <w:t xml:space="preserve">The provider investigation on the patients diagnosed and reported with early syphilis with ocular and/or neurologic manifestations </w:t>
      </w:r>
      <w:r w:rsidR="009B0D44" w:rsidRPr="009B0D44">
        <w:t>can be either by direct contact with providers (phone) or through other methods such as secure fax-back, mail or other means as long as privacy of patient information can be strictly maintained.</w:t>
      </w:r>
      <w:r w:rsidRPr="004712DC">
        <w:t xml:space="preserve"> </w:t>
      </w:r>
      <w:r w:rsidR="009B0D44">
        <w:t xml:space="preserve">Ascertainment of the information either by phone or by form will </w:t>
      </w:r>
      <w:r w:rsidRPr="004712DC">
        <w:t xml:space="preserve">require 10 minutes or less during one sitting, thus minimizing participant burden. </w:t>
      </w:r>
    </w:p>
    <w:p w14:paraId="3B9503C6" w14:textId="5EBE89CF" w:rsidR="00292570" w:rsidRPr="004712DC" w:rsidRDefault="00292570" w:rsidP="004C77F0"/>
    <w:p w14:paraId="2CCF7851" w14:textId="0F6A5E8D" w:rsidR="00292570" w:rsidRPr="004712DC" w:rsidRDefault="00292570" w:rsidP="004C77F0">
      <w:r w:rsidRPr="004712DC">
        <w:t xml:space="preserve">For the facility-based component, data managers at the STD clinics will electronically transmit to local/state health department/CDC batches of clinical variables every two months.  These variables are available from </w:t>
      </w:r>
      <w:r w:rsidR="00237B12">
        <w:t xml:space="preserve">existing </w:t>
      </w:r>
      <w:r w:rsidRPr="004712DC">
        <w:t xml:space="preserve">electronic archived databases at the clinics. These clinical data will be stored on a secure server at CDC.  The data managers at the clinics </w:t>
      </w:r>
      <w:r w:rsidR="008C75ED">
        <w:t>do not</w:t>
      </w:r>
      <w:r w:rsidRPr="004712DC">
        <w:t xml:space="preserve"> use paper forms, search any paper medical files, or conduct any hand abstractions of medical charts.</w:t>
      </w:r>
    </w:p>
    <w:p w14:paraId="1021666C" w14:textId="77777777" w:rsidR="00292570" w:rsidRPr="004712DC" w:rsidRDefault="00292570" w:rsidP="004C77F0"/>
    <w:p w14:paraId="3E46E1B2" w14:textId="77777777" w:rsidR="00484B81" w:rsidRPr="004712DC" w:rsidRDefault="00484B81" w:rsidP="00484B81"/>
    <w:p w14:paraId="404D4933" w14:textId="77777777" w:rsidR="00484B81" w:rsidRPr="004712DC" w:rsidRDefault="00484B81" w:rsidP="00484B81">
      <w:pPr>
        <w:autoSpaceDE w:val="0"/>
        <w:autoSpaceDN w:val="0"/>
        <w:adjustRightInd w:val="0"/>
        <w:rPr>
          <w:b/>
          <w:u w:val="single"/>
        </w:rPr>
      </w:pPr>
      <w:r w:rsidRPr="004712DC">
        <w:rPr>
          <w:b/>
          <w:bCs/>
        </w:rPr>
        <w:t xml:space="preserve">A. 4.  </w:t>
      </w:r>
      <w:r w:rsidRPr="004712DC">
        <w:rPr>
          <w:b/>
          <w:bCs/>
          <w:u w:val="single"/>
        </w:rPr>
        <w:t>Efforts to Identify Duplication and Use of Similar Information</w:t>
      </w:r>
    </w:p>
    <w:p w14:paraId="6FFDF3B4" w14:textId="77777777" w:rsidR="00484B81" w:rsidRPr="004712DC" w:rsidRDefault="00484B81" w:rsidP="00484B81"/>
    <w:p w14:paraId="5AED4B9B" w14:textId="49D664C5" w:rsidR="005466A5" w:rsidRPr="004712DC" w:rsidRDefault="005466A5" w:rsidP="00CF6FC3">
      <w:r w:rsidRPr="004712DC">
        <w:t xml:space="preserve">We reviewed currently-funded programs and did not identify potential areas of duplication. We are not aware of any department or agency that rigorously or systematically collects or maintains data on STD risk behavioral data from patients diagnosed and reported with gonorrhea and/or early syphilis from multiple jurisdictions or from multi-site STD clinics. </w:t>
      </w:r>
      <w:r w:rsidR="00CF6FC3" w:rsidRPr="004712DC">
        <w:t xml:space="preserve"> </w:t>
      </w:r>
    </w:p>
    <w:p w14:paraId="5E53305F" w14:textId="77777777" w:rsidR="00801216" w:rsidRPr="004712DC" w:rsidRDefault="00801216" w:rsidP="00CF6FC3"/>
    <w:p w14:paraId="7C7B39D9" w14:textId="510FB71D" w:rsidR="000E514B" w:rsidRPr="004712DC" w:rsidRDefault="005466A5" w:rsidP="00CF6FC3">
      <w:r w:rsidRPr="004712DC">
        <w:t xml:space="preserve">Within CDC, there is a </w:t>
      </w:r>
      <w:r w:rsidR="00801216" w:rsidRPr="004712DC">
        <w:t xml:space="preserve">data collection </w:t>
      </w:r>
      <w:r w:rsidRPr="004712DC">
        <w:t xml:space="preserve">system already in place that contains similar data elements to </w:t>
      </w:r>
      <w:r w:rsidR="00DE5411">
        <w:t>enhanced SSuN</w:t>
      </w:r>
      <w:r w:rsidR="009B0D44">
        <w:t>, t</w:t>
      </w:r>
      <w:r w:rsidRPr="004712DC">
        <w:t xml:space="preserve">he </w:t>
      </w:r>
      <w:r w:rsidR="009B0D44">
        <w:t>G</w:t>
      </w:r>
      <w:r w:rsidRPr="004712DC">
        <w:t xml:space="preserve">onococcal </w:t>
      </w:r>
      <w:r w:rsidR="009B0D44">
        <w:t>I</w:t>
      </w:r>
      <w:r w:rsidRPr="004712DC">
        <w:t xml:space="preserve">solate </w:t>
      </w:r>
      <w:r w:rsidR="009B0D44">
        <w:t>S</w:t>
      </w:r>
      <w:r w:rsidRPr="004712DC">
        <w:t xml:space="preserve">urveillance </w:t>
      </w:r>
      <w:r w:rsidR="009B0D44">
        <w:t>P</w:t>
      </w:r>
      <w:r w:rsidRPr="004712DC">
        <w:t xml:space="preserve">roject (GISP) (OMB 0920-0307, exp. 8/31/2016). </w:t>
      </w:r>
      <w:r w:rsidR="00484B81" w:rsidRPr="004712DC">
        <w:t xml:space="preserve"> </w:t>
      </w:r>
      <w:r w:rsidR="009B0D44">
        <w:t>However, t</w:t>
      </w:r>
      <w:r w:rsidRPr="004712DC">
        <w:t xml:space="preserve">he existing information collection system cannot be </w:t>
      </w:r>
      <w:r w:rsidR="00801216" w:rsidRPr="004712DC">
        <w:t>m</w:t>
      </w:r>
      <w:r w:rsidRPr="004712DC">
        <w:t xml:space="preserve">odified, used partially, nor satisfy the needs of </w:t>
      </w:r>
      <w:r w:rsidR="00DE5411">
        <w:t>enhanced SSuN</w:t>
      </w:r>
      <w:r w:rsidRPr="004712DC">
        <w:t xml:space="preserve">.  GISP collects data and gonococcal specimens from </w:t>
      </w:r>
      <w:r w:rsidR="00237B12">
        <w:t xml:space="preserve">a sample of </w:t>
      </w:r>
      <w:r w:rsidRPr="004712DC">
        <w:t xml:space="preserve">men </w:t>
      </w:r>
      <w:r w:rsidR="00801216" w:rsidRPr="004712DC">
        <w:t xml:space="preserve">attending STD clinics, measuring the ability of the specimens to resist the effects of multiple antibiotics. </w:t>
      </w:r>
      <w:r w:rsidR="009B0D44">
        <w:t xml:space="preserve">In an effort to avoid duplication, </w:t>
      </w:r>
      <w:r w:rsidR="00801216" w:rsidRPr="004712DC">
        <w:t xml:space="preserve">GISP variables have been integrated into </w:t>
      </w:r>
      <w:r w:rsidR="00DE5411">
        <w:t>enhanced SSuN</w:t>
      </w:r>
      <w:r w:rsidR="00801216" w:rsidRPr="004712DC">
        <w:t xml:space="preserve"> protocols</w:t>
      </w:r>
      <w:r w:rsidR="009B0D44">
        <w:t xml:space="preserve"> so that </w:t>
      </w:r>
      <w:r w:rsidR="009B0D44" w:rsidRPr="004712DC">
        <w:t>jurisdictions participat</w:t>
      </w:r>
      <w:r w:rsidR="009B0D44">
        <w:t xml:space="preserve">ing in both GISP and enhanced SSUN can transmit combined </w:t>
      </w:r>
      <w:r w:rsidR="00237B12">
        <w:t xml:space="preserve">SSuN and GISP </w:t>
      </w:r>
      <w:r w:rsidR="009B0D44">
        <w:t xml:space="preserve">data, </w:t>
      </w:r>
      <w:r w:rsidR="00801216" w:rsidRPr="004712DC">
        <w:t>further minimizing duplication</w:t>
      </w:r>
      <w:r w:rsidR="000E514B" w:rsidRPr="004712DC">
        <w:t xml:space="preserve"> at the funded jurisdictional level.  </w:t>
      </w:r>
    </w:p>
    <w:p w14:paraId="761BBD18" w14:textId="77777777" w:rsidR="004C77F0" w:rsidRPr="004712DC" w:rsidRDefault="004C77F0" w:rsidP="00CF6FC3">
      <w:pPr>
        <w:autoSpaceDE w:val="0"/>
        <w:autoSpaceDN w:val="0"/>
        <w:adjustRightInd w:val="0"/>
        <w:rPr>
          <w:b/>
          <w:bCs/>
        </w:rPr>
      </w:pPr>
    </w:p>
    <w:p w14:paraId="31C95615" w14:textId="59503C07" w:rsidR="00CF6FC3" w:rsidRPr="004712DC" w:rsidRDefault="00CF6FC3" w:rsidP="00CF6FC3">
      <w:pPr>
        <w:autoSpaceDE w:val="0"/>
        <w:autoSpaceDN w:val="0"/>
        <w:adjustRightInd w:val="0"/>
        <w:rPr>
          <w:b/>
          <w:bCs/>
          <w:u w:val="single"/>
        </w:rPr>
      </w:pPr>
      <w:r w:rsidRPr="004712DC">
        <w:rPr>
          <w:b/>
          <w:bCs/>
        </w:rPr>
        <w:t xml:space="preserve">A. 5.  </w:t>
      </w:r>
      <w:r w:rsidRPr="004712DC">
        <w:rPr>
          <w:b/>
          <w:bCs/>
          <w:u w:val="single"/>
        </w:rPr>
        <w:t>Impact on Small Businesses or Other Small Entities</w:t>
      </w:r>
    </w:p>
    <w:p w14:paraId="13F835AE" w14:textId="77777777" w:rsidR="00CF6FC3" w:rsidRPr="004712DC" w:rsidRDefault="00CF6FC3" w:rsidP="00CF6FC3">
      <w:pPr>
        <w:autoSpaceDE w:val="0"/>
        <w:autoSpaceDN w:val="0"/>
        <w:adjustRightInd w:val="0"/>
        <w:rPr>
          <w:b/>
          <w:bCs/>
        </w:rPr>
      </w:pPr>
    </w:p>
    <w:p w14:paraId="343003B7" w14:textId="1E17B231" w:rsidR="00CF6FC3" w:rsidRPr="004712DC" w:rsidRDefault="00B13717" w:rsidP="00CF6FC3">
      <w:r w:rsidRPr="004712DC">
        <w:t>No small businesses will be involved in this data collection effort.</w:t>
      </w:r>
      <w:r w:rsidR="004639E2">
        <w:t xml:space="preserve"> County-level health departments may be minimally impacted by data collection activities through contractual arrangements with state health departments participating in eSSuN.  Staff time and effort </w:t>
      </w:r>
      <w:r w:rsidR="00237B12">
        <w:t>is</w:t>
      </w:r>
      <w:r w:rsidR="004639E2">
        <w:t xml:space="preserve"> reimbursed as routine disease investigation in these counties per pre-existing arrangements with their state health departments. Clinic</w:t>
      </w:r>
      <w:r w:rsidR="00B12559">
        <w:t>-level</w:t>
      </w:r>
      <w:r w:rsidR="004639E2">
        <w:t xml:space="preserve"> </w:t>
      </w:r>
      <w:r w:rsidR="00B12559">
        <w:t xml:space="preserve">data management </w:t>
      </w:r>
      <w:r w:rsidR="004639E2">
        <w:t>staff in participating STD clinics are county health department employees, university employees (where the clinic has accreditation)</w:t>
      </w:r>
      <w:r w:rsidR="00B12559">
        <w:t xml:space="preserve"> or state-funded through other STD program funds; contractual agreements with collaborating health departments reimburse these entities for data extraction</w:t>
      </w:r>
      <w:r w:rsidR="004639E2">
        <w:t xml:space="preserve"> </w:t>
      </w:r>
      <w:r w:rsidR="00B12559">
        <w:t>activities.</w:t>
      </w:r>
      <w:r w:rsidR="004639E2">
        <w:t xml:space="preserve">   </w:t>
      </w:r>
    </w:p>
    <w:p w14:paraId="310B6377" w14:textId="77777777" w:rsidR="00484B81" w:rsidRPr="004712DC" w:rsidRDefault="00484B81" w:rsidP="00484B81"/>
    <w:p w14:paraId="1CF399DC" w14:textId="77777777" w:rsidR="00CF6FC3" w:rsidRPr="004712DC" w:rsidRDefault="00CF6FC3" w:rsidP="00CF6FC3">
      <w:pPr>
        <w:autoSpaceDE w:val="0"/>
        <w:autoSpaceDN w:val="0"/>
        <w:adjustRightInd w:val="0"/>
        <w:rPr>
          <w:b/>
          <w:bCs/>
          <w:u w:val="single"/>
        </w:rPr>
      </w:pPr>
      <w:r w:rsidRPr="004712DC">
        <w:rPr>
          <w:b/>
          <w:bCs/>
        </w:rPr>
        <w:t xml:space="preserve">A. 6.  </w:t>
      </w:r>
      <w:r w:rsidRPr="004712DC">
        <w:rPr>
          <w:b/>
          <w:bCs/>
          <w:u w:val="single"/>
        </w:rPr>
        <w:t>Consequences of Collecting the Information Less Frequently</w:t>
      </w:r>
    </w:p>
    <w:p w14:paraId="4862474A" w14:textId="77777777" w:rsidR="00CF6FC3" w:rsidRPr="004712DC" w:rsidRDefault="00CF6FC3" w:rsidP="00CF6FC3">
      <w:pPr>
        <w:autoSpaceDE w:val="0"/>
        <w:autoSpaceDN w:val="0"/>
        <w:adjustRightInd w:val="0"/>
        <w:ind w:right="720"/>
        <w:rPr>
          <w:b/>
          <w:bCs/>
        </w:rPr>
      </w:pPr>
    </w:p>
    <w:p w14:paraId="7D55CED3" w14:textId="181339C1" w:rsidR="00CF6FC3" w:rsidRPr="004712DC" w:rsidRDefault="00801216" w:rsidP="00CF6FC3">
      <w:pPr>
        <w:autoSpaceDE w:val="0"/>
        <w:autoSpaceDN w:val="0"/>
        <w:adjustRightInd w:val="0"/>
        <w:ind w:right="720"/>
        <w:rPr>
          <w:bCs/>
        </w:rPr>
      </w:pPr>
      <w:r w:rsidRPr="004712DC">
        <w:t>Enhanced SSuN data collection activities are planned to continue through the end of the co</w:t>
      </w:r>
      <w:r w:rsidR="00B175CB" w:rsidRPr="004712DC">
        <w:t>o</w:t>
      </w:r>
      <w:r w:rsidRPr="004712DC">
        <w:t>perative agreement (ending on September 29</w:t>
      </w:r>
      <w:r w:rsidRPr="004712DC">
        <w:rPr>
          <w:vertAlign w:val="superscript"/>
        </w:rPr>
        <w:t>th</w:t>
      </w:r>
      <w:r w:rsidRPr="004712DC">
        <w:t xml:space="preserve">, 2018). </w:t>
      </w:r>
      <w:r w:rsidR="00237B12">
        <w:t xml:space="preserve">Additionally, </w:t>
      </w:r>
      <w:r w:rsidRPr="004712DC">
        <w:t xml:space="preserve">a </w:t>
      </w:r>
      <w:r w:rsidR="00237B12">
        <w:t xml:space="preserve">1 year </w:t>
      </w:r>
      <w:r w:rsidRPr="004712DC">
        <w:t>cost-ex</w:t>
      </w:r>
      <w:r w:rsidR="00B175CB" w:rsidRPr="004712DC">
        <w:t>t</w:t>
      </w:r>
      <w:r w:rsidRPr="004712DC">
        <w:t>en</w:t>
      </w:r>
      <w:r w:rsidR="00B175CB" w:rsidRPr="004712DC">
        <w:t>s</w:t>
      </w:r>
      <w:r w:rsidR="00237B12">
        <w:t>ion for enhanced SSuN</w:t>
      </w:r>
      <w:r w:rsidRPr="004712DC">
        <w:t xml:space="preserve"> has been approved,</w:t>
      </w:r>
      <w:r w:rsidR="00B175CB" w:rsidRPr="004712DC">
        <w:t xml:space="preserve"> </w:t>
      </w:r>
      <w:r w:rsidRPr="004712DC">
        <w:t>e</w:t>
      </w:r>
      <w:r w:rsidR="00B175CB" w:rsidRPr="004712DC">
        <w:t>x</w:t>
      </w:r>
      <w:r w:rsidRPr="004712DC">
        <w:t>tending the project period through September 29, 2019. Enhanced SSuN, similar to other surveillance systems,</w:t>
      </w:r>
      <w:r w:rsidR="00B175CB" w:rsidRPr="004712DC">
        <w:t xml:space="preserve"> require ongoing data collection to monitor trends and allow for rapid identification of changes in disease transmission. </w:t>
      </w:r>
      <w:r w:rsidR="00CF6FC3" w:rsidRPr="004712DC">
        <w:t>If these data are not available, CDC, state, and local health departments will not have the necessary tools to make data-based decisions regarding national prevention program planning</w:t>
      </w:r>
      <w:r w:rsidR="00B175CB" w:rsidRPr="004712DC">
        <w:t xml:space="preserve">, </w:t>
      </w:r>
      <w:r w:rsidR="00CF6FC3" w:rsidRPr="004712DC">
        <w:t>resource allocation</w:t>
      </w:r>
      <w:r w:rsidR="00B175CB" w:rsidRPr="004712DC">
        <w:t xml:space="preserve"> and planning</w:t>
      </w:r>
      <w:r w:rsidR="00CF6FC3" w:rsidRPr="004712DC">
        <w:t xml:space="preserve">. </w:t>
      </w:r>
      <w:r w:rsidR="009B0D44">
        <w:t>Data</w:t>
      </w:r>
      <w:r w:rsidR="00CF6FC3" w:rsidRPr="004712DC">
        <w:t xml:space="preserve"> for the</w:t>
      </w:r>
      <w:r w:rsidR="00F4226F" w:rsidRPr="004712DC">
        <w:t xml:space="preserve"> </w:t>
      </w:r>
      <w:r w:rsidR="009B0D44">
        <w:t>e</w:t>
      </w:r>
      <w:r w:rsidR="008C7183" w:rsidRPr="004712DC">
        <w:t xml:space="preserve">nhanced </w:t>
      </w:r>
      <w:r w:rsidR="009B0D44">
        <w:t xml:space="preserve">SSuN </w:t>
      </w:r>
      <w:r w:rsidR="00CF6FC3" w:rsidRPr="004712DC">
        <w:t xml:space="preserve">project </w:t>
      </w:r>
      <w:r w:rsidR="009A30EF" w:rsidRPr="004712DC">
        <w:t>is</w:t>
      </w:r>
      <w:r w:rsidR="00CF6FC3" w:rsidRPr="004712DC">
        <w:t xml:space="preserve"> </w:t>
      </w:r>
      <w:r w:rsidR="009B0D44">
        <w:t>transmit</w:t>
      </w:r>
      <w:r w:rsidR="00237B12">
        <w:t>t</w:t>
      </w:r>
      <w:r w:rsidR="009B0D44">
        <w:t>ed</w:t>
      </w:r>
      <w:r w:rsidR="00CF6FC3" w:rsidRPr="004712DC">
        <w:t xml:space="preserve"> every month</w:t>
      </w:r>
      <w:r w:rsidR="009B0D44">
        <w:t xml:space="preserve"> (alternating between the population and facility component</w:t>
      </w:r>
      <w:r w:rsidR="00CF6FC3" w:rsidRPr="004712DC">
        <w:t>s</w:t>
      </w:r>
      <w:r w:rsidR="009B0D44">
        <w:t>)</w:t>
      </w:r>
      <w:r w:rsidR="00CF6FC3" w:rsidRPr="004712DC">
        <w:t xml:space="preserve"> in order to balance the need for timely information and the need to minimize burden on collaborating clinics and health</w:t>
      </w:r>
      <w:r w:rsidR="009A30EF" w:rsidRPr="004712DC">
        <w:t xml:space="preserve"> departments</w:t>
      </w:r>
      <w:r w:rsidR="00CF6FC3" w:rsidRPr="004712DC">
        <w:t>.</w:t>
      </w:r>
    </w:p>
    <w:p w14:paraId="5FEC78E6" w14:textId="77777777" w:rsidR="00CF6FC3" w:rsidRPr="004712DC" w:rsidRDefault="00CF6FC3" w:rsidP="00484B81"/>
    <w:p w14:paraId="0DE70053" w14:textId="77777777" w:rsidR="00CF6FC3" w:rsidRPr="004712DC" w:rsidRDefault="00CF6FC3" w:rsidP="00CF6FC3">
      <w:pPr>
        <w:autoSpaceDE w:val="0"/>
        <w:autoSpaceDN w:val="0"/>
        <w:adjustRightInd w:val="0"/>
        <w:ind w:right="720"/>
        <w:rPr>
          <w:b/>
          <w:bCs/>
          <w:u w:val="single"/>
        </w:rPr>
      </w:pPr>
      <w:r w:rsidRPr="004712DC">
        <w:rPr>
          <w:b/>
          <w:bCs/>
        </w:rPr>
        <w:t xml:space="preserve">A. 7.  </w:t>
      </w:r>
      <w:r w:rsidRPr="004712DC">
        <w:rPr>
          <w:b/>
          <w:bCs/>
          <w:u w:val="single"/>
        </w:rPr>
        <w:t>Special Circumstances Relating to the Guidelines of 5 CFR 1320.5</w:t>
      </w:r>
    </w:p>
    <w:p w14:paraId="720431C9" w14:textId="77777777" w:rsidR="00CF6FC3" w:rsidRPr="004712DC" w:rsidRDefault="00CF6FC3" w:rsidP="00CF6FC3">
      <w:pPr>
        <w:widowControl w:val="0"/>
        <w:autoSpaceDE w:val="0"/>
        <w:autoSpaceDN w:val="0"/>
        <w:adjustRightInd w:val="0"/>
      </w:pPr>
    </w:p>
    <w:p w14:paraId="0D7D90B3" w14:textId="6E66AF73" w:rsidR="00484B81" w:rsidRPr="004712DC" w:rsidRDefault="00B175CB" w:rsidP="00484B81">
      <w:r w:rsidRPr="004712DC">
        <w:t>None of the special circumstances in the guidelines of 5 CFR 1320.5 applies.</w:t>
      </w:r>
    </w:p>
    <w:p w14:paraId="7465BAAC" w14:textId="77777777" w:rsidR="00B175CB" w:rsidRPr="004712DC" w:rsidRDefault="00B175CB" w:rsidP="00484B81"/>
    <w:p w14:paraId="2524CBF1" w14:textId="77777777" w:rsidR="007D1AF9" w:rsidRPr="004712DC" w:rsidRDefault="007D1AF9" w:rsidP="007D1AF9">
      <w:pPr>
        <w:autoSpaceDE w:val="0"/>
        <w:autoSpaceDN w:val="0"/>
        <w:adjustRightInd w:val="0"/>
        <w:ind w:right="720"/>
        <w:rPr>
          <w:b/>
          <w:bCs/>
          <w:u w:val="single"/>
        </w:rPr>
      </w:pPr>
      <w:r w:rsidRPr="004712DC">
        <w:rPr>
          <w:b/>
          <w:bCs/>
        </w:rPr>
        <w:t xml:space="preserve">A. 8.  </w:t>
      </w:r>
      <w:r w:rsidRPr="004712DC">
        <w:rPr>
          <w:b/>
          <w:bCs/>
          <w:u w:val="single"/>
        </w:rPr>
        <w:t>Comments in Response to the Federal Register Notice and Efforts to Consult Ou</w:t>
      </w:r>
      <w:r w:rsidR="0066335E" w:rsidRPr="004712DC">
        <w:rPr>
          <w:b/>
          <w:bCs/>
          <w:u w:val="single"/>
        </w:rPr>
        <w:t>t</w:t>
      </w:r>
      <w:r w:rsidRPr="004712DC">
        <w:rPr>
          <w:b/>
          <w:bCs/>
          <w:u w:val="single"/>
        </w:rPr>
        <w:t>side the Agency</w:t>
      </w:r>
      <w:r w:rsidR="0066335E" w:rsidRPr="004712DC">
        <w:rPr>
          <w:b/>
          <w:bCs/>
        </w:rPr>
        <w:t xml:space="preserve"> </w:t>
      </w:r>
    </w:p>
    <w:p w14:paraId="0FB096C6" w14:textId="77777777" w:rsidR="00CF6FC3" w:rsidRPr="004712DC" w:rsidRDefault="00CF6FC3" w:rsidP="00CF6FC3">
      <w:pPr>
        <w:widowControl w:val="0"/>
        <w:autoSpaceDE w:val="0"/>
        <w:autoSpaceDN w:val="0"/>
        <w:adjustRightInd w:val="0"/>
      </w:pPr>
    </w:p>
    <w:p w14:paraId="0494E294" w14:textId="59C26844" w:rsidR="0066335E" w:rsidRPr="004712DC" w:rsidRDefault="008F6C53" w:rsidP="0066335E">
      <w:pPr>
        <w:widowControl w:val="0"/>
        <w:autoSpaceDE w:val="0"/>
        <w:autoSpaceDN w:val="0"/>
        <w:adjustRightInd w:val="0"/>
      </w:pPr>
      <w:r w:rsidRPr="004712DC">
        <w:t>A 60</w:t>
      </w:r>
      <w:r w:rsidR="00B175CB" w:rsidRPr="004712DC">
        <w:t>-</w:t>
      </w:r>
      <w:r w:rsidRPr="004712DC">
        <w:t>day</w:t>
      </w:r>
      <w:r w:rsidR="00B175CB" w:rsidRPr="004712DC">
        <w:t xml:space="preserve"> notice to solicit public comments was published in the Federal Register on </w:t>
      </w:r>
      <w:r w:rsidR="00221A5D">
        <w:t xml:space="preserve">Thursday, </w:t>
      </w:r>
      <w:r w:rsidR="009936F3">
        <w:t>March</w:t>
      </w:r>
      <w:r w:rsidR="00B175CB" w:rsidRPr="004712DC">
        <w:t xml:space="preserve">, </w:t>
      </w:r>
      <w:r w:rsidR="009936F3">
        <w:t>15</w:t>
      </w:r>
      <w:r w:rsidR="00B175CB" w:rsidRPr="004712DC">
        <w:t>, 201</w:t>
      </w:r>
      <w:r w:rsidR="00624429">
        <w:t>8</w:t>
      </w:r>
      <w:r w:rsidR="00B175CB" w:rsidRPr="004712DC">
        <w:t xml:space="preserve">, Vol. </w:t>
      </w:r>
      <w:r w:rsidR="009936F3">
        <w:t>83</w:t>
      </w:r>
      <w:r w:rsidR="00B175CB" w:rsidRPr="004712DC">
        <w:t xml:space="preserve">, No. </w:t>
      </w:r>
      <w:r w:rsidR="009936F3">
        <w:t>51</w:t>
      </w:r>
      <w:r w:rsidR="00B175CB" w:rsidRPr="004712DC">
        <w:t xml:space="preserve"> page </w:t>
      </w:r>
      <w:r w:rsidR="009936F3">
        <w:t>11532</w:t>
      </w:r>
      <w:r w:rsidR="00221A5D">
        <w:t>-4</w:t>
      </w:r>
      <w:r w:rsidR="00B175CB" w:rsidRPr="004712DC">
        <w:t xml:space="preserve"> </w:t>
      </w:r>
      <w:r w:rsidRPr="004712DC">
        <w:t>(</w:t>
      </w:r>
      <w:r w:rsidR="006C13DB">
        <w:rPr>
          <w:b/>
        </w:rPr>
        <w:t xml:space="preserve">ATTACHMENT </w:t>
      </w:r>
      <w:r w:rsidRPr="004712DC">
        <w:rPr>
          <w:b/>
        </w:rPr>
        <w:t>2</w:t>
      </w:r>
      <w:r w:rsidR="006D17AF">
        <w:rPr>
          <w:b/>
        </w:rPr>
        <w:t>a</w:t>
      </w:r>
      <w:r w:rsidRPr="004712DC">
        <w:t>)</w:t>
      </w:r>
      <w:r w:rsidR="00B175CB" w:rsidRPr="004712DC">
        <w:t xml:space="preserve">. </w:t>
      </w:r>
      <w:r w:rsidRPr="004712DC">
        <w:t xml:space="preserve">  </w:t>
      </w:r>
      <w:r w:rsidR="00221A5D">
        <w:t>Thirty-s</w:t>
      </w:r>
      <w:r w:rsidR="00D4599B">
        <w:t>even</w:t>
      </w:r>
      <w:r w:rsidR="00221A5D">
        <w:t xml:space="preserve"> public comments were received</w:t>
      </w:r>
      <w:r w:rsidR="00D43787">
        <w:t xml:space="preserve"> </w:t>
      </w:r>
      <w:r w:rsidR="00D43787" w:rsidRPr="004712DC">
        <w:t>(</w:t>
      </w:r>
      <w:r w:rsidR="00D43787">
        <w:rPr>
          <w:b/>
        </w:rPr>
        <w:t xml:space="preserve">ATTACHMENT </w:t>
      </w:r>
      <w:r w:rsidR="00D43787" w:rsidRPr="004712DC">
        <w:rPr>
          <w:b/>
        </w:rPr>
        <w:t>2</w:t>
      </w:r>
      <w:r w:rsidR="00D43787">
        <w:rPr>
          <w:b/>
        </w:rPr>
        <w:t>b</w:t>
      </w:r>
      <w:r w:rsidR="00D43787" w:rsidRPr="004712DC">
        <w:t>)</w:t>
      </w:r>
      <w:r w:rsidR="00221A5D">
        <w:t>.</w:t>
      </w:r>
      <w:r w:rsidR="006D17AF">
        <w:t xml:space="preserve"> </w:t>
      </w:r>
      <w:r w:rsidR="006D17AF" w:rsidRPr="006D17AF">
        <w:t xml:space="preserve">Many of the non-substantive comments were in support to CDC’s activity to reduce the burden of STD, which will in turn raise greater awareness of this ongoing efforts to reduce STD on the public and on our youth.  In additions, some comments were in favor of CDC doing more with schools in the absence of sex education programs in many districts.  In short, there was broad support for the proposed activities as further outlined in the attachment 2a. </w:t>
      </w:r>
      <w:r w:rsidR="00A611F0">
        <w:t>H</w:t>
      </w:r>
      <w:r w:rsidR="006D17AF" w:rsidRPr="006D17AF">
        <w:t xml:space="preserve">owever, CDC received 3 other non-substantial comments were opposed to CDC spending any tax dollars on addressing STD.  The responders claim that the general public should already be aware of the dangers of STD and are therefore responsible for their own plight and that any effort on CDC’s part will only prove to be wasteful spending.  As indicated by the attachment, most commenters listed their names in their responses. However, no one provided contact information and therefore no CDC responses were sent.  </w:t>
      </w:r>
    </w:p>
    <w:p w14:paraId="5EC50787" w14:textId="77777777" w:rsidR="0066335E" w:rsidRPr="004712DC" w:rsidRDefault="0066335E" w:rsidP="0066335E">
      <w:pPr>
        <w:widowControl w:val="0"/>
        <w:autoSpaceDE w:val="0"/>
        <w:autoSpaceDN w:val="0"/>
        <w:adjustRightInd w:val="0"/>
      </w:pPr>
    </w:p>
    <w:p w14:paraId="02F0BD9F" w14:textId="3E2A3702" w:rsidR="00AB27CA" w:rsidRPr="004712DC" w:rsidRDefault="00F43F16" w:rsidP="0066335E">
      <w:pPr>
        <w:widowControl w:val="0"/>
        <w:autoSpaceDE w:val="0"/>
        <w:autoSpaceDN w:val="0"/>
        <w:adjustRightInd w:val="0"/>
      </w:pPr>
      <w:r>
        <w:t>E</w:t>
      </w:r>
      <w:r w:rsidR="00F85AEE" w:rsidRPr="004712DC">
        <w:t>nhanced S</w:t>
      </w:r>
      <w:r>
        <w:t>SuN</w:t>
      </w:r>
      <w:r w:rsidR="00F85AEE" w:rsidRPr="004712DC">
        <w:t xml:space="preserve"> is a collaborative project among CDC investigators, non</w:t>
      </w:r>
      <w:r w:rsidR="002603AD" w:rsidRPr="004712DC">
        <w:t>-</w:t>
      </w:r>
      <w:r w:rsidR="00F85AEE" w:rsidRPr="004712DC">
        <w:t>CDC epidemiologists, ten state/local health departments</w:t>
      </w:r>
      <w:r w:rsidR="00CF6FC3" w:rsidRPr="004712DC">
        <w:t xml:space="preserve"> </w:t>
      </w:r>
      <w:r w:rsidR="00F85AEE" w:rsidRPr="004712DC">
        <w:t xml:space="preserve">and </w:t>
      </w:r>
      <w:r w:rsidR="00B175CB" w:rsidRPr="004712DC">
        <w:t xml:space="preserve">30 </w:t>
      </w:r>
      <w:r w:rsidR="00F85AEE" w:rsidRPr="004712DC">
        <w:t xml:space="preserve">STD clinics located around the United States. Frequent consultations between CDC and persons outside of CDC regarding the collection of data, frequency of data collection and transmission, record keeping data management, </w:t>
      </w:r>
      <w:r w:rsidR="00B175CB" w:rsidRPr="004712DC">
        <w:t xml:space="preserve">methodologic </w:t>
      </w:r>
      <w:r w:rsidR="006E0BAD" w:rsidRPr="004712DC">
        <w:t>design</w:t>
      </w:r>
      <w:r>
        <w:t>,</w:t>
      </w:r>
      <w:r w:rsidR="00F85AEE" w:rsidRPr="004712DC">
        <w:t xml:space="preserve"> and data elements have taken place</w:t>
      </w:r>
      <w:r w:rsidR="007E1131">
        <w:t>. This has been largely</w:t>
      </w:r>
      <w:r w:rsidR="00F85AEE" w:rsidRPr="004712DC">
        <w:t xml:space="preserve"> through: 1) </w:t>
      </w:r>
      <w:r w:rsidR="003D5018">
        <w:t xml:space="preserve">multiple </w:t>
      </w:r>
      <w:r w:rsidR="00F85AEE" w:rsidRPr="004712DC">
        <w:t>site visits to participating health departments and sentinel clinics</w:t>
      </w:r>
      <w:r w:rsidR="003D5018">
        <w:t>,</w:t>
      </w:r>
      <w:r w:rsidR="00F85AEE" w:rsidRPr="004712DC">
        <w:t xml:space="preserve"> 2) quarterly conference calls with principal investigators/designated staff</w:t>
      </w:r>
      <w:r w:rsidR="003B0A77" w:rsidRPr="004712DC">
        <w:t xml:space="preserve"> about availability of data and barriers to data collection</w:t>
      </w:r>
      <w:r w:rsidR="003D5018">
        <w:t>,</w:t>
      </w:r>
      <w:r w:rsidR="00F85AEE" w:rsidRPr="004712DC">
        <w:t xml:space="preserve"> 3) annual meetings of </w:t>
      </w:r>
      <w:r w:rsidR="00DE5411">
        <w:t>enhanced SSuN</w:t>
      </w:r>
      <w:r w:rsidR="00F85AEE" w:rsidRPr="004712DC">
        <w:t xml:space="preserve"> co-investigators outside of CDC who are closely associated with the participating clinics (most recently </w:t>
      </w:r>
      <w:r w:rsidR="00B175CB" w:rsidRPr="004712DC">
        <w:t>March 14-15</w:t>
      </w:r>
      <w:r w:rsidR="00F85AEE" w:rsidRPr="004712DC">
        <w:t xml:space="preserve">, 2017); </w:t>
      </w:r>
      <w:r w:rsidR="003B0A77" w:rsidRPr="004712DC">
        <w:t xml:space="preserve">and </w:t>
      </w:r>
      <w:r w:rsidR="00F85AEE" w:rsidRPr="004712DC">
        <w:t>4) email communications</w:t>
      </w:r>
      <w:r w:rsidR="00754DDC" w:rsidRPr="004712DC">
        <w:t xml:space="preserve">. </w:t>
      </w:r>
    </w:p>
    <w:p w14:paraId="6F2965E4" w14:textId="77777777" w:rsidR="00AB27CA" w:rsidRPr="004712DC" w:rsidRDefault="00AB27CA" w:rsidP="0066335E">
      <w:pPr>
        <w:widowControl w:val="0"/>
        <w:autoSpaceDE w:val="0"/>
        <w:autoSpaceDN w:val="0"/>
        <w:adjustRightInd w:val="0"/>
      </w:pPr>
    </w:p>
    <w:p w14:paraId="47BEB5FC" w14:textId="723C46A3" w:rsidR="0066335E" w:rsidRPr="004712DC" w:rsidRDefault="00CB4CBB" w:rsidP="0066335E">
      <w:pPr>
        <w:widowControl w:val="0"/>
        <w:autoSpaceDE w:val="0"/>
        <w:autoSpaceDN w:val="0"/>
        <w:adjustRightInd w:val="0"/>
      </w:pPr>
      <w:r w:rsidRPr="004712DC">
        <w:t xml:space="preserve">In the fall of </w:t>
      </w:r>
      <w:r w:rsidR="00D35E13" w:rsidRPr="004712DC">
        <w:t xml:space="preserve">2016, the Division of STD Prevention </w:t>
      </w:r>
      <w:r w:rsidR="00F43F16">
        <w:t xml:space="preserve">(DSTDP) </w:t>
      </w:r>
      <w:r w:rsidR="00D35E13" w:rsidRPr="004712DC">
        <w:t xml:space="preserve">solicited feedback on </w:t>
      </w:r>
      <w:r w:rsidR="00DE5411">
        <w:t>enhanced SSuN</w:t>
      </w:r>
      <w:r w:rsidR="00D35E13" w:rsidRPr="004712DC">
        <w:t xml:space="preserve"> activities through a </w:t>
      </w:r>
      <w:r w:rsidR="003B0A77" w:rsidRPr="004712DC">
        <w:t>division-wide planning retreat</w:t>
      </w:r>
      <w:r w:rsidR="00D35E13" w:rsidRPr="004712DC">
        <w:t xml:space="preserve">. </w:t>
      </w:r>
      <w:r w:rsidR="0041370A" w:rsidRPr="004712DC">
        <w:t xml:space="preserve">Multiple members of each of the </w:t>
      </w:r>
      <w:r w:rsidR="00592739" w:rsidRPr="004712DC">
        <w:t xml:space="preserve">Division’s </w:t>
      </w:r>
      <w:r w:rsidR="00B175CB" w:rsidRPr="004712DC">
        <w:t xml:space="preserve">five </w:t>
      </w:r>
      <w:r w:rsidR="0041370A" w:rsidRPr="004712DC">
        <w:t>branches were represented at the meeting</w:t>
      </w:r>
      <w:r w:rsidR="006E0BAD" w:rsidRPr="004712DC">
        <w:t>. The</w:t>
      </w:r>
      <w:r w:rsidR="003B0A77" w:rsidRPr="004712DC">
        <w:t xml:space="preserve"> d</w:t>
      </w:r>
      <w:r w:rsidR="0041370A" w:rsidRPr="004712DC">
        <w:t>is</w:t>
      </w:r>
      <w:r w:rsidR="003B0A77" w:rsidRPr="004712DC">
        <w:t>cussions</w:t>
      </w:r>
      <w:r w:rsidR="006E0BAD" w:rsidRPr="004712DC">
        <w:t xml:space="preserve"> included various topics including a review of project progress and data quality issues, as well as a discussion on how to use SSuN data methods to better meet the Division stakeholder’s need. </w:t>
      </w:r>
      <w:r w:rsidR="0066335E" w:rsidRPr="004712DC">
        <w:t xml:space="preserve"> </w:t>
      </w:r>
    </w:p>
    <w:p w14:paraId="7A586C9E" w14:textId="77777777" w:rsidR="0066335E" w:rsidRPr="004712DC" w:rsidRDefault="0066335E" w:rsidP="0066335E">
      <w:pPr>
        <w:widowControl w:val="0"/>
        <w:autoSpaceDE w:val="0"/>
        <w:autoSpaceDN w:val="0"/>
        <w:adjustRightInd w:val="0"/>
      </w:pPr>
    </w:p>
    <w:p w14:paraId="2D4BF511" w14:textId="77777777" w:rsidR="00F80CA1" w:rsidRPr="004712DC" w:rsidRDefault="0066335E" w:rsidP="0066335E">
      <w:pPr>
        <w:widowControl w:val="0"/>
        <w:autoSpaceDE w:val="0"/>
        <w:autoSpaceDN w:val="0"/>
        <w:adjustRightInd w:val="0"/>
        <w:rPr>
          <w:b/>
        </w:rPr>
      </w:pPr>
      <w:r w:rsidRPr="004712DC">
        <w:rPr>
          <w:b/>
        </w:rPr>
        <w:t xml:space="preserve">A. </w:t>
      </w:r>
      <w:r w:rsidR="00F80CA1" w:rsidRPr="004712DC">
        <w:rPr>
          <w:b/>
        </w:rPr>
        <w:t>9. Explanation of Any Payment or Gift to Respondents</w:t>
      </w:r>
    </w:p>
    <w:p w14:paraId="560556D4" w14:textId="77777777" w:rsidR="0066335E" w:rsidRPr="004712DC" w:rsidRDefault="0066335E" w:rsidP="0066335E">
      <w:pPr>
        <w:widowControl w:val="0"/>
        <w:autoSpaceDE w:val="0"/>
        <w:autoSpaceDN w:val="0"/>
        <w:adjustRightInd w:val="0"/>
        <w:rPr>
          <w:b/>
        </w:rPr>
      </w:pPr>
    </w:p>
    <w:p w14:paraId="25E0F210" w14:textId="0D0554BA" w:rsidR="0066335E" w:rsidRPr="004712DC" w:rsidRDefault="0066335E" w:rsidP="0066335E">
      <w:pPr>
        <w:keepNext/>
        <w:autoSpaceDE w:val="0"/>
        <w:autoSpaceDN w:val="0"/>
        <w:adjustRightInd w:val="0"/>
        <w:rPr>
          <w:bCs/>
        </w:rPr>
      </w:pPr>
      <w:r w:rsidRPr="004712DC">
        <w:rPr>
          <w:bCs/>
        </w:rPr>
        <w:t>No payments or gifts are provided to respondents.</w:t>
      </w:r>
    </w:p>
    <w:p w14:paraId="41B30AA2" w14:textId="77777777" w:rsidR="0066335E" w:rsidRPr="004712DC" w:rsidRDefault="0066335E" w:rsidP="0066335E">
      <w:pPr>
        <w:widowControl w:val="0"/>
        <w:autoSpaceDE w:val="0"/>
        <w:autoSpaceDN w:val="0"/>
        <w:adjustRightInd w:val="0"/>
        <w:rPr>
          <w:b/>
        </w:rPr>
      </w:pPr>
    </w:p>
    <w:p w14:paraId="0CABB2E2" w14:textId="22EBC0DE" w:rsidR="0066335E" w:rsidRPr="004712DC" w:rsidRDefault="00375447" w:rsidP="0066335E">
      <w:pPr>
        <w:keepNext/>
        <w:autoSpaceDE w:val="0"/>
        <w:autoSpaceDN w:val="0"/>
        <w:adjustRightInd w:val="0"/>
        <w:rPr>
          <w:b/>
        </w:rPr>
      </w:pPr>
      <w:r w:rsidRPr="004712DC">
        <w:rPr>
          <w:b/>
        </w:rPr>
        <w:t>A.</w:t>
      </w:r>
      <w:r w:rsidR="0066335E" w:rsidRPr="004712DC">
        <w:rPr>
          <w:b/>
        </w:rPr>
        <w:t xml:space="preserve">10. </w:t>
      </w:r>
      <w:r w:rsidR="00DF3415" w:rsidRPr="004712DC">
        <w:rPr>
          <w:b/>
        </w:rPr>
        <w:t>Protection of the Privacy and Confidentiality of Information Provided by Respondents</w:t>
      </w:r>
    </w:p>
    <w:p w14:paraId="31FA4D43" w14:textId="77777777" w:rsidR="00DF3415" w:rsidRPr="004712DC" w:rsidRDefault="0066335E" w:rsidP="0066335E">
      <w:pPr>
        <w:widowControl w:val="0"/>
        <w:autoSpaceDE w:val="0"/>
        <w:autoSpaceDN w:val="0"/>
        <w:adjustRightInd w:val="0"/>
      </w:pPr>
      <w:r w:rsidRPr="004712DC">
        <w:t xml:space="preserve"> </w:t>
      </w:r>
    </w:p>
    <w:p w14:paraId="5B1B56B5" w14:textId="6002DE69" w:rsidR="003817DA" w:rsidRDefault="0086440D" w:rsidP="00C6286D">
      <w:r w:rsidRPr="0086440D">
        <w:t xml:space="preserve">The Privacy Officer for CDC / ATSDR has assessed this package for applicability of 5 U.S.C. § 552a, and has determined that the Privacy Act </w:t>
      </w:r>
      <w:r w:rsidR="006D17AF">
        <w:t>applies to this information collection</w:t>
      </w:r>
      <w:r>
        <w:t xml:space="preserve">. </w:t>
      </w:r>
      <w:r w:rsidR="006D17AF">
        <w:t xml:space="preserve"> Personally identifiable information (PII) is being collected. A Privacy Impact Assessment was completed and approved in 2018 </w:t>
      </w:r>
      <w:r w:rsidR="006D17AF" w:rsidRPr="006D17AF">
        <w:rPr>
          <w:b/>
        </w:rPr>
        <w:t>(</w:t>
      </w:r>
      <w:r w:rsidR="006D17AF">
        <w:rPr>
          <w:b/>
        </w:rPr>
        <w:t>ATTACHMENT 11)</w:t>
      </w:r>
      <w:r w:rsidR="006D17AF" w:rsidRPr="006D17AF">
        <w:t>.</w:t>
      </w:r>
      <w:r w:rsidR="006D17AF">
        <w:rPr>
          <w:b/>
        </w:rPr>
        <w:t xml:space="preserve"> </w:t>
      </w:r>
      <w:r w:rsidR="006D17AF">
        <w:t xml:space="preserve"> </w:t>
      </w:r>
      <w:r w:rsidR="006D17AF" w:rsidRPr="006D17AF">
        <w:t xml:space="preserve">The applicable system of records notice (SORN) is 09-20-0136, “Epidemiologic Studies and Surveillance of Disease Problems. HHS/CDC.   </w:t>
      </w:r>
    </w:p>
    <w:p w14:paraId="1BADCA57" w14:textId="77777777" w:rsidR="006D17AF" w:rsidRDefault="006D17AF" w:rsidP="00C6286D"/>
    <w:p w14:paraId="3E88C8CF" w14:textId="13156FFC" w:rsidR="006D17AF" w:rsidRPr="006D17AF" w:rsidRDefault="006D17AF" w:rsidP="006D17AF">
      <w:r w:rsidRPr="006D17AF">
        <w:t xml:space="preserve">Reporting of </w:t>
      </w:r>
      <w:r>
        <w:t xml:space="preserve">gonorrhea or syphilis </w:t>
      </w:r>
      <w:r w:rsidRPr="006D17AF">
        <w:t xml:space="preserve">case </w:t>
      </w:r>
      <w:r>
        <w:t xml:space="preserve">report </w:t>
      </w:r>
      <w:r w:rsidRPr="006D17AF">
        <w:t>data is required under state laws and regulations for notifiable disease reporting. These data are reported without consent of the individual by health care providers and laboratories to state or local health departments or through abstraction of medical records by health department personnel. Data are reported voluntarily by state and local health departments to CDC and these activities are supported through cooperative agreements.</w:t>
      </w:r>
      <w:r>
        <w:t xml:space="preserve"> </w:t>
      </w:r>
      <w:r w:rsidRPr="006D17AF">
        <w:t xml:space="preserve">Although identifiable patient-level case report data are collected by local health departments the case report data are de-identified before they are transmitted to CDC.  </w:t>
      </w:r>
    </w:p>
    <w:p w14:paraId="7EC9843B" w14:textId="77777777" w:rsidR="006D17AF" w:rsidRDefault="006D17AF" w:rsidP="00C6286D"/>
    <w:p w14:paraId="429C5AD6" w14:textId="4165F089" w:rsidR="00AE20CA" w:rsidRDefault="00155BAD" w:rsidP="00C6286D">
      <w:r>
        <w:t>The p</w:t>
      </w:r>
      <w:r w:rsidR="0066335E" w:rsidRPr="004712DC">
        <w:t>ersonally identifiable information</w:t>
      </w:r>
      <w:r w:rsidR="00C6286D" w:rsidRPr="004712DC">
        <w:t xml:space="preserve"> (PII)</w:t>
      </w:r>
      <w:r w:rsidR="0066335E" w:rsidRPr="004712DC">
        <w:t xml:space="preserve"> </w:t>
      </w:r>
      <w:r w:rsidR="000307EE">
        <w:t xml:space="preserve">that is collected </w:t>
      </w:r>
      <w:r w:rsidR="00160E8B">
        <w:t xml:space="preserve">at the local level </w:t>
      </w:r>
      <w:r w:rsidR="000307EE">
        <w:t>includes the patient’s name, contact information (including street address and phone number), gender, race/ethnicity and date of birth</w:t>
      </w:r>
      <w:r w:rsidR="007823BD">
        <w:t xml:space="preserve"> to facilitate patient investigations</w:t>
      </w:r>
      <w:r w:rsidR="000307EE">
        <w:t xml:space="preserve">. PII is used for </w:t>
      </w:r>
      <w:r w:rsidR="001B3CC6">
        <w:t>3</w:t>
      </w:r>
      <w:r w:rsidR="000307EE">
        <w:t xml:space="preserve"> purposes: (1) the address is used to verify that the patient resides in the participating jurisdiction</w:t>
      </w:r>
      <w:r w:rsidR="00AE20CA">
        <w:t xml:space="preserve"> and to complete routine case investigations</w:t>
      </w:r>
      <w:r w:rsidR="000307EE">
        <w:t xml:space="preserve">, (2) the name and date of birth is used to verify for informed consent, </w:t>
      </w:r>
      <w:r w:rsidR="007823BD">
        <w:t xml:space="preserve">and </w:t>
      </w:r>
      <w:r w:rsidR="000307EE">
        <w:t>(3) the contact information, including telephone number is used to contact the patient for interview as well as re-contacting the patient for follow-up</w:t>
      </w:r>
      <w:r w:rsidR="007823BD">
        <w:t xml:space="preserve">. </w:t>
      </w:r>
      <w:r w:rsidR="000307EE">
        <w:t xml:space="preserve">These PII are </w:t>
      </w:r>
      <w:r w:rsidR="007823BD">
        <w:t>maintained independent of data collected through the course of eSSuN interview</w:t>
      </w:r>
      <w:r w:rsidR="000307EE">
        <w:t xml:space="preserve">s. </w:t>
      </w:r>
      <w:r w:rsidR="00AE20CA">
        <w:t xml:space="preserve">None of the patient identifiers such as </w:t>
      </w:r>
      <w:r w:rsidR="0066335E" w:rsidRPr="004712DC">
        <w:t xml:space="preserve">patient names, medical record </w:t>
      </w:r>
      <w:r w:rsidR="00F80CA1" w:rsidRPr="004712DC">
        <w:t>numbers, home address or zip codes, or birthdates</w:t>
      </w:r>
      <w:r w:rsidR="00AE20CA">
        <w:t xml:space="preserve"> are included in records forwarded to CDC as a requirement of this project</w:t>
      </w:r>
      <w:r w:rsidR="007823BD">
        <w:t>. C</w:t>
      </w:r>
      <w:r w:rsidR="00F80CA1" w:rsidRPr="004712DC">
        <w:t xml:space="preserve">ensus tract </w:t>
      </w:r>
      <w:r w:rsidR="007823BD">
        <w:t>information are</w:t>
      </w:r>
      <w:r w:rsidR="00F80CA1" w:rsidRPr="004712DC">
        <w:t xml:space="preserve"> used </w:t>
      </w:r>
      <w:r w:rsidR="007823BD">
        <w:t xml:space="preserve">in the aggregate </w:t>
      </w:r>
      <w:r w:rsidR="00F80CA1" w:rsidRPr="004712DC">
        <w:t>to identify health disparities in treatment, clinical outcomes and access to care based on distance from resident census tract</w:t>
      </w:r>
      <w:r w:rsidR="00592739" w:rsidRPr="004712DC">
        <w:t xml:space="preserve"> to provider location</w:t>
      </w:r>
      <w:r w:rsidR="00F80CA1" w:rsidRPr="004712DC">
        <w:t xml:space="preserve">. </w:t>
      </w:r>
      <w:r w:rsidR="006C1B65">
        <w:t xml:space="preserve">Information </w:t>
      </w:r>
      <w:r w:rsidR="00AE20CA" w:rsidRPr="00AE20CA">
        <w:t>on</w:t>
      </w:r>
      <w:r w:rsidR="00AE20CA">
        <w:t xml:space="preserve"> </w:t>
      </w:r>
      <w:r w:rsidR="006C1B65">
        <w:t xml:space="preserve">gender, </w:t>
      </w:r>
      <w:r w:rsidR="00AE20CA">
        <w:t xml:space="preserve">age and </w:t>
      </w:r>
      <w:r w:rsidR="00AE20CA" w:rsidRPr="00AE20CA">
        <w:t>race</w:t>
      </w:r>
      <w:r w:rsidR="00AE20CA">
        <w:t>/</w:t>
      </w:r>
      <w:r w:rsidR="00AE20CA" w:rsidRPr="00AE20CA">
        <w:t>ethnicity are collected (</w:t>
      </w:r>
      <w:r w:rsidR="00AA4D64">
        <w:rPr>
          <w:b/>
          <w:bCs/>
        </w:rPr>
        <w:t>ATTACHMENT 5</w:t>
      </w:r>
      <w:r w:rsidR="00AE20CA" w:rsidRPr="00AE20CA">
        <w:t xml:space="preserve">) </w:t>
      </w:r>
      <w:r w:rsidR="006C1B65">
        <w:t xml:space="preserve">and transmitted to CDC </w:t>
      </w:r>
      <w:r w:rsidR="00AE20CA" w:rsidRPr="00AE20CA">
        <w:t xml:space="preserve">because STDs disproportionally impact </w:t>
      </w:r>
      <w:r w:rsidR="007823BD">
        <w:t xml:space="preserve">racial/ethnic and other minorities. </w:t>
      </w:r>
    </w:p>
    <w:p w14:paraId="5BAA1C42" w14:textId="77777777" w:rsidR="00AE20CA" w:rsidRDefault="00AE20CA" w:rsidP="00C6286D"/>
    <w:p w14:paraId="757C59A6" w14:textId="762E9843" w:rsidR="00AD6AD5" w:rsidRPr="004712DC" w:rsidRDefault="00F80CA1" w:rsidP="00C6286D">
      <w:r w:rsidRPr="004712DC">
        <w:rPr>
          <w:bCs/>
        </w:rPr>
        <w:t xml:space="preserve">In the data sent to CDC, respondents </w:t>
      </w:r>
      <w:r w:rsidR="00592739" w:rsidRPr="004712DC">
        <w:rPr>
          <w:bCs/>
        </w:rPr>
        <w:t>are</w:t>
      </w:r>
      <w:r w:rsidRPr="004712DC">
        <w:rPr>
          <w:bCs/>
        </w:rPr>
        <w:t xml:space="preserve"> identified only by a unique patient ID code. The </w:t>
      </w:r>
      <w:r w:rsidR="006C1B65">
        <w:rPr>
          <w:bCs/>
        </w:rPr>
        <w:t xml:space="preserve">non-name-based </w:t>
      </w:r>
      <w:r w:rsidRPr="004712DC">
        <w:rPr>
          <w:bCs/>
        </w:rPr>
        <w:t xml:space="preserve">unique patient ID, assigned by </w:t>
      </w:r>
      <w:r w:rsidR="006C1B65">
        <w:rPr>
          <w:bCs/>
        </w:rPr>
        <w:t xml:space="preserve">either </w:t>
      </w:r>
      <w:r w:rsidRPr="004712DC">
        <w:rPr>
          <w:bCs/>
        </w:rPr>
        <w:t>the state or local health department</w:t>
      </w:r>
      <w:r w:rsidR="009D7C1A" w:rsidRPr="004712DC">
        <w:rPr>
          <w:bCs/>
        </w:rPr>
        <w:t xml:space="preserve"> or </w:t>
      </w:r>
      <w:r w:rsidR="006C1B65">
        <w:rPr>
          <w:bCs/>
        </w:rPr>
        <w:t>th</w:t>
      </w:r>
      <w:r w:rsidR="009D7C1A" w:rsidRPr="004712DC">
        <w:rPr>
          <w:bCs/>
        </w:rPr>
        <w:t>e sentinel facility</w:t>
      </w:r>
      <w:r w:rsidRPr="004712DC">
        <w:rPr>
          <w:bCs/>
        </w:rPr>
        <w:t xml:space="preserve">, </w:t>
      </w:r>
      <w:r w:rsidR="009D7C1A" w:rsidRPr="004712DC">
        <w:rPr>
          <w:bCs/>
        </w:rPr>
        <w:t xml:space="preserve">is created </w:t>
      </w:r>
      <w:r w:rsidR="007823BD">
        <w:rPr>
          <w:bCs/>
        </w:rPr>
        <w:t xml:space="preserve">solely </w:t>
      </w:r>
      <w:r w:rsidR="009D7C1A" w:rsidRPr="004712DC">
        <w:rPr>
          <w:bCs/>
        </w:rPr>
        <w:t xml:space="preserve">for the purposes of surveillance and </w:t>
      </w:r>
      <w:r w:rsidR="00592739" w:rsidRPr="004712DC">
        <w:rPr>
          <w:bCs/>
        </w:rPr>
        <w:t>is not</w:t>
      </w:r>
      <w:r w:rsidR="009D7C1A" w:rsidRPr="004712DC">
        <w:rPr>
          <w:bCs/>
        </w:rPr>
        <w:t xml:space="preserve"> </w:t>
      </w:r>
      <w:r w:rsidR="006C1B65">
        <w:rPr>
          <w:bCs/>
        </w:rPr>
        <w:t xml:space="preserve">itself </w:t>
      </w:r>
      <w:r w:rsidR="009D7C1A" w:rsidRPr="004712DC">
        <w:rPr>
          <w:bCs/>
        </w:rPr>
        <w:t>a medical record number</w:t>
      </w:r>
      <w:r w:rsidR="00F43F16">
        <w:rPr>
          <w:bCs/>
        </w:rPr>
        <w:t xml:space="preserve">. </w:t>
      </w:r>
      <w:r w:rsidR="00AE20CA">
        <w:rPr>
          <w:bCs/>
        </w:rPr>
        <w:t xml:space="preserve">The unique patient ID code for the STD clinic patients are assigned and maintained by the </w:t>
      </w:r>
      <w:r w:rsidR="006C1B65">
        <w:rPr>
          <w:bCs/>
        </w:rPr>
        <w:t xml:space="preserve">participating </w:t>
      </w:r>
      <w:r w:rsidR="00AE20CA">
        <w:rPr>
          <w:bCs/>
        </w:rPr>
        <w:t xml:space="preserve">facility. </w:t>
      </w:r>
      <w:r w:rsidR="00F43F16">
        <w:rPr>
          <w:bCs/>
        </w:rPr>
        <w:t>CDC can</w:t>
      </w:r>
      <w:r w:rsidR="007E1131">
        <w:rPr>
          <w:bCs/>
        </w:rPr>
        <w:t>not</w:t>
      </w:r>
      <w:r w:rsidR="00AE20CA">
        <w:rPr>
          <w:bCs/>
        </w:rPr>
        <w:t xml:space="preserve"> </w:t>
      </w:r>
      <w:r w:rsidR="00F43F16">
        <w:rPr>
          <w:bCs/>
        </w:rPr>
        <w:t>use this number in the identification of individual patients</w:t>
      </w:r>
      <w:r w:rsidR="007823BD">
        <w:rPr>
          <w:bCs/>
        </w:rPr>
        <w:t xml:space="preserve"> seeking care in these facilities</w:t>
      </w:r>
      <w:r w:rsidR="00F43F16">
        <w:rPr>
          <w:bCs/>
        </w:rPr>
        <w:t>. In the population component</w:t>
      </w:r>
      <w:r w:rsidR="007823BD">
        <w:rPr>
          <w:bCs/>
        </w:rPr>
        <w:t xml:space="preserve"> of e</w:t>
      </w:r>
      <w:r w:rsidR="007E1131">
        <w:rPr>
          <w:bCs/>
        </w:rPr>
        <w:t xml:space="preserve">nhanced </w:t>
      </w:r>
      <w:r w:rsidR="007823BD">
        <w:rPr>
          <w:bCs/>
        </w:rPr>
        <w:t>SSuN</w:t>
      </w:r>
      <w:r w:rsidR="00F43F16">
        <w:rPr>
          <w:bCs/>
        </w:rPr>
        <w:t xml:space="preserve">, the </w:t>
      </w:r>
      <w:r w:rsidR="00AD6AD5" w:rsidRPr="004712DC">
        <w:t>unique p</w:t>
      </w:r>
      <w:r w:rsidR="006C1B65">
        <w:t>erson</w:t>
      </w:r>
      <w:r w:rsidR="00AD6AD5" w:rsidRPr="004712DC">
        <w:t xml:space="preserve"> </w:t>
      </w:r>
      <w:r w:rsidR="007823BD">
        <w:t>ID</w:t>
      </w:r>
      <w:r w:rsidR="00AD6AD5" w:rsidRPr="004712DC">
        <w:t xml:space="preserve"> </w:t>
      </w:r>
      <w:r w:rsidR="006C1B65">
        <w:t>code</w:t>
      </w:r>
      <w:r w:rsidR="00AD6AD5" w:rsidRPr="004712DC">
        <w:t xml:space="preserve"> is assigned by the </w:t>
      </w:r>
      <w:r w:rsidR="006C1B65">
        <w:t xml:space="preserve">local grantee </w:t>
      </w:r>
      <w:r w:rsidR="00AD6AD5" w:rsidRPr="004712DC">
        <w:t>to each gonorrhea or early syphilis case</w:t>
      </w:r>
      <w:r w:rsidR="007823BD">
        <w:t xml:space="preserve"> using data on case reports submitted by providers/ laboratories pursuant to local reporting regulations</w:t>
      </w:r>
      <w:r w:rsidR="00F43F16">
        <w:t xml:space="preserve">.  </w:t>
      </w:r>
      <w:r w:rsidR="007823BD">
        <w:t>These records can only be re-identified at the loc</w:t>
      </w:r>
      <w:r w:rsidR="007E1131">
        <w:t>al level. Data is encrypted and</w:t>
      </w:r>
      <w:r w:rsidR="007823BD">
        <w:t xml:space="preserve"> transmitted </w:t>
      </w:r>
      <w:r w:rsidR="00AD6AD5" w:rsidRPr="004712DC">
        <w:t>via CDC’s Secure Access Management System (SAMS)</w:t>
      </w:r>
      <w:r w:rsidR="007823BD">
        <w:t>.</w:t>
      </w:r>
      <w:r w:rsidR="00AD6AD5" w:rsidRPr="004712DC">
        <w:t xml:space="preserve">  At CDC, </w:t>
      </w:r>
      <w:r w:rsidR="00DE5411">
        <w:t>enhanced SSuN</w:t>
      </w:r>
      <w:r w:rsidR="006C1B65">
        <w:t xml:space="preserve"> data are</w:t>
      </w:r>
      <w:r w:rsidR="00AD6AD5" w:rsidRPr="004712DC">
        <w:t xml:space="preserve"> maintained on secure servers behind the CDC firewall.  Password-protected access is required and directory-specific user access rights are assigned by a CDC data steward.  Restricted access to STD data is provided to DSTDP/CDC scientists, researchers, and program managers. CDC will work with collaborating sites to design a plan to destroy site-specific </w:t>
      </w:r>
      <w:r w:rsidR="007E1131">
        <w:t>e</w:t>
      </w:r>
      <w:r w:rsidR="00AD6AD5" w:rsidRPr="004712DC">
        <w:t>nhanced S</w:t>
      </w:r>
      <w:r w:rsidR="007E1131">
        <w:t>SuN</w:t>
      </w:r>
      <w:r w:rsidR="00AD6AD5" w:rsidRPr="004712DC">
        <w:t xml:space="preserve"> data files after data analyses </w:t>
      </w:r>
      <w:r w:rsidR="007E1131">
        <w:t>are</w:t>
      </w:r>
      <w:r w:rsidR="00AD6AD5" w:rsidRPr="004712DC">
        <w:t xml:space="preserve"> completed.</w:t>
      </w:r>
    </w:p>
    <w:p w14:paraId="63F1F557" w14:textId="77777777" w:rsidR="00746281" w:rsidRPr="004712DC" w:rsidRDefault="00746281" w:rsidP="0077469B">
      <w:pPr>
        <w:keepNext/>
        <w:autoSpaceDE w:val="0"/>
        <w:autoSpaceDN w:val="0"/>
        <w:adjustRightInd w:val="0"/>
        <w:rPr>
          <w:bCs/>
        </w:rPr>
      </w:pPr>
    </w:p>
    <w:p w14:paraId="545E099C" w14:textId="41E08914" w:rsidR="00746281" w:rsidRPr="004712DC" w:rsidRDefault="007E1131" w:rsidP="0077469B">
      <w:pPr>
        <w:keepNext/>
        <w:autoSpaceDE w:val="0"/>
        <w:autoSpaceDN w:val="0"/>
        <w:adjustRightInd w:val="0"/>
        <w:rPr>
          <w:bCs/>
        </w:rPr>
      </w:pPr>
      <w:r>
        <w:rPr>
          <w:bCs/>
        </w:rPr>
        <w:t>W</w:t>
      </w:r>
      <w:r w:rsidR="00746281" w:rsidRPr="004712DC">
        <w:rPr>
          <w:bCs/>
        </w:rPr>
        <w:t xml:space="preserve">ritten informed consent </w:t>
      </w:r>
      <w:r>
        <w:rPr>
          <w:bCs/>
        </w:rPr>
        <w:t>is</w:t>
      </w:r>
      <w:r w:rsidR="00746281" w:rsidRPr="004712DC">
        <w:rPr>
          <w:bCs/>
        </w:rPr>
        <w:t xml:space="preserve"> not required at any of the </w:t>
      </w:r>
      <w:r>
        <w:rPr>
          <w:bCs/>
        </w:rPr>
        <w:t>STD clinics</w:t>
      </w:r>
      <w:r w:rsidR="00746281" w:rsidRPr="004712DC">
        <w:rPr>
          <w:bCs/>
        </w:rPr>
        <w:t xml:space="preserve"> for the collection of de-identified electronic clinical data elements maintained in archived databases at the clinics. This </w:t>
      </w:r>
      <w:r w:rsidR="00155BAD">
        <w:rPr>
          <w:bCs/>
        </w:rPr>
        <w:t>is</w:t>
      </w:r>
      <w:r w:rsidR="00746281" w:rsidRPr="004712DC">
        <w:rPr>
          <w:bCs/>
        </w:rPr>
        <w:t xml:space="preserve"> deemed to be of minimal risk and the data collection could not be conducted with written informed consent. The data transmittals </w:t>
      </w:r>
      <w:r w:rsidR="00512CA1" w:rsidRPr="004712DC">
        <w:rPr>
          <w:bCs/>
        </w:rPr>
        <w:t xml:space="preserve">do </w:t>
      </w:r>
      <w:r w:rsidR="00746281" w:rsidRPr="004712DC">
        <w:rPr>
          <w:bCs/>
        </w:rPr>
        <w:t xml:space="preserve">not have any personal identifiers (patient names, initials, </w:t>
      </w:r>
      <w:r w:rsidR="003D5018">
        <w:rPr>
          <w:bCs/>
        </w:rPr>
        <w:t>date of birth, contact information, or</w:t>
      </w:r>
      <w:r w:rsidR="00FD3042" w:rsidRPr="004712DC">
        <w:rPr>
          <w:bCs/>
        </w:rPr>
        <w:t xml:space="preserve"> medical</w:t>
      </w:r>
      <w:r w:rsidR="00746281" w:rsidRPr="004712DC">
        <w:rPr>
          <w:bCs/>
        </w:rPr>
        <w:t xml:space="preserve"> record numbers).  Patients </w:t>
      </w:r>
      <w:r w:rsidR="00512CA1" w:rsidRPr="004712DC">
        <w:rPr>
          <w:bCs/>
        </w:rPr>
        <w:t>are</w:t>
      </w:r>
      <w:r w:rsidR="00746281" w:rsidRPr="004712DC">
        <w:rPr>
          <w:bCs/>
        </w:rPr>
        <w:t xml:space="preserve"> identified in the database only by a unique </w:t>
      </w:r>
      <w:r w:rsidR="009D7C1A" w:rsidRPr="004712DC">
        <w:rPr>
          <w:bCs/>
        </w:rPr>
        <w:t>patient ID code</w:t>
      </w:r>
      <w:r w:rsidR="009D7C1A" w:rsidRPr="004712DC" w:rsidDel="009D7C1A">
        <w:rPr>
          <w:bCs/>
        </w:rPr>
        <w:t xml:space="preserve"> </w:t>
      </w:r>
      <w:r w:rsidR="00746281" w:rsidRPr="004712DC">
        <w:rPr>
          <w:bCs/>
        </w:rPr>
        <w:t xml:space="preserve">and CDC </w:t>
      </w:r>
      <w:r w:rsidR="00512CA1" w:rsidRPr="004712DC">
        <w:rPr>
          <w:bCs/>
        </w:rPr>
        <w:t xml:space="preserve">does </w:t>
      </w:r>
      <w:r w:rsidR="00746281" w:rsidRPr="004712DC">
        <w:rPr>
          <w:bCs/>
        </w:rPr>
        <w:t>not receive any information that could be used to personally identify any data records.</w:t>
      </w:r>
    </w:p>
    <w:p w14:paraId="36A37AF1" w14:textId="77777777" w:rsidR="00746281" w:rsidRPr="004712DC" w:rsidRDefault="00746281" w:rsidP="0077469B">
      <w:pPr>
        <w:keepNext/>
        <w:autoSpaceDE w:val="0"/>
        <w:autoSpaceDN w:val="0"/>
        <w:adjustRightInd w:val="0"/>
        <w:rPr>
          <w:bCs/>
        </w:rPr>
      </w:pPr>
    </w:p>
    <w:p w14:paraId="5C4D2666" w14:textId="51CBA535" w:rsidR="00F80CA1" w:rsidRPr="004712DC" w:rsidRDefault="00746281" w:rsidP="00CF6FC3">
      <w:pPr>
        <w:keepNext/>
        <w:autoSpaceDE w:val="0"/>
        <w:autoSpaceDN w:val="0"/>
        <w:adjustRightInd w:val="0"/>
        <w:rPr>
          <w:bCs/>
        </w:rPr>
      </w:pPr>
      <w:r w:rsidRPr="004712DC">
        <w:rPr>
          <w:bCs/>
        </w:rPr>
        <w:t>F</w:t>
      </w:r>
      <w:r w:rsidR="0077469B" w:rsidRPr="004712DC">
        <w:rPr>
          <w:bCs/>
        </w:rPr>
        <w:t xml:space="preserve">or the population-based STD surveillance activity, state and/or local health departments </w:t>
      </w:r>
      <w:r w:rsidR="001A125D">
        <w:rPr>
          <w:bCs/>
        </w:rPr>
        <w:t xml:space="preserve">contact </w:t>
      </w:r>
      <w:r w:rsidR="00BF0BD8" w:rsidRPr="004712DC">
        <w:rPr>
          <w:bCs/>
        </w:rPr>
        <w:t>1) individuals diagnosed with reportable condition (either gonorrhea or early syphilis)</w:t>
      </w:r>
      <w:r w:rsidR="00512CA1" w:rsidRPr="004712DC">
        <w:rPr>
          <w:bCs/>
        </w:rPr>
        <w:t xml:space="preserve"> under local public health authority to conduct disease investigations</w:t>
      </w:r>
      <w:r w:rsidR="00C6286D" w:rsidRPr="004712DC">
        <w:rPr>
          <w:bCs/>
        </w:rPr>
        <w:t>, and 2)</w:t>
      </w:r>
      <w:r w:rsidR="00C6286D" w:rsidRPr="004712DC">
        <w:t xml:space="preserve"> </w:t>
      </w:r>
      <w:r w:rsidR="00C6286D" w:rsidRPr="004712DC">
        <w:rPr>
          <w:bCs/>
        </w:rPr>
        <w:t xml:space="preserve">diagnosing </w:t>
      </w:r>
      <w:r w:rsidR="00F43F16">
        <w:rPr>
          <w:bCs/>
        </w:rPr>
        <w:t>healthcare providers</w:t>
      </w:r>
      <w:r w:rsidR="00C6286D" w:rsidRPr="004712DC">
        <w:rPr>
          <w:bCs/>
        </w:rPr>
        <w:t xml:space="preserve"> for additional information about the </w:t>
      </w:r>
      <w:r w:rsidR="001A125D" w:rsidRPr="001A125D">
        <w:rPr>
          <w:bCs/>
        </w:rPr>
        <w:t>gonorrhea or early syphilis</w:t>
      </w:r>
      <w:r w:rsidR="00C6286D" w:rsidRPr="004712DC">
        <w:rPr>
          <w:bCs/>
        </w:rPr>
        <w:t xml:space="preserve"> cases</w:t>
      </w:r>
      <w:r w:rsidR="0077469B" w:rsidRPr="004712DC">
        <w:rPr>
          <w:bCs/>
        </w:rPr>
        <w:t xml:space="preserve">.  CDC </w:t>
      </w:r>
      <w:r w:rsidR="00512CA1" w:rsidRPr="004712DC">
        <w:rPr>
          <w:bCs/>
        </w:rPr>
        <w:t xml:space="preserve">does </w:t>
      </w:r>
      <w:r w:rsidR="0077469B" w:rsidRPr="004712DC">
        <w:rPr>
          <w:bCs/>
        </w:rPr>
        <w:t xml:space="preserve">not </w:t>
      </w:r>
      <w:r w:rsidR="00BF0BD8" w:rsidRPr="004712DC">
        <w:rPr>
          <w:bCs/>
        </w:rPr>
        <w:t>contact any provider</w:t>
      </w:r>
      <w:r w:rsidR="00C6286D" w:rsidRPr="004712DC">
        <w:rPr>
          <w:bCs/>
        </w:rPr>
        <w:t>s</w:t>
      </w:r>
      <w:r w:rsidR="00BF0BD8" w:rsidRPr="004712DC">
        <w:rPr>
          <w:bCs/>
        </w:rPr>
        <w:t xml:space="preserve"> or</w:t>
      </w:r>
      <w:r w:rsidR="0077469B" w:rsidRPr="004712DC">
        <w:rPr>
          <w:bCs/>
        </w:rPr>
        <w:t xml:space="preserve"> conduct any interviews with patients.  </w:t>
      </w:r>
      <w:r w:rsidR="00C6286D" w:rsidRPr="004712DC">
        <w:rPr>
          <w:bCs/>
        </w:rPr>
        <w:t xml:space="preserve">The interviews </w:t>
      </w:r>
      <w:r w:rsidR="00FB3D98" w:rsidRPr="004712DC">
        <w:rPr>
          <w:bCs/>
        </w:rPr>
        <w:t>are</w:t>
      </w:r>
      <w:r w:rsidR="00C6286D" w:rsidRPr="004712DC">
        <w:rPr>
          <w:bCs/>
        </w:rPr>
        <w:t xml:space="preserve"> conducted by trained local </w:t>
      </w:r>
      <w:r w:rsidR="003D5018">
        <w:rPr>
          <w:bCs/>
        </w:rPr>
        <w:t>health department</w:t>
      </w:r>
      <w:r w:rsidR="00C6286D" w:rsidRPr="004712DC">
        <w:rPr>
          <w:bCs/>
        </w:rPr>
        <w:t xml:space="preserve"> staff in a private location where the questions and responses cannot be overheard by others.  </w:t>
      </w:r>
      <w:r w:rsidR="0077469B" w:rsidRPr="004712DC">
        <w:rPr>
          <w:bCs/>
        </w:rPr>
        <w:t xml:space="preserve">Individuals being contacted for interviews </w:t>
      </w:r>
      <w:r w:rsidR="00512CA1" w:rsidRPr="004712DC">
        <w:rPr>
          <w:bCs/>
        </w:rPr>
        <w:t>are</w:t>
      </w:r>
      <w:r w:rsidR="0077469B" w:rsidRPr="004712DC">
        <w:rPr>
          <w:bCs/>
        </w:rPr>
        <w:t xml:space="preserve"> verbal</w:t>
      </w:r>
      <w:r w:rsidR="00512CA1" w:rsidRPr="004712DC">
        <w:rPr>
          <w:bCs/>
        </w:rPr>
        <w:t>ly</w:t>
      </w:r>
      <w:r w:rsidR="0077469B" w:rsidRPr="004712DC">
        <w:rPr>
          <w:bCs/>
        </w:rPr>
        <w:t xml:space="preserve"> consent</w:t>
      </w:r>
      <w:r w:rsidR="00512CA1" w:rsidRPr="004712DC">
        <w:rPr>
          <w:bCs/>
        </w:rPr>
        <w:t>ed</w:t>
      </w:r>
      <w:r w:rsidR="0077469B" w:rsidRPr="004712DC">
        <w:rPr>
          <w:bCs/>
        </w:rPr>
        <w:t xml:space="preserve"> over the phone or in person prior to the administration of the survey. </w:t>
      </w:r>
      <w:r w:rsidR="00FB3D98" w:rsidRPr="004712DC">
        <w:rPr>
          <w:bCs/>
        </w:rPr>
        <w:t xml:space="preserve">Participants </w:t>
      </w:r>
      <w:r w:rsidR="003D5018">
        <w:rPr>
          <w:bCs/>
        </w:rPr>
        <w:t>are</w:t>
      </w:r>
      <w:r w:rsidR="00FB3D98" w:rsidRPr="004712DC">
        <w:rPr>
          <w:bCs/>
        </w:rPr>
        <w:t xml:space="preserve"> told they may decline to participate without penalty or if they agree to participate, they may refuse to answer any </w:t>
      </w:r>
      <w:r w:rsidR="003D5018">
        <w:rPr>
          <w:bCs/>
        </w:rPr>
        <w:t xml:space="preserve">of the survey </w:t>
      </w:r>
      <w:r w:rsidR="00FB3D98" w:rsidRPr="004712DC">
        <w:rPr>
          <w:bCs/>
        </w:rPr>
        <w:t>question</w:t>
      </w:r>
      <w:r w:rsidR="003D5018">
        <w:rPr>
          <w:bCs/>
        </w:rPr>
        <w:t>s</w:t>
      </w:r>
      <w:r w:rsidR="00FB3D98" w:rsidRPr="004712DC">
        <w:rPr>
          <w:bCs/>
        </w:rPr>
        <w:t xml:space="preserve">. They </w:t>
      </w:r>
      <w:r w:rsidR="003D5018">
        <w:rPr>
          <w:bCs/>
        </w:rPr>
        <w:t>are</w:t>
      </w:r>
      <w:r w:rsidR="00FB3D98" w:rsidRPr="004712DC">
        <w:rPr>
          <w:bCs/>
        </w:rPr>
        <w:t xml:space="preserve"> informed that the data will be used to improve STD/HIV prevention services for persons at increased risk of STD in their area, and that aggregated data may be released in published reports.  </w:t>
      </w:r>
    </w:p>
    <w:p w14:paraId="74D2A5C2" w14:textId="77777777" w:rsidR="00FB3D98" w:rsidRPr="004712DC" w:rsidRDefault="00FB3D98" w:rsidP="00CF6FC3">
      <w:pPr>
        <w:keepNext/>
        <w:autoSpaceDE w:val="0"/>
        <w:autoSpaceDN w:val="0"/>
        <w:adjustRightInd w:val="0"/>
        <w:rPr>
          <w:bCs/>
        </w:rPr>
      </w:pPr>
    </w:p>
    <w:p w14:paraId="72A48CF8" w14:textId="77777777" w:rsidR="00054B07" w:rsidRDefault="003164C0" w:rsidP="00746281">
      <w:pPr>
        <w:keepNext/>
        <w:autoSpaceDE w:val="0"/>
        <w:autoSpaceDN w:val="0"/>
        <w:adjustRightInd w:val="0"/>
      </w:pPr>
      <w:r w:rsidRPr="004712DC">
        <w:t xml:space="preserve">The </w:t>
      </w:r>
      <w:r w:rsidR="001A125D">
        <w:t>s</w:t>
      </w:r>
      <w:r w:rsidRPr="004712DC">
        <w:t xml:space="preserve">urveillance and </w:t>
      </w:r>
      <w:r w:rsidR="001A125D">
        <w:t>d</w:t>
      </w:r>
      <w:r w:rsidRPr="004712DC">
        <w:t xml:space="preserve">ata </w:t>
      </w:r>
      <w:r w:rsidR="001A125D">
        <w:t>m</w:t>
      </w:r>
      <w:r w:rsidRPr="004712DC">
        <w:t xml:space="preserve">anagement </w:t>
      </w:r>
      <w:r w:rsidR="001A125D">
        <w:t>b</w:t>
      </w:r>
      <w:r w:rsidRPr="004712DC">
        <w:t>ranch</w:t>
      </w:r>
      <w:r w:rsidR="001A125D">
        <w:t xml:space="preserve"> (SDMB/DSTDP/CDC)</w:t>
      </w:r>
      <w:r w:rsidRPr="004712DC">
        <w:t xml:space="preserve">, is charged with the responsibility of maintaining the privacy, security, and scientific integrity of all </w:t>
      </w:r>
      <w:r w:rsidR="00F43F16">
        <w:t>e</w:t>
      </w:r>
      <w:r w:rsidR="008C7183" w:rsidRPr="004712DC">
        <w:t>nhanced S</w:t>
      </w:r>
      <w:r w:rsidR="00F43F16">
        <w:t>SuN</w:t>
      </w:r>
      <w:r w:rsidRPr="004712DC">
        <w:t xml:space="preserve"> databases. The </w:t>
      </w:r>
      <w:r w:rsidR="003A4E04" w:rsidRPr="004712DC">
        <w:t xml:space="preserve">CDC </w:t>
      </w:r>
      <w:r w:rsidR="001A125D">
        <w:t>p</w:t>
      </w:r>
      <w:r w:rsidRPr="004712DC">
        <w:t xml:space="preserve">roject </w:t>
      </w:r>
      <w:r w:rsidR="001A125D">
        <w:t>d</w:t>
      </w:r>
      <w:r w:rsidRPr="004712DC">
        <w:t xml:space="preserve">ata </w:t>
      </w:r>
      <w:r w:rsidR="001A125D">
        <w:t>m</w:t>
      </w:r>
      <w:r w:rsidRPr="004712DC">
        <w:t xml:space="preserve">anagers </w:t>
      </w:r>
      <w:r w:rsidR="00512CA1" w:rsidRPr="004712DC">
        <w:t>are</w:t>
      </w:r>
      <w:r w:rsidRPr="004712DC">
        <w:t xml:space="preserve"> designated as custodians of the</w:t>
      </w:r>
      <w:r w:rsidR="00F4226F" w:rsidRPr="004712DC">
        <w:t xml:space="preserve"> </w:t>
      </w:r>
      <w:r w:rsidR="00F43F16">
        <w:t>SSuN d</w:t>
      </w:r>
      <w:r w:rsidRPr="004712DC">
        <w:t xml:space="preserve">ata files, and </w:t>
      </w:r>
      <w:r w:rsidR="00512CA1" w:rsidRPr="004712DC">
        <w:t>are</w:t>
      </w:r>
      <w:r w:rsidRPr="004712DC">
        <w:t xml:space="preserve"> responsible for observance of all conditions of use, and for establishment and maintenance of security arrangements to prevent unauthorized use.  Access to the data </w:t>
      </w:r>
      <w:r w:rsidR="00512CA1" w:rsidRPr="004712DC">
        <w:t>is strictly</w:t>
      </w:r>
      <w:r w:rsidRPr="004712DC">
        <w:t xml:space="preserve"> limited to key members of the </w:t>
      </w:r>
      <w:r w:rsidR="00F43F16">
        <w:t>S</w:t>
      </w:r>
      <w:r w:rsidR="001A125D">
        <w:t>DMB</w:t>
      </w:r>
      <w:r w:rsidRPr="004712DC">
        <w:t xml:space="preserve"> who are integral officers and collaborators of the study in the performance of their assigned duties.  The</w:t>
      </w:r>
      <w:r w:rsidR="00F4226F" w:rsidRPr="004712DC">
        <w:t xml:space="preserve"> </w:t>
      </w:r>
      <w:r w:rsidR="00DE5411">
        <w:t>enhanced SSuN</w:t>
      </w:r>
      <w:r w:rsidRPr="004712DC">
        <w:t xml:space="preserve"> Project Officer(s) </w:t>
      </w:r>
      <w:r w:rsidR="003D5018">
        <w:t xml:space="preserve">and/or </w:t>
      </w:r>
      <w:r w:rsidR="001A125D">
        <w:t>SDMB</w:t>
      </w:r>
      <w:r w:rsidR="003D5018">
        <w:t xml:space="preserve"> data stewards </w:t>
      </w:r>
      <w:r w:rsidR="00512CA1" w:rsidRPr="004712DC">
        <w:t>are</w:t>
      </w:r>
      <w:r w:rsidRPr="004712DC">
        <w:t xml:space="preserve"> responsible for granting access to </w:t>
      </w:r>
      <w:r w:rsidR="00F43F16">
        <w:t xml:space="preserve">SSuN </w:t>
      </w:r>
      <w:r w:rsidRPr="004712DC">
        <w:t xml:space="preserve">data by other CDC staff in </w:t>
      </w:r>
      <w:r w:rsidR="00F43F16">
        <w:t xml:space="preserve">DSTDP </w:t>
      </w:r>
      <w:r w:rsidRPr="004712DC">
        <w:t xml:space="preserve">as needed.  The </w:t>
      </w:r>
      <w:r w:rsidR="00F43F16">
        <w:t>e</w:t>
      </w:r>
      <w:r w:rsidR="008C7183" w:rsidRPr="004712DC">
        <w:t>nhanced S</w:t>
      </w:r>
      <w:r w:rsidR="00F43F16">
        <w:t>SuN pr</w:t>
      </w:r>
      <w:r w:rsidRPr="004712DC">
        <w:t xml:space="preserve">incipal </w:t>
      </w:r>
      <w:r w:rsidR="00F43F16">
        <w:t>c</w:t>
      </w:r>
      <w:r w:rsidRPr="004712DC">
        <w:t xml:space="preserve">ollaborators </w:t>
      </w:r>
      <w:r w:rsidR="00512CA1" w:rsidRPr="004712DC">
        <w:t>are</w:t>
      </w:r>
      <w:r w:rsidRPr="004712DC">
        <w:t xml:space="preserve"> promptly notified of any CDC personnel changes that affect access to the data for </w:t>
      </w:r>
      <w:r w:rsidR="00512CA1" w:rsidRPr="004712DC">
        <w:t xml:space="preserve">the </w:t>
      </w:r>
      <w:r w:rsidRPr="004712DC">
        <w:t>project.  A</w:t>
      </w:r>
      <w:r w:rsidR="003B117A" w:rsidRPr="004712DC">
        <w:t>ll CDC staff with data access have</w:t>
      </w:r>
      <w:r w:rsidRPr="004712DC">
        <w:t xml:space="preserve"> completed, and remain current with, the annual Health and Human Services Information Security</w:t>
      </w:r>
      <w:r w:rsidR="00054B07">
        <w:t xml:space="preserve"> A</w:t>
      </w:r>
      <w:r w:rsidRPr="004712DC">
        <w:t>wareness Training.  A record of the completion of security training for all CDC staff is maintained by the CDC Information Technology Services Office (ITSO).CDC may retain</w:t>
      </w:r>
      <w:r w:rsidR="00F4226F" w:rsidRPr="004712DC">
        <w:t xml:space="preserve"> </w:t>
      </w:r>
      <w:r w:rsidR="00F43F16">
        <w:t>e</w:t>
      </w:r>
      <w:r w:rsidR="008C7183" w:rsidRPr="004712DC">
        <w:t>nhanced S</w:t>
      </w:r>
      <w:r w:rsidR="00F43F16">
        <w:t xml:space="preserve">SuN </w:t>
      </w:r>
      <w:r w:rsidRPr="004712DC">
        <w:t xml:space="preserve">data as long as the data are protected as described herein.  CDC will annually review the need for the data with </w:t>
      </w:r>
      <w:r w:rsidR="00F43F16">
        <w:t>SSuN p</w:t>
      </w:r>
      <w:r w:rsidRPr="004712DC">
        <w:t xml:space="preserve">rincipal </w:t>
      </w:r>
      <w:r w:rsidR="00F43F16">
        <w:t>c</w:t>
      </w:r>
      <w:r w:rsidRPr="004712DC">
        <w:t>ollaborators and shall destroy all copies of the data if it is determined that no further analys</w:t>
      </w:r>
      <w:r w:rsidR="001A125D">
        <w:t>e</w:t>
      </w:r>
      <w:r w:rsidRPr="004712DC">
        <w:t>s will be conducted.</w:t>
      </w:r>
      <w:r w:rsidR="00054B07">
        <w:t xml:space="preserve">  </w:t>
      </w:r>
    </w:p>
    <w:p w14:paraId="26634900" w14:textId="77777777" w:rsidR="00054B07" w:rsidRDefault="00054B07" w:rsidP="00746281">
      <w:pPr>
        <w:keepNext/>
        <w:autoSpaceDE w:val="0"/>
        <w:autoSpaceDN w:val="0"/>
        <w:adjustRightInd w:val="0"/>
      </w:pPr>
    </w:p>
    <w:p w14:paraId="2376DBD8" w14:textId="6BC602B8" w:rsidR="00746281" w:rsidRPr="00054B07" w:rsidRDefault="00746281" w:rsidP="00746281">
      <w:pPr>
        <w:keepNext/>
        <w:autoSpaceDE w:val="0"/>
        <w:autoSpaceDN w:val="0"/>
        <w:adjustRightInd w:val="0"/>
      </w:pPr>
      <w:r w:rsidRPr="004712DC">
        <w:rPr>
          <w:b/>
          <w:bCs/>
        </w:rPr>
        <w:t xml:space="preserve">A. 11.  </w:t>
      </w:r>
      <w:r w:rsidR="00DF3415" w:rsidRPr="004712DC">
        <w:rPr>
          <w:b/>
          <w:bCs/>
          <w:u w:val="single"/>
        </w:rPr>
        <w:t>Institutional Review Board (IRB) and Justification for Sensitive Questions</w:t>
      </w:r>
    </w:p>
    <w:p w14:paraId="21DCBC25" w14:textId="77777777" w:rsidR="00746281" w:rsidRPr="004712DC" w:rsidRDefault="00746281" w:rsidP="00CF6FC3">
      <w:pPr>
        <w:keepNext/>
        <w:autoSpaceDE w:val="0"/>
        <w:autoSpaceDN w:val="0"/>
        <w:adjustRightInd w:val="0"/>
      </w:pPr>
    </w:p>
    <w:p w14:paraId="2A9A96F7" w14:textId="17C2F29B" w:rsidR="008C00FA" w:rsidRPr="004712DC" w:rsidRDefault="008C573F" w:rsidP="00FB3D98">
      <w:pPr>
        <w:keepNext/>
        <w:autoSpaceDE w:val="0"/>
        <w:autoSpaceDN w:val="0"/>
        <w:adjustRightInd w:val="0"/>
      </w:pPr>
      <w:r w:rsidRPr="004712DC">
        <w:t>The approved Project Determination Form (</w:t>
      </w:r>
      <w:r w:rsidR="006C13DB">
        <w:rPr>
          <w:b/>
        </w:rPr>
        <w:t>ATTACHMENT 9</w:t>
      </w:r>
      <w:r w:rsidRPr="004712DC">
        <w:t xml:space="preserve">) indicates that because the project is a routine disease surveillance activity, the protocol </w:t>
      </w:r>
      <w:r w:rsidR="003D5018">
        <w:t>is exempt from review</w:t>
      </w:r>
      <w:r w:rsidRPr="004712DC">
        <w:t xml:space="preserve"> by CDC’s IRB.  </w:t>
      </w:r>
    </w:p>
    <w:p w14:paraId="082D736C" w14:textId="48896157" w:rsidR="00FB3D98" w:rsidRPr="004712DC" w:rsidRDefault="00FB3D98" w:rsidP="00FB3D98">
      <w:pPr>
        <w:keepNext/>
        <w:autoSpaceDE w:val="0"/>
        <w:autoSpaceDN w:val="0"/>
        <w:adjustRightInd w:val="0"/>
      </w:pPr>
    </w:p>
    <w:p w14:paraId="2B96A0B9" w14:textId="2DBA3802" w:rsidR="00E008C8" w:rsidRPr="004712DC" w:rsidRDefault="008C573F" w:rsidP="008C573F">
      <w:pPr>
        <w:keepNext/>
        <w:autoSpaceDE w:val="0"/>
        <w:autoSpaceDN w:val="0"/>
        <w:adjustRightInd w:val="0"/>
      </w:pPr>
      <w:r w:rsidRPr="004712DC">
        <w:t>The collection of information about STDs itself is sensitive because of stigma associated with STD/HIV infection</w:t>
      </w:r>
      <w:r w:rsidR="00F43F16">
        <w:t xml:space="preserve"> </w:t>
      </w:r>
      <w:r w:rsidR="00F43F16" w:rsidRPr="00F43F16">
        <w:rPr>
          <w:b/>
        </w:rPr>
        <w:t>(</w:t>
      </w:r>
      <w:r w:rsidR="006C13DB">
        <w:rPr>
          <w:b/>
        </w:rPr>
        <w:t>ATTACHMENT 10</w:t>
      </w:r>
      <w:r w:rsidR="00F43F16" w:rsidRPr="00F43F16">
        <w:rPr>
          <w:b/>
        </w:rPr>
        <w:t>)</w:t>
      </w:r>
      <w:r w:rsidRPr="00F43F16">
        <w:rPr>
          <w:b/>
        </w:rPr>
        <w:t>.</w:t>
      </w:r>
      <w:r w:rsidRPr="004712DC">
        <w:t xml:space="preserve">  In addition, the modes of transmission of STDs (through sexual contact)</w:t>
      </w:r>
      <w:r w:rsidR="00B12559">
        <w:t xml:space="preserve"> and contributing risk factors</w:t>
      </w:r>
      <w:r w:rsidRPr="004712DC">
        <w:t xml:space="preserve"> necessitate the collection of sensitive data</w:t>
      </w:r>
      <w:r w:rsidR="001B7DE4" w:rsidRPr="004712DC">
        <w:t xml:space="preserve">, including </w:t>
      </w:r>
      <w:r w:rsidRPr="004712DC">
        <w:t>sexual practices, drug use</w:t>
      </w:r>
      <w:r w:rsidR="001B7DE4" w:rsidRPr="004712DC">
        <w:t>, and HIV status</w:t>
      </w:r>
      <w:r w:rsidRPr="004712DC">
        <w:t xml:space="preserve">.  In keeping with the purpose of this data collection, other sensitive data are collected about specific behaviors, experiences or conditions that have been shown to be associated with </w:t>
      </w:r>
      <w:r w:rsidR="001B7DE4" w:rsidRPr="004712DC">
        <w:t>STD</w:t>
      </w:r>
      <w:r w:rsidRPr="004712DC">
        <w:t xml:space="preserve"> infection. For </w:t>
      </w:r>
      <w:r w:rsidR="00DE5411">
        <w:t xml:space="preserve">enhanced </w:t>
      </w:r>
      <w:r w:rsidR="00E85637">
        <w:t>e</w:t>
      </w:r>
      <w:r w:rsidR="00DE5411">
        <w:t>SSuN</w:t>
      </w:r>
      <w:r w:rsidRPr="004712DC">
        <w:t xml:space="preserve">, this includes the collection of STD and HIV </w:t>
      </w:r>
      <w:r w:rsidR="00E008C8" w:rsidRPr="004712DC">
        <w:t xml:space="preserve">testing and </w:t>
      </w:r>
      <w:r w:rsidRPr="004712DC">
        <w:t>diagnos</w:t>
      </w:r>
      <w:r w:rsidR="00E008C8" w:rsidRPr="004712DC">
        <w:t>es</w:t>
      </w:r>
      <w:r w:rsidRPr="004712DC">
        <w:t>,</w:t>
      </w:r>
      <w:r w:rsidR="001B7DE4" w:rsidRPr="004712DC">
        <w:t xml:space="preserve"> </w:t>
      </w:r>
      <w:r w:rsidR="00E008C8" w:rsidRPr="004712DC">
        <w:t>gender and HIV status of most recent</w:t>
      </w:r>
      <w:r w:rsidR="001B7DE4" w:rsidRPr="004712DC">
        <w:t xml:space="preserve"> sexual partners</w:t>
      </w:r>
      <w:r w:rsidRPr="004712DC">
        <w:t xml:space="preserve">. </w:t>
      </w:r>
      <w:r w:rsidR="00E008C8" w:rsidRPr="004712DC">
        <w:t>Collection of these data will be used to understand barriers to STD care and treatment, and the impact of behaviors and health conditions on th</w:t>
      </w:r>
      <w:r w:rsidR="00F43F16">
        <w:t>e</w:t>
      </w:r>
      <w:r w:rsidR="00E008C8" w:rsidRPr="004712DC">
        <w:t xml:space="preserve"> clinical course of STD/HIV disease. These data are also used to enhance STD prevention programs designed to reduce high-risk behaviors in persons most likely to transmit STD/HIV, in understanding sexual network dynamics and for modeling STD transmission and prevention interventions.</w:t>
      </w:r>
      <w:r w:rsidR="00E85637">
        <w:t xml:space="preserve"> </w:t>
      </w:r>
      <w:r w:rsidR="00E85637" w:rsidRPr="00E85637">
        <w:t>Data on health insurance status and type are also collected. However, no portion of a social security number of medical identifier associated with insurance status/type is collected or transmitted.</w:t>
      </w:r>
    </w:p>
    <w:p w14:paraId="596819A0" w14:textId="2ACE4166" w:rsidR="008C573F" w:rsidRPr="004712DC" w:rsidRDefault="003D5018" w:rsidP="008C573F">
      <w:pPr>
        <w:keepNext/>
        <w:autoSpaceDE w:val="0"/>
        <w:autoSpaceDN w:val="0"/>
        <w:adjustRightInd w:val="0"/>
      </w:pPr>
      <w:r>
        <w:t xml:space="preserve">Census tract information </w:t>
      </w:r>
      <w:r w:rsidR="008C573F" w:rsidRPr="004712DC">
        <w:t xml:space="preserve">is collected for the purposes of spatial analysis of the data to understand the geographic distribution of disease and risk. </w:t>
      </w:r>
    </w:p>
    <w:p w14:paraId="2FAA2436" w14:textId="2D3BEA8F" w:rsidR="00E008C8" w:rsidRPr="004712DC" w:rsidRDefault="00E008C8" w:rsidP="008C573F">
      <w:pPr>
        <w:keepNext/>
        <w:autoSpaceDE w:val="0"/>
        <w:autoSpaceDN w:val="0"/>
        <w:adjustRightInd w:val="0"/>
      </w:pPr>
    </w:p>
    <w:p w14:paraId="758AAF01" w14:textId="10B552CE" w:rsidR="008C573F" w:rsidRDefault="00E008C8" w:rsidP="00AA4D64">
      <w:r w:rsidRPr="004712DC">
        <w:t>Although the information requested from STD clinic patients and interview</w:t>
      </w:r>
      <w:r w:rsidR="00F43F16">
        <w:t>ed</w:t>
      </w:r>
      <w:r w:rsidRPr="004712DC">
        <w:t xml:space="preserve"> participants is highly sensitive, the purposes of </w:t>
      </w:r>
      <w:r w:rsidR="00DE5411">
        <w:t>enhanced SSuN</w:t>
      </w:r>
      <w:r w:rsidRPr="004712DC">
        <w:t xml:space="preserve"> can</w:t>
      </w:r>
      <w:r w:rsidR="003D5018">
        <w:t xml:space="preserve"> </w:t>
      </w:r>
      <w:r w:rsidRPr="004712DC">
        <w:t xml:space="preserve">not be accomplished without their collection. Collection of the data </w:t>
      </w:r>
      <w:r w:rsidR="003D5018">
        <w:t>are</w:t>
      </w:r>
      <w:r w:rsidRPr="004712DC">
        <w:t xml:space="preserve"> used to understand barriers to engaging in protective behaviors and to using STD prevention services. These data are also used to enhance STD prevention programs designed to reduce high-risk behaviors in persons most likely to acquire or transmit STD/HIV. The context in which interview questions are asked help to overcome their potential sensitivity. There are several steps taken in </w:t>
      </w:r>
      <w:r w:rsidR="00AA4D64">
        <w:t>e</w:t>
      </w:r>
      <w:r w:rsidR="001A125D">
        <w:t xml:space="preserve">nhanced </w:t>
      </w:r>
      <w:r w:rsidR="00DE5411">
        <w:t>SSuN</w:t>
      </w:r>
      <w:r w:rsidRPr="004712DC">
        <w:t xml:space="preserve"> to minimize sensitivity and reiterate to the respondent the legitimate need for the information:</w:t>
      </w:r>
    </w:p>
    <w:p w14:paraId="251A0623" w14:textId="64C241DB" w:rsidR="00F43F16" w:rsidRDefault="00F43F16" w:rsidP="008C573F">
      <w:pPr>
        <w:keepNext/>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F43F16" w14:paraId="7E2A6984" w14:textId="77777777" w:rsidTr="00F43F16">
        <w:tc>
          <w:tcPr>
            <w:tcW w:w="625" w:type="dxa"/>
          </w:tcPr>
          <w:p w14:paraId="2905ACC6" w14:textId="2CA3F7F5" w:rsidR="00F43F16" w:rsidRDefault="00F43F16" w:rsidP="00F43F16">
            <w:pPr>
              <w:keepNext/>
              <w:autoSpaceDE w:val="0"/>
              <w:autoSpaceDN w:val="0"/>
              <w:adjustRightInd w:val="0"/>
              <w:jc w:val="right"/>
            </w:pPr>
            <w:r w:rsidRPr="004712DC">
              <w:t>•</w:t>
            </w:r>
          </w:p>
        </w:tc>
        <w:tc>
          <w:tcPr>
            <w:tcW w:w="8725" w:type="dxa"/>
          </w:tcPr>
          <w:p w14:paraId="59C1E2E6" w14:textId="57A5F577" w:rsidR="00F43F16" w:rsidRDefault="00B12559" w:rsidP="008C573F">
            <w:pPr>
              <w:keepNext/>
              <w:autoSpaceDE w:val="0"/>
              <w:autoSpaceDN w:val="0"/>
              <w:adjustRightInd w:val="0"/>
            </w:pPr>
            <w:r>
              <w:t>Most</w:t>
            </w:r>
            <w:r w:rsidR="00F43F16" w:rsidRPr="00F43F16">
              <w:t xml:space="preserve"> questions allow for responses of “don’t know” or “refuse to answer.”</w:t>
            </w:r>
          </w:p>
        </w:tc>
      </w:tr>
      <w:tr w:rsidR="00F43F16" w14:paraId="5EB6475F" w14:textId="77777777" w:rsidTr="00F43F16">
        <w:tc>
          <w:tcPr>
            <w:tcW w:w="625" w:type="dxa"/>
          </w:tcPr>
          <w:p w14:paraId="3C1EF699" w14:textId="1B142630" w:rsidR="00F43F16" w:rsidRDefault="00F43F16" w:rsidP="00F43F16">
            <w:pPr>
              <w:keepNext/>
              <w:autoSpaceDE w:val="0"/>
              <w:autoSpaceDN w:val="0"/>
              <w:adjustRightInd w:val="0"/>
              <w:jc w:val="right"/>
            </w:pPr>
            <w:r w:rsidRPr="00BF52FD">
              <w:t xml:space="preserve">• </w:t>
            </w:r>
          </w:p>
        </w:tc>
        <w:tc>
          <w:tcPr>
            <w:tcW w:w="8725" w:type="dxa"/>
          </w:tcPr>
          <w:p w14:paraId="0AE718FD" w14:textId="3CDEF939" w:rsidR="00F43F16" w:rsidRDefault="00F43F16" w:rsidP="00F43F16">
            <w:pPr>
              <w:keepNext/>
              <w:autoSpaceDE w:val="0"/>
              <w:autoSpaceDN w:val="0"/>
              <w:adjustRightInd w:val="0"/>
            </w:pPr>
            <w:r>
              <w:t>Consent scripts make it clear that the survey is sponsored by CDC and the local health department and that the information will be put to important uses.</w:t>
            </w:r>
          </w:p>
        </w:tc>
      </w:tr>
      <w:tr w:rsidR="00F43F16" w14:paraId="3E4CA89E" w14:textId="77777777" w:rsidTr="00F43F16">
        <w:tc>
          <w:tcPr>
            <w:tcW w:w="625" w:type="dxa"/>
          </w:tcPr>
          <w:p w14:paraId="11DD00D3" w14:textId="6F09B4B5" w:rsidR="00F43F16" w:rsidRDefault="00F43F16" w:rsidP="00F43F16">
            <w:pPr>
              <w:keepNext/>
              <w:autoSpaceDE w:val="0"/>
              <w:autoSpaceDN w:val="0"/>
              <w:adjustRightInd w:val="0"/>
              <w:jc w:val="right"/>
            </w:pPr>
            <w:r w:rsidRPr="00BF52FD">
              <w:t xml:space="preserve">• </w:t>
            </w:r>
          </w:p>
        </w:tc>
        <w:tc>
          <w:tcPr>
            <w:tcW w:w="8725" w:type="dxa"/>
          </w:tcPr>
          <w:p w14:paraId="6675550C" w14:textId="46538F44" w:rsidR="00F43F16" w:rsidRDefault="00F43F16" w:rsidP="00F43F16">
            <w:pPr>
              <w:keepNext/>
              <w:autoSpaceDE w:val="0"/>
              <w:autoSpaceDN w:val="0"/>
              <w:adjustRightInd w:val="0"/>
            </w:pPr>
            <w:r w:rsidRPr="00F43F16">
              <w:t>The interview questions are carefully organized to lead smoothly from one topic to another.</w:t>
            </w:r>
          </w:p>
        </w:tc>
      </w:tr>
      <w:tr w:rsidR="00F43F16" w14:paraId="69487207" w14:textId="77777777" w:rsidTr="00F43F16">
        <w:tc>
          <w:tcPr>
            <w:tcW w:w="625" w:type="dxa"/>
          </w:tcPr>
          <w:p w14:paraId="1DED8786" w14:textId="62668993" w:rsidR="00F43F16" w:rsidRDefault="00F43F16" w:rsidP="00F43F16">
            <w:pPr>
              <w:keepNext/>
              <w:autoSpaceDE w:val="0"/>
              <w:autoSpaceDN w:val="0"/>
              <w:adjustRightInd w:val="0"/>
              <w:jc w:val="right"/>
            </w:pPr>
            <w:r w:rsidRPr="00BF52FD">
              <w:t xml:space="preserve">• </w:t>
            </w:r>
          </w:p>
        </w:tc>
        <w:tc>
          <w:tcPr>
            <w:tcW w:w="8725" w:type="dxa"/>
          </w:tcPr>
          <w:p w14:paraId="3C74D627" w14:textId="167EE9FE" w:rsidR="00F43F16" w:rsidRDefault="00F43F16" w:rsidP="00AA4D64">
            <w:pPr>
              <w:keepNext/>
              <w:autoSpaceDE w:val="0"/>
              <w:autoSpaceDN w:val="0"/>
              <w:adjustRightInd w:val="0"/>
            </w:pPr>
            <w:r w:rsidRPr="00F43F16">
              <w:t>Transitions are clear to respondents and the need for the information explained.</w:t>
            </w:r>
          </w:p>
        </w:tc>
      </w:tr>
      <w:tr w:rsidR="00F43F16" w14:paraId="3ECB711D" w14:textId="77777777" w:rsidTr="00F43F16">
        <w:tc>
          <w:tcPr>
            <w:tcW w:w="625" w:type="dxa"/>
          </w:tcPr>
          <w:p w14:paraId="1B4B6AE9" w14:textId="12B8B621" w:rsidR="00F43F16" w:rsidRDefault="00F43F16" w:rsidP="00F43F16">
            <w:pPr>
              <w:keepNext/>
              <w:autoSpaceDE w:val="0"/>
              <w:autoSpaceDN w:val="0"/>
              <w:adjustRightInd w:val="0"/>
              <w:jc w:val="right"/>
            </w:pPr>
            <w:r w:rsidRPr="00BF52FD">
              <w:t xml:space="preserve">• </w:t>
            </w:r>
          </w:p>
        </w:tc>
        <w:tc>
          <w:tcPr>
            <w:tcW w:w="8725" w:type="dxa"/>
          </w:tcPr>
          <w:p w14:paraId="3751237E" w14:textId="66C6E10C" w:rsidR="00F43F16" w:rsidRDefault="00F43F16" w:rsidP="00F43F16">
            <w:pPr>
              <w:keepNext/>
              <w:autoSpaceDE w:val="0"/>
              <w:autoSpaceDN w:val="0"/>
              <w:adjustRightInd w:val="0"/>
            </w:pPr>
            <w:r w:rsidRPr="004712DC">
              <w:t xml:space="preserve">Assurance about the privacy of the </w:t>
            </w:r>
            <w:r>
              <w:t>information</w:t>
            </w:r>
            <w:r w:rsidRPr="004712DC">
              <w:t xml:space="preserve"> are reiterated.</w:t>
            </w:r>
          </w:p>
        </w:tc>
      </w:tr>
      <w:tr w:rsidR="00F43F16" w14:paraId="1321DC9D" w14:textId="77777777" w:rsidTr="00F43F16">
        <w:tc>
          <w:tcPr>
            <w:tcW w:w="625" w:type="dxa"/>
          </w:tcPr>
          <w:p w14:paraId="1DBF454C" w14:textId="6082B300" w:rsidR="00F43F16" w:rsidRDefault="00F43F16" w:rsidP="00F43F16">
            <w:pPr>
              <w:keepNext/>
              <w:autoSpaceDE w:val="0"/>
              <w:autoSpaceDN w:val="0"/>
              <w:adjustRightInd w:val="0"/>
              <w:jc w:val="right"/>
            </w:pPr>
          </w:p>
        </w:tc>
        <w:tc>
          <w:tcPr>
            <w:tcW w:w="8725" w:type="dxa"/>
          </w:tcPr>
          <w:p w14:paraId="4DD22D54" w14:textId="780E4413" w:rsidR="00F43F16" w:rsidRDefault="00F43F16" w:rsidP="00F43F16">
            <w:pPr>
              <w:keepNext/>
              <w:autoSpaceDE w:val="0"/>
              <w:autoSpaceDN w:val="0"/>
              <w:adjustRightInd w:val="0"/>
            </w:pPr>
          </w:p>
        </w:tc>
      </w:tr>
    </w:tbl>
    <w:p w14:paraId="45D3121C" w14:textId="4D6A93D6" w:rsidR="00E008C8" w:rsidRPr="004712DC" w:rsidRDefault="00E008C8" w:rsidP="00E008C8">
      <w:pPr>
        <w:keepNext/>
        <w:autoSpaceDE w:val="0"/>
        <w:autoSpaceDN w:val="0"/>
        <w:adjustRightInd w:val="0"/>
      </w:pPr>
    </w:p>
    <w:p w14:paraId="0CB66684" w14:textId="6A78CD91" w:rsidR="00E008C8" w:rsidRPr="004712DC" w:rsidRDefault="00E008C8" w:rsidP="00E008C8">
      <w:pPr>
        <w:keepNext/>
        <w:autoSpaceDE w:val="0"/>
        <w:autoSpaceDN w:val="0"/>
        <w:adjustRightInd w:val="0"/>
      </w:pPr>
      <w:r w:rsidRPr="004712DC">
        <w:t xml:space="preserve">All interviews </w:t>
      </w:r>
      <w:r w:rsidR="00F43F16">
        <w:t>are</w:t>
      </w:r>
      <w:r w:rsidRPr="004712DC">
        <w:t xml:space="preserve"> conducted by trained local/state health department staff in a private location during established operating hours</w:t>
      </w:r>
      <w:r w:rsidR="00F43F16">
        <w:t>.</w:t>
      </w:r>
      <w:r w:rsidRPr="004712DC">
        <w:t xml:space="preserve"> Interviewers </w:t>
      </w:r>
      <w:r w:rsidR="00F43F16">
        <w:t>are</w:t>
      </w:r>
      <w:r w:rsidRPr="004712DC">
        <w:t xml:space="preserve"> trained to administer the consent script and all interview questions by reading each item verbatim, thus ensuring that all respondents receive the same information for the consent and each question. No interviews </w:t>
      </w:r>
      <w:r w:rsidR="00F43F16">
        <w:t>are</w:t>
      </w:r>
      <w:r w:rsidRPr="004712DC">
        <w:t xml:space="preserve"> conducted without the verbal consent of the respondent.  </w:t>
      </w:r>
    </w:p>
    <w:p w14:paraId="17B7AF25" w14:textId="77777777" w:rsidR="008C00FA" w:rsidRPr="004712DC" w:rsidRDefault="008C00FA" w:rsidP="004D1B34">
      <w:pPr>
        <w:keepNext/>
        <w:autoSpaceDE w:val="0"/>
        <w:autoSpaceDN w:val="0"/>
        <w:adjustRightInd w:val="0"/>
      </w:pPr>
    </w:p>
    <w:p w14:paraId="09E529EF" w14:textId="0C8B56BE" w:rsidR="00C526FE" w:rsidRPr="004712DC" w:rsidRDefault="008C00FA" w:rsidP="004D1B34">
      <w:pPr>
        <w:keepNext/>
        <w:autoSpaceDE w:val="0"/>
        <w:autoSpaceDN w:val="0"/>
        <w:adjustRightInd w:val="0"/>
      </w:pPr>
      <w:r w:rsidRPr="004712DC">
        <w:t xml:space="preserve">The </w:t>
      </w:r>
      <w:r w:rsidR="00DE5411">
        <w:t>enhanced SSuN</w:t>
      </w:r>
      <w:r w:rsidRPr="004712DC">
        <w:t xml:space="preserve"> data collection </w:t>
      </w:r>
      <w:r w:rsidR="00F17F76" w:rsidRPr="004712DC">
        <w:t>also include</w:t>
      </w:r>
      <w:r w:rsidRPr="004712DC">
        <w:t xml:space="preserve"> sensitive information relating to </w:t>
      </w:r>
      <w:r w:rsidR="00F17F76" w:rsidRPr="004712DC">
        <w:t xml:space="preserve">gender </w:t>
      </w:r>
      <w:r w:rsidR="005D7F5C" w:rsidRPr="004712DC">
        <w:t xml:space="preserve">of sex partners, HIV status, </w:t>
      </w:r>
      <w:r w:rsidR="00BF0BD8" w:rsidRPr="004712DC">
        <w:t xml:space="preserve">number and </w:t>
      </w:r>
      <w:r w:rsidR="00C526FE" w:rsidRPr="004712DC">
        <w:t>characteristics of recent sex partners</w:t>
      </w:r>
      <w:r w:rsidR="005D7F5C" w:rsidRPr="004712DC">
        <w:t xml:space="preserve">, </w:t>
      </w:r>
      <w:r w:rsidRPr="004712DC">
        <w:t xml:space="preserve">anatomic sites of exposure, and alcohol and drug use. Although this information requested is sensitive, the </w:t>
      </w:r>
      <w:r w:rsidR="00F17F76" w:rsidRPr="004712DC">
        <w:t xml:space="preserve">primary </w:t>
      </w:r>
      <w:r w:rsidRPr="004712DC">
        <w:t>purp</w:t>
      </w:r>
      <w:r w:rsidR="00286ED0" w:rsidRPr="004712DC">
        <w:t>o</w:t>
      </w:r>
      <w:r w:rsidRPr="004712DC">
        <w:t xml:space="preserve">ses of </w:t>
      </w:r>
      <w:r w:rsidR="00DE5411">
        <w:t>enhanced SSuN</w:t>
      </w:r>
      <w:r w:rsidRPr="004712DC">
        <w:t xml:space="preserve"> can</w:t>
      </w:r>
      <w:r w:rsidR="003D5018">
        <w:t xml:space="preserve"> </w:t>
      </w:r>
      <w:r w:rsidRPr="004712DC">
        <w:t xml:space="preserve">not be accomplished without their collection. </w:t>
      </w:r>
      <w:r w:rsidR="001A125D">
        <w:t>Moreover, this information</w:t>
      </w:r>
      <w:r w:rsidR="001A125D" w:rsidRPr="001A125D">
        <w:t xml:space="preserve"> is routinely collected as part of the clinical care activities for the patients seen in </w:t>
      </w:r>
      <w:r w:rsidR="001A125D">
        <w:t xml:space="preserve">STD </w:t>
      </w:r>
      <w:r w:rsidR="001A125D" w:rsidRPr="001A125D">
        <w:t xml:space="preserve">clinics. </w:t>
      </w:r>
      <w:r w:rsidRPr="004712DC">
        <w:t>Collection of these data will be used to understand barriers to STD care and treatment</w:t>
      </w:r>
      <w:r w:rsidR="00F17F76" w:rsidRPr="004712DC">
        <w:t>,</w:t>
      </w:r>
      <w:r w:rsidRPr="004712DC">
        <w:t xml:space="preserve"> and the imp</w:t>
      </w:r>
      <w:r w:rsidR="00286ED0" w:rsidRPr="004712DC">
        <w:t>a</w:t>
      </w:r>
      <w:r w:rsidRPr="004712DC">
        <w:t>ct of behaviors and he</w:t>
      </w:r>
      <w:r w:rsidR="00286ED0" w:rsidRPr="004712DC">
        <w:t>alth</w:t>
      </w:r>
      <w:r w:rsidRPr="004712DC">
        <w:t xml:space="preserve"> conditions on the clinical course of STD/HIV disease. These data </w:t>
      </w:r>
      <w:r w:rsidR="00F17F76" w:rsidRPr="004712DC">
        <w:t xml:space="preserve">are </w:t>
      </w:r>
      <w:r w:rsidRPr="004712DC">
        <w:t>also used to enhance STD prevention programs designed to reduce high</w:t>
      </w:r>
      <w:r w:rsidR="00F17F76" w:rsidRPr="004712DC">
        <w:t>-</w:t>
      </w:r>
      <w:r w:rsidRPr="004712DC">
        <w:t xml:space="preserve">risk behaviors in persons most likely to transmit STD/HIV, </w:t>
      </w:r>
      <w:r w:rsidR="00BF0BD8" w:rsidRPr="004712DC">
        <w:t xml:space="preserve">in </w:t>
      </w:r>
      <w:r w:rsidR="00C526FE" w:rsidRPr="004712DC">
        <w:t xml:space="preserve">understanding sexual network dynamics and for modeling </w:t>
      </w:r>
      <w:r w:rsidR="00BF0BD8" w:rsidRPr="004712DC">
        <w:t xml:space="preserve">STD </w:t>
      </w:r>
      <w:r w:rsidR="00C526FE" w:rsidRPr="004712DC">
        <w:t>transmission</w:t>
      </w:r>
      <w:r w:rsidR="00F17F76" w:rsidRPr="004712DC">
        <w:t xml:space="preserve"> and prevention interventions</w:t>
      </w:r>
      <w:r w:rsidR="00C526FE" w:rsidRPr="004712DC">
        <w:t xml:space="preserve">. All participants </w:t>
      </w:r>
      <w:r w:rsidR="00F17F76" w:rsidRPr="004712DC">
        <w:t>are</w:t>
      </w:r>
      <w:r w:rsidR="00C526FE" w:rsidRPr="004712DC">
        <w:t xml:space="preserve"> assured that the information will be used</w:t>
      </w:r>
      <w:r w:rsidR="00A67DD5" w:rsidRPr="004712DC">
        <w:t xml:space="preserve"> only in the aggregate and</w:t>
      </w:r>
      <w:r w:rsidR="00C526FE" w:rsidRPr="004712DC">
        <w:t xml:space="preserve"> only for the purpose</w:t>
      </w:r>
      <w:r w:rsidR="00F43F16">
        <w:t>s</w:t>
      </w:r>
      <w:r w:rsidR="00C526FE" w:rsidRPr="004712DC">
        <w:t xml:space="preserve"> of </w:t>
      </w:r>
      <w:r w:rsidR="00F17F76" w:rsidRPr="004712DC">
        <w:t xml:space="preserve">this project </w:t>
      </w:r>
      <w:r w:rsidR="00C526FE" w:rsidRPr="004712DC">
        <w:t xml:space="preserve">and will be kept private to the extent allowable by law.  </w:t>
      </w:r>
    </w:p>
    <w:p w14:paraId="5F4F6376" w14:textId="03A7852E" w:rsidR="0028251B" w:rsidRPr="004712DC" w:rsidRDefault="0028251B" w:rsidP="00C526FE">
      <w:pPr>
        <w:keepNext/>
        <w:autoSpaceDE w:val="0"/>
        <w:autoSpaceDN w:val="0"/>
        <w:adjustRightInd w:val="0"/>
      </w:pPr>
    </w:p>
    <w:p w14:paraId="3C4E6BF4" w14:textId="77777777" w:rsidR="00746281" w:rsidRPr="004712DC" w:rsidRDefault="00746281" w:rsidP="004D1B34">
      <w:pPr>
        <w:keepNext/>
        <w:autoSpaceDE w:val="0"/>
        <w:autoSpaceDN w:val="0"/>
        <w:adjustRightInd w:val="0"/>
        <w:rPr>
          <w:b/>
          <w:bCs/>
          <w:u w:val="single"/>
        </w:rPr>
      </w:pPr>
      <w:r w:rsidRPr="004712DC">
        <w:rPr>
          <w:b/>
          <w:bCs/>
        </w:rPr>
        <w:t xml:space="preserve">A. 12.  </w:t>
      </w:r>
      <w:r w:rsidRPr="004712DC">
        <w:rPr>
          <w:b/>
          <w:bCs/>
          <w:u w:val="single"/>
        </w:rPr>
        <w:t>Estimates of Annualized Burden Hours and Costs</w:t>
      </w:r>
    </w:p>
    <w:p w14:paraId="279041D7" w14:textId="77777777" w:rsidR="00524C09" w:rsidRPr="004712DC" w:rsidRDefault="00524C09" w:rsidP="004D1B34">
      <w:pPr>
        <w:keepNext/>
        <w:autoSpaceDE w:val="0"/>
        <w:autoSpaceDN w:val="0"/>
        <w:adjustRightInd w:val="0"/>
        <w:rPr>
          <w:b/>
          <w:bCs/>
          <w:u w:val="single"/>
        </w:rPr>
      </w:pPr>
    </w:p>
    <w:p w14:paraId="482A5A62" w14:textId="0F69E34A" w:rsidR="00C65B04" w:rsidRPr="004712DC" w:rsidRDefault="00AE23B8" w:rsidP="00AE23B8">
      <w:pPr>
        <w:keepNext/>
        <w:autoSpaceDE w:val="0"/>
        <w:autoSpaceDN w:val="0"/>
        <w:adjustRightInd w:val="0"/>
        <w:rPr>
          <w:bCs/>
        </w:rPr>
      </w:pPr>
      <w:r w:rsidRPr="004712DC">
        <w:rPr>
          <w:bCs/>
        </w:rPr>
        <w:t xml:space="preserve">The estimate of annualized burden hours </w:t>
      </w:r>
      <w:r w:rsidR="00A26282" w:rsidRPr="004712DC">
        <w:rPr>
          <w:bCs/>
        </w:rPr>
        <w:t>increased</w:t>
      </w:r>
      <w:r w:rsidRPr="004712DC">
        <w:rPr>
          <w:bCs/>
        </w:rPr>
        <w:t xml:space="preserve"> from </w:t>
      </w:r>
      <w:r w:rsidR="00597B0E">
        <w:rPr>
          <w:bCs/>
        </w:rPr>
        <w:t>2854</w:t>
      </w:r>
      <w:r w:rsidR="00674FDD">
        <w:rPr>
          <w:bCs/>
        </w:rPr>
        <w:t xml:space="preserve"> hours to 3,460</w:t>
      </w:r>
      <w:r w:rsidR="00585B01" w:rsidRPr="004712DC">
        <w:rPr>
          <w:bCs/>
        </w:rPr>
        <w:t xml:space="preserve"> hours for </w:t>
      </w:r>
      <w:r w:rsidRPr="004712DC">
        <w:rPr>
          <w:bCs/>
        </w:rPr>
        <w:t xml:space="preserve">the current project. The overall annual burden </w:t>
      </w:r>
      <w:r w:rsidR="00585B01" w:rsidRPr="004712DC">
        <w:rPr>
          <w:bCs/>
        </w:rPr>
        <w:t xml:space="preserve">primarily </w:t>
      </w:r>
      <w:r w:rsidRPr="004712DC">
        <w:rPr>
          <w:bCs/>
        </w:rPr>
        <w:t>increased because of 1) the addition of the neuro</w:t>
      </w:r>
      <w:r w:rsidR="00307DFC" w:rsidRPr="004712DC">
        <w:rPr>
          <w:bCs/>
        </w:rPr>
        <w:t>/</w:t>
      </w:r>
      <w:r w:rsidRPr="004712DC">
        <w:rPr>
          <w:bCs/>
        </w:rPr>
        <w:t>ocular syphilis activity</w:t>
      </w:r>
      <w:r w:rsidR="00585B01" w:rsidRPr="004712DC">
        <w:rPr>
          <w:bCs/>
        </w:rPr>
        <w:t>,</w:t>
      </w:r>
      <w:r w:rsidRPr="004712DC">
        <w:rPr>
          <w:bCs/>
        </w:rPr>
        <w:t xml:space="preserve"> and 2) </w:t>
      </w:r>
      <w:r w:rsidR="00AB6C3E" w:rsidRPr="004712DC">
        <w:rPr>
          <w:bCs/>
        </w:rPr>
        <w:t>additional patient</w:t>
      </w:r>
      <w:r w:rsidR="00C65B04" w:rsidRPr="004712DC">
        <w:rPr>
          <w:bCs/>
        </w:rPr>
        <w:t xml:space="preserve">s diagnosed </w:t>
      </w:r>
      <w:r w:rsidR="00585B01" w:rsidRPr="004712DC">
        <w:rPr>
          <w:bCs/>
        </w:rPr>
        <w:t xml:space="preserve">and reported </w:t>
      </w:r>
      <w:r w:rsidR="00C65B04" w:rsidRPr="004712DC">
        <w:rPr>
          <w:bCs/>
        </w:rPr>
        <w:t>with GC sampled and interviewed</w:t>
      </w:r>
      <w:r w:rsidR="00585B01" w:rsidRPr="004712DC">
        <w:rPr>
          <w:bCs/>
        </w:rPr>
        <w:t>.</w:t>
      </w:r>
    </w:p>
    <w:p w14:paraId="1D9D35EF" w14:textId="77777777" w:rsidR="00C65B04" w:rsidRPr="004712DC" w:rsidRDefault="00C65B04" w:rsidP="00AE23B8">
      <w:pPr>
        <w:keepNext/>
        <w:autoSpaceDE w:val="0"/>
        <w:autoSpaceDN w:val="0"/>
        <w:adjustRightInd w:val="0"/>
        <w:rPr>
          <w:bCs/>
        </w:rPr>
      </w:pPr>
    </w:p>
    <w:p w14:paraId="02E6FDD3" w14:textId="1BF15837" w:rsidR="004E59CC" w:rsidRPr="004712DC" w:rsidRDefault="00F94C7A" w:rsidP="00C65B04">
      <w:pPr>
        <w:keepNext/>
        <w:autoSpaceDE w:val="0"/>
        <w:autoSpaceDN w:val="0"/>
        <w:adjustRightInd w:val="0"/>
        <w:rPr>
          <w:bCs/>
        </w:rPr>
      </w:pPr>
      <w:r w:rsidRPr="004712DC">
        <w:rPr>
          <w:bCs/>
        </w:rPr>
        <w:t xml:space="preserve">The respondents for the </w:t>
      </w:r>
      <w:r w:rsidR="00585B01" w:rsidRPr="004712DC">
        <w:rPr>
          <w:bCs/>
        </w:rPr>
        <w:t>facility</w:t>
      </w:r>
      <w:r w:rsidRPr="004712DC">
        <w:rPr>
          <w:bCs/>
        </w:rPr>
        <w:t xml:space="preserve">-based portion of the </w:t>
      </w:r>
      <w:r w:rsidR="00DE5411">
        <w:rPr>
          <w:bCs/>
        </w:rPr>
        <w:t>enhanced SSuN</w:t>
      </w:r>
      <w:r w:rsidRPr="004712DC">
        <w:rPr>
          <w:bCs/>
        </w:rPr>
        <w:t xml:space="preserve"> project are the 10 collaborating state or local health departments </w:t>
      </w:r>
      <w:r w:rsidR="003A0BC8" w:rsidRPr="004712DC">
        <w:rPr>
          <w:bCs/>
        </w:rPr>
        <w:t>(</w:t>
      </w:r>
      <w:r w:rsidR="006C13DB">
        <w:rPr>
          <w:b/>
          <w:bCs/>
        </w:rPr>
        <w:t xml:space="preserve">ATTACHMENT </w:t>
      </w:r>
      <w:r w:rsidR="00F43F16" w:rsidRPr="00F43F16">
        <w:rPr>
          <w:b/>
          <w:bCs/>
        </w:rPr>
        <w:t>4</w:t>
      </w:r>
      <w:r w:rsidRPr="00F43F16">
        <w:rPr>
          <w:bCs/>
        </w:rPr>
        <w:t>).</w:t>
      </w:r>
      <w:r w:rsidRPr="004712DC">
        <w:rPr>
          <w:bCs/>
        </w:rPr>
        <w:t xml:space="preserve"> </w:t>
      </w:r>
      <w:r w:rsidR="00C65B04" w:rsidRPr="004712DC">
        <w:rPr>
          <w:bCs/>
        </w:rPr>
        <w:t>Th</w:t>
      </w:r>
      <w:r w:rsidR="003A0BC8" w:rsidRPr="004712DC">
        <w:rPr>
          <w:bCs/>
        </w:rPr>
        <w:t>ough</w:t>
      </w:r>
      <w:r w:rsidR="00C65B04" w:rsidRPr="004712DC">
        <w:rPr>
          <w:bCs/>
        </w:rPr>
        <w:t xml:space="preserve"> </w:t>
      </w:r>
      <w:r w:rsidR="003A0BC8" w:rsidRPr="004712DC">
        <w:rPr>
          <w:bCs/>
        </w:rPr>
        <w:t xml:space="preserve">there is </w:t>
      </w:r>
      <w:r w:rsidR="00307DFC" w:rsidRPr="004712DC">
        <w:rPr>
          <w:bCs/>
        </w:rPr>
        <w:t>an increase</w:t>
      </w:r>
      <w:r w:rsidR="00C65B04" w:rsidRPr="004712DC">
        <w:rPr>
          <w:bCs/>
        </w:rPr>
        <w:t xml:space="preserve"> in </w:t>
      </w:r>
      <w:r w:rsidRPr="004712DC">
        <w:rPr>
          <w:bCs/>
        </w:rPr>
        <w:t xml:space="preserve">overall </w:t>
      </w:r>
      <w:r w:rsidR="00C65B04" w:rsidRPr="004712DC">
        <w:rPr>
          <w:bCs/>
        </w:rPr>
        <w:t xml:space="preserve">burden </w:t>
      </w:r>
      <w:r w:rsidR="003A0BC8" w:rsidRPr="004712DC">
        <w:rPr>
          <w:bCs/>
        </w:rPr>
        <w:t xml:space="preserve">hours for the project, the burden for the clinic-based portion is </w:t>
      </w:r>
      <w:r w:rsidR="00307DFC" w:rsidRPr="004712DC">
        <w:rPr>
          <w:bCs/>
        </w:rPr>
        <w:t>decreasin</w:t>
      </w:r>
      <w:r w:rsidR="000873DA" w:rsidRPr="004712DC">
        <w:rPr>
          <w:bCs/>
        </w:rPr>
        <w:t xml:space="preserve">g </w:t>
      </w:r>
      <w:r w:rsidR="003A0BC8" w:rsidRPr="004712DC">
        <w:rPr>
          <w:bCs/>
        </w:rPr>
        <w:t xml:space="preserve">because of the </w:t>
      </w:r>
      <w:r w:rsidR="00C65B04" w:rsidRPr="004712DC">
        <w:rPr>
          <w:bCs/>
        </w:rPr>
        <w:t xml:space="preserve">discontinuation of family planning clinics in the </w:t>
      </w:r>
      <w:r w:rsidR="00DE5411">
        <w:rPr>
          <w:bCs/>
        </w:rPr>
        <w:t>enhanced SSuN</w:t>
      </w:r>
      <w:r w:rsidR="00C65B04" w:rsidRPr="004712DC">
        <w:rPr>
          <w:bCs/>
        </w:rPr>
        <w:t xml:space="preserve"> network. </w:t>
      </w:r>
      <w:r w:rsidR="00307DFC" w:rsidRPr="004712DC">
        <w:rPr>
          <w:bCs/>
        </w:rPr>
        <w:t>For this reason</w:t>
      </w:r>
      <w:r w:rsidR="003A0BC8" w:rsidRPr="004712DC">
        <w:rPr>
          <w:bCs/>
        </w:rPr>
        <w:t xml:space="preserve">, the number of STD clinic managers has decreased from </w:t>
      </w:r>
      <w:r w:rsidR="00945F13">
        <w:rPr>
          <w:bCs/>
        </w:rPr>
        <w:t>twenty-two</w:t>
      </w:r>
      <w:r w:rsidR="003A0BC8" w:rsidRPr="004712DC">
        <w:rPr>
          <w:bCs/>
        </w:rPr>
        <w:t xml:space="preserve"> to</w:t>
      </w:r>
      <w:r w:rsidR="00945F13">
        <w:rPr>
          <w:bCs/>
        </w:rPr>
        <w:t xml:space="preserve"> ten</w:t>
      </w:r>
      <w:r w:rsidR="003A0BC8" w:rsidRPr="004712DC">
        <w:rPr>
          <w:bCs/>
        </w:rPr>
        <w:t>. STD c</w:t>
      </w:r>
      <w:r w:rsidR="00751CB8" w:rsidRPr="004712DC">
        <w:rPr>
          <w:bCs/>
        </w:rPr>
        <w:t xml:space="preserve">linic managers within the 10 project areas </w:t>
      </w:r>
      <w:r w:rsidR="003A0BC8" w:rsidRPr="004712DC">
        <w:rPr>
          <w:bCs/>
        </w:rPr>
        <w:t xml:space="preserve">are responsible for </w:t>
      </w:r>
      <w:r w:rsidR="00751CB8" w:rsidRPr="004712DC">
        <w:rPr>
          <w:bCs/>
        </w:rPr>
        <w:t>ab</w:t>
      </w:r>
      <w:r w:rsidRPr="004712DC">
        <w:rPr>
          <w:bCs/>
        </w:rPr>
        <w:t>stract</w:t>
      </w:r>
      <w:r w:rsidR="003A0BC8" w:rsidRPr="004712DC">
        <w:rPr>
          <w:bCs/>
        </w:rPr>
        <w:t>ing</w:t>
      </w:r>
      <w:r w:rsidRPr="004712DC">
        <w:rPr>
          <w:bCs/>
        </w:rPr>
        <w:t xml:space="preserve"> line-listed STD clinic visit data (all patient visits of STD clinics)</w:t>
      </w:r>
      <w:r w:rsidR="00751CB8" w:rsidRPr="004712DC">
        <w:rPr>
          <w:bCs/>
        </w:rPr>
        <w:t xml:space="preserve"> from their </w:t>
      </w:r>
      <w:r w:rsidRPr="004712DC">
        <w:rPr>
          <w:bCs/>
        </w:rPr>
        <w:t>facility database</w:t>
      </w:r>
      <w:r w:rsidR="003A0BC8" w:rsidRPr="004712DC">
        <w:rPr>
          <w:bCs/>
        </w:rPr>
        <w:t xml:space="preserve"> and providing th</w:t>
      </w:r>
      <w:r w:rsidR="001175F7" w:rsidRPr="004712DC">
        <w:rPr>
          <w:bCs/>
        </w:rPr>
        <w:t xml:space="preserve">ose data queries to the project’s data manager at the local level. Since the data </w:t>
      </w:r>
      <w:r w:rsidR="00C26041">
        <w:rPr>
          <w:bCs/>
        </w:rPr>
        <w:t>are</w:t>
      </w:r>
      <w:r w:rsidR="001175F7" w:rsidRPr="004712DC">
        <w:rPr>
          <w:bCs/>
        </w:rPr>
        <w:t xml:space="preserve"> transmitted every other month, this reflects 180 burden hours (10 respondents x 6 data transmissions x 3 hours). </w:t>
      </w:r>
      <w:r w:rsidR="004E59CC" w:rsidRPr="004712DC">
        <w:rPr>
          <w:bCs/>
        </w:rPr>
        <w:t>There are minimal changes to the previously approved medical record data elements. However, the collection of data</w:t>
      </w:r>
      <w:r w:rsidR="00F426A2">
        <w:rPr>
          <w:bCs/>
        </w:rPr>
        <w:t xml:space="preserve"> </w:t>
      </w:r>
      <w:r w:rsidR="004E59CC" w:rsidRPr="004712DC">
        <w:rPr>
          <w:bCs/>
        </w:rPr>
        <w:t xml:space="preserve">does not affect project burden hours because the data are collected through automated programs that extract the data from existing databases. </w:t>
      </w:r>
    </w:p>
    <w:p w14:paraId="74DE30F1" w14:textId="0B087F85" w:rsidR="001B3E11" w:rsidRPr="004712DC" w:rsidRDefault="001B3E11" w:rsidP="00C65B04">
      <w:pPr>
        <w:keepNext/>
        <w:autoSpaceDE w:val="0"/>
        <w:autoSpaceDN w:val="0"/>
        <w:adjustRightInd w:val="0"/>
        <w:rPr>
          <w:bCs/>
        </w:rPr>
      </w:pPr>
    </w:p>
    <w:p w14:paraId="7FF29F0D" w14:textId="1D0E8678" w:rsidR="001B3E11" w:rsidRPr="004712DC" w:rsidRDefault="001B3E11" w:rsidP="001B3E11">
      <w:pPr>
        <w:keepNext/>
        <w:autoSpaceDE w:val="0"/>
        <w:autoSpaceDN w:val="0"/>
        <w:adjustRightInd w:val="0"/>
        <w:rPr>
          <w:bCs/>
        </w:rPr>
      </w:pPr>
      <w:r w:rsidRPr="004712DC">
        <w:rPr>
          <w:bCs/>
        </w:rPr>
        <w:t xml:space="preserve">The respondents for the gonorrhea population-based portion of the </w:t>
      </w:r>
      <w:r w:rsidR="00DE5411">
        <w:rPr>
          <w:bCs/>
        </w:rPr>
        <w:t>enhanced SSuN</w:t>
      </w:r>
      <w:r w:rsidRPr="004712DC">
        <w:rPr>
          <w:bCs/>
        </w:rPr>
        <w:t xml:space="preserve"> are </w:t>
      </w:r>
      <w:r w:rsidR="00312E07" w:rsidRPr="004712DC">
        <w:rPr>
          <w:bCs/>
        </w:rPr>
        <w:t xml:space="preserve">individuals </w:t>
      </w:r>
      <w:r w:rsidRPr="004712DC">
        <w:rPr>
          <w:bCs/>
        </w:rPr>
        <w:t>identified by state or municipal health departments as having a gonorrhea case report.</w:t>
      </w:r>
      <w:r w:rsidR="00585B01" w:rsidRPr="004712DC">
        <w:rPr>
          <w:bCs/>
        </w:rPr>
        <w:t xml:space="preserve"> </w:t>
      </w:r>
      <w:r w:rsidR="00A546C0" w:rsidRPr="004712DC">
        <w:rPr>
          <w:bCs/>
        </w:rPr>
        <w:t xml:space="preserve">Because </w:t>
      </w:r>
      <w:r w:rsidR="00585B01" w:rsidRPr="004712DC">
        <w:rPr>
          <w:bCs/>
        </w:rPr>
        <w:t xml:space="preserve">the number of respondents </w:t>
      </w:r>
      <w:r w:rsidR="00A546C0" w:rsidRPr="004712DC">
        <w:rPr>
          <w:bCs/>
        </w:rPr>
        <w:t>can</w:t>
      </w:r>
      <w:r w:rsidR="00585B01" w:rsidRPr="004712DC">
        <w:rPr>
          <w:bCs/>
        </w:rPr>
        <w:t xml:space="preserve"> vary depending on the number of cases diagnosed and reported within the jurisdiction</w:t>
      </w:r>
      <w:r w:rsidR="00A546C0" w:rsidRPr="004712DC">
        <w:rPr>
          <w:bCs/>
        </w:rPr>
        <w:t>, the annualized estimates of respondent burden provided below represents the number of patients interviewed for 2016</w:t>
      </w:r>
      <w:r w:rsidR="00585B01" w:rsidRPr="004712DC">
        <w:rPr>
          <w:bCs/>
        </w:rPr>
        <w:t xml:space="preserve">. </w:t>
      </w:r>
      <w:r w:rsidRPr="004712DC">
        <w:rPr>
          <w:bCs/>
        </w:rPr>
        <w:t xml:space="preserve"> </w:t>
      </w:r>
      <w:r w:rsidR="0050529E" w:rsidRPr="004712DC">
        <w:rPr>
          <w:bCs/>
        </w:rPr>
        <w:t>T</w:t>
      </w:r>
      <w:r w:rsidRPr="004712DC">
        <w:rPr>
          <w:bCs/>
        </w:rPr>
        <w:t>here were 1</w:t>
      </w:r>
      <w:r w:rsidR="004D1F4F">
        <w:rPr>
          <w:bCs/>
        </w:rPr>
        <w:t>29</w:t>
      </w:r>
      <w:r w:rsidRPr="004712DC">
        <w:rPr>
          <w:bCs/>
        </w:rPr>
        <w:t>,</w:t>
      </w:r>
      <w:r w:rsidR="004D1F4F">
        <w:rPr>
          <w:bCs/>
        </w:rPr>
        <w:t>434</w:t>
      </w:r>
      <w:r w:rsidRPr="004712DC">
        <w:rPr>
          <w:bCs/>
        </w:rPr>
        <w:t xml:space="preserve"> such case reports across the 10 participating </w:t>
      </w:r>
      <w:r w:rsidR="00DE5411">
        <w:rPr>
          <w:bCs/>
        </w:rPr>
        <w:t>enhanced SSuN</w:t>
      </w:r>
      <w:r w:rsidRPr="004712DC">
        <w:rPr>
          <w:bCs/>
        </w:rPr>
        <w:t xml:space="preserve"> jurisdictions</w:t>
      </w:r>
      <w:r w:rsidR="0050529E" w:rsidRPr="004712DC">
        <w:rPr>
          <w:bCs/>
        </w:rPr>
        <w:t xml:space="preserve"> in 2016</w:t>
      </w:r>
      <w:r w:rsidRPr="004712DC">
        <w:rPr>
          <w:bCs/>
        </w:rPr>
        <w:t>. Each of the sites is expected to sample approximately 10% of the respondents, for 1</w:t>
      </w:r>
      <w:r w:rsidR="004D1F4F">
        <w:rPr>
          <w:bCs/>
        </w:rPr>
        <w:t>2</w:t>
      </w:r>
      <w:r w:rsidRPr="004712DC">
        <w:rPr>
          <w:bCs/>
        </w:rPr>
        <w:t>,</w:t>
      </w:r>
      <w:r w:rsidR="004D1F4F">
        <w:rPr>
          <w:bCs/>
        </w:rPr>
        <w:t>943</w:t>
      </w:r>
      <w:r w:rsidRPr="004712DC">
        <w:rPr>
          <w:bCs/>
        </w:rPr>
        <w:t xml:space="preserve"> respondents. </w:t>
      </w:r>
      <w:r w:rsidR="00307DFC" w:rsidRPr="004712DC">
        <w:rPr>
          <w:bCs/>
        </w:rPr>
        <w:t>T</w:t>
      </w:r>
      <w:r w:rsidRPr="004712DC">
        <w:rPr>
          <w:bCs/>
        </w:rPr>
        <w:t xml:space="preserve">he average interview success rate in the first three years of </w:t>
      </w:r>
      <w:r w:rsidR="00DE5411">
        <w:rPr>
          <w:bCs/>
        </w:rPr>
        <w:t>enhanced SSuN</w:t>
      </w:r>
      <w:r w:rsidRPr="004712DC">
        <w:rPr>
          <w:bCs/>
        </w:rPr>
        <w:t xml:space="preserve"> population data collection was 35%, </w:t>
      </w:r>
      <w:r w:rsidR="00307DFC" w:rsidRPr="004712DC">
        <w:rPr>
          <w:bCs/>
        </w:rPr>
        <w:t xml:space="preserve">therefore </w:t>
      </w:r>
      <w:r w:rsidRPr="004712DC">
        <w:rPr>
          <w:bCs/>
        </w:rPr>
        <w:t>we expect to interview approximately 5,</w:t>
      </w:r>
      <w:r w:rsidR="004D1F4F">
        <w:rPr>
          <w:bCs/>
        </w:rPr>
        <w:t>492</w:t>
      </w:r>
      <w:r w:rsidRPr="004712DC">
        <w:rPr>
          <w:bCs/>
        </w:rPr>
        <w:t xml:space="preserve"> respondents</w:t>
      </w:r>
      <w:r w:rsidR="0050529E" w:rsidRPr="004712DC">
        <w:rPr>
          <w:bCs/>
        </w:rPr>
        <w:t xml:space="preserve"> over a 12</w:t>
      </w:r>
      <w:r w:rsidR="00C26041">
        <w:rPr>
          <w:bCs/>
        </w:rPr>
        <w:t>-</w:t>
      </w:r>
      <w:r w:rsidR="0050529E" w:rsidRPr="004712DC">
        <w:rPr>
          <w:bCs/>
        </w:rPr>
        <w:t>month period</w:t>
      </w:r>
      <w:r w:rsidRPr="004712DC">
        <w:rPr>
          <w:bCs/>
        </w:rPr>
        <w:t xml:space="preserve">. </w:t>
      </w:r>
      <w:r w:rsidR="001A2087">
        <w:rPr>
          <w:bCs/>
        </w:rPr>
        <w:t xml:space="preserve">Because on average the interview takes approximately 10 minutes to complete, </w:t>
      </w:r>
      <w:r w:rsidR="00674FDD">
        <w:rPr>
          <w:bCs/>
        </w:rPr>
        <w:t>915</w:t>
      </w:r>
      <w:r w:rsidR="001A2087">
        <w:rPr>
          <w:bCs/>
        </w:rPr>
        <w:t xml:space="preserve"> hours burden hours are estimated for this activity. </w:t>
      </w:r>
    </w:p>
    <w:p w14:paraId="280B691A" w14:textId="77777777" w:rsidR="001A2087" w:rsidRDefault="001A2087" w:rsidP="001B3E11">
      <w:pPr>
        <w:keepNext/>
        <w:autoSpaceDE w:val="0"/>
        <w:autoSpaceDN w:val="0"/>
        <w:adjustRightInd w:val="0"/>
        <w:rPr>
          <w:bCs/>
        </w:rPr>
      </w:pPr>
    </w:p>
    <w:p w14:paraId="0F3D6B8E" w14:textId="4B961AC7" w:rsidR="001B3E11" w:rsidRPr="004712DC" w:rsidRDefault="001B3E11" w:rsidP="001B3E11">
      <w:pPr>
        <w:keepNext/>
        <w:autoSpaceDE w:val="0"/>
        <w:autoSpaceDN w:val="0"/>
        <w:adjustRightInd w:val="0"/>
        <w:rPr>
          <w:bCs/>
        </w:rPr>
      </w:pPr>
      <w:r w:rsidRPr="004712DC">
        <w:rPr>
          <w:bCs/>
        </w:rPr>
        <w:t xml:space="preserve">The respondents for the syphilis population-based portion of the </w:t>
      </w:r>
      <w:r w:rsidR="00DE5411">
        <w:rPr>
          <w:bCs/>
        </w:rPr>
        <w:t>enhanced SSuN</w:t>
      </w:r>
      <w:r w:rsidRPr="004712DC">
        <w:rPr>
          <w:bCs/>
        </w:rPr>
        <w:t xml:space="preserve"> are </w:t>
      </w:r>
      <w:r w:rsidR="00312E07" w:rsidRPr="004712DC">
        <w:rPr>
          <w:bCs/>
        </w:rPr>
        <w:t xml:space="preserve">individuals </w:t>
      </w:r>
      <w:r w:rsidRPr="004712DC">
        <w:rPr>
          <w:bCs/>
        </w:rPr>
        <w:t xml:space="preserve">identified </w:t>
      </w:r>
      <w:r w:rsidR="00B12559">
        <w:rPr>
          <w:bCs/>
        </w:rPr>
        <w:t xml:space="preserve">through routine disease reporting requirements </w:t>
      </w:r>
      <w:r w:rsidRPr="004712DC">
        <w:rPr>
          <w:bCs/>
        </w:rPr>
        <w:t>by state or municipal health departments as having an early syphilis</w:t>
      </w:r>
      <w:r w:rsidR="00307DFC" w:rsidRPr="004712DC">
        <w:rPr>
          <w:bCs/>
        </w:rPr>
        <w:t xml:space="preserve"> diagnosis</w:t>
      </w:r>
      <w:r w:rsidRPr="004712DC">
        <w:rPr>
          <w:bCs/>
        </w:rPr>
        <w:t xml:space="preserve">. </w:t>
      </w:r>
      <w:r w:rsidR="00312E07" w:rsidRPr="004712DC">
        <w:rPr>
          <w:bCs/>
        </w:rPr>
        <w:t xml:space="preserve">Annualized estimates of respondent burden provided below represents the number of patients interviewed for 2016.There were </w:t>
      </w:r>
      <w:r w:rsidRPr="004712DC">
        <w:rPr>
          <w:bCs/>
        </w:rPr>
        <w:t>25,3</w:t>
      </w:r>
      <w:r w:rsidR="00EA5440">
        <w:rPr>
          <w:bCs/>
        </w:rPr>
        <w:t>53</w:t>
      </w:r>
      <w:r w:rsidRPr="004712DC">
        <w:rPr>
          <w:bCs/>
        </w:rPr>
        <w:t xml:space="preserve"> such case reports across the 10 participating </w:t>
      </w:r>
      <w:r w:rsidR="00DE5411">
        <w:rPr>
          <w:bCs/>
        </w:rPr>
        <w:t>enhanced SSuN</w:t>
      </w:r>
      <w:r w:rsidRPr="004712DC">
        <w:rPr>
          <w:bCs/>
        </w:rPr>
        <w:t xml:space="preserve"> jurisdictions</w:t>
      </w:r>
      <w:r w:rsidR="00312E07" w:rsidRPr="004712DC">
        <w:rPr>
          <w:bCs/>
        </w:rPr>
        <w:t xml:space="preserve"> in 2016</w:t>
      </w:r>
      <w:r w:rsidRPr="004712DC">
        <w:rPr>
          <w:bCs/>
        </w:rPr>
        <w:t>. Jurisdictions routinely prioritize these patients for partner services and are</w:t>
      </w:r>
      <w:r w:rsidR="00307DFC" w:rsidRPr="004712DC">
        <w:rPr>
          <w:bCs/>
        </w:rPr>
        <w:t xml:space="preserve"> </w:t>
      </w:r>
      <w:r w:rsidRPr="004712DC">
        <w:rPr>
          <w:bCs/>
        </w:rPr>
        <w:t>asked about neuro</w:t>
      </w:r>
      <w:r w:rsidR="00307DFC" w:rsidRPr="004712DC">
        <w:rPr>
          <w:bCs/>
        </w:rPr>
        <w:t xml:space="preserve">logic and </w:t>
      </w:r>
      <w:r w:rsidRPr="004712DC">
        <w:rPr>
          <w:bCs/>
        </w:rPr>
        <w:t>ocular involvement. Studies estimate that 2% of all early syphilis cases will report neurologic and ocular complications</w:t>
      </w:r>
      <w:r w:rsidR="00C26041">
        <w:rPr>
          <w:bCs/>
        </w:rPr>
        <w:t xml:space="preserve">, </w:t>
      </w:r>
      <w:r w:rsidR="00307DFC" w:rsidRPr="004712DC">
        <w:rPr>
          <w:bCs/>
        </w:rPr>
        <w:t>correspond</w:t>
      </w:r>
      <w:r w:rsidR="00C26041">
        <w:rPr>
          <w:bCs/>
        </w:rPr>
        <w:t>ing</w:t>
      </w:r>
      <w:r w:rsidR="00307DFC" w:rsidRPr="004712DC">
        <w:rPr>
          <w:bCs/>
        </w:rPr>
        <w:t xml:space="preserve"> to</w:t>
      </w:r>
      <w:r w:rsidRPr="004712DC">
        <w:rPr>
          <w:bCs/>
        </w:rPr>
        <w:t xml:space="preserve"> 507 respondents </w:t>
      </w:r>
      <w:r w:rsidR="00307DFC" w:rsidRPr="004712DC">
        <w:rPr>
          <w:bCs/>
        </w:rPr>
        <w:t>with a diagnosis of</w:t>
      </w:r>
      <w:r w:rsidRPr="004712DC">
        <w:rPr>
          <w:bCs/>
        </w:rPr>
        <w:t xml:space="preserve"> early syphilis in our </w:t>
      </w:r>
      <w:r w:rsidR="00DE5411">
        <w:rPr>
          <w:bCs/>
        </w:rPr>
        <w:t>enhanced SSuN</w:t>
      </w:r>
      <w:r w:rsidRPr="004712DC">
        <w:rPr>
          <w:bCs/>
        </w:rPr>
        <w:t xml:space="preserve"> jurisdictions. We are expecting to interview 80% of 507 patients or 406 respondents. The 406 respondents will provide 1 response each that will take approximately 10 minutes for a total of 68 burden hours. </w:t>
      </w:r>
    </w:p>
    <w:p w14:paraId="692D11C0" w14:textId="010EEC4A" w:rsidR="000E588C" w:rsidRPr="004712DC" w:rsidRDefault="000E588C" w:rsidP="001B3E11">
      <w:pPr>
        <w:keepNext/>
        <w:autoSpaceDE w:val="0"/>
        <w:autoSpaceDN w:val="0"/>
        <w:adjustRightInd w:val="0"/>
        <w:rPr>
          <w:bCs/>
        </w:rPr>
      </w:pPr>
    </w:p>
    <w:p w14:paraId="6580A22F" w14:textId="4FC8AD7D" w:rsidR="000E588C" w:rsidRPr="004712DC" w:rsidRDefault="000E588C" w:rsidP="000E588C">
      <w:pPr>
        <w:keepNext/>
        <w:autoSpaceDE w:val="0"/>
        <w:autoSpaceDN w:val="0"/>
        <w:adjustRightInd w:val="0"/>
      </w:pPr>
      <w:r w:rsidRPr="004712DC">
        <w:t xml:space="preserve">For </w:t>
      </w:r>
      <w:r w:rsidR="00312E07" w:rsidRPr="004712DC">
        <w:t>the early</w:t>
      </w:r>
      <w:r w:rsidRPr="004712DC">
        <w:t xml:space="preserve"> syphilis population-based activit</w:t>
      </w:r>
      <w:r w:rsidR="00312E07" w:rsidRPr="004712DC">
        <w:t>y</w:t>
      </w:r>
      <w:r w:rsidRPr="004712DC">
        <w:t xml:space="preserve">, </w:t>
      </w:r>
      <w:r w:rsidR="002C1C91" w:rsidRPr="004712DC">
        <w:t xml:space="preserve">health department staff will obtain </w:t>
      </w:r>
      <w:r w:rsidR="00BE35D6" w:rsidRPr="004712DC">
        <w:t xml:space="preserve">additional clinical </w:t>
      </w:r>
      <w:r w:rsidRPr="004712DC">
        <w:t xml:space="preserve">information from the diagnosing healthcare </w:t>
      </w:r>
      <w:r w:rsidR="00312E07" w:rsidRPr="004712DC">
        <w:t>provider</w:t>
      </w:r>
      <w:r w:rsidR="00B21A0E">
        <w:t xml:space="preserve"> on the patients that are interviewed (i.e., 406 respondents)</w:t>
      </w:r>
      <w:r w:rsidRPr="004712DC">
        <w:t>.  This additional information pertains to ascertainment of clinical s</w:t>
      </w:r>
      <w:r w:rsidR="000C1F7C" w:rsidRPr="004712DC">
        <w:t>igns,</w:t>
      </w:r>
      <w:r w:rsidRPr="004712DC">
        <w:t xml:space="preserve"> testing performed and laboratory results, and prescribing type and duration of treatment</w:t>
      </w:r>
      <w:r w:rsidR="002C1C91" w:rsidRPr="004712DC">
        <w:t xml:space="preserve"> and </w:t>
      </w:r>
      <w:r w:rsidR="00C26041">
        <w:t>are</w:t>
      </w:r>
      <w:r w:rsidR="002C1C91" w:rsidRPr="004712DC">
        <w:t xml:space="preserve"> collected </w:t>
      </w:r>
      <w:r w:rsidR="001A2087">
        <w:t xml:space="preserve">through phone, fax-back form or mail. </w:t>
      </w:r>
      <w:r w:rsidR="00B21A0E">
        <w:t>We estimated the completion of the additional clinical information will take 10 minutes,</w:t>
      </w:r>
      <w:r w:rsidRPr="004712DC">
        <w:t xml:space="preserve"> </w:t>
      </w:r>
      <w:r w:rsidR="00307DFC" w:rsidRPr="004712DC">
        <w:t>bringing</w:t>
      </w:r>
      <w:r w:rsidRPr="004712DC">
        <w:t xml:space="preserve"> the annual burden </w:t>
      </w:r>
      <w:r w:rsidR="00312E07" w:rsidRPr="004712DC">
        <w:t>for this activity</w:t>
      </w:r>
      <w:r w:rsidRPr="004712DC">
        <w:t xml:space="preserve"> to </w:t>
      </w:r>
      <w:r w:rsidR="00312E07" w:rsidRPr="004712DC">
        <w:t>6</w:t>
      </w:r>
      <w:r w:rsidR="00EA5440">
        <w:t>8</w:t>
      </w:r>
      <w:r w:rsidR="001A2087">
        <w:t xml:space="preserve"> hours</w:t>
      </w:r>
      <w:r w:rsidRPr="004712DC">
        <w:t xml:space="preserve">. </w:t>
      </w:r>
    </w:p>
    <w:p w14:paraId="4B10B7D0" w14:textId="5B6879BB" w:rsidR="00BE35D6" w:rsidRPr="004712DC" w:rsidRDefault="00BE35D6" w:rsidP="000E588C">
      <w:pPr>
        <w:keepNext/>
        <w:autoSpaceDE w:val="0"/>
        <w:autoSpaceDN w:val="0"/>
        <w:adjustRightInd w:val="0"/>
      </w:pPr>
    </w:p>
    <w:p w14:paraId="3B0B987A" w14:textId="39841E39" w:rsidR="00BE35D6" w:rsidRPr="004712DC" w:rsidRDefault="00BE35D6" w:rsidP="00C2130E">
      <w:pPr>
        <w:contextualSpacing/>
        <w:rPr>
          <w:rFonts w:eastAsiaTheme="minorHAnsi"/>
        </w:rPr>
      </w:pPr>
      <w:r w:rsidRPr="004712DC">
        <w:rPr>
          <w:rFonts w:eastAsiaTheme="minorHAnsi"/>
        </w:rPr>
        <w:t xml:space="preserve">Syphilis cases reporting neurologic and/or ocular symptoms </w:t>
      </w:r>
      <w:r w:rsidR="00C26041">
        <w:rPr>
          <w:rFonts w:eastAsiaTheme="minorHAnsi"/>
        </w:rPr>
        <w:t>are</w:t>
      </w:r>
      <w:r w:rsidRPr="004712DC">
        <w:rPr>
          <w:rFonts w:eastAsiaTheme="minorHAnsi"/>
        </w:rPr>
        <w:t xml:space="preserve"> re-contacted at approximately three months following prescribed treatment to ascertain whether initial symptoms have resolved. Assuming our interview success rate for follow</w:t>
      </w:r>
      <w:r w:rsidR="00312E07" w:rsidRPr="004712DC">
        <w:rPr>
          <w:rFonts w:eastAsiaTheme="minorHAnsi"/>
        </w:rPr>
        <w:t>-</w:t>
      </w:r>
      <w:r w:rsidRPr="004712DC">
        <w:rPr>
          <w:rFonts w:eastAsiaTheme="minorHAnsi"/>
        </w:rPr>
        <w:t xml:space="preserve">up interviews </w:t>
      </w:r>
      <w:r w:rsidR="00307DFC" w:rsidRPr="004712DC">
        <w:rPr>
          <w:rFonts w:eastAsiaTheme="minorHAnsi"/>
        </w:rPr>
        <w:t>will be approximately</w:t>
      </w:r>
      <w:r w:rsidRPr="004712DC">
        <w:rPr>
          <w:rFonts w:eastAsiaTheme="minorHAnsi"/>
        </w:rPr>
        <w:t xml:space="preserve"> 50%</w:t>
      </w:r>
      <w:r w:rsidR="00E15A24" w:rsidRPr="004712DC">
        <w:rPr>
          <w:rFonts w:eastAsiaTheme="minorHAnsi"/>
        </w:rPr>
        <w:t>,</w:t>
      </w:r>
      <w:r w:rsidR="001A2087">
        <w:rPr>
          <w:rFonts w:eastAsiaTheme="minorHAnsi"/>
        </w:rPr>
        <w:t xml:space="preserve"> the</w:t>
      </w:r>
      <w:r w:rsidRPr="004712DC">
        <w:rPr>
          <w:rFonts w:eastAsiaTheme="minorHAnsi"/>
        </w:rPr>
        <w:t xml:space="preserve"> total burden </w:t>
      </w:r>
      <w:r w:rsidR="001A2087">
        <w:rPr>
          <w:rFonts w:eastAsiaTheme="minorHAnsi"/>
        </w:rPr>
        <w:t>f</w:t>
      </w:r>
      <w:r w:rsidRPr="004712DC">
        <w:rPr>
          <w:rFonts w:eastAsiaTheme="minorHAnsi"/>
        </w:rPr>
        <w:t xml:space="preserve">or this activity will be 17 hours. </w:t>
      </w:r>
    </w:p>
    <w:p w14:paraId="348B77D3" w14:textId="4B89757C" w:rsidR="000E588C" w:rsidRPr="004712DC" w:rsidRDefault="000E588C" w:rsidP="001B3E11">
      <w:pPr>
        <w:keepNext/>
        <w:autoSpaceDE w:val="0"/>
        <w:autoSpaceDN w:val="0"/>
        <w:adjustRightInd w:val="0"/>
        <w:rPr>
          <w:bCs/>
        </w:rPr>
      </w:pPr>
    </w:p>
    <w:p w14:paraId="736CF32E" w14:textId="3ED7B142" w:rsidR="00BE35D6" w:rsidRPr="004712DC" w:rsidRDefault="004A553B" w:rsidP="001B3E11">
      <w:pPr>
        <w:keepNext/>
        <w:autoSpaceDE w:val="0"/>
        <w:autoSpaceDN w:val="0"/>
        <w:adjustRightInd w:val="0"/>
        <w:rPr>
          <w:bCs/>
        </w:rPr>
      </w:pPr>
      <w:r w:rsidRPr="004712DC">
        <w:rPr>
          <w:bCs/>
        </w:rPr>
        <w:t xml:space="preserve">Each of the 10 local/state health department </w:t>
      </w:r>
      <w:r w:rsidR="00312E07" w:rsidRPr="004712DC">
        <w:rPr>
          <w:bCs/>
        </w:rPr>
        <w:t>d</w:t>
      </w:r>
      <w:r w:rsidR="00BE35D6" w:rsidRPr="004712DC">
        <w:rPr>
          <w:bCs/>
        </w:rPr>
        <w:t>ata manager</w:t>
      </w:r>
      <w:r w:rsidRPr="004712DC">
        <w:rPr>
          <w:bCs/>
        </w:rPr>
        <w:t>s</w:t>
      </w:r>
      <w:r w:rsidR="00BE35D6" w:rsidRPr="004712DC">
        <w:rPr>
          <w:bCs/>
        </w:rPr>
        <w:t xml:space="preserve"> will be responsible for any recoding and/or data validation necessary to produce correctly formatted datasets. Every month, alternating between facility and population-based activities, the 10 collaborating jurisdictions provide clean, validated datasets to CDC (transmission to CDC via SAMS every two months), with cumulative data back to the beginning of each calendar year. That reflects 2,280 burden hours (10 respondents x 12 data transmissions x 19 hours). </w:t>
      </w:r>
    </w:p>
    <w:p w14:paraId="78864980" w14:textId="3DE27973" w:rsidR="00AE23B8" w:rsidRPr="004712DC" w:rsidRDefault="00AE23B8" w:rsidP="00524C09">
      <w:pPr>
        <w:keepNext/>
        <w:autoSpaceDE w:val="0"/>
        <w:autoSpaceDN w:val="0"/>
        <w:adjustRightInd w:val="0"/>
        <w:rPr>
          <w:bCs/>
        </w:rPr>
      </w:pPr>
    </w:p>
    <w:p w14:paraId="345A00F4" w14:textId="33831E9E" w:rsidR="00EB2EF7" w:rsidRPr="004712DC" w:rsidRDefault="00EB2EF7" w:rsidP="00524C09">
      <w:pPr>
        <w:keepNext/>
        <w:autoSpaceDE w:val="0"/>
        <w:autoSpaceDN w:val="0"/>
        <w:adjustRightInd w:val="0"/>
        <w:rPr>
          <w:bCs/>
        </w:rPr>
      </w:pPr>
    </w:p>
    <w:p w14:paraId="4988338D" w14:textId="3B93C169" w:rsidR="00B66CB7" w:rsidRPr="004712DC" w:rsidRDefault="001E6D52" w:rsidP="00CF6FC3">
      <w:pPr>
        <w:keepNext/>
        <w:autoSpaceDE w:val="0"/>
        <w:autoSpaceDN w:val="0"/>
        <w:adjustRightInd w:val="0"/>
      </w:pPr>
      <w:r w:rsidRPr="004712DC">
        <w:t>A12a. Estimated Annualized Burden Hours</w:t>
      </w:r>
    </w:p>
    <w:p w14:paraId="2E6FB010" w14:textId="4FDFF9F4" w:rsidR="00FD3042" w:rsidRPr="004712DC" w:rsidRDefault="00FD3042" w:rsidP="00CF6FC3">
      <w:pPr>
        <w:keepNext/>
        <w:autoSpaceDE w:val="0"/>
        <w:autoSpaceDN w:val="0"/>
        <w:adjustRightInd w:val="0"/>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442"/>
        <w:gridCol w:w="1641"/>
        <w:gridCol w:w="1481"/>
        <w:gridCol w:w="1294"/>
        <w:gridCol w:w="1105"/>
      </w:tblGrid>
      <w:tr w:rsidR="008C5496" w:rsidRPr="004712DC" w14:paraId="61804C29" w14:textId="77777777" w:rsidTr="008C5496">
        <w:tc>
          <w:tcPr>
            <w:tcW w:w="2610" w:type="dxa"/>
            <w:shd w:val="clear" w:color="auto" w:fill="auto"/>
          </w:tcPr>
          <w:p w14:paraId="182E046C"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Type of Respondents</w:t>
            </w:r>
          </w:p>
        </w:tc>
        <w:tc>
          <w:tcPr>
            <w:tcW w:w="2206" w:type="dxa"/>
            <w:shd w:val="clear" w:color="auto" w:fill="auto"/>
          </w:tcPr>
          <w:p w14:paraId="386C512B"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Form Name</w:t>
            </w:r>
          </w:p>
        </w:tc>
        <w:tc>
          <w:tcPr>
            <w:tcW w:w="1672" w:type="dxa"/>
            <w:shd w:val="clear" w:color="auto" w:fill="auto"/>
          </w:tcPr>
          <w:p w14:paraId="2E729F5C"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Number of Respondents</w:t>
            </w:r>
          </w:p>
        </w:tc>
        <w:tc>
          <w:tcPr>
            <w:tcW w:w="1501" w:type="dxa"/>
            <w:shd w:val="clear" w:color="auto" w:fill="auto"/>
          </w:tcPr>
          <w:p w14:paraId="7E5863DC"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Number of Responses per Respondent</w:t>
            </w:r>
          </w:p>
        </w:tc>
        <w:tc>
          <w:tcPr>
            <w:tcW w:w="1318" w:type="dxa"/>
            <w:shd w:val="clear" w:color="auto" w:fill="auto"/>
          </w:tcPr>
          <w:p w14:paraId="1FFBEE27"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Average Burden per Response (in hours)</w:t>
            </w:r>
          </w:p>
        </w:tc>
        <w:tc>
          <w:tcPr>
            <w:tcW w:w="1133" w:type="dxa"/>
            <w:shd w:val="clear" w:color="auto" w:fill="auto"/>
          </w:tcPr>
          <w:p w14:paraId="1EEC1221"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Total Burden (in hours)</w:t>
            </w:r>
          </w:p>
        </w:tc>
      </w:tr>
      <w:tr w:rsidR="008C5496" w:rsidRPr="004712DC" w14:paraId="7F0D80B6" w14:textId="77777777" w:rsidTr="008C5496">
        <w:trPr>
          <w:trHeight w:val="458"/>
        </w:trPr>
        <w:tc>
          <w:tcPr>
            <w:tcW w:w="2610" w:type="dxa"/>
            <w:shd w:val="clear" w:color="auto" w:fill="auto"/>
          </w:tcPr>
          <w:p w14:paraId="11F6A860" w14:textId="0DD19994" w:rsidR="006D68C3" w:rsidRPr="004712DC" w:rsidRDefault="006D68C3" w:rsidP="00712EC6">
            <w:pPr>
              <w:widowControl w:val="0"/>
              <w:tabs>
                <w:tab w:val="left" w:pos="0"/>
              </w:tabs>
              <w:autoSpaceDE w:val="0"/>
              <w:autoSpaceDN w:val="0"/>
              <w:adjustRightInd w:val="0"/>
              <w:rPr>
                <w:rFonts w:eastAsia="Calibri"/>
                <w:color w:val="000000"/>
              </w:rPr>
            </w:pPr>
            <w:r w:rsidRPr="004712DC">
              <w:rPr>
                <w:rFonts w:eastAsia="Calibri"/>
                <w:color w:val="000000"/>
              </w:rPr>
              <w:t>Data manager</w:t>
            </w:r>
            <w:r w:rsidR="00712EC6" w:rsidRPr="004712DC">
              <w:rPr>
                <w:rFonts w:eastAsia="Calibri"/>
                <w:color w:val="000000"/>
              </w:rPr>
              <w:t xml:space="preserve"> at </w:t>
            </w:r>
            <w:r w:rsidRPr="004712DC">
              <w:rPr>
                <w:rFonts w:eastAsia="Calibri"/>
                <w:color w:val="000000"/>
              </w:rPr>
              <w:t xml:space="preserve">Sentinel </w:t>
            </w:r>
            <w:r w:rsidR="00712EC6" w:rsidRPr="004712DC">
              <w:rPr>
                <w:rFonts w:eastAsia="Calibri"/>
                <w:color w:val="000000"/>
              </w:rPr>
              <w:t xml:space="preserve">STD </w:t>
            </w:r>
            <w:r w:rsidRPr="004712DC">
              <w:rPr>
                <w:rFonts w:eastAsia="Calibri"/>
                <w:color w:val="000000"/>
              </w:rPr>
              <w:t>clinics</w:t>
            </w:r>
          </w:p>
        </w:tc>
        <w:tc>
          <w:tcPr>
            <w:tcW w:w="2206" w:type="dxa"/>
            <w:shd w:val="clear" w:color="auto" w:fill="auto"/>
          </w:tcPr>
          <w:p w14:paraId="3EA6186F" w14:textId="15C0EF79" w:rsidR="006D68C3" w:rsidRPr="004712DC" w:rsidRDefault="006D68C3" w:rsidP="008C5496">
            <w:pPr>
              <w:widowControl w:val="0"/>
              <w:tabs>
                <w:tab w:val="left" w:pos="0"/>
              </w:tabs>
              <w:autoSpaceDE w:val="0"/>
              <w:autoSpaceDN w:val="0"/>
              <w:adjustRightInd w:val="0"/>
              <w:rPr>
                <w:rFonts w:eastAsia="Calibri"/>
                <w:color w:val="000000"/>
              </w:rPr>
            </w:pPr>
            <w:r w:rsidRPr="004712DC">
              <w:rPr>
                <w:rFonts w:eastAsia="Calibri"/>
                <w:color w:val="000000"/>
              </w:rPr>
              <w:t>Record Abstraction</w:t>
            </w:r>
            <w:r w:rsidR="006C13DB">
              <w:rPr>
                <w:rFonts w:eastAsia="Calibri"/>
                <w:color w:val="000000"/>
              </w:rPr>
              <w:t xml:space="preserve"> </w:t>
            </w:r>
            <w:r w:rsidR="006C13DB" w:rsidRPr="006C13DB">
              <w:rPr>
                <w:rFonts w:eastAsia="Calibri"/>
                <w:b/>
                <w:color w:val="000000"/>
              </w:rPr>
              <w:t>(</w:t>
            </w:r>
            <w:r w:rsidR="006C13DB">
              <w:rPr>
                <w:rFonts w:eastAsia="Calibri"/>
                <w:b/>
                <w:color w:val="000000"/>
              </w:rPr>
              <w:t xml:space="preserve">ATT </w:t>
            </w:r>
            <w:r w:rsidR="006C13DB" w:rsidRPr="006C13DB">
              <w:rPr>
                <w:rFonts w:eastAsia="Calibri"/>
                <w:b/>
                <w:color w:val="000000"/>
              </w:rPr>
              <w:t>5)</w:t>
            </w:r>
          </w:p>
        </w:tc>
        <w:tc>
          <w:tcPr>
            <w:tcW w:w="1672" w:type="dxa"/>
            <w:shd w:val="clear" w:color="auto" w:fill="auto"/>
          </w:tcPr>
          <w:p w14:paraId="05041E96"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10</w:t>
            </w:r>
          </w:p>
        </w:tc>
        <w:tc>
          <w:tcPr>
            <w:tcW w:w="1501" w:type="dxa"/>
            <w:shd w:val="clear" w:color="auto" w:fill="auto"/>
          </w:tcPr>
          <w:p w14:paraId="0A16262E"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6</w:t>
            </w:r>
          </w:p>
        </w:tc>
        <w:tc>
          <w:tcPr>
            <w:tcW w:w="1318" w:type="dxa"/>
            <w:shd w:val="clear" w:color="auto" w:fill="auto"/>
          </w:tcPr>
          <w:p w14:paraId="0EC36358"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3</w:t>
            </w:r>
          </w:p>
        </w:tc>
        <w:tc>
          <w:tcPr>
            <w:tcW w:w="1133" w:type="dxa"/>
            <w:shd w:val="clear" w:color="auto" w:fill="auto"/>
          </w:tcPr>
          <w:p w14:paraId="78C6D605"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180</w:t>
            </w:r>
          </w:p>
        </w:tc>
      </w:tr>
      <w:tr w:rsidR="008C5496" w:rsidRPr="004712DC" w14:paraId="55CCFB5E" w14:textId="77777777" w:rsidTr="008C5496">
        <w:tc>
          <w:tcPr>
            <w:tcW w:w="2610" w:type="dxa"/>
            <w:shd w:val="clear" w:color="auto" w:fill="auto"/>
          </w:tcPr>
          <w:p w14:paraId="440FD2E8" w14:textId="77777777" w:rsidR="006D68C3" w:rsidRPr="004712DC" w:rsidRDefault="006D68C3" w:rsidP="006D68C3">
            <w:pPr>
              <w:widowControl w:val="0"/>
              <w:tabs>
                <w:tab w:val="left" w:pos="0"/>
              </w:tabs>
              <w:autoSpaceDE w:val="0"/>
              <w:autoSpaceDN w:val="0"/>
              <w:adjustRightInd w:val="0"/>
              <w:rPr>
                <w:rFonts w:eastAsia="Calibri"/>
                <w:color w:val="000000"/>
              </w:rPr>
            </w:pPr>
          </w:p>
          <w:p w14:paraId="2E1AF3CF" w14:textId="118DEA05" w:rsidR="006D68C3" w:rsidRPr="004712DC" w:rsidRDefault="00712EC6" w:rsidP="00A344F1">
            <w:pPr>
              <w:widowControl w:val="0"/>
              <w:tabs>
                <w:tab w:val="left" w:pos="0"/>
              </w:tabs>
              <w:autoSpaceDE w:val="0"/>
              <w:autoSpaceDN w:val="0"/>
              <w:adjustRightInd w:val="0"/>
              <w:rPr>
                <w:rFonts w:eastAsia="Calibri"/>
                <w:color w:val="000000"/>
              </w:rPr>
            </w:pPr>
            <w:r w:rsidRPr="004712DC">
              <w:rPr>
                <w:rFonts w:eastAsia="Calibri"/>
                <w:color w:val="000000"/>
              </w:rPr>
              <w:t xml:space="preserve">General Public – Adults (persons diagnosed </w:t>
            </w:r>
            <w:r w:rsidR="00B12559">
              <w:rPr>
                <w:rFonts w:eastAsia="Calibri"/>
                <w:color w:val="000000"/>
              </w:rPr>
              <w:t xml:space="preserve">and reported </w:t>
            </w:r>
            <w:r w:rsidRPr="004712DC">
              <w:rPr>
                <w:rFonts w:eastAsia="Calibri"/>
                <w:color w:val="000000"/>
              </w:rPr>
              <w:t xml:space="preserve">with </w:t>
            </w:r>
            <w:r w:rsidR="00A344F1" w:rsidRPr="004712DC">
              <w:rPr>
                <w:rFonts w:eastAsia="Calibri"/>
                <w:color w:val="000000"/>
              </w:rPr>
              <w:t>gonorrhea</w:t>
            </w:r>
            <w:r w:rsidR="00B23017" w:rsidRPr="004712DC">
              <w:rPr>
                <w:rFonts w:eastAsia="Calibri"/>
                <w:color w:val="000000"/>
              </w:rPr>
              <w:t xml:space="preserve"> or </w:t>
            </w:r>
            <w:r w:rsidR="00255077">
              <w:rPr>
                <w:rFonts w:eastAsia="Calibri"/>
                <w:color w:val="000000"/>
              </w:rPr>
              <w:t xml:space="preserve">early </w:t>
            </w:r>
            <w:r w:rsidR="00B23017" w:rsidRPr="004712DC">
              <w:rPr>
                <w:rFonts w:eastAsia="Calibri"/>
                <w:color w:val="000000"/>
              </w:rPr>
              <w:t>syphilis</w:t>
            </w:r>
          </w:p>
        </w:tc>
        <w:tc>
          <w:tcPr>
            <w:tcW w:w="2206" w:type="dxa"/>
            <w:shd w:val="clear" w:color="auto" w:fill="auto"/>
          </w:tcPr>
          <w:p w14:paraId="5B082AC2" w14:textId="4EACFADA" w:rsidR="006D68C3" w:rsidRPr="004712DC" w:rsidRDefault="00B23017" w:rsidP="008C5496">
            <w:pPr>
              <w:widowControl w:val="0"/>
              <w:tabs>
                <w:tab w:val="left" w:pos="0"/>
              </w:tabs>
              <w:autoSpaceDE w:val="0"/>
              <w:autoSpaceDN w:val="0"/>
              <w:adjustRightInd w:val="0"/>
              <w:rPr>
                <w:rFonts w:eastAsia="Calibri"/>
                <w:color w:val="000000"/>
              </w:rPr>
            </w:pPr>
            <w:r w:rsidRPr="004712DC">
              <w:rPr>
                <w:rFonts w:eastAsia="Calibri"/>
                <w:color w:val="000000"/>
              </w:rPr>
              <w:t>I</w:t>
            </w:r>
            <w:r w:rsidR="006D68C3" w:rsidRPr="004712DC">
              <w:rPr>
                <w:rFonts w:eastAsia="Calibri"/>
                <w:color w:val="000000"/>
              </w:rPr>
              <w:t>nterview</w:t>
            </w:r>
            <w:r w:rsidR="00E133BF" w:rsidRPr="004712DC">
              <w:rPr>
                <w:rFonts w:eastAsia="Calibri"/>
                <w:color w:val="000000"/>
              </w:rPr>
              <w:t xml:space="preserve"> </w:t>
            </w:r>
            <w:r w:rsidR="00E133BF" w:rsidRPr="006C13DB">
              <w:rPr>
                <w:rFonts w:eastAsia="Calibri"/>
                <w:b/>
                <w:color w:val="000000"/>
              </w:rPr>
              <w:t>(</w:t>
            </w:r>
            <w:r w:rsidR="006C13DB">
              <w:rPr>
                <w:rFonts w:eastAsia="Calibri"/>
                <w:b/>
                <w:color w:val="000000"/>
              </w:rPr>
              <w:t xml:space="preserve">ATT </w:t>
            </w:r>
            <w:r w:rsidR="006C13DB" w:rsidRPr="006C13DB">
              <w:rPr>
                <w:rFonts w:eastAsia="Calibri"/>
                <w:b/>
                <w:color w:val="000000"/>
              </w:rPr>
              <w:t>8</w:t>
            </w:r>
            <w:r w:rsidR="00E133BF" w:rsidRPr="006C13DB">
              <w:rPr>
                <w:rFonts w:eastAsia="Calibri"/>
                <w:b/>
                <w:color w:val="000000"/>
              </w:rPr>
              <w:t>)</w:t>
            </w:r>
          </w:p>
        </w:tc>
        <w:tc>
          <w:tcPr>
            <w:tcW w:w="1672" w:type="dxa"/>
            <w:shd w:val="clear" w:color="auto" w:fill="auto"/>
          </w:tcPr>
          <w:p w14:paraId="635D3728" w14:textId="6A5069DF" w:rsidR="006D68C3" w:rsidRPr="004712DC" w:rsidRDefault="006D68C3" w:rsidP="00B23017">
            <w:pPr>
              <w:widowControl w:val="0"/>
              <w:tabs>
                <w:tab w:val="left" w:pos="0"/>
              </w:tabs>
              <w:autoSpaceDE w:val="0"/>
              <w:autoSpaceDN w:val="0"/>
              <w:adjustRightInd w:val="0"/>
              <w:rPr>
                <w:rFonts w:eastAsia="Calibri"/>
                <w:color w:val="000000"/>
              </w:rPr>
            </w:pPr>
            <w:r w:rsidRPr="004712DC">
              <w:rPr>
                <w:rFonts w:eastAsia="Calibri"/>
                <w:color w:val="000000"/>
              </w:rPr>
              <w:t>5</w:t>
            </w:r>
            <w:r w:rsidR="00B23017" w:rsidRPr="004712DC">
              <w:rPr>
                <w:rFonts w:eastAsia="Calibri"/>
                <w:color w:val="000000"/>
              </w:rPr>
              <w:t>492</w:t>
            </w:r>
          </w:p>
        </w:tc>
        <w:tc>
          <w:tcPr>
            <w:tcW w:w="1501" w:type="dxa"/>
            <w:shd w:val="clear" w:color="auto" w:fill="auto"/>
          </w:tcPr>
          <w:p w14:paraId="0A19DBD7"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w:t>
            </w:r>
          </w:p>
        </w:tc>
        <w:tc>
          <w:tcPr>
            <w:tcW w:w="1318" w:type="dxa"/>
            <w:shd w:val="clear" w:color="auto" w:fill="auto"/>
          </w:tcPr>
          <w:p w14:paraId="1D138692"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10/60</w:t>
            </w:r>
          </w:p>
        </w:tc>
        <w:tc>
          <w:tcPr>
            <w:tcW w:w="1133" w:type="dxa"/>
            <w:shd w:val="clear" w:color="auto" w:fill="auto"/>
          </w:tcPr>
          <w:p w14:paraId="111E631D" w14:textId="04848A3B" w:rsidR="006D68C3" w:rsidRPr="004712DC" w:rsidRDefault="00674FDD" w:rsidP="006D68C3">
            <w:pPr>
              <w:widowControl w:val="0"/>
              <w:tabs>
                <w:tab w:val="left" w:pos="0"/>
              </w:tabs>
              <w:autoSpaceDE w:val="0"/>
              <w:autoSpaceDN w:val="0"/>
              <w:adjustRightInd w:val="0"/>
              <w:rPr>
                <w:rFonts w:eastAsia="Calibri"/>
                <w:color w:val="000000"/>
              </w:rPr>
            </w:pPr>
            <w:r>
              <w:rPr>
                <w:rFonts w:eastAsia="Calibri"/>
                <w:color w:val="000000"/>
              </w:rPr>
              <w:t>915</w:t>
            </w:r>
          </w:p>
        </w:tc>
      </w:tr>
      <w:tr w:rsidR="008C5496" w:rsidRPr="004712DC" w14:paraId="2319A0E0" w14:textId="77777777" w:rsidTr="008C5496">
        <w:tc>
          <w:tcPr>
            <w:tcW w:w="2610" w:type="dxa"/>
            <w:shd w:val="clear" w:color="auto" w:fill="auto"/>
          </w:tcPr>
          <w:p w14:paraId="33D428F4" w14:textId="77777777" w:rsidR="006D68C3" w:rsidRPr="004712DC" w:rsidRDefault="006D68C3" w:rsidP="006D68C3">
            <w:pPr>
              <w:widowControl w:val="0"/>
              <w:tabs>
                <w:tab w:val="left" w:pos="0"/>
              </w:tabs>
              <w:autoSpaceDE w:val="0"/>
              <w:autoSpaceDN w:val="0"/>
              <w:adjustRightInd w:val="0"/>
              <w:rPr>
                <w:rFonts w:eastAsia="Calibri"/>
                <w:color w:val="000000"/>
              </w:rPr>
            </w:pPr>
          </w:p>
          <w:p w14:paraId="6D33F061" w14:textId="07373C4F" w:rsidR="006D68C3" w:rsidRPr="004712DC" w:rsidRDefault="00B23017" w:rsidP="006D68C3">
            <w:pPr>
              <w:widowControl w:val="0"/>
              <w:tabs>
                <w:tab w:val="left" w:pos="0"/>
              </w:tabs>
              <w:autoSpaceDE w:val="0"/>
              <w:autoSpaceDN w:val="0"/>
              <w:adjustRightInd w:val="0"/>
              <w:rPr>
                <w:rFonts w:eastAsia="Calibri"/>
                <w:color w:val="000000"/>
              </w:rPr>
            </w:pPr>
            <w:r w:rsidRPr="004712DC">
              <w:rPr>
                <w:rFonts w:eastAsia="Calibri"/>
                <w:color w:val="000000"/>
              </w:rPr>
              <w:t>Diagnosing Provider</w:t>
            </w:r>
          </w:p>
        </w:tc>
        <w:tc>
          <w:tcPr>
            <w:tcW w:w="2206" w:type="dxa"/>
            <w:shd w:val="clear" w:color="auto" w:fill="auto"/>
          </w:tcPr>
          <w:p w14:paraId="7C99ADF9" w14:textId="1DEBC525" w:rsidR="006D68C3" w:rsidRPr="004712DC" w:rsidRDefault="00B27ADD" w:rsidP="008C5496">
            <w:pPr>
              <w:widowControl w:val="0"/>
              <w:tabs>
                <w:tab w:val="left" w:pos="0"/>
              </w:tabs>
              <w:autoSpaceDE w:val="0"/>
              <w:autoSpaceDN w:val="0"/>
              <w:adjustRightInd w:val="0"/>
              <w:rPr>
                <w:rFonts w:eastAsia="Calibri"/>
                <w:color w:val="000000"/>
              </w:rPr>
            </w:pPr>
            <w:r>
              <w:rPr>
                <w:rFonts w:eastAsia="Calibri"/>
                <w:color w:val="000000"/>
              </w:rPr>
              <w:t>Data</w:t>
            </w:r>
            <w:r w:rsidR="00B23017" w:rsidRPr="004712DC">
              <w:rPr>
                <w:rFonts w:eastAsia="Calibri"/>
                <w:color w:val="000000"/>
              </w:rPr>
              <w:t xml:space="preserve"> for</w:t>
            </w:r>
            <w:r w:rsidR="006D68C3" w:rsidRPr="004712DC">
              <w:rPr>
                <w:rFonts w:eastAsia="Calibri"/>
                <w:color w:val="000000"/>
              </w:rPr>
              <w:t xml:space="preserve"> </w:t>
            </w:r>
            <w:r w:rsidR="00A344F1" w:rsidRPr="004712DC">
              <w:rPr>
                <w:rFonts w:eastAsia="Calibri"/>
                <w:color w:val="000000"/>
              </w:rPr>
              <w:t xml:space="preserve">early syphilis cases </w:t>
            </w:r>
            <w:r w:rsidR="00E133BF" w:rsidRPr="006C13DB">
              <w:rPr>
                <w:rFonts w:eastAsia="Calibri"/>
                <w:b/>
                <w:color w:val="000000"/>
              </w:rPr>
              <w:t>(</w:t>
            </w:r>
            <w:r w:rsidR="006C13DB">
              <w:rPr>
                <w:rFonts w:eastAsia="Calibri"/>
                <w:b/>
                <w:color w:val="000000"/>
              </w:rPr>
              <w:t xml:space="preserve">ATT </w:t>
            </w:r>
            <w:r w:rsidR="00EA5440">
              <w:rPr>
                <w:rFonts w:eastAsia="Calibri"/>
                <w:b/>
                <w:color w:val="000000"/>
              </w:rPr>
              <w:t>8</w:t>
            </w:r>
            <w:r w:rsidR="00E133BF" w:rsidRPr="006C13DB">
              <w:rPr>
                <w:rFonts w:eastAsia="Calibri"/>
                <w:b/>
                <w:color w:val="000000"/>
              </w:rPr>
              <w:t>)</w:t>
            </w:r>
          </w:p>
        </w:tc>
        <w:tc>
          <w:tcPr>
            <w:tcW w:w="1672" w:type="dxa"/>
            <w:shd w:val="clear" w:color="auto" w:fill="auto"/>
          </w:tcPr>
          <w:p w14:paraId="2EB429A9" w14:textId="0C4D2F12" w:rsidR="006D68C3" w:rsidRPr="004712DC" w:rsidRDefault="00B23017" w:rsidP="006D68C3">
            <w:pPr>
              <w:widowControl w:val="0"/>
              <w:tabs>
                <w:tab w:val="left" w:pos="0"/>
              </w:tabs>
              <w:autoSpaceDE w:val="0"/>
              <w:autoSpaceDN w:val="0"/>
              <w:adjustRightInd w:val="0"/>
              <w:rPr>
                <w:rFonts w:eastAsia="Calibri"/>
                <w:color w:val="000000"/>
              </w:rPr>
            </w:pPr>
            <w:r w:rsidRPr="004712DC">
              <w:rPr>
                <w:rFonts w:eastAsia="Calibri"/>
                <w:color w:val="000000"/>
              </w:rPr>
              <w:t>406</w:t>
            </w:r>
          </w:p>
        </w:tc>
        <w:tc>
          <w:tcPr>
            <w:tcW w:w="1501" w:type="dxa"/>
            <w:shd w:val="clear" w:color="auto" w:fill="auto"/>
          </w:tcPr>
          <w:p w14:paraId="50AF0A24"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w:t>
            </w:r>
          </w:p>
        </w:tc>
        <w:tc>
          <w:tcPr>
            <w:tcW w:w="1318" w:type="dxa"/>
            <w:shd w:val="clear" w:color="auto" w:fill="auto"/>
          </w:tcPr>
          <w:p w14:paraId="6624E76F"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10/60</w:t>
            </w:r>
          </w:p>
        </w:tc>
        <w:tc>
          <w:tcPr>
            <w:tcW w:w="1133" w:type="dxa"/>
            <w:shd w:val="clear" w:color="auto" w:fill="auto"/>
          </w:tcPr>
          <w:p w14:paraId="30CF7DCB" w14:textId="34E88BEB" w:rsidR="006D68C3" w:rsidRPr="004712DC" w:rsidRDefault="00A344F1" w:rsidP="00EA5440">
            <w:pPr>
              <w:widowControl w:val="0"/>
              <w:tabs>
                <w:tab w:val="left" w:pos="0"/>
              </w:tabs>
              <w:autoSpaceDE w:val="0"/>
              <w:autoSpaceDN w:val="0"/>
              <w:adjustRightInd w:val="0"/>
              <w:rPr>
                <w:rFonts w:eastAsia="Calibri"/>
                <w:color w:val="000000"/>
              </w:rPr>
            </w:pPr>
            <w:r w:rsidRPr="004712DC">
              <w:rPr>
                <w:rFonts w:eastAsia="Calibri"/>
                <w:color w:val="000000"/>
              </w:rPr>
              <w:t>6</w:t>
            </w:r>
            <w:r w:rsidR="00EA5440">
              <w:rPr>
                <w:rFonts w:eastAsia="Calibri"/>
                <w:color w:val="000000"/>
              </w:rPr>
              <w:t>8</w:t>
            </w:r>
          </w:p>
        </w:tc>
      </w:tr>
      <w:tr w:rsidR="008C5496" w:rsidRPr="004712DC" w14:paraId="6F1F2527" w14:textId="77777777" w:rsidTr="008C5496">
        <w:tc>
          <w:tcPr>
            <w:tcW w:w="2610" w:type="dxa"/>
            <w:shd w:val="clear" w:color="auto" w:fill="auto"/>
          </w:tcPr>
          <w:p w14:paraId="1E3DDBC3" w14:textId="5270BC6F" w:rsidR="006D68C3" w:rsidRPr="004712DC" w:rsidRDefault="00E133BF" w:rsidP="00B12559">
            <w:pPr>
              <w:widowControl w:val="0"/>
              <w:tabs>
                <w:tab w:val="left" w:pos="0"/>
              </w:tabs>
              <w:autoSpaceDE w:val="0"/>
              <w:autoSpaceDN w:val="0"/>
              <w:adjustRightInd w:val="0"/>
              <w:rPr>
                <w:rFonts w:eastAsia="Calibri"/>
                <w:color w:val="000000"/>
              </w:rPr>
            </w:pPr>
            <w:r w:rsidRPr="004712DC">
              <w:rPr>
                <w:rFonts w:eastAsia="Calibri"/>
                <w:color w:val="000000"/>
              </w:rPr>
              <w:t>General Public – Adults (persons with early syphilis who</w:t>
            </w:r>
            <w:r w:rsidR="00B12559">
              <w:rPr>
                <w:rFonts w:eastAsia="Calibri"/>
                <w:color w:val="000000"/>
              </w:rPr>
              <w:t xml:space="preserve"> were reported with</w:t>
            </w:r>
            <w:r w:rsidRPr="004712DC">
              <w:rPr>
                <w:rFonts w:eastAsia="Calibri"/>
                <w:color w:val="000000"/>
              </w:rPr>
              <w:t xml:space="preserve"> neurologic/ ocular manifestations</w:t>
            </w:r>
          </w:p>
        </w:tc>
        <w:tc>
          <w:tcPr>
            <w:tcW w:w="2206" w:type="dxa"/>
            <w:shd w:val="clear" w:color="auto" w:fill="auto"/>
          </w:tcPr>
          <w:p w14:paraId="462478EB" w14:textId="4C490619" w:rsidR="006D68C3" w:rsidRPr="004712DC" w:rsidRDefault="00255077" w:rsidP="008C5496">
            <w:pPr>
              <w:widowControl w:val="0"/>
              <w:tabs>
                <w:tab w:val="left" w:pos="0"/>
              </w:tabs>
              <w:autoSpaceDE w:val="0"/>
              <w:autoSpaceDN w:val="0"/>
              <w:adjustRightInd w:val="0"/>
              <w:rPr>
                <w:rFonts w:eastAsia="Calibri"/>
                <w:color w:val="000000"/>
              </w:rPr>
            </w:pPr>
            <w:r>
              <w:rPr>
                <w:rFonts w:eastAsia="Calibri"/>
                <w:color w:val="000000"/>
              </w:rPr>
              <w:t>3 month f</w:t>
            </w:r>
            <w:r w:rsidR="00E133BF" w:rsidRPr="004712DC">
              <w:rPr>
                <w:rFonts w:eastAsia="Calibri"/>
                <w:color w:val="000000"/>
              </w:rPr>
              <w:t>ollow</w:t>
            </w:r>
            <w:r>
              <w:rPr>
                <w:rFonts w:eastAsia="Calibri"/>
                <w:color w:val="000000"/>
              </w:rPr>
              <w:t>-</w:t>
            </w:r>
            <w:r w:rsidR="00E133BF" w:rsidRPr="004712DC">
              <w:rPr>
                <w:rFonts w:eastAsia="Calibri"/>
                <w:color w:val="000000"/>
              </w:rPr>
              <w:t>up</w:t>
            </w:r>
            <w:r w:rsidR="00B12559">
              <w:rPr>
                <w:rFonts w:eastAsia="Calibri"/>
                <w:color w:val="000000"/>
              </w:rPr>
              <w:t xml:space="preserve"> telephone</w:t>
            </w:r>
            <w:r w:rsidR="00E133BF" w:rsidRPr="004712DC">
              <w:rPr>
                <w:rFonts w:eastAsia="Calibri"/>
                <w:color w:val="000000"/>
              </w:rPr>
              <w:t xml:space="preserve"> Interview </w:t>
            </w:r>
            <w:r w:rsidR="00E133BF" w:rsidRPr="006C13DB">
              <w:rPr>
                <w:rFonts w:eastAsia="Calibri"/>
                <w:b/>
                <w:color w:val="000000"/>
              </w:rPr>
              <w:t>(</w:t>
            </w:r>
            <w:r w:rsidR="006C13DB">
              <w:rPr>
                <w:rFonts w:eastAsia="Calibri"/>
                <w:b/>
                <w:color w:val="000000"/>
              </w:rPr>
              <w:t>ATT</w:t>
            </w:r>
            <w:r w:rsidR="008C5496">
              <w:rPr>
                <w:rFonts w:eastAsia="Calibri"/>
                <w:b/>
                <w:color w:val="000000"/>
              </w:rPr>
              <w:t xml:space="preserve"> </w:t>
            </w:r>
            <w:r w:rsidR="00EA5440">
              <w:rPr>
                <w:rFonts w:eastAsia="Calibri"/>
                <w:b/>
                <w:color w:val="000000"/>
              </w:rPr>
              <w:t>8</w:t>
            </w:r>
            <w:r w:rsidR="00E133BF" w:rsidRPr="006C13DB">
              <w:rPr>
                <w:rFonts w:eastAsia="Calibri"/>
                <w:b/>
                <w:color w:val="000000"/>
              </w:rPr>
              <w:t>)</w:t>
            </w:r>
          </w:p>
        </w:tc>
        <w:tc>
          <w:tcPr>
            <w:tcW w:w="1672" w:type="dxa"/>
            <w:shd w:val="clear" w:color="auto" w:fill="auto"/>
          </w:tcPr>
          <w:p w14:paraId="003FA83E"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203</w:t>
            </w:r>
          </w:p>
        </w:tc>
        <w:tc>
          <w:tcPr>
            <w:tcW w:w="1501" w:type="dxa"/>
            <w:shd w:val="clear" w:color="auto" w:fill="auto"/>
          </w:tcPr>
          <w:p w14:paraId="2525EFF9"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w:t>
            </w:r>
          </w:p>
        </w:tc>
        <w:tc>
          <w:tcPr>
            <w:tcW w:w="1318" w:type="dxa"/>
            <w:shd w:val="clear" w:color="auto" w:fill="auto"/>
          </w:tcPr>
          <w:p w14:paraId="3B73E5B2"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5/60</w:t>
            </w:r>
          </w:p>
        </w:tc>
        <w:tc>
          <w:tcPr>
            <w:tcW w:w="1133" w:type="dxa"/>
            <w:shd w:val="clear" w:color="auto" w:fill="auto"/>
          </w:tcPr>
          <w:p w14:paraId="683FB567" w14:textId="4532ADB7" w:rsidR="006D68C3" w:rsidRPr="004712DC" w:rsidRDefault="00441B69" w:rsidP="00441B69">
            <w:pPr>
              <w:widowControl w:val="0"/>
              <w:tabs>
                <w:tab w:val="left" w:pos="0"/>
              </w:tabs>
              <w:autoSpaceDE w:val="0"/>
              <w:autoSpaceDN w:val="0"/>
              <w:adjustRightInd w:val="0"/>
              <w:rPr>
                <w:rFonts w:eastAsia="Calibri"/>
                <w:color w:val="000000"/>
              </w:rPr>
            </w:pPr>
            <w:r w:rsidRPr="004712DC">
              <w:rPr>
                <w:rFonts w:eastAsia="Calibri"/>
                <w:color w:val="000000"/>
              </w:rPr>
              <w:t>1</w:t>
            </w:r>
            <w:r>
              <w:rPr>
                <w:rFonts w:eastAsia="Calibri"/>
                <w:color w:val="000000"/>
              </w:rPr>
              <w:t>7</w:t>
            </w:r>
          </w:p>
        </w:tc>
      </w:tr>
      <w:tr w:rsidR="008C5496" w:rsidRPr="004712DC" w14:paraId="384E8F03" w14:textId="77777777" w:rsidTr="008C5496">
        <w:tc>
          <w:tcPr>
            <w:tcW w:w="2610" w:type="dxa"/>
            <w:shd w:val="clear" w:color="auto" w:fill="auto"/>
          </w:tcPr>
          <w:p w14:paraId="18E14939" w14:textId="12B585D6" w:rsidR="006D68C3" w:rsidRPr="004712DC" w:rsidRDefault="006D68C3" w:rsidP="00E133BF">
            <w:pPr>
              <w:widowControl w:val="0"/>
              <w:tabs>
                <w:tab w:val="left" w:pos="0"/>
              </w:tabs>
              <w:autoSpaceDE w:val="0"/>
              <w:autoSpaceDN w:val="0"/>
              <w:adjustRightInd w:val="0"/>
              <w:rPr>
                <w:rFonts w:eastAsia="Calibri"/>
                <w:color w:val="000000"/>
              </w:rPr>
            </w:pPr>
            <w:r w:rsidRPr="004712DC">
              <w:rPr>
                <w:rFonts w:eastAsia="Calibri"/>
                <w:color w:val="000000"/>
              </w:rPr>
              <w:t>Data Managers: 10 local/state health department</w:t>
            </w:r>
          </w:p>
        </w:tc>
        <w:tc>
          <w:tcPr>
            <w:tcW w:w="2206" w:type="dxa"/>
            <w:shd w:val="clear" w:color="auto" w:fill="auto"/>
          </w:tcPr>
          <w:p w14:paraId="15C2D385" w14:textId="1AAA130E" w:rsidR="006D68C3" w:rsidRPr="004712DC" w:rsidRDefault="00E133BF" w:rsidP="00A344F1">
            <w:pPr>
              <w:widowControl w:val="0"/>
              <w:tabs>
                <w:tab w:val="left" w:pos="0"/>
              </w:tabs>
              <w:autoSpaceDE w:val="0"/>
              <w:autoSpaceDN w:val="0"/>
              <w:adjustRightInd w:val="0"/>
              <w:rPr>
                <w:rFonts w:eastAsia="Calibri"/>
                <w:color w:val="000000"/>
              </w:rPr>
            </w:pPr>
            <w:r w:rsidRPr="004712DC">
              <w:rPr>
                <w:rFonts w:eastAsia="Calibri"/>
                <w:color w:val="000000"/>
              </w:rPr>
              <w:t>Data cleaning/</w:t>
            </w:r>
            <w:r w:rsidR="00A344F1" w:rsidRPr="004712DC">
              <w:rPr>
                <w:rFonts w:eastAsia="Calibri"/>
                <w:color w:val="000000"/>
              </w:rPr>
              <w:t xml:space="preserve"> </w:t>
            </w:r>
            <w:r w:rsidRPr="004712DC">
              <w:rPr>
                <w:rFonts w:eastAsia="Calibri"/>
                <w:color w:val="000000"/>
              </w:rPr>
              <w:t>validation</w:t>
            </w:r>
            <w:r w:rsidR="00255077">
              <w:rPr>
                <w:rFonts w:eastAsia="Calibri"/>
                <w:color w:val="000000"/>
              </w:rPr>
              <w:t>/reformatting</w:t>
            </w:r>
          </w:p>
        </w:tc>
        <w:tc>
          <w:tcPr>
            <w:tcW w:w="1672" w:type="dxa"/>
            <w:shd w:val="clear" w:color="auto" w:fill="auto"/>
          </w:tcPr>
          <w:p w14:paraId="6E39578D"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10</w:t>
            </w:r>
          </w:p>
        </w:tc>
        <w:tc>
          <w:tcPr>
            <w:tcW w:w="1501" w:type="dxa"/>
            <w:shd w:val="clear" w:color="auto" w:fill="auto"/>
          </w:tcPr>
          <w:p w14:paraId="28E0ABF1"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12</w:t>
            </w:r>
          </w:p>
        </w:tc>
        <w:tc>
          <w:tcPr>
            <w:tcW w:w="1318" w:type="dxa"/>
            <w:shd w:val="clear" w:color="auto" w:fill="auto"/>
          </w:tcPr>
          <w:p w14:paraId="4E310FCC"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19</w:t>
            </w:r>
          </w:p>
        </w:tc>
        <w:tc>
          <w:tcPr>
            <w:tcW w:w="1133" w:type="dxa"/>
            <w:shd w:val="clear" w:color="auto" w:fill="auto"/>
          </w:tcPr>
          <w:p w14:paraId="4B37D761"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2,280</w:t>
            </w:r>
          </w:p>
        </w:tc>
      </w:tr>
      <w:tr w:rsidR="008C5496" w:rsidRPr="004712DC" w14:paraId="331F59AB" w14:textId="77777777" w:rsidTr="008C5496">
        <w:tc>
          <w:tcPr>
            <w:tcW w:w="2610" w:type="dxa"/>
            <w:shd w:val="clear" w:color="auto" w:fill="auto"/>
          </w:tcPr>
          <w:p w14:paraId="38D139B6"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Total</w:t>
            </w:r>
          </w:p>
        </w:tc>
        <w:tc>
          <w:tcPr>
            <w:tcW w:w="2206" w:type="dxa"/>
            <w:shd w:val="clear" w:color="auto" w:fill="auto"/>
          </w:tcPr>
          <w:p w14:paraId="4D9FC9DE" w14:textId="77777777" w:rsidR="006D68C3" w:rsidRPr="004712DC" w:rsidRDefault="006D68C3" w:rsidP="006D68C3">
            <w:pPr>
              <w:widowControl w:val="0"/>
              <w:tabs>
                <w:tab w:val="left" w:pos="0"/>
              </w:tabs>
              <w:autoSpaceDE w:val="0"/>
              <w:autoSpaceDN w:val="0"/>
              <w:adjustRightInd w:val="0"/>
              <w:rPr>
                <w:rFonts w:eastAsia="Calibri"/>
                <w:color w:val="000000"/>
              </w:rPr>
            </w:pPr>
            <w:r w:rsidRPr="004712DC">
              <w:rPr>
                <w:rFonts w:eastAsia="Calibri"/>
                <w:color w:val="000000"/>
              </w:rPr>
              <w:t>............</w:t>
            </w:r>
          </w:p>
        </w:tc>
        <w:tc>
          <w:tcPr>
            <w:tcW w:w="1672" w:type="dxa"/>
            <w:shd w:val="clear" w:color="auto" w:fill="auto"/>
          </w:tcPr>
          <w:p w14:paraId="06101FD2" w14:textId="77777777" w:rsidR="006D68C3" w:rsidRPr="004712DC" w:rsidRDefault="006D68C3" w:rsidP="006D68C3">
            <w:pPr>
              <w:rPr>
                <w:rFonts w:eastAsia="Calibri"/>
              </w:rPr>
            </w:pPr>
            <w:r w:rsidRPr="004712DC">
              <w:rPr>
                <w:rFonts w:eastAsia="Calibri"/>
                <w:color w:val="000000"/>
              </w:rPr>
              <w:t>..............</w:t>
            </w:r>
          </w:p>
        </w:tc>
        <w:tc>
          <w:tcPr>
            <w:tcW w:w="1501" w:type="dxa"/>
            <w:shd w:val="clear" w:color="auto" w:fill="auto"/>
          </w:tcPr>
          <w:p w14:paraId="33A16A6C" w14:textId="77777777" w:rsidR="006D68C3" w:rsidRPr="004712DC" w:rsidRDefault="006D68C3" w:rsidP="006D68C3">
            <w:pPr>
              <w:rPr>
                <w:rFonts w:eastAsia="Calibri"/>
              </w:rPr>
            </w:pPr>
            <w:r w:rsidRPr="004712DC">
              <w:rPr>
                <w:rFonts w:eastAsia="Calibri"/>
                <w:color w:val="000000"/>
              </w:rPr>
              <w:t>..............</w:t>
            </w:r>
          </w:p>
        </w:tc>
        <w:tc>
          <w:tcPr>
            <w:tcW w:w="1318" w:type="dxa"/>
            <w:shd w:val="clear" w:color="auto" w:fill="auto"/>
          </w:tcPr>
          <w:p w14:paraId="527C6E60" w14:textId="77777777" w:rsidR="006D68C3" w:rsidRPr="004712DC" w:rsidRDefault="006D68C3" w:rsidP="006D68C3">
            <w:pPr>
              <w:rPr>
                <w:rFonts w:eastAsia="Calibri"/>
              </w:rPr>
            </w:pPr>
            <w:r w:rsidRPr="004712DC">
              <w:rPr>
                <w:rFonts w:eastAsia="Calibri"/>
                <w:color w:val="000000"/>
              </w:rPr>
              <w:t>.............</w:t>
            </w:r>
          </w:p>
        </w:tc>
        <w:tc>
          <w:tcPr>
            <w:tcW w:w="1133" w:type="dxa"/>
            <w:shd w:val="clear" w:color="auto" w:fill="auto"/>
          </w:tcPr>
          <w:p w14:paraId="0AA33B1C" w14:textId="06A233CB" w:rsidR="006D68C3" w:rsidRPr="004712DC" w:rsidRDefault="00674FDD" w:rsidP="006D68C3">
            <w:pPr>
              <w:widowControl w:val="0"/>
              <w:tabs>
                <w:tab w:val="left" w:pos="0"/>
              </w:tabs>
              <w:autoSpaceDE w:val="0"/>
              <w:autoSpaceDN w:val="0"/>
              <w:adjustRightInd w:val="0"/>
              <w:rPr>
                <w:rFonts w:eastAsia="Calibri"/>
                <w:color w:val="000000"/>
              </w:rPr>
            </w:pPr>
            <w:r>
              <w:rPr>
                <w:rFonts w:eastAsia="Calibri"/>
                <w:color w:val="000000"/>
              </w:rPr>
              <w:t>3,460</w:t>
            </w:r>
          </w:p>
        </w:tc>
      </w:tr>
    </w:tbl>
    <w:p w14:paraId="5E84DBA8" w14:textId="29EBA9F4" w:rsidR="006D68C3" w:rsidRPr="004712DC" w:rsidRDefault="006D68C3" w:rsidP="00CF6FC3">
      <w:pPr>
        <w:keepNext/>
        <w:autoSpaceDE w:val="0"/>
        <w:autoSpaceDN w:val="0"/>
        <w:adjustRightInd w:val="0"/>
      </w:pPr>
    </w:p>
    <w:p w14:paraId="40251412" w14:textId="4CCC3B3D" w:rsidR="00312E07" w:rsidRPr="004712DC" w:rsidRDefault="00312E07" w:rsidP="00312E07">
      <w:pPr>
        <w:keepNext/>
        <w:autoSpaceDE w:val="0"/>
        <w:autoSpaceDN w:val="0"/>
        <w:adjustRightInd w:val="0"/>
        <w:rPr>
          <w:b/>
          <w:bCs/>
          <w:u w:val="single"/>
        </w:rPr>
      </w:pPr>
      <w:r w:rsidRPr="004712DC">
        <w:rPr>
          <w:b/>
          <w:bCs/>
        </w:rPr>
        <w:t>Estimated An</w:t>
      </w:r>
      <w:r w:rsidRPr="004712DC">
        <w:rPr>
          <w:b/>
          <w:bCs/>
          <w:u w:val="single"/>
        </w:rPr>
        <w:t>nualized Burden Hours and Costs</w:t>
      </w:r>
    </w:p>
    <w:p w14:paraId="50E3BB06" w14:textId="4B8AB6A9" w:rsidR="006D68C3" w:rsidRPr="004712DC" w:rsidRDefault="006D68C3" w:rsidP="00CF6FC3">
      <w:pPr>
        <w:keepNext/>
        <w:autoSpaceDE w:val="0"/>
        <w:autoSpaceDN w:val="0"/>
        <w:adjustRightInd w:val="0"/>
      </w:pPr>
    </w:p>
    <w:p w14:paraId="0A406A85" w14:textId="2A314E2D" w:rsidR="00312E07" w:rsidRPr="004712DC" w:rsidRDefault="00312E07" w:rsidP="009A053A">
      <w:pPr>
        <w:autoSpaceDE w:val="0"/>
        <w:autoSpaceDN w:val="0"/>
        <w:adjustRightInd w:val="0"/>
        <w:rPr>
          <w:b/>
        </w:rPr>
      </w:pPr>
      <w:r w:rsidRPr="004712DC">
        <w:rPr>
          <w:b/>
        </w:rPr>
        <w:t>Table A.12.B Annualized Cost to Respondents</w:t>
      </w:r>
    </w:p>
    <w:p w14:paraId="4090F023" w14:textId="77777777" w:rsidR="00312E07" w:rsidRPr="004712DC" w:rsidRDefault="00312E07" w:rsidP="009A053A">
      <w:pPr>
        <w:autoSpaceDE w:val="0"/>
        <w:autoSpaceDN w:val="0"/>
        <w:adjustRightInd w:val="0"/>
      </w:pPr>
    </w:p>
    <w:p w14:paraId="53282695" w14:textId="322FA2A6" w:rsidR="002B68C4" w:rsidRPr="004712DC" w:rsidRDefault="002B68C4" w:rsidP="002B68C4">
      <w:pPr>
        <w:autoSpaceDE w:val="0"/>
        <w:autoSpaceDN w:val="0"/>
        <w:adjustRightInd w:val="0"/>
      </w:pPr>
      <w:r w:rsidRPr="004712DC">
        <w:t>The table (A.12.B) below presents the estimated annualized burden costs. The data managers at the clinics have an average hourly wage of $29.88 and the data</w:t>
      </w:r>
      <w:r w:rsidR="00125A99" w:rsidRPr="004712DC">
        <w:t>base</w:t>
      </w:r>
      <w:r w:rsidRPr="004712DC">
        <w:t xml:space="preserve"> administrators at the health department have an hourly wage of $43.28. The majority of the patient respondents will be of lower socioeconomic status.  If employed, the majority are likely to be in service-related industries with an estimated average hourly wage of $13.00. It is estimated that the respondents completing the fax back form for facility investigations will be </w:t>
      </w:r>
      <w:r w:rsidR="00125A99" w:rsidRPr="004712DC">
        <w:t>medical records and health information technicians</w:t>
      </w:r>
      <w:r w:rsidRPr="004712DC">
        <w:t xml:space="preserve"> with an hourly wage of $</w:t>
      </w:r>
      <w:r w:rsidR="00125A99" w:rsidRPr="004712DC">
        <w:t>1</w:t>
      </w:r>
      <w:r w:rsidRPr="004712DC">
        <w:t>9.</w:t>
      </w:r>
      <w:r w:rsidR="00125A99" w:rsidRPr="004712DC">
        <w:t>95</w:t>
      </w:r>
      <w:r w:rsidRPr="004712DC">
        <w:t xml:space="preserve">.  </w:t>
      </w:r>
    </w:p>
    <w:p w14:paraId="77DC4F08" w14:textId="77777777" w:rsidR="002B68C4" w:rsidRPr="004712DC" w:rsidRDefault="002B68C4" w:rsidP="002B68C4">
      <w:pPr>
        <w:autoSpaceDE w:val="0"/>
        <w:autoSpaceDN w:val="0"/>
        <w:adjustRightInd w:val="0"/>
      </w:pPr>
    </w:p>
    <w:p w14:paraId="019B1393" w14:textId="465CF97F" w:rsidR="00312E07" w:rsidRPr="004712DC" w:rsidRDefault="00312E07" w:rsidP="002B68C4">
      <w:pPr>
        <w:autoSpaceDE w:val="0"/>
        <w:autoSpaceDN w:val="0"/>
        <w:adjustRightInd w:val="0"/>
      </w:pPr>
      <w:r w:rsidRPr="004712DC">
        <w:t xml:space="preserve">Note:  The hourly rate was determined by using information obtained from the US Department of Labor, Bureau of Labor Statistics:  </w:t>
      </w:r>
      <w:hyperlink r:id="rId10" w:history="1">
        <w:r w:rsidRPr="004712DC">
          <w:rPr>
            <w:rStyle w:val="Hyperlink"/>
          </w:rPr>
          <w:t>http://www.bls.gov/cps/cpsaat39.htm</w:t>
        </w:r>
      </w:hyperlink>
    </w:p>
    <w:p w14:paraId="30D1F37B" w14:textId="1CF82527" w:rsidR="00312E07" w:rsidRPr="004712DC" w:rsidRDefault="00312E07" w:rsidP="002B68C4">
      <w:pPr>
        <w:autoSpaceDE w:val="0"/>
        <w:autoSpaceDN w:val="0"/>
        <w:adjustRightInd w:val="0"/>
      </w:pPr>
    </w:p>
    <w:p w14:paraId="76B60B07" w14:textId="77777777" w:rsidR="002B68C4" w:rsidRPr="004712DC" w:rsidRDefault="002B68C4" w:rsidP="002B68C4">
      <w:pPr>
        <w:autoSpaceDE w:val="0"/>
        <w:autoSpaceDN w:val="0"/>
        <w:adjustRightInd w:val="0"/>
      </w:pPr>
    </w:p>
    <w:tbl>
      <w:tblPr>
        <w:tblStyle w:val="TableGrid"/>
        <w:tblpPr w:leftFromText="180" w:rightFromText="180" w:vertAnchor="text" w:horzAnchor="margin" w:tblpY="578"/>
        <w:tblW w:w="10170" w:type="dxa"/>
        <w:tblLayout w:type="fixed"/>
        <w:tblLook w:val="01E0" w:firstRow="1" w:lastRow="1" w:firstColumn="1" w:lastColumn="1" w:noHBand="0" w:noVBand="0"/>
      </w:tblPr>
      <w:tblGrid>
        <w:gridCol w:w="2160"/>
        <w:gridCol w:w="1525"/>
        <w:gridCol w:w="1355"/>
        <w:gridCol w:w="1980"/>
        <w:gridCol w:w="3150"/>
      </w:tblGrid>
      <w:tr w:rsidR="00312E07" w:rsidRPr="004712DC" w14:paraId="341D7F42" w14:textId="77777777" w:rsidTr="0059048E">
        <w:tc>
          <w:tcPr>
            <w:tcW w:w="2160" w:type="dxa"/>
          </w:tcPr>
          <w:p w14:paraId="5B1F74A6" w14:textId="77777777"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Type of Respondent</w:t>
            </w:r>
          </w:p>
        </w:tc>
        <w:tc>
          <w:tcPr>
            <w:tcW w:w="1525" w:type="dxa"/>
          </w:tcPr>
          <w:p w14:paraId="60CAFB70" w14:textId="58555F74" w:rsidR="00312E07" w:rsidRPr="004712DC" w:rsidRDefault="006F044A"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No of Respondents</w:t>
            </w:r>
          </w:p>
        </w:tc>
        <w:tc>
          <w:tcPr>
            <w:tcW w:w="1355" w:type="dxa"/>
          </w:tcPr>
          <w:p w14:paraId="661CF08B" w14:textId="5E3BB9CF"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Total Burden </w:t>
            </w:r>
            <w:r w:rsidR="006F044A" w:rsidRPr="004712DC">
              <w:rPr>
                <w:bCs/>
              </w:rPr>
              <w:t>H</w:t>
            </w:r>
            <w:r w:rsidRPr="004712DC">
              <w:rPr>
                <w:bCs/>
              </w:rPr>
              <w:t>ours</w:t>
            </w:r>
          </w:p>
        </w:tc>
        <w:tc>
          <w:tcPr>
            <w:tcW w:w="1980" w:type="dxa"/>
          </w:tcPr>
          <w:p w14:paraId="7F45042C" w14:textId="77777777"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Hourly Wage Rate</w:t>
            </w:r>
          </w:p>
        </w:tc>
        <w:tc>
          <w:tcPr>
            <w:tcW w:w="3150" w:type="dxa"/>
          </w:tcPr>
          <w:p w14:paraId="15BDF99B" w14:textId="77777777"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Total Respondent Cost</w:t>
            </w:r>
          </w:p>
        </w:tc>
      </w:tr>
      <w:tr w:rsidR="00312E07" w:rsidRPr="004712DC" w14:paraId="35326BCB" w14:textId="77777777" w:rsidTr="0059048E">
        <w:tc>
          <w:tcPr>
            <w:tcW w:w="2160" w:type="dxa"/>
          </w:tcPr>
          <w:p w14:paraId="6AA7D98C" w14:textId="23DB7083"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Clinic data manager </w:t>
            </w:r>
          </w:p>
        </w:tc>
        <w:tc>
          <w:tcPr>
            <w:tcW w:w="1525" w:type="dxa"/>
            <w:vAlign w:val="bottom"/>
          </w:tcPr>
          <w:p w14:paraId="4451B024" w14:textId="34782A28" w:rsidR="00312E07" w:rsidRPr="004712DC" w:rsidRDefault="006F044A"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t>10</w:t>
            </w:r>
          </w:p>
        </w:tc>
        <w:tc>
          <w:tcPr>
            <w:tcW w:w="1355" w:type="dxa"/>
            <w:vAlign w:val="bottom"/>
          </w:tcPr>
          <w:p w14:paraId="0CDF3E95"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180</w:t>
            </w:r>
          </w:p>
        </w:tc>
        <w:tc>
          <w:tcPr>
            <w:tcW w:w="1980" w:type="dxa"/>
            <w:vAlign w:val="bottom"/>
          </w:tcPr>
          <w:p w14:paraId="6B708403"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56855588" w14:textId="00F60ED6" w:rsidR="00312E07" w:rsidRPr="004712DC" w:rsidRDefault="00312E07" w:rsidP="006F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$29.</w:t>
            </w:r>
            <w:r w:rsidR="006F044A" w:rsidRPr="004712DC">
              <w:rPr>
                <w:bCs/>
              </w:rPr>
              <w:t>88</w:t>
            </w:r>
          </w:p>
        </w:tc>
        <w:tc>
          <w:tcPr>
            <w:tcW w:w="3150" w:type="dxa"/>
            <w:vAlign w:val="bottom"/>
          </w:tcPr>
          <w:p w14:paraId="542F38B8"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29FBD6A" w14:textId="7AA3D419" w:rsidR="00312E07" w:rsidRPr="004712DC" w:rsidRDefault="00312E07" w:rsidP="006F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$5,</w:t>
            </w:r>
            <w:r w:rsidR="006F044A" w:rsidRPr="004712DC">
              <w:rPr>
                <w:bCs/>
              </w:rPr>
              <w:t>378</w:t>
            </w:r>
          </w:p>
        </w:tc>
      </w:tr>
      <w:tr w:rsidR="00312E07" w:rsidRPr="004712DC" w14:paraId="1A68ABE2" w14:textId="77777777" w:rsidTr="0059048E">
        <w:tc>
          <w:tcPr>
            <w:tcW w:w="2160" w:type="dxa"/>
          </w:tcPr>
          <w:p w14:paraId="6A5E0DE1"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Data Administrator at health department</w:t>
            </w:r>
          </w:p>
        </w:tc>
        <w:tc>
          <w:tcPr>
            <w:tcW w:w="1525" w:type="dxa"/>
            <w:vAlign w:val="bottom"/>
          </w:tcPr>
          <w:p w14:paraId="3547675A" w14:textId="301E4A0A" w:rsidR="00312E07" w:rsidRPr="004712DC" w:rsidRDefault="006F044A"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t>10</w:t>
            </w:r>
          </w:p>
        </w:tc>
        <w:tc>
          <w:tcPr>
            <w:tcW w:w="1355" w:type="dxa"/>
            <w:vAlign w:val="bottom"/>
          </w:tcPr>
          <w:p w14:paraId="0F54AFC8"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2280</w:t>
            </w:r>
          </w:p>
        </w:tc>
        <w:tc>
          <w:tcPr>
            <w:tcW w:w="1980" w:type="dxa"/>
            <w:vAlign w:val="bottom"/>
          </w:tcPr>
          <w:p w14:paraId="3EE83518"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6D499E5A" w14:textId="3C7DAE54" w:rsidR="00312E07" w:rsidRPr="004712DC" w:rsidRDefault="00312E07" w:rsidP="006F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$4</w:t>
            </w:r>
            <w:r w:rsidR="006F044A" w:rsidRPr="004712DC">
              <w:rPr>
                <w:bCs/>
              </w:rPr>
              <w:t>3.28</w:t>
            </w:r>
          </w:p>
        </w:tc>
        <w:tc>
          <w:tcPr>
            <w:tcW w:w="3150" w:type="dxa"/>
            <w:vAlign w:val="bottom"/>
          </w:tcPr>
          <w:p w14:paraId="3C4CCB39"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691D0C2B" w14:textId="0B03CC88" w:rsidR="00312E07" w:rsidRPr="004712DC" w:rsidRDefault="00312E07" w:rsidP="006F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$9</w:t>
            </w:r>
            <w:r w:rsidR="006F044A" w:rsidRPr="004712DC">
              <w:rPr>
                <w:bCs/>
              </w:rPr>
              <w:t>8</w:t>
            </w:r>
            <w:r w:rsidRPr="004712DC">
              <w:rPr>
                <w:bCs/>
              </w:rPr>
              <w:t>,</w:t>
            </w:r>
            <w:r w:rsidR="006F044A" w:rsidRPr="004712DC">
              <w:rPr>
                <w:bCs/>
              </w:rPr>
              <w:t>667</w:t>
            </w:r>
          </w:p>
        </w:tc>
      </w:tr>
      <w:tr w:rsidR="00312E07" w:rsidRPr="004712DC" w14:paraId="1C7AD5A5" w14:textId="77777777" w:rsidTr="0059048E">
        <w:tc>
          <w:tcPr>
            <w:tcW w:w="2160" w:type="dxa"/>
          </w:tcPr>
          <w:p w14:paraId="3C96C3E9" w14:textId="4AEE856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Patients diagnosed with gonorrhea</w:t>
            </w:r>
            <w:r w:rsidR="002B68C4" w:rsidRPr="004712DC">
              <w:rPr>
                <w:bCs/>
              </w:rPr>
              <w:t xml:space="preserve"> and/or early syphilis</w:t>
            </w:r>
          </w:p>
        </w:tc>
        <w:tc>
          <w:tcPr>
            <w:tcW w:w="1525" w:type="dxa"/>
            <w:vAlign w:val="bottom"/>
          </w:tcPr>
          <w:p w14:paraId="7EE68E11" w14:textId="150B3EB2" w:rsidR="00312E07" w:rsidRPr="004712DC" w:rsidRDefault="002B68C4"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5492</w:t>
            </w:r>
          </w:p>
        </w:tc>
        <w:tc>
          <w:tcPr>
            <w:tcW w:w="1355" w:type="dxa"/>
            <w:vAlign w:val="bottom"/>
          </w:tcPr>
          <w:p w14:paraId="6DE52CDE" w14:textId="36EF4FC1" w:rsidR="00312E07" w:rsidRPr="004712DC" w:rsidRDefault="00674FDD"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915</w:t>
            </w:r>
          </w:p>
        </w:tc>
        <w:tc>
          <w:tcPr>
            <w:tcW w:w="1980" w:type="dxa"/>
            <w:vAlign w:val="bottom"/>
          </w:tcPr>
          <w:p w14:paraId="0BF722E2" w14:textId="596FA65D"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2B68C4" w:rsidRPr="004712DC">
              <w:rPr>
                <w:bCs/>
              </w:rPr>
              <w:t>13</w:t>
            </w:r>
            <w:r w:rsidRPr="004712DC">
              <w:rPr>
                <w:bCs/>
              </w:rPr>
              <w:t>.00</w:t>
            </w:r>
          </w:p>
        </w:tc>
        <w:tc>
          <w:tcPr>
            <w:tcW w:w="3150" w:type="dxa"/>
            <w:vAlign w:val="bottom"/>
          </w:tcPr>
          <w:p w14:paraId="2301F0AD" w14:textId="4AE60919" w:rsidR="00312E07" w:rsidRPr="004712DC" w:rsidRDefault="00674FDD"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$11,895</w:t>
            </w:r>
          </w:p>
        </w:tc>
      </w:tr>
      <w:tr w:rsidR="00312E07" w:rsidRPr="004712DC" w14:paraId="40ACE788" w14:textId="77777777" w:rsidTr="0059048E">
        <w:tc>
          <w:tcPr>
            <w:tcW w:w="2160" w:type="dxa"/>
          </w:tcPr>
          <w:p w14:paraId="2F62E8A5" w14:textId="68A95D2D" w:rsidR="00312E07" w:rsidRPr="004712DC" w:rsidRDefault="002B68C4"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Medical Record Technician at diagnosing healthcare provider</w:t>
            </w:r>
          </w:p>
        </w:tc>
        <w:tc>
          <w:tcPr>
            <w:tcW w:w="1525" w:type="dxa"/>
            <w:vAlign w:val="bottom"/>
          </w:tcPr>
          <w:p w14:paraId="0083C348" w14:textId="7411B859" w:rsidR="00312E07" w:rsidRPr="004712DC" w:rsidRDefault="002B68C4"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406</w:t>
            </w:r>
          </w:p>
        </w:tc>
        <w:tc>
          <w:tcPr>
            <w:tcW w:w="1355" w:type="dxa"/>
            <w:vAlign w:val="bottom"/>
          </w:tcPr>
          <w:p w14:paraId="59E7639E" w14:textId="4235B524" w:rsidR="00312E07" w:rsidRPr="004712DC" w:rsidRDefault="00312E07" w:rsidP="007C1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6</w:t>
            </w:r>
            <w:r w:rsidR="007C1200">
              <w:rPr>
                <w:bCs/>
              </w:rPr>
              <w:t>8</w:t>
            </w:r>
          </w:p>
        </w:tc>
        <w:tc>
          <w:tcPr>
            <w:tcW w:w="1980" w:type="dxa"/>
            <w:vAlign w:val="bottom"/>
          </w:tcPr>
          <w:p w14:paraId="1CE582A9" w14:textId="7E3B46B7"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$1</w:t>
            </w:r>
            <w:r w:rsidR="002B68C4" w:rsidRPr="004712DC">
              <w:rPr>
                <w:bCs/>
              </w:rPr>
              <w:t>9.95</w:t>
            </w:r>
          </w:p>
        </w:tc>
        <w:tc>
          <w:tcPr>
            <w:tcW w:w="3150" w:type="dxa"/>
            <w:vAlign w:val="bottom"/>
          </w:tcPr>
          <w:p w14:paraId="2BD25FAB" w14:textId="04E9ECF6"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$1</w:t>
            </w:r>
            <w:r w:rsidR="00D16A70">
              <w:rPr>
                <w:bCs/>
              </w:rPr>
              <w:t>,35</w:t>
            </w:r>
            <w:r w:rsidR="002B68C4" w:rsidRPr="004712DC">
              <w:rPr>
                <w:bCs/>
              </w:rPr>
              <w:t>7</w:t>
            </w:r>
          </w:p>
        </w:tc>
      </w:tr>
      <w:tr w:rsidR="00312E07" w:rsidRPr="004712DC" w14:paraId="7CDEF017" w14:textId="77777777" w:rsidTr="0059048E">
        <w:tc>
          <w:tcPr>
            <w:tcW w:w="2160" w:type="dxa"/>
          </w:tcPr>
          <w:p w14:paraId="443B2007" w14:textId="6EE56368"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Three month follow</w:t>
            </w:r>
            <w:r w:rsidR="002B68C4" w:rsidRPr="004712DC">
              <w:rPr>
                <w:bCs/>
              </w:rPr>
              <w:t>-</w:t>
            </w:r>
            <w:r w:rsidRPr="004712DC">
              <w:rPr>
                <w:bCs/>
              </w:rPr>
              <w:t xml:space="preserve"> up interview among patients diagnosed with early syphilis</w:t>
            </w:r>
            <w:r w:rsidR="002B68C4" w:rsidRPr="004712DC">
              <w:rPr>
                <w:bCs/>
              </w:rPr>
              <w:t xml:space="preserve"> w/ ocular/neurologic manifestations</w:t>
            </w:r>
          </w:p>
        </w:tc>
        <w:tc>
          <w:tcPr>
            <w:tcW w:w="1525" w:type="dxa"/>
            <w:vAlign w:val="bottom"/>
          </w:tcPr>
          <w:p w14:paraId="2B487B4B" w14:textId="12CB5540" w:rsidR="00312E07" w:rsidRPr="004712DC" w:rsidRDefault="002B68C4"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203</w:t>
            </w:r>
          </w:p>
        </w:tc>
        <w:tc>
          <w:tcPr>
            <w:tcW w:w="1355" w:type="dxa"/>
            <w:vAlign w:val="bottom"/>
          </w:tcPr>
          <w:p w14:paraId="16AEC26B" w14:textId="53E1EB44" w:rsidR="00312E07" w:rsidRPr="004712DC" w:rsidRDefault="007C1200" w:rsidP="007C1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1</w:t>
            </w:r>
            <w:r>
              <w:rPr>
                <w:bCs/>
              </w:rPr>
              <w:t>7</w:t>
            </w:r>
          </w:p>
        </w:tc>
        <w:tc>
          <w:tcPr>
            <w:tcW w:w="1980" w:type="dxa"/>
            <w:vAlign w:val="bottom"/>
          </w:tcPr>
          <w:p w14:paraId="49653200" w14:textId="722BB5E9"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2B68C4" w:rsidRPr="004712DC">
              <w:rPr>
                <w:bCs/>
              </w:rPr>
              <w:t>13</w:t>
            </w:r>
            <w:r w:rsidRPr="004712DC">
              <w:rPr>
                <w:bCs/>
              </w:rPr>
              <w:t>.00</w:t>
            </w:r>
          </w:p>
        </w:tc>
        <w:tc>
          <w:tcPr>
            <w:tcW w:w="3150" w:type="dxa"/>
            <w:vAlign w:val="bottom"/>
          </w:tcPr>
          <w:p w14:paraId="4A3C0D81" w14:textId="03F1768C"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2B68C4" w:rsidRPr="004712DC">
              <w:rPr>
                <w:bCs/>
              </w:rPr>
              <w:t>2</w:t>
            </w:r>
            <w:r w:rsidR="00D16A70">
              <w:rPr>
                <w:bCs/>
              </w:rPr>
              <w:t>21</w:t>
            </w:r>
          </w:p>
        </w:tc>
      </w:tr>
      <w:tr w:rsidR="00312E07" w:rsidRPr="004712DC" w14:paraId="710B81C9" w14:textId="77777777" w:rsidTr="0059048E">
        <w:tc>
          <w:tcPr>
            <w:tcW w:w="2160" w:type="dxa"/>
          </w:tcPr>
          <w:p w14:paraId="7761E85E"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712DC">
              <w:rPr>
                <w:b/>
                <w:bCs/>
              </w:rPr>
              <w:t>Total</w:t>
            </w:r>
          </w:p>
        </w:tc>
        <w:tc>
          <w:tcPr>
            <w:tcW w:w="1525" w:type="dxa"/>
          </w:tcPr>
          <w:p w14:paraId="021C664C"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355" w:type="dxa"/>
            <w:vAlign w:val="bottom"/>
          </w:tcPr>
          <w:p w14:paraId="168D26BD" w14:textId="33E784A3" w:rsidR="00312E07" w:rsidRPr="004712DC" w:rsidRDefault="00674FDD"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3,460</w:t>
            </w:r>
          </w:p>
        </w:tc>
        <w:tc>
          <w:tcPr>
            <w:tcW w:w="1980" w:type="dxa"/>
          </w:tcPr>
          <w:p w14:paraId="4013CBD2" w14:textId="77777777" w:rsidR="00312E07" w:rsidRPr="004712DC" w:rsidRDefault="00312E07" w:rsidP="00312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3150" w:type="dxa"/>
          </w:tcPr>
          <w:p w14:paraId="527F19BE" w14:textId="48592C76" w:rsidR="00312E07" w:rsidRPr="004712DC" w:rsidRDefault="00312E07" w:rsidP="002B6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712DC">
              <w:rPr>
                <w:b/>
                <w:bCs/>
              </w:rPr>
              <w:t>$</w:t>
            </w:r>
            <w:r w:rsidR="002B68C4" w:rsidRPr="004712DC">
              <w:rPr>
                <w:b/>
                <w:bCs/>
              </w:rPr>
              <w:t>117</w:t>
            </w:r>
            <w:r w:rsidRPr="004712DC">
              <w:rPr>
                <w:b/>
                <w:bCs/>
              </w:rPr>
              <w:t>,</w:t>
            </w:r>
            <w:r w:rsidR="00674FDD">
              <w:rPr>
                <w:b/>
                <w:bCs/>
              </w:rPr>
              <w:t>518</w:t>
            </w:r>
          </w:p>
        </w:tc>
      </w:tr>
    </w:tbl>
    <w:p w14:paraId="097C1A13" w14:textId="77777777" w:rsidR="00312E07" w:rsidRPr="004712DC" w:rsidRDefault="00312E07" w:rsidP="009A053A">
      <w:pPr>
        <w:autoSpaceDE w:val="0"/>
        <w:autoSpaceDN w:val="0"/>
        <w:adjustRightInd w:val="0"/>
      </w:pPr>
    </w:p>
    <w:p w14:paraId="33F6CA53" w14:textId="77777777" w:rsidR="00312E07" w:rsidRPr="004712DC" w:rsidRDefault="00312E07" w:rsidP="009A053A">
      <w:pPr>
        <w:autoSpaceDE w:val="0"/>
        <w:autoSpaceDN w:val="0"/>
        <w:adjustRightInd w:val="0"/>
      </w:pPr>
    </w:p>
    <w:p w14:paraId="059E4117" w14:textId="040E1AB4" w:rsidR="009A053A" w:rsidRPr="004712DC" w:rsidRDefault="009A053A" w:rsidP="009A053A">
      <w:pPr>
        <w:autoSpaceDE w:val="0"/>
        <w:autoSpaceDN w:val="0"/>
        <w:adjustRightInd w:val="0"/>
        <w:rPr>
          <w:rFonts w:eastAsia="MS Mincho"/>
          <w:kern w:val="36"/>
          <w:lang w:eastAsia="ja-JP"/>
        </w:rPr>
      </w:pPr>
    </w:p>
    <w:p w14:paraId="57918F6E" w14:textId="77777777" w:rsidR="00FD3042" w:rsidRPr="004712DC" w:rsidRDefault="00FD3042" w:rsidP="00AB27CA">
      <w:pPr>
        <w:keepNext/>
        <w:autoSpaceDE w:val="0"/>
        <w:autoSpaceDN w:val="0"/>
        <w:adjustRightInd w:val="0"/>
      </w:pPr>
    </w:p>
    <w:p w14:paraId="51E97E47" w14:textId="77777777" w:rsidR="009A053A" w:rsidRPr="004712DC" w:rsidRDefault="009A053A" w:rsidP="00DF3415">
      <w:pPr>
        <w:keepNext/>
        <w:autoSpaceDE w:val="0"/>
        <w:autoSpaceDN w:val="0"/>
        <w:adjustRightInd w:val="0"/>
      </w:pPr>
    </w:p>
    <w:p w14:paraId="254508E2" w14:textId="77777777" w:rsidR="00D253B5" w:rsidRPr="004712DC" w:rsidRDefault="00C526FE" w:rsidP="00D253B5">
      <w:pPr>
        <w:keepNext/>
        <w:autoSpaceDE w:val="0"/>
        <w:autoSpaceDN w:val="0"/>
        <w:adjustRightInd w:val="0"/>
        <w:rPr>
          <w:b/>
        </w:rPr>
      </w:pPr>
      <w:r w:rsidRPr="004712DC">
        <w:rPr>
          <w:b/>
        </w:rPr>
        <w:t>A.</w:t>
      </w:r>
      <w:r w:rsidR="00D253B5" w:rsidRPr="004712DC">
        <w:rPr>
          <w:b/>
        </w:rPr>
        <w:t>13. Estimates of Other Total Annual Cost Burden to Respondents and Record Keepers</w:t>
      </w:r>
    </w:p>
    <w:p w14:paraId="64727E25" w14:textId="77777777" w:rsidR="00D253B5" w:rsidRPr="004712DC" w:rsidRDefault="00D253B5" w:rsidP="00D253B5">
      <w:pPr>
        <w:keepNext/>
        <w:autoSpaceDE w:val="0"/>
        <w:autoSpaceDN w:val="0"/>
        <w:adjustRightInd w:val="0"/>
      </w:pPr>
    </w:p>
    <w:p w14:paraId="3D61D26E" w14:textId="77777777" w:rsidR="00125A99" w:rsidRPr="004712DC" w:rsidRDefault="00125A99" w:rsidP="00CF6FC3">
      <w:pPr>
        <w:keepNext/>
        <w:autoSpaceDE w:val="0"/>
        <w:autoSpaceDN w:val="0"/>
        <w:adjustRightInd w:val="0"/>
        <w:rPr>
          <w:iCs/>
        </w:rPr>
      </w:pPr>
      <w:r w:rsidRPr="004712DC">
        <w:rPr>
          <w:iCs/>
        </w:rPr>
        <w:t xml:space="preserve">There are no other costs to respondents associated with this proposed collection of information. </w:t>
      </w:r>
    </w:p>
    <w:p w14:paraId="17AB8169" w14:textId="65A6719F" w:rsidR="00D253B5" w:rsidRPr="004712DC" w:rsidRDefault="00125A99" w:rsidP="00CF6FC3">
      <w:pPr>
        <w:keepNext/>
        <w:autoSpaceDE w:val="0"/>
        <w:autoSpaceDN w:val="0"/>
        <w:adjustRightInd w:val="0"/>
      </w:pPr>
      <w:r w:rsidRPr="004712DC">
        <w:rPr>
          <w:iCs/>
        </w:rPr>
        <w:t xml:space="preserve"> </w:t>
      </w:r>
    </w:p>
    <w:p w14:paraId="299057DC" w14:textId="77777777" w:rsidR="00695D09" w:rsidRPr="004712DC" w:rsidRDefault="00C526FE" w:rsidP="00CF6FC3">
      <w:pPr>
        <w:keepNext/>
        <w:autoSpaceDE w:val="0"/>
        <w:autoSpaceDN w:val="0"/>
        <w:adjustRightInd w:val="0"/>
        <w:rPr>
          <w:b/>
        </w:rPr>
      </w:pPr>
      <w:r w:rsidRPr="004712DC">
        <w:rPr>
          <w:b/>
        </w:rPr>
        <w:t>A.</w:t>
      </w:r>
      <w:r w:rsidR="00695D09" w:rsidRPr="004712DC">
        <w:rPr>
          <w:b/>
        </w:rPr>
        <w:t>14. Annualized Cost to the Federal Government</w:t>
      </w:r>
    </w:p>
    <w:p w14:paraId="21876E09" w14:textId="77777777" w:rsidR="00695D09" w:rsidRPr="004712DC" w:rsidRDefault="00695D09" w:rsidP="00CF6FC3">
      <w:pPr>
        <w:keepNext/>
        <w:autoSpaceDE w:val="0"/>
        <w:autoSpaceDN w:val="0"/>
        <w:adjustRightInd w:val="0"/>
        <w:rPr>
          <w:b/>
        </w:rPr>
      </w:pPr>
    </w:p>
    <w:p w14:paraId="53759277" w14:textId="57C85453" w:rsidR="00125A99" w:rsidRPr="004712DC" w:rsidRDefault="00125A99" w:rsidP="00CF6FC3">
      <w:pPr>
        <w:keepNext/>
        <w:autoSpaceDE w:val="0"/>
        <w:autoSpaceDN w:val="0"/>
        <w:adjustRightInd w:val="0"/>
      </w:pPr>
      <w:r w:rsidRPr="004712DC">
        <w:t>The annualized cost to the government is $</w:t>
      </w:r>
      <w:r w:rsidR="00D06D57" w:rsidRPr="004712DC">
        <w:t>3</w:t>
      </w:r>
      <w:r w:rsidRPr="004712DC">
        <w:t>,</w:t>
      </w:r>
      <w:r w:rsidR="00D06D57" w:rsidRPr="004712DC">
        <w:t>054</w:t>
      </w:r>
      <w:r w:rsidRPr="004712DC">
        <w:t>,</w:t>
      </w:r>
      <w:r w:rsidR="00D06D57" w:rsidRPr="004712DC">
        <w:t>367</w:t>
      </w:r>
      <w:r w:rsidRPr="004712DC">
        <w:t>. The cost of this project for the three years is estimated to be $</w:t>
      </w:r>
      <w:r w:rsidR="00D06D57" w:rsidRPr="004712DC">
        <w:t>9</w:t>
      </w:r>
      <w:r w:rsidRPr="004712DC">
        <w:t>,</w:t>
      </w:r>
      <w:r w:rsidR="00D06D57" w:rsidRPr="004712DC">
        <w:t>163</w:t>
      </w:r>
      <w:r w:rsidRPr="004712DC">
        <w:t>,</w:t>
      </w:r>
      <w:r w:rsidR="00D06D57" w:rsidRPr="004712DC">
        <w:t>101</w:t>
      </w:r>
      <w:r w:rsidRPr="004712DC">
        <w:t>.  The annualized cost is summarized in Exhibit 14.A.</w:t>
      </w:r>
    </w:p>
    <w:p w14:paraId="6B9EF11E" w14:textId="77777777" w:rsidR="00695D09" w:rsidRPr="004712DC" w:rsidRDefault="00695D09" w:rsidP="00CF6FC3">
      <w:pPr>
        <w:keepNext/>
        <w:autoSpaceDE w:val="0"/>
        <w:autoSpaceDN w:val="0"/>
        <w:adjustRightInd w:val="0"/>
      </w:pPr>
    </w:p>
    <w:p w14:paraId="2CC97A7C" w14:textId="28D0A706" w:rsidR="00AB27CA" w:rsidRPr="004712DC" w:rsidRDefault="001E6D52" w:rsidP="00CF6FC3">
      <w:pPr>
        <w:keepNext/>
        <w:autoSpaceDE w:val="0"/>
        <w:autoSpaceDN w:val="0"/>
        <w:adjustRightInd w:val="0"/>
      </w:pPr>
      <w:r w:rsidRPr="004712DC">
        <w:t>A</w:t>
      </w:r>
      <w:r w:rsidR="00375447" w:rsidRPr="004712DC">
        <w:t xml:space="preserve">14a. </w:t>
      </w:r>
      <w:r w:rsidR="00695D09" w:rsidRPr="004712DC">
        <w:t xml:space="preserve">Estimates of Annualized </w:t>
      </w:r>
      <w:r w:rsidR="00EC6D37" w:rsidRPr="004712DC">
        <w:t>Costs to the Federal Government*</w:t>
      </w:r>
    </w:p>
    <w:p w14:paraId="67A46878" w14:textId="2948B4E3" w:rsidR="008A7E93" w:rsidRPr="004712DC" w:rsidRDefault="008A7E93" w:rsidP="00CF6FC3">
      <w:pPr>
        <w:keepNext/>
        <w:autoSpaceDE w:val="0"/>
        <w:autoSpaceDN w:val="0"/>
        <w:adjustRightInd w:val="0"/>
      </w:pPr>
    </w:p>
    <w:p w14:paraId="65503484" w14:textId="50FB93CE" w:rsidR="008A7E93" w:rsidRPr="004712DC" w:rsidRDefault="008A7E93" w:rsidP="00CF6FC3">
      <w:pPr>
        <w:keepNext/>
        <w:autoSpaceDE w:val="0"/>
        <w:autoSpaceDN w:val="0"/>
        <w:adjustRightInd w:val="0"/>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6300"/>
        <w:gridCol w:w="1890"/>
      </w:tblGrid>
      <w:tr w:rsidR="008A7E93" w:rsidRPr="004712DC" w14:paraId="0DFDCFFF"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73FBD1D0" w14:textId="77777777" w:rsidR="008A7E93" w:rsidRPr="004712DC" w:rsidRDefault="008A7E93" w:rsidP="008A7E93">
            <w:pPr>
              <w:widowControl w:val="0"/>
              <w:autoSpaceDE w:val="0"/>
              <w:autoSpaceDN w:val="0"/>
              <w:adjustRightInd w:val="0"/>
            </w:pPr>
            <w:r w:rsidRPr="004712DC">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EAD067C" w14:textId="77777777" w:rsidR="008A7E93" w:rsidRPr="004712DC" w:rsidRDefault="008A7E93" w:rsidP="008A7E93">
            <w:pPr>
              <w:widowControl w:val="0"/>
              <w:autoSpaceDE w:val="0"/>
              <w:autoSpaceDN w:val="0"/>
              <w:adjustRightInd w:val="0"/>
            </w:pPr>
            <w:r w:rsidRPr="004712DC">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DE8881" w14:textId="77777777" w:rsidR="008A7E93" w:rsidRPr="004712DC" w:rsidRDefault="008A7E93" w:rsidP="008A7E93">
            <w:pPr>
              <w:widowControl w:val="0"/>
              <w:autoSpaceDE w:val="0"/>
              <w:autoSpaceDN w:val="0"/>
              <w:adjustRightInd w:val="0"/>
            </w:pPr>
            <w:r w:rsidRPr="004712DC">
              <w:t xml:space="preserve">Annual Costs </w:t>
            </w:r>
          </w:p>
          <w:p w14:paraId="6A27A550" w14:textId="77777777" w:rsidR="008A7E93" w:rsidRPr="004712DC" w:rsidRDefault="008A7E93" w:rsidP="008A7E93">
            <w:pPr>
              <w:widowControl w:val="0"/>
              <w:autoSpaceDE w:val="0"/>
              <w:autoSpaceDN w:val="0"/>
              <w:adjustRightInd w:val="0"/>
            </w:pPr>
            <w:r w:rsidRPr="004712DC">
              <w:t>(dollars)</w:t>
            </w:r>
          </w:p>
        </w:tc>
      </w:tr>
      <w:tr w:rsidR="008A7E93" w:rsidRPr="004712DC" w14:paraId="0C2D4F25" w14:textId="77777777" w:rsidTr="000B14A3">
        <w:tc>
          <w:tcPr>
            <w:tcW w:w="1721" w:type="dxa"/>
            <w:vMerge w:val="restart"/>
            <w:tcBorders>
              <w:top w:val="single" w:sz="4" w:space="0" w:color="auto"/>
              <w:left w:val="single" w:sz="4" w:space="0" w:color="auto"/>
              <w:right w:val="single" w:sz="4" w:space="0" w:color="auto"/>
            </w:tcBorders>
            <w:shd w:val="clear" w:color="auto" w:fill="auto"/>
          </w:tcPr>
          <w:p w14:paraId="5D212C9F" w14:textId="77777777" w:rsidR="008A7E93" w:rsidRPr="004712DC" w:rsidRDefault="008A7E93" w:rsidP="008A7E93">
            <w:pPr>
              <w:widowControl w:val="0"/>
              <w:autoSpaceDE w:val="0"/>
              <w:autoSpaceDN w:val="0"/>
              <w:adjustRightInd w:val="0"/>
            </w:pPr>
            <w:r w:rsidRPr="004712DC">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14:paraId="5CB9B86F" w14:textId="1931A556" w:rsidR="008A7E93" w:rsidRPr="004712DC" w:rsidRDefault="004712DC" w:rsidP="008A7E93">
            <w:pPr>
              <w:widowControl w:val="0"/>
              <w:autoSpaceDE w:val="0"/>
              <w:autoSpaceDN w:val="0"/>
              <w:adjustRightInd w:val="0"/>
            </w:pPr>
            <w:r>
              <w:t xml:space="preserve">Enhanced </w:t>
            </w:r>
            <w:r w:rsidR="00D853C4" w:rsidRPr="004712DC">
              <w:t xml:space="preserve">SSuN </w:t>
            </w:r>
            <w:r w:rsidR="008A7E93" w:rsidRPr="004712DC">
              <w:t xml:space="preserve">– Personnel        </w:t>
            </w:r>
          </w:p>
        </w:tc>
        <w:tc>
          <w:tcPr>
            <w:tcW w:w="1890" w:type="dxa"/>
            <w:vMerge w:val="restart"/>
            <w:tcBorders>
              <w:top w:val="single" w:sz="4" w:space="0" w:color="auto"/>
              <w:left w:val="single" w:sz="4" w:space="0" w:color="auto"/>
              <w:right w:val="single" w:sz="4" w:space="0" w:color="auto"/>
            </w:tcBorders>
            <w:shd w:val="clear" w:color="auto" w:fill="auto"/>
          </w:tcPr>
          <w:p w14:paraId="5BE57102" w14:textId="6CAE6ABD" w:rsidR="008A7E93" w:rsidRPr="004712DC" w:rsidRDefault="008A7E93" w:rsidP="00D06D57">
            <w:pPr>
              <w:widowControl w:val="0"/>
              <w:autoSpaceDE w:val="0"/>
              <w:autoSpaceDN w:val="0"/>
              <w:adjustRightInd w:val="0"/>
              <w:jc w:val="right"/>
            </w:pPr>
            <w:r w:rsidRPr="004712DC">
              <w:t>$</w:t>
            </w:r>
            <w:r w:rsidR="00D06D57" w:rsidRPr="004712DC">
              <w:t>351</w:t>
            </w:r>
            <w:r w:rsidRPr="004712DC">
              <w:t>,1</w:t>
            </w:r>
            <w:r w:rsidR="00D06D57" w:rsidRPr="004712DC">
              <w:t>3</w:t>
            </w:r>
            <w:r w:rsidRPr="004712DC">
              <w:t xml:space="preserve">7 </w:t>
            </w:r>
          </w:p>
        </w:tc>
      </w:tr>
      <w:tr w:rsidR="008A7E93" w:rsidRPr="004712DC" w14:paraId="1AD056DF" w14:textId="77777777" w:rsidTr="000B14A3">
        <w:tc>
          <w:tcPr>
            <w:tcW w:w="1721" w:type="dxa"/>
            <w:vMerge/>
            <w:tcBorders>
              <w:left w:val="single" w:sz="4" w:space="0" w:color="auto"/>
              <w:right w:val="single" w:sz="4" w:space="0" w:color="auto"/>
            </w:tcBorders>
          </w:tcPr>
          <w:p w14:paraId="4141E3C2" w14:textId="77777777" w:rsidR="008A7E93" w:rsidRPr="004712DC" w:rsidRDefault="008A7E93" w:rsidP="008A7E93">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14:paraId="17CB4E7D" w14:textId="27E73505" w:rsidR="008A7E93" w:rsidRPr="004712DC" w:rsidRDefault="008A7E93" w:rsidP="00D06D57">
            <w:pPr>
              <w:widowControl w:val="0"/>
              <w:autoSpaceDE w:val="0"/>
              <w:autoSpaceDN w:val="0"/>
              <w:adjustRightInd w:val="0"/>
            </w:pPr>
            <w:r w:rsidRPr="004712DC">
              <w:t xml:space="preserve">Epidemiologist-14        1  </w:t>
            </w:r>
            <w:r w:rsidR="00D06D57" w:rsidRPr="004712DC">
              <w:t xml:space="preserve">           </w:t>
            </w:r>
            <w:r w:rsidRPr="004712DC">
              <w:t xml:space="preserve">100%  </w:t>
            </w:r>
            <w:r w:rsidR="00D06D57" w:rsidRPr="004712DC">
              <w:t xml:space="preserve">       </w:t>
            </w:r>
            <w:r w:rsidRPr="004712DC">
              <w:t>$11</w:t>
            </w:r>
            <w:r w:rsidR="00D06D57" w:rsidRPr="004712DC">
              <w:t>8</w:t>
            </w:r>
            <w:r w:rsidRPr="004712DC">
              <w:t>,</w:t>
            </w:r>
            <w:r w:rsidR="00D06D57" w:rsidRPr="004712DC">
              <w:t>263</w:t>
            </w:r>
          </w:p>
        </w:tc>
        <w:tc>
          <w:tcPr>
            <w:tcW w:w="1890" w:type="dxa"/>
            <w:vMerge/>
            <w:tcBorders>
              <w:left w:val="single" w:sz="4" w:space="0" w:color="auto"/>
              <w:right w:val="single" w:sz="4" w:space="0" w:color="auto"/>
            </w:tcBorders>
          </w:tcPr>
          <w:p w14:paraId="6D8ED00C" w14:textId="77777777" w:rsidR="008A7E93" w:rsidRPr="004712DC" w:rsidRDefault="008A7E93" w:rsidP="00D853C4">
            <w:pPr>
              <w:widowControl w:val="0"/>
              <w:autoSpaceDE w:val="0"/>
              <w:autoSpaceDN w:val="0"/>
              <w:adjustRightInd w:val="0"/>
              <w:jc w:val="right"/>
            </w:pPr>
          </w:p>
        </w:tc>
      </w:tr>
      <w:tr w:rsidR="008A7E93" w:rsidRPr="004712DC" w14:paraId="2157BB3E" w14:textId="77777777" w:rsidTr="000B14A3">
        <w:tc>
          <w:tcPr>
            <w:tcW w:w="1721" w:type="dxa"/>
            <w:vMerge/>
            <w:tcBorders>
              <w:left w:val="single" w:sz="4" w:space="0" w:color="auto"/>
              <w:right w:val="single" w:sz="4" w:space="0" w:color="auto"/>
            </w:tcBorders>
          </w:tcPr>
          <w:p w14:paraId="14B5EB01" w14:textId="77777777" w:rsidR="008A7E93" w:rsidRPr="004712DC" w:rsidRDefault="008A7E93" w:rsidP="008A7E93">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14:paraId="22054BA6" w14:textId="736FBEA5" w:rsidR="008A7E93" w:rsidRPr="004712DC" w:rsidRDefault="008A7E93" w:rsidP="00D06D57">
            <w:pPr>
              <w:widowControl w:val="0"/>
              <w:autoSpaceDE w:val="0"/>
              <w:autoSpaceDN w:val="0"/>
              <w:adjustRightInd w:val="0"/>
            </w:pPr>
            <w:r w:rsidRPr="004712DC">
              <w:t xml:space="preserve">Epidemiologist-12        1  </w:t>
            </w:r>
            <w:r w:rsidR="00D06D57" w:rsidRPr="004712DC">
              <w:t xml:space="preserve">           </w:t>
            </w:r>
            <w:r w:rsidRPr="004712DC">
              <w:t xml:space="preserve">100%  </w:t>
            </w:r>
            <w:r w:rsidR="00D06D57" w:rsidRPr="004712DC">
              <w:t xml:space="preserve">       </w:t>
            </w:r>
            <w:r w:rsidRPr="004712DC">
              <w:t>$</w:t>
            </w:r>
            <w:r w:rsidR="00D06D57" w:rsidRPr="004712DC">
              <w:t>84</w:t>
            </w:r>
            <w:r w:rsidRPr="004712DC">
              <w:t>,</w:t>
            </w:r>
            <w:r w:rsidR="00D06D57" w:rsidRPr="004712DC">
              <w:t>162</w:t>
            </w:r>
          </w:p>
        </w:tc>
        <w:tc>
          <w:tcPr>
            <w:tcW w:w="1890" w:type="dxa"/>
            <w:vMerge/>
            <w:tcBorders>
              <w:left w:val="single" w:sz="4" w:space="0" w:color="auto"/>
              <w:right w:val="single" w:sz="4" w:space="0" w:color="auto"/>
            </w:tcBorders>
          </w:tcPr>
          <w:p w14:paraId="4033E151" w14:textId="77777777" w:rsidR="008A7E93" w:rsidRPr="004712DC" w:rsidRDefault="008A7E93" w:rsidP="00D853C4">
            <w:pPr>
              <w:widowControl w:val="0"/>
              <w:autoSpaceDE w:val="0"/>
              <w:autoSpaceDN w:val="0"/>
              <w:adjustRightInd w:val="0"/>
              <w:jc w:val="right"/>
            </w:pPr>
          </w:p>
        </w:tc>
      </w:tr>
      <w:tr w:rsidR="008A7E93" w:rsidRPr="004712DC" w14:paraId="458FAC03" w14:textId="77777777" w:rsidTr="000B14A3">
        <w:tc>
          <w:tcPr>
            <w:tcW w:w="1721" w:type="dxa"/>
            <w:vMerge/>
            <w:tcBorders>
              <w:left w:val="single" w:sz="4" w:space="0" w:color="auto"/>
              <w:right w:val="single" w:sz="4" w:space="0" w:color="auto"/>
            </w:tcBorders>
          </w:tcPr>
          <w:p w14:paraId="3DB6F2B2" w14:textId="77777777" w:rsidR="008A7E93" w:rsidRPr="004712DC" w:rsidRDefault="008A7E93" w:rsidP="008A7E93">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14:paraId="2E8960D8" w14:textId="0AAFECD9" w:rsidR="008A7E93" w:rsidRPr="004712DC" w:rsidRDefault="008A7E93" w:rsidP="00D06D57">
            <w:pPr>
              <w:widowControl w:val="0"/>
              <w:autoSpaceDE w:val="0"/>
              <w:autoSpaceDN w:val="0"/>
              <w:adjustRightInd w:val="0"/>
            </w:pPr>
            <w:r w:rsidRPr="004712DC">
              <w:t xml:space="preserve">Data Analyst-14          </w:t>
            </w:r>
            <w:r w:rsidR="00D06D57" w:rsidRPr="004712DC">
              <w:t xml:space="preserve">  </w:t>
            </w:r>
            <w:r w:rsidRPr="004712DC">
              <w:t xml:space="preserve">1   </w:t>
            </w:r>
            <w:r w:rsidR="00D06D57" w:rsidRPr="004712DC">
              <w:t xml:space="preserve">          </w:t>
            </w:r>
            <w:r w:rsidRPr="004712DC">
              <w:t xml:space="preserve">50%  </w:t>
            </w:r>
            <w:r w:rsidR="00D06D57" w:rsidRPr="004712DC">
              <w:t xml:space="preserve">         </w:t>
            </w:r>
            <w:r w:rsidRPr="004712DC">
              <w:t>$</w:t>
            </w:r>
            <w:r w:rsidR="00D06D57" w:rsidRPr="004712DC">
              <w:t>62,610</w:t>
            </w:r>
          </w:p>
        </w:tc>
        <w:tc>
          <w:tcPr>
            <w:tcW w:w="1890" w:type="dxa"/>
            <w:vMerge/>
            <w:tcBorders>
              <w:left w:val="single" w:sz="4" w:space="0" w:color="auto"/>
              <w:right w:val="single" w:sz="4" w:space="0" w:color="auto"/>
            </w:tcBorders>
          </w:tcPr>
          <w:p w14:paraId="67551190" w14:textId="77777777" w:rsidR="008A7E93" w:rsidRPr="004712DC" w:rsidRDefault="008A7E93" w:rsidP="00D853C4">
            <w:pPr>
              <w:widowControl w:val="0"/>
              <w:autoSpaceDE w:val="0"/>
              <w:autoSpaceDN w:val="0"/>
              <w:adjustRightInd w:val="0"/>
              <w:jc w:val="right"/>
            </w:pPr>
          </w:p>
        </w:tc>
      </w:tr>
      <w:tr w:rsidR="008A7E93" w:rsidRPr="004712DC" w14:paraId="25BBF490" w14:textId="77777777" w:rsidTr="000B14A3">
        <w:tc>
          <w:tcPr>
            <w:tcW w:w="1721" w:type="dxa"/>
            <w:vMerge/>
            <w:tcBorders>
              <w:left w:val="single" w:sz="4" w:space="0" w:color="auto"/>
              <w:right w:val="single" w:sz="4" w:space="0" w:color="auto"/>
            </w:tcBorders>
          </w:tcPr>
          <w:p w14:paraId="33C6BBBE" w14:textId="77777777" w:rsidR="008A7E93" w:rsidRPr="004712DC" w:rsidRDefault="008A7E93" w:rsidP="008A7E93">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14:paraId="6A1D3AE4" w14:textId="5B8AB1C2" w:rsidR="008A7E93" w:rsidRPr="004712DC" w:rsidRDefault="008A7E93" w:rsidP="00D06D57">
            <w:pPr>
              <w:widowControl w:val="0"/>
              <w:autoSpaceDE w:val="0"/>
              <w:autoSpaceDN w:val="0"/>
              <w:adjustRightInd w:val="0"/>
            </w:pPr>
            <w:r w:rsidRPr="004712DC">
              <w:t xml:space="preserve">Data Analyst-13          </w:t>
            </w:r>
            <w:r w:rsidR="00D06D57" w:rsidRPr="004712DC">
              <w:t xml:space="preserve">  </w:t>
            </w:r>
            <w:r w:rsidRPr="004712DC">
              <w:t xml:space="preserve">1   </w:t>
            </w:r>
            <w:r w:rsidR="00D06D57" w:rsidRPr="004712DC">
              <w:t xml:space="preserve">          </w:t>
            </w:r>
            <w:r w:rsidRPr="004712DC">
              <w:t xml:space="preserve">75%  </w:t>
            </w:r>
            <w:r w:rsidR="00D06D57" w:rsidRPr="004712DC">
              <w:t xml:space="preserve">         </w:t>
            </w:r>
            <w:r w:rsidRPr="004712DC">
              <w:t>$</w:t>
            </w:r>
            <w:r w:rsidR="00D06D57" w:rsidRPr="004712DC">
              <w:t>86</w:t>
            </w:r>
            <w:r w:rsidRPr="004712DC">
              <w:t>,</w:t>
            </w:r>
            <w:r w:rsidR="00D06D57" w:rsidRPr="004712DC">
              <w:t>102</w:t>
            </w:r>
          </w:p>
        </w:tc>
        <w:tc>
          <w:tcPr>
            <w:tcW w:w="1890" w:type="dxa"/>
            <w:vMerge/>
            <w:tcBorders>
              <w:left w:val="single" w:sz="4" w:space="0" w:color="auto"/>
              <w:right w:val="single" w:sz="4" w:space="0" w:color="auto"/>
            </w:tcBorders>
          </w:tcPr>
          <w:p w14:paraId="7E6938FB" w14:textId="77777777" w:rsidR="008A7E93" w:rsidRPr="004712DC" w:rsidRDefault="008A7E93" w:rsidP="00D853C4">
            <w:pPr>
              <w:widowControl w:val="0"/>
              <w:autoSpaceDE w:val="0"/>
              <w:autoSpaceDN w:val="0"/>
              <w:adjustRightInd w:val="0"/>
              <w:jc w:val="right"/>
            </w:pPr>
          </w:p>
        </w:tc>
      </w:tr>
      <w:tr w:rsidR="008A7E93" w:rsidRPr="004712DC" w14:paraId="606475DE"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24780131" w14:textId="77777777" w:rsidR="008A7E93" w:rsidRPr="004712DC" w:rsidRDefault="008A7E93" w:rsidP="008A7E93">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AD2697A" w14:textId="32A5762E" w:rsidR="008A7E93" w:rsidRPr="004712DC" w:rsidRDefault="008A7E93" w:rsidP="008A7E93">
            <w:pPr>
              <w:widowControl w:val="0"/>
              <w:autoSpaceDE w:val="0"/>
              <w:autoSpaceDN w:val="0"/>
              <w:adjustRightInd w:val="0"/>
            </w:pPr>
            <w:r w:rsidRPr="004712DC">
              <w:t xml:space="preserve">Cooperative agreement funds to </w:t>
            </w:r>
            <w:r w:rsidR="00484211">
              <w:t xml:space="preserve">10 </w:t>
            </w:r>
            <w:r w:rsidRPr="004712DC">
              <w:t>project areas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253B65" w14:textId="01149E44" w:rsidR="008A7E93" w:rsidRPr="004712DC" w:rsidRDefault="008A7E93" w:rsidP="00D853C4">
            <w:pPr>
              <w:widowControl w:val="0"/>
              <w:autoSpaceDE w:val="0"/>
              <w:autoSpaceDN w:val="0"/>
              <w:adjustRightInd w:val="0"/>
              <w:jc w:val="right"/>
            </w:pPr>
            <w:r w:rsidRPr="004712DC">
              <w:t>$</w:t>
            </w:r>
            <w:r w:rsidR="00D853C4" w:rsidRPr="004712DC">
              <w:t>2,637,280</w:t>
            </w:r>
          </w:p>
        </w:tc>
      </w:tr>
      <w:tr w:rsidR="008A7E93" w:rsidRPr="004712DC" w14:paraId="54DCC3BD"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7EE132D0" w14:textId="6C489549" w:rsidR="008A7E93" w:rsidRPr="004712DC" w:rsidRDefault="008A7E93" w:rsidP="008A7E93">
            <w:pPr>
              <w:widowControl w:val="0"/>
              <w:autoSpaceDE w:val="0"/>
              <w:autoSpaceDN w:val="0"/>
              <w:adjustRightInd w:val="0"/>
            </w:pPr>
            <w:r w:rsidRPr="004712DC">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067517F" w14:textId="3F31E591" w:rsidR="008A7E93" w:rsidRPr="004712DC" w:rsidRDefault="008A7E93" w:rsidP="008A7E93">
            <w:pPr>
              <w:widowControl w:val="0"/>
              <w:autoSpaceDE w:val="0"/>
              <w:autoSpaceDN w:val="0"/>
              <w:adjustRightInd w:val="0"/>
            </w:pPr>
            <w:r w:rsidRPr="004712DC">
              <w:t>Contracted Project Coordinator (1)</w:t>
            </w:r>
            <w:r w:rsidR="00D853C4" w:rsidRPr="004712DC">
              <w:t xml:space="preserve"> 50%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6AE3966" w14:textId="0F08526D" w:rsidR="008A7E93" w:rsidRPr="004712DC" w:rsidRDefault="008A7E93" w:rsidP="00D853C4">
            <w:pPr>
              <w:widowControl w:val="0"/>
              <w:autoSpaceDE w:val="0"/>
              <w:autoSpaceDN w:val="0"/>
              <w:adjustRightInd w:val="0"/>
              <w:jc w:val="right"/>
            </w:pPr>
            <w:r w:rsidRPr="004712DC">
              <w:t>$</w:t>
            </w:r>
            <w:r w:rsidR="00D853C4" w:rsidRPr="004712DC">
              <w:t>35,950</w:t>
            </w:r>
          </w:p>
        </w:tc>
      </w:tr>
      <w:tr w:rsidR="008A7E93" w:rsidRPr="004712DC" w14:paraId="40345348"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37B16821" w14:textId="77777777" w:rsidR="008A7E93" w:rsidRPr="004712DC" w:rsidRDefault="008A7E93" w:rsidP="008A7E93">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BF47A81" w14:textId="5B529939" w:rsidR="008A7E93" w:rsidRPr="004712DC" w:rsidRDefault="008A7E93" w:rsidP="008A7E93">
            <w:pPr>
              <w:widowControl w:val="0"/>
              <w:autoSpaceDE w:val="0"/>
              <w:autoSpaceDN w:val="0"/>
              <w:adjustRightInd w:val="0"/>
            </w:pPr>
            <w:r w:rsidRPr="004712DC">
              <w:t>Travel (site visits)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0C6966" w14:textId="4D4ECA28" w:rsidR="008A7E93" w:rsidRPr="004712DC" w:rsidRDefault="008A7E93" w:rsidP="00D853C4">
            <w:pPr>
              <w:widowControl w:val="0"/>
              <w:autoSpaceDE w:val="0"/>
              <w:autoSpaceDN w:val="0"/>
              <w:adjustRightInd w:val="0"/>
              <w:jc w:val="right"/>
            </w:pPr>
            <w:r w:rsidRPr="004712DC">
              <w:t>$</w:t>
            </w:r>
            <w:r w:rsidR="00D853C4" w:rsidRPr="004712DC">
              <w:t>30</w:t>
            </w:r>
            <w:r w:rsidRPr="004712DC">
              <w:t xml:space="preserve">,000 </w:t>
            </w:r>
          </w:p>
        </w:tc>
      </w:tr>
      <w:tr w:rsidR="008A7E93" w:rsidRPr="004712DC" w14:paraId="6A9003BD"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326BDA35" w14:textId="77777777" w:rsidR="008A7E93" w:rsidRPr="004712DC" w:rsidRDefault="008A7E93" w:rsidP="008A7E93">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E9EF00E" w14:textId="77777777" w:rsidR="008A7E93" w:rsidRPr="004712DC" w:rsidRDefault="008A7E93" w:rsidP="008A7E93">
            <w:pPr>
              <w:widowControl w:val="0"/>
              <w:autoSpaceDE w:val="0"/>
              <w:autoSpaceDN w:val="0"/>
              <w:adjustRightInd w:val="0"/>
            </w:pPr>
            <w:r w:rsidRPr="004712DC">
              <w:t>Meetings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26C29E4" w14:textId="77777777" w:rsidR="008A7E93" w:rsidRPr="004712DC" w:rsidRDefault="008A7E93" w:rsidP="00D853C4">
            <w:pPr>
              <w:widowControl w:val="0"/>
              <w:autoSpaceDE w:val="0"/>
              <w:autoSpaceDN w:val="0"/>
              <w:adjustRightInd w:val="0"/>
              <w:jc w:val="right"/>
            </w:pPr>
            <w:r w:rsidRPr="004712DC">
              <w:t xml:space="preserve">$0 </w:t>
            </w:r>
          </w:p>
        </w:tc>
      </w:tr>
      <w:tr w:rsidR="008A7E93" w:rsidRPr="004712DC" w14:paraId="1A60AA45" w14:textId="77777777" w:rsidTr="000B14A3">
        <w:tc>
          <w:tcPr>
            <w:tcW w:w="1721" w:type="dxa"/>
            <w:tcBorders>
              <w:top w:val="single" w:sz="4" w:space="0" w:color="auto"/>
              <w:left w:val="single" w:sz="4" w:space="0" w:color="auto"/>
              <w:bottom w:val="single" w:sz="4" w:space="0" w:color="auto"/>
              <w:right w:val="single" w:sz="4" w:space="0" w:color="auto"/>
            </w:tcBorders>
            <w:shd w:val="clear" w:color="auto" w:fill="auto"/>
          </w:tcPr>
          <w:p w14:paraId="4C27A1DB" w14:textId="77777777" w:rsidR="008A7E93" w:rsidRPr="004712DC" w:rsidRDefault="008A7E93" w:rsidP="008A7E93">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7791DE9" w14:textId="77777777" w:rsidR="008A7E93" w:rsidRPr="004712DC" w:rsidRDefault="008A7E93" w:rsidP="008A7E93">
            <w:pPr>
              <w:widowControl w:val="0"/>
              <w:autoSpaceDE w:val="0"/>
              <w:autoSpaceDN w:val="0"/>
              <w:adjustRightInd w:val="0"/>
            </w:pPr>
            <w:r w:rsidRPr="004712DC">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C7D34D4" w14:textId="1B8819DE" w:rsidR="008A7E93" w:rsidRPr="004712DC" w:rsidRDefault="008A7E93" w:rsidP="00D06D57">
            <w:pPr>
              <w:widowControl w:val="0"/>
              <w:autoSpaceDE w:val="0"/>
              <w:autoSpaceDN w:val="0"/>
              <w:adjustRightInd w:val="0"/>
              <w:jc w:val="right"/>
            </w:pPr>
            <w:r w:rsidRPr="004712DC">
              <w:t>$</w:t>
            </w:r>
            <w:r w:rsidR="00D853C4" w:rsidRPr="004712DC">
              <w:t>3</w:t>
            </w:r>
            <w:r w:rsidRPr="004712DC">
              <w:t>,</w:t>
            </w:r>
            <w:r w:rsidR="00D06D57" w:rsidRPr="004712DC">
              <w:t>054</w:t>
            </w:r>
            <w:r w:rsidRPr="004712DC">
              <w:t>,</w:t>
            </w:r>
            <w:r w:rsidR="00D853C4" w:rsidRPr="004712DC">
              <w:t>3</w:t>
            </w:r>
            <w:r w:rsidR="00D06D57" w:rsidRPr="004712DC">
              <w:t>6</w:t>
            </w:r>
            <w:r w:rsidR="00D853C4" w:rsidRPr="004712DC">
              <w:t xml:space="preserve">7 </w:t>
            </w:r>
          </w:p>
        </w:tc>
      </w:tr>
    </w:tbl>
    <w:p w14:paraId="5E62163C" w14:textId="77777777" w:rsidR="008A7E93" w:rsidRPr="004712DC" w:rsidRDefault="008A7E93" w:rsidP="00CF6FC3">
      <w:pPr>
        <w:keepNext/>
        <w:autoSpaceDE w:val="0"/>
        <w:autoSpaceDN w:val="0"/>
        <w:adjustRightInd w:val="0"/>
      </w:pPr>
    </w:p>
    <w:p w14:paraId="5F246462" w14:textId="77777777" w:rsidR="00695D09" w:rsidRPr="004712DC" w:rsidRDefault="00695D09" w:rsidP="00CF6FC3">
      <w:pPr>
        <w:keepNext/>
        <w:autoSpaceDE w:val="0"/>
        <w:autoSpaceDN w:val="0"/>
        <w:adjustRightInd w:val="0"/>
      </w:pPr>
    </w:p>
    <w:p w14:paraId="1E6814D7" w14:textId="0101282F" w:rsidR="002B703A" w:rsidRPr="004712DC" w:rsidRDefault="00D853C4" w:rsidP="00EC6D37">
      <w:pPr>
        <w:widowControl w:val="0"/>
        <w:autoSpaceDE w:val="0"/>
        <w:autoSpaceDN w:val="0"/>
        <w:adjustRightInd w:val="0"/>
      </w:pPr>
      <w:r w:rsidRPr="004712DC">
        <w:t xml:space="preserve">*Salary estimates were obtained from the US Office of Personnel Management salary scale at </w:t>
      </w:r>
      <w:hyperlink r:id="rId11" w:history="1">
        <w:r w:rsidRPr="004712DC">
          <w:rPr>
            <w:rStyle w:val="Hyperlink"/>
          </w:rPr>
          <w:t>https://www.opm.gov/policy-data-oversight/pay-leave/salaries-wages/2016/general-schedule/</w:t>
        </w:r>
      </w:hyperlink>
      <w:r w:rsidRPr="004712DC">
        <w:t xml:space="preserve">. </w:t>
      </w:r>
    </w:p>
    <w:p w14:paraId="246F43B4" w14:textId="77777777" w:rsidR="00D853C4" w:rsidRPr="004712DC" w:rsidRDefault="00D853C4" w:rsidP="00EC6D37">
      <w:pPr>
        <w:widowControl w:val="0"/>
        <w:autoSpaceDE w:val="0"/>
        <w:autoSpaceDN w:val="0"/>
        <w:adjustRightInd w:val="0"/>
      </w:pPr>
    </w:p>
    <w:p w14:paraId="3BA0DE45" w14:textId="50E5C01E" w:rsidR="00EC6D37" w:rsidRPr="004712DC" w:rsidRDefault="00EC6D37" w:rsidP="00EC6D37">
      <w:pPr>
        <w:widowControl w:val="0"/>
        <w:autoSpaceDE w:val="0"/>
        <w:autoSpaceDN w:val="0"/>
        <w:adjustRightInd w:val="0"/>
      </w:pPr>
      <w:r w:rsidRPr="004712DC">
        <w:t>The personnel related to the</w:t>
      </w:r>
      <w:r w:rsidR="00F4226F" w:rsidRPr="004712DC">
        <w:t xml:space="preserve"> </w:t>
      </w:r>
      <w:r w:rsidR="00DE5411">
        <w:t>enhanced SSuN</w:t>
      </w:r>
      <w:r w:rsidRPr="004712DC">
        <w:t xml:space="preserve"> data collection include </w:t>
      </w:r>
      <w:r w:rsidR="002B703A" w:rsidRPr="004712DC">
        <w:t xml:space="preserve">2 </w:t>
      </w:r>
      <w:r w:rsidRPr="004712DC">
        <w:t>project officers (epidemiologists</w:t>
      </w:r>
      <w:r w:rsidR="000D0DDC" w:rsidRPr="004712DC">
        <w:t>)</w:t>
      </w:r>
      <w:r w:rsidRPr="004712DC">
        <w:t xml:space="preserve"> at the GS-1</w:t>
      </w:r>
      <w:r w:rsidR="002B703A" w:rsidRPr="004712DC">
        <w:t>2</w:t>
      </w:r>
      <w:r w:rsidRPr="004712DC">
        <w:t xml:space="preserve"> and 14 levels, GS-1</w:t>
      </w:r>
      <w:r w:rsidR="00D853C4" w:rsidRPr="004712DC">
        <w:t>3 and GS-14</w:t>
      </w:r>
      <w:r w:rsidR="002B703A" w:rsidRPr="004712DC">
        <w:t xml:space="preserve"> </w:t>
      </w:r>
      <w:r w:rsidRPr="004712DC">
        <w:t xml:space="preserve">level public health analyst, and </w:t>
      </w:r>
      <w:r w:rsidR="00D853C4" w:rsidRPr="004712DC">
        <w:t>a project manager</w:t>
      </w:r>
      <w:r w:rsidRPr="004712DC">
        <w:t xml:space="preserve">. Travel is related to providing technical assistance and conducting site visits. </w:t>
      </w:r>
      <w:r w:rsidR="00D853C4" w:rsidRPr="004712DC">
        <w:t xml:space="preserve">Examples of meetings that are held include the principal investigator’s meeting that will be held in government space at no cost. </w:t>
      </w:r>
    </w:p>
    <w:p w14:paraId="257BD2DC" w14:textId="77777777" w:rsidR="00086E6F" w:rsidRPr="004712DC" w:rsidRDefault="00086E6F" w:rsidP="00CF6FC3">
      <w:pPr>
        <w:keepNext/>
        <w:autoSpaceDE w:val="0"/>
        <w:autoSpaceDN w:val="0"/>
        <w:adjustRightInd w:val="0"/>
      </w:pPr>
    </w:p>
    <w:p w14:paraId="4DF73AEF" w14:textId="20E4E9FA" w:rsidR="000D0DDC" w:rsidRPr="004712DC" w:rsidRDefault="00D853C4" w:rsidP="00CF6FC3">
      <w:pPr>
        <w:keepNext/>
        <w:autoSpaceDE w:val="0"/>
        <w:autoSpaceDN w:val="0"/>
        <w:adjustRightInd w:val="0"/>
      </w:pPr>
      <w:r w:rsidRPr="004712DC">
        <w:t>The information collection described in this request are funded through cooperative agreements with state and local health departments (CDC-RFA-PS13-1306).  CDC surveillance activities are routinely funded through cooperative agreements with state and local health departments.</w:t>
      </w:r>
    </w:p>
    <w:p w14:paraId="209CC32F" w14:textId="69A959CD" w:rsidR="000D0DDC" w:rsidRPr="004712DC" w:rsidRDefault="000D0DDC" w:rsidP="000D0DDC">
      <w:pPr>
        <w:keepNext/>
        <w:autoSpaceDE w:val="0"/>
        <w:autoSpaceDN w:val="0"/>
        <w:adjustRightInd w:val="0"/>
      </w:pPr>
      <w:r w:rsidRPr="004712DC">
        <w:t xml:space="preserve">Data for </w:t>
      </w:r>
      <w:r w:rsidR="008C7183" w:rsidRPr="004712DC">
        <w:t>Enhanced STD surveillance network</w:t>
      </w:r>
      <w:r w:rsidRPr="004712DC">
        <w:t xml:space="preserve"> are compiled by staff in local health departments and sent via a secure network</w:t>
      </w:r>
      <w:r w:rsidR="00D853C4" w:rsidRPr="004712DC">
        <w:t xml:space="preserve"> (SAMS)</w:t>
      </w:r>
      <w:r w:rsidRPr="004712DC">
        <w:t xml:space="preserve">. Data managers at CDC receive data from the data managers at the local health departments, track the progress of the data, and distribute </w:t>
      </w:r>
      <w:r w:rsidR="00D853C4" w:rsidRPr="004712DC">
        <w:t>bi</w:t>
      </w:r>
      <w:r w:rsidRPr="004712DC">
        <w:t xml:space="preserve">monthly monitoring reports to health department staff. CDC process all data sent from local health departments </w:t>
      </w:r>
      <w:r w:rsidR="00D853C4" w:rsidRPr="004712DC">
        <w:t xml:space="preserve">to </w:t>
      </w:r>
      <w:r w:rsidRPr="004712DC">
        <w:t>produce clean, final dataset</w:t>
      </w:r>
      <w:r w:rsidR="00D853C4" w:rsidRPr="004712DC">
        <w:t>s</w:t>
      </w:r>
      <w:r w:rsidRPr="004712DC">
        <w:t xml:space="preserve"> for use by CD</w:t>
      </w:r>
      <w:r w:rsidR="006E7E11" w:rsidRPr="004712DC">
        <w:t xml:space="preserve">C and/or the health departments. </w:t>
      </w:r>
      <w:r w:rsidR="00D853C4" w:rsidRPr="004712DC">
        <w:t xml:space="preserve">Enhanced SSuN epidemiologists have responsibility for analyzing the final data set and work with </w:t>
      </w:r>
      <w:r w:rsidR="00DE5411">
        <w:t>enhanced SSuN</w:t>
      </w:r>
      <w:r w:rsidR="00D853C4" w:rsidRPr="004712DC">
        <w:t xml:space="preserve"> data analysts to create data tables to be displayed in STD surveillance reports and other products.</w:t>
      </w:r>
    </w:p>
    <w:p w14:paraId="38F8AC2E" w14:textId="09921B89" w:rsidR="006E7E11" w:rsidRPr="00484211" w:rsidRDefault="006E7E11" w:rsidP="00484211">
      <w:pPr>
        <w:keepNext/>
        <w:autoSpaceDE w:val="0"/>
        <w:autoSpaceDN w:val="0"/>
        <w:adjustRightInd w:val="0"/>
        <w:rPr>
          <w:b/>
        </w:rPr>
      </w:pPr>
    </w:p>
    <w:p w14:paraId="4DB3799E" w14:textId="77777777" w:rsidR="00B85635" w:rsidRPr="004712DC" w:rsidRDefault="00B85635" w:rsidP="00B85635">
      <w:pPr>
        <w:keepNext/>
        <w:autoSpaceDE w:val="0"/>
        <w:autoSpaceDN w:val="0"/>
        <w:adjustRightInd w:val="0"/>
        <w:rPr>
          <w:b/>
        </w:rPr>
      </w:pPr>
      <w:r w:rsidRPr="004712DC">
        <w:rPr>
          <w:b/>
        </w:rPr>
        <w:t>A.15. Explanation for Program Changes or Adjustments</w:t>
      </w:r>
    </w:p>
    <w:p w14:paraId="65B52079" w14:textId="7AB6ABFA" w:rsidR="00D06D57" w:rsidRPr="004712DC" w:rsidRDefault="000C1F7C" w:rsidP="000D0DDC">
      <w:pPr>
        <w:keepNext/>
        <w:autoSpaceDE w:val="0"/>
        <w:autoSpaceDN w:val="0"/>
        <w:adjustRightInd w:val="0"/>
      </w:pPr>
      <w:r w:rsidRPr="004712DC">
        <w:t>The</w:t>
      </w:r>
      <w:r w:rsidR="00D06D57" w:rsidRPr="004712DC">
        <w:t xml:space="preserve"> total annualized burden will change from </w:t>
      </w:r>
      <w:r w:rsidR="007C1200">
        <w:t>2854</w:t>
      </w:r>
      <w:r w:rsidR="00D06D57" w:rsidRPr="004712DC">
        <w:t xml:space="preserve"> hours to 3</w:t>
      </w:r>
      <w:r w:rsidR="00484211">
        <w:t>,</w:t>
      </w:r>
      <w:r w:rsidR="00674FDD">
        <w:t>460</w:t>
      </w:r>
      <w:r w:rsidR="00D06D57" w:rsidRPr="004712DC">
        <w:t xml:space="preserve">. Specifically, the changes in the estimates of </w:t>
      </w:r>
      <w:r w:rsidR="00484211">
        <w:t>burden</w:t>
      </w:r>
      <w:r w:rsidR="00D06D57" w:rsidRPr="004712DC">
        <w:t xml:space="preserve"> are accounted for by the following:</w:t>
      </w:r>
    </w:p>
    <w:p w14:paraId="15F7DB73" w14:textId="2E83C2E5" w:rsidR="000C1F7C" w:rsidRPr="004712DC" w:rsidRDefault="000C1F7C" w:rsidP="000D0DDC">
      <w:pPr>
        <w:keepNext/>
        <w:autoSpaceDE w:val="0"/>
        <w:autoSpaceDN w:val="0"/>
        <w:adjustRightInd w:val="0"/>
      </w:pPr>
      <w:r w:rsidRPr="004712DC">
        <w:t>.</w:t>
      </w:r>
    </w:p>
    <w:p w14:paraId="265D96E9" w14:textId="5453000F" w:rsidR="002D4694" w:rsidRPr="004712DC" w:rsidRDefault="002D4694" w:rsidP="0085779E">
      <w:pPr>
        <w:pStyle w:val="ListParagraph"/>
        <w:keepNext/>
        <w:numPr>
          <w:ilvl w:val="0"/>
          <w:numId w:val="10"/>
        </w:numPr>
        <w:autoSpaceDE w:val="0"/>
        <w:autoSpaceDN w:val="0"/>
        <w:adjustRightInd w:val="0"/>
      </w:pPr>
      <w:r w:rsidRPr="004712DC">
        <w:t xml:space="preserve">Family planning clinics have been removed from the </w:t>
      </w:r>
      <w:r w:rsidR="000C1F7C" w:rsidRPr="004712DC">
        <w:t>facility-based activity</w:t>
      </w:r>
      <w:r w:rsidR="00D06D57" w:rsidRPr="004712DC">
        <w:t xml:space="preserve"> so th</w:t>
      </w:r>
      <w:r w:rsidR="00484211">
        <w:t>e</w:t>
      </w:r>
      <w:r w:rsidR="00D06D57" w:rsidRPr="004712DC">
        <w:t xml:space="preserve"> number of clinic data managers decreased from 22 to 10</w:t>
      </w:r>
      <w:r w:rsidRPr="004712DC">
        <w:t xml:space="preserve">. Our experience in the </w:t>
      </w:r>
      <w:r w:rsidR="00177A21" w:rsidRPr="004712DC">
        <w:t>3 years of data collection has shown us that the a</w:t>
      </w:r>
      <w:r w:rsidRPr="004712DC">
        <w:t xml:space="preserve">bility </w:t>
      </w:r>
      <w:r w:rsidR="00177A21" w:rsidRPr="004712DC">
        <w:t>to</w:t>
      </w:r>
      <w:r w:rsidRPr="004712DC">
        <w:t xml:space="preserve"> extract data elements </w:t>
      </w:r>
      <w:r w:rsidR="00177A21" w:rsidRPr="004712DC">
        <w:t xml:space="preserve">from these type of facilities was limited. In some cases, local/state health departments had not had previous working relationships with these healthcare facilities, resulting in a fair amount of negotiations in terms of the transmission of certain data elements. In addition, these facilities have considerably lower STD morbidity than categorical STD clinics. For these reasons we saw the addition of these clinics as </w:t>
      </w:r>
      <w:r w:rsidR="00484211">
        <w:t xml:space="preserve">less </w:t>
      </w:r>
      <w:r w:rsidR="00177A21" w:rsidRPr="004712DC">
        <w:t>useful and prefer to concentrate</w:t>
      </w:r>
      <w:r w:rsidR="00484211">
        <w:t xml:space="preserve"> data collection from </w:t>
      </w:r>
      <w:r w:rsidR="00177A21" w:rsidRPr="004712DC">
        <w:t xml:space="preserve">STD clinics. </w:t>
      </w:r>
    </w:p>
    <w:p w14:paraId="450D0028" w14:textId="6D0729A2" w:rsidR="006F6A67" w:rsidRPr="004712DC" w:rsidRDefault="006F6A67" w:rsidP="006F6A67">
      <w:pPr>
        <w:pStyle w:val="ListParagraph"/>
        <w:numPr>
          <w:ilvl w:val="0"/>
          <w:numId w:val="10"/>
        </w:numPr>
      </w:pPr>
      <w:r w:rsidRPr="004712DC">
        <w:t>Ten</w:t>
      </w:r>
      <w:r w:rsidR="00D06D57" w:rsidRPr="004712DC">
        <w:t xml:space="preserve"> STD clinic</w:t>
      </w:r>
      <w:r w:rsidRPr="004712DC">
        <w:t xml:space="preserve"> data elements were added and 2 </w:t>
      </w:r>
      <w:r w:rsidR="00D06D57" w:rsidRPr="004712DC">
        <w:t xml:space="preserve">STD clinic </w:t>
      </w:r>
      <w:r w:rsidRPr="004712DC">
        <w:t>data elements were removed for a net of 8 new data elements. Because these data elements are collected through routine clinical care and extracted from an existing database there should be minimal burden to add these elements to the sequel (or equivalent) scripts used to pull the data</w:t>
      </w:r>
      <w:r w:rsidR="00D06D57" w:rsidRPr="004712DC">
        <w:t xml:space="preserve"> (For detailed description, see </w:t>
      </w:r>
      <w:r w:rsidR="006C13DB">
        <w:rPr>
          <w:b/>
        </w:rPr>
        <w:t>ATTACHMENT 3</w:t>
      </w:r>
      <w:r w:rsidR="00D06D57" w:rsidRPr="004712DC">
        <w:t>).</w:t>
      </w:r>
      <w:r w:rsidRPr="004712DC">
        <w:t xml:space="preserve">  </w:t>
      </w:r>
    </w:p>
    <w:p w14:paraId="6C02FE78" w14:textId="471C2E8A" w:rsidR="006F6A67" w:rsidRPr="004712DC" w:rsidRDefault="00507725" w:rsidP="00507725">
      <w:pPr>
        <w:pStyle w:val="ListParagraph"/>
        <w:numPr>
          <w:ilvl w:val="0"/>
          <w:numId w:val="10"/>
        </w:numPr>
      </w:pPr>
      <w:r w:rsidRPr="004712DC">
        <w:t xml:space="preserve">Addition of high priority topics to the </w:t>
      </w:r>
      <w:r w:rsidR="00D06D57" w:rsidRPr="004712DC">
        <w:t xml:space="preserve">previously approved interview instrument template: </w:t>
      </w:r>
      <w:r w:rsidR="00343A5E">
        <w:t>11</w:t>
      </w:r>
      <w:r w:rsidR="006F6A67" w:rsidRPr="004712DC">
        <w:t xml:space="preserve"> additional </w:t>
      </w:r>
      <w:r w:rsidRPr="004712DC">
        <w:t xml:space="preserve">questions were added to improve data collection of three priority emerging issues related to STD risk and prevention: Pre-Exposure Prophylaxis (PrEP), </w:t>
      </w:r>
      <w:r w:rsidR="00E15A24" w:rsidRPr="004712DC">
        <w:t>expedited</w:t>
      </w:r>
      <w:r w:rsidRPr="004712DC">
        <w:t xml:space="preserve"> partner therapy, opioid use and abuse (For detailed description, see </w:t>
      </w:r>
      <w:r w:rsidR="006C13DB">
        <w:rPr>
          <w:b/>
        </w:rPr>
        <w:t>ATTACHMENT 3</w:t>
      </w:r>
      <w:r w:rsidRPr="004712DC">
        <w:rPr>
          <w:b/>
        </w:rPr>
        <w:t>)</w:t>
      </w:r>
      <w:r w:rsidR="006F6A67" w:rsidRPr="004712DC">
        <w:t xml:space="preserve">.  </w:t>
      </w:r>
    </w:p>
    <w:p w14:paraId="05675831" w14:textId="1C8F75E0" w:rsidR="000C1F7C" w:rsidRPr="004712DC" w:rsidRDefault="00507725" w:rsidP="0085779E">
      <w:pPr>
        <w:pStyle w:val="ListParagraph"/>
        <w:keepNext/>
        <w:numPr>
          <w:ilvl w:val="0"/>
          <w:numId w:val="10"/>
        </w:numPr>
        <w:autoSpaceDE w:val="0"/>
        <w:autoSpaceDN w:val="0"/>
        <w:adjustRightInd w:val="0"/>
      </w:pPr>
      <w:r w:rsidRPr="004712DC">
        <w:t xml:space="preserve">Addition of a high priority activity that centers around ocular/ neurologic manifestations in early syphilis cases. </w:t>
      </w:r>
      <w:r w:rsidR="00233900" w:rsidRPr="004712DC">
        <w:t xml:space="preserve"> Reported rates of syphilis have been increasing in the US since 2001 with an estimated 19.0% increase in the rate of primary and secondary syphilis in 2015 compared with 2014. Concomitantly the proportion of early syphilis cases reporting neurologic and/or ocular manifestations has also been increasing with clusters of ocular syphilis cases being reported in certain jurisdictions. At present, there are significant gaps in the surveillance of early syphilis cases with neurologic and/or ocular manifestations and there is a need to engage in systematic surveillance to estimate the proportion of cases with neurologic and/ocular manifestations and to monitor whether there has</w:t>
      </w:r>
      <w:r w:rsidR="00233900" w:rsidRPr="004712DC">
        <w:rPr>
          <w:b/>
        </w:rPr>
        <w:t xml:space="preserve"> </w:t>
      </w:r>
      <w:r w:rsidR="00233900" w:rsidRPr="004712DC">
        <w:t xml:space="preserve">in fact been a rise in the proportion of syphilis cases with neurologic and/or ocular symptoms over time. </w:t>
      </w:r>
    </w:p>
    <w:p w14:paraId="6B1BEC96" w14:textId="77777777" w:rsidR="006E7E11" w:rsidRPr="004712DC" w:rsidRDefault="006E7E11" w:rsidP="000D0DDC">
      <w:pPr>
        <w:keepNext/>
        <w:autoSpaceDE w:val="0"/>
        <w:autoSpaceDN w:val="0"/>
        <w:adjustRightInd w:val="0"/>
      </w:pPr>
    </w:p>
    <w:p w14:paraId="29503340" w14:textId="77777777" w:rsidR="006E7E11" w:rsidRPr="004712DC" w:rsidRDefault="00C526FE" w:rsidP="00C526FE">
      <w:pPr>
        <w:keepNext/>
        <w:autoSpaceDE w:val="0"/>
        <w:autoSpaceDN w:val="0"/>
        <w:adjustRightInd w:val="0"/>
        <w:rPr>
          <w:b/>
        </w:rPr>
      </w:pPr>
      <w:r w:rsidRPr="004712DC">
        <w:rPr>
          <w:b/>
        </w:rPr>
        <w:t>A.</w:t>
      </w:r>
      <w:r w:rsidR="006E7E11" w:rsidRPr="004712DC">
        <w:rPr>
          <w:b/>
        </w:rPr>
        <w:t>16. Plans for Tabulation and Publication and Project Time Schedule</w:t>
      </w:r>
    </w:p>
    <w:p w14:paraId="04CAE25D" w14:textId="77777777" w:rsidR="00375447" w:rsidRPr="004712DC" w:rsidRDefault="00375447" w:rsidP="00C526FE">
      <w:pPr>
        <w:keepNext/>
        <w:autoSpaceDE w:val="0"/>
        <w:autoSpaceDN w:val="0"/>
        <w:adjustRightInd w:val="0"/>
      </w:pPr>
    </w:p>
    <w:p w14:paraId="57D00CE1" w14:textId="4C236FFF" w:rsidR="007E3742" w:rsidRPr="004712DC" w:rsidRDefault="007E3742" w:rsidP="00C526FE">
      <w:pPr>
        <w:keepNext/>
        <w:autoSpaceDE w:val="0"/>
        <w:autoSpaceDN w:val="0"/>
        <w:adjustRightInd w:val="0"/>
      </w:pPr>
      <w:r w:rsidRPr="004712DC">
        <w:t xml:space="preserve">Data from </w:t>
      </w:r>
      <w:r w:rsidR="00DE5411">
        <w:t>enhanced SSuN</w:t>
      </w:r>
      <w:r w:rsidRPr="004712DC">
        <w:t xml:space="preserve"> continue</w:t>
      </w:r>
      <w:r w:rsidR="00B24242" w:rsidRPr="004712DC">
        <w:t>s</w:t>
      </w:r>
      <w:r w:rsidRPr="004712DC">
        <w:t xml:space="preserve"> to inform STD prevention</w:t>
      </w:r>
      <w:r w:rsidR="00CE2BA3" w:rsidRPr="004712DC">
        <w:t xml:space="preserve"> and to inform a more comprehensive understanding of trends and determinants of STDs of interest, monitor public health program impact and provide a more robust evidence base for directing public health action. </w:t>
      </w:r>
      <w:r w:rsidR="008025AD" w:rsidRPr="004712DC">
        <w:t>CDC regularly publishes a</w:t>
      </w:r>
      <w:r w:rsidR="00B24242" w:rsidRPr="004712DC">
        <w:t>n annual</w:t>
      </w:r>
      <w:r w:rsidR="008025AD" w:rsidRPr="004712DC">
        <w:t xml:space="preserve"> STD surveillance report using </w:t>
      </w:r>
      <w:r w:rsidR="00B24242" w:rsidRPr="004712DC">
        <w:t xml:space="preserve">SSuN </w:t>
      </w:r>
      <w:r w:rsidR="008025AD" w:rsidRPr="004712DC">
        <w:t>data collected. For instance, the 2016 data collection cycle results were published in September 2017</w:t>
      </w:r>
      <w:r w:rsidR="00507725" w:rsidRPr="004712DC">
        <w:t xml:space="preserve"> </w:t>
      </w:r>
      <w:r w:rsidR="00CE2BA3" w:rsidRPr="004712DC">
        <w:t xml:space="preserve">(for example, see </w:t>
      </w:r>
      <w:hyperlink r:id="rId12" w:history="1">
        <w:r w:rsidR="008025AD" w:rsidRPr="004712DC">
          <w:rPr>
            <w:rStyle w:val="Hyperlink"/>
          </w:rPr>
          <w:t>https://www.cdc.gov/std/stats16/STD-Surveillance-2016-print.pdf</w:t>
        </w:r>
      </w:hyperlink>
      <w:r w:rsidR="00CE2BA3" w:rsidRPr="004712DC">
        <w:t xml:space="preserve"> ).  </w:t>
      </w:r>
      <w:r w:rsidR="00B24242" w:rsidRPr="004712DC">
        <w:t>Analyses of t</w:t>
      </w:r>
      <w:r w:rsidR="00846565" w:rsidRPr="004712DC">
        <w:t>hese data are also distributed to the part</w:t>
      </w:r>
      <w:r w:rsidR="00020FDA" w:rsidRPr="004712DC">
        <w:t>icipating jurisdictions through</w:t>
      </w:r>
      <w:r w:rsidR="00CE2BA3" w:rsidRPr="004712DC">
        <w:t xml:space="preserve"> monthly reports as well as </w:t>
      </w:r>
      <w:r w:rsidR="00846565" w:rsidRPr="004712DC">
        <w:t xml:space="preserve">through presentations </w:t>
      </w:r>
      <w:r w:rsidR="008025AD" w:rsidRPr="004712DC">
        <w:t xml:space="preserve">of </w:t>
      </w:r>
      <w:r w:rsidR="00CE2BA3" w:rsidRPr="004712DC">
        <w:t xml:space="preserve">annual summary data presented at the </w:t>
      </w:r>
      <w:r w:rsidR="00DE5411">
        <w:t>enhanced SSuN</w:t>
      </w:r>
      <w:r w:rsidR="00CE2BA3" w:rsidRPr="004712DC">
        <w:t xml:space="preserve"> annual principal investigators meeting. </w:t>
      </w:r>
    </w:p>
    <w:p w14:paraId="169D8F85" w14:textId="77777777" w:rsidR="00F37234" w:rsidRPr="004712DC" w:rsidRDefault="00F37234" w:rsidP="00C526FE">
      <w:pPr>
        <w:keepNext/>
        <w:autoSpaceDE w:val="0"/>
        <w:autoSpaceDN w:val="0"/>
        <w:adjustRightInd w:val="0"/>
      </w:pPr>
    </w:p>
    <w:p w14:paraId="426F15CC" w14:textId="5415E261" w:rsidR="008025AD" w:rsidRPr="004712DC" w:rsidRDefault="008025AD" w:rsidP="00C526FE">
      <w:pPr>
        <w:keepNext/>
        <w:autoSpaceDE w:val="0"/>
        <w:autoSpaceDN w:val="0"/>
        <w:adjustRightInd w:val="0"/>
      </w:pPr>
      <w:r w:rsidRPr="004712DC">
        <w:t>These data have also been distribu</w:t>
      </w:r>
      <w:r w:rsidR="00F37234" w:rsidRPr="004712DC">
        <w:t>t</w:t>
      </w:r>
      <w:r w:rsidRPr="004712DC">
        <w:t xml:space="preserve">ed through presentation at local, national and international conferences, publication in peer-reviewed journals. Local communities will continue to be informed of </w:t>
      </w:r>
      <w:r w:rsidR="00DE5411">
        <w:t>enhanced SSuN</w:t>
      </w:r>
      <w:r w:rsidRPr="004712DC">
        <w:t xml:space="preserve"> findings through multiple conduits of information. National data results will be released through national publications and presentations at conferences. Local data results will be reported back to the communities through means such as local publications, presentations to local STD prevention and community planning bodies and at local conferences and workshops.</w:t>
      </w:r>
    </w:p>
    <w:p w14:paraId="28757693" w14:textId="285E70EB" w:rsidR="00507725" w:rsidRPr="004712DC" w:rsidRDefault="004239CC" w:rsidP="00C526FE">
      <w:pPr>
        <w:keepNext/>
        <w:autoSpaceDE w:val="0"/>
        <w:autoSpaceDN w:val="0"/>
        <w:adjustRightInd w:val="0"/>
      </w:pPr>
      <w:r w:rsidRPr="004712DC">
        <w:rPr>
          <w:noProof/>
        </w:rPr>
        <mc:AlternateContent>
          <mc:Choice Requires="wps">
            <w:drawing>
              <wp:anchor distT="0" distB="0" distL="114300" distR="114300" simplePos="0" relativeHeight="251662336" behindDoc="0" locked="0" layoutInCell="1" allowOverlap="1" wp14:anchorId="4F6F5F88" wp14:editId="4C51AC3E">
                <wp:simplePos x="0" y="0"/>
                <wp:positionH relativeFrom="column">
                  <wp:posOffset>3815715</wp:posOffset>
                </wp:positionH>
                <wp:positionV relativeFrom="paragraph">
                  <wp:posOffset>5080</wp:posOffset>
                </wp:positionV>
                <wp:extent cx="1139952" cy="475488"/>
                <wp:effectExtent l="0" t="0" r="0" b="0"/>
                <wp:wrapNone/>
                <wp:docPr id="4" name="Rectangle 4"/>
                <wp:cNvGraphicFramePr/>
                <a:graphic xmlns:a="http://schemas.openxmlformats.org/drawingml/2006/main">
                  <a:graphicData uri="http://schemas.microsoft.com/office/word/2010/wordprocessingShape">
                    <wps:wsp>
                      <wps:cNvSpPr/>
                      <wps:spPr>
                        <a:xfrm>
                          <a:off x="0" y="0"/>
                          <a:ext cx="1139952" cy="475488"/>
                        </a:xfrm>
                        <a:prstGeom prst="rect">
                          <a:avLst/>
                        </a:prstGeom>
                        <a:noFill/>
                        <a:ln w="25400" cap="flat" cmpd="sng" algn="ctr">
                          <a:noFill/>
                          <a:prstDash val="solid"/>
                        </a:ln>
                        <a:effectLst/>
                      </wps:spPr>
                      <wps:txbx>
                        <w:txbxContent>
                          <w:p w14:paraId="4798C0CC" w14:textId="00F0E4F3" w:rsidR="003A76EB" w:rsidRPr="00507725" w:rsidRDefault="003A76EB" w:rsidP="00507725">
                            <w:pPr>
                              <w:jc w:val="center"/>
                              <w:rPr>
                                <w:color w:val="0D0D0D" w:themeColor="text1" w:themeTint="F2"/>
                                <w:sz w:val="16"/>
                                <w:szCs w:val="16"/>
                              </w:rPr>
                            </w:pPr>
                            <w:r w:rsidRPr="00507725">
                              <w:rPr>
                                <w:color w:val="0D0D0D" w:themeColor="text1" w:themeTint="F2"/>
                                <w:sz w:val="16"/>
                                <w:szCs w:val="16"/>
                              </w:rPr>
                              <w:t xml:space="preserve">End of </w:t>
                            </w:r>
                            <w:r>
                              <w:rPr>
                                <w:color w:val="0D0D0D" w:themeColor="text1" w:themeTint="F2"/>
                                <w:sz w:val="16"/>
                                <w:szCs w:val="16"/>
                              </w:rPr>
                              <w:t>1 year Cost-Extension</w:t>
                            </w:r>
                            <w:r w:rsidRPr="00507725">
                              <w:rPr>
                                <w:color w:val="0D0D0D" w:themeColor="text1" w:themeTint="F2"/>
                                <w:sz w:val="16"/>
                                <w:szCs w:val="16"/>
                              </w:rPr>
                              <w:t xml:space="preserve"> (PS13-1306)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300.45pt;margin-top:.4pt;width:89.75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" filled="f" stroked="f" strokeweight="2pt">
                <v:textbox>
                  <w:txbxContent>
                    <w:p w14:paraId="4798C0CC" w14:textId="00F0E4F3" w:rsidR="003A76EB" w:rsidRPr="00507725" w:rsidRDefault="003A76EB" w:rsidP="00507725">
                      <w:pPr>
                        <w:jc w:val="center"/>
                        <w:rPr>
                          <w:color w:val="0D0D0D" w:themeColor="text1" w:themeTint="F2"/>
                          <w:sz w:val="16"/>
                          <w:szCs w:val="16"/>
                        </w:rPr>
                      </w:pPr>
                      <w:r w:rsidRPr="00507725">
                        <w:rPr>
                          <w:color w:val="0D0D0D" w:themeColor="text1" w:themeTint="F2"/>
                          <w:sz w:val="16"/>
                          <w:szCs w:val="16"/>
                        </w:rPr>
                        <w:t xml:space="preserve">End of </w:t>
                      </w:r>
                      <w:r>
                        <w:rPr>
                          <w:color w:val="0D0D0D" w:themeColor="text1" w:themeTint="F2"/>
                          <w:sz w:val="16"/>
                          <w:szCs w:val="16"/>
                        </w:rPr>
                        <w:t>1 year Cost-Extension</w:t>
                      </w:r>
                      <w:r w:rsidRPr="00507725">
                        <w:rPr>
                          <w:color w:val="0D0D0D" w:themeColor="text1" w:themeTint="F2"/>
                          <w:sz w:val="16"/>
                          <w:szCs w:val="16"/>
                        </w:rPr>
                        <w:t xml:space="preserve"> (PS13-1306) </w:t>
                      </w:r>
                    </w:p>
                  </w:txbxContent>
                </v:textbox>
              </v:rect>
            </w:pict>
          </mc:Fallback>
        </mc:AlternateContent>
      </w:r>
      <w:r w:rsidR="00507725" w:rsidRPr="004712DC">
        <w:rPr>
          <w:noProof/>
        </w:rPr>
        <mc:AlternateContent>
          <mc:Choice Requires="wps">
            <w:drawing>
              <wp:anchor distT="0" distB="0" distL="114300" distR="114300" simplePos="0" relativeHeight="251660288" behindDoc="0" locked="0" layoutInCell="1" allowOverlap="1" wp14:anchorId="13DFD2A5" wp14:editId="37538047">
                <wp:simplePos x="0" y="0"/>
                <wp:positionH relativeFrom="column">
                  <wp:posOffset>1389507</wp:posOffset>
                </wp:positionH>
                <wp:positionV relativeFrom="paragraph">
                  <wp:posOffset>3175</wp:posOffset>
                </wp:positionV>
                <wp:extent cx="1005967" cy="474980"/>
                <wp:effectExtent l="0" t="0" r="0" b="0"/>
                <wp:wrapNone/>
                <wp:docPr id="3" name="Rectangle 3"/>
                <wp:cNvGraphicFramePr/>
                <a:graphic xmlns:a="http://schemas.openxmlformats.org/drawingml/2006/main">
                  <a:graphicData uri="http://schemas.microsoft.com/office/word/2010/wordprocessingShape">
                    <wps:wsp>
                      <wps:cNvSpPr/>
                      <wps:spPr>
                        <a:xfrm>
                          <a:off x="0" y="0"/>
                          <a:ext cx="1005967" cy="474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F9C96" w14:textId="47F94E19" w:rsidR="003A76EB" w:rsidRPr="00507725" w:rsidRDefault="003A76EB" w:rsidP="00507725">
                            <w:pPr>
                              <w:jc w:val="center"/>
                              <w:rPr>
                                <w:color w:val="0D0D0D" w:themeColor="text1" w:themeTint="F2"/>
                                <w:sz w:val="16"/>
                                <w:szCs w:val="16"/>
                              </w:rPr>
                            </w:pPr>
                            <w:r w:rsidRPr="00507725">
                              <w:rPr>
                                <w:color w:val="0D0D0D" w:themeColor="text1" w:themeTint="F2"/>
                                <w:sz w:val="16"/>
                                <w:szCs w:val="16"/>
                              </w:rPr>
                              <w:t xml:space="preserve">End of Cooperative Agreement (PS13-1306)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109.4pt;margin-top:.25pt;width:79.2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" filled="f" stroked="f" strokeweight="2pt">
                <v:textbox>
                  <w:txbxContent>
                    <w:p w14:paraId="174F9C96" w14:textId="47F94E19" w:rsidR="003A76EB" w:rsidRPr="00507725" w:rsidRDefault="003A76EB" w:rsidP="00507725">
                      <w:pPr>
                        <w:jc w:val="center"/>
                        <w:rPr>
                          <w:color w:val="0D0D0D" w:themeColor="text1" w:themeTint="F2"/>
                          <w:sz w:val="16"/>
                          <w:szCs w:val="16"/>
                        </w:rPr>
                      </w:pPr>
                      <w:r w:rsidRPr="00507725">
                        <w:rPr>
                          <w:color w:val="0D0D0D" w:themeColor="text1" w:themeTint="F2"/>
                          <w:sz w:val="16"/>
                          <w:szCs w:val="16"/>
                        </w:rPr>
                        <w:t xml:space="preserve">End of Cooperative Agreement (PS13-1306) </w:t>
                      </w:r>
                    </w:p>
                  </w:txbxContent>
                </v:textbox>
              </v:rect>
            </w:pict>
          </mc:Fallback>
        </mc:AlternateContent>
      </w:r>
    </w:p>
    <w:p w14:paraId="597EC5D2" w14:textId="6C163ADF" w:rsidR="00507725" w:rsidRPr="004712DC" w:rsidRDefault="004239CC" w:rsidP="00C526FE">
      <w:pPr>
        <w:keepNext/>
        <w:autoSpaceDE w:val="0"/>
        <w:autoSpaceDN w:val="0"/>
        <w:adjustRightInd w:val="0"/>
      </w:pPr>
      <w:r w:rsidRPr="004712DC">
        <w:rPr>
          <w:noProof/>
        </w:rPr>
        <mc:AlternateContent>
          <mc:Choice Requires="wps">
            <w:drawing>
              <wp:anchor distT="0" distB="0" distL="114300" distR="114300" simplePos="0" relativeHeight="251664384" behindDoc="0" locked="0" layoutInCell="1" allowOverlap="1" wp14:anchorId="2EED05E7" wp14:editId="4B276746">
                <wp:simplePos x="0" y="0"/>
                <wp:positionH relativeFrom="column">
                  <wp:posOffset>3815842</wp:posOffset>
                </wp:positionH>
                <wp:positionV relativeFrom="paragraph">
                  <wp:posOffset>5080</wp:posOffset>
                </wp:positionV>
                <wp:extent cx="146304" cy="298704"/>
                <wp:effectExtent l="19050" t="0" r="25400" b="44450"/>
                <wp:wrapNone/>
                <wp:docPr id="5" name="Down Arrow 5"/>
                <wp:cNvGraphicFramePr/>
                <a:graphic xmlns:a="http://schemas.openxmlformats.org/drawingml/2006/main">
                  <a:graphicData uri="http://schemas.microsoft.com/office/word/2010/wordprocessingShape">
                    <wps:wsp>
                      <wps:cNvSpPr/>
                      <wps:spPr>
                        <a:xfrm>
                          <a:off x="0" y="0"/>
                          <a:ext cx="146304" cy="29870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9587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00.45pt;margin-top:.4pt;width:11.5pt;height:2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" adj="16310" fillcolor="#4f81bd" strokecolor="#385d8a" strokeweight="2pt"/>
            </w:pict>
          </mc:Fallback>
        </mc:AlternateContent>
      </w:r>
      <w:r w:rsidRPr="004712DC">
        <w:rPr>
          <w:noProof/>
        </w:rPr>
        <mc:AlternateContent>
          <mc:Choice Requires="wps">
            <w:drawing>
              <wp:anchor distT="0" distB="0" distL="114300" distR="114300" simplePos="0" relativeHeight="251659264" behindDoc="0" locked="0" layoutInCell="1" allowOverlap="1" wp14:anchorId="45EB6CF8" wp14:editId="7F3550C4">
                <wp:simplePos x="0" y="0"/>
                <wp:positionH relativeFrom="column">
                  <wp:posOffset>1297686</wp:posOffset>
                </wp:positionH>
                <wp:positionV relativeFrom="paragraph">
                  <wp:posOffset>3175</wp:posOffset>
                </wp:positionV>
                <wp:extent cx="146304" cy="298704"/>
                <wp:effectExtent l="19050" t="0" r="25400" b="44450"/>
                <wp:wrapNone/>
                <wp:docPr id="2" name="Down Arrow 2"/>
                <wp:cNvGraphicFramePr/>
                <a:graphic xmlns:a="http://schemas.openxmlformats.org/drawingml/2006/main">
                  <a:graphicData uri="http://schemas.microsoft.com/office/word/2010/wordprocessingShape">
                    <wps:wsp>
                      <wps:cNvSpPr/>
                      <wps:spPr>
                        <a:xfrm>
                          <a:off x="0" y="0"/>
                          <a:ext cx="146304" cy="2987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554676" id="Down Arrow 2" o:spid="_x0000_s1026" type="#_x0000_t67" style="position:absolute;margin-left:102.2pt;margin-top:.25pt;width:11.5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" adj="16310" fillcolor="#4f81bd [3204]" strokecolor="#243f60 [1604]" strokeweight="2pt"/>
            </w:pict>
          </mc:Fallback>
        </mc:AlternateContent>
      </w:r>
    </w:p>
    <w:p w14:paraId="66BB6A5D" w14:textId="14B63B23" w:rsidR="00507725" w:rsidRPr="004712DC" w:rsidRDefault="004239CC" w:rsidP="00C526FE">
      <w:pPr>
        <w:keepNext/>
        <w:autoSpaceDE w:val="0"/>
        <w:autoSpaceDN w:val="0"/>
        <w:adjustRightInd w:val="0"/>
      </w:pPr>
      <w:r w:rsidRPr="004712DC">
        <w:rPr>
          <w:noProof/>
        </w:rPr>
        <mc:AlternateContent>
          <mc:Choice Requires="wps">
            <w:drawing>
              <wp:anchor distT="0" distB="0" distL="114300" distR="114300" simplePos="0" relativeHeight="251665408" behindDoc="0" locked="0" layoutInCell="1" allowOverlap="1" wp14:anchorId="24BDAEC6" wp14:editId="5A5D4B6D">
                <wp:simplePos x="0" y="0"/>
                <wp:positionH relativeFrom="column">
                  <wp:posOffset>-438912</wp:posOffset>
                </wp:positionH>
                <wp:positionV relativeFrom="paragraph">
                  <wp:posOffset>1162812</wp:posOffset>
                </wp:positionV>
                <wp:extent cx="4279392" cy="713232"/>
                <wp:effectExtent l="0" t="19050" r="45085" b="29845"/>
                <wp:wrapNone/>
                <wp:docPr id="6" name="Right Arrow 6"/>
                <wp:cNvGraphicFramePr/>
                <a:graphic xmlns:a="http://schemas.openxmlformats.org/drawingml/2006/main">
                  <a:graphicData uri="http://schemas.microsoft.com/office/word/2010/wordprocessingShape">
                    <wps:wsp>
                      <wps:cNvSpPr/>
                      <wps:spPr>
                        <a:xfrm>
                          <a:off x="0" y="0"/>
                          <a:ext cx="4279392" cy="7132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8B99DE" w14:textId="2A10F96F" w:rsidR="003A76EB" w:rsidRPr="006C13DB" w:rsidRDefault="003A76EB" w:rsidP="004239CC">
                            <w:pPr>
                              <w:jc w:val="center"/>
                              <w:rPr>
                                <w:sz w:val="18"/>
                                <w:szCs w:val="18"/>
                              </w:rPr>
                            </w:pPr>
                            <w:r w:rsidRPr="006C13DB">
                              <w:rPr>
                                <w:sz w:val="18"/>
                                <w:szCs w:val="18"/>
                              </w:rPr>
                              <w:t xml:space="preserve">Ongoing data collection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9" type="#_x0000_t13" style="position:absolute;margin-left:-34.55pt;margin-top:91.55pt;width:336.95pt;height:5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" adj="19800" fillcolor="#4f81bd [3204]" strokecolor="#243f60 [1604]" strokeweight="2pt">
                <v:textbox>
                  <w:txbxContent>
                    <w:p w14:paraId="1F8B99DE" w14:textId="2A10F96F" w:rsidR="003A76EB" w:rsidRPr="006C13DB" w:rsidRDefault="003A76EB" w:rsidP="004239CC">
                      <w:pPr>
                        <w:jc w:val="center"/>
                        <w:rPr>
                          <w:sz w:val="18"/>
                          <w:szCs w:val="18"/>
                        </w:rPr>
                      </w:pPr>
                      <w:r w:rsidRPr="006C13DB">
                        <w:rPr>
                          <w:sz w:val="18"/>
                          <w:szCs w:val="18"/>
                        </w:rPr>
                        <w:t xml:space="preserve">Ongoing data collection </w:t>
                      </w:r>
                    </w:p>
                  </w:txbxContent>
                </v:textbox>
              </v:shape>
            </w:pict>
          </mc:Fallback>
        </mc:AlternateContent>
      </w:r>
    </w:p>
    <w:tbl>
      <w:tblPr>
        <w:tblStyle w:val="TableGrid"/>
        <w:tblW w:w="6160" w:type="pct"/>
        <w:tblInd w:w="-725" w:type="dxa"/>
        <w:tblLook w:val="04A0" w:firstRow="1" w:lastRow="0" w:firstColumn="1" w:lastColumn="0" w:noHBand="0" w:noVBand="1"/>
      </w:tblPr>
      <w:tblGrid>
        <w:gridCol w:w="999"/>
        <w:gridCol w:w="996"/>
        <w:gridCol w:w="949"/>
        <w:gridCol w:w="1099"/>
        <w:gridCol w:w="1009"/>
        <w:gridCol w:w="1009"/>
        <w:gridCol w:w="949"/>
        <w:gridCol w:w="949"/>
        <w:gridCol w:w="967"/>
        <w:gridCol w:w="949"/>
        <w:gridCol w:w="949"/>
        <w:gridCol w:w="974"/>
      </w:tblGrid>
      <w:tr w:rsidR="004239CC" w:rsidRPr="004712DC" w14:paraId="5D7C6850" w14:textId="571E6DB4" w:rsidTr="004239CC">
        <w:tc>
          <w:tcPr>
            <w:tcW w:w="425" w:type="pct"/>
          </w:tcPr>
          <w:p w14:paraId="53CE492A" w14:textId="7F61D351" w:rsidR="004239CC" w:rsidRPr="004712DC" w:rsidRDefault="004239CC" w:rsidP="004239CC">
            <w:pPr>
              <w:keepNext/>
              <w:autoSpaceDE w:val="0"/>
              <w:autoSpaceDN w:val="0"/>
              <w:adjustRightInd w:val="0"/>
            </w:pPr>
            <w:r w:rsidRPr="004712DC">
              <w:t>1</w:t>
            </w:r>
            <w:r w:rsidRPr="004712DC">
              <w:rPr>
                <w:vertAlign w:val="superscript"/>
              </w:rPr>
              <w:t>st</w:t>
            </w:r>
            <w:r w:rsidRPr="004712DC">
              <w:t xml:space="preserve"> Quarter</w:t>
            </w:r>
          </w:p>
          <w:p w14:paraId="226F61A1" w14:textId="6A73D0B2" w:rsidR="004239CC" w:rsidRPr="004712DC" w:rsidRDefault="004239CC" w:rsidP="004239CC">
            <w:pPr>
              <w:keepNext/>
              <w:autoSpaceDE w:val="0"/>
              <w:autoSpaceDN w:val="0"/>
              <w:adjustRightInd w:val="0"/>
            </w:pPr>
          </w:p>
        </w:tc>
        <w:tc>
          <w:tcPr>
            <w:tcW w:w="424" w:type="pct"/>
          </w:tcPr>
          <w:p w14:paraId="26011CF4" w14:textId="66F4D9B0" w:rsidR="004239CC" w:rsidRPr="004712DC" w:rsidRDefault="004239CC" w:rsidP="004239CC">
            <w:pPr>
              <w:keepNext/>
              <w:autoSpaceDE w:val="0"/>
              <w:autoSpaceDN w:val="0"/>
              <w:adjustRightInd w:val="0"/>
            </w:pPr>
            <w:r w:rsidRPr="004712DC">
              <w:t>2</w:t>
            </w:r>
            <w:r w:rsidRPr="004712DC">
              <w:rPr>
                <w:vertAlign w:val="superscript"/>
              </w:rPr>
              <w:t>nd</w:t>
            </w:r>
            <w:r w:rsidRPr="004712DC">
              <w:t xml:space="preserve"> Quarter</w:t>
            </w:r>
          </w:p>
        </w:tc>
        <w:tc>
          <w:tcPr>
            <w:tcW w:w="400" w:type="pct"/>
          </w:tcPr>
          <w:p w14:paraId="21C0A412" w14:textId="5A501A2A" w:rsidR="004239CC" w:rsidRPr="004712DC" w:rsidRDefault="004239CC" w:rsidP="004239CC">
            <w:pPr>
              <w:keepNext/>
              <w:autoSpaceDE w:val="0"/>
              <w:autoSpaceDN w:val="0"/>
              <w:adjustRightInd w:val="0"/>
            </w:pPr>
            <w:r w:rsidRPr="004712DC">
              <w:t>3</w:t>
            </w:r>
            <w:r w:rsidRPr="004712DC">
              <w:rPr>
                <w:vertAlign w:val="superscript"/>
              </w:rPr>
              <w:t>rd</w:t>
            </w:r>
            <w:r w:rsidRPr="004712DC">
              <w:t xml:space="preserve"> Quarter</w:t>
            </w:r>
          </w:p>
          <w:p w14:paraId="3E93D9A3" w14:textId="77777777" w:rsidR="004239CC" w:rsidRPr="004712DC" w:rsidRDefault="004239CC" w:rsidP="004239CC">
            <w:pPr>
              <w:keepNext/>
              <w:autoSpaceDE w:val="0"/>
              <w:autoSpaceDN w:val="0"/>
              <w:adjustRightInd w:val="0"/>
            </w:pPr>
          </w:p>
        </w:tc>
        <w:tc>
          <w:tcPr>
            <w:tcW w:w="466" w:type="pct"/>
          </w:tcPr>
          <w:p w14:paraId="49111B4E" w14:textId="4E08A64F" w:rsidR="004239CC" w:rsidRPr="004712DC" w:rsidRDefault="004239CC" w:rsidP="004239CC">
            <w:pPr>
              <w:keepNext/>
              <w:autoSpaceDE w:val="0"/>
              <w:autoSpaceDN w:val="0"/>
              <w:adjustRightInd w:val="0"/>
            </w:pPr>
            <w:r w:rsidRPr="004712DC">
              <w:t>4</w:t>
            </w:r>
            <w:r w:rsidRPr="004712DC">
              <w:rPr>
                <w:vertAlign w:val="superscript"/>
              </w:rPr>
              <w:t>th</w:t>
            </w:r>
            <w:r w:rsidRPr="004712DC">
              <w:t xml:space="preserve"> Quarter</w:t>
            </w:r>
          </w:p>
        </w:tc>
        <w:tc>
          <w:tcPr>
            <w:tcW w:w="429" w:type="pct"/>
          </w:tcPr>
          <w:p w14:paraId="201761F7" w14:textId="77777777" w:rsidR="004239CC" w:rsidRPr="004712DC" w:rsidRDefault="004239CC" w:rsidP="004239CC">
            <w:pPr>
              <w:keepNext/>
              <w:autoSpaceDE w:val="0"/>
              <w:autoSpaceDN w:val="0"/>
              <w:adjustRightInd w:val="0"/>
            </w:pPr>
            <w:r w:rsidRPr="004712DC">
              <w:t>1</w:t>
            </w:r>
            <w:r w:rsidRPr="004712DC">
              <w:rPr>
                <w:vertAlign w:val="superscript"/>
              </w:rPr>
              <w:t>st</w:t>
            </w:r>
            <w:r w:rsidRPr="004712DC">
              <w:t xml:space="preserve"> Quarter</w:t>
            </w:r>
          </w:p>
          <w:p w14:paraId="3051580D" w14:textId="28E955BD" w:rsidR="004239CC" w:rsidRPr="004712DC" w:rsidRDefault="004239CC" w:rsidP="004239CC">
            <w:pPr>
              <w:keepNext/>
              <w:autoSpaceDE w:val="0"/>
              <w:autoSpaceDN w:val="0"/>
              <w:adjustRightInd w:val="0"/>
            </w:pPr>
          </w:p>
        </w:tc>
        <w:tc>
          <w:tcPr>
            <w:tcW w:w="429" w:type="pct"/>
          </w:tcPr>
          <w:p w14:paraId="14E5E23C" w14:textId="63697AFB" w:rsidR="004239CC" w:rsidRPr="004712DC" w:rsidRDefault="004239CC" w:rsidP="004239CC">
            <w:pPr>
              <w:keepNext/>
              <w:autoSpaceDE w:val="0"/>
              <w:autoSpaceDN w:val="0"/>
              <w:adjustRightInd w:val="0"/>
            </w:pPr>
            <w:r w:rsidRPr="004712DC">
              <w:t>2</w:t>
            </w:r>
            <w:r w:rsidRPr="004712DC">
              <w:rPr>
                <w:vertAlign w:val="superscript"/>
              </w:rPr>
              <w:t>nd</w:t>
            </w:r>
            <w:r w:rsidRPr="004712DC">
              <w:t xml:space="preserve"> Quarter</w:t>
            </w:r>
          </w:p>
        </w:tc>
        <w:tc>
          <w:tcPr>
            <w:tcW w:w="400" w:type="pct"/>
          </w:tcPr>
          <w:p w14:paraId="44FBCD9A" w14:textId="77777777" w:rsidR="004239CC" w:rsidRPr="004712DC" w:rsidRDefault="004239CC" w:rsidP="004239CC">
            <w:pPr>
              <w:keepNext/>
              <w:autoSpaceDE w:val="0"/>
              <w:autoSpaceDN w:val="0"/>
              <w:adjustRightInd w:val="0"/>
            </w:pPr>
            <w:r w:rsidRPr="004712DC">
              <w:t>3</w:t>
            </w:r>
            <w:r w:rsidRPr="004712DC">
              <w:rPr>
                <w:vertAlign w:val="superscript"/>
              </w:rPr>
              <w:t>rd</w:t>
            </w:r>
            <w:r w:rsidRPr="004712DC">
              <w:t xml:space="preserve"> Quarter</w:t>
            </w:r>
          </w:p>
          <w:p w14:paraId="5224D516" w14:textId="609FDBE7" w:rsidR="004239CC" w:rsidRPr="004712DC" w:rsidRDefault="004239CC" w:rsidP="004239CC">
            <w:pPr>
              <w:keepNext/>
              <w:autoSpaceDE w:val="0"/>
              <w:autoSpaceDN w:val="0"/>
              <w:adjustRightInd w:val="0"/>
            </w:pPr>
          </w:p>
        </w:tc>
        <w:tc>
          <w:tcPr>
            <w:tcW w:w="401" w:type="pct"/>
          </w:tcPr>
          <w:p w14:paraId="6A0F9D28" w14:textId="6FC41C42" w:rsidR="004239CC" w:rsidRPr="004712DC" w:rsidRDefault="004239CC" w:rsidP="004239CC">
            <w:pPr>
              <w:keepNext/>
              <w:autoSpaceDE w:val="0"/>
              <w:autoSpaceDN w:val="0"/>
              <w:adjustRightInd w:val="0"/>
            </w:pPr>
            <w:r w:rsidRPr="004712DC">
              <w:t>4</w:t>
            </w:r>
            <w:r w:rsidRPr="004712DC">
              <w:rPr>
                <w:vertAlign w:val="superscript"/>
              </w:rPr>
              <w:t>th</w:t>
            </w:r>
            <w:r w:rsidRPr="004712DC">
              <w:t xml:space="preserve"> Quarter</w:t>
            </w:r>
          </w:p>
        </w:tc>
        <w:tc>
          <w:tcPr>
            <w:tcW w:w="411" w:type="pct"/>
          </w:tcPr>
          <w:p w14:paraId="49C20DA6" w14:textId="77777777" w:rsidR="004239CC" w:rsidRPr="004712DC" w:rsidRDefault="004239CC" w:rsidP="004239CC">
            <w:pPr>
              <w:keepNext/>
              <w:autoSpaceDE w:val="0"/>
              <w:autoSpaceDN w:val="0"/>
              <w:adjustRightInd w:val="0"/>
            </w:pPr>
            <w:r w:rsidRPr="004712DC">
              <w:t>1</w:t>
            </w:r>
            <w:r w:rsidRPr="004712DC">
              <w:rPr>
                <w:vertAlign w:val="superscript"/>
              </w:rPr>
              <w:t>st</w:t>
            </w:r>
            <w:r w:rsidRPr="004712DC">
              <w:t xml:space="preserve"> Quarter</w:t>
            </w:r>
          </w:p>
          <w:p w14:paraId="13C090B7" w14:textId="272C18C2" w:rsidR="004239CC" w:rsidRPr="004712DC" w:rsidRDefault="004239CC" w:rsidP="004239CC">
            <w:pPr>
              <w:keepNext/>
              <w:autoSpaceDE w:val="0"/>
              <w:autoSpaceDN w:val="0"/>
              <w:adjustRightInd w:val="0"/>
            </w:pPr>
          </w:p>
        </w:tc>
        <w:tc>
          <w:tcPr>
            <w:tcW w:w="400" w:type="pct"/>
          </w:tcPr>
          <w:p w14:paraId="5384E4E6" w14:textId="61BE98DA" w:rsidR="004239CC" w:rsidRPr="004712DC" w:rsidRDefault="004239CC" w:rsidP="004239CC">
            <w:pPr>
              <w:spacing w:after="200" w:line="276" w:lineRule="auto"/>
            </w:pPr>
            <w:r w:rsidRPr="004712DC">
              <w:t>2</w:t>
            </w:r>
            <w:r w:rsidRPr="004712DC">
              <w:rPr>
                <w:vertAlign w:val="superscript"/>
              </w:rPr>
              <w:t>nd</w:t>
            </w:r>
            <w:r w:rsidRPr="004712DC">
              <w:t xml:space="preserve"> Quarter</w:t>
            </w:r>
          </w:p>
        </w:tc>
        <w:tc>
          <w:tcPr>
            <w:tcW w:w="400" w:type="pct"/>
          </w:tcPr>
          <w:p w14:paraId="3B1090BE" w14:textId="77777777" w:rsidR="004239CC" w:rsidRPr="004712DC" w:rsidRDefault="004239CC" w:rsidP="004239CC">
            <w:pPr>
              <w:keepNext/>
              <w:autoSpaceDE w:val="0"/>
              <w:autoSpaceDN w:val="0"/>
              <w:adjustRightInd w:val="0"/>
            </w:pPr>
            <w:r w:rsidRPr="004712DC">
              <w:t>3</w:t>
            </w:r>
            <w:r w:rsidRPr="004712DC">
              <w:rPr>
                <w:vertAlign w:val="superscript"/>
              </w:rPr>
              <w:t>rd</w:t>
            </w:r>
            <w:r w:rsidRPr="004712DC">
              <w:t xml:space="preserve"> Quarter</w:t>
            </w:r>
          </w:p>
          <w:p w14:paraId="2C4E349B" w14:textId="67FABCE2" w:rsidR="004239CC" w:rsidRPr="004712DC" w:rsidRDefault="004239CC" w:rsidP="004239CC">
            <w:pPr>
              <w:spacing w:after="200" w:line="276" w:lineRule="auto"/>
            </w:pPr>
          </w:p>
        </w:tc>
        <w:tc>
          <w:tcPr>
            <w:tcW w:w="414" w:type="pct"/>
          </w:tcPr>
          <w:p w14:paraId="45636689" w14:textId="058DACD5" w:rsidR="004239CC" w:rsidRPr="004712DC" w:rsidRDefault="004239CC" w:rsidP="004239CC">
            <w:pPr>
              <w:spacing w:after="200" w:line="276" w:lineRule="auto"/>
            </w:pPr>
            <w:r w:rsidRPr="004712DC">
              <w:t>4</w:t>
            </w:r>
            <w:r w:rsidRPr="004712DC">
              <w:rPr>
                <w:vertAlign w:val="superscript"/>
              </w:rPr>
              <w:t>th</w:t>
            </w:r>
            <w:r w:rsidRPr="004712DC">
              <w:t xml:space="preserve"> Quarter</w:t>
            </w:r>
          </w:p>
        </w:tc>
      </w:tr>
      <w:tr w:rsidR="004239CC" w:rsidRPr="004712DC" w14:paraId="3548AAD6" w14:textId="77777777" w:rsidTr="004239CC">
        <w:tc>
          <w:tcPr>
            <w:tcW w:w="1716" w:type="pct"/>
            <w:gridSpan w:val="4"/>
          </w:tcPr>
          <w:p w14:paraId="58D61BF9" w14:textId="56759375" w:rsidR="004239CC" w:rsidRPr="004712DC" w:rsidRDefault="004239CC" w:rsidP="004239CC">
            <w:pPr>
              <w:keepNext/>
              <w:autoSpaceDE w:val="0"/>
              <w:autoSpaceDN w:val="0"/>
              <w:adjustRightInd w:val="0"/>
              <w:jc w:val="center"/>
            </w:pPr>
            <w:r w:rsidRPr="004712DC">
              <w:t>2018</w:t>
            </w:r>
          </w:p>
        </w:tc>
        <w:tc>
          <w:tcPr>
            <w:tcW w:w="1659" w:type="pct"/>
            <w:gridSpan w:val="4"/>
          </w:tcPr>
          <w:p w14:paraId="423DE5D4" w14:textId="1136322D" w:rsidR="004239CC" w:rsidRPr="004712DC" w:rsidRDefault="004239CC" w:rsidP="004239CC">
            <w:pPr>
              <w:keepNext/>
              <w:autoSpaceDE w:val="0"/>
              <w:autoSpaceDN w:val="0"/>
              <w:adjustRightInd w:val="0"/>
              <w:jc w:val="center"/>
            </w:pPr>
            <w:r w:rsidRPr="004712DC">
              <w:t>2019</w:t>
            </w:r>
          </w:p>
        </w:tc>
        <w:tc>
          <w:tcPr>
            <w:tcW w:w="1625" w:type="pct"/>
            <w:gridSpan w:val="4"/>
          </w:tcPr>
          <w:p w14:paraId="258D3576" w14:textId="2A95DCE7" w:rsidR="004239CC" w:rsidRPr="004712DC" w:rsidRDefault="004239CC" w:rsidP="004239CC">
            <w:pPr>
              <w:spacing w:after="200" w:line="276" w:lineRule="auto"/>
              <w:jc w:val="center"/>
            </w:pPr>
            <w:r w:rsidRPr="004712DC">
              <w:t>2020</w:t>
            </w:r>
          </w:p>
        </w:tc>
      </w:tr>
    </w:tbl>
    <w:p w14:paraId="29A22928" w14:textId="1D4B4830" w:rsidR="00507725" w:rsidRPr="004712DC" w:rsidRDefault="00507725" w:rsidP="00C526FE">
      <w:pPr>
        <w:keepNext/>
        <w:autoSpaceDE w:val="0"/>
        <w:autoSpaceDN w:val="0"/>
        <w:adjustRightInd w:val="0"/>
      </w:pPr>
    </w:p>
    <w:p w14:paraId="67978C98" w14:textId="60FAE87F" w:rsidR="007E3742" w:rsidRPr="004712DC" w:rsidRDefault="007E3742" w:rsidP="00C526FE">
      <w:pPr>
        <w:keepNext/>
        <w:autoSpaceDE w:val="0"/>
        <w:autoSpaceDN w:val="0"/>
        <w:adjustRightInd w:val="0"/>
      </w:pPr>
    </w:p>
    <w:p w14:paraId="483DBA16" w14:textId="559103F9" w:rsidR="004239CC" w:rsidRPr="004712DC" w:rsidRDefault="004239CC" w:rsidP="00C526FE">
      <w:pPr>
        <w:keepNext/>
        <w:autoSpaceDE w:val="0"/>
        <w:autoSpaceDN w:val="0"/>
        <w:adjustRightInd w:val="0"/>
      </w:pPr>
    </w:p>
    <w:p w14:paraId="375259CC" w14:textId="6D4BC7FD" w:rsidR="004239CC" w:rsidRPr="004712DC" w:rsidRDefault="004239CC" w:rsidP="00C526FE">
      <w:pPr>
        <w:keepNext/>
        <w:autoSpaceDE w:val="0"/>
        <w:autoSpaceDN w:val="0"/>
        <w:adjustRightInd w:val="0"/>
      </w:pPr>
    </w:p>
    <w:p w14:paraId="0F442FCC" w14:textId="5811E543" w:rsidR="004239CC" w:rsidRPr="004712DC" w:rsidRDefault="004239CC" w:rsidP="00C526FE">
      <w:pPr>
        <w:keepNext/>
        <w:autoSpaceDE w:val="0"/>
        <w:autoSpaceDN w:val="0"/>
        <w:adjustRightInd w:val="0"/>
      </w:pPr>
      <w:r w:rsidRPr="004712DC">
        <w:rPr>
          <w:noProof/>
        </w:rPr>
        <mc:AlternateContent>
          <mc:Choice Requires="wps">
            <w:drawing>
              <wp:anchor distT="0" distB="0" distL="114300" distR="114300" simplePos="0" relativeHeight="251667456" behindDoc="0" locked="0" layoutInCell="1" allowOverlap="1" wp14:anchorId="70F15F54" wp14:editId="0D79E1AC">
                <wp:simplePos x="0" y="0"/>
                <wp:positionH relativeFrom="column">
                  <wp:posOffset>1310640</wp:posOffset>
                </wp:positionH>
                <wp:positionV relativeFrom="paragraph">
                  <wp:posOffset>22352</wp:posOffset>
                </wp:positionV>
                <wp:extent cx="5297424" cy="554736"/>
                <wp:effectExtent l="0" t="19050" r="36830" b="36195"/>
                <wp:wrapNone/>
                <wp:docPr id="7" name="Right Arrow 7"/>
                <wp:cNvGraphicFramePr/>
                <a:graphic xmlns:a="http://schemas.openxmlformats.org/drawingml/2006/main">
                  <a:graphicData uri="http://schemas.microsoft.com/office/word/2010/wordprocessingShape">
                    <wps:wsp>
                      <wps:cNvSpPr/>
                      <wps:spPr>
                        <a:xfrm>
                          <a:off x="0" y="0"/>
                          <a:ext cx="5297424" cy="554736"/>
                        </a:xfrm>
                        <a:prstGeom prst="rightArrow">
                          <a:avLst/>
                        </a:prstGeom>
                        <a:solidFill>
                          <a:srgbClr val="4F81BD"/>
                        </a:solidFill>
                        <a:ln w="25400" cap="flat" cmpd="sng" algn="ctr">
                          <a:solidFill>
                            <a:srgbClr val="4F81BD">
                              <a:shade val="50000"/>
                            </a:srgbClr>
                          </a:solidFill>
                          <a:prstDash val="solid"/>
                        </a:ln>
                        <a:effectLst/>
                      </wps:spPr>
                      <wps:txbx>
                        <w:txbxContent>
                          <w:p w14:paraId="42C085DD" w14:textId="59F189F3" w:rsidR="003A76EB" w:rsidRPr="006C13DB" w:rsidRDefault="003A76EB" w:rsidP="004239CC">
                            <w:pPr>
                              <w:jc w:val="center"/>
                              <w:rPr>
                                <w:color w:val="FFFFFF" w:themeColor="background1"/>
                                <w:sz w:val="18"/>
                                <w:szCs w:val="18"/>
                              </w:rPr>
                            </w:pPr>
                            <w:r w:rsidRPr="006C13DB">
                              <w:rPr>
                                <w:color w:val="FFFFFF" w:themeColor="background1"/>
                                <w:sz w:val="18"/>
                                <w:szCs w:val="18"/>
                              </w:rPr>
                              <w:t xml:space="preserve">Analysis of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o:spid="_x0000_s1030" type="#_x0000_t13" style="position:absolute;margin-left:103.2pt;margin-top:1.75pt;width:417.1pt;height: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" adj="20469" fillcolor="#4f81bd" strokecolor="#385d8a" strokeweight="2pt">
                <v:textbox>
                  <w:txbxContent>
                    <w:p w14:paraId="42C085DD" w14:textId="59F189F3" w:rsidR="003A76EB" w:rsidRPr="006C13DB" w:rsidRDefault="003A76EB" w:rsidP="004239CC">
                      <w:pPr>
                        <w:jc w:val="center"/>
                        <w:rPr>
                          <w:color w:val="FFFFFF" w:themeColor="background1"/>
                          <w:sz w:val="18"/>
                          <w:szCs w:val="18"/>
                        </w:rPr>
                      </w:pPr>
                      <w:r w:rsidRPr="006C13DB">
                        <w:rPr>
                          <w:color w:val="FFFFFF" w:themeColor="background1"/>
                          <w:sz w:val="18"/>
                          <w:szCs w:val="18"/>
                        </w:rPr>
                        <w:t xml:space="preserve">Analysis of data </w:t>
                      </w:r>
                    </w:p>
                  </w:txbxContent>
                </v:textbox>
              </v:shape>
            </w:pict>
          </mc:Fallback>
        </mc:AlternateContent>
      </w:r>
    </w:p>
    <w:p w14:paraId="2A252890" w14:textId="700DAF7B" w:rsidR="004239CC" w:rsidRPr="004712DC" w:rsidRDefault="004239CC" w:rsidP="00C526FE">
      <w:pPr>
        <w:keepNext/>
        <w:autoSpaceDE w:val="0"/>
        <w:autoSpaceDN w:val="0"/>
        <w:adjustRightInd w:val="0"/>
      </w:pPr>
    </w:p>
    <w:p w14:paraId="01477009" w14:textId="2CA1A7B1" w:rsidR="004239CC" w:rsidRPr="004712DC" w:rsidRDefault="004239CC" w:rsidP="00C526FE">
      <w:pPr>
        <w:keepNext/>
        <w:autoSpaceDE w:val="0"/>
        <w:autoSpaceDN w:val="0"/>
        <w:adjustRightInd w:val="0"/>
      </w:pPr>
    </w:p>
    <w:p w14:paraId="50AB0166" w14:textId="4B619210" w:rsidR="004239CC" w:rsidRPr="004712DC" w:rsidRDefault="004239CC" w:rsidP="00C526FE">
      <w:pPr>
        <w:keepNext/>
        <w:autoSpaceDE w:val="0"/>
        <w:autoSpaceDN w:val="0"/>
        <w:adjustRightInd w:val="0"/>
      </w:pPr>
    </w:p>
    <w:p w14:paraId="792D5676" w14:textId="77777777" w:rsidR="004239CC" w:rsidRPr="004712DC" w:rsidRDefault="004239CC" w:rsidP="00C526FE">
      <w:pPr>
        <w:keepNext/>
        <w:autoSpaceDE w:val="0"/>
        <w:autoSpaceDN w:val="0"/>
        <w:adjustRightInd w:val="0"/>
      </w:pPr>
    </w:p>
    <w:p w14:paraId="45F8CA77" w14:textId="26F4E4CB" w:rsidR="008C0948" w:rsidRPr="004712DC" w:rsidRDefault="008C0948" w:rsidP="008C0948">
      <w:pPr>
        <w:keepNext/>
        <w:autoSpaceDE w:val="0"/>
        <w:autoSpaceDN w:val="0"/>
        <w:adjustRightInd w:val="0"/>
      </w:pPr>
      <w:r w:rsidRPr="004712DC">
        <w:t>CDC analyses will focus on the following key</w:t>
      </w:r>
      <w:r w:rsidR="001757C9" w:rsidRPr="004712DC">
        <w:t xml:space="preserve"> objectives</w:t>
      </w:r>
      <w:r w:rsidR="0011054A" w:rsidRPr="004712DC">
        <w:t xml:space="preserve"> in our next 3 year OMB cycle</w:t>
      </w:r>
      <w:r w:rsidRPr="004712DC">
        <w:t xml:space="preserve">: </w:t>
      </w:r>
    </w:p>
    <w:p w14:paraId="490AE276" w14:textId="77777777" w:rsidR="0011054A" w:rsidRPr="004712DC" w:rsidRDefault="0011054A" w:rsidP="0011054A">
      <w:pPr>
        <w:keepNext/>
        <w:autoSpaceDE w:val="0"/>
        <w:autoSpaceDN w:val="0"/>
        <w:adjustRightInd w:val="0"/>
      </w:pPr>
    </w:p>
    <w:p w14:paraId="00898C43" w14:textId="350293A1" w:rsidR="0011054A" w:rsidRPr="004712DC" w:rsidRDefault="001757C9" w:rsidP="0085779E">
      <w:pPr>
        <w:pStyle w:val="ListParagraph"/>
        <w:keepNext/>
        <w:numPr>
          <w:ilvl w:val="0"/>
          <w:numId w:val="12"/>
        </w:numPr>
        <w:autoSpaceDE w:val="0"/>
        <w:autoSpaceDN w:val="0"/>
        <w:adjustRightInd w:val="0"/>
      </w:pPr>
      <w:r w:rsidRPr="004712DC">
        <w:t xml:space="preserve">Enhanced understanding of </w:t>
      </w:r>
      <w:r w:rsidR="0085779E" w:rsidRPr="004712DC">
        <w:t xml:space="preserve">the </w:t>
      </w:r>
      <w:r w:rsidRPr="004712DC">
        <w:t>intersection of HIV and other STDs</w:t>
      </w:r>
      <w:r w:rsidR="006F6A67" w:rsidRPr="004712DC">
        <w:t>.</w:t>
      </w:r>
    </w:p>
    <w:p w14:paraId="18EF0A16" w14:textId="29CD3501" w:rsidR="001757C9" w:rsidRPr="004712DC" w:rsidRDefault="0085779E" w:rsidP="00020FDA">
      <w:pPr>
        <w:pStyle w:val="ListParagraph"/>
        <w:keepNext/>
        <w:numPr>
          <w:ilvl w:val="0"/>
          <w:numId w:val="12"/>
        </w:numPr>
        <w:autoSpaceDE w:val="0"/>
        <w:autoSpaceDN w:val="0"/>
        <w:adjustRightInd w:val="0"/>
      </w:pPr>
      <w:r w:rsidRPr="004712DC">
        <w:t xml:space="preserve">Evaluate PrEP </w:t>
      </w:r>
      <w:r w:rsidR="00020FDA" w:rsidRPr="004712DC">
        <w:t xml:space="preserve">(Pre-Exposure Prophylaxis- the use of anti-HIV medication that keeps HIV negative people from becoming infected) </w:t>
      </w:r>
      <w:r w:rsidRPr="004712DC">
        <w:t>uptake among HIV uninfected men who have sex with men attending STD clinics</w:t>
      </w:r>
      <w:r w:rsidR="006F6A67" w:rsidRPr="004712DC">
        <w:t>.</w:t>
      </w:r>
    </w:p>
    <w:p w14:paraId="22CAB901" w14:textId="68852916" w:rsidR="0085779E" w:rsidRPr="004712DC" w:rsidRDefault="0085779E" w:rsidP="0085779E">
      <w:pPr>
        <w:pStyle w:val="ListParagraph"/>
        <w:keepNext/>
        <w:numPr>
          <w:ilvl w:val="0"/>
          <w:numId w:val="12"/>
        </w:numPr>
        <w:autoSpaceDE w:val="0"/>
        <w:autoSpaceDN w:val="0"/>
        <w:adjustRightInd w:val="0"/>
      </w:pPr>
      <w:r w:rsidRPr="004712DC">
        <w:t>Determining 1) the frequency and type of neurologic and/or ocular symptoms and signs in early syphilis, 2) current practices for screening and/or testing for neurologic and/or ocular syphilis, and 3) the rate of neurologic and/or ocular</w:t>
      </w:r>
      <w:r w:rsidRPr="004712DC">
        <w:rPr>
          <w:b/>
        </w:rPr>
        <w:t xml:space="preserve"> </w:t>
      </w:r>
      <w:r w:rsidRPr="004712DC">
        <w:t>symptom resolution within 3</w:t>
      </w:r>
      <w:r w:rsidRPr="004712DC">
        <w:rPr>
          <w:b/>
        </w:rPr>
        <w:t xml:space="preserve"> </w:t>
      </w:r>
      <w:r w:rsidRPr="004712DC">
        <w:t>months following appropriate treatment among early syphilis cases reporting neurologic or ocular manifestations of syphilis.</w:t>
      </w:r>
    </w:p>
    <w:p w14:paraId="60CD20D9" w14:textId="0280A496" w:rsidR="0011054A" w:rsidRPr="004712DC" w:rsidRDefault="001757C9" w:rsidP="0085779E">
      <w:pPr>
        <w:pStyle w:val="ListParagraph"/>
        <w:keepNext/>
        <w:numPr>
          <w:ilvl w:val="0"/>
          <w:numId w:val="12"/>
        </w:numPr>
        <w:autoSpaceDE w:val="0"/>
        <w:autoSpaceDN w:val="0"/>
        <w:adjustRightInd w:val="0"/>
      </w:pPr>
      <w:r w:rsidRPr="004712DC">
        <w:t>Evaluation of Pr</w:t>
      </w:r>
      <w:r w:rsidR="00020FDA" w:rsidRPr="004712DC">
        <w:t>E</w:t>
      </w:r>
      <w:r w:rsidRPr="004712DC">
        <w:t>P and EPT</w:t>
      </w:r>
      <w:r w:rsidR="00020FDA" w:rsidRPr="004712DC">
        <w:t xml:space="preserve"> (Expedited Partner Therapy- the practice of treating sex partners of patients diagnosed with gonorrhea by providing prescriptions or medications to the patient to take to his/her partner without the healthcare provider first examining the partner)</w:t>
      </w:r>
      <w:r w:rsidRPr="004712DC">
        <w:t xml:space="preserve"> </w:t>
      </w:r>
      <w:r w:rsidR="0011054A" w:rsidRPr="004712DC">
        <w:t>among persons diagnosed and reported with gonorrhea</w:t>
      </w:r>
      <w:r w:rsidR="00B24242" w:rsidRPr="004712DC">
        <w:t xml:space="preserve"> from all provider settings</w:t>
      </w:r>
      <w:r w:rsidR="006F6A67" w:rsidRPr="004712DC">
        <w:t>.</w:t>
      </w:r>
    </w:p>
    <w:p w14:paraId="6DF5C80F" w14:textId="1FBA5511" w:rsidR="001757C9" w:rsidRPr="004712DC" w:rsidRDefault="0011054A" w:rsidP="0085779E">
      <w:pPr>
        <w:pStyle w:val="ListParagraph"/>
        <w:keepNext/>
        <w:numPr>
          <w:ilvl w:val="0"/>
          <w:numId w:val="12"/>
        </w:numPr>
        <w:autoSpaceDE w:val="0"/>
        <w:autoSpaceDN w:val="0"/>
        <w:adjustRightInd w:val="0"/>
      </w:pPr>
      <w:r w:rsidRPr="004712DC">
        <w:t>U</w:t>
      </w:r>
      <w:r w:rsidR="001757C9" w:rsidRPr="004712DC">
        <w:t>nderstanding barriers to care among persons diagnosed and reported with gonorrhea</w:t>
      </w:r>
      <w:r w:rsidR="006F6A67" w:rsidRPr="004712DC">
        <w:t>.</w:t>
      </w:r>
    </w:p>
    <w:p w14:paraId="4AE0FE79" w14:textId="2B50CFC0" w:rsidR="001757C9" w:rsidRPr="004712DC" w:rsidRDefault="0085779E" w:rsidP="0085779E">
      <w:pPr>
        <w:pStyle w:val="ListParagraph"/>
        <w:keepNext/>
        <w:numPr>
          <w:ilvl w:val="0"/>
          <w:numId w:val="12"/>
        </w:numPr>
        <w:autoSpaceDE w:val="0"/>
        <w:autoSpaceDN w:val="0"/>
        <w:adjustRightInd w:val="0"/>
      </w:pPr>
      <w:r w:rsidRPr="004712DC">
        <w:t xml:space="preserve">Document </w:t>
      </w:r>
      <w:r w:rsidR="001757C9" w:rsidRPr="004712DC">
        <w:t xml:space="preserve">opioid </w:t>
      </w:r>
      <w:r w:rsidRPr="004712DC">
        <w:t>use on those persons diagnosed and reported with gonorrhea</w:t>
      </w:r>
      <w:r w:rsidR="006F6A67" w:rsidRPr="004712DC">
        <w:t>.</w:t>
      </w:r>
    </w:p>
    <w:p w14:paraId="65FA3F9A" w14:textId="77777777" w:rsidR="0085779E" w:rsidRPr="004712DC" w:rsidRDefault="0085779E" w:rsidP="0085779E">
      <w:pPr>
        <w:pStyle w:val="ListParagraph"/>
        <w:keepNext/>
        <w:autoSpaceDE w:val="0"/>
        <w:autoSpaceDN w:val="0"/>
        <w:adjustRightInd w:val="0"/>
        <w:rPr>
          <w:b/>
        </w:rPr>
      </w:pPr>
    </w:p>
    <w:p w14:paraId="62E6B9E5" w14:textId="77777777" w:rsidR="000F36B1" w:rsidRPr="004712DC" w:rsidRDefault="00C526FE" w:rsidP="000D0DDC">
      <w:pPr>
        <w:keepNext/>
        <w:autoSpaceDE w:val="0"/>
        <w:autoSpaceDN w:val="0"/>
        <w:adjustRightInd w:val="0"/>
        <w:rPr>
          <w:b/>
        </w:rPr>
      </w:pPr>
      <w:r w:rsidRPr="004712DC">
        <w:rPr>
          <w:b/>
        </w:rPr>
        <w:t>A.</w:t>
      </w:r>
      <w:r w:rsidR="000F36B1" w:rsidRPr="004712DC">
        <w:rPr>
          <w:b/>
        </w:rPr>
        <w:t>17. Reason(s) Display of OMB Expiration Date is Inappropriate</w:t>
      </w:r>
    </w:p>
    <w:p w14:paraId="48765F35" w14:textId="77777777" w:rsidR="000F36B1" w:rsidRPr="004712DC" w:rsidRDefault="000F36B1" w:rsidP="000D0DDC">
      <w:pPr>
        <w:keepNext/>
        <w:autoSpaceDE w:val="0"/>
        <w:autoSpaceDN w:val="0"/>
        <w:adjustRightInd w:val="0"/>
      </w:pPr>
    </w:p>
    <w:p w14:paraId="002F4601" w14:textId="77777777" w:rsidR="000F36B1" w:rsidRPr="004712DC" w:rsidRDefault="000F36B1" w:rsidP="000D0DDC">
      <w:pPr>
        <w:keepNext/>
        <w:autoSpaceDE w:val="0"/>
        <w:autoSpaceDN w:val="0"/>
        <w:adjustRightInd w:val="0"/>
      </w:pPr>
      <w:r w:rsidRPr="004712DC">
        <w:t>The OMB expiration date will be displayed.</w:t>
      </w:r>
    </w:p>
    <w:p w14:paraId="309D4E5C" w14:textId="77777777" w:rsidR="000F36B1" w:rsidRPr="004712DC" w:rsidRDefault="000F36B1" w:rsidP="000D0DDC">
      <w:pPr>
        <w:keepNext/>
        <w:autoSpaceDE w:val="0"/>
        <w:autoSpaceDN w:val="0"/>
        <w:adjustRightInd w:val="0"/>
      </w:pPr>
    </w:p>
    <w:p w14:paraId="1DD3E988" w14:textId="77777777" w:rsidR="000F36B1" w:rsidRPr="004712DC" w:rsidRDefault="00C526FE" w:rsidP="00C526FE">
      <w:pPr>
        <w:keepNext/>
        <w:autoSpaceDE w:val="0"/>
        <w:autoSpaceDN w:val="0"/>
        <w:adjustRightInd w:val="0"/>
        <w:rPr>
          <w:b/>
        </w:rPr>
      </w:pPr>
      <w:r w:rsidRPr="004712DC">
        <w:rPr>
          <w:b/>
        </w:rPr>
        <w:t>A.</w:t>
      </w:r>
      <w:r w:rsidR="000F36B1" w:rsidRPr="004712DC">
        <w:rPr>
          <w:b/>
        </w:rPr>
        <w:t>18</w:t>
      </w:r>
      <w:r w:rsidR="000F36B1" w:rsidRPr="004712DC">
        <w:rPr>
          <w:b/>
        </w:rPr>
        <w:tab/>
        <w:t xml:space="preserve">Exceptions to Certification for Paperwork Reduction Act Submissions </w:t>
      </w:r>
    </w:p>
    <w:p w14:paraId="65B2BA8E" w14:textId="77777777" w:rsidR="000F36B1" w:rsidRPr="004712DC" w:rsidRDefault="000F36B1" w:rsidP="000F36B1">
      <w:pPr>
        <w:keepNext/>
        <w:autoSpaceDE w:val="0"/>
        <w:autoSpaceDN w:val="0"/>
        <w:adjustRightInd w:val="0"/>
      </w:pPr>
    </w:p>
    <w:p w14:paraId="14ABC39D" w14:textId="77777777" w:rsidR="000F36B1" w:rsidRPr="004712DC" w:rsidRDefault="000F36B1" w:rsidP="000F36B1">
      <w:pPr>
        <w:keepNext/>
        <w:autoSpaceDE w:val="0"/>
        <w:autoSpaceDN w:val="0"/>
        <w:adjustRightInd w:val="0"/>
      </w:pPr>
      <w:r w:rsidRPr="004712DC">
        <w:t>There are no exceptions to the certification.</w:t>
      </w:r>
    </w:p>
    <w:sectPr w:rsidR="000F36B1" w:rsidRPr="004712D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45840" w14:textId="77777777" w:rsidR="003A76EB" w:rsidRDefault="003A76EB" w:rsidP="009B0D44">
      <w:r>
        <w:separator/>
      </w:r>
    </w:p>
  </w:endnote>
  <w:endnote w:type="continuationSeparator" w:id="0">
    <w:p w14:paraId="09AC42B6" w14:textId="77777777" w:rsidR="003A76EB" w:rsidRDefault="003A76EB" w:rsidP="009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72374"/>
      <w:docPartObj>
        <w:docPartGallery w:val="Page Numbers (Bottom of Page)"/>
        <w:docPartUnique/>
      </w:docPartObj>
    </w:sdtPr>
    <w:sdtEndPr>
      <w:rPr>
        <w:noProof/>
      </w:rPr>
    </w:sdtEndPr>
    <w:sdtContent>
      <w:p w14:paraId="02E5B553" w14:textId="65EAAF9C" w:rsidR="003A76EB" w:rsidRDefault="003A76EB">
        <w:pPr>
          <w:pStyle w:val="Footer"/>
          <w:jc w:val="center"/>
        </w:pPr>
        <w:r>
          <w:fldChar w:fldCharType="begin"/>
        </w:r>
        <w:r>
          <w:instrText xml:space="preserve"> PAGE   \* MERGEFORMAT </w:instrText>
        </w:r>
        <w:r>
          <w:fldChar w:fldCharType="separate"/>
        </w:r>
        <w:r w:rsidR="00B971A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BC878" w14:textId="77777777" w:rsidR="003A76EB" w:rsidRDefault="003A76EB" w:rsidP="009B0D44">
      <w:r>
        <w:separator/>
      </w:r>
    </w:p>
  </w:footnote>
  <w:footnote w:type="continuationSeparator" w:id="0">
    <w:p w14:paraId="62191C39" w14:textId="77777777" w:rsidR="003A76EB" w:rsidRDefault="003A76EB" w:rsidP="009B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0FC3"/>
    <w:multiLevelType w:val="hybridMultilevel"/>
    <w:tmpl w:val="2EAE25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96324"/>
    <w:multiLevelType w:val="hybridMultilevel"/>
    <w:tmpl w:val="2D88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254A7"/>
    <w:multiLevelType w:val="hybridMultilevel"/>
    <w:tmpl w:val="ABA0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56284"/>
    <w:multiLevelType w:val="hybridMultilevel"/>
    <w:tmpl w:val="A81A7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E5325"/>
    <w:multiLevelType w:val="hybridMultilevel"/>
    <w:tmpl w:val="E896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77D88"/>
    <w:multiLevelType w:val="hybridMultilevel"/>
    <w:tmpl w:val="A2006C3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81586"/>
    <w:multiLevelType w:val="hybridMultilevel"/>
    <w:tmpl w:val="922AB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84D36"/>
    <w:multiLevelType w:val="hybridMultilevel"/>
    <w:tmpl w:val="790C4D04"/>
    <w:lvl w:ilvl="0" w:tplc="8916BA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0F40BF"/>
    <w:multiLevelType w:val="hybridMultilevel"/>
    <w:tmpl w:val="50B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B6D80"/>
    <w:multiLevelType w:val="hybridMultilevel"/>
    <w:tmpl w:val="E82220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7175D8"/>
    <w:multiLevelType w:val="hybridMultilevel"/>
    <w:tmpl w:val="4B36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E1ADE"/>
    <w:multiLevelType w:val="hybridMultilevel"/>
    <w:tmpl w:val="D53C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D155B5"/>
    <w:multiLevelType w:val="hybridMultilevel"/>
    <w:tmpl w:val="B75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0C1253"/>
    <w:multiLevelType w:val="hybridMultilevel"/>
    <w:tmpl w:val="CE0AF4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E296D"/>
    <w:multiLevelType w:val="hybridMultilevel"/>
    <w:tmpl w:val="DBB0A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4"/>
  </w:num>
  <w:num w:numId="5">
    <w:abstractNumId w:val="3"/>
  </w:num>
  <w:num w:numId="6">
    <w:abstractNumId w:val="14"/>
  </w:num>
  <w:num w:numId="7">
    <w:abstractNumId w:val="8"/>
  </w:num>
  <w:num w:numId="8">
    <w:abstractNumId w:val="7"/>
  </w:num>
  <w:num w:numId="9">
    <w:abstractNumId w:val="10"/>
  </w:num>
  <w:num w:numId="10">
    <w:abstractNumId w:val="11"/>
  </w:num>
  <w:num w:numId="11">
    <w:abstractNumId w:val="2"/>
  </w:num>
  <w:num w:numId="12">
    <w:abstractNumId w:val="1"/>
  </w:num>
  <w:num w:numId="13">
    <w:abstractNumId w:val="9"/>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FC"/>
    <w:rsid w:val="00002FE3"/>
    <w:rsid w:val="00007768"/>
    <w:rsid w:val="000173AA"/>
    <w:rsid w:val="00020FDA"/>
    <w:rsid w:val="00025677"/>
    <w:rsid w:val="0002694E"/>
    <w:rsid w:val="000307EE"/>
    <w:rsid w:val="0003701B"/>
    <w:rsid w:val="0003733C"/>
    <w:rsid w:val="00043E66"/>
    <w:rsid w:val="000448A8"/>
    <w:rsid w:val="00054B07"/>
    <w:rsid w:val="0007084A"/>
    <w:rsid w:val="00073EFF"/>
    <w:rsid w:val="0008601E"/>
    <w:rsid w:val="00086052"/>
    <w:rsid w:val="00086E6F"/>
    <w:rsid w:val="000873DA"/>
    <w:rsid w:val="00091E2E"/>
    <w:rsid w:val="00093FD0"/>
    <w:rsid w:val="00097BED"/>
    <w:rsid w:val="000A4964"/>
    <w:rsid w:val="000A699C"/>
    <w:rsid w:val="000B14A3"/>
    <w:rsid w:val="000B16EA"/>
    <w:rsid w:val="000C0CE1"/>
    <w:rsid w:val="000C1F7C"/>
    <w:rsid w:val="000C4552"/>
    <w:rsid w:val="000C769B"/>
    <w:rsid w:val="000D0DDC"/>
    <w:rsid w:val="000E0233"/>
    <w:rsid w:val="000E1276"/>
    <w:rsid w:val="000E18FB"/>
    <w:rsid w:val="000E311B"/>
    <w:rsid w:val="000E514B"/>
    <w:rsid w:val="000E588C"/>
    <w:rsid w:val="000E703C"/>
    <w:rsid w:val="000F36B1"/>
    <w:rsid w:val="000F52B4"/>
    <w:rsid w:val="000F5973"/>
    <w:rsid w:val="001030D5"/>
    <w:rsid w:val="00105AA9"/>
    <w:rsid w:val="0011054A"/>
    <w:rsid w:val="00111589"/>
    <w:rsid w:val="001144A9"/>
    <w:rsid w:val="001175F7"/>
    <w:rsid w:val="001200C0"/>
    <w:rsid w:val="001204A9"/>
    <w:rsid w:val="00125A99"/>
    <w:rsid w:val="00134BDD"/>
    <w:rsid w:val="00136B84"/>
    <w:rsid w:val="00152067"/>
    <w:rsid w:val="00155BAD"/>
    <w:rsid w:val="00160E8B"/>
    <w:rsid w:val="001729F8"/>
    <w:rsid w:val="00174273"/>
    <w:rsid w:val="00174E73"/>
    <w:rsid w:val="001757C9"/>
    <w:rsid w:val="00177A21"/>
    <w:rsid w:val="001841D5"/>
    <w:rsid w:val="0019292E"/>
    <w:rsid w:val="00192FB1"/>
    <w:rsid w:val="00194B60"/>
    <w:rsid w:val="001A125D"/>
    <w:rsid w:val="001A2087"/>
    <w:rsid w:val="001B263A"/>
    <w:rsid w:val="001B3CC6"/>
    <w:rsid w:val="001B3E11"/>
    <w:rsid w:val="001B46B1"/>
    <w:rsid w:val="001B5A21"/>
    <w:rsid w:val="001B7DE4"/>
    <w:rsid w:val="001C2661"/>
    <w:rsid w:val="001D34AB"/>
    <w:rsid w:val="001E049C"/>
    <w:rsid w:val="001E6D52"/>
    <w:rsid w:val="002049E9"/>
    <w:rsid w:val="00210B3F"/>
    <w:rsid w:val="00211CD0"/>
    <w:rsid w:val="00221A5D"/>
    <w:rsid w:val="00233900"/>
    <w:rsid w:val="0023731A"/>
    <w:rsid w:val="00237B12"/>
    <w:rsid w:val="00255077"/>
    <w:rsid w:val="00256572"/>
    <w:rsid w:val="002603AD"/>
    <w:rsid w:val="00261C7E"/>
    <w:rsid w:val="00261DB7"/>
    <w:rsid w:val="00273962"/>
    <w:rsid w:val="00280B12"/>
    <w:rsid w:val="0028251B"/>
    <w:rsid w:val="002829E1"/>
    <w:rsid w:val="00282EE1"/>
    <w:rsid w:val="00286ED0"/>
    <w:rsid w:val="00292570"/>
    <w:rsid w:val="00293B19"/>
    <w:rsid w:val="002A057E"/>
    <w:rsid w:val="002A0CA6"/>
    <w:rsid w:val="002A4163"/>
    <w:rsid w:val="002B237F"/>
    <w:rsid w:val="002B2B5B"/>
    <w:rsid w:val="002B68C4"/>
    <w:rsid w:val="002B703A"/>
    <w:rsid w:val="002C1AB2"/>
    <w:rsid w:val="002C1C91"/>
    <w:rsid w:val="002C31C2"/>
    <w:rsid w:val="002C59AE"/>
    <w:rsid w:val="002D23BC"/>
    <w:rsid w:val="002D4694"/>
    <w:rsid w:val="002D4D70"/>
    <w:rsid w:val="002E561D"/>
    <w:rsid w:val="002F12D8"/>
    <w:rsid w:val="0030287C"/>
    <w:rsid w:val="00307DFC"/>
    <w:rsid w:val="00312E07"/>
    <w:rsid w:val="00313A84"/>
    <w:rsid w:val="00315766"/>
    <w:rsid w:val="003164C0"/>
    <w:rsid w:val="00317406"/>
    <w:rsid w:val="003233F0"/>
    <w:rsid w:val="0032600C"/>
    <w:rsid w:val="0032686D"/>
    <w:rsid w:val="003354EC"/>
    <w:rsid w:val="0034077C"/>
    <w:rsid w:val="00342B8D"/>
    <w:rsid w:val="0034373A"/>
    <w:rsid w:val="00343A5E"/>
    <w:rsid w:val="00347C88"/>
    <w:rsid w:val="00355647"/>
    <w:rsid w:val="00361116"/>
    <w:rsid w:val="0036658C"/>
    <w:rsid w:val="00367101"/>
    <w:rsid w:val="00367683"/>
    <w:rsid w:val="00371029"/>
    <w:rsid w:val="00375447"/>
    <w:rsid w:val="003817DA"/>
    <w:rsid w:val="003A0BC8"/>
    <w:rsid w:val="003A4E04"/>
    <w:rsid w:val="003A76EB"/>
    <w:rsid w:val="003B0A77"/>
    <w:rsid w:val="003B1106"/>
    <w:rsid w:val="003B117A"/>
    <w:rsid w:val="003D1A7B"/>
    <w:rsid w:val="003D5018"/>
    <w:rsid w:val="003D6B4B"/>
    <w:rsid w:val="003E3E0C"/>
    <w:rsid w:val="003E7822"/>
    <w:rsid w:val="003F5780"/>
    <w:rsid w:val="00404D2F"/>
    <w:rsid w:val="0041370A"/>
    <w:rsid w:val="0042165D"/>
    <w:rsid w:val="004239CC"/>
    <w:rsid w:val="00427B59"/>
    <w:rsid w:val="0043766E"/>
    <w:rsid w:val="00441B69"/>
    <w:rsid w:val="004440F7"/>
    <w:rsid w:val="004579C4"/>
    <w:rsid w:val="00457E74"/>
    <w:rsid w:val="0046143E"/>
    <w:rsid w:val="004639E2"/>
    <w:rsid w:val="00464AB3"/>
    <w:rsid w:val="00465DBB"/>
    <w:rsid w:val="004712DC"/>
    <w:rsid w:val="00484211"/>
    <w:rsid w:val="00484B81"/>
    <w:rsid w:val="004917F8"/>
    <w:rsid w:val="004A4623"/>
    <w:rsid w:val="004A553B"/>
    <w:rsid w:val="004A6995"/>
    <w:rsid w:val="004B5AD1"/>
    <w:rsid w:val="004C77F0"/>
    <w:rsid w:val="004D108F"/>
    <w:rsid w:val="004D14AC"/>
    <w:rsid w:val="004D1B34"/>
    <w:rsid w:val="004D1F4F"/>
    <w:rsid w:val="004E0CC1"/>
    <w:rsid w:val="004E59CC"/>
    <w:rsid w:val="004F0FDE"/>
    <w:rsid w:val="00502DFA"/>
    <w:rsid w:val="0050529E"/>
    <w:rsid w:val="00507725"/>
    <w:rsid w:val="00507D32"/>
    <w:rsid w:val="00512CA1"/>
    <w:rsid w:val="005175D9"/>
    <w:rsid w:val="0052330B"/>
    <w:rsid w:val="00524C09"/>
    <w:rsid w:val="005308F7"/>
    <w:rsid w:val="0053116E"/>
    <w:rsid w:val="00532E61"/>
    <w:rsid w:val="0054047E"/>
    <w:rsid w:val="005448EE"/>
    <w:rsid w:val="00544EA0"/>
    <w:rsid w:val="005466A5"/>
    <w:rsid w:val="00553D50"/>
    <w:rsid w:val="00554489"/>
    <w:rsid w:val="0055560C"/>
    <w:rsid w:val="00556355"/>
    <w:rsid w:val="00557C6D"/>
    <w:rsid w:val="0056017F"/>
    <w:rsid w:val="005659D1"/>
    <w:rsid w:val="00585B01"/>
    <w:rsid w:val="00586658"/>
    <w:rsid w:val="0059048E"/>
    <w:rsid w:val="00590DBD"/>
    <w:rsid w:val="00592739"/>
    <w:rsid w:val="00597B0E"/>
    <w:rsid w:val="005B4999"/>
    <w:rsid w:val="005D78C1"/>
    <w:rsid w:val="005D7F5C"/>
    <w:rsid w:val="005E028A"/>
    <w:rsid w:val="005E0518"/>
    <w:rsid w:val="005E1308"/>
    <w:rsid w:val="005E6C50"/>
    <w:rsid w:val="005F2CF9"/>
    <w:rsid w:val="005F6199"/>
    <w:rsid w:val="005F652D"/>
    <w:rsid w:val="00601EE7"/>
    <w:rsid w:val="00614F3C"/>
    <w:rsid w:val="0061726A"/>
    <w:rsid w:val="00624429"/>
    <w:rsid w:val="00641DFD"/>
    <w:rsid w:val="0064340D"/>
    <w:rsid w:val="0066335E"/>
    <w:rsid w:val="00670E40"/>
    <w:rsid w:val="00674FDD"/>
    <w:rsid w:val="006869A7"/>
    <w:rsid w:val="006878C8"/>
    <w:rsid w:val="00691C94"/>
    <w:rsid w:val="00694004"/>
    <w:rsid w:val="00695D09"/>
    <w:rsid w:val="006A02E8"/>
    <w:rsid w:val="006C13DB"/>
    <w:rsid w:val="006C1B65"/>
    <w:rsid w:val="006D17AF"/>
    <w:rsid w:val="006D4C41"/>
    <w:rsid w:val="006D4ECA"/>
    <w:rsid w:val="006D68C3"/>
    <w:rsid w:val="006E0BAD"/>
    <w:rsid w:val="006E7E11"/>
    <w:rsid w:val="006F044A"/>
    <w:rsid w:val="006F227F"/>
    <w:rsid w:val="006F4250"/>
    <w:rsid w:val="006F6A67"/>
    <w:rsid w:val="00704BE7"/>
    <w:rsid w:val="00712EC6"/>
    <w:rsid w:val="00717B27"/>
    <w:rsid w:val="00730BDE"/>
    <w:rsid w:val="00735653"/>
    <w:rsid w:val="00737858"/>
    <w:rsid w:val="00746281"/>
    <w:rsid w:val="00747CDF"/>
    <w:rsid w:val="007504B9"/>
    <w:rsid w:val="00751CB8"/>
    <w:rsid w:val="00754DDC"/>
    <w:rsid w:val="0076673A"/>
    <w:rsid w:val="00773131"/>
    <w:rsid w:val="0077469B"/>
    <w:rsid w:val="007823BD"/>
    <w:rsid w:val="00793AC8"/>
    <w:rsid w:val="007A26B3"/>
    <w:rsid w:val="007B55B3"/>
    <w:rsid w:val="007B6C97"/>
    <w:rsid w:val="007C1200"/>
    <w:rsid w:val="007C7360"/>
    <w:rsid w:val="007D1AF9"/>
    <w:rsid w:val="007D437E"/>
    <w:rsid w:val="007D648E"/>
    <w:rsid w:val="007E1131"/>
    <w:rsid w:val="007E3742"/>
    <w:rsid w:val="007E3DA4"/>
    <w:rsid w:val="00801216"/>
    <w:rsid w:val="008025AD"/>
    <w:rsid w:val="00846565"/>
    <w:rsid w:val="0085603A"/>
    <w:rsid w:val="0085779E"/>
    <w:rsid w:val="0086440D"/>
    <w:rsid w:val="00864B8F"/>
    <w:rsid w:val="00883FDB"/>
    <w:rsid w:val="00897A6E"/>
    <w:rsid w:val="008A56D3"/>
    <w:rsid w:val="008A6594"/>
    <w:rsid w:val="008A7E93"/>
    <w:rsid w:val="008B2220"/>
    <w:rsid w:val="008B37C8"/>
    <w:rsid w:val="008C00FA"/>
    <w:rsid w:val="008C0948"/>
    <w:rsid w:val="008C140A"/>
    <w:rsid w:val="008C37BA"/>
    <w:rsid w:val="008C5496"/>
    <w:rsid w:val="008C573F"/>
    <w:rsid w:val="008C6A27"/>
    <w:rsid w:val="008C6FF2"/>
    <w:rsid w:val="008C7183"/>
    <w:rsid w:val="008C75ED"/>
    <w:rsid w:val="008D3396"/>
    <w:rsid w:val="008D4E2F"/>
    <w:rsid w:val="008D6E87"/>
    <w:rsid w:val="008D7483"/>
    <w:rsid w:val="008E3B89"/>
    <w:rsid w:val="008E58CC"/>
    <w:rsid w:val="008F315B"/>
    <w:rsid w:val="008F6C53"/>
    <w:rsid w:val="00900A1A"/>
    <w:rsid w:val="009038AE"/>
    <w:rsid w:val="00904369"/>
    <w:rsid w:val="00906AE1"/>
    <w:rsid w:val="0091228B"/>
    <w:rsid w:val="00912F04"/>
    <w:rsid w:val="00923E21"/>
    <w:rsid w:val="0092490E"/>
    <w:rsid w:val="0094182D"/>
    <w:rsid w:val="00945F13"/>
    <w:rsid w:val="009617BB"/>
    <w:rsid w:val="00961DAD"/>
    <w:rsid w:val="00963CBA"/>
    <w:rsid w:val="009653C8"/>
    <w:rsid w:val="00987018"/>
    <w:rsid w:val="009936F3"/>
    <w:rsid w:val="009A053A"/>
    <w:rsid w:val="009A30EF"/>
    <w:rsid w:val="009A5C01"/>
    <w:rsid w:val="009A65B4"/>
    <w:rsid w:val="009A7971"/>
    <w:rsid w:val="009A7E20"/>
    <w:rsid w:val="009B0D44"/>
    <w:rsid w:val="009C13E3"/>
    <w:rsid w:val="009C489D"/>
    <w:rsid w:val="009D7C1A"/>
    <w:rsid w:val="009E1610"/>
    <w:rsid w:val="00A26282"/>
    <w:rsid w:val="00A269BD"/>
    <w:rsid w:val="00A325BB"/>
    <w:rsid w:val="00A344F1"/>
    <w:rsid w:val="00A37BCA"/>
    <w:rsid w:val="00A421D9"/>
    <w:rsid w:val="00A54442"/>
    <w:rsid w:val="00A546C0"/>
    <w:rsid w:val="00A57745"/>
    <w:rsid w:val="00A611F0"/>
    <w:rsid w:val="00A67DD5"/>
    <w:rsid w:val="00A869DC"/>
    <w:rsid w:val="00A87748"/>
    <w:rsid w:val="00AA38BF"/>
    <w:rsid w:val="00AA3916"/>
    <w:rsid w:val="00AA4CA3"/>
    <w:rsid w:val="00AA4D64"/>
    <w:rsid w:val="00AB27CA"/>
    <w:rsid w:val="00AB6C3E"/>
    <w:rsid w:val="00AC0C71"/>
    <w:rsid w:val="00AD0610"/>
    <w:rsid w:val="00AD6AD5"/>
    <w:rsid w:val="00AE20CA"/>
    <w:rsid w:val="00AE23B8"/>
    <w:rsid w:val="00AE41EE"/>
    <w:rsid w:val="00AE56BE"/>
    <w:rsid w:val="00B043F4"/>
    <w:rsid w:val="00B12559"/>
    <w:rsid w:val="00B13717"/>
    <w:rsid w:val="00B175CB"/>
    <w:rsid w:val="00B17E8E"/>
    <w:rsid w:val="00B21A0E"/>
    <w:rsid w:val="00B22A1F"/>
    <w:rsid w:val="00B23017"/>
    <w:rsid w:val="00B24242"/>
    <w:rsid w:val="00B249EE"/>
    <w:rsid w:val="00B27ADD"/>
    <w:rsid w:val="00B42E25"/>
    <w:rsid w:val="00B4339B"/>
    <w:rsid w:val="00B651F4"/>
    <w:rsid w:val="00B66CB7"/>
    <w:rsid w:val="00B83A0D"/>
    <w:rsid w:val="00B848A1"/>
    <w:rsid w:val="00B85635"/>
    <w:rsid w:val="00B913D1"/>
    <w:rsid w:val="00B971AD"/>
    <w:rsid w:val="00B979EC"/>
    <w:rsid w:val="00B97D84"/>
    <w:rsid w:val="00BB2AD6"/>
    <w:rsid w:val="00BB3E41"/>
    <w:rsid w:val="00BC56D3"/>
    <w:rsid w:val="00BD37B9"/>
    <w:rsid w:val="00BE35D6"/>
    <w:rsid w:val="00BF0BD8"/>
    <w:rsid w:val="00C00CA5"/>
    <w:rsid w:val="00C01C95"/>
    <w:rsid w:val="00C2130E"/>
    <w:rsid w:val="00C26041"/>
    <w:rsid w:val="00C26FA2"/>
    <w:rsid w:val="00C30522"/>
    <w:rsid w:val="00C31DC7"/>
    <w:rsid w:val="00C34EAB"/>
    <w:rsid w:val="00C42037"/>
    <w:rsid w:val="00C526FE"/>
    <w:rsid w:val="00C550B9"/>
    <w:rsid w:val="00C60FEB"/>
    <w:rsid w:val="00C6286D"/>
    <w:rsid w:val="00C63188"/>
    <w:rsid w:val="00C63B6F"/>
    <w:rsid w:val="00C64C4B"/>
    <w:rsid w:val="00C65B04"/>
    <w:rsid w:val="00C732A4"/>
    <w:rsid w:val="00C75213"/>
    <w:rsid w:val="00C83DD8"/>
    <w:rsid w:val="00C934CE"/>
    <w:rsid w:val="00C95551"/>
    <w:rsid w:val="00CA384E"/>
    <w:rsid w:val="00CA666F"/>
    <w:rsid w:val="00CB4CBB"/>
    <w:rsid w:val="00CC315A"/>
    <w:rsid w:val="00CC6836"/>
    <w:rsid w:val="00CC7DCE"/>
    <w:rsid w:val="00CD0472"/>
    <w:rsid w:val="00CE2BA3"/>
    <w:rsid w:val="00CE3BDF"/>
    <w:rsid w:val="00CF6FC3"/>
    <w:rsid w:val="00D02046"/>
    <w:rsid w:val="00D06D57"/>
    <w:rsid w:val="00D16A70"/>
    <w:rsid w:val="00D24DA6"/>
    <w:rsid w:val="00D253B5"/>
    <w:rsid w:val="00D2571B"/>
    <w:rsid w:val="00D310AB"/>
    <w:rsid w:val="00D346AF"/>
    <w:rsid w:val="00D35E13"/>
    <w:rsid w:val="00D43787"/>
    <w:rsid w:val="00D4599B"/>
    <w:rsid w:val="00D51698"/>
    <w:rsid w:val="00D57B71"/>
    <w:rsid w:val="00D603EA"/>
    <w:rsid w:val="00D61DCE"/>
    <w:rsid w:val="00D71643"/>
    <w:rsid w:val="00D724A7"/>
    <w:rsid w:val="00D85036"/>
    <w:rsid w:val="00D853C4"/>
    <w:rsid w:val="00D9011D"/>
    <w:rsid w:val="00D96914"/>
    <w:rsid w:val="00DA347C"/>
    <w:rsid w:val="00DB1975"/>
    <w:rsid w:val="00DB6B0E"/>
    <w:rsid w:val="00DC6611"/>
    <w:rsid w:val="00DD4210"/>
    <w:rsid w:val="00DE5411"/>
    <w:rsid w:val="00DF3415"/>
    <w:rsid w:val="00DF4EC9"/>
    <w:rsid w:val="00E008C8"/>
    <w:rsid w:val="00E12C95"/>
    <w:rsid w:val="00E133BF"/>
    <w:rsid w:val="00E15A24"/>
    <w:rsid w:val="00E15FD2"/>
    <w:rsid w:val="00E40473"/>
    <w:rsid w:val="00E41C33"/>
    <w:rsid w:val="00E53553"/>
    <w:rsid w:val="00E55E38"/>
    <w:rsid w:val="00E63BBE"/>
    <w:rsid w:val="00E65FD4"/>
    <w:rsid w:val="00E737E9"/>
    <w:rsid w:val="00E77D7D"/>
    <w:rsid w:val="00E85637"/>
    <w:rsid w:val="00E90A4F"/>
    <w:rsid w:val="00E90B0A"/>
    <w:rsid w:val="00E90BC1"/>
    <w:rsid w:val="00E90F7C"/>
    <w:rsid w:val="00EA0887"/>
    <w:rsid w:val="00EA2954"/>
    <w:rsid w:val="00EA5440"/>
    <w:rsid w:val="00EB21EA"/>
    <w:rsid w:val="00EB2EF7"/>
    <w:rsid w:val="00EC2468"/>
    <w:rsid w:val="00EC6D37"/>
    <w:rsid w:val="00ED04F9"/>
    <w:rsid w:val="00EF06ED"/>
    <w:rsid w:val="00EF2476"/>
    <w:rsid w:val="00F030CE"/>
    <w:rsid w:val="00F1255C"/>
    <w:rsid w:val="00F14FDC"/>
    <w:rsid w:val="00F17F76"/>
    <w:rsid w:val="00F20BEC"/>
    <w:rsid w:val="00F229D2"/>
    <w:rsid w:val="00F326A9"/>
    <w:rsid w:val="00F33351"/>
    <w:rsid w:val="00F37234"/>
    <w:rsid w:val="00F378E3"/>
    <w:rsid w:val="00F4226F"/>
    <w:rsid w:val="00F426A2"/>
    <w:rsid w:val="00F430DB"/>
    <w:rsid w:val="00F43F16"/>
    <w:rsid w:val="00F50FE6"/>
    <w:rsid w:val="00F513FA"/>
    <w:rsid w:val="00F534B7"/>
    <w:rsid w:val="00F55EBC"/>
    <w:rsid w:val="00F56B12"/>
    <w:rsid w:val="00F57F49"/>
    <w:rsid w:val="00F61B42"/>
    <w:rsid w:val="00F71CD6"/>
    <w:rsid w:val="00F72E98"/>
    <w:rsid w:val="00F73C99"/>
    <w:rsid w:val="00F7423A"/>
    <w:rsid w:val="00F75C13"/>
    <w:rsid w:val="00F80CA1"/>
    <w:rsid w:val="00F81A59"/>
    <w:rsid w:val="00F8268D"/>
    <w:rsid w:val="00F85AEE"/>
    <w:rsid w:val="00F94C7A"/>
    <w:rsid w:val="00FA187D"/>
    <w:rsid w:val="00FB004F"/>
    <w:rsid w:val="00FB30B9"/>
    <w:rsid w:val="00FB3D98"/>
    <w:rsid w:val="00FB3FE9"/>
    <w:rsid w:val="00FC35FC"/>
    <w:rsid w:val="00FD3042"/>
    <w:rsid w:val="00FD4BFB"/>
    <w:rsid w:val="00FD7CB5"/>
    <w:rsid w:val="00FD7D2A"/>
    <w:rsid w:val="00FE47C3"/>
    <w:rsid w:val="00FE693E"/>
    <w:rsid w:val="00FE7988"/>
    <w:rsid w:val="00FF6510"/>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uiPriority w:val="39"/>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semiHidden/>
    <w:unhideWhenUsed/>
    <w:rsid w:val="00C63188"/>
    <w:rPr>
      <w:sz w:val="20"/>
      <w:szCs w:val="20"/>
    </w:rPr>
  </w:style>
  <w:style w:type="character" w:customStyle="1" w:styleId="CommentTextChar">
    <w:name w:val="Comment Text Char"/>
    <w:basedOn w:val="DefaultParagraphFont"/>
    <w:link w:val="CommentText"/>
    <w:uiPriority w:val="99"/>
    <w:semiHidden/>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B703A"/>
    <w:rPr>
      <w:color w:val="800080" w:themeColor="followedHyperlink"/>
      <w:u w:val="single"/>
    </w:rPr>
  </w:style>
  <w:style w:type="paragraph" w:styleId="Header">
    <w:name w:val="header"/>
    <w:basedOn w:val="Normal"/>
    <w:link w:val="HeaderChar"/>
    <w:uiPriority w:val="99"/>
    <w:unhideWhenUsed/>
    <w:rsid w:val="009B0D44"/>
    <w:pPr>
      <w:tabs>
        <w:tab w:val="center" w:pos="4680"/>
        <w:tab w:val="right" w:pos="9360"/>
      </w:tabs>
    </w:pPr>
  </w:style>
  <w:style w:type="character" w:customStyle="1" w:styleId="HeaderChar">
    <w:name w:val="Header Char"/>
    <w:basedOn w:val="DefaultParagraphFont"/>
    <w:link w:val="Header"/>
    <w:uiPriority w:val="99"/>
    <w:rsid w:val="009B0D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D44"/>
    <w:pPr>
      <w:tabs>
        <w:tab w:val="center" w:pos="4680"/>
        <w:tab w:val="right" w:pos="9360"/>
      </w:tabs>
    </w:pPr>
  </w:style>
  <w:style w:type="character" w:customStyle="1" w:styleId="FooterChar">
    <w:name w:val="Footer Char"/>
    <w:basedOn w:val="DefaultParagraphFont"/>
    <w:link w:val="Footer"/>
    <w:uiPriority w:val="99"/>
    <w:rsid w:val="009B0D4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uiPriority w:val="39"/>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semiHidden/>
    <w:unhideWhenUsed/>
    <w:rsid w:val="00C63188"/>
    <w:rPr>
      <w:sz w:val="20"/>
      <w:szCs w:val="20"/>
    </w:rPr>
  </w:style>
  <w:style w:type="character" w:customStyle="1" w:styleId="CommentTextChar">
    <w:name w:val="Comment Text Char"/>
    <w:basedOn w:val="DefaultParagraphFont"/>
    <w:link w:val="CommentText"/>
    <w:uiPriority w:val="99"/>
    <w:semiHidden/>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B703A"/>
    <w:rPr>
      <w:color w:val="800080" w:themeColor="followedHyperlink"/>
      <w:u w:val="single"/>
    </w:rPr>
  </w:style>
  <w:style w:type="paragraph" w:styleId="Header">
    <w:name w:val="header"/>
    <w:basedOn w:val="Normal"/>
    <w:link w:val="HeaderChar"/>
    <w:uiPriority w:val="99"/>
    <w:unhideWhenUsed/>
    <w:rsid w:val="009B0D44"/>
    <w:pPr>
      <w:tabs>
        <w:tab w:val="center" w:pos="4680"/>
        <w:tab w:val="right" w:pos="9360"/>
      </w:tabs>
    </w:pPr>
  </w:style>
  <w:style w:type="character" w:customStyle="1" w:styleId="HeaderChar">
    <w:name w:val="Header Char"/>
    <w:basedOn w:val="DefaultParagraphFont"/>
    <w:link w:val="Header"/>
    <w:uiPriority w:val="99"/>
    <w:rsid w:val="009B0D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D44"/>
    <w:pPr>
      <w:tabs>
        <w:tab w:val="center" w:pos="4680"/>
        <w:tab w:val="right" w:pos="9360"/>
      </w:tabs>
    </w:pPr>
  </w:style>
  <w:style w:type="character" w:customStyle="1" w:styleId="FooterChar">
    <w:name w:val="Footer Char"/>
    <w:basedOn w:val="DefaultParagraphFont"/>
    <w:link w:val="Footer"/>
    <w:uiPriority w:val="99"/>
    <w:rsid w:val="009B0D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3037">
      <w:bodyDiv w:val="1"/>
      <w:marLeft w:val="0"/>
      <w:marRight w:val="0"/>
      <w:marTop w:val="0"/>
      <w:marBottom w:val="0"/>
      <w:divBdr>
        <w:top w:val="none" w:sz="0" w:space="0" w:color="auto"/>
        <w:left w:val="none" w:sz="0" w:space="0" w:color="auto"/>
        <w:bottom w:val="none" w:sz="0" w:space="0" w:color="auto"/>
        <w:right w:val="none" w:sz="0" w:space="0" w:color="auto"/>
      </w:divBdr>
    </w:div>
    <w:div w:id="271060368">
      <w:bodyDiv w:val="1"/>
      <w:marLeft w:val="0"/>
      <w:marRight w:val="0"/>
      <w:marTop w:val="0"/>
      <w:marBottom w:val="0"/>
      <w:divBdr>
        <w:top w:val="none" w:sz="0" w:space="0" w:color="auto"/>
        <w:left w:val="none" w:sz="0" w:space="0" w:color="auto"/>
        <w:bottom w:val="none" w:sz="0" w:space="0" w:color="auto"/>
        <w:right w:val="none" w:sz="0" w:space="0" w:color="auto"/>
      </w:divBdr>
    </w:div>
    <w:div w:id="539434733">
      <w:bodyDiv w:val="1"/>
      <w:marLeft w:val="0"/>
      <w:marRight w:val="0"/>
      <w:marTop w:val="0"/>
      <w:marBottom w:val="0"/>
      <w:divBdr>
        <w:top w:val="none" w:sz="0" w:space="0" w:color="auto"/>
        <w:left w:val="none" w:sz="0" w:space="0" w:color="auto"/>
        <w:bottom w:val="none" w:sz="0" w:space="0" w:color="auto"/>
        <w:right w:val="none" w:sz="0" w:space="0" w:color="auto"/>
      </w:divBdr>
    </w:div>
    <w:div w:id="696083501">
      <w:bodyDiv w:val="1"/>
      <w:marLeft w:val="0"/>
      <w:marRight w:val="0"/>
      <w:marTop w:val="0"/>
      <w:marBottom w:val="0"/>
      <w:divBdr>
        <w:top w:val="none" w:sz="0" w:space="0" w:color="auto"/>
        <w:left w:val="none" w:sz="0" w:space="0" w:color="auto"/>
        <w:bottom w:val="none" w:sz="0" w:space="0" w:color="auto"/>
        <w:right w:val="none" w:sz="0" w:space="0" w:color="auto"/>
      </w:divBdr>
    </w:div>
    <w:div w:id="1031030748">
      <w:bodyDiv w:val="1"/>
      <w:marLeft w:val="0"/>
      <w:marRight w:val="0"/>
      <w:marTop w:val="0"/>
      <w:marBottom w:val="0"/>
      <w:divBdr>
        <w:top w:val="none" w:sz="0" w:space="0" w:color="auto"/>
        <w:left w:val="none" w:sz="0" w:space="0" w:color="auto"/>
        <w:bottom w:val="none" w:sz="0" w:space="0" w:color="auto"/>
        <w:right w:val="none" w:sz="0" w:space="0" w:color="auto"/>
      </w:divBdr>
    </w:div>
    <w:div w:id="1124931545">
      <w:bodyDiv w:val="1"/>
      <w:marLeft w:val="0"/>
      <w:marRight w:val="0"/>
      <w:marTop w:val="0"/>
      <w:marBottom w:val="0"/>
      <w:divBdr>
        <w:top w:val="none" w:sz="0" w:space="0" w:color="auto"/>
        <w:left w:val="none" w:sz="0" w:space="0" w:color="auto"/>
        <w:bottom w:val="none" w:sz="0" w:space="0" w:color="auto"/>
        <w:right w:val="none" w:sz="0" w:space="0" w:color="auto"/>
      </w:divBdr>
    </w:div>
    <w:div w:id="1197960287">
      <w:bodyDiv w:val="1"/>
      <w:marLeft w:val="0"/>
      <w:marRight w:val="0"/>
      <w:marTop w:val="0"/>
      <w:marBottom w:val="0"/>
      <w:divBdr>
        <w:top w:val="none" w:sz="0" w:space="0" w:color="auto"/>
        <w:left w:val="none" w:sz="0" w:space="0" w:color="auto"/>
        <w:bottom w:val="none" w:sz="0" w:space="0" w:color="auto"/>
        <w:right w:val="none" w:sz="0" w:space="0" w:color="auto"/>
      </w:divBdr>
    </w:div>
    <w:div w:id="1209488571">
      <w:bodyDiv w:val="1"/>
      <w:marLeft w:val="0"/>
      <w:marRight w:val="0"/>
      <w:marTop w:val="0"/>
      <w:marBottom w:val="0"/>
      <w:divBdr>
        <w:top w:val="none" w:sz="0" w:space="0" w:color="auto"/>
        <w:left w:val="none" w:sz="0" w:space="0" w:color="auto"/>
        <w:bottom w:val="none" w:sz="0" w:space="0" w:color="auto"/>
        <w:right w:val="none" w:sz="0" w:space="0" w:color="auto"/>
      </w:divBdr>
    </w:div>
    <w:div w:id="1409574072">
      <w:bodyDiv w:val="1"/>
      <w:marLeft w:val="0"/>
      <w:marRight w:val="0"/>
      <w:marTop w:val="0"/>
      <w:marBottom w:val="0"/>
      <w:divBdr>
        <w:top w:val="none" w:sz="0" w:space="0" w:color="auto"/>
        <w:left w:val="none" w:sz="0" w:space="0" w:color="auto"/>
        <w:bottom w:val="none" w:sz="0" w:space="0" w:color="auto"/>
        <w:right w:val="none" w:sz="0" w:space="0" w:color="auto"/>
      </w:divBdr>
    </w:div>
    <w:div w:id="1629506996">
      <w:bodyDiv w:val="1"/>
      <w:marLeft w:val="0"/>
      <w:marRight w:val="0"/>
      <w:marTop w:val="0"/>
      <w:marBottom w:val="0"/>
      <w:divBdr>
        <w:top w:val="none" w:sz="0" w:space="0" w:color="auto"/>
        <w:left w:val="none" w:sz="0" w:space="0" w:color="auto"/>
        <w:bottom w:val="none" w:sz="0" w:space="0" w:color="auto"/>
        <w:right w:val="none" w:sz="0" w:space="0" w:color="auto"/>
      </w:divBdr>
    </w:div>
    <w:div w:id="1861359114">
      <w:bodyDiv w:val="1"/>
      <w:marLeft w:val="0"/>
      <w:marRight w:val="0"/>
      <w:marTop w:val="0"/>
      <w:marBottom w:val="0"/>
      <w:divBdr>
        <w:top w:val="none" w:sz="0" w:space="0" w:color="auto"/>
        <w:left w:val="none" w:sz="0" w:space="0" w:color="auto"/>
        <w:bottom w:val="none" w:sz="0" w:space="0" w:color="auto"/>
        <w:right w:val="none" w:sz="0" w:space="0" w:color="auto"/>
      </w:divBdr>
    </w:div>
    <w:div w:id="1966157458">
      <w:bodyDiv w:val="1"/>
      <w:marLeft w:val="0"/>
      <w:marRight w:val="0"/>
      <w:marTop w:val="0"/>
      <w:marBottom w:val="0"/>
      <w:divBdr>
        <w:top w:val="none" w:sz="0" w:space="0" w:color="auto"/>
        <w:left w:val="none" w:sz="0" w:space="0" w:color="auto"/>
        <w:bottom w:val="none" w:sz="0" w:space="0" w:color="auto"/>
        <w:right w:val="none" w:sz="0" w:space="0" w:color="auto"/>
      </w:divBdr>
    </w:div>
    <w:div w:id="1998679689">
      <w:bodyDiv w:val="1"/>
      <w:marLeft w:val="0"/>
      <w:marRight w:val="0"/>
      <w:marTop w:val="0"/>
      <w:marBottom w:val="0"/>
      <w:divBdr>
        <w:top w:val="none" w:sz="0" w:space="0" w:color="auto"/>
        <w:left w:val="none" w:sz="0" w:space="0" w:color="auto"/>
        <w:bottom w:val="none" w:sz="0" w:space="0" w:color="auto"/>
        <w:right w:val="none" w:sz="0" w:space="0" w:color="auto"/>
      </w:divBdr>
    </w:div>
    <w:div w:id="2017153145">
      <w:bodyDiv w:val="1"/>
      <w:marLeft w:val="0"/>
      <w:marRight w:val="0"/>
      <w:marTop w:val="0"/>
      <w:marBottom w:val="0"/>
      <w:divBdr>
        <w:top w:val="none" w:sz="0" w:space="0" w:color="auto"/>
        <w:left w:val="none" w:sz="0" w:space="0" w:color="auto"/>
        <w:bottom w:val="none" w:sz="0" w:space="0" w:color="auto"/>
        <w:right w:val="none" w:sz="0" w:space="0" w:color="auto"/>
      </w:divBdr>
    </w:div>
    <w:div w:id="2090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std/stats16/STD-Surveillance-2016-pri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6/general-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cps/cpsaat39.htm" TargetMode="External"/><Relationship Id="rId4" Type="http://schemas.microsoft.com/office/2007/relationships/stylesWithEffects" Target="stylesWithEffects.xml"/><Relationship Id="rId9" Type="http://schemas.openxmlformats.org/officeDocument/2006/relationships/hyperlink" Target="mailto:gge3@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C7C8-5D30-49F8-BD3B-87D1776C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8598</Words>
  <Characters>49010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SYSTEM</cp:lastModifiedBy>
  <cp:revision>2</cp:revision>
  <cp:lastPrinted>2017-10-25T12:13:00Z</cp:lastPrinted>
  <dcterms:created xsi:type="dcterms:W3CDTF">2018-07-27T12:10:00Z</dcterms:created>
  <dcterms:modified xsi:type="dcterms:W3CDTF">2018-07-27T12:10:00Z</dcterms:modified>
</cp:coreProperties>
</file>