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244328" w14:textId="77777777" w:rsidR="004C7516" w:rsidRDefault="00F92ACC" w:rsidP="005E0A0F">
      <w:pPr>
        <w:pStyle w:val="NormalWeb"/>
        <w:spacing w:line="288" w:lineRule="atLeast"/>
        <w:ind w:firstLine="480"/>
        <w:jc w:val="center"/>
        <w:rPr>
          <w:u w:val="single"/>
        </w:rPr>
      </w:pPr>
      <w:bookmarkStart w:id="0" w:name="cs31d"/>
      <w:bookmarkStart w:id="1" w:name="_GoBack"/>
      <w:bookmarkEnd w:id="1"/>
      <w:r>
        <w:rPr>
          <w:u w:val="single"/>
        </w:rPr>
        <w:t>SUPPORTING STATEMENT</w:t>
      </w:r>
      <w:r w:rsidR="000A2459">
        <w:rPr>
          <w:u w:val="single"/>
        </w:rPr>
        <w:t xml:space="preserve"> – PART A</w:t>
      </w:r>
    </w:p>
    <w:p w14:paraId="76313D74" w14:textId="77777777" w:rsidR="00445581" w:rsidRDefault="00B7654E" w:rsidP="005E0A0F">
      <w:pPr>
        <w:pStyle w:val="NormalWeb"/>
        <w:spacing w:line="288" w:lineRule="atLeast"/>
        <w:ind w:firstLine="480"/>
        <w:jc w:val="center"/>
        <w:rPr>
          <w:u w:val="single"/>
        </w:rPr>
      </w:pPr>
      <w:r w:rsidRPr="00B7654E">
        <w:rPr>
          <w:u w:val="single"/>
        </w:rPr>
        <w:t xml:space="preserve">DoD National Defense Science and Engineering Graduate Program </w:t>
      </w:r>
      <w:r w:rsidR="00445581" w:rsidRPr="00235E69">
        <w:rPr>
          <w:u w:val="single"/>
        </w:rPr>
        <w:t xml:space="preserve">– </w:t>
      </w:r>
      <w:r w:rsidRPr="00B7654E">
        <w:rPr>
          <w:u w:val="single"/>
        </w:rPr>
        <w:t>0701-0154</w:t>
      </w:r>
    </w:p>
    <w:p w14:paraId="2102A50F" w14:textId="77777777" w:rsidR="005E0A0F" w:rsidRDefault="005E0A0F" w:rsidP="00FE2D74">
      <w:pPr>
        <w:pStyle w:val="NormalWeb"/>
        <w:spacing w:line="288" w:lineRule="atLeast"/>
        <w:rPr>
          <w:u w:val="single"/>
        </w:rPr>
      </w:pPr>
      <w:bookmarkStart w:id="2" w:name="cp432"/>
      <w:bookmarkEnd w:id="0"/>
      <w:r>
        <w:t xml:space="preserve">1.  </w:t>
      </w:r>
      <w:r>
        <w:rPr>
          <w:u w:val="single"/>
        </w:rPr>
        <w:t>Need for the Information Collection</w:t>
      </w:r>
    </w:p>
    <w:p w14:paraId="7D830650" w14:textId="26C82C43" w:rsidR="006C6C7E" w:rsidRDefault="006C6C7E" w:rsidP="00FE2D74">
      <w:pPr>
        <w:pStyle w:val="NormalWeb"/>
        <w:spacing w:line="288" w:lineRule="atLeast"/>
      </w:pPr>
      <w:r w:rsidRPr="006C6C7E">
        <w:t xml:space="preserve">The National Defense Science and Engineering (S&amp;E) Graduate (NDSEG) Fellowships program provides 3-year fellowships to students enrolled in PhD programs of interest to the Department of Defense.  Awards are under the authority of 10 USC 2191 (copy attached).  The request for applications is necessary to screen applicants and to evaluate and select students to award fellowships.  Approximately 180 awards are </w:t>
      </w:r>
      <w:r w:rsidR="00C70221">
        <w:t>given</w:t>
      </w:r>
      <w:r w:rsidRPr="006C6C7E">
        <w:t xml:space="preserve"> each year.  </w:t>
      </w:r>
      <w:r w:rsidR="00FC6819">
        <w:t xml:space="preserve">DoD does not handle or process any applications (paper or electronic).  </w:t>
      </w:r>
      <w:r w:rsidR="000E7523">
        <w:t>They are all</w:t>
      </w:r>
      <w:r w:rsidR="00FC6819">
        <w:t xml:space="preserve"> handle</w:t>
      </w:r>
      <w:r w:rsidR="000E7523">
        <w:t>d</w:t>
      </w:r>
      <w:r w:rsidR="00FC6819">
        <w:t xml:space="preserve"> by contractor</w:t>
      </w:r>
      <w:r w:rsidR="000E7523">
        <w:t>s or</w:t>
      </w:r>
      <w:r w:rsidR="00FC6819">
        <w:t xml:space="preserve"> third party vendor</w:t>
      </w:r>
      <w:r w:rsidR="000E7523">
        <w:t>s</w:t>
      </w:r>
      <w:r w:rsidR="00FC6819">
        <w:t xml:space="preserve">. </w:t>
      </w:r>
    </w:p>
    <w:bookmarkEnd w:id="2"/>
    <w:p w14:paraId="26963169" w14:textId="77777777" w:rsidR="005E0A0F" w:rsidRDefault="005E0A0F" w:rsidP="00FE2D74">
      <w:pPr>
        <w:pStyle w:val="NormalWeb"/>
        <w:spacing w:line="288" w:lineRule="atLeast"/>
        <w:rPr>
          <w:u w:val="single"/>
        </w:rPr>
      </w:pPr>
      <w:r>
        <w:t xml:space="preserve">2.  </w:t>
      </w:r>
      <w:r>
        <w:rPr>
          <w:u w:val="single"/>
        </w:rPr>
        <w:t>Use of the Information</w:t>
      </w:r>
    </w:p>
    <w:p w14:paraId="6AF256D8" w14:textId="6856C966" w:rsidR="006C6C7E" w:rsidRDefault="006C6C7E" w:rsidP="00FE2D74">
      <w:pPr>
        <w:pStyle w:val="NormalWeb"/>
        <w:spacing w:line="288" w:lineRule="atLeast"/>
      </w:pPr>
      <w:r>
        <w:t>The application period is</w:t>
      </w:r>
      <w:r w:rsidR="00A06759">
        <w:t xml:space="preserve"> open </w:t>
      </w:r>
      <w:r>
        <w:t>from September to December annually</w:t>
      </w:r>
      <w:r w:rsidR="00A06759">
        <w:t xml:space="preserve"> for current and incoming graduate students</w:t>
      </w:r>
      <w:r>
        <w:t xml:space="preserve">.  During this time, applicants electronically submit the following:  application, university transcripts, Graduate Record Examination (GRE) scores, recommendation letters, student goals etc.  Once </w:t>
      </w:r>
      <w:r w:rsidR="00B02214">
        <w:t xml:space="preserve">the </w:t>
      </w:r>
      <w:r>
        <w:t>application</w:t>
      </w:r>
      <w:r w:rsidR="00B02214">
        <w:t xml:space="preserve"> packet</w:t>
      </w:r>
      <w:r>
        <w:t xml:space="preserve"> is received, it’s vetted through a selection panel made up of volunteer evaluators </w:t>
      </w:r>
      <w:r w:rsidR="00A06759">
        <w:t>(</w:t>
      </w:r>
      <w:r>
        <w:t>academia, government, and industry</w:t>
      </w:r>
      <w:r w:rsidR="00A06759">
        <w:t xml:space="preserve"> scientists and engineers)</w:t>
      </w:r>
      <w:r>
        <w:t xml:space="preserve"> </w:t>
      </w:r>
      <w:r w:rsidR="00A06759">
        <w:t>where the top 40% are selected as possible NDSEG recipients.</w:t>
      </w:r>
      <w:r>
        <w:t xml:space="preserve">  Information is used by the American Society for Engineering Education (ASEE), the contractor selected to administer the program, to down-select the eligible applicants by means of a peer review panel.  The information is also used by scientists of the Air Force, Army, </w:t>
      </w:r>
      <w:r w:rsidR="00A06759">
        <w:t xml:space="preserve">and </w:t>
      </w:r>
      <w:r>
        <w:t xml:space="preserve">Navy, to make the final selection of awardees.  </w:t>
      </w:r>
      <w:r w:rsidR="00661F02">
        <w:t xml:space="preserve">Solutions Through </w:t>
      </w:r>
      <w:r w:rsidR="000E7523">
        <w:t>Innovative Technologies (STI-T)</w:t>
      </w:r>
      <w:r w:rsidR="00661F02">
        <w:t xml:space="preserve"> was awarded </w:t>
      </w:r>
      <w:r w:rsidR="000E7523">
        <w:t xml:space="preserve">the </w:t>
      </w:r>
      <w:r w:rsidR="00661F02">
        <w:t>contract</w:t>
      </w:r>
      <w:r w:rsidR="000E7523">
        <w:t xml:space="preserve"> on</w:t>
      </w:r>
      <w:r w:rsidR="00661F02">
        <w:t xml:space="preserve"> 15 August</w:t>
      </w:r>
      <w:r w:rsidR="000E7523">
        <w:t xml:space="preserve"> 20</w:t>
      </w:r>
      <w:r w:rsidR="00661F02">
        <w:t xml:space="preserve">17 and took over responsibilities to manage </w:t>
      </w:r>
      <w:r w:rsidR="000E7523">
        <w:t xml:space="preserve">the </w:t>
      </w:r>
      <w:r w:rsidR="00661F02">
        <w:t xml:space="preserve">program. All information collected by ASEE on fellowship class 2017 was transferred to STI-T. </w:t>
      </w:r>
    </w:p>
    <w:p w14:paraId="6DFA842B" w14:textId="77777777" w:rsidR="006C6C7E" w:rsidRDefault="006C6C7E" w:rsidP="00FE2D74">
      <w:pPr>
        <w:pStyle w:val="NormalWeb"/>
        <w:spacing w:line="288" w:lineRule="atLeast"/>
      </w:pPr>
      <w:r>
        <w:t xml:space="preserve">Awardees will be required to provide ASEE with personal information such as Social Security Numbers, Bank Account transfer codes, etc., to receive direct-deposit payments of their stipends and required reporting to the Internal Revenue Service (IRS). </w:t>
      </w:r>
    </w:p>
    <w:p w14:paraId="3EAD4E72" w14:textId="77777777" w:rsidR="006C6C7E" w:rsidRDefault="006C6C7E" w:rsidP="00FE2D74">
      <w:pPr>
        <w:pStyle w:val="NormalWeb"/>
        <w:spacing w:line="288" w:lineRule="atLeast"/>
      </w:pPr>
      <w:r>
        <w:t>The information (voluntary) collected on gender, race, ethnicity or handicap is used in meeting DoD needs for data to permit response to Congressional and other inquiries into equity issues.  Aggregated data will be used.  Data specific to individuals will not be accessed.</w:t>
      </w:r>
    </w:p>
    <w:p w14:paraId="19A749C0" w14:textId="5D864190" w:rsidR="006C6C7E" w:rsidRDefault="006C6C7E" w:rsidP="00FE2D74">
      <w:pPr>
        <w:pStyle w:val="NormalWeb"/>
        <w:spacing w:line="288" w:lineRule="atLeast"/>
      </w:pPr>
      <w:r>
        <w:t xml:space="preserve">Application instructions and forms may be downloaded from </w:t>
      </w:r>
      <w:hyperlink r:id="rId13" w:history="1">
        <w:r w:rsidR="00661F02" w:rsidRPr="000F6689">
          <w:rPr>
            <w:rStyle w:val="Hyperlink"/>
          </w:rPr>
          <w:t>http://www.ndsegfellowships.org/</w:t>
        </w:r>
      </w:hyperlink>
      <w:r w:rsidR="000E7523">
        <w:rPr>
          <w:rStyle w:val="Hyperlink"/>
        </w:rPr>
        <w:t>.</w:t>
      </w:r>
      <w:r w:rsidR="00661F02">
        <w:t xml:space="preserve"> </w:t>
      </w:r>
      <w:r w:rsidR="00C70221">
        <w:t xml:space="preserve">The 2019 application will open September 4t. Application instructions will be available at that time. </w:t>
      </w:r>
    </w:p>
    <w:p w14:paraId="41C51887" w14:textId="77777777" w:rsidR="005E0A0F" w:rsidRDefault="005E0A0F" w:rsidP="00FE2D74">
      <w:pPr>
        <w:pStyle w:val="NormalWeb"/>
        <w:spacing w:line="288" w:lineRule="atLeast"/>
        <w:rPr>
          <w:u w:val="single"/>
        </w:rPr>
      </w:pPr>
      <w:r>
        <w:t xml:space="preserve">3.  </w:t>
      </w:r>
      <w:r>
        <w:rPr>
          <w:u w:val="single"/>
        </w:rPr>
        <w:t>Use of Information Technology</w:t>
      </w:r>
    </w:p>
    <w:p w14:paraId="414ABB59" w14:textId="30ECCFAD" w:rsidR="00A06759" w:rsidRDefault="00A06759" w:rsidP="00FE2D74">
      <w:pPr>
        <w:pStyle w:val="NormalWeb"/>
        <w:spacing w:line="288" w:lineRule="atLeast"/>
      </w:pPr>
      <w:r>
        <w:lastRenderedPageBreak/>
        <w:t xml:space="preserve">Applications for NDSEG fellowships are </w:t>
      </w:r>
      <w:r w:rsidR="00C70221">
        <w:t>100</w:t>
      </w:r>
      <w:r w:rsidR="00DA0E61">
        <w:t xml:space="preserve">% done </w:t>
      </w:r>
      <w:r>
        <w:t xml:space="preserve">by electronic submission </w:t>
      </w:r>
      <w:r w:rsidR="00DA0E61">
        <w:t>via contractor portal</w:t>
      </w:r>
      <w:r>
        <w:t>.  Academic transcripts are received directly from universities by mail.</w:t>
      </w:r>
      <w:r w:rsidR="00FC6819">
        <w:t xml:space="preserve">  No DoD systems are used.  There is not a SORN or PIA required.  </w:t>
      </w:r>
    </w:p>
    <w:p w14:paraId="6B022A09" w14:textId="77777777" w:rsidR="00BF1B29" w:rsidRDefault="005E0A0F" w:rsidP="00FE2D74">
      <w:pPr>
        <w:pStyle w:val="NormalWeb"/>
        <w:spacing w:line="288" w:lineRule="atLeast"/>
      </w:pPr>
      <w:r>
        <w:t xml:space="preserve">4.  </w:t>
      </w:r>
      <w:r>
        <w:rPr>
          <w:u w:val="single"/>
        </w:rPr>
        <w:t>Non-duplication</w:t>
      </w:r>
    </w:p>
    <w:p w14:paraId="4D1379E7" w14:textId="77777777" w:rsidR="00A06759" w:rsidRDefault="00DA0E61" w:rsidP="00FE2D74">
      <w:pPr>
        <w:pStyle w:val="NormalWeb"/>
        <w:spacing w:line="288" w:lineRule="atLeast"/>
      </w:pPr>
      <w:r>
        <w:t>The information obtained through this collections is unique and is not already available for use or adaption from another cleared source.</w:t>
      </w:r>
    </w:p>
    <w:p w14:paraId="7F387CA3" w14:textId="77777777" w:rsidR="005E0A0F" w:rsidRDefault="005E0A0F" w:rsidP="00FE2D74">
      <w:pPr>
        <w:pStyle w:val="NormalWeb"/>
        <w:spacing w:line="288" w:lineRule="atLeast"/>
      </w:pPr>
      <w:bookmarkStart w:id="3" w:name="cp440"/>
      <w:r>
        <w:t xml:space="preserve">5.  </w:t>
      </w:r>
      <w:r>
        <w:rPr>
          <w:u w:val="single"/>
        </w:rPr>
        <w:t>Burden on Small Business</w:t>
      </w:r>
    </w:p>
    <w:p w14:paraId="351284BB" w14:textId="77777777" w:rsidR="008C33A8" w:rsidRDefault="00DA0E61" w:rsidP="00FE2D74">
      <w:pPr>
        <w:pStyle w:val="NormalWeb"/>
        <w:spacing w:line="288" w:lineRule="atLeast"/>
      </w:pPr>
      <w:bookmarkStart w:id="4" w:name="cp441"/>
      <w:bookmarkEnd w:id="3"/>
      <w:r>
        <w:t xml:space="preserve">This information collection does not impose a significant economic impact on a substantial number </w:t>
      </w:r>
      <w:r w:rsidR="00FC6819">
        <w:t>of small</w:t>
      </w:r>
      <w:r>
        <w:t xml:space="preserve"> businesses or entities.</w:t>
      </w:r>
    </w:p>
    <w:bookmarkEnd w:id="4"/>
    <w:p w14:paraId="227ADC2B" w14:textId="77777777" w:rsidR="005E0A0F" w:rsidRDefault="005E0A0F" w:rsidP="00FE2D74">
      <w:pPr>
        <w:pStyle w:val="NormalWeb"/>
        <w:spacing w:line="288" w:lineRule="atLeast"/>
      </w:pPr>
      <w:r>
        <w:t xml:space="preserve">6.  </w:t>
      </w:r>
      <w:r>
        <w:rPr>
          <w:u w:val="single"/>
        </w:rPr>
        <w:t>Less Frequent Collection</w:t>
      </w:r>
    </w:p>
    <w:p w14:paraId="5E5D161E" w14:textId="77777777" w:rsidR="008C33A8" w:rsidRDefault="008C33A8" w:rsidP="00FE2D74">
      <w:pPr>
        <w:pStyle w:val="NormalWeb"/>
        <w:spacing w:line="288" w:lineRule="atLeast"/>
      </w:pPr>
      <w:r w:rsidRPr="008C33A8">
        <w:t xml:space="preserve">Awards are granted annually.  The pool of potential applicants is continually changing as new students become eligible to apply.  Non-receipt of information to evaluate and award fellowships would mean that approximately </w:t>
      </w:r>
      <w:r w:rsidR="00DD019F">
        <w:t>195</w:t>
      </w:r>
      <w:r w:rsidRPr="008C33A8">
        <w:t xml:space="preserve"> students would not receive fellowships.  Funding appropriated by Congress would not be awarded.  </w:t>
      </w:r>
    </w:p>
    <w:p w14:paraId="34265517" w14:textId="77777777" w:rsidR="005E0A0F" w:rsidRDefault="005E0A0F" w:rsidP="00FE2D74">
      <w:pPr>
        <w:pStyle w:val="NormalWeb"/>
        <w:spacing w:line="288" w:lineRule="atLeast"/>
      </w:pPr>
      <w:bookmarkStart w:id="5" w:name="cp444"/>
      <w:r>
        <w:t xml:space="preserve">7.  </w:t>
      </w:r>
      <w:r>
        <w:rPr>
          <w:u w:val="single"/>
        </w:rPr>
        <w:t>Paperwork Reduction Act Guidelines</w:t>
      </w:r>
    </w:p>
    <w:p w14:paraId="3D9B252D" w14:textId="77777777" w:rsidR="00EA00D6" w:rsidRPr="00235E69" w:rsidRDefault="00DA0E61" w:rsidP="00FE2D74">
      <w:pPr>
        <w:pStyle w:val="NormalWeb"/>
        <w:spacing w:line="288" w:lineRule="atLeast"/>
        <w:rPr>
          <w:color w:val="FF0000"/>
        </w:rPr>
      </w:pPr>
      <w:bookmarkStart w:id="6" w:name="cp445"/>
      <w:bookmarkEnd w:id="5"/>
      <w:r>
        <w:t xml:space="preserve">This collection of information does not require </w:t>
      </w:r>
      <w:r w:rsidR="000E7523">
        <w:t xml:space="preserve">the </w:t>
      </w:r>
      <w:r>
        <w:t>collection to be conducted in a manner inconsistent with the guidelines delineated in 5 CFR 1320.59(d)(2)</w:t>
      </w:r>
      <w:r w:rsidR="00656551">
        <w:t>.</w:t>
      </w:r>
    </w:p>
    <w:p w14:paraId="03EE16AE" w14:textId="77777777" w:rsidR="005E0A0F" w:rsidRDefault="005E0A0F" w:rsidP="00FE2D74">
      <w:pPr>
        <w:pStyle w:val="NormalWeb"/>
        <w:spacing w:line="288" w:lineRule="atLeast"/>
        <w:rPr>
          <w:u w:val="single"/>
        </w:rPr>
      </w:pPr>
      <w:bookmarkStart w:id="7" w:name="cp446"/>
      <w:bookmarkEnd w:id="6"/>
      <w:r>
        <w:t xml:space="preserve">8.  </w:t>
      </w:r>
      <w:r>
        <w:rPr>
          <w:u w:val="single"/>
        </w:rPr>
        <w:t>Consultation and Public Comments</w:t>
      </w:r>
    </w:p>
    <w:p w14:paraId="5FE8B0D4" w14:textId="77777777" w:rsidR="00F94743" w:rsidRDefault="00B529DE" w:rsidP="00FE2D74">
      <w:pPr>
        <w:pStyle w:val="NormalWeb"/>
        <w:spacing w:line="288" w:lineRule="atLeast"/>
      </w:pPr>
      <w:r>
        <w:t>Part A:</w:t>
      </w:r>
      <w:r w:rsidR="00EB07B0">
        <w:t xml:space="preserve"> PUBLIC NOTICE</w:t>
      </w:r>
    </w:p>
    <w:p w14:paraId="7CD4A7E1" w14:textId="77777777" w:rsidR="00F94743" w:rsidRDefault="00F94743" w:rsidP="00FE2D74">
      <w:pPr>
        <w:pStyle w:val="NormalWeb"/>
        <w:spacing w:line="288" w:lineRule="atLeast"/>
        <w:rPr>
          <w:rFonts w:asciiTheme="majorHAnsi" w:eastAsiaTheme="minorHAnsi" w:hAnsiTheme="majorHAnsi" w:cstheme="minorBidi"/>
          <w:szCs w:val="22"/>
        </w:rPr>
      </w:pPr>
      <w:r w:rsidRPr="001B17AF">
        <w:rPr>
          <w:rFonts w:asciiTheme="majorHAnsi" w:eastAsiaTheme="minorHAnsi" w:hAnsiTheme="majorHAnsi" w:cstheme="minorBidi"/>
          <w:szCs w:val="22"/>
        </w:rPr>
        <w:t xml:space="preserve">A 60-Day Federal Register Notice (FRN) for the collection published on </w:t>
      </w:r>
      <w:r w:rsidR="001B17AF" w:rsidRPr="001B17AF">
        <w:rPr>
          <w:rFonts w:asciiTheme="majorHAnsi" w:eastAsiaTheme="minorHAnsi" w:hAnsiTheme="majorHAnsi" w:cstheme="minorBidi"/>
          <w:szCs w:val="22"/>
        </w:rPr>
        <w:t xml:space="preserve">Thursday, </w:t>
      </w:r>
      <w:r w:rsidR="001B17AF">
        <w:rPr>
          <w:rFonts w:asciiTheme="majorHAnsi" w:eastAsiaTheme="minorHAnsi" w:hAnsiTheme="majorHAnsi" w:cstheme="minorBidi"/>
          <w:szCs w:val="22"/>
        </w:rPr>
        <w:t xml:space="preserve">  </w:t>
      </w:r>
      <w:r w:rsidR="001B17AF" w:rsidRPr="001B17AF">
        <w:rPr>
          <w:rFonts w:asciiTheme="majorHAnsi" w:eastAsiaTheme="minorHAnsi" w:hAnsiTheme="majorHAnsi" w:cstheme="minorBidi"/>
          <w:szCs w:val="22"/>
        </w:rPr>
        <w:t>May, 17.  The 60-Day FRN citation is 83</w:t>
      </w:r>
      <w:r w:rsidRPr="001B17AF">
        <w:rPr>
          <w:rFonts w:asciiTheme="majorHAnsi" w:eastAsiaTheme="minorHAnsi" w:hAnsiTheme="majorHAnsi" w:cstheme="minorBidi"/>
          <w:szCs w:val="22"/>
        </w:rPr>
        <w:t xml:space="preserve"> FRN </w:t>
      </w:r>
      <w:r w:rsidR="001B17AF" w:rsidRPr="001B17AF">
        <w:rPr>
          <w:rFonts w:asciiTheme="majorHAnsi" w:eastAsiaTheme="minorHAnsi" w:hAnsiTheme="majorHAnsi" w:cstheme="minorBidi"/>
          <w:szCs w:val="22"/>
        </w:rPr>
        <w:t>22964</w:t>
      </w:r>
      <w:r w:rsidRPr="001B17AF">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14:paraId="247DB38F" w14:textId="5D9AC477" w:rsidR="007A53F8" w:rsidRDefault="007A53F8" w:rsidP="00FE2D7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No comments were received during the 60-Day Comment Period.</w:t>
      </w:r>
    </w:p>
    <w:p w14:paraId="316FAE47" w14:textId="77777777" w:rsidR="007A53F8" w:rsidRPr="007A53F8" w:rsidRDefault="007A53F8" w:rsidP="007A53F8">
      <w:pPr>
        <w:autoSpaceDE w:val="0"/>
        <w:autoSpaceDN w:val="0"/>
        <w:spacing w:before="40" w:after="40"/>
        <w:rPr>
          <w:rFonts w:ascii="Calibri" w:hAnsi="Calibri" w:cs="Calibri"/>
          <w:sz w:val="22"/>
          <w:szCs w:val="22"/>
        </w:rPr>
      </w:pPr>
      <w:r w:rsidRPr="007A53F8">
        <w:t>A 30-Day Federal Register Notice for the collection published on Friday, August 17, 2018.  The 30-Day FRN citation is 83 FRN 41067.</w:t>
      </w:r>
      <w:r w:rsidRPr="007A53F8">
        <w:rPr>
          <w:rFonts w:ascii="Segoe UI" w:hAnsi="Segoe UI" w:cs="Segoe UI"/>
          <w:color w:val="000000"/>
          <w:sz w:val="20"/>
          <w:szCs w:val="20"/>
        </w:rPr>
        <w:t xml:space="preserve"> </w:t>
      </w:r>
    </w:p>
    <w:p w14:paraId="2600C19A" w14:textId="77777777" w:rsidR="001B17AF" w:rsidRDefault="00F0169A" w:rsidP="00FE2D74">
      <w:pPr>
        <w:pStyle w:val="NormalWeb"/>
        <w:spacing w:line="288" w:lineRule="atLeast"/>
      </w:pPr>
      <w:r>
        <w:t>Part B:</w:t>
      </w:r>
      <w:r w:rsidR="00EB07B0">
        <w:t xml:space="preserve"> CONSULTATION</w:t>
      </w:r>
      <w:bookmarkStart w:id="8" w:name="cp449"/>
      <w:bookmarkEnd w:id="7"/>
    </w:p>
    <w:p w14:paraId="061009BE" w14:textId="77777777" w:rsidR="001B17AF" w:rsidRPr="001B17AF" w:rsidRDefault="001B17AF" w:rsidP="00FE2D74">
      <w:pPr>
        <w:pStyle w:val="NormalWeb"/>
        <w:spacing w:line="288" w:lineRule="atLeast"/>
      </w:pPr>
      <w:r w:rsidRPr="001B17AF">
        <w:rPr>
          <w:rFonts w:asciiTheme="majorHAnsi" w:eastAsiaTheme="minorHAnsi" w:hAnsiTheme="majorHAnsi" w:cstheme="minorBidi"/>
          <w:szCs w:val="22"/>
        </w:rPr>
        <w:t xml:space="preserve">No additional consultation apart from soliciting public comments through the Federal Register was conducted for this submission. </w:t>
      </w:r>
    </w:p>
    <w:p w14:paraId="30526B82" w14:textId="77777777" w:rsidR="002D2D94" w:rsidRDefault="005E0A0F" w:rsidP="00FE2D74">
      <w:pPr>
        <w:pStyle w:val="NormalWeb"/>
        <w:spacing w:line="288" w:lineRule="atLeast"/>
      </w:pPr>
      <w:r>
        <w:t xml:space="preserve">9.  </w:t>
      </w:r>
      <w:r>
        <w:rPr>
          <w:u w:val="single"/>
        </w:rPr>
        <w:t>Gifts or Payment</w:t>
      </w:r>
      <w:bookmarkStart w:id="9" w:name="cp450"/>
      <w:bookmarkEnd w:id="8"/>
    </w:p>
    <w:p w14:paraId="64F31784" w14:textId="77777777" w:rsidR="002D2D94" w:rsidRDefault="00DA0E61" w:rsidP="00FE2D74">
      <w:pPr>
        <w:pStyle w:val="NormalWeb"/>
        <w:spacing w:line="288" w:lineRule="atLeast"/>
      </w:pPr>
      <w:r>
        <w:lastRenderedPageBreak/>
        <w:t>No payments or gifts are being offered to respondents as an incentive to participate in the collection.</w:t>
      </w:r>
    </w:p>
    <w:bookmarkEnd w:id="9"/>
    <w:p w14:paraId="5CDA131F" w14:textId="77777777" w:rsidR="002D2D94" w:rsidRDefault="005E0A0F" w:rsidP="00FE2D74">
      <w:pPr>
        <w:pStyle w:val="NormalWeb"/>
        <w:spacing w:line="288" w:lineRule="atLeast"/>
        <w:rPr>
          <w:u w:val="single"/>
        </w:rPr>
      </w:pPr>
      <w:r>
        <w:t xml:space="preserve">10.  </w:t>
      </w:r>
      <w:r>
        <w:rPr>
          <w:u w:val="single"/>
        </w:rPr>
        <w:t>Confidentiality</w:t>
      </w:r>
    </w:p>
    <w:p w14:paraId="351C62E1" w14:textId="77777777" w:rsidR="00FC5A92" w:rsidRDefault="00FC5A92" w:rsidP="00FE2D74">
      <w:pPr>
        <w:pStyle w:val="NormalWeb"/>
        <w:spacing w:line="288" w:lineRule="atLeast"/>
      </w:pPr>
      <w:r>
        <w:t>The announcement and the electronic application process for the NDSEG program contain a Privacy Act Statement (included in attached Application Instructions) which specifies the use of the information in evaluating and selecting the awardees.  It further advises that voluntary demographic information may be used in the aggregate for evaluating equity issues.  No personnel information is released to the public.</w:t>
      </w:r>
    </w:p>
    <w:p w14:paraId="1D0A2AAE" w14:textId="77777777" w:rsidR="00710C58" w:rsidRPr="00FE2D74" w:rsidRDefault="00710C58" w:rsidP="00FE2D74">
      <w:pPr>
        <w:pStyle w:val="NormalWeb"/>
        <w:spacing w:line="288" w:lineRule="atLeast"/>
      </w:pPr>
      <w:r w:rsidRPr="00FE2D74">
        <w:t xml:space="preserve">A System of Record Notice (SORN) is not required for this collection because records are not retrievable by PII. </w:t>
      </w:r>
    </w:p>
    <w:p w14:paraId="2A141FFE" w14:textId="77777777" w:rsidR="00710C58" w:rsidRDefault="00710C58" w:rsidP="00FE2D74">
      <w:pPr>
        <w:pStyle w:val="NormalWeb"/>
        <w:spacing w:line="288" w:lineRule="atLeast"/>
      </w:pPr>
      <w:r w:rsidRPr="00FE2D74">
        <w:t>A Privacy Impact Assessment (PIA) is not required for this collection because PII is not being collected electronically.</w:t>
      </w:r>
    </w:p>
    <w:p w14:paraId="37F3DA2F" w14:textId="77777777" w:rsidR="007A53F8" w:rsidRPr="007A53F8" w:rsidRDefault="007A53F8" w:rsidP="007A53F8">
      <w:pPr>
        <w:autoSpaceDE w:val="0"/>
        <w:autoSpaceDN w:val="0"/>
        <w:spacing w:before="40" w:after="40"/>
        <w:rPr>
          <w:rFonts w:ascii="Calibri" w:hAnsi="Calibri" w:cs="Calibri"/>
          <w:sz w:val="22"/>
          <w:szCs w:val="22"/>
        </w:rPr>
      </w:pPr>
      <w:r w:rsidRPr="007A53F8">
        <w:t>Keep in current file area until no longer needed for conducting business, but not longer than 6 years, then destroy. </w:t>
      </w:r>
      <w:r w:rsidRPr="007A53F8">
        <w:rPr>
          <w:rFonts w:ascii="Segoe UI" w:hAnsi="Segoe UI" w:cs="Segoe UI"/>
          <w:color w:val="000000"/>
          <w:sz w:val="20"/>
          <w:szCs w:val="20"/>
        </w:rPr>
        <w:t xml:space="preserve"> </w:t>
      </w:r>
    </w:p>
    <w:p w14:paraId="611C1163" w14:textId="77777777" w:rsidR="005E0A0F" w:rsidRDefault="005E0A0F" w:rsidP="00FE2D74">
      <w:pPr>
        <w:pStyle w:val="NormalWeb"/>
        <w:spacing w:line="288" w:lineRule="atLeast"/>
        <w:rPr>
          <w:u w:val="single"/>
        </w:rPr>
      </w:pPr>
      <w:r>
        <w:t xml:space="preserve">11.  </w:t>
      </w:r>
      <w:r>
        <w:rPr>
          <w:u w:val="single"/>
        </w:rPr>
        <w:t>Sensitive Questions</w:t>
      </w:r>
    </w:p>
    <w:p w14:paraId="0CD3F310" w14:textId="77777777" w:rsidR="004A5282" w:rsidRDefault="00FC5A92" w:rsidP="00FE2D74">
      <w:pPr>
        <w:pStyle w:val="NormalWeb"/>
        <w:spacing w:line="288" w:lineRule="atLeast"/>
      </w:pPr>
      <w:r w:rsidRPr="00FC5A92">
        <w:t xml:space="preserve">Application information collected on gender, citizenship, race, ethnicity, or disability is collected voluntarily and in a separate section of the electronic submission to the contractor.  Only aggregated data is used for required reports and equity issues.  This information will be maintained by </w:t>
      </w:r>
      <w:r w:rsidR="00661F02">
        <w:t>STIT</w:t>
      </w:r>
      <w:r w:rsidRPr="00FC5A92">
        <w:t xml:space="preserve"> (current contractor for NDSEG). </w:t>
      </w:r>
      <w:r w:rsidR="00840CD9">
        <w:t xml:space="preserve"> </w:t>
      </w:r>
      <w:bookmarkStart w:id="10" w:name="cp456"/>
    </w:p>
    <w:p w14:paraId="3A205619" w14:textId="77777777" w:rsidR="005E0A0F" w:rsidRDefault="005E0A0F" w:rsidP="00FE2D74">
      <w:pPr>
        <w:pStyle w:val="NormalWeb"/>
        <w:spacing w:line="288" w:lineRule="atLeast"/>
      </w:pPr>
      <w:r>
        <w:t xml:space="preserve">12.  </w:t>
      </w:r>
      <w:r>
        <w:rPr>
          <w:u w:val="single"/>
        </w:rPr>
        <w:t>Respondent Burden, and its Labor Costs</w:t>
      </w:r>
    </w:p>
    <w:tbl>
      <w:tblPr>
        <w:tblW w:w="99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443"/>
        <w:gridCol w:w="1350"/>
        <w:gridCol w:w="1259"/>
        <w:gridCol w:w="2345"/>
        <w:gridCol w:w="1800"/>
      </w:tblGrid>
      <w:tr w:rsidR="00652E45" w14:paraId="4C05AE75" w14:textId="77777777" w:rsidTr="00FE2D74">
        <w:tc>
          <w:tcPr>
            <w:tcW w:w="9901" w:type="dxa"/>
            <w:gridSpan w:val="6"/>
            <w:shd w:val="clear" w:color="auto" w:fill="auto"/>
          </w:tcPr>
          <w:p w14:paraId="3AFB0BEF" w14:textId="77777777" w:rsidR="00652E45" w:rsidRDefault="00652E45" w:rsidP="007A7148">
            <w:pPr>
              <w:pStyle w:val="NormalWeb"/>
              <w:spacing w:line="288" w:lineRule="atLeast"/>
              <w:jc w:val="center"/>
            </w:pPr>
            <w:bookmarkStart w:id="11" w:name="cp457"/>
            <w:bookmarkEnd w:id="10"/>
            <w:r>
              <w:t>Estimation of Respondent Burden Hours</w:t>
            </w:r>
          </w:p>
        </w:tc>
      </w:tr>
      <w:tr w:rsidR="00652E45" w14:paraId="28ADC982" w14:textId="77777777" w:rsidTr="00FE2D74">
        <w:trPr>
          <w:trHeight w:val="1313"/>
        </w:trPr>
        <w:tc>
          <w:tcPr>
            <w:tcW w:w="1704" w:type="dxa"/>
            <w:shd w:val="clear" w:color="auto" w:fill="auto"/>
          </w:tcPr>
          <w:p w14:paraId="1102A828" w14:textId="77777777" w:rsidR="00652E45" w:rsidRDefault="00652E45" w:rsidP="007A7148">
            <w:pPr>
              <w:pStyle w:val="NormalWeb"/>
              <w:spacing w:line="288" w:lineRule="atLeast"/>
            </w:pPr>
          </w:p>
        </w:tc>
        <w:tc>
          <w:tcPr>
            <w:tcW w:w="1443" w:type="dxa"/>
            <w:shd w:val="clear" w:color="auto" w:fill="auto"/>
            <w:vAlign w:val="center"/>
          </w:tcPr>
          <w:p w14:paraId="2DF9BE5B" w14:textId="77777777" w:rsidR="00652E45" w:rsidRPr="00FE2D74" w:rsidRDefault="00652E45" w:rsidP="00FE2D74">
            <w:pPr>
              <w:pStyle w:val="NormalWeb"/>
              <w:spacing w:line="288" w:lineRule="atLeast"/>
              <w:jc w:val="center"/>
              <w:rPr>
                <w:sz w:val="22"/>
                <w:szCs w:val="22"/>
              </w:rPr>
            </w:pPr>
            <w:r w:rsidRPr="00FE2D74">
              <w:rPr>
                <w:sz w:val="22"/>
                <w:szCs w:val="22"/>
              </w:rPr>
              <w:t>Number of Respondents</w:t>
            </w:r>
          </w:p>
        </w:tc>
        <w:tc>
          <w:tcPr>
            <w:tcW w:w="1350" w:type="dxa"/>
            <w:shd w:val="clear" w:color="auto" w:fill="auto"/>
            <w:vAlign w:val="center"/>
          </w:tcPr>
          <w:p w14:paraId="610868E5" w14:textId="77777777" w:rsidR="00652E45" w:rsidRPr="00FE2D74" w:rsidRDefault="00652E45" w:rsidP="00FE2D74">
            <w:pPr>
              <w:pStyle w:val="NormalWeb"/>
              <w:spacing w:line="288" w:lineRule="atLeast"/>
              <w:jc w:val="center"/>
              <w:rPr>
                <w:sz w:val="22"/>
                <w:szCs w:val="22"/>
              </w:rPr>
            </w:pPr>
            <w:r w:rsidRPr="00FE2D74">
              <w:rPr>
                <w:sz w:val="22"/>
                <w:szCs w:val="22"/>
              </w:rPr>
              <w:t>Number of Responses per Respondent</w:t>
            </w:r>
          </w:p>
        </w:tc>
        <w:tc>
          <w:tcPr>
            <w:tcW w:w="1259" w:type="dxa"/>
            <w:shd w:val="clear" w:color="auto" w:fill="auto"/>
            <w:vAlign w:val="center"/>
          </w:tcPr>
          <w:p w14:paraId="1AAD101B" w14:textId="2A6C0B33" w:rsidR="00652E45" w:rsidRPr="00FE2D74" w:rsidRDefault="00652E45" w:rsidP="00FE2D74">
            <w:pPr>
              <w:pStyle w:val="NormalWeb"/>
              <w:spacing w:line="288" w:lineRule="atLeast"/>
              <w:jc w:val="center"/>
              <w:rPr>
                <w:sz w:val="22"/>
                <w:szCs w:val="22"/>
              </w:rPr>
            </w:pPr>
            <w:r w:rsidRPr="00FE2D74">
              <w:rPr>
                <w:sz w:val="22"/>
                <w:szCs w:val="22"/>
              </w:rPr>
              <w:t>Annual Responses</w:t>
            </w:r>
          </w:p>
        </w:tc>
        <w:tc>
          <w:tcPr>
            <w:tcW w:w="2345" w:type="dxa"/>
            <w:shd w:val="clear" w:color="auto" w:fill="auto"/>
            <w:vAlign w:val="center"/>
          </w:tcPr>
          <w:p w14:paraId="7C4F9965" w14:textId="43513B0A" w:rsidR="00652E45" w:rsidRPr="00FE2D74" w:rsidRDefault="00652E45" w:rsidP="00FE2D74">
            <w:pPr>
              <w:pStyle w:val="NormalWeb"/>
              <w:spacing w:line="288" w:lineRule="atLeast"/>
              <w:jc w:val="center"/>
              <w:rPr>
                <w:sz w:val="22"/>
                <w:szCs w:val="22"/>
              </w:rPr>
            </w:pPr>
            <w:r w:rsidRPr="00FE2D74">
              <w:rPr>
                <w:sz w:val="22"/>
                <w:szCs w:val="22"/>
              </w:rPr>
              <w:t xml:space="preserve">Response Time </w:t>
            </w:r>
          </w:p>
        </w:tc>
        <w:tc>
          <w:tcPr>
            <w:tcW w:w="1800" w:type="dxa"/>
            <w:shd w:val="clear" w:color="auto" w:fill="auto"/>
            <w:vAlign w:val="center"/>
          </w:tcPr>
          <w:p w14:paraId="14BCC3BC" w14:textId="521F044A" w:rsidR="00652E45" w:rsidRPr="00FE2D74" w:rsidRDefault="00652E45" w:rsidP="00FE2D74">
            <w:pPr>
              <w:pStyle w:val="NormalWeb"/>
              <w:spacing w:line="288" w:lineRule="atLeast"/>
              <w:jc w:val="center"/>
              <w:rPr>
                <w:sz w:val="22"/>
                <w:szCs w:val="22"/>
              </w:rPr>
            </w:pPr>
            <w:r w:rsidRPr="00FE2D74">
              <w:rPr>
                <w:sz w:val="22"/>
                <w:szCs w:val="22"/>
              </w:rPr>
              <w:t xml:space="preserve">Respondent Burden Hours </w:t>
            </w:r>
          </w:p>
        </w:tc>
      </w:tr>
      <w:tr w:rsidR="00652E45" w14:paraId="26C80E98" w14:textId="77777777" w:rsidTr="00FE2D74">
        <w:tc>
          <w:tcPr>
            <w:tcW w:w="1704" w:type="dxa"/>
            <w:shd w:val="clear" w:color="auto" w:fill="auto"/>
          </w:tcPr>
          <w:p w14:paraId="2E183B45" w14:textId="5E42319A" w:rsidR="00652E45" w:rsidRPr="00FE2D74" w:rsidRDefault="00242451" w:rsidP="00FE2D74">
            <w:pPr>
              <w:pStyle w:val="NormalWeb"/>
              <w:spacing w:line="288" w:lineRule="atLeast"/>
              <w:rPr>
                <w:sz w:val="22"/>
                <w:szCs w:val="22"/>
              </w:rPr>
            </w:pPr>
            <w:r>
              <w:rPr>
                <w:sz w:val="22"/>
                <w:szCs w:val="22"/>
              </w:rPr>
              <w:t>NDSEG Online Application</w:t>
            </w:r>
          </w:p>
        </w:tc>
        <w:tc>
          <w:tcPr>
            <w:tcW w:w="1443" w:type="dxa"/>
            <w:shd w:val="clear" w:color="auto" w:fill="auto"/>
            <w:vAlign w:val="center"/>
          </w:tcPr>
          <w:p w14:paraId="72A6A4FF" w14:textId="77777777" w:rsidR="00652E45" w:rsidRDefault="00B7654E" w:rsidP="00FE2D74">
            <w:pPr>
              <w:pStyle w:val="NormalWeb"/>
              <w:spacing w:line="288" w:lineRule="atLeast"/>
              <w:jc w:val="center"/>
            </w:pPr>
            <w:r>
              <w:t>3,</w:t>
            </w:r>
            <w:r w:rsidR="00DD019F">
              <w:t>577</w:t>
            </w:r>
          </w:p>
        </w:tc>
        <w:tc>
          <w:tcPr>
            <w:tcW w:w="1350" w:type="dxa"/>
            <w:shd w:val="clear" w:color="auto" w:fill="auto"/>
            <w:vAlign w:val="center"/>
          </w:tcPr>
          <w:p w14:paraId="7E14D028" w14:textId="77777777" w:rsidR="00652E45" w:rsidRDefault="00B7654E" w:rsidP="00FE2D74">
            <w:pPr>
              <w:pStyle w:val="NormalWeb"/>
              <w:spacing w:line="288" w:lineRule="atLeast"/>
              <w:jc w:val="center"/>
            </w:pPr>
            <w:r>
              <w:t>1</w:t>
            </w:r>
          </w:p>
        </w:tc>
        <w:tc>
          <w:tcPr>
            <w:tcW w:w="1259" w:type="dxa"/>
            <w:shd w:val="clear" w:color="auto" w:fill="auto"/>
            <w:vAlign w:val="center"/>
          </w:tcPr>
          <w:p w14:paraId="7F8282BE" w14:textId="77777777" w:rsidR="00652E45" w:rsidRDefault="00B7654E" w:rsidP="00FE2D74">
            <w:pPr>
              <w:pStyle w:val="NormalWeb"/>
              <w:spacing w:line="288" w:lineRule="atLeast"/>
              <w:jc w:val="center"/>
            </w:pPr>
            <w:r>
              <w:t>3,</w:t>
            </w:r>
            <w:r w:rsidR="00DD019F">
              <w:t>577</w:t>
            </w:r>
          </w:p>
        </w:tc>
        <w:tc>
          <w:tcPr>
            <w:tcW w:w="2345" w:type="dxa"/>
            <w:shd w:val="clear" w:color="auto" w:fill="auto"/>
            <w:vAlign w:val="center"/>
          </w:tcPr>
          <w:p w14:paraId="4CDEA8BC" w14:textId="77777777" w:rsidR="00652E45" w:rsidRDefault="00B7654E" w:rsidP="00FE2D74">
            <w:pPr>
              <w:pStyle w:val="NormalWeb"/>
              <w:spacing w:line="288" w:lineRule="atLeast"/>
              <w:jc w:val="center"/>
            </w:pPr>
            <w:r>
              <w:t>12 hours</w:t>
            </w:r>
          </w:p>
        </w:tc>
        <w:tc>
          <w:tcPr>
            <w:tcW w:w="1800" w:type="dxa"/>
            <w:shd w:val="clear" w:color="auto" w:fill="auto"/>
            <w:vAlign w:val="center"/>
          </w:tcPr>
          <w:p w14:paraId="14FC1BED" w14:textId="77777777" w:rsidR="00652E45" w:rsidRDefault="00DD019F" w:rsidP="00FE2D74">
            <w:pPr>
              <w:pStyle w:val="NormalWeb"/>
              <w:spacing w:line="288" w:lineRule="atLeast"/>
              <w:jc w:val="center"/>
            </w:pPr>
            <w:r>
              <w:t>42,924</w:t>
            </w:r>
          </w:p>
        </w:tc>
      </w:tr>
      <w:tr w:rsidR="00B7654E" w14:paraId="76703B1B" w14:textId="77777777" w:rsidTr="00FE2D74">
        <w:tc>
          <w:tcPr>
            <w:tcW w:w="1704" w:type="dxa"/>
            <w:shd w:val="clear" w:color="auto" w:fill="auto"/>
          </w:tcPr>
          <w:p w14:paraId="63E4993C" w14:textId="77777777" w:rsidR="00B7654E" w:rsidRDefault="00B7654E" w:rsidP="00932507">
            <w:pPr>
              <w:pStyle w:val="NormalWeb"/>
              <w:spacing w:line="288" w:lineRule="atLeast"/>
            </w:pPr>
            <w:r>
              <w:t xml:space="preserve">Total </w:t>
            </w:r>
          </w:p>
        </w:tc>
        <w:tc>
          <w:tcPr>
            <w:tcW w:w="1443" w:type="dxa"/>
            <w:shd w:val="clear" w:color="auto" w:fill="auto"/>
          </w:tcPr>
          <w:p w14:paraId="53D77F98" w14:textId="77777777" w:rsidR="00B7654E" w:rsidRPr="007873B2" w:rsidRDefault="00B7654E" w:rsidP="00FE2D74">
            <w:pPr>
              <w:jc w:val="center"/>
            </w:pPr>
            <w:r w:rsidRPr="007873B2">
              <w:t>3,</w:t>
            </w:r>
            <w:r w:rsidR="00DD019F">
              <w:t>577</w:t>
            </w:r>
          </w:p>
        </w:tc>
        <w:tc>
          <w:tcPr>
            <w:tcW w:w="1350" w:type="dxa"/>
            <w:shd w:val="clear" w:color="auto" w:fill="auto"/>
          </w:tcPr>
          <w:p w14:paraId="0D46BA2C" w14:textId="77777777" w:rsidR="00B7654E" w:rsidRPr="007873B2" w:rsidRDefault="00B7654E" w:rsidP="00FE2D74">
            <w:pPr>
              <w:jc w:val="center"/>
            </w:pPr>
            <w:r w:rsidRPr="007873B2">
              <w:t>1</w:t>
            </w:r>
          </w:p>
        </w:tc>
        <w:tc>
          <w:tcPr>
            <w:tcW w:w="1259" w:type="dxa"/>
            <w:shd w:val="clear" w:color="auto" w:fill="auto"/>
          </w:tcPr>
          <w:p w14:paraId="6D60D631" w14:textId="77777777" w:rsidR="00B7654E" w:rsidRPr="007873B2" w:rsidRDefault="00B7654E" w:rsidP="00FE2D74">
            <w:pPr>
              <w:jc w:val="center"/>
            </w:pPr>
            <w:r w:rsidRPr="007873B2">
              <w:t>3,</w:t>
            </w:r>
            <w:r w:rsidR="00DD019F">
              <w:t>577</w:t>
            </w:r>
          </w:p>
        </w:tc>
        <w:tc>
          <w:tcPr>
            <w:tcW w:w="2345" w:type="dxa"/>
            <w:shd w:val="clear" w:color="auto" w:fill="auto"/>
          </w:tcPr>
          <w:p w14:paraId="3705F616" w14:textId="77777777" w:rsidR="00B7654E" w:rsidRPr="007873B2" w:rsidRDefault="00B7654E" w:rsidP="00FE2D74">
            <w:pPr>
              <w:jc w:val="center"/>
            </w:pPr>
            <w:r w:rsidRPr="007873B2">
              <w:t>12 hours</w:t>
            </w:r>
          </w:p>
        </w:tc>
        <w:tc>
          <w:tcPr>
            <w:tcW w:w="1800" w:type="dxa"/>
            <w:shd w:val="clear" w:color="auto" w:fill="auto"/>
          </w:tcPr>
          <w:p w14:paraId="7ABE6D33" w14:textId="77777777" w:rsidR="00B7654E" w:rsidRDefault="00DD019F" w:rsidP="00FE2D74">
            <w:pPr>
              <w:jc w:val="center"/>
            </w:pPr>
            <w:r>
              <w:t>42,924</w:t>
            </w:r>
          </w:p>
        </w:tc>
      </w:tr>
    </w:tbl>
    <w:p w14:paraId="4A986522" w14:textId="5E8F33DF" w:rsidR="00652E45" w:rsidRPr="00564656" w:rsidRDefault="00652E45" w:rsidP="00564656">
      <w:pPr>
        <w:pStyle w:val="NormalWeb"/>
        <w:spacing w:line="288" w:lineRule="atLeast"/>
        <w:ind w:firstLine="1350"/>
        <w:rPr>
          <w:u w:val="single"/>
        </w:rPr>
      </w:pPr>
      <w:bookmarkStart w:id="12" w:name="cp460"/>
      <w:bookmarkEnd w:id="11"/>
    </w:p>
    <w:tbl>
      <w:tblPr>
        <w:tblW w:w="96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193"/>
        <w:gridCol w:w="1800"/>
        <w:gridCol w:w="1350"/>
        <w:gridCol w:w="1710"/>
        <w:gridCol w:w="2070"/>
      </w:tblGrid>
      <w:tr w:rsidR="00564656" w14:paraId="084D7108" w14:textId="77777777" w:rsidTr="00FE2D74">
        <w:tc>
          <w:tcPr>
            <w:tcW w:w="9653" w:type="dxa"/>
            <w:gridSpan w:val="6"/>
            <w:shd w:val="clear" w:color="auto" w:fill="auto"/>
          </w:tcPr>
          <w:p w14:paraId="536C9999" w14:textId="77777777" w:rsidR="00564656" w:rsidRDefault="00564656" w:rsidP="007A7148">
            <w:pPr>
              <w:pStyle w:val="NormalWeb"/>
              <w:spacing w:line="288" w:lineRule="atLeast"/>
              <w:jc w:val="center"/>
            </w:pPr>
            <w:r>
              <w:t>Labor Cost of Respondent Burden</w:t>
            </w:r>
          </w:p>
        </w:tc>
      </w:tr>
      <w:tr w:rsidR="00564656" w14:paraId="0EF12853" w14:textId="77777777" w:rsidTr="00FE2D74">
        <w:tc>
          <w:tcPr>
            <w:tcW w:w="1530" w:type="dxa"/>
            <w:shd w:val="clear" w:color="auto" w:fill="auto"/>
          </w:tcPr>
          <w:p w14:paraId="1DF5E958" w14:textId="77777777" w:rsidR="00564656" w:rsidRDefault="00564656" w:rsidP="007A7148">
            <w:pPr>
              <w:pStyle w:val="NormalWeb"/>
              <w:spacing w:line="288" w:lineRule="atLeast"/>
            </w:pPr>
          </w:p>
        </w:tc>
        <w:tc>
          <w:tcPr>
            <w:tcW w:w="1193" w:type="dxa"/>
            <w:shd w:val="clear" w:color="auto" w:fill="auto"/>
            <w:vAlign w:val="center"/>
          </w:tcPr>
          <w:p w14:paraId="7E059999" w14:textId="77777777" w:rsidR="00564656" w:rsidRPr="00FE2D74" w:rsidRDefault="0096762B" w:rsidP="003F3352">
            <w:pPr>
              <w:pStyle w:val="NormalWeb"/>
              <w:spacing w:line="288" w:lineRule="atLeast"/>
              <w:jc w:val="center"/>
              <w:rPr>
                <w:sz w:val="22"/>
                <w:szCs w:val="22"/>
              </w:rPr>
            </w:pPr>
            <w:r w:rsidRPr="00FE2D74">
              <w:rPr>
                <w:sz w:val="22"/>
                <w:szCs w:val="22"/>
              </w:rPr>
              <w:t>Number of Responses</w:t>
            </w:r>
          </w:p>
        </w:tc>
        <w:tc>
          <w:tcPr>
            <w:tcW w:w="1800" w:type="dxa"/>
            <w:shd w:val="clear" w:color="auto" w:fill="auto"/>
            <w:vAlign w:val="center"/>
          </w:tcPr>
          <w:p w14:paraId="37E29179" w14:textId="77777777" w:rsidR="00564656" w:rsidRPr="00FE2D74" w:rsidRDefault="00564656" w:rsidP="003F3352">
            <w:pPr>
              <w:pStyle w:val="NormalWeb"/>
              <w:spacing w:line="288" w:lineRule="atLeast"/>
              <w:jc w:val="center"/>
              <w:rPr>
                <w:sz w:val="22"/>
                <w:szCs w:val="22"/>
              </w:rPr>
            </w:pPr>
            <w:r w:rsidRPr="00FE2D74">
              <w:rPr>
                <w:sz w:val="22"/>
                <w:szCs w:val="22"/>
              </w:rPr>
              <w:t xml:space="preserve">Response Time </w:t>
            </w:r>
            <w:r w:rsidR="0096762B" w:rsidRPr="00FE2D74">
              <w:rPr>
                <w:sz w:val="22"/>
                <w:szCs w:val="22"/>
              </w:rPr>
              <w:t>per Response</w:t>
            </w:r>
          </w:p>
        </w:tc>
        <w:tc>
          <w:tcPr>
            <w:tcW w:w="1350" w:type="dxa"/>
            <w:shd w:val="clear" w:color="auto" w:fill="auto"/>
            <w:vAlign w:val="center"/>
          </w:tcPr>
          <w:p w14:paraId="09F3916C" w14:textId="77777777" w:rsidR="00564656" w:rsidRPr="00FE2D74" w:rsidRDefault="00564656" w:rsidP="003F3352">
            <w:pPr>
              <w:pStyle w:val="NormalWeb"/>
              <w:spacing w:line="288" w:lineRule="atLeast"/>
              <w:jc w:val="center"/>
              <w:rPr>
                <w:sz w:val="22"/>
                <w:szCs w:val="22"/>
              </w:rPr>
            </w:pPr>
            <w:r w:rsidRPr="00FE2D74">
              <w:rPr>
                <w:sz w:val="22"/>
                <w:szCs w:val="22"/>
              </w:rPr>
              <w:t>Respondent Hourly Wage</w:t>
            </w:r>
          </w:p>
        </w:tc>
        <w:tc>
          <w:tcPr>
            <w:tcW w:w="1710" w:type="dxa"/>
            <w:shd w:val="clear" w:color="auto" w:fill="auto"/>
            <w:vAlign w:val="center"/>
          </w:tcPr>
          <w:p w14:paraId="601E9421" w14:textId="5F1B857E" w:rsidR="00564656" w:rsidRPr="00FE2D74" w:rsidRDefault="00564656" w:rsidP="003F3352">
            <w:pPr>
              <w:pStyle w:val="NormalWeb"/>
              <w:spacing w:line="288" w:lineRule="atLeast"/>
              <w:jc w:val="center"/>
              <w:rPr>
                <w:sz w:val="22"/>
                <w:szCs w:val="22"/>
              </w:rPr>
            </w:pPr>
            <w:r w:rsidRPr="00FE2D74">
              <w:rPr>
                <w:sz w:val="22"/>
                <w:szCs w:val="22"/>
              </w:rPr>
              <w:t xml:space="preserve">Labor Burden per </w:t>
            </w:r>
            <w:r w:rsidR="0096762B" w:rsidRPr="00FE2D74">
              <w:rPr>
                <w:sz w:val="22"/>
                <w:szCs w:val="22"/>
              </w:rPr>
              <w:t xml:space="preserve">Response </w:t>
            </w:r>
          </w:p>
        </w:tc>
        <w:tc>
          <w:tcPr>
            <w:tcW w:w="2070" w:type="dxa"/>
            <w:shd w:val="clear" w:color="auto" w:fill="auto"/>
            <w:vAlign w:val="center"/>
          </w:tcPr>
          <w:p w14:paraId="1025A329" w14:textId="3DDD1C20" w:rsidR="00564656" w:rsidRPr="00FE2D74" w:rsidRDefault="00564656" w:rsidP="003F3352">
            <w:pPr>
              <w:pStyle w:val="NormalWeb"/>
              <w:spacing w:line="288" w:lineRule="atLeast"/>
              <w:jc w:val="center"/>
              <w:rPr>
                <w:sz w:val="22"/>
                <w:szCs w:val="22"/>
              </w:rPr>
            </w:pPr>
            <w:r w:rsidRPr="00FE2D74">
              <w:rPr>
                <w:sz w:val="22"/>
                <w:szCs w:val="22"/>
              </w:rPr>
              <w:t xml:space="preserve">Total Labor Burden </w:t>
            </w:r>
          </w:p>
        </w:tc>
      </w:tr>
      <w:tr w:rsidR="00564656" w14:paraId="015B908B" w14:textId="77777777" w:rsidTr="00FE2D74">
        <w:trPr>
          <w:trHeight w:val="1430"/>
        </w:trPr>
        <w:tc>
          <w:tcPr>
            <w:tcW w:w="1530" w:type="dxa"/>
            <w:shd w:val="clear" w:color="auto" w:fill="auto"/>
          </w:tcPr>
          <w:p w14:paraId="54A4B61E" w14:textId="474EF40E" w:rsidR="00564656" w:rsidRPr="00FE2D74" w:rsidRDefault="00242451" w:rsidP="00FE2D74">
            <w:pPr>
              <w:pStyle w:val="NormalWeb"/>
              <w:spacing w:line="288" w:lineRule="atLeast"/>
              <w:rPr>
                <w:sz w:val="22"/>
                <w:szCs w:val="22"/>
              </w:rPr>
            </w:pPr>
            <w:r>
              <w:rPr>
                <w:sz w:val="22"/>
                <w:szCs w:val="22"/>
              </w:rPr>
              <w:t>NDSEG Online Application</w:t>
            </w:r>
          </w:p>
        </w:tc>
        <w:tc>
          <w:tcPr>
            <w:tcW w:w="1193" w:type="dxa"/>
            <w:shd w:val="clear" w:color="auto" w:fill="auto"/>
            <w:vAlign w:val="center"/>
          </w:tcPr>
          <w:p w14:paraId="4DEB7F0E" w14:textId="77777777" w:rsidR="00564656" w:rsidRPr="003F3352" w:rsidRDefault="00F930FA" w:rsidP="00FE2D74">
            <w:pPr>
              <w:pStyle w:val="NormalWeb"/>
              <w:spacing w:line="288" w:lineRule="atLeast"/>
              <w:jc w:val="center"/>
            </w:pPr>
            <w:r w:rsidRPr="003F3352">
              <w:t>3</w:t>
            </w:r>
            <w:r w:rsidR="00DD019F" w:rsidRPr="003F3352">
              <w:t>,577</w:t>
            </w:r>
          </w:p>
        </w:tc>
        <w:tc>
          <w:tcPr>
            <w:tcW w:w="1800" w:type="dxa"/>
            <w:shd w:val="clear" w:color="auto" w:fill="auto"/>
            <w:vAlign w:val="center"/>
          </w:tcPr>
          <w:p w14:paraId="5E7613FA" w14:textId="77777777" w:rsidR="00564656" w:rsidRPr="003F3352" w:rsidRDefault="00CE4ABD" w:rsidP="00FE2D74">
            <w:pPr>
              <w:pStyle w:val="NormalWeb"/>
              <w:spacing w:line="288" w:lineRule="atLeast"/>
              <w:jc w:val="center"/>
            </w:pPr>
            <w:r w:rsidRPr="003F3352">
              <w:t>12 hours</w:t>
            </w:r>
          </w:p>
        </w:tc>
        <w:tc>
          <w:tcPr>
            <w:tcW w:w="1350" w:type="dxa"/>
            <w:shd w:val="clear" w:color="auto" w:fill="auto"/>
            <w:vAlign w:val="center"/>
          </w:tcPr>
          <w:p w14:paraId="72E93A21" w14:textId="77777777" w:rsidR="00564656" w:rsidRPr="003F3352" w:rsidRDefault="00CE4ABD" w:rsidP="00FE2D74">
            <w:pPr>
              <w:pStyle w:val="NormalWeb"/>
              <w:spacing w:line="288" w:lineRule="atLeast"/>
              <w:jc w:val="center"/>
            </w:pPr>
            <w:r w:rsidRPr="003F3352">
              <w:t>$</w:t>
            </w:r>
            <w:r w:rsidR="00C0748B" w:rsidRPr="003F3352">
              <w:t>16.49</w:t>
            </w:r>
          </w:p>
        </w:tc>
        <w:tc>
          <w:tcPr>
            <w:tcW w:w="1710" w:type="dxa"/>
            <w:shd w:val="clear" w:color="auto" w:fill="auto"/>
            <w:vAlign w:val="center"/>
          </w:tcPr>
          <w:p w14:paraId="7867FBCC" w14:textId="77777777" w:rsidR="00564656" w:rsidRPr="003F3352" w:rsidRDefault="00CE4ABD" w:rsidP="00FE2D74">
            <w:pPr>
              <w:pStyle w:val="NormalWeb"/>
              <w:spacing w:line="288" w:lineRule="atLeast"/>
              <w:jc w:val="center"/>
            </w:pPr>
            <w:r w:rsidRPr="003F3352">
              <w:t>$1</w:t>
            </w:r>
            <w:r w:rsidR="00024E84" w:rsidRPr="003F3352">
              <w:t>97.88</w:t>
            </w:r>
          </w:p>
        </w:tc>
        <w:tc>
          <w:tcPr>
            <w:tcW w:w="2070" w:type="dxa"/>
            <w:shd w:val="clear" w:color="auto" w:fill="auto"/>
            <w:vAlign w:val="center"/>
          </w:tcPr>
          <w:p w14:paraId="4833AC08" w14:textId="77777777" w:rsidR="00564656" w:rsidRPr="003F3352" w:rsidRDefault="00FC5A92" w:rsidP="00FE2D74">
            <w:pPr>
              <w:pStyle w:val="NormalWeb"/>
              <w:spacing w:line="288" w:lineRule="atLeast"/>
              <w:jc w:val="center"/>
            </w:pPr>
            <w:r w:rsidRPr="003F3352">
              <w:t>$</w:t>
            </w:r>
            <w:r w:rsidR="00024E84" w:rsidRPr="003F3352">
              <w:t>707,816.78</w:t>
            </w:r>
          </w:p>
        </w:tc>
      </w:tr>
      <w:tr w:rsidR="00564656" w:rsidRPr="00C0748B" w14:paraId="5B17EE29" w14:textId="77777777" w:rsidTr="00FE2D74">
        <w:tc>
          <w:tcPr>
            <w:tcW w:w="1530" w:type="dxa"/>
            <w:shd w:val="clear" w:color="auto" w:fill="auto"/>
          </w:tcPr>
          <w:p w14:paraId="30C4CB9C" w14:textId="77777777" w:rsidR="00564656" w:rsidRPr="00C0748B" w:rsidRDefault="00564656" w:rsidP="00932507">
            <w:pPr>
              <w:pStyle w:val="NormalWeb"/>
              <w:spacing w:line="288" w:lineRule="atLeast"/>
              <w:rPr>
                <w:u w:val="single"/>
              </w:rPr>
            </w:pPr>
            <w:r w:rsidRPr="00C0748B">
              <w:rPr>
                <w:u w:val="single"/>
              </w:rPr>
              <w:t>Total</w:t>
            </w:r>
            <w:r w:rsidR="004A60CA" w:rsidRPr="00C0748B">
              <w:rPr>
                <w:u w:val="single"/>
              </w:rPr>
              <w:t xml:space="preserve"> </w:t>
            </w:r>
          </w:p>
        </w:tc>
        <w:tc>
          <w:tcPr>
            <w:tcW w:w="1193" w:type="dxa"/>
            <w:shd w:val="clear" w:color="auto" w:fill="auto"/>
            <w:vAlign w:val="center"/>
          </w:tcPr>
          <w:p w14:paraId="08C3F279" w14:textId="77777777" w:rsidR="00564656" w:rsidRPr="00FE2D74" w:rsidRDefault="00C0748B" w:rsidP="00FE2D74">
            <w:pPr>
              <w:pStyle w:val="NormalWeb"/>
              <w:spacing w:line="288" w:lineRule="atLeast"/>
              <w:jc w:val="center"/>
            </w:pPr>
            <w:r w:rsidRPr="00FE2D74">
              <w:t>3,</w:t>
            </w:r>
            <w:r w:rsidR="00DD019F" w:rsidRPr="00FE2D74">
              <w:t>577</w:t>
            </w:r>
          </w:p>
        </w:tc>
        <w:tc>
          <w:tcPr>
            <w:tcW w:w="1800" w:type="dxa"/>
            <w:shd w:val="clear" w:color="auto" w:fill="auto"/>
            <w:vAlign w:val="center"/>
          </w:tcPr>
          <w:p w14:paraId="6039BFEB" w14:textId="77777777" w:rsidR="00564656" w:rsidRPr="00FE2D74" w:rsidRDefault="00CE4ABD" w:rsidP="00FE2D74">
            <w:pPr>
              <w:pStyle w:val="NormalWeb"/>
              <w:spacing w:line="288" w:lineRule="atLeast"/>
              <w:jc w:val="center"/>
            </w:pPr>
            <w:r w:rsidRPr="00FE2D74">
              <w:t>12 hours</w:t>
            </w:r>
          </w:p>
        </w:tc>
        <w:tc>
          <w:tcPr>
            <w:tcW w:w="1350" w:type="dxa"/>
            <w:shd w:val="clear" w:color="auto" w:fill="auto"/>
            <w:vAlign w:val="center"/>
          </w:tcPr>
          <w:p w14:paraId="22848628" w14:textId="77777777" w:rsidR="00564656" w:rsidRPr="00FE2D74" w:rsidRDefault="00CE4ABD" w:rsidP="00FE2D74">
            <w:pPr>
              <w:pStyle w:val="NormalWeb"/>
              <w:spacing w:line="288" w:lineRule="atLeast"/>
              <w:jc w:val="center"/>
            </w:pPr>
            <w:r w:rsidRPr="00FE2D74">
              <w:t>$</w:t>
            </w:r>
            <w:r w:rsidR="00C0748B" w:rsidRPr="00FE2D74">
              <w:t>16.49</w:t>
            </w:r>
          </w:p>
        </w:tc>
        <w:tc>
          <w:tcPr>
            <w:tcW w:w="1710" w:type="dxa"/>
            <w:shd w:val="clear" w:color="auto" w:fill="auto"/>
            <w:vAlign w:val="center"/>
          </w:tcPr>
          <w:p w14:paraId="511B7E5A" w14:textId="77777777" w:rsidR="00564656" w:rsidRPr="00FE2D74" w:rsidRDefault="00024E84" w:rsidP="00FE2D74">
            <w:pPr>
              <w:pStyle w:val="NormalWeb"/>
              <w:spacing w:line="288" w:lineRule="atLeast"/>
              <w:jc w:val="center"/>
            </w:pPr>
            <w:r w:rsidRPr="00FE2D74">
              <w:t>$197.88</w:t>
            </w:r>
          </w:p>
        </w:tc>
        <w:tc>
          <w:tcPr>
            <w:tcW w:w="2070" w:type="dxa"/>
            <w:shd w:val="clear" w:color="auto" w:fill="auto"/>
            <w:vAlign w:val="center"/>
          </w:tcPr>
          <w:p w14:paraId="26CB2A06" w14:textId="77777777" w:rsidR="00564656" w:rsidRPr="00FE2D74" w:rsidRDefault="00CE4ABD" w:rsidP="00FE2D74">
            <w:pPr>
              <w:pStyle w:val="NormalWeb"/>
              <w:spacing w:line="288" w:lineRule="atLeast"/>
              <w:jc w:val="center"/>
            </w:pPr>
            <w:r w:rsidRPr="00FE2D74">
              <w:t>$</w:t>
            </w:r>
            <w:r w:rsidR="00DD019F" w:rsidRPr="003F3352">
              <w:t>707,81</w:t>
            </w:r>
            <w:r w:rsidR="00024E84" w:rsidRPr="003F3352">
              <w:t>6.78</w:t>
            </w:r>
          </w:p>
        </w:tc>
      </w:tr>
    </w:tbl>
    <w:p w14:paraId="16C4199C" w14:textId="77777777" w:rsidR="00FE2D74" w:rsidRDefault="00FE2D74" w:rsidP="003F12DA">
      <w:pPr>
        <w:pStyle w:val="NormalWeb"/>
        <w:spacing w:line="288" w:lineRule="atLeast"/>
      </w:pPr>
      <w:bookmarkStart w:id="13" w:name="cp462"/>
      <w:bookmarkEnd w:id="12"/>
    </w:p>
    <w:p w14:paraId="7C173EB9" w14:textId="77777777" w:rsidR="00FE2D74" w:rsidRDefault="00FE2D74" w:rsidP="003F12DA">
      <w:pPr>
        <w:pStyle w:val="NormalWeb"/>
        <w:spacing w:line="288" w:lineRule="atLeast"/>
      </w:pPr>
    </w:p>
    <w:p w14:paraId="40188DC3" w14:textId="3FC5FC83" w:rsidR="005E0A0F" w:rsidRPr="00FE2D74" w:rsidRDefault="005E0A0F" w:rsidP="003F12DA">
      <w:pPr>
        <w:pStyle w:val="NormalWeb"/>
        <w:spacing w:line="288" w:lineRule="atLeast"/>
      </w:pPr>
      <w:r w:rsidRPr="00FE2D74">
        <w:t>13</w:t>
      </w:r>
      <w:r w:rsidRPr="003F12DA">
        <w:t xml:space="preserve">.  </w:t>
      </w:r>
      <w:r w:rsidRPr="00FE2D74">
        <w:rPr>
          <w:u w:val="single"/>
        </w:rPr>
        <w:t xml:space="preserve">Respondent Costs Other </w:t>
      </w:r>
      <w:r w:rsidR="003F12DA" w:rsidRPr="00FE2D74">
        <w:rPr>
          <w:u w:val="single"/>
        </w:rPr>
        <w:t>than</w:t>
      </w:r>
      <w:r w:rsidRPr="00FE2D74">
        <w:rPr>
          <w:u w:val="single"/>
        </w:rPr>
        <w:t xml:space="preserve"> Burden Hour Costs</w:t>
      </w:r>
    </w:p>
    <w:p w14:paraId="090336C7" w14:textId="77777777" w:rsidR="00D30F61" w:rsidRDefault="00D30F61" w:rsidP="003F12DA">
      <w:pPr>
        <w:pStyle w:val="NormalWeb"/>
        <w:spacing w:line="288" w:lineRule="atLeast"/>
      </w:pPr>
      <w:r>
        <w:t>There is no cost to the applicant above the expense of preparing and submitting the application.</w:t>
      </w:r>
    </w:p>
    <w:p w14:paraId="5B5927F7" w14:textId="77777777" w:rsidR="008627C3" w:rsidRDefault="00D30F61" w:rsidP="003F12DA">
      <w:pPr>
        <w:pStyle w:val="NormalWeb"/>
        <w:spacing w:line="288" w:lineRule="atLeast"/>
      </w:pPr>
      <w:bookmarkStart w:id="14" w:name="cp464"/>
      <w:bookmarkEnd w:id="13"/>
      <w:r w:rsidRPr="00D30F61">
        <w:t xml:space="preserve">Total and capitol </w:t>
      </w:r>
      <w:r w:rsidR="008627C3" w:rsidRPr="00D30F61">
        <w:t>startup</w:t>
      </w:r>
      <w:r w:rsidRPr="00D30F61">
        <w:t xml:space="preserve"> costs are included in the administrative services fee annually allowing for the </w:t>
      </w:r>
      <w:r>
        <w:t>website and other</w:t>
      </w:r>
      <w:r w:rsidR="005E0A0F">
        <w:t xml:space="preserve"> software</w:t>
      </w:r>
      <w:r>
        <w:t xml:space="preserve"> needed for data collection,</w:t>
      </w:r>
      <w:r w:rsidR="008627C3">
        <w:t xml:space="preserve"> </w:t>
      </w:r>
      <w:r w:rsidR="005E0A0F">
        <w:t>storage facilities</w:t>
      </w:r>
      <w:bookmarkStart w:id="15" w:name="cp465"/>
      <w:bookmarkEnd w:id="14"/>
      <w:r w:rsidR="008627C3">
        <w:t xml:space="preserve"> as well as the daily administrative management to effectively run the program.</w:t>
      </w:r>
      <w:r w:rsidR="00445581">
        <w:t xml:space="preserve"> </w:t>
      </w:r>
    </w:p>
    <w:p w14:paraId="065F0700" w14:textId="77777777" w:rsidR="00A93CBF" w:rsidRDefault="005E0A0F" w:rsidP="003F12DA">
      <w:pPr>
        <w:pStyle w:val="NormalWeb"/>
        <w:spacing w:line="288" w:lineRule="atLeast"/>
      </w:pPr>
      <w:r>
        <w:t>Total operation and maintenance costs</w:t>
      </w:r>
      <w:bookmarkStart w:id="16" w:name="cp466"/>
      <w:bookmarkEnd w:id="15"/>
      <w:r w:rsidR="008627C3">
        <w:t xml:space="preserve"> include the monthly distribution of stipends/benefits to fellows, tuition payment, and all other operational needs.</w:t>
      </w:r>
    </w:p>
    <w:p w14:paraId="2D94DDB9" w14:textId="77777777" w:rsidR="00FE2D74" w:rsidRDefault="005E0A0F" w:rsidP="00241279">
      <w:r w:rsidRPr="003F12DA">
        <w:t xml:space="preserve">14.  </w:t>
      </w:r>
      <w:r w:rsidRPr="009567F8">
        <w:rPr>
          <w:u w:val="single"/>
        </w:rPr>
        <w:t>Cost to the Federal Government</w:t>
      </w:r>
    </w:p>
    <w:p w14:paraId="57CDE231" w14:textId="627BFD61" w:rsidR="00241279" w:rsidRDefault="00024E84" w:rsidP="00241279">
      <w:r w:rsidRPr="00FE2D74">
        <w:t>No work is done by government employees</w:t>
      </w:r>
      <w:bookmarkStart w:id="17" w:name="cp467"/>
      <w:bookmarkEnd w:id="16"/>
      <w:r w:rsidR="00FE2D74">
        <w:t xml:space="preserve">. </w:t>
      </w:r>
      <w:r w:rsidR="00241279">
        <w:t>The original budget for the 201</w:t>
      </w:r>
      <w:r w:rsidR="00DA0E61">
        <w:t>7</w:t>
      </w:r>
      <w:r w:rsidR="00241279">
        <w:t xml:space="preserve"> evaluation projected honoraria costs for 375 panelists. However, the evaluation was successfully completed with 267 panelists, 206 </w:t>
      </w:r>
      <w:r w:rsidR="00A563EF">
        <w:t xml:space="preserve">(non-government) </w:t>
      </w:r>
      <w:r w:rsidR="00241279">
        <w:t>of which were eligible for an honorarium payment. The panelists who participated in the evaluation and were eligible for an honorarium payment earned $250.00 for their service. Based on this, NDSEG saved a total of $42,250.</w:t>
      </w:r>
    </w:p>
    <w:p w14:paraId="26DFB588" w14:textId="77777777" w:rsidR="00FE2D74" w:rsidRDefault="00FE2D74" w:rsidP="002412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7D7AFE" w14:paraId="3537BB43" w14:textId="77777777" w:rsidTr="00C459BE">
        <w:tc>
          <w:tcPr>
            <w:tcW w:w="9576" w:type="dxa"/>
            <w:gridSpan w:val="7"/>
            <w:shd w:val="clear" w:color="auto" w:fill="auto"/>
          </w:tcPr>
          <w:p w14:paraId="027A9F23" w14:textId="77777777" w:rsidR="007D7AFE" w:rsidRDefault="007D7AFE" w:rsidP="00C459BE">
            <w:pPr>
              <w:pStyle w:val="NormalWeb"/>
              <w:spacing w:line="288" w:lineRule="atLeast"/>
              <w:jc w:val="center"/>
            </w:pPr>
            <w:r>
              <w:t>Operational and Maintenance Costs</w:t>
            </w:r>
          </w:p>
        </w:tc>
      </w:tr>
      <w:tr w:rsidR="007D7AFE" w14:paraId="234543AC" w14:textId="77777777" w:rsidTr="00C459BE">
        <w:tc>
          <w:tcPr>
            <w:tcW w:w="1368" w:type="dxa"/>
            <w:shd w:val="clear" w:color="auto" w:fill="auto"/>
          </w:tcPr>
          <w:p w14:paraId="3617C000" w14:textId="77777777" w:rsidR="007D7AFE" w:rsidRDefault="007D7AFE" w:rsidP="00C459BE">
            <w:pPr>
              <w:pStyle w:val="NormalWeb"/>
              <w:spacing w:line="288" w:lineRule="atLeast"/>
              <w:jc w:val="center"/>
            </w:pPr>
            <w:r>
              <w:t>Equipment</w:t>
            </w:r>
          </w:p>
        </w:tc>
        <w:tc>
          <w:tcPr>
            <w:tcW w:w="1368" w:type="dxa"/>
            <w:shd w:val="clear" w:color="auto" w:fill="auto"/>
          </w:tcPr>
          <w:p w14:paraId="482D957E" w14:textId="77777777" w:rsidR="007D7AFE" w:rsidRDefault="007D7AFE" w:rsidP="00C459BE">
            <w:pPr>
              <w:pStyle w:val="NormalWeb"/>
              <w:spacing w:line="288" w:lineRule="atLeast"/>
              <w:jc w:val="center"/>
            </w:pPr>
            <w:r>
              <w:t>Printing</w:t>
            </w:r>
          </w:p>
        </w:tc>
        <w:tc>
          <w:tcPr>
            <w:tcW w:w="1368" w:type="dxa"/>
            <w:shd w:val="clear" w:color="auto" w:fill="auto"/>
          </w:tcPr>
          <w:p w14:paraId="17CCE648" w14:textId="77777777" w:rsidR="007D7AFE" w:rsidRDefault="007D7AFE" w:rsidP="00C459BE">
            <w:pPr>
              <w:pStyle w:val="NormalWeb"/>
              <w:spacing w:line="288" w:lineRule="atLeast"/>
              <w:jc w:val="center"/>
            </w:pPr>
            <w:r>
              <w:t>Postage</w:t>
            </w:r>
          </w:p>
        </w:tc>
        <w:tc>
          <w:tcPr>
            <w:tcW w:w="1368" w:type="dxa"/>
            <w:shd w:val="clear" w:color="auto" w:fill="auto"/>
          </w:tcPr>
          <w:p w14:paraId="2AAB1407" w14:textId="77777777" w:rsidR="007D7AFE" w:rsidRDefault="007D7AFE" w:rsidP="00C459BE">
            <w:pPr>
              <w:pStyle w:val="NormalWeb"/>
              <w:spacing w:line="288" w:lineRule="atLeast"/>
              <w:jc w:val="center"/>
            </w:pPr>
            <w:r>
              <w:t>Software Purchases</w:t>
            </w:r>
          </w:p>
        </w:tc>
        <w:tc>
          <w:tcPr>
            <w:tcW w:w="1368" w:type="dxa"/>
            <w:shd w:val="clear" w:color="auto" w:fill="auto"/>
          </w:tcPr>
          <w:p w14:paraId="002C090B" w14:textId="77777777" w:rsidR="007D7AFE" w:rsidRDefault="007D7AFE" w:rsidP="00C459BE">
            <w:pPr>
              <w:pStyle w:val="NormalWeb"/>
              <w:spacing w:line="288" w:lineRule="atLeast"/>
              <w:jc w:val="center"/>
            </w:pPr>
            <w:r>
              <w:t>Licensing Costs</w:t>
            </w:r>
          </w:p>
        </w:tc>
        <w:tc>
          <w:tcPr>
            <w:tcW w:w="1368" w:type="dxa"/>
            <w:shd w:val="clear" w:color="auto" w:fill="auto"/>
          </w:tcPr>
          <w:p w14:paraId="34639CD3" w14:textId="77777777" w:rsidR="007D7AFE" w:rsidRDefault="007D7AFE" w:rsidP="00C459BE">
            <w:pPr>
              <w:pStyle w:val="NormalWeb"/>
              <w:spacing w:line="288" w:lineRule="atLeast"/>
              <w:jc w:val="center"/>
            </w:pPr>
            <w:r>
              <w:t>Other</w:t>
            </w:r>
          </w:p>
        </w:tc>
        <w:tc>
          <w:tcPr>
            <w:tcW w:w="1368" w:type="dxa"/>
            <w:shd w:val="clear" w:color="auto" w:fill="auto"/>
          </w:tcPr>
          <w:p w14:paraId="6C841C79" w14:textId="77777777" w:rsidR="007D7AFE" w:rsidRDefault="007D7AFE" w:rsidP="00C459BE">
            <w:pPr>
              <w:pStyle w:val="NormalWeb"/>
              <w:spacing w:line="288" w:lineRule="atLeast"/>
              <w:jc w:val="center"/>
            </w:pPr>
            <w:r>
              <w:t>Total</w:t>
            </w:r>
          </w:p>
        </w:tc>
      </w:tr>
      <w:tr w:rsidR="00D90D68" w14:paraId="237BD182" w14:textId="77777777" w:rsidTr="00C459BE">
        <w:trPr>
          <w:trHeight w:val="674"/>
        </w:trPr>
        <w:tc>
          <w:tcPr>
            <w:tcW w:w="1368" w:type="dxa"/>
            <w:shd w:val="clear" w:color="auto" w:fill="auto"/>
          </w:tcPr>
          <w:p w14:paraId="3341DEBF" w14:textId="77777777" w:rsidR="00D90D68" w:rsidRPr="00DD528F" w:rsidRDefault="00D90D68" w:rsidP="00D90D68">
            <w:r w:rsidRPr="00DD528F">
              <w:t>$2753.90</w:t>
            </w:r>
          </w:p>
        </w:tc>
        <w:tc>
          <w:tcPr>
            <w:tcW w:w="1368" w:type="dxa"/>
            <w:shd w:val="clear" w:color="auto" w:fill="auto"/>
          </w:tcPr>
          <w:p w14:paraId="010B273F" w14:textId="77777777" w:rsidR="00D90D68" w:rsidRPr="00DD528F" w:rsidRDefault="00D90D68" w:rsidP="00D90D68">
            <w:r w:rsidRPr="00DD528F">
              <w:t>0.00</w:t>
            </w:r>
          </w:p>
        </w:tc>
        <w:tc>
          <w:tcPr>
            <w:tcW w:w="1368" w:type="dxa"/>
            <w:shd w:val="clear" w:color="auto" w:fill="auto"/>
          </w:tcPr>
          <w:p w14:paraId="23ED57E8" w14:textId="77777777" w:rsidR="00D90D68" w:rsidRPr="00DD528F" w:rsidRDefault="00D90D68" w:rsidP="00D90D68">
            <w:r w:rsidRPr="00DD528F">
              <w:t>0.00</w:t>
            </w:r>
          </w:p>
        </w:tc>
        <w:tc>
          <w:tcPr>
            <w:tcW w:w="1368" w:type="dxa"/>
            <w:shd w:val="clear" w:color="auto" w:fill="auto"/>
          </w:tcPr>
          <w:p w14:paraId="635225B7" w14:textId="77777777" w:rsidR="00D90D68" w:rsidRPr="00DD528F" w:rsidRDefault="00D90D68" w:rsidP="00D90D68">
            <w:r w:rsidRPr="00DD528F">
              <w:t>$238.59</w:t>
            </w:r>
          </w:p>
        </w:tc>
        <w:tc>
          <w:tcPr>
            <w:tcW w:w="1368" w:type="dxa"/>
            <w:shd w:val="clear" w:color="auto" w:fill="auto"/>
          </w:tcPr>
          <w:p w14:paraId="617DB8EE" w14:textId="77777777" w:rsidR="00D90D68" w:rsidRPr="00DD528F" w:rsidRDefault="00D90D68" w:rsidP="00D90D68">
            <w:r w:rsidRPr="00DD528F">
              <w:t>0.00</w:t>
            </w:r>
          </w:p>
        </w:tc>
        <w:tc>
          <w:tcPr>
            <w:tcW w:w="1368" w:type="dxa"/>
            <w:shd w:val="clear" w:color="auto" w:fill="auto"/>
          </w:tcPr>
          <w:p w14:paraId="2F2C63B8" w14:textId="77777777" w:rsidR="00D90D68" w:rsidRPr="00DD528F" w:rsidRDefault="00D90D68" w:rsidP="00D90D68">
            <w:r w:rsidRPr="00DD528F">
              <w:t>0.00</w:t>
            </w:r>
          </w:p>
        </w:tc>
        <w:tc>
          <w:tcPr>
            <w:tcW w:w="1368" w:type="dxa"/>
            <w:shd w:val="clear" w:color="auto" w:fill="auto"/>
          </w:tcPr>
          <w:p w14:paraId="54FA5AD7" w14:textId="77777777" w:rsidR="00D90D68" w:rsidRDefault="00D90D68" w:rsidP="00D90D68">
            <w:r w:rsidRPr="00DD528F">
              <w:t>$2992.49</w:t>
            </w:r>
          </w:p>
        </w:tc>
      </w:tr>
    </w:tbl>
    <w:p w14:paraId="6021352D" w14:textId="77777777" w:rsidR="007D7AFE" w:rsidRDefault="007D7AFE" w:rsidP="00D90D68">
      <w:pPr>
        <w:pStyle w:val="NormalWeb"/>
        <w:spacing w:line="288" w:lineRule="atLeast"/>
        <w:ind w:left="360"/>
        <w:rPr>
          <w:highlight w:val="yellow"/>
        </w:rPr>
      </w:pPr>
    </w:p>
    <w:p w14:paraId="7501EE17" w14:textId="77777777" w:rsidR="003F12DA" w:rsidRPr="00241279" w:rsidRDefault="003F12DA" w:rsidP="00D90D68">
      <w:pPr>
        <w:pStyle w:val="NormalWeb"/>
        <w:spacing w:line="288" w:lineRule="atLeast"/>
        <w:ind w:left="360"/>
        <w:rPr>
          <w:highlight w:val="yellow"/>
        </w:rPr>
      </w:pPr>
    </w:p>
    <w:tbl>
      <w:tblPr>
        <w:tblStyle w:val="TableGrid"/>
        <w:tblW w:w="0" w:type="auto"/>
        <w:tblLook w:val="04A0" w:firstRow="1" w:lastRow="0" w:firstColumn="1" w:lastColumn="0" w:noHBand="0" w:noVBand="1"/>
      </w:tblPr>
      <w:tblGrid>
        <w:gridCol w:w="3430"/>
        <w:gridCol w:w="1137"/>
        <w:gridCol w:w="4991"/>
      </w:tblGrid>
      <w:tr w:rsidR="00D90D68" w:rsidRPr="00007258" w14:paraId="4ACA10BA" w14:textId="77777777" w:rsidTr="00171BD2">
        <w:tc>
          <w:tcPr>
            <w:tcW w:w="3430" w:type="dxa"/>
          </w:tcPr>
          <w:p w14:paraId="6617D407" w14:textId="77777777" w:rsidR="00D90D68" w:rsidRPr="00D90D68" w:rsidRDefault="00D90D68" w:rsidP="00D90D68">
            <w:pPr>
              <w:pStyle w:val="ListParagraph"/>
              <w:numPr>
                <w:ilvl w:val="0"/>
                <w:numId w:val="36"/>
              </w:numPr>
              <w:tabs>
                <w:tab w:val="center" w:pos="4680"/>
                <w:tab w:val="right" w:pos="9360"/>
              </w:tabs>
              <w:rPr>
                <w:b/>
              </w:rPr>
            </w:pPr>
            <w:r w:rsidRPr="00D90D68">
              <w:rPr>
                <w:b/>
              </w:rPr>
              <w:t>Equipment/Software</w:t>
            </w:r>
          </w:p>
        </w:tc>
        <w:tc>
          <w:tcPr>
            <w:tcW w:w="1137" w:type="dxa"/>
          </w:tcPr>
          <w:p w14:paraId="3B2DEB22" w14:textId="77777777" w:rsidR="00D90D68" w:rsidRPr="00007258" w:rsidRDefault="00D90D68" w:rsidP="00021F9D">
            <w:pPr>
              <w:jc w:val="center"/>
              <w:rPr>
                <w:b/>
              </w:rPr>
            </w:pPr>
            <w:r w:rsidRPr="00007258">
              <w:rPr>
                <w:b/>
              </w:rPr>
              <w:t>Quantity</w:t>
            </w:r>
          </w:p>
        </w:tc>
        <w:tc>
          <w:tcPr>
            <w:tcW w:w="4991" w:type="dxa"/>
          </w:tcPr>
          <w:p w14:paraId="6BA241FA" w14:textId="77777777" w:rsidR="00D90D68" w:rsidRPr="00007258" w:rsidRDefault="00D90D68" w:rsidP="00021F9D">
            <w:pPr>
              <w:rPr>
                <w:b/>
              </w:rPr>
            </w:pPr>
            <w:r w:rsidRPr="00007258">
              <w:rPr>
                <w:b/>
              </w:rPr>
              <w:t>Function</w:t>
            </w:r>
          </w:p>
        </w:tc>
      </w:tr>
      <w:tr w:rsidR="00D90D68" w14:paraId="70C45D90" w14:textId="77777777" w:rsidTr="00171BD2">
        <w:tc>
          <w:tcPr>
            <w:tcW w:w="3430" w:type="dxa"/>
          </w:tcPr>
          <w:p w14:paraId="44F0819E" w14:textId="77777777" w:rsidR="00D90D68" w:rsidRPr="000E7523" w:rsidRDefault="00D90D68" w:rsidP="00021F9D">
            <w:r w:rsidRPr="000E7523">
              <w:t xml:space="preserve">File Server </w:t>
            </w:r>
          </w:p>
        </w:tc>
        <w:tc>
          <w:tcPr>
            <w:tcW w:w="1137" w:type="dxa"/>
          </w:tcPr>
          <w:p w14:paraId="59A96044" w14:textId="77777777" w:rsidR="00D90D68" w:rsidRPr="000E7523" w:rsidRDefault="00D90D68" w:rsidP="00021F9D">
            <w:pPr>
              <w:jc w:val="center"/>
            </w:pPr>
            <w:r w:rsidRPr="000E7523">
              <w:t>2</w:t>
            </w:r>
          </w:p>
        </w:tc>
        <w:tc>
          <w:tcPr>
            <w:tcW w:w="4991" w:type="dxa"/>
          </w:tcPr>
          <w:p w14:paraId="51DEF0AF" w14:textId="77777777" w:rsidR="00D90D68" w:rsidRPr="000E7523" w:rsidRDefault="00D90D68" w:rsidP="00021F9D">
            <w:r w:rsidRPr="000E7523">
              <w:t>Storage of documents for the NDSEG program</w:t>
            </w:r>
          </w:p>
        </w:tc>
      </w:tr>
      <w:tr w:rsidR="00D90D68" w14:paraId="57577C6E" w14:textId="77777777" w:rsidTr="009567F8">
        <w:trPr>
          <w:trHeight w:val="341"/>
        </w:trPr>
        <w:tc>
          <w:tcPr>
            <w:tcW w:w="3430" w:type="dxa"/>
            <w:shd w:val="clear" w:color="auto" w:fill="auto"/>
          </w:tcPr>
          <w:p w14:paraId="38463E0C" w14:textId="77777777" w:rsidR="00D90D68" w:rsidRPr="000E7523" w:rsidRDefault="00D90D68" w:rsidP="00021F9D">
            <w:r w:rsidRPr="000E7523">
              <w:t>Backup Server</w:t>
            </w:r>
          </w:p>
        </w:tc>
        <w:tc>
          <w:tcPr>
            <w:tcW w:w="1137" w:type="dxa"/>
            <w:shd w:val="clear" w:color="auto" w:fill="auto"/>
          </w:tcPr>
          <w:p w14:paraId="79C71903" w14:textId="77777777" w:rsidR="00D90D68" w:rsidRPr="000E7523" w:rsidRDefault="00D90D68" w:rsidP="00021F9D">
            <w:pPr>
              <w:jc w:val="center"/>
            </w:pPr>
            <w:r w:rsidRPr="000E7523">
              <w:t>1</w:t>
            </w:r>
          </w:p>
        </w:tc>
        <w:tc>
          <w:tcPr>
            <w:tcW w:w="4991" w:type="dxa"/>
            <w:shd w:val="clear" w:color="auto" w:fill="auto"/>
          </w:tcPr>
          <w:p w14:paraId="317B040F" w14:textId="5542D773" w:rsidR="00D90D68" w:rsidRPr="000E7523" w:rsidRDefault="00D90D68">
            <w:r w:rsidRPr="000E7523">
              <w:t>Backups documents and database data</w:t>
            </w:r>
          </w:p>
        </w:tc>
      </w:tr>
      <w:tr w:rsidR="00D90D68" w14:paraId="138A242A" w14:textId="77777777" w:rsidTr="00171BD2">
        <w:tc>
          <w:tcPr>
            <w:tcW w:w="3430" w:type="dxa"/>
            <w:shd w:val="clear" w:color="auto" w:fill="auto"/>
          </w:tcPr>
          <w:p w14:paraId="524D5EA7" w14:textId="77777777" w:rsidR="00D90D68" w:rsidRPr="000E7523" w:rsidRDefault="00D90D68" w:rsidP="00021F9D">
            <w:r w:rsidRPr="000E7523">
              <w:t>Domain Controller</w:t>
            </w:r>
          </w:p>
        </w:tc>
        <w:tc>
          <w:tcPr>
            <w:tcW w:w="1137" w:type="dxa"/>
            <w:shd w:val="clear" w:color="auto" w:fill="auto"/>
          </w:tcPr>
          <w:p w14:paraId="7D350C93" w14:textId="77777777" w:rsidR="00D90D68" w:rsidRPr="000E7523" w:rsidRDefault="00D90D68" w:rsidP="00021F9D">
            <w:pPr>
              <w:jc w:val="center"/>
            </w:pPr>
            <w:r w:rsidRPr="000E7523">
              <w:t>1</w:t>
            </w:r>
          </w:p>
        </w:tc>
        <w:tc>
          <w:tcPr>
            <w:tcW w:w="4991" w:type="dxa"/>
            <w:shd w:val="clear" w:color="auto" w:fill="auto"/>
          </w:tcPr>
          <w:p w14:paraId="7730506C" w14:textId="77777777" w:rsidR="00D90D68" w:rsidRPr="000E7523" w:rsidRDefault="00D90D68" w:rsidP="00021F9D">
            <w:r w:rsidRPr="000E7523">
              <w:t>Primary (Software Included)</w:t>
            </w:r>
          </w:p>
        </w:tc>
      </w:tr>
      <w:tr w:rsidR="00D90D68" w14:paraId="70523F19" w14:textId="77777777" w:rsidTr="00171BD2">
        <w:tc>
          <w:tcPr>
            <w:tcW w:w="3430" w:type="dxa"/>
            <w:shd w:val="clear" w:color="auto" w:fill="auto"/>
          </w:tcPr>
          <w:p w14:paraId="359A2C83" w14:textId="77777777" w:rsidR="00D90D68" w:rsidRPr="000E7523" w:rsidRDefault="00D90D68" w:rsidP="00021F9D">
            <w:r w:rsidRPr="000E7523">
              <w:t>Domain Controller</w:t>
            </w:r>
          </w:p>
        </w:tc>
        <w:tc>
          <w:tcPr>
            <w:tcW w:w="1137" w:type="dxa"/>
            <w:shd w:val="clear" w:color="auto" w:fill="auto"/>
          </w:tcPr>
          <w:p w14:paraId="76AA5B7A" w14:textId="77777777" w:rsidR="00D90D68" w:rsidRPr="000E7523" w:rsidRDefault="00D90D68" w:rsidP="00021F9D">
            <w:pPr>
              <w:jc w:val="center"/>
            </w:pPr>
            <w:r w:rsidRPr="000E7523">
              <w:t>1</w:t>
            </w:r>
          </w:p>
        </w:tc>
        <w:tc>
          <w:tcPr>
            <w:tcW w:w="4991" w:type="dxa"/>
            <w:shd w:val="clear" w:color="auto" w:fill="auto"/>
          </w:tcPr>
          <w:p w14:paraId="008458E0" w14:textId="77777777" w:rsidR="00D90D68" w:rsidRPr="000E7523" w:rsidRDefault="00D90D68" w:rsidP="00021F9D">
            <w:r w:rsidRPr="000E7523">
              <w:t>Secondary (Software included)</w:t>
            </w:r>
          </w:p>
        </w:tc>
      </w:tr>
      <w:tr w:rsidR="00D90D68" w14:paraId="7F68A2E7" w14:textId="77777777" w:rsidTr="00171BD2">
        <w:tc>
          <w:tcPr>
            <w:tcW w:w="3430" w:type="dxa"/>
            <w:shd w:val="clear" w:color="auto" w:fill="auto"/>
          </w:tcPr>
          <w:p w14:paraId="1E4B84FE" w14:textId="77777777" w:rsidR="00D90D68" w:rsidRPr="000E7523" w:rsidRDefault="00D90D68" w:rsidP="00021F9D">
            <w:r w:rsidRPr="000E7523">
              <w:t>Staging Server (Test)</w:t>
            </w:r>
          </w:p>
        </w:tc>
        <w:tc>
          <w:tcPr>
            <w:tcW w:w="1137" w:type="dxa"/>
            <w:shd w:val="clear" w:color="auto" w:fill="auto"/>
          </w:tcPr>
          <w:p w14:paraId="5239BA4C" w14:textId="77777777" w:rsidR="00D90D68" w:rsidRPr="000E7523" w:rsidRDefault="00D90D68" w:rsidP="00021F9D">
            <w:pPr>
              <w:jc w:val="center"/>
            </w:pPr>
            <w:r w:rsidRPr="000E7523">
              <w:t>1</w:t>
            </w:r>
          </w:p>
        </w:tc>
        <w:tc>
          <w:tcPr>
            <w:tcW w:w="4991" w:type="dxa"/>
            <w:shd w:val="clear" w:color="auto" w:fill="auto"/>
          </w:tcPr>
          <w:p w14:paraId="0BACCE07" w14:textId="77777777" w:rsidR="00D90D68" w:rsidRPr="000E7523" w:rsidRDefault="00D90D68" w:rsidP="00021F9D">
            <w:r w:rsidRPr="000E7523">
              <w:t xml:space="preserve">Test server for application development </w:t>
            </w:r>
          </w:p>
        </w:tc>
      </w:tr>
      <w:tr w:rsidR="00D90D68" w14:paraId="755481D6" w14:textId="77777777" w:rsidTr="00171BD2">
        <w:tc>
          <w:tcPr>
            <w:tcW w:w="3430" w:type="dxa"/>
            <w:shd w:val="clear" w:color="auto" w:fill="auto"/>
          </w:tcPr>
          <w:p w14:paraId="6C3E793E" w14:textId="77777777" w:rsidR="00D90D68" w:rsidRPr="000E7523" w:rsidRDefault="00D90D68" w:rsidP="00021F9D">
            <w:r w:rsidRPr="000E7523">
              <w:t>Front End Web Servers</w:t>
            </w:r>
          </w:p>
        </w:tc>
        <w:tc>
          <w:tcPr>
            <w:tcW w:w="1137" w:type="dxa"/>
            <w:shd w:val="clear" w:color="auto" w:fill="auto"/>
          </w:tcPr>
          <w:p w14:paraId="33BE2D25" w14:textId="77777777" w:rsidR="00D90D68" w:rsidRPr="000E7523" w:rsidRDefault="00D90D68" w:rsidP="00021F9D">
            <w:pPr>
              <w:jc w:val="center"/>
            </w:pPr>
            <w:r w:rsidRPr="000E7523">
              <w:t>2</w:t>
            </w:r>
          </w:p>
        </w:tc>
        <w:tc>
          <w:tcPr>
            <w:tcW w:w="4991" w:type="dxa"/>
            <w:shd w:val="clear" w:color="auto" w:fill="auto"/>
          </w:tcPr>
          <w:p w14:paraId="21D6B464" w14:textId="77777777" w:rsidR="00D90D68" w:rsidRPr="000E7523" w:rsidRDefault="00D90D68" w:rsidP="00021F9D">
            <w:r w:rsidRPr="000E7523">
              <w:t>Front end webservers</w:t>
            </w:r>
          </w:p>
          <w:p w14:paraId="44D332E6" w14:textId="77777777" w:rsidR="00D90D68" w:rsidRPr="000E7523" w:rsidRDefault="00D90D68" w:rsidP="00021F9D"/>
        </w:tc>
      </w:tr>
      <w:tr w:rsidR="00D90D68" w:rsidRPr="004A6758" w14:paraId="391B08E4" w14:textId="77777777" w:rsidTr="00171BD2">
        <w:tc>
          <w:tcPr>
            <w:tcW w:w="3430" w:type="dxa"/>
            <w:shd w:val="clear" w:color="auto" w:fill="auto"/>
          </w:tcPr>
          <w:p w14:paraId="4605D83E" w14:textId="77777777" w:rsidR="00D90D68" w:rsidRPr="000E7523" w:rsidRDefault="00D90D68" w:rsidP="00021F9D">
            <w:r w:rsidRPr="000E7523">
              <w:t>Virtual Machine Server</w:t>
            </w:r>
          </w:p>
        </w:tc>
        <w:tc>
          <w:tcPr>
            <w:tcW w:w="1137" w:type="dxa"/>
            <w:shd w:val="clear" w:color="auto" w:fill="auto"/>
          </w:tcPr>
          <w:p w14:paraId="694592C5" w14:textId="77777777" w:rsidR="00D90D68" w:rsidRPr="000E7523" w:rsidRDefault="00D90D68" w:rsidP="00021F9D">
            <w:pPr>
              <w:jc w:val="center"/>
            </w:pPr>
            <w:r w:rsidRPr="000E7523">
              <w:t>1</w:t>
            </w:r>
          </w:p>
        </w:tc>
        <w:tc>
          <w:tcPr>
            <w:tcW w:w="4991" w:type="dxa"/>
            <w:shd w:val="clear" w:color="auto" w:fill="auto"/>
          </w:tcPr>
          <w:p w14:paraId="2D1C7E03" w14:textId="77777777" w:rsidR="00D90D68" w:rsidRPr="000E7523" w:rsidRDefault="00D90D68" w:rsidP="00021F9D"/>
        </w:tc>
      </w:tr>
      <w:tr w:rsidR="00D90D68" w14:paraId="03903DE2" w14:textId="77777777" w:rsidTr="00171BD2">
        <w:tc>
          <w:tcPr>
            <w:tcW w:w="3430" w:type="dxa"/>
            <w:shd w:val="clear" w:color="auto" w:fill="auto"/>
          </w:tcPr>
          <w:p w14:paraId="5D30D776" w14:textId="77777777" w:rsidR="00D90D68" w:rsidRPr="000E7523" w:rsidRDefault="00D90D68" w:rsidP="00021F9D">
            <w:r w:rsidRPr="000E7523">
              <w:t>Back End Servers</w:t>
            </w:r>
          </w:p>
        </w:tc>
        <w:tc>
          <w:tcPr>
            <w:tcW w:w="1137" w:type="dxa"/>
            <w:shd w:val="clear" w:color="auto" w:fill="auto"/>
          </w:tcPr>
          <w:p w14:paraId="35C6B265" w14:textId="77777777" w:rsidR="00D90D68" w:rsidRPr="000E7523" w:rsidRDefault="00D90D68" w:rsidP="00021F9D">
            <w:pPr>
              <w:jc w:val="center"/>
            </w:pPr>
            <w:r w:rsidRPr="000E7523">
              <w:t>2</w:t>
            </w:r>
          </w:p>
        </w:tc>
        <w:tc>
          <w:tcPr>
            <w:tcW w:w="4991" w:type="dxa"/>
            <w:shd w:val="clear" w:color="auto" w:fill="auto"/>
          </w:tcPr>
          <w:p w14:paraId="22B68F14" w14:textId="77777777" w:rsidR="00D90D68" w:rsidRPr="000E7523" w:rsidRDefault="00D90D68" w:rsidP="00021F9D">
            <w:r w:rsidRPr="000E7523">
              <w:t>MySQL and Storage</w:t>
            </w:r>
          </w:p>
          <w:p w14:paraId="509BC98E" w14:textId="77777777" w:rsidR="00D90D68" w:rsidRPr="000E7523" w:rsidRDefault="00D90D68" w:rsidP="00021F9D"/>
        </w:tc>
      </w:tr>
      <w:tr w:rsidR="00D90D68" w14:paraId="5F40DB2E" w14:textId="77777777" w:rsidTr="00171BD2">
        <w:tc>
          <w:tcPr>
            <w:tcW w:w="3430" w:type="dxa"/>
            <w:shd w:val="clear" w:color="auto" w:fill="auto"/>
          </w:tcPr>
          <w:p w14:paraId="4FA2ACCA" w14:textId="77777777" w:rsidR="00D90D68" w:rsidRPr="000E7523" w:rsidRDefault="00D90D68" w:rsidP="00021F9D">
            <w:r w:rsidRPr="000E7523">
              <w:t>Load Balancer</w:t>
            </w:r>
          </w:p>
        </w:tc>
        <w:tc>
          <w:tcPr>
            <w:tcW w:w="1137" w:type="dxa"/>
            <w:shd w:val="clear" w:color="auto" w:fill="auto"/>
          </w:tcPr>
          <w:p w14:paraId="2ECBA93C" w14:textId="77777777" w:rsidR="00D90D68" w:rsidRPr="000E7523" w:rsidRDefault="00D90D68" w:rsidP="00021F9D">
            <w:pPr>
              <w:jc w:val="center"/>
            </w:pPr>
            <w:r w:rsidRPr="000E7523">
              <w:t>1</w:t>
            </w:r>
          </w:p>
        </w:tc>
        <w:tc>
          <w:tcPr>
            <w:tcW w:w="4991" w:type="dxa"/>
            <w:shd w:val="clear" w:color="auto" w:fill="auto"/>
          </w:tcPr>
          <w:p w14:paraId="56283332" w14:textId="77777777" w:rsidR="00D90D68" w:rsidRPr="000E7523" w:rsidRDefault="00D90D68" w:rsidP="00021F9D"/>
        </w:tc>
      </w:tr>
      <w:tr w:rsidR="00D90D68" w14:paraId="2498DDC6" w14:textId="77777777" w:rsidTr="00171BD2">
        <w:tc>
          <w:tcPr>
            <w:tcW w:w="3430" w:type="dxa"/>
            <w:shd w:val="clear" w:color="auto" w:fill="auto"/>
          </w:tcPr>
          <w:p w14:paraId="562561A1" w14:textId="77777777" w:rsidR="00D90D68" w:rsidRPr="000E7523" w:rsidRDefault="00D90D68" w:rsidP="00021F9D">
            <w:r w:rsidRPr="000E7523">
              <w:t>SpamTitan</w:t>
            </w:r>
          </w:p>
        </w:tc>
        <w:tc>
          <w:tcPr>
            <w:tcW w:w="1137" w:type="dxa"/>
            <w:shd w:val="clear" w:color="auto" w:fill="auto"/>
          </w:tcPr>
          <w:p w14:paraId="731F493B" w14:textId="77777777" w:rsidR="00D90D68" w:rsidRPr="000E7523" w:rsidRDefault="00D90D68" w:rsidP="00021F9D">
            <w:pPr>
              <w:jc w:val="center"/>
            </w:pPr>
            <w:r w:rsidRPr="000E7523">
              <w:t>1</w:t>
            </w:r>
          </w:p>
        </w:tc>
        <w:tc>
          <w:tcPr>
            <w:tcW w:w="4991" w:type="dxa"/>
            <w:shd w:val="clear" w:color="auto" w:fill="auto"/>
          </w:tcPr>
          <w:p w14:paraId="12496448" w14:textId="77777777" w:rsidR="00D90D68" w:rsidRPr="000E7523" w:rsidRDefault="00D90D68" w:rsidP="00021F9D"/>
        </w:tc>
      </w:tr>
      <w:tr w:rsidR="00D90D68" w14:paraId="6477EBBB" w14:textId="77777777" w:rsidTr="00171BD2">
        <w:tc>
          <w:tcPr>
            <w:tcW w:w="3430" w:type="dxa"/>
            <w:shd w:val="clear" w:color="auto" w:fill="auto"/>
          </w:tcPr>
          <w:p w14:paraId="1780B093" w14:textId="77777777" w:rsidR="00D90D68" w:rsidRPr="000E7523" w:rsidRDefault="00D90D68" w:rsidP="00021F9D">
            <w:r w:rsidRPr="000E7523">
              <w:t>Phone System (PBX)</w:t>
            </w:r>
          </w:p>
        </w:tc>
        <w:tc>
          <w:tcPr>
            <w:tcW w:w="1137" w:type="dxa"/>
            <w:shd w:val="clear" w:color="auto" w:fill="auto"/>
          </w:tcPr>
          <w:p w14:paraId="3F02C15B" w14:textId="77777777" w:rsidR="00D90D68" w:rsidRPr="000E7523" w:rsidRDefault="00D90D68" w:rsidP="00021F9D">
            <w:pPr>
              <w:jc w:val="center"/>
            </w:pPr>
            <w:r w:rsidRPr="000E7523">
              <w:t>2</w:t>
            </w:r>
          </w:p>
        </w:tc>
        <w:tc>
          <w:tcPr>
            <w:tcW w:w="4991" w:type="dxa"/>
            <w:shd w:val="clear" w:color="auto" w:fill="auto"/>
          </w:tcPr>
          <w:p w14:paraId="67C0A49C" w14:textId="77777777" w:rsidR="00D90D68" w:rsidRPr="000E7523" w:rsidRDefault="00D90D68" w:rsidP="00021F9D"/>
        </w:tc>
      </w:tr>
      <w:tr w:rsidR="00D90D68" w14:paraId="4D22B68E" w14:textId="77777777" w:rsidTr="00171BD2">
        <w:tc>
          <w:tcPr>
            <w:tcW w:w="3430" w:type="dxa"/>
            <w:shd w:val="clear" w:color="auto" w:fill="auto"/>
          </w:tcPr>
          <w:p w14:paraId="679B56D3" w14:textId="77777777" w:rsidR="00D90D68" w:rsidRPr="000E7523" w:rsidRDefault="00D90D68" w:rsidP="00021F9D">
            <w:r w:rsidRPr="000E7523">
              <w:t>Firewall</w:t>
            </w:r>
          </w:p>
        </w:tc>
        <w:tc>
          <w:tcPr>
            <w:tcW w:w="1137" w:type="dxa"/>
            <w:shd w:val="clear" w:color="auto" w:fill="auto"/>
          </w:tcPr>
          <w:p w14:paraId="4D5EBA16" w14:textId="77777777" w:rsidR="00D90D68" w:rsidRPr="000E7523" w:rsidRDefault="00D90D68" w:rsidP="00021F9D">
            <w:pPr>
              <w:jc w:val="center"/>
            </w:pPr>
            <w:r w:rsidRPr="000E7523">
              <w:t>1</w:t>
            </w:r>
          </w:p>
        </w:tc>
        <w:tc>
          <w:tcPr>
            <w:tcW w:w="4991" w:type="dxa"/>
            <w:shd w:val="clear" w:color="auto" w:fill="auto"/>
          </w:tcPr>
          <w:p w14:paraId="4615CB3D" w14:textId="77777777" w:rsidR="00D90D68" w:rsidRPr="000E7523" w:rsidRDefault="00D90D68" w:rsidP="00021F9D">
            <w:r w:rsidRPr="000E7523">
              <w:t>Includes Software</w:t>
            </w:r>
          </w:p>
        </w:tc>
      </w:tr>
      <w:tr w:rsidR="00D90D68" w14:paraId="79B341F7" w14:textId="77777777" w:rsidTr="00171BD2">
        <w:tc>
          <w:tcPr>
            <w:tcW w:w="3430" w:type="dxa"/>
            <w:shd w:val="clear" w:color="auto" w:fill="auto"/>
          </w:tcPr>
          <w:p w14:paraId="47C245CB" w14:textId="77777777" w:rsidR="00D90D68" w:rsidRPr="000E7523" w:rsidRDefault="00D90D68" w:rsidP="00021F9D">
            <w:r w:rsidRPr="000E7523">
              <w:t>Exchange Server</w:t>
            </w:r>
          </w:p>
        </w:tc>
        <w:tc>
          <w:tcPr>
            <w:tcW w:w="1137" w:type="dxa"/>
            <w:shd w:val="clear" w:color="auto" w:fill="auto"/>
          </w:tcPr>
          <w:p w14:paraId="02FC5F48" w14:textId="77777777" w:rsidR="00D90D68" w:rsidRPr="000E7523" w:rsidRDefault="00D90D68" w:rsidP="00021F9D">
            <w:pPr>
              <w:jc w:val="center"/>
            </w:pPr>
          </w:p>
        </w:tc>
        <w:tc>
          <w:tcPr>
            <w:tcW w:w="4991" w:type="dxa"/>
            <w:shd w:val="clear" w:color="auto" w:fill="auto"/>
          </w:tcPr>
          <w:p w14:paraId="26DFFB2A" w14:textId="77777777" w:rsidR="00D90D68" w:rsidRPr="000E7523" w:rsidRDefault="00D90D68" w:rsidP="00021F9D">
            <w:r w:rsidRPr="000E7523">
              <w:t>Includes Software</w:t>
            </w:r>
          </w:p>
        </w:tc>
      </w:tr>
      <w:tr w:rsidR="00D90D68" w14:paraId="28F3E6D3" w14:textId="77777777" w:rsidTr="00171BD2">
        <w:tc>
          <w:tcPr>
            <w:tcW w:w="3430" w:type="dxa"/>
            <w:shd w:val="clear" w:color="auto" w:fill="auto"/>
          </w:tcPr>
          <w:p w14:paraId="6CF68B0D" w14:textId="77777777" w:rsidR="00D90D68" w:rsidRPr="000E7523" w:rsidRDefault="00D90D68" w:rsidP="00021F9D">
            <w:r w:rsidRPr="000E7523">
              <w:t>Remove Server</w:t>
            </w:r>
          </w:p>
        </w:tc>
        <w:tc>
          <w:tcPr>
            <w:tcW w:w="1137" w:type="dxa"/>
            <w:shd w:val="clear" w:color="auto" w:fill="auto"/>
          </w:tcPr>
          <w:p w14:paraId="49416855" w14:textId="77777777" w:rsidR="00D90D68" w:rsidRPr="000E7523" w:rsidRDefault="00D90D68" w:rsidP="00021F9D">
            <w:pPr>
              <w:jc w:val="center"/>
            </w:pPr>
            <w:r w:rsidRPr="000E7523">
              <w:t>1</w:t>
            </w:r>
          </w:p>
        </w:tc>
        <w:tc>
          <w:tcPr>
            <w:tcW w:w="4991" w:type="dxa"/>
            <w:shd w:val="clear" w:color="auto" w:fill="auto"/>
          </w:tcPr>
          <w:p w14:paraId="6D4C7365" w14:textId="77777777" w:rsidR="00D90D68" w:rsidRPr="000E7523" w:rsidRDefault="00D90D68" w:rsidP="00021F9D"/>
        </w:tc>
      </w:tr>
      <w:tr w:rsidR="00D90D68" w14:paraId="508787EE" w14:textId="77777777" w:rsidTr="00171BD2">
        <w:tc>
          <w:tcPr>
            <w:tcW w:w="3430" w:type="dxa"/>
            <w:shd w:val="clear" w:color="auto" w:fill="auto"/>
          </w:tcPr>
          <w:p w14:paraId="2FEAED51" w14:textId="77777777" w:rsidR="00D90D68" w:rsidRPr="000E7523" w:rsidRDefault="00D90D68" w:rsidP="00021F9D">
            <w:r w:rsidRPr="000E7523">
              <w:t>Microsoft Office</w:t>
            </w:r>
          </w:p>
        </w:tc>
        <w:tc>
          <w:tcPr>
            <w:tcW w:w="1137" w:type="dxa"/>
            <w:shd w:val="clear" w:color="auto" w:fill="auto"/>
          </w:tcPr>
          <w:p w14:paraId="629F0CE6" w14:textId="77777777" w:rsidR="00D90D68" w:rsidRPr="000E7523" w:rsidRDefault="00D90D68" w:rsidP="00021F9D">
            <w:pPr>
              <w:jc w:val="center"/>
            </w:pPr>
            <w:r w:rsidRPr="000E7523">
              <w:t>2</w:t>
            </w:r>
          </w:p>
        </w:tc>
        <w:tc>
          <w:tcPr>
            <w:tcW w:w="4991" w:type="dxa"/>
            <w:shd w:val="clear" w:color="auto" w:fill="auto"/>
          </w:tcPr>
          <w:p w14:paraId="0ABEB08B" w14:textId="77777777" w:rsidR="00D90D68" w:rsidRPr="000E7523" w:rsidRDefault="00D90D68" w:rsidP="00021F9D">
            <w:r w:rsidRPr="000E7523">
              <w:t>Included in PC/Laptop Purchase Price</w:t>
            </w:r>
          </w:p>
        </w:tc>
      </w:tr>
      <w:tr w:rsidR="00D90D68" w14:paraId="37AB6152" w14:textId="77777777" w:rsidTr="00171BD2">
        <w:tc>
          <w:tcPr>
            <w:tcW w:w="3430" w:type="dxa"/>
            <w:shd w:val="clear" w:color="auto" w:fill="auto"/>
          </w:tcPr>
          <w:p w14:paraId="7A76A194" w14:textId="77777777" w:rsidR="00D90D68" w:rsidRPr="000E7523" w:rsidRDefault="00D90D68" w:rsidP="00021F9D">
            <w:r w:rsidRPr="000E7523">
              <w:t>Windows 7/10</w:t>
            </w:r>
          </w:p>
        </w:tc>
        <w:tc>
          <w:tcPr>
            <w:tcW w:w="1137" w:type="dxa"/>
            <w:shd w:val="clear" w:color="auto" w:fill="auto"/>
          </w:tcPr>
          <w:p w14:paraId="3421AF17" w14:textId="77777777" w:rsidR="00D90D68" w:rsidRPr="000E7523" w:rsidRDefault="00D90D68" w:rsidP="00021F9D">
            <w:pPr>
              <w:jc w:val="center"/>
            </w:pPr>
            <w:r w:rsidRPr="000E7523">
              <w:t>2</w:t>
            </w:r>
          </w:p>
        </w:tc>
        <w:tc>
          <w:tcPr>
            <w:tcW w:w="4991" w:type="dxa"/>
            <w:shd w:val="clear" w:color="auto" w:fill="auto"/>
          </w:tcPr>
          <w:p w14:paraId="0B46D6CE" w14:textId="77777777" w:rsidR="00D90D68" w:rsidRPr="000E7523" w:rsidRDefault="00D90D68" w:rsidP="00021F9D">
            <w:r w:rsidRPr="000E7523">
              <w:t>Included in PC/Laptop Purchase Price</w:t>
            </w:r>
          </w:p>
        </w:tc>
      </w:tr>
      <w:tr w:rsidR="00D90D68" w14:paraId="132008C7" w14:textId="77777777" w:rsidTr="00171BD2">
        <w:tc>
          <w:tcPr>
            <w:tcW w:w="3430" w:type="dxa"/>
            <w:shd w:val="clear" w:color="auto" w:fill="auto"/>
          </w:tcPr>
          <w:p w14:paraId="44C16161" w14:textId="77777777" w:rsidR="00D90D68" w:rsidRPr="000E7523" w:rsidRDefault="00D90D68" w:rsidP="00021F9D">
            <w:r w:rsidRPr="000E7523">
              <w:t xml:space="preserve">SpamTitan </w:t>
            </w:r>
          </w:p>
        </w:tc>
        <w:tc>
          <w:tcPr>
            <w:tcW w:w="1137" w:type="dxa"/>
            <w:shd w:val="clear" w:color="auto" w:fill="auto"/>
          </w:tcPr>
          <w:p w14:paraId="49C190DE" w14:textId="77777777" w:rsidR="00D90D68" w:rsidRPr="000E7523" w:rsidRDefault="00D90D68" w:rsidP="00021F9D">
            <w:pPr>
              <w:jc w:val="center"/>
            </w:pPr>
          </w:p>
        </w:tc>
        <w:tc>
          <w:tcPr>
            <w:tcW w:w="4991" w:type="dxa"/>
            <w:shd w:val="clear" w:color="auto" w:fill="auto"/>
          </w:tcPr>
          <w:p w14:paraId="21DF6B31" w14:textId="77777777" w:rsidR="00D90D68" w:rsidRPr="000E7523" w:rsidRDefault="00D90D68" w:rsidP="00021F9D">
            <w:r w:rsidRPr="000E7523">
              <w:t>Software</w:t>
            </w:r>
          </w:p>
        </w:tc>
      </w:tr>
      <w:tr w:rsidR="00D90D68" w:rsidRPr="009010CA" w14:paraId="32BB8AD8" w14:textId="77777777" w:rsidTr="00171BD2">
        <w:tc>
          <w:tcPr>
            <w:tcW w:w="3430" w:type="dxa"/>
            <w:shd w:val="clear" w:color="auto" w:fill="auto"/>
          </w:tcPr>
          <w:p w14:paraId="4EFD62D4" w14:textId="77777777" w:rsidR="00D90D68" w:rsidRPr="000E7523" w:rsidRDefault="00D90D68" w:rsidP="00021F9D">
            <w:r w:rsidRPr="000E7523">
              <w:t>PC</w:t>
            </w:r>
          </w:p>
        </w:tc>
        <w:tc>
          <w:tcPr>
            <w:tcW w:w="1137" w:type="dxa"/>
            <w:shd w:val="clear" w:color="auto" w:fill="auto"/>
          </w:tcPr>
          <w:p w14:paraId="69C5431E" w14:textId="77777777" w:rsidR="00D90D68" w:rsidRPr="000E7523" w:rsidRDefault="00D90D68" w:rsidP="00021F9D">
            <w:pPr>
              <w:jc w:val="center"/>
            </w:pPr>
            <w:r w:rsidRPr="000E7523">
              <w:t>1</w:t>
            </w:r>
          </w:p>
        </w:tc>
        <w:tc>
          <w:tcPr>
            <w:tcW w:w="4991" w:type="dxa"/>
            <w:shd w:val="clear" w:color="auto" w:fill="auto"/>
          </w:tcPr>
          <w:p w14:paraId="4FACC983" w14:textId="77777777" w:rsidR="00D90D68" w:rsidRPr="000E7523" w:rsidRDefault="00D90D68" w:rsidP="00021F9D"/>
        </w:tc>
      </w:tr>
      <w:tr w:rsidR="00D90D68" w:rsidRPr="009010CA" w14:paraId="2A295ADF" w14:textId="77777777" w:rsidTr="00171BD2">
        <w:tc>
          <w:tcPr>
            <w:tcW w:w="3430" w:type="dxa"/>
            <w:shd w:val="clear" w:color="auto" w:fill="auto"/>
          </w:tcPr>
          <w:p w14:paraId="5FCA5BA8" w14:textId="77777777" w:rsidR="00D90D68" w:rsidRPr="000E7523" w:rsidRDefault="00D90D68" w:rsidP="00021F9D">
            <w:r w:rsidRPr="000E7523">
              <w:t>Monitor</w:t>
            </w:r>
          </w:p>
        </w:tc>
        <w:tc>
          <w:tcPr>
            <w:tcW w:w="1137" w:type="dxa"/>
            <w:shd w:val="clear" w:color="auto" w:fill="auto"/>
          </w:tcPr>
          <w:p w14:paraId="712B180A" w14:textId="77777777" w:rsidR="00D90D68" w:rsidRPr="000E7523" w:rsidRDefault="00D90D68" w:rsidP="00021F9D">
            <w:pPr>
              <w:jc w:val="center"/>
            </w:pPr>
            <w:r w:rsidRPr="000E7523">
              <w:t>1</w:t>
            </w:r>
          </w:p>
        </w:tc>
        <w:tc>
          <w:tcPr>
            <w:tcW w:w="4991" w:type="dxa"/>
            <w:shd w:val="clear" w:color="auto" w:fill="auto"/>
          </w:tcPr>
          <w:p w14:paraId="1D4639F0" w14:textId="77777777" w:rsidR="00D90D68" w:rsidRPr="000E7523" w:rsidRDefault="00D90D68" w:rsidP="00021F9D"/>
        </w:tc>
      </w:tr>
      <w:tr w:rsidR="00D90D68" w:rsidRPr="0070660A" w14:paraId="43A2F6DF" w14:textId="77777777" w:rsidTr="00171BD2">
        <w:tc>
          <w:tcPr>
            <w:tcW w:w="3430" w:type="dxa"/>
            <w:shd w:val="clear" w:color="auto" w:fill="auto"/>
          </w:tcPr>
          <w:p w14:paraId="0F8FD6B6" w14:textId="77777777" w:rsidR="00D90D68" w:rsidRPr="000E7523" w:rsidRDefault="00D90D68" w:rsidP="00021F9D">
            <w:r w:rsidRPr="000E7523">
              <w:t>Ruby Monitoring Tool</w:t>
            </w:r>
          </w:p>
        </w:tc>
        <w:tc>
          <w:tcPr>
            <w:tcW w:w="1137" w:type="dxa"/>
            <w:shd w:val="clear" w:color="auto" w:fill="auto"/>
          </w:tcPr>
          <w:p w14:paraId="1C2CB25A" w14:textId="77777777" w:rsidR="00D90D68" w:rsidRPr="000E7523" w:rsidRDefault="00D90D68" w:rsidP="00021F9D">
            <w:pPr>
              <w:jc w:val="center"/>
            </w:pPr>
            <w:r w:rsidRPr="000E7523">
              <w:t>1</w:t>
            </w:r>
          </w:p>
        </w:tc>
        <w:tc>
          <w:tcPr>
            <w:tcW w:w="4991" w:type="dxa"/>
            <w:shd w:val="clear" w:color="auto" w:fill="auto"/>
          </w:tcPr>
          <w:p w14:paraId="79C2DCF1" w14:textId="77777777" w:rsidR="00D90D68" w:rsidRPr="000E7523" w:rsidRDefault="00D90D68" w:rsidP="00021F9D"/>
        </w:tc>
      </w:tr>
      <w:tr w:rsidR="00D90D68" w14:paraId="1EF43B7C" w14:textId="77777777" w:rsidTr="00171BD2">
        <w:tc>
          <w:tcPr>
            <w:tcW w:w="3430" w:type="dxa"/>
            <w:shd w:val="clear" w:color="auto" w:fill="auto"/>
          </w:tcPr>
          <w:p w14:paraId="5DE5A373" w14:textId="77777777" w:rsidR="00D90D68" w:rsidRPr="000E7523" w:rsidRDefault="00D90D68" w:rsidP="00021F9D">
            <w:r w:rsidRPr="000E7523">
              <w:t xml:space="preserve">Laptop </w:t>
            </w:r>
          </w:p>
        </w:tc>
        <w:tc>
          <w:tcPr>
            <w:tcW w:w="1137" w:type="dxa"/>
            <w:shd w:val="clear" w:color="auto" w:fill="auto"/>
          </w:tcPr>
          <w:p w14:paraId="4DBC55D5" w14:textId="77777777" w:rsidR="00D90D68" w:rsidRPr="000E7523" w:rsidRDefault="00D90D68" w:rsidP="00021F9D">
            <w:pPr>
              <w:jc w:val="center"/>
            </w:pPr>
            <w:r w:rsidRPr="000E7523">
              <w:t>1</w:t>
            </w:r>
          </w:p>
        </w:tc>
        <w:tc>
          <w:tcPr>
            <w:tcW w:w="4991" w:type="dxa"/>
            <w:shd w:val="clear" w:color="auto" w:fill="auto"/>
          </w:tcPr>
          <w:p w14:paraId="4D35AB2A" w14:textId="77777777" w:rsidR="00D90D68" w:rsidRPr="000E7523" w:rsidRDefault="00D90D68" w:rsidP="00021F9D"/>
        </w:tc>
      </w:tr>
    </w:tbl>
    <w:p w14:paraId="1A9AB3A1" w14:textId="77777777" w:rsidR="000E7523" w:rsidRDefault="000E7523" w:rsidP="00E74719">
      <w:pPr>
        <w:pStyle w:val="NormalWeb"/>
        <w:spacing w:line="288"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74719" w14:paraId="177910C6" w14:textId="77777777" w:rsidTr="000F22FE">
        <w:tc>
          <w:tcPr>
            <w:tcW w:w="9576" w:type="dxa"/>
            <w:gridSpan w:val="3"/>
            <w:shd w:val="clear" w:color="auto" w:fill="auto"/>
          </w:tcPr>
          <w:p w14:paraId="3BE9E814" w14:textId="77777777" w:rsidR="00E74719" w:rsidRDefault="00E74719" w:rsidP="000F22FE">
            <w:pPr>
              <w:pStyle w:val="NormalWeb"/>
              <w:spacing w:line="288" w:lineRule="atLeast"/>
              <w:jc w:val="center"/>
            </w:pPr>
            <w:r>
              <w:t>Total Cost to the Federal Government</w:t>
            </w:r>
          </w:p>
        </w:tc>
      </w:tr>
      <w:tr w:rsidR="00E74719" w14:paraId="1A72CC4D" w14:textId="77777777" w:rsidTr="000F22FE">
        <w:tc>
          <w:tcPr>
            <w:tcW w:w="3192" w:type="dxa"/>
            <w:shd w:val="clear" w:color="auto" w:fill="auto"/>
          </w:tcPr>
          <w:p w14:paraId="1A8536AD" w14:textId="77777777" w:rsidR="00E74719" w:rsidRDefault="00E74719" w:rsidP="000F22FE">
            <w:pPr>
              <w:pStyle w:val="NormalWeb"/>
              <w:spacing w:line="288" w:lineRule="atLeast"/>
              <w:jc w:val="center"/>
            </w:pPr>
            <w:r>
              <w:t>Operational and Maintenance Costs</w:t>
            </w:r>
          </w:p>
        </w:tc>
        <w:tc>
          <w:tcPr>
            <w:tcW w:w="3192" w:type="dxa"/>
            <w:shd w:val="clear" w:color="auto" w:fill="auto"/>
          </w:tcPr>
          <w:p w14:paraId="038F4DEA" w14:textId="77777777" w:rsidR="00E74719" w:rsidRDefault="00E74719" w:rsidP="000F22FE">
            <w:pPr>
              <w:pStyle w:val="NormalWeb"/>
              <w:spacing w:line="288" w:lineRule="atLeast"/>
              <w:jc w:val="center"/>
            </w:pPr>
            <w:r>
              <w:t>Labor Cost to the Federal Government</w:t>
            </w:r>
          </w:p>
        </w:tc>
        <w:tc>
          <w:tcPr>
            <w:tcW w:w="3192" w:type="dxa"/>
            <w:shd w:val="clear" w:color="auto" w:fill="auto"/>
          </w:tcPr>
          <w:p w14:paraId="2BACACED" w14:textId="77777777" w:rsidR="00E74719" w:rsidRDefault="00E74719" w:rsidP="000F22FE">
            <w:pPr>
              <w:pStyle w:val="NormalWeb"/>
              <w:spacing w:line="288" w:lineRule="atLeast"/>
            </w:pPr>
            <w:r>
              <w:t>Total Cost (O&amp;M Costs + Labor Cost)</w:t>
            </w:r>
          </w:p>
        </w:tc>
      </w:tr>
      <w:tr w:rsidR="00E74719" w14:paraId="6D6EAE7A" w14:textId="77777777" w:rsidTr="000F22FE">
        <w:tc>
          <w:tcPr>
            <w:tcW w:w="3192" w:type="dxa"/>
            <w:shd w:val="clear" w:color="auto" w:fill="auto"/>
          </w:tcPr>
          <w:p w14:paraId="41147566" w14:textId="77777777" w:rsidR="00E74719" w:rsidRDefault="00B93D0F" w:rsidP="00C0748B">
            <w:pPr>
              <w:pStyle w:val="NormalWeb"/>
              <w:spacing w:line="288" w:lineRule="atLeast"/>
            </w:pPr>
            <w:r w:rsidRPr="00DD528F">
              <w:t>$2</w:t>
            </w:r>
            <w:r w:rsidR="00A10FCC">
              <w:t>,</w:t>
            </w:r>
            <w:r w:rsidRPr="00DD528F">
              <w:t>992.49</w:t>
            </w:r>
          </w:p>
        </w:tc>
        <w:tc>
          <w:tcPr>
            <w:tcW w:w="3192" w:type="dxa"/>
            <w:shd w:val="clear" w:color="auto" w:fill="auto"/>
          </w:tcPr>
          <w:p w14:paraId="48E89236" w14:textId="77777777" w:rsidR="00E74719" w:rsidRDefault="000F2A1B" w:rsidP="00C0748B">
            <w:pPr>
              <w:pStyle w:val="NormalWeb"/>
              <w:spacing w:line="288" w:lineRule="atLeast"/>
            </w:pPr>
            <w:r>
              <w:t>$</w:t>
            </w:r>
            <w:r w:rsidR="00550BA2">
              <w:t>0</w:t>
            </w:r>
          </w:p>
        </w:tc>
        <w:tc>
          <w:tcPr>
            <w:tcW w:w="3192" w:type="dxa"/>
            <w:shd w:val="clear" w:color="auto" w:fill="auto"/>
          </w:tcPr>
          <w:p w14:paraId="1D3DF863" w14:textId="77777777" w:rsidR="00E74719" w:rsidRDefault="00B93D0F" w:rsidP="00AB6FB0">
            <w:pPr>
              <w:pStyle w:val="NormalWeb"/>
              <w:spacing w:line="288" w:lineRule="atLeast"/>
            </w:pPr>
            <w:r w:rsidRPr="00DD528F">
              <w:t>$2</w:t>
            </w:r>
            <w:r w:rsidR="00A10FCC">
              <w:t>,</w:t>
            </w:r>
            <w:r w:rsidRPr="00DD528F">
              <w:t>992.49</w:t>
            </w:r>
          </w:p>
        </w:tc>
      </w:tr>
    </w:tbl>
    <w:p w14:paraId="0B0CB493" w14:textId="77777777" w:rsidR="005E0A0F" w:rsidRDefault="005E0A0F" w:rsidP="003F12DA">
      <w:pPr>
        <w:pStyle w:val="NormalWeb"/>
        <w:spacing w:line="288" w:lineRule="atLeast"/>
        <w:rPr>
          <w:u w:val="single"/>
        </w:rPr>
      </w:pPr>
      <w:bookmarkStart w:id="18" w:name="cp468"/>
      <w:bookmarkEnd w:id="17"/>
      <w:r>
        <w:t xml:space="preserve">15.  </w:t>
      </w:r>
      <w:r>
        <w:rPr>
          <w:u w:val="single"/>
        </w:rPr>
        <w:t>Reasons for Change in Burden</w:t>
      </w:r>
    </w:p>
    <w:p w14:paraId="01782E18" w14:textId="77777777" w:rsidR="00990339" w:rsidRDefault="00D30F61" w:rsidP="003F12DA">
      <w:pPr>
        <w:pStyle w:val="NormalWeb"/>
        <w:spacing w:line="288" w:lineRule="atLeast"/>
      </w:pPr>
      <w:r w:rsidRPr="00D30F61">
        <w:t xml:space="preserve">The program remains the same but the number of applicants may increase/decrease annually.  </w:t>
      </w:r>
      <w:r>
        <w:t>In 201</w:t>
      </w:r>
      <w:r w:rsidR="00AB6FB0">
        <w:t>7</w:t>
      </w:r>
      <w:r>
        <w:t>, t</w:t>
      </w:r>
      <w:r w:rsidRPr="00D30F61">
        <w:t>here was an increase</w:t>
      </w:r>
      <w:r>
        <w:t xml:space="preserve"> of </w:t>
      </w:r>
      <w:r w:rsidR="00AB6FB0">
        <w:t>468</w:t>
      </w:r>
      <w:r>
        <w:t xml:space="preserve"> respondents/applicants</w:t>
      </w:r>
      <w:r w:rsidRPr="00D30F61">
        <w:t xml:space="preserve"> from</w:t>
      </w:r>
      <w:r w:rsidR="00460898">
        <w:t xml:space="preserve"> the</w:t>
      </w:r>
      <w:r w:rsidRPr="00D30F61">
        <w:t xml:space="preserve"> previous year.  </w:t>
      </w:r>
    </w:p>
    <w:bookmarkEnd w:id="18"/>
    <w:p w14:paraId="7A8CF527" w14:textId="77777777" w:rsidR="005E0A0F" w:rsidRDefault="005E0A0F" w:rsidP="003F12DA">
      <w:pPr>
        <w:pStyle w:val="NormalWeb"/>
        <w:spacing w:line="288" w:lineRule="atLeast"/>
        <w:rPr>
          <w:u w:val="single"/>
        </w:rPr>
      </w:pPr>
      <w:r>
        <w:t xml:space="preserve">16.  </w:t>
      </w:r>
      <w:r>
        <w:rPr>
          <w:u w:val="single"/>
        </w:rPr>
        <w:t>Publication of Results</w:t>
      </w:r>
    </w:p>
    <w:p w14:paraId="0CA5E058" w14:textId="77777777" w:rsidR="00990339" w:rsidRDefault="000F2A1B" w:rsidP="003F12DA">
      <w:pPr>
        <w:pStyle w:val="NormalWeb"/>
        <w:spacing w:line="288" w:lineRule="atLeast"/>
      </w:pPr>
      <w:r>
        <w:t>ASEE provides annual reports on Former Fellows Status Report (November), Annual Academic and Current Fellows Status Report (October), and NDSEG Panelist Nominations Report (October).</w:t>
      </w:r>
      <w:r w:rsidR="00DD019F">
        <w:t xml:space="preserve">  STI will provide annual reports on Former Fellows Status Report (September), Annual Academic and Current Fellows Status Report (October), and NDSEG Panelist Nominations Report (January).</w:t>
      </w:r>
    </w:p>
    <w:p w14:paraId="529C42B2" w14:textId="77777777" w:rsidR="005E0A0F" w:rsidRDefault="005E0A0F" w:rsidP="003F12DA">
      <w:pPr>
        <w:pStyle w:val="NormalWeb"/>
        <w:spacing w:line="288" w:lineRule="atLeast"/>
        <w:rPr>
          <w:u w:val="single"/>
        </w:rPr>
      </w:pPr>
      <w:bookmarkStart w:id="19" w:name="cp471"/>
      <w:r>
        <w:t xml:space="preserve">17.  </w:t>
      </w:r>
      <w:r>
        <w:rPr>
          <w:u w:val="single"/>
        </w:rPr>
        <w:t>Non-Display of OMB Expiration Date</w:t>
      </w:r>
    </w:p>
    <w:p w14:paraId="4FB77F61" w14:textId="63064EDD" w:rsidR="00D30F61" w:rsidRDefault="00D30F61" w:rsidP="003F12DA">
      <w:pPr>
        <w:pStyle w:val="NormalWeb"/>
        <w:spacing w:line="288" w:lineRule="atLeast"/>
      </w:pPr>
      <w:r w:rsidRPr="00D30F61">
        <w:t xml:space="preserve">We are not seeking </w:t>
      </w:r>
      <w:r w:rsidR="009567F8">
        <w:t>approval to omit the display of the expiration date of the OMB approval on the collection instrument.</w:t>
      </w:r>
    </w:p>
    <w:p w14:paraId="4D9E8879" w14:textId="77777777" w:rsidR="00743072" w:rsidRDefault="005E0A0F" w:rsidP="003F12DA">
      <w:pPr>
        <w:pStyle w:val="NormalWeb"/>
        <w:spacing w:line="288" w:lineRule="atLeast"/>
        <w:rPr>
          <w:u w:val="single"/>
        </w:rPr>
      </w:pPr>
      <w:bookmarkStart w:id="20" w:name="cp473"/>
      <w:bookmarkEnd w:id="19"/>
      <w:r>
        <w:t xml:space="preserve">18.  </w:t>
      </w:r>
      <w:r>
        <w:rPr>
          <w:u w:val="single"/>
        </w:rPr>
        <w:t>Exceptions to "Certification for Paperwork Reduction Submissions"</w:t>
      </w:r>
    </w:p>
    <w:p w14:paraId="55E67ACC" w14:textId="09F7934C" w:rsidR="00CC69E2" w:rsidRPr="00A10FCC" w:rsidRDefault="009567F8" w:rsidP="003F12DA">
      <w:pPr>
        <w:pStyle w:val="NormalWeb"/>
        <w:spacing w:line="288" w:lineRule="atLeast"/>
      </w:pPr>
      <w:r>
        <w:t xml:space="preserve">We are not requesting any </w:t>
      </w:r>
      <w:r w:rsidR="00242451">
        <w:t>exemptions</w:t>
      </w:r>
      <w:r>
        <w:t xml:space="preserve"> to the provisions stated in 5 CFR 1320.9.</w:t>
      </w:r>
      <w:r w:rsidR="00CC69E2">
        <w:t xml:space="preserve"> </w:t>
      </w:r>
      <w:bookmarkEnd w:id="20"/>
    </w:p>
    <w:sectPr w:rsidR="00CC69E2" w:rsidRPr="00A10FCC" w:rsidSect="00F1447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314DB" w14:textId="77777777" w:rsidR="00E204C8" w:rsidRDefault="00E204C8" w:rsidP="00D74D55">
      <w:r>
        <w:separator/>
      </w:r>
    </w:p>
  </w:endnote>
  <w:endnote w:type="continuationSeparator" w:id="0">
    <w:p w14:paraId="58B7B18C" w14:textId="77777777" w:rsidR="00E204C8" w:rsidRDefault="00E204C8"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7D06D" w14:textId="77777777" w:rsidR="00D74D55" w:rsidRDefault="00D74D55">
    <w:pPr>
      <w:pStyle w:val="Footer"/>
      <w:jc w:val="center"/>
    </w:pPr>
    <w:r>
      <w:fldChar w:fldCharType="begin"/>
    </w:r>
    <w:r>
      <w:instrText xml:space="preserve"> PAGE   \* MERGEFORMAT </w:instrText>
    </w:r>
    <w:r>
      <w:fldChar w:fldCharType="separate"/>
    </w:r>
    <w:r w:rsidR="00395CB2">
      <w:rPr>
        <w:noProof/>
      </w:rPr>
      <w:t>1</w:t>
    </w:r>
    <w:r>
      <w:fldChar w:fldCharType="end"/>
    </w:r>
  </w:p>
  <w:p w14:paraId="0DA3C1C3" w14:textId="77777777"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560C21" w14:textId="77777777" w:rsidR="00E204C8" w:rsidRDefault="00E204C8" w:rsidP="00D74D55">
      <w:r>
        <w:separator/>
      </w:r>
    </w:p>
  </w:footnote>
  <w:footnote w:type="continuationSeparator" w:id="0">
    <w:p w14:paraId="22F63F4A" w14:textId="77777777" w:rsidR="00E204C8" w:rsidRDefault="00E204C8"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15E"/>
    <w:multiLevelType w:val="hybridMultilevel"/>
    <w:tmpl w:val="22708DB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4AE23FB"/>
    <w:multiLevelType w:val="hybridMultilevel"/>
    <w:tmpl w:val="3712FB2A"/>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4D16D3A"/>
    <w:multiLevelType w:val="hybridMultilevel"/>
    <w:tmpl w:val="4DF2B0AC"/>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nsid w:val="10147870"/>
    <w:multiLevelType w:val="hybridMultilevel"/>
    <w:tmpl w:val="860E617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3A4349A"/>
    <w:multiLevelType w:val="hybridMultilevel"/>
    <w:tmpl w:val="613CD97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A666047"/>
    <w:multiLevelType w:val="hybridMultilevel"/>
    <w:tmpl w:val="8212628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1D7D75E6"/>
    <w:multiLevelType w:val="hybridMultilevel"/>
    <w:tmpl w:val="9AD6AE6C"/>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1DF444A4"/>
    <w:multiLevelType w:val="hybridMultilevel"/>
    <w:tmpl w:val="F9B2B36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266518FF"/>
    <w:multiLevelType w:val="hybridMultilevel"/>
    <w:tmpl w:val="4514A1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35814927"/>
    <w:multiLevelType w:val="hybridMultilevel"/>
    <w:tmpl w:val="47DC1852"/>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6546740"/>
    <w:multiLevelType w:val="hybridMultilevel"/>
    <w:tmpl w:val="0EAAEA7C"/>
    <w:lvl w:ilvl="0" w:tplc="8FF2C730">
      <w:start w:val="1"/>
      <w:numFmt w:val="decimal"/>
      <w:lvlText w:val="%1."/>
      <w:lvlJc w:val="left"/>
      <w:pPr>
        <w:ind w:left="1620" w:hanging="360"/>
      </w:pPr>
      <w:rPr>
        <w:rFonts w:hint="default"/>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8D631EF"/>
    <w:multiLevelType w:val="hybridMultilevel"/>
    <w:tmpl w:val="D7AC88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3F671697"/>
    <w:multiLevelType w:val="hybridMultilevel"/>
    <w:tmpl w:val="A5B20DC0"/>
    <w:lvl w:ilvl="0" w:tplc="06121AA8">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3FC10644"/>
    <w:multiLevelType w:val="hybridMultilevel"/>
    <w:tmpl w:val="F75414E4"/>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405532FB"/>
    <w:multiLevelType w:val="hybridMultilevel"/>
    <w:tmpl w:val="F5AEA47E"/>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457612DB"/>
    <w:multiLevelType w:val="hybridMultilevel"/>
    <w:tmpl w:val="40D6BFC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5EFA77E1"/>
    <w:multiLevelType w:val="hybridMultilevel"/>
    <w:tmpl w:val="BFBE8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6B061B08"/>
    <w:multiLevelType w:val="hybridMultilevel"/>
    <w:tmpl w:val="95741AC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6B5D188F"/>
    <w:multiLevelType w:val="hybridMultilevel"/>
    <w:tmpl w:val="949C8FB0"/>
    <w:lvl w:ilvl="0" w:tplc="0238635E">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788E2564"/>
    <w:multiLevelType w:val="hybridMultilevel"/>
    <w:tmpl w:val="412A6B7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0"/>
  </w:num>
  <w:num w:numId="2">
    <w:abstractNumId w:val="26"/>
  </w:num>
  <w:num w:numId="3">
    <w:abstractNumId w:val="17"/>
  </w:num>
  <w:num w:numId="4">
    <w:abstractNumId w:val="12"/>
  </w:num>
  <w:num w:numId="5">
    <w:abstractNumId w:val="22"/>
  </w:num>
  <w:num w:numId="6">
    <w:abstractNumId w:val="29"/>
  </w:num>
  <w:num w:numId="7">
    <w:abstractNumId w:val="28"/>
  </w:num>
  <w:num w:numId="8">
    <w:abstractNumId w:val="9"/>
  </w:num>
  <w:num w:numId="9">
    <w:abstractNumId w:val="32"/>
  </w:num>
  <w:num w:numId="10">
    <w:abstractNumId w:val="3"/>
  </w:num>
  <w:num w:numId="11">
    <w:abstractNumId w:val="5"/>
  </w:num>
  <w:num w:numId="12">
    <w:abstractNumId w:val="24"/>
  </w:num>
  <w:num w:numId="13">
    <w:abstractNumId w:val="21"/>
  </w:num>
  <w:num w:numId="14">
    <w:abstractNumId w:val="31"/>
  </w:num>
  <w:num w:numId="15">
    <w:abstractNumId w:val="35"/>
  </w:num>
  <w:num w:numId="16">
    <w:abstractNumId w:val="23"/>
  </w:num>
  <w:num w:numId="17">
    <w:abstractNumId w:val="14"/>
  </w:num>
  <w:num w:numId="18">
    <w:abstractNumId w:val="4"/>
  </w:num>
  <w:num w:numId="19">
    <w:abstractNumId w:val="7"/>
  </w:num>
  <w:num w:numId="20">
    <w:abstractNumId w:val="1"/>
  </w:num>
  <w:num w:numId="21">
    <w:abstractNumId w:val="6"/>
  </w:num>
  <w:num w:numId="22">
    <w:abstractNumId w:val="0"/>
  </w:num>
  <w:num w:numId="23">
    <w:abstractNumId w:val="30"/>
  </w:num>
  <w:num w:numId="24">
    <w:abstractNumId w:val="16"/>
  </w:num>
  <w:num w:numId="25">
    <w:abstractNumId w:val="36"/>
  </w:num>
  <w:num w:numId="26">
    <w:abstractNumId w:val="20"/>
  </w:num>
  <w:num w:numId="27">
    <w:abstractNumId w:val="8"/>
  </w:num>
  <w:num w:numId="28">
    <w:abstractNumId w:val="2"/>
  </w:num>
  <w:num w:numId="29">
    <w:abstractNumId w:val="33"/>
  </w:num>
  <w:num w:numId="30">
    <w:abstractNumId w:val="27"/>
  </w:num>
  <w:num w:numId="31">
    <w:abstractNumId w:val="13"/>
  </w:num>
  <w:num w:numId="32">
    <w:abstractNumId w:val="11"/>
  </w:num>
  <w:num w:numId="33">
    <w:abstractNumId w:val="34"/>
  </w:num>
  <w:num w:numId="34">
    <w:abstractNumId w:val="18"/>
  </w:num>
  <w:num w:numId="35">
    <w:abstractNumId w:val="19"/>
  </w:num>
  <w:num w:numId="36">
    <w:abstractNumId w:val="25"/>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4E84"/>
    <w:rsid w:val="00092F82"/>
    <w:rsid w:val="000A21B6"/>
    <w:rsid w:val="000A2459"/>
    <w:rsid w:val="000D7D41"/>
    <w:rsid w:val="000E7523"/>
    <w:rsid w:val="000F22FE"/>
    <w:rsid w:val="000F2A1B"/>
    <w:rsid w:val="00143A69"/>
    <w:rsid w:val="00171BD2"/>
    <w:rsid w:val="001B17AF"/>
    <w:rsid w:val="00235E69"/>
    <w:rsid w:val="00241279"/>
    <w:rsid w:val="00242451"/>
    <w:rsid w:val="00252103"/>
    <w:rsid w:val="00272FB5"/>
    <w:rsid w:val="002A2762"/>
    <w:rsid w:val="002A2836"/>
    <w:rsid w:val="002C43DB"/>
    <w:rsid w:val="002D2D94"/>
    <w:rsid w:val="002E1F89"/>
    <w:rsid w:val="0030008B"/>
    <w:rsid w:val="0032295F"/>
    <w:rsid w:val="00332B57"/>
    <w:rsid w:val="00353D48"/>
    <w:rsid w:val="003652DE"/>
    <w:rsid w:val="00395CB2"/>
    <w:rsid w:val="003F12DA"/>
    <w:rsid w:val="003F3352"/>
    <w:rsid w:val="004258BE"/>
    <w:rsid w:val="00445581"/>
    <w:rsid w:val="00460898"/>
    <w:rsid w:val="00471929"/>
    <w:rsid w:val="00471DD3"/>
    <w:rsid w:val="00490756"/>
    <w:rsid w:val="004A5282"/>
    <w:rsid w:val="004A60CA"/>
    <w:rsid w:val="004B2960"/>
    <w:rsid w:val="004C7516"/>
    <w:rsid w:val="00540DD4"/>
    <w:rsid w:val="00550BA2"/>
    <w:rsid w:val="00564656"/>
    <w:rsid w:val="005709E2"/>
    <w:rsid w:val="005824A0"/>
    <w:rsid w:val="005A414A"/>
    <w:rsid w:val="005E0A0F"/>
    <w:rsid w:val="0060388A"/>
    <w:rsid w:val="00607C79"/>
    <w:rsid w:val="00617F69"/>
    <w:rsid w:val="00652E45"/>
    <w:rsid w:val="00656551"/>
    <w:rsid w:val="00661F02"/>
    <w:rsid w:val="006A728C"/>
    <w:rsid w:val="006B2B17"/>
    <w:rsid w:val="006C6C7E"/>
    <w:rsid w:val="006D635A"/>
    <w:rsid w:val="006E3571"/>
    <w:rsid w:val="006F233D"/>
    <w:rsid w:val="00710C58"/>
    <w:rsid w:val="00715020"/>
    <w:rsid w:val="00743072"/>
    <w:rsid w:val="00747C25"/>
    <w:rsid w:val="00775FAA"/>
    <w:rsid w:val="00795C32"/>
    <w:rsid w:val="007A53F8"/>
    <w:rsid w:val="007A7148"/>
    <w:rsid w:val="007D7AFE"/>
    <w:rsid w:val="007F31D7"/>
    <w:rsid w:val="00830A66"/>
    <w:rsid w:val="00840CD9"/>
    <w:rsid w:val="008627C3"/>
    <w:rsid w:val="00865ABE"/>
    <w:rsid w:val="008A1896"/>
    <w:rsid w:val="008B44FD"/>
    <w:rsid w:val="008C33A8"/>
    <w:rsid w:val="00932507"/>
    <w:rsid w:val="009567F8"/>
    <w:rsid w:val="0096762B"/>
    <w:rsid w:val="00990339"/>
    <w:rsid w:val="009B2C16"/>
    <w:rsid w:val="009F3977"/>
    <w:rsid w:val="00A0052F"/>
    <w:rsid w:val="00A0351C"/>
    <w:rsid w:val="00A06759"/>
    <w:rsid w:val="00A10FCC"/>
    <w:rsid w:val="00A272BE"/>
    <w:rsid w:val="00A27879"/>
    <w:rsid w:val="00A27BC8"/>
    <w:rsid w:val="00A27BD1"/>
    <w:rsid w:val="00A317CF"/>
    <w:rsid w:val="00A36BA0"/>
    <w:rsid w:val="00A55A11"/>
    <w:rsid w:val="00A563EF"/>
    <w:rsid w:val="00A93CBF"/>
    <w:rsid w:val="00AA31C4"/>
    <w:rsid w:val="00AB0141"/>
    <w:rsid w:val="00AB6FB0"/>
    <w:rsid w:val="00AE1A9B"/>
    <w:rsid w:val="00AF66E0"/>
    <w:rsid w:val="00B02214"/>
    <w:rsid w:val="00B12B8E"/>
    <w:rsid w:val="00B5025B"/>
    <w:rsid w:val="00B529DE"/>
    <w:rsid w:val="00B7654E"/>
    <w:rsid w:val="00B76E3C"/>
    <w:rsid w:val="00B8495C"/>
    <w:rsid w:val="00B93D0F"/>
    <w:rsid w:val="00BE1FDF"/>
    <w:rsid w:val="00BF1B29"/>
    <w:rsid w:val="00C0748B"/>
    <w:rsid w:val="00C1222B"/>
    <w:rsid w:val="00C3008E"/>
    <w:rsid w:val="00C3051D"/>
    <w:rsid w:val="00C34D08"/>
    <w:rsid w:val="00C459BE"/>
    <w:rsid w:val="00C56A0F"/>
    <w:rsid w:val="00C66D8C"/>
    <w:rsid w:val="00C70221"/>
    <w:rsid w:val="00CA4A65"/>
    <w:rsid w:val="00CC69E2"/>
    <w:rsid w:val="00CE4ABD"/>
    <w:rsid w:val="00D201AD"/>
    <w:rsid w:val="00D30F61"/>
    <w:rsid w:val="00D37A50"/>
    <w:rsid w:val="00D46148"/>
    <w:rsid w:val="00D53B63"/>
    <w:rsid w:val="00D631C4"/>
    <w:rsid w:val="00D74D55"/>
    <w:rsid w:val="00D83B6F"/>
    <w:rsid w:val="00D90D68"/>
    <w:rsid w:val="00DA0E61"/>
    <w:rsid w:val="00DA19A9"/>
    <w:rsid w:val="00DA3AE7"/>
    <w:rsid w:val="00DC7256"/>
    <w:rsid w:val="00DD019F"/>
    <w:rsid w:val="00E204C8"/>
    <w:rsid w:val="00E53C2C"/>
    <w:rsid w:val="00E57EEE"/>
    <w:rsid w:val="00E74719"/>
    <w:rsid w:val="00E818D0"/>
    <w:rsid w:val="00E82972"/>
    <w:rsid w:val="00E874A7"/>
    <w:rsid w:val="00E87E7C"/>
    <w:rsid w:val="00E90F8C"/>
    <w:rsid w:val="00EA00D6"/>
    <w:rsid w:val="00EB07B0"/>
    <w:rsid w:val="00EB274B"/>
    <w:rsid w:val="00EC4D68"/>
    <w:rsid w:val="00ED0081"/>
    <w:rsid w:val="00ED4101"/>
    <w:rsid w:val="00F0169A"/>
    <w:rsid w:val="00F041D2"/>
    <w:rsid w:val="00F1447C"/>
    <w:rsid w:val="00F22088"/>
    <w:rsid w:val="00F31D24"/>
    <w:rsid w:val="00F35843"/>
    <w:rsid w:val="00F508E6"/>
    <w:rsid w:val="00F92085"/>
    <w:rsid w:val="00F92ACC"/>
    <w:rsid w:val="00F930FA"/>
    <w:rsid w:val="00F94743"/>
    <w:rsid w:val="00F9625B"/>
    <w:rsid w:val="00FC5A92"/>
    <w:rsid w:val="00FC6819"/>
    <w:rsid w:val="00FD5883"/>
    <w:rsid w:val="00FE2D74"/>
    <w:rsid w:val="00FE60B6"/>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basedOn w:val="DefaultParagraphFont"/>
    <w:uiPriority w:val="99"/>
    <w:unhideWhenUsed/>
    <w:rsid w:val="00A06759"/>
    <w:rPr>
      <w:color w:val="0000FF" w:themeColor="hyperlink"/>
      <w:u w:val="single"/>
    </w:rPr>
  </w:style>
  <w:style w:type="paragraph" w:styleId="ListParagraph">
    <w:name w:val="List Paragraph"/>
    <w:basedOn w:val="Normal"/>
    <w:uiPriority w:val="34"/>
    <w:qFormat/>
    <w:rsid w:val="00D90D68"/>
    <w:pPr>
      <w:ind w:left="720"/>
      <w:contextualSpacing/>
    </w:pPr>
  </w:style>
  <w:style w:type="paragraph" w:styleId="PlainText">
    <w:name w:val="Plain Text"/>
    <w:basedOn w:val="Normal"/>
    <w:link w:val="PlainTextChar"/>
    <w:uiPriority w:val="99"/>
    <w:semiHidden/>
    <w:unhideWhenUsed/>
    <w:rsid w:val="00ED0081"/>
    <w:rPr>
      <w:rFonts w:ascii="Consolas" w:hAnsi="Consolas"/>
      <w:sz w:val="21"/>
      <w:szCs w:val="21"/>
    </w:rPr>
  </w:style>
  <w:style w:type="character" w:customStyle="1" w:styleId="PlainTextChar">
    <w:name w:val="Plain Text Char"/>
    <w:basedOn w:val="DefaultParagraphFont"/>
    <w:link w:val="PlainText"/>
    <w:uiPriority w:val="99"/>
    <w:semiHidden/>
    <w:rsid w:val="00ED0081"/>
    <w:rPr>
      <w:rFonts w:ascii="Consolas" w:eastAsia="Times New Roman" w:hAnsi="Consolas"/>
      <w:sz w:val="21"/>
      <w:szCs w:val="21"/>
    </w:rPr>
  </w:style>
  <w:style w:type="paragraph" w:styleId="Revision">
    <w:name w:val="Revision"/>
    <w:hidden/>
    <w:uiPriority w:val="99"/>
    <w:semiHidden/>
    <w:rsid w:val="003F335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D74D55"/>
    <w:pPr>
      <w:tabs>
        <w:tab w:val="center" w:pos="4680"/>
        <w:tab w:val="right" w:pos="9360"/>
      </w:tabs>
    </w:pPr>
  </w:style>
  <w:style w:type="character" w:customStyle="1" w:styleId="HeaderChar">
    <w:name w:val="Header Char"/>
    <w:link w:val="Header"/>
    <w:uiPriority w:val="99"/>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table" w:styleId="TableGrid">
    <w:name w:val="Table Grid"/>
    <w:basedOn w:val="TableNormal"/>
    <w:uiPriority w:val="59"/>
    <w:rsid w:val="009F3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90756"/>
    <w:rPr>
      <w:sz w:val="16"/>
      <w:szCs w:val="16"/>
    </w:rPr>
  </w:style>
  <w:style w:type="paragraph" w:styleId="CommentText">
    <w:name w:val="annotation text"/>
    <w:basedOn w:val="Normal"/>
    <w:link w:val="CommentTextChar"/>
    <w:uiPriority w:val="99"/>
    <w:semiHidden/>
    <w:unhideWhenUsed/>
    <w:rsid w:val="00490756"/>
    <w:rPr>
      <w:sz w:val="20"/>
      <w:szCs w:val="20"/>
    </w:rPr>
  </w:style>
  <w:style w:type="character" w:customStyle="1" w:styleId="CommentTextChar">
    <w:name w:val="Comment Text Char"/>
    <w:link w:val="CommentText"/>
    <w:uiPriority w:val="99"/>
    <w:semiHidden/>
    <w:rsid w:val="0049075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0756"/>
    <w:rPr>
      <w:b/>
      <w:bCs/>
    </w:rPr>
  </w:style>
  <w:style w:type="character" w:customStyle="1" w:styleId="CommentSubjectChar">
    <w:name w:val="Comment Subject Char"/>
    <w:link w:val="CommentSubject"/>
    <w:uiPriority w:val="99"/>
    <w:semiHidden/>
    <w:rsid w:val="00490756"/>
    <w:rPr>
      <w:rFonts w:ascii="Times New Roman" w:eastAsia="Times New Roman" w:hAnsi="Times New Roman"/>
      <w:b/>
      <w:bCs/>
    </w:rPr>
  </w:style>
  <w:style w:type="paragraph" w:styleId="BalloonText">
    <w:name w:val="Balloon Text"/>
    <w:basedOn w:val="Normal"/>
    <w:link w:val="BalloonTextChar"/>
    <w:uiPriority w:val="99"/>
    <w:semiHidden/>
    <w:unhideWhenUsed/>
    <w:rsid w:val="00490756"/>
    <w:rPr>
      <w:rFonts w:ascii="Tahoma" w:hAnsi="Tahoma" w:cs="Tahoma"/>
      <w:sz w:val="16"/>
      <w:szCs w:val="16"/>
    </w:rPr>
  </w:style>
  <w:style w:type="character" w:customStyle="1" w:styleId="BalloonTextChar">
    <w:name w:val="Balloon Text Char"/>
    <w:link w:val="BalloonText"/>
    <w:uiPriority w:val="99"/>
    <w:semiHidden/>
    <w:rsid w:val="00490756"/>
    <w:rPr>
      <w:rFonts w:ascii="Tahoma" w:eastAsia="Times New Roman" w:hAnsi="Tahoma" w:cs="Tahoma"/>
      <w:sz w:val="16"/>
      <w:szCs w:val="16"/>
    </w:rPr>
  </w:style>
  <w:style w:type="character" w:styleId="Hyperlink">
    <w:name w:val="Hyperlink"/>
    <w:basedOn w:val="DefaultParagraphFont"/>
    <w:uiPriority w:val="99"/>
    <w:unhideWhenUsed/>
    <w:rsid w:val="00A06759"/>
    <w:rPr>
      <w:color w:val="0000FF" w:themeColor="hyperlink"/>
      <w:u w:val="single"/>
    </w:rPr>
  </w:style>
  <w:style w:type="paragraph" w:styleId="ListParagraph">
    <w:name w:val="List Paragraph"/>
    <w:basedOn w:val="Normal"/>
    <w:uiPriority w:val="34"/>
    <w:qFormat/>
    <w:rsid w:val="00D90D68"/>
    <w:pPr>
      <w:ind w:left="720"/>
      <w:contextualSpacing/>
    </w:pPr>
  </w:style>
  <w:style w:type="paragraph" w:styleId="PlainText">
    <w:name w:val="Plain Text"/>
    <w:basedOn w:val="Normal"/>
    <w:link w:val="PlainTextChar"/>
    <w:uiPriority w:val="99"/>
    <w:semiHidden/>
    <w:unhideWhenUsed/>
    <w:rsid w:val="00ED0081"/>
    <w:rPr>
      <w:rFonts w:ascii="Consolas" w:hAnsi="Consolas"/>
      <w:sz w:val="21"/>
      <w:szCs w:val="21"/>
    </w:rPr>
  </w:style>
  <w:style w:type="character" w:customStyle="1" w:styleId="PlainTextChar">
    <w:name w:val="Plain Text Char"/>
    <w:basedOn w:val="DefaultParagraphFont"/>
    <w:link w:val="PlainText"/>
    <w:uiPriority w:val="99"/>
    <w:semiHidden/>
    <w:rsid w:val="00ED0081"/>
    <w:rPr>
      <w:rFonts w:ascii="Consolas" w:eastAsia="Times New Roman" w:hAnsi="Consolas"/>
      <w:sz w:val="21"/>
      <w:szCs w:val="21"/>
    </w:rPr>
  </w:style>
  <w:style w:type="paragraph" w:styleId="Revision">
    <w:name w:val="Revision"/>
    <w:hidden/>
    <w:uiPriority w:val="99"/>
    <w:semiHidden/>
    <w:rsid w:val="003F335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787382">
      <w:bodyDiv w:val="1"/>
      <w:marLeft w:val="0"/>
      <w:marRight w:val="0"/>
      <w:marTop w:val="0"/>
      <w:marBottom w:val="0"/>
      <w:divBdr>
        <w:top w:val="none" w:sz="0" w:space="0" w:color="auto"/>
        <w:left w:val="none" w:sz="0" w:space="0" w:color="auto"/>
        <w:bottom w:val="none" w:sz="0" w:space="0" w:color="auto"/>
        <w:right w:val="none" w:sz="0" w:space="0" w:color="auto"/>
      </w:divBdr>
    </w:div>
    <w:div w:id="136787342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1458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ndsegfellowships.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TH3QXZ4CCXAT-18-2977</_dlc_DocId>
    <_dlc_DocIdUrl xmlns="4f06cbb4-5319-44a1-b73c-03442379dfaa">
      <Url>https://apps.sp.pentagon.mil/sites/dodiic/_layouts/DocIdRedir.aspx?ID=TH3QXZ4CCXAT-18-2977</Url>
      <Description>TH3QXZ4CCXAT-18-2977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6EF2A-667A-42FD-8B94-D1223DA335D9}">
  <ds:schemaRefs>
    <ds:schemaRef ds:uri="http://schemas.microsoft.com/sharepoint/events"/>
  </ds:schemaRefs>
</ds:datastoreItem>
</file>

<file path=customXml/itemProps2.xml><?xml version="1.0" encoding="utf-8"?>
<ds:datastoreItem xmlns:ds="http://schemas.openxmlformats.org/officeDocument/2006/customXml" ds:itemID="{AD08A365-9A27-4D5A-9C3D-DB71BED7D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AD33F4-3F04-4DFF-9A44-AEE09BC7FAEB}">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456AF0B4-47B6-441D-9D5F-F64341D14F81"/>
    <ds:schemaRef ds:uri="http://schemas.openxmlformats.org/package/2006/metadata/core-properties"/>
    <ds:schemaRef ds:uri="4f06cbb4-5319-44a1-b73c-03442379dfaa"/>
    <ds:schemaRef ds:uri="http://www.w3.org/XML/1998/namespace"/>
    <ds:schemaRef ds:uri="http://purl.org/dc/dcmitype/"/>
  </ds:schemaRefs>
</ds:datastoreItem>
</file>

<file path=customXml/itemProps4.xml><?xml version="1.0" encoding="utf-8"?>
<ds:datastoreItem xmlns:ds="http://schemas.openxmlformats.org/officeDocument/2006/customXml" ds:itemID="{483B1022-BC22-4A90-873E-63F5ADE2079D}">
  <ds:schemaRefs>
    <ds:schemaRef ds:uri="http://schemas.microsoft.com/sharepoint/v3/contenttype/forms"/>
  </ds:schemaRefs>
</ds:datastoreItem>
</file>

<file path=customXml/itemProps5.xml><?xml version="1.0" encoding="utf-8"?>
<ds:datastoreItem xmlns:ds="http://schemas.openxmlformats.org/officeDocument/2006/customXml" ds:itemID="{4F60057B-CF02-45EF-B5C8-0CA323BD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Toppings</dc:creator>
  <cp:lastModifiedBy>SYSTEM</cp:lastModifiedBy>
  <cp:revision>2</cp:revision>
  <cp:lastPrinted>2013-01-25T18:09:00Z</cp:lastPrinted>
  <dcterms:created xsi:type="dcterms:W3CDTF">2018-08-17T15:05:00Z</dcterms:created>
  <dcterms:modified xsi:type="dcterms:W3CDTF">2018-08-17T15:05:00Z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a1f7fe8c-38a2-49db-be42-268c682a1c8f</vt:lpwstr>
  </property>
</Properties>
</file>