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6" w:rsidRPr="00681EE4" w:rsidRDefault="00A81C16" w:rsidP="00A81C16">
      <w:pPr>
        <w:jc w:val="center"/>
        <w:rPr>
          <w:b/>
          <w:bCs/>
          <w:sz w:val="24"/>
          <w:szCs w:val="24"/>
        </w:rPr>
      </w:pPr>
      <w:bookmarkStart w:id="0" w:name="_GoBack"/>
      <w:bookmarkEnd w:id="0"/>
      <w:r w:rsidRPr="00681EE4">
        <w:rPr>
          <w:b/>
          <w:bCs/>
          <w:sz w:val="24"/>
          <w:szCs w:val="24"/>
        </w:rPr>
        <w:t>SUPPORTING STATEMENT</w:t>
      </w:r>
    </w:p>
    <w:p w:rsidR="00A81C16" w:rsidRPr="00681EE4" w:rsidRDefault="007C2672" w:rsidP="00A81C16">
      <w:pPr>
        <w:jc w:val="center"/>
        <w:rPr>
          <w:b/>
          <w:bCs/>
          <w:sz w:val="24"/>
          <w:szCs w:val="24"/>
        </w:rPr>
      </w:pPr>
      <w:r w:rsidRPr="00681EE4">
        <w:rPr>
          <w:b/>
          <w:bCs/>
          <w:sz w:val="24"/>
          <w:szCs w:val="24"/>
        </w:rPr>
        <w:t>DOCUMENTATION OF FISH HARVEST</w:t>
      </w:r>
    </w:p>
    <w:p w:rsidR="00A81C16" w:rsidRPr="00681EE4" w:rsidRDefault="009F132D" w:rsidP="00A81C16">
      <w:pPr>
        <w:jc w:val="center"/>
        <w:rPr>
          <w:b/>
          <w:bCs/>
          <w:sz w:val="24"/>
          <w:szCs w:val="24"/>
        </w:rPr>
      </w:pPr>
      <w:r w:rsidRPr="00681EE4">
        <w:rPr>
          <w:b/>
          <w:bCs/>
          <w:sz w:val="24"/>
          <w:szCs w:val="24"/>
        </w:rPr>
        <w:t>OMB CONTROL NO.</w:t>
      </w:r>
      <w:r w:rsidR="00A81C16" w:rsidRPr="00681EE4">
        <w:rPr>
          <w:b/>
          <w:bCs/>
          <w:sz w:val="24"/>
          <w:szCs w:val="24"/>
        </w:rPr>
        <w:t xml:space="preserve"> 0648-0</w:t>
      </w:r>
      <w:r w:rsidR="007C2672" w:rsidRPr="00681EE4">
        <w:rPr>
          <w:b/>
          <w:bCs/>
          <w:sz w:val="24"/>
          <w:szCs w:val="24"/>
        </w:rPr>
        <w:t>365</w:t>
      </w:r>
    </w:p>
    <w:p w:rsidR="00A81C16" w:rsidRPr="00681EE4" w:rsidRDefault="00A81C16" w:rsidP="00A81C16">
      <w:pPr>
        <w:jc w:val="center"/>
        <w:rPr>
          <w:b/>
          <w:bCs/>
          <w:sz w:val="24"/>
          <w:szCs w:val="24"/>
        </w:rPr>
      </w:pPr>
    </w:p>
    <w:p w:rsidR="00A81C16" w:rsidRPr="00681EE4" w:rsidRDefault="00A81C16" w:rsidP="00A81C16">
      <w:pPr>
        <w:rPr>
          <w:b/>
          <w:sz w:val="24"/>
          <w:szCs w:val="24"/>
        </w:rPr>
      </w:pPr>
    </w:p>
    <w:p w:rsidR="0086000B" w:rsidRPr="00681EE4" w:rsidRDefault="0086000B" w:rsidP="0086000B">
      <w:pPr>
        <w:rPr>
          <w:sz w:val="24"/>
          <w:szCs w:val="24"/>
        </w:rPr>
      </w:pPr>
      <w:r w:rsidRPr="00681EE4">
        <w:rPr>
          <w:sz w:val="24"/>
          <w:szCs w:val="24"/>
        </w:rPr>
        <w:t>This request is for a</w:t>
      </w:r>
      <w:r w:rsidR="00BD1788" w:rsidRPr="00681EE4">
        <w:rPr>
          <w:sz w:val="24"/>
          <w:szCs w:val="24"/>
        </w:rPr>
        <w:t>n</w:t>
      </w:r>
      <w:r w:rsidR="00942574" w:rsidRPr="00681EE4">
        <w:rPr>
          <w:sz w:val="24"/>
          <w:szCs w:val="24"/>
        </w:rPr>
        <w:t xml:space="preserve"> </w:t>
      </w:r>
      <w:r w:rsidRPr="00681EE4">
        <w:rPr>
          <w:sz w:val="24"/>
          <w:szCs w:val="24"/>
        </w:rPr>
        <w:t xml:space="preserve">extension of a currently approved information collection. </w:t>
      </w:r>
    </w:p>
    <w:p w:rsidR="0086000B" w:rsidRPr="00681EE4" w:rsidRDefault="0086000B" w:rsidP="00A81C16">
      <w:pPr>
        <w:tabs>
          <w:tab w:val="left" w:pos="720"/>
        </w:tabs>
        <w:ind w:left="720" w:hanging="720"/>
        <w:rPr>
          <w:b/>
          <w:bCs/>
          <w:sz w:val="24"/>
          <w:szCs w:val="24"/>
        </w:rPr>
      </w:pPr>
    </w:p>
    <w:p w:rsidR="0086000B" w:rsidRPr="00681EE4" w:rsidRDefault="0086000B" w:rsidP="00A81C16">
      <w:pPr>
        <w:tabs>
          <w:tab w:val="left" w:pos="720"/>
        </w:tabs>
        <w:ind w:left="720" w:hanging="720"/>
        <w:rPr>
          <w:b/>
          <w:bCs/>
          <w:sz w:val="24"/>
          <w:szCs w:val="24"/>
        </w:rPr>
      </w:pPr>
    </w:p>
    <w:p w:rsidR="00A81C16" w:rsidRPr="00681EE4" w:rsidRDefault="00A81C16" w:rsidP="00A81C16">
      <w:pPr>
        <w:tabs>
          <w:tab w:val="left" w:pos="720"/>
        </w:tabs>
        <w:ind w:left="720" w:hanging="720"/>
        <w:rPr>
          <w:b/>
          <w:bCs/>
          <w:sz w:val="24"/>
          <w:szCs w:val="24"/>
        </w:rPr>
      </w:pPr>
      <w:r w:rsidRPr="00681EE4">
        <w:rPr>
          <w:b/>
          <w:bCs/>
          <w:sz w:val="24"/>
          <w:szCs w:val="24"/>
        </w:rPr>
        <w:t>A.</w:t>
      </w:r>
      <w:r w:rsidRPr="00681EE4">
        <w:rPr>
          <w:b/>
          <w:bCs/>
          <w:sz w:val="24"/>
          <w:szCs w:val="24"/>
        </w:rPr>
        <w:tab/>
        <w:t>JUSTIFICATION</w:t>
      </w:r>
    </w:p>
    <w:p w:rsidR="00A81C16" w:rsidRPr="00681EE4" w:rsidRDefault="00A81C16" w:rsidP="00A81C16">
      <w:pPr>
        <w:tabs>
          <w:tab w:val="left" w:pos="720"/>
        </w:tabs>
        <w:ind w:left="720" w:hanging="720"/>
        <w:rPr>
          <w:b/>
          <w:bCs/>
          <w:sz w:val="24"/>
          <w:szCs w:val="24"/>
        </w:rPr>
      </w:pPr>
    </w:p>
    <w:p w:rsidR="00A81C16" w:rsidRPr="00681EE4" w:rsidRDefault="00A81C16" w:rsidP="00A81C16">
      <w:pPr>
        <w:tabs>
          <w:tab w:val="left" w:pos="720"/>
        </w:tabs>
        <w:ind w:left="720" w:hanging="720"/>
        <w:rPr>
          <w:sz w:val="24"/>
          <w:szCs w:val="24"/>
        </w:rPr>
      </w:pPr>
      <w:r w:rsidRPr="00681EE4">
        <w:rPr>
          <w:b/>
          <w:bCs/>
          <w:sz w:val="24"/>
          <w:szCs w:val="24"/>
        </w:rPr>
        <w:t>1.</w:t>
      </w:r>
      <w:r w:rsidR="006C0C1F" w:rsidRPr="00681EE4">
        <w:rPr>
          <w:b/>
          <w:bCs/>
          <w:sz w:val="24"/>
          <w:szCs w:val="24"/>
        </w:rPr>
        <w:t xml:space="preserve"> </w:t>
      </w:r>
      <w:r w:rsidRPr="00681EE4">
        <w:rPr>
          <w:b/>
          <w:bCs/>
          <w:sz w:val="24"/>
          <w:szCs w:val="24"/>
          <w:u w:val="single"/>
        </w:rPr>
        <w:t>Explain the circumstances that make the collection of information necessary</w:t>
      </w:r>
      <w:r w:rsidRPr="00681EE4">
        <w:rPr>
          <w:b/>
          <w:bCs/>
          <w:sz w:val="24"/>
          <w:szCs w:val="24"/>
        </w:rPr>
        <w:t>.</w:t>
      </w:r>
    </w:p>
    <w:p w:rsidR="00A81C16" w:rsidRPr="00681EE4" w:rsidRDefault="00A81C16" w:rsidP="00A81C16">
      <w:pPr>
        <w:rPr>
          <w:sz w:val="24"/>
          <w:szCs w:val="24"/>
        </w:rPr>
      </w:pPr>
    </w:p>
    <w:p w:rsidR="007C2672" w:rsidRPr="00681EE4" w:rsidRDefault="00DA5159" w:rsidP="002F64DC">
      <w:pPr>
        <w:rPr>
          <w:sz w:val="24"/>
          <w:szCs w:val="24"/>
        </w:rPr>
      </w:pPr>
      <w:r w:rsidRPr="00681EE4">
        <w:rPr>
          <w:sz w:val="24"/>
          <w:szCs w:val="24"/>
        </w:rPr>
        <w:t>The National Oceanic and Atm</w:t>
      </w:r>
      <w:r w:rsidR="00100DFB" w:rsidRPr="00681EE4">
        <w:rPr>
          <w:sz w:val="24"/>
          <w:szCs w:val="24"/>
        </w:rPr>
        <w:t>ospheric Administration’s (NOAA</w:t>
      </w:r>
      <w:r w:rsidRPr="00681EE4">
        <w:rPr>
          <w:sz w:val="24"/>
          <w:szCs w:val="24"/>
        </w:rPr>
        <w:t>) National Marine Fisheries Service (</w:t>
      </w:r>
      <w:r w:rsidR="007C2672" w:rsidRPr="00681EE4">
        <w:rPr>
          <w:sz w:val="24"/>
          <w:szCs w:val="24"/>
        </w:rPr>
        <w:t>NMFS</w:t>
      </w:r>
      <w:r w:rsidRPr="00681EE4">
        <w:rPr>
          <w:sz w:val="24"/>
          <w:szCs w:val="24"/>
        </w:rPr>
        <w:t>)</w:t>
      </w:r>
      <w:r w:rsidR="007C2672" w:rsidRPr="00681EE4">
        <w:rPr>
          <w:sz w:val="24"/>
          <w:szCs w:val="24"/>
        </w:rPr>
        <w:t xml:space="preserve"> </w:t>
      </w:r>
      <w:r w:rsidR="005E394B" w:rsidRPr="00681EE4">
        <w:rPr>
          <w:sz w:val="24"/>
          <w:szCs w:val="24"/>
        </w:rPr>
        <w:t>requires seafood dealers</w:t>
      </w:r>
      <w:r w:rsidR="00A85809" w:rsidRPr="00681EE4">
        <w:rPr>
          <w:sz w:val="24"/>
          <w:szCs w:val="24"/>
        </w:rPr>
        <w:t xml:space="preserve"> that</w:t>
      </w:r>
      <w:r w:rsidR="005E394B" w:rsidRPr="00681EE4">
        <w:rPr>
          <w:sz w:val="24"/>
          <w:szCs w:val="24"/>
        </w:rPr>
        <w:t xml:space="preserve"> purchas</w:t>
      </w:r>
      <w:r w:rsidR="00A85809" w:rsidRPr="00681EE4">
        <w:rPr>
          <w:sz w:val="24"/>
          <w:szCs w:val="24"/>
        </w:rPr>
        <w:t xml:space="preserve">e or sell certain snapper-grouper species </w:t>
      </w:r>
      <w:r w:rsidR="005E394B" w:rsidRPr="00681EE4">
        <w:rPr>
          <w:sz w:val="24"/>
          <w:szCs w:val="24"/>
        </w:rPr>
        <w:t xml:space="preserve">harvested during </w:t>
      </w:r>
      <w:r w:rsidR="00AF44C8" w:rsidRPr="00681EE4">
        <w:rPr>
          <w:sz w:val="24"/>
          <w:szCs w:val="24"/>
        </w:rPr>
        <w:t xml:space="preserve">fishery </w:t>
      </w:r>
      <w:r w:rsidR="005E394B" w:rsidRPr="00681EE4">
        <w:rPr>
          <w:sz w:val="24"/>
          <w:szCs w:val="24"/>
        </w:rPr>
        <w:t xml:space="preserve">closures must maintain documentation that such fish were harvested from areas other than the South Atlantic. </w:t>
      </w:r>
      <w:r w:rsidR="006A2EC6" w:rsidRPr="00681EE4">
        <w:rPr>
          <w:sz w:val="24"/>
          <w:szCs w:val="24"/>
        </w:rPr>
        <w:t xml:space="preserve">Regulations at </w:t>
      </w:r>
      <w:hyperlink r:id="rId9" w:history="1">
        <w:r w:rsidR="006A2EC6" w:rsidRPr="00681EE4">
          <w:rPr>
            <w:rStyle w:val="Hyperlink"/>
            <w:sz w:val="24"/>
            <w:szCs w:val="24"/>
          </w:rPr>
          <w:t>50 CFR 622.192(i)</w:t>
        </w:r>
      </w:hyperlink>
      <w:r w:rsidR="006A2EC6" w:rsidRPr="00681EE4">
        <w:rPr>
          <w:sz w:val="24"/>
          <w:szCs w:val="24"/>
        </w:rPr>
        <w:t xml:space="preserve"> specify the necessary documentation to support a dealer’s purchase or sale of applicable species during times specified </w:t>
      </w:r>
      <w:r w:rsidR="001E48EE" w:rsidRPr="00681EE4">
        <w:rPr>
          <w:sz w:val="24"/>
          <w:szCs w:val="24"/>
        </w:rPr>
        <w:t xml:space="preserve">below and </w:t>
      </w:r>
      <w:r w:rsidR="006A2EC6" w:rsidRPr="00681EE4">
        <w:rPr>
          <w:sz w:val="24"/>
          <w:szCs w:val="24"/>
        </w:rPr>
        <w:t xml:space="preserve">in 50 CFR 622.192(f) through (h). </w:t>
      </w:r>
    </w:p>
    <w:p w:rsidR="00546476" w:rsidRPr="00681EE4" w:rsidRDefault="00546476" w:rsidP="002F64DC">
      <w:pPr>
        <w:rPr>
          <w:sz w:val="24"/>
          <w:szCs w:val="24"/>
        </w:rPr>
      </w:pPr>
    </w:p>
    <w:p w:rsidR="00DF2415" w:rsidRPr="00681EE4" w:rsidRDefault="007C2672" w:rsidP="002F64DC">
      <w:pPr>
        <w:rPr>
          <w:sz w:val="24"/>
          <w:szCs w:val="24"/>
        </w:rPr>
      </w:pPr>
      <w:r w:rsidRPr="00681EE4">
        <w:rPr>
          <w:sz w:val="24"/>
          <w:szCs w:val="24"/>
        </w:rPr>
        <w:t xml:space="preserve">During </w:t>
      </w:r>
      <w:r w:rsidR="00B775DC" w:rsidRPr="00681EE4">
        <w:rPr>
          <w:sz w:val="24"/>
          <w:szCs w:val="24"/>
        </w:rPr>
        <w:t>January through</w:t>
      </w:r>
      <w:r w:rsidRPr="00681EE4">
        <w:rPr>
          <w:sz w:val="24"/>
          <w:szCs w:val="24"/>
        </w:rPr>
        <w:t xml:space="preserve"> April, no person may </w:t>
      </w:r>
      <w:r w:rsidR="00143364" w:rsidRPr="00681EE4">
        <w:rPr>
          <w:sz w:val="24"/>
          <w:szCs w:val="24"/>
        </w:rPr>
        <w:t xml:space="preserve">purchase or </w:t>
      </w:r>
      <w:r w:rsidRPr="00681EE4">
        <w:rPr>
          <w:sz w:val="24"/>
          <w:szCs w:val="24"/>
        </w:rPr>
        <w:t xml:space="preserve">sell a red porgy, </w:t>
      </w:r>
      <w:r w:rsidR="00DC6A67" w:rsidRPr="00681EE4">
        <w:rPr>
          <w:sz w:val="24"/>
          <w:szCs w:val="24"/>
        </w:rPr>
        <w:t>gag grouper (gag)</w:t>
      </w:r>
      <w:r w:rsidRPr="00681EE4">
        <w:rPr>
          <w:sz w:val="24"/>
          <w:szCs w:val="24"/>
        </w:rPr>
        <w:t>, black grouper</w:t>
      </w:r>
      <w:r w:rsidR="00B775DC" w:rsidRPr="00681EE4">
        <w:rPr>
          <w:sz w:val="24"/>
          <w:szCs w:val="24"/>
        </w:rPr>
        <w:t>, red grouper, scamp, red hind, rock hind, yellowmouth grouper, yellowfin grouper, graysby, or coney</w:t>
      </w:r>
      <w:r w:rsidR="009171C4" w:rsidRPr="00681EE4">
        <w:rPr>
          <w:sz w:val="24"/>
          <w:szCs w:val="24"/>
        </w:rPr>
        <w:t xml:space="preserve"> if: 1)</w:t>
      </w:r>
      <w:r w:rsidR="00DC6A67" w:rsidRPr="00681EE4">
        <w:rPr>
          <w:sz w:val="24"/>
          <w:szCs w:val="24"/>
        </w:rPr>
        <w:t xml:space="preserve"> </w:t>
      </w:r>
      <w:r w:rsidR="009171C4" w:rsidRPr="00681EE4">
        <w:rPr>
          <w:sz w:val="24"/>
          <w:szCs w:val="24"/>
        </w:rPr>
        <w:t xml:space="preserve">the fish are </w:t>
      </w:r>
      <w:r w:rsidR="00DC6A67" w:rsidRPr="00681EE4">
        <w:rPr>
          <w:sz w:val="24"/>
          <w:szCs w:val="24"/>
        </w:rPr>
        <w:t>harvested from</w:t>
      </w:r>
      <w:r w:rsidR="009171C4" w:rsidRPr="00681EE4">
        <w:rPr>
          <w:sz w:val="24"/>
          <w:szCs w:val="24"/>
        </w:rPr>
        <w:t xml:space="preserve"> South Atlantic federal waters, or 2) </w:t>
      </w:r>
      <w:r w:rsidR="00660574" w:rsidRPr="00681EE4">
        <w:rPr>
          <w:sz w:val="24"/>
          <w:szCs w:val="24"/>
        </w:rPr>
        <w:t>the fish are harvested</w:t>
      </w:r>
      <w:r w:rsidR="00DC6A67" w:rsidRPr="00681EE4">
        <w:rPr>
          <w:sz w:val="24"/>
          <w:szCs w:val="24"/>
        </w:rPr>
        <w:t xml:space="preserve"> </w:t>
      </w:r>
      <w:r w:rsidR="00064B6E" w:rsidRPr="00681EE4">
        <w:rPr>
          <w:sz w:val="24"/>
          <w:szCs w:val="24"/>
        </w:rPr>
        <w:t xml:space="preserve">from </w:t>
      </w:r>
      <w:r w:rsidR="00DC6A67" w:rsidRPr="00681EE4">
        <w:rPr>
          <w:sz w:val="24"/>
          <w:szCs w:val="24"/>
        </w:rPr>
        <w:t xml:space="preserve">state or federal waters </w:t>
      </w:r>
      <w:r w:rsidR="00064B6E" w:rsidRPr="00681EE4">
        <w:rPr>
          <w:sz w:val="24"/>
          <w:szCs w:val="24"/>
        </w:rPr>
        <w:t xml:space="preserve">in </w:t>
      </w:r>
      <w:r w:rsidR="00DC6A67" w:rsidRPr="00681EE4">
        <w:rPr>
          <w:sz w:val="24"/>
          <w:szCs w:val="24"/>
        </w:rPr>
        <w:t xml:space="preserve">the South Atlantic by a vessel </w:t>
      </w:r>
      <w:r w:rsidR="00064B6E" w:rsidRPr="00681EE4">
        <w:rPr>
          <w:sz w:val="24"/>
          <w:szCs w:val="24"/>
        </w:rPr>
        <w:t>with</w:t>
      </w:r>
      <w:r w:rsidR="00DC6A67" w:rsidRPr="00681EE4">
        <w:rPr>
          <w:sz w:val="24"/>
          <w:szCs w:val="24"/>
        </w:rPr>
        <w:t xml:space="preserve"> a valid </w:t>
      </w:r>
      <w:r w:rsidR="00660574" w:rsidRPr="00681EE4">
        <w:rPr>
          <w:sz w:val="24"/>
          <w:szCs w:val="24"/>
        </w:rPr>
        <w:t>f</w:t>
      </w:r>
      <w:r w:rsidR="00DC6A67" w:rsidRPr="00681EE4">
        <w:rPr>
          <w:sz w:val="24"/>
          <w:szCs w:val="24"/>
        </w:rPr>
        <w:t>ederal commercial permit for South Atlantic snapper-grouper  (50 CFR 622.192(f) and (h))</w:t>
      </w:r>
      <w:r w:rsidR="009436AD" w:rsidRPr="00681EE4">
        <w:rPr>
          <w:sz w:val="24"/>
          <w:szCs w:val="24"/>
        </w:rPr>
        <w:t>.</w:t>
      </w:r>
      <w:r w:rsidR="006C0C1F" w:rsidRPr="00681EE4">
        <w:rPr>
          <w:sz w:val="24"/>
          <w:szCs w:val="24"/>
        </w:rPr>
        <w:t xml:space="preserve"> </w:t>
      </w:r>
    </w:p>
    <w:p w:rsidR="00DF2415" w:rsidRPr="00681EE4" w:rsidRDefault="00DF2415" w:rsidP="002F64DC">
      <w:pPr>
        <w:rPr>
          <w:sz w:val="24"/>
          <w:szCs w:val="24"/>
        </w:rPr>
      </w:pPr>
    </w:p>
    <w:p w:rsidR="00DC6A67" w:rsidRPr="00681EE4" w:rsidRDefault="00660574" w:rsidP="002F64DC">
      <w:pPr>
        <w:rPr>
          <w:sz w:val="24"/>
          <w:szCs w:val="24"/>
        </w:rPr>
      </w:pPr>
      <w:r w:rsidRPr="00681EE4">
        <w:rPr>
          <w:sz w:val="24"/>
          <w:szCs w:val="24"/>
        </w:rPr>
        <w:t>D</w:t>
      </w:r>
      <w:r w:rsidR="00B775DC" w:rsidRPr="00681EE4">
        <w:rPr>
          <w:sz w:val="24"/>
          <w:szCs w:val="24"/>
        </w:rPr>
        <w:t xml:space="preserve">uring April, no person may </w:t>
      </w:r>
      <w:r w:rsidR="00143364" w:rsidRPr="00681EE4">
        <w:rPr>
          <w:sz w:val="24"/>
          <w:szCs w:val="24"/>
        </w:rPr>
        <w:t xml:space="preserve">purchase or </w:t>
      </w:r>
      <w:r w:rsidR="00B775DC" w:rsidRPr="00681EE4">
        <w:rPr>
          <w:sz w:val="24"/>
          <w:szCs w:val="24"/>
        </w:rPr>
        <w:t>sell greater amberjack</w:t>
      </w:r>
      <w:r w:rsidRPr="00681EE4">
        <w:rPr>
          <w:sz w:val="24"/>
          <w:szCs w:val="24"/>
        </w:rPr>
        <w:t xml:space="preserve"> if: 1) the fish is</w:t>
      </w:r>
      <w:r w:rsidR="007C2672" w:rsidRPr="00681EE4">
        <w:rPr>
          <w:sz w:val="24"/>
          <w:szCs w:val="24"/>
        </w:rPr>
        <w:t xml:space="preserve"> harvested from South Atlantic </w:t>
      </w:r>
      <w:r w:rsidR="0047017D" w:rsidRPr="00681EE4">
        <w:rPr>
          <w:sz w:val="24"/>
          <w:szCs w:val="24"/>
        </w:rPr>
        <w:t xml:space="preserve">federal </w:t>
      </w:r>
      <w:r w:rsidR="009436AD" w:rsidRPr="00681EE4">
        <w:rPr>
          <w:sz w:val="24"/>
          <w:szCs w:val="24"/>
        </w:rPr>
        <w:t>water</w:t>
      </w:r>
      <w:r w:rsidR="00111714" w:rsidRPr="00681EE4">
        <w:rPr>
          <w:sz w:val="24"/>
          <w:szCs w:val="24"/>
        </w:rPr>
        <w:t>s</w:t>
      </w:r>
      <w:r w:rsidRPr="00681EE4">
        <w:rPr>
          <w:sz w:val="24"/>
          <w:szCs w:val="24"/>
        </w:rPr>
        <w:t>,</w:t>
      </w:r>
      <w:r w:rsidR="00111714" w:rsidRPr="00681EE4">
        <w:rPr>
          <w:sz w:val="24"/>
          <w:szCs w:val="24"/>
        </w:rPr>
        <w:t xml:space="preserve"> </w:t>
      </w:r>
      <w:r w:rsidR="007C2672" w:rsidRPr="00681EE4">
        <w:rPr>
          <w:sz w:val="24"/>
          <w:szCs w:val="24"/>
        </w:rPr>
        <w:t>or</w:t>
      </w:r>
      <w:r w:rsidRPr="00681EE4">
        <w:rPr>
          <w:sz w:val="24"/>
          <w:szCs w:val="24"/>
        </w:rPr>
        <w:t xml:space="preserve"> 2)</w:t>
      </w:r>
      <w:r w:rsidR="007C2672" w:rsidRPr="00681EE4">
        <w:rPr>
          <w:sz w:val="24"/>
          <w:szCs w:val="24"/>
        </w:rPr>
        <w:t xml:space="preserve"> </w:t>
      </w:r>
      <w:r w:rsidRPr="00681EE4">
        <w:rPr>
          <w:sz w:val="24"/>
          <w:szCs w:val="24"/>
        </w:rPr>
        <w:t xml:space="preserve">the fish is </w:t>
      </w:r>
      <w:r w:rsidR="007C2672" w:rsidRPr="00681EE4">
        <w:rPr>
          <w:sz w:val="24"/>
          <w:szCs w:val="24"/>
        </w:rPr>
        <w:t xml:space="preserve">harvested </w:t>
      </w:r>
      <w:r w:rsidR="00064B6E" w:rsidRPr="00681EE4">
        <w:rPr>
          <w:sz w:val="24"/>
          <w:szCs w:val="24"/>
        </w:rPr>
        <w:t xml:space="preserve">from </w:t>
      </w:r>
      <w:r w:rsidR="001E48EE" w:rsidRPr="00681EE4">
        <w:rPr>
          <w:sz w:val="24"/>
          <w:szCs w:val="24"/>
        </w:rPr>
        <w:t xml:space="preserve">state or federal waters in the South Atlantic </w:t>
      </w:r>
      <w:r w:rsidR="007C2672" w:rsidRPr="00681EE4">
        <w:rPr>
          <w:sz w:val="24"/>
          <w:szCs w:val="24"/>
        </w:rPr>
        <w:t xml:space="preserve">by a vessel </w:t>
      </w:r>
      <w:r w:rsidR="0047017D" w:rsidRPr="00681EE4">
        <w:rPr>
          <w:sz w:val="24"/>
          <w:szCs w:val="24"/>
        </w:rPr>
        <w:t>with</w:t>
      </w:r>
      <w:r w:rsidR="007C2672" w:rsidRPr="00681EE4">
        <w:rPr>
          <w:sz w:val="24"/>
          <w:szCs w:val="24"/>
        </w:rPr>
        <w:t xml:space="preserve"> a valid </w:t>
      </w:r>
      <w:r w:rsidR="0047017D" w:rsidRPr="00681EE4">
        <w:rPr>
          <w:sz w:val="24"/>
          <w:szCs w:val="24"/>
        </w:rPr>
        <w:t xml:space="preserve">federal </w:t>
      </w:r>
      <w:r w:rsidR="007C2672" w:rsidRPr="00681EE4">
        <w:rPr>
          <w:sz w:val="24"/>
          <w:szCs w:val="24"/>
        </w:rPr>
        <w:t xml:space="preserve">commercial </w:t>
      </w:r>
      <w:r w:rsidR="001E48EE" w:rsidRPr="00681EE4">
        <w:rPr>
          <w:sz w:val="24"/>
          <w:szCs w:val="24"/>
        </w:rPr>
        <w:t>p</w:t>
      </w:r>
      <w:r w:rsidR="007C2672" w:rsidRPr="00681EE4">
        <w:rPr>
          <w:sz w:val="24"/>
          <w:szCs w:val="24"/>
        </w:rPr>
        <w:t xml:space="preserve">ermit for South Atlantic snapper-grouper </w:t>
      </w:r>
      <w:r w:rsidR="00DC6A67" w:rsidRPr="00681EE4">
        <w:rPr>
          <w:sz w:val="24"/>
          <w:szCs w:val="24"/>
        </w:rPr>
        <w:t>(50 CFR 622.192(g))</w:t>
      </w:r>
      <w:r w:rsidR="007C2672" w:rsidRPr="00681EE4">
        <w:rPr>
          <w:sz w:val="24"/>
          <w:szCs w:val="24"/>
        </w:rPr>
        <w:t>.</w:t>
      </w:r>
      <w:r w:rsidR="006C0C1F" w:rsidRPr="00681EE4">
        <w:rPr>
          <w:sz w:val="24"/>
          <w:szCs w:val="24"/>
        </w:rPr>
        <w:t xml:space="preserve"> </w:t>
      </w:r>
    </w:p>
    <w:p w:rsidR="00DC6A67" w:rsidRPr="00681EE4" w:rsidRDefault="00DC6A67" w:rsidP="002F64DC">
      <w:pPr>
        <w:rPr>
          <w:sz w:val="24"/>
          <w:szCs w:val="24"/>
        </w:rPr>
      </w:pPr>
    </w:p>
    <w:p w:rsidR="007C2672" w:rsidRPr="00681EE4" w:rsidRDefault="0047017D" w:rsidP="002F64DC">
      <w:pPr>
        <w:rPr>
          <w:sz w:val="24"/>
          <w:szCs w:val="24"/>
        </w:rPr>
      </w:pPr>
      <w:r w:rsidRPr="00681EE4">
        <w:rPr>
          <w:sz w:val="24"/>
          <w:szCs w:val="24"/>
        </w:rPr>
        <w:t xml:space="preserve">These </w:t>
      </w:r>
      <w:r w:rsidR="007C2672" w:rsidRPr="00681EE4">
        <w:rPr>
          <w:sz w:val="24"/>
          <w:szCs w:val="24"/>
        </w:rPr>
        <w:t>prohibition</w:t>
      </w:r>
      <w:r w:rsidRPr="00681EE4">
        <w:rPr>
          <w:sz w:val="24"/>
          <w:szCs w:val="24"/>
        </w:rPr>
        <w:t>s</w:t>
      </w:r>
      <w:r w:rsidR="007C2672" w:rsidRPr="00681EE4">
        <w:rPr>
          <w:sz w:val="24"/>
          <w:szCs w:val="24"/>
        </w:rPr>
        <w:t xml:space="preserve"> do not apply to a dealer's purchase or sale of </w:t>
      </w:r>
      <w:r w:rsidR="00DF246B" w:rsidRPr="00681EE4">
        <w:rPr>
          <w:sz w:val="24"/>
          <w:szCs w:val="24"/>
        </w:rPr>
        <w:t>such species</w:t>
      </w:r>
      <w:r w:rsidR="007C2672" w:rsidRPr="00681EE4">
        <w:rPr>
          <w:sz w:val="24"/>
          <w:szCs w:val="24"/>
        </w:rPr>
        <w:t xml:space="preserve"> harvested from an area other than the South Atlantic, provided such fish is accompanied by documentation of harvest outside the South Atlantic</w:t>
      </w:r>
      <w:r w:rsidR="001E48EE" w:rsidRPr="00681EE4">
        <w:rPr>
          <w:sz w:val="24"/>
          <w:szCs w:val="24"/>
        </w:rPr>
        <w:t xml:space="preserve"> as specified in the response to Question 2 below and in 50 CFR 622.192(i)</w:t>
      </w:r>
      <w:r w:rsidR="007C2672" w:rsidRPr="00681EE4">
        <w:rPr>
          <w:sz w:val="24"/>
          <w:szCs w:val="24"/>
        </w:rPr>
        <w:t>.</w:t>
      </w:r>
      <w:r w:rsidR="001E48EE" w:rsidRPr="00681EE4">
        <w:rPr>
          <w:sz w:val="24"/>
          <w:szCs w:val="24"/>
        </w:rPr>
        <w:t xml:space="preserve"> </w:t>
      </w:r>
    </w:p>
    <w:p w:rsidR="00C42ECF" w:rsidRPr="00681EE4" w:rsidRDefault="00C42ECF" w:rsidP="002F64DC">
      <w:pPr>
        <w:rPr>
          <w:sz w:val="24"/>
          <w:szCs w:val="24"/>
        </w:rPr>
      </w:pPr>
    </w:p>
    <w:p w:rsidR="00A81C16" w:rsidRPr="00681EE4" w:rsidRDefault="00A81C16" w:rsidP="00A81C16">
      <w:pPr>
        <w:rPr>
          <w:sz w:val="24"/>
          <w:szCs w:val="24"/>
        </w:rPr>
      </w:pPr>
      <w:r w:rsidRPr="00681EE4">
        <w:rPr>
          <w:b/>
          <w:bCs/>
          <w:sz w:val="24"/>
          <w:szCs w:val="24"/>
        </w:rPr>
        <w:t>2.</w:t>
      </w:r>
      <w:r w:rsidR="006C0C1F" w:rsidRPr="00681EE4">
        <w:rPr>
          <w:b/>
          <w:bCs/>
          <w:sz w:val="24"/>
          <w:szCs w:val="24"/>
        </w:rPr>
        <w:t xml:space="preserve"> </w:t>
      </w:r>
      <w:r w:rsidRPr="00681EE4">
        <w:rPr>
          <w:sz w:val="24"/>
          <w:szCs w:val="24"/>
          <w:lang w:val="en-CA"/>
        </w:rPr>
        <w:fldChar w:fldCharType="begin"/>
      </w:r>
      <w:r w:rsidRPr="00681EE4">
        <w:rPr>
          <w:sz w:val="24"/>
          <w:szCs w:val="24"/>
          <w:lang w:val="en-CA"/>
        </w:rPr>
        <w:instrText xml:space="preserve"> SEQ CHAPTER \h \r 1</w:instrText>
      </w:r>
      <w:r w:rsidRPr="00681EE4">
        <w:rPr>
          <w:sz w:val="24"/>
          <w:szCs w:val="24"/>
          <w:lang w:val="en-CA"/>
        </w:rPr>
        <w:fldChar w:fldCharType="end"/>
      </w:r>
      <w:r w:rsidRPr="00681EE4">
        <w:rPr>
          <w:b/>
          <w:bCs/>
          <w:sz w:val="24"/>
          <w:szCs w:val="24"/>
          <w:u w:val="single"/>
        </w:rPr>
        <w:t>Explain how, by whom, how frequently, and for what purpose the information will be used.</w:t>
      </w:r>
      <w:r w:rsidR="006C0C1F" w:rsidRPr="00681EE4">
        <w:rPr>
          <w:b/>
          <w:bCs/>
          <w:sz w:val="24"/>
          <w:szCs w:val="24"/>
          <w:u w:val="single"/>
        </w:rPr>
        <w:t xml:space="preserve"> </w:t>
      </w:r>
      <w:r w:rsidRPr="00681EE4">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681EE4">
        <w:rPr>
          <w:b/>
          <w:bCs/>
          <w:sz w:val="24"/>
          <w:szCs w:val="24"/>
        </w:rPr>
        <w:t xml:space="preserve">. </w:t>
      </w:r>
    </w:p>
    <w:p w:rsidR="00A81C16" w:rsidRPr="00681EE4" w:rsidRDefault="00A81C16" w:rsidP="00A81C16">
      <w:pPr>
        <w:rPr>
          <w:sz w:val="24"/>
          <w:szCs w:val="24"/>
        </w:rPr>
      </w:pPr>
    </w:p>
    <w:p w:rsidR="00A11165" w:rsidRPr="00681EE4" w:rsidRDefault="00C42ECF" w:rsidP="007A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81EE4">
        <w:rPr>
          <w:sz w:val="24"/>
          <w:szCs w:val="24"/>
        </w:rPr>
        <w:t xml:space="preserve">A dealer's purchase or sale of </w:t>
      </w:r>
      <w:r w:rsidR="00EF5EB0" w:rsidRPr="00681EE4">
        <w:rPr>
          <w:sz w:val="24"/>
          <w:szCs w:val="24"/>
        </w:rPr>
        <w:t xml:space="preserve">greater amberjack, red porgy, gag, black grouper, red grouper, scamp, red hind, rock hind, yellowmouth grouper, yellowfin grouper, graysby, or coney </w:t>
      </w:r>
      <w:r w:rsidRPr="00681EE4">
        <w:rPr>
          <w:sz w:val="24"/>
          <w:szCs w:val="24"/>
        </w:rPr>
        <w:t>harvested from an area other than the South Atlantic must be accompanied by documentation of harvest outside the South Atlantic.</w:t>
      </w:r>
      <w:r w:rsidR="006C0C1F" w:rsidRPr="00681EE4">
        <w:rPr>
          <w:sz w:val="24"/>
          <w:szCs w:val="24"/>
        </w:rPr>
        <w:t xml:space="preserve"> </w:t>
      </w:r>
      <w:r w:rsidRPr="00681EE4">
        <w:rPr>
          <w:sz w:val="24"/>
          <w:szCs w:val="24"/>
        </w:rPr>
        <w:t xml:space="preserve">Such documentation must contain the information specified in </w:t>
      </w:r>
      <w:r w:rsidR="00B514BA" w:rsidRPr="00681EE4">
        <w:rPr>
          <w:sz w:val="24"/>
          <w:szCs w:val="24"/>
        </w:rPr>
        <w:t>50 CFR 622.19</w:t>
      </w:r>
      <w:r w:rsidR="000E155B" w:rsidRPr="00681EE4">
        <w:rPr>
          <w:sz w:val="24"/>
          <w:szCs w:val="24"/>
        </w:rPr>
        <w:t>2(</w:t>
      </w:r>
      <w:r w:rsidR="00B514BA" w:rsidRPr="00681EE4">
        <w:rPr>
          <w:sz w:val="24"/>
          <w:szCs w:val="24"/>
        </w:rPr>
        <w:t>i)</w:t>
      </w:r>
      <w:r w:rsidR="00A11165" w:rsidRPr="00681EE4">
        <w:rPr>
          <w:sz w:val="24"/>
          <w:szCs w:val="24"/>
        </w:rPr>
        <w:t>,</w:t>
      </w:r>
      <w:r w:rsidR="006C0C1F" w:rsidRPr="00681EE4">
        <w:rPr>
          <w:sz w:val="24"/>
          <w:szCs w:val="24"/>
        </w:rPr>
        <w:t xml:space="preserve"> </w:t>
      </w:r>
      <w:r w:rsidR="00952D34" w:rsidRPr="00681EE4">
        <w:rPr>
          <w:sz w:val="24"/>
          <w:szCs w:val="24"/>
        </w:rPr>
        <w:t xml:space="preserve">and </w:t>
      </w:r>
      <w:hyperlink r:id="rId10" w:history="1">
        <w:r w:rsidR="00FC08B9" w:rsidRPr="00681EE4">
          <w:rPr>
            <w:rStyle w:val="Hyperlink"/>
            <w:sz w:val="24"/>
            <w:szCs w:val="24"/>
          </w:rPr>
          <w:t>50 CFR part 300</w:t>
        </w:r>
      </w:hyperlink>
      <w:r w:rsidR="0017507C" w:rsidRPr="00681EE4">
        <w:rPr>
          <w:sz w:val="24"/>
          <w:szCs w:val="24"/>
        </w:rPr>
        <w:t>,</w:t>
      </w:r>
      <w:r w:rsidR="00FC08B9" w:rsidRPr="00681EE4">
        <w:rPr>
          <w:sz w:val="24"/>
          <w:szCs w:val="24"/>
        </w:rPr>
        <w:t xml:space="preserve"> subpart K </w:t>
      </w:r>
      <w:r w:rsidRPr="00681EE4">
        <w:rPr>
          <w:sz w:val="24"/>
          <w:szCs w:val="24"/>
        </w:rPr>
        <w:t>for marking containers or packages of fish or wildlife that are imported, exported, or transported in interstate commerce.</w:t>
      </w:r>
      <w:r w:rsidR="006C0C1F" w:rsidRPr="00681EE4">
        <w:rPr>
          <w:sz w:val="24"/>
          <w:szCs w:val="24"/>
        </w:rPr>
        <w:t xml:space="preserve"> </w:t>
      </w:r>
      <w:r w:rsidRPr="00681EE4">
        <w:rPr>
          <w:sz w:val="24"/>
          <w:szCs w:val="24"/>
        </w:rPr>
        <w:t>The required documentation allow</w:t>
      </w:r>
      <w:r w:rsidR="00A11165" w:rsidRPr="00681EE4">
        <w:rPr>
          <w:sz w:val="24"/>
          <w:szCs w:val="24"/>
        </w:rPr>
        <w:t>s</w:t>
      </w:r>
      <w:r w:rsidRPr="00681EE4">
        <w:rPr>
          <w:sz w:val="24"/>
          <w:szCs w:val="24"/>
        </w:rPr>
        <w:t xml:space="preserve"> dealers to sell fish</w:t>
      </w:r>
      <w:r w:rsidR="00402DEB" w:rsidRPr="00681EE4">
        <w:rPr>
          <w:sz w:val="24"/>
          <w:szCs w:val="24"/>
        </w:rPr>
        <w:t xml:space="preserve"> that</w:t>
      </w:r>
      <w:r w:rsidRPr="00681EE4">
        <w:rPr>
          <w:sz w:val="24"/>
          <w:szCs w:val="24"/>
        </w:rPr>
        <w:t xml:space="preserve"> were caught from areas outside the South Atlantic </w:t>
      </w:r>
      <w:r w:rsidRPr="00681EE4">
        <w:rPr>
          <w:sz w:val="24"/>
          <w:szCs w:val="24"/>
        </w:rPr>
        <w:lastRenderedPageBreak/>
        <w:t>during closed seasons.</w:t>
      </w:r>
      <w:r w:rsidR="006C0C1F" w:rsidRPr="00681EE4">
        <w:rPr>
          <w:sz w:val="24"/>
          <w:szCs w:val="24"/>
        </w:rPr>
        <w:t xml:space="preserve"> </w:t>
      </w:r>
      <w:r w:rsidR="00A11165" w:rsidRPr="00681EE4">
        <w:rPr>
          <w:sz w:val="24"/>
          <w:szCs w:val="24"/>
        </w:rPr>
        <w:t xml:space="preserve">The documentation supporting a dealer's purchase or sale of applicable species during an applicable closed season must contain the information below. </w:t>
      </w:r>
    </w:p>
    <w:p w:rsidR="00C42ECF" w:rsidRPr="00681EE4" w:rsidRDefault="00C42ECF" w:rsidP="007A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C42ECF" w:rsidRPr="00681EE4" w:rsidRDefault="00F748FE"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The information specified in 50 CFR part 300, subpart K for marking containers or packages of fish or wildlife that are imported, exported, or transported in interstate commerce</w:t>
      </w:r>
    </w:p>
    <w:p w:rsidR="00A03B6A" w:rsidRPr="00681EE4" w:rsidRDefault="00F748FE"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 xml:space="preserve">The official number of the vessel harvesting the </w:t>
      </w:r>
      <w:r w:rsidRPr="00681EE4">
        <w:rPr>
          <w:sz w:val="24"/>
          <w:szCs w:val="24"/>
        </w:rPr>
        <w:t>species</w:t>
      </w:r>
      <w:r w:rsidRPr="00681EE4" w:rsidDel="00F748FE">
        <w:rPr>
          <w:bCs/>
          <w:sz w:val="24"/>
          <w:szCs w:val="24"/>
        </w:rPr>
        <w:t xml:space="preserve"> </w:t>
      </w:r>
    </w:p>
    <w:p w:rsidR="00111714" w:rsidRPr="00681EE4" w:rsidRDefault="00F748FE"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 xml:space="preserve">The registered name of the vessel harvesting the </w:t>
      </w:r>
      <w:r w:rsidRPr="00681EE4">
        <w:rPr>
          <w:sz w:val="24"/>
          <w:szCs w:val="24"/>
        </w:rPr>
        <w:t>species</w:t>
      </w:r>
      <w:r w:rsidRPr="00681EE4" w:rsidDel="00F748FE">
        <w:rPr>
          <w:bCs/>
          <w:sz w:val="24"/>
          <w:szCs w:val="24"/>
        </w:rPr>
        <w:t xml:space="preserve"> </w:t>
      </w:r>
    </w:p>
    <w:p w:rsidR="00111714" w:rsidRPr="00681EE4" w:rsidRDefault="00F748FE"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 xml:space="preserve">The home port of the vessel harvesting the </w:t>
      </w:r>
      <w:r w:rsidRPr="00681EE4">
        <w:rPr>
          <w:sz w:val="24"/>
          <w:szCs w:val="24"/>
        </w:rPr>
        <w:t>species</w:t>
      </w:r>
      <w:r w:rsidRPr="00681EE4" w:rsidDel="00F748FE">
        <w:rPr>
          <w:bCs/>
          <w:sz w:val="24"/>
          <w:szCs w:val="24"/>
        </w:rPr>
        <w:t xml:space="preserve"> </w:t>
      </w:r>
    </w:p>
    <w:p w:rsidR="00111714" w:rsidRPr="00681EE4" w:rsidRDefault="00F748FE"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 xml:space="preserve">The port of offloading from the vessel harvesting the </w:t>
      </w:r>
      <w:r w:rsidRPr="00681EE4">
        <w:rPr>
          <w:sz w:val="24"/>
          <w:szCs w:val="24"/>
        </w:rPr>
        <w:t>species</w:t>
      </w:r>
      <w:r w:rsidRPr="00681EE4" w:rsidDel="00F748FE">
        <w:rPr>
          <w:bCs/>
          <w:sz w:val="24"/>
          <w:szCs w:val="24"/>
        </w:rPr>
        <w:t xml:space="preserve"> </w:t>
      </w:r>
    </w:p>
    <w:p w:rsidR="00A11165" w:rsidRPr="00681EE4" w:rsidRDefault="00F748FE" w:rsidP="00C42ECF">
      <w:pPr>
        <w:widowControl/>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 xml:space="preserve">The date of offloading from the vessel harvesting the </w:t>
      </w:r>
      <w:r w:rsidRPr="00681EE4">
        <w:rPr>
          <w:sz w:val="24"/>
          <w:szCs w:val="24"/>
        </w:rPr>
        <w:t>species</w:t>
      </w:r>
      <w:r w:rsidRPr="00681EE4" w:rsidDel="00A11165">
        <w:rPr>
          <w:bCs/>
          <w:sz w:val="24"/>
          <w:szCs w:val="24"/>
        </w:rPr>
        <w:t xml:space="preserve"> </w:t>
      </w:r>
    </w:p>
    <w:p w:rsidR="00F748FE" w:rsidRPr="00681EE4" w:rsidRDefault="00F748FE" w:rsidP="00F748FE">
      <w:pPr>
        <w:pStyle w:val="ListParagraph"/>
        <w:numPr>
          <w:ilvl w:val="0"/>
          <w:numId w:val="2"/>
        </w:numPr>
        <w:rPr>
          <w:bCs/>
          <w:sz w:val="24"/>
          <w:szCs w:val="24"/>
        </w:rPr>
      </w:pPr>
      <w:r w:rsidRPr="00681EE4">
        <w:rPr>
          <w:bCs/>
          <w:sz w:val="24"/>
          <w:szCs w:val="24"/>
        </w:rPr>
        <w:t>A statement signed by the dealer attesting that the species were harvested from an area other than in state or federal waters of the South Atlantic</w:t>
      </w:r>
    </w:p>
    <w:p w:rsidR="00A03B6A" w:rsidRPr="00681EE4" w:rsidRDefault="00A03B6A"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p>
    <w:p w:rsidR="00A03B6A" w:rsidRPr="00681EE4" w:rsidRDefault="00402DEB"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 xml:space="preserve">NOAA’s Office of </w:t>
      </w:r>
      <w:r w:rsidR="00A03B6A" w:rsidRPr="00681EE4">
        <w:rPr>
          <w:bCs/>
          <w:sz w:val="24"/>
          <w:szCs w:val="24"/>
        </w:rPr>
        <w:t>Law Enforcement</w:t>
      </w:r>
      <w:r w:rsidRPr="00681EE4">
        <w:rPr>
          <w:bCs/>
          <w:sz w:val="24"/>
          <w:szCs w:val="24"/>
        </w:rPr>
        <w:t xml:space="preserve"> (OLE)</w:t>
      </w:r>
      <w:r w:rsidR="00A03B6A" w:rsidRPr="00681EE4">
        <w:rPr>
          <w:bCs/>
          <w:sz w:val="24"/>
          <w:szCs w:val="24"/>
        </w:rPr>
        <w:t xml:space="preserve"> will use the data when investigating the sale of fish during those periods when fishing is restricted.</w:t>
      </w:r>
      <w:r w:rsidR="006C0C1F" w:rsidRPr="00681EE4">
        <w:rPr>
          <w:bCs/>
          <w:sz w:val="24"/>
          <w:szCs w:val="24"/>
        </w:rPr>
        <w:t xml:space="preserve"> </w:t>
      </w:r>
      <w:r w:rsidR="00A03B6A" w:rsidRPr="00681EE4">
        <w:rPr>
          <w:bCs/>
          <w:sz w:val="24"/>
          <w:szCs w:val="24"/>
        </w:rPr>
        <w:t>Record keeping is required to document the origin of the fish being sold out of season.</w:t>
      </w:r>
    </w:p>
    <w:p w:rsidR="00A03B6A" w:rsidRPr="00681EE4" w:rsidRDefault="00A03B6A"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p>
    <w:p w:rsidR="00A03B6A" w:rsidRPr="00681EE4" w:rsidRDefault="00BE7C87" w:rsidP="00A03B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sz w:val="24"/>
          <w:szCs w:val="24"/>
        </w:rPr>
      </w:pPr>
      <w:r w:rsidRPr="00681EE4">
        <w:rPr>
          <w:bCs/>
          <w:sz w:val="24"/>
          <w:szCs w:val="24"/>
        </w:rPr>
        <w:t>NMFS</w:t>
      </w:r>
      <w:r w:rsidR="00A03B6A" w:rsidRPr="00681EE4">
        <w:rPr>
          <w:bCs/>
          <w:sz w:val="24"/>
          <w:szCs w:val="24"/>
        </w:rPr>
        <w:t xml:space="preserve"> will retain control over the information and safeguard it from improper access, modification, and destruction, consistent with NOAA standards for confidentiality, privacy, and electronic information.</w:t>
      </w:r>
      <w:r w:rsidR="006C0C1F" w:rsidRPr="00681EE4">
        <w:rPr>
          <w:bCs/>
          <w:sz w:val="24"/>
          <w:szCs w:val="24"/>
        </w:rPr>
        <w:t xml:space="preserve"> </w:t>
      </w:r>
      <w:r w:rsidR="00A03B6A" w:rsidRPr="00681EE4">
        <w:rPr>
          <w:bCs/>
          <w:sz w:val="24"/>
          <w:szCs w:val="24"/>
        </w:rPr>
        <w:t xml:space="preserve">See response to </w:t>
      </w:r>
      <w:r w:rsidR="006412A9" w:rsidRPr="00681EE4">
        <w:rPr>
          <w:bCs/>
          <w:sz w:val="24"/>
          <w:szCs w:val="24"/>
        </w:rPr>
        <w:t xml:space="preserve">Question </w:t>
      </w:r>
      <w:r w:rsidR="00A03B6A" w:rsidRPr="00681EE4">
        <w:rPr>
          <w:bCs/>
          <w:sz w:val="24"/>
          <w:szCs w:val="24"/>
        </w:rPr>
        <w:t>10 of this Supporting Statement for more information on confidentiality and privacy</w:t>
      </w:r>
      <w:r w:rsidR="003102A4" w:rsidRPr="00681EE4">
        <w:rPr>
          <w:bCs/>
          <w:sz w:val="24"/>
          <w:szCs w:val="24"/>
        </w:rPr>
        <w:t>.</w:t>
      </w:r>
      <w:r w:rsidR="006C0C1F" w:rsidRPr="00681EE4">
        <w:rPr>
          <w:bCs/>
          <w:sz w:val="24"/>
          <w:szCs w:val="24"/>
        </w:rPr>
        <w:t xml:space="preserve"> </w:t>
      </w:r>
      <w:r w:rsidR="003102A4" w:rsidRPr="00681EE4">
        <w:rPr>
          <w:bCs/>
          <w:sz w:val="24"/>
          <w:szCs w:val="24"/>
        </w:rPr>
        <w:t>The information collection is designed to yield data that meet all applicable information quality guidelines.</w:t>
      </w:r>
      <w:r w:rsidR="006C0C1F" w:rsidRPr="00681EE4">
        <w:rPr>
          <w:bCs/>
          <w:sz w:val="24"/>
          <w:szCs w:val="24"/>
        </w:rPr>
        <w:t xml:space="preserve"> </w:t>
      </w:r>
      <w:r w:rsidR="003102A4" w:rsidRPr="00681EE4">
        <w:rPr>
          <w:bCs/>
          <w:sz w:val="24"/>
          <w:szCs w:val="24"/>
        </w:rPr>
        <w:t>Although the information collected is not expected to be disseminated directly to the public, results may be used in scientific, management, technical, or general informational publications.</w:t>
      </w:r>
      <w:r w:rsidR="006C0C1F" w:rsidRPr="00681EE4">
        <w:rPr>
          <w:bCs/>
          <w:sz w:val="24"/>
          <w:szCs w:val="24"/>
        </w:rPr>
        <w:t xml:space="preserve"> </w:t>
      </w:r>
      <w:r w:rsidR="003102A4" w:rsidRPr="00681EE4">
        <w:rPr>
          <w:bCs/>
          <w:sz w:val="24"/>
          <w:szCs w:val="24"/>
        </w:rPr>
        <w:t xml:space="preserve">Should </w:t>
      </w:r>
      <w:r w:rsidRPr="00681EE4">
        <w:rPr>
          <w:bCs/>
          <w:sz w:val="24"/>
          <w:szCs w:val="24"/>
        </w:rPr>
        <w:t>NMFS</w:t>
      </w:r>
      <w:r w:rsidR="003102A4" w:rsidRPr="00681EE4">
        <w:rPr>
          <w:bCs/>
          <w:sz w:val="24"/>
          <w:szCs w:val="24"/>
        </w:rPr>
        <w:t xml:space="preserve"> decide to disseminate the information, it will be subject to the quality control measures and pre-dissemination review pursuant to </w:t>
      </w:r>
      <w:hyperlink r:id="rId11" w:history="1">
        <w:r w:rsidR="003102A4" w:rsidRPr="00681EE4">
          <w:rPr>
            <w:rStyle w:val="Hyperlink"/>
            <w:bCs/>
            <w:sz w:val="24"/>
            <w:szCs w:val="24"/>
          </w:rPr>
          <w:t>Section 515 of Public Law 106-554</w:t>
        </w:r>
      </w:hyperlink>
      <w:r w:rsidR="003102A4" w:rsidRPr="00681EE4">
        <w:rPr>
          <w:bCs/>
          <w:sz w:val="24"/>
          <w:szCs w:val="24"/>
        </w:rPr>
        <w:t>.</w:t>
      </w:r>
    </w:p>
    <w:p w:rsidR="0078661E" w:rsidRPr="00681EE4" w:rsidRDefault="0078661E" w:rsidP="001B7EE8">
      <w:pPr>
        <w:rPr>
          <w:b/>
          <w:bCs/>
          <w:sz w:val="24"/>
          <w:szCs w:val="24"/>
        </w:rPr>
      </w:pPr>
    </w:p>
    <w:p w:rsidR="001B7EE8" w:rsidRPr="00681EE4" w:rsidRDefault="001B7EE8" w:rsidP="001B7EE8">
      <w:pPr>
        <w:rPr>
          <w:sz w:val="24"/>
          <w:szCs w:val="24"/>
        </w:rPr>
      </w:pPr>
      <w:r w:rsidRPr="00681EE4">
        <w:rPr>
          <w:b/>
          <w:bCs/>
          <w:sz w:val="24"/>
          <w:szCs w:val="24"/>
        </w:rPr>
        <w:t>3.</w:t>
      </w:r>
      <w:r w:rsidR="006C0C1F" w:rsidRPr="00681EE4">
        <w:rPr>
          <w:b/>
          <w:bCs/>
          <w:sz w:val="24"/>
          <w:szCs w:val="24"/>
        </w:rPr>
        <w:t xml:space="preserve"> </w:t>
      </w:r>
      <w:r w:rsidRPr="00681EE4">
        <w:rPr>
          <w:b/>
          <w:bCs/>
          <w:sz w:val="24"/>
          <w:szCs w:val="24"/>
          <w:u w:val="single"/>
        </w:rPr>
        <w:t>Describe whether, and to what extent, the collection of information involves the use of automated, electronic, mechanical, or other technological techniques or other forms of information technology</w:t>
      </w:r>
      <w:r w:rsidRPr="00681EE4">
        <w:rPr>
          <w:b/>
          <w:bCs/>
          <w:sz w:val="24"/>
          <w:szCs w:val="24"/>
        </w:rPr>
        <w:t>.</w:t>
      </w:r>
    </w:p>
    <w:p w:rsidR="00ED3EEB" w:rsidRPr="00681EE4" w:rsidRDefault="00ED3EEB" w:rsidP="001B7EE8">
      <w:pPr>
        <w:rPr>
          <w:sz w:val="24"/>
          <w:szCs w:val="24"/>
        </w:rPr>
      </w:pPr>
    </w:p>
    <w:p w:rsidR="007A7691" w:rsidRPr="00681EE4" w:rsidRDefault="00D100DF" w:rsidP="001B7EE8">
      <w:pPr>
        <w:rPr>
          <w:sz w:val="24"/>
          <w:szCs w:val="24"/>
        </w:rPr>
      </w:pPr>
      <w:r w:rsidRPr="00681EE4">
        <w:rPr>
          <w:sz w:val="24"/>
          <w:szCs w:val="24"/>
        </w:rPr>
        <w:t>The records required at the time of inspection are to be maintained by the fish dealer and must remain and be retained with the fish product, container, and/or catch being sold during those periods when fishing is restricted.</w:t>
      </w:r>
      <w:r w:rsidR="006C0C1F" w:rsidRPr="00681EE4">
        <w:rPr>
          <w:sz w:val="24"/>
          <w:szCs w:val="24"/>
        </w:rPr>
        <w:t xml:space="preserve"> </w:t>
      </w:r>
      <w:r w:rsidR="003A0899" w:rsidRPr="00681EE4">
        <w:rPr>
          <w:sz w:val="24"/>
          <w:szCs w:val="24"/>
        </w:rPr>
        <w:t>Also</w:t>
      </w:r>
      <w:r w:rsidR="00DA5BE6" w:rsidRPr="00681EE4">
        <w:rPr>
          <w:sz w:val="24"/>
          <w:szCs w:val="24"/>
        </w:rPr>
        <w:t>,</w:t>
      </w:r>
      <w:r w:rsidR="003A0899" w:rsidRPr="00681EE4">
        <w:rPr>
          <w:sz w:val="24"/>
          <w:szCs w:val="24"/>
        </w:rPr>
        <w:t xml:space="preserve"> a copy must be maintained with the sales records.</w:t>
      </w:r>
      <w:r w:rsidR="006C0C1F" w:rsidRPr="00681EE4">
        <w:rPr>
          <w:sz w:val="24"/>
          <w:szCs w:val="24"/>
        </w:rPr>
        <w:t xml:space="preserve"> </w:t>
      </w:r>
      <w:r w:rsidR="00052ED7" w:rsidRPr="00681EE4">
        <w:rPr>
          <w:sz w:val="24"/>
          <w:szCs w:val="24"/>
        </w:rPr>
        <w:t>Currently</w:t>
      </w:r>
      <w:r w:rsidRPr="00681EE4">
        <w:rPr>
          <w:sz w:val="24"/>
          <w:szCs w:val="24"/>
        </w:rPr>
        <w:t xml:space="preserve">, these documents </w:t>
      </w:r>
      <w:r w:rsidR="00052ED7" w:rsidRPr="00681EE4">
        <w:rPr>
          <w:sz w:val="24"/>
          <w:szCs w:val="24"/>
        </w:rPr>
        <w:t xml:space="preserve">are required to be maintained in paper form. </w:t>
      </w:r>
      <w:r w:rsidR="00946D14" w:rsidRPr="00681EE4">
        <w:rPr>
          <w:sz w:val="24"/>
          <w:szCs w:val="24"/>
        </w:rPr>
        <w:t xml:space="preserve">The </w:t>
      </w:r>
      <w:r w:rsidR="00052ED7" w:rsidRPr="00681EE4">
        <w:rPr>
          <w:sz w:val="24"/>
          <w:szCs w:val="24"/>
        </w:rPr>
        <w:t>main concern</w:t>
      </w:r>
      <w:r w:rsidR="00946D14" w:rsidRPr="00681EE4">
        <w:rPr>
          <w:sz w:val="24"/>
          <w:szCs w:val="24"/>
        </w:rPr>
        <w:t xml:space="preserve"> for NOAA OLE</w:t>
      </w:r>
      <w:r w:rsidR="00052ED7" w:rsidRPr="00681EE4">
        <w:rPr>
          <w:sz w:val="24"/>
          <w:szCs w:val="24"/>
        </w:rPr>
        <w:t xml:space="preserve"> is </w:t>
      </w:r>
      <w:r w:rsidR="003A0899" w:rsidRPr="00681EE4">
        <w:rPr>
          <w:sz w:val="24"/>
          <w:szCs w:val="24"/>
        </w:rPr>
        <w:t>maintaining a signature in the event</w:t>
      </w:r>
      <w:r w:rsidR="00DA5BE6" w:rsidRPr="00681EE4">
        <w:rPr>
          <w:sz w:val="24"/>
          <w:szCs w:val="24"/>
        </w:rPr>
        <w:t xml:space="preserve"> that</w:t>
      </w:r>
      <w:r w:rsidR="003A0899" w:rsidRPr="00681EE4">
        <w:rPr>
          <w:sz w:val="24"/>
          <w:szCs w:val="24"/>
        </w:rPr>
        <w:t xml:space="preserve"> the authenticity becomes a question</w:t>
      </w:r>
      <w:r w:rsidRPr="00681EE4">
        <w:rPr>
          <w:sz w:val="24"/>
          <w:szCs w:val="24"/>
        </w:rPr>
        <w:t>.</w:t>
      </w:r>
    </w:p>
    <w:p w:rsidR="007A7691" w:rsidRPr="00681EE4" w:rsidRDefault="007A7691" w:rsidP="001B7EE8">
      <w:pPr>
        <w:rPr>
          <w:sz w:val="24"/>
          <w:szCs w:val="24"/>
        </w:rPr>
      </w:pPr>
    </w:p>
    <w:p w:rsidR="001B7EE8" w:rsidRPr="00681EE4" w:rsidRDefault="001B7EE8" w:rsidP="001B7EE8">
      <w:pPr>
        <w:rPr>
          <w:sz w:val="24"/>
          <w:szCs w:val="24"/>
        </w:rPr>
      </w:pPr>
      <w:r w:rsidRPr="00681EE4">
        <w:rPr>
          <w:b/>
          <w:bCs/>
          <w:sz w:val="24"/>
          <w:szCs w:val="24"/>
        </w:rPr>
        <w:t>4.</w:t>
      </w:r>
      <w:r w:rsidR="006C0C1F" w:rsidRPr="00681EE4">
        <w:rPr>
          <w:b/>
          <w:bCs/>
          <w:sz w:val="24"/>
          <w:szCs w:val="24"/>
        </w:rPr>
        <w:t xml:space="preserve"> </w:t>
      </w:r>
      <w:r w:rsidRPr="00681EE4">
        <w:rPr>
          <w:b/>
          <w:bCs/>
          <w:sz w:val="24"/>
          <w:szCs w:val="24"/>
          <w:u w:val="single"/>
        </w:rPr>
        <w:t>Describe efforts to identify duplication</w:t>
      </w:r>
      <w:r w:rsidRPr="00681EE4">
        <w:rPr>
          <w:b/>
          <w:bCs/>
          <w:sz w:val="24"/>
          <w:szCs w:val="24"/>
        </w:rPr>
        <w:t>.</w:t>
      </w:r>
    </w:p>
    <w:p w:rsidR="001B7EE8" w:rsidRPr="00681EE4" w:rsidRDefault="001B7EE8" w:rsidP="001B7EE8">
      <w:pPr>
        <w:rPr>
          <w:sz w:val="24"/>
          <w:szCs w:val="24"/>
        </w:rPr>
      </w:pPr>
    </w:p>
    <w:p w:rsidR="001B7EE8" w:rsidRPr="00681EE4" w:rsidRDefault="004926A0"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81EE4">
        <w:rPr>
          <w:sz w:val="24"/>
          <w:szCs w:val="24"/>
        </w:rPr>
        <w:t>There are no similar or comparable programs, as only federal regulations have been developed for this specific situation.</w:t>
      </w:r>
    </w:p>
    <w:p w:rsidR="00DC41A6" w:rsidRPr="00681EE4" w:rsidRDefault="00DC41A6">
      <w:pPr>
        <w:widowControl/>
        <w:autoSpaceDE/>
        <w:autoSpaceDN/>
        <w:adjustRightInd/>
        <w:rPr>
          <w:b/>
          <w:bCs/>
          <w:sz w:val="24"/>
          <w:szCs w:val="24"/>
        </w:rPr>
      </w:pPr>
    </w:p>
    <w:p w:rsidR="001B7EE8" w:rsidRPr="00681EE4" w:rsidRDefault="001B7EE8" w:rsidP="001B7EE8">
      <w:pPr>
        <w:rPr>
          <w:sz w:val="24"/>
          <w:szCs w:val="24"/>
        </w:rPr>
      </w:pPr>
      <w:r w:rsidRPr="00681EE4">
        <w:rPr>
          <w:b/>
          <w:bCs/>
          <w:sz w:val="24"/>
          <w:szCs w:val="24"/>
        </w:rPr>
        <w:t>5.</w:t>
      </w:r>
      <w:r w:rsidR="006C0C1F" w:rsidRPr="00681EE4">
        <w:rPr>
          <w:b/>
          <w:bCs/>
          <w:sz w:val="24"/>
          <w:szCs w:val="24"/>
        </w:rPr>
        <w:t xml:space="preserve"> </w:t>
      </w:r>
      <w:r w:rsidRPr="00681EE4">
        <w:rPr>
          <w:b/>
          <w:bCs/>
          <w:sz w:val="24"/>
          <w:szCs w:val="24"/>
          <w:u w:val="single"/>
        </w:rPr>
        <w:t>If the collection of information involves small businesses or other small entities, describe the methods used to minimize burden</w:t>
      </w:r>
      <w:r w:rsidRPr="00681EE4">
        <w:rPr>
          <w:b/>
          <w:bCs/>
          <w:sz w:val="24"/>
          <w:szCs w:val="24"/>
        </w:rPr>
        <w:t>.</w:t>
      </w:r>
      <w:r w:rsidRPr="00681EE4">
        <w:rPr>
          <w:sz w:val="24"/>
          <w:szCs w:val="24"/>
        </w:rPr>
        <w:t xml:space="preserve"> </w:t>
      </w:r>
    </w:p>
    <w:p w:rsidR="00E30EFC" w:rsidRPr="00681EE4" w:rsidRDefault="00E30EFC"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E30EFC" w:rsidRPr="00681EE4" w:rsidRDefault="004926A0"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81EE4">
        <w:rPr>
          <w:sz w:val="24"/>
          <w:szCs w:val="24"/>
        </w:rPr>
        <w:t>Most of the dealers in these fisheries can be categorized as small businesses.</w:t>
      </w:r>
      <w:r w:rsidR="006C0C1F" w:rsidRPr="00681EE4">
        <w:rPr>
          <w:sz w:val="24"/>
          <w:szCs w:val="24"/>
        </w:rPr>
        <w:t xml:space="preserve"> </w:t>
      </w:r>
      <w:r w:rsidRPr="00681EE4">
        <w:rPr>
          <w:sz w:val="24"/>
          <w:szCs w:val="24"/>
        </w:rPr>
        <w:t xml:space="preserve">The collection will not have a significant impact on small businesses, and no special modifications of the </w:t>
      </w:r>
    </w:p>
    <w:p w:rsidR="001B7EE8" w:rsidRPr="00681EE4" w:rsidRDefault="00E30EFC"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681EE4">
        <w:rPr>
          <w:sz w:val="24"/>
          <w:szCs w:val="24"/>
        </w:rPr>
        <w:lastRenderedPageBreak/>
        <w:t>r</w:t>
      </w:r>
      <w:r w:rsidR="004926A0" w:rsidRPr="00681EE4">
        <w:rPr>
          <w:sz w:val="24"/>
          <w:szCs w:val="24"/>
        </w:rPr>
        <w:t>equirements were considered necessary to accommodate the needs of small businesses.</w:t>
      </w:r>
    </w:p>
    <w:p w:rsidR="001B7EE8" w:rsidRPr="00681EE4" w:rsidRDefault="001B7EE8" w:rsidP="001B7EE8">
      <w:pPr>
        <w:rPr>
          <w:sz w:val="24"/>
          <w:szCs w:val="24"/>
        </w:rPr>
      </w:pPr>
    </w:p>
    <w:p w:rsidR="001B7EE8" w:rsidRPr="00681EE4" w:rsidRDefault="001B7EE8" w:rsidP="001B7EE8">
      <w:pPr>
        <w:rPr>
          <w:sz w:val="24"/>
          <w:szCs w:val="24"/>
        </w:rPr>
      </w:pPr>
      <w:r w:rsidRPr="00681EE4">
        <w:rPr>
          <w:b/>
          <w:bCs/>
          <w:sz w:val="24"/>
          <w:szCs w:val="24"/>
        </w:rPr>
        <w:t>6.</w:t>
      </w:r>
      <w:r w:rsidR="006C0C1F" w:rsidRPr="00681EE4">
        <w:rPr>
          <w:b/>
          <w:bCs/>
          <w:sz w:val="24"/>
          <w:szCs w:val="24"/>
        </w:rPr>
        <w:t xml:space="preserve"> </w:t>
      </w:r>
      <w:r w:rsidRPr="00681EE4">
        <w:rPr>
          <w:b/>
          <w:bCs/>
          <w:sz w:val="24"/>
          <w:szCs w:val="24"/>
          <w:u w:val="single"/>
        </w:rPr>
        <w:t xml:space="preserve">Describe the consequences to the </w:t>
      </w:r>
      <w:r w:rsidR="00402DEB" w:rsidRPr="00681EE4">
        <w:rPr>
          <w:b/>
          <w:bCs/>
          <w:sz w:val="24"/>
          <w:szCs w:val="24"/>
          <w:u w:val="single"/>
        </w:rPr>
        <w:t xml:space="preserve">federal </w:t>
      </w:r>
      <w:r w:rsidRPr="00681EE4">
        <w:rPr>
          <w:b/>
          <w:bCs/>
          <w:sz w:val="24"/>
          <w:szCs w:val="24"/>
          <w:u w:val="single"/>
        </w:rPr>
        <w:t>program or policy activities if the collection is not conducted or is conducted less frequently</w:t>
      </w:r>
      <w:r w:rsidRPr="00681EE4">
        <w:rPr>
          <w:b/>
          <w:bCs/>
          <w:sz w:val="24"/>
          <w:szCs w:val="24"/>
        </w:rPr>
        <w:t>.</w:t>
      </w:r>
      <w:r w:rsidRPr="00681EE4">
        <w:rPr>
          <w:sz w:val="24"/>
          <w:szCs w:val="24"/>
        </w:rPr>
        <w:t xml:space="preserve"> </w:t>
      </w:r>
    </w:p>
    <w:p w:rsidR="001B7EE8" w:rsidRPr="00681EE4" w:rsidRDefault="001B7EE8" w:rsidP="001B7EE8">
      <w:pPr>
        <w:rPr>
          <w:sz w:val="24"/>
          <w:szCs w:val="24"/>
        </w:rPr>
      </w:pPr>
    </w:p>
    <w:p w:rsidR="001B7EE8" w:rsidRPr="00681EE4" w:rsidRDefault="004926A0" w:rsidP="001B7EE8">
      <w:pPr>
        <w:rPr>
          <w:sz w:val="24"/>
          <w:szCs w:val="24"/>
        </w:rPr>
      </w:pPr>
      <w:r w:rsidRPr="00681EE4">
        <w:rPr>
          <w:sz w:val="24"/>
          <w:szCs w:val="24"/>
        </w:rPr>
        <w:t>There is no reporting frequency requirement for the dealers.</w:t>
      </w:r>
      <w:r w:rsidR="002F7D17" w:rsidRPr="00681EE4">
        <w:rPr>
          <w:sz w:val="24"/>
          <w:szCs w:val="24"/>
        </w:rPr>
        <w:t xml:space="preserve"> Seafood dealers are required to maintain r</w:t>
      </w:r>
      <w:r w:rsidRPr="00681EE4">
        <w:rPr>
          <w:sz w:val="24"/>
          <w:szCs w:val="24"/>
        </w:rPr>
        <w:t xml:space="preserve">ecords </w:t>
      </w:r>
      <w:r w:rsidR="002F7D17" w:rsidRPr="00681EE4">
        <w:rPr>
          <w:sz w:val="24"/>
          <w:szCs w:val="24"/>
        </w:rPr>
        <w:t xml:space="preserve">of purchase or sale, and make those records </w:t>
      </w:r>
      <w:r w:rsidRPr="00681EE4">
        <w:rPr>
          <w:sz w:val="24"/>
          <w:szCs w:val="24"/>
        </w:rPr>
        <w:t>available</w:t>
      </w:r>
      <w:r w:rsidR="002F7D17" w:rsidRPr="00681EE4">
        <w:rPr>
          <w:sz w:val="24"/>
          <w:szCs w:val="24"/>
        </w:rPr>
        <w:t xml:space="preserve"> to NOAA OLE</w:t>
      </w:r>
      <w:r w:rsidRPr="00681EE4">
        <w:rPr>
          <w:sz w:val="24"/>
          <w:szCs w:val="24"/>
        </w:rPr>
        <w:t xml:space="preserve"> upon request.</w:t>
      </w:r>
      <w:r w:rsidR="006C0C1F" w:rsidRPr="00681EE4">
        <w:rPr>
          <w:sz w:val="24"/>
          <w:szCs w:val="24"/>
        </w:rPr>
        <w:t xml:space="preserve"> </w:t>
      </w:r>
      <w:r w:rsidRPr="00681EE4">
        <w:rPr>
          <w:sz w:val="24"/>
          <w:szCs w:val="24"/>
        </w:rPr>
        <w:t>If re</w:t>
      </w:r>
      <w:r w:rsidR="00832005" w:rsidRPr="00681EE4">
        <w:rPr>
          <w:sz w:val="24"/>
          <w:szCs w:val="24"/>
        </w:rPr>
        <w:t>cords are not kept</w:t>
      </w:r>
      <w:r w:rsidR="001334C6" w:rsidRPr="00681EE4">
        <w:rPr>
          <w:sz w:val="24"/>
          <w:szCs w:val="24"/>
        </w:rPr>
        <w:t>,</w:t>
      </w:r>
      <w:r w:rsidR="00832005" w:rsidRPr="00681EE4">
        <w:rPr>
          <w:sz w:val="24"/>
          <w:szCs w:val="24"/>
        </w:rPr>
        <w:t xml:space="preserve"> either prop</w:t>
      </w:r>
      <w:r w:rsidRPr="00681EE4">
        <w:rPr>
          <w:sz w:val="24"/>
          <w:szCs w:val="24"/>
        </w:rPr>
        <w:t>er enforcement could not take place or dealers would be prohibited from possessing otherwise legal fish.</w:t>
      </w:r>
    </w:p>
    <w:p w:rsidR="001B7EE8" w:rsidRPr="00681EE4" w:rsidRDefault="001B7EE8" w:rsidP="001B7EE8">
      <w:pPr>
        <w:rPr>
          <w:sz w:val="24"/>
          <w:szCs w:val="24"/>
        </w:rPr>
      </w:pPr>
    </w:p>
    <w:p w:rsidR="001B7EE8" w:rsidRPr="00681EE4" w:rsidRDefault="001B7EE8" w:rsidP="001B7EE8">
      <w:pPr>
        <w:rPr>
          <w:sz w:val="24"/>
          <w:szCs w:val="24"/>
        </w:rPr>
      </w:pPr>
      <w:r w:rsidRPr="00681EE4">
        <w:rPr>
          <w:b/>
          <w:bCs/>
          <w:sz w:val="24"/>
          <w:szCs w:val="24"/>
        </w:rPr>
        <w:t>7.</w:t>
      </w:r>
      <w:r w:rsidR="006C0C1F" w:rsidRPr="00681EE4">
        <w:rPr>
          <w:b/>
          <w:bCs/>
          <w:sz w:val="24"/>
          <w:szCs w:val="24"/>
        </w:rPr>
        <w:t xml:space="preserve"> </w:t>
      </w:r>
      <w:r w:rsidRPr="00681EE4">
        <w:rPr>
          <w:b/>
          <w:bCs/>
          <w:sz w:val="24"/>
          <w:szCs w:val="24"/>
          <w:u w:val="single"/>
        </w:rPr>
        <w:t>Explain any special circumstances that require the collection to be conducted in a manner inconsistent with OMB guidelines</w:t>
      </w:r>
      <w:r w:rsidRPr="00681EE4">
        <w:rPr>
          <w:b/>
          <w:bCs/>
          <w:sz w:val="24"/>
          <w:szCs w:val="24"/>
        </w:rPr>
        <w:t xml:space="preserve">. </w:t>
      </w:r>
    </w:p>
    <w:p w:rsidR="001B7EE8" w:rsidRPr="00681EE4" w:rsidRDefault="001B7EE8" w:rsidP="001B7EE8">
      <w:pPr>
        <w:rPr>
          <w:sz w:val="24"/>
          <w:szCs w:val="24"/>
        </w:rPr>
      </w:pPr>
    </w:p>
    <w:p w:rsidR="001B7EE8" w:rsidRPr="00681EE4" w:rsidRDefault="001B7EE8" w:rsidP="001B7EE8">
      <w:pPr>
        <w:rPr>
          <w:sz w:val="24"/>
          <w:szCs w:val="24"/>
        </w:rPr>
      </w:pPr>
      <w:r w:rsidRPr="00681EE4">
        <w:rPr>
          <w:sz w:val="24"/>
          <w:szCs w:val="24"/>
        </w:rPr>
        <w:t xml:space="preserve">No special circumstances </w:t>
      </w:r>
      <w:r w:rsidR="00CE4CA4" w:rsidRPr="00681EE4">
        <w:rPr>
          <w:sz w:val="24"/>
          <w:szCs w:val="24"/>
        </w:rPr>
        <w:t>require the collection to be conducted in a manner inconsistent with OMB guidelines.</w:t>
      </w:r>
    </w:p>
    <w:p w:rsidR="001B7EE8" w:rsidRPr="00681EE4" w:rsidRDefault="001B7EE8" w:rsidP="001B7EE8">
      <w:pPr>
        <w:rPr>
          <w:sz w:val="24"/>
          <w:szCs w:val="24"/>
        </w:rPr>
      </w:pPr>
    </w:p>
    <w:p w:rsidR="001B7EE8" w:rsidRPr="00681EE4" w:rsidRDefault="001B7EE8" w:rsidP="001B7EE8">
      <w:pPr>
        <w:rPr>
          <w:sz w:val="24"/>
          <w:szCs w:val="24"/>
        </w:rPr>
      </w:pPr>
      <w:r w:rsidRPr="00681EE4">
        <w:rPr>
          <w:b/>
          <w:bCs/>
          <w:sz w:val="24"/>
          <w:szCs w:val="24"/>
        </w:rPr>
        <w:t>8.</w:t>
      </w:r>
      <w:r w:rsidR="006C0C1F" w:rsidRPr="00681EE4">
        <w:rPr>
          <w:b/>
          <w:bCs/>
          <w:sz w:val="24"/>
          <w:szCs w:val="24"/>
        </w:rPr>
        <w:t xml:space="preserve"> </w:t>
      </w:r>
      <w:r w:rsidRPr="00681EE4">
        <w:rPr>
          <w:b/>
          <w:bCs/>
          <w:sz w:val="24"/>
          <w:szCs w:val="24"/>
          <w:u w:val="single"/>
        </w:rPr>
        <w:t xml:space="preserve">Provide </w:t>
      </w:r>
      <w:r w:rsidR="002A7E95" w:rsidRPr="00681EE4">
        <w:rPr>
          <w:b/>
          <w:bCs/>
          <w:sz w:val="24"/>
          <w:szCs w:val="24"/>
          <w:u w:val="single"/>
        </w:rPr>
        <w:t xml:space="preserve">information on the PRA Federal Register </w:t>
      </w:r>
      <w:r w:rsidR="005E394B" w:rsidRPr="00681EE4">
        <w:rPr>
          <w:b/>
          <w:bCs/>
          <w:sz w:val="24"/>
          <w:szCs w:val="24"/>
          <w:u w:val="single"/>
        </w:rPr>
        <w:t>n</w:t>
      </w:r>
      <w:r w:rsidRPr="00681EE4">
        <w:rPr>
          <w:b/>
          <w:bCs/>
          <w:sz w:val="24"/>
          <w:szCs w:val="24"/>
          <w:u w:val="single"/>
        </w:rPr>
        <w:t>otice that solicited public comments on the information collection prior to this submission.</w:t>
      </w:r>
      <w:r w:rsidR="006C0C1F" w:rsidRPr="00681EE4">
        <w:rPr>
          <w:b/>
          <w:bCs/>
          <w:sz w:val="24"/>
          <w:szCs w:val="24"/>
          <w:u w:val="single"/>
        </w:rPr>
        <w:t xml:space="preserve"> </w:t>
      </w:r>
      <w:r w:rsidRPr="00681EE4">
        <w:rPr>
          <w:b/>
          <w:bCs/>
          <w:sz w:val="24"/>
          <w:szCs w:val="24"/>
          <w:u w:val="single"/>
        </w:rPr>
        <w:t>Summarize the public comments received in response to that notice and describe the actions taken by the agency in response to those comments</w:t>
      </w:r>
      <w:r w:rsidRPr="00681EE4">
        <w:rPr>
          <w:b/>
          <w:bCs/>
          <w:sz w:val="24"/>
          <w:szCs w:val="24"/>
        </w:rPr>
        <w:t>.</w:t>
      </w:r>
      <w:r w:rsidR="006C0C1F" w:rsidRPr="00681EE4">
        <w:rPr>
          <w:sz w:val="24"/>
          <w:szCs w:val="24"/>
        </w:rPr>
        <w:t xml:space="preserve"> </w:t>
      </w:r>
      <w:r w:rsidRPr="00681EE4">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681EE4">
        <w:rPr>
          <w:b/>
          <w:bCs/>
          <w:sz w:val="24"/>
          <w:szCs w:val="24"/>
        </w:rPr>
        <w:t>.</w:t>
      </w:r>
    </w:p>
    <w:p w:rsidR="001B7EE8" w:rsidRPr="00681EE4" w:rsidRDefault="001B7EE8" w:rsidP="001B7EE8">
      <w:pPr>
        <w:rPr>
          <w:sz w:val="24"/>
          <w:szCs w:val="24"/>
        </w:rPr>
      </w:pPr>
    </w:p>
    <w:p w:rsidR="00725895" w:rsidRPr="00681EE4" w:rsidRDefault="00402DEB" w:rsidP="00725895">
      <w:pPr>
        <w:widowControl/>
        <w:rPr>
          <w:sz w:val="24"/>
          <w:szCs w:val="24"/>
        </w:rPr>
      </w:pPr>
      <w:r w:rsidRPr="00681EE4">
        <w:rPr>
          <w:sz w:val="24"/>
          <w:szCs w:val="24"/>
        </w:rPr>
        <w:t xml:space="preserve">On </w:t>
      </w:r>
      <w:r w:rsidR="00D435FF" w:rsidRPr="00681EE4">
        <w:rPr>
          <w:sz w:val="24"/>
          <w:szCs w:val="24"/>
        </w:rPr>
        <w:t>February 14</w:t>
      </w:r>
      <w:r w:rsidRPr="00681EE4">
        <w:rPr>
          <w:sz w:val="24"/>
          <w:szCs w:val="24"/>
        </w:rPr>
        <w:t xml:space="preserve">, 2018, NMFS published a notice in the </w:t>
      </w:r>
      <w:r w:rsidR="001B7EE8" w:rsidRPr="00681EE4">
        <w:rPr>
          <w:i/>
          <w:sz w:val="24"/>
          <w:szCs w:val="24"/>
        </w:rPr>
        <w:t>Federal Register</w:t>
      </w:r>
      <w:r w:rsidR="001B7EE8" w:rsidRPr="00681EE4">
        <w:rPr>
          <w:sz w:val="24"/>
          <w:szCs w:val="24"/>
        </w:rPr>
        <w:t xml:space="preserve"> soliciting public comment on the information collection </w:t>
      </w:r>
      <w:r w:rsidR="004A067A" w:rsidRPr="00681EE4">
        <w:rPr>
          <w:sz w:val="24"/>
          <w:szCs w:val="24"/>
        </w:rPr>
        <w:t>(</w:t>
      </w:r>
      <w:r w:rsidRPr="00681EE4">
        <w:rPr>
          <w:sz w:val="24"/>
          <w:szCs w:val="24"/>
        </w:rPr>
        <w:t xml:space="preserve">83 </w:t>
      </w:r>
      <w:r w:rsidR="004A067A" w:rsidRPr="00681EE4">
        <w:rPr>
          <w:sz w:val="24"/>
          <w:szCs w:val="24"/>
        </w:rPr>
        <w:t>FR</w:t>
      </w:r>
      <w:r w:rsidR="00660854" w:rsidRPr="00681EE4">
        <w:rPr>
          <w:sz w:val="24"/>
          <w:szCs w:val="24"/>
        </w:rPr>
        <w:t xml:space="preserve"> </w:t>
      </w:r>
      <w:r w:rsidR="00D435FF" w:rsidRPr="00681EE4">
        <w:rPr>
          <w:sz w:val="24"/>
          <w:szCs w:val="24"/>
        </w:rPr>
        <w:t>6521</w:t>
      </w:r>
      <w:r w:rsidR="00FC74E8" w:rsidRPr="00681EE4">
        <w:rPr>
          <w:sz w:val="24"/>
          <w:szCs w:val="24"/>
        </w:rPr>
        <w:t>)</w:t>
      </w:r>
      <w:r w:rsidR="001B7EE8" w:rsidRPr="00681EE4">
        <w:rPr>
          <w:sz w:val="24"/>
          <w:szCs w:val="24"/>
        </w:rPr>
        <w:t>.</w:t>
      </w:r>
      <w:r w:rsidR="00FC74E8" w:rsidRPr="00681EE4">
        <w:rPr>
          <w:sz w:val="24"/>
          <w:szCs w:val="24"/>
        </w:rPr>
        <w:t xml:space="preserve"> </w:t>
      </w:r>
      <w:r w:rsidR="00D435FF" w:rsidRPr="00681EE4">
        <w:rPr>
          <w:sz w:val="24"/>
          <w:szCs w:val="24"/>
        </w:rPr>
        <w:t>NMFS did not receive any</w:t>
      </w:r>
      <w:r w:rsidR="00FC74E8" w:rsidRPr="00681EE4">
        <w:rPr>
          <w:sz w:val="24"/>
          <w:szCs w:val="24"/>
        </w:rPr>
        <w:t xml:space="preserve"> comments </w:t>
      </w:r>
      <w:r w:rsidR="00725895" w:rsidRPr="00681EE4">
        <w:rPr>
          <w:sz w:val="24"/>
          <w:szCs w:val="24"/>
        </w:rPr>
        <w:t xml:space="preserve">on the </w:t>
      </w:r>
      <w:r w:rsidR="00D435FF" w:rsidRPr="00681EE4">
        <w:rPr>
          <w:sz w:val="24"/>
          <w:szCs w:val="24"/>
        </w:rPr>
        <w:t>notice</w:t>
      </w:r>
      <w:r w:rsidR="00FC74E8" w:rsidRPr="00681EE4">
        <w:rPr>
          <w:sz w:val="24"/>
          <w:szCs w:val="24"/>
        </w:rPr>
        <w:t>.</w:t>
      </w:r>
    </w:p>
    <w:p w:rsidR="00725895" w:rsidRPr="00681EE4" w:rsidRDefault="00725895" w:rsidP="00725895">
      <w:pPr>
        <w:widowControl/>
        <w:rPr>
          <w:sz w:val="24"/>
          <w:szCs w:val="24"/>
        </w:rPr>
      </w:pPr>
    </w:p>
    <w:p w:rsidR="00D435FF" w:rsidRPr="00681EE4" w:rsidRDefault="00D435FF" w:rsidP="00725895">
      <w:pPr>
        <w:widowControl/>
        <w:rPr>
          <w:sz w:val="24"/>
          <w:szCs w:val="24"/>
        </w:rPr>
      </w:pPr>
      <w:r w:rsidRPr="00681EE4">
        <w:rPr>
          <w:sz w:val="24"/>
          <w:szCs w:val="24"/>
        </w:rPr>
        <w:t xml:space="preserve">In </w:t>
      </w:r>
      <w:r w:rsidR="00EE2930" w:rsidRPr="00681EE4">
        <w:rPr>
          <w:sz w:val="24"/>
          <w:szCs w:val="24"/>
        </w:rPr>
        <w:t>June</w:t>
      </w:r>
      <w:r w:rsidRPr="00681EE4">
        <w:rPr>
          <w:sz w:val="24"/>
          <w:szCs w:val="24"/>
        </w:rPr>
        <w:t xml:space="preserve"> 2018, NMFS contacted </w:t>
      </w:r>
      <w:r w:rsidR="00EE2930" w:rsidRPr="00681EE4">
        <w:rPr>
          <w:sz w:val="24"/>
          <w:szCs w:val="24"/>
        </w:rPr>
        <w:t>two</w:t>
      </w:r>
      <w:r w:rsidRPr="00681EE4">
        <w:rPr>
          <w:sz w:val="24"/>
          <w:szCs w:val="24"/>
        </w:rPr>
        <w:t xml:space="preserve"> seafood dealers</w:t>
      </w:r>
      <w:r w:rsidR="00EE2930" w:rsidRPr="00681EE4">
        <w:rPr>
          <w:sz w:val="24"/>
          <w:szCs w:val="24"/>
        </w:rPr>
        <w:t xml:space="preserve"> to obta</w:t>
      </w:r>
      <w:r w:rsidR="005E0930" w:rsidRPr="00681EE4">
        <w:rPr>
          <w:sz w:val="24"/>
          <w:szCs w:val="24"/>
        </w:rPr>
        <w:t xml:space="preserve">in their feedback on estimated annual burden per response. They stated that the current estimate of 30 minutes was probably too long, and that 10 minutes per response was a </w:t>
      </w:r>
      <w:r w:rsidR="002A5DC0" w:rsidRPr="00681EE4">
        <w:rPr>
          <w:sz w:val="24"/>
          <w:szCs w:val="24"/>
        </w:rPr>
        <w:t xml:space="preserve">more likely </w:t>
      </w:r>
      <w:r w:rsidR="005E0930" w:rsidRPr="00681EE4">
        <w:rPr>
          <w:sz w:val="24"/>
          <w:szCs w:val="24"/>
        </w:rPr>
        <w:t>estimate. Therefore, NMFS has incorporated th</w:t>
      </w:r>
      <w:r w:rsidR="009E32BF">
        <w:rPr>
          <w:sz w:val="24"/>
          <w:szCs w:val="24"/>
        </w:rPr>
        <w:t>is</w:t>
      </w:r>
      <w:r w:rsidR="00BD1788" w:rsidRPr="00681EE4">
        <w:rPr>
          <w:sz w:val="24"/>
          <w:szCs w:val="24"/>
        </w:rPr>
        <w:t xml:space="preserve"> adjusted</w:t>
      </w:r>
      <w:r w:rsidR="005E0930" w:rsidRPr="00681EE4">
        <w:rPr>
          <w:sz w:val="24"/>
          <w:szCs w:val="24"/>
        </w:rPr>
        <w:t xml:space="preserve"> time burden estimate into this renewal request.</w:t>
      </w:r>
    </w:p>
    <w:p w:rsidR="001B7EE8" w:rsidRPr="00681EE4" w:rsidRDefault="001B7EE8" w:rsidP="001B7EE8">
      <w:pPr>
        <w:widowControl/>
        <w:rPr>
          <w:sz w:val="24"/>
          <w:szCs w:val="24"/>
        </w:rPr>
      </w:pPr>
    </w:p>
    <w:p w:rsidR="00787AE1" w:rsidRPr="00681EE4" w:rsidRDefault="00787AE1" w:rsidP="00787AE1">
      <w:pPr>
        <w:rPr>
          <w:sz w:val="24"/>
          <w:szCs w:val="24"/>
        </w:rPr>
      </w:pPr>
      <w:r w:rsidRPr="00681EE4">
        <w:rPr>
          <w:b/>
          <w:bCs/>
          <w:sz w:val="24"/>
          <w:szCs w:val="24"/>
        </w:rPr>
        <w:t>9.</w:t>
      </w:r>
      <w:r w:rsidR="006C0C1F" w:rsidRPr="00681EE4">
        <w:rPr>
          <w:b/>
          <w:bCs/>
          <w:sz w:val="24"/>
          <w:szCs w:val="24"/>
        </w:rPr>
        <w:t xml:space="preserve"> </w:t>
      </w:r>
      <w:r w:rsidRPr="00681EE4">
        <w:rPr>
          <w:b/>
          <w:bCs/>
          <w:sz w:val="24"/>
          <w:szCs w:val="24"/>
          <w:u w:val="single"/>
        </w:rPr>
        <w:t>Explain any decisions to provide payments or gifts to respondents, other than remuneration of contractors or grantees</w:t>
      </w:r>
      <w:r w:rsidRPr="00681EE4">
        <w:rPr>
          <w:b/>
          <w:bCs/>
          <w:sz w:val="24"/>
          <w:szCs w:val="24"/>
        </w:rPr>
        <w:t>.</w:t>
      </w:r>
    </w:p>
    <w:p w:rsidR="00787AE1" w:rsidRPr="00681EE4" w:rsidRDefault="00787AE1" w:rsidP="00787AE1">
      <w:pPr>
        <w:rPr>
          <w:sz w:val="24"/>
          <w:szCs w:val="24"/>
        </w:rPr>
      </w:pPr>
    </w:p>
    <w:p w:rsidR="00787AE1" w:rsidRPr="00681EE4" w:rsidRDefault="00874CB9" w:rsidP="00787AE1">
      <w:pPr>
        <w:widowControl/>
        <w:rPr>
          <w:sz w:val="24"/>
          <w:szCs w:val="24"/>
        </w:rPr>
      </w:pPr>
      <w:r w:rsidRPr="00681EE4">
        <w:rPr>
          <w:sz w:val="24"/>
          <w:szCs w:val="24"/>
        </w:rPr>
        <w:t>No payments or gifts are provided.</w:t>
      </w:r>
    </w:p>
    <w:p w:rsidR="00DC41A6" w:rsidRPr="00681EE4" w:rsidRDefault="00DC41A6">
      <w:pPr>
        <w:widowControl/>
        <w:autoSpaceDE/>
        <w:autoSpaceDN/>
        <w:adjustRightInd/>
        <w:rPr>
          <w:b/>
          <w:bCs/>
          <w:sz w:val="24"/>
          <w:szCs w:val="24"/>
        </w:rPr>
      </w:pPr>
    </w:p>
    <w:p w:rsidR="00787AE1" w:rsidRPr="00681EE4" w:rsidRDefault="00787AE1" w:rsidP="00787AE1">
      <w:pPr>
        <w:rPr>
          <w:sz w:val="24"/>
          <w:szCs w:val="24"/>
        </w:rPr>
      </w:pPr>
      <w:r w:rsidRPr="00681EE4">
        <w:rPr>
          <w:b/>
          <w:bCs/>
          <w:sz w:val="24"/>
          <w:szCs w:val="24"/>
        </w:rPr>
        <w:t>10.</w:t>
      </w:r>
      <w:r w:rsidR="006C0C1F" w:rsidRPr="00681EE4">
        <w:rPr>
          <w:b/>
          <w:bCs/>
          <w:sz w:val="24"/>
          <w:szCs w:val="24"/>
        </w:rPr>
        <w:t xml:space="preserve"> </w:t>
      </w:r>
      <w:r w:rsidRPr="00681EE4">
        <w:rPr>
          <w:b/>
          <w:bCs/>
          <w:sz w:val="24"/>
          <w:szCs w:val="24"/>
          <w:u w:val="single"/>
        </w:rPr>
        <w:t>Describe any assurance of confidentiality provided to respondents and the basis for assurance in statute, regulation, or agency policy</w:t>
      </w:r>
      <w:r w:rsidRPr="00681EE4">
        <w:rPr>
          <w:b/>
          <w:bCs/>
          <w:sz w:val="24"/>
          <w:szCs w:val="24"/>
        </w:rPr>
        <w:t>.</w:t>
      </w:r>
    </w:p>
    <w:p w:rsidR="00787AE1" w:rsidRPr="00681EE4" w:rsidRDefault="00787AE1" w:rsidP="00787AE1">
      <w:pPr>
        <w:rPr>
          <w:sz w:val="24"/>
          <w:szCs w:val="24"/>
        </w:rPr>
      </w:pPr>
    </w:p>
    <w:p w:rsidR="00F409DA" w:rsidRPr="00681EE4" w:rsidRDefault="00874CB9" w:rsidP="00787AE1">
      <w:pPr>
        <w:widowControl/>
        <w:rPr>
          <w:sz w:val="24"/>
          <w:szCs w:val="24"/>
        </w:rPr>
      </w:pPr>
      <w:r w:rsidRPr="00681EE4">
        <w:rPr>
          <w:sz w:val="24"/>
          <w:szCs w:val="24"/>
        </w:rPr>
        <w:t>There is no assurance of confidentiality provided.</w:t>
      </w:r>
    </w:p>
    <w:p w:rsidR="00787AE1" w:rsidRPr="00681EE4" w:rsidRDefault="00787AE1" w:rsidP="00787AE1">
      <w:pPr>
        <w:rPr>
          <w:b/>
          <w:bCs/>
          <w:sz w:val="24"/>
          <w:szCs w:val="24"/>
        </w:rPr>
      </w:pPr>
    </w:p>
    <w:p w:rsidR="00787AE1" w:rsidRPr="00681EE4" w:rsidRDefault="00787AE1" w:rsidP="00787AE1">
      <w:pPr>
        <w:rPr>
          <w:sz w:val="24"/>
          <w:szCs w:val="24"/>
        </w:rPr>
      </w:pPr>
      <w:r w:rsidRPr="00681EE4">
        <w:rPr>
          <w:b/>
          <w:bCs/>
          <w:sz w:val="24"/>
          <w:szCs w:val="24"/>
        </w:rPr>
        <w:t>11.</w:t>
      </w:r>
      <w:r w:rsidR="006C0C1F" w:rsidRPr="00681EE4">
        <w:rPr>
          <w:b/>
          <w:bCs/>
          <w:sz w:val="24"/>
          <w:szCs w:val="24"/>
        </w:rPr>
        <w:t xml:space="preserve"> </w:t>
      </w:r>
      <w:r w:rsidRPr="00681EE4">
        <w:rPr>
          <w:b/>
          <w:bCs/>
          <w:sz w:val="24"/>
          <w:szCs w:val="24"/>
          <w:u w:val="single"/>
        </w:rPr>
        <w:t>Provide additional justification for any questions of a sensitive nature, such as sexual behavior and attitudes, religious beliefs, and other matters that are commonly considered private</w:t>
      </w:r>
      <w:r w:rsidRPr="00681EE4">
        <w:rPr>
          <w:b/>
          <w:bCs/>
          <w:sz w:val="24"/>
          <w:szCs w:val="24"/>
        </w:rPr>
        <w:t>.</w:t>
      </w:r>
    </w:p>
    <w:p w:rsidR="00787AE1" w:rsidRPr="00681EE4" w:rsidRDefault="00787AE1" w:rsidP="00787AE1">
      <w:pPr>
        <w:rPr>
          <w:sz w:val="24"/>
          <w:szCs w:val="24"/>
        </w:rPr>
      </w:pPr>
    </w:p>
    <w:p w:rsidR="00F409DA" w:rsidRPr="00681EE4" w:rsidRDefault="00874CB9" w:rsidP="00F409DA">
      <w:pPr>
        <w:widowControl/>
        <w:rPr>
          <w:sz w:val="24"/>
          <w:szCs w:val="24"/>
        </w:rPr>
      </w:pPr>
      <w:r w:rsidRPr="00681EE4">
        <w:rPr>
          <w:sz w:val="24"/>
          <w:szCs w:val="24"/>
        </w:rPr>
        <w:t>No sensitive information is required.</w:t>
      </w:r>
    </w:p>
    <w:p w:rsidR="00787AE1" w:rsidRPr="00681EE4" w:rsidRDefault="00787AE1" w:rsidP="001B7EE8">
      <w:pPr>
        <w:rPr>
          <w:sz w:val="24"/>
          <w:szCs w:val="24"/>
        </w:rPr>
      </w:pPr>
    </w:p>
    <w:p w:rsidR="00787AE1" w:rsidRPr="00681EE4" w:rsidRDefault="00787AE1" w:rsidP="00787AE1">
      <w:pPr>
        <w:rPr>
          <w:b/>
          <w:bCs/>
          <w:sz w:val="24"/>
          <w:szCs w:val="24"/>
        </w:rPr>
      </w:pPr>
      <w:r w:rsidRPr="00681EE4">
        <w:rPr>
          <w:b/>
          <w:bCs/>
          <w:sz w:val="24"/>
          <w:szCs w:val="24"/>
        </w:rPr>
        <w:t>12.</w:t>
      </w:r>
      <w:r w:rsidR="006C0C1F" w:rsidRPr="00681EE4">
        <w:rPr>
          <w:b/>
          <w:bCs/>
          <w:sz w:val="24"/>
          <w:szCs w:val="24"/>
        </w:rPr>
        <w:t xml:space="preserve"> </w:t>
      </w:r>
      <w:r w:rsidRPr="00681EE4">
        <w:rPr>
          <w:b/>
          <w:bCs/>
          <w:sz w:val="24"/>
          <w:szCs w:val="24"/>
          <w:u w:val="single"/>
        </w:rPr>
        <w:t>Provide an estimate in hours of the burden of the collection of information</w:t>
      </w:r>
      <w:r w:rsidRPr="00681EE4">
        <w:rPr>
          <w:b/>
          <w:bCs/>
          <w:sz w:val="24"/>
          <w:szCs w:val="24"/>
        </w:rPr>
        <w:t>.</w:t>
      </w:r>
    </w:p>
    <w:p w:rsidR="00787AE1" w:rsidRPr="00681EE4" w:rsidRDefault="00787AE1" w:rsidP="00787AE1">
      <w:pPr>
        <w:rPr>
          <w:b/>
          <w:bCs/>
          <w:sz w:val="24"/>
          <w:szCs w:val="24"/>
        </w:rPr>
      </w:pPr>
    </w:p>
    <w:p w:rsidR="0078517D" w:rsidRPr="00681EE4" w:rsidRDefault="006412A9" w:rsidP="00EB48FF">
      <w:pPr>
        <w:rPr>
          <w:sz w:val="24"/>
          <w:szCs w:val="24"/>
        </w:rPr>
      </w:pPr>
      <w:r w:rsidRPr="00681EE4">
        <w:rPr>
          <w:sz w:val="24"/>
          <w:szCs w:val="24"/>
        </w:rPr>
        <w:t>The record</w:t>
      </w:r>
      <w:r w:rsidR="00874CB9" w:rsidRPr="00681EE4">
        <w:rPr>
          <w:sz w:val="24"/>
          <w:szCs w:val="24"/>
        </w:rPr>
        <w:t xml:space="preserve">keeping requirement </w:t>
      </w:r>
      <w:r w:rsidR="001A08E0" w:rsidRPr="00681EE4">
        <w:rPr>
          <w:sz w:val="24"/>
          <w:szCs w:val="24"/>
        </w:rPr>
        <w:t>affects federally permitted seafood dealers with a Gulf of Mexico and South Atlantic Dealer Permit. As of May 21, 2018, there were 414 dealers with an active or renewable permit. NMFS expects the annual number of affected respondents to be lower</w:t>
      </w:r>
      <w:r w:rsidR="0078517D" w:rsidRPr="00681EE4">
        <w:rPr>
          <w:sz w:val="24"/>
          <w:szCs w:val="24"/>
        </w:rPr>
        <w:t xml:space="preserve"> than the total number of federally permitted dealers; however</w:t>
      </w:r>
      <w:r w:rsidR="001A08E0" w:rsidRPr="00681EE4">
        <w:rPr>
          <w:sz w:val="24"/>
          <w:szCs w:val="24"/>
        </w:rPr>
        <w:t xml:space="preserve">, </w:t>
      </w:r>
      <w:r w:rsidR="006B46FC" w:rsidRPr="00681EE4">
        <w:rPr>
          <w:sz w:val="24"/>
          <w:szCs w:val="24"/>
        </w:rPr>
        <w:t xml:space="preserve">data </w:t>
      </w:r>
      <w:r w:rsidR="001A08E0" w:rsidRPr="00681EE4">
        <w:rPr>
          <w:sz w:val="24"/>
          <w:szCs w:val="24"/>
        </w:rPr>
        <w:t xml:space="preserve">is not available to </w:t>
      </w:r>
      <w:r w:rsidR="005F3616" w:rsidRPr="00681EE4">
        <w:rPr>
          <w:sz w:val="24"/>
          <w:szCs w:val="24"/>
        </w:rPr>
        <w:t xml:space="preserve">determine a more accurate </w:t>
      </w:r>
      <w:r w:rsidR="0078517D" w:rsidRPr="00681EE4">
        <w:rPr>
          <w:sz w:val="24"/>
          <w:szCs w:val="24"/>
        </w:rPr>
        <w:t xml:space="preserve">number. Therefore, NMFS estimates </w:t>
      </w:r>
      <w:r w:rsidR="0000617E" w:rsidRPr="00681EE4">
        <w:rPr>
          <w:sz w:val="24"/>
          <w:szCs w:val="24"/>
        </w:rPr>
        <w:t xml:space="preserve">the requirement would affect </w:t>
      </w:r>
      <w:r w:rsidR="0078517D" w:rsidRPr="00681EE4">
        <w:rPr>
          <w:sz w:val="24"/>
          <w:szCs w:val="24"/>
        </w:rPr>
        <w:t xml:space="preserve">414 respondents annually. </w:t>
      </w:r>
    </w:p>
    <w:p w:rsidR="0078517D" w:rsidRPr="00681EE4" w:rsidRDefault="0078517D" w:rsidP="00EB48FF">
      <w:pPr>
        <w:rPr>
          <w:sz w:val="24"/>
          <w:szCs w:val="24"/>
        </w:rPr>
      </w:pPr>
    </w:p>
    <w:p w:rsidR="003B015C" w:rsidRPr="00681EE4" w:rsidRDefault="006B46FC" w:rsidP="00EB48FF">
      <w:pPr>
        <w:rPr>
          <w:sz w:val="24"/>
          <w:szCs w:val="24"/>
        </w:rPr>
      </w:pPr>
      <w:r w:rsidRPr="00681EE4">
        <w:rPr>
          <w:sz w:val="24"/>
          <w:szCs w:val="24"/>
        </w:rPr>
        <w:t xml:space="preserve">Due to a lack of available data for a more accurate estimate, </w:t>
      </w:r>
      <w:r w:rsidR="006B5403" w:rsidRPr="00681EE4">
        <w:rPr>
          <w:sz w:val="24"/>
          <w:szCs w:val="24"/>
        </w:rPr>
        <w:t xml:space="preserve">NMFS estimates </w:t>
      </w:r>
      <w:r w:rsidR="003B015C" w:rsidRPr="00681EE4">
        <w:rPr>
          <w:sz w:val="24"/>
          <w:szCs w:val="24"/>
        </w:rPr>
        <w:t xml:space="preserve">that the </w:t>
      </w:r>
      <w:r w:rsidRPr="00681EE4">
        <w:rPr>
          <w:sz w:val="24"/>
          <w:szCs w:val="24"/>
        </w:rPr>
        <w:t xml:space="preserve">recordkeeping </w:t>
      </w:r>
      <w:r w:rsidR="003B015C" w:rsidRPr="00681EE4">
        <w:rPr>
          <w:sz w:val="24"/>
          <w:szCs w:val="24"/>
        </w:rPr>
        <w:t xml:space="preserve">requirement would affect each respondent once annually, and therefore, the estimated </w:t>
      </w:r>
      <w:r w:rsidR="006B5403" w:rsidRPr="00681EE4">
        <w:rPr>
          <w:sz w:val="24"/>
          <w:szCs w:val="24"/>
        </w:rPr>
        <w:t>number of responses would be 414 annually.</w:t>
      </w:r>
      <w:r w:rsidR="005F3616" w:rsidRPr="00681EE4">
        <w:rPr>
          <w:sz w:val="24"/>
          <w:szCs w:val="24"/>
        </w:rPr>
        <w:t xml:space="preserve"> </w:t>
      </w:r>
    </w:p>
    <w:p w:rsidR="003B015C" w:rsidRPr="00681EE4" w:rsidRDefault="003B015C" w:rsidP="00EB48FF">
      <w:pPr>
        <w:rPr>
          <w:sz w:val="24"/>
          <w:szCs w:val="24"/>
        </w:rPr>
      </w:pPr>
    </w:p>
    <w:p w:rsidR="00811374" w:rsidRPr="00681EE4" w:rsidRDefault="003B015C" w:rsidP="00EB48FF">
      <w:pPr>
        <w:rPr>
          <w:sz w:val="24"/>
          <w:szCs w:val="24"/>
        </w:rPr>
      </w:pPr>
      <w:r w:rsidRPr="00681EE4">
        <w:rPr>
          <w:sz w:val="24"/>
          <w:szCs w:val="24"/>
        </w:rPr>
        <w:t>Based on feedback from two federally permitted dealers</w:t>
      </w:r>
      <w:r w:rsidR="008D3C48" w:rsidRPr="00681EE4">
        <w:rPr>
          <w:sz w:val="24"/>
          <w:szCs w:val="24"/>
        </w:rPr>
        <w:t xml:space="preserve"> in </w:t>
      </w:r>
      <w:r w:rsidR="00DE1E74" w:rsidRPr="00681EE4">
        <w:rPr>
          <w:sz w:val="24"/>
          <w:szCs w:val="24"/>
        </w:rPr>
        <w:t>June</w:t>
      </w:r>
      <w:r w:rsidR="008D3C48" w:rsidRPr="00681EE4">
        <w:rPr>
          <w:sz w:val="24"/>
          <w:szCs w:val="24"/>
        </w:rPr>
        <w:t xml:space="preserve"> 2018</w:t>
      </w:r>
      <w:r w:rsidRPr="00681EE4">
        <w:rPr>
          <w:sz w:val="24"/>
          <w:szCs w:val="24"/>
        </w:rPr>
        <w:t xml:space="preserve">, NMFS estimates that the time for each response would </w:t>
      </w:r>
      <w:r w:rsidR="00606723" w:rsidRPr="00681EE4">
        <w:rPr>
          <w:sz w:val="24"/>
          <w:szCs w:val="24"/>
        </w:rPr>
        <w:t xml:space="preserve">average </w:t>
      </w:r>
      <w:r w:rsidR="00DE1E74" w:rsidRPr="00681EE4">
        <w:rPr>
          <w:sz w:val="24"/>
          <w:szCs w:val="24"/>
        </w:rPr>
        <w:t>10</w:t>
      </w:r>
      <w:r w:rsidRPr="00681EE4">
        <w:rPr>
          <w:sz w:val="24"/>
          <w:szCs w:val="24"/>
        </w:rPr>
        <w:t xml:space="preserve"> minutes. </w:t>
      </w:r>
    </w:p>
    <w:p w:rsidR="00811374" w:rsidRPr="00681EE4" w:rsidRDefault="00811374" w:rsidP="00EB48FF">
      <w:pPr>
        <w:rPr>
          <w:sz w:val="24"/>
          <w:szCs w:val="24"/>
        </w:rPr>
      </w:pPr>
    </w:p>
    <w:p w:rsidR="003B015C" w:rsidRPr="00681EE4" w:rsidRDefault="003B015C" w:rsidP="00EB48FF">
      <w:pPr>
        <w:rPr>
          <w:sz w:val="24"/>
          <w:szCs w:val="24"/>
        </w:rPr>
      </w:pPr>
      <w:r w:rsidRPr="00681EE4">
        <w:rPr>
          <w:sz w:val="24"/>
          <w:szCs w:val="24"/>
        </w:rPr>
        <w:t xml:space="preserve">Therefore, NMFS estimates the total time burden for the recordkeeping requirement at </w:t>
      </w:r>
      <w:r w:rsidR="00EE2930" w:rsidRPr="00681EE4">
        <w:rPr>
          <w:sz w:val="24"/>
          <w:szCs w:val="24"/>
        </w:rPr>
        <w:t>69</w:t>
      </w:r>
      <w:r w:rsidRPr="00681EE4">
        <w:rPr>
          <w:sz w:val="24"/>
          <w:szCs w:val="24"/>
        </w:rPr>
        <w:t xml:space="preserve"> hours annually.</w:t>
      </w:r>
    </w:p>
    <w:p w:rsidR="00E30EFC" w:rsidRPr="00681EE4" w:rsidRDefault="00E30EFC" w:rsidP="00EB48FF">
      <w:pPr>
        <w:rPr>
          <w:b/>
          <w:bCs/>
          <w:sz w:val="24"/>
          <w:szCs w:val="24"/>
        </w:rPr>
      </w:pPr>
    </w:p>
    <w:p w:rsidR="00EB48FF" w:rsidRPr="00681EE4" w:rsidRDefault="00EB48FF" w:rsidP="00EB48FF">
      <w:pPr>
        <w:rPr>
          <w:sz w:val="24"/>
          <w:szCs w:val="24"/>
        </w:rPr>
      </w:pPr>
      <w:r w:rsidRPr="00681EE4">
        <w:rPr>
          <w:b/>
          <w:bCs/>
          <w:sz w:val="24"/>
          <w:szCs w:val="24"/>
        </w:rPr>
        <w:t>13.</w:t>
      </w:r>
      <w:r w:rsidR="006C0C1F" w:rsidRPr="00681EE4">
        <w:rPr>
          <w:b/>
          <w:bCs/>
          <w:sz w:val="24"/>
          <w:szCs w:val="24"/>
        </w:rPr>
        <w:t xml:space="preserve"> </w:t>
      </w:r>
      <w:r w:rsidRPr="00681EE4">
        <w:rPr>
          <w:b/>
          <w:bCs/>
          <w:sz w:val="24"/>
          <w:szCs w:val="24"/>
          <w:u w:val="single"/>
        </w:rPr>
        <w:t xml:space="preserve">Provide an estimate of the total annual cost burden to the respondents or record-keepers resulting from the collection (excluding the value of the burden hours in </w:t>
      </w:r>
      <w:r w:rsidR="00FC74E8" w:rsidRPr="00681EE4">
        <w:rPr>
          <w:b/>
          <w:bCs/>
          <w:sz w:val="24"/>
          <w:szCs w:val="24"/>
          <w:u w:val="single"/>
        </w:rPr>
        <w:t xml:space="preserve">Question </w:t>
      </w:r>
      <w:r w:rsidRPr="00681EE4">
        <w:rPr>
          <w:b/>
          <w:bCs/>
          <w:sz w:val="24"/>
          <w:szCs w:val="24"/>
          <w:u w:val="single"/>
        </w:rPr>
        <w:t>12 above)</w:t>
      </w:r>
      <w:r w:rsidRPr="00681EE4">
        <w:rPr>
          <w:b/>
          <w:bCs/>
          <w:sz w:val="24"/>
          <w:szCs w:val="24"/>
        </w:rPr>
        <w:t>.</w:t>
      </w:r>
    </w:p>
    <w:p w:rsidR="00EB48FF" w:rsidRPr="00681EE4" w:rsidRDefault="00EB48FF" w:rsidP="00EB48FF">
      <w:pPr>
        <w:rPr>
          <w:sz w:val="24"/>
          <w:szCs w:val="24"/>
        </w:rPr>
      </w:pPr>
    </w:p>
    <w:p w:rsidR="00FC74E8" w:rsidRPr="00681EE4" w:rsidRDefault="006412A9" w:rsidP="00EB48FF">
      <w:pPr>
        <w:rPr>
          <w:b/>
          <w:sz w:val="24"/>
          <w:szCs w:val="24"/>
        </w:rPr>
      </w:pPr>
      <w:r w:rsidRPr="00681EE4">
        <w:rPr>
          <w:sz w:val="24"/>
          <w:szCs w:val="24"/>
        </w:rPr>
        <w:t>The record</w:t>
      </w:r>
      <w:r w:rsidR="00874CB9" w:rsidRPr="00681EE4">
        <w:rPr>
          <w:sz w:val="24"/>
          <w:szCs w:val="24"/>
        </w:rPr>
        <w:t>keeping requirement is consistent with normal business practices and should not involve any additional cost.</w:t>
      </w:r>
    </w:p>
    <w:p w:rsidR="00EB48FF" w:rsidRPr="00681EE4" w:rsidRDefault="00EB48FF" w:rsidP="00EB48FF">
      <w:pPr>
        <w:rPr>
          <w:sz w:val="24"/>
          <w:szCs w:val="24"/>
        </w:rPr>
      </w:pPr>
    </w:p>
    <w:p w:rsidR="00EB48FF" w:rsidRPr="00681EE4" w:rsidRDefault="00EB48FF" w:rsidP="00EB48FF">
      <w:pPr>
        <w:rPr>
          <w:b/>
          <w:bCs/>
          <w:sz w:val="24"/>
          <w:szCs w:val="24"/>
        </w:rPr>
      </w:pPr>
      <w:r w:rsidRPr="00681EE4">
        <w:rPr>
          <w:sz w:val="24"/>
          <w:szCs w:val="24"/>
        </w:rPr>
        <w:t xml:space="preserve"> </w:t>
      </w:r>
      <w:r w:rsidRPr="00681EE4">
        <w:rPr>
          <w:b/>
          <w:bCs/>
          <w:sz w:val="24"/>
          <w:szCs w:val="24"/>
        </w:rPr>
        <w:t>14.</w:t>
      </w:r>
      <w:r w:rsidR="006C0C1F" w:rsidRPr="00681EE4">
        <w:rPr>
          <w:b/>
          <w:bCs/>
          <w:sz w:val="24"/>
          <w:szCs w:val="24"/>
        </w:rPr>
        <w:t xml:space="preserve"> </w:t>
      </w:r>
      <w:r w:rsidRPr="00681EE4">
        <w:rPr>
          <w:b/>
          <w:bCs/>
          <w:sz w:val="24"/>
          <w:szCs w:val="24"/>
          <w:u w:val="single"/>
        </w:rPr>
        <w:t xml:space="preserve">Provide estimates of annualized cost to the Federal </w:t>
      </w:r>
      <w:r w:rsidR="00402DEB" w:rsidRPr="00681EE4">
        <w:rPr>
          <w:b/>
          <w:bCs/>
          <w:sz w:val="24"/>
          <w:szCs w:val="24"/>
          <w:u w:val="single"/>
        </w:rPr>
        <w:t>Government</w:t>
      </w:r>
      <w:r w:rsidRPr="00681EE4">
        <w:rPr>
          <w:b/>
          <w:bCs/>
          <w:sz w:val="24"/>
          <w:szCs w:val="24"/>
        </w:rPr>
        <w:t>.</w:t>
      </w:r>
    </w:p>
    <w:p w:rsidR="00F30599" w:rsidRPr="00681EE4" w:rsidRDefault="00F30599" w:rsidP="00EB48FF">
      <w:pPr>
        <w:rPr>
          <w:b/>
          <w:bCs/>
          <w:sz w:val="24"/>
          <w:szCs w:val="24"/>
        </w:rPr>
      </w:pPr>
    </w:p>
    <w:p w:rsidR="00E26A67" w:rsidRPr="00681EE4" w:rsidRDefault="00874CB9" w:rsidP="00EB48FF">
      <w:pPr>
        <w:rPr>
          <w:sz w:val="24"/>
          <w:szCs w:val="24"/>
        </w:rPr>
      </w:pPr>
      <w:r w:rsidRPr="00681EE4">
        <w:rPr>
          <w:bCs/>
          <w:sz w:val="24"/>
          <w:szCs w:val="24"/>
        </w:rPr>
        <w:t>There is no cost to the government</w:t>
      </w:r>
      <w:r w:rsidR="00111714" w:rsidRPr="00681EE4">
        <w:rPr>
          <w:bCs/>
          <w:sz w:val="24"/>
          <w:szCs w:val="24"/>
        </w:rPr>
        <w:t xml:space="preserve"> other than regular staff time</w:t>
      </w:r>
      <w:r w:rsidR="0018249F" w:rsidRPr="00681EE4">
        <w:rPr>
          <w:bCs/>
          <w:sz w:val="24"/>
          <w:szCs w:val="24"/>
        </w:rPr>
        <w:t xml:space="preserve">: </w:t>
      </w:r>
      <w:r w:rsidR="0018249F" w:rsidRPr="00681EE4">
        <w:rPr>
          <w:color w:val="000000"/>
          <w:sz w:val="24"/>
          <w:szCs w:val="24"/>
        </w:rPr>
        <w:t>approximately 50 hours per year at $20 per hour, or $1,000.</w:t>
      </w:r>
    </w:p>
    <w:p w:rsidR="002E5E89" w:rsidRPr="00681EE4" w:rsidRDefault="002E5E89" w:rsidP="00EB48FF">
      <w:pPr>
        <w:rPr>
          <w:b/>
          <w:bCs/>
          <w:sz w:val="24"/>
          <w:szCs w:val="24"/>
        </w:rPr>
      </w:pPr>
    </w:p>
    <w:p w:rsidR="00EB48FF" w:rsidRPr="00681EE4" w:rsidRDefault="00EB48FF" w:rsidP="00EB48FF">
      <w:pPr>
        <w:rPr>
          <w:sz w:val="24"/>
          <w:szCs w:val="24"/>
        </w:rPr>
      </w:pPr>
      <w:r w:rsidRPr="00681EE4">
        <w:rPr>
          <w:b/>
          <w:bCs/>
          <w:sz w:val="24"/>
          <w:szCs w:val="24"/>
        </w:rPr>
        <w:t>15.</w:t>
      </w:r>
      <w:r w:rsidR="006C0C1F" w:rsidRPr="00681EE4">
        <w:rPr>
          <w:b/>
          <w:bCs/>
          <w:sz w:val="24"/>
          <w:szCs w:val="24"/>
        </w:rPr>
        <w:t xml:space="preserve"> </w:t>
      </w:r>
      <w:r w:rsidRPr="00681EE4">
        <w:rPr>
          <w:b/>
          <w:bCs/>
          <w:sz w:val="24"/>
          <w:szCs w:val="24"/>
          <w:u w:val="single"/>
        </w:rPr>
        <w:t>Explain the reasons for any program changes or adjustments</w:t>
      </w:r>
      <w:r w:rsidRPr="00681EE4">
        <w:rPr>
          <w:b/>
          <w:bCs/>
          <w:sz w:val="24"/>
          <w:szCs w:val="24"/>
        </w:rPr>
        <w:t>.</w:t>
      </w:r>
    </w:p>
    <w:p w:rsidR="00EB48FF" w:rsidRPr="00681EE4" w:rsidRDefault="00EB48FF" w:rsidP="00EB48FF">
      <w:pPr>
        <w:rPr>
          <w:sz w:val="24"/>
          <w:szCs w:val="24"/>
        </w:rPr>
      </w:pPr>
    </w:p>
    <w:p w:rsidR="00CE0268" w:rsidRPr="00681EE4" w:rsidRDefault="00942574" w:rsidP="00F55253">
      <w:pPr>
        <w:rPr>
          <w:sz w:val="24"/>
          <w:szCs w:val="24"/>
        </w:rPr>
      </w:pPr>
      <w:r w:rsidRPr="00681EE4">
        <w:rPr>
          <w:sz w:val="24"/>
          <w:szCs w:val="24"/>
        </w:rPr>
        <w:t>Adjustments: NMFS update</w:t>
      </w:r>
      <w:r w:rsidR="001A08E0" w:rsidRPr="00681EE4">
        <w:rPr>
          <w:sz w:val="24"/>
          <w:szCs w:val="24"/>
        </w:rPr>
        <w:t>s</w:t>
      </w:r>
      <w:r w:rsidRPr="00681EE4">
        <w:rPr>
          <w:sz w:val="24"/>
          <w:szCs w:val="24"/>
        </w:rPr>
        <w:t xml:space="preserve"> the estimated number of respondents, annual responses, and time burden per response. </w:t>
      </w:r>
    </w:p>
    <w:p w:rsidR="00CE0268" w:rsidRDefault="00CE0268" w:rsidP="00F55253">
      <w:pPr>
        <w:rPr>
          <w:sz w:val="24"/>
          <w:szCs w:val="24"/>
        </w:rPr>
      </w:pPr>
    </w:p>
    <w:p w:rsidR="00CE0268" w:rsidRPr="00681EE4" w:rsidRDefault="001813E9" w:rsidP="00CE0268">
      <w:pPr>
        <w:rPr>
          <w:sz w:val="24"/>
          <w:szCs w:val="24"/>
        </w:rPr>
      </w:pPr>
      <w:r>
        <w:rPr>
          <w:sz w:val="24"/>
          <w:szCs w:val="24"/>
        </w:rPr>
        <w:t>Federally permitted s</w:t>
      </w:r>
      <w:r w:rsidR="00CE0268" w:rsidRPr="00681EE4">
        <w:rPr>
          <w:sz w:val="24"/>
          <w:szCs w:val="24"/>
        </w:rPr>
        <w:t xml:space="preserve">eafood dealers </w:t>
      </w:r>
      <w:r w:rsidR="00256134">
        <w:rPr>
          <w:sz w:val="24"/>
          <w:szCs w:val="24"/>
        </w:rPr>
        <w:t xml:space="preserve">supply markets of </w:t>
      </w:r>
      <w:r w:rsidR="00CE0268" w:rsidRPr="00681EE4">
        <w:rPr>
          <w:sz w:val="24"/>
          <w:szCs w:val="24"/>
        </w:rPr>
        <w:t>vary</w:t>
      </w:r>
      <w:r w:rsidR="00256134">
        <w:rPr>
          <w:sz w:val="24"/>
          <w:szCs w:val="24"/>
        </w:rPr>
        <w:t xml:space="preserve">ing </w:t>
      </w:r>
      <w:r w:rsidR="00CE0268" w:rsidRPr="00681EE4">
        <w:rPr>
          <w:sz w:val="24"/>
          <w:szCs w:val="24"/>
        </w:rPr>
        <w:t>size</w:t>
      </w:r>
      <w:r w:rsidR="00256134">
        <w:rPr>
          <w:sz w:val="24"/>
          <w:szCs w:val="24"/>
        </w:rPr>
        <w:t>s</w:t>
      </w:r>
      <w:r w:rsidR="00CE0268" w:rsidRPr="00681EE4">
        <w:rPr>
          <w:sz w:val="24"/>
          <w:szCs w:val="24"/>
        </w:rPr>
        <w:t xml:space="preserve">. For example, a dealer may supply </w:t>
      </w:r>
      <w:r w:rsidR="009E32BF">
        <w:rPr>
          <w:sz w:val="24"/>
          <w:szCs w:val="24"/>
        </w:rPr>
        <w:t xml:space="preserve">only </w:t>
      </w:r>
      <w:r w:rsidR="00CE0268" w:rsidRPr="00681EE4">
        <w:rPr>
          <w:sz w:val="24"/>
          <w:szCs w:val="24"/>
        </w:rPr>
        <w:t xml:space="preserve">one restaurant also owned by the same dealer, or a dealer may supply a </w:t>
      </w:r>
      <w:r w:rsidR="00256134">
        <w:rPr>
          <w:sz w:val="24"/>
          <w:szCs w:val="24"/>
        </w:rPr>
        <w:t xml:space="preserve">much </w:t>
      </w:r>
      <w:r w:rsidR="00CE0268" w:rsidRPr="00681EE4">
        <w:rPr>
          <w:sz w:val="24"/>
          <w:szCs w:val="24"/>
        </w:rPr>
        <w:t>wider</w:t>
      </w:r>
      <w:r w:rsidR="00690924">
        <w:rPr>
          <w:sz w:val="24"/>
          <w:szCs w:val="24"/>
        </w:rPr>
        <w:t>, interstate</w:t>
      </w:r>
      <w:r w:rsidR="00CE0268" w:rsidRPr="00681EE4">
        <w:rPr>
          <w:sz w:val="24"/>
          <w:szCs w:val="24"/>
        </w:rPr>
        <w:t xml:space="preserve"> market. NMFS </w:t>
      </w:r>
      <w:r w:rsidR="00DD26DA">
        <w:rPr>
          <w:sz w:val="24"/>
          <w:szCs w:val="24"/>
        </w:rPr>
        <w:t xml:space="preserve">does not have available data to </w:t>
      </w:r>
      <w:r w:rsidR="00690924">
        <w:rPr>
          <w:sz w:val="24"/>
          <w:szCs w:val="24"/>
        </w:rPr>
        <w:t xml:space="preserve">more </w:t>
      </w:r>
      <w:r w:rsidR="00FA482D">
        <w:rPr>
          <w:sz w:val="24"/>
          <w:szCs w:val="24"/>
        </w:rPr>
        <w:t xml:space="preserve">accurately estimate the number </w:t>
      </w:r>
      <w:r w:rsidR="00690924">
        <w:rPr>
          <w:sz w:val="24"/>
          <w:szCs w:val="24"/>
        </w:rPr>
        <w:t xml:space="preserve">of respondents </w:t>
      </w:r>
      <w:r w:rsidR="00FA482D">
        <w:rPr>
          <w:sz w:val="24"/>
          <w:szCs w:val="24"/>
        </w:rPr>
        <w:t>and frequency of responses during each year</w:t>
      </w:r>
      <w:r w:rsidR="00690924">
        <w:rPr>
          <w:sz w:val="24"/>
          <w:szCs w:val="24"/>
        </w:rPr>
        <w:t>, as well as</w:t>
      </w:r>
      <w:r w:rsidR="00FA482D">
        <w:rPr>
          <w:sz w:val="24"/>
          <w:szCs w:val="24"/>
        </w:rPr>
        <w:t xml:space="preserve"> </w:t>
      </w:r>
      <w:r w:rsidR="00034A14">
        <w:rPr>
          <w:sz w:val="24"/>
          <w:szCs w:val="24"/>
        </w:rPr>
        <w:t xml:space="preserve">the likelihood of </w:t>
      </w:r>
      <w:r w:rsidR="00CE0268" w:rsidRPr="00681EE4">
        <w:rPr>
          <w:sz w:val="24"/>
          <w:szCs w:val="24"/>
        </w:rPr>
        <w:t>whether</w:t>
      </w:r>
      <w:r w:rsidR="00690924">
        <w:rPr>
          <w:sz w:val="24"/>
          <w:szCs w:val="24"/>
        </w:rPr>
        <w:t xml:space="preserve"> certain</w:t>
      </w:r>
      <w:r w:rsidR="00690924" w:rsidRPr="00681EE4">
        <w:rPr>
          <w:sz w:val="24"/>
          <w:szCs w:val="24"/>
        </w:rPr>
        <w:t xml:space="preserve"> seafood dealers</w:t>
      </w:r>
      <w:r w:rsidR="00690924">
        <w:rPr>
          <w:sz w:val="24"/>
          <w:szCs w:val="24"/>
        </w:rPr>
        <w:t xml:space="preserve"> are </w:t>
      </w:r>
      <w:r w:rsidR="00CE0268" w:rsidRPr="00681EE4">
        <w:rPr>
          <w:sz w:val="24"/>
          <w:szCs w:val="24"/>
        </w:rPr>
        <w:t>affected by this information collection</w:t>
      </w:r>
      <w:r w:rsidR="00690924">
        <w:rPr>
          <w:sz w:val="24"/>
          <w:szCs w:val="24"/>
        </w:rPr>
        <w:t>.</w:t>
      </w:r>
      <w:r w:rsidR="00FA482D">
        <w:rPr>
          <w:sz w:val="24"/>
          <w:szCs w:val="24"/>
        </w:rPr>
        <w:t xml:space="preserve"> </w:t>
      </w:r>
      <w:r w:rsidR="00690924">
        <w:rPr>
          <w:sz w:val="24"/>
          <w:szCs w:val="24"/>
        </w:rPr>
        <w:t>Furthermore, market conditions</w:t>
      </w:r>
      <w:r>
        <w:rPr>
          <w:sz w:val="24"/>
          <w:szCs w:val="24"/>
        </w:rPr>
        <w:t xml:space="preserve"> can</w:t>
      </w:r>
      <w:r w:rsidR="00690924">
        <w:rPr>
          <w:sz w:val="24"/>
          <w:szCs w:val="24"/>
        </w:rPr>
        <w:t xml:space="preserve"> change intra and inter-annually, </w:t>
      </w:r>
      <w:r w:rsidR="00034A14">
        <w:rPr>
          <w:sz w:val="24"/>
          <w:szCs w:val="24"/>
        </w:rPr>
        <w:t>which</w:t>
      </w:r>
      <w:r w:rsidR="00690924">
        <w:rPr>
          <w:sz w:val="24"/>
          <w:szCs w:val="24"/>
        </w:rPr>
        <w:t xml:space="preserve"> affect dealer behavior.</w:t>
      </w:r>
      <w:r w:rsidR="00034A14">
        <w:rPr>
          <w:sz w:val="24"/>
          <w:szCs w:val="24"/>
        </w:rPr>
        <w:t xml:space="preserve"> </w:t>
      </w:r>
      <w:r w:rsidR="00486C9B">
        <w:rPr>
          <w:sz w:val="24"/>
          <w:szCs w:val="24"/>
        </w:rPr>
        <w:t xml:space="preserve">Therefore, NMFS conservatively estimates that this information collection could affect every federally permitted dealer on average of once per year. </w:t>
      </w:r>
    </w:p>
    <w:p w:rsidR="00CE0268" w:rsidRPr="00681EE4" w:rsidRDefault="00CE0268" w:rsidP="00F55253">
      <w:pPr>
        <w:rPr>
          <w:sz w:val="24"/>
          <w:szCs w:val="24"/>
        </w:rPr>
      </w:pPr>
    </w:p>
    <w:p w:rsidR="005A4931" w:rsidRDefault="00256134" w:rsidP="00F55253">
      <w:pPr>
        <w:rPr>
          <w:sz w:val="24"/>
          <w:szCs w:val="24"/>
        </w:rPr>
      </w:pPr>
      <w:r>
        <w:rPr>
          <w:sz w:val="24"/>
          <w:szCs w:val="24"/>
        </w:rPr>
        <w:t>In addition, o</w:t>
      </w:r>
      <w:r w:rsidR="00F55253" w:rsidRPr="00681EE4">
        <w:rPr>
          <w:sz w:val="24"/>
          <w:szCs w:val="24"/>
        </w:rPr>
        <w:t xml:space="preserve">n April 9, 2014, NMFS created a single Gulf of Mexico and South Atlantic Dealer Permit that is required to first receive species previously covered by six separate dealer permits. </w:t>
      </w:r>
      <w:r w:rsidR="004C15AE">
        <w:rPr>
          <w:sz w:val="24"/>
          <w:szCs w:val="24"/>
        </w:rPr>
        <w:t xml:space="preserve">The dealer permit does not specify the fishery from which the dealer will first receive, so </w:t>
      </w:r>
      <w:r w:rsidR="00AE36EC">
        <w:rPr>
          <w:sz w:val="24"/>
          <w:szCs w:val="24"/>
        </w:rPr>
        <w:t>distinguishing respondents directly from the dealer permit count is not possible.</w:t>
      </w:r>
      <w:r w:rsidR="004C15AE">
        <w:rPr>
          <w:sz w:val="24"/>
          <w:szCs w:val="24"/>
        </w:rPr>
        <w:t xml:space="preserve"> </w:t>
      </w:r>
      <w:r w:rsidR="001813E9">
        <w:rPr>
          <w:sz w:val="24"/>
          <w:szCs w:val="24"/>
        </w:rPr>
        <w:t>Together, t</w:t>
      </w:r>
      <w:r w:rsidR="00942574" w:rsidRPr="00681EE4">
        <w:rPr>
          <w:sz w:val="24"/>
          <w:szCs w:val="24"/>
        </w:rPr>
        <w:t xml:space="preserve">hese changes result in an increased number of </w:t>
      </w:r>
      <w:r w:rsidR="001813E9">
        <w:rPr>
          <w:sz w:val="24"/>
          <w:szCs w:val="24"/>
        </w:rPr>
        <w:t xml:space="preserve">estimated </w:t>
      </w:r>
      <w:r w:rsidR="00942574" w:rsidRPr="00681EE4">
        <w:rPr>
          <w:sz w:val="24"/>
          <w:szCs w:val="24"/>
        </w:rPr>
        <w:t>respondents and annual responses</w:t>
      </w:r>
      <w:r w:rsidR="001813E9">
        <w:rPr>
          <w:sz w:val="24"/>
          <w:szCs w:val="24"/>
        </w:rPr>
        <w:t>.</w:t>
      </w:r>
      <w:r w:rsidR="005A4931">
        <w:rPr>
          <w:sz w:val="24"/>
          <w:szCs w:val="24"/>
        </w:rPr>
        <w:t xml:space="preserve"> </w:t>
      </w:r>
    </w:p>
    <w:p w:rsidR="005A4931" w:rsidRDefault="005A4931" w:rsidP="00F55253">
      <w:pPr>
        <w:rPr>
          <w:sz w:val="24"/>
          <w:szCs w:val="24"/>
        </w:rPr>
      </w:pPr>
    </w:p>
    <w:p w:rsidR="00052ED7" w:rsidRPr="00FA482D" w:rsidRDefault="001813E9" w:rsidP="00F55253">
      <w:pPr>
        <w:rPr>
          <w:sz w:val="24"/>
          <w:szCs w:val="24"/>
        </w:rPr>
      </w:pPr>
      <w:r>
        <w:rPr>
          <w:sz w:val="24"/>
          <w:szCs w:val="24"/>
        </w:rPr>
        <w:t>Feedback from two federally permitted dealers result</w:t>
      </w:r>
      <w:r w:rsidR="0041710A">
        <w:rPr>
          <w:sz w:val="24"/>
          <w:szCs w:val="24"/>
        </w:rPr>
        <w:t>s</w:t>
      </w:r>
      <w:r>
        <w:rPr>
          <w:sz w:val="24"/>
          <w:szCs w:val="24"/>
        </w:rPr>
        <w:t xml:space="preserve"> in a decreased estimated</w:t>
      </w:r>
      <w:r w:rsidR="001F22E3" w:rsidRPr="00681EE4">
        <w:rPr>
          <w:sz w:val="24"/>
          <w:szCs w:val="24"/>
        </w:rPr>
        <w:t xml:space="preserve"> time per response</w:t>
      </w:r>
      <w:r w:rsidR="001F22E3" w:rsidRPr="00FA482D" w:rsidDel="001F22E3">
        <w:rPr>
          <w:sz w:val="24"/>
          <w:szCs w:val="24"/>
        </w:rPr>
        <w:t xml:space="preserve"> </w:t>
      </w:r>
      <w:r w:rsidR="001F22E3" w:rsidRPr="00FA482D">
        <w:rPr>
          <w:sz w:val="24"/>
          <w:szCs w:val="24"/>
        </w:rPr>
        <w:t>and total annual time burden</w:t>
      </w:r>
      <w:r w:rsidR="00942574" w:rsidRPr="00FA482D">
        <w:rPr>
          <w:sz w:val="24"/>
          <w:szCs w:val="24"/>
        </w:rPr>
        <w:t xml:space="preserve">. </w:t>
      </w:r>
    </w:p>
    <w:p w:rsidR="00942574" w:rsidRPr="00681EE4" w:rsidRDefault="00942574" w:rsidP="00EB48FF">
      <w:pPr>
        <w:rPr>
          <w:sz w:val="24"/>
          <w:szCs w:val="24"/>
        </w:rPr>
      </w:pPr>
    </w:p>
    <w:p w:rsidR="00942574" w:rsidRPr="00681EE4" w:rsidRDefault="00942574" w:rsidP="00EB48FF">
      <w:pPr>
        <w:rPr>
          <w:sz w:val="24"/>
          <w:szCs w:val="24"/>
        </w:rPr>
      </w:pPr>
      <w:r w:rsidRPr="00681EE4">
        <w:rPr>
          <w:sz w:val="24"/>
          <w:szCs w:val="24"/>
        </w:rPr>
        <w:t>Program changes: None.</w:t>
      </w:r>
    </w:p>
    <w:p w:rsidR="00052ED7" w:rsidRPr="00681EE4" w:rsidRDefault="00052ED7" w:rsidP="00EB48FF">
      <w:pPr>
        <w:rPr>
          <w:sz w:val="24"/>
          <w:szCs w:val="24"/>
        </w:rPr>
      </w:pPr>
    </w:p>
    <w:p w:rsidR="00EB48FF" w:rsidRPr="00681EE4" w:rsidRDefault="00EB48FF" w:rsidP="00EB48FF">
      <w:pPr>
        <w:rPr>
          <w:sz w:val="24"/>
          <w:szCs w:val="24"/>
        </w:rPr>
      </w:pPr>
      <w:r w:rsidRPr="00681EE4">
        <w:rPr>
          <w:b/>
          <w:bCs/>
          <w:sz w:val="24"/>
          <w:szCs w:val="24"/>
        </w:rPr>
        <w:t>16.</w:t>
      </w:r>
      <w:r w:rsidR="006C0C1F" w:rsidRPr="00681EE4">
        <w:rPr>
          <w:b/>
          <w:bCs/>
          <w:sz w:val="24"/>
          <w:szCs w:val="24"/>
        </w:rPr>
        <w:t xml:space="preserve"> </w:t>
      </w:r>
      <w:r w:rsidRPr="00681EE4">
        <w:rPr>
          <w:b/>
          <w:bCs/>
          <w:sz w:val="24"/>
          <w:szCs w:val="24"/>
          <w:u w:val="single"/>
        </w:rPr>
        <w:t>For collections whose results will be published, outline the plans for tabulation and publication</w:t>
      </w:r>
      <w:r w:rsidRPr="00681EE4">
        <w:rPr>
          <w:b/>
          <w:bCs/>
          <w:sz w:val="24"/>
          <w:szCs w:val="24"/>
        </w:rPr>
        <w:t>.</w:t>
      </w:r>
    </w:p>
    <w:p w:rsidR="00EB48FF" w:rsidRPr="00681EE4" w:rsidRDefault="00EB48FF" w:rsidP="00EB48FF">
      <w:pPr>
        <w:rPr>
          <w:sz w:val="24"/>
          <w:szCs w:val="24"/>
        </w:rPr>
      </w:pPr>
    </w:p>
    <w:p w:rsidR="00EB48FF" w:rsidRPr="00681EE4" w:rsidRDefault="00874CB9" w:rsidP="00EB48FF">
      <w:pPr>
        <w:widowControl/>
        <w:rPr>
          <w:sz w:val="24"/>
          <w:szCs w:val="24"/>
        </w:rPr>
      </w:pPr>
      <w:r w:rsidRPr="00681EE4">
        <w:rPr>
          <w:sz w:val="24"/>
          <w:szCs w:val="24"/>
        </w:rPr>
        <w:t>No formal publications based on these collections are planned.</w:t>
      </w:r>
    </w:p>
    <w:p w:rsidR="00EB48FF" w:rsidRPr="00681EE4" w:rsidRDefault="00EB48FF" w:rsidP="00EB48FF">
      <w:pPr>
        <w:rPr>
          <w:sz w:val="24"/>
          <w:szCs w:val="24"/>
          <w:highlight w:val="yellow"/>
        </w:rPr>
      </w:pPr>
    </w:p>
    <w:p w:rsidR="00EB48FF" w:rsidRPr="00681EE4" w:rsidRDefault="00EB48FF" w:rsidP="00EB48FF">
      <w:pPr>
        <w:rPr>
          <w:sz w:val="24"/>
          <w:szCs w:val="24"/>
        </w:rPr>
      </w:pPr>
      <w:r w:rsidRPr="00681EE4">
        <w:rPr>
          <w:b/>
          <w:bCs/>
          <w:sz w:val="24"/>
          <w:szCs w:val="24"/>
        </w:rPr>
        <w:t>17.</w:t>
      </w:r>
      <w:r w:rsidR="006C0C1F" w:rsidRPr="00681EE4">
        <w:rPr>
          <w:b/>
          <w:bCs/>
          <w:sz w:val="24"/>
          <w:szCs w:val="24"/>
        </w:rPr>
        <w:t xml:space="preserve"> </w:t>
      </w:r>
      <w:r w:rsidRPr="00681EE4">
        <w:rPr>
          <w:b/>
          <w:bCs/>
          <w:sz w:val="24"/>
          <w:szCs w:val="24"/>
          <w:u w:val="single"/>
        </w:rPr>
        <w:t>If seeking approval to not display the expiration date for OMB approval of the information collection, explain the reasons why display would be inappropriate</w:t>
      </w:r>
      <w:r w:rsidRPr="00681EE4">
        <w:rPr>
          <w:b/>
          <w:bCs/>
          <w:sz w:val="24"/>
          <w:szCs w:val="24"/>
        </w:rPr>
        <w:t>.</w:t>
      </w:r>
    </w:p>
    <w:p w:rsidR="00EB48FF" w:rsidRPr="00681EE4" w:rsidRDefault="00EB48FF" w:rsidP="00EB48FF">
      <w:pPr>
        <w:rPr>
          <w:sz w:val="24"/>
          <w:szCs w:val="24"/>
        </w:rPr>
      </w:pPr>
    </w:p>
    <w:p w:rsidR="00EB48FF" w:rsidRPr="00681EE4" w:rsidRDefault="00F92636" w:rsidP="00EB48FF">
      <w:pPr>
        <w:widowControl/>
        <w:rPr>
          <w:sz w:val="24"/>
          <w:szCs w:val="24"/>
        </w:rPr>
      </w:pPr>
      <w:r w:rsidRPr="00681EE4">
        <w:rPr>
          <w:sz w:val="24"/>
          <w:szCs w:val="24"/>
        </w:rPr>
        <w:t xml:space="preserve">Not </w:t>
      </w:r>
      <w:r w:rsidR="00C03A78" w:rsidRPr="00681EE4">
        <w:rPr>
          <w:sz w:val="24"/>
          <w:szCs w:val="24"/>
        </w:rPr>
        <w:t>applicable</w:t>
      </w:r>
      <w:r w:rsidRPr="00681EE4">
        <w:rPr>
          <w:sz w:val="24"/>
          <w:szCs w:val="24"/>
        </w:rPr>
        <w:t>.</w:t>
      </w:r>
    </w:p>
    <w:p w:rsidR="00EB48FF" w:rsidRPr="00681EE4" w:rsidRDefault="00EB48FF" w:rsidP="00EB48FF">
      <w:pPr>
        <w:rPr>
          <w:sz w:val="24"/>
          <w:szCs w:val="24"/>
          <w:highlight w:val="yellow"/>
        </w:rPr>
      </w:pPr>
    </w:p>
    <w:p w:rsidR="00EB48FF" w:rsidRPr="00681EE4" w:rsidRDefault="00EB48FF" w:rsidP="00EB48FF">
      <w:pPr>
        <w:rPr>
          <w:sz w:val="24"/>
          <w:szCs w:val="24"/>
        </w:rPr>
      </w:pPr>
      <w:r w:rsidRPr="00681EE4">
        <w:rPr>
          <w:b/>
          <w:bCs/>
          <w:sz w:val="24"/>
          <w:szCs w:val="24"/>
        </w:rPr>
        <w:t>18.</w:t>
      </w:r>
      <w:r w:rsidR="006C0C1F" w:rsidRPr="00681EE4">
        <w:rPr>
          <w:b/>
          <w:bCs/>
          <w:sz w:val="24"/>
          <w:szCs w:val="24"/>
        </w:rPr>
        <w:t xml:space="preserve"> </w:t>
      </w:r>
      <w:r w:rsidRPr="00681EE4">
        <w:rPr>
          <w:b/>
          <w:bCs/>
          <w:sz w:val="24"/>
          <w:szCs w:val="24"/>
          <w:u w:val="single"/>
        </w:rPr>
        <w:t>Explain each exception to the certification statement</w:t>
      </w:r>
      <w:r w:rsidR="00E159E0" w:rsidRPr="00681EE4">
        <w:rPr>
          <w:b/>
          <w:bCs/>
          <w:sz w:val="24"/>
          <w:szCs w:val="24"/>
          <w:u w:val="single"/>
        </w:rPr>
        <w:t>.</w:t>
      </w:r>
    </w:p>
    <w:p w:rsidR="00EB48FF" w:rsidRPr="00681EE4" w:rsidRDefault="00EB48FF" w:rsidP="00EB48FF">
      <w:pPr>
        <w:rPr>
          <w:sz w:val="24"/>
          <w:szCs w:val="24"/>
        </w:rPr>
      </w:pPr>
    </w:p>
    <w:p w:rsidR="00F92636" w:rsidRPr="00681EE4" w:rsidRDefault="00874CB9" w:rsidP="00F92636">
      <w:pPr>
        <w:widowControl/>
        <w:rPr>
          <w:sz w:val="24"/>
          <w:szCs w:val="24"/>
        </w:rPr>
      </w:pPr>
      <w:r w:rsidRPr="00681EE4">
        <w:rPr>
          <w:sz w:val="24"/>
          <w:szCs w:val="24"/>
        </w:rPr>
        <w:t>There are no exceptions.</w:t>
      </w:r>
    </w:p>
    <w:p w:rsidR="00EB48FF" w:rsidRPr="00681EE4" w:rsidRDefault="00EB48FF" w:rsidP="00EB48FF">
      <w:pPr>
        <w:rPr>
          <w:sz w:val="24"/>
          <w:szCs w:val="24"/>
        </w:rPr>
      </w:pPr>
    </w:p>
    <w:p w:rsidR="00EB48FF" w:rsidRPr="00681EE4" w:rsidRDefault="00EB48FF" w:rsidP="00EB48FF">
      <w:pPr>
        <w:rPr>
          <w:sz w:val="24"/>
          <w:szCs w:val="24"/>
          <w:highlight w:val="yellow"/>
        </w:rPr>
      </w:pPr>
    </w:p>
    <w:p w:rsidR="00EB48FF" w:rsidRPr="00681EE4" w:rsidRDefault="00EB48FF" w:rsidP="00EB48FF">
      <w:pPr>
        <w:rPr>
          <w:sz w:val="24"/>
          <w:szCs w:val="24"/>
        </w:rPr>
      </w:pPr>
      <w:r w:rsidRPr="00681EE4">
        <w:rPr>
          <w:b/>
          <w:bCs/>
          <w:sz w:val="24"/>
          <w:szCs w:val="24"/>
        </w:rPr>
        <w:t>B.</w:t>
      </w:r>
      <w:r w:rsidR="006C0C1F" w:rsidRPr="00681EE4">
        <w:rPr>
          <w:b/>
          <w:bCs/>
          <w:sz w:val="24"/>
          <w:szCs w:val="24"/>
        </w:rPr>
        <w:t xml:space="preserve"> </w:t>
      </w:r>
      <w:r w:rsidRPr="00681EE4">
        <w:rPr>
          <w:b/>
          <w:bCs/>
          <w:sz w:val="24"/>
          <w:szCs w:val="24"/>
        </w:rPr>
        <w:t>COLLECTIONS OF INFORMATION EMPLOYING STATISTICAL METHODS</w:t>
      </w:r>
    </w:p>
    <w:p w:rsidR="00EB48FF" w:rsidRPr="00681EE4" w:rsidRDefault="00EB48FF" w:rsidP="00EB48FF">
      <w:pPr>
        <w:rPr>
          <w:sz w:val="24"/>
          <w:szCs w:val="24"/>
        </w:rPr>
      </w:pPr>
    </w:p>
    <w:p w:rsidR="00A81C16" w:rsidRPr="00681EE4" w:rsidRDefault="00EB48FF" w:rsidP="00A81C16">
      <w:pPr>
        <w:rPr>
          <w:sz w:val="24"/>
          <w:szCs w:val="24"/>
        </w:rPr>
      </w:pPr>
      <w:r w:rsidRPr="00681EE4">
        <w:rPr>
          <w:sz w:val="24"/>
          <w:szCs w:val="24"/>
        </w:rPr>
        <w:t>The collection does not employ statistical methods.</w:t>
      </w:r>
      <w:r w:rsidR="001E0225" w:rsidRPr="00681EE4">
        <w:rPr>
          <w:sz w:val="24"/>
          <w:szCs w:val="24"/>
        </w:rPr>
        <w:t xml:space="preserve"> </w:t>
      </w:r>
    </w:p>
    <w:p w:rsidR="00A81C16" w:rsidRPr="00681EE4" w:rsidRDefault="00A81C16">
      <w:pPr>
        <w:rPr>
          <w:sz w:val="24"/>
          <w:szCs w:val="24"/>
        </w:rPr>
      </w:pPr>
    </w:p>
    <w:sectPr w:rsidR="00A81C16" w:rsidRPr="00681EE4" w:rsidSect="009D7FEB">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01" w:rsidRDefault="00CE2901">
      <w:r>
        <w:separator/>
      </w:r>
    </w:p>
  </w:endnote>
  <w:endnote w:type="continuationSeparator" w:id="0">
    <w:p w:rsidR="00CE2901" w:rsidRDefault="00CE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8B9" w:rsidRDefault="00FC08B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03196">
      <w:rPr>
        <w:rStyle w:val="PageNumber"/>
        <w:noProof/>
        <w:sz w:val="24"/>
        <w:szCs w:val="24"/>
      </w:rPr>
      <w:t>1</w:t>
    </w:r>
    <w:r>
      <w:rPr>
        <w:rStyle w:val="PageNumber"/>
        <w:sz w:val="24"/>
        <w:szCs w:val="24"/>
      </w:rPr>
      <w:fldChar w:fldCharType="end"/>
    </w:r>
  </w:p>
  <w:p w:rsidR="00FC08B9" w:rsidRDefault="00FC0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01" w:rsidRDefault="00CE2901">
      <w:r>
        <w:separator/>
      </w:r>
    </w:p>
  </w:footnote>
  <w:footnote w:type="continuationSeparator" w:id="0">
    <w:p w:rsidR="00CE2901" w:rsidRDefault="00CE2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2513530"/>
    <w:multiLevelType w:val="hybridMultilevel"/>
    <w:tmpl w:val="A1BE9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050F5B"/>
    <w:multiLevelType w:val="hybridMultilevel"/>
    <w:tmpl w:val="A1BE9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16"/>
    <w:rsid w:val="0000617E"/>
    <w:rsid w:val="000258EF"/>
    <w:rsid w:val="00027879"/>
    <w:rsid w:val="00034A14"/>
    <w:rsid w:val="00043C34"/>
    <w:rsid w:val="00052ED7"/>
    <w:rsid w:val="0005623E"/>
    <w:rsid w:val="00064B6E"/>
    <w:rsid w:val="00066C2D"/>
    <w:rsid w:val="000B1016"/>
    <w:rsid w:val="000B3FA9"/>
    <w:rsid w:val="000B430B"/>
    <w:rsid w:val="000C35F3"/>
    <w:rsid w:val="000E155B"/>
    <w:rsid w:val="000E7CA8"/>
    <w:rsid w:val="000F761F"/>
    <w:rsid w:val="00100DFB"/>
    <w:rsid w:val="00111714"/>
    <w:rsid w:val="00112D41"/>
    <w:rsid w:val="001334C6"/>
    <w:rsid w:val="00143364"/>
    <w:rsid w:val="00147492"/>
    <w:rsid w:val="0015725E"/>
    <w:rsid w:val="001638A7"/>
    <w:rsid w:val="001638AF"/>
    <w:rsid w:val="00164646"/>
    <w:rsid w:val="0017507C"/>
    <w:rsid w:val="001813E9"/>
    <w:rsid w:val="0018249F"/>
    <w:rsid w:val="00184426"/>
    <w:rsid w:val="0019167C"/>
    <w:rsid w:val="001A08E0"/>
    <w:rsid w:val="001B06BB"/>
    <w:rsid w:val="001B35CE"/>
    <w:rsid w:val="001B463A"/>
    <w:rsid w:val="001B7EE8"/>
    <w:rsid w:val="001C04C2"/>
    <w:rsid w:val="001E0225"/>
    <w:rsid w:val="001E23FC"/>
    <w:rsid w:val="001E48EE"/>
    <w:rsid w:val="001E560A"/>
    <w:rsid w:val="001F22E3"/>
    <w:rsid w:val="001F33A6"/>
    <w:rsid w:val="002045AE"/>
    <w:rsid w:val="002051F1"/>
    <w:rsid w:val="002241F8"/>
    <w:rsid w:val="002323D5"/>
    <w:rsid w:val="002354E8"/>
    <w:rsid w:val="00242B01"/>
    <w:rsid w:val="0025387D"/>
    <w:rsid w:val="00256134"/>
    <w:rsid w:val="002702FE"/>
    <w:rsid w:val="00270376"/>
    <w:rsid w:val="00273646"/>
    <w:rsid w:val="00280EDE"/>
    <w:rsid w:val="00286426"/>
    <w:rsid w:val="002944E4"/>
    <w:rsid w:val="00296DE4"/>
    <w:rsid w:val="002A5DC0"/>
    <w:rsid w:val="002A7E95"/>
    <w:rsid w:val="002C300D"/>
    <w:rsid w:val="002D549B"/>
    <w:rsid w:val="002E5E89"/>
    <w:rsid w:val="002F5A2E"/>
    <w:rsid w:val="002F64DC"/>
    <w:rsid w:val="002F7D17"/>
    <w:rsid w:val="00306367"/>
    <w:rsid w:val="003102A4"/>
    <w:rsid w:val="00334EE9"/>
    <w:rsid w:val="00346271"/>
    <w:rsid w:val="00347BC8"/>
    <w:rsid w:val="00351800"/>
    <w:rsid w:val="00352ADA"/>
    <w:rsid w:val="0036773E"/>
    <w:rsid w:val="003731BD"/>
    <w:rsid w:val="00380215"/>
    <w:rsid w:val="003949EC"/>
    <w:rsid w:val="003A0899"/>
    <w:rsid w:val="003B015C"/>
    <w:rsid w:val="003D2661"/>
    <w:rsid w:val="003D32A2"/>
    <w:rsid w:val="00402DEB"/>
    <w:rsid w:val="00404681"/>
    <w:rsid w:val="00416D01"/>
    <w:rsid w:val="0041710A"/>
    <w:rsid w:val="0043175A"/>
    <w:rsid w:val="00440206"/>
    <w:rsid w:val="00442FBA"/>
    <w:rsid w:val="00456311"/>
    <w:rsid w:val="0047017D"/>
    <w:rsid w:val="00486C9B"/>
    <w:rsid w:val="004926A0"/>
    <w:rsid w:val="004A067A"/>
    <w:rsid w:val="004A2353"/>
    <w:rsid w:val="004A294D"/>
    <w:rsid w:val="004B12FA"/>
    <w:rsid w:val="004C15AE"/>
    <w:rsid w:val="004D0AC9"/>
    <w:rsid w:val="004D34FC"/>
    <w:rsid w:val="004D6570"/>
    <w:rsid w:val="00510E72"/>
    <w:rsid w:val="00516E59"/>
    <w:rsid w:val="005208FE"/>
    <w:rsid w:val="00541815"/>
    <w:rsid w:val="00546476"/>
    <w:rsid w:val="00567CAB"/>
    <w:rsid w:val="00585846"/>
    <w:rsid w:val="00585C96"/>
    <w:rsid w:val="00587E8A"/>
    <w:rsid w:val="005A07E2"/>
    <w:rsid w:val="005A4931"/>
    <w:rsid w:val="005B7AAF"/>
    <w:rsid w:val="005C35E6"/>
    <w:rsid w:val="005D2805"/>
    <w:rsid w:val="005E0930"/>
    <w:rsid w:val="005E394B"/>
    <w:rsid w:val="005E5E58"/>
    <w:rsid w:val="005F3616"/>
    <w:rsid w:val="005F6B4A"/>
    <w:rsid w:val="00605DB8"/>
    <w:rsid w:val="00606723"/>
    <w:rsid w:val="00612E1C"/>
    <w:rsid w:val="0062430E"/>
    <w:rsid w:val="00630889"/>
    <w:rsid w:val="006379C5"/>
    <w:rsid w:val="006412A9"/>
    <w:rsid w:val="00646A22"/>
    <w:rsid w:val="00650F92"/>
    <w:rsid w:val="00651E14"/>
    <w:rsid w:val="00660574"/>
    <w:rsid w:val="00660854"/>
    <w:rsid w:val="0066329A"/>
    <w:rsid w:val="00681EE4"/>
    <w:rsid w:val="00690924"/>
    <w:rsid w:val="00696CD3"/>
    <w:rsid w:val="006A0D29"/>
    <w:rsid w:val="006A2EC6"/>
    <w:rsid w:val="006B46FC"/>
    <w:rsid w:val="006B5403"/>
    <w:rsid w:val="006C0C1F"/>
    <w:rsid w:val="006C45AB"/>
    <w:rsid w:val="006D3ECC"/>
    <w:rsid w:val="006E24DA"/>
    <w:rsid w:val="00715F4E"/>
    <w:rsid w:val="00725895"/>
    <w:rsid w:val="00727BAF"/>
    <w:rsid w:val="00746561"/>
    <w:rsid w:val="007647D9"/>
    <w:rsid w:val="00772B13"/>
    <w:rsid w:val="0078517D"/>
    <w:rsid w:val="0078661E"/>
    <w:rsid w:val="00787AE1"/>
    <w:rsid w:val="007A41E5"/>
    <w:rsid w:val="007A7691"/>
    <w:rsid w:val="007B1B91"/>
    <w:rsid w:val="007B2ADF"/>
    <w:rsid w:val="007C2672"/>
    <w:rsid w:val="00803A6F"/>
    <w:rsid w:val="008048A1"/>
    <w:rsid w:val="00811374"/>
    <w:rsid w:val="00812A55"/>
    <w:rsid w:val="00832005"/>
    <w:rsid w:val="0084538B"/>
    <w:rsid w:val="0084668D"/>
    <w:rsid w:val="00847FA4"/>
    <w:rsid w:val="008560C1"/>
    <w:rsid w:val="0086000B"/>
    <w:rsid w:val="008702E0"/>
    <w:rsid w:val="00874CB9"/>
    <w:rsid w:val="008778DF"/>
    <w:rsid w:val="0088432A"/>
    <w:rsid w:val="00886CEC"/>
    <w:rsid w:val="008D3C48"/>
    <w:rsid w:val="008E4924"/>
    <w:rsid w:val="008E70D9"/>
    <w:rsid w:val="008E76DA"/>
    <w:rsid w:val="008F6637"/>
    <w:rsid w:val="0090394C"/>
    <w:rsid w:val="00905D25"/>
    <w:rsid w:val="0090647D"/>
    <w:rsid w:val="00907ECA"/>
    <w:rsid w:val="009171C4"/>
    <w:rsid w:val="0092724F"/>
    <w:rsid w:val="00935362"/>
    <w:rsid w:val="00942574"/>
    <w:rsid w:val="009436AD"/>
    <w:rsid w:val="009464AA"/>
    <w:rsid w:val="00946D14"/>
    <w:rsid w:val="00952550"/>
    <w:rsid w:val="00952D34"/>
    <w:rsid w:val="009D7FEB"/>
    <w:rsid w:val="009E2B05"/>
    <w:rsid w:val="009E32BF"/>
    <w:rsid w:val="009E5575"/>
    <w:rsid w:val="009E5FFF"/>
    <w:rsid w:val="009F132D"/>
    <w:rsid w:val="00A03196"/>
    <w:rsid w:val="00A03B6A"/>
    <w:rsid w:val="00A11165"/>
    <w:rsid w:val="00A13A1E"/>
    <w:rsid w:val="00A24568"/>
    <w:rsid w:val="00A3597A"/>
    <w:rsid w:val="00A41C7E"/>
    <w:rsid w:val="00A5489C"/>
    <w:rsid w:val="00A66979"/>
    <w:rsid w:val="00A81C16"/>
    <w:rsid w:val="00A85809"/>
    <w:rsid w:val="00A91AC2"/>
    <w:rsid w:val="00AA240F"/>
    <w:rsid w:val="00AA2CDD"/>
    <w:rsid w:val="00AA4576"/>
    <w:rsid w:val="00AB1DDE"/>
    <w:rsid w:val="00AE36EC"/>
    <w:rsid w:val="00AE6AB5"/>
    <w:rsid w:val="00AE78A5"/>
    <w:rsid w:val="00AF44C8"/>
    <w:rsid w:val="00AF6715"/>
    <w:rsid w:val="00B0754B"/>
    <w:rsid w:val="00B1072F"/>
    <w:rsid w:val="00B23991"/>
    <w:rsid w:val="00B2776D"/>
    <w:rsid w:val="00B32F86"/>
    <w:rsid w:val="00B43551"/>
    <w:rsid w:val="00B50137"/>
    <w:rsid w:val="00B5101A"/>
    <w:rsid w:val="00B514BA"/>
    <w:rsid w:val="00B559DC"/>
    <w:rsid w:val="00B62BE1"/>
    <w:rsid w:val="00B775DC"/>
    <w:rsid w:val="00B932B8"/>
    <w:rsid w:val="00B96ED6"/>
    <w:rsid w:val="00BA1A4C"/>
    <w:rsid w:val="00BA5E6E"/>
    <w:rsid w:val="00BC790D"/>
    <w:rsid w:val="00BD1788"/>
    <w:rsid w:val="00BE7C87"/>
    <w:rsid w:val="00C03A78"/>
    <w:rsid w:val="00C124E5"/>
    <w:rsid w:val="00C2199B"/>
    <w:rsid w:val="00C306C1"/>
    <w:rsid w:val="00C42ECF"/>
    <w:rsid w:val="00C61512"/>
    <w:rsid w:val="00C638BA"/>
    <w:rsid w:val="00C67C3A"/>
    <w:rsid w:val="00C87BBC"/>
    <w:rsid w:val="00C9094E"/>
    <w:rsid w:val="00C90AA4"/>
    <w:rsid w:val="00C95846"/>
    <w:rsid w:val="00CA0F89"/>
    <w:rsid w:val="00CC586C"/>
    <w:rsid w:val="00CE0268"/>
    <w:rsid w:val="00CE1087"/>
    <w:rsid w:val="00CE2901"/>
    <w:rsid w:val="00CE4CA4"/>
    <w:rsid w:val="00CF4C8F"/>
    <w:rsid w:val="00D029C2"/>
    <w:rsid w:val="00D100DF"/>
    <w:rsid w:val="00D30B6D"/>
    <w:rsid w:val="00D34B46"/>
    <w:rsid w:val="00D435FF"/>
    <w:rsid w:val="00D53D2A"/>
    <w:rsid w:val="00D56239"/>
    <w:rsid w:val="00D60AA3"/>
    <w:rsid w:val="00D97C47"/>
    <w:rsid w:val="00DA5159"/>
    <w:rsid w:val="00DA5BE6"/>
    <w:rsid w:val="00DC41A6"/>
    <w:rsid w:val="00DC6A67"/>
    <w:rsid w:val="00DC74C6"/>
    <w:rsid w:val="00DD26DA"/>
    <w:rsid w:val="00DD2976"/>
    <w:rsid w:val="00DD3390"/>
    <w:rsid w:val="00DE1E74"/>
    <w:rsid w:val="00DF2415"/>
    <w:rsid w:val="00DF246B"/>
    <w:rsid w:val="00DF44BE"/>
    <w:rsid w:val="00E159E0"/>
    <w:rsid w:val="00E25518"/>
    <w:rsid w:val="00E26A67"/>
    <w:rsid w:val="00E30EFC"/>
    <w:rsid w:val="00E46727"/>
    <w:rsid w:val="00E50E6C"/>
    <w:rsid w:val="00E90F59"/>
    <w:rsid w:val="00EA09D6"/>
    <w:rsid w:val="00EB48FF"/>
    <w:rsid w:val="00ED3EEB"/>
    <w:rsid w:val="00ED5CF8"/>
    <w:rsid w:val="00EE2930"/>
    <w:rsid w:val="00EE5823"/>
    <w:rsid w:val="00EF0654"/>
    <w:rsid w:val="00EF5EB0"/>
    <w:rsid w:val="00F03E62"/>
    <w:rsid w:val="00F22F79"/>
    <w:rsid w:val="00F27850"/>
    <w:rsid w:val="00F30599"/>
    <w:rsid w:val="00F409DA"/>
    <w:rsid w:val="00F502F2"/>
    <w:rsid w:val="00F55253"/>
    <w:rsid w:val="00F55AAF"/>
    <w:rsid w:val="00F5673D"/>
    <w:rsid w:val="00F56952"/>
    <w:rsid w:val="00F57BF9"/>
    <w:rsid w:val="00F63CD7"/>
    <w:rsid w:val="00F714FD"/>
    <w:rsid w:val="00F748FE"/>
    <w:rsid w:val="00F92636"/>
    <w:rsid w:val="00FA482D"/>
    <w:rsid w:val="00FA76D0"/>
    <w:rsid w:val="00FB67FD"/>
    <w:rsid w:val="00FC08B9"/>
    <w:rsid w:val="00FC45EC"/>
    <w:rsid w:val="00FC74E8"/>
    <w:rsid w:val="00FD07B1"/>
    <w:rsid w:val="00FD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16"/>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 w:type="paragraph" w:styleId="ListParagraph">
    <w:name w:val="List Paragraph"/>
    <w:basedOn w:val="Normal"/>
    <w:uiPriority w:val="34"/>
    <w:qFormat/>
    <w:rsid w:val="00F748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16"/>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 w:type="paragraph" w:styleId="ListParagraph">
    <w:name w:val="List Paragraph"/>
    <w:basedOn w:val="Normal"/>
    <w:uiPriority w:val="34"/>
    <w:qFormat/>
    <w:rsid w:val="00F74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hyperlink" Target="https://www.ecfr.gov/cgi-bin/text-idx?SID=62f6a8ed1ddedd0839331b06f6367b24&amp;mc=true&amp;node=sp50.11.300.k&amp;rgn=div6" TargetMode="External"/><Relationship Id="rId4" Type="http://schemas.microsoft.com/office/2007/relationships/stylesWithEffects" Target="stylesWithEffects.xml"/><Relationship Id="rId9" Type="http://schemas.openxmlformats.org/officeDocument/2006/relationships/hyperlink" Target="https://www.ecfr.gov/cgi-bin/text-idx?SID=62f6a8ed1ddedd0839331b06f6367b24&amp;mc=true&amp;node=se50.12.622_1192&amp;rgn=div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4B09C-38C3-4BDC-9C8F-711EBDF0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12247</CharactersWithSpaces>
  <SharedDoc>false</SharedDoc>
  <HLinks>
    <vt:vector size="24" baseType="variant">
      <vt:variant>
        <vt:i4>852034</vt:i4>
      </vt:variant>
      <vt:variant>
        <vt:i4>11</vt:i4>
      </vt:variant>
      <vt:variant>
        <vt:i4>0</vt:i4>
      </vt:variant>
      <vt:variant>
        <vt:i4>5</vt:i4>
      </vt:variant>
      <vt:variant>
        <vt:lpwstr>http://www.fws.gov/informationquality/section515.html</vt:lpwstr>
      </vt:variant>
      <vt:variant>
        <vt:lpwstr/>
      </vt:variant>
      <vt:variant>
        <vt:i4>3670065</vt:i4>
      </vt:variant>
      <vt:variant>
        <vt:i4>8</vt:i4>
      </vt:variant>
      <vt:variant>
        <vt:i4>0</vt:i4>
      </vt:variant>
      <vt:variant>
        <vt:i4>5</vt:i4>
      </vt:variant>
      <vt:variant>
        <vt:lpwstr>http://ecfr.gpoaccess.gov/cgi/t/text/text-idx?c=ecfr&amp;sid=1668f4f8900a2b218ca8fd3545a7d3c1&amp;rgn=div8&amp;view=text&amp;node=50:10.0.1.1.2.3.1.16&amp;idno=50</vt:lpwstr>
      </vt:variant>
      <vt:variant>
        <vt:lpwstr/>
      </vt:variant>
      <vt:variant>
        <vt:i4>3145852</vt:i4>
      </vt:variant>
      <vt:variant>
        <vt:i4>3</vt:i4>
      </vt:variant>
      <vt:variant>
        <vt:i4>0</vt:i4>
      </vt:variant>
      <vt:variant>
        <vt:i4>5</vt:i4>
      </vt:variant>
      <vt:variant>
        <vt:lpwstr>http://www.gpo.gov/fdsys/pkg/FR-2009-06-29/pdf/E9-15342.pdf</vt:lpwstr>
      </vt:variant>
      <vt:variant>
        <vt:lpwstr/>
      </vt:variant>
      <vt:variant>
        <vt:i4>3539066</vt:i4>
      </vt:variant>
      <vt:variant>
        <vt:i4>0</vt:i4>
      </vt:variant>
      <vt:variant>
        <vt:i4>0</vt:i4>
      </vt:variant>
      <vt:variant>
        <vt:i4>5</vt:i4>
      </vt:variant>
      <vt:variant>
        <vt:lpwstr>http://www.gpo.gov/fdsys/pkg/FR-1999-01-25/pdf/99-1604.pdf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SYSTEM</cp:lastModifiedBy>
  <cp:revision>2</cp:revision>
  <cp:lastPrinted>2015-06-17T16:32:00Z</cp:lastPrinted>
  <dcterms:created xsi:type="dcterms:W3CDTF">2018-07-30T16:45:00Z</dcterms:created>
  <dcterms:modified xsi:type="dcterms:W3CDTF">2018-07-30T16:45:00Z</dcterms:modified>
</cp:coreProperties>
</file>