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61DD8" w14:textId="77777777" w:rsidR="004F26E9" w:rsidRPr="00DB5657" w:rsidRDefault="004F26E9">
      <w:pPr>
        <w:jc w:val="center"/>
        <w:rPr>
          <w:b/>
          <w:bCs/>
          <w:sz w:val="24"/>
          <w:szCs w:val="24"/>
        </w:rPr>
      </w:pPr>
      <w:bookmarkStart w:id="0" w:name="_GoBack"/>
      <w:bookmarkEnd w:id="0"/>
      <w:r w:rsidRPr="00DB5657">
        <w:rPr>
          <w:b/>
          <w:bCs/>
          <w:sz w:val="24"/>
          <w:szCs w:val="24"/>
        </w:rPr>
        <w:t>SUPPORTING STATEMENT</w:t>
      </w:r>
    </w:p>
    <w:p w14:paraId="12E3AF41" w14:textId="77777777" w:rsidR="00FA6A7E" w:rsidRDefault="00FA6A7E">
      <w:pPr>
        <w:jc w:val="center"/>
        <w:rPr>
          <w:b/>
          <w:bCs/>
          <w:sz w:val="24"/>
          <w:szCs w:val="24"/>
        </w:rPr>
      </w:pPr>
      <w:r w:rsidRPr="00FA6A7E">
        <w:rPr>
          <w:b/>
          <w:bCs/>
          <w:sz w:val="24"/>
          <w:szCs w:val="24"/>
        </w:rPr>
        <w:t xml:space="preserve">West Coast Limited Entry Groundfish Fixed Gear Economic Data Collection </w:t>
      </w:r>
    </w:p>
    <w:p w14:paraId="43C7048A" w14:textId="77777777" w:rsidR="004F26E9" w:rsidRPr="00DB5657" w:rsidRDefault="004F26E9">
      <w:pPr>
        <w:jc w:val="center"/>
        <w:rPr>
          <w:sz w:val="24"/>
          <w:szCs w:val="24"/>
        </w:rPr>
      </w:pPr>
      <w:r w:rsidRPr="00DB5657">
        <w:rPr>
          <w:b/>
          <w:bCs/>
          <w:sz w:val="24"/>
          <w:szCs w:val="24"/>
        </w:rPr>
        <w:t>OMB CONTROL NO. 0648-xxxx</w:t>
      </w:r>
    </w:p>
    <w:p w14:paraId="4505F740" w14:textId="77777777" w:rsidR="004F26E9" w:rsidRPr="00DB5657" w:rsidRDefault="004F26E9">
      <w:pPr>
        <w:rPr>
          <w:sz w:val="24"/>
          <w:szCs w:val="24"/>
        </w:rPr>
      </w:pPr>
    </w:p>
    <w:p w14:paraId="10EB3948" w14:textId="77777777" w:rsidR="004F26E9" w:rsidRPr="00DB5657" w:rsidRDefault="004F26E9">
      <w:pPr>
        <w:rPr>
          <w:sz w:val="24"/>
          <w:szCs w:val="24"/>
        </w:rPr>
      </w:pPr>
    </w:p>
    <w:p w14:paraId="2B012944" w14:textId="77777777" w:rsidR="004F26E9" w:rsidRPr="00DB5657" w:rsidRDefault="004F26E9">
      <w:pPr>
        <w:tabs>
          <w:tab w:val="left" w:pos="720"/>
        </w:tabs>
        <w:ind w:left="720" w:hanging="720"/>
        <w:rPr>
          <w:sz w:val="24"/>
          <w:szCs w:val="24"/>
        </w:rPr>
      </w:pPr>
      <w:r w:rsidRPr="00DB5657">
        <w:rPr>
          <w:b/>
          <w:bCs/>
          <w:sz w:val="24"/>
          <w:szCs w:val="24"/>
        </w:rPr>
        <w:t xml:space="preserve">A. </w:t>
      </w:r>
      <w:r w:rsidRPr="00DB5657">
        <w:rPr>
          <w:b/>
          <w:bCs/>
          <w:sz w:val="24"/>
          <w:szCs w:val="24"/>
        </w:rPr>
        <w:tab/>
        <w:t>JUSTIFICATION</w:t>
      </w:r>
    </w:p>
    <w:p w14:paraId="6698F2B0" w14:textId="77777777" w:rsidR="004F26E9" w:rsidRPr="00DB5657" w:rsidRDefault="004F26E9">
      <w:pPr>
        <w:rPr>
          <w:sz w:val="24"/>
          <w:szCs w:val="24"/>
        </w:rPr>
      </w:pPr>
    </w:p>
    <w:p w14:paraId="14A333BD" w14:textId="77777777" w:rsidR="004F26E9" w:rsidRPr="00DB5657" w:rsidRDefault="004F26E9">
      <w:pPr>
        <w:rPr>
          <w:sz w:val="24"/>
          <w:szCs w:val="24"/>
        </w:rPr>
        <w:sectPr w:rsidR="004F26E9" w:rsidRPr="00DB5657">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type w:val="continuous"/>
          <w:pgSz w:w="12240" w:h="15840"/>
          <w:pgMar w:top="1440" w:right="1440" w:bottom="1080" w:left="1440" w:header="720" w:footer="720" w:gutter="0"/>
          <w:cols w:space="720"/>
        </w:sectPr>
      </w:pPr>
    </w:p>
    <w:p w14:paraId="54049F6B" w14:textId="77777777" w:rsidR="004F26E9" w:rsidRPr="00DB5657" w:rsidRDefault="004F26E9">
      <w:pPr>
        <w:rPr>
          <w:sz w:val="24"/>
          <w:szCs w:val="24"/>
        </w:rPr>
      </w:pPr>
      <w:r w:rsidRPr="00DB5657">
        <w:rPr>
          <w:b/>
          <w:bCs/>
          <w:sz w:val="24"/>
          <w:szCs w:val="24"/>
        </w:rPr>
        <w:lastRenderedPageBreak/>
        <w:t xml:space="preserve">1.  </w:t>
      </w:r>
      <w:r w:rsidRPr="00DB5657">
        <w:rPr>
          <w:b/>
          <w:bCs/>
          <w:sz w:val="24"/>
          <w:szCs w:val="24"/>
          <w:u w:val="single"/>
        </w:rPr>
        <w:t>Explain the circumstances that make the collection of information necessary.</w:t>
      </w:r>
    </w:p>
    <w:p w14:paraId="5064A9D5" w14:textId="77777777" w:rsidR="004F26E9" w:rsidRPr="00DB5657" w:rsidRDefault="004F26E9">
      <w:pPr>
        <w:rPr>
          <w:sz w:val="24"/>
          <w:szCs w:val="24"/>
        </w:rPr>
      </w:pPr>
    </w:p>
    <w:p w14:paraId="40D421AD" w14:textId="77777777" w:rsidR="00CC64B6" w:rsidRPr="00DB5657" w:rsidRDefault="000131E2" w:rsidP="00CC64B6">
      <w:pPr>
        <w:rPr>
          <w:sz w:val="24"/>
          <w:szCs w:val="24"/>
        </w:rPr>
      </w:pPr>
      <w:r w:rsidRPr="000131E2">
        <w:rPr>
          <w:sz w:val="24"/>
          <w:szCs w:val="24"/>
        </w:rPr>
        <w:t xml:space="preserve">Commercial fisheries economic data collections implemented by the Northwest Fisheries Science Center (NWFSC) have contributed to legally mandated analyses required under the </w:t>
      </w:r>
      <w:hyperlink r:id="rId15" w:history="1">
        <w:r w:rsidR="00CC64B6" w:rsidRPr="00307879">
          <w:rPr>
            <w:rStyle w:val="Hyperlink"/>
            <w:sz w:val="24"/>
            <w:szCs w:val="24"/>
          </w:rPr>
          <w:t>Magnuson-Stevens Fishery Conservation and Management Act</w:t>
        </w:r>
      </w:hyperlink>
      <w:r w:rsidR="00CC64B6" w:rsidRPr="00DB5657">
        <w:rPr>
          <w:sz w:val="24"/>
          <w:szCs w:val="24"/>
        </w:rPr>
        <w:t xml:space="preserve"> (MFCMS), the </w:t>
      </w:r>
      <w:hyperlink r:id="rId16" w:history="1">
        <w:r w:rsidR="00CC64B6" w:rsidRPr="00307879">
          <w:rPr>
            <w:rStyle w:val="Hyperlink"/>
            <w:sz w:val="24"/>
            <w:szCs w:val="24"/>
          </w:rPr>
          <w:t>National Environmental Policy Act</w:t>
        </w:r>
      </w:hyperlink>
      <w:r w:rsidR="00CC64B6" w:rsidRPr="00DB5657">
        <w:rPr>
          <w:sz w:val="24"/>
          <w:szCs w:val="24"/>
        </w:rPr>
        <w:t xml:space="preserve"> (NEPA), the </w:t>
      </w:r>
      <w:hyperlink r:id="rId17" w:history="1">
        <w:r w:rsidR="00CC64B6" w:rsidRPr="00307879">
          <w:rPr>
            <w:rStyle w:val="Hyperlink"/>
            <w:sz w:val="24"/>
            <w:szCs w:val="24"/>
          </w:rPr>
          <w:t>Regulatory Flexibility Act</w:t>
        </w:r>
      </w:hyperlink>
      <w:r w:rsidR="00CC64B6" w:rsidRPr="00DB5657">
        <w:rPr>
          <w:sz w:val="24"/>
          <w:szCs w:val="24"/>
        </w:rPr>
        <w:t xml:space="preserve"> (RFA), and </w:t>
      </w:r>
      <w:hyperlink r:id="rId18" w:history="1">
        <w:r w:rsidR="00CC64B6" w:rsidRPr="00307879">
          <w:rPr>
            <w:rStyle w:val="Hyperlink"/>
            <w:sz w:val="24"/>
            <w:szCs w:val="24"/>
          </w:rPr>
          <w:t xml:space="preserve">Executive Order 12866 </w:t>
        </w:r>
      </w:hyperlink>
      <w:r w:rsidR="00CC64B6" w:rsidRPr="00DB5657">
        <w:rPr>
          <w:sz w:val="24"/>
          <w:szCs w:val="24"/>
        </w:rPr>
        <w:t>(E.O. 12866).</w:t>
      </w:r>
    </w:p>
    <w:p w14:paraId="251CC6C3" w14:textId="77777777" w:rsidR="000131E2" w:rsidRPr="000131E2" w:rsidRDefault="000131E2" w:rsidP="000131E2">
      <w:pPr>
        <w:rPr>
          <w:sz w:val="24"/>
          <w:szCs w:val="24"/>
        </w:rPr>
      </w:pPr>
    </w:p>
    <w:p w14:paraId="5C01E34E" w14:textId="77777777" w:rsidR="000131E2" w:rsidRPr="000131E2" w:rsidRDefault="000131E2" w:rsidP="000131E2">
      <w:pPr>
        <w:rPr>
          <w:sz w:val="24"/>
          <w:szCs w:val="24"/>
        </w:rPr>
      </w:pPr>
      <w:r w:rsidRPr="000131E2">
        <w:rPr>
          <w:sz w:val="24"/>
          <w:szCs w:val="24"/>
        </w:rPr>
        <w:t>Surveys implemented by the NWFSC since 2005 have covered West Coast harvesters, processors, and coastal communities. These surveys have focused on the federally managed groundfish and salmon fisheries as well as the closely related crab and shrimp fisheries. This document describes a data collection covering catcher vessels operat</w:t>
      </w:r>
      <w:r w:rsidR="00CF4614">
        <w:rPr>
          <w:sz w:val="24"/>
          <w:szCs w:val="24"/>
        </w:rPr>
        <w:t xml:space="preserve">ing </w:t>
      </w:r>
      <w:r w:rsidRPr="000131E2">
        <w:rPr>
          <w:sz w:val="24"/>
          <w:szCs w:val="24"/>
        </w:rPr>
        <w:t>with a limited entry</w:t>
      </w:r>
      <w:r w:rsidR="001F39CC">
        <w:rPr>
          <w:sz w:val="24"/>
          <w:szCs w:val="24"/>
        </w:rPr>
        <w:t xml:space="preserve"> (LE)</w:t>
      </w:r>
      <w:r w:rsidRPr="000131E2">
        <w:rPr>
          <w:sz w:val="24"/>
          <w:szCs w:val="24"/>
        </w:rPr>
        <w:t xml:space="preserve"> groundfish permit that has a fixed gear (longline and/or pot) endorsement.</w:t>
      </w:r>
      <w:r>
        <w:rPr>
          <w:rStyle w:val="FootnoteReference"/>
          <w:sz w:val="24"/>
          <w:szCs w:val="24"/>
        </w:rPr>
        <w:footnoteReference w:id="1"/>
      </w:r>
      <w:r w:rsidRPr="000131E2">
        <w:rPr>
          <w:sz w:val="24"/>
          <w:szCs w:val="24"/>
        </w:rPr>
        <w:t xml:space="preserve"> During 2017 there were 164 vessels active on the West Coast that held a federal groundfish </w:t>
      </w:r>
      <w:r w:rsidR="001F39CC">
        <w:rPr>
          <w:sz w:val="24"/>
          <w:szCs w:val="24"/>
        </w:rPr>
        <w:t>LE</w:t>
      </w:r>
      <w:r w:rsidRPr="000131E2">
        <w:rPr>
          <w:sz w:val="24"/>
          <w:szCs w:val="24"/>
        </w:rPr>
        <w:t xml:space="preserve"> permit with a fixed gear endorsement. </w:t>
      </w:r>
    </w:p>
    <w:p w14:paraId="4F7A1794" w14:textId="77777777" w:rsidR="000131E2" w:rsidRPr="000131E2" w:rsidRDefault="000131E2" w:rsidP="000131E2">
      <w:pPr>
        <w:rPr>
          <w:sz w:val="24"/>
          <w:szCs w:val="24"/>
        </w:rPr>
      </w:pPr>
    </w:p>
    <w:p w14:paraId="19E7665B" w14:textId="19A35346" w:rsidR="0051785A" w:rsidRDefault="000131E2" w:rsidP="000131E2">
      <w:pPr>
        <w:rPr>
          <w:sz w:val="24"/>
          <w:szCs w:val="24"/>
        </w:rPr>
      </w:pPr>
      <w:r w:rsidRPr="000131E2">
        <w:rPr>
          <w:sz w:val="24"/>
          <w:szCs w:val="24"/>
        </w:rPr>
        <w:t xml:space="preserve">This survey will collect data for the 2016 and 2017 fiscal years through in-person interviews, telephone interviews, </w:t>
      </w:r>
      <w:r w:rsidR="001F39CC">
        <w:rPr>
          <w:sz w:val="24"/>
          <w:szCs w:val="24"/>
        </w:rPr>
        <w:t xml:space="preserve">and </w:t>
      </w:r>
      <w:r w:rsidRPr="000131E2">
        <w:rPr>
          <w:sz w:val="24"/>
          <w:szCs w:val="24"/>
        </w:rPr>
        <w:t>mail responses. Based on previous economic data collection from this population</w:t>
      </w:r>
      <w:r w:rsidR="00F3500B">
        <w:rPr>
          <w:sz w:val="24"/>
          <w:szCs w:val="24"/>
        </w:rPr>
        <w:t xml:space="preserve"> in 2006, 2009, 2011, and 2014</w:t>
      </w:r>
      <w:r w:rsidRPr="000131E2">
        <w:rPr>
          <w:sz w:val="24"/>
          <w:szCs w:val="24"/>
        </w:rPr>
        <w:t>, the NWFSC expects most survey respondents to respond through an in-person interview.</w:t>
      </w:r>
      <w:r w:rsidR="00F3500B">
        <w:rPr>
          <w:sz w:val="24"/>
          <w:szCs w:val="24"/>
        </w:rPr>
        <w:t xml:space="preserve">  Past surveys were conducted under  OMB control number</w:t>
      </w:r>
      <w:r w:rsidR="00D053A6">
        <w:rPr>
          <w:sz w:val="24"/>
          <w:szCs w:val="24"/>
        </w:rPr>
        <w:t xml:space="preserve"> </w:t>
      </w:r>
      <w:r w:rsidR="00D053A6" w:rsidRPr="00D053A6">
        <w:rPr>
          <w:sz w:val="24"/>
          <w:szCs w:val="24"/>
        </w:rPr>
        <w:t>0648-0369</w:t>
      </w:r>
      <w:r w:rsidR="00D053A6">
        <w:rPr>
          <w:sz w:val="24"/>
          <w:szCs w:val="24"/>
        </w:rPr>
        <w:t xml:space="preserve">. </w:t>
      </w:r>
    </w:p>
    <w:p w14:paraId="5D4E5F83" w14:textId="77777777" w:rsidR="000131E2" w:rsidRDefault="000131E2" w:rsidP="000131E2">
      <w:pPr>
        <w:rPr>
          <w:sz w:val="24"/>
          <w:szCs w:val="24"/>
        </w:rPr>
      </w:pPr>
    </w:p>
    <w:p w14:paraId="22B3161C" w14:textId="77777777" w:rsidR="0051785A" w:rsidRPr="00FA6A7E" w:rsidRDefault="0051785A" w:rsidP="0051785A">
      <w:pPr>
        <w:rPr>
          <w:sz w:val="24"/>
          <w:szCs w:val="24"/>
        </w:rPr>
      </w:pPr>
      <w:r>
        <w:rPr>
          <w:sz w:val="24"/>
        </w:rPr>
        <w:t xml:space="preserve">Data from this survey will be used to develop a variety of economic models covering applications such as fleet efficiency, fishery participation, and community economic impacts of fishing in the form of income and employment. </w:t>
      </w:r>
      <w:r w:rsidRPr="0051785A">
        <w:rPr>
          <w:sz w:val="24"/>
        </w:rPr>
        <w:t>Timely costs and earnings data are needed in order to estimate the fishery’s contribution to the state and local economies. IMPLAN sector (cost and earnings) data from Washington and Oregon charter vessels are required in the estimation of the Input Output Model for Pacific Coast Fisheries (IO-PAC), which is used to provide statutorily required estimates to the Pacific Fishery Management Council (PFMC) for fisheries under Fishery Management Plans (FMPs) administered on the West Coast.</w:t>
      </w:r>
      <w:r>
        <w:rPr>
          <w:sz w:val="24"/>
        </w:rPr>
        <w:t xml:space="preserve"> </w:t>
      </w:r>
    </w:p>
    <w:p w14:paraId="4B63EAC4" w14:textId="77777777" w:rsidR="00FA6A7E" w:rsidRPr="00FA6A7E" w:rsidRDefault="00FA6A7E" w:rsidP="00FA6A7E">
      <w:pPr>
        <w:rPr>
          <w:sz w:val="24"/>
          <w:szCs w:val="24"/>
        </w:rPr>
      </w:pPr>
    </w:p>
    <w:p w14:paraId="53323CB1" w14:textId="77777777" w:rsidR="001F39CC" w:rsidRDefault="001F39CC" w:rsidP="001F39CC">
      <w:pPr>
        <w:rPr>
          <w:sz w:val="24"/>
          <w:szCs w:val="24"/>
        </w:rPr>
      </w:pPr>
      <w:r w:rsidRPr="000131E2">
        <w:rPr>
          <w:sz w:val="24"/>
          <w:szCs w:val="24"/>
        </w:rPr>
        <w:t xml:space="preserve">Data collected by this survey is needed not only to monitor the performance </w:t>
      </w:r>
      <w:r w:rsidR="00CF4614">
        <w:rPr>
          <w:sz w:val="24"/>
          <w:szCs w:val="24"/>
        </w:rPr>
        <w:t xml:space="preserve"> of the </w:t>
      </w:r>
      <w:r>
        <w:rPr>
          <w:sz w:val="24"/>
          <w:szCs w:val="24"/>
        </w:rPr>
        <w:t xml:space="preserve">LE fixed gear fishery, </w:t>
      </w:r>
      <w:r w:rsidRPr="000131E2">
        <w:rPr>
          <w:sz w:val="24"/>
          <w:szCs w:val="24"/>
        </w:rPr>
        <w:t>but also to determine if the implementation of catch shares management in the groundfish trawl fishery has had an economic effect on participants in the limited entry groundfish fixed gear fishery.</w:t>
      </w:r>
      <w:r>
        <w:rPr>
          <w:rStyle w:val="FootnoteReference"/>
          <w:sz w:val="24"/>
          <w:szCs w:val="24"/>
        </w:rPr>
        <w:footnoteReference w:id="2"/>
      </w:r>
    </w:p>
    <w:p w14:paraId="494F23D3" w14:textId="77777777" w:rsidR="004F26E9" w:rsidRPr="00DB5657" w:rsidRDefault="004F26E9">
      <w:pPr>
        <w:rPr>
          <w:sz w:val="24"/>
          <w:szCs w:val="24"/>
        </w:rPr>
      </w:pPr>
      <w:r w:rsidRPr="00DB5657">
        <w:rPr>
          <w:b/>
          <w:bCs/>
          <w:sz w:val="24"/>
          <w:szCs w:val="24"/>
        </w:rPr>
        <w:lastRenderedPageBreak/>
        <w:t xml:space="preserve">2.  </w:t>
      </w:r>
      <w:r w:rsidRPr="00DB5657">
        <w:rPr>
          <w:sz w:val="24"/>
          <w:szCs w:val="24"/>
          <w:lang w:val="en-CA"/>
        </w:rPr>
        <w:fldChar w:fldCharType="begin"/>
      </w:r>
      <w:r w:rsidRPr="00DB5657">
        <w:rPr>
          <w:sz w:val="24"/>
          <w:szCs w:val="24"/>
          <w:lang w:val="en-CA"/>
        </w:rPr>
        <w:instrText xml:space="preserve"> SEQ CHAPTER \h \r 1</w:instrText>
      </w:r>
      <w:r w:rsidRPr="00DB5657">
        <w:rPr>
          <w:sz w:val="24"/>
          <w:szCs w:val="24"/>
          <w:lang w:val="en-CA"/>
        </w:rPr>
        <w:fldChar w:fldCharType="end"/>
      </w:r>
      <w:r w:rsidRPr="00DB5657">
        <w:rPr>
          <w:b/>
          <w:bCs/>
          <w:sz w:val="24"/>
          <w:szCs w:val="24"/>
          <w:u w:val="single"/>
        </w:rPr>
        <w:t xml:space="preserve">Explain how, by whom, how frequently, and for what purpose the information will be used.  </w:t>
      </w:r>
      <w:r w:rsidRPr="00DB5657">
        <w:rPr>
          <w:sz w:val="24"/>
          <w:szCs w:val="24"/>
          <w:lang w:val="en-CA"/>
        </w:rPr>
        <w:fldChar w:fldCharType="begin"/>
      </w:r>
      <w:r w:rsidRPr="00DB5657">
        <w:rPr>
          <w:sz w:val="24"/>
          <w:szCs w:val="24"/>
          <w:lang w:val="en-CA"/>
        </w:rPr>
        <w:instrText xml:space="preserve"> SEQ CHAPTER \h \r 1</w:instrText>
      </w:r>
      <w:r w:rsidRPr="00DB5657">
        <w:rPr>
          <w:sz w:val="24"/>
          <w:szCs w:val="24"/>
          <w:lang w:val="en-CA"/>
        </w:rPr>
        <w:fldChar w:fldCharType="end"/>
      </w:r>
      <w:r w:rsidRPr="00DB5657">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DB5657">
        <w:rPr>
          <w:b/>
          <w:bCs/>
          <w:sz w:val="24"/>
          <w:szCs w:val="24"/>
        </w:rPr>
        <w:t xml:space="preserve">. </w:t>
      </w:r>
    </w:p>
    <w:p w14:paraId="7C1E211A" w14:textId="77777777" w:rsidR="006D1C32" w:rsidRPr="00DB5657" w:rsidRDefault="006D1C32">
      <w:pPr>
        <w:rPr>
          <w:sz w:val="24"/>
          <w:szCs w:val="24"/>
        </w:rPr>
      </w:pPr>
    </w:p>
    <w:p w14:paraId="2AE8DF47" w14:textId="683E131F" w:rsidR="00225899" w:rsidRPr="00DB5657" w:rsidRDefault="00F41F80" w:rsidP="00F41F80">
      <w:pPr>
        <w:rPr>
          <w:sz w:val="24"/>
          <w:szCs w:val="24"/>
        </w:rPr>
      </w:pPr>
      <w:r w:rsidRPr="00DB5657">
        <w:rPr>
          <w:sz w:val="24"/>
          <w:szCs w:val="24"/>
        </w:rPr>
        <w:t xml:space="preserve">NMFS needs to measure the economic performance of </w:t>
      </w:r>
      <w:r w:rsidR="009D663A">
        <w:rPr>
          <w:sz w:val="24"/>
          <w:szCs w:val="24"/>
        </w:rPr>
        <w:t xml:space="preserve">the limited entry fixed gear fleet </w:t>
      </w:r>
      <w:r w:rsidRPr="00DB5657">
        <w:rPr>
          <w:sz w:val="24"/>
          <w:szCs w:val="24"/>
        </w:rPr>
        <w:t xml:space="preserve">in order to meet legal and regulatory requirements, support fisheries management decision making, and pursue more detailed economic research. This study will collect data that is needed to construct key economic performance measures related to profitability, productivity, economic impacts, and social aspects of the fishery. </w:t>
      </w:r>
      <w:r w:rsidR="009D663A" w:rsidRPr="00DB5657">
        <w:rPr>
          <w:sz w:val="24"/>
          <w:szCs w:val="24"/>
        </w:rPr>
        <w:t>Currently, the cost earnings data used to meet these needs are six years old.</w:t>
      </w:r>
      <w:r w:rsidR="00055DFC">
        <w:rPr>
          <w:sz w:val="24"/>
          <w:szCs w:val="24"/>
        </w:rPr>
        <w:t xml:space="preserve"> </w:t>
      </w:r>
    </w:p>
    <w:p w14:paraId="42CA71F2" w14:textId="77777777" w:rsidR="00225899" w:rsidRPr="00DB5657" w:rsidRDefault="00225899" w:rsidP="00F41F80">
      <w:pPr>
        <w:rPr>
          <w:sz w:val="24"/>
          <w:szCs w:val="24"/>
        </w:rPr>
      </w:pPr>
    </w:p>
    <w:p w14:paraId="6B8231DE" w14:textId="5FCB816E" w:rsidR="00F41F80" w:rsidRPr="00F93A74" w:rsidRDefault="00F41F80" w:rsidP="00F93A74">
      <w:pPr>
        <w:rPr>
          <w:sz w:val="24"/>
          <w:szCs w:val="24"/>
        </w:rPr>
      </w:pPr>
      <w:r w:rsidRPr="00DB5657">
        <w:rPr>
          <w:sz w:val="24"/>
          <w:szCs w:val="24"/>
        </w:rPr>
        <w:t xml:space="preserve">The data gathered and performance measures constructed will be used to address a wide range of issues important to the </w:t>
      </w:r>
      <w:r w:rsidR="00E4782C" w:rsidRPr="00DB5657">
        <w:rPr>
          <w:sz w:val="24"/>
          <w:szCs w:val="24"/>
        </w:rPr>
        <w:t xml:space="preserve">West Coast </w:t>
      </w:r>
      <w:r w:rsidRPr="00DB5657">
        <w:rPr>
          <w:sz w:val="24"/>
          <w:szCs w:val="24"/>
        </w:rPr>
        <w:t xml:space="preserve">Regional Office, Pacific Fishery Management Council, and </w:t>
      </w:r>
      <w:r w:rsidR="001F39CC">
        <w:rPr>
          <w:sz w:val="24"/>
          <w:szCs w:val="24"/>
        </w:rPr>
        <w:t xml:space="preserve">WA, OR, and CA state fish and wildlife agencies. </w:t>
      </w:r>
      <w:r w:rsidR="00225899" w:rsidRPr="00DB5657">
        <w:rPr>
          <w:sz w:val="24"/>
          <w:szCs w:val="24"/>
        </w:rPr>
        <w:t>At a minimum the IO-PAC model</w:t>
      </w:r>
      <w:r w:rsidR="00F93A74">
        <w:rPr>
          <w:sz w:val="24"/>
          <w:szCs w:val="24"/>
        </w:rPr>
        <w:t xml:space="preserve"> (Leonard and Watson, 2011)</w:t>
      </w:r>
      <w:r w:rsidR="00225899" w:rsidRPr="00DB5657">
        <w:rPr>
          <w:sz w:val="24"/>
          <w:szCs w:val="24"/>
        </w:rPr>
        <w:t>, which utilizes th</w:t>
      </w:r>
      <w:r w:rsidR="00E4782C" w:rsidRPr="00DB5657">
        <w:rPr>
          <w:sz w:val="24"/>
          <w:szCs w:val="24"/>
        </w:rPr>
        <w:t>ese</w:t>
      </w:r>
      <w:r w:rsidR="00225899" w:rsidRPr="00DB5657">
        <w:rPr>
          <w:sz w:val="24"/>
          <w:szCs w:val="24"/>
        </w:rPr>
        <w:t xml:space="preserve"> data, is used </w:t>
      </w:r>
      <w:r w:rsidR="002C3B46" w:rsidRPr="00DB5657">
        <w:rPr>
          <w:sz w:val="24"/>
          <w:szCs w:val="24"/>
        </w:rPr>
        <w:t xml:space="preserve">by the PFMC </w:t>
      </w:r>
      <w:r w:rsidR="00225899" w:rsidRPr="00DB5657">
        <w:rPr>
          <w:sz w:val="24"/>
          <w:szCs w:val="24"/>
        </w:rPr>
        <w:t>to estimate the economic impact</w:t>
      </w:r>
      <w:r w:rsidR="002C3B46" w:rsidRPr="00DB5657">
        <w:rPr>
          <w:sz w:val="24"/>
          <w:szCs w:val="24"/>
        </w:rPr>
        <w:t>s</w:t>
      </w:r>
      <w:r w:rsidR="00225899" w:rsidRPr="00DB5657">
        <w:rPr>
          <w:sz w:val="24"/>
          <w:szCs w:val="24"/>
        </w:rPr>
        <w:t xml:space="preserve"> of alternative management proposals </w:t>
      </w:r>
      <w:r w:rsidR="00DC193F" w:rsidRPr="00DB5657">
        <w:rPr>
          <w:sz w:val="24"/>
          <w:szCs w:val="24"/>
        </w:rPr>
        <w:t xml:space="preserve">biannually </w:t>
      </w:r>
      <w:r w:rsidR="002C3B46" w:rsidRPr="00DB5657">
        <w:rPr>
          <w:sz w:val="24"/>
          <w:szCs w:val="24"/>
        </w:rPr>
        <w:t>for the Pacific Coast Ground</w:t>
      </w:r>
      <w:r w:rsidR="00225899" w:rsidRPr="00DB5657">
        <w:rPr>
          <w:sz w:val="24"/>
          <w:szCs w:val="24"/>
        </w:rPr>
        <w:t>fish Harvest Specifications</w:t>
      </w:r>
      <w:r w:rsidR="00DC193F" w:rsidRPr="00DB5657">
        <w:rPr>
          <w:sz w:val="24"/>
          <w:szCs w:val="24"/>
        </w:rPr>
        <w:t xml:space="preserve"> and annually for the Stock Assessment and Fishery Evaluation</w:t>
      </w:r>
      <w:r w:rsidR="00225899" w:rsidRPr="00DB5657">
        <w:rPr>
          <w:sz w:val="24"/>
          <w:szCs w:val="24"/>
        </w:rPr>
        <w:t xml:space="preserve"> </w:t>
      </w:r>
      <w:r w:rsidR="00DC193F" w:rsidRPr="00DB5657">
        <w:rPr>
          <w:sz w:val="24"/>
          <w:szCs w:val="24"/>
        </w:rPr>
        <w:t xml:space="preserve">report for ocean salmon </w:t>
      </w:r>
      <w:r w:rsidR="002C3B46" w:rsidRPr="00DB5657">
        <w:rPr>
          <w:sz w:val="24"/>
          <w:szCs w:val="24"/>
        </w:rPr>
        <w:t>fisheries</w:t>
      </w:r>
      <w:r w:rsidR="00DC193F" w:rsidRPr="00DB5657">
        <w:rPr>
          <w:sz w:val="24"/>
          <w:szCs w:val="24"/>
        </w:rPr>
        <w:t>.</w:t>
      </w:r>
      <w:r w:rsidR="002C3B46" w:rsidRPr="00DB5657">
        <w:rPr>
          <w:sz w:val="24"/>
          <w:szCs w:val="24"/>
        </w:rPr>
        <w:t xml:space="preserve">  However, the IO-PAC model is also used by the PFMC in numerous other prospective management changes that are expected to change </w:t>
      </w:r>
      <w:r w:rsidR="001F39CC">
        <w:rPr>
          <w:sz w:val="24"/>
          <w:szCs w:val="24"/>
        </w:rPr>
        <w:t>commercial fishing effort</w:t>
      </w:r>
      <w:r w:rsidR="002C3B46" w:rsidRPr="00DB5657">
        <w:rPr>
          <w:sz w:val="24"/>
          <w:szCs w:val="24"/>
        </w:rPr>
        <w:t xml:space="preserve">.  </w:t>
      </w:r>
      <w:r w:rsidR="00F93A74">
        <w:rPr>
          <w:sz w:val="24"/>
          <w:szCs w:val="24"/>
        </w:rPr>
        <w:t xml:space="preserve">It </w:t>
      </w:r>
      <w:r w:rsidR="00F93A74" w:rsidRPr="00F93A74">
        <w:rPr>
          <w:sz w:val="24"/>
          <w:szCs w:val="24"/>
        </w:rPr>
        <w:t>has been applied in several peer-reviewed studies (Kaplan and Leonard 2012; Seung et al. 2014; Leonard and Steiner 2017; Richerson et al. 2018; Hodgson et al. 2018).</w:t>
      </w:r>
    </w:p>
    <w:p w14:paraId="7CC0137F" w14:textId="77777777" w:rsidR="00F41F80" w:rsidRPr="00DB5657" w:rsidRDefault="00F41F80" w:rsidP="00F41F80">
      <w:pPr>
        <w:rPr>
          <w:sz w:val="24"/>
          <w:szCs w:val="24"/>
        </w:rPr>
      </w:pPr>
    </w:p>
    <w:p w14:paraId="6FB8E718" w14:textId="77777777" w:rsidR="00F41F80" w:rsidRPr="00DB5657" w:rsidRDefault="00F41F80" w:rsidP="00F41F80">
      <w:pPr>
        <w:outlineLvl w:val="0"/>
        <w:rPr>
          <w:sz w:val="24"/>
          <w:szCs w:val="24"/>
          <w:u w:val="single"/>
        </w:rPr>
      </w:pPr>
    </w:p>
    <w:p w14:paraId="23867C95" w14:textId="77777777" w:rsidR="00F41F80" w:rsidRPr="00DB5657" w:rsidRDefault="00F41F80" w:rsidP="00F41F80">
      <w:pPr>
        <w:outlineLvl w:val="0"/>
        <w:rPr>
          <w:sz w:val="24"/>
          <w:szCs w:val="24"/>
          <w:u w:val="single"/>
        </w:rPr>
      </w:pPr>
      <w:r w:rsidRPr="00DB5657">
        <w:rPr>
          <w:sz w:val="24"/>
          <w:szCs w:val="24"/>
          <w:u w:val="single"/>
        </w:rPr>
        <w:t>Information Quality Guidelines and Confidentiality</w:t>
      </w:r>
    </w:p>
    <w:p w14:paraId="79661327" w14:textId="77777777" w:rsidR="00F41F80" w:rsidRPr="00DB5657" w:rsidRDefault="00F41F80" w:rsidP="00F41F80">
      <w:pPr>
        <w:rPr>
          <w:sz w:val="24"/>
          <w:szCs w:val="24"/>
        </w:rPr>
      </w:pPr>
    </w:p>
    <w:p w14:paraId="5BF9B3C1" w14:textId="77777777" w:rsidR="00BD1AF5" w:rsidRDefault="00F41F80" w:rsidP="00F41F80">
      <w:pPr>
        <w:rPr>
          <w:sz w:val="24"/>
          <w:szCs w:val="24"/>
        </w:rPr>
      </w:pPr>
      <w:r w:rsidRPr="00DB5657">
        <w:rPr>
          <w:sz w:val="24"/>
          <w:szCs w:val="24"/>
        </w:rPr>
        <w:t>It is anticipated that the information collected will be disseminated to the public or used to support publicly disseminated information.</w:t>
      </w:r>
      <w:r w:rsidR="00BD1AF5">
        <w:rPr>
          <w:sz w:val="24"/>
          <w:szCs w:val="24"/>
        </w:rPr>
        <w:t xml:space="preserve">  </w:t>
      </w:r>
      <w:r w:rsidR="00AC6E26" w:rsidRPr="00AC6E26">
        <w:rPr>
          <w:sz w:val="24"/>
          <w:szCs w:val="24"/>
        </w:rPr>
        <w:t xml:space="preserve">When writing final reports and publishing the findings of this research, tabulations of individual responses will occur at a high enough level of aggregation so that no single individual may be identified.  </w:t>
      </w:r>
      <w:r w:rsidR="003549B3" w:rsidRPr="00DB5657">
        <w:rPr>
          <w:sz w:val="24"/>
          <w:szCs w:val="24"/>
        </w:rPr>
        <w:t>NMFS will retain control over the information and safeguard it from improper access, modification, and destruction, consistent with NOAA standards for confidentiality, privacy, and elec</w:t>
      </w:r>
      <w:r w:rsidR="003549B3">
        <w:rPr>
          <w:sz w:val="24"/>
          <w:szCs w:val="24"/>
        </w:rPr>
        <w:t xml:space="preserve">tronic information.  NFMS </w:t>
      </w:r>
      <w:r w:rsidR="003549B3" w:rsidRPr="00525CB1">
        <w:rPr>
          <w:sz w:val="24"/>
          <w:szCs w:val="24"/>
        </w:rPr>
        <w:t>will maintain the confidentiality of the information consistent with legal authorities available, including but not limited to the Privacy Act (5 U.S.C. Section 552a) and the Trade Secrets Act (18 U.S.C. Section 1905).  In the event that the NWFSC receives a formal request for the information pursuant to the Freedom of Information Act (FOIA) (5 U.S.C. Section 552) the NWFSC will protect confidentiality to the extent possible under the Exemption 4 of the FOIA.</w:t>
      </w:r>
    </w:p>
    <w:p w14:paraId="1571E53B" w14:textId="77777777" w:rsidR="003549B3" w:rsidRPr="00DB5657" w:rsidRDefault="003549B3" w:rsidP="00F41F80">
      <w:pPr>
        <w:rPr>
          <w:sz w:val="24"/>
          <w:szCs w:val="24"/>
        </w:rPr>
      </w:pPr>
    </w:p>
    <w:p w14:paraId="4D73D469" w14:textId="344A3415" w:rsidR="008A0CAE" w:rsidRPr="00DB5657" w:rsidRDefault="00F41F80" w:rsidP="008A0CAE">
      <w:pPr>
        <w:rPr>
          <w:sz w:val="24"/>
          <w:szCs w:val="24"/>
        </w:rPr>
      </w:pPr>
      <w:r w:rsidRPr="00DB5657">
        <w:rPr>
          <w:sz w:val="24"/>
          <w:szCs w:val="24"/>
        </w:rPr>
        <w:t>The information collection is designed to yield data that meet all applicable information quality guidelines.  Prior to dissemination, the information will be subjected to quality control measures and a pre-dissemination review pursuant to Section 515 of Public Law 106-554.</w:t>
      </w:r>
      <w:r w:rsidR="008A0CAE" w:rsidRPr="00DB5657">
        <w:rPr>
          <w:sz w:val="24"/>
          <w:szCs w:val="24"/>
        </w:rPr>
        <w:t xml:space="preserve"> </w:t>
      </w:r>
      <w:r w:rsidR="00055DFC">
        <w:rPr>
          <w:sz w:val="24"/>
          <w:szCs w:val="24"/>
        </w:rPr>
        <w:t xml:space="preserve">This data collection, subject to funding, could </w:t>
      </w:r>
      <w:r w:rsidR="00F4201F">
        <w:rPr>
          <w:sz w:val="24"/>
          <w:szCs w:val="24"/>
        </w:rPr>
        <w:t xml:space="preserve">potentially </w:t>
      </w:r>
      <w:r w:rsidR="00055DFC">
        <w:rPr>
          <w:sz w:val="24"/>
          <w:szCs w:val="24"/>
        </w:rPr>
        <w:t xml:space="preserve">be completed using this OMB control number for a future </w:t>
      </w:r>
      <w:r w:rsidR="00F4201F">
        <w:rPr>
          <w:sz w:val="24"/>
          <w:szCs w:val="24"/>
        </w:rPr>
        <w:t xml:space="preserve">collection </w:t>
      </w:r>
      <w:r w:rsidR="00055DFC">
        <w:rPr>
          <w:sz w:val="24"/>
          <w:szCs w:val="24"/>
        </w:rPr>
        <w:t>survey</w:t>
      </w:r>
      <w:r w:rsidR="00F4201F">
        <w:rPr>
          <w:sz w:val="24"/>
          <w:szCs w:val="24"/>
        </w:rPr>
        <w:t xml:space="preserve"> within the three-year clearance period</w:t>
      </w:r>
      <w:r w:rsidR="00055DFC">
        <w:rPr>
          <w:sz w:val="24"/>
          <w:szCs w:val="24"/>
        </w:rPr>
        <w:t xml:space="preserve">. </w:t>
      </w:r>
    </w:p>
    <w:p w14:paraId="6FA8A106" w14:textId="77777777" w:rsidR="008A0CAE" w:rsidRPr="00DB5657" w:rsidRDefault="008A0CAE" w:rsidP="008A0CAE">
      <w:pPr>
        <w:rPr>
          <w:sz w:val="24"/>
          <w:szCs w:val="24"/>
        </w:rPr>
      </w:pPr>
    </w:p>
    <w:p w14:paraId="33365E10" w14:textId="77777777" w:rsidR="00C24E0A" w:rsidRPr="00DB5657" w:rsidRDefault="008A0CAE" w:rsidP="008A0CAE">
      <w:pPr>
        <w:rPr>
          <w:sz w:val="24"/>
          <w:szCs w:val="24"/>
        </w:rPr>
      </w:pPr>
      <w:r w:rsidRPr="00DB5657">
        <w:rPr>
          <w:sz w:val="24"/>
          <w:szCs w:val="24"/>
        </w:rPr>
        <w:t xml:space="preserve">Before the IO-PAC model is used in the fishery management process, it (together with the data </w:t>
      </w:r>
      <w:r w:rsidRPr="00DB5657">
        <w:rPr>
          <w:sz w:val="24"/>
          <w:szCs w:val="24"/>
        </w:rPr>
        <w:lastRenderedPageBreak/>
        <w:t xml:space="preserve">collected described herein), will be reviewed by the Scientific and Statistical Committee of the PFMC.  </w:t>
      </w:r>
    </w:p>
    <w:p w14:paraId="47C36175" w14:textId="77777777" w:rsidR="00E00018" w:rsidRDefault="00E00018">
      <w:pPr>
        <w:rPr>
          <w:sz w:val="24"/>
          <w:szCs w:val="24"/>
        </w:rPr>
      </w:pPr>
    </w:p>
    <w:p w14:paraId="2D7E9095" w14:textId="77777777" w:rsidR="00E97C36" w:rsidRDefault="00E97C36">
      <w:pPr>
        <w:rPr>
          <w:b/>
          <w:bCs/>
          <w:sz w:val="24"/>
          <w:szCs w:val="24"/>
        </w:rPr>
      </w:pPr>
    </w:p>
    <w:p w14:paraId="6B7D7E1E" w14:textId="695968B1" w:rsidR="00E97C36" w:rsidRDefault="00E97C36">
      <w:pPr>
        <w:rPr>
          <w:b/>
          <w:bCs/>
          <w:sz w:val="24"/>
          <w:szCs w:val="24"/>
        </w:rPr>
      </w:pPr>
    </w:p>
    <w:p w14:paraId="485C2482" w14:textId="1D31349A" w:rsidR="004F26E9" w:rsidRPr="00DB5657" w:rsidRDefault="004F26E9">
      <w:pPr>
        <w:rPr>
          <w:sz w:val="24"/>
          <w:szCs w:val="24"/>
        </w:rPr>
      </w:pPr>
      <w:r w:rsidRPr="00DB5657">
        <w:rPr>
          <w:b/>
          <w:bCs/>
          <w:sz w:val="24"/>
          <w:szCs w:val="24"/>
        </w:rPr>
        <w:t xml:space="preserve">3.  </w:t>
      </w:r>
      <w:r w:rsidRPr="00DB5657">
        <w:rPr>
          <w:b/>
          <w:bCs/>
          <w:sz w:val="24"/>
          <w:szCs w:val="24"/>
          <w:u w:val="single"/>
        </w:rPr>
        <w:t>Describe whether, and to what extent, the collection of information involves the use of automated, electronic, mechanical, or other technological techniques or other forms of information technology</w:t>
      </w:r>
      <w:r w:rsidRPr="00DB5657">
        <w:rPr>
          <w:b/>
          <w:bCs/>
          <w:sz w:val="24"/>
          <w:szCs w:val="24"/>
        </w:rPr>
        <w:t>.</w:t>
      </w:r>
    </w:p>
    <w:p w14:paraId="11F16061" w14:textId="77777777" w:rsidR="004F26E9" w:rsidRPr="00DB5657" w:rsidRDefault="004F26E9">
      <w:pPr>
        <w:rPr>
          <w:sz w:val="24"/>
          <w:szCs w:val="24"/>
        </w:rPr>
      </w:pPr>
    </w:p>
    <w:p w14:paraId="740B11D9" w14:textId="77777777" w:rsidR="00F7112B" w:rsidRPr="00DB5657" w:rsidRDefault="00F7112B">
      <w:pPr>
        <w:rPr>
          <w:sz w:val="24"/>
          <w:szCs w:val="24"/>
        </w:rPr>
      </w:pPr>
      <w:r w:rsidRPr="00DB5657">
        <w:rPr>
          <w:sz w:val="24"/>
          <w:szCs w:val="24"/>
        </w:rPr>
        <w:t>The data collection does not involve the use of automated, mechanical or other technological techniques.</w:t>
      </w:r>
    </w:p>
    <w:p w14:paraId="67B89CE7" w14:textId="77777777" w:rsidR="00F7112B" w:rsidRPr="00DB5657" w:rsidRDefault="00F7112B">
      <w:pPr>
        <w:rPr>
          <w:b/>
          <w:bCs/>
          <w:sz w:val="24"/>
          <w:szCs w:val="24"/>
        </w:rPr>
      </w:pPr>
    </w:p>
    <w:p w14:paraId="3068397D" w14:textId="77777777" w:rsidR="004F26E9" w:rsidRPr="00DB5657" w:rsidRDefault="004F26E9">
      <w:pPr>
        <w:rPr>
          <w:sz w:val="24"/>
          <w:szCs w:val="24"/>
        </w:rPr>
      </w:pPr>
      <w:r w:rsidRPr="00DB5657">
        <w:rPr>
          <w:b/>
          <w:bCs/>
          <w:sz w:val="24"/>
          <w:szCs w:val="24"/>
        </w:rPr>
        <w:t xml:space="preserve">4.  </w:t>
      </w:r>
      <w:r w:rsidRPr="00DB5657">
        <w:rPr>
          <w:b/>
          <w:bCs/>
          <w:sz w:val="24"/>
          <w:szCs w:val="24"/>
          <w:u w:val="single"/>
        </w:rPr>
        <w:t>Describe efforts to identify duplication</w:t>
      </w:r>
      <w:r w:rsidRPr="00DB5657">
        <w:rPr>
          <w:b/>
          <w:bCs/>
          <w:sz w:val="24"/>
          <w:szCs w:val="24"/>
        </w:rPr>
        <w:t>.</w:t>
      </w:r>
    </w:p>
    <w:p w14:paraId="297235A5" w14:textId="77777777" w:rsidR="004F26E9" w:rsidRPr="00DB5657" w:rsidRDefault="004F26E9">
      <w:pPr>
        <w:rPr>
          <w:sz w:val="24"/>
          <w:szCs w:val="24"/>
        </w:rPr>
      </w:pPr>
    </w:p>
    <w:p w14:paraId="1D80CE7D" w14:textId="77777777" w:rsidR="00FD24EF" w:rsidRPr="00DB5657" w:rsidRDefault="00FD24EF" w:rsidP="00FD24EF">
      <w:pPr>
        <w:spacing w:line="276" w:lineRule="auto"/>
        <w:rPr>
          <w:sz w:val="24"/>
          <w:szCs w:val="24"/>
        </w:rPr>
      </w:pPr>
      <w:r w:rsidRPr="00DB5657">
        <w:rPr>
          <w:sz w:val="24"/>
          <w:szCs w:val="24"/>
        </w:rPr>
        <w:t>We reviewed the existing literature</w:t>
      </w:r>
      <w:r w:rsidR="00F53989">
        <w:rPr>
          <w:sz w:val="24"/>
          <w:szCs w:val="24"/>
        </w:rPr>
        <w:t xml:space="preserve">, </w:t>
      </w:r>
      <w:r w:rsidR="00345EB3">
        <w:rPr>
          <w:sz w:val="24"/>
          <w:szCs w:val="24"/>
        </w:rPr>
        <w:t>spoke with PFMC staff</w:t>
      </w:r>
      <w:r w:rsidR="00F53989">
        <w:rPr>
          <w:sz w:val="24"/>
          <w:szCs w:val="24"/>
        </w:rPr>
        <w:t xml:space="preserve"> and NMFS Western Regional Office who maintains the contact information for LE permit holders</w:t>
      </w:r>
      <w:r w:rsidR="001F39CC">
        <w:rPr>
          <w:sz w:val="24"/>
          <w:szCs w:val="24"/>
        </w:rPr>
        <w:t xml:space="preserve">.  We </w:t>
      </w:r>
      <w:r w:rsidRPr="00DB5657">
        <w:rPr>
          <w:sz w:val="24"/>
          <w:szCs w:val="24"/>
        </w:rPr>
        <w:t xml:space="preserve">could not </w:t>
      </w:r>
      <w:r w:rsidR="00F53989">
        <w:rPr>
          <w:sz w:val="24"/>
          <w:szCs w:val="24"/>
        </w:rPr>
        <w:t xml:space="preserve">find any indication that </w:t>
      </w:r>
      <w:r w:rsidRPr="00DB5657">
        <w:rPr>
          <w:sz w:val="24"/>
          <w:szCs w:val="24"/>
        </w:rPr>
        <w:t>our effort</w:t>
      </w:r>
      <w:r w:rsidR="00C52AE7" w:rsidRPr="00DB5657">
        <w:rPr>
          <w:sz w:val="24"/>
          <w:szCs w:val="24"/>
        </w:rPr>
        <w:t xml:space="preserve"> is duplicative of any work conducted</w:t>
      </w:r>
      <w:r w:rsidRPr="00DB5657">
        <w:rPr>
          <w:sz w:val="24"/>
          <w:szCs w:val="24"/>
        </w:rPr>
        <w:t xml:space="preserve"> within the </w:t>
      </w:r>
      <w:r w:rsidR="008A0CAE" w:rsidRPr="00DB5657">
        <w:rPr>
          <w:sz w:val="24"/>
          <w:szCs w:val="24"/>
        </w:rPr>
        <w:t>six years</w:t>
      </w:r>
      <w:r w:rsidR="00E4782C" w:rsidRPr="00DB5657">
        <w:rPr>
          <w:sz w:val="24"/>
          <w:szCs w:val="24"/>
        </w:rPr>
        <w:t xml:space="preserve"> since the last survey conducted by NWFSC</w:t>
      </w:r>
      <w:r w:rsidRPr="00DB5657">
        <w:rPr>
          <w:sz w:val="24"/>
          <w:szCs w:val="24"/>
        </w:rPr>
        <w:t xml:space="preserve">.  </w:t>
      </w:r>
    </w:p>
    <w:p w14:paraId="717E5930" w14:textId="77777777" w:rsidR="004F26E9" w:rsidRPr="00DB5657" w:rsidRDefault="004F26E9">
      <w:pPr>
        <w:rPr>
          <w:sz w:val="24"/>
          <w:szCs w:val="24"/>
        </w:rPr>
      </w:pPr>
    </w:p>
    <w:p w14:paraId="17308718" w14:textId="77777777" w:rsidR="004F26E9" w:rsidRPr="00DB5657" w:rsidRDefault="004F26E9">
      <w:pPr>
        <w:rPr>
          <w:sz w:val="24"/>
          <w:szCs w:val="24"/>
        </w:rPr>
      </w:pPr>
      <w:r w:rsidRPr="00DB5657">
        <w:rPr>
          <w:b/>
          <w:bCs/>
          <w:sz w:val="24"/>
          <w:szCs w:val="24"/>
        </w:rPr>
        <w:t xml:space="preserve">5.  </w:t>
      </w:r>
      <w:r w:rsidRPr="00DB5657">
        <w:rPr>
          <w:b/>
          <w:bCs/>
          <w:sz w:val="24"/>
          <w:szCs w:val="24"/>
          <w:u w:val="single"/>
        </w:rPr>
        <w:t>If the collection of information involves small businesses or other small entities, describe the methods used to minimize burden</w:t>
      </w:r>
      <w:r w:rsidRPr="00DB5657">
        <w:rPr>
          <w:b/>
          <w:bCs/>
          <w:sz w:val="24"/>
          <w:szCs w:val="24"/>
        </w:rPr>
        <w:t>.</w:t>
      </w:r>
      <w:r w:rsidRPr="00DB5657">
        <w:rPr>
          <w:sz w:val="24"/>
          <w:szCs w:val="24"/>
        </w:rPr>
        <w:t xml:space="preserve"> </w:t>
      </w:r>
    </w:p>
    <w:p w14:paraId="3BBB528D" w14:textId="77777777" w:rsidR="004F26E9" w:rsidRPr="00DB5657" w:rsidRDefault="004F26E9">
      <w:pPr>
        <w:rPr>
          <w:sz w:val="24"/>
          <w:szCs w:val="24"/>
        </w:rPr>
      </w:pPr>
    </w:p>
    <w:p w14:paraId="1C5AB2DB" w14:textId="77777777" w:rsidR="004F26E9" w:rsidRPr="00DB5657" w:rsidRDefault="00804B8E" w:rsidP="00C265FB">
      <w:pPr>
        <w:rPr>
          <w:sz w:val="24"/>
          <w:szCs w:val="24"/>
        </w:rPr>
      </w:pPr>
      <w:r w:rsidRPr="00DB5657">
        <w:rPr>
          <w:sz w:val="24"/>
          <w:szCs w:val="24"/>
        </w:rPr>
        <w:t>Most of the business entities in this information collection request can be classified as small</w:t>
      </w:r>
      <w:r w:rsidR="00BB5AC3" w:rsidRPr="00DB5657">
        <w:rPr>
          <w:sz w:val="24"/>
          <w:szCs w:val="24"/>
        </w:rPr>
        <w:t xml:space="preserve"> </w:t>
      </w:r>
      <w:r w:rsidRPr="00DB5657">
        <w:rPr>
          <w:sz w:val="24"/>
          <w:szCs w:val="24"/>
        </w:rPr>
        <w:t>businesses. Our approach is not to send out questionnaires to be filled out by respondents.</w:t>
      </w:r>
      <w:r w:rsidR="00BB5AC3" w:rsidRPr="00DB5657">
        <w:rPr>
          <w:sz w:val="24"/>
          <w:szCs w:val="24"/>
        </w:rPr>
        <w:t xml:space="preserve">  </w:t>
      </w:r>
      <w:r w:rsidRPr="00DB5657">
        <w:rPr>
          <w:sz w:val="24"/>
          <w:szCs w:val="24"/>
        </w:rPr>
        <w:t>Rather, to increase efficiency and reduce the respondent’s burden, we send out an information</w:t>
      </w:r>
      <w:r w:rsidR="00BB5AC3" w:rsidRPr="00DB5657">
        <w:rPr>
          <w:sz w:val="24"/>
          <w:szCs w:val="24"/>
        </w:rPr>
        <w:t xml:space="preserve"> collection interviewer</w:t>
      </w:r>
      <w:r w:rsidRPr="00DB5657">
        <w:rPr>
          <w:sz w:val="24"/>
          <w:szCs w:val="24"/>
        </w:rPr>
        <w:t xml:space="preserve"> to the home or office of the business </w:t>
      </w:r>
      <w:r w:rsidR="00BB5AC3" w:rsidRPr="00DB5657">
        <w:rPr>
          <w:sz w:val="24"/>
          <w:szCs w:val="24"/>
        </w:rPr>
        <w:t xml:space="preserve">owner/operator. The information </w:t>
      </w:r>
      <w:r w:rsidRPr="00DB5657">
        <w:rPr>
          <w:sz w:val="24"/>
          <w:szCs w:val="24"/>
        </w:rPr>
        <w:t>collection</w:t>
      </w:r>
      <w:r w:rsidR="00BB5AC3" w:rsidRPr="00DB5657">
        <w:rPr>
          <w:sz w:val="24"/>
          <w:szCs w:val="24"/>
        </w:rPr>
        <w:t xml:space="preserve"> </w:t>
      </w:r>
      <w:r w:rsidRPr="00DB5657">
        <w:rPr>
          <w:sz w:val="24"/>
          <w:szCs w:val="24"/>
        </w:rPr>
        <w:t>team works with the respondent to complete t</w:t>
      </w:r>
      <w:r w:rsidR="00BB5AC3" w:rsidRPr="00DB5657">
        <w:rPr>
          <w:sz w:val="24"/>
          <w:szCs w:val="24"/>
        </w:rPr>
        <w:t xml:space="preserve">he information collection. When </w:t>
      </w:r>
      <w:r w:rsidRPr="00DB5657">
        <w:rPr>
          <w:sz w:val="24"/>
          <w:szCs w:val="24"/>
        </w:rPr>
        <w:t>arranging</w:t>
      </w:r>
      <w:r w:rsidR="00BB5AC3" w:rsidRPr="00DB5657">
        <w:rPr>
          <w:sz w:val="24"/>
          <w:szCs w:val="24"/>
        </w:rPr>
        <w:t xml:space="preserve"> </w:t>
      </w:r>
      <w:r w:rsidRPr="00DB5657">
        <w:rPr>
          <w:sz w:val="24"/>
          <w:szCs w:val="24"/>
        </w:rPr>
        <w:t>information collection interviews, our approach is to d</w:t>
      </w:r>
      <w:r w:rsidR="00BB5AC3" w:rsidRPr="00DB5657">
        <w:rPr>
          <w:sz w:val="24"/>
          <w:szCs w:val="24"/>
        </w:rPr>
        <w:t xml:space="preserve">iscuss the types of information </w:t>
      </w:r>
      <w:r w:rsidRPr="00DB5657">
        <w:rPr>
          <w:sz w:val="24"/>
          <w:szCs w:val="24"/>
        </w:rPr>
        <w:t>we will be</w:t>
      </w:r>
      <w:r w:rsidR="00BB5AC3" w:rsidRPr="00DB5657">
        <w:rPr>
          <w:sz w:val="24"/>
          <w:szCs w:val="24"/>
        </w:rPr>
        <w:t xml:space="preserve"> </w:t>
      </w:r>
      <w:r w:rsidRPr="00DB5657">
        <w:rPr>
          <w:sz w:val="24"/>
          <w:szCs w:val="24"/>
        </w:rPr>
        <w:t>asking for during the interview. This enables the respondent to prepare befor</w:t>
      </w:r>
      <w:r w:rsidR="00BB5AC3" w:rsidRPr="00DB5657">
        <w:rPr>
          <w:sz w:val="24"/>
          <w:szCs w:val="24"/>
        </w:rPr>
        <w:t xml:space="preserve">e the </w:t>
      </w:r>
      <w:r w:rsidRPr="00DB5657">
        <w:rPr>
          <w:sz w:val="24"/>
          <w:szCs w:val="24"/>
        </w:rPr>
        <w:t>interview,</w:t>
      </w:r>
      <w:r w:rsidR="00BB5AC3" w:rsidRPr="00DB5657">
        <w:rPr>
          <w:sz w:val="24"/>
          <w:szCs w:val="24"/>
        </w:rPr>
        <w:t xml:space="preserve"> </w:t>
      </w:r>
      <w:r w:rsidRPr="00DB5657">
        <w:rPr>
          <w:sz w:val="24"/>
          <w:szCs w:val="24"/>
        </w:rPr>
        <w:t>gathering any important records or documents that m</w:t>
      </w:r>
      <w:r w:rsidR="00BB5AC3" w:rsidRPr="00DB5657">
        <w:rPr>
          <w:sz w:val="24"/>
          <w:szCs w:val="24"/>
        </w:rPr>
        <w:t xml:space="preserve">ight be needed by the team. For </w:t>
      </w:r>
      <w:r w:rsidRPr="00DB5657">
        <w:rPr>
          <w:sz w:val="24"/>
          <w:szCs w:val="24"/>
        </w:rPr>
        <w:t>example,</w:t>
      </w:r>
      <w:r w:rsidR="00BB5AC3" w:rsidRPr="00DB5657">
        <w:rPr>
          <w:sz w:val="24"/>
          <w:szCs w:val="24"/>
        </w:rPr>
        <w:t xml:space="preserve"> </w:t>
      </w:r>
      <w:r w:rsidRPr="00DB5657">
        <w:rPr>
          <w:sz w:val="24"/>
          <w:szCs w:val="24"/>
        </w:rPr>
        <w:t xml:space="preserve">for the cost-and-earnings questions, financial records are needed. </w:t>
      </w:r>
    </w:p>
    <w:p w14:paraId="5E8C47E9" w14:textId="77777777" w:rsidR="00804B8E" w:rsidRPr="00DB5657" w:rsidRDefault="00804B8E" w:rsidP="00804B8E">
      <w:pPr>
        <w:rPr>
          <w:sz w:val="24"/>
          <w:szCs w:val="24"/>
        </w:rPr>
      </w:pPr>
    </w:p>
    <w:p w14:paraId="46AF9301" w14:textId="77777777" w:rsidR="004F26E9" w:rsidRPr="00DB5657" w:rsidRDefault="004F26E9">
      <w:pPr>
        <w:rPr>
          <w:sz w:val="24"/>
          <w:szCs w:val="24"/>
        </w:rPr>
      </w:pPr>
      <w:r w:rsidRPr="00DB5657">
        <w:rPr>
          <w:b/>
          <w:bCs/>
          <w:sz w:val="24"/>
          <w:szCs w:val="24"/>
        </w:rPr>
        <w:t xml:space="preserve">6.  </w:t>
      </w:r>
      <w:r w:rsidRPr="00DB5657">
        <w:rPr>
          <w:b/>
          <w:bCs/>
          <w:sz w:val="24"/>
          <w:szCs w:val="24"/>
          <w:u w:val="single"/>
        </w:rPr>
        <w:t>Describe the consequences to the Federal program or policy activities if the collection is not conducted or is conducted less frequently</w:t>
      </w:r>
      <w:r w:rsidRPr="00DB5657">
        <w:rPr>
          <w:b/>
          <w:bCs/>
          <w:sz w:val="24"/>
          <w:szCs w:val="24"/>
        </w:rPr>
        <w:t>.</w:t>
      </w:r>
      <w:r w:rsidRPr="00DB5657">
        <w:rPr>
          <w:sz w:val="24"/>
          <w:szCs w:val="24"/>
        </w:rPr>
        <w:t xml:space="preserve"> </w:t>
      </w:r>
    </w:p>
    <w:p w14:paraId="58A773A4" w14:textId="77777777" w:rsidR="004F26E9" w:rsidRPr="00DB5657" w:rsidRDefault="004F26E9">
      <w:pPr>
        <w:rPr>
          <w:sz w:val="24"/>
          <w:szCs w:val="24"/>
        </w:rPr>
      </w:pPr>
    </w:p>
    <w:p w14:paraId="2B0C3219" w14:textId="77777777" w:rsidR="00710F9E" w:rsidRPr="00DB5657" w:rsidRDefault="00710F9E" w:rsidP="00710F9E">
      <w:pPr>
        <w:spacing w:line="276" w:lineRule="auto"/>
        <w:rPr>
          <w:sz w:val="24"/>
          <w:szCs w:val="24"/>
        </w:rPr>
      </w:pPr>
      <w:r w:rsidRPr="00DB5657">
        <w:rPr>
          <w:sz w:val="24"/>
          <w:szCs w:val="24"/>
        </w:rPr>
        <w:t xml:space="preserve">As noted before, the survey will collect information needed to develop economic models of </w:t>
      </w:r>
      <w:r w:rsidR="001F39CC">
        <w:rPr>
          <w:sz w:val="24"/>
          <w:szCs w:val="24"/>
        </w:rPr>
        <w:t xml:space="preserve">to estimate </w:t>
      </w:r>
      <w:r w:rsidR="001F39CC">
        <w:rPr>
          <w:sz w:val="24"/>
        </w:rPr>
        <w:t>fleet efficiency, fishery participation, and community economic impacts of fishing in the form of income and employment</w:t>
      </w:r>
      <w:r w:rsidRPr="00DB5657">
        <w:rPr>
          <w:sz w:val="24"/>
          <w:szCs w:val="24"/>
        </w:rPr>
        <w:t>.  This research will provide scientific support for management agencies such</w:t>
      </w:r>
      <w:r w:rsidR="001A169C" w:rsidRPr="00DB5657">
        <w:rPr>
          <w:sz w:val="24"/>
          <w:szCs w:val="24"/>
        </w:rPr>
        <w:t xml:space="preserve"> as</w:t>
      </w:r>
      <w:r w:rsidRPr="00DB5657">
        <w:rPr>
          <w:sz w:val="24"/>
          <w:szCs w:val="24"/>
        </w:rPr>
        <w:t xml:space="preserve"> the Pacific Fisheries Management Council, </w:t>
      </w:r>
      <w:r w:rsidR="001F39CC">
        <w:rPr>
          <w:sz w:val="24"/>
          <w:szCs w:val="24"/>
        </w:rPr>
        <w:t xml:space="preserve">NMFS western regional office, state agencies, and the general public.  </w:t>
      </w:r>
      <w:r w:rsidRPr="00DB5657">
        <w:rPr>
          <w:sz w:val="24"/>
          <w:szCs w:val="24"/>
        </w:rPr>
        <w:t xml:space="preserve">Not conducting the information collection will undercut the ability </w:t>
      </w:r>
      <w:r w:rsidR="00DC5B74" w:rsidRPr="00DB5657">
        <w:rPr>
          <w:sz w:val="24"/>
          <w:szCs w:val="24"/>
        </w:rPr>
        <w:t xml:space="preserve">to </w:t>
      </w:r>
      <w:r w:rsidR="001F39CC">
        <w:rPr>
          <w:sz w:val="24"/>
          <w:szCs w:val="24"/>
        </w:rPr>
        <w:t xml:space="preserve">fulfill </w:t>
      </w:r>
      <w:r w:rsidR="001F39CC" w:rsidRPr="000131E2">
        <w:rPr>
          <w:sz w:val="24"/>
          <w:szCs w:val="24"/>
        </w:rPr>
        <w:t>legally mandated analyse</w:t>
      </w:r>
      <w:r w:rsidR="001F39CC">
        <w:rPr>
          <w:sz w:val="24"/>
          <w:szCs w:val="24"/>
        </w:rPr>
        <w:t>s</w:t>
      </w:r>
      <w:r w:rsidR="001F39CC" w:rsidRPr="00DB5657">
        <w:rPr>
          <w:sz w:val="24"/>
          <w:szCs w:val="24"/>
        </w:rPr>
        <w:t xml:space="preserve"> </w:t>
      </w:r>
      <w:r w:rsidR="001F39CC">
        <w:rPr>
          <w:sz w:val="24"/>
          <w:szCs w:val="24"/>
        </w:rPr>
        <w:t xml:space="preserve">of the effects of fishery management changes. </w:t>
      </w:r>
    </w:p>
    <w:p w14:paraId="0DEAA28E" w14:textId="77777777" w:rsidR="004F26E9" w:rsidRPr="00DB5657" w:rsidRDefault="004F26E9">
      <w:pPr>
        <w:rPr>
          <w:sz w:val="24"/>
          <w:szCs w:val="24"/>
        </w:rPr>
      </w:pPr>
    </w:p>
    <w:p w14:paraId="7D6AE146" w14:textId="77777777" w:rsidR="004F26E9" w:rsidRPr="00DB5657" w:rsidRDefault="004F26E9">
      <w:pPr>
        <w:rPr>
          <w:sz w:val="24"/>
          <w:szCs w:val="24"/>
        </w:rPr>
      </w:pPr>
      <w:r w:rsidRPr="00DB5657">
        <w:rPr>
          <w:b/>
          <w:bCs/>
          <w:sz w:val="24"/>
          <w:szCs w:val="24"/>
        </w:rPr>
        <w:t xml:space="preserve">7.  </w:t>
      </w:r>
      <w:r w:rsidRPr="00DB5657">
        <w:rPr>
          <w:b/>
          <w:bCs/>
          <w:sz w:val="24"/>
          <w:szCs w:val="24"/>
          <w:u w:val="single"/>
        </w:rPr>
        <w:t>Explain any special circumstances that require the collection to be conducted in a manner inconsistent with OMB guidelines</w:t>
      </w:r>
      <w:r w:rsidRPr="00DB5657">
        <w:rPr>
          <w:b/>
          <w:bCs/>
          <w:sz w:val="24"/>
          <w:szCs w:val="24"/>
        </w:rPr>
        <w:t xml:space="preserve">. </w:t>
      </w:r>
    </w:p>
    <w:p w14:paraId="08512368" w14:textId="77777777" w:rsidR="004F26E9" w:rsidRPr="00DB5657" w:rsidRDefault="004F26E9">
      <w:pPr>
        <w:rPr>
          <w:sz w:val="24"/>
          <w:szCs w:val="24"/>
        </w:rPr>
      </w:pPr>
    </w:p>
    <w:p w14:paraId="2BC812B1" w14:textId="77777777" w:rsidR="002C09AE" w:rsidRPr="00DB5657" w:rsidRDefault="00530A83" w:rsidP="002C09AE">
      <w:pPr>
        <w:spacing w:line="276" w:lineRule="auto"/>
        <w:rPr>
          <w:sz w:val="24"/>
          <w:szCs w:val="24"/>
        </w:rPr>
      </w:pPr>
      <w:r w:rsidRPr="00DB5657">
        <w:rPr>
          <w:sz w:val="24"/>
          <w:szCs w:val="24"/>
        </w:rPr>
        <w:t>This is not a</w:t>
      </w:r>
      <w:r w:rsidR="002C09AE" w:rsidRPr="00DB5657">
        <w:rPr>
          <w:sz w:val="24"/>
          <w:szCs w:val="24"/>
        </w:rPr>
        <w:t>pplicable.</w:t>
      </w:r>
    </w:p>
    <w:p w14:paraId="3581D5D6" w14:textId="77777777" w:rsidR="00725C5C" w:rsidRPr="00DB5657" w:rsidRDefault="00725C5C">
      <w:pPr>
        <w:rPr>
          <w:b/>
          <w:bCs/>
          <w:sz w:val="24"/>
          <w:szCs w:val="24"/>
        </w:rPr>
      </w:pPr>
    </w:p>
    <w:p w14:paraId="46D4F52A" w14:textId="77777777" w:rsidR="004F26E9" w:rsidRPr="00DB5657" w:rsidRDefault="004F26E9">
      <w:pPr>
        <w:rPr>
          <w:sz w:val="24"/>
          <w:szCs w:val="24"/>
        </w:rPr>
      </w:pPr>
      <w:r w:rsidRPr="00DB5657">
        <w:rPr>
          <w:b/>
          <w:bCs/>
          <w:sz w:val="24"/>
          <w:szCs w:val="24"/>
        </w:rPr>
        <w:t xml:space="preserve">8.  </w:t>
      </w:r>
      <w:r w:rsidRPr="00DB5657">
        <w:rPr>
          <w:b/>
          <w:bCs/>
          <w:sz w:val="24"/>
          <w:szCs w:val="24"/>
          <w:u w:val="single"/>
        </w:rPr>
        <w:t xml:space="preserve">Provide </w:t>
      </w:r>
      <w:r w:rsidR="00107F5D" w:rsidRPr="00DB5657">
        <w:rPr>
          <w:b/>
          <w:bCs/>
          <w:sz w:val="24"/>
          <w:szCs w:val="24"/>
          <w:u w:val="single"/>
        </w:rPr>
        <w:t>information on</w:t>
      </w:r>
      <w:r w:rsidRPr="00DB5657">
        <w:rPr>
          <w:b/>
          <w:bCs/>
          <w:sz w:val="24"/>
          <w:szCs w:val="24"/>
          <w:u w:val="single"/>
        </w:rPr>
        <w:t xml:space="preserve"> the PRA Federal Register </w:t>
      </w:r>
      <w:r w:rsidR="001E6F72" w:rsidRPr="00DB5657">
        <w:rPr>
          <w:b/>
          <w:bCs/>
          <w:sz w:val="24"/>
          <w:szCs w:val="24"/>
          <w:u w:val="single"/>
        </w:rPr>
        <w:t>N</w:t>
      </w:r>
      <w:r w:rsidRPr="00DB5657">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DB5657">
        <w:rPr>
          <w:b/>
          <w:bCs/>
          <w:sz w:val="24"/>
          <w:szCs w:val="24"/>
        </w:rPr>
        <w:t>.</w:t>
      </w:r>
      <w:r w:rsidRPr="00DB5657">
        <w:rPr>
          <w:sz w:val="24"/>
          <w:szCs w:val="24"/>
        </w:rPr>
        <w:t xml:space="preserve">  </w:t>
      </w:r>
      <w:r w:rsidRPr="00DB5657">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B5657">
        <w:rPr>
          <w:b/>
          <w:bCs/>
          <w:sz w:val="24"/>
          <w:szCs w:val="24"/>
        </w:rPr>
        <w:t>.</w:t>
      </w:r>
    </w:p>
    <w:p w14:paraId="72CE348E" w14:textId="77777777" w:rsidR="004F26E9" w:rsidRPr="00DB5657" w:rsidRDefault="004F26E9">
      <w:pPr>
        <w:rPr>
          <w:sz w:val="24"/>
          <w:szCs w:val="24"/>
        </w:rPr>
      </w:pPr>
    </w:p>
    <w:p w14:paraId="6BC325CB" w14:textId="77777777" w:rsidR="002C09AE" w:rsidRDefault="002C09AE" w:rsidP="002C09AE">
      <w:pPr>
        <w:spacing w:line="276" w:lineRule="auto"/>
        <w:rPr>
          <w:sz w:val="24"/>
          <w:szCs w:val="24"/>
        </w:rPr>
      </w:pPr>
      <w:r w:rsidRPr="00DB5657">
        <w:rPr>
          <w:sz w:val="24"/>
          <w:szCs w:val="24"/>
        </w:rPr>
        <w:t xml:space="preserve">A Federal Register Notice published on </w:t>
      </w:r>
      <w:r w:rsidR="00780935" w:rsidRPr="00780935">
        <w:rPr>
          <w:sz w:val="24"/>
          <w:szCs w:val="24"/>
        </w:rPr>
        <w:t>Federal Register / Vol. 83, No. 76 / April 19, 2018</w:t>
      </w:r>
      <w:r w:rsidR="00780935">
        <w:rPr>
          <w:sz w:val="24"/>
          <w:szCs w:val="24"/>
        </w:rPr>
        <w:t xml:space="preserve"> </w:t>
      </w:r>
      <w:r w:rsidRPr="00DB5657">
        <w:rPr>
          <w:sz w:val="24"/>
          <w:szCs w:val="24"/>
        </w:rPr>
        <w:t xml:space="preserve">solicited public comments. No comments were received.  </w:t>
      </w:r>
    </w:p>
    <w:p w14:paraId="388DC07A" w14:textId="77777777" w:rsidR="00764BB1" w:rsidRDefault="00764BB1" w:rsidP="002C09AE">
      <w:pPr>
        <w:spacing w:line="276" w:lineRule="auto"/>
        <w:rPr>
          <w:sz w:val="24"/>
          <w:szCs w:val="24"/>
        </w:rPr>
      </w:pPr>
    </w:p>
    <w:p w14:paraId="311DD92B" w14:textId="77777777" w:rsidR="00C561BE" w:rsidRPr="00DB5657" w:rsidRDefault="00C561BE" w:rsidP="002C09AE">
      <w:pPr>
        <w:spacing w:line="276" w:lineRule="auto"/>
        <w:rPr>
          <w:sz w:val="24"/>
          <w:szCs w:val="24"/>
        </w:rPr>
      </w:pPr>
      <w:r>
        <w:rPr>
          <w:sz w:val="24"/>
          <w:szCs w:val="24"/>
        </w:rPr>
        <w:t xml:space="preserve">This collection would be </w:t>
      </w:r>
      <w:r w:rsidR="00E71429">
        <w:rPr>
          <w:sz w:val="24"/>
          <w:szCs w:val="24"/>
        </w:rPr>
        <w:t xml:space="preserve">the </w:t>
      </w:r>
      <w:r>
        <w:rPr>
          <w:sz w:val="24"/>
          <w:szCs w:val="24"/>
        </w:rPr>
        <w:t>fifth time t</w:t>
      </w:r>
      <w:r w:rsidRPr="00C561BE">
        <w:rPr>
          <w:sz w:val="24"/>
          <w:szCs w:val="24"/>
        </w:rPr>
        <w:t xml:space="preserve">he NWFSC </w:t>
      </w:r>
      <w:r>
        <w:rPr>
          <w:sz w:val="24"/>
          <w:szCs w:val="24"/>
        </w:rPr>
        <w:t xml:space="preserve">has conducted an </w:t>
      </w:r>
      <w:r w:rsidRPr="00C561BE">
        <w:rPr>
          <w:sz w:val="24"/>
          <w:szCs w:val="24"/>
        </w:rPr>
        <w:t>economic cost earnings survey of the limited entry fixed gear fleet</w:t>
      </w:r>
      <w:r w:rsidR="00345EB3">
        <w:rPr>
          <w:sz w:val="24"/>
          <w:szCs w:val="24"/>
        </w:rPr>
        <w:t>.  Over this time, e</w:t>
      </w:r>
      <w:r w:rsidRPr="00C561BE">
        <w:rPr>
          <w:sz w:val="24"/>
          <w:szCs w:val="24"/>
        </w:rPr>
        <w:t>xtensive discussions have been held with members of the limited entry fleet in an on-going effort to clarify questions</w:t>
      </w:r>
      <w:r w:rsidR="00345EB3">
        <w:rPr>
          <w:sz w:val="24"/>
          <w:szCs w:val="24"/>
        </w:rPr>
        <w:t xml:space="preserve"> included in the collection</w:t>
      </w:r>
      <w:r w:rsidRPr="00C561BE">
        <w:rPr>
          <w:sz w:val="24"/>
          <w:szCs w:val="24"/>
        </w:rPr>
        <w:t xml:space="preserve">.  </w:t>
      </w:r>
    </w:p>
    <w:p w14:paraId="61212015" w14:textId="77777777" w:rsidR="004F26E9" w:rsidRPr="00DB5657" w:rsidRDefault="004F26E9">
      <w:pPr>
        <w:rPr>
          <w:sz w:val="24"/>
          <w:szCs w:val="24"/>
        </w:rPr>
      </w:pPr>
    </w:p>
    <w:p w14:paraId="4ED8C12F" w14:textId="77777777" w:rsidR="004F26E9" w:rsidRPr="00DB5657" w:rsidRDefault="004F26E9">
      <w:pPr>
        <w:rPr>
          <w:sz w:val="24"/>
          <w:szCs w:val="24"/>
        </w:rPr>
      </w:pPr>
      <w:r w:rsidRPr="00DB5657">
        <w:rPr>
          <w:b/>
          <w:bCs/>
          <w:sz w:val="24"/>
          <w:szCs w:val="24"/>
        </w:rPr>
        <w:t xml:space="preserve">9.  </w:t>
      </w:r>
      <w:r w:rsidRPr="00DB5657">
        <w:rPr>
          <w:b/>
          <w:bCs/>
          <w:sz w:val="24"/>
          <w:szCs w:val="24"/>
          <w:u w:val="single"/>
        </w:rPr>
        <w:t>Explain any decisions to provide payments or gifts to respondents, other than remuneration of contractors or grantees</w:t>
      </w:r>
      <w:r w:rsidRPr="00DB5657">
        <w:rPr>
          <w:b/>
          <w:bCs/>
          <w:sz w:val="24"/>
          <w:szCs w:val="24"/>
        </w:rPr>
        <w:t>.</w:t>
      </w:r>
    </w:p>
    <w:p w14:paraId="6C781611" w14:textId="77777777" w:rsidR="004F26E9" w:rsidRPr="00DB5657" w:rsidRDefault="004F26E9">
      <w:pPr>
        <w:rPr>
          <w:sz w:val="24"/>
          <w:szCs w:val="24"/>
        </w:rPr>
      </w:pPr>
    </w:p>
    <w:p w14:paraId="55F37CE4" w14:textId="77777777" w:rsidR="00DC5B74" w:rsidRPr="00DB5657" w:rsidRDefault="003D485B">
      <w:pPr>
        <w:rPr>
          <w:sz w:val="24"/>
          <w:szCs w:val="24"/>
        </w:rPr>
      </w:pPr>
      <w:r w:rsidRPr="00DB5657">
        <w:rPr>
          <w:sz w:val="24"/>
          <w:szCs w:val="24"/>
        </w:rPr>
        <w:t xml:space="preserve">There will not be any payment or gift to respondents. </w:t>
      </w:r>
    </w:p>
    <w:p w14:paraId="790B1443" w14:textId="77777777" w:rsidR="00DC5B74" w:rsidRPr="00DB5657" w:rsidRDefault="00DC5B74">
      <w:pPr>
        <w:rPr>
          <w:sz w:val="24"/>
          <w:szCs w:val="24"/>
        </w:rPr>
      </w:pPr>
    </w:p>
    <w:p w14:paraId="39153B96" w14:textId="77777777" w:rsidR="004F26E9" w:rsidRPr="00DB5657" w:rsidRDefault="004F26E9">
      <w:pPr>
        <w:rPr>
          <w:sz w:val="24"/>
          <w:szCs w:val="24"/>
        </w:rPr>
      </w:pPr>
      <w:r w:rsidRPr="00DB5657">
        <w:rPr>
          <w:b/>
          <w:bCs/>
          <w:sz w:val="24"/>
          <w:szCs w:val="24"/>
        </w:rPr>
        <w:t xml:space="preserve">10.  </w:t>
      </w:r>
      <w:r w:rsidRPr="00DB5657">
        <w:rPr>
          <w:b/>
          <w:bCs/>
          <w:sz w:val="24"/>
          <w:szCs w:val="24"/>
          <w:u w:val="single"/>
        </w:rPr>
        <w:t>Describe any assurance of confidentiality provided to respondents and the basis for assurance in statute, regulation, or agency policy</w:t>
      </w:r>
      <w:r w:rsidRPr="00DB5657">
        <w:rPr>
          <w:b/>
          <w:bCs/>
          <w:sz w:val="24"/>
          <w:szCs w:val="24"/>
        </w:rPr>
        <w:t>.</w:t>
      </w:r>
    </w:p>
    <w:p w14:paraId="7E9BBD09" w14:textId="77777777" w:rsidR="004F26E9" w:rsidRPr="00DB5657" w:rsidRDefault="004F26E9">
      <w:pPr>
        <w:rPr>
          <w:sz w:val="24"/>
          <w:szCs w:val="24"/>
        </w:rPr>
      </w:pPr>
    </w:p>
    <w:p w14:paraId="37AFF06A" w14:textId="77777777" w:rsidR="004272E9" w:rsidRDefault="00521A1C" w:rsidP="004272E9">
      <w:pPr>
        <w:widowControl/>
        <w:rPr>
          <w:sz w:val="24"/>
          <w:szCs w:val="24"/>
        </w:rPr>
      </w:pPr>
      <w:r w:rsidRPr="00DB5657">
        <w:rPr>
          <w:sz w:val="24"/>
          <w:szCs w:val="24"/>
        </w:rPr>
        <w:t xml:space="preserve">The cover letter </w:t>
      </w:r>
      <w:r w:rsidR="00AE7D02">
        <w:rPr>
          <w:sz w:val="24"/>
          <w:szCs w:val="24"/>
        </w:rPr>
        <w:t xml:space="preserve">and survey </w:t>
      </w:r>
      <w:r w:rsidR="0010235D">
        <w:rPr>
          <w:sz w:val="24"/>
          <w:szCs w:val="24"/>
        </w:rPr>
        <w:t xml:space="preserve">contains the following privacy act statement. </w:t>
      </w:r>
    </w:p>
    <w:p w14:paraId="73A6ECF2" w14:textId="77777777" w:rsidR="004272E9" w:rsidRDefault="004272E9" w:rsidP="004272E9">
      <w:pPr>
        <w:widowControl/>
        <w:rPr>
          <w:sz w:val="24"/>
          <w:szCs w:val="24"/>
        </w:rPr>
      </w:pPr>
    </w:p>
    <w:p w14:paraId="65DCE2F8" w14:textId="3E2AAC84" w:rsidR="004272E9" w:rsidRDefault="004272E9" w:rsidP="004272E9">
      <w:pPr>
        <w:widowControl/>
        <w:rPr>
          <w:sz w:val="24"/>
          <w:szCs w:val="24"/>
        </w:rPr>
      </w:pPr>
      <w:r>
        <w:rPr>
          <w:sz w:val="24"/>
          <w:szCs w:val="24"/>
        </w:rPr>
        <w:t>“</w:t>
      </w:r>
      <w:r w:rsidRPr="004272E9">
        <w:rPr>
          <w:sz w:val="24"/>
          <w:szCs w:val="24"/>
        </w:rPr>
        <w:t>We appreciate the confidential nature of the data being collected by this survey. The NWFSC will maintain the confidentiality of the information consistent with legal authorities available to the NWFSC, including but not limited to the Privacy Act (5 U.S.C. Section 552a) and the Trade Secrets Act (18 U.S.C. Section 1905).  In the event that the NWFSC receives a formal request for the information pursuant to the Freedom of Information Act (FOIA) (5 U.S.C. Section 552) the NWFSC will protect confidentiality to the extent possible under Exemption 4 of the FOIA.</w:t>
      </w:r>
      <w:r>
        <w:rPr>
          <w:sz w:val="24"/>
          <w:szCs w:val="24"/>
        </w:rPr>
        <w:t>”</w:t>
      </w:r>
    </w:p>
    <w:p w14:paraId="06292943" w14:textId="460306D2" w:rsidR="00530ED9" w:rsidRDefault="00530ED9" w:rsidP="004272E9">
      <w:pPr>
        <w:widowControl/>
        <w:rPr>
          <w:sz w:val="24"/>
          <w:szCs w:val="24"/>
        </w:rPr>
      </w:pPr>
    </w:p>
    <w:p w14:paraId="7D298AD7" w14:textId="76960A08" w:rsidR="00530ED9" w:rsidRPr="00DB5657" w:rsidRDefault="00530ED9" w:rsidP="004272E9">
      <w:pPr>
        <w:widowControl/>
        <w:rPr>
          <w:sz w:val="24"/>
          <w:szCs w:val="24"/>
        </w:rPr>
      </w:pPr>
      <w:r>
        <w:rPr>
          <w:sz w:val="24"/>
          <w:szCs w:val="24"/>
        </w:rPr>
        <w:t xml:space="preserve">This information is covered by a Privacy Act System of Records </w:t>
      </w:r>
      <w:hyperlink r:id="rId19" w:history="1">
        <w:r w:rsidRPr="00530ED9">
          <w:rPr>
            <w:rStyle w:val="Hyperlink"/>
            <w:sz w:val="24"/>
            <w:szCs w:val="24"/>
          </w:rPr>
          <w:t>COMMERCE/NOAA-6</w:t>
        </w:r>
      </w:hyperlink>
      <w:r>
        <w:rPr>
          <w:sz w:val="24"/>
          <w:szCs w:val="24"/>
        </w:rPr>
        <w:t>, Fishermen’s Statistical Data.</w:t>
      </w:r>
    </w:p>
    <w:p w14:paraId="65FC2307" w14:textId="77777777" w:rsidR="002C09AE" w:rsidRPr="00DB5657" w:rsidRDefault="002C09AE" w:rsidP="002C09AE">
      <w:pPr>
        <w:spacing w:line="276" w:lineRule="auto"/>
        <w:rPr>
          <w:sz w:val="24"/>
          <w:szCs w:val="24"/>
        </w:rPr>
      </w:pPr>
    </w:p>
    <w:p w14:paraId="14D8A2B4" w14:textId="77777777" w:rsidR="004F26E9" w:rsidRPr="00DB5657" w:rsidRDefault="00F67DF9">
      <w:pPr>
        <w:rPr>
          <w:sz w:val="24"/>
          <w:szCs w:val="24"/>
        </w:rPr>
      </w:pPr>
      <w:r w:rsidRPr="00DB5657">
        <w:rPr>
          <w:b/>
          <w:bCs/>
          <w:sz w:val="24"/>
          <w:szCs w:val="24"/>
        </w:rPr>
        <w:t>1</w:t>
      </w:r>
      <w:r w:rsidR="004F26E9" w:rsidRPr="00DB5657">
        <w:rPr>
          <w:b/>
          <w:bCs/>
          <w:sz w:val="24"/>
          <w:szCs w:val="24"/>
        </w:rPr>
        <w:t xml:space="preserve">1.  </w:t>
      </w:r>
      <w:r w:rsidR="004F26E9" w:rsidRPr="00DB5657">
        <w:rPr>
          <w:b/>
          <w:bCs/>
          <w:sz w:val="24"/>
          <w:szCs w:val="24"/>
          <w:u w:val="single"/>
        </w:rPr>
        <w:t>Provide additional justification for any questions of a sensitive nature, such as sexual behavior and attitudes, religious beliefs, and other matters that are commonly considered private</w:t>
      </w:r>
      <w:r w:rsidR="004F26E9" w:rsidRPr="00DB5657">
        <w:rPr>
          <w:b/>
          <w:bCs/>
          <w:sz w:val="24"/>
          <w:szCs w:val="24"/>
        </w:rPr>
        <w:t>.</w:t>
      </w:r>
    </w:p>
    <w:p w14:paraId="55E6A117" w14:textId="77777777" w:rsidR="004F26E9" w:rsidRPr="00DB5657" w:rsidRDefault="004F26E9">
      <w:pPr>
        <w:rPr>
          <w:sz w:val="24"/>
          <w:szCs w:val="24"/>
        </w:rPr>
      </w:pPr>
    </w:p>
    <w:p w14:paraId="0BBED70F" w14:textId="77777777" w:rsidR="004F26E9" w:rsidRPr="00DB5657" w:rsidRDefault="00237A4A" w:rsidP="00237A4A">
      <w:pPr>
        <w:widowControl/>
        <w:rPr>
          <w:sz w:val="24"/>
          <w:szCs w:val="24"/>
        </w:rPr>
      </w:pPr>
      <w:r w:rsidRPr="00DB5657">
        <w:rPr>
          <w:sz w:val="24"/>
          <w:szCs w:val="24"/>
        </w:rPr>
        <w:t>No questions will be asked of survey participants about sexual behavior and attitudes, religious beliefs, or other matters that are commonly considered private.</w:t>
      </w:r>
    </w:p>
    <w:p w14:paraId="334D1CE9" w14:textId="77777777" w:rsidR="00237A4A" w:rsidRPr="00DB5657" w:rsidRDefault="00237A4A" w:rsidP="00237A4A">
      <w:pPr>
        <w:rPr>
          <w:sz w:val="24"/>
          <w:szCs w:val="24"/>
        </w:rPr>
      </w:pPr>
    </w:p>
    <w:p w14:paraId="305AF4E8" w14:textId="77777777" w:rsidR="004F26E9" w:rsidRPr="00DB5657" w:rsidRDefault="004F26E9">
      <w:pPr>
        <w:rPr>
          <w:sz w:val="24"/>
          <w:szCs w:val="24"/>
        </w:rPr>
      </w:pPr>
      <w:r w:rsidRPr="00DB5657">
        <w:rPr>
          <w:b/>
          <w:bCs/>
          <w:sz w:val="24"/>
          <w:szCs w:val="24"/>
        </w:rPr>
        <w:t xml:space="preserve">12.  </w:t>
      </w:r>
      <w:r w:rsidRPr="00DB5657">
        <w:rPr>
          <w:b/>
          <w:bCs/>
          <w:sz w:val="24"/>
          <w:szCs w:val="24"/>
          <w:u w:val="single"/>
        </w:rPr>
        <w:t>Provide an estimate in hours of the burden of the collection of information</w:t>
      </w:r>
      <w:r w:rsidRPr="00DB5657">
        <w:rPr>
          <w:b/>
          <w:bCs/>
          <w:sz w:val="24"/>
          <w:szCs w:val="24"/>
        </w:rPr>
        <w:t>.</w:t>
      </w:r>
    </w:p>
    <w:p w14:paraId="2C722F17" w14:textId="77777777" w:rsidR="004F26E9" w:rsidRPr="00DB5657" w:rsidRDefault="004F26E9">
      <w:pPr>
        <w:rPr>
          <w:sz w:val="24"/>
          <w:szCs w:val="24"/>
        </w:rPr>
      </w:pPr>
    </w:p>
    <w:p w14:paraId="338551C9" w14:textId="77777777" w:rsidR="00FD7226" w:rsidRPr="00DB5657" w:rsidRDefault="00EE5F78">
      <w:pPr>
        <w:rPr>
          <w:sz w:val="24"/>
          <w:szCs w:val="24"/>
        </w:rPr>
      </w:pPr>
      <w:r w:rsidRPr="00DB5657">
        <w:rPr>
          <w:sz w:val="24"/>
          <w:szCs w:val="24"/>
        </w:rPr>
        <w:t xml:space="preserve">We estimate the annual burden of this data collection to be </w:t>
      </w:r>
      <w:r w:rsidR="0010235D">
        <w:rPr>
          <w:sz w:val="24"/>
          <w:szCs w:val="24"/>
        </w:rPr>
        <w:t>270</w:t>
      </w:r>
      <w:r w:rsidR="00F67DF9" w:rsidRPr="00DB5657">
        <w:rPr>
          <w:sz w:val="24"/>
          <w:szCs w:val="24"/>
        </w:rPr>
        <w:t xml:space="preserve"> </w:t>
      </w:r>
      <w:r w:rsidR="00BC67E1" w:rsidRPr="00DB5657">
        <w:rPr>
          <w:sz w:val="24"/>
          <w:szCs w:val="24"/>
        </w:rPr>
        <w:t>hours</w:t>
      </w:r>
      <w:r w:rsidR="000F28D0" w:rsidRPr="00DB5657">
        <w:rPr>
          <w:sz w:val="24"/>
          <w:szCs w:val="24"/>
        </w:rPr>
        <w:t xml:space="preserve">.  Burden estimates were calculated by multiplying the estimated time to complete each contact by the number of estimated contacts.  Specifically, we estimate that it will require </w:t>
      </w:r>
      <w:r w:rsidR="0042537C">
        <w:rPr>
          <w:sz w:val="24"/>
          <w:szCs w:val="24"/>
        </w:rPr>
        <w:t xml:space="preserve">three hours </w:t>
      </w:r>
      <w:r w:rsidR="00FB7CFF">
        <w:rPr>
          <w:sz w:val="24"/>
          <w:szCs w:val="24"/>
        </w:rPr>
        <w:t>to complete the survey, and w</w:t>
      </w:r>
      <w:r w:rsidR="000F28D0" w:rsidRPr="00DB5657">
        <w:rPr>
          <w:sz w:val="24"/>
          <w:szCs w:val="24"/>
        </w:rPr>
        <w:t xml:space="preserve">e expect </w:t>
      </w:r>
      <w:r w:rsidR="006351F6">
        <w:rPr>
          <w:sz w:val="24"/>
          <w:szCs w:val="24"/>
        </w:rPr>
        <w:t>90</w:t>
      </w:r>
      <w:r w:rsidR="00866B09" w:rsidRPr="00DB5657">
        <w:rPr>
          <w:sz w:val="24"/>
          <w:szCs w:val="24"/>
        </w:rPr>
        <w:t xml:space="preserve"> responses</w:t>
      </w:r>
      <w:r w:rsidR="00FB7CFF">
        <w:rPr>
          <w:sz w:val="24"/>
          <w:szCs w:val="24"/>
        </w:rPr>
        <w:t>.</w:t>
      </w:r>
      <w:r w:rsidR="00866B09" w:rsidRPr="00DB5657">
        <w:rPr>
          <w:sz w:val="24"/>
          <w:szCs w:val="24"/>
        </w:rPr>
        <w:t xml:space="preserve"> </w:t>
      </w:r>
    </w:p>
    <w:p w14:paraId="1C9F49FD" w14:textId="77777777" w:rsidR="00BB7436" w:rsidRPr="00DB5657" w:rsidRDefault="00BB7436">
      <w:pPr>
        <w:rPr>
          <w:sz w:val="24"/>
          <w:szCs w:val="24"/>
        </w:rPr>
      </w:pPr>
    </w:p>
    <w:p w14:paraId="25E62AB4" w14:textId="77777777" w:rsidR="000F28D0" w:rsidRPr="00DB5657" w:rsidRDefault="000F28D0" w:rsidP="000F28D0">
      <w:pPr>
        <w:rPr>
          <w:sz w:val="24"/>
          <w:szCs w:val="24"/>
        </w:rPr>
      </w:pPr>
      <w:r w:rsidRPr="00DB5657">
        <w:rPr>
          <w:sz w:val="24"/>
          <w:szCs w:val="24"/>
        </w:rPr>
        <w:t>We estimate an overall 55% response rate.  For more detail, see the response to B1.</w:t>
      </w:r>
    </w:p>
    <w:p w14:paraId="0A011349" w14:textId="77777777" w:rsidR="00DB4B3D" w:rsidRPr="00DB5657" w:rsidRDefault="00DB4B3D">
      <w:pPr>
        <w:rPr>
          <w:sz w:val="24"/>
          <w:szCs w:val="24"/>
        </w:rPr>
      </w:pPr>
      <w:r w:rsidRPr="00DB5657">
        <w:rPr>
          <w:sz w:val="24"/>
          <w:szCs w:val="24"/>
        </w:rPr>
        <w:t xml:space="preserve"> </w:t>
      </w:r>
    </w:p>
    <w:p w14:paraId="664D8D77" w14:textId="77777777" w:rsidR="004F26E9" w:rsidRPr="00DB5657" w:rsidRDefault="004F26E9">
      <w:pPr>
        <w:rPr>
          <w:sz w:val="24"/>
          <w:szCs w:val="24"/>
        </w:rPr>
      </w:pPr>
      <w:r w:rsidRPr="00DB5657">
        <w:rPr>
          <w:b/>
          <w:bCs/>
          <w:sz w:val="24"/>
          <w:szCs w:val="24"/>
        </w:rPr>
        <w:t xml:space="preserve">13.  </w:t>
      </w:r>
      <w:r w:rsidRPr="00DB5657">
        <w:rPr>
          <w:b/>
          <w:bCs/>
          <w:sz w:val="24"/>
          <w:szCs w:val="24"/>
          <w:u w:val="single"/>
        </w:rPr>
        <w:t xml:space="preserve">Provide an estimate of the total annual cost burden to the respondents or record-keepers resulting from the collection (excluding the value of the burden hours in </w:t>
      </w:r>
      <w:r w:rsidR="00725C5C" w:rsidRPr="00DB5657">
        <w:rPr>
          <w:b/>
          <w:bCs/>
          <w:sz w:val="24"/>
          <w:szCs w:val="24"/>
          <w:u w:val="single"/>
        </w:rPr>
        <w:t xml:space="preserve">Question </w:t>
      </w:r>
      <w:r w:rsidRPr="00DB5657">
        <w:rPr>
          <w:b/>
          <w:bCs/>
          <w:sz w:val="24"/>
          <w:szCs w:val="24"/>
          <w:u w:val="single"/>
        </w:rPr>
        <w:t>12 above)</w:t>
      </w:r>
      <w:r w:rsidRPr="00DB5657">
        <w:rPr>
          <w:b/>
          <w:bCs/>
          <w:sz w:val="24"/>
          <w:szCs w:val="24"/>
        </w:rPr>
        <w:t>.</w:t>
      </w:r>
    </w:p>
    <w:p w14:paraId="4839060A" w14:textId="77777777" w:rsidR="004F26E9" w:rsidRPr="00DB5657" w:rsidRDefault="004F26E9">
      <w:pPr>
        <w:rPr>
          <w:sz w:val="24"/>
          <w:szCs w:val="24"/>
        </w:rPr>
      </w:pPr>
    </w:p>
    <w:p w14:paraId="4EA9987B" w14:textId="77777777" w:rsidR="002C09AE" w:rsidRPr="00DB5657" w:rsidRDefault="00530A83" w:rsidP="002C09AE">
      <w:pPr>
        <w:spacing w:line="276" w:lineRule="auto"/>
        <w:rPr>
          <w:sz w:val="24"/>
          <w:szCs w:val="24"/>
        </w:rPr>
      </w:pPr>
      <w:r w:rsidRPr="00DB5657">
        <w:rPr>
          <w:sz w:val="24"/>
          <w:szCs w:val="24"/>
        </w:rPr>
        <w:t xml:space="preserve">There are no </w:t>
      </w:r>
      <w:r w:rsidR="002C09AE" w:rsidRPr="00DB5657">
        <w:rPr>
          <w:sz w:val="24"/>
          <w:szCs w:val="24"/>
        </w:rPr>
        <w:t>cost</w:t>
      </w:r>
      <w:r w:rsidRPr="00DB5657">
        <w:rPr>
          <w:sz w:val="24"/>
          <w:szCs w:val="24"/>
        </w:rPr>
        <w:t>s</w:t>
      </w:r>
      <w:r w:rsidR="002C09AE" w:rsidRPr="00DB5657">
        <w:rPr>
          <w:sz w:val="24"/>
          <w:szCs w:val="24"/>
        </w:rPr>
        <w:t xml:space="preserve"> </w:t>
      </w:r>
      <w:r w:rsidR="003D485B" w:rsidRPr="00DB5657">
        <w:rPr>
          <w:sz w:val="24"/>
          <w:szCs w:val="24"/>
        </w:rPr>
        <w:t>excluding the value of the burden hours in Question 12.</w:t>
      </w:r>
      <w:r w:rsidR="00BB338B" w:rsidRPr="00DB5657">
        <w:rPr>
          <w:sz w:val="24"/>
          <w:szCs w:val="24"/>
        </w:rPr>
        <w:t xml:space="preserve"> </w:t>
      </w:r>
    </w:p>
    <w:p w14:paraId="5B4B8145" w14:textId="77777777" w:rsidR="004F26E9" w:rsidRPr="00DB5657" w:rsidRDefault="00F67DF9">
      <w:pPr>
        <w:rPr>
          <w:sz w:val="24"/>
          <w:szCs w:val="24"/>
        </w:rPr>
      </w:pPr>
      <w:r w:rsidRPr="00DB5657">
        <w:rPr>
          <w:b/>
          <w:bCs/>
          <w:sz w:val="24"/>
          <w:szCs w:val="24"/>
        </w:rPr>
        <w:br/>
      </w:r>
      <w:r w:rsidR="004F26E9" w:rsidRPr="00DB5657">
        <w:rPr>
          <w:b/>
          <w:bCs/>
          <w:sz w:val="24"/>
          <w:szCs w:val="24"/>
        </w:rPr>
        <w:t xml:space="preserve">14.  </w:t>
      </w:r>
      <w:r w:rsidR="004F26E9" w:rsidRPr="00DB5657">
        <w:rPr>
          <w:b/>
          <w:bCs/>
          <w:sz w:val="24"/>
          <w:szCs w:val="24"/>
          <w:u w:val="single"/>
        </w:rPr>
        <w:t>Provide estimates of annualized cost to the Federal government</w:t>
      </w:r>
      <w:r w:rsidR="004F26E9" w:rsidRPr="00DB5657">
        <w:rPr>
          <w:b/>
          <w:bCs/>
          <w:sz w:val="24"/>
          <w:szCs w:val="24"/>
        </w:rPr>
        <w:t>.</w:t>
      </w:r>
    </w:p>
    <w:p w14:paraId="7AAB250E" w14:textId="77777777" w:rsidR="004F26E9" w:rsidRPr="00DB5657" w:rsidRDefault="004F26E9">
      <w:pPr>
        <w:rPr>
          <w:sz w:val="24"/>
          <w:szCs w:val="24"/>
        </w:rPr>
      </w:pPr>
    </w:p>
    <w:p w14:paraId="12B986FF" w14:textId="77777777" w:rsidR="007C7243" w:rsidRPr="00DB5657" w:rsidRDefault="002C09AE" w:rsidP="002C09AE">
      <w:pPr>
        <w:spacing w:line="276" w:lineRule="auto"/>
        <w:rPr>
          <w:sz w:val="24"/>
          <w:szCs w:val="24"/>
        </w:rPr>
      </w:pPr>
      <w:r w:rsidRPr="00DB5657">
        <w:rPr>
          <w:sz w:val="24"/>
          <w:szCs w:val="24"/>
        </w:rPr>
        <w:t xml:space="preserve">The survey is being administered by an outside contractor.  The costs to the federal government are limited to the cost of the contract, which </w:t>
      </w:r>
      <w:r w:rsidR="009B61DB" w:rsidRPr="00DB5657">
        <w:rPr>
          <w:sz w:val="24"/>
          <w:szCs w:val="24"/>
        </w:rPr>
        <w:t xml:space="preserve">is estimated to total </w:t>
      </w:r>
      <w:r w:rsidRPr="00DB5657">
        <w:rPr>
          <w:sz w:val="24"/>
          <w:szCs w:val="24"/>
        </w:rPr>
        <w:t>$</w:t>
      </w:r>
      <w:r w:rsidR="006351F6">
        <w:rPr>
          <w:sz w:val="24"/>
          <w:szCs w:val="24"/>
        </w:rPr>
        <w:t>7</w:t>
      </w:r>
      <w:r w:rsidR="00692BD0" w:rsidRPr="00DB5657">
        <w:rPr>
          <w:sz w:val="24"/>
          <w:szCs w:val="24"/>
        </w:rPr>
        <w:t>0,000</w:t>
      </w:r>
      <w:r w:rsidR="00D75FE9" w:rsidRPr="00DB5657">
        <w:rPr>
          <w:sz w:val="24"/>
          <w:szCs w:val="24"/>
        </w:rPr>
        <w:t xml:space="preserve">, plus an estimated </w:t>
      </w:r>
      <w:r w:rsidR="00E97B28" w:rsidRPr="00DB5657">
        <w:rPr>
          <w:sz w:val="24"/>
          <w:szCs w:val="24"/>
        </w:rPr>
        <w:t>6</w:t>
      </w:r>
      <w:r w:rsidR="00D44115" w:rsidRPr="00DB5657">
        <w:rPr>
          <w:sz w:val="24"/>
          <w:szCs w:val="24"/>
        </w:rPr>
        <w:t>0</w:t>
      </w:r>
      <w:r w:rsidR="00D75FE9" w:rsidRPr="00DB5657">
        <w:rPr>
          <w:sz w:val="24"/>
          <w:szCs w:val="24"/>
        </w:rPr>
        <w:t xml:space="preserve"> hours from </w:t>
      </w:r>
      <w:r w:rsidR="00E97B28" w:rsidRPr="00DB5657">
        <w:rPr>
          <w:sz w:val="24"/>
          <w:szCs w:val="24"/>
        </w:rPr>
        <w:t xml:space="preserve">one </w:t>
      </w:r>
      <w:r w:rsidR="00D75FE9" w:rsidRPr="00DB5657">
        <w:rPr>
          <w:sz w:val="24"/>
          <w:szCs w:val="24"/>
        </w:rPr>
        <w:t>NOAA economist</w:t>
      </w:r>
      <w:r w:rsidR="00A57624" w:rsidRPr="00DB5657">
        <w:rPr>
          <w:sz w:val="24"/>
          <w:szCs w:val="24"/>
        </w:rPr>
        <w:t>.</w:t>
      </w:r>
      <w:r w:rsidR="007C7243" w:rsidRPr="00DB5657">
        <w:rPr>
          <w:sz w:val="24"/>
          <w:szCs w:val="24"/>
        </w:rPr>
        <w:t xml:space="preserve"> Although the economist </w:t>
      </w:r>
      <w:r w:rsidR="00727038" w:rsidRPr="00DB5657">
        <w:rPr>
          <w:sz w:val="24"/>
          <w:szCs w:val="24"/>
        </w:rPr>
        <w:t>will be</w:t>
      </w:r>
      <w:r w:rsidR="007C7243" w:rsidRPr="00DB5657">
        <w:rPr>
          <w:sz w:val="24"/>
          <w:szCs w:val="24"/>
        </w:rPr>
        <w:t xml:space="preserve"> </w:t>
      </w:r>
      <w:r w:rsidR="00727038" w:rsidRPr="00DB5657">
        <w:rPr>
          <w:sz w:val="24"/>
          <w:szCs w:val="24"/>
        </w:rPr>
        <w:t>employed full time by the federal government with or without this project, th</w:t>
      </w:r>
      <w:r w:rsidR="001355DB" w:rsidRPr="00DB5657">
        <w:rPr>
          <w:sz w:val="24"/>
          <w:szCs w:val="24"/>
        </w:rPr>
        <w:t>ese hours</w:t>
      </w:r>
      <w:r w:rsidR="00727038" w:rsidRPr="00DB5657">
        <w:rPr>
          <w:sz w:val="24"/>
          <w:szCs w:val="24"/>
        </w:rPr>
        <w:t xml:space="preserve"> </w:t>
      </w:r>
      <w:r w:rsidR="001355DB" w:rsidRPr="00DB5657">
        <w:rPr>
          <w:sz w:val="24"/>
          <w:szCs w:val="24"/>
        </w:rPr>
        <w:t>w</w:t>
      </w:r>
      <w:r w:rsidR="00727038" w:rsidRPr="00DB5657">
        <w:rPr>
          <w:sz w:val="24"/>
          <w:szCs w:val="24"/>
        </w:rPr>
        <w:t>ould be diverted to other valuable tasks</w:t>
      </w:r>
      <w:r w:rsidR="001355DB" w:rsidRPr="00DB5657">
        <w:rPr>
          <w:sz w:val="24"/>
          <w:szCs w:val="24"/>
        </w:rPr>
        <w:t xml:space="preserve"> in the absence of this data collection</w:t>
      </w:r>
      <w:r w:rsidR="00727038" w:rsidRPr="00DB5657">
        <w:rPr>
          <w:sz w:val="24"/>
          <w:szCs w:val="24"/>
        </w:rPr>
        <w:t>.  We use hourly loaded wage rates</w:t>
      </w:r>
      <w:r w:rsidR="00E97B28" w:rsidRPr="00DB5657">
        <w:rPr>
          <w:sz w:val="24"/>
          <w:szCs w:val="24"/>
        </w:rPr>
        <w:t xml:space="preserve">, including salary and benefits, </w:t>
      </w:r>
      <w:r w:rsidR="00727038" w:rsidRPr="00DB5657">
        <w:rPr>
          <w:sz w:val="24"/>
          <w:szCs w:val="24"/>
        </w:rPr>
        <w:t>to estimate th</w:t>
      </w:r>
      <w:r w:rsidR="00E97B28" w:rsidRPr="00DB5657">
        <w:rPr>
          <w:sz w:val="24"/>
          <w:szCs w:val="24"/>
        </w:rPr>
        <w:t>is</w:t>
      </w:r>
      <w:r w:rsidR="00727038" w:rsidRPr="00DB5657">
        <w:rPr>
          <w:sz w:val="24"/>
          <w:szCs w:val="24"/>
        </w:rPr>
        <w:t xml:space="preserve"> </w:t>
      </w:r>
      <w:r w:rsidR="00E223B8" w:rsidRPr="00DB5657">
        <w:rPr>
          <w:sz w:val="24"/>
          <w:szCs w:val="24"/>
        </w:rPr>
        <w:t xml:space="preserve">opportunity </w:t>
      </w:r>
      <w:r w:rsidR="00727038" w:rsidRPr="00DB5657">
        <w:rPr>
          <w:sz w:val="24"/>
          <w:szCs w:val="24"/>
        </w:rPr>
        <w:t>cost</w:t>
      </w:r>
      <w:r w:rsidR="00D44115" w:rsidRPr="00DB5657">
        <w:rPr>
          <w:sz w:val="24"/>
          <w:szCs w:val="24"/>
        </w:rPr>
        <w:t xml:space="preserve">, </w:t>
      </w:r>
      <w:r w:rsidR="007C7243" w:rsidRPr="00DB5657">
        <w:rPr>
          <w:sz w:val="24"/>
          <w:szCs w:val="24"/>
        </w:rPr>
        <w:t>these hours amount to $</w:t>
      </w:r>
      <w:r w:rsidR="00D44115" w:rsidRPr="00DB5657">
        <w:rPr>
          <w:sz w:val="24"/>
          <w:szCs w:val="24"/>
        </w:rPr>
        <w:t>5</w:t>
      </w:r>
      <w:r w:rsidR="00B55B23" w:rsidRPr="00DB5657">
        <w:rPr>
          <w:sz w:val="24"/>
          <w:szCs w:val="24"/>
        </w:rPr>
        <w:t>,</w:t>
      </w:r>
      <w:r w:rsidR="00D44115" w:rsidRPr="00DB5657">
        <w:rPr>
          <w:sz w:val="24"/>
          <w:szCs w:val="24"/>
        </w:rPr>
        <w:t>292</w:t>
      </w:r>
      <w:r w:rsidR="00B55B23" w:rsidRPr="00DB5657">
        <w:rPr>
          <w:sz w:val="24"/>
          <w:szCs w:val="24"/>
        </w:rPr>
        <w:t xml:space="preserve"> related to this data collection</w:t>
      </w:r>
      <w:r w:rsidR="007C7243" w:rsidRPr="00DB5657">
        <w:rPr>
          <w:sz w:val="24"/>
          <w:szCs w:val="24"/>
        </w:rPr>
        <w:t xml:space="preserve">.  </w:t>
      </w:r>
    </w:p>
    <w:p w14:paraId="727C9051" w14:textId="77777777" w:rsidR="007C7243" w:rsidRPr="00DB5657" w:rsidRDefault="007C7243" w:rsidP="002C09AE">
      <w:pPr>
        <w:spacing w:line="276" w:lineRule="auto"/>
        <w:rPr>
          <w:sz w:val="24"/>
          <w:szCs w:val="24"/>
        </w:rPr>
      </w:pPr>
    </w:p>
    <w:p w14:paraId="2FB96FA9" w14:textId="77777777" w:rsidR="007C7243" w:rsidRPr="00DB5657" w:rsidRDefault="00E223B8" w:rsidP="002C09AE">
      <w:pPr>
        <w:spacing w:line="276" w:lineRule="auto"/>
        <w:rPr>
          <w:sz w:val="24"/>
          <w:szCs w:val="24"/>
        </w:rPr>
      </w:pPr>
      <w:r w:rsidRPr="00DB5657">
        <w:rPr>
          <w:sz w:val="24"/>
          <w:szCs w:val="24"/>
        </w:rPr>
        <w:t>Therefore, t</w:t>
      </w:r>
      <w:r w:rsidR="007C7243" w:rsidRPr="00DB5657">
        <w:rPr>
          <w:sz w:val="24"/>
          <w:szCs w:val="24"/>
        </w:rPr>
        <w:t xml:space="preserve">he total </w:t>
      </w:r>
      <w:r w:rsidRPr="00DB5657">
        <w:rPr>
          <w:sz w:val="24"/>
          <w:szCs w:val="24"/>
        </w:rPr>
        <w:t xml:space="preserve">estimated </w:t>
      </w:r>
      <w:r w:rsidR="007C7243" w:rsidRPr="00DB5657">
        <w:rPr>
          <w:sz w:val="24"/>
          <w:szCs w:val="24"/>
        </w:rPr>
        <w:t>annual costs incurred by the federal government as a result of implementing this survey are $</w:t>
      </w:r>
      <w:r w:rsidR="001D63A9">
        <w:rPr>
          <w:sz w:val="24"/>
          <w:szCs w:val="24"/>
        </w:rPr>
        <w:t>7</w:t>
      </w:r>
      <w:r w:rsidR="00D44115" w:rsidRPr="00DB5657">
        <w:rPr>
          <w:sz w:val="24"/>
          <w:szCs w:val="24"/>
        </w:rPr>
        <w:t>5</w:t>
      </w:r>
      <w:r w:rsidR="007C7243" w:rsidRPr="00DB5657">
        <w:rPr>
          <w:sz w:val="24"/>
          <w:szCs w:val="24"/>
        </w:rPr>
        <w:t>,</w:t>
      </w:r>
      <w:r w:rsidR="00D44115" w:rsidRPr="00DB5657">
        <w:rPr>
          <w:sz w:val="24"/>
          <w:szCs w:val="24"/>
        </w:rPr>
        <w:t>292</w:t>
      </w:r>
      <w:r w:rsidR="007C7243" w:rsidRPr="00DB5657">
        <w:rPr>
          <w:sz w:val="24"/>
          <w:szCs w:val="24"/>
        </w:rPr>
        <w:t xml:space="preserve">.  </w:t>
      </w:r>
    </w:p>
    <w:p w14:paraId="77FD6029" w14:textId="77777777" w:rsidR="007C7243" w:rsidRPr="00DB5657" w:rsidRDefault="007C7243" w:rsidP="002C09AE">
      <w:pPr>
        <w:spacing w:line="276" w:lineRule="auto"/>
        <w:rPr>
          <w:sz w:val="24"/>
          <w:szCs w:val="24"/>
        </w:rPr>
      </w:pPr>
    </w:p>
    <w:p w14:paraId="4E5F06D2" w14:textId="77777777" w:rsidR="004F26E9" w:rsidRPr="00DB5657" w:rsidRDefault="004F26E9">
      <w:pPr>
        <w:rPr>
          <w:sz w:val="24"/>
          <w:szCs w:val="24"/>
        </w:rPr>
      </w:pPr>
      <w:r w:rsidRPr="00DB5657">
        <w:rPr>
          <w:b/>
          <w:bCs/>
          <w:sz w:val="24"/>
          <w:szCs w:val="24"/>
        </w:rPr>
        <w:t xml:space="preserve">15.  </w:t>
      </w:r>
      <w:r w:rsidRPr="00DB5657">
        <w:rPr>
          <w:b/>
          <w:bCs/>
          <w:sz w:val="24"/>
          <w:szCs w:val="24"/>
          <w:u w:val="single"/>
        </w:rPr>
        <w:t>Explain the reasons for any program changes or adjustments</w:t>
      </w:r>
      <w:r w:rsidRPr="00DB5657">
        <w:rPr>
          <w:b/>
          <w:bCs/>
          <w:sz w:val="24"/>
          <w:szCs w:val="24"/>
        </w:rPr>
        <w:t>.</w:t>
      </w:r>
    </w:p>
    <w:p w14:paraId="2E957EEE" w14:textId="77777777" w:rsidR="004F26E9" w:rsidRPr="00DB5657" w:rsidRDefault="004F26E9">
      <w:pPr>
        <w:rPr>
          <w:sz w:val="24"/>
          <w:szCs w:val="24"/>
        </w:rPr>
      </w:pPr>
    </w:p>
    <w:p w14:paraId="383345BB" w14:textId="77777777" w:rsidR="002C09AE" w:rsidRPr="00DB5657" w:rsidRDefault="002C09AE" w:rsidP="002C09AE">
      <w:pPr>
        <w:spacing w:line="276" w:lineRule="auto"/>
        <w:rPr>
          <w:sz w:val="24"/>
          <w:szCs w:val="24"/>
        </w:rPr>
      </w:pPr>
      <w:r w:rsidRPr="00DB5657">
        <w:rPr>
          <w:sz w:val="24"/>
          <w:szCs w:val="24"/>
        </w:rPr>
        <w:t>This is a new program.</w:t>
      </w:r>
    </w:p>
    <w:p w14:paraId="2206E589" w14:textId="77777777" w:rsidR="004F26E9" w:rsidRPr="00DB5657" w:rsidRDefault="004F26E9">
      <w:pPr>
        <w:rPr>
          <w:sz w:val="24"/>
          <w:szCs w:val="24"/>
        </w:rPr>
      </w:pPr>
    </w:p>
    <w:p w14:paraId="7DA080FF" w14:textId="77777777" w:rsidR="004F26E9" w:rsidRPr="00DB5657" w:rsidRDefault="004F26E9">
      <w:pPr>
        <w:rPr>
          <w:sz w:val="24"/>
          <w:szCs w:val="24"/>
        </w:rPr>
      </w:pPr>
      <w:r w:rsidRPr="00DB5657">
        <w:rPr>
          <w:b/>
          <w:bCs/>
          <w:sz w:val="24"/>
          <w:szCs w:val="24"/>
        </w:rPr>
        <w:t xml:space="preserve">16.  </w:t>
      </w:r>
      <w:r w:rsidRPr="00DB5657">
        <w:rPr>
          <w:b/>
          <w:bCs/>
          <w:sz w:val="24"/>
          <w:szCs w:val="24"/>
          <w:u w:val="single"/>
        </w:rPr>
        <w:t>For collections whose results will be published, outline the plans for tabulation and publication</w:t>
      </w:r>
      <w:r w:rsidRPr="00DB5657">
        <w:rPr>
          <w:b/>
          <w:bCs/>
          <w:sz w:val="24"/>
          <w:szCs w:val="24"/>
        </w:rPr>
        <w:t>.</w:t>
      </w:r>
    </w:p>
    <w:p w14:paraId="1181BABD" w14:textId="77777777" w:rsidR="004F26E9" w:rsidRPr="00DB5657" w:rsidRDefault="004F26E9">
      <w:pPr>
        <w:rPr>
          <w:sz w:val="24"/>
          <w:szCs w:val="24"/>
        </w:rPr>
      </w:pPr>
    </w:p>
    <w:p w14:paraId="38E5A121" w14:textId="77777777" w:rsidR="004F26E9" w:rsidRPr="00DB5657" w:rsidRDefault="00D44115">
      <w:pPr>
        <w:rPr>
          <w:sz w:val="24"/>
          <w:szCs w:val="24"/>
        </w:rPr>
      </w:pPr>
      <w:r w:rsidRPr="00DB5657">
        <w:rPr>
          <w:sz w:val="24"/>
          <w:szCs w:val="24"/>
        </w:rPr>
        <w:t>The most significant result of this collection will be providing needed data for use in other economic models as described in question 1 above.  However, it is anticipated that t</w:t>
      </w:r>
      <w:r w:rsidR="00CA4617" w:rsidRPr="00DB5657">
        <w:rPr>
          <w:sz w:val="24"/>
          <w:szCs w:val="24"/>
        </w:rPr>
        <w:t>he methodology and results of the data collection will be published in a NOAA technical memorandum.</w:t>
      </w:r>
      <w:r w:rsidR="00C721E9" w:rsidRPr="00DB5657">
        <w:rPr>
          <w:sz w:val="24"/>
          <w:szCs w:val="24"/>
        </w:rPr>
        <w:t xml:space="preserve">  Tabulations of responses will be aggregated in order to maintain sufficient confidentiality, as described in the answer to </w:t>
      </w:r>
      <w:r w:rsidR="00EE5F78" w:rsidRPr="00DB5657">
        <w:rPr>
          <w:sz w:val="24"/>
          <w:szCs w:val="24"/>
        </w:rPr>
        <w:t xml:space="preserve">question </w:t>
      </w:r>
      <w:r w:rsidR="00C721E9" w:rsidRPr="00DB5657">
        <w:rPr>
          <w:sz w:val="24"/>
          <w:szCs w:val="24"/>
        </w:rPr>
        <w:t>10, above.</w:t>
      </w:r>
      <w:r w:rsidR="00CA4617" w:rsidRPr="00DB5657">
        <w:rPr>
          <w:sz w:val="24"/>
          <w:szCs w:val="24"/>
        </w:rPr>
        <w:t xml:space="preserve"> </w:t>
      </w:r>
    </w:p>
    <w:p w14:paraId="5C6338DE" w14:textId="77777777" w:rsidR="002E1466" w:rsidRPr="00DB5657" w:rsidRDefault="00D44115">
      <w:pPr>
        <w:rPr>
          <w:sz w:val="24"/>
          <w:szCs w:val="24"/>
        </w:rPr>
      </w:pPr>
      <w:r w:rsidRPr="00DB5657">
        <w:rPr>
          <w:sz w:val="24"/>
          <w:szCs w:val="24"/>
        </w:rPr>
        <w:t xml:space="preserve">  </w:t>
      </w:r>
    </w:p>
    <w:p w14:paraId="65897A3B" w14:textId="77777777" w:rsidR="004F26E9" w:rsidRPr="00DB5657" w:rsidRDefault="004F26E9">
      <w:pPr>
        <w:rPr>
          <w:sz w:val="24"/>
          <w:szCs w:val="24"/>
        </w:rPr>
      </w:pPr>
      <w:r w:rsidRPr="00DB5657">
        <w:rPr>
          <w:b/>
          <w:bCs/>
          <w:sz w:val="24"/>
          <w:szCs w:val="24"/>
        </w:rPr>
        <w:t xml:space="preserve">17.  </w:t>
      </w:r>
      <w:r w:rsidRPr="00DB5657">
        <w:rPr>
          <w:b/>
          <w:bCs/>
          <w:sz w:val="24"/>
          <w:szCs w:val="24"/>
          <w:u w:val="single"/>
        </w:rPr>
        <w:t>If seeking approval to not display the expiration date for OMB approval of the information collection, explain the reasons why display would be inappropriate</w:t>
      </w:r>
      <w:r w:rsidRPr="00DB5657">
        <w:rPr>
          <w:b/>
          <w:bCs/>
          <w:sz w:val="24"/>
          <w:szCs w:val="24"/>
        </w:rPr>
        <w:t>.</w:t>
      </w:r>
    </w:p>
    <w:p w14:paraId="6623249D" w14:textId="77777777" w:rsidR="004F26E9" w:rsidRPr="00DB5657" w:rsidRDefault="004F26E9">
      <w:pPr>
        <w:rPr>
          <w:sz w:val="24"/>
          <w:szCs w:val="24"/>
        </w:rPr>
      </w:pPr>
    </w:p>
    <w:p w14:paraId="6D408C8D" w14:textId="77777777" w:rsidR="002C09AE" w:rsidRPr="00DB5657" w:rsidRDefault="006C25C0" w:rsidP="002C09AE">
      <w:pPr>
        <w:spacing w:line="276" w:lineRule="auto"/>
        <w:rPr>
          <w:sz w:val="24"/>
          <w:szCs w:val="24"/>
        </w:rPr>
      </w:pPr>
      <w:r w:rsidRPr="00DB5657">
        <w:rPr>
          <w:sz w:val="24"/>
          <w:szCs w:val="24"/>
        </w:rPr>
        <w:t>This is n</w:t>
      </w:r>
      <w:r w:rsidR="002C09AE" w:rsidRPr="00DB5657">
        <w:rPr>
          <w:sz w:val="24"/>
          <w:szCs w:val="24"/>
        </w:rPr>
        <w:t>ot applicable, as we are not seeking such an approval.</w:t>
      </w:r>
    </w:p>
    <w:p w14:paraId="605CDE2E" w14:textId="77777777" w:rsidR="004F26E9" w:rsidRPr="00DB5657" w:rsidRDefault="004F26E9">
      <w:pPr>
        <w:rPr>
          <w:sz w:val="24"/>
          <w:szCs w:val="24"/>
        </w:rPr>
      </w:pPr>
    </w:p>
    <w:p w14:paraId="65C46659" w14:textId="77777777" w:rsidR="004F26E9" w:rsidRPr="00DB5657" w:rsidRDefault="004F26E9">
      <w:pPr>
        <w:rPr>
          <w:b/>
          <w:bCs/>
          <w:sz w:val="24"/>
          <w:szCs w:val="24"/>
        </w:rPr>
      </w:pPr>
      <w:r w:rsidRPr="00DB5657">
        <w:rPr>
          <w:b/>
          <w:bCs/>
          <w:sz w:val="24"/>
          <w:szCs w:val="24"/>
        </w:rPr>
        <w:t xml:space="preserve">18.  </w:t>
      </w:r>
      <w:r w:rsidRPr="00DB5657">
        <w:rPr>
          <w:b/>
          <w:bCs/>
          <w:sz w:val="24"/>
          <w:szCs w:val="24"/>
          <w:u w:val="single"/>
        </w:rPr>
        <w:t>Explain each</w:t>
      </w:r>
      <w:r w:rsidR="00A52249" w:rsidRPr="00DB5657">
        <w:rPr>
          <w:b/>
          <w:bCs/>
          <w:sz w:val="24"/>
          <w:szCs w:val="24"/>
          <w:u w:val="single"/>
        </w:rPr>
        <w:t xml:space="preserve"> exception to the certification </w:t>
      </w:r>
      <w:r w:rsidRPr="00DB5657">
        <w:rPr>
          <w:b/>
          <w:bCs/>
          <w:sz w:val="24"/>
          <w:szCs w:val="24"/>
          <w:u w:val="single"/>
        </w:rPr>
        <w:t>statement</w:t>
      </w:r>
      <w:r w:rsidRPr="00DB5657">
        <w:rPr>
          <w:b/>
          <w:bCs/>
          <w:sz w:val="24"/>
          <w:szCs w:val="24"/>
        </w:rPr>
        <w:t>.</w:t>
      </w:r>
    </w:p>
    <w:p w14:paraId="3A9743CB" w14:textId="77777777" w:rsidR="00323D5E" w:rsidRPr="00DB5657" w:rsidRDefault="00323D5E" w:rsidP="002C09AE">
      <w:pPr>
        <w:spacing w:line="276" w:lineRule="auto"/>
        <w:rPr>
          <w:sz w:val="24"/>
          <w:szCs w:val="24"/>
        </w:rPr>
      </w:pPr>
    </w:p>
    <w:p w14:paraId="0CEFDF39" w14:textId="03BBB10B" w:rsidR="004F26E9" w:rsidRPr="00DB5657" w:rsidRDefault="006C25C0" w:rsidP="00BE2973">
      <w:pPr>
        <w:spacing w:line="276" w:lineRule="auto"/>
        <w:rPr>
          <w:sz w:val="24"/>
          <w:szCs w:val="24"/>
        </w:rPr>
      </w:pPr>
      <w:r w:rsidRPr="00DB5657">
        <w:rPr>
          <w:sz w:val="24"/>
          <w:szCs w:val="24"/>
        </w:rPr>
        <w:t>This is n</w:t>
      </w:r>
      <w:r w:rsidR="002C09AE" w:rsidRPr="00DB5657">
        <w:rPr>
          <w:sz w:val="24"/>
          <w:szCs w:val="24"/>
        </w:rPr>
        <w:t>ot applicable, as we are not seeking such an exception.</w:t>
      </w:r>
      <w:r w:rsidR="00BE2973">
        <w:rPr>
          <w:sz w:val="24"/>
          <w:szCs w:val="24"/>
        </w:rPr>
        <w:t xml:space="preserve">     </w:t>
      </w:r>
    </w:p>
    <w:p w14:paraId="695351AA" w14:textId="77777777" w:rsidR="004F26E9" w:rsidRPr="00DB5657" w:rsidRDefault="004F26E9">
      <w:pPr>
        <w:rPr>
          <w:sz w:val="24"/>
          <w:szCs w:val="24"/>
        </w:rPr>
      </w:pPr>
    </w:p>
    <w:sectPr w:rsidR="004F26E9" w:rsidRPr="00DB5657" w:rsidSect="00DB5657">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7B333" w14:textId="77777777" w:rsidR="00B26A83" w:rsidRDefault="00B26A83">
      <w:r>
        <w:separator/>
      </w:r>
    </w:p>
  </w:endnote>
  <w:endnote w:type="continuationSeparator" w:id="0">
    <w:p w14:paraId="4C096ECA" w14:textId="77777777" w:rsidR="00B26A83" w:rsidRDefault="00B2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AE20E" w14:textId="77777777" w:rsidR="00634631" w:rsidRDefault="006346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C6247" w14:textId="17A2BC07" w:rsidR="00B2297D" w:rsidRDefault="00B2297D">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42961">
      <w:rPr>
        <w:rStyle w:val="PageNumber"/>
        <w:noProof/>
        <w:sz w:val="24"/>
        <w:szCs w:val="24"/>
      </w:rPr>
      <w:t>1</w:t>
    </w:r>
    <w:r>
      <w:rPr>
        <w:rStyle w:val="PageNumber"/>
        <w:sz w:val="24"/>
        <w:szCs w:val="24"/>
      </w:rPr>
      <w:fldChar w:fldCharType="end"/>
    </w:r>
  </w:p>
  <w:p w14:paraId="4082F58A" w14:textId="77777777" w:rsidR="00B2297D" w:rsidRDefault="00B22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5C16E" w14:textId="77777777" w:rsidR="00634631" w:rsidRDefault="00634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78C9C" w14:textId="77777777" w:rsidR="00B26A83" w:rsidRDefault="00B26A83">
      <w:r>
        <w:separator/>
      </w:r>
    </w:p>
  </w:footnote>
  <w:footnote w:type="continuationSeparator" w:id="0">
    <w:p w14:paraId="01095343" w14:textId="77777777" w:rsidR="00B26A83" w:rsidRDefault="00B26A83">
      <w:r>
        <w:continuationSeparator/>
      </w:r>
    </w:p>
  </w:footnote>
  <w:footnote w:id="1">
    <w:p w14:paraId="3916B5A8" w14:textId="77777777" w:rsidR="000131E2" w:rsidRDefault="000131E2">
      <w:pPr>
        <w:pStyle w:val="FootnoteText"/>
      </w:pPr>
      <w:r>
        <w:rPr>
          <w:rStyle w:val="FootnoteReference"/>
        </w:rPr>
        <w:footnoteRef/>
      </w:r>
      <w:r>
        <w:t xml:space="preserve"> </w:t>
      </w:r>
      <w:r w:rsidRPr="000131E2">
        <w:t>Vessels landing fish with a limited entry permit having a trawl endorsement are subject to a mandatory data collection program approved in OMB 0648-0618.</w:t>
      </w:r>
    </w:p>
  </w:footnote>
  <w:footnote w:id="2">
    <w:p w14:paraId="3743BECE" w14:textId="77777777" w:rsidR="001F39CC" w:rsidRDefault="001F39CC" w:rsidP="001F39CC">
      <w:pPr>
        <w:pStyle w:val="FootnoteText"/>
      </w:pPr>
      <w:r>
        <w:rPr>
          <w:rStyle w:val="FootnoteReference"/>
        </w:rPr>
        <w:footnoteRef/>
      </w:r>
      <w:r>
        <w:t xml:space="preserve"> </w:t>
      </w:r>
      <w:r w:rsidRPr="000131E2">
        <w:t>Sablefish is a major source of revenue for participants in both the groundfish trawl fishery and the limited entry fixed gear fishery. With the implementation of catch share management in the groundfish trawl fishery during 2011, participants in that fishery can use trawl quota to harvest sablefish with fixed gear. As a result, there is reason to be concerned about the impact of the catch shares management regim</w:t>
      </w:r>
      <w:r>
        <w:t>e in the groundfish trawl fishe</w:t>
      </w:r>
      <w:r w:rsidRPr="000131E2">
        <w:t>ry on participants in the limited entry fixed gear fishery.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9A117" w14:textId="77777777" w:rsidR="00634631" w:rsidRDefault="006346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6E3D7" w14:textId="77777777" w:rsidR="00634631" w:rsidRDefault="006346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D9F26" w14:textId="77777777" w:rsidR="00634631" w:rsidRDefault="006346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55654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DF477BA"/>
    <w:multiLevelType w:val="hybridMultilevel"/>
    <w:tmpl w:val="C4D01990"/>
    <w:lvl w:ilvl="0" w:tplc="215E67F4">
      <w:start w:val="1"/>
      <w:numFmt w:val="decimal"/>
      <w:lvlText w:val="%1."/>
      <w:lvlJc w:val="left"/>
      <w:pPr>
        <w:ind w:left="220" w:hanging="240"/>
      </w:pPr>
      <w:rPr>
        <w:rFonts w:ascii="Times New Roman" w:eastAsia="Times New Roman" w:hAnsi="Times New Roman" w:cs="Times New Roman" w:hint="default"/>
        <w:b/>
        <w:bCs/>
        <w:spacing w:val="-4"/>
        <w:w w:val="99"/>
        <w:sz w:val="24"/>
        <w:szCs w:val="24"/>
      </w:rPr>
    </w:lvl>
    <w:lvl w:ilvl="1" w:tplc="7A36DEB2">
      <w:start w:val="1"/>
      <w:numFmt w:val="decimal"/>
      <w:lvlText w:val="%2)"/>
      <w:lvlJc w:val="left"/>
      <w:pPr>
        <w:ind w:left="940" w:hanging="260"/>
      </w:pPr>
      <w:rPr>
        <w:rFonts w:ascii="Times New Roman" w:eastAsia="Times New Roman" w:hAnsi="Times New Roman" w:cs="Times New Roman" w:hint="default"/>
        <w:w w:val="99"/>
        <w:sz w:val="24"/>
        <w:szCs w:val="24"/>
      </w:rPr>
    </w:lvl>
    <w:lvl w:ilvl="2" w:tplc="FAF40F56">
      <w:numFmt w:val="bullet"/>
      <w:lvlText w:val="•"/>
      <w:lvlJc w:val="left"/>
      <w:pPr>
        <w:ind w:left="2031" w:hanging="260"/>
      </w:pPr>
      <w:rPr>
        <w:rFonts w:hint="default"/>
      </w:rPr>
    </w:lvl>
    <w:lvl w:ilvl="3" w:tplc="999208B6">
      <w:numFmt w:val="bullet"/>
      <w:lvlText w:val="•"/>
      <w:lvlJc w:val="left"/>
      <w:pPr>
        <w:ind w:left="3122" w:hanging="260"/>
      </w:pPr>
      <w:rPr>
        <w:rFonts w:hint="default"/>
      </w:rPr>
    </w:lvl>
    <w:lvl w:ilvl="4" w:tplc="84763490">
      <w:numFmt w:val="bullet"/>
      <w:lvlText w:val="•"/>
      <w:lvlJc w:val="left"/>
      <w:pPr>
        <w:ind w:left="4213" w:hanging="260"/>
      </w:pPr>
      <w:rPr>
        <w:rFonts w:hint="default"/>
      </w:rPr>
    </w:lvl>
    <w:lvl w:ilvl="5" w:tplc="0450CC7A">
      <w:numFmt w:val="bullet"/>
      <w:lvlText w:val="•"/>
      <w:lvlJc w:val="left"/>
      <w:pPr>
        <w:ind w:left="5304" w:hanging="260"/>
      </w:pPr>
      <w:rPr>
        <w:rFonts w:hint="default"/>
      </w:rPr>
    </w:lvl>
    <w:lvl w:ilvl="6" w:tplc="E3ACF8CA">
      <w:numFmt w:val="bullet"/>
      <w:lvlText w:val="•"/>
      <w:lvlJc w:val="left"/>
      <w:pPr>
        <w:ind w:left="6395" w:hanging="260"/>
      </w:pPr>
      <w:rPr>
        <w:rFonts w:hint="default"/>
      </w:rPr>
    </w:lvl>
    <w:lvl w:ilvl="7" w:tplc="E20C72D0">
      <w:numFmt w:val="bullet"/>
      <w:lvlText w:val="•"/>
      <w:lvlJc w:val="left"/>
      <w:pPr>
        <w:ind w:left="7486" w:hanging="260"/>
      </w:pPr>
      <w:rPr>
        <w:rFonts w:hint="default"/>
      </w:rPr>
    </w:lvl>
    <w:lvl w:ilvl="8" w:tplc="1D1C32D8">
      <w:numFmt w:val="bullet"/>
      <w:lvlText w:val="•"/>
      <w:lvlJc w:val="left"/>
      <w:pPr>
        <w:ind w:left="8577" w:hanging="260"/>
      </w:pPr>
      <w:rPr>
        <w:rFonts w:hint="default"/>
      </w:rPr>
    </w:lvl>
  </w:abstractNum>
  <w:abstractNum w:abstractNumId="2">
    <w:nsid w:val="7EA00546"/>
    <w:multiLevelType w:val="hybridMultilevel"/>
    <w:tmpl w:val="07AEF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6AEB"/>
    <w:rsid w:val="000131E2"/>
    <w:rsid w:val="00024A03"/>
    <w:rsid w:val="00032D11"/>
    <w:rsid w:val="00035A68"/>
    <w:rsid w:val="00054AEB"/>
    <w:rsid w:val="00055DFC"/>
    <w:rsid w:val="00060979"/>
    <w:rsid w:val="00067951"/>
    <w:rsid w:val="00081830"/>
    <w:rsid w:val="000A0EDD"/>
    <w:rsid w:val="000B4383"/>
    <w:rsid w:val="000B4A7C"/>
    <w:rsid w:val="000B5636"/>
    <w:rsid w:val="000B63E1"/>
    <w:rsid w:val="000C7ECD"/>
    <w:rsid w:val="000E291F"/>
    <w:rsid w:val="000E5F09"/>
    <w:rsid w:val="000F2030"/>
    <w:rsid w:val="000F28D0"/>
    <w:rsid w:val="000F3040"/>
    <w:rsid w:val="000F319B"/>
    <w:rsid w:val="0010235D"/>
    <w:rsid w:val="00102DAB"/>
    <w:rsid w:val="00107F5D"/>
    <w:rsid w:val="00113262"/>
    <w:rsid w:val="00114B64"/>
    <w:rsid w:val="001203E9"/>
    <w:rsid w:val="00125371"/>
    <w:rsid w:val="00131DA0"/>
    <w:rsid w:val="001355DB"/>
    <w:rsid w:val="00147301"/>
    <w:rsid w:val="00150B84"/>
    <w:rsid w:val="00154F44"/>
    <w:rsid w:val="001630F1"/>
    <w:rsid w:val="00164425"/>
    <w:rsid w:val="001733C4"/>
    <w:rsid w:val="00174410"/>
    <w:rsid w:val="001856C7"/>
    <w:rsid w:val="00187099"/>
    <w:rsid w:val="0019657C"/>
    <w:rsid w:val="001A169C"/>
    <w:rsid w:val="001A1C31"/>
    <w:rsid w:val="001A678D"/>
    <w:rsid w:val="001A68BE"/>
    <w:rsid w:val="001B79C3"/>
    <w:rsid w:val="001C00CB"/>
    <w:rsid w:val="001C171D"/>
    <w:rsid w:val="001D036D"/>
    <w:rsid w:val="001D63A9"/>
    <w:rsid w:val="001E0ED6"/>
    <w:rsid w:val="001E5099"/>
    <w:rsid w:val="001E6F72"/>
    <w:rsid w:val="001F0AE8"/>
    <w:rsid w:val="001F33D6"/>
    <w:rsid w:val="001F39CC"/>
    <w:rsid w:val="00203922"/>
    <w:rsid w:val="002160B2"/>
    <w:rsid w:val="00225899"/>
    <w:rsid w:val="00237A4A"/>
    <w:rsid w:val="002477B9"/>
    <w:rsid w:val="0025140C"/>
    <w:rsid w:val="00264B30"/>
    <w:rsid w:val="002707D1"/>
    <w:rsid w:val="002811A7"/>
    <w:rsid w:val="00284459"/>
    <w:rsid w:val="002A1762"/>
    <w:rsid w:val="002B0435"/>
    <w:rsid w:val="002B3644"/>
    <w:rsid w:val="002B49FA"/>
    <w:rsid w:val="002B5362"/>
    <w:rsid w:val="002B6698"/>
    <w:rsid w:val="002B670A"/>
    <w:rsid w:val="002C016B"/>
    <w:rsid w:val="002C09AE"/>
    <w:rsid w:val="002C0A97"/>
    <w:rsid w:val="002C29CC"/>
    <w:rsid w:val="002C3B46"/>
    <w:rsid w:val="002D63FF"/>
    <w:rsid w:val="002E1466"/>
    <w:rsid w:val="002E3EBF"/>
    <w:rsid w:val="002E6140"/>
    <w:rsid w:val="002F4A61"/>
    <w:rsid w:val="00301257"/>
    <w:rsid w:val="00301840"/>
    <w:rsid w:val="0030218D"/>
    <w:rsid w:val="00313E04"/>
    <w:rsid w:val="003156CC"/>
    <w:rsid w:val="00323D5E"/>
    <w:rsid w:val="00326B8A"/>
    <w:rsid w:val="003350EA"/>
    <w:rsid w:val="003377B5"/>
    <w:rsid w:val="00345EB3"/>
    <w:rsid w:val="00346520"/>
    <w:rsid w:val="00347EE2"/>
    <w:rsid w:val="00354631"/>
    <w:rsid w:val="003549B3"/>
    <w:rsid w:val="00356270"/>
    <w:rsid w:val="00356A16"/>
    <w:rsid w:val="00373720"/>
    <w:rsid w:val="003B3727"/>
    <w:rsid w:val="003D485B"/>
    <w:rsid w:val="003E19BC"/>
    <w:rsid w:val="003E72C2"/>
    <w:rsid w:val="00400C1E"/>
    <w:rsid w:val="00402976"/>
    <w:rsid w:val="0040583C"/>
    <w:rsid w:val="00405C15"/>
    <w:rsid w:val="00407D23"/>
    <w:rsid w:val="0042537C"/>
    <w:rsid w:val="004272E9"/>
    <w:rsid w:val="00454A26"/>
    <w:rsid w:val="00463781"/>
    <w:rsid w:val="00473E4C"/>
    <w:rsid w:val="004847A6"/>
    <w:rsid w:val="004961AE"/>
    <w:rsid w:val="004B1661"/>
    <w:rsid w:val="004D5600"/>
    <w:rsid w:val="004E6C50"/>
    <w:rsid w:val="004F1A20"/>
    <w:rsid w:val="004F26E9"/>
    <w:rsid w:val="005004EA"/>
    <w:rsid w:val="00503182"/>
    <w:rsid w:val="005130C9"/>
    <w:rsid w:val="0051785A"/>
    <w:rsid w:val="00521A1C"/>
    <w:rsid w:val="005235D6"/>
    <w:rsid w:val="00530A83"/>
    <w:rsid w:val="00530ED9"/>
    <w:rsid w:val="005312E0"/>
    <w:rsid w:val="00532DD5"/>
    <w:rsid w:val="005336E3"/>
    <w:rsid w:val="00552B37"/>
    <w:rsid w:val="00554D82"/>
    <w:rsid w:val="00566174"/>
    <w:rsid w:val="0056659F"/>
    <w:rsid w:val="005673F2"/>
    <w:rsid w:val="005712C8"/>
    <w:rsid w:val="00592C26"/>
    <w:rsid w:val="00594596"/>
    <w:rsid w:val="0059648A"/>
    <w:rsid w:val="005B0209"/>
    <w:rsid w:val="005B68AA"/>
    <w:rsid w:val="005C08FF"/>
    <w:rsid w:val="005E65E3"/>
    <w:rsid w:val="00604CDC"/>
    <w:rsid w:val="00605F85"/>
    <w:rsid w:val="0061532E"/>
    <w:rsid w:val="00617692"/>
    <w:rsid w:val="006208DF"/>
    <w:rsid w:val="00623D98"/>
    <w:rsid w:val="00631643"/>
    <w:rsid w:val="0063293B"/>
    <w:rsid w:val="00634631"/>
    <w:rsid w:val="006351F6"/>
    <w:rsid w:val="006434D1"/>
    <w:rsid w:val="00656FC3"/>
    <w:rsid w:val="006576BA"/>
    <w:rsid w:val="00667B4D"/>
    <w:rsid w:val="006832A3"/>
    <w:rsid w:val="0068395F"/>
    <w:rsid w:val="00692BD0"/>
    <w:rsid w:val="006953C2"/>
    <w:rsid w:val="006A61CB"/>
    <w:rsid w:val="006B23F3"/>
    <w:rsid w:val="006B3B1A"/>
    <w:rsid w:val="006B6F46"/>
    <w:rsid w:val="006C25C0"/>
    <w:rsid w:val="006D1C32"/>
    <w:rsid w:val="006D3108"/>
    <w:rsid w:val="006E2E8A"/>
    <w:rsid w:val="006E44A4"/>
    <w:rsid w:val="006F16FA"/>
    <w:rsid w:val="00700CEC"/>
    <w:rsid w:val="00710F9E"/>
    <w:rsid w:val="00712520"/>
    <w:rsid w:val="00717992"/>
    <w:rsid w:val="007203EF"/>
    <w:rsid w:val="00724655"/>
    <w:rsid w:val="00725C5C"/>
    <w:rsid w:val="00727038"/>
    <w:rsid w:val="00735745"/>
    <w:rsid w:val="00747A12"/>
    <w:rsid w:val="007568CD"/>
    <w:rsid w:val="00760189"/>
    <w:rsid w:val="00764BB1"/>
    <w:rsid w:val="007718F8"/>
    <w:rsid w:val="00780935"/>
    <w:rsid w:val="007913E7"/>
    <w:rsid w:val="00797DC7"/>
    <w:rsid w:val="007C1C3C"/>
    <w:rsid w:val="007C7243"/>
    <w:rsid w:val="007E062B"/>
    <w:rsid w:val="007F325B"/>
    <w:rsid w:val="00803787"/>
    <w:rsid w:val="00804B8E"/>
    <w:rsid w:val="00806790"/>
    <w:rsid w:val="00827FD8"/>
    <w:rsid w:val="0083054B"/>
    <w:rsid w:val="0083392D"/>
    <w:rsid w:val="0085229A"/>
    <w:rsid w:val="00855C74"/>
    <w:rsid w:val="008643EB"/>
    <w:rsid w:val="0086441E"/>
    <w:rsid w:val="00866B09"/>
    <w:rsid w:val="00871F30"/>
    <w:rsid w:val="00880E32"/>
    <w:rsid w:val="00884067"/>
    <w:rsid w:val="00890F94"/>
    <w:rsid w:val="0089452A"/>
    <w:rsid w:val="00895948"/>
    <w:rsid w:val="008A0CAE"/>
    <w:rsid w:val="008A5E0E"/>
    <w:rsid w:val="008B6714"/>
    <w:rsid w:val="008B73B4"/>
    <w:rsid w:val="008D7188"/>
    <w:rsid w:val="008E34FA"/>
    <w:rsid w:val="008E41C0"/>
    <w:rsid w:val="008E4E4B"/>
    <w:rsid w:val="008F05E7"/>
    <w:rsid w:val="008F7694"/>
    <w:rsid w:val="0090684A"/>
    <w:rsid w:val="00910214"/>
    <w:rsid w:val="00912399"/>
    <w:rsid w:val="00922B0A"/>
    <w:rsid w:val="00931066"/>
    <w:rsid w:val="00933D67"/>
    <w:rsid w:val="0094146A"/>
    <w:rsid w:val="0094200F"/>
    <w:rsid w:val="00944CD9"/>
    <w:rsid w:val="00947A4A"/>
    <w:rsid w:val="009509B5"/>
    <w:rsid w:val="009510CC"/>
    <w:rsid w:val="0095239B"/>
    <w:rsid w:val="00957B76"/>
    <w:rsid w:val="00960907"/>
    <w:rsid w:val="0096538C"/>
    <w:rsid w:val="00972644"/>
    <w:rsid w:val="00982368"/>
    <w:rsid w:val="00986005"/>
    <w:rsid w:val="00990050"/>
    <w:rsid w:val="009B61DB"/>
    <w:rsid w:val="009C0ED5"/>
    <w:rsid w:val="009D1C73"/>
    <w:rsid w:val="009D4075"/>
    <w:rsid w:val="009D428B"/>
    <w:rsid w:val="009D663A"/>
    <w:rsid w:val="009D7FE0"/>
    <w:rsid w:val="009F17CD"/>
    <w:rsid w:val="009F2524"/>
    <w:rsid w:val="009F6944"/>
    <w:rsid w:val="009F6C4B"/>
    <w:rsid w:val="00A05264"/>
    <w:rsid w:val="00A119F6"/>
    <w:rsid w:val="00A16755"/>
    <w:rsid w:val="00A20CC1"/>
    <w:rsid w:val="00A36BCB"/>
    <w:rsid w:val="00A42961"/>
    <w:rsid w:val="00A514D5"/>
    <w:rsid w:val="00A51B8B"/>
    <w:rsid w:val="00A52249"/>
    <w:rsid w:val="00A57624"/>
    <w:rsid w:val="00A63653"/>
    <w:rsid w:val="00A64D8A"/>
    <w:rsid w:val="00A66A68"/>
    <w:rsid w:val="00A71718"/>
    <w:rsid w:val="00A82F50"/>
    <w:rsid w:val="00A83CDF"/>
    <w:rsid w:val="00A85CDF"/>
    <w:rsid w:val="00A8642F"/>
    <w:rsid w:val="00A9401A"/>
    <w:rsid w:val="00AA0866"/>
    <w:rsid w:val="00AB3028"/>
    <w:rsid w:val="00AB36E0"/>
    <w:rsid w:val="00AC6E26"/>
    <w:rsid w:val="00AE5FB1"/>
    <w:rsid w:val="00AE621C"/>
    <w:rsid w:val="00AE7D02"/>
    <w:rsid w:val="00B10DA1"/>
    <w:rsid w:val="00B2297D"/>
    <w:rsid w:val="00B26A83"/>
    <w:rsid w:val="00B34464"/>
    <w:rsid w:val="00B34B83"/>
    <w:rsid w:val="00B42E8D"/>
    <w:rsid w:val="00B552B7"/>
    <w:rsid w:val="00B55B23"/>
    <w:rsid w:val="00B5668E"/>
    <w:rsid w:val="00B67416"/>
    <w:rsid w:val="00B674A4"/>
    <w:rsid w:val="00B7090C"/>
    <w:rsid w:val="00B75966"/>
    <w:rsid w:val="00B84530"/>
    <w:rsid w:val="00B91D85"/>
    <w:rsid w:val="00B96282"/>
    <w:rsid w:val="00BB0387"/>
    <w:rsid w:val="00BB338B"/>
    <w:rsid w:val="00BB5AC3"/>
    <w:rsid w:val="00BB7436"/>
    <w:rsid w:val="00BC2847"/>
    <w:rsid w:val="00BC5564"/>
    <w:rsid w:val="00BC67E1"/>
    <w:rsid w:val="00BD1AF5"/>
    <w:rsid w:val="00BD6635"/>
    <w:rsid w:val="00BE2973"/>
    <w:rsid w:val="00C102E1"/>
    <w:rsid w:val="00C1615F"/>
    <w:rsid w:val="00C23C66"/>
    <w:rsid w:val="00C24220"/>
    <w:rsid w:val="00C245EA"/>
    <w:rsid w:val="00C24E0A"/>
    <w:rsid w:val="00C24F8D"/>
    <w:rsid w:val="00C265FB"/>
    <w:rsid w:val="00C303BD"/>
    <w:rsid w:val="00C323DE"/>
    <w:rsid w:val="00C3585D"/>
    <w:rsid w:val="00C366E5"/>
    <w:rsid w:val="00C47319"/>
    <w:rsid w:val="00C52AE7"/>
    <w:rsid w:val="00C53E62"/>
    <w:rsid w:val="00C561BE"/>
    <w:rsid w:val="00C65C2F"/>
    <w:rsid w:val="00C721E9"/>
    <w:rsid w:val="00C72D0F"/>
    <w:rsid w:val="00C76086"/>
    <w:rsid w:val="00C81B23"/>
    <w:rsid w:val="00C9526D"/>
    <w:rsid w:val="00C95530"/>
    <w:rsid w:val="00C9771F"/>
    <w:rsid w:val="00CA080F"/>
    <w:rsid w:val="00CA4617"/>
    <w:rsid w:val="00CB1740"/>
    <w:rsid w:val="00CC64B6"/>
    <w:rsid w:val="00CD2837"/>
    <w:rsid w:val="00CD5E65"/>
    <w:rsid w:val="00CE0907"/>
    <w:rsid w:val="00CE1E61"/>
    <w:rsid w:val="00CE6672"/>
    <w:rsid w:val="00CE6C3E"/>
    <w:rsid w:val="00CF155F"/>
    <w:rsid w:val="00CF4614"/>
    <w:rsid w:val="00D053A6"/>
    <w:rsid w:val="00D44115"/>
    <w:rsid w:val="00D50F32"/>
    <w:rsid w:val="00D54486"/>
    <w:rsid w:val="00D600AD"/>
    <w:rsid w:val="00D75FE9"/>
    <w:rsid w:val="00D7613C"/>
    <w:rsid w:val="00D76612"/>
    <w:rsid w:val="00D82130"/>
    <w:rsid w:val="00D85A72"/>
    <w:rsid w:val="00DB43D9"/>
    <w:rsid w:val="00DB4B3D"/>
    <w:rsid w:val="00DB5657"/>
    <w:rsid w:val="00DB6DFB"/>
    <w:rsid w:val="00DB710C"/>
    <w:rsid w:val="00DB77F6"/>
    <w:rsid w:val="00DC193F"/>
    <w:rsid w:val="00DC52A8"/>
    <w:rsid w:val="00DC5B74"/>
    <w:rsid w:val="00DC631D"/>
    <w:rsid w:val="00DD3AE2"/>
    <w:rsid w:val="00DD4562"/>
    <w:rsid w:val="00DD4BA7"/>
    <w:rsid w:val="00DD6017"/>
    <w:rsid w:val="00DE1AA0"/>
    <w:rsid w:val="00DE5946"/>
    <w:rsid w:val="00DF7A14"/>
    <w:rsid w:val="00E00018"/>
    <w:rsid w:val="00E014D9"/>
    <w:rsid w:val="00E03C30"/>
    <w:rsid w:val="00E05489"/>
    <w:rsid w:val="00E057CE"/>
    <w:rsid w:val="00E166E6"/>
    <w:rsid w:val="00E20B89"/>
    <w:rsid w:val="00E223B8"/>
    <w:rsid w:val="00E22AC0"/>
    <w:rsid w:val="00E31BFC"/>
    <w:rsid w:val="00E35772"/>
    <w:rsid w:val="00E4272B"/>
    <w:rsid w:val="00E4782C"/>
    <w:rsid w:val="00E47BA8"/>
    <w:rsid w:val="00E528C8"/>
    <w:rsid w:val="00E71429"/>
    <w:rsid w:val="00E75643"/>
    <w:rsid w:val="00E76985"/>
    <w:rsid w:val="00E81964"/>
    <w:rsid w:val="00E94F0E"/>
    <w:rsid w:val="00E97B28"/>
    <w:rsid w:val="00E97C36"/>
    <w:rsid w:val="00EA3943"/>
    <w:rsid w:val="00EA43FD"/>
    <w:rsid w:val="00EB5FFE"/>
    <w:rsid w:val="00EC36EF"/>
    <w:rsid w:val="00EC7761"/>
    <w:rsid w:val="00ED1493"/>
    <w:rsid w:val="00EE1A00"/>
    <w:rsid w:val="00EE21C8"/>
    <w:rsid w:val="00EE5825"/>
    <w:rsid w:val="00EE5F78"/>
    <w:rsid w:val="00F07998"/>
    <w:rsid w:val="00F131A7"/>
    <w:rsid w:val="00F13C4A"/>
    <w:rsid w:val="00F16BFA"/>
    <w:rsid w:val="00F257D3"/>
    <w:rsid w:val="00F3500B"/>
    <w:rsid w:val="00F35A8A"/>
    <w:rsid w:val="00F41F80"/>
    <w:rsid w:val="00F4201F"/>
    <w:rsid w:val="00F44409"/>
    <w:rsid w:val="00F4716B"/>
    <w:rsid w:val="00F53989"/>
    <w:rsid w:val="00F66242"/>
    <w:rsid w:val="00F67DF9"/>
    <w:rsid w:val="00F70EEE"/>
    <w:rsid w:val="00F7112B"/>
    <w:rsid w:val="00F71C56"/>
    <w:rsid w:val="00F929DC"/>
    <w:rsid w:val="00F93A74"/>
    <w:rsid w:val="00F951B5"/>
    <w:rsid w:val="00F97EC9"/>
    <w:rsid w:val="00FA6A7E"/>
    <w:rsid w:val="00FB7CFF"/>
    <w:rsid w:val="00FC0F82"/>
    <w:rsid w:val="00FC22CA"/>
    <w:rsid w:val="00FC30D3"/>
    <w:rsid w:val="00FC3882"/>
    <w:rsid w:val="00FD1AC8"/>
    <w:rsid w:val="00FD22E6"/>
    <w:rsid w:val="00FD24EF"/>
    <w:rsid w:val="00FD7226"/>
    <w:rsid w:val="00FE5E74"/>
    <w:rsid w:val="00FF1B83"/>
    <w:rsid w:val="00FF1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61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2C09AE"/>
    <w:rPr>
      <w:color w:val="0000FF"/>
      <w:u w:val="single"/>
    </w:rPr>
  </w:style>
  <w:style w:type="character" w:styleId="CommentReference">
    <w:name w:val="annotation reference"/>
    <w:rsid w:val="00710F9E"/>
    <w:rPr>
      <w:sz w:val="16"/>
      <w:szCs w:val="16"/>
    </w:rPr>
  </w:style>
  <w:style w:type="paragraph" w:styleId="CommentText">
    <w:name w:val="annotation text"/>
    <w:basedOn w:val="Normal"/>
    <w:link w:val="CommentTextChar"/>
    <w:rsid w:val="00710F9E"/>
  </w:style>
  <w:style w:type="character" w:customStyle="1" w:styleId="CommentTextChar">
    <w:name w:val="Comment Text Char"/>
    <w:basedOn w:val="DefaultParagraphFont"/>
    <w:link w:val="CommentText"/>
    <w:rsid w:val="00710F9E"/>
  </w:style>
  <w:style w:type="paragraph" w:styleId="BalloonText">
    <w:name w:val="Balloon Text"/>
    <w:basedOn w:val="Normal"/>
    <w:link w:val="BalloonTextChar"/>
    <w:rsid w:val="00710F9E"/>
    <w:rPr>
      <w:rFonts w:ascii="Tahoma" w:hAnsi="Tahoma" w:cs="Tahoma"/>
      <w:sz w:val="16"/>
      <w:szCs w:val="16"/>
    </w:rPr>
  </w:style>
  <w:style w:type="character" w:customStyle="1" w:styleId="BalloonTextChar">
    <w:name w:val="Balloon Text Char"/>
    <w:link w:val="BalloonText"/>
    <w:rsid w:val="00710F9E"/>
    <w:rPr>
      <w:rFonts w:ascii="Tahoma" w:hAnsi="Tahoma" w:cs="Tahoma"/>
      <w:sz w:val="16"/>
      <w:szCs w:val="16"/>
    </w:rPr>
  </w:style>
  <w:style w:type="paragraph" w:styleId="CommentSubject">
    <w:name w:val="annotation subject"/>
    <w:basedOn w:val="CommentText"/>
    <w:next w:val="CommentText"/>
    <w:link w:val="CommentSubjectChar"/>
    <w:rsid w:val="00F929DC"/>
    <w:rPr>
      <w:b/>
      <w:bCs/>
    </w:rPr>
  </w:style>
  <w:style w:type="character" w:customStyle="1" w:styleId="CommentSubjectChar">
    <w:name w:val="Comment Subject Char"/>
    <w:link w:val="CommentSubject"/>
    <w:rsid w:val="00F929DC"/>
    <w:rPr>
      <w:b/>
      <w:bCs/>
    </w:rPr>
  </w:style>
  <w:style w:type="table" w:styleId="TableGrid">
    <w:name w:val="Table Grid"/>
    <w:basedOn w:val="TableNormal"/>
    <w:rsid w:val="00164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585D"/>
  </w:style>
  <w:style w:type="paragraph" w:styleId="FootnoteText">
    <w:name w:val="footnote text"/>
    <w:basedOn w:val="Normal"/>
    <w:link w:val="FootnoteTextChar"/>
    <w:rsid w:val="00F13C4A"/>
    <w:pPr>
      <w:widowControl/>
      <w:autoSpaceDE/>
      <w:autoSpaceDN/>
      <w:adjustRightInd/>
    </w:pPr>
  </w:style>
  <w:style w:type="character" w:customStyle="1" w:styleId="FootnoteTextChar">
    <w:name w:val="Footnote Text Char"/>
    <w:basedOn w:val="DefaultParagraphFont"/>
    <w:link w:val="FootnoteText"/>
    <w:rsid w:val="00F13C4A"/>
  </w:style>
  <w:style w:type="character" w:styleId="FootnoteReference">
    <w:name w:val="footnote reference"/>
    <w:rsid w:val="00F13C4A"/>
    <w:rPr>
      <w:vertAlign w:val="superscript"/>
    </w:rPr>
  </w:style>
  <w:style w:type="paragraph" w:customStyle="1" w:styleId="TableParagraph">
    <w:name w:val="Table Paragraph"/>
    <w:basedOn w:val="Normal"/>
    <w:uiPriority w:val="1"/>
    <w:qFormat/>
    <w:rsid w:val="00BC5564"/>
    <w:pPr>
      <w:adjustRightInd/>
    </w:pPr>
    <w:rPr>
      <w:sz w:val="22"/>
      <w:szCs w:val="22"/>
    </w:rPr>
  </w:style>
  <w:style w:type="paragraph" w:styleId="BodyText">
    <w:name w:val="Body Text"/>
    <w:basedOn w:val="Normal"/>
    <w:link w:val="BodyTextChar"/>
    <w:uiPriority w:val="1"/>
    <w:qFormat/>
    <w:rsid w:val="00A20CC1"/>
    <w:pPr>
      <w:adjustRightInd/>
    </w:pPr>
    <w:rPr>
      <w:sz w:val="24"/>
      <w:szCs w:val="24"/>
    </w:rPr>
  </w:style>
  <w:style w:type="character" w:customStyle="1" w:styleId="BodyTextChar">
    <w:name w:val="Body Text Char"/>
    <w:link w:val="BodyText"/>
    <w:uiPriority w:val="1"/>
    <w:rsid w:val="00A20CC1"/>
    <w:rPr>
      <w:sz w:val="24"/>
      <w:szCs w:val="24"/>
    </w:rPr>
  </w:style>
  <w:style w:type="paragraph" w:styleId="ListParagraph">
    <w:name w:val="List Paragraph"/>
    <w:basedOn w:val="Normal"/>
    <w:uiPriority w:val="1"/>
    <w:qFormat/>
    <w:rsid w:val="00A20CC1"/>
    <w:pPr>
      <w:adjustRightInd/>
      <w:ind w:left="1907" w:hanging="1113"/>
    </w:pPr>
    <w:rPr>
      <w:sz w:val="22"/>
      <w:szCs w:val="22"/>
    </w:rPr>
  </w:style>
  <w:style w:type="paragraph" w:styleId="BodyText2">
    <w:name w:val="Body Text 2"/>
    <w:basedOn w:val="Normal"/>
    <w:link w:val="BodyText2Char"/>
    <w:rsid w:val="004272E9"/>
    <w:pPr>
      <w:spacing w:after="120" w:line="480" w:lineRule="auto"/>
    </w:pPr>
  </w:style>
  <w:style w:type="character" w:customStyle="1" w:styleId="BodyText2Char">
    <w:name w:val="Body Text 2 Char"/>
    <w:basedOn w:val="DefaultParagraphFont"/>
    <w:link w:val="BodyText2"/>
    <w:rsid w:val="00427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2C09AE"/>
    <w:rPr>
      <w:color w:val="0000FF"/>
      <w:u w:val="single"/>
    </w:rPr>
  </w:style>
  <w:style w:type="character" w:styleId="CommentReference">
    <w:name w:val="annotation reference"/>
    <w:rsid w:val="00710F9E"/>
    <w:rPr>
      <w:sz w:val="16"/>
      <w:szCs w:val="16"/>
    </w:rPr>
  </w:style>
  <w:style w:type="paragraph" w:styleId="CommentText">
    <w:name w:val="annotation text"/>
    <w:basedOn w:val="Normal"/>
    <w:link w:val="CommentTextChar"/>
    <w:rsid w:val="00710F9E"/>
  </w:style>
  <w:style w:type="character" w:customStyle="1" w:styleId="CommentTextChar">
    <w:name w:val="Comment Text Char"/>
    <w:basedOn w:val="DefaultParagraphFont"/>
    <w:link w:val="CommentText"/>
    <w:rsid w:val="00710F9E"/>
  </w:style>
  <w:style w:type="paragraph" w:styleId="BalloonText">
    <w:name w:val="Balloon Text"/>
    <w:basedOn w:val="Normal"/>
    <w:link w:val="BalloonTextChar"/>
    <w:rsid w:val="00710F9E"/>
    <w:rPr>
      <w:rFonts w:ascii="Tahoma" w:hAnsi="Tahoma" w:cs="Tahoma"/>
      <w:sz w:val="16"/>
      <w:szCs w:val="16"/>
    </w:rPr>
  </w:style>
  <w:style w:type="character" w:customStyle="1" w:styleId="BalloonTextChar">
    <w:name w:val="Balloon Text Char"/>
    <w:link w:val="BalloonText"/>
    <w:rsid w:val="00710F9E"/>
    <w:rPr>
      <w:rFonts w:ascii="Tahoma" w:hAnsi="Tahoma" w:cs="Tahoma"/>
      <w:sz w:val="16"/>
      <w:szCs w:val="16"/>
    </w:rPr>
  </w:style>
  <w:style w:type="paragraph" w:styleId="CommentSubject">
    <w:name w:val="annotation subject"/>
    <w:basedOn w:val="CommentText"/>
    <w:next w:val="CommentText"/>
    <w:link w:val="CommentSubjectChar"/>
    <w:rsid w:val="00F929DC"/>
    <w:rPr>
      <w:b/>
      <w:bCs/>
    </w:rPr>
  </w:style>
  <w:style w:type="character" w:customStyle="1" w:styleId="CommentSubjectChar">
    <w:name w:val="Comment Subject Char"/>
    <w:link w:val="CommentSubject"/>
    <w:rsid w:val="00F929DC"/>
    <w:rPr>
      <w:b/>
      <w:bCs/>
    </w:rPr>
  </w:style>
  <w:style w:type="table" w:styleId="TableGrid">
    <w:name w:val="Table Grid"/>
    <w:basedOn w:val="TableNormal"/>
    <w:rsid w:val="00164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585D"/>
  </w:style>
  <w:style w:type="paragraph" w:styleId="FootnoteText">
    <w:name w:val="footnote text"/>
    <w:basedOn w:val="Normal"/>
    <w:link w:val="FootnoteTextChar"/>
    <w:rsid w:val="00F13C4A"/>
    <w:pPr>
      <w:widowControl/>
      <w:autoSpaceDE/>
      <w:autoSpaceDN/>
      <w:adjustRightInd/>
    </w:pPr>
  </w:style>
  <w:style w:type="character" w:customStyle="1" w:styleId="FootnoteTextChar">
    <w:name w:val="Footnote Text Char"/>
    <w:basedOn w:val="DefaultParagraphFont"/>
    <w:link w:val="FootnoteText"/>
    <w:rsid w:val="00F13C4A"/>
  </w:style>
  <w:style w:type="character" w:styleId="FootnoteReference">
    <w:name w:val="footnote reference"/>
    <w:rsid w:val="00F13C4A"/>
    <w:rPr>
      <w:vertAlign w:val="superscript"/>
    </w:rPr>
  </w:style>
  <w:style w:type="paragraph" w:customStyle="1" w:styleId="TableParagraph">
    <w:name w:val="Table Paragraph"/>
    <w:basedOn w:val="Normal"/>
    <w:uiPriority w:val="1"/>
    <w:qFormat/>
    <w:rsid w:val="00BC5564"/>
    <w:pPr>
      <w:adjustRightInd/>
    </w:pPr>
    <w:rPr>
      <w:sz w:val="22"/>
      <w:szCs w:val="22"/>
    </w:rPr>
  </w:style>
  <w:style w:type="paragraph" w:styleId="BodyText">
    <w:name w:val="Body Text"/>
    <w:basedOn w:val="Normal"/>
    <w:link w:val="BodyTextChar"/>
    <w:uiPriority w:val="1"/>
    <w:qFormat/>
    <w:rsid w:val="00A20CC1"/>
    <w:pPr>
      <w:adjustRightInd/>
    </w:pPr>
    <w:rPr>
      <w:sz w:val="24"/>
      <w:szCs w:val="24"/>
    </w:rPr>
  </w:style>
  <w:style w:type="character" w:customStyle="1" w:styleId="BodyTextChar">
    <w:name w:val="Body Text Char"/>
    <w:link w:val="BodyText"/>
    <w:uiPriority w:val="1"/>
    <w:rsid w:val="00A20CC1"/>
    <w:rPr>
      <w:sz w:val="24"/>
      <w:szCs w:val="24"/>
    </w:rPr>
  </w:style>
  <w:style w:type="paragraph" w:styleId="ListParagraph">
    <w:name w:val="List Paragraph"/>
    <w:basedOn w:val="Normal"/>
    <w:uiPriority w:val="1"/>
    <w:qFormat/>
    <w:rsid w:val="00A20CC1"/>
    <w:pPr>
      <w:adjustRightInd/>
      <w:ind w:left="1907" w:hanging="1113"/>
    </w:pPr>
    <w:rPr>
      <w:sz w:val="22"/>
      <w:szCs w:val="22"/>
    </w:rPr>
  </w:style>
  <w:style w:type="paragraph" w:styleId="BodyText2">
    <w:name w:val="Body Text 2"/>
    <w:basedOn w:val="Normal"/>
    <w:link w:val="BodyText2Char"/>
    <w:rsid w:val="004272E9"/>
    <w:pPr>
      <w:spacing w:after="120" w:line="480" w:lineRule="auto"/>
    </w:pPr>
  </w:style>
  <w:style w:type="character" w:customStyle="1" w:styleId="BodyText2Char">
    <w:name w:val="Body Text 2 Char"/>
    <w:basedOn w:val="DefaultParagraphFont"/>
    <w:link w:val="BodyText2"/>
    <w:rsid w:val="00427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3536">
      <w:bodyDiv w:val="1"/>
      <w:marLeft w:val="0"/>
      <w:marRight w:val="0"/>
      <w:marTop w:val="0"/>
      <w:marBottom w:val="0"/>
      <w:divBdr>
        <w:top w:val="none" w:sz="0" w:space="0" w:color="auto"/>
        <w:left w:val="none" w:sz="0" w:space="0" w:color="auto"/>
        <w:bottom w:val="none" w:sz="0" w:space="0" w:color="auto"/>
        <w:right w:val="none" w:sz="0" w:space="0" w:color="auto"/>
      </w:divBdr>
      <w:divsChild>
        <w:div w:id="670256430">
          <w:marLeft w:val="0"/>
          <w:marRight w:val="0"/>
          <w:marTop w:val="0"/>
          <w:marBottom w:val="0"/>
          <w:divBdr>
            <w:top w:val="none" w:sz="0" w:space="0" w:color="auto"/>
            <w:left w:val="none" w:sz="0" w:space="0" w:color="auto"/>
            <w:bottom w:val="none" w:sz="0" w:space="0" w:color="auto"/>
            <w:right w:val="none" w:sz="0" w:space="0" w:color="auto"/>
          </w:divBdr>
        </w:div>
        <w:div w:id="1523284064">
          <w:marLeft w:val="0"/>
          <w:marRight w:val="0"/>
          <w:marTop w:val="0"/>
          <w:marBottom w:val="0"/>
          <w:divBdr>
            <w:top w:val="none" w:sz="0" w:space="0" w:color="auto"/>
            <w:left w:val="none" w:sz="0" w:space="0" w:color="auto"/>
            <w:bottom w:val="none" w:sz="0" w:space="0" w:color="auto"/>
            <w:right w:val="none" w:sz="0" w:space="0" w:color="auto"/>
          </w:divBdr>
        </w:div>
      </w:divsChild>
    </w:div>
    <w:div w:id="624315861">
      <w:bodyDiv w:val="1"/>
      <w:marLeft w:val="0"/>
      <w:marRight w:val="0"/>
      <w:marTop w:val="0"/>
      <w:marBottom w:val="0"/>
      <w:divBdr>
        <w:top w:val="none" w:sz="0" w:space="0" w:color="auto"/>
        <w:left w:val="none" w:sz="0" w:space="0" w:color="auto"/>
        <w:bottom w:val="none" w:sz="0" w:space="0" w:color="auto"/>
        <w:right w:val="none" w:sz="0" w:space="0" w:color="auto"/>
      </w:divBdr>
    </w:div>
    <w:div w:id="638413421">
      <w:bodyDiv w:val="1"/>
      <w:marLeft w:val="0"/>
      <w:marRight w:val="0"/>
      <w:marTop w:val="0"/>
      <w:marBottom w:val="0"/>
      <w:divBdr>
        <w:top w:val="none" w:sz="0" w:space="0" w:color="auto"/>
        <w:left w:val="none" w:sz="0" w:space="0" w:color="auto"/>
        <w:bottom w:val="none" w:sz="0" w:space="0" w:color="auto"/>
        <w:right w:val="none" w:sz="0" w:space="0" w:color="auto"/>
      </w:divBdr>
      <w:divsChild>
        <w:div w:id="334038851">
          <w:marLeft w:val="0"/>
          <w:marRight w:val="0"/>
          <w:marTop w:val="0"/>
          <w:marBottom w:val="0"/>
          <w:divBdr>
            <w:top w:val="none" w:sz="0" w:space="0" w:color="auto"/>
            <w:left w:val="none" w:sz="0" w:space="0" w:color="auto"/>
            <w:bottom w:val="none" w:sz="0" w:space="0" w:color="auto"/>
            <w:right w:val="none" w:sz="0" w:space="0" w:color="auto"/>
          </w:divBdr>
        </w:div>
        <w:div w:id="515076702">
          <w:marLeft w:val="0"/>
          <w:marRight w:val="0"/>
          <w:marTop w:val="0"/>
          <w:marBottom w:val="0"/>
          <w:divBdr>
            <w:top w:val="none" w:sz="0" w:space="0" w:color="auto"/>
            <w:left w:val="none" w:sz="0" w:space="0" w:color="auto"/>
            <w:bottom w:val="none" w:sz="0" w:space="0" w:color="auto"/>
            <w:right w:val="none" w:sz="0" w:space="0" w:color="auto"/>
          </w:divBdr>
        </w:div>
      </w:divsChild>
    </w:div>
    <w:div w:id="823354065">
      <w:bodyDiv w:val="1"/>
      <w:marLeft w:val="0"/>
      <w:marRight w:val="0"/>
      <w:marTop w:val="0"/>
      <w:marBottom w:val="0"/>
      <w:divBdr>
        <w:top w:val="none" w:sz="0" w:space="0" w:color="auto"/>
        <w:left w:val="none" w:sz="0" w:space="0" w:color="auto"/>
        <w:bottom w:val="none" w:sz="0" w:space="0" w:color="auto"/>
        <w:right w:val="none" w:sz="0" w:space="0" w:color="auto"/>
      </w:divBdr>
    </w:div>
    <w:div w:id="99957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reginfo.gov/public/jsp/Utilities/EO_12866.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sba.gov/advocacy/regulatory-flexibility-act" TargetMode="External"/><Relationship Id="rId2" Type="http://schemas.openxmlformats.org/officeDocument/2006/relationships/numbering" Target="numbering.xml"/><Relationship Id="rId16" Type="http://schemas.openxmlformats.org/officeDocument/2006/relationships/hyperlink" Target="https://www.energy.gov/nepa/downloads/national-environmental-policy-act-19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C:\Users\leonardje\Downloads\Magnuson-Stevens%20Fishery%20Conservation%20and%20Management%20Act" TargetMode="External"/><Relationship Id="rId10" Type="http://schemas.openxmlformats.org/officeDocument/2006/relationships/header" Target="header2.xml"/><Relationship Id="rId19" Type="http://schemas.openxmlformats.org/officeDocument/2006/relationships/hyperlink" Target="http://www.osec.doc.gov/opog/PrivacyAct/SORNs/noaa-6.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F5C83-5ACC-47BD-B748-433AC96A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2018-11-23T14:22:00Z</dcterms:created>
  <dcterms:modified xsi:type="dcterms:W3CDTF">2018-11-23T14:22:00Z</dcterms:modified>
</cp:coreProperties>
</file>