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6DC9B" w14:textId="77777777" w:rsidR="004244EE" w:rsidRPr="004244EE" w:rsidRDefault="004244EE" w:rsidP="004244EE">
      <w:pPr>
        <w:spacing w:before="720" w:line="560" w:lineRule="exact"/>
        <w:ind w:firstLine="0"/>
        <w:rPr>
          <w:rFonts w:ascii="Arial" w:hAnsi="Arial"/>
          <w:caps/>
          <w:spacing w:val="28"/>
          <w:sz w:val="17"/>
          <w:szCs w:val="26"/>
        </w:rPr>
      </w:pPr>
      <w:bookmarkStart w:id="0" w:name="_GoBack"/>
      <w:bookmarkEnd w:id="0"/>
      <w:r w:rsidRPr="004244EE">
        <w:rPr>
          <w:rFonts w:ascii="Arial" w:hAnsi="Arial"/>
          <w:caps/>
          <w:noProof/>
          <w:spacing w:val="28"/>
          <w:sz w:val="17"/>
          <w:szCs w:val="26"/>
        </w:rPr>
        <w:drawing>
          <wp:anchor distT="0" distB="0" distL="114300" distR="114300" simplePos="0" relativeHeight="251659264" behindDoc="0" locked="1" layoutInCell="1" allowOverlap="1" wp14:anchorId="3E3C670D" wp14:editId="2E4A24E8">
            <wp:simplePos x="0" y="0"/>
            <wp:positionH relativeFrom="margin">
              <wp:align>right</wp:align>
            </wp:positionH>
            <wp:positionV relativeFrom="margin">
              <wp:posOffset>-2143125</wp:posOffset>
            </wp:positionV>
            <wp:extent cx="4876800" cy="1247775"/>
            <wp:effectExtent l="1905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p>
    <w:p w14:paraId="5B69FF66" w14:textId="77777777"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after="240" w:line="240" w:lineRule="auto"/>
        <w:ind w:firstLine="0"/>
        <w:rPr>
          <w:rFonts w:ascii="Arial Black" w:hAnsi="Arial Black" w:cs="Arial"/>
          <w:b/>
          <w:color w:val="E70033"/>
          <w:sz w:val="37"/>
          <w:szCs w:val="37"/>
        </w:rPr>
      </w:pPr>
      <w:bookmarkStart w:id="1" w:name="RepTitle"/>
      <w:bookmarkEnd w:id="1"/>
      <w:r w:rsidRPr="004244EE">
        <w:rPr>
          <w:rFonts w:ascii="Arial Black" w:hAnsi="Arial Black" w:cs="Arial"/>
          <w:b/>
          <w:color w:val="E70033"/>
          <w:sz w:val="37"/>
          <w:szCs w:val="37"/>
        </w:rPr>
        <w:t xml:space="preserve">Evaluation of SNAP Employment and Training Pilots </w:t>
      </w:r>
    </w:p>
    <w:p w14:paraId="0C77C4C6" w14:textId="77777777"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line="240" w:lineRule="auto"/>
        <w:ind w:firstLine="0"/>
        <w:rPr>
          <w:rFonts w:ascii="Arial Black" w:hAnsi="Arial Black" w:cs="Arial"/>
          <w:b/>
          <w:color w:val="E70033"/>
          <w:sz w:val="28"/>
          <w:szCs w:val="37"/>
        </w:rPr>
      </w:pPr>
      <w:r w:rsidRPr="004244EE">
        <w:rPr>
          <w:rFonts w:ascii="Arial Black" w:hAnsi="Arial Black" w:cs="Arial"/>
          <w:b/>
          <w:color w:val="E70033"/>
          <w:sz w:val="28"/>
          <w:szCs w:val="37"/>
        </w:rPr>
        <w:t>OMB Supporting Statement</w:t>
      </w:r>
    </w:p>
    <w:p w14:paraId="69C495CD" w14:textId="77777777" w:rsidR="004244EE" w:rsidRPr="004244EE" w:rsidRDefault="00B8600E" w:rsidP="004244EE">
      <w:pPr>
        <w:pBdr>
          <w:top w:val="single" w:sz="4" w:space="1" w:color="auto"/>
          <w:bottom w:val="single" w:sz="4" w:space="0" w:color="auto"/>
        </w:pBdr>
        <w:tabs>
          <w:tab w:val="left" w:pos="720"/>
          <w:tab w:val="left" w:pos="1080"/>
          <w:tab w:val="left" w:pos="1440"/>
          <w:tab w:val="left" w:pos="1800"/>
        </w:tabs>
        <w:spacing w:after="100" w:line="240" w:lineRule="auto"/>
        <w:ind w:firstLine="0"/>
        <w:rPr>
          <w:rFonts w:ascii="Arial Black" w:hAnsi="Arial Black" w:cs="Arial"/>
          <w:b/>
          <w:color w:val="E70033"/>
          <w:sz w:val="28"/>
          <w:szCs w:val="37"/>
        </w:rPr>
      </w:pPr>
      <w:r>
        <w:rPr>
          <w:rFonts w:ascii="Arial Black" w:hAnsi="Arial Black" w:cs="Arial"/>
          <w:b/>
          <w:color w:val="E70033"/>
          <w:sz w:val="28"/>
          <w:szCs w:val="37"/>
        </w:rPr>
        <w:t>Part B</w:t>
      </w:r>
      <w:r w:rsidR="004244EE" w:rsidRPr="004244EE">
        <w:rPr>
          <w:rFonts w:ascii="Arial Black" w:hAnsi="Arial Black" w:cs="Arial"/>
          <w:b/>
          <w:color w:val="E70033"/>
          <w:sz w:val="28"/>
          <w:szCs w:val="37"/>
        </w:rPr>
        <w:t xml:space="preserve">: </w:t>
      </w:r>
      <w:r>
        <w:rPr>
          <w:rFonts w:ascii="Arial Black" w:hAnsi="Arial Black" w:cs="Arial"/>
          <w:b/>
          <w:color w:val="E70033"/>
          <w:sz w:val="28"/>
          <w:szCs w:val="37"/>
        </w:rPr>
        <w:t>Collections of Information Employing Statistical Methods</w:t>
      </w:r>
    </w:p>
    <w:p w14:paraId="35B3CA51" w14:textId="73B495B9" w:rsidR="004244EE" w:rsidRPr="004244EE" w:rsidRDefault="00B27E7D" w:rsidP="004244EE">
      <w:pPr>
        <w:spacing w:line="440" w:lineRule="exact"/>
        <w:ind w:firstLine="0"/>
        <w:jc w:val="right"/>
        <w:rPr>
          <w:rFonts w:ascii="Arial" w:hAnsi="Arial"/>
          <w:sz w:val="34"/>
          <w:szCs w:val="26"/>
        </w:rPr>
      </w:pPr>
      <w:bookmarkStart w:id="2" w:name="DateMark"/>
      <w:bookmarkStart w:id="3" w:name="MPRRef"/>
      <w:bookmarkEnd w:id="2"/>
      <w:bookmarkEnd w:id="3"/>
      <w:r>
        <w:rPr>
          <w:rFonts w:ascii="Arial" w:hAnsi="Arial"/>
          <w:sz w:val="34"/>
          <w:szCs w:val="26"/>
        </w:rPr>
        <w:t>February 11</w:t>
      </w:r>
      <w:r w:rsidR="00643D7E">
        <w:rPr>
          <w:rFonts w:ascii="Arial" w:hAnsi="Arial"/>
          <w:sz w:val="34"/>
          <w:szCs w:val="26"/>
        </w:rPr>
        <w:t xml:space="preserve">, </w:t>
      </w:r>
      <w:r w:rsidR="00776863">
        <w:rPr>
          <w:rFonts w:ascii="Arial" w:hAnsi="Arial"/>
          <w:sz w:val="34"/>
          <w:szCs w:val="26"/>
        </w:rPr>
        <w:t>2019</w:t>
      </w:r>
    </w:p>
    <w:p w14:paraId="4D654E08" w14:textId="77777777" w:rsidR="004244EE" w:rsidRPr="004244EE" w:rsidRDefault="004244EE" w:rsidP="004244EE">
      <w:pPr>
        <w:spacing w:line="440" w:lineRule="exact"/>
        <w:ind w:firstLine="0"/>
        <w:jc w:val="right"/>
        <w:rPr>
          <w:rFonts w:ascii="Arial" w:hAnsi="Arial"/>
          <w:sz w:val="34"/>
          <w:szCs w:val="26"/>
        </w:rPr>
      </w:pPr>
    </w:p>
    <w:p w14:paraId="426F631F" w14:textId="77777777" w:rsidR="004244EE" w:rsidRPr="004244EE" w:rsidRDefault="004244EE" w:rsidP="004244EE">
      <w:pPr>
        <w:spacing w:line="440" w:lineRule="exact"/>
        <w:ind w:firstLine="0"/>
        <w:jc w:val="right"/>
        <w:rPr>
          <w:rFonts w:ascii="Arial" w:hAnsi="Arial"/>
          <w:sz w:val="34"/>
          <w:szCs w:val="26"/>
        </w:rPr>
      </w:pPr>
    </w:p>
    <w:p w14:paraId="463A6A69" w14:textId="77777777" w:rsidR="004244EE" w:rsidRPr="004244EE" w:rsidRDefault="004244EE" w:rsidP="004244EE">
      <w:pPr>
        <w:spacing w:line="440" w:lineRule="exact"/>
        <w:ind w:firstLine="0"/>
        <w:jc w:val="right"/>
        <w:rPr>
          <w:rFonts w:ascii="Arial" w:hAnsi="Arial"/>
          <w:sz w:val="34"/>
          <w:szCs w:val="26"/>
        </w:rPr>
      </w:pPr>
    </w:p>
    <w:p w14:paraId="4A11294B" w14:textId="77777777" w:rsidR="004244EE" w:rsidRPr="004244EE" w:rsidRDefault="004244EE" w:rsidP="004244EE">
      <w:pPr>
        <w:spacing w:line="440" w:lineRule="exact"/>
        <w:ind w:firstLine="0"/>
        <w:jc w:val="right"/>
        <w:rPr>
          <w:rFonts w:ascii="Arial" w:hAnsi="Arial"/>
          <w:sz w:val="34"/>
          <w:szCs w:val="26"/>
        </w:rPr>
      </w:pPr>
    </w:p>
    <w:p w14:paraId="0F69F259" w14:textId="77777777" w:rsidR="004244EE" w:rsidRP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t>Submitted to:</w:t>
      </w:r>
    </w:p>
    <w:p w14:paraId="6E82FA79" w14:textId="77777777" w:rsidR="004244EE" w:rsidRPr="004244EE" w:rsidRDefault="004244EE" w:rsidP="004244EE">
      <w:pPr>
        <w:spacing w:line="260" w:lineRule="exact"/>
        <w:ind w:firstLine="0"/>
        <w:jc w:val="right"/>
        <w:rPr>
          <w:rFonts w:ascii="Arial" w:hAnsi="Arial"/>
          <w:sz w:val="16"/>
          <w:szCs w:val="19"/>
        </w:rPr>
      </w:pPr>
      <w:bookmarkStart w:id="4" w:name="Agency"/>
      <w:bookmarkEnd w:id="4"/>
      <w:r w:rsidRPr="004244EE">
        <w:rPr>
          <w:rFonts w:ascii="Arial" w:hAnsi="Arial"/>
          <w:sz w:val="16"/>
          <w:szCs w:val="19"/>
        </w:rPr>
        <w:t xml:space="preserve">Office of Management and Budget </w:t>
      </w:r>
    </w:p>
    <w:p w14:paraId="31CFF25D" w14:textId="77777777" w:rsidR="004244EE" w:rsidRPr="004244EE" w:rsidRDefault="004244EE" w:rsidP="004244EE">
      <w:pPr>
        <w:spacing w:line="260" w:lineRule="exact"/>
        <w:jc w:val="right"/>
        <w:rPr>
          <w:rFonts w:ascii="Arial Black" w:hAnsi="Arial Black"/>
          <w:noProof/>
          <w:sz w:val="16"/>
          <w:szCs w:val="19"/>
        </w:rPr>
      </w:pPr>
    </w:p>
    <w:p w14:paraId="11919DC0" w14:textId="77777777" w:rsidR="004244EE" w:rsidRPr="004244EE" w:rsidRDefault="004244EE" w:rsidP="004244EE">
      <w:pPr>
        <w:spacing w:line="260" w:lineRule="exact"/>
        <w:jc w:val="right"/>
        <w:rPr>
          <w:rFonts w:ascii="Arial Black" w:hAnsi="Arial Black"/>
          <w:noProof/>
          <w:sz w:val="16"/>
          <w:szCs w:val="19"/>
        </w:rPr>
      </w:pPr>
    </w:p>
    <w:p w14:paraId="1A5D7890" w14:textId="77777777" w:rsidR="004244EE" w:rsidRPr="004244EE" w:rsidRDefault="004244EE" w:rsidP="004244EE">
      <w:pPr>
        <w:spacing w:line="260" w:lineRule="exact"/>
        <w:jc w:val="right"/>
        <w:rPr>
          <w:rFonts w:ascii="Arial Black" w:hAnsi="Arial Black"/>
          <w:noProof/>
          <w:sz w:val="16"/>
          <w:szCs w:val="19"/>
        </w:rPr>
      </w:pPr>
    </w:p>
    <w:p w14:paraId="0EE6ED6E" w14:textId="77777777" w:rsidR="004244EE" w:rsidRPr="004244EE" w:rsidRDefault="004244EE" w:rsidP="004244EE">
      <w:pPr>
        <w:spacing w:line="260" w:lineRule="exact"/>
        <w:jc w:val="right"/>
        <w:rPr>
          <w:rFonts w:ascii="Arial Black" w:hAnsi="Arial Black"/>
          <w:noProof/>
          <w:sz w:val="16"/>
          <w:szCs w:val="19"/>
        </w:rPr>
      </w:pPr>
    </w:p>
    <w:p w14:paraId="4C2F4284" w14:textId="77777777" w:rsid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br/>
        <w:t>Submitted by:</w:t>
      </w:r>
    </w:p>
    <w:p w14:paraId="4C17AC93" w14:textId="77777777" w:rsidR="00C64412" w:rsidRPr="005A7272" w:rsidRDefault="00643D7E" w:rsidP="004244EE">
      <w:pPr>
        <w:spacing w:line="260" w:lineRule="exact"/>
        <w:jc w:val="right"/>
        <w:rPr>
          <w:rFonts w:ascii="Arial" w:hAnsi="Arial" w:cs="Arial"/>
          <w:noProof/>
          <w:sz w:val="16"/>
          <w:szCs w:val="19"/>
        </w:rPr>
      </w:pPr>
      <w:r>
        <w:rPr>
          <w:rFonts w:ascii="Arial" w:hAnsi="Arial" w:cs="Arial"/>
          <w:noProof/>
          <w:sz w:val="16"/>
          <w:szCs w:val="19"/>
        </w:rPr>
        <w:t>Danielle Deemer</w:t>
      </w:r>
    </w:p>
    <w:p w14:paraId="43446F73" w14:textId="77777777" w:rsidR="004244EE" w:rsidRPr="004244EE" w:rsidRDefault="004244EE" w:rsidP="004244EE">
      <w:pPr>
        <w:spacing w:line="260" w:lineRule="exact"/>
        <w:ind w:firstLine="0"/>
        <w:jc w:val="right"/>
        <w:rPr>
          <w:rFonts w:ascii="Arial" w:hAnsi="Arial"/>
          <w:sz w:val="16"/>
          <w:szCs w:val="19"/>
        </w:rPr>
      </w:pPr>
      <w:r w:rsidRPr="004244EE">
        <w:rPr>
          <w:rFonts w:ascii="Arial" w:hAnsi="Arial"/>
          <w:sz w:val="16"/>
          <w:szCs w:val="19"/>
        </w:rPr>
        <w:t>Food and Nutrition Service</w:t>
      </w:r>
    </w:p>
    <w:p w14:paraId="337465C5" w14:textId="77777777" w:rsidR="004244EE" w:rsidRPr="004244EE" w:rsidRDefault="004244EE" w:rsidP="004244EE">
      <w:pPr>
        <w:spacing w:line="260" w:lineRule="exact"/>
        <w:ind w:firstLine="0"/>
        <w:jc w:val="right"/>
        <w:rPr>
          <w:rFonts w:ascii="Arial" w:hAnsi="Arial"/>
          <w:sz w:val="16"/>
          <w:szCs w:val="19"/>
        </w:rPr>
      </w:pPr>
      <w:bookmarkStart w:id="5" w:name="AgencyDept"/>
      <w:bookmarkEnd w:id="5"/>
      <w:r w:rsidRPr="004244EE">
        <w:rPr>
          <w:rFonts w:ascii="Arial" w:hAnsi="Arial"/>
          <w:sz w:val="16"/>
          <w:szCs w:val="19"/>
        </w:rPr>
        <w:t>United States Department of Agriculture</w:t>
      </w:r>
    </w:p>
    <w:p w14:paraId="13710BFD" w14:textId="77777777" w:rsidR="004244EE" w:rsidRPr="004244EE" w:rsidRDefault="004244EE" w:rsidP="004244EE">
      <w:pPr>
        <w:spacing w:line="260" w:lineRule="exact"/>
        <w:ind w:firstLine="0"/>
        <w:jc w:val="right"/>
        <w:rPr>
          <w:rFonts w:ascii="Arial" w:hAnsi="Arial"/>
          <w:sz w:val="16"/>
          <w:szCs w:val="19"/>
        </w:rPr>
      </w:pPr>
      <w:bookmarkStart w:id="6" w:name="AgencyAddress1"/>
      <w:bookmarkEnd w:id="6"/>
      <w:r w:rsidRPr="004244EE">
        <w:rPr>
          <w:rFonts w:ascii="Arial" w:hAnsi="Arial"/>
          <w:sz w:val="16"/>
          <w:szCs w:val="19"/>
        </w:rPr>
        <w:t>3101 Park Center Drive</w:t>
      </w:r>
    </w:p>
    <w:p w14:paraId="72E59F15" w14:textId="77777777" w:rsidR="004244EE" w:rsidRPr="004244EE" w:rsidRDefault="004244EE" w:rsidP="004244EE">
      <w:pPr>
        <w:spacing w:after="60" w:line="260" w:lineRule="exact"/>
        <w:ind w:firstLine="0"/>
        <w:contextualSpacing/>
        <w:jc w:val="right"/>
        <w:rPr>
          <w:rFonts w:ascii="Arial" w:hAnsi="Arial"/>
          <w:sz w:val="16"/>
          <w:szCs w:val="19"/>
        </w:rPr>
      </w:pPr>
      <w:bookmarkStart w:id="7" w:name="AgencyAddress2"/>
      <w:bookmarkEnd w:id="7"/>
      <w:r w:rsidRPr="004244EE">
        <w:rPr>
          <w:rFonts w:ascii="Arial" w:hAnsi="Arial"/>
          <w:sz w:val="16"/>
          <w:szCs w:val="19"/>
        </w:rPr>
        <w:t>Alexandria, VA 22302-1500</w:t>
      </w:r>
    </w:p>
    <w:p w14:paraId="6E14CEFA" w14:textId="77777777" w:rsidR="004244EE" w:rsidRPr="004244EE" w:rsidRDefault="004244EE" w:rsidP="004244EE">
      <w:pPr>
        <w:spacing w:after="100" w:line="260" w:lineRule="exact"/>
        <w:ind w:firstLine="0"/>
        <w:rPr>
          <w:rFonts w:ascii="Arial" w:hAnsi="Arial"/>
          <w:sz w:val="16"/>
          <w:szCs w:val="19"/>
        </w:rPr>
      </w:pPr>
    </w:p>
    <w:p w14:paraId="2F5551D2" w14:textId="77777777" w:rsidR="00C8092E" w:rsidRDefault="00C8092E" w:rsidP="00C8092E"/>
    <w:p w14:paraId="7730A8A6" w14:textId="77777777" w:rsidR="00C8092E" w:rsidRDefault="00C8092E" w:rsidP="00C8092E"/>
    <w:p w14:paraId="20C2CD76" w14:textId="77777777" w:rsidR="00C8092E" w:rsidRDefault="00C8092E" w:rsidP="00871065">
      <w:pPr>
        <w:pBdr>
          <w:bottom w:val="single" w:sz="2" w:space="1" w:color="auto"/>
        </w:pBdr>
        <w:spacing w:after="240" w:line="240" w:lineRule="auto"/>
        <w:ind w:firstLine="0"/>
        <w:jc w:val="both"/>
        <w:rPr>
          <w:rFonts w:ascii="Arial Black" w:hAnsi="Arial Black"/>
          <w:sz w:val="22"/>
        </w:rPr>
        <w:sectPr w:rsidR="00C8092E" w:rsidSect="004244EE">
          <w:headerReference w:type="default" r:id="rId10"/>
          <w:footerReference w:type="default" r:id="rId11"/>
          <w:pgSz w:w="12240" w:h="15840"/>
          <w:pgMar w:top="1008" w:right="965" w:bottom="1195" w:left="3629" w:header="720" w:footer="720" w:gutter="0"/>
          <w:cols w:space="720"/>
          <w:docGrid w:linePitch="360"/>
        </w:sectPr>
      </w:pPr>
    </w:p>
    <w:p w14:paraId="693FCC7F" w14:textId="77777777" w:rsidR="00871065" w:rsidRDefault="00871065" w:rsidP="00871065">
      <w:pPr>
        <w:pBdr>
          <w:bottom w:val="single" w:sz="2" w:space="1" w:color="auto"/>
        </w:pBdr>
        <w:spacing w:after="240" w:line="240" w:lineRule="auto"/>
        <w:ind w:firstLine="0"/>
        <w:jc w:val="both"/>
        <w:rPr>
          <w:rFonts w:ascii="Arial Black" w:hAnsi="Arial Black"/>
          <w:sz w:val="22"/>
        </w:rPr>
      </w:pPr>
      <w:bookmarkStart w:id="8" w:name="AppLetter"/>
      <w:bookmarkStart w:id="9" w:name="AppTitle"/>
      <w:bookmarkEnd w:id="8"/>
      <w:bookmarkEnd w:id="9"/>
      <w:r>
        <w:rPr>
          <w:rFonts w:ascii="Arial Black" w:hAnsi="Arial Black"/>
          <w:sz w:val="22"/>
        </w:rPr>
        <w:lastRenderedPageBreak/>
        <w:t>CONTENTS</w:t>
      </w:r>
    </w:p>
    <w:p w14:paraId="4F9522D7" w14:textId="77777777" w:rsidR="00E74068" w:rsidRDefault="00871065">
      <w:pPr>
        <w:pStyle w:val="TOC8"/>
      </w:pPr>
      <w:r>
        <w:t xml:space="preserve">PART </w:t>
      </w:r>
      <w:r w:rsidR="00B8600E">
        <w:t>b</w:t>
      </w:r>
      <w:r>
        <w:t xml:space="preserve">: </w:t>
      </w:r>
      <w:r w:rsidR="00B8600E" w:rsidRPr="00B8600E">
        <w:t>Collections of Information Employing Statistical Methods</w:t>
      </w:r>
    </w:p>
    <w:p w14:paraId="40665041" w14:textId="0EF440F9" w:rsidR="007A2FFB" w:rsidRDefault="00C611BE">
      <w:pPr>
        <w:pStyle w:val="TOC1"/>
        <w:rPr>
          <w:rFonts w:asciiTheme="minorHAnsi" w:eastAsiaTheme="minorEastAsia" w:hAnsiTheme="minorHAnsi" w:cstheme="minorBidi"/>
          <w:caps w:val="0"/>
          <w:noProof/>
          <w:sz w:val="22"/>
          <w:szCs w:val="22"/>
        </w:rPr>
      </w:pPr>
      <w:r>
        <w:rPr>
          <w:rFonts w:cs="Arial"/>
        </w:rPr>
        <w:fldChar w:fldCharType="begin"/>
      </w:r>
      <w:r w:rsidR="00AB3372">
        <w:rPr>
          <w:rFonts w:cs="Arial"/>
        </w:rPr>
        <w:instrText xml:space="preserve"> TOC \t "H3_Alpha,1,H4_Number,2" </w:instrText>
      </w:r>
      <w:r>
        <w:rPr>
          <w:rFonts w:cs="Arial"/>
        </w:rPr>
        <w:fldChar w:fldCharType="separate"/>
      </w:r>
      <w:r w:rsidR="007A2FFB">
        <w:rPr>
          <w:noProof/>
        </w:rPr>
        <w:t>B.1. Description of respondent universe and sampling methods</w:t>
      </w:r>
      <w:r w:rsidR="007A2FFB">
        <w:rPr>
          <w:noProof/>
        </w:rPr>
        <w:tab/>
      </w:r>
      <w:r w:rsidR="007A2FFB">
        <w:rPr>
          <w:noProof/>
        </w:rPr>
        <w:fldChar w:fldCharType="begin"/>
      </w:r>
      <w:r w:rsidR="007A2FFB">
        <w:rPr>
          <w:noProof/>
        </w:rPr>
        <w:instrText xml:space="preserve"> PAGEREF _Toc531085508 \h </w:instrText>
      </w:r>
      <w:r w:rsidR="007A2FFB">
        <w:rPr>
          <w:noProof/>
        </w:rPr>
      </w:r>
      <w:r w:rsidR="007A2FFB">
        <w:rPr>
          <w:noProof/>
        </w:rPr>
        <w:fldChar w:fldCharType="separate"/>
      </w:r>
      <w:r w:rsidR="007A2FFB">
        <w:rPr>
          <w:noProof/>
        </w:rPr>
        <w:t>6</w:t>
      </w:r>
      <w:r w:rsidR="007A2FFB">
        <w:rPr>
          <w:noProof/>
        </w:rPr>
        <w:fldChar w:fldCharType="end"/>
      </w:r>
    </w:p>
    <w:p w14:paraId="3021AD00" w14:textId="7046D2FC" w:rsidR="007A2FFB" w:rsidRDefault="007A2FFB">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Sample Frame Determination</w:t>
      </w:r>
      <w:r>
        <w:tab/>
      </w:r>
      <w:r>
        <w:fldChar w:fldCharType="begin"/>
      </w:r>
      <w:r>
        <w:instrText xml:space="preserve"> PAGEREF _Toc531085509 \h </w:instrText>
      </w:r>
      <w:r>
        <w:fldChar w:fldCharType="separate"/>
      </w:r>
      <w:r>
        <w:t>7</w:t>
      </w:r>
      <w:r>
        <w:fldChar w:fldCharType="end"/>
      </w:r>
    </w:p>
    <w:p w14:paraId="16F6953F" w14:textId="018DB9B6" w:rsidR="007A2FFB" w:rsidRDefault="007A2FFB">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Design Features</w:t>
      </w:r>
      <w:r>
        <w:tab/>
      </w:r>
      <w:r>
        <w:fldChar w:fldCharType="begin"/>
      </w:r>
      <w:r>
        <w:instrText xml:space="preserve"> PAGEREF _Toc531085510 \h </w:instrText>
      </w:r>
      <w:r>
        <w:fldChar w:fldCharType="separate"/>
      </w:r>
      <w:r>
        <w:t>8</w:t>
      </w:r>
      <w:r>
        <w:fldChar w:fldCharType="end"/>
      </w:r>
    </w:p>
    <w:p w14:paraId="0CC846DD" w14:textId="6448DEC6" w:rsidR="007A2FFB" w:rsidRDefault="007A2FFB">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Sampling plan</w:t>
      </w:r>
      <w:r>
        <w:tab/>
      </w:r>
      <w:r>
        <w:fldChar w:fldCharType="begin"/>
      </w:r>
      <w:r>
        <w:instrText xml:space="preserve"> PAGEREF _Toc531085511 \h </w:instrText>
      </w:r>
      <w:r>
        <w:fldChar w:fldCharType="separate"/>
      </w:r>
      <w:r>
        <w:t>9</w:t>
      </w:r>
      <w:r>
        <w:fldChar w:fldCharType="end"/>
      </w:r>
    </w:p>
    <w:p w14:paraId="7A534FDE" w14:textId="57353E63" w:rsidR="007A2FFB" w:rsidRDefault="007A2FFB">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Response Rates and Nonresponse Bias Analysis</w:t>
      </w:r>
      <w:r>
        <w:tab/>
      </w:r>
      <w:r>
        <w:fldChar w:fldCharType="begin"/>
      </w:r>
      <w:r>
        <w:instrText xml:space="preserve"> PAGEREF _Toc531085512 \h </w:instrText>
      </w:r>
      <w:r>
        <w:fldChar w:fldCharType="separate"/>
      </w:r>
      <w:r>
        <w:t>11</w:t>
      </w:r>
      <w:r>
        <w:fldChar w:fldCharType="end"/>
      </w:r>
    </w:p>
    <w:p w14:paraId="692BF1B4" w14:textId="7ABF767F" w:rsidR="007A2FFB" w:rsidRDefault="007A2FFB">
      <w:pPr>
        <w:pStyle w:val="TOC1"/>
        <w:rPr>
          <w:rFonts w:asciiTheme="minorHAnsi" w:eastAsiaTheme="minorEastAsia" w:hAnsiTheme="minorHAnsi" w:cstheme="minorBidi"/>
          <w:caps w:val="0"/>
          <w:noProof/>
          <w:sz w:val="22"/>
          <w:szCs w:val="22"/>
        </w:rPr>
      </w:pPr>
      <w:r>
        <w:rPr>
          <w:noProof/>
        </w:rPr>
        <w:t>B.2. Procedures for the collection of information</w:t>
      </w:r>
      <w:r>
        <w:rPr>
          <w:noProof/>
        </w:rPr>
        <w:tab/>
      </w:r>
      <w:r>
        <w:rPr>
          <w:noProof/>
        </w:rPr>
        <w:fldChar w:fldCharType="begin"/>
      </w:r>
      <w:r>
        <w:rPr>
          <w:noProof/>
        </w:rPr>
        <w:instrText xml:space="preserve"> PAGEREF _Toc531085513 \h </w:instrText>
      </w:r>
      <w:r>
        <w:rPr>
          <w:noProof/>
        </w:rPr>
      </w:r>
      <w:r>
        <w:rPr>
          <w:noProof/>
        </w:rPr>
        <w:fldChar w:fldCharType="separate"/>
      </w:r>
      <w:r>
        <w:rPr>
          <w:noProof/>
        </w:rPr>
        <w:t>12</w:t>
      </w:r>
      <w:r>
        <w:rPr>
          <w:noProof/>
        </w:rPr>
        <w:fldChar w:fldCharType="end"/>
      </w:r>
    </w:p>
    <w:p w14:paraId="55E4828C" w14:textId="36C0DD84" w:rsidR="007A2FFB" w:rsidRDefault="007A2FFB">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Estimation Procedures</w:t>
      </w:r>
      <w:r>
        <w:tab/>
      </w:r>
      <w:r>
        <w:fldChar w:fldCharType="begin"/>
      </w:r>
      <w:r>
        <w:instrText xml:space="preserve"> PAGEREF _Toc531085514 \h </w:instrText>
      </w:r>
      <w:r>
        <w:fldChar w:fldCharType="separate"/>
      </w:r>
      <w:r>
        <w:t>13</w:t>
      </w:r>
      <w:r>
        <w:fldChar w:fldCharType="end"/>
      </w:r>
    </w:p>
    <w:p w14:paraId="3A710DE0" w14:textId="39C2DC9F" w:rsidR="007A2FFB" w:rsidRDefault="007A2FFB">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Statistical Power</w:t>
      </w:r>
      <w:r>
        <w:tab/>
      </w:r>
      <w:r>
        <w:fldChar w:fldCharType="begin"/>
      </w:r>
      <w:r>
        <w:instrText xml:space="preserve"> PAGEREF _Toc531085515 \h </w:instrText>
      </w:r>
      <w:r>
        <w:fldChar w:fldCharType="separate"/>
      </w:r>
      <w:r>
        <w:t>17</w:t>
      </w:r>
      <w:r>
        <w:fldChar w:fldCharType="end"/>
      </w:r>
    </w:p>
    <w:p w14:paraId="1E2E1C20" w14:textId="01F450A0" w:rsidR="007A2FFB" w:rsidRDefault="007A2FFB">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Statistical methodology for sample section</w:t>
      </w:r>
      <w:r>
        <w:tab/>
      </w:r>
      <w:r>
        <w:fldChar w:fldCharType="begin"/>
      </w:r>
      <w:r>
        <w:instrText xml:space="preserve"> PAGEREF _Toc531085516 \h </w:instrText>
      </w:r>
      <w:r>
        <w:fldChar w:fldCharType="separate"/>
      </w:r>
      <w:r>
        <w:t>21</w:t>
      </w:r>
      <w:r>
        <w:fldChar w:fldCharType="end"/>
      </w:r>
    </w:p>
    <w:p w14:paraId="69F9B19E" w14:textId="1667A5E1" w:rsidR="007A2FFB" w:rsidRDefault="007A2FFB">
      <w:pPr>
        <w:pStyle w:val="TOC1"/>
        <w:rPr>
          <w:rFonts w:asciiTheme="minorHAnsi" w:eastAsiaTheme="minorEastAsia" w:hAnsiTheme="minorHAnsi" w:cstheme="minorBidi"/>
          <w:caps w:val="0"/>
          <w:noProof/>
          <w:sz w:val="22"/>
          <w:szCs w:val="22"/>
        </w:rPr>
      </w:pPr>
      <w:r>
        <w:rPr>
          <w:noProof/>
        </w:rPr>
        <w:t>B.3. Methods to maximize response rates and deal with nonresponse</w:t>
      </w:r>
      <w:r>
        <w:rPr>
          <w:noProof/>
        </w:rPr>
        <w:tab/>
      </w:r>
      <w:r>
        <w:rPr>
          <w:noProof/>
        </w:rPr>
        <w:fldChar w:fldCharType="begin"/>
      </w:r>
      <w:r>
        <w:rPr>
          <w:noProof/>
        </w:rPr>
        <w:instrText xml:space="preserve"> PAGEREF _Toc531085517 \h </w:instrText>
      </w:r>
      <w:r>
        <w:rPr>
          <w:noProof/>
        </w:rPr>
      </w:r>
      <w:r>
        <w:rPr>
          <w:noProof/>
        </w:rPr>
        <w:fldChar w:fldCharType="separate"/>
      </w:r>
      <w:r>
        <w:rPr>
          <w:noProof/>
        </w:rPr>
        <w:t>21</w:t>
      </w:r>
      <w:r>
        <w:rPr>
          <w:noProof/>
        </w:rPr>
        <w:fldChar w:fldCharType="end"/>
      </w:r>
    </w:p>
    <w:p w14:paraId="2B1FEADE" w14:textId="78B5CB80" w:rsidR="007A2FFB" w:rsidRDefault="007A2FFB">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Survey Data Collection</w:t>
      </w:r>
      <w:r>
        <w:tab/>
      </w:r>
      <w:r>
        <w:fldChar w:fldCharType="begin"/>
      </w:r>
      <w:r>
        <w:instrText xml:space="preserve"> PAGEREF _Toc531085518 \h </w:instrText>
      </w:r>
      <w:r>
        <w:fldChar w:fldCharType="separate"/>
      </w:r>
      <w:r>
        <w:t>22</w:t>
      </w:r>
      <w:r>
        <w:fldChar w:fldCharType="end"/>
      </w:r>
    </w:p>
    <w:p w14:paraId="028212C8" w14:textId="584C946B" w:rsidR="007A2FFB" w:rsidRDefault="007A2FFB">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Focus group data collection</w:t>
      </w:r>
      <w:r>
        <w:tab/>
      </w:r>
      <w:r>
        <w:fldChar w:fldCharType="begin"/>
      </w:r>
      <w:r>
        <w:instrText xml:space="preserve"> PAGEREF _Toc531085519 \h </w:instrText>
      </w:r>
      <w:r>
        <w:fldChar w:fldCharType="separate"/>
      </w:r>
      <w:r>
        <w:t>28</w:t>
      </w:r>
      <w:r>
        <w:fldChar w:fldCharType="end"/>
      </w:r>
    </w:p>
    <w:p w14:paraId="531724BF" w14:textId="7023B044" w:rsidR="007A2FFB" w:rsidRDefault="007A2FFB">
      <w:pPr>
        <w:pStyle w:val="TOC1"/>
        <w:rPr>
          <w:rFonts w:asciiTheme="minorHAnsi" w:eastAsiaTheme="minorEastAsia" w:hAnsiTheme="minorHAnsi" w:cstheme="minorBidi"/>
          <w:caps w:val="0"/>
          <w:noProof/>
          <w:sz w:val="22"/>
          <w:szCs w:val="22"/>
        </w:rPr>
      </w:pPr>
      <w:r>
        <w:rPr>
          <w:noProof/>
        </w:rPr>
        <w:t>B.4. Description of tests of procedures</w:t>
      </w:r>
      <w:r>
        <w:rPr>
          <w:noProof/>
        </w:rPr>
        <w:tab/>
      </w:r>
      <w:r>
        <w:rPr>
          <w:noProof/>
        </w:rPr>
        <w:fldChar w:fldCharType="begin"/>
      </w:r>
      <w:r>
        <w:rPr>
          <w:noProof/>
        </w:rPr>
        <w:instrText xml:space="preserve"> PAGEREF _Toc531085520 \h </w:instrText>
      </w:r>
      <w:r>
        <w:rPr>
          <w:noProof/>
        </w:rPr>
      </w:r>
      <w:r>
        <w:rPr>
          <w:noProof/>
        </w:rPr>
        <w:fldChar w:fldCharType="separate"/>
      </w:r>
      <w:r>
        <w:rPr>
          <w:noProof/>
        </w:rPr>
        <w:t>28</w:t>
      </w:r>
      <w:r>
        <w:rPr>
          <w:noProof/>
        </w:rPr>
        <w:fldChar w:fldCharType="end"/>
      </w:r>
    </w:p>
    <w:p w14:paraId="39E9A608" w14:textId="380C7847" w:rsidR="007A2FFB" w:rsidRDefault="007A2FFB">
      <w:pPr>
        <w:pStyle w:val="TOC1"/>
        <w:rPr>
          <w:rFonts w:asciiTheme="minorHAnsi" w:eastAsiaTheme="minorEastAsia" w:hAnsiTheme="minorHAnsi" w:cstheme="minorBidi"/>
          <w:caps w:val="0"/>
          <w:noProof/>
          <w:sz w:val="22"/>
          <w:szCs w:val="22"/>
        </w:rPr>
      </w:pPr>
      <w:r>
        <w:rPr>
          <w:noProof/>
        </w:rPr>
        <w:t>B.5. Individuals consulted on statistical aspects of the design</w:t>
      </w:r>
      <w:r>
        <w:rPr>
          <w:noProof/>
        </w:rPr>
        <w:tab/>
      </w:r>
      <w:r>
        <w:rPr>
          <w:noProof/>
        </w:rPr>
        <w:fldChar w:fldCharType="begin"/>
      </w:r>
      <w:r>
        <w:rPr>
          <w:noProof/>
        </w:rPr>
        <w:instrText xml:space="preserve"> PAGEREF _Toc531085521 \h </w:instrText>
      </w:r>
      <w:r>
        <w:rPr>
          <w:noProof/>
        </w:rPr>
      </w:r>
      <w:r>
        <w:rPr>
          <w:noProof/>
        </w:rPr>
        <w:fldChar w:fldCharType="separate"/>
      </w:r>
      <w:r>
        <w:rPr>
          <w:noProof/>
        </w:rPr>
        <w:t>29</w:t>
      </w:r>
      <w:r>
        <w:rPr>
          <w:noProof/>
        </w:rPr>
        <w:fldChar w:fldCharType="end"/>
      </w:r>
    </w:p>
    <w:p w14:paraId="59ECE6D8" w14:textId="77777777" w:rsidR="00B8600E" w:rsidRDefault="00C611BE" w:rsidP="00871065">
      <w:pPr>
        <w:spacing w:after="180" w:line="240" w:lineRule="auto"/>
        <w:ind w:firstLine="0"/>
        <w:jc w:val="both"/>
        <w:rPr>
          <w:rFonts w:ascii="Arial" w:hAnsi="Arial" w:cs="Arial"/>
          <w:sz w:val="20"/>
        </w:rPr>
      </w:pPr>
      <w:r>
        <w:rPr>
          <w:rFonts w:ascii="Arial" w:hAnsi="Arial" w:cs="Arial"/>
          <w:sz w:val="20"/>
        </w:rPr>
        <w:fldChar w:fldCharType="end"/>
      </w:r>
    </w:p>
    <w:p w14:paraId="6664B4CC" w14:textId="77777777" w:rsidR="00E74068" w:rsidRDefault="00E74068" w:rsidP="00E74068">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EXHIBITS</w:t>
      </w:r>
    </w:p>
    <w:p w14:paraId="371AAF1A" w14:textId="6E3DFE58" w:rsidR="0066481B" w:rsidRDefault="00C611BE">
      <w:pPr>
        <w:pStyle w:val="TableofFigures"/>
        <w:rPr>
          <w:rFonts w:asciiTheme="minorHAnsi" w:eastAsiaTheme="minorEastAsia" w:hAnsiTheme="minorHAnsi" w:cstheme="minorBidi"/>
          <w:noProof/>
          <w:sz w:val="22"/>
          <w:szCs w:val="22"/>
        </w:rPr>
      </w:pPr>
      <w:r>
        <w:rPr>
          <w:rFonts w:cs="Arial"/>
        </w:rPr>
        <w:fldChar w:fldCharType="begin"/>
      </w:r>
      <w:r w:rsidR="00E74068">
        <w:rPr>
          <w:rFonts w:cs="Arial"/>
        </w:rPr>
        <w:instrText xml:space="preserve"> TOC \z \t "Mark for Exhibit Title,1" \c "Figure" </w:instrText>
      </w:r>
      <w:r>
        <w:rPr>
          <w:rFonts w:cs="Arial"/>
        </w:rPr>
        <w:fldChar w:fldCharType="separate"/>
      </w:r>
      <w:r w:rsidR="0066481B">
        <w:rPr>
          <w:noProof/>
        </w:rPr>
        <w:t>Exhibit B.2.a. Minimum detectable impacts on primary and secondary outcomes for each site</w:t>
      </w:r>
      <w:r w:rsidR="0066481B">
        <w:rPr>
          <w:noProof/>
          <w:webHidden/>
        </w:rPr>
        <w:tab/>
      </w:r>
      <w:r w:rsidR="0066481B">
        <w:rPr>
          <w:noProof/>
          <w:webHidden/>
        </w:rPr>
        <w:fldChar w:fldCharType="begin"/>
      </w:r>
      <w:r w:rsidR="0066481B">
        <w:rPr>
          <w:noProof/>
          <w:webHidden/>
        </w:rPr>
        <w:instrText xml:space="preserve"> PAGEREF _Toc531085752 \h </w:instrText>
      </w:r>
      <w:r w:rsidR="0066481B">
        <w:rPr>
          <w:noProof/>
          <w:webHidden/>
        </w:rPr>
      </w:r>
      <w:r w:rsidR="0066481B">
        <w:rPr>
          <w:noProof/>
          <w:webHidden/>
        </w:rPr>
        <w:fldChar w:fldCharType="separate"/>
      </w:r>
      <w:r w:rsidR="0066481B">
        <w:rPr>
          <w:noProof/>
          <w:webHidden/>
        </w:rPr>
        <w:t>20</w:t>
      </w:r>
      <w:r w:rsidR="0066481B">
        <w:rPr>
          <w:noProof/>
          <w:webHidden/>
        </w:rPr>
        <w:fldChar w:fldCharType="end"/>
      </w:r>
    </w:p>
    <w:p w14:paraId="1E69CFFA" w14:textId="62EF114E" w:rsidR="003E4F1D" w:rsidRPr="000D3529" w:rsidRDefault="00C611BE" w:rsidP="00FB262E">
      <w:pPr>
        <w:pStyle w:val="AcknowledgmentnoTOC"/>
      </w:pPr>
      <w:r>
        <w:rPr>
          <w:rFonts w:ascii="Arial" w:hAnsi="Arial" w:cs="Arial"/>
          <w:sz w:val="20"/>
        </w:rPr>
        <w:fldChar w:fldCharType="end"/>
      </w:r>
      <w:r w:rsidR="003E4F1D" w:rsidRPr="000D3529">
        <w:t>ATTACHMENTS</w:t>
      </w:r>
    </w:p>
    <w:p w14:paraId="537B2566"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A</w:t>
      </w:r>
      <w:r w:rsidRPr="00923BAF">
        <w:rPr>
          <w:rFonts w:ascii="Arial" w:hAnsi="Arial" w:cs="Arial"/>
          <w:sz w:val="22"/>
          <w:szCs w:val="22"/>
        </w:rPr>
        <w:tab/>
        <w:t>Agriculture Act of 2014 (The 2014 Farm Bill)</w:t>
      </w:r>
    </w:p>
    <w:p w14:paraId="36568FB3" w14:textId="77777777" w:rsidR="00D25841" w:rsidRPr="00923BAF"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 xml:space="preserve"> </w:t>
      </w:r>
    </w:p>
    <w:p w14:paraId="31D3911B"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B</w:t>
      </w:r>
      <w:r w:rsidRPr="00923BAF">
        <w:rPr>
          <w:rFonts w:ascii="Arial" w:hAnsi="Arial" w:cs="Arial"/>
          <w:sz w:val="22"/>
          <w:szCs w:val="22"/>
        </w:rPr>
        <w:tab/>
      </w:r>
      <w:r>
        <w:rPr>
          <w:rFonts w:ascii="Arial" w:hAnsi="Arial" w:cs="Arial"/>
          <w:sz w:val="22"/>
          <w:szCs w:val="22"/>
        </w:rPr>
        <w:t xml:space="preserve">Study Description: </w:t>
      </w:r>
      <w:r w:rsidRPr="00923BAF">
        <w:rPr>
          <w:rFonts w:ascii="Arial" w:hAnsi="Arial" w:cs="Arial"/>
          <w:sz w:val="22"/>
          <w:szCs w:val="22"/>
        </w:rPr>
        <w:t xml:space="preserve">Research </w:t>
      </w:r>
      <w:r>
        <w:rPr>
          <w:rFonts w:ascii="Arial" w:hAnsi="Arial" w:cs="Arial"/>
          <w:sz w:val="22"/>
          <w:szCs w:val="22"/>
        </w:rPr>
        <w:t>Questions,</w:t>
      </w:r>
      <w:r w:rsidRPr="00923BAF">
        <w:rPr>
          <w:rFonts w:ascii="Arial" w:hAnsi="Arial" w:cs="Arial"/>
          <w:sz w:val="22"/>
          <w:szCs w:val="22"/>
        </w:rPr>
        <w:t xml:space="preserve"> Data Sources</w:t>
      </w:r>
      <w:r>
        <w:rPr>
          <w:rFonts w:ascii="Arial" w:hAnsi="Arial" w:cs="Arial"/>
          <w:sz w:val="22"/>
          <w:szCs w:val="22"/>
        </w:rPr>
        <w:t>, and Key Outcomes</w:t>
      </w:r>
    </w:p>
    <w:p w14:paraId="1C7292CD" w14:textId="77777777" w:rsidR="00D25841" w:rsidRPr="00E822A3" w:rsidRDefault="00D25841" w:rsidP="00D25841">
      <w:pPr>
        <w:pStyle w:val="NormalSS"/>
        <w:spacing w:after="0"/>
        <w:ind w:left="900" w:hanging="900"/>
      </w:pPr>
    </w:p>
    <w:p w14:paraId="72767BB7" w14:textId="77777777" w:rsidR="00D25841" w:rsidRPr="008F16E9" w:rsidRDefault="00D25841" w:rsidP="00D25841">
      <w:pPr>
        <w:pStyle w:val="NormalSScontinued"/>
        <w:spacing w:after="0"/>
        <w:ind w:left="900" w:hanging="900"/>
        <w:rPr>
          <w:rFonts w:ascii="Arial" w:hAnsi="Arial" w:cs="Arial"/>
          <w:sz w:val="22"/>
          <w:szCs w:val="22"/>
        </w:rPr>
      </w:pPr>
      <w:r>
        <w:rPr>
          <w:rFonts w:ascii="Arial" w:hAnsi="Arial" w:cs="Arial"/>
          <w:sz w:val="22"/>
          <w:szCs w:val="22"/>
        </w:rPr>
        <w:t>C.1</w:t>
      </w:r>
      <w:r>
        <w:rPr>
          <w:rFonts w:ascii="Arial" w:hAnsi="Arial" w:cs="Arial"/>
          <w:sz w:val="22"/>
          <w:szCs w:val="22"/>
        </w:rPr>
        <w:tab/>
        <w:t>Registration Document – English</w:t>
      </w:r>
    </w:p>
    <w:p w14:paraId="467512FE" w14:textId="77777777" w:rsidR="00D25841" w:rsidRPr="00E822A3" w:rsidRDefault="00D25841" w:rsidP="00D25841">
      <w:pPr>
        <w:pStyle w:val="NormalSS"/>
        <w:spacing w:after="0"/>
        <w:ind w:left="900" w:hanging="900"/>
      </w:pPr>
    </w:p>
    <w:p w14:paraId="14666953"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C.2</w:t>
      </w:r>
      <w:r>
        <w:rPr>
          <w:rFonts w:ascii="Arial" w:hAnsi="Arial" w:cs="Arial"/>
          <w:sz w:val="22"/>
          <w:szCs w:val="22"/>
        </w:rPr>
        <w:tab/>
        <w:t>Registration Document – Spanish</w:t>
      </w:r>
    </w:p>
    <w:p w14:paraId="37E360D5" w14:textId="77777777" w:rsidR="00D25841" w:rsidRPr="008F16E9" w:rsidRDefault="00D25841" w:rsidP="00D25841">
      <w:pPr>
        <w:pStyle w:val="NormalSS"/>
        <w:spacing w:after="0"/>
        <w:ind w:left="900" w:hanging="900"/>
      </w:pPr>
    </w:p>
    <w:p w14:paraId="29069064" w14:textId="77777777" w:rsidR="00D25841" w:rsidRDefault="00D25841" w:rsidP="00D25841">
      <w:pPr>
        <w:pStyle w:val="NormalSScontinued"/>
        <w:ind w:left="900" w:hanging="900"/>
        <w:rPr>
          <w:rFonts w:ascii="Arial" w:hAnsi="Arial" w:cs="Arial"/>
          <w:sz w:val="22"/>
          <w:szCs w:val="22"/>
        </w:rPr>
      </w:pPr>
      <w:r>
        <w:rPr>
          <w:rFonts w:ascii="Arial" w:hAnsi="Arial" w:cs="Arial"/>
          <w:sz w:val="22"/>
          <w:szCs w:val="22"/>
        </w:rPr>
        <w:t>C.3</w:t>
      </w:r>
      <w:r>
        <w:rPr>
          <w:rFonts w:ascii="Arial" w:hAnsi="Arial" w:cs="Arial"/>
          <w:sz w:val="22"/>
          <w:szCs w:val="22"/>
        </w:rPr>
        <w:tab/>
        <w:t>Registration Document – Screenshots</w:t>
      </w:r>
    </w:p>
    <w:p w14:paraId="23BD4BDF" w14:textId="77777777" w:rsidR="007A2FFB" w:rsidRPr="00ED4666" w:rsidRDefault="007A2FFB" w:rsidP="007A2FFB">
      <w:pPr>
        <w:pBdr>
          <w:bottom w:val="single" w:sz="4" w:space="1" w:color="auto"/>
        </w:pBdr>
        <w:spacing w:after="240" w:line="240" w:lineRule="auto"/>
        <w:ind w:firstLine="0"/>
        <w:rPr>
          <w:rFonts w:ascii="Arial" w:hAnsi="Arial" w:cs="Arial"/>
          <w:sz w:val="22"/>
          <w:szCs w:val="22"/>
        </w:rPr>
      </w:pPr>
      <w:r>
        <w:br w:type="page"/>
      </w:r>
      <w:r w:rsidRPr="00ED4666">
        <w:rPr>
          <w:rFonts w:ascii="Arial" w:hAnsi="Arial" w:cs="Arial"/>
          <w:b/>
          <w:sz w:val="22"/>
          <w:szCs w:val="22"/>
        </w:rPr>
        <w:lastRenderedPageBreak/>
        <w:t>ATTACHMENTS</w:t>
      </w:r>
      <w:r w:rsidRPr="00ED4666">
        <w:rPr>
          <w:rFonts w:ascii="Arial" w:hAnsi="Arial" w:cs="Arial"/>
          <w:sz w:val="22"/>
          <w:szCs w:val="22"/>
        </w:rPr>
        <w:t xml:space="preserve"> (</w:t>
      </w:r>
      <w:r w:rsidRPr="00ED4666">
        <w:rPr>
          <w:rFonts w:ascii="Arial" w:hAnsi="Arial" w:cs="Arial"/>
          <w:i/>
          <w:sz w:val="22"/>
          <w:szCs w:val="22"/>
        </w:rPr>
        <w:t>continued</w:t>
      </w:r>
      <w:r w:rsidRPr="00ED4666">
        <w:rPr>
          <w:rFonts w:ascii="Arial" w:hAnsi="Arial" w:cs="Arial"/>
          <w:sz w:val="22"/>
          <w:szCs w:val="22"/>
        </w:rPr>
        <w:t>)</w:t>
      </w:r>
    </w:p>
    <w:p w14:paraId="42357DC9" w14:textId="77777777" w:rsidR="007A2FFB" w:rsidRDefault="007A2FFB" w:rsidP="00D25841">
      <w:pPr>
        <w:pStyle w:val="NormalSScontinued"/>
        <w:spacing w:after="0"/>
        <w:ind w:left="900" w:hanging="900"/>
        <w:rPr>
          <w:rFonts w:ascii="Arial" w:hAnsi="Arial" w:cs="Arial"/>
          <w:sz w:val="22"/>
          <w:szCs w:val="22"/>
        </w:rPr>
      </w:pPr>
    </w:p>
    <w:p w14:paraId="7BDE0AF7" w14:textId="1611C168"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D</w:t>
      </w:r>
      <w:r>
        <w:rPr>
          <w:rFonts w:ascii="Arial" w:hAnsi="Arial" w:cs="Arial"/>
          <w:sz w:val="22"/>
          <w:szCs w:val="22"/>
        </w:rPr>
        <w:t>.1</w:t>
      </w:r>
      <w:r w:rsidRPr="00923BAF">
        <w:rPr>
          <w:rFonts w:ascii="Arial" w:hAnsi="Arial" w:cs="Arial"/>
          <w:sz w:val="22"/>
          <w:szCs w:val="22"/>
        </w:rPr>
        <w:tab/>
        <w:t xml:space="preserve">Study Consent </w:t>
      </w:r>
      <w:r w:rsidRPr="00521305">
        <w:rPr>
          <w:rFonts w:ascii="Arial" w:hAnsi="Arial" w:cs="Arial"/>
          <w:sz w:val="22"/>
          <w:szCs w:val="22"/>
        </w:rPr>
        <w:t>Document –</w:t>
      </w:r>
      <w:r>
        <w:rPr>
          <w:rFonts w:ascii="Arial" w:hAnsi="Arial" w:cs="Arial"/>
          <w:sz w:val="22"/>
          <w:szCs w:val="22"/>
        </w:rPr>
        <w:t xml:space="preserve"> English</w:t>
      </w:r>
    </w:p>
    <w:p w14:paraId="1057A03E" w14:textId="77777777" w:rsidR="00D25841" w:rsidRPr="008F16E9" w:rsidRDefault="00D25841" w:rsidP="00D25841">
      <w:pPr>
        <w:pStyle w:val="NormalSS"/>
        <w:spacing w:after="0"/>
        <w:ind w:left="900" w:hanging="900"/>
      </w:pPr>
    </w:p>
    <w:p w14:paraId="0CAB1D67" w14:textId="77777777" w:rsidR="00D25841" w:rsidRPr="007E4D69" w:rsidRDefault="00D25841" w:rsidP="00D25841">
      <w:pPr>
        <w:pStyle w:val="NormalSScontinued"/>
        <w:spacing w:after="0"/>
        <w:ind w:left="900" w:hanging="900"/>
        <w:rPr>
          <w:rFonts w:ascii="Arial" w:hAnsi="Arial" w:cs="Arial"/>
          <w:sz w:val="22"/>
          <w:szCs w:val="22"/>
        </w:rPr>
      </w:pPr>
      <w:r>
        <w:rPr>
          <w:rFonts w:ascii="Arial" w:hAnsi="Arial" w:cs="Arial"/>
          <w:sz w:val="22"/>
          <w:szCs w:val="22"/>
        </w:rPr>
        <w:t>D.2</w:t>
      </w:r>
      <w:r>
        <w:rPr>
          <w:rFonts w:ascii="Arial" w:hAnsi="Arial" w:cs="Arial"/>
          <w:sz w:val="22"/>
          <w:szCs w:val="22"/>
        </w:rPr>
        <w:tab/>
        <w:t>Study Consent Document – Spanish</w:t>
      </w:r>
    </w:p>
    <w:p w14:paraId="1B93B8B6" w14:textId="77777777" w:rsidR="00D25841" w:rsidRPr="008F16E9" w:rsidRDefault="00D25841" w:rsidP="00D25841">
      <w:pPr>
        <w:pStyle w:val="NormalSS"/>
        <w:spacing w:after="0"/>
        <w:ind w:left="900" w:hanging="900"/>
      </w:pPr>
    </w:p>
    <w:p w14:paraId="0D21CBC0"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D.3</w:t>
      </w:r>
      <w:r>
        <w:rPr>
          <w:rFonts w:ascii="Arial" w:hAnsi="Arial" w:cs="Arial"/>
          <w:sz w:val="22"/>
          <w:szCs w:val="22"/>
        </w:rPr>
        <w:tab/>
        <w:t xml:space="preserve">Study Consent Document Mandatory </w:t>
      </w:r>
      <w:r w:rsidRPr="007E4D69">
        <w:rPr>
          <w:rFonts w:ascii="Arial" w:hAnsi="Arial" w:cs="Arial"/>
          <w:sz w:val="22"/>
          <w:szCs w:val="22"/>
        </w:rPr>
        <w:t>–</w:t>
      </w:r>
      <w:r>
        <w:rPr>
          <w:rFonts w:ascii="Arial" w:hAnsi="Arial" w:cs="Arial"/>
          <w:sz w:val="22"/>
          <w:szCs w:val="22"/>
        </w:rPr>
        <w:t xml:space="preserve"> English</w:t>
      </w:r>
    </w:p>
    <w:p w14:paraId="64924FFA" w14:textId="77777777" w:rsidR="00D25841" w:rsidRDefault="00D25841" w:rsidP="00D25841">
      <w:pPr>
        <w:pStyle w:val="NormalSScontinued"/>
        <w:spacing w:after="0"/>
        <w:ind w:left="900" w:hanging="900"/>
        <w:rPr>
          <w:rFonts w:ascii="Arial" w:hAnsi="Arial" w:cs="Arial"/>
          <w:sz w:val="22"/>
          <w:szCs w:val="22"/>
        </w:rPr>
      </w:pPr>
    </w:p>
    <w:p w14:paraId="5C1311BF"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D.4</w:t>
      </w:r>
      <w:r>
        <w:rPr>
          <w:rFonts w:ascii="Arial" w:hAnsi="Arial" w:cs="Arial"/>
          <w:sz w:val="22"/>
          <w:szCs w:val="22"/>
        </w:rPr>
        <w:tab/>
      </w:r>
      <w:r w:rsidRPr="007E4D69">
        <w:rPr>
          <w:rFonts w:ascii="Arial" w:hAnsi="Arial" w:cs="Arial"/>
          <w:sz w:val="22"/>
          <w:szCs w:val="22"/>
        </w:rPr>
        <w:t>Study Cons</w:t>
      </w:r>
      <w:r>
        <w:rPr>
          <w:rFonts w:ascii="Arial" w:hAnsi="Arial" w:cs="Arial"/>
          <w:sz w:val="22"/>
          <w:szCs w:val="22"/>
        </w:rPr>
        <w:t xml:space="preserve">ent Document Mandatory – Spanish </w:t>
      </w:r>
    </w:p>
    <w:p w14:paraId="629CA3C0" w14:textId="77777777" w:rsidR="00D25841" w:rsidRDefault="00D25841" w:rsidP="00D25841">
      <w:pPr>
        <w:pStyle w:val="NormalSScontinued"/>
        <w:spacing w:after="0"/>
        <w:ind w:left="900" w:hanging="900"/>
        <w:rPr>
          <w:rFonts w:ascii="Arial" w:hAnsi="Arial" w:cs="Arial"/>
          <w:sz w:val="22"/>
          <w:szCs w:val="22"/>
        </w:rPr>
      </w:pPr>
    </w:p>
    <w:p w14:paraId="2E42F503"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E</w:t>
      </w:r>
      <w:r>
        <w:rPr>
          <w:rFonts w:ascii="Arial" w:hAnsi="Arial" w:cs="Arial"/>
          <w:sz w:val="22"/>
          <w:szCs w:val="22"/>
        </w:rPr>
        <w:t>.1</w:t>
      </w:r>
      <w:r w:rsidRPr="00923BAF">
        <w:rPr>
          <w:rFonts w:ascii="Arial" w:hAnsi="Arial" w:cs="Arial"/>
          <w:sz w:val="22"/>
          <w:szCs w:val="22"/>
        </w:rPr>
        <w:tab/>
      </w:r>
      <w:r>
        <w:rPr>
          <w:rFonts w:ascii="Arial" w:hAnsi="Arial" w:cs="Arial"/>
          <w:sz w:val="22"/>
          <w:szCs w:val="22"/>
        </w:rPr>
        <w:t>We</w:t>
      </w:r>
      <w:r w:rsidRPr="00923BAF">
        <w:rPr>
          <w:rFonts w:ascii="Arial" w:hAnsi="Arial" w:cs="Arial"/>
          <w:sz w:val="22"/>
          <w:szCs w:val="22"/>
        </w:rPr>
        <w:t>lcome Packet Letter</w:t>
      </w:r>
      <w:r>
        <w:rPr>
          <w:rFonts w:ascii="Arial" w:hAnsi="Arial" w:cs="Arial"/>
          <w:sz w:val="22"/>
          <w:szCs w:val="22"/>
        </w:rPr>
        <w:t xml:space="preserve"> – English </w:t>
      </w:r>
    </w:p>
    <w:p w14:paraId="59BE3C05" w14:textId="77777777" w:rsidR="00D25841" w:rsidRPr="00E822A3" w:rsidRDefault="00D25841" w:rsidP="00D25841">
      <w:pPr>
        <w:pStyle w:val="NormalSS"/>
        <w:spacing w:after="0"/>
        <w:ind w:left="900" w:hanging="900"/>
      </w:pPr>
    </w:p>
    <w:p w14:paraId="7211740A"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E.2</w:t>
      </w:r>
      <w:r>
        <w:rPr>
          <w:rFonts w:ascii="Arial" w:hAnsi="Arial" w:cs="Arial"/>
          <w:sz w:val="22"/>
          <w:szCs w:val="22"/>
        </w:rPr>
        <w:tab/>
        <w:t xml:space="preserve">Welcome Packet Letter – Spanish </w:t>
      </w:r>
    </w:p>
    <w:p w14:paraId="229D96E0" w14:textId="77777777" w:rsidR="00D25841" w:rsidRDefault="00D25841" w:rsidP="00D25841">
      <w:pPr>
        <w:pStyle w:val="NormalSScontinued"/>
        <w:spacing w:before="240" w:after="0"/>
        <w:ind w:left="900" w:hanging="900"/>
        <w:rPr>
          <w:rFonts w:ascii="Arial" w:hAnsi="Arial" w:cs="Arial"/>
          <w:sz w:val="22"/>
          <w:szCs w:val="22"/>
        </w:rPr>
      </w:pPr>
      <w:r w:rsidRPr="00923BAF">
        <w:rPr>
          <w:rFonts w:ascii="Arial" w:hAnsi="Arial" w:cs="Arial"/>
          <w:sz w:val="22"/>
          <w:szCs w:val="22"/>
        </w:rPr>
        <w:t>F</w:t>
      </w:r>
      <w:r>
        <w:rPr>
          <w:rFonts w:ascii="Arial" w:hAnsi="Arial" w:cs="Arial"/>
          <w:sz w:val="22"/>
          <w:szCs w:val="22"/>
        </w:rPr>
        <w:t>.1</w:t>
      </w:r>
      <w:r w:rsidRPr="00923BAF">
        <w:rPr>
          <w:rFonts w:ascii="Arial" w:hAnsi="Arial" w:cs="Arial"/>
          <w:sz w:val="22"/>
          <w:szCs w:val="22"/>
        </w:rPr>
        <w:tab/>
        <w:t>Study Brochure</w:t>
      </w:r>
      <w:r>
        <w:rPr>
          <w:rFonts w:ascii="Arial" w:hAnsi="Arial" w:cs="Arial"/>
          <w:sz w:val="22"/>
          <w:szCs w:val="22"/>
        </w:rPr>
        <w:t xml:space="preserve"> – English</w:t>
      </w:r>
    </w:p>
    <w:p w14:paraId="12B1D0F1" w14:textId="77777777" w:rsidR="00D25841" w:rsidRPr="00E822A3" w:rsidRDefault="00D25841" w:rsidP="00D25841">
      <w:pPr>
        <w:pStyle w:val="NormalSS"/>
        <w:spacing w:after="0"/>
        <w:ind w:left="900" w:hanging="900"/>
      </w:pPr>
    </w:p>
    <w:p w14:paraId="4AA95E8E" w14:textId="77777777" w:rsidR="00D25841" w:rsidRDefault="00D25841" w:rsidP="00D25841">
      <w:pPr>
        <w:pStyle w:val="NormalSScontinued"/>
        <w:ind w:left="900" w:hanging="900"/>
        <w:rPr>
          <w:rFonts w:ascii="Arial" w:hAnsi="Arial" w:cs="Arial"/>
          <w:sz w:val="22"/>
          <w:szCs w:val="22"/>
        </w:rPr>
      </w:pPr>
      <w:r>
        <w:rPr>
          <w:rFonts w:ascii="Arial" w:hAnsi="Arial" w:cs="Arial"/>
          <w:sz w:val="22"/>
          <w:szCs w:val="22"/>
        </w:rPr>
        <w:t>F.2</w:t>
      </w:r>
      <w:r>
        <w:rPr>
          <w:rFonts w:ascii="Arial" w:hAnsi="Arial" w:cs="Arial"/>
          <w:sz w:val="22"/>
          <w:szCs w:val="22"/>
        </w:rPr>
        <w:tab/>
        <w:t xml:space="preserve">Study Brochure – Spanish </w:t>
      </w:r>
    </w:p>
    <w:p w14:paraId="5E9D3F7B"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G</w:t>
      </w:r>
      <w:r>
        <w:rPr>
          <w:rFonts w:ascii="Arial" w:hAnsi="Arial" w:cs="Arial"/>
          <w:sz w:val="22"/>
          <w:szCs w:val="22"/>
        </w:rPr>
        <w:t>.1</w:t>
      </w:r>
      <w:r w:rsidRPr="00923BAF">
        <w:rPr>
          <w:rFonts w:ascii="Arial" w:hAnsi="Arial" w:cs="Arial"/>
          <w:sz w:val="22"/>
          <w:szCs w:val="22"/>
        </w:rPr>
        <w:tab/>
        <w:t>Seasonal Postcard</w:t>
      </w:r>
      <w:r>
        <w:rPr>
          <w:rFonts w:ascii="Arial" w:hAnsi="Arial" w:cs="Arial"/>
          <w:sz w:val="22"/>
          <w:szCs w:val="22"/>
        </w:rPr>
        <w:t xml:space="preserve"> - English</w:t>
      </w:r>
    </w:p>
    <w:p w14:paraId="51993FFA" w14:textId="77777777" w:rsidR="00D25841" w:rsidRPr="00E822A3" w:rsidRDefault="00D25841" w:rsidP="00D25841">
      <w:pPr>
        <w:pStyle w:val="NormalSS"/>
        <w:spacing w:after="0"/>
        <w:ind w:left="900" w:hanging="900"/>
      </w:pPr>
    </w:p>
    <w:p w14:paraId="7F38420B"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G.2</w:t>
      </w:r>
      <w:r>
        <w:rPr>
          <w:rFonts w:ascii="Arial" w:hAnsi="Arial" w:cs="Arial"/>
          <w:sz w:val="22"/>
          <w:szCs w:val="22"/>
        </w:rPr>
        <w:tab/>
        <w:t>Seasonal Postcard - Spanish</w:t>
      </w:r>
    </w:p>
    <w:p w14:paraId="2C4A933D" w14:textId="77777777" w:rsidR="00D25841" w:rsidRDefault="00D25841" w:rsidP="00D25841">
      <w:pPr>
        <w:pStyle w:val="NormalSScontinued"/>
        <w:spacing w:after="0"/>
        <w:ind w:left="900" w:hanging="900"/>
        <w:rPr>
          <w:rFonts w:ascii="Arial" w:hAnsi="Arial" w:cs="Arial"/>
          <w:sz w:val="22"/>
          <w:szCs w:val="22"/>
        </w:rPr>
      </w:pPr>
    </w:p>
    <w:p w14:paraId="42357AF6" w14:textId="77777777" w:rsidR="007A2FFB" w:rsidRDefault="00D25841" w:rsidP="00FB262E">
      <w:pPr>
        <w:pStyle w:val="NormalSScontinued"/>
        <w:spacing w:after="0"/>
        <w:ind w:left="900" w:hanging="900"/>
        <w:rPr>
          <w:rFonts w:ascii="Arial" w:hAnsi="Arial" w:cs="Arial"/>
          <w:sz w:val="22"/>
          <w:szCs w:val="22"/>
        </w:rPr>
      </w:pPr>
      <w:r w:rsidRPr="00923BAF">
        <w:rPr>
          <w:rFonts w:ascii="Arial" w:hAnsi="Arial" w:cs="Arial"/>
          <w:sz w:val="22"/>
          <w:szCs w:val="22"/>
        </w:rPr>
        <w:t>H</w:t>
      </w:r>
      <w:r w:rsidRPr="00923BAF">
        <w:rPr>
          <w:rFonts w:ascii="Arial" w:hAnsi="Arial" w:cs="Arial"/>
          <w:sz w:val="22"/>
          <w:szCs w:val="22"/>
        </w:rPr>
        <w:tab/>
        <w:t>Master Site Visit Protocol</w:t>
      </w:r>
      <w:bookmarkStart w:id="10" w:name="_Toc429141762"/>
      <w:bookmarkStart w:id="11" w:name="_Toc432153666"/>
      <w:bookmarkStart w:id="12" w:name="_Toc432154545"/>
      <w:bookmarkStart w:id="13" w:name="_Toc432154803"/>
    </w:p>
    <w:bookmarkEnd w:id="10"/>
    <w:bookmarkEnd w:id="11"/>
    <w:bookmarkEnd w:id="12"/>
    <w:bookmarkEnd w:id="13"/>
    <w:p w14:paraId="6554B4B9" w14:textId="77777777" w:rsidR="007A2FFB" w:rsidRDefault="007A2FFB" w:rsidP="00D25841">
      <w:pPr>
        <w:pStyle w:val="NormalSScontinued"/>
        <w:spacing w:after="0"/>
        <w:ind w:left="900" w:hanging="900"/>
        <w:rPr>
          <w:rFonts w:ascii="Arial" w:hAnsi="Arial" w:cs="Arial"/>
          <w:sz w:val="22"/>
          <w:szCs w:val="22"/>
        </w:rPr>
      </w:pPr>
    </w:p>
    <w:p w14:paraId="10CDD54D" w14:textId="497EF766"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I.1</w:t>
      </w:r>
      <w:r w:rsidR="007A2FFB">
        <w:rPr>
          <w:rFonts w:ascii="Arial" w:hAnsi="Arial" w:cs="Arial"/>
          <w:sz w:val="22"/>
          <w:szCs w:val="22"/>
        </w:rPr>
        <w:tab/>
      </w:r>
      <w:r w:rsidRPr="00923BAF">
        <w:rPr>
          <w:rFonts w:ascii="Arial" w:hAnsi="Arial" w:cs="Arial"/>
          <w:sz w:val="22"/>
          <w:szCs w:val="22"/>
        </w:rPr>
        <w:t xml:space="preserve">Interview Guide </w:t>
      </w:r>
      <w:r w:rsidRPr="00583D94">
        <w:rPr>
          <w:rFonts w:ascii="Arial" w:hAnsi="Arial" w:cs="Arial"/>
          <w:sz w:val="22"/>
          <w:szCs w:val="22"/>
        </w:rPr>
        <w:t xml:space="preserve">for </w:t>
      </w:r>
      <w:r>
        <w:rPr>
          <w:rFonts w:ascii="Arial" w:hAnsi="Arial" w:cs="Arial"/>
          <w:sz w:val="22"/>
          <w:szCs w:val="22"/>
        </w:rPr>
        <w:t>Client Case Study</w:t>
      </w:r>
      <w:r w:rsidRPr="00583D94">
        <w:rPr>
          <w:rFonts w:ascii="Arial" w:hAnsi="Arial" w:cs="Arial"/>
          <w:sz w:val="22"/>
          <w:szCs w:val="22"/>
        </w:rPr>
        <w:t xml:space="preserve"> </w:t>
      </w:r>
    </w:p>
    <w:p w14:paraId="437CB2E7" w14:textId="77777777" w:rsidR="00D25841" w:rsidRDefault="00D25841" w:rsidP="00D25841">
      <w:pPr>
        <w:pStyle w:val="NormalSScontinued"/>
        <w:spacing w:after="0"/>
        <w:ind w:left="900" w:hanging="900"/>
        <w:rPr>
          <w:rFonts w:ascii="Arial" w:hAnsi="Arial" w:cs="Arial"/>
          <w:sz w:val="22"/>
          <w:szCs w:val="22"/>
        </w:rPr>
      </w:pPr>
    </w:p>
    <w:p w14:paraId="21E83025" w14:textId="6E01275B"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I.2</w:t>
      </w:r>
      <w:r w:rsidR="007A2FFB">
        <w:rPr>
          <w:rFonts w:ascii="Arial" w:hAnsi="Arial" w:cs="Arial"/>
          <w:sz w:val="22"/>
          <w:szCs w:val="22"/>
        </w:rPr>
        <w:tab/>
      </w:r>
      <w:r>
        <w:rPr>
          <w:rFonts w:ascii="Arial" w:hAnsi="Arial" w:cs="Arial"/>
          <w:sz w:val="22"/>
          <w:szCs w:val="22"/>
        </w:rPr>
        <w:t>Interview Guide for</w:t>
      </w:r>
      <w:r w:rsidRPr="00583D94">
        <w:rPr>
          <w:rFonts w:ascii="Arial" w:hAnsi="Arial" w:cs="Arial"/>
          <w:sz w:val="22"/>
          <w:szCs w:val="22"/>
        </w:rPr>
        <w:t xml:space="preserve"> providers</w:t>
      </w:r>
      <w:r>
        <w:rPr>
          <w:rFonts w:ascii="Arial" w:hAnsi="Arial" w:cs="Arial"/>
          <w:sz w:val="22"/>
          <w:szCs w:val="22"/>
        </w:rPr>
        <w:t xml:space="preserve"> </w:t>
      </w:r>
    </w:p>
    <w:p w14:paraId="638BC851" w14:textId="77777777" w:rsidR="00D25841" w:rsidRDefault="00D25841" w:rsidP="00D25841">
      <w:pPr>
        <w:pStyle w:val="NormalSScontinued"/>
        <w:spacing w:after="0"/>
        <w:ind w:left="900" w:hanging="900"/>
        <w:rPr>
          <w:rFonts w:ascii="Arial" w:hAnsi="Arial" w:cs="Arial"/>
          <w:sz w:val="22"/>
          <w:szCs w:val="22"/>
        </w:rPr>
      </w:pPr>
    </w:p>
    <w:p w14:paraId="0490B335" w14:textId="4AA2B518"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I.3</w:t>
      </w:r>
      <w:r>
        <w:rPr>
          <w:rFonts w:ascii="Arial" w:hAnsi="Arial" w:cs="Arial"/>
          <w:sz w:val="22"/>
          <w:szCs w:val="22"/>
        </w:rPr>
        <w:tab/>
      </w:r>
      <w:r w:rsidRPr="00923BAF">
        <w:rPr>
          <w:rFonts w:ascii="Arial" w:hAnsi="Arial" w:cs="Arial"/>
          <w:sz w:val="22"/>
          <w:szCs w:val="22"/>
        </w:rPr>
        <w:t>Observation Guide</w:t>
      </w:r>
      <w:r>
        <w:rPr>
          <w:rFonts w:ascii="Arial" w:hAnsi="Arial" w:cs="Arial"/>
          <w:sz w:val="22"/>
          <w:szCs w:val="22"/>
        </w:rPr>
        <w:t xml:space="preserve"> Case Study</w:t>
      </w:r>
      <w:r w:rsidRPr="00923BAF">
        <w:rPr>
          <w:rFonts w:ascii="Arial" w:hAnsi="Arial" w:cs="Arial"/>
          <w:sz w:val="22"/>
          <w:szCs w:val="22"/>
        </w:rPr>
        <w:t xml:space="preserve"> </w:t>
      </w:r>
    </w:p>
    <w:p w14:paraId="3E379B52" w14:textId="77777777" w:rsidR="00D25841" w:rsidRPr="00A94C6E" w:rsidRDefault="00D25841" w:rsidP="00D25841">
      <w:pPr>
        <w:pStyle w:val="NormalSScontinued"/>
        <w:spacing w:after="0"/>
        <w:ind w:left="900" w:hanging="900"/>
        <w:rPr>
          <w:rFonts w:ascii="Arial" w:hAnsi="Arial" w:cs="Arial"/>
          <w:sz w:val="22"/>
          <w:szCs w:val="22"/>
        </w:rPr>
      </w:pPr>
    </w:p>
    <w:p w14:paraId="764E72ED" w14:textId="4115D2AD"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J</w:t>
      </w:r>
      <w:r>
        <w:rPr>
          <w:rFonts w:ascii="Arial" w:hAnsi="Arial" w:cs="Arial"/>
          <w:sz w:val="22"/>
          <w:szCs w:val="22"/>
        </w:rPr>
        <w:t>.1</w:t>
      </w:r>
      <w:r>
        <w:rPr>
          <w:rFonts w:ascii="Arial" w:hAnsi="Arial" w:cs="Arial"/>
          <w:sz w:val="22"/>
          <w:szCs w:val="22"/>
        </w:rPr>
        <w:tab/>
      </w:r>
      <w:r w:rsidRPr="00923BAF">
        <w:rPr>
          <w:rFonts w:ascii="Arial" w:hAnsi="Arial" w:cs="Arial"/>
          <w:sz w:val="22"/>
          <w:szCs w:val="22"/>
        </w:rPr>
        <w:t>Focus Group Moderato</w:t>
      </w:r>
      <w:r>
        <w:rPr>
          <w:rFonts w:ascii="Arial" w:hAnsi="Arial" w:cs="Arial"/>
          <w:sz w:val="22"/>
          <w:szCs w:val="22"/>
        </w:rPr>
        <w:t>r Guide</w:t>
      </w:r>
      <w:r w:rsidRPr="00923BAF">
        <w:rPr>
          <w:rFonts w:ascii="Arial" w:hAnsi="Arial" w:cs="Arial"/>
          <w:sz w:val="22"/>
          <w:szCs w:val="22"/>
        </w:rPr>
        <w:t xml:space="preserve"> for clients</w:t>
      </w:r>
      <w:r>
        <w:rPr>
          <w:rFonts w:ascii="Arial" w:hAnsi="Arial" w:cs="Arial"/>
          <w:sz w:val="22"/>
          <w:szCs w:val="22"/>
        </w:rPr>
        <w:t xml:space="preserve"> – English </w:t>
      </w:r>
    </w:p>
    <w:p w14:paraId="3A9BDBA5" w14:textId="77777777" w:rsidR="00D25841" w:rsidRDefault="00D25841" w:rsidP="00D25841">
      <w:pPr>
        <w:pStyle w:val="NormalSScontinued"/>
        <w:spacing w:after="0"/>
        <w:ind w:left="900" w:hanging="900"/>
        <w:rPr>
          <w:rFonts w:ascii="Arial" w:hAnsi="Arial" w:cs="Arial"/>
          <w:sz w:val="22"/>
          <w:szCs w:val="22"/>
        </w:rPr>
      </w:pPr>
    </w:p>
    <w:p w14:paraId="08461200" w14:textId="294160FF"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J.2</w:t>
      </w:r>
      <w:r>
        <w:rPr>
          <w:rFonts w:ascii="Arial" w:hAnsi="Arial" w:cs="Arial"/>
          <w:sz w:val="22"/>
          <w:szCs w:val="22"/>
        </w:rPr>
        <w:tab/>
        <w:t xml:space="preserve">Focus Group Moderator Guide for clients – Spanish </w:t>
      </w:r>
    </w:p>
    <w:p w14:paraId="032D414D" w14:textId="77777777" w:rsidR="00D25841" w:rsidRPr="00A94C6E" w:rsidRDefault="00D25841" w:rsidP="00D25841">
      <w:pPr>
        <w:pStyle w:val="NormalSScontinued"/>
        <w:spacing w:after="0"/>
        <w:ind w:left="900" w:hanging="900"/>
        <w:rPr>
          <w:rFonts w:ascii="Arial" w:hAnsi="Arial" w:cs="Arial"/>
          <w:sz w:val="22"/>
          <w:szCs w:val="22"/>
        </w:rPr>
      </w:pPr>
    </w:p>
    <w:p w14:paraId="7A2EDC65" w14:textId="03FFF620"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J.3</w:t>
      </w:r>
      <w:r w:rsidR="007A2FFB">
        <w:rPr>
          <w:rFonts w:ascii="Arial" w:hAnsi="Arial" w:cs="Arial"/>
          <w:sz w:val="22"/>
          <w:szCs w:val="22"/>
        </w:rPr>
        <w:tab/>
      </w:r>
      <w:r>
        <w:rPr>
          <w:rFonts w:ascii="Arial" w:hAnsi="Arial" w:cs="Arial"/>
          <w:sz w:val="22"/>
          <w:szCs w:val="22"/>
        </w:rPr>
        <w:t>Focus Group Moderator Guide for employers</w:t>
      </w:r>
    </w:p>
    <w:p w14:paraId="72C9FC16" w14:textId="77777777" w:rsidR="00D25841" w:rsidRPr="00A94C6E" w:rsidRDefault="00D25841" w:rsidP="00D25841">
      <w:pPr>
        <w:pStyle w:val="NormalSScontinued"/>
        <w:spacing w:after="0"/>
        <w:ind w:left="900" w:hanging="900"/>
        <w:rPr>
          <w:rFonts w:ascii="Arial" w:hAnsi="Arial" w:cs="Arial"/>
          <w:sz w:val="22"/>
          <w:szCs w:val="22"/>
        </w:rPr>
      </w:pPr>
    </w:p>
    <w:p w14:paraId="49D8D067" w14:textId="22FDA1B3"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K</w:t>
      </w:r>
      <w:r>
        <w:rPr>
          <w:rFonts w:ascii="Arial" w:hAnsi="Arial" w:cs="Arial"/>
          <w:sz w:val="22"/>
          <w:szCs w:val="22"/>
        </w:rPr>
        <w:t>.1</w:t>
      </w:r>
      <w:r w:rsidRPr="00923BAF">
        <w:rPr>
          <w:rFonts w:ascii="Arial" w:hAnsi="Arial" w:cs="Arial"/>
          <w:sz w:val="22"/>
          <w:szCs w:val="22"/>
        </w:rPr>
        <w:tab/>
      </w:r>
      <w:r>
        <w:rPr>
          <w:rFonts w:ascii="Arial" w:hAnsi="Arial" w:cs="Arial"/>
          <w:sz w:val="22"/>
          <w:szCs w:val="22"/>
        </w:rPr>
        <w:t xml:space="preserve">Client </w:t>
      </w:r>
      <w:r w:rsidRPr="00923BAF">
        <w:rPr>
          <w:rFonts w:ascii="Arial" w:hAnsi="Arial" w:cs="Arial"/>
          <w:sz w:val="22"/>
          <w:szCs w:val="22"/>
        </w:rPr>
        <w:t>Focus Group Recruitment Guide</w:t>
      </w:r>
      <w:r>
        <w:rPr>
          <w:rFonts w:ascii="Arial" w:hAnsi="Arial" w:cs="Arial"/>
          <w:sz w:val="22"/>
          <w:szCs w:val="22"/>
        </w:rPr>
        <w:t xml:space="preserve"> – English </w:t>
      </w:r>
    </w:p>
    <w:p w14:paraId="1DBFD55D" w14:textId="77777777" w:rsidR="00D25841" w:rsidRPr="00A94C6E" w:rsidRDefault="00D25841" w:rsidP="00FB262E">
      <w:pPr>
        <w:pStyle w:val="NormalSScontinued"/>
        <w:spacing w:after="0"/>
        <w:rPr>
          <w:rFonts w:ascii="Arial" w:hAnsi="Arial" w:cs="Arial"/>
          <w:sz w:val="22"/>
          <w:szCs w:val="22"/>
        </w:rPr>
      </w:pPr>
    </w:p>
    <w:p w14:paraId="6369115F" w14:textId="274B5F33"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K.2</w:t>
      </w:r>
      <w:r w:rsidR="007A2FFB">
        <w:rPr>
          <w:rFonts w:ascii="Arial" w:hAnsi="Arial" w:cs="Arial"/>
          <w:sz w:val="22"/>
          <w:szCs w:val="22"/>
        </w:rPr>
        <w:tab/>
      </w:r>
      <w:r>
        <w:rPr>
          <w:rFonts w:ascii="Arial" w:hAnsi="Arial" w:cs="Arial"/>
          <w:sz w:val="22"/>
          <w:szCs w:val="22"/>
        </w:rPr>
        <w:t xml:space="preserve">Client Focus Group Recruitment Guide – Spanish </w:t>
      </w:r>
    </w:p>
    <w:p w14:paraId="50CC5961" w14:textId="77777777" w:rsidR="00D25841" w:rsidRDefault="00D25841" w:rsidP="00D25841">
      <w:pPr>
        <w:pStyle w:val="NormalSScontinued"/>
        <w:spacing w:after="0"/>
        <w:ind w:left="900" w:hanging="900"/>
        <w:rPr>
          <w:rFonts w:ascii="Arial" w:hAnsi="Arial" w:cs="Arial"/>
          <w:sz w:val="22"/>
          <w:szCs w:val="22"/>
        </w:rPr>
      </w:pPr>
    </w:p>
    <w:p w14:paraId="4A8DBF58" w14:textId="549E824F"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L</w:t>
      </w:r>
      <w:r>
        <w:rPr>
          <w:rFonts w:ascii="Arial" w:hAnsi="Arial" w:cs="Arial"/>
          <w:sz w:val="22"/>
          <w:szCs w:val="22"/>
        </w:rPr>
        <w:t>.1</w:t>
      </w:r>
      <w:r w:rsidRPr="00923BAF">
        <w:rPr>
          <w:rFonts w:ascii="Arial" w:hAnsi="Arial" w:cs="Arial"/>
          <w:sz w:val="22"/>
          <w:szCs w:val="22"/>
        </w:rPr>
        <w:tab/>
        <w:t>Focus Group Confirmation Letter</w:t>
      </w:r>
      <w:r>
        <w:rPr>
          <w:rFonts w:ascii="Arial" w:hAnsi="Arial" w:cs="Arial"/>
          <w:sz w:val="22"/>
          <w:szCs w:val="22"/>
        </w:rPr>
        <w:t xml:space="preserve">:  Client – English </w:t>
      </w:r>
    </w:p>
    <w:p w14:paraId="3AF27C65" w14:textId="77777777" w:rsidR="00D25841" w:rsidRPr="00A94C6E" w:rsidRDefault="00D25841" w:rsidP="00D25841">
      <w:pPr>
        <w:pStyle w:val="NormalSScontinued"/>
        <w:spacing w:after="0"/>
        <w:ind w:left="900" w:hanging="900"/>
        <w:rPr>
          <w:rFonts w:ascii="Arial" w:hAnsi="Arial" w:cs="Arial"/>
          <w:sz w:val="22"/>
          <w:szCs w:val="22"/>
        </w:rPr>
      </w:pPr>
    </w:p>
    <w:p w14:paraId="039AF7FA" w14:textId="0AAD402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L.2</w:t>
      </w:r>
      <w:r w:rsidR="007A2FFB">
        <w:rPr>
          <w:rFonts w:ascii="Arial" w:hAnsi="Arial" w:cs="Arial"/>
          <w:sz w:val="22"/>
          <w:szCs w:val="22"/>
        </w:rPr>
        <w:tab/>
      </w:r>
      <w:r>
        <w:rPr>
          <w:rFonts w:ascii="Arial" w:hAnsi="Arial" w:cs="Arial"/>
          <w:sz w:val="22"/>
          <w:szCs w:val="22"/>
        </w:rPr>
        <w:t xml:space="preserve">Focus Group Confirmation Letter:  Client – Spanish </w:t>
      </w:r>
    </w:p>
    <w:p w14:paraId="6B27D7A8" w14:textId="77777777" w:rsidR="00D25841" w:rsidRDefault="00D25841" w:rsidP="00D25841">
      <w:pPr>
        <w:pStyle w:val="NormalSScontinued"/>
        <w:spacing w:after="0"/>
        <w:ind w:left="900" w:hanging="900"/>
        <w:rPr>
          <w:rFonts w:ascii="Arial" w:hAnsi="Arial" w:cs="Arial"/>
          <w:sz w:val="22"/>
          <w:szCs w:val="22"/>
        </w:rPr>
      </w:pPr>
    </w:p>
    <w:p w14:paraId="72893DD1" w14:textId="57641C5B" w:rsidR="00D25841" w:rsidRPr="00977B38" w:rsidRDefault="007A2FFB" w:rsidP="00D25841">
      <w:pPr>
        <w:pStyle w:val="NormalSScontinued"/>
        <w:ind w:left="900" w:hanging="900"/>
        <w:rPr>
          <w:rFonts w:ascii="Arial" w:hAnsi="Arial" w:cs="Arial"/>
          <w:sz w:val="22"/>
          <w:szCs w:val="22"/>
        </w:rPr>
      </w:pPr>
      <w:r>
        <w:rPr>
          <w:rFonts w:ascii="Arial" w:hAnsi="Arial" w:cs="Arial"/>
          <w:sz w:val="22"/>
          <w:szCs w:val="22"/>
        </w:rPr>
        <w:t>L.3</w:t>
      </w:r>
      <w:r>
        <w:rPr>
          <w:rFonts w:ascii="Arial" w:hAnsi="Arial" w:cs="Arial"/>
          <w:sz w:val="22"/>
          <w:szCs w:val="22"/>
        </w:rPr>
        <w:tab/>
      </w:r>
      <w:r w:rsidR="00D25841">
        <w:rPr>
          <w:rFonts w:ascii="Arial" w:hAnsi="Arial" w:cs="Arial"/>
          <w:sz w:val="22"/>
          <w:szCs w:val="22"/>
        </w:rPr>
        <w:t>Focus Group Recruitment Email – Employer</w:t>
      </w:r>
    </w:p>
    <w:p w14:paraId="16156973" w14:textId="78B4AD7E"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L.4</w:t>
      </w:r>
      <w:r>
        <w:rPr>
          <w:rFonts w:ascii="Arial" w:hAnsi="Arial" w:cs="Arial"/>
          <w:sz w:val="22"/>
          <w:szCs w:val="22"/>
        </w:rPr>
        <w:tab/>
        <w:t>Focus Group Confirmation Letter - Employer</w:t>
      </w:r>
    </w:p>
    <w:p w14:paraId="4E7B1141" w14:textId="77777777" w:rsidR="00D25841" w:rsidRDefault="00D25841" w:rsidP="00D25841">
      <w:pPr>
        <w:pStyle w:val="NormalSScontinued"/>
        <w:spacing w:after="0"/>
        <w:ind w:left="900" w:hanging="900"/>
        <w:rPr>
          <w:rFonts w:ascii="Arial" w:hAnsi="Arial" w:cs="Arial"/>
          <w:sz w:val="22"/>
          <w:szCs w:val="22"/>
        </w:rPr>
      </w:pPr>
    </w:p>
    <w:p w14:paraId="6251D875" w14:textId="15ACE10E"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M</w:t>
      </w:r>
      <w:r>
        <w:rPr>
          <w:rFonts w:ascii="Arial" w:hAnsi="Arial" w:cs="Arial"/>
          <w:sz w:val="22"/>
          <w:szCs w:val="22"/>
        </w:rPr>
        <w:t>.1</w:t>
      </w:r>
      <w:r>
        <w:rPr>
          <w:rFonts w:ascii="Arial" w:hAnsi="Arial" w:cs="Arial"/>
          <w:sz w:val="22"/>
          <w:szCs w:val="22"/>
        </w:rPr>
        <w:tab/>
      </w:r>
      <w:r w:rsidRPr="00923BAF">
        <w:rPr>
          <w:rFonts w:ascii="Arial" w:hAnsi="Arial" w:cs="Arial"/>
          <w:sz w:val="22"/>
          <w:szCs w:val="22"/>
        </w:rPr>
        <w:t xml:space="preserve">Participant Information </w:t>
      </w:r>
      <w:r w:rsidRPr="00521305">
        <w:rPr>
          <w:rFonts w:ascii="Arial" w:hAnsi="Arial" w:cs="Arial"/>
          <w:sz w:val="22"/>
          <w:szCs w:val="22"/>
        </w:rPr>
        <w:t>Survey</w:t>
      </w:r>
      <w:r>
        <w:rPr>
          <w:rFonts w:ascii="Arial" w:hAnsi="Arial" w:cs="Arial"/>
          <w:sz w:val="22"/>
          <w:szCs w:val="22"/>
        </w:rPr>
        <w:t xml:space="preserve">:  Client Focus Group – English </w:t>
      </w:r>
    </w:p>
    <w:p w14:paraId="049CC2C3" w14:textId="77777777" w:rsidR="007A2FFB" w:rsidRPr="00ED4666" w:rsidRDefault="007A2FFB" w:rsidP="007A2FFB">
      <w:pPr>
        <w:pBdr>
          <w:bottom w:val="single" w:sz="4" w:space="1" w:color="auto"/>
        </w:pBdr>
        <w:spacing w:after="240" w:line="240" w:lineRule="auto"/>
        <w:ind w:firstLine="0"/>
        <w:rPr>
          <w:rFonts w:ascii="Arial" w:hAnsi="Arial" w:cs="Arial"/>
          <w:sz w:val="22"/>
          <w:szCs w:val="22"/>
        </w:rPr>
      </w:pPr>
      <w:r w:rsidRPr="00ED4666">
        <w:rPr>
          <w:rFonts w:ascii="Arial" w:hAnsi="Arial" w:cs="Arial"/>
          <w:b/>
          <w:sz w:val="22"/>
          <w:szCs w:val="22"/>
        </w:rPr>
        <w:t>ATTACHMENTS</w:t>
      </w:r>
      <w:r w:rsidRPr="00ED4666">
        <w:rPr>
          <w:rFonts w:ascii="Arial" w:hAnsi="Arial" w:cs="Arial"/>
          <w:sz w:val="22"/>
          <w:szCs w:val="22"/>
        </w:rPr>
        <w:t xml:space="preserve"> (</w:t>
      </w:r>
      <w:r w:rsidRPr="00ED4666">
        <w:rPr>
          <w:rFonts w:ascii="Arial" w:hAnsi="Arial" w:cs="Arial"/>
          <w:i/>
          <w:sz w:val="22"/>
          <w:szCs w:val="22"/>
        </w:rPr>
        <w:t>continued</w:t>
      </w:r>
      <w:r w:rsidRPr="00ED4666">
        <w:rPr>
          <w:rFonts w:ascii="Arial" w:hAnsi="Arial" w:cs="Arial"/>
          <w:sz w:val="22"/>
          <w:szCs w:val="22"/>
        </w:rPr>
        <w:t>)</w:t>
      </w:r>
    </w:p>
    <w:p w14:paraId="400DE0C2" w14:textId="56F1FE21"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M.2</w:t>
      </w:r>
      <w:r w:rsidR="007A2FFB">
        <w:rPr>
          <w:rFonts w:ascii="Arial" w:hAnsi="Arial" w:cs="Arial"/>
          <w:sz w:val="22"/>
          <w:szCs w:val="22"/>
        </w:rPr>
        <w:tab/>
      </w:r>
      <w:r>
        <w:rPr>
          <w:rFonts w:ascii="Arial" w:hAnsi="Arial" w:cs="Arial"/>
          <w:sz w:val="22"/>
          <w:szCs w:val="22"/>
        </w:rPr>
        <w:t xml:space="preserve">Participant Information Survey:  Client Focus Group – Spanish </w:t>
      </w:r>
    </w:p>
    <w:p w14:paraId="6F745800" w14:textId="77777777" w:rsidR="00D25841" w:rsidRDefault="00D25841" w:rsidP="00D25841">
      <w:pPr>
        <w:pStyle w:val="NormalSScontinued"/>
        <w:spacing w:after="0"/>
        <w:ind w:left="900" w:hanging="900"/>
        <w:rPr>
          <w:rFonts w:ascii="Arial" w:hAnsi="Arial" w:cs="Arial"/>
          <w:sz w:val="22"/>
          <w:szCs w:val="22"/>
        </w:rPr>
      </w:pPr>
    </w:p>
    <w:p w14:paraId="5D60FCEC" w14:textId="53EAC422" w:rsidR="00D25841" w:rsidRDefault="007A2FFB" w:rsidP="00D25841">
      <w:pPr>
        <w:pStyle w:val="NormalSScontinued"/>
        <w:spacing w:after="0"/>
        <w:ind w:left="900" w:hanging="900"/>
        <w:rPr>
          <w:rFonts w:ascii="Arial" w:hAnsi="Arial" w:cs="Arial"/>
          <w:sz w:val="22"/>
          <w:szCs w:val="22"/>
        </w:rPr>
      </w:pPr>
      <w:r>
        <w:rPr>
          <w:rFonts w:ascii="Arial" w:hAnsi="Arial" w:cs="Arial"/>
          <w:sz w:val="22"/>
          <w:szCs w:val="22"/>
        </w:rPr>
        <w:t>M.3</w:t>
      </w:r>
      <w:r>
        <w:rPr>
          <w:rFonts w:ascii="Arial" w:hAnsi="Arial" w:cs="Arial"/>
          <w:sz w:val="22"/>
          <w:szCs w:val="22"/>
        </w:rPr>
        <w:tab/>
      </w:r>
      <w:r w:rsidR="00D25841">
        <w:rPr>
          <w:rFonts w:ascii="Arial" w:hAnsi="Arial" w:cs="Arial"/>
          <w:sz w:val="22"/>
          <w:szCs w:val="22"/>
        </w:rPr>
        <w:t>Participant Information Survey – Employer Focus Group</w:t>
      </w:r>
    </w:p>
    <w:p w14:paraId="6CD3CC90" w14:textId="77777777" w:rsidR="00D25841" w:rsidRPr="00A94C6E" w:rsidRDefault="00D25841" w:rsidP="00D25841">
      <w:pPr>
        <w:pStyle w:val="NormalSScontinued"/>
        <w:spacing w:after="0"/>
        <w:ind w:left="900" w:hanging="900"/>
        <w:rPr>
          <w:rFonts w:ascii="Arial" w:hAnsi="Arial" w:cs="Arial"/>
          <w:sz w:val="22"/>
          <w:szCs w:val="22"/>
        </w:rPr>
      </w:pPr>
    </w:p>
    <w:p w14:paraId="145BA08F" w14:textId="0468B809"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N</w:t>
      </w:r>
      <w:r w:rsidRPr="00923BAF">
        <w:rPr>
          <w:rFonts w:ascii="Arial" w:hAnsi="Arial" w:cs="Arial"/>
          <w:sz w:val="22"/>
          <w:szCs w:val="22"/>
        </w:rPr>
        <w:tab/>
        <w:t xml:space="preserve">Pretest </w:t>
      </w:r>
      <w:r>
        <w:rPr>
          <w:rFonts w:ascii="Arial" w:hAnsi="Arial" w:cs="Arial"/>
          <w:sz w:val="22"/>
          <w:szCs w:val="22"/>
        </w:rPr>
        <w:t>R</w:t>
      </w:r>
      <w:r w:rsidRPr="00923BAF">
        <w:rPr>
          <w:rFonts w:ascii="Arial" w:hAnsi="Arial" w:cs="Arial"/>
          <w:sz w:val="22"/>
          <w:szCs w:val="22"/>
        </w:rPr>
        <w:t>esults</w:t>
      </w:r>
      <w:r>
        <w:rPr>
          <w:rFonts w:ascii="Arial" w:hAnsi="Arial" w:cs="Arial"/>
          <w:sz w:val="22"/>
          <w:szCs w:val="22"/>
        </w:rPr>
        <w:t xml:space="preserve"> Memorandum</w:t>
      </w:r>
    </w:p>
    <w:p w14:paraId="1A2B4553" w14:textId="77777777" w:rsidR="00D25841" w:rsidRPr="00A94C6E" w:rsidRDefault="00D25841" w:rsidP="00D25841">
      <w:pPr>
        <w:pStyle w:val="NormalSScontinued"/>
        <w:spacing w:after="0"/>
        <w:ind w:left="900" w:hanging="900"/>
        <w:rPr>
          <w:rFonts w:ascii="Arial" w:hAnsi="Arial" w:cs="Arial"/>
          <w:sz w:val="22"/>
          <w:szCs w:val="22"/>
        </w:rPr>
      </w:pPr>
    </w:p>
    <w:p w14:paraId="090F3D8C" w14:textId="45B163A5"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O</w:t>
      </w:r>
      <w:r w:rsidR="007A2FFB">
        <w:rPr>
          <w:rFonts w:ascii="Arial" w:hAnsi="Arial" w:cs="Arial"/>
          <w:sz w:val="22"/>
          <w:szCs w:val="22"/>
        </w:rPr>
        <w:t>.1</w:t>
      </w:r>
      <w:r w:rsidR="007A2FFB">
        <w:rPr>
          <w:rFonts w:ascii="Arial" w:hAnsi="Arial" w:cs="Arial"/>
          <w:sz w:val="22"/>
          <w:szCs w:val="22"/>
        </w:rPr>
        <w:tab/>
      </w:r>
      <w:r>
        <w:rPr>
          <w:rFonts w:ascii="Arial" w:hAnsi="Arial" w:cs="Arial"/>
          <w:sz w:val="22"/>
          <w:szCs w:val="22"/>
        </w:rPr>
        <w:t xml:space="preserve">SNAP E&amp;T Pilots 12-Month </w:t>
      </w:r>
      <w:r w:rsidRPr="00923BAF">
        <w:rPr>
          <w:rFonts w:ascii="Arial" w:hAnsi="Arial" w:cs="Arial"/>
          <w:sz w:val="22"/>
          <w:szCs w:val="22"/>
        </w:rPr>
        <w:t>Follow-Up Survey</w:t>
      </w:r>
      <w:r>
        <w:rPr>
          <w:rFonts w:ascii="Arial" w:hAnsi="Arial" w:cs="Arial"/>
          <w:sz w:val="22"/>
          <w:szCs w:val="22"/>
        </w:rPr>
        <w:t xml:space="preserve"> – English </w:t>
      </w:r>
    </w:p>
    <w:p w14:paraId="28B8E6C6" w14:textId="77777777" w:rsidR="00D25841" w:rsidRPr="00A94C6E" w:rsidRDefault="00D25841" w:rsidP="00D25841">
      <w:pPr>
        <w:pStyle w:val="NormalSScontinued"/>
        <w:spacing w:after="0"/>
        <w:ind w:left="900" w:hanging="900"/>
        <w:rPr>
          <w:rFonts w:ascii="Arial" w:hAnsi="Arial" w:cs="Arial"/>
          <w:sz w:val="22"/>
          <w:szCs w:val="22"/>
        </w:rPr>
      </w:pPr>
    </w:p>
    <w:p w14:paraId="5879F546" w14:textId="1E70318A" w:rsidR="00D25841" w:rsidRPr="00FE6B9A" w:rsidRDefault="00D25841" w:rsidP="00D25841">
      <w:pPr>
        <w:pStyle w:val="NormalSScontinued"/>
        <w:spacing w:after="0"/>
        <w:ind w:left="900" w:hanging="900"/>
        <w:rPr>
          <w:rFonts w:ascii="Arial" w:hAnsi="Arial" w:cs="Arial"/>
          <w:sz w:val="22"/>
          <w:szCs w:val="22"/>
        </w:rPr>
      </w:pPr>
      <w:r>
        <w:rPr>
          <w:rFonts w:ascii="Arial" w:hAnsi="Arial" w:cs="Arial"/>
          <w:sz w:val="22"/>
          <w:szCs w:val="22"/>
        </w:rPr>
        <w:t>O.2</w:t>
      </w:r>
      <w:r>
        <w:rPr>
          <w:rFonts w:ascii="Arial" w:hAnsi="Arial" w:cs="Arial"/>
          <w:sz w:val="22"/>
          <w:szCs w:val="22"/>
        </w:rPr>
        <w:tab/>
        <w:t xml:space="preserve">SNAP E&amp;T Pilots </w:t>
      </w:r>
      <w:r w:rsidRPr="00FE6B9A">
        <w:rPr>
          <w:rFonts w:ascii="Arial" w:hAnsi="Arial" w:cs="Arial"/>
          <w:sz w:val="22"/>
          <w:szCs w:val="22"/>
        </w:rPr>
        <w:t>12-Month Follow-Up Survey –</w:t>
      </w:r>
      <w:r>
        <w:rPr>
          <w:rFonts w:ascii="Arial" w:hAnsi="Arial" w:cs="Arial"/>
          <w:sz w:val="22"/>
          <w:szCs w:val="22"/>
        </w:rPr>
        <w:t xml:space="preserve"> Spanish</w:t>
      </w:r>
    </w:p>
    <w:p w14:paraId="59C352DF" w14:textId="77777777" w:rsidR="00D25841" w:rsidRDefault="00D25841" w:rsidP="00D25841">
      <w:pPr>
        <w:pStyle w:val="NormalSScontinued"/>
        <w:spacing w:after="0"/>
        <w:ind w:left="900" w:hanging="900"/>
        <w:rPr>
          <w:rFonts w:ascii="Arial" w:hAnsi="Arial" w:cs="Arial"/>
          <w:sz w:val="22"/>
          <w:szCs w:val="22"/>
        </w:rPr>
      </w:pPr>
    </w:p>
    <w:p w14:paraId="354F2A0D" w14:textId="640F3ECB"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O.3</w:t>
      </w:r>
      <w:r>
        <w:rPr>
          <w:rFonts w:ascii="Arial" w:hAnsi="Arial" w:cs="Arial"/>
          <w:sz w:val="22"/>
          <w:szCs w:val="22"/>
        </w:rPr>
        <w:tab/>
        <w:t xml:space="preserve">SNAP E&amp;T Pilots </w:t>
      </w:r>
      <w:r w:rsidRPr="00054EBC">
        <w:rPr>
          <w:rFonts w:ascii="Arial" w:hAnsi="Arial" w:cs="Arial"/>
          <w:sz w:val="22"/>
          <w:szCs w:val="22"/>
        </w:rPr>
        <w:t>12-Month Follow-Up Survey – S</w:t>
      </w:r>
      <w:r>
        <w:rPr>
          <w:rFonts w:ascii="Arial" w:hAnsi="Arial" w:cs="Arial"/>
          <w:sz w:val="22"/>
          <w:szCs w:val="22"/>
        </w:rPr>
        <w:t>creenshot</w:t>
      </w:r>
    </w:p>
    <w:p w14:paraId="390D03EC" w14:textId="77777777" w:rsidR="00D25841" w:rsidRDefault="00D25841" w:rsidP="00D25841">
      <w:pPr>
        <w:pStyle w:val="NormalSScontinued"/>
        <w:spacing w:after="0"/>
        <w:ind w:left="900" w:hanging="900"/>
        <w:rPr>
          <w:rFonts w:ascii="Arial" w:hAnsi="Arial" w:cs="Arial"/>
          <w:sz w:val="22"/>
          <w:szCs w:val="22"/>
        </w:rPr>
      </w:pPr>
    </w:p>
    <w:p w14:paraId="435C4E59" w14:textId="5BBDDB0E" w:rsidR="00D25841" w:rsidRPr="00FE6B9A" w:rsidRDefault="00D25841" w:rsidP="00D25841">
      <w:pPr>
        <w:pStyle w:val="NormalSScontinued"/>
        <w:spacing w:after="0"/>
        <w:ind w:left="900" w:hanging="900"/>
        <w:rPr>
          <w:rFonts w:ascii="Arial" w:hAnsi="Arial" w:cs="Arial"/>
          <w:sz w:val="22"/>
          <w:szCs w:val="22"/>
        </w:rPr>
      </w:pPr>
      <w:r>
        <w:rPr>
          <w:rFonts w:ascii="Arial" w:hAnsi="Arial" w:cs="Arial"/>
          <w:sz w:val="22"/>
          <w:szCs w:val="22"/>
        </w:rPr>
        <w:t>O.4</w:t>
      </w:r>
      <w:r>
        <w:rPr>
          <w:rFonts w:ascii="Arial" w:hAnsi="Arial" w:cs="Arial"/>
          <w:sz w:val="22"/>
          <w:szCs w:val="22"/>
        </w:rPr>
        <w:tab/>
        <w:t>SNAP E&amp;T Pilots 36-Month Follow-Up Survey – English</w:t>
      </w:r>
    </w:p>
    <w:p w14:paraId="47368F76" w14:textId="77777777" w:rsidR="00D25841" w:rsidRPr="00A94C6E" w:rsidRDefault="00D25841" w:rsidP="00D25841">
      <w:pPr>
        <w:pStyle w:val="NormalSScontinued"/>
        <w:spacing w:after="0"/>
        <w:ind w:left="900" w:hanging="900"/>
        <w:rPr>
          <w:rFonts w:ascii="Arial" w:hAnsi="Arial" w:cs="Arial"/>
          <w:sz w:val="22"/>
          <w:szCs w:val="22"/>
        </w:rPr>
      </w:pPr>
    </w:p>
    <w:p w14:paraId="132A879F" w14:textId="5C12530C"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O.5</w:t>
      </w:r>
      <w:r>
        <w:rPr>
          <w:rFonts w:ascii="Arial" w:hAnsi="Arial" w:cs="Arial"/>
          <w:sz w:val="22"/>
          <w:szCs w:val="22"/>
        </w:rPr>
        <w:tab/>
        <w:t xml:space="preserve">SNAP E&amp;T Pilots </w:t>
      </w:r>
      <w:r w:rsidRPr="00FE6B9A">
        <w:rPr>
          <w:rFonts w:ascii="Arial" w:hAnsi="Arial" w:cs="Arial"/>
          <w:sz w:val="22"/>
          <w:szCs w:val="22"/>
        </w:rPr>
        <w:t>36-Month Follow-Up Survey –</w:t>
      </w:r>
      <w:r>
        <w:rPr>
          <w:rFonts w:ascii="Arial" w:hAnsi="Arial" w:cs="Arial"/>
          <w:sz w:val="22"/>
          <w:szCs w:val="22"/>
        </w:rPr>
        <w:t xml:space="preserve"> Spanish</w:t>
      </w:r>
    </w:p>
    <w:p w14:paraId="61A1ABDC" w14:textId="77777777" w:rsidR="00D25841" w:rsidRDefault="00D25841" w:rsidP="00D25841">
      <w:pPr>
        <w:pStyle w:val="NormalSScontinued"/>
        <w:spacing w:after="0"/>
        <w:ind w:left="900" w:hanging="900"/>
        <w:rPr>
          <w:rFonts w:ascii="Arial" w:hAnsi="Arial" w:cs="Arial"/>
          <w:sz w:val="22"/>
          <w:szCs w:val="22"/>
        </w:rPr>
      </w:pPr>
    </w:p>
    <w:p w14:paraId="124B139B" w14:textId="51CF1143"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O.6</w:t>
      </w:r>
      <w:r>
        <w:rPr>
          <w:rFonts w:ascii="Arial" w:hAnsi="Arial" w:cs="Arial"/>
          <w:sz w:val="22"/>
          <w:szCs w:val="22"/>
        </w:rPr>
        <w:tab/>
        <w:t xml:space="preserve">SNAP E&amp;T Pilots 36-Month Follow-Up Survey – Screenshot </w:t>
      </w:r>
    </w:p>
    <w:p w14:paraId="653BDE60" w14:textId="77777777" w:rsidR="00D25841" w:rsidRPr="00A94C6E" w:rsidRDefault="00D25841" w:rsidP="00D25841">
      <w:pPr>
        <w:pStyle w:val="NormalSScontinued"/>
        <w:spacing w:after="0"/>
        <w:ind w:left="900" w:hanging="900"/>
        <w:rPr>
          <w:rFonts w:ascii="Arial" w:hAnsi="Arial" w:cs="Arial"/>
          <w:sz w:val="22"/>
          <w:szCs w:val="22"/>
        </w:rPr>
      </w:pPr>
    </w:p>
    <w:p w14:paraId="44CEE423" w14:textId="43797633"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P</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Advance Letter</w:t>
      </w:r>
      <w:r>
        <w:rPr>
          <w:rFonts w:ascii="Arial" w:hAnsi="Arial" w:cs="Arial"/>
          <w:sz w:val="22"/>
          <w:szCs w:val="22"/>
        </w:rPr>
        <w:t xml:space="preserve"> – English </w:t>
      </w:r>
    </w:p>
    <w:p w14:paraId="5012F5B2" w14:textId="77777777" w:rsidR="00D25841" w:rsidRPr="00A94C6E" w:rsidRDefault="00D25841" w:rsidP="00D25841">
      <w:pPr>
        <w:pStyle w:val="NormalSScontinued"/>
        <w:spacing w:after="0"/>
        <w:ind w:left="900" w:hanging="900"/>
        <w:rPr>
          <w:rFonts w:ascii="Arial" w:hAnsi="Arial" w:cs="Arial"/>
          <w:sz w:val="22"/>
          <w:szCs w:val="22"/>
        </w:rPr>
      </w:pPr>
    </w:p>
    <w:p w14:paraId="62C3031D" w14:textId="6BF36FF7" w:rsidR="00D25841" w:rsidRDefault="00D25841" w:rsidP="00FB262E">
      <w:pPr>
        <w:pStyle w:val="NormalSScontinued"/>
        <w:spacing w:after="0"/>
        <w:ind w:left="900" w:hanging="900"/>
        <w:rPr>
          <w:rFonts w:ascii="Arial" w:hAnsi="Arial" w:cs="Arial"/>
          <w:b/>
          <w:sz w:val="22"/>
          <w:szCs w:val="22"/>
        </w:rPr>
      </w:pPr>
      <w:r>
        <w:rPr>
          <w:rFonts w:ascii="Arial" w:hAnsi="Arial" w:cs="Arial"/>
          <w:sz w:val="22"/>
          <w:szCs w:val="22"/>
        </w:rPr>
        <w:t>P.2</w:t>
      </w:r>
      <w:r w:rsidR="007A2FFB">
        <w:rPr>
          <w:rFonts w:ascii="Arial" w:hAnsi="Arial" w:cs="Arial"/>
          <w:sz w:val="22"/>
          <w:szCs w:val="22"/>
        </w:rPr>
        <w:tab/>
      </w:r>
      <w:r>
        <w:rPr>
          <w:rFonts w:ascii="Arial" w:hAnsi="Arial" w:cs="Arial"/>
          <w:sz w:val="22"/>
          <w:szCs w:val="22"/>
        </w:rPr>
        <w:t>Survey Advance Letter – Spanish</w:t>
      </w:r>
      <w:bookmarkStart w:id="14" w:name="_Toc432153667"/>
      <w:bookmarkStart w:id="15" w:name="_Toc432154546"/>
      <w:bookmarkStart w:id="16" w:name="_Toc432154804"/>
    </w:p>
    <w:bookmarkEnd w:id="14"/>
    <w:bookmarkEnd w:id="15"/>
    <w:bookmarkEnd w:id="16"/>
    <w:p w14:paraId="3F4E7738" w14:textId="77777777" w:rsidR="00D25841" w:rsidRDefault="00D25841" w:rsidP="00D25841">
      <w:pPr>
        <w:pStyle w:val="NormalSScontinued"/>
        <w:spacing w:after="0"/>
        <w:rPr>
          <w:rFonts w:ascii="Arial" w:hAnsi="Arial" w:cs="Arial"/>
          <w:sz w:val="22"/>
          <w:szCs w:val="22"/>
        </w:rPr>
      </w:pPr>
    </w:p>
    <w:p w14:paraId="40407B48"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Q</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Reminder Letter</w:t>
      </w:r>
      <w:r>
        <w:rPr>
          <w:rFonts w:ascii="Arial" w:hAnsi="Arial" w:cs="Arial"/>
          <w:sz w:val="22"/>
          <w:szCs w:val="22"/>
        </w:rPr>
        <w:t xml:space="preserve"> – English </w:t>
      </w:r>
    </w:p>
    <w:p w14:paraId="04C64E21" w14:textId="77777777" w:rsidR="00D25841" w:rsidRPr="00A94C6E" w:rsidRDefault="00D25841" w:rsidP="00D25841">
      <w:pPr>
        <w:pStyle w:val="NormalSScontinued"/>
        <w:spacing w:after="0"/>
        <w:ind w:left="900" w:hanging="900"/>
        <w:rPr>
          <w:rFonts w:ascii="Arial" w:hAnsi="Arial" w:cs="Arial"/>
          <w:sz w:val="22"/>
          <w:szCs w:val="22"/>
        </w:rPr>
      </w:pPr>
    </w:p>
    <w:p w14:paraId="46AFFAB7"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Q.2</w:t>
      </w:r>
      <w:r>
        <w:rPr>
          <w:rFonts w:ascii="Arial" w:hAnsi="Arial" w:cs="Arial"/>
          <w:sz w:val="22"/>
          <w:szCs w:val="22"/>
        </w:rPr>
        <w:tab/>
        <w:t xml:space="preserve">Survey Reminder Letter – Spanish </w:t>
      </w:r>
    </w:p>
    <w:p w14:paraId="68321732" w14:textId="77777777" w:rsidR="00D25841" w:rsidRDefault="00D25841" w:rsidP="00D25841">
      <w:pPr>
        <w:pStyle w:val="NormalSScontinued"/>
        <w:spacing w:after="0"/>
        <w:ind w:left="900" w:hanging="900"/>
        <w:rPr>
          <w:rFonts w:ascii="Arial" w:hAnsi="Arial" w:cs="Arial"/>
          <w:sz w:val="22"/>
          <w:szCs w:val="22"/>
        </w:rPr>
      </w:pPr>
    </w:p>
    <w:p w14:paraId="64B0B566"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R</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Reminder Postcard</w:t>
      </w:r>
      <w:r>
        <w:rPr>
          <w:rFonts w:ascii="Arial" w:hAnsi="Arial" w:cs="Arial"/>
          <w:sz w:val="22"/>
          <w:szCs w:val="22"/>
        </w:rPr>
        <w:t xml:space="preserve"> – English </w:t>
      </w:r>
    </w:p>
    <w:p w14:paraId="6A2BFAE5" w14:textId="77777777" w:rsidR="00D25841" w:rsidRDefault="00D25841" w:rsidP="00D25841">
      <w:pPr>
        <w:pStyle w:val="NormalSScontinued"/>
        <w:spacing w:after="0"/>
        <w:ind w:left="900" w:hanging="900"/>
        <w:rPr>
          <w:rFonts w:ascii="Arial" w:hAnsi="Arial" w:cs="Arial"/>
          <w:sz w:val="22"/>
          <w:szCs w:val="22"/>
        </w:rPr>
      </w:pPr>
    </w:p>
    <w:p w14:paraId="34451229"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R.2</w:t>
      </w:r>
      <w:r>
        <w:rPr>
          <w:rFonts w:ascii="Arial" w:hAnsi="Arial" w:cs="Arial"/>
          <w:sz w:val="22"/>
          <w:szCs w:val="22"/>
        </w:rPr>
        <w:tab/>
        <w:t xml:space="preserve">Survey Reminder Postcard – Spanish </w:t>
      </w:r>
    </w:p>
    <w:p w14:paraId="58D6891B" w14:textId="77777777" w:rsidR="00D25841" w:rsidRPr="00A94C6E" w:rsidRDefault="00D25841" w:rsidP="00D25841">
      <w:pPr>
        <w:pStyle w:val="NormalSScontinued"/>
        <w:spacing w:after="0"/>
        <w:ind w:left="900" w:hanging="900"/>
        <w:rPr>
          <w:rFonts w:ascii="Arial" w:hAnsi="Arial" w:cs="Arial"/>
          <w:sz w:val="22"/>
          <w:szCs w:val="22"/>
        </w:rPr>
      </w:pPr>
    </w:p>
    <w:p w14:paraId="3956C553"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S</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Refusal Letter</w:t>
      </w:r>
      <w:r>
        <w:rPr>
          <w:rFonts w:ascii="Arial" w:hAnsi="Arial" w:cs="Arial"/>
          <w:sz w:val="22"/>
          <w:szCs w:val="22"/>
        </w:rPr>
        <w:t xml:space="preserve"> – English </w:t>
      </w:r>
    </w:p>
    <w:p w14:paraId="50DCC5F0" w14:textId="77777777" w:rsidR="00D25841" w:rsidRPr="00A94C6E" w:rsidRDefault="00D25841" w:rsidP="00D25841">
      <w:pPr>
        <w:pStyle w:val="NormalSScontinued"/>
        <w:spacing w:after="0"/>
        <w:ind w:left="900" w:hanging="900"/>
        <w:rPr>
          <w:rFonts w:ascii="Arial" w:hAnsi="Arial" w:cs="Arial"/>
          <w:sz w:val="22"/>
          <w:szCs w:val="22"/>
        </w:rPr>
      </w:pPr>
    </w:p>
    <w:p w14:paraId="40A25849"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S.2</w:t>
      </w:r>
      <w:r>
        <w:rPr>
          <w:rFonts w:ascii="Arial" w:hAnsi="Arial" w:cs="Arial"/>
          <w:sz w:val="22"/>
          <w:szCs w:val="22"/>
        </w:rPr>
        <w:tab/>
        <w:t xml:space="preserve">Survey Refusal Letter – Spanish </w:t>
      </w:r>
    </w:p>
    <w:p w14:paraId="2F21C907" w14:textId="77777777" w:rsidR="00D25841" w:rsidRDefault="00D25841" w:rsidP="00D25841">
      <w:pPr>
        <w:pStyle w:val="NormalSScontinued"/>
        <w:spacing w:after="0"/>
        <w:ind w:left="900" w:hanging="900"/>
        <w:rPr>
          <w:rFonts w:ascii="Arial" w:hAnsi="Arial" w:cs="Arial"/>
          <w:sz w:val="22"/>
          <w:szCs w:val="22"/>
        </w:rPr>
      </w:pPr>
    </w:p>
    <w:p w14:paraId="3E29E996"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T</w:t>
      </w:r>
      <w:r w:rsidRPr="00923BAF">
        <w:rPr>
          <w:rFonts w:ascii="Arial" w:hAnsi="Arial" w:cs="Arial"/>
          <w:sz w:val="22"/>
          <w:szCs w:val="22"/>
        </w:rPr>
        <w:tab/>
        <w:t>Administrative Data Elements</w:t>
      </w:r>
    </w:p>
    <w:p w14:paraId="68F2E360" w14:textId="77777777" w:rsidR="00D25841" w:rsidRPr="00A94C6E" w:rsidRDefault="00D25841" w:rsidP="00D25841">
      <w:pPr>
        <w:pStyle w:val="NormalSScontinued"/>
        <w:spacing w:after="0"/>
        <w:ind w:left="900" w:hanging="900"/>
        <w:rPr>
          <w:rFonts w:ascii="Arial" w:hAnsi="Arial" w:cs="Arial"/>
          <w:sz w:val="22"/>
          <w:szCs w:val="22"/>
        </w:rPr>
      </w:pPr>
    </w:p>
    <w:p w14:paraId="4909C971"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U</w:t>
      </w:r>
      <w:r w:rsidRPr="00923BAF">
        <w:rPr>
          <w:rFonts w:ascii="Arial" w:hAnsi="Arial" w:cs="Arial"/>
          <w:sz w:val="22"/>
          <w:szCs w:val="22"/>
        </w:rPr>
        <w:tab/>
        <w:t>Pilot Costs Workbook</w:t>
      </w:r>
    </w:p>
    <w:p w14:paraId="1781DFA7" w14:textId="77777777" w:rsidR="00D25841" w:rsidRPr="00A94C6E" w:rsidRDefault="00D25841" w:rsidP="00D25841">
      <w:pPr>
        <w:pStyle w:val="NormalSScontinued"/>
        <w:spacing w:after="0"/>
        <w:ind w:left="900" w:hanging="900"/>
        <w:rPr>
          <w:rFonts w:ascii="Arial" w:hAnsi="Arial" w:cs="Arial"/>
          <w:sz w:val="22"/>
          <w:szCs w:val="22"/>
        </w:rPr>
      </w:pPr>
    </w:p>
    <w:p w14:paraId="6C6DB6D9" w14:textId="77777777" w:rsidR="00D25841" w:rsidRDefault="00D25841" w:rsidP="00D25841">
      <w:pPr>
        <w:pStyle w:val="NormalSScontinued"/>
        <w:spacing w:after="0"/>
        <w:ind w:left="900" w:hanging="900"/>
        <w:rPr>
          <w:rFonts w:ascii="Arial" w:hAnsi="Arial" w:cs="Arial"/>
          <w:sz w:val="22"/>
          <w:szCs w:val="22"/>
        </w:rPr>
      </w:pPr>
      <w:r w:rsidRPr="00923BAF">
        <w:rPr>
          <w:rFonts w:ascii="Arial" w:hAnsi="Arial" w:cs="Arial"/>
          <w:sz w:val="22"/>
          <w:szCs w:val="22"/>
        </w:rPr>
        <w:t>V</w:t>
      </w:r>
      <w:r>
        <w:rPr>
          <w:rFonts w:ascii="Arial" w:hAnsi="Arial" w:cs="Arial"/>
          <w:sz w:val="22"/>
          <w:szCs w:val="22"/>
        </w:rPr>
        <w:t>.1</w:t>
      </w:r>
      <w:r w:rsidRPr="00923BAF">
        <w:rPr>
          <w:rFonts w:ascii="Arial" w:hAnsi="Arial" w:cs="Arial"/>
          <w:sz w:val="22"/>
          <w:szCs w:val="22"/>
        </w:rPr>
        <w:tab/>
        <w:t>Staff Time-Use Survey</w:t>
      </w:r>
    </w:p>
    <w:p w14:paraId="480C90FA" w14:textId="77777777" w:rsidR="00D25841" w:rsidRPr="00A94C6E" w:rsidRDefault="00D25841" w:rsidP="00D25841">
      <w:pPr>
        <w:pStyle w:val="NormalSScontinued"/>
        <w:spacing w:after="0"/>
        <w:ind w:left="900" w:hanging="900"/>
        <w:rPr>
          <w:rFonts w:ascii="Arial" w:hAnsi="Arial" w:cs="Arial"/>
          <w:sz w:val="22"/>
          <w:szCs w:val="22"/>
        </w:rPr>
      </w:pPr>
    </w:p>
    <w:p w14:paraId="2522A143"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V.2</w:t>
      </w:r>
      <w:r>
        <w:rPr>
          <w:rFonts w:ascii="Arial" w:hAnsi="Arial" w:cs="Arial"/>
          <w:sz w:val="22"/>
          <w:szCs w:val="22"/>
        </w:rPr>
        <w:tab/>
        <w:t>Staff Time-Use Survey Screenshots</w:t>
      </w:r>
    </w:p>
    <w:p w14:paraId="3C914408" w14:textId="77777777" w:rsidR="00D25841" w:rsidRDefault="00D25841" w:rsidP="00D25841">
      <w:pPr>
        <w:pStyle w:val="NormalSScontinued"/>
        <w:spacing w:after="0"/>
        <w:rPr>
          <w:rFonts w:ascii="Arial" w:hAnsi="Arial" w:cs="Arial"/>
          <w:sz w:val="22"/>
          <w:szCs w:val="22"/>
        </w:rPr>
      </w:pPr>
    </w:p>
    <w:p w14:paraId="2BEBC5B1" w14:textId="77777777" w:rsidR="00D25841" w:rsidRPr="00111E88" w:rsidRDefault="00D25841" w:rsidP="00D25841">
      <w:pPr>
        <w:pStyle w:val="NormalSScontinued"/>
        <w:spacing w:after="0"/>
        <w:ind w:left="900" w:hanging="900"/>
        <w:rPr>
          <w:rFonts w:ascii="Arial" w:hAnsi="Arial" w:cs="Arial"/>
          <w:sz w:val="22"/>
          <w:szCs w:val="22"/>
        </w:rPr>
      </w:pPr>
      <w:r w:rsidRPr="00111E88">
        <w:rPr>
          <w:rFonts w:ascii="Arial" w:hAnsi="Arial" w:cs="Arial"/>
          <w:sz w:val="22"/>
          <w:szCs w:val="22"/>
        </w:rPr>
        <w:t>W.1</w:t>
      </w:r>
      <w:r w:rsidRPr="00111E88">
        <w:rPr>
          <w:rFonts w:ascii="Arial" w:hAnsi="Arial" w:cs="Arial"/>
          <w:sz w:val="22"/>
          <w:szCs w:val="22"/>
        </w:rPr>
        <w:tab/>
        <w:t>Time-Use Survey Initial Email</w:t>
      </w:r>
    </w:p>
    <w:p w14:paraId="0F0BE887" w14:textId="77777777" w:rsidR="00D25841" w:rsidRPr="00111E88" w:rsidRDefault="00D25841" w:rsidP="00D25841">
      <w:pPr>
        <w:pStyle w:val="NormalSScontinued"/>
        <w:spacing w:after="0"/>
        <w:ind w:left="900" w:hanging="900"/>
        <w:rPr>
          <w:rFonts w:ascii="Arial" w:hAnsi="Arial" w:cs="Arial"/>
          <w:sz w:val="22"/>
          <w:szCs w:val="22"/>
        </w:rPr>
      </w:pPr>
    </w:p>
    <w:p w14:paraId="56E4329F" w14:textId="77777777" w:rsidR="00D25841" w:rsidRPr="00111E88" w:rsidRDefault="00D25841" w:rsidP="00D25841">
      <w:pPr>
        <w:pStyle w:val="NormalSScontinued"/>
        <w:spacing w:after="0"/>
        <w:ind w:left="900" w:hanging="900"/>
        <w:rPr>
          <w:rFonts w:ascii="Arial" w:hAnsi="Arial" w:cs="Arial"/>
          <w:sz w:val="22"/>
          <w:szCs w:val="22"/>
        </w:rPr>
      </w:pPr>
      <w:r w:rsidRPr="00111E88">
        <w:rPr>
          <w:rFonts w:ascii="Arial" w:hAnsi="Arial" w:cs="Arial"/>
          <w:sz w:val="22"/>
          <w:szCs w:val="22"/>
        </w:rPr>
        <w:t>W.2</w:t>
      </w:r>
      <w:r w:rsidRPr="00111E88">
        <w:rPr>
          <w:rFonts w:ascii="Arial" w:hAnsi="Arial" w:cs="Arial"/>
          <w:sz w:val="22"/>
          <w:szCs w:val="22"/>
        </w:rPr>
        <w:tab/>
        <w:t>Time-Use Survey Reminder Email</w:t>
      </w:r>
    </w:p>
    <w:p w14:paraId="0B76E4B7" w14:textId="77777777" w:rsidR="00D25841" w:rsidRPr="00111E88" w:rsidRDefault="00D25841" w:rsidP="00D25841">
      <w:pPr>
        <w:pStyle w:val="NormalSScontinued"/>
        <w:spacing w:after="0"/>
        <w:ind w:left="900" w:hanging="900"/>
        <w:rPr>
          <w:rFonts w:ascii="Arial" w:hAnsi="Arial" w:cs="Arial"/>
          <w:sz w:val="22"/>
          <w:szCs w:val="22"/>
        </w:rPr>
      </w:pPr>
    </w:p>
    <w:p w14:paraId="6B3109FC" w14:textId="77777777" w:rsidR="00D25841" w:rsidRDefault="00D25841" w:rsidP="00D25841">
      <w:pPr>
        <w:pStyle w:val="NormalSScontinued"/>
        <w:spacing w:after="0"/>
        <w:ind w:left="900" w:hanging="900"/>
        <w:rPr>
          <w:rFonts w:ascii="Arial" w:hAnsi="Arial" w:cs="Arial"/>
          <w:sz w:val="22"/>
          <w:szCs w:val="22"/>
        </w:rPr>
      </w:pPr>
      <w:r w:rsidRPr="00111E88">
        <w:rPr>
          <w:rFonts w:ascii="Arial" w:hAnsi="Arial" w:cs="Arial"/>
          <w:sz w:val="22"/>
          <w:szCs w:val="22"/>
        </w:rPr>
        <w:t>X</w:t>
      </w:r>
      <w:r>
        <w:rPr>
          <w:rFonts w:ascii="Arial" w:hAnsi="Arial" w:cs="Arial"/>
          <w:sz w:val="22"/>
          <w:szCs w:val="22"/>
        </w:rPr>
        <w:t>.1</w:t>
      </w:r>
      <w:r w:rsidRPr="00111E88">
        <w:rPr>
          <w:rFonts w:ascii="Arial" w:hAnsi="Arial" w:cs="Arial"/>
          <w:sz w:val="22"/>
          <w:szCs w:val="22"/>
        </w:rPr>
        <w:tab/>
        <w:t xml:space="preserve">Sample </w:t>
      </w:r>
      <w:r>
        <w:rPr>
          <w:rFonts w:ascii="Arial" w:hAnsi="Arial" w:cs="Arial"/>
          <w:sz w:val="22"/>
          <w:szCs w:val="22"/>
        </w:rPr>
        <w:t>R</w:t>
      </w:r>
      <w:r w:rsidRPr="00111E88">
        <w:rPr>
          <w:rFonts w:ascii="Arial" w:hAnsi="Arial" w:cs="Arial"/>
          <w:sz w:val="22"/>
          <w:szCs w:val="22"/>
        </w:rPr>
        <w:t xml:space="preserve">espondent </w:t>
      </w:r>
      <w:r>
        <w:rPr>
          <w:rFonts w:ascii="Arial" w:hAnsi="Arial" w:cs="Arial"/>
          <w:sz w:val="22"/>
          <w:szCs w:val="22"/>
        </w:rPr>
        <w:t>B</w:t>
      </w:r>
      <w:r w:rsidRPr="00111E88">
        <w:rPr>
          <w:rFonts w:ascii="Arial" w:hAnsi="Arial" w:cs="Arial"/>
          <w:sz w:val="22"/>
          <w:szCs w:val="22"/>
        </w:rPr>
        <w:t>urden table</w:t>
      </w:r>
      <w:r>
        <w:rPr>
          <w:rFonts w:ascii="Arial" w:hAnsi="Arial" w:cs="Arial"/>
          <w:sz w:val="22"/>
          <w:szCs w:val="22"/>
        </w:rPr>
        <w:t xml:space="preserve"> (Excel)</w:t>
      </w:r>
    </w:p>
    <w:p w14:paraId="5358E9A7" w14:textId="77777777" w:rsidR="00D25841" w:rsidRDefault="00D25841" w:rsidP="00D25841">
      <w:pPr>
        <w:pStyle w:val="NormalSScontinued"/>
        <w:spacing w:after="0"/>
        <w:ind w:left="900" w:hanging="900"/>
        <w:rPr>
          <w:rFonts w:ascii="Arial" w:hAnsi="Arial" w:cs="Arial"/>
          <w:sz w:val="22"/>
          <w:szCs w:val="22"/>
        </w:rPr>
      </w:pPr>
    </w:p>
    <w:p w14:paraId="15089518" w14:textId="77777777" w:rsidR="00D25841" w:rsidRPr="004201AD" w:rsidRDefault="00D25841" w:rsidP="00D25841">
      <w:pPr>
        <w:pStyle w:val="NormalSS"/>
        <w:tabs>
          <w:tab w:val="left" w:pos="900"/>
        </w:tabs>
        <w:ind w:firstLine="0"/>
        <w:rPr>
          <w:rFonts w:ascii="Arial" w:hAnsi="Arial" w:cs="Arial"/>
          <w:sz w:val="22"/>
          <w:szCs w:val="22"/>
        </w:rPr>
      </w:pPr>
      <w:r w:rsidRPr="00CA6AE3">
        <w:rPr>
          <w:rFonts w:ascii="Arial" w:hAnsi="Arial" w:cs="Arial"/>
          <w:sz w:val="22"/>
          <w:szCs w:val="22"/>
        </w:rPr>
        <w:t>X.2</w:t>
      </w:r>
      <w:r>
        <w:rPr>
          <w:rFonts w:ascii="Arial" w:hAnsi="Arial" w:cs="Arial"/>
          <w:sz w:val="22"/>
          <w:szCs w:val="22"/>
        </w:rPr>
        <w:tab/>
        <w:t>Sample Respondent Burden Table (Word)</w:t>
      </w:r>
    </w:p>
    <w:p w14:paraId="032A6123" w14:textId="77777777" w:rsidR="007A2FFB" w:rsidRPr="00ED4666" w:rsidRDefault="007A2FFB" w:rsidP="007A2FFB">
      <w:pPr>
        <w:pBdr>
          <w:bottom w:val="single" w:sz="4" w:space="1" w:color="auto"/>
        </w:pBdr>
        <w:spacing w:after="240" w:line="240" w:lineRule="auto"/>
        <w:ind w:firstLine="0"/>
        <w:rPr>
          <w:rFonts w:ascii="Arial" w:hAnsi="Arial" w:cs="Arial"/>
          <w:sz w:val="22"/>
          <w:szCs w:val="22"/>
        </w:rPr>
      </w:pPr>
      <w:r w:rsidRPr="00ED4666">
        <w:rPr>
          <w:rFonts w:ascii="Arial" w:hAnsi="Arial" w:cs="Arial"/>
          <w:b/>
          <w:sz w:val="22"/>
          <w:szCs w:val="22"/>
        </w:rPr>
        <w:t>ATTACHMENTS</w:t>
      </w:r>
      <w:r w:rsidRPr="00ED4666">
        <w:rPr>
          <w:rFonts w:ascii="Arial" w:hAnsi="Arial" w:cs="Arial"/>
          <w:sz w:val="22"/>
          <w:szCs w:val="22"/>
        </w:rPr>
        <w:t xml:space="preserve"> (</w:t>
      </w:r>
      <w:r w:rsidRPr="00ED4666">
        <w:rPr>
          <w:rFonts w:ascii="Arial" w:hAnsi="Arial" w:cs="Arial"/>
          <w:i/>
          <w:sz w:val="22"/>
          <w:szCs w:val="22"/>
        </w:rPr>
        <w:t>continued</w:t>
      </w:r>
      <w:r w:rsidRPr="00ED4666">
        <w:rPr>
          <w:rFonts w:ascii="Arial" w:hAnsi="Arial" w:cs="Arial"/>
          <w:sz w:val="22"/>
          <w:szCs w:val="22"/>
        </w:rPr>
        <w:t>)</w:t>
      </w:r>
    </w:p>
    <w:p w14:paraId="46969545" w14:textId="77777777" w:rsidR="007A2FFB" w:rsidRDefault="007A2FFB" w:rsidP="00D25841">
      <w:pPr>
        <w:pStyle w:val="NormalSScontinued"/>
        <w:spacing w:after="0"/>
        <w:ind w:left="900" w:hanging="900"/>
        <w:rPr>
          <w:rFonts w:ascii="Arial" w:hAnsi="Arial" w:cs="Arial"/>
          <w:sz w:val="22"/>
          <w:szCs w:val="22"/>
        </w:rPr>
      </w:pPr>
    </w:p>
    <w:p w14:paraId="054C8301" w14:textId="1FCAEA98" w:rsidR="00D25841" w:rsidRPr="00111E88" w:rsidRDefault="00D25841" w:rsidP="00D25841">
      <w:pPr>
        <w:pStyle w:val="NormalSScontinued"/>
        <w:spacing w:after="0"/>
        <w:ind w:left="900" w:hanging="900"/>
        <w:rPr>
          <w:rFonts w:ascii="Arial" w:hAnsi="Arial" w:cs="Arial"/>
          <w:sz w:val="22"/>
          <w:szCs w:val="22"/>
        </w:rPr>
      </w:pPr>
      <w:r w:rsidRPr="00111E88">
        <w:rPr>
          <w:rFonts w:ascii="Arial" w:hAnsi="Arial" w:cs="Arial"/>
          <w:sz w:val="22"/>
          <w:szCs w:val="22"/>
        </w:rPr>
        <w:t>Y</w:t>
      </w:r>
      <w:r>
        <w:rPr>
          <w:rFonts w:ascii="Arial" w:hAnsi="Arial" w:cs="Arial"/>
          <w:sz w:val="22"/>
          <w:szCs w:val="22"/>
        </w:rPr>
        <w:t>.1</w:t>
      </w:r>
      <w:r w:rsidRPr="00111E88">
        <w:rPr>
          <w:rFonts w:ascii="Arial" w:hAnsi="Arial" w:cs="Arial"/>
          <w:sz w:val="22"/>
          <w:szCs w:val="22"/>
        </w:rPr>
        <w:tab/>
        <w:t xml:space="preserve">NASS Reviewer Comments </w:t>
      </w:r>
    </w:p>
    <w:p w14:paraId="634A6333" w14:textId="77777777" w:rsidR="00D25841" w:rsidRPr="00111E88" w:rsidRDefault="00D25841" w:rsidP="00D25841">
      <w:pPr>
        <w:pStyle w:val="NormalSScontinued"/>
        <w:spacing w:after="0"/>
        <w:ind w:left="900" w:hanging="900"/>
        <w:rPr>
          <w:rFonts w:ascii="Arial" w:hAnsi="Arial" w:cs="Arial"/>
          <w:sz w:val="22"/>
          <w:szCs w:val="22"/>
        </w:rPr>
      </w:pPr>
    </w:p>
    <w:p w14:paraId="37CC9151" w14:textId="77777777" w:rsidR="00D25841" w:rsidRDefault="00D25841" w:rsidP="00D25841">
      <w:pPr>
        <w:pStyle w:val="NormalSScontinued"/>
        <w:spacing w:after="0"/>
        <w:ind w:left="900" w:hanging="900"/>
        <w:rPr>
          <w:rFonts w:ascii="Arial" w:hAnsi="Arial" w:cs="Arial"/>
          <w:sz w:val="22"/>
          <w:szCs w:val="22"/>
        </w:rPr>
      </w:pPr>
      <w:r>
        <w:rPr>
          <w:rFonts w:ascii="Arial" w:hAnsi="Arial" w:cs="Arial"/>
          <w:sz w:val="22"/>
          <w:szCs w:val="22"/>
        </w:rPr>
        <w:t>Y.2</w:t>
      </w:r>
      <w:r>
        <w:rPr>
          <w:rFonts w:ascii="Arial" w:hAnsi="Arial" w:cs="Arial"/>
          <w:sz w:val="22"/>
          <w:szCs w:val="22"/>
        </w:rPr>
        <w:tab/>
      </w:r>
      <w:r w:rsidRPr="00111E88">
        <w:rPr>
          <w:rFonts w:ascii="Arial" w:hAnsi="Arial" w:cs="Arial"/>
          <w:sz w:val="22"/>
          <w:szCs w:val="22"/>
        </w:rPr>
        <w:t>NASS Reviewer Comments and Responses to Comments</w:t>
      </w:r>
    </w:p>
    <w:p w14:paraId="3DEF9895" w14:textId="77777777" w:rsidR="00D25841" w:rsidRDefault="00D25841" w:rsidP="00D25841">
      <w:pPr>
        <w:pStyle w:val="NormalSScontinued"/>
        <w:spacing w:after="0"/>
        <w:ind w:left="900" w:hanging="900"/>
        <w:rPr>
          <w:rFonts w:ascii="Arial" w:hAnsi="Arial" w:cs="Arial"/>
          <w:sz w:val="22"/>
          <w:szCs w:val="22"/>
        </w:rPr>
      </w:pPr>
    </w:p>
    <w:p w14:paraId="2BBD62E6" w14:textId="77777777" w:rsidR="00D25841" w:rsidRPr="00111E88" w:rsidRDefault="00D25841" w:rsidP="00D25841">
      <w:pPr>
        <w:pStyle w:val="NormalSScontinued"/>
        <w:spacing w:after="0"/>
        <w:ind w:left="900" w:hanging="900"/>
        <w:rPr>
          <w:rFonts w:ascii="Arial" w:hAnsi="Arial" w:cs="Arial"/>
          <w:sz w:val="22"/>
          <w:szCs w:val="22"/>
        </w:rPr>
      </w:pPr>
      <w:r w:rsidRPr="00111E88">
        <w:rPr>
          <w:rFonts w:ascii="Arial" w:hAnsi="Arial" w:cs="Arial"/>
          <w:sz w:val="22"/>
          <w:szCs w:val="22"/>
        </w:rPr>
        <w:t>Z</w:t>
      </w:r>
      <w:r w:rsidRPr="00111E88">
        <w:rPr>
          <w:rFonts w:ascii="Arial" w:hAnsi="Arial" w:cs="Arial"/>
          <w:sz w:val="22"/>
          <w:szCs w:val="22"/>
        </w:rPr>
        <w:tab/>
        <w:t>SNAP E&amp;T Pilots Memorandum of Understanding</w:t>
      </w:r>
    </w:p>
    <w:p w14:paraId="1B87D212" w14:textId="77777777" w:rsidR="00D25841" w:rsidRPr="00111E88" w:rsidRDefault="00D25841" w:rsidP="00D25841">
      <w:pPr>
        <w:pStyle w:val="NormalSScontinued"/>
        <w:spacing w:after="0"/>
        <w:ind w:left="900" w:hanging="900"/>
        <w:rPr>
          <w:rFonts w:ascii="Arial" w:hAnsi="Arial" w:cs="Arial"/>
          <w:sz w:val="22"/>
          <w:szCs w:val="22"/>
        </w:rPr>
      </w:pPr>
    </w:p>
    <w:p w14:paraId="4492BF13" w14:textId="77777777" w:rsidR="00D25841" w:rsidRDefault="00D25841" w:rsidP="00D25841">
      <w:pPr>
        <w:pStyle w:val="NormalSScontinued"/>
        <w:spacing w:after="0"/>
        <w:ind w:left="900" w:hanging="900"/>
        <w:rPr>
          <w:rFonts w:ascii="Arial" w:hAnsi="Arial" w:cs="Arial"/>
          <w:sz w:val="22"/>
          <w:szCs w:val="22"/>
        </w:rPr>
      </w:pPr>
      <w:r w:rsidRPr="00111E88">
        <w:rPr>
          <w:rFonts w:ascii="Arial" w:hAnsi="Arial" w:cs="Arial"/>
          <w:sz w:val="22"/>
          <w:szCs w:val="22"/>
        </w:rPr>
        <w:t>AA</w:t>
      </w:r>
      <w:r w:rsidRPr="00111E88">
        <w:rPr>
          <w:rFonts w:ascii="Arial" w:hAnsi="Arial" w:cs="Arial"/>
          <w:sz w:val="22"/>
          <w:szCs w:val="22"/>
        </w:rPr>
        <w:tab/>
      </w:r>
      <w:r>
        <w:rPr>
          <w:rFonts w:ascii="Arial" w:hAnsi="Arial" w:cs="Arial"/>
          <w:sz w:val="22"/>
          <w:szCs w:val="22"/>
        </w:rPr>
        <w:t>Document</w:t>
      </w:r>
      <w:r w:rsidRPr="00111E88">
        <w:rPr>
          <w:rFonts w:ascii="Arial" w:hAnsi="Arial" w:cs="Arial"/>
          <w:sz w:val="22"/>
          <w:szCs w:val="22"/>
        </w:rPr>
        <w:t xml:space="preserve"> List for Document Review Process</w:t>
      </w:r>
    </w:p>
    <w:p w14:paraId="4CB92121" w14:textId="77777777" w:rsidR="00D25841" w:rsidRDefault="00D25841" w:rsidP="00D25841">
      <w:pPr>
        <w:pStyle w:val="NormalSScontinued"/>
        <w:spacing w:after="0"/>
        <w:ind w:left="900" w:hanging="900"/>
        <w:rPr>
          <w:rFonts w:ascii="Arial" w:hAnsi="Arial" w:cs="Arial"/>
          <w:sz w:val="22"/>
          <w:szCs w:val="22"/>
        </w:rPr>
      </w:pPr>
    </w:p>
    <w:p w14:paraId="7538D809" w14:textId="77777777" w:rsidR="00D25841" w:rsidRPr="001A088E" w:rsidRDefault="00D25841" w:rsidP="00D25841">
      <w:pPr>
        <w:pStyle w:val="NormalSScontinued"/>
        <w:spacing w:after="0" w:line="480" w:lineRule="auto"/>
        <w:ind w:left="907" w:hanging="907"/>
        <w:rPr>
          <w:rFonts w:ascii="Arial" w:hAnsi="Arial" w:cs="Arial"/>
          <w:sz w:val="22"/>
          <w:szCs w:val="22"/>
        </w:rPr>
      </w:pPr>
      <w:r w:rsidRPr="001A088E">
        <w:rPr>
          <w:rFonts w:ascii="Arial" w:hAnsi="Arial" w:cs="Arial"/>
          <w:sz w:val="22"/>
          <w:szCs w:val="22"/>
        </w:rPr>
        <w:t>BB</w:t>
      </w:r>
      <w:r w:rsidRPr="001A088E">
        <w:rPr>
          <w:rFonts w:ascii="Arial" w:hAnsi="Arial" w:cs="Arial"/>
          <w:sz w:val="22"/>
          <w:szCs w:val="22"/>
        </w:rPr>
        <w:tab/>
        <w:t>Confidentiality Pledge</w:t>
      </w:r>
    </w:p>
    <w:p w14:paraId="20C4C470" w14:textId="77777777" w:rsidR="00D25841" w:rsidRDefault="00D25841" w:rsidP="00D25841">
      <w:pPr>
        <w:pStyle w:val="NormalSS"/>
        <w:ind w:left="900" w:hanging="900"/>
        <w:rPr>
          <w:rFonts w:ascii="Arial" w:hAnsi="Arial" w:cs="Arial"/>
          <w:sz w:val="22"/>
          <w:szCs w:val="22"/>
        </w:rPr>
      </w:pPr>
      <w:r w:rsidRPr="001A088E">
        <w:rPr>
          <w:rFonts w:ascii="Arial" w:hAnsi="Arial" w:cs="Arial"/>
          <w:sz w:val="22"/>
          <w:szCs w:val="22"/>
        </w:rPr>
        <w:t>CC</w:t>
      </w:r>
      <w:r>
        <w:rPr>
          <w:rFonts w:ascii="Arial" w:hAnsi="Arial" w:cs="Arial"/>
          <w:sz w:val="22"/>
          <w:szCs w:val="22"/>
        </w:rPr>
        <w:t>.1</w:t>
      </w:r>
      <w:r>
        <w:rPr>
          <w:rFonts w:ascii="Arial" w:hAnsi="Arial" w:cs="Arial"/>
          <w:sz w:val="22"/>
          <w:szCs w:val="22"/>
        </w:rPr>
        <w:tab/>
        <w:t>Federal Register Comment</w:t>
      </w:r>
    </w:p>
    <w:p w14:paraId="37B0B735" w14:textId="77777777" w:rsidR="00D25841" w:rsidRDefault="00D25841" w:rsidP="00D25841">
      <w:pPr>
        <w:pStyle w:val="NormalSS"/>
        <w:ind w:left="900" w:hanging="900"/>
        <w:rPr>
          <w:rFonts w:ascii="Arial" w:hAnsi="Arial" w:cs="Arial"/>
          <w:sz w:val="22"/>
          <w:szCs w:val="22"/>
        </w:rPr>
      </w:pPr>
      <w:r>
        <w:rPr>
          <w:rFonts w:ascii="Arial" w:hAnsi="Arial" w:cs="Arial"/>
          <w:sz w:val="22"/>
          <w:szCs w:val="22"/>
        </w:rPr>
        <w:t>CC.2</w:t>
      </w:r>
      <w:r>
        <w:rPr>
          <w:rFonts w:ascii="Arial" w:hAnsi="Arial" w:cs="Arial"/>
          <w:sz w:val="22"/>
          <w:szCs w:val="22"/>
        </w:rPr>
        <w:tab/>
        <w:t>Response to Federal Register Comment</w:t>
      </w:r>
    </w:p>
    <w:p w14:paraId="117140C7" w14:textId="77777777" w:rsidR="00D25841" w:rsidRDefault="00D25841" w:rsidP="00D25841">
      <w:pPr>
        <w:pStyle w:val="NormalSS"/>
        <w:ind w:left="900" w:hanging="900"/>
        <w:rPr>
          <w:rFonts w:ascii="Arial" w:hAnsi="Arial" w:cs="Arial"/>
          <w:sz w:val="22"/>
          <w:szCs w:val="22"/>
        </w:rPr>
      </w:pPr>
      <w:r>
        <w:rPr>
          <w:rFonts w:ascii="Arial" w:hAnsi="Arial" w:cs="Arial"/>
          <w:sz w:val="22"/>
          <w:szCs w:val="22"/>
        </w:rPr>
        <w:t>CC.3</w:t>
      </w:r>
      <w:r>
        <w:rPr>
          <w:rFonts w:ascii="Arial" w:hAnsi="Arial" w:cs="Arial"/>
          <w:sz w:val="22"/>
          <w:szCs w:val="22"/>
        </w:rPr>
        <w:tab/>
        <w:t>Federal Register Comment</w:t>
      </w:r>
    </w:p>
    <w:p w14:paraId="40CEC193" w14:textId="77777777" w:rsidR="00D25841" w:rsidRDefault="00D25841" w:rsidP="00D25841">
      <w:pPr>
        <w:pStyle w:val="NormalSS"/>
        <w:ind w:left="900" w:hanging="900"/>
        <w:rPr>
          <w:rFonts w:ascii="Arial" w:hAnsi="Arial" w:cs="Arial"/>
          <w:sz w:val="22"/>
          <w:szCs w:val="22"/>
        </w:rPr>
      </w:pPr>
      <w:r>
        <w:rPr>
          <w:rFonts w:ascii="Arial" w:hAnsi="Arial" w:cs="Arial"/>
          <w:sz w:val="22"/>
          <w:szCs w:val="22"/>
        </w:rPr>
        <w:t>CC.4</w:t>
      </w:r>
      <w:r>
        <w:rPr>
          <w:rFonts w:ascii="Arial" w:hAnsi="Arial" w:cs="Arial"/>
          <w:sz w:val="22"/>
          <w:szCs w:val="22"/>
        </w:rPr>
        <w:tab/>
        <w:t>Response to Federal Register Comment</w:t>
      </w:r>
    </w:p>
    <w:p w14:paraId="56E4EF7B" w14:textId="77777777" w:rsidR="00D25841" w:rsidRDefault="00D25841" w:rsidP="00D25841">
      <w:pPr>
        <w:pStyle w:val="NormalSS"/>
        <w:ind w:firstLine="0"/>
      </w:pPr>
      <w:r>
        <w:rPr>
          <w:rFonts w:ascii="Arial" w:hAnsi="Arial" w:cs="Arial"/>
          <w:sz w:val="22"/>
          <w:szCs w:val="22"/>
        </w:rPr>
        <w:t>DD</w:t>
      </w:r>
      <w:r>
        <w:rPr>
          <w:rFonts w:ascii="Arial" w:hAnsi="Arial" w:cs="Arial"/>
          <w:sz w:val="22"/>
          <w:szCs w:val="22"/>
        </w:rPr>
        <w:tab/>
        <w:t xml:space="preserve">   Summary of Pilot Projects</w:t>
      </w:r>
    </w:p>
    <w:p w14:paraId="3B922FF8" w14:textId="6D990B7B" w:rsidR="00F84BB9" w:rsidRPr="00574AF4" w:rsidRDefault="000E17A1" w:rsidP="00574AF4">
      <w:pPr>
        <w:pStyle w:val="NormalSS"/>
        <w:tabs>
          <w:tab w:val="left" w:pos="900"/>
        </w:tabs>
        <w:ind w:firstLine="0"/>
        <w:rPr>
          <w:rFonts w:ascii="Arial" w:hAnsi="Arial" w:cs="Arial"/>
        </w:rPr>
        <w:sectPr w:rsidR="00F84BB9" w:rsidRPr="00574AF4" w:rsidSect="00E74068">
          <w:headerReference w:type="default" r:id="rId12"/>
          <w:footerReference w:type="default" r:id="rId13"/>
          <w:pgSz w:w="12240" w:h="15840"/>
          <w:pgMar w:top="1440" w:right="1440" w:bottom="1440" w:left="1440" w:header="720" w:footer="720" w:gutter="0"/>
          <w:pgNumType w:fmt="lowerRoman"/>
          <w:cols w:space="720"/>
          <w:docGrid w:linePitch="360"/>
        </w:sectPr>
      </w:pPr>
      <w:r w:rsidRPr="00574AF4">
        <w:rPr>
          <w:rFonts w:ascii="Arial" w:hAnsi="Arial" w:cs="Arial"/>
          <w:sz w:val="22"/>
        </w:rPr>
        <w:t>EE</w:t>
      </w:r>
      <w:r>
        <w:rPr>
          <w:rFonts w:ascii="Arial" w:hAnsi="Arial" w:cs="Arial"/>
          <w:sz w:val="22"/>
        </w:rPr>
        <w:tab/>
        <w:t>IRB Approval Letters</w:t>
      </w:r>
    </w:p>
    <w:p w14:paraId="17923983" w14:textId="77777777" w:rsidR="00CB1BB7" w:rsidRDefault="00CB1BB7" w:rsidP="00FB262E">
      <w:pPr>
        <w:pStyle w:val="H3Alpha"/>
        <w:spacing w:after="0" w:line="480" w:lineRule="auto"/>
        <w:ind w:left="0" w:firstLine="0"/>
      </w:pPr>
      <w:bookmarkStart w:id="17" w:name="_Toc531085508"/>
      <w:r>
        <w:t>B</w:t>
      </w:r>
      <w:r w:rsidR="00861117">
        <w:t xml:space="preserve">.1. </w:t>
      </w:r>
      <w:r>
        <w:t>Description of respondent universe and sampling methods</w:t>
      </w:r>
      <w:bookmarkEnd w:id="17"/>
    </w:p>
    <w:p w14:paraId="5FB52018" w14:textId="77777777" w:rsidR="00CB1BB7" w:rsidRPr="00B30DDF" w:rsidRDefault="00CB1BB7" w:rsidP="000A66E4">
      <w:pPr>
        <w:pStyle w:val="NormalSS"/>
        <w:spacing w:after="0" w:line="480" w:lineRule="auto"/>
        <w:ind w:left="432" w:firstLine="0"/>
        <w:rPr>
          <w:b/>
        </w:rPr>
      </w:pPr>
      <w:r w:rsidRPr="00B30DDF">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FF49D14" w14:textId="1BF591B7" w:rsidR="00894358" w:rsidRDefault="00CB1BB7" w:rsidP="00FB262E">
      <w:r>
        <w:t xml:space="preserve">The Evaluation of the SNAP E&amp;T Pilots study will assess the effectiveness of pilot studies in ten </w:t>
      </w:r>
      <w:r w:rsidR="00C64412">
        <w:t xml:space="preserve">Grant </w:t>
      </w:r>
      <w:r>
        <w:t xml:space="preserve">awardee sites: California Department of Social Services, Fresno Bridge Academy; State of Delaware Department of Health and Human Services; Georgia Division of Family and Children Services; Illinois Department of Human Services; Kansas Department for Children and Families; Commonwealth of Kentucky Cabinet for Health and Family Services, Department for Community Based Services; Mississippi Department of Human Services; Vermont Agency of Human Services; Virginia Department of Social Services; and Washington State Department of Social and Health Services. Separate study designs </w:t>
      </w:r>
      <w:r w:rsidR="00643D7E">
        <w:t>were</w:t>
      </w:r>
      <w:r>
        <w:t xml:space="preserve"> developed and implemented for each site. </w:t>
      </w:r>
      <w:r w:rsidR="00407B0F">
        <w:t>A summary of</w:t>
      </w:r>
      <w:r>
        <w:t xml:space="preserve"> key features of each of the pilot projects</w:t>
      </w:r>
      <w:r w:rsidR="00407B0F">
        <w:t xml:space="preserve"> can be found in Attachment DD</w:t>
      </w:r>
      <w:r>
        <w:t>. All sites use designs where individuals are the units of random assignment. Some sites implement</w:t>
      </w:r>
      <w:r w:rsidR="00643D7E">
        <w:t>ed</w:t>
      </w:r>
      <w:r>
        <w:t xml:space="preserve"> single-arm treatment designs, where individuals are randomly assigned into either a treatment group that receives a set of services or to a control group. Other sites will implement multi-arm treatment designs, where individuals are randomly assigned to one of several treatment groups or a control group. The remaining sites implement</w:t>
      </w:r>
      <w:r w:rsidR="00643D7E">
        <w:t>ed</w:t>
      </w:r>
      <w:r>
        <w:t xml:space="preserve"> multi-arm treatment designs with enhancements. For these designs, some services in one treatment group </w:t>
      </w:r>
      <w:r w:rsidR="00643D7E">
        <w:t>are</w:t>
      </w:r>
      <w:r>
        <w:t xml:space="preserve"> an “add-on” to the services offered in another treatment group. For example, one treatment might consist of job search assistance (JSA) only while another treatment would consist of JSA and support services.</w:t>
      </w:r>
      <w:r w:rsidR="00E7232A">
        <w:t xml:space="preserve"> The target populations (universes) are different across the sites. Some sites are targeting larger populations of SNAP work registrants or ABAWDs, while other sites have more narrowly focused target populations.</w:t>
      </w:r>
    </w:p>
    <w:p w14:paraId="6A6B23C8" w14:textId="069C58C4" w:rsidR="00B30DDF" w:rsidRPr="007B0C01" w:rsidRDefault="00B30DDF" w:rsidP="00FB262E">
      <w:pPr>
        <w:ind w:firstLine="720"/>
      </w:pPr>
      <w:r w:rsidRPr="007B0C01">
        <w:t xml:space="preserve">This section describes the sampling procedures used for the </w:t>
      </w:r>
      <w:r>
        <w:t>pilot studies</w:t>
      </w:r>
      <w:r w:rsidRPr="007B0C01">
        <w:t xml:space="preserve">, including: (1) sample frame determination, (2) design features specific to </w:t>
      </w:r>
      <w:r>
        <w:t>individual-level RA design studies</w:t>
      </w:r>
      <w:r w:rsidRPr="007B0C01">
        <w:t>, (3)</w:t>
      </w:r>
      <w:r w:rsidR="002361D8">
        <w:t xml:space="preserve"> sampling plan, and (4)</w:t>
      </w:r>
      <w:r w:rsidRPr="007B0C01">
        <w:t xml:space="preserve"> expected response rates and nonresponse analysis. </w:t>
      </w:r>
    </w:p>
    <w:p w14:paraId="2B48A944" w14:textId="77777777" w:rsidR="00B30DDF" w:rsidRPr="00865AE2" w:rsidRDefault="00B30DDF" w:rsidP="00A67A0C">
      <w:pPr>
        <w:pStyle w:val="H4Number"/>
      </w:pPr>
      <w:bookmarkStart w:id="18" w:name="_Toc408492371"/>
      <w:bookmarkStart w:id="19" w:name="_Toc414577808"/>
      <w:bookmarkStart w:id="20" w:name="_Toc531085509"/>
      <w:r w:rsidRPr="00865AE2">
        <w:t>1</w:t>
      </w:r>
      <w:r>
        <w:t>.</w:t>
      </w:r>
      <w:r w:rsidR="009078F0">
        <w:tab/>
      </w:r>
      <w:r w:rsidRPr="00865AE2">
        <w:t>Sample Frame Determination</w:t>
      </w:r>
      <w:bookmarkEnd w:id="18"/>
      <w:bookmarkEnd w:id="19"/>
      <w:bookmarkEnd w:id="20"/>
    </w:p>
    <w:p w14:paraId="1D9267FA" w14:textId="5E595FD0" w:rsidR="00B30DDF" w:rsidRPr="00C31B56" w:rsidRDefault="00B30DDF" w:rsidP="000A66E4">
      <w:r w:rsidRPr="00C31B56">
        <w:t>Each pilot study design dictate</w:t>
      </w:r>
      <w:r w:rsidR="00794578">
        <w:t>s</w:t>
      </w:r>
      <w:r w:rsidRPr="00C31B56">
        <w:t xml:space="preserve"> how </w:t>
      </w:r>
      <w:r w:rsidR="00794578">
        <w:t>the evaluation team</w:t>
      </w:r>
      <w:r w:rsidR="00794578" w:rsidRPr="00C31B56">
        <w:t xml:space="preserve"> </w:t>
      </w:r>
      <w:r w:rsidR="00C64412" w:rsidRPr="00C31B56">
        <w:t>identif</w:t>
      </w:r>
      <w:r w:rsidR="00794578">
        <w:t>ies</w:t>
      </w:r>
      <w:r w:rsidR="00C64412" w:rsidRPr="00C31B56">
        <w:t xml:space="preserve"> </w:t>
      </w:r>
      <w:r w:rsidRPr="00C31B56">
        <w:t xml:space="preserve">the </w:t>
      </w:r>
      <w:r>
        <w:t>sample frame for that pilot</w:t>
      </w:r>
      <w:r w:rsidRPr="00C31B56">
        <w:t xml:space="preserve">. Our </w:t>
      </w:r>
      <w:r>
        <w:t>initial</w:t>
      </w:r>
      <w:r w:rsidRPr="00C31B56">
        <w:t xml:space="preserve"> interactions with pilots focus</w:t>
      </w:r>
      <w:r w:rsidR="00794578">
        <w:t>ed</w:t>
      </w:r>
      <w:r w:rsidRPr="00C31B56">
        <w:t xml:space="preserve"> on providing them information about the study and </w:t>
      </w:r>
      <w:r>
        <w:t xml:space="preserve">also obtaining information about </w:t>
      </w:r>
      <w:r w:rsidRPr="00C31B56">
        <w:t xml:space="preserve">how the site will implement both the intervention and its evaluation. </w:t>
      </w:r>
      <w:r>
        <w:t xml:space="preserve">In communicating with the sites, </w:t>
      </w:r>
      <w:r w:rsidR="00794578">
        <w:t xml:space="preserve">the evaluation team </w:t>
      </w:r>
      <w:r w:rsidRPr="00C31B56">
        <w:t>focus</w:t>
      </w:r>
      <w:r w:rsidR="00794578">
        <w:t>ed</w:t>
      </w:r>
      <w:r w:rsidRPr="00C31B56">
        <w:t xml:space="preserve"> on the following issues:</w:t>
      </w:r>
    </w:p>
    <w:p w14:paraId="14ABA63C" w14:textId="77777777" w:rsidR="00B30DDF" w:rsidRPr="00FA3F33" w:rsidRDefault="00B30DDF" w:rsidP="00DC0B18">
      <w:pPr>
        <w:pStyle w:val="Bullet"/>
      </w:pPr>
      <w:r w:rsidRPr="00FA3F33">
        <w:t>Where components of the study intake process—obtaining consent</w:t>
      </w:r>
      <w:r w:rsidR="005C6C34" w:rsidRPr="00FA3F33">
        <w:t xml:space="preserve"> (Attachments D.1, D.2,  D.3</w:t>
      </w:r>
      <w:r w:rsidR="002361D8" w:rsidRPr="00FA3F33">
        <w:t>, and D.4</w:t>
      </w:r>
      <w:r w:rsidR="005C6C34" w:rsidRPr="00FA3F33">
        <w:t>)</w:t>
      </w:r>
      <w:r w:rsidRPr="00FA3F33">
        <w:t>, collecting baseline information</w:t>
      </w:r>
      <w:r w:rsidR="000016A2" w:rsidRPr="00FA3F33">
        <w:t xml:space="preserve"> via a registration document</w:t>
      </w:r>
      <w:r w:rsidR="005C6C34" w:rsidRPr="00FA3F33">
        <w:t xml:space="preserve"> (Attachments C.1 and C.2)</w:t>
      </w:r>
      <w:r w:rsidRPr="00FA3F33">
        <w:t xml:space="preserve">, conducting RA, and service provider assessments—take place in the overall program flow of the pilot </w:t>
      </w:r>
    </w:p>
    <w:p w14:paraId="1814F90E" w14:textId="77777777" w:rsidR="00B30DDF" w:rsidRPr="00FA3F33" w:rsidRDefault="00B30DDF" w:rsidP="00DC0B18">
      <w:pPr>
        <w:pStyle w:val="Bullet"/>
      </w:pPr>
      <w:r w:rsidRPr="00FA3F33">
        <w:t>How random assignment (RA) will be integrated into program intake</w:t>
      </w:r>
    </w:p>
    <w:p w14:paraId="77A35CD5" w14:textId="77777777" w:rsidR="00B30DDF" w:rsidRPr="00FA3F33" w:rsidRDefault="00B30DDF" w:rsidP="00DC0B18">
      <w:pPr>
        <w:pStyle w:val="Bullet"/>
      </w:pPr>
      <w:r w:rsidRPr="00FA3F33">
        <w:t>What enhancements might be appropriate in the intervention definition to ensure a strong treatment–counterfactual distinction</w:t>
      </w:r>
    </w:p>
    <w:p w14:paraId="512D53E9" w14:textId="77777777" w:rsidR="00B30DDF" w:rsidRPr="00FA3F33" w:rsidRDefault="00B30DDF" w:rsidP="00DC0B18">
      <w:pPr>
        <w:pStyle w:val="Bullet"/>
      </w:pPr>
      <w:r w:rsidRPr="00FA3F33">
        <w:t>What geographic locations within the site the study should include</w:t>
      </w:r>
    </w:p>
    <w:p w14:paraId="52F8E749" w14:textId="77777777" w:rsidR="00B30DDF" w:rsidRPr="00FA3F33" w:rsidRDefault="00B30DDF" w:rsidP="00DC0B18">
      <w:pPr>
        <w:pStyle w:val="Bullet"/>
      </w:pPr>
      <w:r w:rsidRPr="00FA3F33">
        <w:t xml:space="preserve">What adjustments, if any, are needed and possible in the participant-tracking management information system (MIS) to ensure </w:t>
      </w:r>
      <w:r w:rsidR="000A66E4" w:rsidRPr="00FA3F33">
        <w:t xml:space="preserve">receipt of </w:t>
      </w:r>
      <w:r w:rsidRPr="00FA3F33">
        <w:t>reliable data on pilot services</w:t>
      </w:r>
    </w:p>
    <w:p w14:paraId="31CDCCF6" w14:textId="77777777" w:rsidR="00B30DDF" w:rsidRPr="00FA3F33" w:rsidRDefault="00B30DDF" w:rsidP="00DC0B18">
      <w:pPr>
        <w:pStyle w:val="Bullet"/>
      </w:pPr>
      <w:r w:rsidRPr="00FA3F33">
        <w:t xml:space="preserve">How best and most securely to transfer data to </w:t>
      </w:r>
      <w:r w:rsidR="00DF32E9" w:rsidRPr="00FA3F33">
        <w:t>our contractor</w:t>
      </w:r>
    </w:p>
    <w:p w14:paraId="3F3CD35B" w14:textId="77777777" w:rsidR="00B30DDF" w:rsidRPr="00FA3F33" w:rsidRDefault="00B30DDF" w:rsidP="00DC0B18">
      <w:pPr>
        <w:pStyle w:val="Bullet"/>
      </w:pPr>
      <w:r w:rsidRPr="00FA3F33">
        <w:t>How agency and provider staff will guard against participants receiving services that are inconsistent with their RA status</w:t>
      </w:r>
    </w:p>
    <w:p w14:paraId="1B8529AB" w14:textId="77777777" w:rsidR="00B30DDF" w:rsidRPr="00FA3F33" w:rsidRDefault="00B30DDF" w:rsidP="007D705C">
      <w:pPr>
        <w:pStyle w:val="BulletLastDS"/>
        <w:spacing w:after="0" w:line="480" w:lineRule="auto"/>
      </w:pPr>
      <w:r w:rsidRPr="00FA3F33">
        <w:t>What partner and provider organizations will be involved</w:t>
      </w:r>
    </w:p>
    <w:p w14:paraId="5E9C5644" w14:textId="77C13410" w:rsidR="009A4D57" w:rsidRDefault="00B30DDF" w:rsidP="000A66E4">
      <w:r>
        <w:t>This information help</w:t>
      </w:r>
      <w:r w:rsidR="00794578">
        <w:t>ed</w:t>
      </w:r>
      <w:r w:rsidR="00D252A8">
        <w:t xml:space="preserve"> the evaluation team </w:t>
      </w:r>
      <w:r>
        <w:t>define the study population of interest for each site and determine how to construct sample frames for each site.</w:t>
      </w:r>
    </w:p>
    <w:p w14:paraId="2EA6640B" w14:textId="77777777" w:rsidR="00B30DDF" w:rsidRPr="007B0C01" w:rsidRDefault="009A4D57" w:rsidP="00A67A0C">
      <w:pPr>
        <w:pStyle w:val="H4Number"/>
      </w:pPr>
      <w:bookmarkStart w:id="21" w:name="_Toc408492372"/>
      <w:bookmarkStart w:id="22" w:name="_Toc414577809"/>
      <w:bookmarkStart w:id="23" w:name="_Toc531085510"/>
      <w:r>
        <w:t>2</w:t>
      </w:r>
      <w:r w:rsidR="00B30DDF" w:rsidRPr="007B0C01">
        <w:t>.</w:t>
      </w:r>
      <w:r w:rsidR="00A67A0C">
        <w:tab/>
      </w:r>
      <w:r w:rsidR="00B30DDF" w:rsidRPr="007B0C01">
        <w:t>Design Features</w:t>
      </w:r>
      <w:bookmarkEnd w:id="21"/>
      <w:bookmarkEnd w:id="22"/>
      <w:bookmarkEnd w:id="23"/>
    </w:p>
    <w:p w14:paraId="4058BEB5" w14:textId="2E8ED0D3" w:rsidR="00B30DDF" w:rsidRPr="00A27B51" w:rsidRDefault="00B30DDF" w:rsidP="000A66E4">
      <w:pPr>
        <w:rPr>
          <w:szCs w:val="24"/>
        </w:rPr>
      </w:pPr>
      <w:r w:rsidRPr="00A27B51">
        <w:rPr>
          <w:szCs w:val="24"/>
        </w:rPr>
        <w:t xml:space="preserve">Different designs have different implications for the research question being addressed, their statistical power, their feasibility, and the ease with which staff can adhere to evaluation procedures. </w:t>
      </w:r>
      <w:r w:rsidR="00794578">
        <w:rPr>
          <w:szCs w:val="24"/>
        </w:rPr>
        <w:t xml:space="preserve">The evaluation team </w:t>
      </w:r>
      <w:r>
        <w:rPr>
          <w:szCs w:val="24"/>
        </w:rPr>
        <w:t>work</w:t>
      </w:r>
      <w:r w:rsidR="00794578">
        <w:rPr>
          <w:szCs w:val="24"/>
        </w:rPr>
        <w:t>ed</w:t>
      </w:r>
      <w:r>
        <w:rPr>
          <w:szCs w:val="24"/>
        </w:rPr>
        <w:t xml:space="preserve"> with each site to develop designs best suited for their interventions.</w:t>
      </w:r>
    </w:p>
    <w:p w14:paraId="2798EEE3" w14:textId="37EDE8F3" w:rsidR="00B30DDF" w:rsidRPr="00A27B51" w:rsidRDefault="00B30DDF" w:rsidP="00B30DDF">
      <w:pPr>
        <w:rPr>
          <w:szCs w:val="24"/>
        </w:rPr>
      </w:pPr>
      <w:r w:rsidRPr="00A27B51">
        <w:rPr>
          <w:szCs w:val="24"/>
        </w:rPr>
        <w:t xml:space="preserve">A key design variable </w:t>
      </w:r>
      <w:r>
        <w:rPr>
          <w:szCs w:val="24"/>
        </w:rPr>
        <w:t xml:space="preserve">across all sites </w:t>
      </w:r>
      <w:r w:rsidRPr="00A27B51">
        <w:rPr>
          <w:szCs w:val="24"/>
        </w:rPr>
        <w:t xml:space="preserve">is the unit of RA—whether individuals or </w:t>
      </w:r>
      <w:r>
        <w:rPr>
          <w:szCs w:val="24"/>
        </w:rPr>
        <w:t xml:space="preserve">clusters of individuals, such as those within the same SNAP </w:t>
      </w:r>
      <w:r w:rsidRPr="00A27B51">
        <w:rPr>
          <w:szCs w:val="24"/>
        </w:rPr>
        <w:t>office</w:t>
      </w:r>
      <w:r>
        <w:rPr>
          <w:szCs w:val="24"/>
        </w:rPr>
        <w:t>,</w:t>
      </w:r>
      <w:r w:rsidRPr="00A27B51">
        <w:rPr>
          <w:szCs w:val="24"/>
        </w:rPr>
        <w:t xml:space="preserve"> are randomly assigned to a treatment or control group. </w:t>
      </w:r>
      <w:r>
        <w:rPr>
          <w:szCs w:val="24"/>
        </w:rPr>
        <w:t xml:space="preserve">All ten pilots proposed randomly </w:t>
      </w:r>
      <w:r w:rsidRPr="00A27B51">
        <w:rPr>
          <w:szCs w:val="24"/>
        </w:rPr>
        <w:t xml:space="preserve">assigning </w:t>
      </w:r>
      <w:r>
        <w:rPr>
          <w:szCs w:val="24"/>
        </w:rPr>
        <w:t xml:space="preserve">individual participants </w:t>
      </w:r>
      <w:r w:rsidRPr="00A27B51">
        <w:rPr>
          <w:szCs w:val="24"/>
        </w:rPr>
        <w:t>within SNAP offices to receive different interventions</w:t>
      </w:r>
      <w:r>
        <w:rPr>
          <w:szCs w:val="24"/>
        </w:rPr>
        <w:t>, which</w:t>
      </w:r>
      <w:r w:rsidRPr="00A27B51">
        <w:rPr>
          <w:szCs w:val="24"/>
        </w:rPr>
        <w:t xml:space="preserve"> creates greater statistical power and thus greater ability to detect program impacts, compared </w:t>
      </w:r>
      <w:r>
        <w:rPr>
          <w:szCs w:val="24"/>
        </w:rPr>
        <w:t>with</w:t>
      </w:r>
      <w:r w:rsidRPr="00A27B51">
        <w:rPr>
          <w:szCs w:val="24"/>
        </w:rPr>
        <w:t xml:space="preserve"> randomly assigning </w:t>
      </w:r>
      <w:r>
        <w:rPr>
          <w:szCs w:val="24"/>
        </w:rPr>
        <w:t xml:space="preserve">entire </w:t>
      </w:r>
      <w:r w:rsidRPr="00A27B51">
        <w:rPr>
          <w:szCs w:val="24"/>
        </w:rPr>
        <w:t xml:space="preserve">offices to offer specific interventions (or no intervention at all). </w:t>
      </w:r>
    </w:p>
    <w:p w14:paraId="311138BB" w14:textId="5FCFF0B2" w:rsidR="00B30DDF" w:rsidRPr="00A27B51" w:rsidRDefault="00794578" w:rsidP="004C5286">
      <w:pPr>
        <w:rPr>
          <w:szCs w:val="24"/>
        </w:rPr>
      </w:pPr>
      <w:r>
        <w:rPr>
          <w:szCs w:val="24"/>
        </w:rPr>
        <w:t xml:space="preserve">The evaluation team </w:t>
      </w:r>
      <w:r w:rsidR="00B30DDF" w:rsidRPr="00A27B51">
        <w:rPr>
          <w:szCs w:val="24"/>
        </w:rPr>
        <w:t>deploy</w:t>
      </w:r>
      <w:r>
        <w:rPr>
          <w:szCs w:val="24"/>
        </w:rPr>
        <w:t>ed</w:t>
      </w:r>
      <w:r w:rsidR="00B30DDF" w:rsidRPr="00A27B51">
        <w:rPr>
          <w:szCs w:val="24"/>
        </w:rPr>
        <w:t xml:space="preserve"> one of three specific RA models to address the research questions of interest: </w:t>
      </w:r>
    </w:p>
    <w:p w14:paraId="7CBA3599" w14:textId="77777777" w:rsidR="00A67A0C" w:rsidRDefault="00B30DDF" w:rsidP="00A67A0C">
      <w:pPr>
        <w:pStyle w:val="Bullet"/>
      </w:pPr>
      <w:r w:rsidRPr="00A67A0C">
        <w:rPr>
          <w:b/>
          <w:i/>
        </w:rPr>
        <w:t>Single-arm.</w:t>
      </w:r>
      <w:r w:rsidRPr="00B30DDF">
        <w:t xml:space="preserve"> Under this design, individuals are randomly assigned into either a treatment group that receives the intervention services or a control group that does not.</w:t>
      </w:r>
    </w:p>
    <w:p w14:paraId="0EA71C5B" w14:textId="77777777" w:rsidR="00B30DDF" w:rsidRPr="00B30DDF" w:rsidRDefault="00B30DDF" w:rsidP="00A67A0C">
      <w:pPr>
        <w:pStyle w:val="Bullet"/>
      </w:pPr>
      <w:r w:rsidRPr="00A67A0C">
        <w:rPr>
          <w:b/>
          <w:i/>
        </w:rPr>
        <w:t>Multi-arm with distinct treatments.</w:t>
      </w:r>
      <w:r w:rsidRPr="00B30DDF">
        <w:t xml:space="preserve"> In multi-arm designs, individuals are randomly assigned to one of several treatment groups that receive distinct intervention services or to a control group that does not receive any of them. For example, one treatment group might receive job search assistance while another receives more intensive case management and the control group receives no E&amp;T services. </w:t>
      </w:r>
    </w:p>
    <w:p w14:paraId="3BF78695" w14:textId="77777777" w:rsidR="009A4D57" w:rsidRDefault="00B30DDF" w:rsidP="003C5AD1">
      <w:pPr>
        <w:pStyle w:val="BulletLastSS"/>
      </w:pPr>
      <w:r w:rsidRPr="00B30DDF">
        <w:rPr>
          <w:b/>
          <w:i/>
        </w:rPr>
        <w:t>Multi-arm with enhancements.</w:t>
      </w:r>
      <w:r w:rsidRPr="00B30DDF">
        <w:t xml:space="preserve"> In some multi-arm designs, some services in one treatment group can be an “add-on” to the services offered in the other treatment group. For example, one treatment might consist solely of job search assistance, while another would consist of job search assistance plus supportive services. This design provides a measure not only of the impact of each intervention, but also of the value added from the more intensive group-based services relative to individual-level services.</w:t>
      </w:r>
    </w:p>
    <w:p w14:paraId="21F2CC76" w14:textId="5F94A56A" w:rsidR="005053F6" w:rsidRDefault="005053F6" w:rsidP="003C5AD1">
      <w:r>
        <w:t xml:space="preserve">Depending on each Grantee’s design, SNAP participants </w:t>
      </w:r>
      <w:r w:rsidR="00794578">
        <w:t>were</w:t>
      </w:r>
      <w:r>
        <w:t xml:space="preserve"> randomly assigned to one of potentially several treatment groups or to a control group. After SNAP participants provide</w:t>
      </w:r>
      <w:r w:rsidR="00794578">
        <w:t>d</w:t>
      </w:r>
      <w:r>
        <w:t xml:space="preserve"> consent to participate in the study and complete</w:t>
      </w:r>
      <w:r w:rsidR="00794578">
        <w:t>d</w:t>
      </w:r>
      <w:r>
        <w:t xml:space="preserve"> a baseline registration document via </w:t>
      </w:r>
      <w:r w:rsidR="009F00C2">
        <w:t xml:space="preserve">EPIS, </w:t>
      </w:r>
      <w:r>
        <w:t>a web-based system designed by the evaluation team, Grantees’ pilot intake staff submit</w:t>
      </w:r>
      <w:r w:rsidR="00794578">
        <w:t>ted</w:t>
      </w:r>
      <w:r>
        <w:t xml:space="preserve"> the information to the evaluation team with the click of a button. The evaluation team then randomly assign</w:t>
      </w:r>
      <w:r w:rsidR="00794578">
        <w:t>ed</w:t>
      </w:r>
      <w:r>
        <w:t xml:space="preserve"> the SNAP participant and return</w:t>
      </w:r>
      <w:r w:rsidR="00794578">
        <w:t>ed</w:t>
      </w:r>
      <w:r>
        <w:t xml:space="preserve"> the assignment status within seconds of receiving it. </w:t>
      </w:r>
    </w:p>
    <w:p w14:paraId="7A9A8588" w14:textId="77777777" w:rsidR="009A4D57" w:rsidRPr="009A4D57" w:rsidRDefault="009A4D57" w:rsidP="009A4D57">
      <w:pPr>
        <w:pStyle w:val="H4Number"/>
        <w:spacing w:after="0" w:line="480" w:lineRule="auto"/>
      </w:pPr>
      <w:bookmarkStart w:id="24" w:name="_Toc531085511"/>
      <w:r>
        <w:t>3</w:t>
      </w:r>
      <w:r w:rsidRPr="009A4D57">
        <w:t>.</w:t>
      </w:r>
      <w:r w:rsidR="00A67A0C">
        <w:tab/>
      </w:r>
      <w:r w:rsidRPr="009A4D57">
        <w:t>Sampl</w:t>
      </w:r>
      <w:r w:rsidR="00A84E0B">
        <w:t>ing plan</w:t>
      </w:r>
      <w:bookmarkEnd w:id="24"/>
    </w:p>
    <w:p w14:paraId="1501BB3A" w14:textId="6C3C48F5" w:rsidR="00C77B83" w:rsidRDefault="006B49A4" w:rsidP="00C77B83">
      <w:pPr>
        <w:rPr>
          <w:color w:val="0098AA"/>
        </w:rPr>
      </w:pPr>
      <w:r w:rsidRPr="00B20793">
        <w:rPr>
          <w:b/>
          <w:u w:val="single"/>
        </w:rPr>
        <w:t>Participants.</w:t>
      </w:r>
      <w:r w:rsidRPr="00C9675A">
        <w:rPr>
          <w:b/>
        </w:rPr>
        <w:t xml:space="preserve"> </w:t>
      </w:r>
      <w:r w:rsidR="00C77B83">
        <w:t xml:space="preserve">Data measuring the evaluation’s outcomes will come from both administrative and survey data. </w:t>
      </w:r>
      <w:r w:rsidR="00794578">
        <w:t xml:space="preserve">The evaluation team </w:t>
      </w:r>
      <w:r w:rsidR="00C77B83" w:rsidRPr="0098518F">
        <w:t>will collect administrative data for the primary study outcomes</w:t>
      </w:r>
      <w:r w:rsidR="00C77B83">
        <w:t xml:space="preserve"> measuring </w:t>
      </w:r>
      <w:r w:rsidR="00C77B83" w:rsidRPr="0098518F">
        <w:t xml:space="preserve">employment status, earnings, and public assistance </w:t>
      </w:r>
      <w:r w:rsidR="00C77B83">
        <w:t>receipt</w:t>
      </w:r>
      <w:r w:rsidR="00442A8F">
        <w:t xml:space="preserve"> (Attachment T)</w:t>
      </w:r>
      <w:r w:rsidR="00C77B83" w:rsidRPr="0098518F">
        <w:t>. Because administrative data will be available for all study participants</w:t>
      </w:r>
      <w:r w:rsidR="00794578">
        <w:t>,</w:t>
      </w:r>
      <w:r w:rsidR="00C77B83" w:rsidRPr="0098518F">
        <w:t xml:space="preserve"> </w:t>
      </w:r>
      <w:r w:rsidR="00794578">
        <w:t xml:space="preserve">the evaluation team </w:t>
      </w:r>
      <w:r w:rsidR="00C77B83" w:rsidRPr="0098518F">
        <w:t xml:space="preserve">will not conduct sampling procedures for collecting </w:t>
      </w:r>
      <w:r w:rsidR="00C77B83">
        <w:t>this information</w:t>
      </w:r>
      <w:r w:rsidR="00C77B83" w:rsidRPr="0098518F">
        <w:t>.</w:t>
      </w:r>
      <w:r w:rsidR="00C77B83">
        <w:t xml:space="preserve"> Through followup surveys</w:t>
      </w:r>
      <w:r w:rsidR="005C6C34">
        <w:t xml:space="preserve"> </w:t>
      </w:r>
      <w:r w:rsidR="005C6C34" w:rsidRPr="005C6C34">
        <w:t>(Attachments O.1 – O.6)</w:t>
      </w:r>
      <w:r w:rsidR="00C77B83">
        <w:t xml:space="preserve">, however, </w:t>
      </w:r>
      <w:r w:rsidR="00794578">
        <w:t xml:space="preserve">the evaluation team </w:t>
      </w:r>
      <w:r w:rsidR="00C77B83">
        <w:t>will obtain more detailed measures of primary outcomes, such as measures of job quality and wages, and secondary outcomes including food security, health and well-being, and housing stability. Followup surveys will be administered to a sample of pilot participants.</w:t>
      </w:r>
    </w:p>
    <w:p w14:paraId="7E786D9E" w14:textId="0D4739FE" w:rsidR="00C77B83" w:rsidRPr="00C87D96" w:rsidRDefault="00794578" w:rsidP="00C77B83">
      <w:r>
        <w:t xml:space="preserve">The evaluation team </w:t>
      </w:r>
      <w:r w:rsidR="00C77B83" w:rsidRPr="00C87D96">
        <w:t>will employ a two-phase sampling approach</w:t>
      </w:r>
      <w:r w:rsidR="00C77B83">
        <w:t xml:space="preserve"> f</w:t>
      </w:r>
      <w:r w:rsidR="00C77B83" w:rsidRPr="009A751B">
        <w:t>or collecting data on secondary outcomes</w:t>
      </w:r>
      <w:r w:rsidR="00C77B83" w:rsidRPr="00C87D96">
        <w:t xml:space="preserve">. Two-phase sampling or double sampling involves a phase 1 sampling from the full population and then, in phase 2, selecting a second sample from the nonrespondents from phase 1. In the second phase, more focused resources (in this case, field follow-up) is devoted to the sample, which leads to higher response rates among the phase 1 nonrespondents than what would happen in the absence of the more focused field follow-up. This sampling approach typically increases response rates, reduces the potential for nonresponse biases, and reduces costs and burden associated with survey data collection, while maintaining a sufficient level of power to detect differences in outcomes between treatment and control groups within pilot sites. </w:t>
      </w:r>
    </w:p>
    <w:p w14:paraId="6D124686" w14:textId="3667FAF9" w:rsidR="006B49A4" w:rsidRDefault="00F303C3" w:rsidP="003C5AD1">
      <w:r>
        <w:t xml:space="preserve">The full pilot study sample will be around 52,800 individuals. </w:t>
      </w:r>
      <w:r w:rsidR="00794578">
        <w:t xml:space="preserve">The evaluation team </w:t>
      </w:r>
      <w:r>
        <w:t>plan</w:t>
      </w:r>
      <w:r w:rsidR="00A465AC">
        <w:t>s</w:t>
      </w:r>
      <w:r>
        <w:t xml:space="preserve"> to </w:t>
      </w:r>
      <w:r w:rsidR="000346AD">
        <w:t xml:space="preserve">randomly </w:t>
      </w:r>
      <w:r>
        <w:t>sample approximately half of these individuals—around 25,000</w:t>
      </w:r>
      <w:r w:rsidR="006D5C41">
        <w:t>—for the 12-month followup survey</w:t>
      </w:r>
      <w:r w:rsidR="00D140B1">
        <w:t xml:space="preserve"> and </w:t>
      </w:r>
      <w:r>
        <w:t xml:space="preserve">plan </w:t>
      </w:r>
      <w:r w:rsidR="006D5C41">
        <w:t xml:space="preserve">to </w:t>
      </w:r>
      <w:r>
        <w:t xml:space="preserve">collect data from </w:t>
      </w:r>
      <w:r w:rsidR="006D5C41">
        <w:t>18,240 individuals using two-phase sampling</w:t>
      </w:r>
      <w:r>
        <w:t xml:space="preserve">. </w:t>
      </w:r>
      <w:r w:rsidR="00C77B83" w:rsidRPr="00A833EF">
        <w:t xml:space="preserve">During phase 1 of the two-phase sampling design, </w:t>
      </w:r>
      <w:r w:rsidR="00794578">
        <w:t xml:space="preserve">the evaluation team </w:t>
      </w:r>
      <w:r w:rsidR="00C77B83" w:rsidRPr="00A833EF">
        <w:t xml:space="preserve">will </w:t>
      </w:r>
      <w:r w:rsidR="000346AD">
        <w:t xml:space="preserve">attempt to </w:t>
      </w:r>
      <w:r w:rsidR="00C77B83" w:rsidRPr="00A833EF">
        <w:t xml:space="preserve">conduct a CATI survey to collect data from </w:t>
      </w:r>
      <w:r w:rsidR="006D5C41">
        <w:t xml:space="preserve">the </w:t>
      </w:r>
      <w:r w:rsidR="00C77B83" w:rsidRPr="00A833EF">
        <w:t>25,000</w:t>
      </w:r>
      <w:r w:rsidR="006D5C41">
        <w:t>-person subsample</w:t>
      </w:r>
      <w:r w:rsidR="00C77B83" w:rsidRPr="00A833EF">
        <w:t xml:space="preserve"> starting approximately in November 2016 and continuing on a rolling basis for sampled participants. </w:t>
      </w:r>
      <w:r w:rsidR="00794578">
        <w:t xml:space="preserve">The evaluation team </w:t>
      </w:r>
      <w:r w:rsidR="00C77B83" w:rsidRPr="00A833EF">
        <w:t>expect</w:t>
      </w:r>
      <w:r w:rsidR="00A465AC">
        <w:t>s</w:t>
      </w:r>
      <w:r w:rsidR="00C77B83" w:rsidRPr="00A833EF">
        <w:t xml:space="preserve"> to obtain responses from about 14,</w:t>
      </w:r>
      <w:r w:rsidR="00D140B1">
        <w:t>500</w:t>
      </w:r>
      <w:r w:rsidR="00C77B83" w:rsidRPr="00A833EF">
        <w:t xml:space="preserve"> individuals (</w:t>
      </w:r>
      <w:r w:rsidR="00EA064A">
        <w:t>58</w:t>
      </w:r>
      <w:r w:rsidR="00C77B83" w:rsidRPr="00A833EF">
        <w:t xml:space="preserve"> percent of the first-phase sample). Among the </w:t>
      </w:r>
      <w:r w:rsidR="006D5C41">
        <w:t>10,</w:t>
      </w:r>
      <w:r w:rsidR="00E172A6">
        <w:t>5</w:t>
      </w:r>
      <w:r w:rsidR="006D5C41">
        <w:t xml:space="preserve">00 </w:t>
      </w:r>
      <w:r w:rsidR="00D140B1" w:rsidRPr="00A833EF">
        <w:t>nonresponde</w:t>
      </w:r>
      <w:r w:rsidR="00D140B1">
        <w:t>r</w:t>
      </w:r>
      <w:r w:rsidR="00D140B1" w:rsidRPr="00A833EF">
        <w:t>s</w:t>
      </w:r>
      <w:r w:rsidR="006D5C41">
        <w:t>,</w:t>
      </w:r>
      <w:r w:rsidR="00C77B83" w:rsidRPr="00A833EF">
        <w:t xml:space="preserve"> </w:t>
      </w:r>
      <w:r w:rsidR="00794578">
        <w:t xml:space="preserve">the evaluation team </w:t>
      </w:r>
      <w:r w:rsidR="00C77B83" w:rsidRPr="00A833EF">
        <w:t>will randomly select 50 percent for field followup data collection (</w:t>
      </w:r>
      <w:r w:rsidR="00EA064A">
        <w:t>5,250</w:t>
      </w:r>
      <w:r w:rsidR="00C77B83" w:rsidRPr="00A833EF">
        <w:t xml:space="preserve"> CATI non-responders). With intensive field follow-up, our goal is to obtain a </w:t>
      </w:r>
      <w:r w:rsidR="00EA064A">
        <w:t>71</w:t>
      </w:r>
      <w:r w:rsidR="003C5AD1">
        <w:t>.2</w:t>
      </w:r>
      <w:r w:rsidR="00744BFF">
        <w:t>4</w:t>
      </w:r>
      <w:r w:rsidR="00EA064A" w:rsidRPr="00A833EF">
        <w:t xml:space="preserve"> </w:t>
      </w:r>
      <w:r w:rsidR="00C77B83" w:rsidRPr="00A833EF">
        <w:t xml:space="preserve">percent response rate </w:t>
      </w:r>
      <w:r w:rsidR="00EA064A">
        <w:t xml:space="preserve">or higher </w:t>
      </w:r>
      <w:r w:rsidR="00C77B83" w:rsidRPr="00A833EF">
        <w:t>from the second phase sample, resulting in total sample size</w:t>
      </w:r>
      <w:r w:rsidR="006D5C41">
        <w:t xml:space="preserve"> of around 18,240</w:t>
      </w:r>
      <w:r w:rsidR="006D6612">
        <w:t xml:space="preserve"> or more</w:t>
      </w:r>
      <w:r w:rsidR="00C77B83" w:rsidRPr="00A833EF">
        <w:t xml:space="preserve"> completes, which includes initial CATI respondents and nonrespondents. This approach will lead to an overall weighted response rate over 80 percent, which provides some cushion in case the expected CATI response rate of </w:t>
      </w:r>
      <w:r w:rsidR="006D6612">
        <w:t>58</w:t>
      </w:r>
      <w:r w:rsidR="006D6612" w:rsidRPr="00A833EF">
        <w:t xml:space="preserve"> </w:t>
      </w:r>
      <w:r w:rsidR="00C77B83" w:rsidRPr="00A833EF">
        <w:t xml:space="preserve">percent and second phase response rate of </w:t>
      </w:r>
      <w:r w:rsidR="006D6612">
        <w:t>71</w:t>
      </w:r>
      <w:r w:rsidR="006D6612" w:rsidRPr="00A833EF">
        <w:t xml:space="preserve"> </w:t>
      </w:r>
      <w:r w:rsidR="00C77B83" w:rsidRPr="00A833EF">
        <w:t xml:space="preserve">percent are difficult to achieve. During the second followup data collection period, </w:t>
      </w:r>
      <w:r w:rsidR="00794578">
        <w:t xml:space="preserve">the evaluation team </w:t>
      </w:r>
      <w:r w:rsidR="00C77B83" w:rsidRPr="00A833EF">
        <w:t>will employ the same two-phase sampling approach starting with the 18,</w:t>
      </w:r>
      <w:r w:rsidR="00D140B1">
        <w:t>240</w:t>
      </w:r>
      <w:r w:rsidR="00C77B83" w:rsidRPr="00A833EF">
        <w:t xml:space="preserve"> or so completes who completed the first followup survey. The second followup data collection will start around November 2018 and continue on a rolling basis for sampled participants</w:t>
      </w:r>
      <w:r w:rsidR="003869B6" w:rsidRPr="00A833EF">
        <w:t xml:space="preserve">. </w:t>
      </w:r>
      <w:bookmarkStart w:id="25" w:name="_Toc408492373"/>
      <w:bookmarkStart w:id="26" w:name="_Toc414577810"/>
    </w:p>
    <w:p w14:paraId="712873E5" w14:textId="47F98F79" w:rsidR="004A6734" w:rsidRDefault="004A6734" w:rsidP="004A6734">
      <w:r>
        <w:t xml:space="preserve">Although </w:t>
      </w:r>
      <w:r w:rsidR="00794578">
        <w:t xml:space="preserve">the evaluation team </w:t>
      </w:r>
      <w:r>
        <w:t>expect</w:t>
      </w:r>
      <w:r w:rsidR="00A465AC">
        <w:t>s</w:t>
      </w:r>
      <w:r>
        <w:t xml:space="preserve"> this two-phase sampling approach to </w:t>
      </w:r>
      <w:r w:rsidR="00A465AC">
        <w:t>yield a</w:t>
      </w:r>
      <w:r w:rsidR="005B2092">
        <w:t xml:space="preserve"> response rate of 80 percent or higher for the followup surveys </w:t>
      </w:r>
      <w:r w:rsidR="00794578">
        <w:t xml:space="preserve">the evaluation team </w:t>
      </w:r>
      <w:r w:rsidR="005B2092">
        <w:t>realize</w:t>
      </w:r>
      <w:r w:rsidR="00A465AC">
        <w:t>s</w:t>
      </w:r>
      <w:r w:rsidR="005B2092">
        <w:t xml:space="preserve"> that the response rate could fall below 80 percent. </w:t>
      </w:r>
      <w:r w:rsidR="00794578">
        <w:t xml:space="preserve">The evaluation team </w:t>
      </w:r>
      <w:r w:rsidR="005B2092">
        <w:t>anticipate</w:t>
      </w:r>
      <w:r w:rsidR="00A465AC">
        <w:t>s</w:t>
      </w:r>
      <w:r w:rsidR="005B2092">
        <w:t xml:space="preserve"> a response rate between 65 and 80 percent, but assume</w:t>
      </w:r>
      <w:r w:rsidR="00A465AC">
        <w:t>s</w:t>
      </w:r>
      <w:r w:rsidR="005B2092">
        <w:t xml:space="preserve"> a response rate of 80 percent when discussing estimation procedures and statistical power in B.2. </w:t>
      </w:r>
    </w:p>
    <w:p w14:paraId="37F303B7" w14:textId="4C01E5F4" w:rsidR="002B61A8" w:rsidRPr="004A6734" w:rsidRDefault="002B61A8" w:rsidP="004A6734">
      <w:r>
        <w:t xml:space="preserve">For the participant </w:t>
      </w:r>
      <w:r w:rsidR="009E0BF0">
        <w:t>focus g</w:t>
      </w:r>
      <w:r>
        <w:t xml:space="preserve">roups and </w:t>
      </w:r>
      <w:r w:rsidR="009E0BF0">
        <w:t>c</w:t>
      </w:r>
      <w:r>
        <w:t xml:space="preserve">ase </w:t>
      </w:r>
      <w:r w:rsidR="009E0BF0">
        <w:t>s</w:t>
      </w:r>
      <w:r>
        <w:t xml:space="preserve">tudy interviews, convenience </w:t>
      </w:r>
      <w:r w:rsidR="009E0BF0">
        <w:t xml:space="preserve">samples </w:t>
      </w:r>
      <w:r w:rsidR="00A465AC">
        <w:t>were</w:t>
      </w:r>
      <w:r w:rsidR="009E0BF0">
        <w:t xml:space="preserve"> used to recruit participants as described in </w:t>
      </w:r>
      <w:r w:rsidR="00393318">
        <w:t>A.2.3.d.</w:t>
      </w:r>
    </w:p>
    <w:p w14:paraId="00E25023" w14:textId="465BF193" w:rsidR="006B49A4" w:rsidRPr="006B49A4" w:rsidRDefault="00AD11C2" w:rsidP="006B49A4">
      <w:pPr>
        <w:rPr>
          <w:b/>
          <w:u w:val="single"/>
        </w:rPr>
      </w:pPr>
      <w:r w:rsidRPr="00B20793">
        <w:rPr>
          <w:b/>
          <w:u w:val="single"/>
        </w:rPr>
        <w:t>Employers.</w:t>
      </w:r>
      <w:r>
        <w:t xml:space="preserve"> For the employer focus groups, </w:t>
      </w:r>
      <w:r w:rsidR="00393318">
        <w:t xml:space="preserve">convenience samples </w:t>
      </w:r>
      <w:r w:rsidR="00A465AC">
        <w:t xml:space="preserve">were </w:t>
      </w:r>
      <w:r w:rsidR="00393318">
        <w:t>also used. E</w:t>
      </w:r>
      <w:r w:rsidRPr="00B20793">
        <w:t xml:space="preserve">mployers participating in the SNAP E&amp;T pilot </w:t>
      </w:r>
      <w:r w:rsidR="00A465AC">
        <w:t>were</w:t>
      </w:r>
      <w:r w:rsidRPr="00B20793">
        <w:t xml:space="preserve"> targeted based on their role in the pilot projects. To the extent there is variation in the type of employers involved in the pilot, </w:t>
      </w:r>
      <w:r w:rsidR="00794578">
        <w:t xml:space="preserve">the evaluation team </w:t>
      </w:r>
      <w:r w:rsidRPr="00B20793">
        <w:t>will attempt to recruit employers from various industries. The contractor will work with Grantee and provider staff to identify employers for</w:t>
      </w:r>
      <w:r w:rsidR="00B05B63">
        <w:t xml:space="preserve"> the</w:t>
      </w:r>
      <w:r w:rsidRPr="00B20793">
        <w:t xml:space="preserve"> focus groups. The state staff will reach out to the employers to gage interest and make introductions. The contractor will follow-up via email or by telephone as needed</w:t>
      </w:r>
      <w:r w:rsidR="006612CC">
        <w:t xml:space="preserve"> (Attachment L.3)</w:t>
      </w:r>
      <w:r w:rsidRPr="00B20793">
        <w:t xml:space="preserve">. </w:t>
      </w:r>
      <w:r w:rsidR="006B49A4" w:rsidRPr="006B49A4">
        <w:rPr>
          <w:b/>
          <w:u w:val="single"/>
        </w:rPr>
        <w:t xml:space="preserve"> </w:t>
      </w:r>
    </w:p>
    <w:p w14:paraId="0528FB3A" w14:textId="77777777" w:rsidR="00B30DDF" w:rsidRPr="00865AE2" w:rsidRDefault="009A4D57" w:rsidP="00A67A0C">
      <w:pPr>
        <w:pStyle w:val="H4Number"/>
      </w:pPr>
      <w:bookmarkStart w:id="27" w:name="_Toc531085512"/>
      <w:r>
        <w:t>4</w:t>
      </w:r>
      <w:r w:rsidR="00B30DDF">
        <w:t>.</w:t>
      </w:r>
      <w:r w:rsidR="00A67A0C">
        <w:tab/>
      </w:r>
      <w:r w:rsidR="00B30DDF" w:rsidRPr="00865AE2">
        <w:t>Response Rates and Nonresponse Bias Analysis</w:t>
      </w:r>
      <w:bookmarkEnd w:id="25"/>
      <w:bookmarkEnd w:id="26"/>
      <w:bookmarkEnd w:id="27"/>
    </w:p>
    <w:p w14:paraId="103A8F81" w14:textId="03A84808" w:rsidR="00B30DDF" w:rsidRDefault="00B30DDF" w:rsidP="004C5286">
      <w:r>
        <w:t>In each site, follow-up</w:t>
      </w:r>
      <w:r w:rsidRPr="006F7E3B">
        <w:t xml:space="preserve"> surveys </w:t>
      </w:r>
      <w:r w:rsidR="00425EEB">
        <w:t xml:space="preserve">(Attachments O.1, O.2, O4, and O.5) </w:t>
      </w:r>
      <w:r w:rsidRPr="006F7E3B">
        <w:t xml:space="preserve">will be </w:t>
      </w:r>
      <w:r>
        <w:t>conducted with</w:t>
      </w:r>
      <w:r w:rsidRPr="006F7E3B">
        <w:t xml:space="preserve"> a randomly selected subs</w:t>
      </w:r>
      <w:r>
        <w:t xml:space="preserve">ample </w:t>
      </w:r>
      <w:r w:rsidRPr="006F7E3B">
        <w:t xml:space="preserve">of </w:t>
      </w:r>
      <w:r>
        <w:t xml:space="preserve">treatment and control </w:t>
      </w:r>
      <w:r w:rsidRPr="006F7E3B">
        <w:t xml:space="preserve">participants </w:t>
      </w:r>
      <w:r>
        <w:t>at multiple points in time</w:t>
      </w:r>
      <w:r w:rsidRPr="006F7E3B">
        <w:t xml:space="preserve">. </w:t>
      </w:r>
      <w:r>
        <w:t>A</w:t>
      </w:r>
      <w:r w:rsidRPr="006F7E3B">
        <w:t>n 80 percent response rate</w:t>
      </w:r>
      <w:r>
        <w:t xml:space="preserve"> for each follow-up survey is anticipated</w:t>
      </w:r>
      <w:r w:rsidRPr="006F7E3B">
        <w:t xml:space="preserve">. </w:t>
      </w:r>
      <w:r w:rsidR="00794578">
        <w:t xml:space="preserve">The evaluation team </w:t>
      </w:r>
      <w:r w:rsidRPr="003A4AEE">
        <w:t xml:space="preserve">will implement a number of steps to maximize response rates, including the use of two-phase sampling. More details about this and other steps </w:t>
      </w:r>
      <w:r>
        <w:t>the study</w:t>
      </w:r>
      <w:r w:rsidRPr="003A4AEE">
        <w:t xml:space="preserve"> will take are described in section B3.</w:t>
      </w:r>
      <w:r>
        <w:t xml:space="preserve"> </w:t>
      </w:r>
      <w:r w:rsidRPr="006F7E3B">
        <w:t xml:space="preserve">The </w:t>
      </w:r>
      <w:r>
        <w:t>surveys will collect data on service receipt and outcomes from both treatment and control group members in each site. They w</w:t>
      </w:r>
      <w:r w:rsidRPr="006F7E3B">
        <w:t xml:space="preserve">ill build on other surveys </w:t>
      </w:r>
      <w:r>
        <w:t xml:space="preserve">that </w:t>
      </w:r>
      <w:r w:rsidRPr="006F7E3B">
        <w:t>have been administered successfully</w:t>
      </w:r>
      <w:r>
        <w:t xml:space="preserve"> with similar low-income populations</w:t>
      </w:r>
      <w:r w:rsidRPr="006F7E3B">
        <w:t>, such as the survey</w:t>
      </w:r>
      <w:r>
        <w:t xml:space="preserve">s used in </w:t>
      </w:r>
      <w:r w:rsidRPr="006F7E3B">
        <w:t xml:space="preserve">WIA GSE </w:t>
      </w:r>
      <w:r>
        <w:t xml:space="preserve">(OMB Control Number </w:t>
      </w:r>
      <w:r w:rsidRPr="00392D79">
        <w:t>1205-0482</w:t>
      </w:r>
      <w:r>
        <w:t xml:space="preserve">, Discontinued September 30, 2014) </w:t>
      </w:r>
      <w:r w:rsidR="00DD344A">
        <w:t xml:space="preserve">and </w:t>
      </w:r>
      <w:r w:rsidRPr="006F7E3B">
        <w:t>Rural Welfare</w:t>
      </w:r>
      <w:r>
        <w:t>-</w:t>
      </w:r>
      <w:r w:rsidRPr="006F7E3B">
        <w:t>to</w:t>
      </w:r>
      <w:r>
        <w:t>-</w:t>
      </w:r>
      <w:r w:rsidRPr="006F7E3B">
        <w:t>Work</w:t>
      </w:r>
      <w:r>
        <w:t xml:space="preserve"> (OMB Control Number </w:t>
      </w:r>
      <w:r w:rsidRPr="00392D79">
        <w:t>0970-0246</w:t>
      </w:r>
      <w:r>
        <w:t>, Discontinued January 31, 2007)</w:t>
      </w:r>
      <w:r w:rsidRPr="006F7E3B">
        <w:t xml:space="preserve">. </w:t>
      </w:r>
      <w:r>
        <w:t xml:space="preserve">The 36-month follow-up survey </w:t>
      </w:r>
      <w:r w:rsidR="005A7272">
        <w:t xml:space="preserve">(Attachments O.4 and O.5) </w:t>
      </w:r>
      <w:r>
        <w:t>will be largely consistent with the earlier follow-up survey with only minor changes such as confirming information collected at the 12-month follow-up. Each</w:t>
      </w:r>
      <w:r w:rsidRPr="006F7E3B">
        <w:t xml:space="preserve"> </w:t>
      </w:r>
      <w:r>
        <w:t xml:space="preserve">follow-up </w:t>
      </w:r>
      <w:r w:rsidRPr="006F7E3B">
        <w:t xml:space="preserve">survey will be translated </w:t>
      </w:r>
      <w:r>
        <w:t xml:space="preserve">into Spanish </w:t>
      </w:r>
      <w:r w:rsidRPr="006F7E3B">
        <w:t>by a certified bilingual translator using the Referred Forward Translation approach</w:t>
      </w:r>
      <w:r>
        <w:t xml:space="preserve"> </w:t>
      </w:r>
      <w:r w:rsidRPr="00256528">
        <w:t>in which a translator having extensive experience in survey development first translates the questionnaire, and a second translator reviews that work and recommends changes in phrasing or wording, or dialectical variations. The two then meet to discuss comments and determine the preferred questionnaire wording.</w:t>
      </w:r>
      <w:r w:rsidRPr="0012494A">
        <w:t xml:space="preserve"> </w:t>
      </w:r>
      <w:r>
        <w:t xml:space="preserve"> Each follow-up survey will be administered </w:t>
      </w:r>
      <w:r w:rsidRPr="006F7E3B">
        <w:t>via computer-assisted telephone interview (CATI)</w:t>
      </w:r>
      <w:r>
        <w:t xml:space="preserve">. </w:t>
      </w:r>
    </w:p>
    <w:p w14:paraId="31A00603" w14:textId="3C0FF714" w:rsidR="00B30DDF" w:rsidRPr="007B0C01" w:rsidRDefault="00B30DDF" w:rsidP="00CA7F4A">
      <w:r w:rsidRPr="007B0C01">
        <w:t xml:space="preserve">To assess whether nonresponse bias exists, </w:t>
      </w:r>
      <w:r w:rsidR="00794578">
        <w:t xml:space="preserve">the evaluation team </w:t>
      </w:r>
      <w:r w:rsidRPr="007B0C01">
        <w:t>obtain</w:t>
      </w:r>
      <w:r w:rsidR="001F7170">
        <w:t>ed</w:t>
      </w:r>
      <w:r w:rsidRPr="007B0C01">
        <w:t xml:space="preserve"> </w:t>
      </w:r>
      <w:r>
        <w:t>baseline</w:t>
      </w:r>
      <w:r w:rsidRPr="007B0C01">
        <w:t xml:space="preserve"> information</w:t>
      </w:r>
      <w:r w:rsidR="000016A2">
        <w:t xml:space="preserve"> via a registration document</w:t>
      </w:r>
      <w:r w:rsidRPr="007B0C01">
        <w:t xml:space="preserve"> </w:t>
      </w:r>
      <w:r>
        <w:t>from the</w:t>
      </w:r>
      <w:r w:rsidRPr="007B0C01">
        <w:t xml:space="preserve"> study sample</w:t>
      </w:r>
      <w:r>
        <w:t xml:space="preserve">s at the time of random assignment. Baseline data include name; contact information; demographic characteristics such as age, gender, and education level; household characteristics such as the presence of children and household income; and baseline values of primary outcome measures including employment status, earnings, and participation in SNAP, TANF, and Medicaid. Using the baseline data, </w:t>
      </w:r>
      <w:r w:rsidR="00794578">
        <w:t xml:space="preserve">the evaluation team </w:t>
      </w:r>
      <w:r>
        <w:t>will</w:t>
      </w:r>
      <w:r w:rsidRPr="007B0C01">
        <w:t xml:space="preserve"> (1) compare</w:t>
      </w:r>
      <w:r>
        <w:t xml:space="preserve"> survey follow-up</w:t>
      </w:r>
      <w:r w:rsidRPr="007B0C01">
        <w:t xml:space="preserve"> respondents and nonrespondents within the treatment and comparison groups, (2) test the significance of differences between respondents’ and nonrespondents’ characteristics, (3) look at whether these differences are the same </w:t>
      </w:r>
      <w:r>
        <w:t>across</w:t>
      </w:r>
      <w:r w:rsidRPr="007B0C01">
        <w:t xml:space="preserve"> treatment and comparison groups, and (4) compare characteristics of the respondent and nonrespondent samples with those of the frame.</w:t>
      </w:r>
    </w:p>
    <w:p w14:paraId="631379DC" w14:textId="7A931BCE" w:rsidR="00A126A5" w:rsidRDefault="00A126A5" w:rsidP="00CA7F4A">
      <w:pPr>
        <w:ind w:firstLine="0"/>
        <w:rPr>
          <w:rFonts w:ascii="Arial Black" w:hAnsi="Arial Black"/>
          <w:sz w:val="22"/>
        </w:rPr>
      </w:pPr>
      <w:bookmarkStart w:id="28" w:name="_Toc408492374"/>
      <w:bookmarkStart w:id="29" w:name="_Toc414577811"/>
    </w:p>
    <w:p w14:paraId="7D36D7FE" w14:textId="2CC34D9D" w:rsidR="00B30DDF" w:rsidRPr="00865AE2" w:rsidRDefault="00B30DDF" w:rsidP="00CA7F4A">
      <w:pPr>
        <w:pStyle w:val="H3Alpha"/>
        <w:spacing w:after="0" w:line="480" w:lineRule="auto"/>
      </w:pPr>
      <w:bookmarkStart w:id="30" w:name="_Toc531085513"/>
      <w:r>
        <w:t>B</w:t>
      </w:r>
      <w:r w:rsidR="00861117">
        <w:t>.</w:t>
      </w:r>
      <w:r>
        <w:t>2. Procedures for the collection of information</w:t>
      </w:r>
      <w:bookmarkEnd w:id="28"/>
      <w:bookmarkEnd w:id="29"/>
      <w:bookmarkEnd w:id="30"/>
    </w:p>
    <w:p w14:paraId="3C091AC4" w14:textId="77777777" w:rsidR="00B30DDF" w:rsidRPr="00B30DDF" w:rsidRDefault="00B30DDF" w:rsidP="00CA7F4A">
      <w:pPr>
        <w:pStyle w:val="NormalSS"/>
        <w:spacing w:after="0" w:line="480" w:lineRule="auto"/>
        <w:ind w:left="432" w:firstLine="0"/>
        <w:rPr>
          <w:b/>
        </w:rPr>
      </w:pPr>
      <w:r w:rsidRPr="00B30DDF">
        <w:rPr>
          <w:b/>
        </w:rPr>
        <w:t>Describe the procedures for the collection of information including:</w:t>
      </w:r>
    </w:p>
    <w:p w14:paraId="4454B5D5" w14:textId="77777777" w:rsidR="00B30DDF" w:rsidRPr="00744BFF" w:rsidRDefault="00B30DDF" w:rsidP="00744BFF">
      <w:pPr>
        <w:pStyle w:val="Bullet"/>
        <w:rPr>
          <w:b/>
        </w:rPr>
      </w:pPr>
      <w:r w:rsidRPr="00744BFF">
        <w:rPr>
          <w:b/>
        </w:rPr>
        <w:t>Statistical methodology for stratification and sample selection,</w:t>
      </w:r>
    </w:p>
    <w:p w14:paraId="00D0840D" w14:textId="77777777" w:rsidR="00B30DDF" w:rsidRPr="00744BFF" w:rsidRDefault="00B30DDF" w:rsidP="00744BFF">
      <w:pPr>
        <w:pStyle w:val="Bullet"/>
        <w:rPr>
          <w:b/>
        </w:rPr>
      </w:pPr>
      <w:r w:rsidRPr="00744BFF">
        <w:rPr>
          <w:b/>
        </w:rPr>
        <w:t>Estimation procedure,</w:t>
      </w:r>
    </w:p>
    <w:p w14:paraId="5A6687C4" w14:textId="77777777" w:rsidR="00B30DDF" w:rsidRPr="00744BFF" w:rsidRDefault="00B30DDF" w:rsidP="00744BFF">
      <w:pPr>
        <w:pStyle w:val="Bullet"/>
        <w:rPr>
          <w:b/>
        </w:rPr>
      </w:pPr>
      <w:r w:rsidRPr="00744BFF">
        <w:rPr>
          <w:b/>
        </w:rPr>
        <w:t>Degree of accuracy needed for the purpose described in the justification,</w:t>
      </w:r>
    </w:p>
    <w:p w14:paraId="2A734804" w14:textId="77777777" w:rsidR="00B30DDF" w:rsidRPr="00744BFF" w:rsidRDefault="00B30DDF" w:rsidP="00744BFF">
      <w:pPr>
        <w:pStyle w:val="Bullet"/>
        <w:rPr>
          <w:b/>
        </w:rPr>
      </w:pPr>
      <w:r w:rsidRPr="00744BFF">
        <w:rPr>
          <w:b/>
        </w:rPr>
        <w:t>Unusual problems requiring specialized sampling procedures, and</w:t>
      </w:r>
    </w:p>
    <w:p w14:paraId="239E9048" w14:textId="77777777" w:rsidR="00B30DDF" w:rsidRPr="00744BFF" w:rsidRDefault="00B30DDF" w:rsidP="00744BFF">
      <w:pPr>
        <w:pStyle w:val="BulletLastSS"/>
        <w:rPr>
          <w:b/>
        </w:rPr>
      </w:pPr>
      <w:r w:rsidRPr="00744BFF">
        <w:rPr>
          <w:b/>
        </w:rPr>
        <w:t>Any use of periodic (less frequent than annual) data collection cycles to reduce burden.</w:t>
      </w:r>
    </w:p>
    <w:p w14:paraId="1511D0EF" w14:textId="02B37B17" w:rsidR="00B30DDF" w:rsidRPr="007B0C01" w:rsidRDefault="00B30DDF" w:rsidP="00CA7F4A">
      <w:r w:rsidRPr="007B0C01">
        <w:t xml:space="preserve">This section discusses the procedures </w:t>
      </w:r>
      <w:r w:rsidR="00794578">
        <w:t xml:space="preserve">the evaluation team </w:t>
      </w:r>
      <w:r w:rsidRPr="007B0C01">
        <w:t xml:space="preserve">will use for impact estimation and the anticipated statistical power of the estimates. </w:t>
      </w:r>
      <w:r w:rsidR="00610E6C">
        <w:t>Data collection activities and procedures for the focus groups, interviews, and surveys are de</w:t>
      </w:r>
      <w:r w:rsidR="007447D1">
        <w:t>scrib</w:t>
      </w:r>
      <w:r w:rsidR="00610E6C">
        <w:t>ed in Part A of this information collection request.</w:t>
      </w:r>
    </w:p>
    <w:p w14:paraId="67890BD5" w14:textId="77777777" w:rsidR="00B30DDF" w:rsidRDefault="00B30DDF" w:rsidP="00AB3372">
      <w:pPr>
        <w:pStyle w:val="H4Number"/>
      </w:pPr>
      <w:bookmarkStart w:id="31" w:name="_Toc408492375"/>
      <w:bookmarkStart w:id="32" w:name="_Toc414577812"/>
      <w:bookmarkStart w:id="33" w:name="_Toc531085514"/>
      <w:r>
        <w:t>1.</w:t>
      </w:r>
      <w:r w:rsidR="00A67A0C">
        <w:tab/>
      </w:r>
      <w:r w:rsidRPr="00865AE2">
        <w:t xml:space="preserve">Estimation </w:t>
      </w:r>
      <w:r>
        <w:t>P</w:t>
      </w:r>
      <w:r w:rsidRPr="00865AE2">
        <w:t>rocedures</w:t>
      </w:r>
      <w:bookmarkEnd w:id="31"/>
      <w:bookmarkEnd w:id="32"/>
      <w:bookmarkEnd w:id="33"/>
    </w:p>
    <w:p w14:paraId="0F97CE43" w14:textId="3A85DEB9" w:rsidR="00B30DDF" w:rsidRPr="0096424C" w:rsidRDefault="00B30DDF" w:rsidP="00CA7F4A">
      <w:bookmarkStart w:id="34" w:name="_Toc408492376"/>
      <w:bookmarkStart w:id="35" w:name="_Toc414577813"/>
      <w:r w:rsidRPr="0096424C">
        <w:t xml:space="preserve">With an experimental design, unbiased impact estimates can be obtained from the differences between mean outcomes in different research groups. By using regression procedures that control for highly predictive covariates, however, </w:t>
      </w:r>
      <w:r w:rsidR="00794578">
        <w:t xml:space="preserve">the evaluation team </w:t>
      </w:r>
      <w:r w:rsidRPr="0096424C">
        <w:t xml:space="preserve">will improve the precision of estimates and adjust for small baseline differences between groups that may arise by chance or from survey nonresponse or missing administrative records data. </w:t>
      </w:r>
    </w:p>
    <w:p w14:paraId="4DD098AF" w14:textId="276B9ED3" w:rsidR="00B30DDF" w:rsidRPr="0096424C" w:rsidRDefault="00B30DDF" w:rsidP="00030C57">
      <w:r w:rsidRPr="0096424C">
        <w:t xml:space="preserve">For the study’s primary outcomes that are continuous variables, such as quarterly earnings, </w:t>
      </w:r>
      <w:r w:rsidR="00794578">
        <w:t xml:space="preserve">the evaluation team </w:t>
      </w:r>
      <w:r w:rsidRPr="0096424C">
        <w:t xml:space="preserve">will use ordinary least squares regression to estimate impacts. For other primary outcomes that are binary variables, such as those measuring employment and the receipt of SNAP benefits, </w:t>
      </w:r>
      <w:r w:rsidR="00794578">
        <w:t xml:space="preserve">the evaluation team </w:t>
      </w:r>
      <w:r w:rsidRPr="0096424C">
        <w:t>plan</w:t>
      </w:r>
      <w:r w:rsidR="001F7170">
        <w:t>s</w:t>
      </w:r>
      <w:r w:rsidRPr="0096424C">
        <w:t xml:space="preserve"> to use a logistic regression model to estimate impacts. For the logistic models, </w:t>
      </w:r>
      <w:r w:rsidR="00794578">
        <w:t xml:space="preserve">the evaluation team </w:t>
      </w:r>
      <w:r w:rsidRPr="0096424C">
        <w:t>also will test whether the results are sensitive to our modeling approach by estimating impacts on the primary outcome using a linear probability model as an alternative approach.</w:t>
      </w:r>
    </w:p>
    <w:p w14:paraId="4989CBDD" w14:textId="01CFC402" w:rsidR="00B30DDF" w:rsidRPr="0096424C" w:rsidRDefault="00794578" w:rsidP="005B0DA9">
      <w:r>
        <w:t xml:space="preserve">The evaluation team </w:t>
      </w:r>
      <w:r w:rsidR="00B30DDF" w:rsidRPr="0096424C">
        <w:t xml:space="preserve">will use a staged approach to assess the effects of the pilots using analytical models carefully aligned with the specific evaluation designs in each site. First, to examine the </w:t>
      </w:r>
      <w:r w:rsidR="00B30DDF" w:rsidRPr="0096424C">
        <w:rPr>
          <w:i/>
        </w:rPr>
        <w:t>overall</w:t>
      </w:r>
      <w:r w:rsidR="00B30DDF" w:rsidRPr="0096424C">
        <w:t xml:space="preserve"> average effects of the interventions, </w:t>
      </w:r>
      <w:r>
        <w:t xml:space="preserve">the evaluation team </w:t>
      </w:r>
      <w:r w:rsidR="00B30DDF" w:rsidRPr="0096424C">
        <w:t>will estimate the following regression model for site s:</w:t>
      </w:r>
    </w:p>
    <w:p w14:paraId="465EC3DD" w14:textId="77777777" w:rsidR="00B30DDF" w:rsidRPr="0096424C" w:rsidRDefault="00B16186" w:rsidP="00B30DDF">
      <w:pPr>
        <w:rPr>
          <w:szCs w:val="24"/>
        </w:rPr>
      </w:pPr>
      <m:oMathPara>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is</m:t>
              </m:r>
            </m:sub>
          </m:sSub>
          <m:r>
            <w:rPr>
              <w:rFonts w:ascii="Cambria Math" w:hAnsi="Cambria Math"/>
              <w:szCs w:val="24"/>
            </w:rPr>
            <m:t>=α+δ</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is</m:t>
              </m:r>
            </m:sub>
          </m:sSub>
          <m:r>
            <w:rPr>
              <w:rFonts w:ascii="Cambria Math" w:hAnsi="Cambria Math"/>
              <w:szCs w:val="24"/>
            </w:rPr>
            <m:t>+β</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is</m:t>
              </m:r>
            </m:sub>
          </m:sSub>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ε</m:t>
              </m:r>
            </m:e>
            <m:sub>
              <m:r>
                <w:rPr>
                  <w:rFonts w:ascii="Cambria Math" w:hAnsi="Cambria Math"/>
                  <w:szCs w:val="24"/>
                </w:rPr>
                <m:t>is</m:t>
              </m:r>
            </m:sub>
          </m:sSub>
        </m:oMath>
      </m:oMathPara>
    </w:p>
    <w:p w14:paraId="3C8CC250" w14:textId="77777777" w:rsidR="00B30DDF" w:rsidRPr="0096424C" w:rsidRDefault="00B30DDF" w:rsidP="00030C57">
      <w:pPr>
        <w:pStyle w:val="Normalcontinued"/>
      </w:pPr>
      <w:r w:rsidRPr="0096424C">
        <w:t xml:space="preserve">where Y is the outcome of interest (e.g., quarterly earnings) for individual </w:t>
      </w:r>
      <w:r w:rsidRPr="0096424C">
        <w:rPr>
          <w:i/>
        </w:rPr>
        <w:t>i</w:t>
      </w:r>
      <w:r w:rsidRPr="0096424C">
        <w:t xml:space="preserve"> in site </w:t>
      </w:r>
      <w:r w:rsidRPr="0096424C">
        <w:rPr>
          <w:i/>
        </w:rPr>
        <w:t>s,</w:t>
      </w:r>
      <w:r w:rsidRPr="0096424C">
        <w:t xml:space="preserve"> </w:t>
      </w:r>
      <m:oMath>
        <m:r>
          <m:rPr>
            <m:sty m:val="p"/>
          </m:rPr>
          <w:rPr>
            <w:rFonts w:ascii="Cambria Math" w:hAnsi="Cambria Math"/>
          </w:rPr>
          <m:t>α</m:t>
        </m:r>
      </m:oMath>
      <w:r w:rsidRPr="0096424C">
        <w:t xml:space="preserve"> is the regression intercept, </w:t>
      </w:r>
      <w:r w:rsidRPr="0096424C">
        <w:rPr>
          <w:i/>
        </w:rPr>
        <w:t>T</w:t>
      </w:r>
      <w:r w:rsidRPr="0096424C">
        <w:t xml:space="preserve"> is a binary treatment indicator that equals 1 for individuals in </w:t>
      </w:r>
      <w:r w:rsidRPr="0096424C">
        <w:rPr>
          <w:i/>
        </w:rPr>
        <w:t>any</w:t>
      </w:r>
      <w:r w:rsidRPr="0096424C">
        <w:t xml:space="preserve"> treatment group (e.g., </w:t>
      </w:r>
      <w:r w:rsidRPr="0096424C">
        <w:rPr>
          <w:i/>
        </w:rPr>
        <w:t>T</w:t>
      </w:r>
      <w:r w:rsidRPr="0096424C">
        <w:rPr>
          <w:i/>
          <w:vertAlign w:val="subscript"/>
        </w:rPr>
        <w:t>1</w:t>
      </w:r>
      <w:r w:rsidRPr="0096424C">
        <w:t xml:space="preserve"> or </w:t>
      </w:r>
      <w:r w:rsidRPr="0096424C">
        <w:rPr>
          <w:i/>
        </w:rPr>
        <w:t>T</w:t>
      </w:r>
      <w:r w:rsidRPr="0096424C">
        <w:rPr>
          <w:i/>
          <w:vertAlign w:val="subscript"/>
        </w:rPr>
        <w:t>2</w:t>
      </w:r>
      <w:r w:rsidRPr="0096424C">
        <w:t xml:space="preserve"> and </w:t>
      </w:r>
      <w:r w:rsidRPr="0096424C">
        <w:rPr>
          <w:i/>
        </w:rPr>
        <w:t>0</w:t>
      </w:r>
      <w:r w:rsidRPr="0096424C">
        <w:t xml:space="preserve"> for control individuals), </w:t>
      </w:r>
      <w:r w:rsidRPr="0096424C">
        <w:rPr>
          <w:i/>
        </w:rPr>
        <w:t>X</w:t>
      </w:r>
      <w:r w:rsidRPr="0096424C">
        <w:t xml:space="preserve"> represents a set or vector of individual characteristics, </w:t>
      </w:r>
      <m:oMath>
        <m:r>
          <w:rPr>
            <w:rFonts w:ascii="Cambria Math" w:hAnsi="Cambria Math"/>
          </w:rPr>
          <m:t>β</m:t>
        </m:r>
      </m:oMath>
      <w:r w:rsidRPr="0096424C">
        <w:t xml:space="preserve"> is a vector of regression coefficients for those characteristics, and </w:t>
      </w:r>
      <w:r w:rsidRPr="0096424C">
        <w:rPr>
          <w:i/>
        </w:rPr>
        <w:t>ε</w:t>
      </w:r>
      <w:r w:rsidRPr="0096424C">
        <w:t xml:space="preserve"> is the regression’s residual. The parameter of interest, </w:t>
      </w:r>
      <m:oMath>
        <m:r>
          <w:rPr>
            <w:rFonts w:ascii="Cambria Math" w:hAnsi="Cambria Math"/>
          </w:rPr>
          <m:t>δ</m:t>
        </m:r>
      </m:oMath>
      <w:r w:rsidRPr="0096424C">
        <w:t>, represents the site’s average impact on treatment individuals, and the associated t-statistic can be used to gauge statistical significance. The covariates most likely to improve precision are baseline levels of the outcome measure. Other covariates in the model will include people’s work experience and demographic and economic characteristics.</w:t>
      </w:r>
    </w:p>
    <w:p w14:paraId="7F074668" w14:textId="1A9F431E" w:rsidR="00B30DDF" w:rsidRPr="0096424C" w:rsidRDefault="00B30DDF" w:rsidP="00B30DDF">
      <w:pPr>
        <w:rPr>
          <w:szCs w:val="24"/>
        </w:rPr>
      </w:pPr>
      <w:r w:rsidRPr="0096424C">
        <w:rPr>
          <w:szCs w:val="24"/>
        </w:rPr>
        <w:t>Second, for sites with multiple treatment arms</w:t>
      </w:r>
      <w:r>
        <w:rPr>
          <w:szCs w:val="24"/>
        </w:rPr>
        <w:t xml:space="preserve"> including service enhancements</w:t>
      </w:r>
      <w:r w:rsidRPr="0096424C">
        <w:rPr>
          <w:szCs w:val="24"/>
        </w:rPr>
        <w:t xml:space="preserve">, </w:t>
      </w:r>
      <w:r w:rsidR="00794578">
        <w:rPr>
          <w:szCs w:val="24"/>
        </w:rPr>
        <w:t xml:space="preserve">the evaluation team </w:t>
      </w:r>
      <w:r w:rsidRPr="0096424C">
        <w:rPr>
          <w:szCs w:val="24"/>
        </w:rPr>
        <w:t xml:space="preserve">will estimate the impact of </w:t>
      </w:r>
      <w:r w:rsidRPr="0096424C">
        <w:rPr>
          <w:i/>
          <w:szCs w:val="24"/>
        </w:rPr>
        <w:t>each</w:t>
      </w:r>
      <w:r w:rsidRPr="0096424C">
        <w:rPr>
          <w:szCs w:val="24"/>
        </w:rPr>
        <w:t xml:space="preserve"> type of intervention, relative to the overall control group and to each other, using the model:</w:t>
      </w:r>
    </w:p>
    <w:p w14:paraId="552511B2" w14:textId="77777777" w:rsidR="00B30DDF" w:rsidRPr="0096424C" w:rsidRDefault="00B16186" w:rsidP="00B30DDF">
      <w:pPr>
        <w:rPr>
          <w:szCs w:val="24"/>
        </w:rPr>
      </w:pPr>
      <m:oMathPara>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is</m:t>
              </m:r>
            </m:sub>
          </m:sSub>
          <m:r>
            <w:rPr>
              <w:rFonts w:ascii="Cambria Math" w:hAnsi="Cambria Math"/>
              <w:szCs w:val="24"/>
            </w:rPr>
            <m:t>=α+</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T</m:t>
              </m:r>
            </m:e>
            <m:sub>
              <m:r>
                <w:rPr>
                  <w:rFonts w:ascii="Cambria Math" w:hAnsi="Cambria Math"/>
                  <w:szCs w:val="24"/>
                </w:rPr>
                <m:t>1,is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T</m:t>
              </m:r>
            </m:e>
            <m:sub>
              <m:r>
                <w:rPr>
                  <w:rFonts w:ascii="Cambria Math" w:hAnsi="Cambria Math"/>
                  <w:szCs w:val="24"/>
                </w:rPr>
                <m:t>2,is</m:t>
              </m:r>
            </m:sub>
          </m:sSub>
          <m:r>
            <w:rPr>
              <w:rFonts w:ascii="Cambria Math" w:hAnsi="Cambria Math"/>
              <w:szCs w:val="24"/>
            </w:rPr>
            <m:t>+β</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is</m:t>
              </m:r>
            </m:sub>
          </m:sSub>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ε</m:t>
              </m:r>
            </m:e>
            <m:sub>
              <m:r>
                <w:rPr>
                  <w:rFonts w:ascii="Cambria Math" w:hAnsi="Cambria Math"/>
                  <w:szCs w:val="24"/>
                </w:rPr>
                <m:t>is</m:t>
              </m:r>
            </m:sub>
          </m:sSub>
          <m:r>
            <w:rPr>
              <w:rFonts w:ascii="Cambria Math" w:hAnsi="Cambria Math"/>
              <w:szCs w:val="24"/>
            </w:rPr>
            <m:t>.</m:t>
          </m:r>
        </m:oMath>
      </m:oMathPara>
    </w:p>
    <w:p w14:paraId="0A24B4B5" w14:textId="75E754F2" w:rsidR="00B30DDF" w:rsidRDefault="00B30DDF" w:rsidP="00B30DDF">
      <w:pPr>
        <w:rPr>
          <w:szCs w:val="24"/>
        </w:rPr>
      </w:pPr>
      <w:r w:rsidRPr="00F95E00">
        <w:rPr>
          <w:szCs w:val="24"/>
        </w:rPr>
        <w:t>All the variables are the same as in the previous model, except there is a separate binary treatment indic</w:t>
      </w:r>
      <w:r w:rsidR="00E77BA6">
        <w:rPr>
          <w:szCs w:val="24"/>
        </w:rPr>
        <w:t>a</w:t>
      </w:r>
      <w:r w:rsidRPr="00F95E00">
        <w:rPr>
          <w:szCs w:val="24"/>
        </w:rPr>
        <w:t>tor for each intervention (</w:t>
      </w:r>
      <w:r w:rsidRPr="00F95E00">
        <w:rPr>
          <w:i/>
          <w:szCs w:val="24"/>
        </w:rPr>
        <w:t>T</w:t>
      </w:r>
      <w:r w:rsidRPr="00F95E00">
        <w:rPr>
          <w:i/>
          <w:szCs w:val="24"/>
          <w:vertAlign w:val="subscript"/>
        </w:rPr>
        <w:t>1</w:t>
      </w:r>
      <w:r w:rsidRPr="00F95E00">
        <w:rPr>
          <w:szCs w:val="24"/>
        </w:rPr>
        <w:t xml:space="preserve"> and </w:t>
      </w:r>
      <w:r w:rsidRPr="00F95E00">
        <w:rPr>
          <w:i/>
          <w:szCs w:val="24"/>
        </w:rPr>
        <w:t>T</w:t>
      </w:r>
      <w:r w:rsidRPr="00F95E00">
        <w:rPr>
          <w:i/>
          <w:szCs w:val="24"/>
          <w:vertAlign w:val="subscript"/>
        </w:rPr>
        <w:t>2</w:t>
      </w:r>
      <w:r w:rsidRPr="00F95E00">
        <w:rPr>
          <w:szCs w:val="24"/>
        </w:rPr>
        <w:t xml:space="preserve">). The parameters of interest,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1</m:t>
            </m:r>
          </m:sub>
        </m:sSub>
      </m:oMath>
      <w:r w:rsidRPr="00F95E00">
        <w:rPr>
          <w:szCs w:val="24"/>
        </w:rPr>
        <w:t xml:space="preserve">,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oMath>
      <w:r w:rsidRPr="00F95E00">
        <w:rPr>
          <w:szCs w:val="24"/>
        </w:rPr>
        <w:t xml:space="preserve">, and </w:t>
      </w:r>
      <m:oMath>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e>
        </m:d>
      </m:oMath>
      <w:r w:rsidRPr="00F95E00">
        <w:rPr>
          <w:szCs w:val="24"/>
        </w:rPr>
        <w:t xml:space="preserve"> represent the site’s average impacts on people receiving </w:t>
      </w:r>
      <w:r w:rsidRPr="00F95E00">
        <w:rPr>
          <w:i/>
          <w:szCs w:val="24"/>
        </w:rPr>
        <w:t>T</w:t>
      </w:r>
      <w:r w:rsidRPr="00F95E00">
        <w:rPr>
          <w:i/>
          <w:szCs w:val="24"/>
          <w:vertAlign w:val="subscript"/>
        </w:rPr>
        <w:t>1</w:t>
      </w:r>
      <w:r w:rsidRPr="00F95E00">
        <w:rPr>
          <w:szCs w:val="24"/>
        </w:rPr>
        <w:t xml:space="preserve"> compared to the control group, </w:t>
      </w:r>
      <w:r w:rsidRPr="00F95E00">
        <w:rPr>
          <w:i/>
          <w:szCs w:val="24"/>
        </w:rPr>
        <w:t>T</w:t>
      </w:r>
      <w:r w:rsidRPr="00F95E00">
        <w:rPr>
          <w:i/>
          <w:szCs w:val="24"/>
          <w:vertAlign w:val="subscript"/>
        </w:rPr>
        <w:t>2</w:t>
      </w:r>
      <w:r w:rsidRPr="00F95E00">
        <w:rPr>
          <w:szCs w:val="24"/>
        </w:rPr>
        <w:t xml:space="preserve"> compared to the control group, and </w:t>
      </w:r>
      <w:r w:rsidRPr="00F95E00">
        <w:rPr>
          <w:i/>
          <w:szCs w:val="24"/>
        </w:rPr>
        <w:t>T</w:t>
      </w:r>
      <w:r w:rsidRPr="00F95E00">
        <w:rPr>
          <w:i/>
          <w:szCs w:val="24"/>
          <w:vertAlign w:val="subscript"/>
        </w:rPr>
        <w:t>1</w:t>
      </w:r>
      <w:r w:rsidRPr="00F95E00">
        <w:rPr>
          <w:szCs w:val="24"/>
        </w:rPr>
        <w:t xml:space="preserve"> compared to </w:t>
      </w:r>
      <w:r w:rsidRPr="00F95E00">
        <w:rPr>
          <w:i/>
          <w:szCs w:val="24"/>
        </w:rPr>
        <w:t>T</w:t>
      </w:r>
      <w:r w:rsidRPr="00F95E00">
        <w:rPr>
          <w:i/>
          <w:szCs w:val="24"/>
          <w:vertAlign w:val="subscript"/>
        </w:rPr>
        <w:t>2</w:t>
      </w:r>
      <w:r w:rsidRPr="00F95E00">
        <w:rPr>
          <w:i/>
          <w:szCs w:val="24"/>
        </w:rPr>
        <w:t>,</w:t>
      </w:r>
      <w:r w:rsidRPr="00F95E00">
        <w:rPr>
          <w:szCs w:val="24"/>
        </w:rPr>
        <w:t xml:space="preserve"> respectively. This model can be easily adapted to reflect the presence of a suitability screen in which agencies assess people’s suitability for specific services by replacing the variables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1,is</m:t>
            </m:r>
          </m:sub>
        </m:sSub>
      </m:oMath>
      <w:r w:rsidRPr="00F95E00">
        <w:rPr>
          <w:szCs w:val="24"/>
        </w:rPr>
        <w:t xml:space="preserve"> and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2,is</m:t>
            </m:r>
          </m:sub>
        </m:sSub>
      </m:oMath>
      <w:r w:rsidRPr="00F95E00">
        <w:rPr>
          <w:szCs w:val="24"/>
        </w:rPr>
        <w:t xml:space="preserve">with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1,is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1,is</m:t>
            </m:r>
          </m:sub>
        </m:sSub>
      </m:oMath>
      <w:r w:rsidRPr="00F95E00">
        <w:rPr>
          <w:szCs w:val="24"/>
        </w:rPr>
        <w:t xml:space="preserve"> and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2,is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2,is</m:t>
            </m:r>
          </m:sub>
        </m:sSub>
      </m:oMath>
      <w:r w:rsidRPr="00F95E00">
        <w:rPr>
          <w:i/>
          <w:szCs w:val="24"/>
        </w:rPr>
        <w:t>,</w:t>
      </w:r>
      <w:r w:rsidRPr="00F95E00">
        <w:rPr>
          <w:szCs w:val="24"/>
        </w:rPr>
        <w:t xml:space="preserve"> where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2,is</m:t>
            </m:r>
          </m:sub>
        </m:sSub>
      </m:oMath>
      <w:r w:rsidRPr="00F95E00">
        <w:rPr>
          <w:szCs w:val="24"/>
        </w:rPr>
        <w:t xml:space="preserve"> is a binary variable set equal to 1 for individuals suitable to receive </w:t>
      </w:r>
      <w:r w:rsidRPr="00F95E00">
        <w:rPr>
          <w:i/>
          <w:szCs w:val="24"/>
        </w:rPr>
        <w:t>T</w:t>
      </w:r>
      <w:r w:rsidRPr="00F95E00">
        <w:rPr>
          <w:i/>
          <w:szCs w:val="24"/>
          <w:vertAlign w:val="subscript"/>
        </w:rPr>
        <w:t>1</w:t>
      </w:r>
      <w:r w:rsidRPr="00F95E00">
        <w:rPr>
          <w:szCs w:val="24"/>
        </w:rPr>
        <w:t xml:space="preserve"> services and </w:t>
      </w:r>
      <w:r w:rsidRPr="00F95E00">
        <w:rPr>
          <w:i/>
          <w:szCs w:val="24"/>
        </w:rPr>
        <w:t>0</w:t>
      </w:r>
      <w:r w:rsidRPr="00F95E00">
        <w:rPr>
          <w:szCs w:val="24"/>
        </w:rPr>
        <w:t xml:space="preserve"> for individuals not suitable and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2,is</m:t>
            </m:r>
          </m:sub>
        </m:sSub>
      </m:oMath>
      <w:r w:rsidRPr="00F95E00">
        <w:rPr>
          <w:i/>
          <w:szCs w:val="24"/>
        </w:rPr>
        <w:t xml:space="preserve"> </w:t>
      </w:r>
      <w:r w:rsidRPr="00F95E00">
        <w:rPr>
          <w:szCs w:val="24"/>
        </w:rPr>
        <w:t xml:space="preserve">is a binary variable set equal to 1 for individuals suitable to receive </w:t>
      </w:r>
      <w:r w:rsidRPr="00F95E00">
        <w:rPr>
          <w:i/>
          <w:szCs w:val="24"/>
        </w:rPr>
        <w:t>T</w:t>
      </w:r>
      <w:r w:rsidRPr="00F95E00">
        <w:rPr>
          <w:i/>
          <w:szCs w:val="24"/>
          <w:vertAlign w:val="subscript"/>
        </w:rPr>
        <w:t>2</w:t>
      </w:r>
      <w:r w:rsidRPr="00F95E00">
        <w:rPr>
          <w:szCs w:val="24"/>
        </w:rPr>
        <w:t xml:space="preserve"> services and </w:t>
      </w:r>
      <w:r w:rsidRPr="00F95E00">
        <w:rPr>
          <w:i/>
          <w:szCs w:val="24"/>
        </w:rPr>
        <w:t>0</w:t>
      </w:r>
      <w:r w:rsidRPr="00F95E00">
        <w:rPr>
          <w:szCs w:val="24"/>
        </w:rPr>
        <w:t xml:space="preserve"> for individuals not suitable. </w:t>
      </w:r>
      <w:r w:rsidR="00794578">
        <w:rPr>
          <w:szCs w:val="24"/>
        </w:rPr>
        <w:t xml:space="preserve">The evaluation team </w:t>
      </w:r>
      <w:r w:rsidRPr="00F95E00">
        <w:rPr>
          <w:szCs w:val="24"/>
        </w:rPr>
        <w:t xml:space="preserve">will conduct F-tests to examine the joint statistical significance of </w:t>
      </w: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1</m:t>
            </m:r>
          </m:sub>
        </m:sSub>
      </m:oMath>
      <w:r w:rsidRPr="00F95E00">
        <w:rPr>
          <w:szCs w:val="24"/>
        </w:rPr>
        <w:t xml:space="preserve"> and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oMath>
      <w:r w:rsidRPr="00F95E00">
        <w:rPr>
          <w:szCs w:val="24"/>
        </w:rPr>
        <w:t xml:space="preserve"> to assess whether either intervention improved participants’ outcomes</w:t>
      </w:r>
      <w:r w:rsidR="00B852C3">
        <w:rPr>
          <w:szCs w:val="24"/>
        </w:rPr>
        <w:t>. I</w:t>
      </w:r>
      <w:r w:rsidRPr="00F95E00">
        <w:rPr>
          <w:szCs w:val="24"/>
        </w:rPr>
        <w:t xml:space="preserve">f the F-statistic is significant, </w:t>
      </w:r>
      <w:r w:rsidR="00794578">
        <w:rPr>
          <w:szCs w:val="24"/>
        </w:rPr>
        <w:t xml:space="preserve">the evaluation team </w:t>
      </w:r>
      <w:r w:rsidRPr="00F95E00">
        <w:rPr>
          <w:szCs w:val="24"/>
        </w:rPr>
        <w:t xml:space="preserve">will examine the separate t-statistics for each intervention. </w:t>
      </w:r>
    </w:p>
    <w:p w14:paraId="3D352B77" w14:textId="504A1FF6" w:rsidR="00B30DDF" w:rsidRPr="007F4033" w:rsidRDefault="00B30DDF" w:rsidP="00B30DDF">
      <w:pPr>
        <w:rPr>
          <w:szCs w:val="24"/>
        </w:rPr>
      </w:pPr>
      <w:r w:rsidRPr="00FE1BF3">
        <w:rPr>
          <w:b/>
          <w:bCs/>
        </w:rPr>
        <w:t>Accounting for sample design and survey nonresponse</w:t>
      </w:r>
      <w:r w:rsidRPr="00FE1BF3">
        <w:rPr>
          <w:b/>
          <w:bCs/>
          <w:i/>
          <w:iCs/>
        </w:rPr>
        <w:t>.</w:t>
      </w:r>
      <w:r w:rsidRPr="0049131C">
        <w:rPr>
          <w:b/>
          <w:bCs/>
          <w:i/>
          <w:iCs/>
        </w:rPr>
        <w:t xml:space="preserve"> </w:t>
      </w:r>
      <w:r>
        <w:rPr>
          <w:b/>
          <w:bCs/>
          <w:i/>
          <w:iCs/>
        </w:rPr>
        <w:t xml:space="preserve"> </w:t>
      </w:r>
      <w:r w:rsidRPr="00425EEB">
        <w:rPr>
          <w:szCs w:val="24"/>
        </w:rPr>
        <w:t>As noted</w:t>
      </w:r>
      <w:r>
        <w:rPr>
          <w:szCs w:val="24"/>
        </w:rPr>
        <w:t xml:space="preserve"> in section B.1.3, </w:t>
      </w:r>
      <w:r w:rsidR="00E73CE9">
        <w:rPr>
          <w:szCs w:val="24"/>
        </w:rPr>
        <w:t>FNS’</w:t>
      </w:r>
      <w:r w:rsidR="001F7170">
        <w:rPr>
          <w:szCs w:val="24"/>
        </w:rPr>
        <w:t>s</w:t>
      </w:r>
      <w:r>
        <w:rPr>
          <w:szCs w:val="24"/>
        </w:rPr>
        <w:t xml:space="preserve"> goal</w:t>
      </w:r>
      <w:r w:rsidRPr="007F4033">
        <w:rPr>
          <w:szCs w:val="24"/>
        </w:rPr>
        <w:t xml:space="preserve"> is a </w:t>
      </w:r>
      <w:r w:rsidR="00425EEB">
        <w:rPr>
          <w:szCs w:val="24"/>
        </w:rPr>
        <w:t>65-</w:t>
      </w:r>
      <w:r w:rsidRPr="007F4033">
        <w:rPr>
          <w:szCs w:val="24"/>
        </w:rPr>
        <w:t xml:space="preserve">80 percent response rate for the follow up surveys. If an 80 percent response rate </w:t>
      </w:r>
      <w:r>
        <w:rPr>
          <w:szCs w:val="24"/>
        </w:rPr>
        <w:t xml:space="preserve">is not achieved </w:t>
      </w:r>
      <w:r w:rsidRPr="007F4033">
        <w:rPr>
          <w:szCs w:val="24"/>
        </w:rPr>
        <w:t xml:space="preserve">on a given survey in a pilot a nonresponse </w:t>
      </w:r>
      <w:r w:rsidR="0087448C">
        <w:rPr>
          <w:szCs w:val="24"/>
        </w:rPr>
        <w:t xml:space="preserve">bias </w:t>
      </w:r>
      <w:r w:rsidRPr="007F4033">
        <w:rPr>
          <w:szCs w:val="24"/>
        </w:rPr>
        <w:t xml:space="preserve">analysis </w:t>
      </w:r>
      <w:r>
        <w:rPr>
          <w:szCs w:val="24"/>
        </w:rPr>
        <w:t xml:space="preserve">will be conducted </w:t>
      </w:r>
      <w:r w:rsidRPr="007F4033">
        <w:rPr>
          <w:szCs w:val="24"/>
        </w:rPr>
        <w:t xml:space="preserve">following OMB standards and guidelines to assess relationships between participant characteristics and nonresponse. </w:t>
      </w:r>
      <w:r w:rsidR="00794578">
        <w:rPr>
          <w:szCs w:val="24"/>
        </w:rPr>
        <w:t xml:space="preserve">The evaluation team </w:t>
      </w:r>
      <w:r w:rsidRPr="007F4033">
        <w:rPr>
          <w:szCs w:val="24"/>
        </w:rPr>
        <w:t>will test for the significance of differences in respondents’ and nonrespondents’ characteristics, and whether these differences are the same in the treatment and control/comparison groups.</w:t>
      </w:r>
    </w:p>
    <w:p w14:paraId="3BD15869" w14:textId="4B6AA497" w:rsidR="00B30DDF" w:rsidRDefault="00B30DDF" w:rsidP="00030C57">
      <w:pPr>
        <w:rPr>
          <w:b/>
        </w:rPr>
      </w:pPr>
      <w:r w:rsidRPr="007F4033">
        <w:t>To account for the two-phase sampling design</w:t>
      </w:r>
      <w:r>
        <w:t xml:space="preserve"> (see section B3 for more details)</w:t>
      </w:r>
      <w:r w:rsidRPr="007F4033">
        <w:t xml:space="preserve"> and survey nonresponse, </w:t>
      </w:r>
      <w:r w:rsidR="00794578">
        <w:t xml:space="preserve">the evaluation team </w:t>
      </w:r>
      <w:r w:rsidRPr="007F4033">
        <w:t>will construct weights for all analyses using the survey data so that the sample of respondents to each follow</w:t>
      </w:r>
      <w:r>
        <w:t>-</w:t>
      </w:r>
      <w:r w:rsidRPr="007F4033">
        <w:t xml:space="preserve">up survey </w:t>
      </w:r>
      <w:r>
        <w:t>represent</w:t>
      </w:r>
      <w:r w:rsidRPr="007F4033">
        <w:t xml:space="preserve"> those of the baseline samples within each site. </w:t>
      </w:r>
      <w:r>
        <w:t>A</w:t>
      </w:r>
      <w:r w:rsidRPr="007F4033">
        <w:t xml:space="preserve"> base weight for each survey respondent </w:t>
      </w:r>
      <w:r>
        <w:t xml:space="preserve">will be calculated </w:t>
      </w:r>
      <w:r w:rsidRPr="007F4033">
        <w:t xml:space="preserve">as the inverse of his/her probability of selection for the survey. These base weights will also be adjusted to account for nonresponse. </w:t>
      </w:r>
      <w:r w:rsidR="00794578">
        <w:t xml:space="preserve">The evaluation team </w:t>
      </w:r>
      <w:r w:rsidRPr="007F4033">
        <w:t xml:space="preserve">will use propensity scoring, first estimating statistical models to predict the likelihood that a person will respond to the survey and then using that propensity score to construct nonresponse weighting adjustment factors. Variables that are available for both respondents and nonrespondents (from the </w:t>
      </w:r>
      <w:r w:rsidR="000016A2">
        <w:t>registration document</w:t>
      </w:r>
      <w:r w:rsidRPr="007F4033">
        <w:t xml:space="preserve"> and administrative data) will be used to create the weighting adjustment factors. </w:t>
      </w:r>
    </w:p>
    <w:p w14:paraId="6939885D" w14:textId="55390720" w:rsidR="00B30DDF" w:rsidRPr="00030C57" w:rsidRDefault="00B30DDF" w:rsidP="00030C57">
      <w:r w:rsidRPr="00030C57">
        <w:rPr>
          <w:b/>
        </w:rPr>
        <w:t>Analyzing policy-relevant service enhancements to address national issues.</w:t>
      </w:r>
      <w:r w:rsidRPr="00850A74">
        <w:t xml:space="preserve"> To the extent possible, </w:t>
      </w:r>
      <w:r w:rsidR="00E73CE9">
        <w:t>our</w:t>
      </w:r>
      <w:r w:rsidRPr="00850A74">
        <w:t xml:space="preserve"> plans </w:t>
      </w:r>
      <w:r w:rsidR="00E73CE9">
        <w:t xml:space="preserve">are </w:t>
      </w:r>
      <w:r w:rsidRPr="00850A74">
        <w:t xml:space="preserve">to incorporate enhancements to site interventions to learn about key program features that have national implications. The analysis will examine the effects of interventions with common features across sites by grouping sites to conduct a “pooled” site analysis. In these cases, </w:t>
      </w:r>
      <w:r w:rsidR="00794578">
        <w:t xml:space="preserve">the evaluation team </w:t>
      </w:r>
      <w:r w:rsidRPr="00850A74">
        <w:t>will estimate a similar set of models as above, except that each treatment indicator would represent the common component or characteristic, such as whether there are financial incentives or whether the services were group- or individually-focused.</w:t>
      </w:r>
      <w:r>
        <w:t xml:space="preserve"> </w:t>
      </w:r>
    </w:p>
    <w:p w14:paraId="5F3137EB" w14:textId="4E80B9AD" w:rsidR="00B30DDF" w:rsidRPr="00030C57" w:rsidRDefault="00B30DDF" w:rsidP="00030C57">
      <w:pPr>
        <w:rPr>
          <w:szCs w:val="24"/>
        </w:rPr>
      </w:pPr>
      <w:r w:rsidRPr="00030C57">
        <w:rPr>
          <w:b/>
          <w:szCs w:val="24"/>
        </w:rPr>
        <w:t>Adjusting for no-shows and crossovers.</w:t>
      </w:r>
      <w:r>
        <w:rPr>
          <w:szCs w:val="24"/>
        </w:rPr>
        <w:t xml:space="preserve"> I</w:t>
      </w:r>
      <w:r w:rsidRPr="00D60E26">
        <w:rPr>
          <w:szCs w:val="24"/>
        </w:rPr>
        <w:t xml:space="preserve">n any experiment in the real world, some members of the treatment group may not receive intervention services (no-shows), and some controls may be exposed to the interventions (crossovers). To correct for these sample members, </w:t>
      </w:r>
      <w:r w:rsidR="00794578">
        <w:rPr>
          <w:szCs w:val="24"/>
        </w:rPr>
        <w:t xml:space="preserve">the evaluation team </w:t>
      </w:r>
      <w:r w:rsidRPr="00D60E26">
        <w:rPr>
          <w:szCs w:val="24"/>
        </w:rPr>
        <w:t>will use an instrumental variable (IV) approach by replacing the T</w:t>
      </w:r>
      <w:r w:rsidRPr="00D60E26">
        <w:rPr>
          <w:szCs w:val="24"/>
          <w:vertAlign w:val="subscript"/>
        </w:rPr>
        <w:t>1</w:t>
      </w:r>
      <w:r w:rsidRPr="00D60E26">
        <w:rPr>
          <w:szCs w:val="24"/>
        </w:rPr>
        <w:t xml:space="preserve"> and T</w:t>
      </w:r>
      <w:r w:rsidRPr="00D60E26">
        <w:rPr>
          <w:szCs w:val="24"/>
          <w:vertAlign w:val="subscript"/>
        </w:rPr>
        <w:t>2</w:t>
      </w:r>
      <w:r w:rsidRPr="00D60E26">
        <w:rPr>
          <w:szCs w:val="24"/>
        </w:rPr>
        <w:t xml:space="preserve"> indicators in the models above with the indicator variables P</w:t>
      </w:r>
      <w:r w:rsidRPr="00D60E26">
        <w:rPr>
          <w:szCs w:val="24"/>
          <w:vertAlign w:val="subscript"/>
        </w:rPr>
        <w:t>1</w:t>
      </w:r>
      <w:r w:rsidRPr="00D60E26">
        <w:rPr>
          <w:szCs w:val="24"/>
        </w:rPr>
        <w:t xml:space="preserve"> and P</w:t>
      </w:r>
      <w:r w:rsidRPr="00D60E26">
        <w:rPr>
          <w:szCs w:val="24"/>
          <w:vertAlign w:val="subscript"/>
        </w:rPr>
        <w:t>2</w:t>
      </w:r>
      <w:r w:rsidRPr="00D60E26">
        <w:rPr>
          <w:szCs w:val="24"/>
        </w:rPr>
        <w:t xml:space="preserve"> that equal 1 for those who received intervention services and 0 for those who did not, and </w:t>
      </w:r>
      <w:r w:rsidR="00794578">
        <w:rPr>
          <w:szCs w:val="24"/>
        </w:rPr>
        <w:t xml:space="preserve">the evaluation team </w:t>
      </w:r>
      <w:r w:rsidRPr="00D60E26">
        <w:rPr>
          <w:szCs w:val="24"/>
        </w:rPr>
        <w:t>will use T</w:t>
      </w:r>
      <w:r w:rsidRPr="00D60E26">
        <w:rPr>
          <w:szCs w:val="24"/>
          <w:vertAlign w:val="subscript"/>
        </w:rPr>
        <w:t>1</w:t>
      </w:r>
      <w:r w:rsidRPr="00D60E26">
        <w:rPr>
          <w:szCs w:val="24"/>
        </w:rPr>
        <w:t xml:space="preserve"> and T</w:t>
      </w:r>
      <w:r w:rsidRPr="00D60E26">
        <w:rPr>
          <w:szCs w:val="24"/>
          <w:vertAlign w:val="subscript"/>
        </w:rPr>
        <w:t>2</w:t>
      </w:r>
      <w:r w:rsidRPr="00D60E26">
        <w:rPr>
          <w:szCs w:val="24"/>
        </w:rPr>
        <w:t xml:space="preserve"> as instruments for P</w:t>
      </w:r>
      <w:r w:rsidRPr="00D60E26">
        <w:rPr>
          <w:szCs w:val="24"/>
          <w:vertAlign w:val="subscript"/>
        </w:rPr>
        <w:t>1</w:t>
      </w:r>
      <w:r w:rsidRPr="00D60E26">
        <w:rPr>
          <w:szCs w:val="24"/>
        </w:rPr>
        <w:t xml:space="preserve"> and P</w:t>
      </w:r>
      <w:r w:rsidRPr="00D60E26">
        <w:rPr>
          <w:szCs w:val="24"/>
          <w:vertAlign w:val="subscript"/>
        </w:rPr>
        <w:t>2</w:t>
      </w:r>
      <w:r w:rsidRPr="00D60E26">
        <w:rPr>
          <w:szCs w:val="24"/>
        </w:rPr>
        <w:t xml:space="preserve">. </w:t>
      </w:r>
    </w:p>
    <w:p w14:paraId="7E3B0DEE" w14:textId="77777777" w:rsidR="00B30DDF" w:rsidRPr="00030C57" w:rsidRDefault="00B30DDF" w:rsidP="00392C64">
      <w:pPr>
        <w:rPr>
          <w:szCs w:val="24"/>
        </w:rPr>
      </w:pPr>
      <w:r w:rsidRPr="00030C57">
        <w:rPr>
          <w:b/>
          <w:szCs w:val="24"/>
        </w:rPr>
        <w:t>Subgroup analyses.</w:t>
      </w:r>
      <w:r w:rsidRPr="00943DF0">
        <w:rPr>
          <w:szCs w:val="24"/>
        </w:rPr>
        <w:t xml:space="preserve"> </w:t>
      </w:r>
      <w:r w:rsidRPr="00943DF0">
        <w:t>For each demonstration project, the analysis will estimate impacts among subgroups of participants who may respond differently to the intervention.</w:t>
      </w:r>
      <w:r>
        <w:t xml:space="preserve"> </w:t>
      </w:r>
      <w:r w:rsidRPr="00943DF0">
        <w:rPr>
          <w:szCs w:val="24"/>
        </w:rPr>
        <w:t xml:space="preserve">One component of our subgroup analysis will be to estimate impacts among subgroups of participants, defined by their baseline characteristics, who may respond differently to the intervention(s). In particular, </w:t>
      </w:r>
      <w:r w:rsidRPr="003E1A7B">
        <w:rPr>
          <w:szCs w:val="24"/>
        </w:rPr>
        <w:t xml:space="preserve">the analysis </w:t>
      </w:r>
      <w:r>
        <w:rPr>
          <w:szCs w:val="24"/>
        </w:rPr>
        <w:t xml:space="preserve">will </w:t>
      </w:r>
      <w:r w:rsidRPr="00943DF0">
        <w:rPr>
          <w:szCs w:val="24"/>
        </w:rPr>
        <w:t>estimate impacts on subgroups defined by:</w:t>
      </w:r>
    </w:p>
    <w:p w14:paraId="3A926251" w14:textId="77777777" w:rsidR="00B30DDF" w:rsidRPr="00030C57" w:rsidRDefault="00B30DDF" w:rsidP="002B61A8">
      <w:pPr>
        <w:pStyle w:val="Bullet"/>
      </w:pPr>
      <w:r w:rsidRPr="00030C57">
        <w:t>Family composition (e.g., whether single or married, whether a parent, presence of children in the household, and presence of more than one adult in the household)</w:t>
      </w:r>
    </w:p>
    <w:p w14:paraId="1CD284D6" w14:textId="77777777" w:rsidR="00B30DDF" w:rsidRPr="00030C57" w:rsidRDefault="00B30DDF" w:rsidP="002B61A8">
      <w:pPr>
        <w:pStyle w:val="Bullet"/>
      </w:pPr>
      <w:r w:rsidRPr="00030C57">
        <w:t>Labor force attachment (e.g., recent employment experiences)</w:t>
      </w:r>
    </w:p>
    <w:p w14:paraId="533EBD30" w14:textId="77777777" w:rsidR="00B30DDF" w:rsidRPr="00030C57" w:rsidRDefault="00B30DDF" w:rsidP="002B61A8">
      <w:pPr>
        <w:pStyle w:val="Bullet"/>
      </w:pPr>
      <w:r w:rsidRPr="00030C57">
        <w:t>Baseline earnings (e.g., whether the person had zero or positive earnings before the pilot)</w:t>
      </w:r>
    </w:p>
    <w:p w14:paraId="28ECC42A" w14:textId="77777777" w:rsidR="00B30DDF" w:rsidRPr="00030C57" w:rsidRDefault="00B30DDF" w:rsidP="002B61A8">
      <w:pPr>
        <w:pStyle w:val="Bullet"/>
      </w:pPr>
      <w:r w:rsidRPr="00030C57">
        <w:t>History of SNAP receipt (e.g., whether the person has participated before the current spell)</w:t>
      </w:r>
    </w:p>
    <w:p w14:paraId="1E2E3E0D" w14:textId="77777777" w:rsidR="00B30DDF" w:rsidRPr="00030C57" w:rsidRDefault="00B30DDF" w:rsidP="002B61A8">
      <w:pPr>
        <w:pStyle w:val="Bullet"/>
      </w:pPr>
      <w:r w:rsidRPr="00030C57">
        <w:t>Demographic characteristics (e.g., age, gender, race/ethnicity, education)</w:t>
      </w:r>
    </w:p>
    <w:p w14:paraId="6F0F3470" w14:textId="77777777" w:rsidR="00B30DDF" w:rsidRPr="00030C57" w:rsidRDefault="00B30DDF" w:rsidP="002B61A8">
      <w:pPr>
        <w:pStyle w:val="Bullet"/>
      </w:pPr>
      <w:r w:rsidRPr="00030C57">
        <w:t>Extent of barriers to employment (e.g., language, lack of transportation)</w:t>
      </w:r>
    </w:p>
    <w:p w14:paraId="355BA3F9" w14:textId="77777777" w:rsidR="00B30DDF" w:rsidRPr="00030C57" w:rsidRDefault="00B30DDF" w:rsidP="002B61A8">
      <w:pPr>
        <w:pStyle w:val="BulletLastSS"/>
      </w:pPr>
      <w:r w:rsidRPr="00030C57">
        <w:t>Income (e.g., less than 100 percent of poverty level)</w:t>
      </w:r>
    </w:p>
    <w:p w14:paraId="17AE67E4" w14:textId="6A9DF3BF" w:rsidR="00B30DDF" w:rsidRPr="00030C57" w:rsidRDefault="00794578" w:rsidP="00392C64">
      <w:r>
        <w:t xml:space="preserve">The evaluation team </w:t>
      </w:r>
      <w:r w:rsidR="00B30DDF" w:rsidRPr="00355E08">
        <w:t xml:space="preserve">will estimate impacts for subgroups identified before analysis by adding to the empirical model a term that interacts the treatment indicator with an indicator for whether the participant is in the subgroup. The coefficient on this term provides an estimate of program impact for the subgroup. </w:t>
      </w:r>
      <w:r w:rsidR="00B30DDF">
        <w:t>M</w:t>
      </w:r>
      <w:r w:rsidR="00B30DDF" w:rsidRPr="00355E08">
        <w:t xml:space="preserve">ultiple treatment-by-subgroup indicators for subgroups with more than two </w:t>
      </w:r>
      <w:r w:rsidR="00B30DDF">
        <w:t xml:space="preserve">levels (such as race/ethnicity) will be included and </w:t>
      </w:r>
      <w:r w:rsidR="00B30DDF" w:rsidRPr="00355E08">
        <w:t xml:space="preserve">F-tests </w:t>
      </w:r>
      <w:r w:rsidR="00B30DDF">
        <w:t xml:space="preserve">will be used </w:t>
      </w:r>
      <w:r w:rsidR="00B30DDF" w:rsidRPr="00355E08">
        <w:t>to assess whether differences in impacts across subgroup levels are statistically significant.</w:t>
      </w:r>
    </w:p>
    <w:p w14:paraId="18D466E7" w14:textId="388E88CA" w:rsidR="00B30DDF" w:rsidRPr="00030C57" w:rsidRDefault="00B30DDF" w:rsidP="00030C57">
      <w:r w:rsidRPr="00030C57">
        <w:rPr>
          <w:b/>
        </w:rPr>
        <w:t>Using the implementation analysis to inform the impact analysis.</w:t>
      </w:r>
      <w:r w:rsidRPr="00943DF0">
        <w:t xml:space="preserve"> To dig deeper into the impact estimates, </w:t>
      </w:r>
      <w:r w:rsidR="00794578">
        <w:t xml:space="preserve">the evaluation team </w:t>
      </w:r>
      <w:r w:rsidRPr="00943DF0">
        <w:t xml:space="preserve">will use data from the implementation analysis to statistically test whether key measurable program features—such as types of intervention services, program organization and partnerships, the target populations, and the extent to which the interventions were implemented as planned—are associated with cross-site variations in impacts. </w:t>
      </w:r>
      <w:r w:rsidR="00794578">
        <w:t xml:space="preserve">The evaluation team </w:t>
      </w:r>
      <w:r w:rsidRPr="00943DF0">
        <w:t xml:space="preserve">will estimate impacts for program-related subgroups by re-formulating the models from above as the first level of a multilevel model or hierarchical linear model. In the second level, </w:t>
      </w:r>
      <w:r w:rsidR="00794578">
        <w:t xml:space="preserve">the evaluation team </w:t>
      </w:r>
      <w:r w:rsidRPr="00943DF0">
        <w:t xml:space="preserve">will regress the estimated impacts of each site (estimates of </w:t>
      </w:r>
      <m:oMath>
        <m:sSub>
          <m:sSubPr>
            <m:ctrlPr>
              <w:rPr>
                <w:rFonts w:ascii="Cambria Math" w:hAnsi="Cambria Math"/>
              </w:rPr>
            </m:ctrlPr>
          </m:sSubPr>
          <m:e>
            <m:r>
              <m:rPr>
                <m:sty m:val="bi"/>
              </m:rPr>
              <w:rPr>
                <w:rFonts w:ascii="Cambria Math" w:hAnsi="Cambria Math"/>
              </w:rPr>
              <m:t>δ</m:t>
            </m:r>
          </m:e>
          <m:sub>
            <m:r>
              <m:rPr>
                <m:sty m:val="bi"/>
              </m:rPr>
              <w:rPr>
                <w:rFonts w:ascii="Cambria Math" w:hAnsi="Cambria Math"/>
              </w:rPr>
              <m:t>s</m:t>
            </m:r>
          </m:sub>
        </m:sSub>
      </m:oMath>
      <w:r w:rsidRPr="00943DF0">
        <w:t>) on various characteristics of the site obtained from the planned implementation analysis to help identify best practices at the grantee programs.</w:t>
      </w:r>
    </w:p>
    <w:p w14:paraId="277C73ED" w14:textId="77777777" w:rsidR="00B30DDF" w:rsidRPr="00030C57" w:rsidRDefault="00B30DDF" w:rsidP="00AB3372">
      <w:pPr>
        <w:pStyle w:val="H4Number"/>
      </w:pPr>
      <w:bookmarkStart w:id="36" w:name="_Toc531085515"/>
      <w:r w:rsidRPr="00030C57">
        <w:t>2.</w:t>
      </w:r>
      <w:r w:rsidR="00A67A0C">
        <w:tab/>
      </w:r>
      <w:r w:rsidRPr="00030C57">
        <w:t>Statistical Power</w:t>
      </w:r>
      <w:bookmarkEnd w:id="34"/>
      <w:bookmarkEnd w:id="35"/>
      <w:bookmarkEnd w:id="36"/>
    </w:p>
    <w:p w14:paraId="6C7813ED" w14:textId="77777777" w:rsidR="00B30DDF" w:rsidRPr="00850A74" w:rsidRDefault="00B30DDF" w:rsidP="00030C57">
      <w:pPr>
        <w:rPr>
          <w:b/>
        </w:rPr>
      </w:pPr>
      <w:r w:rsidRPr="00850A74">
        <w:t xml:space="preserve">To adequately address the evaluation’s research questions, the design must have sufficient statistical power to detect impacts that are policy relevant and of practical significance. The evaluation design will allow detection of policy-relevant impacts in each of the demonstration sites, overall and for key sample subgroups. The sample sizes needed for the study were determined by focusing on minimum detectable impacts (MDIs) for the primary outcomes of employment, earnings, and SNAP receipt. However, the MDIs for other secondary outcomes such as food insecurity to be examined in the evaluation were also considered. </w:t>
      </w:r>
    </w:p>
    <w:p w14:paraId="55A15A37" w14:textId="53942758" w:rsidR="00B30DDF" w:rsidRPr="00B01B97" w:rsidRDefault="00B30DDF" w:rsidP="00B30DDF">
      <w:pPr>
        <w:rPr>
          <w:szCs w:val="24"/>
        </w:rPr>
      </w:pPr>
      <w:r w:rsidRPr="00B01B97">
        <w:rPr>
          <w:szCs w:val="24"/>
        </w:rPr>
        <w:t xml:space="preserve">Each pilot study will be sufficiently powered to detect impacts for the primary outcomes and key secondary outcomes for the full sample and key subgroups. </w:t>
      </w:r>
      <w:r w:rsidR="00794578">
        <w:rPr>
          <w:szCs w:val="24"/>
        </w:rPr>
        <w:t xml:space="preserve">The evaluation team </w:t>
      </w:r>
      <w:r w:rsidRPr="00B01B97">
        <w:rPr>
          <w:szCs w:val="24"/>
        </w:rPr>
        <w:t>present</w:t>
      </w:r>
      <w:r w:rsidR="00F83937">
        <w:rPr>
          <w:szCs w:val="24"/>
        </w:rPr>
        <w:t>s</w:t>
      </w:r>
      <w:r w:rsidRPr="00B01B97">
        <w:rPr>
          <w:szCs w:val="24"/>
        </w:rPr>
        <w:t xml:space="preserve"> minimum detectable impacts (MDIs) in </w:t>
      </w:r>
      <w:r>
        <w:rPr>
          <w:szCs w:val="24"/>
        </w:rPr>
        <w:t>Exhibit</w:t>
      </w:r>
      <w:r w:rsidRPr="00B01B97">
        <w:rPr>
          <w:szCs w:val="24"/>
        </w:rPr>
        <w:t xml:space="preserve"> B.</w:t>
      </w:r>
      <w:r>
        <w:rPr>
          <w:szCs w:val="24"/>
        </w:rPr>
        <w:t>2a</w:t>
      </w:r>
      <w:r w:rsidRPr="00B01B97">
        <w:rPr>
          <w:szCs w:val="24"/>
        </w:rPr>
        <w:t xml:space="preserve"> for the primary outcome measures and for the secondary outcome of food insecurity for a single pilot site under the assumption of 90 percent confidence and 80 percent power. MDIs were calculated for impacts comparing individuals from both treatment arms to the control condition (T vs. C) and for impacts comparing individuals from a single treatment arm to the control condition (T</w:t>
      </w:r>
      <w:r w:rsidRPr="00B01B97">
        <w:rPr>
          <w:szCs w:val="24"/>
          <w:vertAlign w:val="subscript"/>
        </w:rPr>
        <w:t>j</w:t>
      </w:r>
      <w:r w:rsidRPr="00B01B97">
        <w:rPr>
          <w:szCs w:val="24"/>
        </w:rPr>
        <w:t xml:space="preserve"> vs. C). </w:t>
      </w:r>
      <w:r w:rsidR="00794578">
        <w:rPr>
          <w:szCs w:val="24"/>
        </w:rPr>
        <w:t xml:space="preserve">The evaluation team </w:t>
      </w:r>
      <w:r>
        <w:rPr>
          <w:szCs w:val="24"/>
        </w:rPr>
        <w:t>present</w:t>
      </w:r>
      <w:r w:rsidR="00F83937">
        <w:rPr>
          <w:szCs w:val="24"/>
        </w:rPr>
        <w:t>s</w:t>
      </w:r>
      <w:r>
        <w:rPr>
          <w:szCs w:val="24"/>
        </w:rPr>
        <w:t xml:space="preserve"> MDIs for</w:t>
      </w:r>
      <w:r w:rsidRPr="00B01B97">
        <w:rPr>
          <w:szCs w:val="24"/>
        </w:rPr>
        <w:t xml:space="preserve"> </w:t>
      </w:r>
      <w:r>
        <w:rPr>
          <w:szCs w:val="24"/>
        </w:rPr>
        <w:t>two levels of</w:t>
      </w:r>
      <w:r w:rsidRPr="00B01B97">
        <w:rPr>
          <w:szCs w:val="24"/>
        </w:rPr>
        <w:t xml:space="preserve"> enrollment of </w:t>
      </w:r>
      <w:r>
        <w:rPr>
          <w:szCs w:val="24"/>
        </w:rPr>
        <w:t xml:space="preserve">3,000 </w:t>
      </w:r>
      <w:r w:rsidRPr="00FD16F5">
        <w:rPr>
          <w:szCs w:val="24"/>
        </w:rPr>
        <w:t xml:space="preserve">participants per pilot </w:t>
      </w:r>
      <w:r>
        <w:rPr>
          <w:szCs w:val="24"/>
        </w:rPr>
        <w:t xml:space="preserve">and </w:t>
      </w:r>
      <w:r w:rsidRPr="00B01B97">
        <w:rPr>
          <w:szCs w:val="24"/>
        </w:rPr>
        <w:t>5,000 participants per pilot</w:t>
      </w:r>
      <w:r>
        <w:rPr>
          <w:szCs w:val="24"/>
        </w:rPr>
        <w:t>, which captures the range of sample sizes for 7 out of 10 pilot projects</w:t>
      </w:r>
      <w:r w:rsidRPr="00B01B97">
        <w:rPr>
          <w:szCs w:val="24"/>
        </w:rPr>
        <w:t xml:space="preserve">. </w:t>
      </w:r>
      <w:r>
        <w:rPr>
          <w:szCs w:val="24"/>
        </w:rPr>
        <w:t xml:space="preserve">(The remaining three pilot projects have larger sample sizes of 5,252 participants, 7,520 </w:t>
      </w:r>
      <w:r w:rsidRPr="009E025C">
        <w:rPr>
          <w:szCs w:val="24"/>
        </w:rPr>
        <w:t>participants</w:t>
      </w:r>
      <w:r>
        <w:rPr>
          <w:szCs w:val="24"/>
        </w:rPr>
        <w:t xml:space="preserve">, and 14,000 participants, which will result in smaller MDIs.) </w:t>
      </w:r>
    </w:p>
    <w:p w14:paraId="2A0ED835" w14:textId="6C0EA41B" w:rsidR="00B30DDF" w:rsidRPr="00B01B97" w:rsidRDefault="00B30DDF" w:rsidP="00B30DDF">
      <w:pPr>
        <w:rPr>
          <w:szCs w:val="24"/>
        </w:rPr>
      </w:pPr>
      <w:r w:rsidRPr="00B01B97">
        <w:rPr>
          <w:szCs w:val="24"/>
        </w:rPr>
        <w:t xml:space="preserve">For the individual-level RA design with a sample size of 5,000, </w:t>
      </w:r>
      <w:r w:rsidR="00794578">
        <w:rPr>
          <w:szCs w:val="24"/>
        </w:rPr>
        <w:t xml:space="preserve">the evaluation team </w:t>
      </w:r>
      <w:r w:rsidRPr="00B01B97">
        <w:rPr>
          <w:szCs w:val="24"/>
        </w:rPr>
        <w:t>will be able to detect a 2.9-percentage-point increase in the employment rate for the treatment group from the overall pilot (combining T</w:t>
      </w:r>
      <w:r w:rsidRPr="00B01B97">
        <w:rPr>
          <w:szCs w:val="24"/>
          <w:vertAlign w:val="subscript"/>
        </w:rPr>
        <w:t>1</w:t>
      </w:r>
      <w:r w:rsidRPr="00B01B97">
        <w:rPr>
          <w:szCs w:val="24"/>
        </w:rPr>
        <w:t xml:space="preserve"> and T</w:t>
      </w:r>
      <w:r w:rsidRPr="00B01B97">
        <w:rPr>
          <w:szCs w:val="24"/>
          <w:vertAlign w:val="subscript"/>
        </w:rPr>
        <w:t>2</w:t>
      </w:r>
      <w:r w:rsidRPr="00B01B97">
        <w:rPr>
          <w:szCs w:val="24"/>
        </w:rPr>
        <w:t xml:space="preserve"> and comparing to C) and a 3.3-percentage-point increase in the employment rate for each intervention, T</w:t>
      </w:r>
      <w:r w:rsidRPr="00B01B97">
        <w:rPr>
          <w:szCs w:val="24"/>
          <w:vertAlign w:val="subscript"/>
        </w:rPr>
        <w:t>1</w:t>
      </w:r>
      <w:r w:rsidRPr="00B01B97">
        <w:rPr>
          <w:szCs w:val="24"/>
        </w:rPr>
        <w:t xml:space="preserve"> and T</w:t>
      </w:r>
      <w:r w:rsidRPr="00B01B97">
        <w:rPr>
          <w:szCs w:val="24"/>
          <w:vertAlign w:val="subscript"/>
        </w:rPr>
        <w:t>2</w:t>
      </w:r>
      <w:r w:rsidRPr="00B01B97">
        <w:rPr>
          <w:szCs w:val="24"/>
        </w:rPr>
        <w:t>, separately (comparing T</w:t>
      </w:r>
      <w:r w:rsidRPr="00B01B97">
        <w:rPr>
          <w:szCs w:val="24"/>
          <w:vertAlign w:val="subscript"/>
        </w:rPr>
        <w:t>1</w:t>
      </w:r>
      <w:r w:rsidRPr="00B01B97">
        <w:rPr>
          <w:szCs w:val="24"/>
        </w:rPr>
        <w:t xml:space="preserve"> to C and T</w:t>
      </w:r>
      <w:r w:rsidRPr="00B01B97">
        <w:rPr>
          <w:szCs w:val="24"/>
          <w:vertAlign w:val="subscript"/>
        </w:rPr>
        <w:t>2</w:t>
      </w:r>
      <w:r w:rsidRPr="00B01B97">
        <w:rPr>
          <w:szCs w:val="24"/>
        </w:rPr>
        <w:t xml:space="preserve"> to C). MDIs for earnings and public assistance participation are also presented in </w:t>
      </w:r>
      <w:r w:rsidRPr="00EF4E35">
        <w:rPr>
          <w:szCs w:val="24"/>
        </w:rPr>
        <w:t>Table B.2a</w:t>
      </w:r>
      <w:r w:rsidRPr="00B01B97">
        <w:rPr>
          <w:szCs w:val="24"/>
        </w:rPr>
        <w:t xml:space="preserve">. For a subgroup of half the size of the overall sample—such as people in single-parent SNAP households—the MDIs would be about 4.0 and 4.7 percentage points, respectively. The table shows MDIs for a sample size of 5,000 per site. For smaller sites </w:t>
      </w:r>
      <w:r>
        <w:rPr>
          <w:szCs w:val="24"/>
        </w:rPr>
        <w:t xml:space="preserve">with </w:t>
      </w:r>
      <w:r w:rsidRPr="00B01B97">
        <w:rPr>
          <w:szCs w:val="24"/>
        </w:rPr>
        <w:t>3,000</w:t>
      </w:r>
      <w:r>
        <w:rPr>
          <w:szCs w:val="24"/>
        </w:rPr>
        <w:t xml:space="preserve"> participants</w:t>
      </w:r>
      <w:r w:rsidRPr="00B01B97">
        <w:rPr>
          <w:szCs w:val="24"/>
        </w:rPr>
        <w:t xml:space="preserve">, the MDIs are about 30 percent higher in designs 1 and 2. For example, the MDI for employment would be </w:t>
      </w:r>
      <w:r>
        <w:rPr>
          <w:szCs w:val="24"/>
        </w:rPr>
        <w:t>3.7</w:t>
      </w:r>
      <w:r w:rsidRPr="00B01B97">
        <w:rPr>
          <w:szCs w:val="24"/>
        </w:rPr>
        <w:t xml:space="preserve"> instead of 2.9 percentage points. For the percentage of people who are food secure, </w:t>
      </w:r>
      <w:r>
        <w:rPr>
          <w:szCs w:val="24"/>
        </w:rPr>
        <w:t xml:space="preserve">with 5,000 participants per site </w:t>
      </w:r>
      <w:r w:rsidR="00794578">
        <w:rPr>
          <w:szCs w:val="24"/>
        </w:rPr>
        <w:t xml:space="preserve">the evaluation team </w:t>
      </w:r>
      <w:r w:rsidRPr="00B01B97">
        <w:rPr>
          <w:szCs w:val="24"/>
        </w:rPr>
        <w:t>will be able to detect a 6.4-percentage-point increase in the food security rate for the treatment group from the overall pilot combining T</w:t>
      </w:r>
      <w:r w:rsidRPr="00B01B97">
        <w:rPr>
          <w:szCs w:val="24"/>
          <w:vertAlign w:val="subscript"/>
        </w:rPr>
        <w:t>1</w:t>
      </w:r>
      <w:r w:rsidRPr="00B01B97">
        <w:rPr>
          <w:szCs w:val="24"/>
        </w:rPr>
        <w:t xml:space="preserve"> and T</w:t>
      </w:r>
      <w:r w:rsidRPr="00B01B97">
        <w:rPr>
          <w:szCs w:val="24"/>
          <w:vertAlign w:val="subscript"/>
        </w:rPr>
        <w:t xml:space="preserve">2 </w:t>
      </w:r>
      <w:r w:rsidRPr="00B01B97">
        <w:rPr>
          <w:szCs w:val="24"/>
        </w:rPr>
        <w:t>and comparing to C) and a 7.4-percentage-point increase in the food security for each intervention, T</w:t>
      </w:r>
      <w:r w:rsidRPr="00B01B97">
        <w:rPr>
          <w:szCs w:val="24"/>
          <w:vertAlign w:val="subscript"/>
        </w:rPr>
        <w:t>1</w:t>
      </w:r>
      <w:r w:rsidRPr="00B01B97">
        <w:rPr>
          <w:szCs w:val="24"/>
        </w:rPr>
        <w:t xml:space="preserve"> and T</w:t>
      </w:r>
      <w:r w:rsidRPr="00B01B97">
        <w:rPr>
          <w:szCs w:val="24"/>
          <w:vertAlign w:val="subscript"/>
        </w:rPr>
        <w:t>2</w:t>
      </w:r>
      <w:r w:rsidRPr="00B01B97">
        <w:rPr>
          <w:szCs w:val="24"/>
        </w:rPr>
        <w:t>, separately.</w:t>
      </w:r>
      <w:r>
        <w:rPr>
          <w:szCs w:val="24"/>
        </w:rPr>
        <w:t xml:space="preserve"> These are 8.3 and 9.5 percentage points, respectively, with 3,000 participants per site.</w:t>
      </w:r>
    </w:p>
    <w:p w14:paraId="16893622" w14:textId="77777777" w:rsidR="00B30DDF" w:rsidRPr="00B01B97" w:rsidRDefault="00B30DDF" w:rsidP="00B30DDF">
      <w:pPr>
        <w:rPr>
          <w:szCs w:val="24"/>
        </w:rPr>
      </w:pPr>
      <w:r w:rsidRPr="00B01B97">
        <w:rPr>
          <w:szCs w:val="24"/>
        </w:rPr>
        <w:t>The detectable impacts on primary outcomes will be policy-relevant—realistic impacts consistent with those found in studies of related interventions in the welfare-to-work evaluation literature (Decker 2011; Fraker et al 2002; Bloom and Michalopoulos 2001). Based on these studies, the current study should be able to detect impacts of 3</w:t>
      </w:r>
      <w:r w:rsidRPr="00B01B97" w:rsidDel="00A9463B">
        <w:rPr>
          <w:szCs w:val="24"/>
        </w:rPr>
        <w:t xml:space="preserve"> to </w:t>
      </w:r>
      <w:r w:rsidRPr="00B01B97">
        <w:rPr>
          <w:szCs w:val="24"/>
        </w:rPr>
        <w:t>6 percentage points</w:t>
      </w:r>
      <w:r w:rsidRPr="00B01B97" w:rsidDel="00A9463B">
        <w:rPr>
          <w:szCs w:val="24"/>
        </w:rPr>
        <w:t xml:space="preserve"> </w:t>
      </w:r>
      <w:r w:rsidRPr="00B01B97">
        <w:rPr>
          <w:szCs w:val="24"/>
        </w:rPr>
        <w:t>in the employment rate</w:t>
      </w:r>
      <w:r w:rsidRPr="00B01B97" w:rsidDel="00A9463B">
        <w:rPr>
          <w:szCs w:val="24"/>
        </w:rPr>
        <w:t xml:space="preserve">. </w:t>
      </w:r>
      <w:r w:rsidRPr="00B01B97">
        <w:rPr>
          <w:szCs w:val="24"/>
        </w:rPr>
        <w:t xml:space="preserve">With a sample of 5,000 per site, our expected MDIs are at the lower end of this range. </w:t>
      </w:r>
    </w:p>
    <w:p w14:paraId="28EE77C4" w14:textId="08BAA350" w:rsidR="00B30DDF" w:rsidRDefault="00B30DDF" w:rsidP="00B30DDF">
      <w:r w:rsidRPr="00B01B97">
        <w:rPr>
          <w:szCs w:val="24"/>
        </w:rPr>
        <w:t>Another important standard for benchmarking the MDI is whether the study has sufficient power to detect a cost-beneficial impact from society’s perspective. Assuming that $165 million is allocated evenly across 10 sites and 2,500 people receive services</w:t>
      </w:r>
      <w:r>
        <w:rPr>
          <w:szCs w:val="24"/>
        </w:rPr>
        <w:t xml:space="preserve"> on average</w:t>
      </w:r>
      <w:r w:rsidRPr="00B01B97">
        <w:rPr>
          <w:szCs w:val="24"/>
        </w:rPr>
        <w:t xml:space="preserve"> in each site, the average cost per participant would be $6,600. Assuming program benefits arise largely as a result of earnings increases, over a three-year evaluation period, quarterly earnings would have to increase by about $550 per quarter ($6,600 divided by 12 quarters) for the intervention to be cost-beneficial and less if the impacts are sustained for a longer period of time.  With a sample of 5,000, </w:t>
      </w:r>
      <w:r w:rsidR="00794578">
        <w:rPr>
          <w:szCs w:val="24"/>
        </w:rPr>
        <w:t xml:space="preserve">the evaluation team </w:t>
      </w:r>
      <w:r w:rsidRPr="00B01B97">
        <w:rPr>
          <w:szCs w:val="24"/>
        </w:rPr>
        <w:t>would be able detect this cost-beneficial impact.</w:t>
      </w:r>
    </w:p>
    <w:p w14:paraId="5F7563A2" w14:textId="77777777" w:rsidR="00030C57" w:rsidRDefault="00030C57">
      <w:pPr>
        <w:spacing w:after="240" w:line="240" w:lineRule="auto"/>
        <w:ind w:firstLine="0"/>
      </w:pPr>
      <w:r>
        <w:br w:type="page"/>
      </w:r>
    </w:p>
    <w:p w14:paraId="357C17FE" w14:textId="77777777" w:rsidR="00030C57" w:rsidRPr="00030C57" w:rsidRDefault="00030C57" w:rsidP="00030C57">
      <w:pPr>
        <w:pStyle w:val="MarkforExhibitTitle"/>
      </w:pPr>
      <w:bookmarkStart w:id="37" w:name="_Toc531085752"/>
      <w:r w:rsidRPr="00030C57">
        <w:t>Exhibit B.2.a. Minimum detectable impacts on primary and secondary outcomes for each site</w:t>
      </w:r>
      <w:bookmarkEnd w:id="37"/>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404"/>
        <w:gridCol w:w="1793"/>
        <w:gridCol w:w="1793"/>
        <w:gridCol w:w="1793"/>
        <w:gridCol w:w="1793"/>
      </w:tblGrid>
      <w:tr w:rsidR="000F602B" w:rsidRPr="00030C57" w14:paraId="39521A8D" w14:textId="77777777" w:rsidTr="000F602B">
        <w:trPr>
          <w:cnfStyle w:val="100000000000" w:firstRow="1" w:lastRow="0" w:firstColumn="0" w:lastColumn="0" w:oddVBand="0" w:evenVBand="0" w:oddHBand="0" w:evenHBand="0" w:firstRowFirstColumn="0" w:firstRowLastColumn="0" w:lastRowFirstColumn="0" w:lastRowLastColumn="0"/>
          <w:tblHeader/>
        </w:trPr>
        <w:tc>
          <w:tcPr>
            <w:tcW w:w="1256" w:type="pct"/>
            <w:shd w:val="clear" w:color="auto" w:fill="6C6F70"/>
            <w:vAlign w:val="bottom"/>
          </w:tcPr>
          <w:p w14:paraId="74B13274" w14:textId="77777777" w:rsidR="000F602B" w:rsidRPr="00030C57" w:rsidRDefault="000F602B" w:rsidP="00030C57">
            <w:pPr>
              <w:tabs>
                <w:tab w:val="left" w:pos="720"/>
                <w:tab w:val="left" w:pos="1080"/>
                <w:tab w:val="left" w:pos="1440"/>
                <w:tab w:val="left" w:pos="1800"/>
              </w:tabs>
              <w:spacing w:before="120" w:after="60" w:line="240" w:lineRule="auto"/>
              <w:ind w:firstLine="0"/>
              <w:rPr>
                <w:rFonts w:ascii="Arial Black" w:eastAsiaTheme="minorEastAsia" w:hAnsi="Arial Black"/>
                <w:sz w:val="16"/>
                <w:szCs w:val="16"/>
              </w:rPr>
            </w:pPr>
          </w:p>
        </w:tc>
        <w:tc>
          <w:tcPr>
            <w:tcW w:w="1872" w:type="pct"/>
            <w:gridSpan w:val="2"/>
            <w:shd w:val="clear" w:color="auto" w:fill="6C6F70"/>
          </w:tcPr>
          <w:p w14:paraId="4CE97B69" w14:textId="77777777" w:rsidR="000F602B" w:rsidRPr="00030C57" w:rsidRDefault="000F602B" w:rsidP="00470910">
            <w:pPr>
              <w:pStyle w:val="TableHeaderCenter"/>
              <w:rPr>
                <w:sz w:val="16"/>
                <w:szCs w:val="16"/>
              </w:rPr>
            </w:pPr>
            <w:r w:rsidRPr="00030C57">
              <w:t>Individual-based RA with Sample of 5,000 Participants</w:t>
            </w:r>
          </w:p>
        </w:tc>
        <w:tc>
          <w:tcPr>
            <w:tcW w:w="1872" w:type="pct"/>
            <w:gridSpan w:val="2"/>
            <w:shd w:val="clear" w:color="auto" w:fill="6C6F70"/>
          </w:tcPr>
          <w:p w14:paraId="34303AF2" w14:textId="77777777" w:rsidR="000F602B" w:rsidRPr="00030C57" w:rsidRDefault="000F602B" w:rsidP="00470910">
            <w:pPr>
              <w:pStyle w:val="TableHeaderCenter"/>
              <w:rPr>
                <w:sz w:val="16"/>
                <w:szCs w:val="16"/>
              </w:rPr>
            </w:pPr>
            <w:r w:rsidRPr="00030C57">
              <w:t>Individual-based RA with Sample of 3,000 Participants</w:t>
            </w:r>
          </w:p>
        </w:tc>
      </w:tr>
      <w:tr w:rsidR="000F602B" w:rsidRPr="00030C57" w14:paraId="1A706E8D" w14:textId="77777777" w:rsidTr="000F602B">
        <w:trPr>
          <w:cnfStyle w:val="100000000000" w:firstRow="1" w:lastRow="0" w:firstColumn="0" w:lastColumn="0" w:oddVBand="0" w:evenVBand="0" w:oddHBand="0" w:evenHBand="0" w:firstRowFirstColumn="0" w:firstRowLastColumn="0" w:lastRowFirstColumn="0" w:lastRowLastColumn="0"/>
          <w:tblHeader/>
        </w:trPr>
        <w:tc>
          <w:tcPr>
            <w:tcW w:w="1256" w:type="pct"/>
            <w:tcBorders>
              <w:bottom w:val="single" w:sz="4" w:space="0" w:color="auto"/>
            </w:tcBorders>
            <w:shd w:val="clear" w:color="auto" w:fill="D9D9D9"/>
          </w:tcPr>
          <w:p w14:paraId="1DD15563" w14:textId="77777777" w:rsidR="000F602B" w:rsidRPr="00470910" w:rsidRDefault="000F602B" w:rsidP="00470910">
            <w:pPr>
              <w:pStyle w:val="TableHeaderLeft"/>
              <w:rPr>
                <w:rFonts w:eastAsiaTheme="minorEastAsia"/>
                <w:color w:val="auto"/>
                <w:sz w:val="16"/>
                <w:szCs w:val="16"/>
              </w:rPr>
            </w:pPr>
            <w:r w:rsidRPr="00470910">
              <w:rPr>
                <w:color w:val="auto"/>
              </w:rPr>
              <w:t>Outcome</w:t>
            </w:r>
          </w:p>
        </w:tc>
        <w:tc>
          <w:tcPr>
            <w:tcW w:w="936" w:type="pct"/>
            <w:tcBorders>
              <w:bottom w:val="single" w:sz="4" w:space="0" w:color="auto"/>
            </w:tcBorders>
            <w:shd w:val="clear" w:color="auto" w:fill="D9D9D9"/>
            <w:vAlign w:val="bottom"/>
          </w:tcPr>
          <w:p w14:paraId="02C5795B" w14:textId="77777777" w:rsidR="000F602B" w:rsidRPr="00470910" w:rsidRDefault="000F602B" w:rsidP="00470910">
            <w:pPr>
              <w:pStyle w:val="TableHeaderCenter"/>
              <w:rPr>
                <w:color w:val="auto"/>
                <w:sz w:val="16"/>
                <w:szCs w:val="16"/>
              </w:rPr>
            </w:pPr>
            <w:r w:rsidRPr="00470910">
              <w:rPr>
                <w:color w:val="auto"/>
              </w:rPr>
              <w:t>T vs. C</w:t>
            </w:r>
          </w:p>
        </w:tc>
        <w:tc>
          <w:tcPr>
            <w:tcW w:w="936" w:type="pct"/>
            <w:tcBorders>
              <w:bottom w:val="single" w:sz="4" w:space="0" w:color="auto"/>
            </w:tcBorders>
            <w:shd w:val="clear" w:color="auto" w:fill="D9D9D9"/>
            <w:vAlign w:val="bottom"/>
          </w:tcPr>
          <w:p w14:paraId="6CCD48FC" w14:textId="77777777" w:rsidR="000F602B" w:rsidRPr="00470910" w:rsidRDefault="000F602B" w:rsidP="00470910">
            <w:pPr>
              <w:pStyle w:val="TableHeaderCenter"/>
              <w:rPr>
                <w:color w:val="auto"/>
                <w:sz w:val="16"/>
                <w:szCs w:val="16"/>
              </w:rPr>
            </w:pPr>
            <w:r w:rsidRPr="00470910">
              <w:rPr>
                <w:color w:val="auto"/>
              </w:rPr>
              <w:t>T</w:t>
            </w:r>
            <w:r w:rsidRPr="00470910">
              <w:rPr>
                <w:color w:val="auto"/>
                <w:vertAlign w:val="subscript"/>
              </w:rPr>
              <w:t>1</w:t>
            </w:r>
            <w:r w:rsidRPr="00470910">
              <w:rPr>
                <w:color w:val="auto"/>
              </w:rPr>
              <w:t xml:space="preserve"> vs. C</w:t>
            </w:r>
          </w:p>
        </w:tc>
        <w:tc>
          <w:tcPr>
            <w:tcW w:w="936" w:type="pct"/>
            <w:tcBorders>
              <w:bottom w:val="single" w:sz="4" w:space="0" w:color="auto"/>
            </w:tcBorders>
            <w:shd w:val="clear" w:color="auto" w:fill="D9D9D9"/>
            <w:vAlign w:val="bottom"/>
          </w:tcPr>
          <w:p w14:paraId="1A75DCD8" w14:textId="77777777" w:rsidR="000F602B" w:rsidRPr="00470910" w:rsidRDefault="000F602B" w:rsidP="00470910">
            <w:pPr>
              <w:pStyle w:val="TableHeaderCenter"/>
              <w:rPr>
                <w:color w:val="auto"/>
                <w:sz w:val="16"/>
                <w:szCs w:val="16"/>
              </w:rPr>
            </w:pPr>
            <w:r w:rsidRPr="00470910">
              <w:rPr>
                <w:color w:val="auto"/>
              </w:rPr>
              <w:t>T vs. C</w:t>
            </w:r>
          </w:p>
        </w:tc>
        <w:tc>
          <w:tcPr>
            <w:tcW w:w="936" w:type="pct"/>
            <w:tcBorders>
              <w:bottom w:val="single" w:sz="4" w:space="0" w:color="auto"/>
            </w:tcBorders>
            <w:shd w:val="clear" w:color="auto" w:fill="D9D9D9"/>
            <w:vAlign w:val="bottom"/>
          </w:tcPr>
          <w:p w14:paraId="36A6073D" w14:textId="77777777" w:rsidR="000F602B" w:rsidRPr="00470910" w:rsidRDefault="000F602B" w:rsidP="00470910">
            <w:pPr>
              <w:pStyle w:val="TableHeaderCenter"/>
              <w:rPr>
                <w:color w:val="auto"/>
                <w:sz w:val="16"/>
                <w:szCs w:val="16"/>
              </w:rPr>
            </w:pPr>
            <w:r w:rsidRPr="00470910">
              <w:rPr>
                <w:color w:val="auto"/>
              </w:rPr>
              <w:t>T</w:t>
            </w:r>
            <w:r w:rsidRPr="00470910">
              <w:rPr>
                <w:color w:val="auto"/>
                <w:vertAlign w:val="subscript"/>
              </w:rPr>
              <w:t>1</w:t>
            </w:r>
            <w:r w:rsidRPr="00470910">
              <w:rPr>
                <w:color w:val="auto"/>
              </w:rPr>
              <w:t xml:space="preserve"> vs. C</w:t>
            </w:r>
          </w:p>
        </w:tc>
      </w:tr>
      <w:tr w:rsidR="00030C57" w:rsidRPr="00030C57" w14:paraId="553D1A78" w14:textId="77777777" w:rsidTr="000F602B">
        <w:tc>
          <w:tcPr>
            <w:tcW w:w="5000" w:type="pct"/>
            <w:gridSpan w:val="5"/>
            <w:tcBorders>
              <w:top w:val="single" w:sz="4" w:space="0" w:color="auto"/>
              <w:bottom w:val="single" w:sz="4" w:space="0" w:color="auto"/>
            </w:tcBorders>
          </w:tcPr>
          <w:p w14:paraId="664DE452" w14:textId="77777777" w:rsidR="00030C57" w:rsidRPr="00030C57" w:rsidRDefault="00030C57" w:rsidP="00030C57">
            <w:pPr>
              <w:tabs>
                <w:tab w:val="decimal" w:pos="523"/>
              </w:tabs>
              <w:spacing w:before="40" w:after="40" w:line="240" w:lineRule="auto"/>
              <w:ind w:firstLine="0"/>
              <w:rPr>
                <w:rFonts w:ascii="Arial" w:eastAsiaTheme="minorEastAsia" w:hAnsi="Arial"/>
                <w:sz w:val="18"/>
              </w:rPr>
            </w:pPr>
            <w:r w:rsidRPr="00030C57">
              <w:rPr>
                <w:rFonts w:ascii="Arial" w:hAnsi="Arial"/>
                <w:sz w:val="18"/>
              </w:rPr>
              <w:t>Primary Outcomes</w:t>
            </w:r>
          </w:p>
        </w:tc>
      </w:tr>
      <w:tr w:rsidR="000F602B" w:rsidRPr="00030C57" w14:paraId="1CA09610" w14:textId="77777777" w:rsidTr="000F602B">
        <w:tc>
          <w:tcPr>
            <w:tcW w:w="1256" w:type="pct"/>
            <w:tcBorders>
              <w:top w:val="single" w:sz="4" w:space="0" w:color="auto"/>
            </w:tcBorders>
          </w:tcPr>
          <w:p w14:paraId="242D5107" w14:textId="77777777"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Employment (%)</w:t>
            </w:r>
          </w:p>
          <w:p w14:paraId="798A2E70"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eastAsiaTheme="minorEastAsia" w:hAnsi="Arial"/>
                <w:sz w:val="18"/>
              </w:rPr>
              <w:t>Full Sample</w:t>
            </w:r>
          </w:p>
        </w:tc>
        <w:tc>
          <w:tcPr>
            <w:tcW w:w="936" w:type="pct"/>
            <w:tcBorders>
              <w:top w:val="single" w:sz="4" w:space="0" w:color="auto"/>
            </w:tcBorders>
            <w:vAlign w:val="bottom"/>
          </w:tcPr>
          <w:p w14:paraId="45248808"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2.9</w:t>
            </w:r>
          </w:p>
        </w:tc>
        <w:tc>
          <w:tcPr>
            <w:tcW w:w="936" w:type="pct"/>
            <w:tcBorders>
              <w:top w:val="single" w:sz="4" w:space="0" w:color="auto"/>
            </w:tcBorders>
            <w:vAlign w:val="bottom"/>
          </w:tcPr>
          <w:p w14:paraId="258372CD"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3.3</w:t>
            </w:r>
          </w:p>
        </w:tc>
        <w:tc>
          <w:tcPr>
            <w:tcW w:w="936" w:type="pct"/>
            <w:tcBorders>
              <w:top w:val="single" w:sz="4" w:space="0" w:color="auto"/>
            </w:tcBorders>
            <w:vAlign w:val="bottom"/>
          </w:tcPr>
          <w:p w14:paraId="3ED7D86C"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3.7</w:t>
            </w:r>
          </w:p>
        </w:tc>
        <w:tc>
          <w:tcPr>
            <w:tcW w:w="936" w:type="pct"/>
            <w:tcBorders>
              <w:top w:val="single" w:sz="4" w:space="0" w:color="auto"/>
            </w:tcBorders>
            <w:vAlign w:val="bottom"/>
          </w:tcPr>
          <w:p w14:paraId="799678AE"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4.3</w:t>
            </w:r>
          </w:p>
        </w:tc>
      </w:tr>
      <w:tr w:rsidR="000F602B" w:rsidRPr="00030C57" w14:paraId="138E7F65" w14:textId="77777777" w:rsidTr="000F602B">
        <w:tc>
          <w:tcPr>
            <w:tcW w:w="1256" w:type="pct"/>
          </w:tcPr>
          <w:p w14:paraId="57A99830"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eastAsiaTheme="minorEastAsia" w:hAnsi="Arial"/>
                <w:sz w:val="18"/>
              </w:rPr>
              <w:t>50% Subgroup</w:t>
            </w:r>
          </w:p>
        </w:tc>
        <w:tc>
          <w:tcPr>
            <w:tcW w:w="936" w:type="pct"/>
            <w:vAlign w:val="bottom"/>
          </w:tcPr>
          <w:p w14:paraId="20404201"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4.0</w:t>
            </w:r>
          </w:p>
        </w:tc>
        <w:tc>
          <w:tcPr>
            <w:tcW w:w="936" w:type="pct"/>
            <w:vAlign w:val="bottom"/>
          </w:tcPr>
          <w:p w14:paraId="5C30EEA9"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4.7</w:t>
            </w:r>
          </w:p>
        </w:tc>
        <w:tc>
          <w:tcPr>
            <w:tcW w:w="936" w:type="pct"/>
            <w:vAlign w:val="bottom"/>
          </w:tcPr>
          <w:p w14:paraId="5C40C27A"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5.2</w:t>
            </w:r>
          </w:p>
        </w:tc>
        <w:tc>
          <w:tcPr>
            <w:tcW w:w="936" w:type="pct"/>
            <w:vAlign w:val="bottom"/>
          </w:tcPr>
          <w:p w14:paraId="3B71B08A"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6.0</w:t>
            </w:r>
          </w:p>
        </w:tc>
      </w:tr>
      <w:tr w:rsidR="000F602B" w:rsidRPr="00030C57" w14:paraId="5035BB38" w14:textId="77777777" w:rsidTr="0097793B">
        <w:tc>
          <w:tcPr>
            <w:tcW w:w="1256" w:type="pct"/>
          </w:tcPr>
          <w:p w14:paraId="5CB9F053" w14:textId="77777777"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Quarterly earnings</w:t>
            </w:r>
            <w:r w:rsidR="00B92E70">
              <w:rPr>
                <w:rFonts w:ascii="Arial" w:hAnsi="Arial"/>
                <w:sz w:val="18"/>
              </w:rPr>
              <w:t xml:space="preserve"> ($)</w:t>
            </w:r>
          </w:p>
          <w:p w14:paraId="6445878D"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hAnsi="Arial"/>
                <w:sz w:val="18"/>
              </w:rPr>
            </w:pPr>
            <w:r w:rsidRPr="00030C57">
              <w:rPr>
                <w:rFonts w:ascii="Arial" w:hAnsi="Arial"/>
                <w:sz w:val="18"/>
              </w:rPr>
              <w:t xml:space="preserve">Full </w:t>
            </w:r>
            <w:r w:rsidRPr="00030C57">
              <w:rPr>
                <w:rFonts w:ascii="Arial" w:eastAsiaTheme="minorEastAsia" w:hAnsi="Arial"/>
                <w:sz w:val="18"/>
              </w:rPr>
              <w:t>Sample</w:t>
            </w:r>
          </w:p>
        </w:tc>
        <w:tc>
          <w:tcPr>
            <w:tcW w:w="936" w:type="pct"/>
            <w:vAlign w:val="bottom"/>
          </w:tcPr>
          <w:p w14:paraId="5A6E1F89" w14:textId="77777777" w:rsidR="000F602B" w:rsidRPr="00030C57" w:rsidRDefault="000F602B" w:rsidP="0097793B">
            <w:pPr>
              <w:tabs>
                <w:tab w:val="decimal" w:pos="1050"/>
              </w:tabs>
              <w:spacing w:before="40" w:after="40" w:line="240" w:lineRule="auto"/>
              <w:ind w:firstLine="0"/>
              <w:rPr>
                <w:rFonts w:ascii="Arial" w:eastAsiaTheme="minorEastAsia" w:hAnsi="Arial"/>
                <w:sz w:val="18"/>
              </w:rPr>
            </w:pPr>
            <w:r w:rsidRPr="00030C57">
              <w:rPr>
                <w:rFonts w:ascii="Arial" w:eastAsiaTheme="minorEastAsia" w:hAnsi="Arial"/>
                <w:sz w:val="18"/>
              </w:rPr>
              <w:t>489</w:t>
            </w:r>
          </w:p>
        </w:tc>
        <w:tc>
          <w:tcPr>
            <w:tcW w:w="936" w:type="pct"/>
            <w:vAlign w:val="bottom"/>
          </w:tcPr>
          <w:p w14:paraId="4DBCB983" w14:textId="77777777" w:rsidR="000F602B" w:rsidRPr="00030C57" w:rsidRDefault="000F602B" w:rsidP="00340274">
            <w:pPr>
              <w:tabs>
                <w:tab w:val="decimal" w:pos="1008"/>
              </w:tabs>
              <w:spacing w:before="40" w:after="40" w:line="240" w:lineRule="auto"/>
              <w:ind w:firstLine="0"/>
              <w:rPr>
                <w:rFonts w:ascii="Arial" w:eastAsiaTheme="minorEastAsia" w:hAnsi="Arial"/>
                <w:sz w:val="18"/>
              </w:rPr>
            </w:pPr>
            <w:r w:rsidRPr="00030C57">
              <w:rPr>
                <w:rFonts w:ascii="Arial" w:eastAsiaTheme="minorEastAsia" w:hAnsi="Arial"/>
                <w:sz w:val="18"/>
              </w:rPr>
              <w:t>565</w:t>
            </w:r>
          </w:p>
        </w:tc>
        <w:tc>
          <w:tcPr>
            <w:tcW w:w="936" w:type="pct"/>
            <w:vAlign w:val="bottom"/>
          </w:tcPr>
          <w:p w14:paraId="5C25C243" w14:textId="77777777" w:rsidR="000F602B" w:rsidRPr="00030C57" w:rsidRDefault="000F602B" w:rsidP="00340274">
            <w:pPr>
              <w:tabs>
                <w:tab w:val="decimal" w:pos="1056"/>
              </w:tabs>
              <w:spacing w:before="40" w:after="40" w:line="240" w:lineRule="auto"/>
              <w:ind w:firstLine="0"/>
              <w:rPr>
                <w:rFonts w:ascii="Arial" w:eastAsiaTheme="minorEastAsia" w:hAnsi="Arial"/>
                <w:sz w:val="18"/>
              </w:rPr>
            </w:pPr>
            <w:r w:rsidRPr="00030C57">
              <w:rPr>
                <w:rFonts w:ascii="Arial" w:eastAsiaTheme="minorEastAsia" w:hAnsi="Arial"/>
                <w:sz w:val="18"/>
              </w:rPr>
              <w:t>632</w:t>
            </w:r>
          </w:p>
        </w:tc>
        <w:tc>
          <w:tcPr>
            <w:tcW w:w="936" w:type="pct"/>
            <w:vAlign w:val="bottom"/>
          </w:tcPr>
          <w:p w14:paraId="2F9A5EDB" w14:textId="77777777" w:rsidR="000F602B" w:rsidRPr="00030C57" w:rsidRDefault="000F602B" w:rsidP="00340274">
            <w:pPr>
              <w:tabs>
                <w:tab w:val="decimal" w:pos="1014"/>
              </w:tabs>
              <w:spacing w:before="40" w:after="40" w:line="240" w:lineRule="auto"/>
              <w:ind w:firstLine="0"/>
              <w:rPr>
                <w:rFonts w:ascii="Arial" w:eastAsiaTheme="minorEastAsia" w:hAnsi="Arial"/>
                <w:sz w:val="18"/>
              </w:rPr>
            </w:pPr>
            <w:r w:rsidRPr="00030C57">
              <w:rPr>
                <w:rFonts w:ascii="Arial" w:eastAsiaTheme="minorEastAsia" w:hAnsi="Arial"/>
                <w:sz w:val="18"/>
              </w:rPr>
              <w:t>730</w:t>
            </w:r>
          </w:p>
        </w:tc>
      </w:tr>
      <w:tr w:rsidR="000F602B" w:rsidRPr="00030C57" w14:paraId="7D3738FC" w14:textId="77777777" w:rsidTr="000F602B">
        <w:tc>
          <w:tcPr>
            <w:tcW w:w="1256" w:type="pct"/>
          </w:tcPr>
          <w:p w14:paraId="385C2E02"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hAnsi="Arial"/>
                <w:sz w:val="18"/>
              </w:rPr>
              <w:t xml:space="preserve">50% </w:t>
            </w:r>
            <w:r w:rsidRPr="00030C57">
              <w:rPr>
                <w:rFonts w:ascii="Arial" w:eastAsiaTheme="minorEastAsia" w:hAnsi="Arial"/>
                <w:sz w:val="18"/>
              </w:rPr>
              <w:t>Subgroup</w:t>
            </w:r>
          </w:p>
        </w:tc>
        <w:tc>
          <w:tcPr>
            <w:tcW w:w="936" w:type="pct"/>
            <w:vAlign w:val="bottom"/>
          </w:tcPr>
          <w:p w14:paraId="435DD453" w14:textId="77777777" w:rsidR="000F602B" w:rsidRPr="00030C57" w:rsidRDefault="000F602B" w:rsidP="00340274">
            <w:pPr>
              <w:tabs>
                <w:tab w:val="decimal" w:pos="1050"/>
              </w:tabs>
              <w:spacing w:before="40" w:after="40" w:line="240" w:lineRule="auto"/>
              <w:ind w:firstLine="0"/>
              <w:rPr>
                <w:rFonts w:ascii="Arial" w:eastAsiaTheme="minorEastAsia" w:hAnsi="Arial"/>
                <w:sz w:val="18"/>
              </w:rPr>
            </w:pPr>
            <w:r w:rsidRPr="00030C57">
              <w:rPr>
                <w:rFonts w:ascii="Arial" w:eastAsiaTheme="minorEastAsia" w:hAnsi="Arial"/>
                <w:sz w:val="18"/>
              </w:rPr>
              <w:t>692</w:t>
            </w:r>
          </w:p>
        </w:tc>
        <w:tc>
          <w:tcPr>
            <w:tcW w:w="936" w:type="pct"/>
            <w:vAlign w:val="bottom"/>
          </w:tcPr>
          <w:p w14:paraId="01A74694" w14:textId="77777777" w:rsidR="000F602B" w:rsidRPr="00030C57" w:rsidRDefault="000F602B" w:rsidP="00340274">
            <w:pPr>
              <w:tabs>
                <w:tab w:val="decimal" w:pos="1008"/>
              </w:tabs>
              <w:spacing w:before="40" w:after="40" w:line="240" w:lineRule="auto"/>
              <w:ind w:firstLine="0"/>
              <w:rPr>
                <w:rFonts w:ascii="Arial" w:eastAsiaTheme="minorEastAsia" w:hAnsi="Arial"/>
                <w:sz w:val="18"/>
              </w:rPr>
            </w:pPr>
            <w:r w:rsidRPr="00030C57">
              <w:rPr>
                <w:rFonts w:ascii="Arial" w:eastAsiaTheme="minorEastAsia" w:hAnsi="Arial"/>
                <w:sz w:val="18"/>
              </w:rPr>
              <w:t>799</w:t>
            </w:r>
          </w:p>
        </w:tc>
        <w:tc>
          <w:tcPr>
            <w:tcW w:w="936" w:type="pct"/>
            <w:vAlign w:val="bottom"/>
          </w:tcPr>
          <w:p w14:paraId="094B47C1" w14:textId="77777777" w:rsidR="000F602B" w:rsidRPr="00030C57" w:rsidRDefault="000F602B" w:rsidP="00340274">
            <w:pPr>
              <w:tabs>
                <w:tab w:val="decimal" w:pos="1056"/>
              </w:tabs>
              <w:spacing w:before="40" w:after="40" w:line="240" w:lineRule="auto"/>
              <w:ind w:firstLine="0"/>
              <w:rPr>
                <w:rFonts w:ascii="Arial" w:eastAsiaTheme="minorEastAsia" w:hAnsi="Arial"/>
                <w:sz w:val="18"/>
              </w:rPr>
            </w:pPr>
            <w:r w:rsidRPr="00030C57">
              <w:rPr>
                <w:rFonts w:ascii="Arial" w:eastAsiaTheme="minorEastAsia" w:hAnsi="Arial"/>
                <w:sz w:val="18"/>
              </w:rPr>
              <w:t>894</w:t>
            </w:r>
          </w:p>
        </w:tc>
        <w:tc>
          <w:tcPr>
            <w:tcW w:w="936" w:type="pct"/>
            <w:vAlign w:val="bottom"/>
          </w:tcPr>
          <w:p w14:paraId="280C5C21" w14:textId="77777777" w:rsidR="000F602B" w:rsidRPr="00030C57" w:rsidRDefault="000F602B" w:rsidP="00340274">
            <w:pPr>
              <w:tabs>
                <w:tab w:val="decimal" w:pos="1014"/>
              </w:tabs>
              <w:spacing w:before="40" w:after="40" w:line="240" w:lineRule="auto"/>
              <w:ind w:firstLine="0"/>
              <w:rPr>
                <w:rFonts w:ascii="Arial" w:eastAsiaTheme="minorEastAsia" w:hAnsi="Arial"/>
                <w:sz w:val="18"/>
              </w:rPr>
            </w:pPr>
            <w:r w:rsidRPr="00030C57">
              <w:rPr>
                <w:rFonts w:ascii="Arial" w:eastAsiaTheme="minorEastAsia" w:hAnsi="Arial"/>
                <w:sz w:val="18"/>
              </w:rPr>
              <w:t>1033</w:t>
            </w:r>
          </w:p>
        </w:tc>
      </w:tr>
      <w:tr w:rsidR="000F602B" w:rsidRPr="00030C57" w14:paraId="775E074C" w14:textId="77777777" w:rsidTr="000F602B">
        <w:tc>
          <w:tcPr>
            <w:tcW w:w="1256" w:type="pct"/>
          </w:tcPr>
          <w:p w14:paraId="4A921FAF" w14:textId="77777777"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SNAP (%)</w:t>
            </w:r>
          </w:p>
          <w:p w14:paraId="62D64FAB"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eastAsiaTheme="minorEastAsia" w:hAnsi="Arial"/>
                <w:sz w:val="18"/>
              </w:rPr>
              <w:t>Full Sample</w:t>
            </w:r>
          </w:p>
        </w:tc>
        <w:tc>
          <w:tcPr>
            <w:tcW w:w="936" w:type="pct"/>
            <w:vAlign w:val="bottom"/>
          </w:tcPr>
          <w:p w14:paraId="52BB3DD1"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2.5</w:t>
            </w:r>
          </w:p>
        </w:tc>
        <w:tc>
          <w:tcPr>
            <w:tcW w:w="936" w:type="pct"/>
            <w:vAlign w:val="bottom"/>
          </w:tcPr>
          <w:p w14:paraId="743F6DF0"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2.9</w:t>
            </w:r>
          </w:p>
        </w:tc>
        <w:tc>
          <w:tcPr>
            <w:tcW w:w="936" w:type="pct"/>
            <w:vAlign w:val="bottom"/>
          </w:tcPr>
          <w:p w14:paraId="4069896C"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3.2</w:t>
            </w:r>
          </w:p>
        </w:tc>
        <w:tc>
          <w:tcPr>
            <w:tcW w:w="936" w:type="pct"/>
            <w:vAlign w:val="bottom"/>
          </w:tcPr>
          <w:p w14:paraId="2BC9CA2E"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3.7</w:t>
            </w:r>
          </w:p>
        </w:tc>
      </w:tr>
      <w:tr w:rsidR="000F602B" w:rsidRPr="00030C57" w14:paraId="059A636E" w14:textId="77777777" w:rsidTr="000F602B">
        <w:tc>
          <w:tcPr>
            <w:tcW w:w="1256" w:type="pct"/>
            <w:tcBorders>
              <w:bottom w:val="single" w:sz="4" w:space="0" w:color="auto"/>
            </w:tcBorders>
          </w:tcPr>
          <w:p w14:paraId="6D4ADE7A" w14:textId="77777777" w:rsidR="000F602B" w:rsidRPr="00030C57" w:rsidRDefault="000F602B" w:rsidP="00030C57">
            <w:pPr>
              <w:tabs>
                <w:tab w:val="left" w:pos="720"/>
                <w:tab w:val="left" w:pos="1080"/>
                <w:tab w:val="left" w:pos="1440"/>
                <w:tab w:val="left" w:pos="1800"/>
              </w:tabs>
              <w:spacing w:before="40" w:after="40" w:line="240" w:lineRule="auto"/>
              <w:ind w:left="288" w:hanging="144"/>
              <w:rPr>
                <w:rFonts w:ascii="Arial" w:eastAsiaTheme="minorEastAsia" w:hAnsi="Arial"/>
                <w:sz w:val="18"/>
              </w:rPr>
            </w:pPr>
            <w:r w:rsidRPr="00030C57">
              <w:rPr>
                <w:rFonts w:ascii="Arial" w:eastAsiaTheme="minorEastAsia" w:hAnsi="Arial"/>
                <w:sz w:val="18"/>
              </w:rPr>
              <w:t>50% Subgroup</w:t>
            </w:r>
          </w:p>
        </w:tc>
        <w:tc>
          <w:tcPr>
            <w:tcW w:w="936" w:type="pct"/>
            <w:tcBorders>
              <w:bottom w:val="single" w:sz="4" w:space="0" w:color="auto"/>
            </w:tcBorders>
            <w:vAlign w:val="bottom"/>
          </w:tcPr>
          <w:p w14:paraId="6C45CF80"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3.5</w:t>
            </w:r>
          </w:p>
        </w:tc>
        <w:tc>
          <w:tcPr>
            <w:tcW w:w="936" w:type="pct"/>
            <w:tcBorders>
              <w:bottom w:val="single" w:sz="4" w:space="0" w:color="auto"/>
            </w:tcBorders>
            <w:vAlign w:val="bottom"/>
          </w:tcPr>
          <w:p w14:paraId="4D3651F8"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4.1</w:t>
            </w:r>
          </w:p>
        </w:tc>
        <w:tc>
          <w:tcPr>
            <w:tcW w:w="936" w:type="pct"/>
            <w:tcBorders>
              <w:bottom w:val="single" w:sz="4" w:space="0" w:color="auto"/>
            </w:tcBorders>
            <w:vAlign w:val="bottom"/>
          </w:tcPr>
          <w:p w14:paraId="37F3634C"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4.6</w:t>
            </w:r>
          </w:p>
        </w:tc>
        <w:tc>
          <w:tcPr>
            <w:tcW w:w="936" w:type="pct"/>
            <w:tcBorders>
              <w:bottom w:val="single" w:sz="4" w:space="0" w:color="auto"/>
            </w:tcBorders>
            <w:vAlign w:val="bottom"/>
          </w:tcPr>
          <w:p w14:paraId="0F352A09"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5.3</w:t>
            </w:r>
          </w:p>
        </w:tc>
      </w:tr>
      <w:tr w:rsidR="00030C57" w:rsidRPr="00030C57" w14:paraId="078A8DAA" w14:textId="77777777" w:rsidTr="000F602B">
        <w:tc>
          <w:tcPr>
            <w:tcW w:w="5000" w:type="pct"/>
            <w:gridSpan w:val="5"/>
            <w:tcBorders>
              <w:top w:val="single" w:sz="4" w:space="0" w:color="auto"/>
              <w:bottom w:val="single" w:sz="4" w:space="0" w:color="auto"/>
            </w:tcBorders>
          </w:tcPr>
          <w:p w14:paraId="0EE5235E" w14:textId="77777777" w:rsidR="00030C57" w:rsidRPr="00030C57" w:rsidRDefault="00030C57" w:rsidP="00030C57">
            <w:pPr>
              <w:tabs>
                <w:tab w:val="decimal" w:pos="523"/>
              </w:tabs>
              <w:spacing w:before="40" w:after="40" w:line="240" w:lineRule="auto"/>
              <w:ind w:firstLine="0"/>
              <w:rPr>
                <w:rFonts w:ascii="Arial" w:eastAsiaTheme="minorEastAsia" w:hAnsi="Arial"/>
                <w:sz w:val="18"/>
              </w:rPr>
            </w:pPr>
            <w:r w:rsidRPr="00030C57">
              <w:rPr>
                <w:rFonts w:ascii="Arial" w:eastAsiaTheme="minorEastAsia" w:hAnsi="Arial"/>
                <w:sz w:val="18"/>
              </w:rPr>
              <w:t>Secondary Outcomes</w:t>
            </w:r>
          </w:p>
        </w:tc>
      </w:tr>
      <w:tr w:rsidR="000F602B" w:rsidRPr="00030C57" w14:paraId="18EC0D0B" w14:textId="77777777" w:rsidTr="000F602B">
        <w:tc>
          <w:tcPr>
            <w:tcW w:w="1256" w:type="pct"/>
            <w:tcBorders>
              <w:top w:val="single" w:sz="4" w:space="0" w:color="auto"/>
            </w:tcBorders>
          </w:tcPr>
          <w:p w14:paraId="6969754B" w14:textId="77777777"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Food security (%) at 12-month follow-up</w:t>
            </w:r>
          </w:p>
          <w:p w14:paraId="0DC5A37A"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hAnsi="Arial"/>
                <w:sz w:val="18"/>
              </w:rPr>
              <w:t xml:space="preserve">Total </w:t>
            </w:r>
            <w:r w:rsidRPr="00030C57">
              <w:rPr>
                <w:rFonts w:ascii="Arial" w:eastAsiaTheme="minorEastAsia" w:hAnsi="Arial"/>
                <w:sz w:val="18"/>
              </w:rPr>
              <w:t>number</w:t>
            </w:r>
            <w:r w:rsidRPr="00030C57">
              <w:rPr>
                <w:rFonts w:ascii="Arial" w:hAnsi="Arial"/>
                <w:sz w:val="18"/>
              </w:rPr>
              <w:t xml:space="preserve"> of  completes</w:t>
            </w:r>
          </w:p>
        </w:tc>
        <w:tc>
          <w:tcPr>
            <w:tcW w:w="936" w:type="pct"/>
            <w:tcBorders>
              <w:top w:val="single" w:sz="4" w:space="0" w:color="auto"/>
            </w:tcBorders>
            <w:vAlign w:val="bottom"/>
          </w:tcPr>
          <w:p w14:paraId="721D4201"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6.4</w:t>
            </w:r>
          </w:p>
        </w:tc>
        <w:tc>
          <w:tcPr>
            <w:tcW w:w="936" w:type="pct"/>
            <w:tcBorders>
              <w:top w:val="single" w:sz="4" w:space="0" w:color="auto"/>
            </w:tcBorders>
            <w:vAlign w:val="bottom"/>
          </w:tcPr>
          <w:p w14:paraId="677A1387"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7.4</w:t>
            </w:r>
          </w:p>
        </w:tc>
        <w:tc>
          <w:tcPr>
            <w:tcW w:w="936" w:type="pct"/>
            <w:tcBorders>
              <w:top w:val="single" w:sz="4" w:space="0" w:color="auto"/>
            </w:tcBorders>
            <w:vAlign w:val="bottom"/>
          </w:tcPr>
          <w:p w14:paraId="514C02ED"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8.3</w:t>
            </w:r>
          </w:p>
        </w:tc>
        <w:tc>
          <w:tcPr>
            <w:tcW w:w="936" w:type="pct"/>
            <w:tcBorders>
              <w:top w:val="single" w:sz="4" w:space="0" w:color="auto"/>
            </w:tcBorders>
            <w:vAlign w:val="bottom"/>
          </w:tcPr>
          <w:p w14:paraId="6C19129D"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9.5</w:t>
            </w:r>
          </w:p>
        </w:tc>
      </w:tr>
      <w:tr w:rsidR="000F602B" w:rsidRPr="00030C57" w14:paraId="556F8176" w14:textId="77777777" w:rsidTr="000F602B">
        <w:tc>
          <w:tcPr>
            <w:tcW w:w="1256" w:type="pct"/>
          </w:tcPr>
          <w:p w14:paraId="32BD2A26" w14:textId="77777777" w:rsidR="000F602B" w:rsidRPr="00030C57" w:rsidRDefault="000F602B" w:rsidP="00030C57">
            <w:pPr>
              <w:tabs>
                <w:tab w:val="left" w:pos="720"/>
                <w:tab w:val="left" w:pos="1080"/>
                <w:tab w:val="left" w:pos="1440"/>
                <w:tab w:val="left" w:pos="1800"/>
              </w:tabs>
              <w:spacing w:before="40" w:after="40" w:line="240" w:lineRule="auto"/>
              <w:ind w:left="288" w:hanging="144"/>
              <w:rPr>
                <w:rFonts w:ascii="Arial" w:eastAsiaTheme="minorEastAsia" w:hAnsi="Arial"/>
                <w:sz w:val="18"/>
              </w:rPr>
            </w:pPr>
            <w:r w:rsidRPr="00030C57">
              <w:rPr>
                <w:rFonts w:ascii="Arial" w:hAnsi="Arial"/>
                <w:sz w:val="18"/>
              </w:rPr>
              <w:t>50% Subgroup</w:t>
            </w:r>
          </w:p>
        </w:tc>
        <w:tc>
          <w:tcPr>
            <w:tcW w:w="936" w:type="pct"/>
            <w:vAlign w:val="bottom"/>
          </w:tcPr>
          <w:p w14:paraId="1E06D4C4"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10.2</w:t>
            </w:r>
          </w:p>
        </w:tc>
        <w:tc>
          <w:tcPr>
            <w:tcW w:w="936" w:type="pct"/>
            <w:vAlign w:val="bottom"/>
          </w:tcPr>
          <w:p w14:paraId="071D1855"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11.7</w:t>
            </w:r>
          </w:p>
        </w:tc>
        <w:tc>
          <w:tcPr>
            <w:tcW w:w="936" w:type="pct"/>
            <w:vAlign w:val="bottom"/>
          </w:tcPr>
          <w:p w14:paraId="023B200B"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13.1</w:t>
            </w:r>
          </w:p>
        </w:tc>
        <w:tc>
          <w:tcPr>
            <w:tcW w:w="936" w:type="pct"/>
            <w:vAlign w:val="bottom"/>
          </w:tcPr>
          <w:p w14:paraId="3148EB16"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15.1</w:t>
            </w:r>
          </w:p>
        </w:tc>
      </w:tr>
      <w:tr w:rsidR="000F602B" w:rsidRPr="00030C57" w14:paraId="35B4D7D5" w14:textId="77777777" w:rsidTr="000F602B">
        <w:tc>
          <w:tcPr>
            <w:tcW w:w="1256" w:type="pct"/>
          </w:tcPr>
          <w:p w14:paraId="31C66DE0" w14:textId="77777777"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Food security (%) at 36-month follow-up</w:t>
            </w:r>
          </w:p>
          <w:p w14:paraId="2471F455" w14:textId="77777777"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hAnsi="Arial"/>
                <w:sz w:val="18"/>
              </w:rPr>
              <w:t>Total number of completes</w:t>
            </w:r>
          </w:p>
        </w:tc>
        <w:tc>
          <w:tcPr>
            <w:tcW w:w="936" w:type="pct"/>
            <w:vAlign w:val="bottom"/>
          </w:tcPr>
          <w:p w14:paraId="42B71F12"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8.3</w:t>
            </w:r>
          </w:p>
        </w:tc>
        <w:tc>
          <w:tcPr>
            <w:tcW w:w="936" w:type="pct"/>
            <w:vAlign w:val="bottom"/>
          </w:tcPr>
          <w:p w14:paraId="062FC63E"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9.5</w:t>
            </w:r>
          </w:p>
        </w:tc>
        <w:tc>
          <w:tcPr>
            <w:tcW w:w="936" w:type="pct"/>
            <w:vAlign w:val="bottom"/>
          </w:tcPr>
          <w:p w14:paraId="71D4DDAF"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10.7</w:t>
            </w:r>
          </w:p>
        </w:tc>
        <w:tc>
          <w:tcPr>
            <w:tcW w:w="936" w:type="pct"/>
            <w:vAlign w:val="bottom"/>
          </w:tcPr>
          <w:p w14:paraId="0E498660"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12.4</w:t>
            </w:r>
          </w:p>
        </w:tc>
      </w:tr>
      <w:tr w:rsidR="000F602B" w:rsidRPr="00030C57" w14:paraId="0924CD66" w14:textId="77777777" w:rsidTr="000F602B">
        <w:tc>
          <w:tcPr>
            <w:tcW w:w="1256" w:type="pct"/>
            <w:tcBorders>
              <w:bottom w:val="single" w:sz="8" w:space="0" w:color="auto"/>
            </w:tcBorders>
          </w:tcPr>
          <w:p w14:paraId="75C8E0BD" w14:textId="77777777" w:rsidR="000F602B" w:rsidRPr="00030C57" w:rsidRDefault="000F602B" w:rsidP="00030C57">
            <w:pPr>
              <w:tabs>
                <w:tab w:val="left" w:pos="720"/>
                <w:tab w:val="left" w:pos="1080"/>
                <w:tab w:val="left" w:pos="1440"/>
                <w:tab w:val="left" w:pos="1800"/>
              </w:tabs>
              <w:spacing w:before="40" w:after="40" w:line="240" w:lineRule="auto"/>
              <w:ind w:left="288" w:hanging="144"/>
              <w:rPr>
                <w:rFonts w:ascii="Arial" w:eastAsiaTheme="minorEastAsia" w:hAnsi="Arial"/>
                <w:sz w:val="18"/>
              </w:rPr>
            </w:pPr>
            <w:r w:rsidRPr="00030C57">
              <w:rPr>
                <w:rFonts w:ascii="Arial" w:hAnsi="Arial"/>
                <w:sz w:val="18"/>
              </w:rPr>
              <w:t>50% Subgroup</w:t>
            </w:r>
          </w:p>
        </w:tc>
        <w:tc>
          <w:tcPr>
            <w:tcW w:w="936" w:type="pct"/>
            <w:tcBorders>
              <w:bottom w:val="single" w:sz="8" w:space="0" w:color="auto"/>
            </w:tcBorders>
            <w:vAlign w:val="bottom"/>
          </w:tcPr>
          <w:p w14:paraId="3662B51C"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13.1</w:t>
            </w:r>
          </w:p>
        </w:tc>
        <w:tc>
          <w:tcPr>
            <w:tcW w:w="936" w:type="pct"/>
            <w:tcBorders>
              <w:bottom w:val="single" w:sz="8" w:space="0" w:color="auto"/>
            </w:tcBorders>
            <w:vAlign w:val="bottom"/>
          </w:tcPr>
          <w:p w14:paraId="03CAD628" w14:textId="77777777"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15.1</w:t>
            </w:r>
          </w:p>
        </w:tc>
        <w:tc>
          <w:tcPr>
            <w:tcW w:w="936" w:type="pct"/>
            <w:tcBorders>
              <w:bottom w:val="single" w:sz="8" w:space="0" w:color="auto"/>
            </w:tcBorders>
            <w:vAlign w:val="bottom"/>
          </w:tcPr>
          <w:p w14:paraId="17866DFD"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17.0</w:t>
            </w:r>
          </w:p>
        </w:tc>
        <w:tc>
          <w:tcPr>
            <w:tcW w:w="936" w:type="pct"/>
            <w:tcBorders>
              <w:bottom w:val="single" w:sz="8" w:space="0" w:color="auto"/>
            </w:tcBorders>
            <w:vAlign w:val="bottom"/>
          </w:tcPr>
          <w:p w14:paraId="1B3631E5" w14:textId="77777777"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19.6</w:t>
            </w:r>
          </w:p>
        </w:tc>
      </w:tr>
    </w:tbl>
    <w:p w14:paraId="63E8862A" w14:textId="77777777" w:rsidR="00B30DDF" w:rsidRDefault="00470910" w:rsidP="000E031D">
      <w:pPr>
        <w:pStyle w:val="TableSourceCaption"/>
      </w:pPr>
      <w:r w:rsidRPr="00470910">
        <w:t>Notes:</w:t>
      </w:r>
      <w:r w:rsidRPr="00470910">
        <w:tab/>
        <w:t>Samples of individuals are allocated equally across T1, T2, and C. MDIs for comparison of T2 vs. C are the same as for T1 vs. C and are not shown in the table. Variance estimates for primary outcome measures were estimated using SIPP data from 2010 on SNAP participants ages 18 to 49 that were either employed or unemployed in the past quarter. The power analysis assumes an employment rate of 75.8%, a standard deviation of quarterly earnings of $7,333, and percentage receiving SNAP of 83.1%. The power analysis assumes that covariates in the regression model will explain 20% of the variation in the outcome measures</w:t>
      </w:r>
      <w:r w:rsidR="000E031D">
        <w:t xml:space="preserve">. </w:t>
      </w:r>
      <w:r w:rsidRPr="00470910">
        <w:t>Variance estimates for food security was estimated using data from the SNAP-Food Security study (Mabli et al. 2013) and is based on a 34.2% food security rate. The power analysis assumes there will be a design effect due to weighting from the two-phase design of about 1.5. The total number of completes at the 12-month follow-up and 36-month follow-up are 1,840 and 1,110 for sites with 5,000 participants, respectively. The total number of completes at the 12-month follow-up and 36-month follow-up are 1,104 and 666 for sites with 3,000 participants, respectively.</w:t>
      </w:r>
    </w:p>
    <w:p w14:paraId="6A6FD75E" w14:textId="77777777" w:rsidR="00B30DDF" w:rsidRDefault="00B30DDF" w:rsidP="00CB1BB7"/>
    <w:p w14:paraId="5FA61061" w14:textId="5DD8794A" w:rsidR="00DF23E4" w:rsidRDefault="00DF23E4" w:rsidP="006F6D18">
      <w:pPr>
        <w:pStyle w:val="NormalDS"/>
        <w:tabs>
          <w:tab w:val="clear" w:pos="720"/>
          <w:tab w:val="clear" w:pos="1080"/>
          <w:tab w:val="clear" w:pos="1440"/>
          <w:tab w:val="clear" w:pos="1800"/>
        </w:tabs>
        <w:rPr>
          <w:szCs w:val="24"/>
        </w:rPr>
      </w:pPr>
      <w:r>
        <w:rPr>
          <w:szCs w:val="24"/>
        </w:rPr>
        <w:t xml:space="preserve">Finally, </w:t>
      </w:r>
      <w:r w:rsidR="00794578">
        <w:rPr>
          <w:szCs w:val="24"/>
        </w:rPr>
        <w:t xml:space="preserve">the evaluation team </w:t>
      </w:r>
      <w:r>
        <w:rPr>
          <w:szCs w:val="24"/>
        </w:rPr>
        <w:t>will analyze</w:t>
      </w:r>
      <w:r w:rsidRPr="00BE149A">
        <w:rPr>
          <w:szCs w:val="24"/>
        </w:rPr>
        <w:t xml:space="preserve"> enhancements to site interventions to learn about key program fe</w:t>
      </w:r>
      <w:r w:rsidRPr="00E648EC">
        <w:rPr>
          <w:szCs w:val="24"/>
        </w:rPr>
        <w:t xml:space="preserve">atures that have national implications. The analysis will examine the effects </w:t>
      </w:r>
      <w:r>
        <w:rPr>
          <w:szCs w:val="24"/>
        </w:rPr>
        <w:t xml:space="preserve">of </w:t>
      </w:r>
      <w:r w:rsidRPr="00E648EC">
        <w:rPr>
          <w:szCs w:val="24"/>
        </w:rPr>
        <w:t>key program features that have national implications</w:t>
      </w:r>
      <w:r>
        <w:rPr>
          <w:szCs w:val="24"/>
        </w:rPr>
        <w:t xml:space="preserve"> by pooling observations across sites with similar features, such as low- and high-intensity case management. </w:t>
      </w:r>
      <w:r w:rsidR="00EF05F9">
        <w:rPr>
          <w:szCs w:val="24"/>
        </w:rPr>
        <w:t>FNS</w:t>
      </w:r>
      <w:r>
        <w:rPr>
          <w:szCs w:val="24"/>
        </w:rPr>
        <w:t xml:space="preserve"> assumes that pooling will be possible for 5 of the 10 pilot projects</w:t>
      </w:r>
      <w:r w:rsidR="006265FA">
        <w:rPr>
          <w:szCs w:val="24"/>
        </w:rPr>
        <w:t>, resulting in smaller MDIs than presented in Table B.2a</w:t>
      </w:r>
      <w:r>
        <w:rPr>
          <w:szCs w:val="24"/>
        </w:rPr>
        <w:t xml:space="preserve">. </w:t>
      </w:r>
    </w:p>
    <w:p w14:paraId="00CF5446" w14:textId="77777777" w:rsidR="00B260F6" w:rsidRPr="00B260F6" w:rsidRDefault="00B260F6" w:rsidP="00AB3372">
      <w:pPr>
        <w:pStyle w:val="H4Number"/>
      </w:pPr>
      <w:bookmarkStart w:id="38" w:name="_Toc531085516"/>
      <w:r>
        <w:t>3</w:t>
      </w:r>
      <w:r w:rsidRPr="00B260F6">
        <w:t>.</w:t>
      </w:r>
      <w:r w:rsidR="00A67A0C">
        <w:tab/>
        <w:t>S</w:t>
      </w:r>
      <w:r>
        <w:t>tatistical methodology for sample section</w:t>
      </w:r>
      <w:bookmarkEnd w:id="38"/>
    </w:p>
    <w:p w14:paraId="2CE0BEA6" w14:textId="6C4AA026" w:rsidR="00B260F6" w:rsidRDefault="00794578" w:rsidP="00B260F6">
      <w:pPr>
        <w:pStyle w:val="NormalDS"/>
        <w:tabs>
          <w:tab w:val="clear" w:pos="720"/>
          <w:tab w:val="clear" w:pos="1080"/>
          <w:tab w:val="clear" w:pos="1440"/>
          <w:tab w:val="clear" w:pos="1800"/>
        </w:tabs>
        <w:rPr>
          <w:szCs w:val="24"/>
        </w:rPr>
      </w:pPr>
      <w:r>
        <w:rPr>
          <w:szCs w:val="24"/>
        </w:rPr>
        <w:t xml:space="preserve">The evaluation team </w:t>
      </w:r>
      <w:r w:rsidR="0040392F">
        <w:rPr>
          <w:szCs w:val="24"/>
        </w:rPr>
        <w:t xml:space="preserve">will select samples of individuals to collect 12-month and 36-month follow-up data. Within each pilot site </w:t>
      </w:r>
      <w:r>
        <w:rPr>
          <w:szCs w:val="24"/>
        </w:rPr>
        <w:t xml:space="preserve">the evaluation team </w:t>
      </w:r>
      <w:r w:rsidR="0040392F">
        <w:rPr>
          <w:szCs w:val="24"/>
        </w:rPr>
        <w:t xml:space="preserve">will randomly select individuals using </w:t>
      </w:r>
      <w:r w:rsidR="007D4252">
        <w:rPr>
          <w:szCs w:val="24"/>
        </w:rPr>
        <w:t>a stratified random design (equal probability selection within strata)</w:t>
      </w:r>
      <w:r w:rsidR="0040392F">
        <w:rPr>
          <w:szCs w:val="24"/>
        </w:rPr>
        <w:t>.</w:t>
      </w:r>
      <w:r w:rsidR="007D4252">
        <w:rPr>
          <w:szCs w:val="24"/>
        </w:rPr>
        <w:t xml:space="preserve"> Strata will be formed based on research group and, if applicable, pilot location. For example, </w:t>
      </w:r>
      <w:r w:rsidR="00D42924">
        <w:rPr>
          <w:szCs w:val="24"/>
        </w:rPr>
        <w:t xml:space="preserve">for the </w:t>
      </w:r>
      <w:r w:rsidR="00684829">
        <w:rPr>
          <w:szCs w:val="24"/>
        </w:rPr>
        <w:t xml:space="preserve">California </w:t>
      </w:r>
      <w:r w:rsidR="00D42924">
        <w:rPr>
          <w:szCs w:val="24"/>
        </w:rPr>
        <w:t>pilot</w:t>
      </w:r>
      <w:r w:rsidR="00684829">
        <w:rPr>
          <w:szCs w:val="24"/>
        </w:rPr>
        <w:t>,</w:t>
      </w:r>
      <w:r w:rsidR="00D42924">
        <w:rPr>
          <w:szCs w:val="24"/>
        </w:rPr>
        <w:t xml:space="preserve"> 27 strata will be formed based on research groups (T, C1 and C2) and also based on the nine locations in Fresno </w:t>
      </w:r>
      <w:r w:rsidR="00F83937">
        <w:rPr>
          <w:szCs w:val="24"/>
        </w:rPr>
        <w:t>County</w:t>
      </w:r>
      <w:r w:rsidR="00D42924">
        <w:rPr>
          <w:szCs w:val="24"/>
        </w:rPr>
        <w:t xml:space="preserve"> where the pilot will be implemented</w:t>
      </w:r>
      <w:r w:rsidR="00F9424D">
        <w:rPr>
          <w:szCs w:val="24"/>
        </w:rPr>
        <w:t xml:space="preserve">. For the </w:t>
      </w:r>
      <w:r w:rsidR="00684829">
        <w:rPr>
          <w:szCs w:val="24"/>
        </w:rPr>
        <w:t xml:space="preserve">Vermont </w:t>
      </w:r>
      <w:r w:rsidR="00F9424D">
        <w:rPr>
          <w:szCs w:val="24"/>
        </w:rPr>
        <w:t xml:space="preserve">pilot which </w:t>
      </w:r>
      <w:r w:rsidR="00684829">
        <w:rPr>
          <w:szCs w:val="24"/>
        </w:rPr>
        <w:t xml:space="preserve">will be </w:t>
      </w:r>
      <w:r w:rsidR="00F9424D">
        <w:rPr>
          <w:szCs w:val="24"/>
        </w:rPr>
        <w:t>implemented statewide, strata will be formed based only on research groups</w:t>
      </w:r>
      <w:r w:rsidR="00684829">
        <w:rPr>
          <w:szCs w:val="24"/>
        </w:rPr>
        <w:t xml:space="preserve"> (treatment and control)</w:t>
      </w:r>
      <w:r w:rsidR="00F9424D">
        <w:rPr>
          <w:szCs w:val="24"/>
        </w:rPr>
        <w:t xml:space="preserve">. </w:t>
      </w:r>
      <w:r w:rsidR="00684829">
        <w:rPr>
          <w:szCs w:val="24"/>
        </w:rPr>
        <w:t xml:space="preserve">For each grantee, </w:t>
      </w:r>
      <w:r>
        <w:rPr>
          <w:szCs w:val="24"/>
        </w:rPr>
        <w:t xml:space="preserve">the evaluation team </w:t>
      </w:r>
      <w:r w:rsidR="007D4252">
        <w:rPr>
          <w:szCs w:val="24"/>
        </w:rPr>
        <w:t xml:space="preserve">will select a random sample of study participants </w:t>
      </w:r>
      <w:r w:rsidR="00684829">
        <w:rPr>
          <w:szCs w:val="24"/>
        </w:rPr>
        <w:t>w</w:t>
      </w:r>
      <w:r w:rsidR="00684829" w:rsidRPr="00684829">
        <w:rPr>
          <w:szCs w:val="24"/>
        </w:rPr>
        <w:t xml:space="preserve">ithin each stratum </w:t>
      </w:r>
      <w:r w:rsidR="007D4252">
        <w:rPr>
          <w:szCs w:val="24"/>
        </w:rPr>
        <w:t>using equal probability sampling</w:t>
      </w:r>
      <w:r w:rsidR="00F9424D">
        <w:rPr>
          <w:szCs w:val="24"/>
        </w:rPr>
        <w:t xml:space="preserve"> and will</w:t>
      </w:r>
      <w:r w:rsidR="007D4252">
        <w:rPr>
          <w:szCs w:val="24"/>
        </w:rPr>
        <w:t xml:space="preserve"> </w:t>
      </w:r>
      <w:r w:rsidR="00F9424D">
        <w:rPr>
          <w:szCs w:val="24"/>
        </w:rPr>
        <w:t xml:space="preserve">implicitly stratify individuals within strata using </w:t>
      </w:r>
      <w:r w:rsidR="00684829">
        <w:rPr>
          <w:szCs w:val="24"/>
        </w:rPr>
        <w:t>specific</w:t>
      </w:r>
      <w:r w:rsidR="00F9424D">
        <w:rPr>
          <w:szCs w:val="24"/>
        </w:rPr>
        <w:t xml:space="preserve"> items from the registration document</w:t>
      </w:r>
      <w:r w:rsidR="00684829">
        <w:rPr>
          <w:szCs w:val="24"/>
        </w:rPr>
        <w:t xml:space="preserve"> such as gender and age</w:t>
      </w:r>
      <w:r w:rsidR="00D52EA3">
        <w:rPr>
          <w:szCs w:val="24"/>
        </w:rPr>
        <w:t>.</w:t>
      </w:r>
      <w:r w:rsidR="00F9424D">
        <w:rPr>
          <w:szCs w:val="24"/>
        </w:rPr>
        <w:t xml:space="preserve"> </w:t>
      </w:r>
      <w:r>
        <w:rPr>
          <w:szCs w:val="24"/>
        </w:rPr>
        <w:t xml:space="preserve">The evaluation team </w:t>
      </w:r>
      <w:r w:rsidR="00F9424D">
        <w:rPr>
          <w:szCs w:val="24"/>
        </w:rPr>
        <w:t>do</w:t>
      </w:r>
      <w:r w:rsidR="00F83937">
        <w:rPr>
          <w:szCs w:val="24"/>
        </w:rPr>
        <w:t>es</w:t>
      </w:r>
      <w:r w:rsidR="00F9424D">
        <w:rPr>
          <w:szCs w:val="24"/>
        </w:rPr>
        <w:t xml:space="preserve"> not </w:t>
      </w:r>
      <w:r w:rsidR="00F83937">
        <w:rPr>
          <w:szCs w:val="24"/>
        </w:rPr>
        <w:t>foresee</w:t>
      </w:r>
      <w:r w:rsidR="00F9424D">
        <w:rPr>
          <w:szCs w:val="24"/>
        </w:rPr>
        <w:t xml:space="preserve"> any unusual problems </w:t>
      </w:r>
      <w:r w:rsidR="00B94B2E">
        <w:rPr>
          <w:szCs w:val="24"/>
        </w:rPr>
        <w:t>requiring specialized sampling procedures beyond the stratified methods proposed above.</w:t>
      </w:r>
    </w:p>
    <w:p w14:paraId="44FEA924" w14:textId="34A837BC" w:rsidR="005B1E08" w:rsidRPr="00077A24" w:rsidRDefault="005B1E08" w:rsidP="00B260F6">
      <w:pPr>
        <w:pStyle w:val="NormalDS"/>
        <w:tabs>
          <w:tab w:val="clear" w:pos="720"/>
          <w:tab w:val="clear" w:pos="1080"/>
          <w:tab w:val="clear" w:pos="1440"/>
          <w:tab w:val="clear" w:pos="1800"/>
        </w:tabs>
        <w:rPr>
          <w:szCs w:val="24"/>
        </w:rPr>
      </w:pPr>
      <w:r w:rsidRPr="00077A24">
        <w:t xml:space="preserve">Although </w:t>
      </w:r>
      <w:r w:rsidR="00794578">
        <w:t xml:space="preserve">the evaluation team </w:t>
      </w:r>
      <w:r w:rsidRPr="00077A24">
        <w:t xml:space="preserve">would like to interview the random subsamples of research sample members annually to provide information on secondary outcomes such as food security, housing status, and well-being, </w:t>
      </w:r>
      <w:r w:rsidR="00794578">
        <w:t xml:space="preserve">the evaluation team </w:t>
      </w:r>
      <w:r w:rsidRPr="00077A24">
        <w:t>have opted for follow-up of two strategically selected points of time, at 12-months and 36-months after random assignment, to assess impacts on short-term and longer-term impacts, while at the same time minimizing burden on respondents.</w:t>
      </w:r>
    </w:p>
    <w:p w14:paraId="78ABB051" w14:textId="77777777" w:rsidR="00DF23E4" w:rsidRPr="00865AE2" w:rsidRDefault="00DF23E4" w:rsidP="006F6D18">
      <w:pPr>
        <w:pStyle w:val="H3Alpha"/>
        <w:spacing w:after="0" w:line="480" w:lineRule="auto"/>
      </w:pPr>
      <w:bookmarkStart w:id="39" w:name="_Toc531085517"/>
      <w:r>
        <w:t>B</w:t>
      </w:r>
      <w:r w:rsidR="00861117">
        <w:t>.</w:t>
      </w:r>
      <w:r>
        <w:t>3. Methods to maximize response rates and deal with nonresponse</w:t>
      </w:r>
      <w:bookmarkEnd w:id="39"/>
    </w:p>
    <w:p w14:paraId="6D97FAAD" w14:textId="77777777" w:rsidR="00DF23E4" w:rsidRPr="00DF23E4" w:rsidRDefault="00DF23E4" w:rsidP="006F6D18">
      <w:pPr>
        <w:pStyle w:val="NormalSS"/>
        <w:spacing w:after="0" w:line="480" w:lineRule="auto"/>
        <w:ind w:left="432" w:firstLine="0"/>
        <w:rPr>
          <w:b/>
        </w:rPr>
      </w:pPr>
      <w:r w:rsidRPr="00DF23E4">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A78A45F" w14:textId="346EFB38" w:rsidR="00EF05F9" w:rsidRDefault="00EF05F9" w:rsidP="006F6D18">
      <w:pPr>
        <w:pStyle w:val="NormalSS"/>
        <w:spacing w:after="0" w:line="480" w:lineRule="auto"/>
        <w:rPr>
          <w:szCs w:val="24"/>
        </w:rPr>
      </w:pPr>
      <w:r>
        <w:rPr>
          <w:szCs w:val="24"/>
        </w:rPr>
        <w:t>FNS anticipate</w:t>
      </w:r>
      <w:r w:rsidR="00F83937">
        <w:rPr>
          <w:szCs w:val="24"/>
        </w:rPr>
        <w:t>s</w:t>
      </w:r>
      <w:r>
        <w:rPr>
          <w:szCs w:val="24"/>
        </w:rPr>
        <w:t xml:space="preserve"> that all Grantees (State Agencies and Business-for-and-not-for-profit) involved will participate </w:t>
      </w:r>
      <w:r w:rsidR="0049423B">
        <w:rPr>
          <w:szCs w:val="24"/>
        </w:rPr>
        <w:t>fully in this data collection</w:t>
      </w:r>
      <w:r>
        <w:rPr>
          <w:szCs w:val="24"/>
        </w:rPr>
        <w:t xml:space="preserve">. </w:t>
      </w:r>
    </w:p>
    <w:p w14:paraId="0146D583" w14:textId="77777777" w:rsidR="00DF23E4" w:rsidRPr="00D56517" w:rsidRDefault="00DF23E4" w:rsidP="006F6D18">
      <w:pPr>
        <w:pStyle w:val="NormalSS"/>
        <w:spacing w:after="0" w:line="480" w:lineRule="auto"/>
        <w:rPr>
          <w:szCs w:val="24"/>
        </w:rPr>
      </w:pPr>
      <w:r w:rsidRPr="00D56517">
        <w:rPr>
          <w:szCs w:val="24"/>
        </w:rPr>
        <w:t>The SNAP E&amp;T Pilots evaluation study team will employ a variety of methods to maximize response rates and deal with nonresponses</w:t>
      </w:r>
      <w:r w:rsidR="00EF05F9">
        <w:rPr>
          <w:szCs w:val="24"/>
        </w:rPr>
        <w:t xml:space="preserve"> from the individuals/household SNAP participants</w:t>
      </w:r>
      <w:r w:rsidRPr="00D56517">
        <w:rPr>
          <w:szCs w:val="24"/>
        </w:rPr>
        <w:t xml:space="preserve">. This section describes these methods for the survey and </w:t>
      </w:r>
      <w:r>
        <w:rPr>
          <w:szCs w:val="24"/>
        </w:rPr>
        <w:t xml:space="preserve">for </w:t>
      </w:r>
      <w:r w:rsidRPr="00D56517">
        <w:rPr>
          <w:szCs w:val="24"/>
        </w:rPr>
        <w:t xml:space="preserve">focus group data collection efforts.  </w:t>
      </w:r>
    </w:p>
    <w:p w14:paraId="1579C5F4" w14:textId="77777777" w:rsidR="00DF23E4" w:rsidRDefault="00DF23E4" w:rsidP="00AB3372">
      <w:pPr>
        <w:pStyle w:val="H4Number"/>
      </w:pPr>
      <w:bookmarkStart w:id="40" w:name="_Toc531085518"/>
      <w:r>
        <w:t>1.</w:t>
      </w:r>
      <w:r w:rsidR="00A67A0C">
        <w:tab/>
      </w:r>
      <w:r>
        <w:t>Survey Data Collection</w:t>
      </w:r>
      <w:bookmarkEnd w:id="40"/>
    </w:p>
    <w:p w14:paraId="7BABE06E" w14:textId="75359AFD" w:rsidR="00DF23E4" w:rsidRDefault="00DF23E4" w:rsidP="006F6D18">
      <w:r w:rsidRPr="00EA03CB">
        <w:t>To maximize response rates for the follow</w:t>
      </w:r>
      <w:r>
        <w:t>-</w:t>
      </w:r>
      <w:r w:rsidRPr="00EA03CB">
        <w:t xml:space="preserve">up surveys, </w:t>
      </w:r>
      <w:r w:rsidR="00794578">
        <w:t xml:space="preserve">the evaluation team </w:t>
      </w:r>
      <w:r>
        <w:t xml:space="preserve">will </w:t>
      </w:r>
      <w:r w:rsidRPr="00EA03CB">
        <w:t xml:space="preserve">(1) </w:t>
      </w:r>
      <w:r>
        <w:t xml:space="preserve">have </w:t>
      </w:r>
      <w:r w:rsidRPr="00EA03CB">
        <w:t xml:space="preserve">regular contact with respondents over the study period; (2) </w:t>
      </w:r>
      <w:r>
        <w:t xml:space="preserve">offer </w:t>
      </w:r>
      <w:r w:rsidRPr="00EA03CB">
        <w:t xml:space="preserve">monetary </w:t>
      </w:r>
      <w:r w:rsidR="005440B8">
        <w:t xml:space="preserve">and non-monetary </w:t>
      </w:r>
      <w:r w:rsidRPr="00EA03CB">
        <w:t xml:space="preserve">incentives; (3) </w:t>
      </w:r>
      <w:r>
        <w:t xml:space="preserve">employ </w:t>
      </w:r>
      <w:r w:rsidRPr="00EA03CB">
        <w:t>intensive locating efforts</w:t>
      </w:r>
      <w:r>
        <w:t>; (4) create a well-designed instrument, and (5) conduct two-phase sampling</w:t>
      </w:r>
      <w:r w:rsidRPr="00EA03CB">
        <w:t xml:space="preserve">. </w:t>
      </w:r>
      <w:r>
        <w:t>Each of these is discussed in detail below.</w:t>
      </w:r>
    </w:p>
    <w:p w14:paraId="0BCDC98C" w14:textId="6E5B058D" w:rsidR="00DF23E4" w:rsidRDefault="00794578" w:rsidP="00DF23E4">
      <w:r>
        <w:t xml:space="preserve">The evaluation team </w:t>
      </w:r>
      <w:r w:rsidR="00DF23E4" w:rsidRPr="00EA03CB">
        <w:t xml:space="preserve">will keep in touch with respondents throughout the study period and encourage them to notify </w:t>
      </w:r>
      <w:r w:rsidR="00DF23E4">
        <w:t xml:space="preserve">the team </w:t>
      </w:r>
      <w:r w:rsidR="00DF23E4" w:rsidRPr="00EA03CB">
        <w:t>about any changes in their contact information</w:t>
      </w:r>
      <w:r w:rsidR="00DF23E4">
        <w:t xml:space="preserve"> via a toll-free project telephone number</w:t>
      </w:r>
      <w:r w:rsidR="00DF23E4" w:rsidRPr="00EA03CB">
        <w:t>. In addition to a welcome packet sent after RA</w:t>
      </w:r>
      <w:r w:rsidR="00DF23E4">
        <w:t xml:space="preserve"> that include</w:t>
      </w:r>
      <w:r w:rsidR="00F83937">
        <w:t>s</w:t>
      </w:r>
      <w:r w:rsidR="00DF23E4">
        <w:t xml:space="preserve"> a study brochure </w:t>
      </w:r>
      <w:r w:rsidR="00DF23E4" w:rsidRPr="00D378DB">
        <w:t xml:space="preserve">(Attachment </w:t>
      </w:r>
      <w:r w:rsidR="00D378DB" w:rsidRPr="00D378DB">
        <w:t>F</w:t>
      </w:r>
      <w:r w:rsidR="005B1E08">
        <w:t>.1 and F.2</w:t>
      </w:r>
      <w:r w:rsidR="00DF23E4" w:rsidRPr="00D378DB">
        <w:t xml:space="preserve">), </w:t>
      </w:r>
      <w:r>
        <w:t xml:space="preserve">the evaluation team </w:t>
      </w:r>
      <w:r w:rsidR="00DF23E4" w:rsidRPr="00EA03CB">
        <w:t xml:space="preserve">will send </w:t>
      </w:r>
      <w:r w:rsidR="00665163">
        <w:t xml:space="preserve">survey reminder </w:t>
      </w:r>
      <w:r w:rsidR="00DF23E4" w:rsidRPr="00EA03CB">
        <w:t>postcards</w:t>
      </w:r>
      <w:r w:rsidR="00DF23E4">
        <w:t xml:space="preserve"> (</w:t>
      </w:r>
      <w:r w:rsidR="00DF23E4" w:rsidRPr="00D378DB">
        <w:t xml:space="preserve">Attachment </w:t>
      </w:r>
      <w:r w:rsidR="00665163">
        <w:t>R</w:t>
      </w:r>
      <w:r w:rsidR="005B1E08">
        <w:t>.1 and R.2</w:t>
      </w:r>
      <w:r w:rsidR="00DF23E4" w:rsidRPr="00D378DB">
        <w:t>)</w:t>
      </w:r>
      <w:r w:rsidR="00DF23E4" w:rsidRPr="00EA03CB">
        <w:t xml:space="preserve"> </w:t>
      </w:r>
      <w:r w:rsidR="00DF23E4">
        <w:t>throughout the field period to remind respondents of the study</w:t>
      </w:r>
      <w:r w:rsidR="00DF23E4" w:rsidRPr="00EA03CB">
        <w:t xml:space="preserve">. </w:t>
      </w:r>
    </w:p>
    <w:p w14:paraId="70B9B92D" w14:textId="504623BB" w:rsidR="00597910" w:rsidRPr="009D0F32" w:rsidRDefault="00DF23E4" w:rsidP="00597910">
      <w:r>
        <w:t>M</w:t>
      </w:r>
      <w:r w:rsidRPr="00EA03CB">
        <w:t>onetary</w:t>
      </w:r>
      <w:r w:rsidR="005440B8">
        <w:t xml:space="preserve"> and non-monetary</w:t>
      </w:r>
      <w:r w:rsidRPr="00EA03CB">
        <w:t xml:space="preserve"> incentives</w:t>
      </w:r>
      <w:r>
        <w:t xml:space="preserve"> will also be used</w:t>
      </w:r>
      <w:r w:rsidRPr="00EA03CB">
        <w:t xml:space="preserve">. Research has </w:t>
      </w:r>
      <w:r>
        <w:t xml:space="preserve">long </w:t>
      </w:r>
      <w:r w:rsidRPr="00EA03CB">
        <w:t>shown that</w:t>
      </w:r>
      <w:r w:rsidRPr="00EA03CB">
        <w:rPr>
          <w:b/>
        </w:rPr>
        <w:t xml:space="preserve"> </w:t>
      </w:r>
      <w:r w:rsidR="005440B8">
        <w:t xml:space="preserve">monetary incentives </w:t>
      </w:r>
      <w:r w:rsidR="00A36E3D">
        <w:t>provided</w:t>
      </w:r>
      <w:r w:rsidR="005440B8">
        <w:t xml:space="preserve"> to</w:t>
      </w:r>
      <w:r w:rsidR="005440B8" w:rsidRPr="00EA03CB">
        <w:t xml:space="preserve"> </w:t>
      </w:r>
      <w:r w:rsidRPr="00EA03CB">
        <w:t xml:space="preserve">survey respondents can improve response rates without affecting data quality (Singer and Kulka 2002; </w:t>
      </w:r>
      <w:r w:rsidR="00BD1E52">
        <w:t>Singer et al. 1999</w:t>
      </w:r>
      <w:r w:rsidR="00B5234D">
        <w:t xml:space="preserve">). </w:t>
      </w:r>
      <w:r w:rsidRPr="00EA03CB">
        <w:t xml:space="preserve">For the </w:t>
      </w:r>
      <w:r>
        <w:t>12</w:t>
      </w:r>
      <w:r w:rsidR="00B5234D">
        <w:noBreakHyphen/>
      </w:r>
      <w:r>
        <w:t>month</w:t>
      </w:r>
      <w:r w:rsidRPr="00EA03CB">
        <w:t xml:space="preserve"> follow</w:t>
      </w:r>
      <w:r>
        <w:t>-</w:t>
      </w:r>
      <w:r w:rsidRPr="00EA03CB">
        <w:t>up survey</w:t>
      </w:r>
      <w:r w:rsidR="00A36E3D">
        <w:t xml:space="preserve"> (Attachments O.1 and O.2)</w:t>
      </w:r>
      <w:r w:rsidRPr="00EA03CB">
        <w:t xml:space="preserve">, </w:t>
      </w:r>
      <w:r w:rsidR="00794578">
        <w:t xml:space="preserve">the evaluation team </w:t>
      </w:r>
      <w:r>
        <w:t>offer</w:t>
      </w:r>
      <w:r w:rsidR="00F83937">
        <w:t>ed</w:t>
      </w:r>
      <w:r w:rsidRPr="00EA03CB">
        <w:t xml:space="preserve"> </w:t>
      </w:r>
      <w:r w:rsidR="00A35682">
        <w:t>$</w:t>
      </w:r>
      <w:r w:rsidR="00597910">
        <w:t xml:space="preserve">30 to all households for the 12-month follow-up survey </w:t>
      </w:r>
      <w:r w:rsidR="007C2D89">
        <w:t xml:space="preserve">(which will close December 2018) </w:t>
      </w:r>
      <w:r w:rsidR="00597910">
        <w:t>and</w:t>
      </w:r>
      <w:r w:rsidR="00F83937">
        <w:t xml:space="preserve"> will offer</w:t>
      </w:r>
      <w:r w:rsidR="00597910">
        <w:t xml:space="preserve"> $40 for the 36-month follow-up survey. </w:t>
      </w:r>
      <w:r w:rsidR="00597910" w:rsidRPr="009D0F32">
        <w:t>The sur</w:t>
      </w:r>
      <w:r w:rsidR="00597910">
        <w:t xml:space="preserve">vey incentives proposed for the SNAP E&amp;T Pilots Evaluation </w:t>
      </w:r>
      <w:r w:rsidR="00597910" w:rsidRPr="009D0F32">
        <w:t>are based on the characteristics of the study population and experience with conducting telephone surveys with similar low-income populations:</w:t>
      </w:r>
    </w:p>
    <w:p w14:paraId="2001F1D4" w14:textId="77777777" w:rsidR="00DF4978" w:rsidRDefault="00597910" w:rsidP="00905497">
      <w:pPr>
        <w:pStyle w:val="Bullet"/>
        <w:ind w:left="360" w:hanging="360"/>
      </w:pPr>
      <w:r w:rsidRPr="009D0F32">
        <w:t xml:space="preserve">The USDA-sponsored Supplemental Nutrition Assistance Program on Food Security (OMB Control Number 0584-0563, Discontinued September 19, 2011) offered a modest $2 pre-pay incentive and a $20 post-pay upon completing the telephone interview and had a response rate of 56 percent for baseline and 67 percent for a six-month follow-up, indicating $20-22 is not sufficient for helping to achieve the target response rate of 80 percent in </w:t>
      </w:r>
      <w:r>
        <w:t>SNAP E&amp;T Pilots</w:t>
      </w:r>
      <w:r w:rsidRPr="009D0F32">
        <w:t xml:space="preserve">. </w:t>
      </w:r>
    </w:p>
    <w:p w14:paraId="05A71CDF" w14:textId="77777777" w:rsidR="00597910" w:rsidRPr="00DF4978" w:rsidRDefault="00597910" w:rsidP="00905497">
      <w:pPr>
        <w:pStyle w:val="Bullet"/>
        <w:ind w:left="360" w:hanging="360"/>
      </w:pPr>
      <w:r w:rsidRPr="009D0F32">
        <w:t xml:space="preserve">Site-specific baseline survey response rates in the USDA-sponsored 2012 SEBTC study (OMB Control Number 0584-0559, Discontinued March 31, 2014) ranged from 39 percent to 79 percent across 14 sites using a $25 incentive. </w:t>
      </w:r>
      <w:r w:rsidR="00DF4978" w:rsidRPr="00DF4978">
        <w:t>The average unweighted response rate was 67 percent; the rate was 53 percent for passive consent sites and 75 percent for active consent sites (Briefel et al. 2013), indicating that $25 was not sufficient for helping to achieve the target response rate for the proposed data collection.  Despite not achieving the target response rate, the increase in incentive for the 2012 full demonstration year from $10 to $25 proved effective in improving the response rate by 12% unweighted and 15%  weighted over the 2011 pilot year.  The increased incentive for the 2012 survey was successful in</w:t>
      </w:r>
      <w:r w:rsidR="00077A24">
        <w:t xml:space="preserve"> </w:t>
      </w:r>
      <w:r w:rsidR="00DF4978" w:rsidRPr="00DF4978">
        <w:t>addressing respondent fatigue that was evident during the 2011 pilot year.</w:t>
      </w:r>
    </w:p>
    <w:p w14:paraId="770B5C18" w14:textId="2DD5A529" w:rsidR="00597910" w:rsidRDefault="00597910" w:rsidP="00597910">
      <w:r w:rsidRPr="009D0F32">
        <w:t xml:space="preserve">Both of these recent studies conducted </w:t>
      </w:r>
      <w:r>
        <w:t>with</w:t>
      </w:r>
      <w:r w:rsidRPr="009D0F32">
        <w:t xml:space="preserve"> populations similar to </w:t>
      </w:r>
      <w:r>
        <w:t xml:space="preserve">SNAP E&amp;T Pilots </w:t>
      </w:r>
      <w:r w:rsidRPr="009D0F32">
        <w:t>indicate that a $</w:t>
      </w:r>
      <w:r>
        <w:t>22-</w:t>
      </w:r>
      <w:r w:rsidRPr="009D0F32">
        <w:t xml:space="preserve">25 incentive is insufficient in reaching the </w:t>
      </w:r>
      <w:r>
        <w:t xml:space="preserve">higher end of the </w:t>
      </w:r>
      <w:r w:rsidRPr="009D0F32">
        <w:t>target response rate of 80 percent.</w:t>
      </w:r>
      <w:r>
        <w:t xml:space="preserve"> As such, </w:t>
      </w:r>
      <w:r w:rsidR="00794578">
        <w:t xml:space="preserve">the evaluation team </w:t>
      </w:r>
      <w:r>
        <w:t>propose</w:t>
      </w:r>
      <w:r w:rsidR="007C2D89">
        <w:t>d</w:t>
      </w:r>
      <w:r>
        <w:t xml:space="preserve"> a $30 proposed incentive amount for the 12-month </w:t>
      </w:r>
      <w:r w:rsidRPr="000F1DCA">
        <w:t xml:space="preserve">survey </w:t>
      </w:r>
      <w:r>
        <w:t xml:space="preserve">and a $40 incentive for the 36-month survey.  </w:t>
      </w:r>
      <w:r w:rsidRPr="00EF53D4">
        <w:t xml:space="preserve">Increasing the </w:t>
      </w:r>
      <w:r>
        <w:t>amount</w:t>
      </w:r>
      <w:r w:rsidRPr="00EF53D4">
        <w:t xml:space="preserve"> of the incentive</w:t>
      </w:r>
      <w:r>
        <w:t xml:space="preserve"> to $40 for the 36-month survey</w:t>
      </w:r>
      <w:r w:rsidRPr="00EF53D4">
        <w:t xml:space="preserve"> should help keep more respondents engaged, reduce respondent fatigue with the burden involved in the number of data collection activities required over time, and minimize response bias in the study. </w:t>
      </w:r>
    </w:p>
    <w:p w14:paraId="09D8F0B2" w14:textId="77777777" w:rsidR="00597910" w:rsidRDefault="00597910" w:rsidP="00597910">
      <w:r w:rsidRPr="009D0F32">
        <w:t>Mercer et al. (2015) conducted a meta-analysis of the dose-response association between incentives and response and found a positive relationship between higher incentives and response rates for household telephone surveys offering post-pay incentives. Singer et al. (1999) had in a previous meta-analysis found that incentives in face-to-face and telephone surveys were effective at increasing response rates, with a one dollar increase in incentive resulting in approximately a one-third of a percentage point increase in response rate, on average.  Further, sufficient incentives can help obtain a high cooperation rate for both the baseline and follow-up surveys so that at follow-up less field interviewer effort will be needed to locate sample members to complete the survey.</w:t>
      </w:r>
    </w:p>
    <w:p w14:paraId="62968666" w14:textId="77777777" w:rsidR="00A35682" w:rsidRDefault="00A35682" w:rsidP="00A35682">
      <w:r w:rsidRPr="009D0F32">
        <w:t>The above discussion summarizes evidence for the effectiveness of incentives for reducing non-response bias,</w:t>
      </w:r>
      <w:r>
        <w:t xml:space="preserve"> and</w:t>
      </w:r>
      <w:r w:rsidRPr="009D0F32">
        <w:t xml:space="preserve"> the response rates associated with offering lower incentive amounts to highly similar target populations</w:t>
      </w:r>
      <w:r>
        <w:t xml:space="preserve">. </w:t>
      </w:r>
      <w:r w:rsidRPr="009D0F32">
        <w:t>In addition, the justifications for offering incentives and the amounts to be offered</w:t>
      </w:r>
      <w:r>
        <w:t xml:space="preserve"> are justified for several reasons that address key Office of Management and Budget (OMB) considerations (Graham 2006):</w:t>
      </w:r>
    </w:p>
    <w:p w14:paraId="43AED790" w14:textId="77777777" w:rsidR="007957F9" w:rsidRPr="007957F9" w:rsidRDefault="00A35682" w:rsidP="007957F9">
      <w:pPr>
        <w:pStyle w:val="Bullet"/>
        <w:ind w:left="360" w:hanging="360"/>
      </w:pPr>
      <w:r w:rsidRPr="00DC60A3">
        <w:rPr>
          <w:b/>
        </w:rPr>
        <w:t>Improved data quality.</w:t>
      </w:r>
      <w:r w:rsidR="007957F9">
        <w:rPr>
          <w:b/>
        </w:rPr>
        <w:t xml:space="preserve"> </w:t>
      </w:r>
      <w:r w:rsidR="007957F9" w:rsidRPr="007957F9">
        <w:t>Incentives can increase sample representativeness. Because they may be more salient to some sample members than others, respondents who would otherwise not consider participating in the surveys may do so because of the incentive offer (Groves et al. 2000).</w:t>
      </w:r>
    </w:p>
    <w:p w14:paraId="2590875B" w14:textId="77777777" w:rsidR="007957F9" w:rsidRPr="007957F9" w:rsidRDefault="007957F9" w:rsidP="007957F9">
      <w:pPr>
        <w:numPr>
          <w:ilvl w:val="0"/>
          <w:numId w:val="1"/>
        </w:numPr>
        <w:tabs>
          <w:tab w:val="left" w:pos="432"/>
        </w:tabs>
        <w:spacing w:after="120" w:line="240" w:lineRule="auto"/>
        <w:ind w:left="360"/>
      </w:pPr>
      <w:r w:rsidRPr="007957F9">
        <w:rPr>
          <w:b/>
        </w:rPr>
        <w:t>Improved coverage of specialized respondents.</w:t>
      </w:r>
      <w:r w:rsidRPr="007957F9">
        <w:t xml:space="preserve"> Some of the populations targeted by the Pilot programs include homeless and ex-offenders, which are considered hard-to-reach (Bonevski et al., 2014). In addition, households in some of the pilot areas are specialized respondents because they are limited in number and difficult to recruit, and their lack of participation jeopardizes the impact study. Incentives may encourage greater participation among these groups.</w:t>
      </w:r>
    </w:p>
    <w:p w14:paraId="34A571F2" w14:textId="77777777" w:rsidR="007957F9" w:rsidRDefault="007957F9" w:rsidP="007957F9">
      <w:pPr>
        <w:pStyle w:val="Bullet"/>
        <w:ind w:left="360" w:hanging="360"/>
      </w:pPr>
      <w:r w:rsidRPr="00D27AAA">
        <w:rPr>
          <w:b/>
        </w:rPr>
        <w:t>Reduced respondent burden.</w:t>
      </w:r>
      <w:r>
        <w:t xml:space="preserve"> As described above, the incentive amounts planned for the SNAP E&amp;T Pilots Evaluation are justified because they are commensurate with the costs of participation, which can include cellular telephone usage or travel to a location with telephone service, particularly for the homeless population served by some of the pilot programs.</w:t>
      </w:r>
    </w:p>
    <w:p w14:paraId="4A111A1E" w14:textId="77777777" w:rsidR="007957F9" w:rsidRDefault="007957F9" w:rsidP="007957F9">
      <w:pPr>
        <w:pStyle w:val="Bullet"/>
        <w:ind w:left="360" w:hanging="360"/>
      </w:pPr>
      <w:r w:rsidRPr="00D27AAA">
        <w:rPr>
          <w:b/>
        </w:rPr>
        <w:t>Complex study design.</w:t>
      </w:r>
      <w:r>
        <w:t xml:space="preserve"> The participant surveys collected for the impact study are longitudinal. Participants will be asked to complete a registration document and two surveys over a period of 36 months. Incentives in amounts similar to those planned for this evaluation have been shown to increase response rates, decrease refusals and noncontacts, and increase data quality compared to a no-incentive control group in a longitudinal study (Singer and Ye 2013).</w:t>
      </w:r>
    </w:p>
    <w:p w14:paraId="0D23DC80" w14:textId="77777777" w:rsidR="00610E6C" w:rsidRDefault="00610E6C" w:rsidP="00610E6C">
      <w:pPr>
        <w:pStyle w:val="Bullet"/>
        <w:ind w:left="360" w:hanging="360"/>
      </w:pPr>
      <w:r w:rsidRPr="00D27AAA">
        <w:rPr>
          <w:b/>
        </w:rPr>
        <w:t>Past experience.</w:t>
      </w:r>
      <w:r>
        <w:t xml:space="preserve"> </w:t>
      </w:r>
      <w:r w:rsidRPr="00C45658">
        <w:t>The studies described above demonstrate the effectiveness of incentives for surveys fielded to similar low-income study populations</w:t>
      </w:r>
      <w:r>
        <w:t>.</w:t>
      </w:r>
    </w:p>
    <w:p w14:paraId="33CEC7AF" w14:textId="77777777" w:rsidR="00610E6C" w:rsidRDefault="00610E6C" w:rsidP="00610E6C">
      <w:pPr>
        <w:pStyle w:val="BulletLastSS"/>
      </w:pPr>
      <w:r w:rsidRPr="00D27AAA">
        <w:rPr>
          <w:b/>
        </w:rPr>
        <w:t>Equity.</w:t>
      </w:r>
      <w:r>
        <w:t xml:space="preserve"> The incentive amounts will be offered equally to all potential survey participants. The incentives will not be targeted to specific subgroups, nor will they be used to convert refusals. Moreover, if incentives were to be offered only to the most disadvantaged individuals, such as the homeless or ex-offenders, the differing motivations to participate used across projects will limit the ability to compare results across target populations and sites.</w:t>
      </w:r>
    </w:p>
    <w:p w14:paraId="1ECF4C5C" w14:textId="77777777" w:rsidR="00A35682" w:rsidRDefault="00610E6C" w:rsidP="00610E6C">
      <w:r>
        <w:t>In summary, the planned incentives for the longitudinal household surveys are designed to promote cooperation and high data quality and to reduce participant burden and participant costs associated with the surveys, which are similar in length and will be conducted with similar populations as in other OMB-approved information collections. If all of the other strategies to achieve high response rates are used without the planned incentives, the non-response bias will be higher, resulting in poor data quality. The likelihood of detecting project impacts will be significantly compromised.</w:t>
      </w:r>
    </w:p>
    <w:p w14:paraId="11B1195A" w14:textId="13618758" w:rsidR="00DF23E4" w:rsidRPr="00EA03CB" w:rsidRDefault="00DF23E4" w:rsidP="00A67A0C">
      <w:r>
        <w:t>The</w:t>
      </w:r>
      <w:r w:rsidRPr="00EA03CB">
        <w:t xml:space="preserve"> plan for intensive locating includes both in-house and in-field locating. Before follow</w:t>
      </w:r>
      <w:r>
        <w:t>-</w:t>
      </w:r>
      <w:r w:rsidRPr="00EA03CB">
        <w:t xml:space="preserve">up data collection begins, </w:t>
      </w:r>
      <w:r w:rsidR="00794578">
        <w:t xml:space="preserve">the evaluation team </w:t>
      </w:r>
      <w:r w:rsidRPr="00EA03CB">
        <w:t>will send a file that includes available contact information for the subsample of respondents selected for the follow</w:t>
      </w:r>
      <w:r>
        <w:t>-</w:t>
      </w:r>
      <w:r w:rsidRPr="00EA03CB">
        <w:t xml:space="preserve">up to commercial vendors, such as Accurint, to verify and update contact information. For sample members without valid phone numbers, in-house locators will use a variety of resources, for example directory assistance and major national databases—including the U.S. Postal Service National Change of Address database; State Department of Motor Vehicles records; and death indices—to track down contact information. When necessary, locating staff will reach out to family members, friends, and neighbors identified by respondents in the </w:t>
      </w:r>
      <w:r w:rsidR="000016A2">
        <w:t>registration document</w:t>
      </w:r>
      <w:r w:rsidRPr="00EA03CB">
        <w:t xml:space="preserve">. This in-house location effort will reduce the number of cases that require field location, which has an impact on </w:t>
      </w:r>
      <w:r>
        <w:t xml:space="preserve">the project </w:t>
      </w:r>
      <w:r w:rsidRPr="00EA03CB">
        <w:t>schedule and ultimate</w:t>
      </w:r>
      <w:r>
        <w:t>ly on</w:t>
      </w:r>
      <w:r w:rsidRPr="00EA03CB">
        <w:t xml:space="preserve"> response rates. </w:t>
      </w:r>
    </w:p>
    <w:p w14:paraId="52264073" w14:textId="77777777" w:rsidR="00DF23E4" w:rsidRPr="00EA03CB" w:rsidRDefault="00E30DEC" w:rsidP="00DF23E4">
      <w:r>
        <w:t>I</w:t>
      </w:r>
      <w:r w:rsidR="00DF23E4" w:rsidRPr="00EA03CB">
        <w:t>n-field locating</w:t>
      </w:r>
      <w:r>
        <w:t xml:space="preserve"> will be used</w:t>
      </w:r>
      <w:r w:rsidR="00DF23E4" w:rsidRPr="00EA03CB">
        <w:t xml:space="preserve"> to find respondents that </w:t>
      </w:r>
      <w:r w:rsidR="00DF23E4">
        <w:t>can</w:t>
      </w:r>
      <w:r w:rsidR="00DF23E4" w:rsidRPr="00EA03CB">
        <w:t xml:space="preserve">not </w:t>
      </w:r>
      <w:r w:rsidR="00DF23E4">
        <w:t xml:space="preserve">be </w:t>
      </w:r>
      <w:r w:rsidR="00DF23E4" w:rsidRPr="00EA03CB">
        <w:t>locate</w:t>
      </w:r>
      <w:r w:rsidR="00DF23E4">
        <w:t>d</w:t>
      </w:r>
      <w:r w:rsidR="00DF23E4" w:rsidRPr="00EA03CB">
        <w:t xml:space="preserve"> through in-house locating efforts as well as respondents who </w:t>
      </w:r>
      <w:r w:rsidR="00DF23E4">
        <w:t xml:space="preserve">have not been reached </w:t>
      </w:r>
      <w:r w:rsidR="00DF23E4" w:rsidRPr="00EA03CB">
        <w:t xml:space="preserve">by telephone. When respondents are located, they will be asked to complete the survey by calling in to </w:t>
      </w:r>
      <w:r w:rsidR="00750A84">
        <w:t>FNS’</w:t>
      </w:r>
      <w:r w:rsidR="00F83937">
        <w:t>s</w:t>
      </w:r>
      <w:r w:rsidR="00750A84">
        <w:t xml:space="preserve"> contractor</w:t>
      </w:r>
      <w:r w:rsidR="00DF23E4" w:rsidRPr="00EA03CB">
        <w:t xml:space="preserve"> Survey Operation</w:t>
      </w:r>
      <w:r w:rsidR="00DF23E4">
        <w:t>s</w:t>
      </w:r>
      <w:r w:rsidR="00DF23E4" w:rsidRPr="00EA03CB">
        <w:t xml:space="preserve"> Center with a cell phone that field staff will provide. </w:t>
      </w:r>
      <w:r w:rsidR="00610E6C">
        <w:t xml:space="preserve">The field staff will wait as the respondent completes the telephone interview.  Once completed, the field staff will give the respondent the gift card, and retrieve the cell phone. </w:t>
      </w:r>
      <w:r w:rsidR="00DF23E4">
        <w:t>T</w:t>
      </w:r>
      <w:r w:rsidR="00DF23E4" w:rsidRPr="00EA03CB">
        <w:t>his approach—telephone interviewing with in-house location followed by field follow</w:t>
      </w:r>
      <w:r w:rsidR="00DF23E4">
        <w:t>-</w:t>
      </w:r>
      <w:r w:rsidR="00DF23E4" w:rsidRPr="00EA03CB">
        <w:t>up—</w:t>
      </w:r>
      <w:r w:rsidR="00DF23E4">
        <w:t xml:space="preserve">was used </w:t>
      </w:r>
      <w:r w:rsidR="00DF23E4" w:rsidRPr="00EA03CB">
        <w:t>successfully on the Summer Electronic Benefits Transfer for Children (SEBTC) Demonstration</w:t>
      </w:r>
      <w:r>
        <w:t xml:space="preserve"> (</w:t>
      </w:r>
      <w:r w:rsidR="005D1006" w:rsidRPr="005D1006">
        <w:t>OMB Number: 0584-0512</w:t>
      </w:r>
      <w:r w:rsidR="006D7C6D">
        <w:t>,</w:t>
      </w:r>
      <w:r w:rsidR="005D1006" w:rsidRPr="005D1006">
        <w:t xml:space="preserve"> Expiration Date: 09/30/2012</w:t>
      </w:r>
      <w:r w:rsidR="005D1006">
        <w:t>)</w:t>
      </w:r>
      <w:r w:rsidR="00DF23E4" w:rsidRPr="00EA03CB">
        <w:t xml:space="preserve"> </w:t>
      </w:r>
      <w:r w:rsidR="00DF23E4">
        <w:t xml:space="preserve">which </w:t>
      </w:r>
      <w:r w:rsidR="00DF23E4" w:rsidRPr="00EA03CB">
        <w:t>achieved response rates of 73 percent in the spring and 80 percent in the summer, even with short</w:t>
      </w:r>
      <w:r w:rsidR="00DF23E4">
        <w:t>er</w:t>
      </w:r>
      <w:r w:rsidR="00DF23E4" w:rsidRPr="00EA03CB">
        <w:t xml:space="preserve"> field periods</w:t>
      </w:r>
      <w:r w:rsidR="00DF23E4">
        <w:t xml:space="preserve"> than the field period for this evaluation</w:t>
      </w:r>
      <w:r w:rsidR="00DF23E4" w:rsidRPr="00EA03CB">
        <w:t>.</w:t>
      </w:r>
    </w:p>
    <w:p w14:paraId="208362CE" w14:textId="225E8A3D" w:rsidR="00DF23E4" w:rsidRPr="005F41A7" w:rsidRDefault="00DF23E4" w:rsidP="00DF23E4">
      <w:r>
        <w:t xml:space="preserve">To further maximize response rates, </w:t>
      </w:r>
      <w:r w:rsidR="00794578">
        <w:t xml:space="preserve">the evaluation team </w:t>
      </w:r>
      <w:r>
        <w:t>develop</w:t>
      </w:r>
      <w:r w:rsidR="007C2D89">
        <w:t>ed</w:t>
      </w:r>
      <w:r>
        <w:t xml:space="preserve"> m</w:t>
      </w:r>
      <w:r w:rsidRPr="005F41A7">
        <w:t xml:space="preserve">inimally burdensome </w:t>
      </w:r>
      <w:r>
        <w:t>follow-up survey</w:t>
      </w:r>
      <w:r w:rsidR="00D500A5">
        <w:t>s (Attachments O.1, O.2, O.4, and O.5)</w:t>
      </w:r>
      <w:r>
        <w:t xml:space="preserve"> that take no more than 3</w:t>
      </w:r>
      <w:r w:rsidR="00E30DEC">
        <w:t>2</w:t>
      </w:r>
      <w:r>
        <w:t xml:space="preserve"> minutes to complete. To reduce respondent burden, information that can be accessed through administrative data will not be asked for in the survey. </w:t>
      </w:r>
      <w:r w:rsidRPr="00451FEE">
        <w:t>In addition, all instruments will be available in English and Spanish. For CATI surveys, bilingual interviewers can conduct the interview in Spanish and possibly other languages, if deemed necessary.</w:t>
      </w:r>
    </w:p>
    <w:p w14:paraId="6B72494E" w14:textId="715F2E40" w:rsidR="00DF23E4" w:rsidRDefault="00DF23E4" w:rsidP="00DF23E4">
      <w:r>
        <w:t xml:space="preserve">To address whether the pilots significantly affect secondary outcomes, such as food security, well-being, and housing status, </w:t>
      </w:r>
      <w:r w:rsidR="00794578">
        <w:t xml:space="preserve">the evaluation team </w:t>
      </w:r>
      <w:r>
        <w:t>will employ a two-phase sampling approach that has been implemented successfully in large national surveys, such as the American Community Survey and the National Survey of Family Growth. Two-phase sampling or double sampling is an efficient use of resources and involves a phase 1 sampling from the full population and then, in phase 2, selecting a second sample from the nonrespondents from phase 1. In the second phase, more focused resources (in this case, field follow-up) is devoted to the sample, which leads to higher response rates among the phase 1 nonrespondents than what would happen in the absence of the more focused field follow-up. This sampling approach typically increases response rates, reduces the potential for nonresponse biases, and reduces costs and burden associated with survey data collection, while maintaining a sufficient level of power to detect differences in outcomes between treatment and control groups within pilot sites.</w:t>
      </w:r>
    </w:p>
    <w:p w14:paraId="1A7338B0" w14:textId="510CB000" w:rsidR="00DF23E4" w:rsidRDefault="00794578" w:rsidP="00DF23E4">
      <w:r>
        <w:t xml:space="preserve">The evaluation team </w:t>
      </w:r>
      <w:r w:rsidR="00F83937" w:rsidRPr="00D56517">
        <w:t>ha</w:t>
      </w:r>
      <w:r w:rsidR="00F83937">
        <w:t>s</w:t>
      </w:r>
      <w:r w:rsidR="00F83937" w:rsidRPr="00D56517">
        <w:t xml:space="preserve"> </w:t>
      </w:r>
      <w:r w:rsidR="00DF23E4" w:rsidRPr="00D56517">
        <w:t xml:space="preserve">developed and refined methods to build rapport and overcome the reluctance of sample members to participate in the interview. </w:t>
      </w:r>
      <w:r w:rsidR="00750A84">
        <w:t>Our contractor is trained in</w:t>
      </w:r>
      <w:r w:rsidR="00DF23E4" w:rsidRPr="00D56517">
        <w:t xml:space="preserve"> </w:t>
      </w:r>
      <w:r w:rsidR="00DF23E4">
        <w:t>multi-pronged approach</w:t>
      </w:r>
      <w:r w:rsidR="00D500A5">
        <w:t>es</w:t>
      </w:r>
      <w:r w:rsidR="006D7C6D">
        <w:t xml:space="preserve"> to</w:t>
      </w:r>
      <w:r w:rsidR="00DF23E4">
        <w:t xml:space="preserve"> </w:t>
      </w:r>
      <w:r w:rsidR="00DF23E4" w:rsidRPr="00D56517">
        <w:t xml:space="preserve">focus on preventing and converting refusals. The strategies aim to convince sample members that (1) the study is legitimate and worthwhile, (2) their participation is important and appreciated, and (3) the information provided will be held </w:t>
      </w:r>
      <w:r w:rsidR="00A9089D">
        <w:t>private</w:t>
      </w:r>
      <w:r w:rsidR="00A9089D" w:rsidRPr="00D56517">
        <w:t xml:space="preserve"> </w:t>
      </w:r>
      <w:r w:rsidR="00DF23E4" w:rsidRPr="00D56517">
        <w:t xml:space="preserve">and will not affect their job or their eligibility for SNAP or other benefits. </w:t>
      </w:r>
    </w:p>
    <w:p w14:paraId="51527B72" w14:textId="77777777" w:rsidR="00DF23E4" w:rsidRDefault="00750A84" w:rsidP="00DF23E4">
      <w:r>
        <w:t>The</w:t>
      </w:r>
      <w:r w:rsidR="00DF23E4">
        <w:t xml:space="preserve"> multi-pronged approach to completing interviews includes flagging </w:t>
      </w:r>
      <w:r w:rsidR="00DF23E4" w:rsidRPr="00D378DB">
        <w:t xml:space="preserve">telephone refusals in the CATI scheduler and, one week after a refusal, sending a </w:t>
      </w:r>
      <w:r w:rsidR="00BF2B75">
        <w:t xml:space="preserve">survey refusal </w:t>
      </w:r>
      <w:r w:rsidR="00DF23E4" w:rsidRPr="00D378DB">
        <w:t xml:space="preserve">letter (Attachment </w:t>
      </w:r>
      <w:r w:rsidR="00D378DB" w:rsidRPr="00D378DB">
        <w:t>S</w:t>
      </w:r>
      <w:r w:rsidR="005B1E08">
        <w:t>.1 and S.2</w:t>
      </w:r>
      <w:r w:rsidR="00DF23E4">
        <w:t xml:space="preserve">) </w:t>
      </w:r>
      <w:r w:rsidR="00DF23E4" w:rsidRPr="00D56517">
        <w:t>to the sample member emphasizing the importance of the study and addressing typical concerns. Interviewers skilled at converting refusals will then contact the sample member by telephone</w:t>
      </w:r>
      <w:r w:rsidR="00DF23E4">
        <w:t xml:space="preserve">; </w:t>
      </w:r>
      <w:r w:rsidR="00A9089D">
        <w:t>these</w:t>
      </w:r>
      <w:r>
        <w:t xml:space="preserve"> trained</w:t>
      </w:r>
      <w:r w:rsidR="00DF23E4" w:rsidRPr="00D56517">
        <w:t xml:space="preserve"> interviewers are well prepared to address common respondent concerns </w:t>
      </w:r>
      <w:r w:rsidR="00DF23E4">
        <w:t>that may lead to refusals</w:t>
      </w:r>
      <w:r w:rsidR="00DF23E4" w:rsidRPr="00D56517">
        <w:t xml:space="preserve">. </w:t>
      </w:r>
      <w:r w:rsidR="00D2600D">
        <w:t>D</w:t>
      </w:r>
      <w:r w:rsidR="00DF23E4" w:rsidRPr="00D56517">
        <w:t>ata collectors</w:t>
      </w:r>
      <w:r w:rsidR="00D2600D">
        <w:t xml:space="preserve"> will be selected if</w:t>
      </w:r>
      <w:r w:rsidR="00DF23E4" w:rsidRPr="00D56517">
        <w:t xml:space="preserve"> </w:t>
      </w:r>
      <w:r w:rsidR="00D2600D">
        <w:t>they</w:t>
      </w:r>
      <w:r w:rsidR="00DF23E4" w:rsidRPr="00D56517">
        <w:t xml:space="preserve"> have solid experience and performance in comparable topic areas, and who have demonstrated (1) reliability, (2) communication skills, (3) accurate reading and recording proficiency, and (4) aptitude for the administrative and reporting requirements of survey work. </w:t>
      </w:r>
    </w:p>
    <w:p w14:paraId="6456B781" w14:textId="29B75A7A" w:rsidR="00DF23E4" w:rsidRPr="00D56517" w:rsidRDefault="00DF23E4" w:rsidP="00096ECB">
      <w:pPr>
        <w:pStyle w:val="NormalSS"/>
        <w:spacing w:after="0" w:line="480" w:lineRule="auto"/>
        <w:rPr>
          <w:szCs w:val="24"/>
        </w:rPr>
      </w:pPr>
      <w:r>
        <w:rPr>
          <w:szCs w:val="24"/>
        </w:rPr>
        <w:t xml:space="preserve">To further encourage cooperation, </w:t>
      </w:r>
      <w:r w:rsidR="00794578">
        <w:rPr>
          <w:szCs w:val="24"/>
        </w:rPr>
        <w:t xml:space="preserve">the evaluation team </w:t>
      </w:r>
      <w:r w:rsidRPr="00D56517">
        <w:rPr>
          <w:szCs w:val="24"/>
        </w:rPr>
        <w:t xml:space="preserve">will use certified bilingual interviewers to complete interviews in Spanish. </w:t>
      </w:r>
      <w:r>
        <w:rPr>
          <w:szCs w:val="24"/>
        </w:rPr>
        <w:t>Moreover, to</w:t>
      </w:r>
      <w:r w:rsidRPr="00D56517">
        <w:rPr>
          <w:szCs w:val="24"/>
        </w:rPr>
        <w:t xml:space="preserve"> develop the skills necessary to encourage participation among low-income households, all telephone interviewers receive general interviewer training before being assigned to a study. This training involves essential interviewing skills, probing, establishing rapport, avoiding refusals, eliminating bias, and being sensitive to at-risk and special populations. In addition, all interviewers will receive project-specific training that reviews study goals, provides a question-by-question review of the instrument, and conveys best practices for interviewing for the specific study. Interviewers will also conduct mock interviews prior to conducting real interviews. Data collector training sessions will take place no earlier than two weeks before data collection begins. </w:t>
      </w:r>
    </w:p>
    <w:p w14:paraId="6DCAA9B3" w14:textId="77777777" w:rsidR="00DF23E4" w:rsidRPr="00D56517" w:rsidRDefault="00DF23E4" w:rsidP="00A67A0C">
      <w:pPr>
        <w:pStyle w:val="H4Number"/>
      </w:pPr>
      <w:bookmarkStart w:id="41" w:name="_Toc402174655"/>
      <w:bookmarkStart w:id="42" w:name="_Toc531085519"/>
      <w:bookmarkEnd w:id="41"/>
      <w:r w:rsidRPr="00D56517">
        <w:t>2.</w:t>
      </w:r>
      <w:r w:rsidR="00A67A0C">
        <w:tab/>
        <w:t>F</w:t>
      </w:r>
      <w:r w:rsidRPr="00D56517">
        <w:t>ocus group data collection</w:t>
      </w:r>
      <w:bookmarkEnd w:id="42"/>
      <w:r w:rsidRPr="00D56517">
        <w:t xml:space="preserve"> </w:t>
      </w:r>
    </w:p>
    <w:p w14:paraId="12DD3011" w14:textId="44262408" w:rsidR="00DF23E4" w:rsidRPr="00D56517" w:rsidRDefault="00DF23E4" w:rsidP="00096ECB">
      <w:pPr>
        <w:pStyle w:val="NormalSS"/>
        <w:spacing w:after="0" w:line="480" w:lineRule="auto"/>
        <w:rPr>
          <w:szCs w:val="24"/>
        </w:rPr>
      </w:pPr>
      <w:r w:rsidRPr="00D56517">
        <w:rPr>
          <w:szCs w:val="24"/>
        </w:rPr>
        <w:t xml:space="preserve">Once individuals </w:t>
      </w:r>
      <w:r w:rsidR="00016459">
        <w:rPr>
          <w:szCs w:val="24"/>
        </w:rPr>
        <w:t>were</w:t>
      </w:r>
      <w:r w:rsidR="00016459" w:rsidRPr="00D56517">
        <w:rPr>
          <w:szCs w:val="24"/>
        </w:rPr>
        <w:t xml:space="preserve"> </w:t>
      </w:r>
      <w:r w:rsidRPr="00F5785E">
        <w:rPr>
          <w:szCs w:val="24"/>
        </w:rPr>
        <w:t xml:space="preserve">recruited (see Part A, section A.2, </w:t>
      </w:r>
      <w:r w:rsidR="00C970F2" w:rsidRPr="00F5785E">
        <w:rPr>
          <w:szCs w:val="24"/>
        </w:rPr>
        <w:t>3</w:t>
      </w:r>
      <w:r w:rsidR="00C970F2">
        <w:rPr>
          <w:szCs w:val="24"/>
        </w:rPr>
        <w:t>d</w:t>
      </w:r>
      <w:r w:rsidRPr="00F5785E">
        <w:rPr>
          <w:szCs w:val="24"/>
        </w:rPr>
        <w:t xml:space="preserve">) to participate in focus groups, </w:t>
      </w:r>
      <w:r w:rsidRPr="00D56517">
        <w:rPr>
          <w:szCs w:val="24"/>
        </w:rPr>
        <w:t xml:space="preserve"> a personally addressed</w:t>
      </w:r>
      <w:r w:rsidR="00BF2B75">
        <w:rPr>
          <w:szCs w:val="24"/>
        </w:rPr>
        <w:t xml:space="preserve"> focus group confirmation</w:t>
      </w:r>
      <w:r w:rsidRPr="00D56517">
        <w:rPr>
          <w:szCs w:val="24"/>
        </w:rPr>
        <w:t xml:space="preserve"> letter </w:t>
      </w:r>
      <w:r w:rsidR="00BF2B75" w:rsidRPr="00BF2B75">
        <w:rPr>
          <w:szCs w:val="24"/>
        </w:rPr>
        <w:t xml:space="preserve">(Attachment L) </w:t>
      </w:r>
      <w:r w:rsidR="00016459">
        <w:rPr>
          <w:szCs w:val="24"/>
        </w:rPr>
        <w:t>was</w:t>
      </w:r>
      <w:r w:rsidR="00D23BD5">
        <w:rPr>
          <w:szCs w:val="24"/>
        </w:rPr>
        <w:t xml:space="preserve"> prepared and sent </w:t>
      </w:r>
      <w:r w:rsidRPr="00D56517">
        <w:rPr>
          <w:szCs w:val="24"/>
        </w:rPr>
        <w:t xml:space="preserve">to each individual who </w:t>
      </w:r>
      <w:r w:rsidR="00016459" w:rsidRPr="00D56517">
        <w:rPr>
          <w:szCs w:val="24"/>
        </w:rPr>
        <w:t>agree</w:t>
      </w:r>
      <w:r w:rsidR="00016459">
        <w:rPr>
          <w:szCs w:val="24"/>
        </w:rPr>
        <w:t>d</w:t>
      </w:r>
      <w:r w:rsidR="00016459" w:rsidRPr="00D56517">
        <w:rPr>
          <w:szCs w:val="24"/>
        </w:rPr>
        <w:t xml:space="preserve"> </w:t>
      </w:r>
      <w:r w:rsidRPr="00D56517">
        <w:rPr>
          <w:szCs w:val="24"/>
        </w:rPr>
        <w:t xml:space="preserve">to participate </w:t>
      </w:r>
      <w:r w:rsidRPr="00D378DB">
        <w:rPr>
          <w:szCs w:val="24"/>
        </w:rPr>
        <w:t>confirming</w:t>
      </w:r>
      <w:r w:rsidRPr="00D56517">
        <w:rPr>
          <w:szCs w:val="24"/>
        </w:rPr>
        <w:t xml:space="preserve"> the time, date, and place of the focus group. The materials also note</w:t>
      </w:r>
      <w:r w:rsidR="00016459">
        <w:rPr>
          <w:szCs w:val="24"/>
        </w:rPr>
        <w:t>d</w:t>
      </w:r>
      <w:r w:rsidRPr="00D56517">
        <w:rPr>
          <w:szCs w:val="24"/>
        </w:rPr>
        <w:t xml:space="preserve"> the $</w:t>
      </w:r>
      <w:r>
        <w:rPr>
          <w:szCs w:val="24"/>
        </w:rPr>
        <w:t>50</w:t>
      </w:r>
      <w:r w:rsidRPr="00D56517">
        <w:rPr>
          <w:szCs w:val="24"/>
        </w:rPr>
        <w:t xml:space="preserve"> incentive for participating in the focus group. </w:t>
      </w:r>
    </w:p>
    <w:p w14:paraId="4A89AF5A" w14:textId="77777777" w:rsidR="00DF23E4" w:rsidRPr="00865AE2" w:rsidRDefault="00DF23E4" w:rsidP="00096ECB">
      <w:pPr>
        <w:pStyle w:val="H3Alpha"/>
        <w:spacing w:after="0" w:line="480" w:lineRule="auto"/>
      </w:pPr>
      <w:bookmarkStart w:id="43" w:name="_Toc408492378"/>
      <w:bookmarkStart w:id="44" w:name="_Toc414577815"/>
      <w:bookmarkStart w:id="45" w:name="_Toc531085520"/>
      <w:r>
        <w:t>B</w:t>
      </w:r>
      <w:r w:rsidR="00861117">
        <w:t>.</w:t>
      </w:r>
      <w:r>
        <w:t>4. Description of tests of procedures</w:t>
      </w:r>
      <w:bookmarkEnd w:id="43"/>
      <w:bookmarkEnd w:id="44"/>
      <w:bookmarkEnd w:id="45"/>
    </w:p>
    <w:p w14:paraId="1F18EBDC" w14:textId="77777777" w:rsidR="00DF23E4" w:rsidRPr="00DF23E4" w:rsidRDefault="00DF23E4" w:rsidP="00096ECB">
      <w:pPr>
        <w:pStyle w:val="NormalSS"/>
        <w:spacing w:after="0" w:line="480" w:lineRule="auto"/>
        <w:ind w:left="432" w:firstLine="0"/>
        <w:rPr>
          <w:b/>
        </w:rPr>
      </w:pPr>
      <w:r w:rsidRPr="00DF23E4">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A1D1A6F" w14:textId="0C38C990" w:rsidR="00DF23E4" w:rsidRPr="003976CB" w:rsidRDefault="00DF23E4" w:rsidP="00096ECB">
      <w:pPr>
        <w:autoSpaceDE w:val="0"/>
        <w:autoSpaceDN w:val="0"/>
        <w:adjustRightInd w:val="0"/>
        <w:ind w:firstLine="450"/>
      </w:pPr>
      <w:r>
        <w:t xml:space="preserve">To develop the follow-up surveys </w:t>
      </w:r>
      <w:r w:rsidR="00794578">
        <w:t xml:space="preserve">the evaluation team </w:t>
      </w:r>
      <w:r w:rsidR="00D2600D">
        <w:t>drew</w:t>
      </w:r>
      <w:r>
        <w:t xml:space="preserve"> on content in other </w:t>
      </w:r>
      <w:r w:rsidRPr="003976CB">
        <w:t>surveys that have been administered successfully with similar low-income</w:t>
      </w:r>
      <w:r>
        <w:t xml:space="preserve"> </w:t>
      </w:r>
      <w:r w:rsidRPr="003976CB">
        <w:t xml:space="preserve">populations, such as the surveys used in </w:t>
      </w:r>
      <w:r>
        <w:t xml:space="preserve">the </w:t>
      </w:r>
      <w:r w:rsidRPr="008E0486">
        <w:t>Workforce Investment Act Gold-Standard Evaluation (</w:t>
      </w:r>
      <w:r w:rsidRPr="003976CB">
        <w:t>WIA GSE</w:t>
      </w:r>
      <w:r>
        <w:t>)</w:t>
      </w:r>
      <w:r w:rsidRPr="003976CB">
        <w:t xml:space="preserve"> or Rural Welfare-to-Work</w:t>
      </w:r>
      <w:r>
        <w:t>, and then pretest</w:t>
      </w:r>
      <w:r w:rsidR="00D2600D">
        <w:t>ed</w:t>
      </w:r>
      <w:r>
        <w:t xml:space="preserve"> the survey instrument</w:t>
      </w:r>
      <w:r w:rsidR="00D23BD5">
        <w:t>s</w:t>
      </w:r>
      <w:r w:rsidRPr="003976CB">
        <w:t>. Since</w:t>
      </w:r>
      <w:r>
        <w:t xml:space="preserve"> </w:t>
      </w:r>
      <w:r w:rsidRPr="003976CB">
        <w:t xml:space="preserve">most </w:t>
      </w:r>
      <w:r>
        <w:t>survey items</w:t>
      </w:r>
      <w:r w:rsidRPr="003976CB">
        <w:t xml:space="preserve"> </w:t>
      </w:r>
      <w:r w:rsidR="00D2600D">
        <w:t>were</w:t>
      </w:r>
      <w:r w:rsidRPr="003976CB">
        <w:t xml:space="preserve"> drawn from previously administered surveys which have</w:t>
      </w:r>
      <w:r>
        <w:t xml:space="preserve"> </w:t>
      </w:r>
      <w:r w:rsidRPr="003976CB">
        <w:t xml:space="preserve">been tested and used successfully, </w:t>
      </w:r>
      <w:r>
        <w:t>the</w:t>
      </w:r>
      <w:r w:rsidRPr="003976CB">
        <w:t xml:space="preserve"> pretest focus</w:t>
      </w:r>
      <w:r w:rsidR="00D2600D">
        <w:t>ed</w:t>
      </w:r>
      <w:r w:rsidRPr="003976CB">
        <w:t xml:space="preserve"> </w:t>
      </w:r>
      <w:r>
        <w:t>mainly</w:t>
      </w:r>
      <w:r w:rsidRPr="003976CB">
        <w:t xml:space="preserve"> on question</w:t>
      </w:r>
      <w:r>
        <w:t xml:space="preserve"> </w:t>
      </w:r>
      <w:r w:rsidRPr="003976CB">
        <w:t xml:space="preserve">sequences </w:t>
      </w:r>
      <w:r>
        <w:t>and</w:t>
      </w:r>
      <w:r w:rsidRPr="003976CB">
        <w:t xml:space="preserve"> </w:t>
      </w:r>
      <w:r>
        <w:t xml:space="preserve">survey </w:t>
      </w:r>
      <w:r w:rsidRPr="003976CB">
        <w:t xml:space="preserve">processes. </w:t>
      </w:r>
      <w:r>
        <w:t>The survey team</w:t>
      </w:r>
      <w:r w:rsidRPr="003976CB">
        <w:t xml:space="preserve"> pretest</w:t>
      </w:r>
      <w:r w:rsidR="00D2600D">
        <w:t>ed</w:t>
      </w:r>
      <w:r w:rsidRPr="003976CB">
        <w:t xml:space="preserve"> </w:t>
      </w:r>
      <w:r w:rsidR="00D2600D">
        <w:t xml:space="preserve">the </w:t>
      </w:r>
      <w:r w:rsidR="007E3FE8">
        <w:t xml:space="preserve">12-month </w:t>
      </w:r>
      <w:r w:rsidR="00D2600D">
        <w:t xml:space="preserve">follow-up survey </w:t>
      </w:r>
      <w:r w:rsidR="007E3FE8">
        <w:t xml:space="preserve">(Attachment O.1) </w:t>
      </w:r>
      <w:r w:rsidRPr="003976CB">
        <w:t>with nine</w:t>
      </w:r>
      <w:r w:rsidR="00D2600D">
        <w:t xml:space="preserve"> current</w:t>
      </w:r>
      <w:r w:rsidRPr="003976CB">
        <w:t xml:space="preserve"> SNAP </w:t>
      </w:r>
      <w:r w:rsidR="00D2600D">
        <w:t xml:space="preserve">E&amp;T </w:t>
      </w:r>
      <w:r w:rsidRPr="003976CB">
        <w:t xml:space="preserve">participants </w:t>
      </w:r>
      <w:r w:rsidR="004F14DD">
        <w:t>from</w:t>
      </w:r>
      <w:r w:rsidR="00D2600D">
        <w:t xml:space="preserve"> two </w:t>
      </w:r>
      <w:r w:rsidR="004F14DD">
        <w:t>pilot site</w:t>
      </w:r>
      <w:r w:rsidR="00D2600D">
        <w:t>s</w:t>
      </w:r>
      <w:r w:rsidRPr="003976CB">
        <w:t xml:space="preserve">. </w:t>
      </w:r>
      <w:r>
        <w:t xml:space="preserve">The survey instruments </w:t>
      </w:r>
      <w:r w:rsidR="00D2600D">
        <w:t>were</w:t>
      </w:r>
      <w:r>
        <w:t xml:space="preserve"> refined based on pretest results. A memo describing the key results from the pretest </w:t>
      </w:r>
      <w:r w:rsidR="001A573C">
        <w:t xml:space="preserve">is included in Attachment </w:t>
      </w:r>
      <w:r w:rsidR="00D2600D">
        <w:t>N.</w:t>
      </w:r>
    </w:p>
    <w:p w14:paraId="698BE10C" w14:textId="77777777" w:rsidR="00DF23E4" w:rsidRPr="00865AE2" w:rsidRDefault="00DF23E4" w:rsidP="00096ECB">
      <w:pPr>
        <w:pStyle w:val="H3Alpha"/>
        <w:spacing w:after="0" w:line="480" w:lineRule="auto"/>
      </w:pPr>
      <w:bookmarkStart w:id="46" w:name="_Toc408492379"/>
      <w:bookmarkStart w:id="47" w:name="_Toc414577816"/>
      <w:bookmarkStart w:id="48" w:name="_Toc531085521"/>
      <w:r w:rsidRPr="00865AE2">
        <w:t>B</w:t>
      </w:r>
      <w:r w:rsidR="00861117">
        <w:t>.</w:t>
      </w:r>
      <w:r w:rsidRPr="00865AE2">
        <w:t>5.</w:t>
      </w:r>
      <w:r w:rsidR="009919B0">
        <w:t xml:space="preserve"> </w:t>
      </w:r>
      <w:r>
        <w:t>Individuals consulted on statistical aspects of the design</w:t>
      </w:r>
      <w:bookmarkEnd w:id="46"/>
      <w:bookmarkEnd w:id="47"/>
      <w:bookmarkEnd w:id="48"/>
    </w:p>
    <w:p w14:paraId="36458990" w14:textId="77777777" w:rsidR="00DF23E4" w:rsidRPr="00DF23E4" w:rsidRDefault="00DF23E4" w:rsidP="00096ECB">
      <w:pPr>
        <w:pStyle w:val="NormalSS"/>
        <w:spacing w:after="0" w:line="480" w:lineRule="auto"/>
        <w:ind w:left="432" w:firstLine="0"/>
        <w:rPr>
          <w:b/>
        </w:rPr>
      </w:pPr>
      <w:r w:rsidRPr="00DF23E4">
        <w:rPr>
          <w:b/>
        </w:rPr>
        <w:t>Provide the name and telephone number of individuals consulted on statistical aspects of the design and the name of the agency unit, contractor(s), awardee(s), or other person(s) who will actually collect and/or analyze the information for the agency.</w:t>
      </w:r>
    </w:p>
    <w:p w14:paraId="24BB2AFD" w14:textId="2A95F4B1" w:rsidR="00B30DDF" w:rsidRDefault="00DF23E4" w:rsidP="00096ECB">
      <w:r>
        <w:t xml:space="preserve">The </w:t>
      </w:r>
      <w:r w:rsidRPr="00D50C9C">
        <w:t>information will be collected and analyzed by Mathematica Policy Research. The sampling procedures were developed by Nicholas Beyler (telephone 202</w:t>
      </w:r>
      <w:r>
        <w:t>-</w:t>
      </w:r>
      <w:r w:rsidRPr="00D50C9C">
        <w:t>250-3539) of Mathematica. The sampling plans were reviewed internally by Michael Sinclair (telephone 202</w:t>
      </w:r>
      <w:r>
        <w:t>-</w:t>
      </w:r>
      <w:r w:rsidRPr="00D50C9C">
        <w:t>552-6439), a senior fellow at Mathematica.</w:t>
      </w:r>
      <w:r>
        <w:t xml:space="preserve"> </w:t>
      </w:r>
      <w:r w:rsidR="009F04DF">
        <w:t>Jennifer Rhorer</w:t>
      </w:r>
      <w:r w:rsidR="0071402F">
        <w:t xml:space="preserve">, </w:t>
      </w:r>
      <w:r w:rsidR="009F04DF">
        <w:t>(800) 727-9540</w:t>
      </w:r>
      <w:r w:rsidR="0071402F">
        <w:t>,</w:t>
      </w:r>
      <w:r>
        <w:t xml:space="preserve"> of the National Agricultural Statistics Service (NASS) has also reviewed this supporting statement and provided comments that have been incorporated.</w:t>
      </w:r>
    </w:p>
    <w:p w14:paraId="3B6CDEF0" w14:textId="77777777" w:rsidR="00096ECB" w:rsidRDefault="00096ECB">
      <w:pPr>
        <w:spacing w:after="240" w:line="240" w:lineRule="auto"/>
        <w:ind w:firstLine="0"/>
        <w:rPr>
          <w:rFonts w:ascii="Arial Black" w:hAnsi="Arial Black"/>
          <w:caps/>
          <w:sz w:val="22"/>
        </w:rPr>
      </w:pPr>
      <w:r>
        <w:br w:type="page"/>
      </w:r>
    </w:p>
    <w:p w14:paraId="5AB16B69" w14:textId="77777777" w:rsidR="007C02E5" w:rsidRDefault="007C02E5" w:rsidP="007C02E5">
      <w:pPr>
        <w:pStyle w:val="H2Chapter"/>
      </w:pPr>
      <w:r>
        <w:t>REFERENCES</w:t>
      </w:r>
    </w:p>
    <w:p w14:paraId="63728D42" w14:textId="77777777" w:rsidR="003F2730" w:rsidRPr="003F2730" w:rsidRDefault="003F2730" w:rsidP="00032084">
      <w:pPr>
        <w:pStyle w:val="References"/>
        <w:rPr>
          <w:rFonts w:eastAsiaTheme="minorEastAsia"/>
        </w:rPr>
      </w:pPr>
      <w:r w:rsidRPr="003F2730">
        <w:rPr>
          <w:rFonts w:eastAsiaTheme="minorEastAsia"/>
          <w:spacing w:val="-1"/>
        </w:rPr>
        <w:t>B</w:t>
      </w:r>
      <w:r w:rsidRPr="003F2730">
        <w:rPr>
          <w:rFonts w:eastAsiaTheme="minorEastAsia"/>
        </w:rPr>
        <w:t>loom,</w:t>
      </w:r>
      <w:r w:rsidRPr="003F2730">
        <w:rPr>
          <w:rFonts w:eastAsiaTheme="minorEastAsia"/>
          <w:spacing w:val="-4"/>
        </w:rPr>
        <w:t xml:space="preserve"> </w:t>
      </w:r>
      <w:r w:rsidRPr="003F2730">
        <w:rPr>
          <w:rFonts w:eastAsiaTheme="minorEastAsia"/>
        </w:rPr>
        <w:t>D.,</w:t>
      </w:r>
      <w:r w:rsidRPr="003F2730">
        <w:rPr>
          <w:rFonts w:eastAsiaTheme="minorEastAsia"/>
          <w:spacing w:val="-3"/>
        </w:rPr>
        <w:t xml:space="preserve"> </w:t>
      </w:r>
      <w:r w:rsidRPr="003F2730">
        <w:rPr>
          <w:rFonts w:eastAsiaTheme="minorEastAsia"/>
          <w:spacing w:val="1"/>
        </w:rPr>
        <w:t>a</w:t>
      </w:r>
      <w:r w:rsidRPr="003F2730">
        <w:rPr>
          <w:rFonts w:eastAsiaTheme="minorEastAsia"/>
        </w:rPr>
        <w:t xml:space="preserve">nd </w:t>
      </w:r>
      <w:r w:rsidRPr="003F2730">
        <w:rPr>
          <w:rFonts w:eastAsiaTheme="minorEastAsia"/>
          <w:spacing w:val="1"/>
        </w:rPr>
        <w:t>C</w:t>
      </w:r>
      <w:r w:rsidRPr="003F2730">
        <w:rPr>
          <w:rFonts w:eastAsiaTheme="minorEastAsia"/>
        </w:rPr>
        <w:t>.</w:t>
      </w:r>
      <w:r w:rsidRPr="003F2730">
        <w:rPr>
          <w:rFonts w:eastAsiaTheme="minorEastAsia"/>
          <w:spacing w:val="-1"/>
        </w:rPr>
        <w:t xml:space="preserve"> M</w:t>
      </w:r>
      <w:r w:rsidRPr="003F2730">
        <w:rPr>
          <w:rFonts w:eastAsiaTheme="minorEastAsia"/>
        </w:rPr>
        <w:t>i</w:t>
      </w:r>
      <w:r w:rsidRPr="003F2730">
        <w:rPr>
          <w:rFonts w:eastAsiaTheme="minorEastAsia"/>
          <w:spacing w:val="1"/>
        </w:rPr>
        <w:t>c</w:t>
      </w:r>
      <w:r w:rsidRPr="003F2730">
        <w:rPr>
          <w:rFonts w:eastAsiaTheme="minorEastAsia"/>
        </w:rPr>
        <w:t>h</w:t>
      </w:r>
      <w:r w:rsidRPr="003F2730">
        <w:rPr>
          <w:rFonts w:eastAsiaTheme="minorEastAsia"/>
          <w:spacing w:val="1"/>
        </w:rPr>
        <w:t>a</w:t>
      </w:r>
      <w:r w:rsidRPr="003F2730">
        <w:rPr>
          <w:rFonts w:eastAsiaTheme="minorEastAsia"/>
          <w:spacing w:val="-2"/>
        </w:rPr>
        <w:t>l</w:t>
      </w:r>
      <w:r w:rsidRPr="003F2730">
        <w:rPr>
          <w:rFonts w:eastAsiaTheme="minorEastAsia"/>
        </w:rPr>
        <w:t>opoulo</w:t>
      </w:r>
      <w:r w:rsidRPr="003F2730">
        <w:rPr>
          <w:rFonts w:eastAsiaTheme="minorEastAsia"/>
          <w:spacing w:val="-1"/>
        </w:rPr>
        <w:t>s</w:t>
      </w:r>
      <w:r w:rsidRPr="003F2730">
        <w:rPr>
          <w:rFonts w:eastAsiaTheme="minorEastAsia"/>
        </w:rPr>
        <w:t>.</w:t>
      </w:r>
      <w:r w:rsidRPr="003F2730">
        <w:rPr>
          <w:rFonts w:eastAsiaTheme="minorEastAsia"/>
          <w:spacing w:val="-3"/>
        </w:rPr>
        <w:t xml:space="preserve"> </w:t>
      </w:r>
      <w:r w:rsidRPr="003F2730">
        <w:rPr>
          <w:rFonts w:eastAsiaTheme="minorEastAsia"/>
          <w:spacing w:val="1"/>
        </w:rPr>
        <w:t>“</w:t>
      </w:r>
      <w:r w:rsidRPr="003F2730">
        <w:rPr>
          <w:rFonts w:eastAsiaTheme="minorEastAsia"/>
        </w:rPr>
        <w:t>How</w:t>
      </w:r>
      <w:r w:rsidRPr="003F2730">
        <w:rPr>
          <w:rFonts w:eastAsiaTheme="minorEastAsia"/>
          <w:spacing w:val="-2"/>
        </w:rPr>
        <w:t xml:space="preserve"> </w:t>
      </w:r>
      <w:r w:rsidRPr="003F2730">
        <w:rPr>
          <w:rFonts w:eastAsiaTheme="minorEastAsia"/>
          <w:spacing w:val="1"/>
        </w:rPr>
        <w:t>We</w:t>
      </w:r>
      <w:r w:rsidRPr="003F2730">
        <w:rPr>
          <w:rFonts w:eastAsiaTheme="minorEastAsia"/>
        </w:rPr>
        <w:t>l</w:t>
      </w:r>
      <w:r w:rsidRPr="003F2730">
        <w:rPr>
          <w:rFonts w:eastAsiaTheme="minorEastAsia"/>
          <w:spacing w:val="-1"/>
        </w:rPr>
        <w:t>f</w:t>
      </w:r>
      <w:r w:rsidRPr="003F2730">
        <w:rPr>
          <w:rFonts w:eastAsiaTheme="minorEastAsia"/>
          <w:spacing w:val="1"/>
        </w:rPr>
        <w:t>a</w:t>
      </w:r>
      <w:r w:rsidRPr="003F2730">
        <w:rPr>
          <w:rFonts w:eastAsiaTheme="minorEastAsia"/>
          <w:spacing w:val="-1"/>
        </w:rPr>
        <w:t>r</w:t>
      </w:r>
      <w:r w:rsidRPr="003F2730">
        <w:rPr>
          <w:rFonts w:eastAsiaTheme="minorEastAsia"/>
        </w:rPr>
        <w:t>e</w:t>
      </w:r>
      <w:r w:rsidRPr="003F2730">
        <w:rPr>
          <w:rFonts w:eastAsiaTheme="minorEastAsia"/>
          <w:spacing w:val="-5"/>
        </w:rPr>
        <w:t xml:space="preserve"> </w:t>
      </w:r>
      <w:r w:rsidRPr="003F2730">
        <w:rPr>
          <w:rFonts w:eastAsiaTheme="minorEastAsia"/>
          <w:spacing w:val="-2"/>
        </w:rPr>
        <w:t>a</w:t>
      </w:r>
      <w:r w:rsidRPr="003F2730">
        <w:rPr>
          <w:rFonts w:eastAsiaTheme="minorEastAsia"/>
        </w:rPr>
        <w:t xml:space="preserve">nd </w:t>
      </w:r>
      <w:r w:rsidRPr="003F2730">
        <w:rPr>
          <w:rFonts w:eastAsiaTheme="minorEastAsia"/>
          <w:spacing w:val="1"/>
        </w:rPr>
        <w:t>W</w:t>
      </w:r>
      <w:r w:rsidRPr="003F2730">
        <w:rPr>
          <w:rFonts w:eastAsiaTheme="minorEastAsia"/>
        </w:rPr>
        <w:t>o</w:t>
      </w:r>
      <w:r w:rsidRPr="003F2730">
        <w:rPr>
          <w:rFonts w:eastAsiaTheme="minorEastAsia"/>
          <w:spacing w:val="-1"/>
        </w:rPr>
        <w:t>r</w:t>
      </w:r>
      <w:r w:rsidRPr="003F2730">
        <w:rPr>
          <w:rFonts w:eastAsiaTheme="minorEastAsia"/>
        </w:rPr>
        <w:t>k</w:t>
      </w:r>
      <w:r w:rsidRPr="003F2730">
        <w:rPr>
          <w:rFonts w:eastAsiaTheme="minorEastAsia"/>
          <w:spacing w:val="-1"/>
        </w:rPr>
        <w:t xml:space="preserve"> P</w:t>
      </w:r>
      <w:r w:rsidRPr="003F2730">
        <w:rPr>
          <w:rFonts w:eastAsiaTheme="minorEastAsia"/>
        </w:rPr>
        <w:t>oli</w:t>
      </w:r>
      <w:r w:rsidRPr="003F2730">
        <w:rPr>
          <w:rFonts w:eastAsiaTheme="minorEastAsia"/>
          <w:spacing w:val="1"/>
        </w:rPr>
        <w:t>c</w:t>
      </w:r>
      <w:r w:rsidRPr="003F2730">
        <w:rPr>
          <w:rFonts w:eastAsiaTheme="minorEastAsia"/>
        </w:rPr>
        <w:t>i</w:t>
      </w:r>
      <w:r w:rsidRPr="003F2730">
        <w:rPr>
          <w:rFonts w:eastAsiaTheme="minorEastAsia"/>
          <w:spacing w:val="1"/>
        </w:rPr>
        <w:t>e</w:t>
      </w:r>
      <w:r w:rsidRPr="003F2730">
        <w:rPr>
          <w:rFonts w:eastAsiaTheme="minorEastAsia"/>
        </w:rPr>
        <w:t>s</w:t>
      </w:r>
      <w:r w:rsidRPr="003F2730">
        <w:rPr>
          <w:rFonts w:eastAsiaTheme="minorEastAsia"/>
          <w:spacing w:val="-5"/>
        </w:rPr>
        <w:t xml:space="preserve"> </w:t>
      </w:r>
      <w:r w:rsidRPr="003F2730">
        <w:rPr>
          <w:rFonts w:eastAsiaTheme="minorEastAsia"/>
          <w:spacing w:val="1"/>
        </w:rPr>
        <w:t>A</w:t>
      </w:r>
      <w:r w:rsidRPr="003F2730">
        <w:rPr>
          <w:rFonts w:eastAsiaTheme="minorEastAsia"/>
          <w:spacing w:val="-1"/>
        </w:rPr>
        <w:t>ff</w:t>
      </w:r>
      <w:r w:rsidRPr="003F2730">
        <w:rPr>
          <w:rFonts w:eastAsiaTheme="minorEastAsia"/>
          <w:spacing w:val="1"/>
        </w:rPr>
        <w:t>ec</w:t>
      </w:r>
      <w:r w:rsidRPr="003F2730">
        <w:rPr>
          <w:rFonts w:eastAsiaTheme="minorEastAsia"/>
        </w:rPr>
        <w:t>t</w:t>
      </w:r>
      <w:r w:rsidRPr="003F2730">
        <w:rPr>
          <w:rFonts w:eastAsiaTheme="minorEastAsia"/>
          <w:spacing w:val="-7"/>
        </w:rPr>
        <w:t xml:space="preserve"> </w:t>
      </w:r>
      <w:r w:rsidRPr="003F2730">
        <w:rPr>
          <w:rFonts w:eastAsiaTheme="minorEastAsia"/>
          <w:spacing w:val="1"/>
        </w:rPr>
        <w:t>E</w:t>
      </w:r>
      <w:r w:rsidRPr="003F2730">
        <w:rPr>
          <w:rFonts w:eastAsiaTheme="minorEastAsia"/>
        </w:rPr>
        <w:t>mplo</w:t>
      </w:r>
      <w:r w:rsidRPr="003F2730">
        <w:rPr>
          <w:rFonts w:eastAsiaTheme="minorEastAsia"/>
          <w:spacing w:val="1"/>
        </w:rPr>
        <w:t>y</w:t>
      </w:r>
      <w:r w:rsidRPr="003F2730">
        <w:rPr>
          <w:rFonts w:eastAsiaTheme="minorEastAsia"/>
        </w:rPr>
        <w:t>m</w:t>
      </w:r>
      <w:r w:rsidRPr="003F2730">
        <w:rPr>
          <w:rFonts w:eastAsiaTheme="minorEastAsia"/>
          <w:spacing w:val="1"/>
        </w:rPr>
        <w:t>e</w:t>
      </w:r>
      <w:r w:rsidRPr="003F2730">
        <w:rPr>
          <w:rFonts w:eastAsiaTheme="minorEastAsia"/>
        </w:rPr>
        <w:t>nt</w:t>
      </w:r>
      <w:r w:rsidRPr="003F2730">
        <w:rPr>
          <w:rFonts w:eastAsiaTheme="minorEastAsia"/>
          <w:spacing w:val="-5"/>
        </w:rPr>
        <w:t xml:space="preserve"> </w:t>
      </w:r>
      <w:r w:rsidRPr="003F2730">
        <w:rPr>
          <w:rFonts w:eastAsiaTheme="minorEastAsia"/>
          <w:spacing w:val="1"/>
        </w:rPr>
        <w:t>a</w:t>
      </w:r>
      <w:r w:rsidRPr="003F2730">
        <w:rPr>
          <w:rFonts w:eastAsiaTheme="minorEastAsia"/>
        </w:rPr>
        <w:t>nd</w:t>
      </w:r>
      <w:r w:rsidR="00032084">
        <w:rPr>
          <w:rFonts w:eastAsiaTheme="minorEastAsia"/>
        </w:rPr>
        <w:t xml:space="preserve"> </w:t>
      </w:r>
      <w:r w:rsidRPr="003F2730">
        <w:rPr>
          <w:rFonts w:eastAsiaTheme="minorEastAsia"/>
          <w:spacing w:val="-1"/>
        </w:rPr>
        <w:t>I</w:t>
      </w:r>
      <w:r w:rsidRPr="003F2730">
        <w:rPr>
          <w:rFonts w:eastAsiaTheme="minorEastAsia"/>
        </w:rPr>
        <w:t>n</w:t>
      </w:r>
      <w:r w:rsidRPr="003F2730">
        <w:rPr>
          <w:rFonts w:eastAsiaTheme="minorEastAsia"/>
          <w:spacing w:val="1"/>
        </w:rPr>
        <w:t>c</w:t>
      </w:r>
      <w:r w:rsidRPr="003F2730">
        <w:rPr>
          <w:rFonts w:eastAsiaTheme="minorEastAsia"/>
        </w:rPr>
        <w:t>om</w:t>
      </w:r>
      <w:r w:rsidRPr="003F2730">
        <w:rPr>
          <w:rFonts w:eastAsiaTheme="minorEastAsia"/>
          <w:spacing w:val="1"/>
        </w:rPr>
        <w:t>e</w:t>
      </w:r>
      <w:r w:rsidRPr="003F2730">
        <w:rPr>
          <w:rFonts w:eastAsiaTheme="minorEastAsia"/>
        </w:rPr>
        <w:t>:</w:t>
      </w:r>
      <w:r w:rsidRPr="003F2730">
        <w:rPr>
          <w:rFonts w:eastAsiaTheme="minorEastAsia"/>
          <w:spacing w:val="-4"/>
        </w:rPr>
        <w:t xml:space="preserve"> </w:t>
      </w:r>
      <w:r w:rsidRPr="003F2730">
        <w:rPr>
          <w:rFonts w:eastAsiaTheme="minorEastAsia"/>
        </w:rPr>
        <w:t>A</w:t>
      </w:r>
      <w:r w:rsidRPr="003F2730">
        <w:rPr>
          <w:rFonts w:eastAsiaTheme="minorEastAsia"/>
          <w:spacing w:val="1"/>
        </w:rPr>
        <w:t xml:space="preserve"> </w:t>
      </w:r>
      <w:r w:rsidRPr="003F2730">
        <w:rPr>
          <w:rFonts w:eastAsiaTheme="minorEastAsia"/>
        </w:rPr>
        <w:t>S</w:t>
      </w:r>
      <w:r w:rsidRPr="003F2730">
        <w:rPr>
          <w:rFonts w:eastAsiaTheme="minorEastAsia"/>
          <w:spacing w:val="1"/>
        </w:rPr>
        <w:t>y</w:t>
      </w:r>
      <w:r w:rsidRPr="003F2730">
        <w:rPr>
          <w:rFonts w:eastAsiaTheme="minorEastAsia"/>
        </w:rPr>
        <w:t>nth</w:t>
      </w:r>
      <w:r w:rsidRPr="003F2730">
        <w:rPr>
          <w:rFonts w:eastAsiaTheme="minorEastAsia"/>
          <w:spacing w:val="1"/>
        </w:rPr>
        <w:t>e</w:t>
      </w:r>
      <w:r w:rsidRPr="003F2730">
        <w:rPr>
          <w:rFonts w:eastAsiaTheme="minorEastAsia"/>
          <w:spacing w:val="-1"/>
        </w:rPr>
        <w:t>s</w:t>
      </w:r>
      <w:r w:rsidRPr="003F2730">
        <w:rPr>
          <w:rFonts w:eastAsiaTheme="minorEastAsia"/>
        </w:rPr>
        <w:t>is</w:t>
      </w:r>
      <w:r w:rsidRPr="003F2730">
        <w:rPr>
          <w:rFonts w:eastAsiaTheme="minorEastAsia"/>
          <w:spacing w:val="-5"/>
        </w:rPr>
        <w:t xml:space="preserve"> </w:t>
      </w:r>
      <w:r w:rsidRPr="003F2730">
        <w:rPr>
          <w:rFonts w:eastAsiaTheme="minorEastAsia"/>
        </w:rPr>
        <w:t>of</w:t>
      </w:r>
      <w:r w:rsidRPr="003F2730">
        <w:rPr>
          <w:rFonts w:eastAsiaTheme="minorEastAsia"/>
          <w:spacing w:val="-2"/>
        </w:rPr>
        <w:t xml:space="preserve"> </w:t>
      </w:r>
      <w:r w:rsidRPr="003F2730">
        <w:rPr>
          <w:rFonts w:eastAsiaTheme="minorEastAsia"/>
          <w:spacing w:val="1"/>
        </w:rPr>
        <w:t>Re</w:t>
      </w:r>
      <w:r w:rsidRPr="003F2730">
        <w:rPr>
          <w:rFonts w:eastAsiaTheme="minorEastAsia"/>
          <w:spacing w:val="-1"/>
        </w:rPr>
        <w:t>s</w:t>
      </w:r>
      <w:r w:rsidRPr="003F2730">
        <w:rPr>
          <w:rFonts w:eastAsiaTheme="minorEastAsia"/>
          <w:spacing w:val="1"/>
        </w:rPr>
        <w:t>ea</w:t>
      </w:r>
      <w:r w:rsidRPr="003F2730">
        <w:rPr>
          <w:rFonts w:eastAsiaTheme="minorEastAsia"/>
          <w:spacing w:val="-1"/>
        </w:rPr>
        <w:t>r</w:t>
      </w:r>
      <w:r w:rsidRPr="003F2730">
        <w:rPr>
          <w:rFonts w:eastAsiaTheme="minorEastAsia"/>
          <w:spacing w:val="1"/>
        </w:rPr>
        <w:t>c</w:t>
      </w:r>
      <w:r w:rsidRPr="003F2730">
        <w:rPr>
          <w:rFonts w:eastAsiaTheme="minorEastAsia"/>
        </w:rPr>
        <w:t>h.”</w:t>
      </w:r>
      <w:r w:rsidRPr="003F2730">
        <w:rPr>
          <w:rFonts w:eastAsiaTheme="minorEastAsia"/>
          <w:spacing w:val="-5"/>
        </w:rPr>
        <w:t xml:space="preserve"> </w:t>
      </w:r>
      <w:r w:rsidRPr="003F2730">
        <w:rPr>
          <w:rFonts w:eastAsiaTheme="minorEastAsia"/>
        </w:rPr>
        <w:t>N</w:t>
      </w:r>
      <w:r w:rsidRPr="003F2730">
        <w:rPr>
          <w:rFonts w:eastAsiaTheme="minorEastAsia"/>
          <w:spacing w:val="1"/>
        </w:rPr>
        <w:t>e</w:t>
      </w:r>
      <w:r w:rsidRPr="003F2730">
        <w:rPr>
          <w:rFonts w:eastAsiaTheme="minorEastAsia"/>
        </w:rPr>
        <w:t>w</w:t>
      </w:r>
      <w:r w:rsidRPr="003F2730">
        <w:rPr>
          <w:rFonts w:eastAsiaTheme="minorEastAsia"/>
          <w:spacing w:val="-6"/>
        </w:rPr>
        <w:t xml:space="preserve"> </w:t>
      </w:r>
      <w:r w:rsidRPr="003F2730">
        <w:rPr>
          <w:rFonts w:eastAsiaTheme="minorEastAsia"/>
          <w:spacing w:val="1"/>
        </w:rPr>
        <w:t>Y</w:t>
      </w:r>
      <w:r w:rsidRPr="003F2730">
        <w:rPr>
          <w:rFonts w:eastAsiaTheme="minorEastAsia"/>
        </w:rPr>
        <w:t>o</w:t>
      </w:r>
      <w:r w:rsidRPr="003F2730">
        <w:rPr>
          <w:rFonts w:eastAsiaTheme="minorEastAsia"/>
          <w:spacing w:val="-1"/>
        </w:rPr>
        <w:t>r</w:t>
      </w:r>
      <w:r w:rsidRPr="003F2730">
        <w:rPr>
          <w:rFonts w:eastAsiaTheme="minorEastAsia"/>
        </w:rPr>
        <w:t>k:</w:t>
      </w:r>
      <w:r w:rsidRPr="003F2730">
        <w:rPr>
          <w:rFonts w:eastAsiaTheme="minorEastAsia"/>
          <w:spacing w:val="-2"/>
        </w:rPr>
        <w:t xml:space="preserve"> </w:t>
      </w:r>
      <w:r w:rsidRPr="003F2730">
        <w:rPr>
          <w:rFonts w:eastAsiaTheme="minorEastAsia"/>
          <w:spacing w:val="-1"/>
        </w:rPr>
        <w:t>M</w:t>
      </w:r>
      <w:r w:rsidRPr="003F2730">
        <w:rPr>
          <w:rFonts w:eastAsiaTheme="minorEastAsia"/>
        </w:rPr>
        <w:t>D</w:t>
      </w:r>
      <w:r w:rsidRPr="003F2730">
        <w:rPr>
          <w:rFonts w:eastAsiaTheme="minorEastAsia"/>
          <w:spacing w:val="1"/>
        </w:rPr>
        <w:t>RC</w:t>
      </w:r>
      <w:r w:rsidRPr="003F2730">
        <w:rPr>
          <w:rFonts w:eastAsiaTheme="minorEastAsia"/>
        </w:rPr>
        <w:t>,</w:t>
      </w:r>
      <w:r w:rsidRPr="003F2730">
        <w:rPr>
          <w:rFonts w:eastAsiaTheme="minorEastAsia"/>
          <w:spacing w:val="-2"/>
        </w:rPr>
        <w:t xml:space="preserve"> </w:t>
      </w:r>
      <w:r w:rsidRPr="003F2730">
        <w:rPr>
          <w:rFonts w:eastAsiaTheme="minorEastAsia"/>
        </w:rPr>
        <w:t>20</w:t>
      </w:r>
      <w:r w:rsidRPr="003F2730">
        <w:rPr>
          <w:rFonts w:eastAsiaTheme="minorEastAsia"/>
          <w:spacing w:val="-2"/>
        </w:rPr>
        <w:t>0</w:t>
      </w:r>
      <w:r w:rsidRPr="003F2730">
        <w:rPr>
          <w:rFonts w:eastAsiaTheme="minorEastAsia"/>
        </w:rPr>
        <w:t>1.</w:t>
      </w:r>
    </w:p>
    <w:p w14:paraId="3CA20F51" w14:textId="77777777" w:rsidR="003F2730" w:rsidRPr="003F2730" w:rsidRDefault="003F2730" w:rsidP="00032084">
      <w:pPr>
        <w:pStyle w:val="References"/>
        <w:rPr>
          <w:rFonts w:eastAsiaTheme="minorEastAsia"/>
        </w:rPr>
      </w:pPr>
      <w:r w:rsidRPr="003F2730">
        <w:rPr>
          <w:rFonts w:eastAsiaTheme="minorEastAsia"/>
        </w:rPr>
        <w:t>D</w:t>
      </w:r>
      <w:r w:rsidRPr="003F2730">
        <w:rPr>
          <w:rFonts w:eastAsiaTheme="minorEastAsia"/>
          <w:spacing w:val="1"/>
        </w:rPr>
        <w:t>ec</w:t>
      </w:r>
      <w:r w:rsidRPr="003F2730">
        <w:rPr>
          <w:rFonts w:eastAsiaTheme="minorEastAsia"/>
        </w:rPr>
        <w:t>k</w:t>
      </w:r>
      <w:r w:rsidRPr="003F2730">
        <w:rPr>
          <w:rFonts w:eastAsiaTheme="minorEastAsia"/>
          <w:spacing w:val="1"/>
        </w:rPr>
        <w:t>e</w:t>
      </w:r>
      <w:r w:rsidRPr="003F2730">
        <w:rPr>
          <w:rFonts w:eastAsiaTheme="minorEastAsia"/>
          <w:spacing w:val="-1"/>
        </w:rPr>
        <w:t>r</w:t>
      </w:r>
      <w:r w:rsidRPr="003F2730">
        <w:rPr>
          <w:rFonts w:eastAsiaTheme="minorEastAsia"/>
        </w:rPr>
        <w:t>,</w:t>
      </w:r>
      <w:r w:rsidRPr="003F2730">
        <w:rPr>
          <w:rFonts w:eastAsiaTheme="minorEastAsia"/>
          <w:spacing w:val="-7"/>
        </w:rPr>
        <w:t xml:space="preserve"> </w:t>
      </w:r>
      <w:r w:rsidRPr="003F2730">
        <w:rPr>
          <w:rFonts w:eastAsiaTheme="minorEastAsia"/>
          <w:spacing w:val="-1"/>
        </w:rPr>
        <w:t>P</w:t>
      </w:r>
      <w:r w:rsidRPr="003F2730">
        <w:rPr>
          <w:rFonts w:eastAsiaTheme="minorEastAsia"/>
          <w:spacing w:val="1"/>
        </w:rPr>
        <w:t>a</w:t>
      </w:r>
      <w:r w:rsidRPr="003F2730">
        <w:rPr>
          <w:rFonts w:eastAsiaTheme="minorEastAsia"/>
        </w:rPr>
        <w:t>ul</w:t>
      </w:r>
      <w:r w:rsidRPr="003F2730">
        <w:rPr>
          <w:rFonts w:eastAsiaTheme="minorEastAsia"/>
          <w:spacing w:val="-3"/>
        </w:rPr>
        <w:t xml:space="preserve"> </w:t>
      </w:r>
      <w:r w:rsidRPr="003F2730">
        <w:rPr>
          <w:rFonts w:eastAsiaTheme="minorEastAsia"/>
          <w:spacing w:val="-1"/>
        </w:rPr>
        <w:t>T</w:t>
      </w:r>
      <w:r w:rsidRPr="003F2730">
        <w:rPr>
          <w:rFonts w:eastAsiaTheme="minorEastAsia"/>
        </w:rPr>
        <w:t>.,</w:t>
      </w:r>
      <w:r w:rsidRPr="003F2730">
        <w:rPr>
          <w:rFonts w:eastAsiaTheme="minorEastAsia"/>
          <w:spacing w:val="-3"/>
        </w:rPr>
        <w:t xml:space="preserve"> </w:t>
      </w:r>
      <w:r w:rsidRPr="003F2730">
        <w:rPr>
          <w:rFonts w:eastAsiaTheme="minorEastAsia"/>
          <w:spacing w:val="1"/>
        </w:rPr>
        <w:t>a</w:t>
      </w:r>
      <w:r w:rsidRPr="003F2730">
        <w:rPr>
          <w:rFonts w:eastAsiaTheme="minorEastAsia"/>
        </w:rPr>
        <w:t xml:space="preserve">nd </w:t>
      </w:r>
      <w:r w:rsidRPr="003F2730">
        <w:rPr>
          <w:rFonts w:eastAsiaTheme="minorEastAsia"/>
          <w:spacing w:val="-1"/>
        </w:rPr>
        <w:t>J</w:t>
      </w:r>
      <w:r w:rsidRPr="003F2730">
        <w:rPr>
          <w:rFonts w:eastAsiaTheme="minorEastAsia"/>
        </w:rPr>
        <w:t>ill</w:t>
      </w:r>
      <w:r w:rsidRPr="003F2730">
        <w:rPr>
          <w:rFonts w:eastAsiaTheme="minorEastAsia"/>
          <w:spacing w:val="-2"/>
        </w:rPr>
        <w:t>ia</w:t>
      </w:r>
      <w:r w:rsidRPr="003F2730">
        <w:rPr>
          <w:rFonts w:eastAsiaTheme="minorEastAsia"/>
        </w:rPr>
        <w:t xml:space="preserve">n </w:t>
      </w:r>
      <w:r w:rsidRPr="003F2730">
        <w:rPr>
          <w:rFonts w:eastAsiaTheme="minorEastAsia"/>
          <w:spacing w:val="-1"/>
        </w:rPr>
        <w:t>B</w:t>
      </w:r>
      <w:r w:rsidRPr="003F2730">
        <w:rPr>
          <w:rFonts w:eastAsiaTheme="minorEastAsia"/>
          <w:spacing w:val="1"/>
        </w:rPr>
        <w:t>e</w:t>
      </w:r>
      <w:r w:rsidRPr="003F2730">
        <w:rPr>
          <w:rFonts w:eastAsiaTheme="minorEastAsia"/>
          <w:spacing w:val="-1"/>
        </w:rPr>
        <w:t>r</w:t>
      </w:r>
      <w:r w:rsidRPr="003F2730">
        <w:rPr>
          <w:rFonts w:eastAsiaTheme="minorEastAsia"/>
        </w:rPr>
        <w:t>k.</w:t>
      </w:r>
      <w:r w:rsidRPr="003F2730">
        <w:rPr>
          <w:rFonts w:eastAsiaTheme="minorEastAsia"/>
          <w:spacing w:val="-4"/>
        </w:rPr>
        <w:t xml:space="preserve"> </w:t>
      </w:r>
      <w:r w:rsidRPr="003F2730">
        <w:rPr>
          <w:rFonts w:eastAsiaTheme="minorEastAsia"/>
          <w:spacing w:val="1"/>
        </w:rPr>
        <w:t>“</w:t>
      </w:r>
      <w:r w:rsidRPr="003F2730">
        <w:rPr>
          <w:rFonts w:eastAsiaTheme="minorEastAsia"/>
          <w:spacing w:val="-1"/>
        </w:rPr>
        <w:t>T</w:t>
      </w:r>
      <w:r w:rsidRPr="003F2730">
        <w:rPr>
          <w:rFonts w:eastAsiaTheme="minorEastAsia"/>
          <w:spacing w:val="1"/>
        </w:rPr>
        <w:t>e</w:t>
      </w:r>
      <w:r w:rsidRPr="003F2730">
        <w:rPr>
          <w:rFonts w:eastAsiaTheme="minorEastAsia"/>
        </w:rPr>
        <w:t>n</w:t>
      </w:r>
      <w:r w:rsidRPr="003F2730">
        <w:rPr>
          <w:rFonts w:eastAsiaTheme="minorEastAsia"/>
          <w:spacing w:val="-4"/>
        </w:rPr>
        <w:t xml:space="preserve"> </w:t>
      </w:r>
      <w:r w:rsidRPr="003F2730">
        <w:rPr>
          <w:rFonts w:eastAsiaTheme="minorEastAsia"/>
          <w:spacing w:val="1"/>
        </w:rPr>
        <w:t>Yea</w:t>
      </w:r>
      <w:r w:rsidRPr="003F2730">
        <w:rPr>
          <w:rFonts w:eastAsiaTheme="minorEastAsia"/>
          <w:spacing w:val="-1"/>
        </w:rPr>
        <w:t>r</w:t>
      </w:r>
      <w:r w:rsidRPr="003F2730">
        <w:rPr>
          <w:rFonts w:eastAsiaTheme="minorEastAsia"/>
        </w:rPr>
        <w:t>s</w:t>
      </w:r>
      <w:r w:rsidRPr="003F2730">
        <w:rPr>
          <w:rFonts w:eastAsiaTheme="minorEastAsia"/>
          <w:spacing w:val="-4"/>
        </w:rPr>
        <w:t xml:space="preserve"> </w:t>
      </w:r>
      <w:r w:rsidRPr="003F2730">
        <w:rPr>
          <w:rFonts w:eastAsiaTheme="minorEastAsia"/>
        </w:rPr>
        <w:t>of</w:t>
      </w:r>
      <w:r w:rsidRPr="003F2730">
        <w:rPr>
          <w:rFonts w:eastAsiaTheme="minorEastAsia"/>
          <w:spacing w:val="-2"/>
        </w:rPr>
        <w:t xml:space="preserve"> </w:t>
      </w:r>
      <w:r w:rsidRPr="003F2730">
        <w:rPr>
          <w:rFonts w:eastAsiaTheme="minorEastAsia"/>
        </w:rPr>
        <w:t>the</w:t>
      </w:r>
      <w:r w:rsidRPr="003F2730">
        <w:rPr>
          <w:rFonts w:eastAsiaTheme="minorEastAsia"/>
          <w:spacing w:val="-1"/>
        </w:rPr>
        <w:t xml:space="preserve"> </w:t>
      </w:r>
      <w:r w:rsidRPr="003F2730">
        <w:rPr>
          <w:rFonts w:eastAsiaTheme="minorEastAsia"/>
          <w:spacing w:val="1"/>
        </w:rPr>
        <w:t>W</w:t>
      </w:r>
      <w:r w:rsidRPr="003F2730">
        <w:rPr>
          <w:rFonts w:eastAsiaTheme="minorEastAsia"/>
        </w:rPr>
        <w:t>o</w:t>
      </w:r>
      <w:r w:rsidRPr="003F2730">
        <w:rPr>
          <w:rFonts w:eastAsiaTheme="minorEastAsia"/>
          <w:spacing w:val="-1"/>
        </w:rPr>
        <w:t>r</w:t>
      </w:r>
      <w:r w:rsidRPr="003F2730">
        <w:rPr>
          <w:rFonts w:eastAsiaTheme="minorEastAsia"/>
        </w:rPr>
        <w:t>k</w:t>
      </w:r>
      <w:r w:rsidRPr="003F2730">
        <w:rPr>
          <w:rFonts w:eastAsiaTheme="minorEastAsia"/>
          <w:spacing w:val="-1"/>
        </w:rPr>
        <w:t>f</w:t>
      </w:r>
      <w:r w:rsidRPr="003F2730">
        <w:rPr>
          <w:rFonts w:eastAsiaTheme="minorEastAsia"/>
        </w:rPr>
        <w:t>o</w:t>
      </w:r>
      <w:r w:rsidRPr="003F2730">
        <w:rPr>
          <w:rFonts w:eastAsiaTheme="minorEastAsia"/>
          <w:spacing w:val="-1"/>
        </w:rPr>
        <w:t>r</w:t>
      </w:r>
      <w:r w:rsidRPr="003F2730">
        <w:rPr>
          <w:rFonts w:eastAsiaTheme="minorEastAsia"/>
          <w:spacing w:val="1"/>
        </w:rPr>
        <w:t>c</w:t>
      </w:r>
      <w:r w:rsidRPr="003F2730">
        <w:rPr>
          <w:rFonts w:eastAsiaTheme="minorEastAsia"/>
        </w:rPr>
        <w:t>e</w:t>
      </w:r>
      <w:r w:rsidRPr="003F2730">
        <w:rPr>
          <w:rFonts w:eastAsiaTheme="minorEastAsia"/>
          <w:spacing w:val="-3"/>
        </w:rPr>
        <w:t xml:space="preserve"> </w:t>
      </w:r>
      <w:r w:rsidRPr="003F2730">
        <w:rPr>
          <w:rFonts w:eastAsiaTheme="minorEastAsia"/>
          <w:spacing w:val="-1"/>
        </w:rPr>
        <w:t>I</w:t>
      </w:r>
      <w:r w:rsidRPr="003F2730">
        <w:rPr>
          <w:rFonts w:eastAsiaTheme="minorEastAsia"/>
        </w:rPr>
        <w:t>nv</w:t>
      </w:r>
      <w:r w:rsidRPr="003F2730">
        <w:rPr>
          <w:rFonts w:eastAsiaTheme="minorEastAsia"/>
          <w:spacing w:val="1"/>
        </w:rPr>
        <w:t>e</w:t>
      </w:r>
      <w:r w:rsidRPr="003F2730">
        <w:rPr>
          <w:rFonts w:eastAsiaTheme="minorEastAsia"/>
          <w:spacing w:val="-1"/>
        </w:rPr>
        <w:t>s</w:t>
      </w:r>
      <w:r w:rsidRPr="003F2730">
        <w:rPr>
          <w:rFonts w:eastAsiaTheme="minorEastAsia"/>
        </w:rPr>
        <w:t>tm</w:t>
      </w:r>
      <w:r w:rsidRPr="003F2730">
        <w:rPr>
          <w:rFonts w:eastAsiaTheme="minorEastAsia"/>
          <w:spacing w:val="1"/>
        </w:rPr>
        <w:t>e</w:t>
      </w:r>
      <w:r w:rsidRPr="003F2730">
        <w:rPr>
          <w:rFonts w:eastAsiaTheme="minorEastAsia"/>
        </w:rPr>
        <w:t>nt</w:t>
      </w:r>
      <w:r w:rsidRPr="003F2730">
        <w:rPr>
          <w:rFonts w:eastAsiaTheme="minorEastAsia"/>
          <w:spacing w:val="-7"/>
        </w:rPr>
        <w:t xml:space="preserve"> </w:t>
      </w:r>
      <w:r w:rsidRPr="003F2730">
        <w:rPr>
          <w:rFonts w:eastAsiaTheme="minorEastAsia"/>
          <w:spacing w:val="1"/>
        </w:rPr>
        <w:t>Ac</w:t>
      </w:r>
      <w:r w:rsidRPr="003F2730">
        <w:rPr>
          <w:rFonts w:eastAsiaTheme="minorEastAsia"/>
        </w:rPr>
        <w:t>t</w:t>
      </w:r>
      <w:r w:rsidRPr="003F2730">
        <w:rPr>
          <w:rFonts w:eastAsiaTheme="minorEastAsia"/>
          <w:spacing w:val="-2"/>
        </w:rPr>
        <w:t xml:space="preserve"> </w:t>
      </w:r>
      <w:r w:rsidRPr="003F2730">
        <w:rPr>
          <w:rFonts w:eastAsiaTheme="minorEastAsia"/>
        </w:rPr>
        <w:t>(</w:t>
      </w:r>
      <w:r w:rsidRPr="003F2730">
        <w:rPr>
          <w:rFonts w:eastAsiaTheme="minorEastAsia"/>
          <w:spacing w:val="1"/>
        </w:rPr>
        <w:t>W</w:t>
      </w:r>
      <w:r w:rsidRPr="003F2730">
        <w:rPr>
          <w:rFonts w:eastAsiaTheme="minorEastAsia"/>
          <w:spacing w:val="-1"/>
        </w:rPr>
        <w:t>I</w:t>
      </w:r>
      <w:r w:rsidRPr="003F2730">
        <w:rPr>
          <w:rFonts w:eastAsiaTheme="minorEastAsia"/>
          <w:spacing w:val="1"/>
        </w:rPr>
        <w:t>A</w:t>
      </w:r>
      <w:r w:rsidRPr="003F2730">
        <w:rPr>
          <w:rFonts w:eastAsiaTheme="minorEastAsia"/>
        </w:rPr>
        <w:t>):</w:t>
      </w:r>
      <w:r w:rsidRPr="003F2730">
        <w:rPr>
          <w:rFonts w:eastAsiaTheme="minorEastAsia"/>
          <w:spacing w:val="-2"/>
        </w:rPr>
        <w:t xml:space="preserve"> </w:t>
      </w:r>
      <w:r w:rsidRPr="003F2730">
        <w:rPr>
          <w:rFonts w:eastAsiaTheme="minorEastAsia"/>
          <w:spacing w:val="-1"/>
        </w:rPr>
        <w:t>I</w:t>
      </w:r>
      <w:r w:rsidRPr="003F2730">
        <w:rPr>
          <w:rFonts w:eastAsiaTheme="minorEastAsia"/>
        </w:rPr>
        <w:t>nt</w:t>
      </w:r>
      <w:r w:rsidRPr="003F2730">
        <w:rPr>
          <w:rFonts w:eastAsiaTheme="minorEastAsia"/>
          <w:spacing w:val="1"/>
        </w:rPr>
        <w:t>e</w:t>
      </w:r>
      <w:r w:rsidRPr="003F2730">
        <w:rPr>
          <w:rFonts w:eastAsiaTheme="minorEastAsia"/>
          <w:spacing w:val="-1"/>
        </w:rPr>
        <w:t>r</w:t>
      </w:r>
      <w:r w:rsidRPr="003F2730">
        <w:rPr>
          <w:rFonts w:eastAsiaTheme="minorEastAsia"/>
        </w:rPr>
        <w:t>p</w:t>
      </w:r>
      <w:r w:rsidRPr="003F2730">
        <w:rPr>
          <w:rFonts w:eastAsiaTheme="minorEastAsia"/>
          <w:spacing w:val="-1"/>
        </w:rPr>
        <w:t>r</w:t>
      </w:r>
      <w:r w:rsidRPr="003F2730">
        <w:rPr>
          <w:rFonts w:eastAsiaTheme="minorEastAsia"/>
          <w:spacing w:val="1"/>
        </w:rPr>
        <w:t>e</w:t>
      </w:r>
      <w:r w:rsidRPr="003F2730">
        <w:rPr>
          <w:rFonts w:eastAsiaTheme="minorEastAsia"/>
        </w:rPr>
        <w:t>ting</w:t>
      </w:r>
      <w:r>
        <w:rPr>
          <w:rFonts w:eastAsiaTheme="minorEastAsia"/>
        </w:rPr>
        <w:t xml:space="preserve"> </w:t>
      </w:r>
      <w:r w:rsidRPr="003F2730">
        <w:rPr>
          <w:rFonts w:eastAsiaTheme="minorEastAsia"/>
        </w:rPr>
        <w:t>the</w:t>
      </w:r>
      <w:r w:rsidRPr="003F2730">
        <w:rPr>
          <w:rFonts w:eastAsiaTheme="minorEastAsia"/>
          <w:spacing w:val="-1"/>
        </w:rPr>
        <w:t xml:space="preserve"> </w:t>
      </w:r>
      <w:r w:rsidRPr="003F2730">
        <w:rPr>
          <w:rFonts w:eastAsiaTheme="minorEastAsia"/>
          <w:spacing w:val="1"/>
        </w:rPr>
        <w:t>Re</w:t>
      </w:r>
      <w:r w:rsidRPr="003F2730">
        <w:rPr>
          <w:rFonts w:eastAsiaTheme="minorEastAsia"/>
          <w:spacing w:val="-1"/>
        </w:rPr>
        <w:t>s</w:t>
      </w:r>
      <w:r w:rsidRPr="003F2730">
        <w:rPr>
          <w:rFonts w:eastAsiaTheme="minorEastAsia"/>
          <w:spacing w:val="1"/>
        </w:rPr>
        <w:t>ea</w:t>
      </w:r>
      <w:r w:rsidRPr="003F2730">
        <w:rPr>
          <w:rFonts w:eastAsiaTheme="minorEastAsia"/>
          <w:spacing w:val="-1"/>
        </w:rPr>
        <w:t>r</w:t>
      </w:r>
      <w:r w:rsidRPr="003F2730">
        <w:rPr>
          <w:rFonts w:eastAsiaTheme="minorEastAsia"/>
          <w:spacing w:val="1"/>
        </w:rPr>
        <w:t>c</w:t>
      </w:r>
      <w:r w:rsidRPr="003F2730">
        <w:rPr>
          <w:rFonts w:eastAsiaTheme="minorEastAsia"/>
        </w:rPr>
        <w:t>h</w:t>
      </w:r>
      <w:r w:rsidRPr="003F2730">
        <w:rPr>
          <w:rFonts w:eastAsiaTheme="minorEastAsia"/>
          <w:spacing w:val="-4"/>
        </w:rPr>
        <w:t xml:space="preserve"> </w:t>
      </w:r>
      <w:r w:rsidRPr="003F2730">
        <w:rPr>
          <w:rFonts w:eastAsiaTheme="minorEastAsia"/>
        </w:rPr>
        <w:t>on</w:t>
      </w:r>
      <w:r w:rsidRPr="003F2730">
        <w:rPr>
          <w:rFonts w:eastAsiaTheme="minorEastAsia"/>
          <w:spacing w:val="-2"/>
        </w:rPr>
        <w:t xml:space="preserve"> </w:t>
      </w:r>
      <w:r w:rsidRPr="003F2730">
        <w:rPr>
          <w:rFonts w:eastAsiaTheme="minorEastAsia"/>
          <w:spacing w:val="1"/>
        </w:rPr>
        <w:t>W</w:t>
      </w:r>
      <w:r w:rsidRPr="003F2730">
        <w:rPr>
          <w:rFonts w:eastAsiaTheme="minorEastAsia"/>
          <w:spacing w:val="-1"/>
        </w:rPr>
        <w:t>I</w:t>
      </w:r>
      <w:r w:rsidRPr="003F2730">
        <w:rPr>
          <w:rFonts w:eastAsiaTheme="minorEastAsia"/>
        </w:rPr>
        <w:t>A</w:t>
      </w:r>
      <w:r w:rsidRPr="003F2730">
        <w:rPr>
          <w:rFonts w:eastAsiaTheme="minorEastAsia"/>
          <w:spacing w:val="1"/>
        </w:rPr>
        <w:t xml:space="preserve"> a</w:t>
      </w:r>
      <w:r w:rsidRPr="003F2730">
        <w:rPr>
          <w:rFonts w:eastAsiaTheme="minorEastAsia"/>
        </w:rPr>
        <w:t>nd</w:t>
      </w:r>
      <w:r w:rsidRPr="003F2730">
        <w:rPr>
          <w:rFonts w:eastAsiaTheme="minorEastAsia"/>
          <w:spacing w:val="-2"/>
        </w:rPr>
        <w:t xml:space="preserve"> </w:t>
      </w:r>
      <w:r w:rsidRPr="003F2730">
        <w:rPr>
          <w:rFonts w:eastAsiaTheme="minorEastAsia"/>
          <w:spacing w:val="1"/>
        </w:rPr>
        <w:t>Re</w:t>
      </w:r>
      <w:r w:rsidRPr="003F2730">
        <w:rPr>
          <w:rFonts w:eastAsiaTheme="minorEastAsia"/>
        </w:rPr>
        <w:t>l</w:t>
      </w:r>
      <w:r w:rsidRPr="003F2730">
        <w:rPr>
          <w:rFonts w:eastAsiaTheme="minorEastAsia"/>
          <w:spacing w:val="1"/>
        </w:rPr>
        <w:t>a</w:t>
      </w:r>
      <w:r w:rsidRPr="003F2730">
        <w:rPr>
          <w:rFonts w:eastAsiaTheme="minorEastAsia"/>
          <w:spacing w:val="-3"/>
        </w:rPr>
        <w:t>t</w:t>
      </w:r>
      <w:r w:rsidRPr="003F2730">
        <w:rPr>
          <w:rFonts w:eastAsiaTheme="minorEastAsia"/>
          <w:spacing w:val="1"/>
        </w:rPr>
        <w:t>e</w:t>
      </w:r>
      <w:r w:rsidRPr="003F2730">
        <w:rPr>
          <w:rFonts w:eastAsiaTheme="minorEastAsia"/>
        </w:rPr>
        <w:t>d</w:t>
      </w:r>
      <w:r w:rsidRPr="003F2730">
        <w:rPr>
          <w:rFonts w:eastAsiaTheme="minorEastAsia"/>
          <w:spacing w:val="-4"/>
        </w:rPr>
        <w:t xml:space="preserve"> </w:t>
      </w:r>
      <w:r w:rsidRPr="003F2730">
        <w:rPr>
          <w:rFonts w:eastAsiaTheme="minorEastAsia"/>
          <w:spacing w:val="-1"/>
        </w:rPr>
        <w:t>Pr</w:t>
      </w:r>
      <w:r w:rsidRPr="003F2730">
        <w:rPr>
          <w:rFonts w:eastAsiaTheme="minorEastAsia"/>
        </w:rPr>
        <w:t>o</w:t>
      </w:r>
      <w:r w:rsidRPr="003F2730">
        <w:rPr>
          <w:rFonts w:eastAsiaTheme="minorEastAsia"/>
          <w:spacing w:val="1"/>
        </w:rPr>
        <w:t>g</w:t>
      </w:r>
      <w:r w:rsidRPr="003F2730">
        <w:rPr>
          <w:rFonts w:eastAsiaTheme="minorEastAsia"/>
          <w:spacing w:val="-1"/>
        </w:rPr>
        <w:t>r</w:t>
      </w:r>
      <w:r w:rsidRPr="003F2730">
        <w:rPr>
          <w:rFonts w:eastAsiaTheme="minorEastAsia"/>
          <w:spacing w:val="1"/>
        </w:rPr>
        <w:t>a</w:t>
      </w:r>
      <w:r w:rsidRPr="003F2730">
        <w:rPr>
          <w:rFonts w:eastAsiaTheme="minorEastAsia"/>
        </w:rPr>
        <w:t>m</w:t>
      </w:r>
      <w:r w:rsidRPr="003F2730">
        <w:rPr>
          <w:rFonts w:eastAsiaTheme="minorEastAsia"/>
          <w:spacing w:val="-1"/>
        </w:rPr>
        <w:t>s</w:t>
      </w:r>
      <w:r w:rsidRPr="003F2730">
        <w:rPr>
          <w:rFonts w:eastAsiaTheme="minorEastAsia"/>
        </w:rPr>
        <w:t>.”</w:t>
      </w:r>
      <w:r w:rsidRPr="003F2730">
        <w:rPr>
          <w:rFonts w:eastAsiaTheme="minorEastAsia"/>
          <w:spacing w:val="-5"/>
        </w:rPr>
        <w:t xml:space="preserve"> </w:t>
      </w:r>
      <w:r w:rsidRPr="003F2730">
        <w:rPr>
          <w:rFonts w:eastAsiaTheme="minorEastAsia"/>
          <w:i/>
          <w:iCs/>
          <w:spacing w:val="-1"/>
        </w:rPr>
        <w:t>Jo</w:t>
      </w:r>
      <w:r w:rsidRPr="003F2730">
        <w:rPr>
          <w:rFonts w:eastAsiaTheme="minorEastAsia"/>
          <w:i/>
          <w:iCs/>
          <w:spacing w:val="1"/>
        </w:rPr>
        <w:t>u</w:t>
      </w:r>
      <w:r w:rsidRPr="003F2730">
        <w:rPr>
          <w:rFonts w:eastAsiaTheme="minorEastAsia"/>
          <w:i/>
          <w:iCs/>
          <w:spacing w:val="-1"/>
        </w:rPr>
        <w:t>r</w:t>
      </w:r>
      <w:r w:rsidRPr="003F2730">
        <w:rPr>
          <w:rFonts w:eastAsiaTheme="minorEastAsia"/>
          <w:i/>
          <w:iCs/>
          <w:spacing w:val="3"/>
        </w:rPr>
        <w:t>n</w:t>
      </w:r>
      <w:r w:rsidRPr="003F2730">
        <w:rPr>
          <w:rFonts w:eastAsiaTheme="minorEastAsia"/>
          <w:i/>
          <w:iCs/>
          <w:spacing w:val="1"/>
        </w:rPr>
        <w:t>a</w:t>
      </w:r>
      <w:r w:rsidRPr="003F2730">
        <w:rPr>
          <w:rFonts w:eastAsiaTheme="minorEastAsia"/>
          <w:i/>
          <w:iCs/>
        </w:rPr>
        <w:t>l</w:t>
      </w:r>
      <w:r w:rsidRPr="003F2730">
        <w:rPr>
          <w:rFonts w:eastAsiaTheme="minorEastAsia"/>
          <w:i/>
          <w:iCs/>
          <w:spacing w:val="-1"/>
        </w:rPr>
        <w:t xml:space="preserve"> o</w:t>
      </w:r>
      <w:r w:rsidRPr="003F2730">
        <w:rPr>
          <w:rFonts w:eastAsiaTheme="minorEastAsia"/>
          <w:i/>
          <w:iCs/>
        </w:rPr>
        <w:t>f</w:t>
      </w:r>
      <w:r w:rsidRPr="003F2730">
        <w:rPr>
          <w:rFonts w:eastAsiaTheme="minorEastAsia"/>
          <w:i/>
          <w:iCs/>
          <w:spacing w:val="-1"/>
        </w:rPr>
        <w:t xml:space="preserve"> </w:t>
      </w:r>
      <w:r w:rsidRPr="003F2730">
        <w:rPr>
          <w:rFonts w:eastAsiaTheme="minorEastAsia"/>
          <w:i/>
          <w:iCs/>
        </w:rPr>
        <w:t>P</w:t>
      </w:r>
      <w:r w:rsidRPr="003F2730">
        <w:rPr>
          <w:rFonts w:eastAsiaTheme="minorEastAsia"/>
          <w:i/>
          <w:iCs/>
          <w:spacing w:val="-1"/>
        </w:rPr>
        <w:t>o</w:t>
      </w:r>
      <w:r w:rsidRPr="003F2730">
        <w:rPr>
          <w:rFonts w:eastAsiaTheme="minorEastAsia"/>
          <w:i/>
          <w:iCs/>
        </w:rPr>
        <w:t>licy</w:t>
      </w:r>
      <w:r w:rsidRPr="003F2730">
        <w:rPr>
          <w:rFonts w:eastAsiaTheme="minorEastAsia"/>
          <w:i/>
          <w:iCs/>
          <w:spacing w:val="-3"/>
        </w:rPr>
        <w:t xml:space="preserve"> </w:t>
      </w:r>
      <w:r w:rsidRPr="003F2730">
        <w:rPr>
          <w:rFonts w:eastAsiaTheme="minorEastAsia"/>
          <w:i/>
          <w:iCs/>
        </w:rPr>
        <w:t>A</w:t>
      </w:r>
      <w:r w:rsidRPr="003F2730">
        <w:rPr>
          <w:rFonts w:eastAsiaTheme="minorEastAsia"/>
          <w:i/>
          <w:iCs/>
          <w:spacing w:val="1"/>
        </w:rPr>
        <w:t>na</w:t>
      </w:r>
      <w:r w:rsidRPr="003F2730">
        <w:rPr>
          <w:rFonts w:eastAsiaTheme="minorEastAsia"/>
          <w:i/>
          <w:iCs/>
        </w:rPr>
        <w:t>l</w:t>
      </w:r>
      <w:r w:rsidRPr="003F2730">
        <w:rPr>
          <w:rFonts w:eastAsiaTheme="minorEastAsia"/>
          <w:i/>
          <w:iCs/>
          <w:spacing w:val="-1"/>
        </w:rPr>
        <w:t>y</w:t>
      </w:r>
      <w:r w:rsidRPr="003F2730">
        <w:rPr>
          <w:rFonts w:eastAsiaTheme="minorEastAsia"/>
          <w:i/>
          <w:iCs/>
        </w:rPr>
        <w:t>sis</w:t>
      </w:r>
      <w:r w:rsidRPr="003F2730">
        <w:rPr>
          <w:rFonts w:eastAsiaTheme="minorEastAsia"/>
          <w:i/>
          <w:iCs/>
          <w:spacing w:val="-2"/>
        </w:rPr>
        <w:t xml:space="preserve"> </w:t>
      </w:r>
      <w:r w:rsidRPr="003F2730">
        <w:rPr>
          <w:rFonts w:eastAsiaTheme="minorEastAsia"/>
          <w:i/>
          <w:iCs/>
          <w:spacing w:val="1"/>
        </w:rPr>
        <w:t>an</w:t>
      </w:r>
      <w:r w:rsidRPr="003F2730">
        <w:rPr>
          <w:rFonts w:eastAsiaTheme="minorEastAsia"/>
          <w:i/>
          <w:iCs/>
        </w:rPr>
        <w:t>d</w:t>
      </w:r>
      <w:r w:rsidRPr="003F2730">
        <w:rPr>
          <w:rFonts w:eastAsiaTheme="minorEastAsia"/>
          <w:i/>
          <w:iCs/>
          <w:spacing w:val="1"/>
        </w:rPr>
        <w:t xml:space="preserve"> </w:t>
      </w:r>
      <w:r w:rsidRPr="003F2730">
        <w:rPr>
          <w:rFonts w:eastAsiaTheme="minorEastAsia"/>
          <w:i/>
          <w:iCs/>
          <w:spacing w:val="-1"/>
        </w:rPr>
        <w:t>M</w:t>
      </w:r>
      <w:r w:rsidRPr="003F2730">
        <w:rPr>
          <w:rFonts w:eastAsiaTheme="minorEastAsia"/>
          <w:i/>
          <w:iCs/>
          <w:spacing w:val="-2"/>
        </w:rPr>
        <w:t>a</w:t>
      </w:r>
      <w:r w:rsidRPr="003F2730">
        <w:rPr>
          <w:rFonts w:eastAsiaTheme="minorEastAsia"/>
          <w:i/>
          <w:iCs/>
          <w:spacing w:val="1"/>
        </w:rPr>
        <w:t>na</w:t>
      </w:r>
      <w:r w:rsidRPr="003F2730">
        <w:rPr>
          <w:rFonts w:eastAsiaTheme="minorEastAsia"/>
          <w:i/>
          <w:iCs/>
          <w:spacing w:val="-1"/>
        </w:rPr>
        <w:t>g</w:t>
      </w:r>
      <w:r w:rsidRPr="003F2730">
        <w:rPr>
          <w:rFonts w:eastAsiaTheme="minorEastAsia"/>
          <w:i/>
          <w:iCs/>
        </w:rPr>
        <w:t>e</w:t>
      </w:r>
      <w:r w:rsidRPr="003F2730">
        <w:rPr>
          <w:rFonts w:eastAsiaTheme="minorEastAsia"/>
          <w:i/>
          <w:iCs/>
          <w:spacing w:val="1"/>
        </w:rPr>
        <w:t>m</w:t>
      </w:r>
      <w:r w:rsidRPr="003F2730">
        <w:rPr>
          <w:rFonts w:eastAsiaTheme="minorEastAsia"/>
          <w:i/>
          <w:iCs/>
        </w:rPr>
        <w:t>e</w:t>
      </w:r>
      <w:r w:rsidRPr="003F2730">
        <w:rPr>
          <w:rFonts w:eastAsiaTheme="minorEastAsia"/>
          <w:i/>
          <w:iCs/>
          <w:spacing w:val="1"/>
        </w:rPr>
        <w:t>n</w:t>
      </w:r>
      <w:r w:rsidRPr="003F2730">
        <w:rPr>
          <w:rFonts w:eastAsiaTheme="minorEastAsia"/>
          <w:i/>
          <w:iCs/>
        </w:rPr>
        <w:t>t,</w:t>
      </w:r>
      <w:r w:rsidRPr="003F2730">
        <w:rPr>
          <w:rFonts w:eastAsiaTheme="minorEastAsia"/>
          <w:i/>
          <w:iCs/>
          <w:spacing w:val="-5"/>
        </w:rPr>
        <w:t xml:space="preserve"> </w:t>
      </w:r>
      <w:r w:rsidRPr="003F2730">
        <w:rPr>
          <w:rFonts w:eastAsiaTheme="minorEastAsia"/>
        </w:rPr>
        <w:t>vol.</w:t>
      </w:r>
      <w:r w:rsidRPr="003F2730">
        <w:rPr>
          <w:rFonts w:eastAsiaTheme="minorEastAsia"/>
          <w:spacing w:val="-1"/>
        </w:rPr>
        <w:t xml:space="preserve"> </w:t>
      </w:r>
      <w:r w:rsidRPr="003F2730">
        <w:rPr>
          <w:rFonts w:eastAsiaTheme="minorEastAsia"/>
          <w:spacing w:val="-2"/>
        </w:rPr>
        <w:t>3</w:t>
      </w:r>
      <w:r w:rsidRPr="003F2730">
        <w:rPr>
          <w:rFonts w:eastAsiaTheme="minorEastAsia"/>
        </w:rPr>
        <w:t>0,</w:t>
      </w:r>
      <w:r>
        <w:rPr>
          <w:rFonts w:eastAsiaTheme="minorEastAsia"/>
        </w:rPr>
        <w:t xml:space="preserve"> </w:t>
      </w:r>
      <w:r w:rsidRPr="003F2730">
        <w:rPr>
          <w:rFonts w:eastAsiaTheme="minorEastAsia"/>
        </w:rPr>
        <w:t>no. 4,</w:t>
      </w:r>
      <w:r w:rsidRPr="003F2730">
        <w:rPr>
          <w:rFonts w:eastAsiaTheme="minorEastAsia"/>
          <w:spacing w:val="-2"/>
        </w:rPr>
        <w:t xml:space="preserve"> </w:t>
      </w:r>
      <w:r w:rsidRPr="003F2730">
        <w:rPr>
          <w:rFonts w:eastAsiaTheme="minorEastAsia"/>
          <w:spacing w:val="-1"/>
        </w:rPr>
        <w:t>f</w:t>
      </w:r>
      <w:r w:rsidRPr="003F2730">
        <w:rPr>
          <w:rFonts w:eastAsiaTheme="minorEastAsia"/>
          <w:spacing w:val="1"/>
        </w:rPr>
        <w:t>a</w:t>
      </w:r>
      <w:r w:rsidRPr="003F2730">
        <w:rPr>
          <w:rFonts w:eastAsiaTheme="minorEastAsia"/>
        </w:rPr>
        <w:t>ll</w:t>
      </w:r>
      <w:r w:rsidRPr="003F2730">
        <w:rPr>
          <w:rFonts w:eastAsiaTheme="minorEastAsia"/>
          <w:spacing w:val="-1"/>
        </w:rPr>
        <w:t xml:space="preserve"> </w:t>
      </w:r>
      <w:r w:rsidRPr="003F2730">
        <w:rPr>
          <w:rFonts w:eastAsiaTheme="minorEastAsia"/>
        </w:rPr>
        <w:t>2011,</w:t>
      </w:r>
      <w:r w:rsidRPr="003F2730">
        <w:rPr>
          <w:rFonts w:eastAsiaTheme="minorEastAsia"/>
          <w:spacing w:val="-5"/>
        </w:rPr>
        <w:t xml:space="preserve"> </w:t>
      </w:r>
      <w:r w:rsidRPr="003F2730">
        <w:rPr>
          <w:rFonts w:eastAsiaTheme="minorEastAsia"/>
        </w:rPr>
        <w:t>pp.</w:t>
      </w:r>
      <w:r w:rsidRPr="003F2730">
        <w:rPr>
          <w:rFonts w:eastAsiaTheme="minorEastAsia"/>
          <w:spacing w:val="-1"/>
        </w:rPr>
        <w:t xml:space="preserve"> </w:t>
      </w:r>
      <w:r w:rsidRPr="003F2730">
        <w:rPr>
          <w:rFonts w:eastAsiaTheme="minorEastAsia"/>
          <w:spacing w:val="-2"/>
        </w:rPr>
        <w:t>9</w:t>
      </w:r>
      <w:r w:rsidRPr="003F2730">
        <w:rPr>
          <w:rFonts w:eastAsiaTheme="minorEastAsia"/>
        </w:rPr>
        <w:t>06–</w:t>
      </w:r>
      <w:r w:rsidRPr="003F2730">
        <w:rPr>
          <w:rFonts w:eastAsiaTheme="minorEastAsia"/>
          <w:spacing w:val="-2"/>
        </w:rPr>
        <w:t>9</w:t>
      </w:r>
      <w:r w:rsidRPr="003F2730">
        <w:rPr>
          <w:rFonts w:eastAsiaTheme="minorEastAsia"/>
        </w:rPr>
        <w:t>26.</w:t>
      </w:r>
    </w:p>
    <w:p w14:paraId="3032774F" w14:textId="77777777" w:rsidR="003F2730" w:rsidRDefault="003F2730" w:rsidP="00032084">
      <w:pPr>
        <w:pStyle w:val="References"/>
        <w:rPr>
          <w:rFonts w:eastAsiaTheme="minorEastAsia"/>
        </w:rPr>
      </w:pPr>
      <w:r w:rsidRPr="003F2730">
        <w:rPr>
          <w:rFonts w:eastAsiaTheme="minorEastAsia"/>
          <w:spacing w:val="-1"/>
        </w:rPr>
        <w:t>Fr</w:t>
      </w:r>
      <w:r w:rsidRPr="003F2730">
        <w:rPr>
          <w:rFonts w:eastAsiaTheme="minorEastAsia"/>
          <w:spacing w:val="1"/>
        </w:rPr>
        <w:t>a</w:t>
      </w:r>
      <w:r w:rsidRPr="003F2730">
        <w:rPr>
          <w:rFonts w:eastAsiaTheme="minorEastAsia"/>
        </w:rPr>
        <w:t>k</w:t>
      </w:r>
      <w:r w:rsidRPr="003F2730">
        <w:rPr>
          <w:rFonts w:eastAsiaTheme="minorEastAsia"/>
          <w:spacing w:val="1"/>
        </w:rPr>
        <w:t>e</w:t>
      </w:r>
      <w:r w:rsidRPr="003F2730">
        <w:rPr>
          <w:rFonts w:eastAsiaTheme="minorEastAsia"/>
          <w:spacing w:val="-1"/>
        </w:rPr>
        <w:t>r</w:t>
      </w:r>
      <w:r w:rsidRPr="003F2730">
        <w:rPr>
          <w:rFonts w:eastAsiaTheme="minorEastAsia"/>
        </w:rPr>
        <w:t>,</w:t>
      </w:r>
      <w:r w:rsidRPr="003F2730">
        <w:rPr>
          <w:rFonts w:eastAsiaTheme="minorEastAsia"/>
          <w:spacing w:val="-2"/>
        </w:rPr>
        <w:t xml:space="preserve"> </w:t>
      </w:r>
      <w:r w:rsidRPr="003F2730">
        <w:rPr>
          <w:rFonts w:eastAsiaTheme="minorEastAsia"/>
          <w:spacing w:val="-1"/>
        </w:rPr>
        <w:t>T</w:t>
      </w:r>
      <w:r w:rsidRPr="003F2730">
        <w:rPr>
          <w:rFonts w:eastAsiaTheme="minorEastAsia"/>
        </w:rPr>
        <w:t>.</w:t>
      </w:r>
      <w:r w:rsidRPr="003F2730">
        <w:rPr>
          <w:rFonts w:eastAsiaTheme="minorEastAsia"/>
          <w:spacing w:val="-1"/>
        </w:rPr>
        <w:t>M</w:t>
      </w:r>
      <w:r w:rsidRPr="003F2730">
        <w:rPr>
          <w:rFonts w:eastAsiaTheme="minorEastAsia"/>
        </w:rPr>
        <w:t>.,</w:t>
      </w:r>
      <w:r w:rsidRPr="003F2730">
        <w:rPr>
          <w:rFonts w:eastAsiaTheme="minorEastAsia"/>
          <w:spacing w:val="-3"/>
        </w:rPr>
        <w:t xml:space="preserve"> </w:t>
      </w:r>
      <w:r w:rsidRPr="003F2730">
        <w:rPr>
          <w:rFonts w:eastAsiaTheme="minorEastAsia"/>
          <w:spacing w:val="1"/>
        </w:rPr>
        <w:t>C</w:t>
      </w:r>
      <w:r w:rsidRPr="003F2730">
        <w:rPr>
          <w:rFonts w:eastAsiaTheme="minorEastAsia"/>
        </w:rPr>
        <w:t>.</w:t>
      </w:r>
      <w:r w:rsidRPr="003F2730">
        <w:rPr>
          <w:rFonts w:eastAsiaTheme="minorEastAsia"/>
          <w:spacing w:val="-1"/>
        </w:rPr>
        <w:t>M</w:t>
      </w:r>
      <w:r w:rsidRPr="003F2730">
        <w:rPr>
          <w:rFonts w:eastAsiaTheme="minorEastAsia"/>
        </w:rPr>
        <w:t>.</w:t>
      </w:r>
      <w:r w:rsidRPr="003F2730">
        <w:rPr>
          <w:rFonts w:eastAsiaTheme="minorEastAsia"/>
          <w:spacing w:val="-1"/>
        </w:rPr>
        <w:t xml:space="preserve"> </w:t>
      </w:r>
      <w:r w:rsidRPr="003F2730">
        <w:rPr>
          <w:rFonts w:eastAsiaTheme="minorEastAsia"/>
          <w:spacing w:val="1"/>
        </w:rPr>
        <w:t>R</w:t>
      </w:r>
      <w:r w:rsidRPr="003F2730">
        <w:rPr>
          <w:rFonts w:eastAsiaTheme="minorEastAsia"/>
        </w:rPr>
        <w:t>o</w:t>
      </w:r>
      <w:r w:rsidRPr="003F2730">
        <w:rPr>
          <w:rFonts w:eastAsiaTheme="minorEastAsia"/>
          <w:spacing w:val="-1"/>
        </w:rPr>
        <w:t>ss</w:t>
      </w:r>
      <w:r w:rsidRPr="003F2730">
        <w:rPr>
          <w:rFonts w:eastAsiaTheme="minorEastAsia"/>
        </w:rPr>
        <w:t>,</w:t>
      </w:r>
      <w:r w:rsidRPr="003F2730">
        <w:rPr>
          <w:rFonts w:eastAsiaTheme="minorEastAsia"/>
          <w:spacing w:val="-2"/>
        </w:rPr>
        <w:t xml:space="preserve"> </w:t>
      </w:r>
      <w:r w:rsidRPr="003F2730">
        <w:rPr>
          <w:rFonts w:eastAsiaTheme="minorEastAsia"/>
          <w:spacing w:val="1"/>
        </w:rPr>
        <w:t>R</w:t>
      </w:r>
      <w:r w:rsidRPr="003F2730">
        <w:rPr>
          <w:rFonts w:eastAsiaTheme="minorEastAsia"/>
        </w:rPr>
        <w:t>.</w:t>
      </w:r>
      <w:r w:rsidRPr="003F2730">
        <w:rPr>
          <w:rFonts w:eastAsiaTheme="minorEastAsia"/>
          <w:spacing w:val="1"/>
        </w:rPr>
        <w:t>A</w:t>
      </w:r>
      <w:r w:rsidRPr="003F2730">
        <w:rPr>
          <w:rFonts w:eastAsiaTheme="minorEastAsia"/>
        </w:rPr>
        <w:t>.</w:t>
      </w:r>
      <w:r w:rsidRPr="003F2730">
        <w:rPr>
          <w:rFonts w:eastAsiaTheme="minorEastAsia"/>
          <w:spacing w:val="-3"/>
        </w:rPr>
        <w:t xml:space="preserve"> </w:t>
      </w:r>
      <w:r w:rsidRPr="003F2730">
        <w:rPr>
          <w:rFonts w:eastAsiaTheme="minorEastAsia"/>
        </w:rPr>
        <w:t>St</w:t>
      </w:r>
      <w:r w:rsidRPr="003F2730">
        <w:rPr>
          <w:rFonts w:eastAsiaTheme="minorEastAsia"/>
          <w:spacing w:val="1"/>
        </w:rPr>
        <w:t>a</w:t>
      </w:r>
      <w:r w:rsidRPr="003F2730">
        <w:rPr>
          <w:rFonts w:eastAsiaTheme="minorEastAsia"/>
        </w:rPr>
        <w:t>puloni</w:t>
      </w:r>
      <w:r w:rsidRPr="003F2730">
        <w:rPr>
          <w:rFonts w:eastAsiaTheme="minorEastAsia"/>
          <w:spacing w:val="-1"/>
        </w:rPr>
        <w:t>s</w:t>
      </w:r>
      <w:r w:rsidRPr="003F2730">
        <w:rPr>
          <w:rFonts w:eastAsiaTheme="minorEastAsia"/>
        </w:rPr>
        <w:t>,</w:t>
      </w:r>
      <w:r w:rsidRPr="003F2730">
        <w:rPr>
          <w:rFonts w:eastAsiaTheme="minorEastAsia"/>
          <w:spacing w:val="-4"/>
        </w:rPr>
        <w:t xml:space="preserve"> </w:t>
      </w:r>
      <w:r w:rsidRPr="003F2730">
        <w:rPr>
          <w:rFonts w:eastAsiaTheme="minorEastAsia"/>
          <w:spacing w:val="1"/>
        </w:rPr>
        <w:t>R</w:t>
      </w:r>
      <w:r w:rsidRPr="003F2730">
        <w:rPr>
          <w:rFonts w:eastAsiaTheme="minorEastAsia"/>
        </w:rPr>
        <w:t>.</w:t>
      </w:r>
      <w:r w:rsidRPr="003F2730">
        <w:rPr>
          <w:rFonts w:eastAsiaTheme="minorEastAsia"/>
          <w:spacing w:val="-1"/>
        </w:rPr>
        <w:t>B</w:t>
      </w:r>
      <w:r w:rsidRPr="003F2730">
        <w:rPr>
          <w:rFonts w:eastAsiaTheme="minorEastAsia"/>
        </w:rPr>
        <w:t>.</w:t>
      </w:r>
      <w:r w:rsidRPr="003F2730">
        <w:rPr>
          <w:rFonts w:eastAsiaTheme="minorEastAsia"/>
          <w:spacing w:val="-3"/>
        </w:rPr>
        <w:t xml:space="preserve"> </w:t>
      </w:r>
      <w:r w:rsidRPr="003F2730">
        <w:rPr>
          <w:rFonts w:eastAsiaTheme="minorEastAsia"/>
        </w:rPr>
        <w:t>Ol</w:t>
      </w:r>
      <w:r w:rsidRPr="003F2730">
        <w:rPr>
          <w:rFonts w:eastAsiaTheme="minorEastAsia"/>
          <w:spacing w:val="-1"/>
        </w:rPr>
        <w:t>s</w:t>
      </w:r>
      <w:r w:rsidRPr="003F2730">
        <w:rPr>
          <w:rFonts w:eastAsiaTheme="minorEastAsia"/>
          <w:spacing w:val="1"/>
        </w:rPr>
        <w:t>e</w:t>
      </w:r>
      <w:r w:rsidRPr="003F2730">
        <w:rPr>
          <w:rFonts w:eastAsiaTheme="minorEastAsia"/>
        </w:rPr>
        <w:t>n,</w:t>
      </w:r>
      <w:r w:rsidRPr="003F2730">
        <w:rPr>
          <w:rFonts w:eastAsiaTheme="minorEastAsia"/>
          <w:spacing w:val="-3"/>
        </w:rPr>
        <w:t xml:space="preserve"> </w:t>
      </w:r>
      <w:r w:rsidRPr="003F2730">
        <w:rPr>
          <w:rFonts w:eastAsiaTheme="minorEastAsia"/>
          <w:spacing w:val="-1"/>
        </w:rPr>
        <w:t>M</w:t>
      </w:r>
      <w:r w:rsidRPr="003F2730">
        <w:rPr>
          <w:rFonts w:eastAsiaTheme="minorEastAsia"/>
        </w:rPr>
        <w:t>.D.</w:t>
      </w:r>
      <w:r w:rsidRPr="003F2730">
        <w:rPr>
          <w:rFonts w:eastAsiaTheme="minorEastAsia"/>
          <w:spacing w:val="-3"/>
        </w:rPr>
        <w:t xml:space="preserve"> </w:t>
      </w:r>
      <w:r w:rsidRPr="003F2730">
        <w:rPr>
          <w:rFonts w:eastAsiaTheme="minorEastAsia"/>
        </w:rPr>
        <w:t>Kov</w:t>
      </w:r>
      <w:r w:rsidRPr="003F2730">
        <w:rPr>
          <w:rFonts w:eastAsiaTheme="minorEastAsia"/>
          <w:spacing w:val="1"/>
        </w:rPr>
        <w:t>ac</w:t>
      </w:r>
      <w:r w:rsidRPr="003F2730">
        <w:rPr>
          <w:rFonts w:eastAsiaTheme="minorEastAsia"/>
        </w:rPr>
        <w:t>,</w:t>
      </w:r>
      <w:r w:rsidRPr="003F2730">
        <w:rPr>
          <w:rFonts w:eastAsiaTheme="minorEastAsia"/>
          <w:spacing w:val="-6"/>
        </w:rPr>
        <w:t xml:space="preserve"> </w:t>
      </w:r>
      <w:r w:rsidRPr="003F2730">
        <w:rPr>
          <w:rFonts w:eastAsiaTheme="minorEastAsia"/>
          <w:spacing w:val="-1"/>
        </w:rPr>
        <w:t>M</w:t>
      </w:r>
      <w:r w:rsidRPr="003F2730">
        <w:rPr>
          <w:rFonts w:eastAsiaTheme="minorEastAsia"/>
        </w:rPr>
        <w:t>.</w:t>
      </w:r>
      <w:r w:rsidRPr="003F2730">
        <w:rPr>
          <w:rFonts w:eastAsiaTheme="minorEastAsia"/>
          <w:spacing w:val="1"/>
        </w:rPr>
        <w:t>R</w:t>
      </w:r>
      <w:r w:rsidRPr="003F2730">
        <w:rPr>
          <w:rFonts w:eastAsiaTheme="minorEastAsia"/>
        </w:rPr>
        <w:t>.</w:t>
      </w:r>
      <w:r w:rsidRPr="003F2730">
        <w:rPr>
          <w:rFonts w:eastAsiaTheme="minorEastAsia"/>
          <w:spacing w:val="-1"/>
        </w:rPr>
        <w:t xml:space="preserve"> </w:t>
      </w:r>
      <w:r w:rsidRPr="003F2730">
        <w:rPr>
          <w:rFonts w:eastAsiaTheme="minorEastAsia"/>
        </w:rPr>
        <w:t>Di</w:t>
      </w:r>
      <w:r w:rsidRPr="003F2730">
        <w:rPr>
          <w:rFonts w:eastAsiaTheme="minorEastAsia"/>
          <w:spacing w:val="-2"/>
        </w:rPr>
        <w:t>o</w:t>
      </w:r>
      <w:r w:rsidRPr="003F2730">
        <w:rPr>
          <w:rFonts w:eastAsiaTheme="minorEastAsia"/>
        </w:rPr>
        <w:t>n,</w:t>
      </w:r>
      <w:r w:rsidRPr="003F2730">
        <w:rPr>
          <w:rFonts w:eastAsiaTheme="minorEastAsia"/>
          <w:spacing w:val="-2"/>
        </w:rPr>
        <w:t xml:space="preserve"> </w:t>
      </w:r>
      <w:r w:rsidRPr="003F2730">
        <w:rPr>
          <w:rFonts w:eastAsiaTheme="minorEastAsia"/>
          <w:spacing w:val="1"/>
        </w:rPr>
        <w:t>a</w:t>
      </w:r>
      <w:r w:rsidRPr="003F2730">
        <w:rPr>
          <w:rFonts w:eastAsiaTheme="minorEastAsia"/>
        </w:rPr>
        <w:t xml:space="preserve">nd </w:t>
      </w:r>
      <w:r w:rsidRPr="003F2730">
        <w:rPr>
          <w:rFonts w:eastAsiaTheme="minorEastAsia"/>
          <w:spacing w:val="1"/>
        </w:rPr>
        <w:t>A</w:t>
      </w:r>
      <w:r w:rsidRPr="003F2730">
        <w:rPr>
          <w:rFonts w:eastAsiaTheme="minorEastAsia"/>
        </w:rPr>
        <w:t>.</w:t>
      </w:r>
      <w:r w:rsidR="00032084">
        <w:rPr>
          <w:rFonts w:eastAsiaTheme="minorEastAsia"/>
        </w:rPr>
        <w:t> </w:t>
      </w:r>
      <w:r w:rsidRPr="003F2730">
        <w:rPr>
          <w:rFonts w:eastAsiaTheme="minorEastAsia"/>
          <w:spacing w:val="-1"/>
        </w:rPr>
        <w:t>R</w:t>
      </w:r>
      <w:r w:rsidRPr="003F2730">
        <w:rPr>
          <w:rFonts w:eastAsiaTheme="minorEastAsia"/>
          <w:spacing w:val="1"/>
        </w:rPr>
        <w:t>a</w:t>
      </w:r>
      <w:r w:rsidRPr="003F2730">
        <w:rPr>
          <w:rFonts w:eastAsiaTheme="minorEastAsia"/>
        </w:rPr>
        <w:t>n</w:t>
      </w:r>
      <w:r w:rsidRPr="003F2730">
        <w:rPr>
          <w:rFonts w:eastAsiaTheme="minorEastAsia"/>
          <w:spacing w:val="1"/>
        </w:rPr>
        <w:t>ga</w:t>
      </w:r>
      <w:r w:rsidRPr="003F2730">
        <w:rPr>
          <w:rFonts w:eastAsiaTheme="minorEastAsia"/>
          <w:spacing w:val="-1"/>
        </w:rPr>
        <w:t>r</w:t>
      </w:r>
      <w:r w:rsidRPr="003F2730">
        <w:rPr>
          <w:rFonts w:eastAsiaTheme="minorEastAsia"/>
          <w:spacing w:val="1"/>
        </w:rPr>
        <w:t>a</w:t>
      </w:r>
      <w:r w:rsidRPr="003F2730">
        <w:rPr>
          <w:rFonts w:eastAsiaTheme="minorEastAsia"/>
          <w:spacing w:val="-2"/>
        </w:rPr>
        <w:t>j</w:t>
      </w:r>
      <w:r w:rsidRPr="003F2730">
        <w:rPr>
          <w:rFonts w:eastAsiaTheme="minorEastAsia"/>
          <w:spacing w:val="1"/>
        </w:rPr>
        <w:t>a</w:t>
      </w:r>
      <w:r w:rsidRPr="003F2730">
        <w:rPr>
          <w:rFonts w:eastAsiaTheme="minorEastAsia"/>
        </w:rPr>
        <w:t>n.</w:t>
      </w:r>
      <w:r>
        <w:rPr>
          <w:rFonts w:eastAsiaTheme="minorEastAsia"/>
        </w:rPr>
        <w:t xml:space="preserve"> </w:t>
      </w:r>
      <w:r w:rsidRPr="003F2730">
        <w:rPr>
          <w:rFonts w:eastAsiaTheme="minorEastAsia"/>
          <w:spacing w:val="1"/>
        </w:rPr>
        <w:t>“</w:t>
      </w:r>
      <w:r w:rsidRPr="003F2730">
        <w:rPr>
          <w:rFonts w:eastAsiaTheme="minorEastAsia"/>
          <w:spacing w:val="-1"/>
        </w:rPr>
        <w:t>T</w:t>
      </w:r>
      <w:r w:rsidRPr="003F2730">
        <w:rPr>
          <w:rFonts w:eastAsiaTheme="minorEastAsia"/>
        </w:rPr>
        <w:t>he</w:t>
      </w:r>
      <w:r w:rsidRPr="003F2730">
        <w:rPr>
          <w:rFonts w:eastAsiaTheme="minorEastAsia"/>
          <w:spacing w:val="-1"/>
        </w:rPr>
        <w:t xml:space="preserve"> </w:t>
      </w:r>
      <w:r w:rsidRPr="003F2730">
        <w:rPr>
          <w:rFonts w:eastAsiaTheme="minorEastAsia"/>
          <w:spacing w:val="1"/>
        </w:rPr>
        <w:t>E</w:t>
      </w:r>
      <w:r w:rsidRPr="003F2730">
        <w:rPr>
          <w:rFonts w:eastAsiaTheme="minorEastAsia"/>
        </w:rPr>
        <w:t>v</w:t>
      </w:r>
      <w:r w:rsidRPr="003F2730">
        <w:rPr>
          <w:rFonts w:eastAsiaTheme="minorEastAsia"/>
          <w:spacing w:val="1"/>
        </w:rPr>
        <w:t>a</w:t>
      </w:r>
      <w:r w:rsidRPr="003F2730">
        <w:rPr>
          <w:rFonts w:eastAsiaTheme="minorEastAsia"/>
        </w:rPr>
        <w:t>lu</w:t>
      </w:r>
      <w:r w:rsidRPr="003F2730">
        <w:rPr>
          <w:rFonts w:eastAsiaTheme="minorEastAsia"/>
          <w:spacing w:val="1"/>
        </w:rPr>
        <w:t>a</w:t>
      </w:r>
      <w:r w:rsidRPr="003F2730">
        <w:rPr>
          <w:rFonts w:eastAsiaTheme="minorEastAsia"/>
        </w:rPr>
        <w:t>tion</w:t>
      </w:r>
      <w:r w:rsidRPr="003F2730">
        <w:rPr>
          <w:rFonts w:eastAsiaTheme="minorEastAsia"/>
          <w:spacing w:val="-4"/>
        </w:rPr>
        <w:t xml:space="preserve"> </w:t>
      </w:r>
      <w:r w:rsidRPr="003F2730">
        <w:rPr>
          <w:rFonts w:eastAsiaTheme="minorEastAsia"/>
        </w:rPr>
        <w:t>of</w:t>
      </w:r>
      <w:r w:rsidRPr="003F2730">
        <w:rPr>
          <w:rFonts w:eastAsiaTheme="minorEastAsia"/>
          <w:spacing w:val="-1"/>
        </w:rPr>
        <w:t xml:space="preserve"> W</w:t>
      </w:r>
      <w:r w:rsidRPr="003F2730">
        <w:rPr>
          <w:rFonts w:eastAsiaTheme="minorEastAsia"/>
          <w:spacing w:val="1"/>
        </w:rPr>
        <w:t>e</w:t>
      </w:r>
      <w:r w:rsidRPr="003F2730">
        <w:rPr>
          <w:rFonts w:eastAsiaTheme="minorEastAsia"/>
        </w:rPr>
        <w:t>l</w:t>
      </w:r>
      <w:r w:rsidRPr="003F2730">
        <w:rPr>
          <w:rFonts w:eastAsiaTheme="minorEastAsia"/>
          <w:spacing w:val="-1"/>
        </w:rPr>
        <w:t>far</w:t>
      </w:r>
      <w:r w:rsidRPr="003F2730">
        <w:rPr>
          <w:rFonts w:eastAsiaTheme="minorEastAsia"/>
        </w:rPr>
        <w:t xml:space="preserve">e </w:t>
      </w:r>
      <w:r w:rsidRPr="003F2730">
        <w:rPr>
          <w:rFonts w:eastAsiaTheme="minorEastAsia"/>
          <w:spacing w:val="1"/>
        </w:rPr>
        <w:t>Re</w:t>
      </w:r>
      <w:r w:rsidRPr="003F2730">
        <w:rPr>
          <w:rFonts w:eastAsiaTheme="minorEastAsia"/>
          <w:spacing w:val="-1"/>
        </w:rPr>
        <w:t>f</w:t>
      </w:r>
      <w:r w:rsidRPr="003F2730">
        <w:rPr>
          <w:rFonts w:eastAsiaTheme="minorEastAsia"/>
        </w:rPr>
        <w:t>o</w:t>
      </w:r>
      <w:r w:rsidRPr="003F2730">
        <w:rPr>
          <w:rFonts w:eastAsiaTheme="minorEastAsia"/>
          <w:spacing w:val="-1"/>
        </w:rPr>
        <w:t>r</w:t>
      </w:r>
      <w:r w:rsidRPr="003F2730">
        <w:rPr>
          <w:rFonts w:eastAsiaTheme="minorEastAsia"/>
        </w:rPr>
        <w:t>m</w:t>
      </w:r>
      <w:r w:rsidRPr="003F2730">
        <w:rPr>
          <w:rFonts w:eastAsiaTheme="minorEastAsia"/>
          <w:spacing w:val="-4"/>
        </w:rPr>
        <w:t xml:space="preserve"> </w:t>
      </w:r>
      <w:r w:rsidRPr="003F2730">
        <w:rPr>
          <w:rFonts w:eastAsiaTheme="minorEastAsia"/>
        </w:rPr>
        <w:t xml:space="preserve">in </w:t>
      </w:r>
      <w:r w:rsidRPr="003F2730">
        <w:rPr>
          <w:rFonts w:eastAsiaTheme="minorEastAsia"/>
          <w:spacing w:val="-1"/>
        </w:rPr>
        <w:t>I</w:t>
      </w:r>
      <w:r w:rsidRPr="003F2730">
        <w:rPr>
          <w:rFonts w:eastAsiaTheme="minorEastAsia"/>
        </w:rPr>
        <w:t>o</w:t>
      </w:r>
      <w:r w:rsidRPr="003F2730">
        <w:rPr>
          <w:rFonts w:eastAsiaTheme="minorEastAsia"/>
          <w:spacing w:val="1"/>
        </w:rPr>
        <w:t>wa</w:t>
      </w:r>
      <w:r w:rsidRPr="003F2730">
        <w:rPr>
          <w:rFonts w:eastAsiaTheme="minorEastAsia"/>
        </w:rPr>
        <w:t>:</w:t>
      </w:r>
      <w:r w:rsidRPr="003F2730">
        <w:rPr>
          <w:rFonts w:eastAsiaTheme="minorEastAsia"/>
          <w:spacing w:val="-3"/>
        </w:rPr>
        <w:t xml:space="preserve"> </w:t>
      </w:r>
      <w:r w:rsidRPr="003F2730">
        <w:rPr>
          <w:rFonts w:eastAsiaTheme="minorEastAsia"/>
          <w:spacing w:val="-1"/>
        </w:rPr>
        <w:t>F</w:t>
      </w:r>
      <w:r w:rsidRPr="003F2730">
        <w:rPr>
          <w:rFonts w:eastAsiaTheme="minorEastAsia"/>
        </w:rPr>
        <w:t>in</w:t>
      </w:r>
      <w:r w:rsidRPr="003F2730">
        <w:rPr>
          <w:rFonts w:eastAsiaTheme="minorEastAsia"/>
          <w:spacing w:val="1"/>
        </w:rPr>
        <w:t>a</w:t>
      </w:r>
      <w:r w:rsidRPr="003F2730">
        <w:rPr>
          <w:rFonts w:eastAsiaTheme="minorEastAsia"/>
        </w:rPr>
        <w:t>l</w:t>
      </w:r>
      <w:r w:rsidRPr="003F2730">
        <w:rPr>
          <w:rFonts w:eastAsiaTheme="minorEastAsia"/>
          <w:spacing w:val="-1"/>
        </w:rPr>
        <w:t xml:space="preserve"> I</w:t>
      </w:r>
      <w:r w:rsidRPr="003F2730">
        <w:rPr>
          <w:rFonts w:eastAsiaTheme="minorEastAsia"/>
        </w:rPr>
        <w:t>mp</w:t>
      </w:r>
      <w:r w:rsidRPr="003F2730">
        <w:rPr>
          <w:rFonts w:eastAsiaTheme="minorEastAsia"/>
          <w:spacing w:val="1"/>
        </w:rPr>
        <w:t>ac</w:t>
      </w:r>
      <w:r w:rsidRPr="003F2730">
        <w:rPr>
          <w:rFonts w:eastAsiaTheme="minorEastAsia"/>
        </w:rPr>
        <w:t>t</w:t>
      </w:r>
      <w:r w:rsidRPr="003F2730">
        <w:rPr>
          <w:rFonts w:eastAsiaTheme="minorEastAsia"/>
          <w:spacing w:val="-2"/>
        </w:rPr>
        <w:t xml:space="preserve"> </w:t>
      </w:r>
      <w:r w:rsidRPr="003F2730">
        <w:rPr>
          <w:rFonts w:eastAsiaTheme="minorEastAsia"/>
          <w:spacing w:val="1"/>
        </w:rPr>
        <w:t>Re</w:t>
      </w:r>
      <w:r w:rsidRPr="003F2730">
        <w:rPr>
          <w:rFonts w:eastAsiaTheme="minorEastAsia"/>
        </w:rPr>
        <w:t>po</w:t>
      </w:r>
      <w:r w:rsidRPr="003F2730">
        <w:rPr>
          <w:rFonts w:eastAsiaTheme="minorEastAsia"/>
          <w:spacing w:val="-1"/>
        </w:rPr>
        <w:t>r</w:t>
      </w:r>
      <w:r w:rsidRPr="003F2730">
        <w:rPr>
          <w:rFonts w:eastAsiaTheme="minorEastAsia"/>
        </w:rPr>
        <w:t>t</w:t>
      </w:r>
      <w:r w:rsidRPr="003F2730">
        <w:rPr>
          <w:rFonts w:eastAsiaTheme="minorEastAsia"/>
          <w:i/>
          <w:iCs/>
        </w:rPr>
        <w:t>.</w:t>
      </w:r>
      <w:r w:rsidRPr="003F2730">
        <w:rPr>
          <w:rFonts w:eastAsiaTheme="minorEastAsia"/>
        </w:rPr>
        <w:t>”</w:t>
      </w:r>
      <w:r w:rsidRPr="003F2730">
        <w:rPr>
          <w:rFonts w:eastAsiaTheme="minorEastAsia"/>
          <w:spacing w:val="-5"/>
        </w:rPr>
        <w:t xml:space="preserve"> </w:t>
      </w:r>
      <w:r w:rsidRPr="003F2730">
        <w:rPr>
          <w:rFonts w:eastAsiaTheme="minorEastAsia"/>
          <w:spacing w:val="1"/>
        </w:rPr>
        <w:t>Wa</w:t>
      </w:r>
      <w:r w:rsidRPr="003F2730">
        <w:rPr>
          <w:rFonts w:eastAsiaTheme="minorEastAsia"/>
          <w:spacing w:val="-1"/>
        </w:rPr>
        <w:t>s</w:t>
      </w:r>
      <w:r w:rsidRPr="003F2730">
        <w:rPr>
          <w:rFonts w:eastAsiaTheme="minorEastAsia"/>
        </w:rPr>
        <w:t>hing</w:t>
      </w:r>
      <w:r w:rsidRPr="003F2730">
        <w:rPr>
          <w:rFonts w:eastAsiaTheme="minorEastAsia"/>
          <w:spacing w:val="-3"/>
        </w:rPr>
        <w:t>t</w:t>
      </w:r>
      <w:r w:rsidRPr="003F2730">
        <w:rPr>
          <w:rFonts w:eastAsiaTheme="minorEastAsia"/>
        </w:rPr>
        <w:t>on,</w:t>
      </w:r>
      <w:r w:rsidRPr="003F2730">
        <w:rPr>
          <w:rFonts w:eastAsiaTheme="minorEastAsia"/>
          <w:spacing w:val="-2"/>
        </w:rPr>
        <w:t xml:space="preserve"> </w:t>
      </w:r>
      <w:r w:rsidRPr="003F2730">
        <w:rPr>
          <w:rFonts w:eastAsiaTheme="minorEastAsia"/>
        </w:rPr>
        <w:t>D</w:t>
      </w:r>
      <w:r w:rsidRPr="003F2730">
        <w:rPr>
          <w:rFonts w:eastAsiaTheme="minorEastAsia"/>
          <w:spacing w:val="1"/>
        </w:rPr>
        <w:t>C</w:t>
      </w:r>
      <w:r w:rsidRPr="003F2730">
        <w:rPr>
          <w:rFonts w:eastAsiaTheme="minorEastAsia"/>
          <w:i/>
          <w:iCs/>
        </w:rPr>
        <w:t>:</w:t>
      </w:r>
      <w:r>
        <w:rPr>
          <w:rFonts w:eastAsiaTheme="minorEastAsia"/>
          <w:i/>
          <w:iCs/>
        </w:rPr>
        <w:t xml:space="preserve"> </w:t>
      </w:r>
      <w:r w:rsidRPr="003F2730">
        <w:rPr>
          <w:rFonts w:eastAsiaTheme="minorEastAsia"/>
          <w:spacing w:val="-1"/>
        </w:rPr>
        <w:t>M</w:t>
      </w:r>
      <w:r w:rsidRPr="003F2730">
        <w:rPr>
          <w:rFonts w:eastAsiaTheme="minorEastAsia"/>
          <w:spacing w:val="1"/>
        </w:rPr>
        <w:t>a</w:t>
      </w:r>
      <w:r w:rsidRPr="003F2730">
        <w:rPr>
          <w:rFonts w:eastAsiaTheme="minorEastAsia"/>
        </w:rPr>
        <w:t>th</w:t>
      </w:r>
      <w:r w:rsidRPr="003F2730">
        <w:rPr>
          <w:rFonts w:eastAsiaTheme="minorEastAsia"/>
          <w:spacing w:val="1"/>
        </w:rPr>
        <w:t>e</w:t>
      </w:r>
      <w:r w:rsidRPr="003F2730">
        <w:rPr>
          <w:rFonts w:eastAsiaTheme="minorEastAsia"/>
        </w:rPr>
        <w:t>m</w:t>
      </w:r>
      <w:r w:rsidRPr="003F2730">
        <w:rPr>
          <w:rFonts w:eastAsiaTheme="minorEastAsia"/>
          <w:spacing w:val="1"/>
        </w:rPr>
        <w:t>a</w:t>
      </w:r>
      <w:r w:rsidRPr="003F2730">
        <w:rPr>
          <w:rFonts w:eastAsiaTheme="minorEastAsia"/>
        </w:rPr>
        <w:t>ti</w:t>
      </w:r>
      <w:r w:rsidRPr="003F2730">
        <w:rPr>
          <w:rFonts w:eastAsiaTheme="minorEastAsia"/>
          <w:spacing w:val="1"/>
        </w:rPr>
        <w:t>c</w:t>
      </w:r>
      <w:r w:rsidRPr="003F2730">
        <w:rPr>
          <w:rFonts w:eastAsiaTheme="minorEastAsia"/>
        </w:rPr>
        <w:t>a</w:t>
      </w:r>
      <w:r w:rsidRPr="003F2730">
        <w:rPr>
          <w:rFonts w:eastAsiaTheme="minorEastAsia"/>
          <w:spacing w:val="-6"/>
        </w:rPr>
        <w:t xml:space="preserve"> </w:t>
      </w:r>
      <w:r w:rsidRPr="003F2730">
        <w:rPr>
          <w:rFonts w:eastAsiaTheme="minorEastAsia"/>
          <w:spacing w:val="-1"/>
        </w:rPr>
        <w:t>P</w:t>
      </w:r>
      <w:r w:rsidRPr="003F2730">
        <w:rPr>
          <w:rFonts w:eastAsiaTheme="minorEastAsia"/>
        </w:rPr>
        <w:t>oli</w:t>
      </w:r>
      <w:r w:rsidRPr="003F2730">
        <w:rPr>
          <w:rFonts w:eastAsiaTheme="minorEastAsia"/>
          <w:spacing w:val="-2"/>
        </w:rPr>
        <w:t>c</w:t>
      </w:r>
      <w:r w:rsidRPr="003F2730">
        <w:rPr>
          <w:rFonts w:eastAsiaTheme="minorEastAsia"/>
        </w:rPr>
        <w:t>y</w:t>
      </w:r>
      <w:r w:rsidRPr="003F2730">
        <w:rPr>
          <w:rFonts w:eastAsiaTheme="minorEastAsia"/>
          <w:spacing w:val="-2"/>
        </w:rPr>
        <w:t xml:space="preserve"> </w:t>
      </w:r>
      <w:r w:rsidRPr="003F2730">
        <w:rPr>
          <w:rFonts w:eastAsiaTheme="minorEastAsia"/>
          <w:spacing w:val="-1"/>
        </w:rPr>
        <w:t>R</w:t>
      </w:r>
      <w:r w:rsidRPr="003F2730">
        <w:rPr>
          <w:rFonts w:eastAsiaTheme="minorEastAsia"/>
          <w:spacing w:val="1"/>
        </w:rPr>
        <w:t>e</w:t>
      </w:r>
      <w:r w:rsidRPr="003F2730">
        <w:rPr>
          <w:rFonts w:eastAsiaTheme="minorEastAsia"/>
          <w:spacing w:val="-1"/>
        </w:rPr>
        <w:t>s</w:t>
      </w:r>
      <w:r w:rsidRPr="003F2730">
        <w:rPr>
          <w:rFonts w:eastAsiaTheme="minorEastAsia"/>
          <w:spacing w:val="1"/>
        </w:rPr>
        <w:t>e</w:t>
      </w:r>
      <w:r w:rsidRPr="003F2730">
        <w:rPr>
          <w:rFonts w:eastAsiaTheme="minorEastAsia"/>
          <w:spacing w:val="-2"/>
        </w:rPr>
        <w:t>a</w:t>
      </w:r>
      <w:r w:rsidRPr="003F2730">
        <w:rPr>
          <w:rFonts w:eastAsiaTheme="minorEastAsia"/>
          <w:spacing w:val="-1"/>
        </w:rPr>
        <w:t>r</w:t>
      </w:r>
      <w:r w:rsidRPr="003F2730">
        <w:rPr>
          <w:rFonts w:eastAsiaTheme="minorEastAsia"/>
          <w:spacing w:val="1"/>
        </w:rPr>
        <w:t>c</w:t>
      </w:r>
      <w:r w:rsidRPr="003F2730">
        <w:rPr>
          <w:rFonts w:eastAsiaTheme="minorEastAsia"/>
        </w:rPr>
        <w:t>h,</w:t>
      </w:r>
      <w:r w:rsidRPr="003F2730">
        <w:rPr>
          <w:rFonts w:eastAsiaTheme="minorEastAsia"/>
          <w:spacing w:val="-4"/>
        </w:rPr>
        <w:t xml:space="preserve"> </w:t>
      </w:r>
      <w:r w:rsidRPr="003F2730">
        <w:rPr>
          <w:rFonts w:eastAsiaTheme="minorEastAsia"/>
        </w:rPr>
        <w:t>2001.</w:t>
      </w:r>
    </w:p>
    <w:p w14:paraId="1B17E639" w14:textId="77777777" w:rsidR="00822B5F" w:rsidRPr="000A452B" w:rsidRDefault="00822B5F" w:rsidP="00822B5F">
      <w:pPr>
        <w:pStyle w:val="References"/>
      </w:pPr>
      <w:r w:rsidRPr="000A452B">
        <w:t xml:space="preserve">Mercer, A., </w:t>
      </w:r>
      <w:r>
        <w:t xml:space="preserve">A. </w:t>
      </w:r>
      <w:r w:rsidRPr="000A452B">
        <w:t xml:space="preserve">Caporaso, </w:t>
      </w:r>
      <w:r>
        <w:t xml:space="preserve">D. </w:t>
      </w:r>
      <w:r w:rsidRPr="000A452B">
        <w:t xml:space="preserve">Cantor, and </w:t>
      </w:r>
      <w:r>
        <w:t xml:space="preserve">R. </w:t>
      </w:r>
      <w:r w:rsidRPr="000A452B">
        <w:t xml:space="preserve">Townsend, R. </w:t>
      </w:r>
      <w:r>
        <w:t>“</w:t>
      </w:r>
      <w:r w:rsidRPr="000A452B">
        <w:t>How Much Gets You How Much? Monetary Incentives and Response Rates in Household Surveys.</w:t>
      </w:r>
      <w:r>
        <w:t>”</w:t>
      </w:r>
      <w:r w:rsidRPr="000A452B">
        <w:t xml:space="preserve"> </w:t>
      </w:r>
      <w:r w:rsidRPr="000A452B">
        <w:rPr>
          <w:i/>
        </w:rPr>
        <w:t>Public Opinion Quarterly</w:t>
      </w:r>
      <w:r w:rsidRPr="000A452B">
        <w:t xml:space="preserve">, </w:t>
      </w:r>
      <w:r>
        <w:t xml:space="preserve">2015, vol. </w:t>
      </w:r>
      <w:r w:rsidRPr="000A452B">
        <w:t xml:space="preserve">79 (1), </w:t>
      </w:r>
      <w:r>
        <w:t>pp.</w:t>
      </w:r>
      <w:r w:rsidRPr="000A452B">
        <w:t>105-129.</w:t>
      </w:r>
    </w:p>
    <w:p w14:paraId="7EE7C7FC" w14:textId="77777777" w:rsidR="00BD1E52" w:rsidRDefault="00BD1E52" w:rsidP="00032084">
      <w:pPr>
        <w:pStyle w:val="References"/>
      </w:pPr>
      <w:r>
        <w:t xml:space="preserve">Singer, E., and R.A. Kulka. “Paying Respondents for Survey Participation.” In </w:t>
      </w:r>
      <w:r w:rsidRPr="007C02E5">
        <w:rPr>
          <w:i/>
        </w:rPr>
        <w:t>Studies of Welfare Populations: Data Collection and Research Issues. Panel on Data and Methods for Measuring the Effects of Changes in Social Welfare Programs,</w:t>
      </w:r>
      <w:r>
        <w:t xml:space="preserve"> edited by Michele Ver</w:t>
      </w:r>
      <w:r w:rsidR="00032084">
        <w:t> </w:t>
      </w:r>
      <w:r>
        <w:t>Ploeg, Robert A. Moffitt, and Constance F. Citro. Committee on National Statistics, Division of Behavioral and Social Sciences and Education. Washington, DC: National Academy Press, 2002, pp. 105–128.</w:t>
      </w:r>
    </w:p>
    <w:p w14:paraId="1CEFFFFE" w14:textId="77777777" w:rsidR="00923BAF" w:rsidRPr="00155D06" w:rsidRDefault="009E701D" w:rsidP="0067739E">
      <w:pPr>
        <w:pStyle w:val="References"/>
      </w:pPr>
      <w:r>
        <w:t xml:space="preserve">Singer, E., R.M. Groves, and A.D. Corning. “Differential Incentives: Beliefs About Practices, Perceptions of Equity, and Effects on Survey Participation.” </w:t>
      </w:r>
      <w:r w:rsidRPr="007C02E5">
        <w:rPr>
          <w:i/>
        </w:rPr>
        <w:t>Public Opinion Quarterly</w:t>
      </w:r>
      <w:r>
        <w:t>, vol.</w:t>
      </w:r>
      <w:r w:rsidR="00032084">
        <w:t> </w:t>
      </w:r>
      <w:r>
        <w:t>63, 1999, pp. 251–260.</w:t>
      </w:r>
    </w:p>
    <w:sectPr w:rsidR="00923BAF" w:rsidRPr="00155D06"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54449" w14:textId="77777777" w:rsidR="008B268A" w:rsidRDefault="008B268A" w:rsidP="002E3E35">
      <w:pPr>
        <w:spacing w:line="240" w:lineRule="auto"/>
      </w:pPr>
      <w:r>
        <w:separator/>
      </w:r>
    </w:p>
  </w:endnote>
  <w:endnote w:type="continuationSeparator" w:id="0">
    <w:p w14:paraId="544FAFE4" w14:textId="77777777" w:rsidR="008B268A" w:rsidRDefault="008B268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50CD6" w14:textId="77777777" w:rsidR="00643D7E" w:rsidRPr="00C8092E" w:rsidRDefault="00643D7E" w:rsidP="00C8092E">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B7672" w14:textId="77777777" w:rsidR="00643D7E" w:rsidRPr="00A12B64" w:rsidRDefault="00643D7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88BCC0E" w14:textId="77777777" w:rsidR="00643D7E" w:rsidRDefault="00643D7E" w:rsidP="00455D47">
    <w:pPr>
      <w:pStyle w:val="Footer"/>
      <w:pBdr>
        <w:top w:val="single" w:sz="2" w:space="1" w:color="auto"/>
        <w:bottom w:val="none" w:sz="0" w:space="0" w:color="auto"/>
      </w:pBdr>
      <w:spacing w:line="192" w:lineRule="auto"/>
      <w:rPr>
        <w:rStyle w:val="PageNumber"/>
      </w:rPr>
    </w:pPr>
  </w:p>
  <w:p w14:paraId="06200A5C" w14:textId="7C1C7E13" w:rsidR="00643D7E" w:rsidRDefault="00643D7E" w:rsidP="00E74068">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16186">
      <w:rPr>
        <w:rStyle w:val="PageNumber"/>
        <w:noProof/>
      </w:rPr>
      <w:t>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5BEF2" w14:textId="77777777" w:rsidR="00643D7E" w:rsidRPr="00A12B64" w:rsidRDefault="00643D7E" w:rsidP="00FA3F33">
    <w:pPr>
      <w:pStyle w:val="Footer"/>
      <w:pBdr>
        <w:bottom w:val="none" w:sz="0" w:space="0" w:color="auto"/>
      </w:pBdr>
      <w:tabs>
        <w:tab w:val="clear" w:pos="4320"/>
        <w:tab w:val="right" w:leader="underscore" w:pos="8539"/>
      </w:tabs>
      <w:spacing w:line="192" w:lineRule="auto"/>
      <w:rPr>
        <w:rFonts w:cs="Arial"/>
        <w:snapToGrid w:val="0"/>
        <w:szCs w:val="14"/>
      </w:rPr>
    </w:pPr>
  </w:p>
  <w:p w14:paraId="24EB0D0D" w14:textId="77777777" w:rsidR="00643D7E" w:rsidRDefault="00643D7E" w:rsidP="00FA3F33">
    <w:pPr>
      <w:pStyle w:val="Footer"/>
      <w:pBdr>
        <w:top w:val="single" w:sz="2" w:space="1" w:color="auto"/>
        <w:bottom w:val="none" w:sz="0" w:space="0" w:color="auto"/>
      </w:pBdr>
      <w:spacing w:line="192" w:lineRule="auto"/>
      <w:rPr>
        <w:rStyle w:val="PageNumber"/>
      </w:rPr>
    </w:pPr>
  </w:p>
  <w:p w14:paraId="68607BF8" w14:textId="1DF45F28" w:rsidR="00643D7E" w:rsidRPr="00E270AD" w:rsidRDefault="00643D7E" w:rsidP="00077A24">
    <w:pPr>
      <w:pStyle w:val="Footer"/>
      <w:pBdr>
        <w:top w:val="single" w:sz="2" w:space="1" w:color="auto"/>
        <w:bottom w:val="none" w:sz="0" w:space="0" w:color="auto"/>
      </w:pBdr>
      <w:rPr>
        <w:rStyle w:val="PageNumber"/>
        <w:rFonts w:ascii="Times New Roman" w:hAnsi="Times New Roman"/>
        <w:sz w:val="24"/>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74AF4">
      <w:rPr>
        <w:rStyle w:val="PageNumber"/>
        <w:noProof/>
      </w:rPr>
      <w:t>21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864F9" w14:textId="77777777" w:rsidR="008B268A" w:rsidRDefault="008B268A" w:rsidP="00203E3B">
      <w:pPr>
        <w:spacing w:line="240" w:lineRule="auto"/>
        <w:ind w:firstLine="0"/>
      </w:pPr>
      <w:r>
        <w:separator/>
      </w:r>
    </w:p>
  </w:footnote>
  <w:footnote w:type="continuationSeparator" w:id="0">
    <w:p w14:paraId="186B2C06" w14:textId="77777777" w:rsidR="008B268A" w:rsidRDefault="008B268A" w:rsidP="00203E3B">
      <w:pPr>
        <w:spacing w:line="240" w:lineRule="auto"/>
        <w:ind w:firstLine="0"/>
      </w:pPr>
      <w:r>
        <w:separator/>
      </w:r>
    </w:p>
    <w:p w14:paraId="6284A1A4" w14:textId="77777777" w:rsidR="008B268A" w:rsidRPr="00157CA2" w:rsidRDefault="008B268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F8E8D" w14:textId="77777777" w:rsidR="00643D7E" w:rsidRPr="00C8092E" w:rsidRDefault="00643D7E" w:rsidP="00C8092E">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8CD35" w14:textId="77777777" w:rsidR="00643D7E" w:rsidRDefault="00643D7E" w:rsidP="00E74068">
    <w:pPr>
      <w:pStyle w:val="Header"/>
      <w:pBdr>
        <w:bottom w:val="single" w:sz="2" w:space="2" w:color="auto"/>
      </w:pBdr>
    </w:pPr>
    <w:r>
      <w:t>EVALUATION OF SNAP E&amp;T PILOTS: PART b</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7A26" w14:textId="77777777" w:rsidR="00643D7E" w:rsidRPr="004244EE" w:rsidRDefault="00643D7E" w:rsidP="00AB6178">
    <w:pPr>
      <w:pStyle w:val="Header"/>
      <w:pBdr>
        <w:bottom w:val="single" w:sz="2" w:space="2" w:color="auto"/>
      </w:pBdr>
    </w:pPr>
    <w:r>
      <w:t>EVALUATION OF SNAP E&amp;T PILOTS: PART b</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1EC4429"/>
    <w:multiLevelType w:val="hybridMultilevel"/>
    <w:tmpl w:val="1930A5E8"/>
    <w:lvl w:ilvl="0" w:tplc="DD28C74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16594"/>
    <w:multiLevelType w:val="hybridMultilevel"/>
    <w:tmpl w:val="886AF540"/>
    <w:lvl w:ilvl="0" w:tplc="33583852">
      <w:start w:val="1"/>
      <w:numFmt w:val="bullet"/>
      <w:pStyle w:val="Bulle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2646E"/>
    <w:multiLevelType w:val="hybridMultilevel"/>
    <w:tmpl w:val="ABEE71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B59AC"/>
    <w:multiLevelType w:val="hybridMultilevel"/>
    <w:tmpl w:val="C6D2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DD50AA8"/>
    <w:multiLevelType w:val="hybridMultilevel"/>
    <w:tmpl w:val="152E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7"/>
  </w:num>
  <w:num w:numId="5">
    <w:abstractNumId w:val="26"/>
  </w:num>
  <w:num w:numId="6">
    <w:abstractNumId w:val="28"/>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0"/>
  </w:num>
  <w:num w:numId="19">
    <w:abstractNumId w:val="18"/>
  </w:num>
  <w:num w:numId="20">
    <w:abstractNumId w:val="4"/>
  </w:num>
  <w:num w:numId="21">
    <w:abstractNumId w:val="19"/>
  </w:num>
  <w:num w:numId="22">
    <w:abstractNumId w:val="2"/>
  </w:num>
  <w:num w:numId="23">
    <w:abstractNumId w:val="13"/>
  </w:num>
  <w:num w:numId="24">
    <w:abstractNumId w:val="24"/>
  </w:num>
  <w:num w:numId="25">
    <w:abstractNumId w:val="5"/>
  </w:num>
  <w:num w:numId="26">
    <w:abstractNumId w:val="1"/>
  </w:num>
  <w:num w:numId="27">
    <w:abstractNumId w:val="8"/>
  </w:num>
  <w:num w:numId="28">
    <w:abstractNumId w:val="14"/>
  </w:num>
  <w:num w:numId="29">
    <w:abstractNumId w:val="23"/>
  </w:num>
  <w:num w:numId="30">
    <w:abstractNumId w:val="20"/>
  </w:num>
  <w:num w:numId="31">
    <w:abstractNumId w:val="3"/>
  </w:num>
  <w:num w:numId="32">
    <w:abstractNumId w:val="16"/>
    <w:lvlOverride w:ilvl="0">
      <w:startOverride w:val="1"/>
    </w:lvlOverride>
  </w:num>
  <w:num w:numId="33">
    <w:abstractNumId w:val="9"/>
  </w:num>
  <w:num w:numId="34">
    <w:abstractNumId w:val="11"/>
  </w:num>
  <w:num w:numId="35">
    <w:abstractNumId w:val="15"/>
  </w:num>
  <w:num w:numId="36">
    <w:abstractNumId w:val="6"/>
  </w:num>
  <w:num w:numId="37">
    <w:abstractNumId w:val="12"/>
  </w:num>
  <w:num w:numId="38">
    <w:abstractNumId w:val="2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AF"/>
    <w:rsid w:val="000016A2"/>
    <w:rsid w:val="000030B1"/>
    <w:rsid w:val="000039C7"/>
    <w:rsid w:val="00010CEE"/>
    <w:rsid w:val="0001587F"/>
    <w:rsid w:val="00016459"/>
    <w:rsid w:val="000169F8"/>
    <w:rsid w:val="00016D34"/>
    <w:rsid w:val="000212FC"/>
    <w:rsid w:val="00022A0A"/>
    <w:rsid w:val="0002322B"/>
    <w:rsid w:val="0002591E"/>
    <w:rsid w:val="0002754E"/>
    <w:rsid w:val="00030C57"/>
    <w:rsid w:val="00032084"/>
    <w:rsid w:val="0003265D"/>
    <w:rsid w:val="00032E4E"/>
    <w:rsid w:val="00034667"/>
    <w:rsid w:val="000346AD"/>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77A24"/>
    <w:rsid w:val="000855BD"/>
    <w:rsid w:val="00086066"/>
    <w:rsid w:val="0009143A"/>
    <w:rsid w:val="00095543"/>
    <w:rsid w:val="00095810"/>
    <w:rsid w:val="00096ECB"/>
    <w:rsid w:val="000972E1"/>
    <w:rsid w:val="000A2181"/>
    <w:rsid w:val="000A2330"/>
    <w:rsid w:val="000A5A8D"/>
    <w:rsid w:val="000A6052"/>
    <w:rsid w:val="000A6591"/>
    <w:rsid w:val="000A66E4"/>
    <w:rsid w:val="000A7604"/>
    <w:rsid w:val="000A7FB4"/>
    <w:rsid w:val="000B521D"/>
    <w:rsid w:val="000B555A"/>
    <w:rsid w:val="000B764C"/>
    <w:rsid w:val="000C2E3B"/>
    <w:rsid w:val="000C413E"/>
    <w:rsid w:val="000C7D4D"/>
    <w:rsid w:val="000D5B34"/>
    <w:rsid w:val="000D6D88"/>
    <w:rsid w:val="000D751A"/>
    <w:rsid w:val="000E031D"/>
    <w:rsid w:val="000E0694"/>
    <w:rsid w:val="000E17A1"/>
    <w:rsid w:val="000E1C2B"/>
    <w:rsid w:val="000E2169"/>
    <w:rsid w:val="000E4C3F"/>
    <w:rsid w:val="000E5A94"/>
    <w:rsid w:val="000F602B"/>
    <w:rsid w:val="000F677B"/>
    <w:rsid w:val="001004A7"/>
    <w:rsid w:val="001119F8"/>
    <w:rsid w:val="00112A5E"/>
    <w:rsid w:val="00113CC8"/>
    <w:rsid w:val="001224B1"/>
    <w:rsid w:val="00122C2C"/>
    <w:rsid w:val="00130C03"/>
    <w:rsid w:val="001311F7"/>
    <w:rsid w:val="0013184F"/>
    <w:rsid w:val="00131D22"/>
    <w:rsid w:val="00131F00"/>
    <w:rsid w:val="0013346F"/>
    <w:rsid w:val="00135EB7"/>
    <w:rsid w:val="0013709C"/>
    <w:rsid w:val="0014358D"/>
    <w:rsid w:val="00146CE3"/>
    <w:rsid w:val="00147515"/>
    <w:rsid w:val="00147A74"/>
    <w:rsid w:val="00154DF1"/>
    <w:rsid w:val="00155D06"/>
    <w:rsid w:val="00157CA2"/>
    <w:rsid w:val="00160DB0"/>
    <w:rsid w:val="00161CB2"/>
    <w:rsid w:val="001649D5"/>
    <w:rsid w:val="00164BC2"/>
    <w:rsid w:val="00166484"/>
    <w:rsid w:val="00170DB7"/>
    <w:rsid w:val="00171138"/>
    <w:rsid w:val="001739F1"/>
    <w:rsid w:val="00181AC8"/>
    <w:rsid w:val="00183020"/>
    <w:rsid w:val="00184421"/>
    <w:rsid w:val="00185CEF"/>
    <w:rsid w:val="001921A4"/>
    <w:rsid w:val="00194A0E"/>
    <w:rsid w:val="001969F1"/>
    <w:rsid w:val="00196E5A"/>
    <w:rsid w:val="00197503"/>
    <w:rsid w:val="001A3781"/>
    <w:rsid w:val="001A573C"/>
    <w:rsid w:val="001B107D"/>
    <w:rsid w:val="001B4842"/>
    <w:rsid w:val="001C5EB8"/>
    <w:rsid w:val="001C7FBE"/>
    <w:rsid w:val="001D3544"/>
    <w:rsid w:val="001D39AA"/>
    <w:rsid w:val="001D39EC"/>
    <w:rsid w:val="001D418D"/>
    <w:rsid w:val="001D661F"/>
    <w:rsid w:val="001D7AC1"/>
    <w:rsid w:val="001D7B65"/>
    <w:rsid w:val="001E6A60"/>
    <w:rsid w:val="001E6E5A"/>
    <w:rsid w:val="001F0121"/>
    <w:rsid w:val="001F7170"/>
    <w:rsid w:val="00201E7E"/>
    <w:rsid w:val="00203E3B"/>
    <w:rsid w:val="00204AB9"/>
    <w:rsid w:val="00204B23"/>
    <w:rsid w:val="002050B7"/>
    <w:rsid w:val="00214E0B"/>
    <w:rsid w:val="00215C5A"/>
    <w:rsid w:val="00215E4D"/>
    <w:rsid w:val="002166BC"/>
    <w:rsid w:val="00217FA0"/>
    <w:rsid w:val="00222D61"/>
    <w:rsid w:val="00225954"/>
    <w:rsid w:val="0022714B"/>
    <w:rsid w:val="002272CB"/>
    <w:rsid w:val="00231607"/>
    <w:rsid w:val="002361D8"/>
    <w:rsid w:val="0023638D"/>
    <w:rsid w:val="00247217"/>
    <w:rsid w:val="00247945"/>
    <w:rsid w:val="00254C89"/>
    <w:rsid w:val="00254E2D"/>
    <w:rsid w:val="00256D04"/>
    <w:rsid w:val="0026025C"/>
    <w:rsid w:val="0026713B"/>
    <w:rsid w:val="00271C83"/>
    <w:rsid w:val="00271ECB"/>
    <w:rsid w:val="0027245E"/>
    <w:rsid w:val="00272B66"/>
    <w:rsid w:val="002733A4"/>
    <w:rsid w:val="002765CC"/>
    <w:rsid w:val="002817A6"/>
    <w:rsid w:val="00283304"/>
    <w:rsid w:val="0028360E"/>
    <w:rsid w:val="002869EF"/>
    <w:rsid w:val="0029011D"/>
    <w:rsid w:val="0029042C"/>
    <w:rsid w:val="00292A7F"/>
    <w:rsid w:val="00293B23"/>
    <w:rsid w:val="00294B21"/>
    <w:rsid w:val="00297266"/>
    <w:rsid w:val="002A00E4"/>
    <w:rsid w:val="002A2808"/>
    <w:rsid w:val="002A3D5D"/>
    <w:rsid w:val="002A4077"/>
    <w:rsid w:val="002A4F27"/>
    <w:rsid w:val="002A64F9"/>
    <w:rsid w:val="002A6552"/>
    <w:rsid w:val="002B0E82"/>
    <w:rsid w:val="002B2280"/>
    <w:rsid w:val="002B25CD"/>
    <w:rsid w:val="002B61A8"/>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D4C"/>
    <w:rsid w:val="0030242C"/>
    <w:rsid w:val="00302890"/>
    <w:rsid w:val="00303EF1"/>
    <w:rsid w:val="00306F1E"/>
    <w:rsid w:val="00310CBE"/>
    <w:rsid w:val="00315DEC"/>
    <w:rsid w:val="0031740A"/>
    <w:rsid w:val="00317FDB"/>
    <w:rsid w:val="003250D8"/>
    <w:rsid w:val="00325FF2"/>
    <w:rsid w:val="00326958"/>
    <w:rsid w:val="00326FF6"/>
    <w:rsid w:val="0033012A"/>
    <w:rsid w:val="003308C3"/>
    <w:rsid w:val="00331ADC"/>
    <w:rsid w:val="00335C7E"/>
    <w:rsid w:val="00340274"/>
    <w:rsid w:val="00341682"/>
    <w:rsid w:val="003426BF"/>
    <w:rsid w:val="00345556"/>
    <w:rsid w:val="00346E5F"/>
    <w:rsid w:val="0035526C"/>
    <w:rsid w:val="00355E1B"/>
    <w:rsid w:val="00356A6F"/>
    <w:rsid w:val="00357B5C"/>
    <w:rsid w:val="00363410"/>
    <w:rsid w:val="00363A19"/>
    <w:rsid w:val="003656C4"/>
    <w:rsid w:val="00366F93"/>
    <w:rsid w:val="00370490"/>
    <w:rsid w:val="00370BC5"/>
    <w:rsid w:val="00370D5B"/>
    <w:rsid w:val="003743AD"/>
    <w:rsid w:val="003774C8"/>
    <w:rsid w:val="00384A00"/>
    <w:rsid w:val="00384E5E"/>
    <w:rsid w:val="003869B6"/>
    <w:rsid w:val="00387C3D"/>
    <w:rsid w:val="0039188F"/>
    <w:rsid w:val="003921CA"/>
    <w:rsid w:val="00392614"/>
    <w:rsid w:val="00392C64"/>
    <w:rsid w:val="00393318"/>
    <w:rsid w:val="00394544"/>
    <w:rsid w:val="00394DAA"/>
    <w:rsid w:val="003969F2"/>
    <w:rsid w:val="00396FD7"/>
    <w:rsid w:val="003A0C7A"/>
    <w:rsid w:val="003A16DA"/>
    <w:rsid w:val="003A3ADA"/>
    <w:rsid w:val="003A501E"/>
    <w:rsid w:val="003A63C1"/>
    <w:rsid w:val="003A7641"/>
    <w:rsid w:val="003C3464"/>
    <w:rsid w:val="003C3874"/>
    <w:rsid w:val="003C38EC"/>
    <w:rsid w:val="003C3D79"/>
    <w:rsid w:val="003C5AD1"/>
    <w:rsid w:val="003D540E"/>
    <w:rsid w:val="003E1520"/>
    <w:rsid w:val="003E21DB"/>
    <w:rsid w:val="003E3505"/>
    <w:rsid w:val="003E418E"/>
    <w:rsid w:val="003E4F1D"/>
    <w:rsid w:val="003E7979"/>
    <w:rsid w:val="003F2730"/>
    <w:rsid w:val="003F4ADD"/>
    <w:rsid w:val="003F7027"/>
    <w:rsid w:val="003F7D6D"/>
    <w:rsid w:val="00400D0E"/>
    <w:rsid w:val="0040392F"/>
    <w:rsid w:val="00406760"/>
    <w:rsid w:val="00407B0F"/>
    <w:rsid w:val="00413779"/>
    <w:rsid w:val="00415878"/>
    <w:rsid w:val="004244EE"/>
    <w:rsid w:val="00425EEB"/>
    <w:rsid w:val="00430A83"/>
    <w:rsid w:val="00431084"/>
    <w:rsid w:val="00435539"/>
    <w:rsid w:val="00436B58"/>
    <w:rsid w:val="00436BEA"/>
    <w:rsid w:val="00437868"/>
    <w:rsid w:val="004406E3"/>
    <w:rsid w:val="00442A8F"/>
    <w:rsid w:val="0044335E"/>
    <w:rsid w:val="00446C1B"/>
    <w:rsid w:val="004533DB"/>
    <w:rsid w:val="00455D47"/>
    <w:rsid w:val="004620FF"/>
    <w:rsid w:val="00462212"/>
    <w:rsid w:val="00464B7F"/>
    <w:rsid w:val="004655C1"/>
    <w:rsid w:val="00465789"/>
    <w:rsid w:val="004662C5"/>
    <w:rsid w:val="00470910"/>
    <w:rsid w:val="00480779"/>
    <w:rsid w:val="004867C2"/>
    <w:rsid w:val="0049195D"/>
    <w:rsid w:val="00491AB9"/>
    <w:rsid w:val="004934BE"/>
    <w:rsid w:val="0049423B"/>
    <w:rsid w:val="00495DE3"/>
    <w:rsid w:val="004A4935"/>
    <w:rsid w:val="004A5515"/>
    <w:rsid w:val="004A6734"/>
    <w:rsid w:val="004B47D3"/>
    <w:rsid w:val="004C498B"/>
    <w:rsid w:val="004C5286"/>
    <w:rsid w:val="004C67B1"/>
    <w:rsid w:val="004D1EAA"/>
    <w:rsid w:val="004D2C35"/>
    <w:rsid w:val="004D690A"/>
    <w:rsid w:val="004D6B97"/>
    <w:rsid w:val="004E049B"/>
    <w:rsid w:val="004E69F7"/>
    <w:rsid w:val="004E7409"/>
    <w:rsid w:val="004E74D1"/>
    <w:rsid w:val="004F14DD"/>
    <w:rsid w:val="004F2BAC"/>
    <w:rsid w:val="004F36C4"/>
    <w:rsid w:val="004F46DA"/>
    <w:rsid w:val="00500104"/>
    <w:rsid w:val="0050038C"/>
    <w:rsid w:val="00502877"/>
    <w:rsid w:val="005053F6"/>
    <w:rsid w:val="00505804"/>
    <w:rsid w:val="00506F79"/>
    <w:rsid w:val="00511D22"/>
    <w:rsid w:val="005257EC"/>
    <w:rsid w:val="00526576"/>
    <w:rsid w:val="00526D08"/>
    <w:rsid w:val="00535221"/>
    <w:rsid w:val="0053540D"/>
    <w:rsid w:val="00536143"/>
    <w:rsid w:val="00537E01"/>
    <w:rsid w:val="005400FC"/>
    <w:rsid w:val="00540352"/>
    <w:rsid w:val="005403E8"/>
    <w:rsid w:val="00543C8F"/>
    <w:rsid w:val="005440B8"/>
    <w:rsid w:val="00551D48"/>
    <w:rsid w:val="005547CA"/>
    <w:rsid w:val="00555F68"/>
    <w:rsid w:val="005576F8"/>
    <w:rsid w:val="00560D9D"/>
    <w:rsid w:val="00561604"/>
    <w:rsid w:val="005664B3"/>
    <w:rsid w:val="005720EB"/>
    <w:rsid w:val="00574AF4"/>
    <w:rsid w:val="00580A6C"/>
    <w:rsid w:val="005820E9"/>
    <w:rsid w:val="005837E2"/>
    <w:rsid w:val="00585F60"/>
    <w:rsid w:val="005860D2"/>
    <w:rsid w:val="005903AC"/>
    <w:rsid w:val="005975FE"/>
    <w:rsid w:val="00597910"/>
    <w:rsid w:val="005A0AA9"/>
    <w:rsid w:val="005A151B"/>
    <w:rsid w:val="005A222E"/>
    <w:rsid w:val="005A7272"/>
    <w:rsid w:val="005A7B20"/>
    <w:rsid w:val="005A7F69"/>
    <w:rsid w:val="005B0DA9"/>
    <w:rsid w:val="005B1E08"/>
    <w:rsid w:val="005B2092"/>
    <w:rsid w:val="005B3BFB"/>
    <w:rsid w:val="005C2E96"/>
    <w:rsid w:val="005C40D5"/>
    <w:rsid w:val="005C40E0"/>
    <w:rsid w:val="005C6C34"/>
    <w:rsid w:val="005D1006"/>
    <w:rsid w:val="005D1DEB"/>
    <w:rsid w:val="005D51C5"/>
    <w:rsid w:val="005D5D21"/>
    <w:rsid w:val="005D6EA6"/>
    <w:rsid w:val="005E1AE0"/>
    <w:rsid w:val="005E2B24"/>
    <w:rsid w:val="005E454D"/>
    <w:rsid w:val="005E7BE9"/>
    <w:rsid w:val="005F28ED"/>
    <w:rsid w:val="005F5DC1"/>
    <w:rsid w:val="005F6F8C"/>
    <w:rsid w:val="005F7ADD"/>
    <w:rsid w:val="005F7FEA"/>
    <w:rsid w:val="006007E2"/>
    <w:rsid w:val="006019D8"/>
    <w:rsid w:val="006075CC"/>
    <w:rsid w:val="00610E6C"/>
    <w:rsid w:val="00611F6B"/>
    <w:rsid w:val="00615050"/>
    <w:rsid w:val="00615906"/>
    <w:rsid w:val="00616DE6"/>
    <w:rsid w:val="00622372"/>
    <w:rsid w:val="00623E13"/>
    <w:rsid w:val="0062545D"/>
    <w:rsid w:val="006265FA"/>
    <w:rsid w:val="006270D3"/>
    <w:rsid w:val="00633E77"/>
    <w:rsid w:val="0063644E"/>
    <w:rsid w:val="00636D6D"/>
    <w:rsid w:val="006371A1"/>
    <w:rsid w:val="006404FF"/>
    <w:rsid w:val="00643D7E"/>
    <w:rsid w:val="0066062F"/>
    <w:rsid w:val="006612CC"/>
    <w:rsid w:val="0066273C"/>
    <w:rsid w:val="00663F2C"/>
    <w:rsid w:val="0066481B"/>
    <w:rsid w:val="00665163"/>
    <w:rsid w:val="00671099"/>
    <w:rsid w:val="0067358F"/>
    <w:rsid w:val="0067395C"/>
    <w:rsid w:val="00676A56"/>
    <w:rsid w:val="0067739E"/>
    <w:rsid w:val="0068215C"/>
    <w:rsid w:val="0068230E"/>
    <w:rsid w:val="00684829"/>
    <w:rsid w:val="00690350"/>
    <w:rsid w:val="00692138"/>
    <w:rsid w:val="00696C38"/>
    <w:rsid w:val="0069799C"/>
    <w:rsid w:val="00697E5B"/>
    <w:rsid w:val="006A465C"/>
    <w:rsid w:val="006A4FFC"/>
    <w:rsid w:val="006A6D7D"/>
    <w:rsid w:val="006A73F8"/>
    <w:rsid w:val="006B1180"/>
    <w:rsid w:val="006B2425"/>
    <w:rsid w:val="006B2483"/>
    <w:rsid w:val="006B49A4"/>
    <w:rsid w:val="006B4E3F"/>
    <w:rsid w:val="006B6D4A"/>
    <w:rsid w:val="006B7E82"/>
    <w:rsid w:val="006C2620"/>
    <w:rsid w:val="006C3304"/>
    <w:rsid w:val="006C7956"/>
    <w:rsid w:val="006D03BB"/>
    <w:rsid w:val="006D21FF"/>
    <w:rsid w:val="006D5C41"/>
    <w:rsid w:val="006D6612"/>
    <w:rsid w:val="006D680C"/>
    <w:rsid w:val="006D7C6D"/>
    <w:rsid w:val="006E3BD4"/>
    <w:rsid w:val="006E4164"/>
    <w:rsid w:val="006E5B0A"/>
    <w:rsid w:val="006F265F"/>
    <w:rsid w:val="006F3FEB"/>
    <w:rsid w:val="006F4AFC"/>
    <w:rsid w:val="006F6D18"/>
    <w:rsid w:val="006F730C"/>
    <w:rsid w:val="006F73F3"/>
    <w:rsid w:val="00700DDD"/>
    <w:rsid w:val="00702EB1"/>
    <w:rsid w:val="00702F11"/>
    <w:rsid w:val="007031B1"/>
    <w:rsid w:val="007043FD"/>
    <w:rsid w:val="00707736"/>
    <w:rsid w:val="00711B96"/>
    <w:rsid w:val="0071402F"/>
    <w:rsid w:val="00716DB7"/>
    <w:rsid w:val="007222A0"/>
    <w:rsid w:val="00735339"/>
    <w:rsid w:val="007447D1"/>
    <w:rsid w:val="00744BFF"/>
    <w:rsid w:val="00750A84"/>
    <w:rsid w:val="0075488B"/>
    <w:rsid w:val="00756044"/>
    <w:rsid w:val="00756E06"/>
    <w:rsid w:val="007578F2"/>
    <w:rsid w:val="007614D4"/>
    <w:rsid w:val="00761C9D"/>
    <w:rsid w:val="00761DA6"/>
    <w:rsid w:val="00764A19"/>
    <w:rsid w:val="0076716B"/>
    <w:rsid w:val="007700B1"/>
    <w:rsid w:val="0077040F"/>
    <w:rsid w:val="007734ED"/>
    <w:rsid w:val="00776863"/>
    <w:rsid w:val="00777AD6"/>
    <w:rsid w:val="00780B38"/>
    <w:rsid w:val="00781F52"/>
    <w:rsid w:val="007825D9"/>
    <w:rsid w:val="0078608F"/>
    <w:rsid w:val="00787CE7"/>
    <w:rsid w:val="00794239"/>
    <w:rsid w:val="00794578"/>
    <w:rsid w:val="007957F9"/>
    <w:rsid w:val="007963EB"/>
    <w:rsid w:val="007A1493"/>
    <w:rsid w:val="007A2D95"/>
    <w:rsid w:val="007A2E39"/>
    <w:rsid w:val="007A2FFB"/>
    <w:rsid w:val="007A4FD7"/>
    <w:rsid w:val="007B1192"/>
    <w:rsid w:val="007B1305"/>
    <w:rsid w:val="007B1E87"/>
    <w:rsid w:val="007C02E5"/>
    <w:rsid w:val="007C2D89"/>
    <w:rsid w:val="007C6B92"/>
    <w:rsid w:val="007C7719"/>
    <w:rsid w:val="007D2AD5"/>
    <w:rsid w:val="007D4252"/>
    <w:rsid w:val="007D6AE7"/>
    <w:rsid w:val="007D6CFB"/>
    <w:rsid w:val="007D705C"/>
    <w:rsid w:val="007E1607"/>
    <w:rsid w:val="007E3FE8"/>
    <w:rsid w:val="007E574B"/>
    <w:rsid w:val="007E5750"/>
    <w:rsid w:val="007E6923"/>
    <w:rsid w:val="007F62A7"/>
    <w:rsid w:val="007F6BE3"/>
    <w:rsid w:val="008015C0"/>
    <w:rsid w:val="0080264C"/>
    <w:rsid w:val="008059AC"/>
    <w:rsid w:val="008065F4"/>
    <w:rsid w:val="00811638"/>
    <w:rsid w:val="00814406"/>
    <w:rsid w:val="00814411"/>
    <w:rsid w:val="00814AE7"/>
    <w:rsid w:val="00815382"/>
    <w:rsid w:val="00821341"/>
    <w:rsid w:val="00822B5F"/>
    <w:rsid w:val="0082521F"/>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1117"/>
    <w:rsid w:val="00865AD4"/>
    <w:rsid w:val="00865E7D"/>
    <w:rsid w:val="00871065"/>
    <w:rsid w:val="00872A9C"/>
    <w:rsid w:val="0087448C"/>
    <w:rsid w:val="00877B02"/>
    <w:rsid w:val="008813AB"/>
    <w:rsid w:val="0088174A"/>
    <w:rsid w:val="00882E5C"/>
    <w:rsid w:val="0088454B"/>
    <w:rsid w:val="008850FA"/>
    <w:rsid w:val="00892628"/>
    <w:rsid w:val="00894358"/>
    <w:rsid w:val="0089611E"/>
    <w:rsid w:val="00897391"/>
    <w:rsid w:val="008A1353"/>
    <w:rsid w:val="008A180A"/>
    <w:rsid w:val="008A705A"/>
    <w:rsid w:val="008B07B5"/>
    <w:rsid w:val="008B09D6"/>
    <w:rsid w:val="008B268A"/>
    <w:rsid w:val="008B2BAC"/>
    <w:rsid w:val="008B4482"/>
    <w:rsid w:val="008B4E7B"/>
    <w:rsid w:val="008B5ADA"/>
    <w:rsid w:val="008C0044"/>
    <w:rsid w:val="008C16FA"/>
    <w:rsid w:val="008C39E1"/>
    <w:rsid w:val="008C42DA"/>
    <w:rsid w:val="008C5D23"/>
    <w:rsid w:val="008C792F"/>
    <w:rsid w:val="008D19C5"/>
    <w:rsid w:val="008D3FD2"/>
    <w:rsid w:val="008D680C"/>
    <w:rsid w:val="008D6AB9"/>
    <w:rsid w:val="008E0151"/>
    <w:rsid w:val="008E2336"/>
    <w:rsid w:val="008E3F68"/>
    <w:rsid w:val="008E725C"/>
    <w:rsid w:val="008F2984"/>
    <w:rsid w:val="008F7DA8"/>
    <w:rsid w:val="00900ECE"/>
    <w:rsid w:val="00901CA4"/>
    <w:rsid w:val="00905497"/>
    <w:rsid w:val="009059B9"/>
    <w:rsid w:val="009078F0"/>
    <w:rsid w:val="00910B00"/>
    <w:rsid w:val="0091313F"/>
    <w:rsid w:val="00914549"/>
    <w:rsid w:val="009147A0"/>
    <w:rsid w:val="009157C5"/>
    <w:rsid w:val="00916365"/>
    <w:rsid w:val="0091711A"/>
    <w:rsid w:val="00917F77"/>
    <w:rsid w:val="00921D02"/>
    <w:rsid w:val="0092292E"/>
    <w:rsid w:val="00923BAF"/>
    <w:rsid w:val="009250ED"/>
    <w:rsid w:val="009259C2"/>
    <w:rsid w:val="00931483"/>
    <w:rsid w:val="009315B2"/>
    <w:rsid w:val="00931C11"/>
    <w:rsid w:val="0093204A"/>
    <w:rsid w:val="00932372"/>
    <w:rsid w:val="00932B98"/>
    <w:rsid w:val="00932E4E"/>
    <w:rsid w:val="009346C8"/>
    <w:rsid w:val="00935598"/>
    <w:rsid w:val="00940BA2"/>
    <w:rsid w:val="009413A5"/>
    <w:rsid w:val="00944C5E"/>
    <w:rsid w:val="00951F7C"/>
    <w:rsid w:val="009555B9"/>
    <w:rsid w:val="0095642D"/>
    <w:rsid w:val="00962492"/>
    <w:rsid w:val="009625E7"/>
    <w:rsid w:val="00963EA5"/>
    <w:rsid w:val="00964824"/>
    <w:rsid w:val="00964B48"/>
    <w:rsid w:val="00966511"/>
    <w:rsid w:val="00970A65"/>
    <w:rsid w:val="00972C11"/>
    <w:rsid w:val="00973A95"/>
    <w:rsid w:val="009766F4"/>
    <w:rsid w:val="00976BF5"/>
    <w:rsid w:val="0097793B"/>
    <w:rsid w:val="00981FE2"/>
    <w:rsid w:val="00982052"/>
    <w:rsid w:val="00982410"/>
    <w:rsid w:val="009919B0"/>
    <w:rsid w:val="00995D54"/>
    <w:rsid w:val="009A4D57"/>
    <w:rsid w:val="009A5344"/>
    <w:rsid w:val="009A5B76"/>
    <w:rsid w:val="009B11C3"/>
    <w:rsid w:val="009B453F"/>
    <w:rsid w:val="009B69E2"/>
    <w:rsid w:val="009B6CDF"/>
    <w:rsid w:val="009B6D8C"/>
    <w:rsid w:val="009B76DA"/>
    <w:rsid w:val="009C13E5"/>
    <w:rsid w:val="009C17F5"/>
    <w:rsid w:val="009C4062"/>
    <w:rsid w:val="009C40AE"/>
    <w:rsid w:val="009C73FF"/>
    <w:rsid w:val="009D523A"/>
    <w:rsid w:val="009D58E7"/>
    <w:rsid w:val="009E0BF0"/>
    <w:rsid w:val="009E2852"/>
    <w:rsid w:val="009E69BF"/>
    <w:rsid w:val="009E6C29"/>
    <w:rsid w:val="009E701D"/>
    <w:rsid w:val="009E715C"/>
    <w:rsid w:val="009E756D"/>
    <w:rsid w:val="009E7C89"/>
    <w:rsid w:val="009F00C2"/>
    <w:rsid w:val="009F04DF"/>
    <w:rsid w:val="009F11EC"/>
    <w:rsid w:val="009F33C2"/>
    <w:rsid w:val="009F45A2"/>
    <w:rsid w:val="00A01047"/>
    <w:rsid w:val="00A064A6"/>
    <w:rsid w:val="00A126A5"/>
    <w:rsid w:val="00A219A4"/>
    <w:rsid w:val="00A23043"/>
    <w:rsid w:val="00A25844"/>
    <w:rsid w:val="00A26E0C"/>
    <w:rsid w:val="00A270F8"/>
    <w:rsid w:val="00A30C7E"/>
    <w:rsid w:val="00A311C2"/>
    <w:rsid w:val="00A343A5"/>
    <w:rsid w:val="00A35682"/>
    <w:rsid w:val="00A36E3D"/>
    <w:rsid w:val="00A3715B"/>
    <w:rsid w:val="00A40FBE"/>
    <w:rsid w:val="00A43AB3"/>
    <w:rsid w:val="00A465AC"/>
    <w:rsid w:val="00A469D3"/>
    <w:rsid w:val="00A60264"/>
    <w:rsid w:val="00A60379"/>
    <w:rsid w:val="00A606CF"/>
    <w:rsid w:val="00A66515"/>
    <w:rsid w:val="00A66A4E"/>
    <w:rsid w:val="00A67A0C"/>
    <w:rsid w:val="00A70EF5"/>
    <w:rsid w:val="00A74AFC"/>
    <w:rsid w:val="00A81E86"/>
    <w:rsid w:val="00A833EF"/>
    <w:rsid w:val="00A84E0B"/>
    <w:rsid w:val="00A8684E"/>
    <w:rsid w:val="00A900BC"/>
    <w:rsid w:val="00A9089D"/>
    <w:rsid w:val="00A92089"/>
    <w:rsid w:val="00A960CD"/>
    <w:rsid w:val="00A9674C"/>
    <w:rsid w:val="00A96CD2"/>
    <w:rsid w:val="00AA1231"/>
    <w:rsid w:val="00AA174B"/>
    <w:rsid w:val="00AA795E"/>
    <w:rsid w:val="00AB3372"/>
    <w:rsid w:val="00AB496C"/>
    <w:rsid w:val="00AB6178"/>
    <w:rsid w:val="00AB7AB9"/>
    <w:rsid w:val="00AB7DAD"/>
    <w:rsid w:val="00AC603E"/>
    <w:rsid w:val="00AD11C2"/>
    <w:rsid w:val="00AD2206"/>
    <w:rsid w:val="00AD24F3"/>
    <w:rsid w:val="00AD2E6C"/>
    <w:rsid w:val="00AE3DBB"/>
    <w:rsid w:val="00AF0545"/>
    <w:rsid w:val="00AF5036"/>
    <w:rsid w:val="00AF6955"/>
    <w:rsid w:val="00B000BE"/>
    <w:rsid w:val="00B01117"/>
    <w:rsid w:val="00B01CB5"/>
    <w:rsid w:val="00B023D9"/>
    <w:rsid w:val="00B02C9E"/>
    <w:rsid w:val="00B04DDB"/>
    <w:rsid w:val="00B05B63"/>
    <w:rsid w:val="00B105E2"/>
    <w:rsid w:val="00B11994"/>
    <w:rsid w:val="00B11C13"/>
    <w:rsid w:val="00B11F80"/>
    <w:rsid w:val="00B16186"/>
    <w:rsid w:val="00B176FD"/>
    <w:rsid w:val="00B260F6"/>
    <w:rsid w:val="00B27E7D"/>
    <w:rsid w:val="00B30DDF"/>
    <w:rsid w:val="00B30F06"/>
    <w:rsid w:val="00B331F4"/>
    <w:rsid w:val="00B33BD4"/>
    <w:rsid w:val="00B42423"/>
    <w:rsid w:val="00B45465"/>
    <w:rsid w:val="00B45B86"/>
    <w:rsid w:val="00B518EB"/>
    <w:rsid w:val="00B5234D"/>
    <w:rsid w:val="00B57DCF"/>
    <w:rsid w:val="00B60118"/>
    <w:rsid w:val="00B6037C"/>
    <w:rsid w:val="00B72C2C"/>
    <w:rsid w:val="00B73D4C"/>
    <w:rsid w:val="00B80400"/>
    <w:rsid w:val="00B81EF5"/>
    <w:rsid w:val="00B83B64"/>
    <w:rsid w:val="00B852C3"/>
    <w:rsid w:val="00B8600E"/>
    <w:rsid w:val="00B86797"/>
    <w:rsid w:val="00B86E7E"/>
    <w:rsid w:val="00B90660"/>
    <w:rsid w:val="00B9069A"/>
    <w:rsid w:val="00B90E1D"/>
    <w:rsid w:val="00B92E70"/>
    <w:rsid w:val="00B949A7"/>
    <w:rsid w:val="00B94B2E"/>
    <w:rsid w:val="00B973C9"/>
    <w:rsid w:val="00BA0343"/>
    <w:rsid w:val="00BA36B1"/>
    <w:rsid w:val="00BA79D9"/>
    <w:rsid w:val="00BB000E"/>
    <w:rsid w:val="00BB00E9"/>
    <w:rsid w:val="00BB076D"/>
    <w:rsid w:val="00BB4F8E"/>
    <w:rsid w:val="00BB5573"/>
    <w:rsid w:val="00BB5649"/>
    <w:rsid w:val="00BB7383"/>
    <w:rsid w:val="00BB74AC"/>
    <w:rsid w:val="00BC2562"/>
    <w:rsid w:val="00BC294B"/>
    <w:rsid w:val="00BC3468"/>
    <w:rsid w:val="00BC50A4"/>
    <w:rsid w:val="00BD1E52"/>
    <w:rsid w:val="00BD468B"/>
    <w:rsid w:val="00BE18A5"/>
    <w:rsid w:val="00BE266D"/>
    <w:rsid w:val="00BE33C8"/>
    <w:rsid w:val="00BE6894"/>
    <w:rsid w:val="00BF1CE7"/>
    <w:rsid w:val="00BF2B75"/>
    <w:rsid w:val="00BF39D4"/>
    <w:rsid w:val="00BF3F82"/>
    <w:rsid w:val="00BF56FC"/>
    <w:rsid w:val="00BF5B09"/>
    <w:rsid w:val="00BF7326"/>
    <w:rsid w:val="00C01B00"/>
    <w:rsid w:val="00C03960"/>
    <w:rsid w:val="00C0760F"/>
    <w:rsid w:val="00C10107"/>
    <w:rsid w:val="00C138B9"/>
    <w:rsid w:val="00C14871"/>
    <w:rsid w:val="00C22C89"/>
    <w:rsid w:val="00C247F2"/>
    <w:rsid w:val="00C2798C"/>
    <w:rsid w:val="00C40126"/>
    <w:rsid w:val="00C4142C"/>
    <w:rsid w:val="00C44D41"/>
    <w:rsid w:val="00C45A45"/>
    <w:rsid w:val="00C45D90"/>
    <w:rsid w:val="00C46DC5"/>
    <w:rsid w:val="00C47A9D"/>
    <w:rsid w:val="00C50508"/>
    <w:rsid w:val="00C51094"/>
    <w:rsid w:val="00C536C6"/>
    <w:rsid w:val="00C5662D"/>
    <w:rsid w:val="00C611BE"/>
    <w:rsid w:val="00C622A4"/>
    <w:rsid w:val="00C62485"/>
    <w:rsid w:val="00C64412"/>
    <w:rsid w:val="00C6450B"/>
    <w:rsid w:val="00C7488A"/>
    <w:rsid w:val="00C749D7"/>
    <w:rsid w:val="00C764FE"/>
    <w:rsid w:val="00C77B83"/>
    <w:rsid w:val="00C8092E"/>
    <w:rsid w:val="00C81C15"/>
    <w:rsid w:val="00C81CE4"/>
    <w:rsid w:val="00C83353"/>
    <w:rsid w:val="00C8565E"/>
    <w:rsid w:val="00C90FA2"/>
    <w:rsid w:val="00C93B1C"/>
    <w:rsid w:val="00C949B5"/>
    <w:rsid w:val="00C94B60"/>
    <w:rsid w:val="00C94F16"/>
    <w:rsid w:val="00C95148"/>
    <w:rsid w:val="00C9675A"/>
    <w:rsid w:val="00C970F2"/>
    <w:rsid w:val="00C971DE"/>
    <w:rsid w:val="00C97EA8"/>
    <w:rsid w:val="00CA1FFC"/>
    <w:rsid w:val="00CA615F"/>
    <w:rsid w:val="00CA6471"/>
    <w:rsid w:val="00CA73BC"/>
    <w:rsid w:val="00CA7F45"/>
    <w:rsid w:val="00CA7F4A"/>
    <w:rsid w:val="00CA7FF4"/>
    <w:rsid w:val="00CB1BB7"/>
    <w:rsid w:val="00CB1CB6"/>
    <w:rsid w:val="00CB3552"/>
    <w:rsid w:val="00CB4AFD"/>
    <w:rsid w:val="00CB5665"/>
    <w:rsid w:val="00CB77C1"/>
    <w:rsid w:val="00CC1B89"/>
    <w:rsid w:val="00CC2B56"/>
    <w:rsid w:val="00CC49CC"/>
    <w:rsid w:val="00CD0D49"/>
    <w:rsid w:val="00CD148B"/>
    <w:rsid w:val="00CD30C4"/>
    <w:rsid w:val="00CD3139"/>
    <w:rsid w:val="00CE347E"/>
    <w:rsid w:val="00CE55BF"/>
    <w:rsid w:val="00CE614C"/>
    <w:rsid w:val="00CF429F"/>
    <w:rsid w:val="00CF6E72"/>
    <w:rsid w:val="00CF773F"/>
    <w:rsid w:val="00CF7C68"/>
    <w:rsid w:val="00D00C60"/>
    <w:rsid w:val="00D04B5A"/>
    <w:rsid w:val="00D05BD4"/>
    <w:rsid w:val="00D13A18"/>
    <w:rsid w:val="00D140B1"/>
    <w:rsid w:val="00D154AE"/>
    <w:rsid w:val="00D15E8A"/>
    <w:rsid w:val="00D165D5"/>
    <w:rsid w:val="00D170E4"/>
    <w:rsid w:val="00D17BAD"/>
    <w:rsid w:val="00D206F1"/>
    <w:rsid w:val="00D23BD5"/>
    <w:rsid w:val="00D252A8"/>
    <w:rsid w:val="00D25841"/>
    <w:rsid w:val="00D2600D"/>
    <w:rsid w:val="00D27AAA"/>
    <w:rsid w:val="00D3011C"/>
    <w:rsid w:val="00D3206B"/>
    <w:rsid w:val="00D32D01"/>
    <w:rsid w:val="00D3411D"/>
    <w:rsid w:val="00D34251"/>
    <w:rsid w:val="00D36A2A"/>
    <w:rsid w:val="00D378DB"/>
    <w:rsid w:val="00D426AD"/>
    <w:rsid w:val="00D42924"/>
    <w:rsid w:val="00D44594"/>
    <w:rsid w:val="00D44A26"/>
    <w:rsid w:val="00D46CC5"/>
    <w:rsid w:val="00D500A5"/>
    <w:rsid w:val="00D50DC3"/>
    <w:rsid w:val="00D52EA3"/>
    <w:rsid w:val="00D541E7"/>
    <w:rsid w:val="00D56D71"/>
    <w:rsid w:val="00D71B98"/>
    <w:rsid w:val="00D7561D"/>
    <w:rsid w:val="00D810B8"/>
    <w:rsid w:val="00D849EE"/>
    <w:rsid w:val="00D854D7"/>
    <w:rsid w:val="00D864BC"/>
    <w:rsid w:val="00D8659F"/>
    <w:rsid w:val="00D926FD"/>
    <w:rsid w:val="00D9439C"/>
    <w:rsid w:val="00DA37FA"/>
    <w:rsid w:val="00DA4E74"/>
    <w:rsid w:val="00DB0A92"/>
    <w:rsid w:val="00DB0CFD"/>
    <w:rsid w:val="00DB2324"/>
    <w:rsid w:val="00DC02C5"/>
    <w:rsid w:val="00DC0518"/>
    <w:rsid w:val="00DC0B18"/>
    <w:rsid w:val="00DC1F96"/>
    <w:rsid w:val="00DC2044"/>
    <w:rsid w:val="00DC57DB"/>
    <w:rsid w:val="00DD2ADB"/>
    <w:rsid w:val="00DD344A"/>
    <w:rsid w:val="00DE061D"/>
    <w:rsid w:val="00DE222B"/>
    <w:rsid w:val="00DE4BDB"/>
    <w:rsid w:val="00DE4FC5"/>
    <w:rsid w:val="00DF23E4"/>
    <w:rsid w:val="00DF3111"/>
    <w:rsid w:val="00DF32E9"/>
    <w:rsid w:val="00DF4330"/>
    <w:rsid w:val="00DF4978"/>
    <w:rsid w:val="00DF4F75"/>
    <w:rsid w:val="00DF683E"/>
    <w:rsid w:val="00DF7006"/>
    <w:rsid w:val="00E03DB4"/>
    <w:rsid w:val="00E0407D"/>
    <w:rsid w:val="00E04504"/>
    <w:rsid w:val="00E141D5"/>
    <w:rsid w:val="00E15AD4"/>
    <w:rsid w:val="00E16443"/>
    <w:rsid w:val="00E172A6"/>
    <w:rsid w:val="00E202FA"/>
    <w:rsid w:val="00E218CA"/>
    <w:rsid w:val="00E23370"/>
    <w:rsid w:val="00E2458E"/>
    <w:rsid w:val="00E253D5"/>
    <w:rsid w:val="00E25645"/>
    <w:rsid w:val="00E27C53"/>
    <w:rsid w:val="00E30DEC"/>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232A"/>
    <w:rsid w:val="00E73CE9"/>
    <w:rsid w:val="00E74068"/>
    <w:rsid w:val="00E742E4"/>
    <w:rsid w:val="00E77099"/>
    <w:rsid w:val="00E77BA6"/>
    <w:rsid w:val="00E77EEF"/>
    <w:rsid w:val="00E81A9B"/>
    <w:rsid w:val="00E81DAA"/>
    <w:rsid w:val="00E85F06"/>
    <w:rsid w:val="00E877DB"/>
    <w:rsid w:val="00E911CE"/>
    <w:rsid w:val="00E97688"/>
    <w:rsid w:val="00EA064A"/>
    <w:rsid w:val="00EA1B2B"/>
    <w:rsid w:val="00EA2F43"/>
    <w:rsid w:val="00EA3B65"/>
    <w:rsid w:val="00EA7592"/>
    <w:rsid w:val="00EB175C"/>
    <w:rsid w:val="00EB5E6A"/>
    <w:rsid w:val="00EB7A57"/>
    <w:rsid w:val="00EB7B14"/>
    <w:rsid w:val="00EC1999"/>
    <w:rsid w:val="00EC4A25"/>
    <w:rsid w:val="00EE11F8"/>
    <w:rsid w:val="00EE3C1D"/>
    <w:rsid w:val="00EF05F9"/>
    <w:rsid w:val="00EF14AC"/>
    <w:rsid w:val="00EF2082"/>
    <w:rsid w:val="00EF6B9D"/>
    <w:rsid w:val="00F01292"/>
    <w:rsid w:val="00F04524"/>
    <w:rsid w:val="00F0490D"/>
    <w:rsid w:val="00F07599"/>
    <w:rsid w:val="00F1029B"/>
    <w:rsid w:val="00F12333"/>
    <w:rsid w:val="00F12D89"/>
    <w:rsid w:val="00F13D71"/>
    <w:rsid w:val="00F14FDC"/>
    <w:rsid w:val="00F220AC"/>
    <w:rsid w:val="00F2315C"/>
    <w:rsid w:val="00F24F30"/>
    <w:rsid w:val="00F303C3"/>
    <w:rsid w:val="00F318F6"/>
    <w:rsid w:val="00F326A0"/>
    <w:rsid w:val="00F34850"/>
    <w:rsid w:val="00F3769E"/>
    <w:rsid w:val="00F43593"/>
    <w:rsid w:val="00F44272"/>
    <w:rsid w:val="00F47906"/>
    <w:rsid w:val="00F553C3"/>
    <w:rsid w:val="00F567E2"/>
    <w:rsid w:val="00F5785E"/>
    <w:rsid w:val="00F6063A"/>
    <w:rsid w:val="00F60738"/>
    <w:rsid w:val="00F61242"/>
    <w:rsid w:val="00F6274E"/>
    <w:rsid w:val="00F70118"/>
    <w:rsid w:val="00F756FE"/>
    <w:rsid w:val="00F770B2"/>
    <w:rsid w:val="00F80A85"/>
    <w:rsid w:val="00F81C42"/>
    <w:rsid w:val="00F83937"/>
    <w:rsid w:val="00F84BB9"/>
    <w:rsid w:val="00F85145"/>
    <w:rsid w:val="00F85583"/>
    <w:rsid w:val="00F878AA"/>
    <w:rsid w:val="00F92064"/>
    <w:rsid w:val="00F9218C"/>
    <w:rsid w:val="00F93A13"/>
    <w:rsid w:val="00F9424D"/>
    <w:rsid w:val="00F957AF"/>
    <w:rsid w:val="00FA03B3"/>
    <w:rsid w:val="00FA2CA7"/>
    <w:rsid w:val="00FA3F33"/>
    <w:rsid w:val="00FA4B68"/>
    <w:rsid w:val="00FA73CD"/>
    <w:rsid w:val="00FB0194"/>
    <w:rsid w:val="00FB0524"/>
    <w:rsid w:val="00FB262E"/>
    <w:rsid w:val="00FC50A5"/>
    <w:rsid w:val="00FC6324"/>
    <w:rsid w:val="00FC7F31"/>
    <w:rsid w:val="00FD327B"/>
    <w:rsid w:val="00FD70FD"/>
    <w:rsid w:val="00FE18C3"/>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3B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F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970F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970F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970F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C970F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970F2"/>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970F2"/>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970F2"/>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970F2"/>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970F2"/>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0F2"/>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970F2"/>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970F2"/>
    <w:rPr>
      <w:rFonts w:ascii="Tahoma" w:eastAsia="Times New Roman" w:hAnsi="Tahoma" w:cs="Tahoma"/>
      <w:sz w:val="16"/>
      <w:szCs w:val="16"/>
    </w:rPr>
  </w:style>
  <w:style w:type="paragraph" w:customStyle="1" w:styleId="Bullet">
    <w:name w:val="Bullet"/>
    <w:basedOn w:val="Normal"/>
    <w:qFormat/>
    <w:rsid w:val="00C970F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970F2"/>
    <w:pPr>
      <w:numPr>
        <w:numId w:val="2"/>
      </w:numPr>
      <w:spacing w:after="240"/>
      <w:ind w:left="432" w:hanging="432"/>
    </w:pPr>
  </w:style>
  <w:style w:type="paragraph" w:customStyle="1" w:styleId="BulletLastDS">
    <w:name w:val="Bullet (Last DS)"/>
    <w:basedOn w:val="Bullet"/>
    <w:next w:val="Normal"/>
    <w:qFormat/>
    <w:rsid w:val="00C970F2"/>
    <w:pPr>
      <w:numPr>
        <w:numId w:val="3"/>
      </w:numPr>
      <w:spacing w:after="320"/>
      <w:ind w:left="432" w:hanging="432"/>
    </w:pPr>
  </w:style>
  <w:style w:type="paragraph" w:customStyle="1" w:styleId="Center">
    <w:name w:val="Center"/>
    <w:basedOn w:val="Normal"/>
    <w:semiHidden/>
    <w:unhideWhenUsed/>
    <w:rsid w:val="00C970F2"/>
    <w:pPr>
      <w:ind w:firstLine="0"/>
      <w:jc w:val="center"/>
    </w:pPr>
  </w:style>
  <w:style w:type="paragraph" w:customStyle="1" w:styleId="Dash">
    <w:name w:val="Dash"/>
    <w:basedOn w:val="Normal"/>
    <w:qFormat/>
    <w:rsid w:val="00C970F2"/>
    <w:pPr>
      <w:numPr>
        <w:numId w:val="4"/>
      </w:numPr>
      <w:tabs>
        <w:tab w:val="left" w:pos="288"/>
      </w:tabs>
      <w:spacing w:after="120" w:line="240" w:lineRule="auto"/>
    </w:pPr>
  </w:style>
  <w:style w:type="paragraph" w:customStyle="1" w:styleId="DashLASTSS">
    <w:name w:val="Dash (LAST SS)"/>
    <w:basedOn w:val="Dash"/>
    <w:next w:val="NormalSS"/>
    <w:qFormat/>
    <w:rsid w:val="00C970F2"/>
    <w:pPr>
      <w:numPr>
        <w:numId w:val="5"/>
      </w:numPr>
      <w:spacing w:after="240"/>
    </w:pPr>
  </w:style>
  <w:style w:type="paragraph" w:customStyle="1" w:styleId="DashLASTDS">
    <w:name w:val="Dash (LAST DS)"/>
    <w:basedOn w:val="Dash"/>
    <w:next w:val="Normal"/>
    <w:qFormat/>
    <w:rsid w:val="00C970F2"/>
    <w:pPr>
      <w:spacing w:after="320"/>
    </w:pPr>
    <w:rPr>
      <w:szCs w:val="24"/>
    </w:rPr>
  </w:style>
  <w:style w:type="paragraph" w:styleId="Footer">
    <w:name w:val="footer"/>
    <w:basedOn w:val="Normal"/>
    <w:link w:val="FooterChar"/>
    <w:qFormat/>
    <w:rsid w:val="00C970F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970F2"/>
    <w:rPr>
      <w:rFonts w:ascii="Arial" w:eastAsia="Times New Roman" w:hAnsi="Arial" w:cs="Times New Roman"/>
      <w:sz w:val="20"/>
      <w:szCs w:val="20"/>
    </w:rPr>
  </w:style>
  <w:style w:type="paragraph" w:styleId="DocumentMap">
    <w:name w:val="Document Map"/>
    <w:basedOn w:val="Normal"/>
    <w:link w:val="DocumentMapChar"/>
    <w:semiHidden/>
    <w:unhideWhenUsed/>
    <w:rsid w:val="00C970F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970F2"/>
    <w:rPr>
      <w:rFonts w:asciiTheme="majorHAnsi" w:eastAsia="Times New Roman" w:hAnsiTheme="majorHAnsi" w:cs="Times New Roman"/>
      <w:szCs w:val="20"/>
    </w:rPr>
  </w:style>
  <w:style w:type="character" w:styleId="FootnoteReference">
    <w:name w:val="footnote reference"/>
    <w:basedOn w:val="DefaultParagraphFont"/>
    <w:qFormat/>
    <w:rsid w:val="00C970F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970F2"/>
    <w:pPr>
      <w:spacing w:after="120" w:line="240" w:lineRule="auto"/>
      <w:ind w:firstLine="0"/>
    </w:pPr>
    <w:rPr>
      <w:sz w:val="20"/>
    </w:rPr>
  </w:style>
  <w:style w:type="character" w:customStyle="1" w:styleId="FootnoteTextChar">
    <w:name w:val="Footnote Text Char"/>
    <w:basedOn w:val="DefaultParagraphFont"/>
    <w:link w:val="FootnoteText"/>
    <w:rsid w:val="00C970F2"/>
    <w:rPr>
      <w:rFonts w:eastAsia="Times New Roman" w:cs="Times New Roman"/>
      <w:sz w:val="20"/>
      <w:szCs w:val="20"/>
    </w:rPr>
  </w:style>
  <w:style w:type="paragraph" w:styleId="Header">
    <w:name w:val="header"/>
    <w:basedOn w:val="Normal"/>
    <w:link w:val="HeaderChar"/>
    <w:qFormat/>
    <w:rsid w:val="00C970F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970F2"/>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970F2"/>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970F2"/>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970F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970F2"/>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970F2"/>
    <w:pPr>
      <w:outlineLvl w:val="9"/>
    </w:pPr>
  </w:style>
  <w:style w:type="character" w:customStyle="1" w:styleId="Heading4Char">
    <w:name w:val="Heading 4 Char"/>
    <w:basedOn w:val="DefaultParagraphFont"/>
    <w:link w:val="Heading4"/>
    <w:rsid w:val="00C970F2"/>
    <w:rPr>
      <w:rFonts w:eastAsia="Times New Roman" w:cs="Times New Roman"/>
      <w:b/>
      <w:szCs w:val="20"/>
    </w:rPr>
  </w:style>
  <w:style w:type="character" w:customStyle="1" w:styleId="Heading5Char">
    <w:name w:val="Heading 5 Char"/>
    <w:basedOn w:val="DefaultParagraphFont"/>
    <w:link w:val="Heading5"/>
    <w:semiHidden/>
    <w:rsid w:val="00C970F2"/>
    <w:rPr>
      <w:rFonts w:eastAsia="Times New Roman" w:cs="Times New Roman"/>
      <w:b/>
      <w:szCs w:val="20"/>
    </w:rPr>
  </w:style>
  <w:style w:type="character" w:customStyle="1" w:styleId="Heading6Char">
    <w:name w:val="Heading 6 Char"/>
    <w:basedOn w:val="DefaultParagraphFont"/>
    <w:link w:val="Heading6"/>
    <w:semiHidden/>
    <w:rsid w:val="00C970F2"/>
    <w:rPr>
      <w:rFonts w:eastAsia="Times New Roman" w:cs="Times New Roman"/>
      <w:szCs w:val="20"/>
    </w:rPr>
  </w:style>
  <w:style w:type="character" w:customStyle="1" w:styleId="Heading7Char">
    <w:name w:val="Heading 7 Char"/>
    <w:basedOn w:val="DefaultParagraphFont"/>
    <w:link w:val="Heading7"/>
    <w:semiHidden/>
    <w:rsid w:val="00C970F2"/>
    <w:rPr>
      <w:rFonts w:eastAsia="Times New Roman" w:cs="Times New Roman"/>
      <w:szCs w:val="20"/>
    </w:rPr>
  </w:style>
  <w:style w:type="character" w:customStyle="1" w:styleId="Heading8Char">
    <w:name w:val="Heading 8 Char"/>
    <w:basedOn w:val="DefaultParagraphFont"/>
    <w:link w:val="Heading8"/>
    <w:semiHidden/>
    <w:rsid w:val="00C970F2"/>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970F2"/>
    <w:rPr>
      <w:rFonts w:eastAsia="Times New Roman" w:cs="Times New Roman"/>
      <w:szCs w:val="20"/>
    </w:rPr>
  </w:style>
  <w:style w:type="paragraph" w:customStyle="1" w:styleId="MarkforAppendixTitle">
    <w:name w:val="Mark for Appendix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970F2"/>
  </w:style>
  <w:style w:type="paragraph" w:customStyle="1" w:styleId="MarkforTableTitle">
    <w:name w:val="Mark for Table Title"/>
    <w:basedOn w:val="Normal"/>
    <w:next w:val="NormalSS"/>
    <w:qFormat/>
    <w:rsid w:val="00C970F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970F2"/>
  </w:style>
  <w:style w:type="numbering" w:customStyle="1" w:styleId="MPROutline">
    <w:name w:val="MPROutline"/>
    <w:uiPriority w:val="99"/>
    <w:locked/>
    <w:rsid w:val="00C970F2"/>
    <w:pPr>
      <w:numPr>
        <w:numId w:val="7"/>
      </w:numPr>
    </w:pPr>
  </w:style>
  <w:style w:type="character" w:customStyle="1" w:styleId="MTEquationSection">
    <w:name w:val="MTEquationSection"/>
    <w:basedOn w:val="DefaultParagraphFont"/>
    <w:rsid w:val="00C970F2"/>
    <w:rPr>
      <w:rFonts w:ascii="Arial" w:hAnsi="Arial"/>
      <w:vanish/>
      <w:color w:val="auto"/>
      <w:sz w:val="18"/>
    </w:rPr>
  </w:style>
  <w:style w:type="paragraph" w:customStyle="1" w:styleId="Normalcontinued">
    <w:name w:val="Normal (continued)"/>
    <w:basedOn w:val="Normal"/>
    <w:next w:val="Normal"/>
    <w:qFormat/>
    <w:rsid w:val="00C970F2"/>
    <w:pPr>
      <w:ind w:firstLine="0"/>
    </w:pPr>
  </w:style>
  <w:style w:type="paragraph" w:customStyle="1" w:styleId="NormalSS">
    <w:name w:val="NormalSS"/>
    <w:basedOn w:val="Normal"/>
    <w:link w:val="NormalSSChar"/>
    <w:qFormat/>
    <w:rsid w:val="00C970F2"/>
    <w:pPr>
      <w:spacing w:after="240" w:line="240" w:lineRule="auto"/>
    </w:pPr>
  </w:style>
  <w:style w:type="paragraph" w:customStyle="1" w:styleId="NormalSScontinued">
    <w:name w:val="NormalSS (continued)"/>
    <w:basedOn w:val="NormalSS"/>
    <w:next w:val="NormalSS"/>
    <w:qFormat/>
    <w:rsid w:val="00C970F2"/>
    <w:pPr>
      <w:ind w:firstLine="0"/>
    </w:pPr>
  </w:style>
  <w:style w:type="paragraph" w:customStyle="1" w:styleId="NumberedBullet">
    <w:name w:val="Numbered Bullet"/>
    <w:basedOn w:val="Normal"/>
    <w:link w:val="NumberedBulletChar"/>
    <w:qFormat/>
    <w:rsid w:val="00C970F2"/>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970F2"/>
    <w:pPr>
      <w:spacing w:after="240" w:line="240" w:lineRule="auto"/>
      <w:ind w:left="720" w:hanging="720"/>
    </w:pPr>
  </w:style>
  <w:style w:type="character" w:styleId="PageNumber">
    <w:name w:val="page number"/>
    <w:basedOn w:val="DefaultParagraphFont"/>
    <w:semiHidden/>
    <w:qFormat/>
    <w:rsid w:val="00C970F2"/>
    <w:rPr>
      <w:rFonts w:ascii="Arial" w:hAnsi="Arial"/>
      <w:color w:val="auto"/>
      <w:sz w:val="20"/>
      <w:bdr w:val="none" w:sz="0" w:space="0" w:color="auto"/>
    </w:rPr>
  </w:style>
  <w:style w:type="paragraph" w:customStyle="1" w:styleId="References">
    <w:name w:val="References"/>
    <w:basedOn w:val="Normal"/>
    <w:qFormat/>
    <w:rsid w:val="00C970F2"/>
    <w:pPr>
      <w:keepLines/>
      <w:spacing w:after="240" w:line="240" w:lineRule="auto"/>
      <w:ind w:left="432" w:hanging="432"/>
    </w:pPr>
  </w:style>
  <w:style w:type="paragraph" w:customStyle="1" w:styleId="TableFootnoteCaption">
    <w:name w:val="Table Footnote_Caption"/>
    <w:qFormat/>
    <w:rsid w:val="00C970F2"/>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970F2"/>
    <w:pPr>
      <w:spacing w:before="120" w:after="60"/>
    </w:pPr>
    <w:rPr>
      <w:b/>
      <w:color w:val="FFFFFF" w:themeColor="background1"/>
    </w:rPr>
  </w:style>
  <w:style w:type="paragraph" w:customStyle="1" w:styleId="TableHeaderCenter">
    <w:name w:val="Table Header Center"/>
    <w:basedOn w:val="TableHeaderLeft"/>
    <w:qFormat/>
    <w:rsid w:val="00C970F2"/>
    <w:pPr>
      <w:jc w:val="center"/>
    </w:pPr>
  </w:style>
  <w:style w:type="paragraph" w:styleId="TableofFigures">
    <w:name w:val="table of figures"/>
    <w:basedOn w:val="Normal"/>
    <w:next w:val="Normal"/>
    <w:uiPriority w:val="99"/>
    <w:locked/>
    <w:rsid w:val="00C970F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970F2"/>
    <w:pPr>
      <w:spacing w:line="240" w:lineRule="auto"/>
      <w:ind w:firstLine="0"/>
    </w:pPr>
    <w:rPr>
      <w:rFonts w:ascii="Arial" w:hAnsi="Arial"/>
      <w:sz w:val="18"/>
    </w:rPr>
  </w:style>
  <w:style w:type="paragraph" w:customStyle="1" w:styleId="TableSourceCaption">
    <w:name w:val="Table Source_Caption"/>
    <w:qFormat/>
    <w:rsid w:val="00C970F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970F2"/>
  </w:style>
  <w:style w:type="paragraph" w:customStyle="1" w:styleId="Tabletext8">
    <w:name w:val="Table text 8"/>
    <w:basedOn w:val="TableText"/>
    <w:qFormat/>
    <w:rsid w:val="00C970F2"/>
    <w:rPr>
      <w:snapToGrid w:val="0"/>
      <w:sz w:val="16"/>
      <w:szCs w:val="16"/>
    </w:rPr>
  </w:style>
  <w:style w:type="paragraph" w:customStyle="1" w:styleId="TableSpace">
    <w:name w:val="TableSpace"/>
    <w:basedOn w:val="TableSourceCaption"/>
    <w:next w:val="TableFootnoteCaption"/>
    <w:semiHidden/>
    <w:qFormat/>
    <w:rsid w:val="00C970F2"/>
  </w:style>
  <w:style w:type="paragraph" w:styleId="Title">
    <w:name w:val="Title"/>
    <w:basedOn w:val="Normal"/>
    <w:next w:val="Normal"/>
    <w:link w:val="TitleChar"/>
    <w:semiHidden/>
    <w:rsid w:val="00C970F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970F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970F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970F2"/>
    <w:pPr>
      <w:spacing w:before="0" w:after="160"/>
    </w:pPr>
  </w:style>
  <w:style w:type="paragraph" w:customStyle="1" w:styleId="TitleofDocumentNoPhoto">
    <w:name w:val="Title of Document No Photo"/>
    <w:basedOn w:val="TitleofDocumentHorizontal"/>
    <w:semiHidden/>
    <w:qFormat/>
    <w:rsid w:val="00C970F2"/>
  </w:style>
  <w:style w:type="paragraph" w:styleId="TOC1">
    <w:name w:val="toc 1"/>
    <w:next w:val="Normalcontinued"/>
    <w:autoRedefine/>
    <w:uiPriority w:val="39"/>
    <w:qFormat/>
    <w:rsid w:val="00C970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970F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970F2"/>
    <w:pPr>
      <w:tabs>
        <w:tab w:val="clear" w:pos="1080"/>
        <w:tab w:val="left" w:pos="1440"/>
      </w:tabs>
      <w:spacing w:after="120"/>
      <w:ind w:left="1440"/>
    </w:pPr>
  </w:style>
  <w:style w:type="paragraph" w:styleId="TOC4">
    <w:name w:val="toc 4"/>
    <w:next w:val="Normal"/>
    <w:autoRedefine/>
    <w:qFormat/>
    <w:rsid w:val="00C970F2"/>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970F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970F2"/>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970F2"/>
    <w:rPr>
      <w:rFonts w:eastAsia="Times New Roman" w:cs="Times New Roman"/>
      <w:szCs w:val="20"/>
    </w:rPr>
  </w:style>
  <w:style w:type="paragraph" w:customStyle="1" w:styleId="NumberedBulletLastDS">
    <w:name w:val="Numbered Bullet (Last DS)"/>
    <w:basedOn w:val="NumberedBullet"/>
    <w:next w:val="Normal"/>
    <w:qFormat/>
    <w:rsid w:val="00C970F2"/>
    <w:pPr>
      <w:spacing w:after="320"/>
    </w:pPr>
  </w:style>
  <w:style w:type="paragraph" w:customStyle="1" w:styleId="NumberedBulletLastSS">
    <w:name w:val="Numbered Bullet (Last SS)"/>
    <w:basedOn w:val="NumberedBulletLastDS"/>
    <w:next w:val="NormalSS"/>
    <w:qFormat/>
    <w:rsid w:val="00C970F2"/>
    <w:pPr>
      <w:spacing w:after="240"/>
    </w:pPr>
  </w:style>
  <w:style w:type="table" w:styleId="LightList">
    <w:name w:val="Light List"/>
    <w:basedOn w:val="TableNormal"/>
    <w:uiPriority w:val="61"/>
    <w:locked/>
    <w:rsid w:val="00C970F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970F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970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0F2"/>
    <w:pPr>
      <w:ind w:left="720"/>
      <w:contextualSpacing/>
    </w:pPr>
  </w:style>
  <w:style w:type="paragraph" w:customStyle="1" w:styleId="H1Title">
    <w:name w:val="H1_Title"/>
    <w:basedOn w:val="Normal"/>
    <w:next w:val="Normal"/>
    <w:link w:val="H1TitleChar"/>
    <w:qFormat/>
    <w:rsid w:val="00C970F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970F2"/>
    <w:pPr>
      <w:ind w:left="432" w:hanging="432"/>
      <w:outlineLvl w:val="1"/>
    </w:pPr>
  </w:style>
  <w:style w:type="character" w:customStyle="1" w:styleId="H1TitleChar">
    <w:name w:val="H1_Title Char"/>
    <w:basedOn w:val="DefaultParagraphFont"/>
    <w:link w:val="H1Title"/>
    <w:rsid w:val="00C970F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970F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970F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970F2"/>
    <w:pPr>
      <w:outlineLvl w:val="9"/>
    </w:pPr>
  </w:style>
  <w:style w:type="character" w:customStyle="1" w:styleId="H3AlphaChar">
    <w:name w:val="H3_Alpha Char"/>
    <w:basedOn w:val="Heading2Char"/>
    <w:link w:val="H3Alpha"/>
    <w:rsid w:val="00C970F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70F2"/>
    <w:pPr>
      <w:outlineLvl w:val="3"/>
    </w:pPr>
    <w:rPr>
      <w:b/>
    </w:rPr>
  </w:style>
  <w:style w:type="character" w:customStyle="1" w:styleId="H3AlphaNoTOCChar">
    <w:name w:val="H3_Alpha_No TOC Char"/>
    <w:basedOn w:val="H3AlphaChar"/>
    <w:link w:val="H3AlphaNoTOC"/>
    <w:rsid w:val="00C970F2"/>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970F2"/>
    <w:pPr>
      <w:outlineLvl w:val="9"/>
    </w:pPr>
  </w:style>
  <w:style w:type="character" w:customStyle="1" w:styleId="H4NumberChar">
    <w:name w:val="H4_Number Char"/>
    <w:basedOn w:val="Heading3Char"/>
    <w:link w:val="H4Number"/>
    <w:rsid w:val="00C970F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970F2"/>
    <w:pPr>
      <w:outlineLvl w:val="4"/>
    </w:pPr>
  </w:style>
  <w:style w:type="character" w:customStyle="1" w:styleId="H4NumberNoTOCChar">
    <w:name w:val="H4_Number_No TOC Char"/>
    <w:basedOn w:val="H4NumberChar"/>
    <w:link w:val="H4NumberNoTOC"/>
    <w:rsid w:val="00C970F2"/>
    <w:rPr>
      <w:rFonts w:ascii="Arial Black" w:eastAsia="Times New Roman" w:hAnsi="Arial Black" w:cs="Times New Roman"/>
      <w:b/>
      <w:sz w:val="22"/>
      <w:szCs w:val="20"/>
    </w:rPr>
  </w:style>
  <w:style w:type="character" w:customStyle="1" w:styleId="H5LowerChar">
    <w:name w:val="H5_Lower Char"/>
    <w:basedOn w:val="Heading4Char"/>
    <w:link w:val="H5Lower"/>
    <w:rsid w:val="00C970F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B30DDF"/>
    <w:rPr>
      <w:sz w:val="16"/>
      <w:szCs w:val="16"/>
    </w:rPr>
  </w:style>
  <w:style w:type="paragraph" w:styleId="CommentText">
    <w:name w:val="annotation text"/>
    <w:basedOn w:val="Normal"/>
    <w:link w:val="CommentTextChar"/>
    <w:unhideWhenUsed/>
    <w:rsid w:val="00B30DDF"/>
    <w:pPr>
      <w:tabs>
        <w:tab w:val="left" w:pos="720"/>
        <w:tab w:val="left" w:pos="1080"/>
        <w:tab w:val="left" w:pos="1440"/>
        <w:tab w:val="left" w:pos="1800"/>
      </w:tabs>
      <w:spacing w:line="240" w:lineRule="auto"/>
      <w:ind w:firstLine="0"/>
    </w:pPr>
    <w:rPr>
      <w:sz w:val="20"/>
    </w:rPr>
  </w:style>
  <w:style w:type="character" w:customStyle="1" w:styleId="CommentTextChar">
    <w:name w:val="Comment Text Char"/>
    <w:basedOn w:val="DefaultParagraphFont"/>
    <w:link w:val="CommentText"/>
    <w:rsid w:val="00B30DDF"/>
    <w:rPr>
      <w:rFonts w:eastAsia="Times New Roman" w:cs="Times New Roman"/>
      <w:sz w:val="20"/>
      <w:szCs w:val="20"/>
    </w:rPr>
  </w:style>
  <w:style w:type="paragraph" w:customStyle="1" w:styleId="Heading20">
    <w:name w:val="Heading #2"/>
    <w:basedOn w:val="Heading2"/>
    <w:qFormat/>
    <w:rsid w:val="00B30DDF"/>
    <w:pPr>
      <w:keepNext w:val="0"/>
      <w:framePr w:wrap="auto" w:vAnchor="margin" w:yAlign="inline"/>
      <w:pBdr>
        <w:bottom w:val="none" w:sz="0" w:space="0" w:color="auto"/>
      </w:pBdr>
      <w:tabs>
        <w:tab w:val="clear" w:pos="432"/>
        <w:tab w:val="left" w:pos="720"/>
        <w:tab w:val="left" w:pos="1080"/>
        <w:tab w:val="left" w:pos="1440"/>
        <w:tab w:val="left" w:pos="1800"/>
      </w:tabs>
      <w:spacing w:before="0" w:after="120"/>
      <w:ind w:left="432" w:hanging="432"/>
    </w:pPr>
    <w:rPr>
      <w:b/>
      <w:bCs/>
      <w:caps w:val="0"/>
      <w:szCs w:val="36"/>
    </w:rPr>
  </w:style>
  <w:style w:type="paragraph" w:customStyle="1" w:styleId="Heading3under2">
    <w:name w:val="Heading 3 under 2"/>
    <w:basedOn w:val="Normal"/>
    <w:qFormat/>
    <w:rsid w:val="00B30DDF"/>
    <w:pPr>
      <w:spacing w:after="240" w:line="240" w:lineRule="auto"/>
      <w:ind w:left="432" w:firstLine="0"/>
    </w:pPr>
    <w:rPr>
      <w:b/>
      <w:szCs w:val="22"/>
    </w:rPr>
  </w:style>
  <w:style w:type="paragraph" w:customStyle="1" w:styleId="NormalDS">
    <w:name w:val="Normal DS"/>
    <w:basedOn w:val="Normal"/>
    <w:qFormat/>
    <w:rsid w:val="00B30DDF"/>
    <w:pPr>
      <w:tabs>
        <w:tab w:val="left" w:pos="720"/>
        <w:tab w:val="left" w:pos="1080"/>
        <w:tab w:val="left" w:pos="1440"/>
        <w:tab w:val="left" w:pos="1800"/>
      </w:tabs>
    </w:pPr>
  </w:style>
  <w:style w:type="paragraph" w:customStyle="1" w:styleId="Heading30">
    <w:name w:val="Heading #3"/>
    <w:basedOn w:val="NormalDS"/>
    <w:qFormat/>
    <w:rsid w:val="00B30DDF"/>
    <w:pPr>
      <w:keepNext/>
      <w:spacing w:after="120" w:line="240" w:lineRule="auto"/>
      <w:ind w:left="432" w:hanging="432"/>
      <w:outlineLvl w:val="2"/>
    </w:pPr>
    <w:rPr>
      <w:b/>
    </w:rPr>
  </w:style>
  <w:style w:type="paragraph" w:customStyle="1" w:styleId="BulletSS">
    <w:name w:val="Bullet (SS)"/>
    <w:basedOn w:val="ListParagraph"/>
    <w:qFormat/>
    <w:rsid w:val="00B30DDF"/>
    <w:pPr>
      <w:numPr>
        <w:numId w:val="34"/>
      </w:numPr>
      <w:tabs>
        <w:tab w:val="left" w:pos="720"/>
        <w:tab w:val="left" w:pos="1080"/>
        <w:tab w:val="left" w:pos="1440"/>
        <w:tab w:val="left" w:pos="1800"/>
      </w:tabs>
      <w:spacing w:after="120" w:line="240" w:lineRule="auto"/>
      <w:ind w:left="432" w:hanging="432"/>
      <w:contextualSpacing w:val="0"/>
    </w:pPr>
    <w:rPr>
      <w:szCs w:val="22"/>
    </w:rPr>
  </w:style>
  <w:style w:type="table" w:customStyle="1" w:styleId="LightList1">
    <w:name w:val="Light List1"/>
    <w:basedOn w:val="TableNormal"/>
    <w:uiPriority w:val="61"/>
    <w:locked/>
    <w:rsid w:val="00030C5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DF23E4"/>
    <w:rPr>
      <w:rFonts w:eastAsia="Times New Roman" w:cs="Times New Roman"/>
      <w:szCs w:val="20"/>
    </w:rPr>
  </w:style>
  <w:style w:type="paragraph" w:customStyle="1" w:styleId="NormalSS-v2">
    <w:name w:val="NormalSS-v2"/>
    <w:basedOn w:val="NormalSS"/>
    <w:qFormat/>
    <w:rsid w:val="00DF23E4"/>
    <w:pPr>
      <w:tabs>
        <w:tab w:val="left" w:pos="720"/>
        <w:tab w:val="left" w:pos="1080"/>
        <w:tab w:val="left" w:pos="1440"/>
        <w:tab w:val="left" w:pos="1800"/>
      </w:tabs>
      <w:spacing w:after="0" w:line="480" w:lineRule="auto"/>
    </w:pPr>
  </w:style>
  <w:style w:type="paragraph" w:styleId="CommentSubject">
    <w:name w:val="annotation subject"/>
    <w:basedOn w:val="CommentText"/>
    <w:next w:val="CommentText"/>
    <w:link w:val="CommentSubjectChar"/>
    <w:uiPriority w:val="99"/>
    <w:semiHidden/>
    <w:unhideWhenUsed/>
    <w:rsid w:val="00E81A9B"/>
    <w:pPr>
      <w:tabs>
        <w:tab w:val="clear" w:pos="720"/>
        <w:tab w:val="clear" w:pos="1080"/>
        <w:tab w:val="clear" w:pos="1440"/>
        <w:tab w:val="clear" w:pos="1800"/>
      </w:tabs>
      <w:ind w:firstLine="432"/>
    </w:pPr>
    <w:rPr>
      <w:b/>
      <w:bCs/>
    </w:rPr>
  </w:style>
  <w:style w:type="character" w:customStyle="1" w:styleId="CommentSubjectChar">
    <w:name w:val="Comment Subject Char"/>
    <w:basedOn w:val="CommentTextChar"/>
    <w:link w:val="CommentSubject"/>
    <w:uiPriority w:val="99"/>
    <w:semiHidden/>
    <w:rsid w:val="00E81A9B"/>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F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970F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970F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970F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C970F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970F2"/>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970F2"/>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970F2"/>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970F2"/>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970F2"/>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0F2"/>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970F2"/>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970F2"/>
    <w:rPr>
      <w:rFonts w:ascii="Tahoma" w:eastAsia="Times New Roman" w:hAnsi="Tahoma" w:cs="Tahoma"/>
      <w:sz w:val="16"/>
      <w:szCs w:val="16"/>
    </w:rPr>
  </w:style>
  <w:style w:type="paragraph" w:customStyle="1" w:styleId="Bullet">
    <w:name w:val="Bullet"/>
    <w:basedOn w:val="Normal"/>
    <w:qFormat/>
    <w:rsid w:val="00C970F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970F2"/>
    <w:pPr>
      <w:numPr>
        <w:numId w:val="2"/>
      </w:numPr>
      <w:spacing w:after="240"/>
      <w:ind w:left="432" w:hanging="432"/>
    </w:pPr>
  </w:style>
  <w:style w:type="paragraph" w:customStyle="1" w:styleId="BulletLastDS">
    <w:name w:val="Bullet (Last DS)"/>
    <w:basedOn w:val="Bullet"/>
    <w:next w:val="Normal"/>
    <w:qFormat/>
    <w:rsid w:val="00C970F2"/>
    <w:pPr>
      <w:numPr>
        <w:numId w:val="3"/>
      </w:numPr>
      <w:spacing w:after="320"/>
      <w:ind w:left="432" w:hanging="432"/>
    </w:pPr>
  </w:style>
  <w:style w:type="paragraph" w:customStyle="1" w:styleId="Center">
    <w:name w:val="Center"/>
    <w:basedOn w:val="Normal"/>
    <w:semiHidden/>
    <w:unhideWhenUsed/>
    <w:rsid w:val="00C970F2"/>
    <w:pPr>
      <w:ind w:firstLine="0"/>
      <w:jc w:val="center"/>
    </w:pPr>
  </w:style>
  <w:style w:type="paragraph" w:customStyle="1" w:styleId="Dash">
    <w:name w:val="Dash"/>
    <w:basedOn w:val="Normal"/>
    <w:qFormat/>
    <w:rsid w:val="00C970F2"/>
    <w:pPr>
      <w:numPr>
        <w:numId w:val="4"/>
      </w:numPr>
      <w:tabs>
        <w:tab w:val="left" w:pos="288"/>
      </w:tabs>
      <w:spacing w:after="120" w:line="240" w:lineRule="auto"/>
    </w:pPr>
  </w:style>
  <w:style w:type="paragraph" w:customStyle="1" w:styleId="DashLASTSS">
    <w:name w:val="Dash (LAST SS)"/>
    <w:basedOn w:val="Dash"/>
    <w:next w:val="NormalSS"/>
    <w:qFormat/>
    <w:rsid w:val="00C970F2"/>
    <w:pPr>
      <w:numPr>
        <w:numId w:val="5"/>
      </w:numPr>
      <w:spacing w:after="240"/>
    </w:pPr>
  </w:style>
  <w:style w:type="paragraph" w:customStyle="1" w:styleId="DashLASTDS">
    <w:name w:val="Dash (LAST DS)"/>
    <w:basedOn w:val="Dash"/>
    <w:next w:val="Normal"/>
    <w:qFormat/>
    <w:rsid w:val="00C970F2"/>
    <w:pPr>
      <w:spacing w:after="320"/>
    </w:pPr>
    <w:rPr>
      <w:szCs w:val="24"/>
    </w:rPr>
  </w:style>
  <w:style w:type="paragraph" w:styleId="Footer">
    <w:name w:val="footer"/>
    <w:basedOn w:val="Normal"/>
    <w:link w:val="FooterChar"/>
    <w:qFormat/>
    <w:rsid w:val="00C970F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970F2"/>
    <w:rPr>
      <w:rFonts w:ascii="Arial" w:eastAsia="Times New Roman" w:hAnsi="Arial" w:cs="Times New Roman"/>
      <w:sz w:val="20"/>
      <w:szCs w:val="20"/>
    </w:rPr>
  </w:style>
  <w:style w:type="paragraph" w:styleId="DocumentMap">
    <w:name w:val="Document Map"/>
    <w:basedOn w:val="Normal"/>
    <w:link w:val="DocumentMapChar"/>
    <w:semiHidden/>
    <w:unhideWhenUsed/>
    <w:rsid w:val="00C970F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970F2"/>
    <w:rPr>
      <w:rFonts w:asciiTheme="majorHAnsi" w:eastAsia="Times New Roman" w:hAnsiTheme="majorHAnsi" w:cs="Times New Roman"/>
      <w:szCs w:val="20"/>
    </w:rPr>
  </w:style>
  <w:style w:type="character" w:styleId="FootnoteReference">
    <w:name w:val="footnote reference"/>
    <w:basedOn w:val="DefaultParagraphFont"/>
    <w:qFormat/>
    <w:rsid w:val="00C970F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970F2"/>
    <w:pPr>
      <w:spacing w:after="120" w:line="240" w:lineRule="auto"/>
      <w:ind w:firstLine="0"/>
    </w:pPr>
    <w:rPr>
      <w:sz w:val="20"/>
    </w:rPr>
  </w:style>
  <w:style w:type="character" w:customStyle="1" w:styleId="FootnoteTextChar">
    <w:name w:val="Footnote Text Char"/>
    <w:basedOn w:val="DefaultParagraphFont"/>
    <w:link w:val="FootnoteText"/>
    <w:rsid w:val="00C970F2"/>
    <w:rPr>
      <w:rFonts w:eastAsia="Times New Roman" w:cs="Times New Roman"/>
      <w:sz w:val="20"/>
      <w:szCs w:val="20"/>
    </w:rPr>
  </w:style>
  <w:style w:type="paragraph" w:styleId="Header">
    <w:name w:val="header"/>
    <w:basedOn w:val="Normal"/>
    <w:link w:val="HeaderChar"/>
    <w:qFormat/>
    <w:rsid w:val="00C970F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970F2"/>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970F2"/>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970F2"/>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970F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970F2"/>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970F2"/>
    <w:pPr>
      <w:outlineLvl w:val="9"/>
    </w:pPr>
  </w:style>
  <w:style w:type="character" w:customStyle="1" w:styleId="Heading4Char">
    <w:name w:val="Heading 4 Char"/>
    <w:basedOn w:val="DefaultParagraphFont"/>
    <w:link w:val="Heading4"/>
    <w:rsid w:val="00C970F2"/>
    <w:rPr>
      <w:rFonts w:eastAsia="Times New Roman" w:cs="Times New Roman"/>
      <w:b/>
      <w:szCs w:val="20"/>
    </w:rPr>
  </w:style>
  <w:style w:type="character" w:customStyle="1" w:styleId="Heading5Char">
    <w:name w:val="Heading 5 Char"/>
    <w:basedOn w:val="DefaultParagraphFont"/>
    <w:link w:val="Heading5"/>
    <w:semiHidden/>
    <w:rsid w:val="00C970F2"/>
    <w:rPr>
      <w:rFonts w:eastAsia="Times New Roman" w:cs="Times New Roman"/>
      <w:b/>
      <w:szCs w:val="20"/>
    </w:rPr>
  </w:style>
  <w:style w:type="character" w:customStyle="1" w:styleId="Heading6Char">
    <w:name w:val="Heading 6 Char"/>
    <w:basedOn w:val="DefaultParagraphFont"/>
    <w:link w:val="Heading6"/>
    <w:semiHidden/>
    <w:rsid w:val="00C970F2"/>
    <w:rPr>
      <w:rFonts w:eastAsia="Times New Roman" w:cs="Times New Roman"/>
      <w:szCs w:val="20"/>
    </w:rPr>
  </w:style>
  <w:style w:type="character" w:customStyle="1" w:styleId="Heading7Char">
    <w:name w:val="Heading 7 Char"/>
    <w:basedOn w:val="DefaultParagraphFont"/>
    <w:link w:val="Heading7"/>
    <w:semiHidden/>
    <w:rsid w:val="00C970F2"/>
    <w:rPr>
      <w:rFonts w:eastAsia="Times New Roman" w:cs="Times New Roman"/>
      <w:szCs w:val="20"/>
    </w:rPr>
  </w:style>
  <w:style w:type="character" w:customStyle="1" w:styleId="Heading8Char">
    <w:name w:val="Heading 8 Char"/>
    <w:basedOn w:val="DefaultParagraphFont"/>
    <w:link w:val="Heading8"/>
    <w:semiHidden/>
    <w:rsid w:val="00C970F2"/>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970F2"/>
    <w:rPr>
      <w:rFonts w:eastAsia="Times New Roman" w:cs="Times New Roman"/>
      <w:szCs w:val="20"/>
    </w:rPr>
  </w:style>
  <w:style w:type="paragraph" w:customStyle="1" w:styleId="MarkforAppendixTitle">
    <w:name w:val="Mark for Appendix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970F2"/>
  </w:style>
  <w:style w:type="paragraph" w:customStyle="1" w:styleId="MarkforTableTitle">
    <w:name w:val="Mark for Table Title"/>
    <w:basedOn w:val="Normal"/>
    <w:next w:val="NormalSS"/>
    <w:qFormat/>
    <w:rsid w:val="00C970F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970F2"/>
  </w:style>
  <w:style w:type="numbering" w:customStyle="1" w:styleId="MPROutline">
    <w:name w:val="MPROutline"/>
    <w:uiPriority w:val="99"/>
    <w:locked/>
    <w:rsid w:val="00C970F2"/>
    <w:pPr>
      <w:numPr>
        <w:numId w:val="7"/>
      </w:numPr>
    </w:pPr>
  </w:style>
  <w:style w:type="character" w:customStyle="1" w:styleId="MTEquationSection">
    <w:name w:val="MTEquationSection"/>
    <w:basedOn w:val="DefaultParagraphFont"/>
    <w:rsid w:val="00C970F2"/>
    <w:rPr>
      <w:rFonts w:ascii="Arial" w:hAnsi="Arial"/>
      <w:vanish/>
      <w:color w:val="auto"/>
      <w:sz w:val="18"/>
    </w:rPr>
  </w:style>
  <w:style w:type="paragraph" w:customStyle="1" w:styleId="Normalcontinued">
    <w:name w:val="Normal (continued)"/>
    <w:basedOn w:val="Normal"/>
    <w:next w:val="Normal"/>
    <w:qFormat/>
    <w:rsid w:val="00C970F2"/>
    <w:pPr>
      <w:ind w:firstLine="0"/>
    </w:pPr>
  </w:style>
  <w:style w:type="paragraph" w:customStyle="1" w:styleId="NormalSS">
    <w:name w:val="NormalSS"/>
    <w:basedOn w:val="Normal"/>
    <w:link w:val="NormalSSChar"/>
    <w:qFormat/>
    <w:rsid w:val="00C970F2"/>
    <w:pPr>
      <w:spacing w:after="240" w:line="240" w:lineRule="auto"/>
    </w:pPr>
  </w:style>
  <w:style w:type="paragraph" w:customStyle="1" w:styleId="NormalSScontinued">
    <w:name w:val="NormalSS (continued)"/>
    <w:basedOn w:val="NormalSS"/>
    <w:next w:val="NormalSS"/>
    <w:qFormat/>
    <w:rsid w:val="00C970F2"/>
    <w:pPr>
      <w:ind w:firstLine="0"/>
    </w:pPr>
  </w:style>
  <w:style w:type="paragraph" w:customStyle="1" w:styleId="NumberedBullet">
    <w:name w:val="Numbered Bullet"/>
    <w:basedOn w:val="Normal"/>
    <w:link w:val="NumberedBulletChar"/>
    <w:qFormat/>
    <w:rsid w:val="00C970F2"/>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970F2"/>
    <w:pPr>
      <w:spacing w:after="240" w:line="240" w:lineRule="auto"/>
      <w:ind w:left="720" w:hanging="720"/>
    </w:pPr>
  </w:style>
  <w:style w:type="character" w:styleId="PageNumber">
    <w:name w:val="page number"/>
    <w:basedOn w:val="DefaultParagraphFont"/>
    <w:semiHidden/>
    <w:qFormat/>
    <w:rsid w:val="00C970F2"/>
    <w:rPr>
      <w:rFonts w:ascii="Arial" w:hAnsi="Arial"/>
      <w:color w:val="auto"/>
      <w:sz w:val="20"/>
      <w:bdr w:val="none" w:sz="0" w:space="0" w:color="auto"/>
    </w:rPr>
  </w:style>
  <w:style w:type="paragraph" w:customStyle="1" w:styleId="References">
    <w:name w:val="References"/>
    <w:basedOn w:val="Normal"/>
    <w:qFormat/>
    <w:rsid w:val="00C970F2"/>
    <w:pPr>
      <w:keepLines/>
      <w:spacing w:after="240" w:line="240" w:lineRule="auto"/>
      <w:ind w:left="432" w:hanging="432"/>
    </w:pPr>
  </w:style>
  <w:style w:type="paragraph" w:customStyle="1" w:styleId="TableFootnoteCaption">
    <w:name w:val="Table Footnote_Caption"/>
    <w:qFormat/>
    <w:rsid w:val="00C970F2"/>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970F2"/>
    <w:pPr>
      <w:spacing w:before="120" w:after="60"/>
    </w:pPr>
    <w:rPr>
      <w:b/>
      <w:color w:val="FFFFFF" w:themeColor="background1"/>
    </w:rPr>
  </w:style>
  <w:style w:type="paragraph" w:customStyle="1" w:styleId="TableHeaderCenter">
    <w:name w:val="Table Header Center"/>
    <w:basedOn w:val="TableHeaderLeft"/>
    <w:qFormat/>
    <w:rsid w:val="00C970F2"/>
    <w:pPr>
      <w:jc w:val="center"/>
    </w:pPr>
  </w:style>
  <w:style w:type="paragraph" w:styleId="TableofFigures">
    <w:name w:val="table of figures"/>
    <w:basedOn w:val="Normal"/>
    <w:next w:val="Normal"/>
    <w:uiPriority w:val="99"/>
    <w:locked/>
    <w:rsid w:val="00C970F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970F2"/>
    <w:pPr>
      <w:spacing w:line="240" w:lineRule="auto"/>
      <w:ind w:firstLine="0"/>
    </w:pPr>
    <w:rPr>
      <w:rFonts w:ascii="Arial" w:hAnsi="Arial"/>
      <w:sz w:val="18"/>
    </w:rPr>
  </w:style>
  <w:style w:type="paragraph" w:customStyle="1" w:styleId="TableSourceCaption">
    <w:name w:val="Table Source_Caption"/>
    <w:qFormat/>
    <w:rsid w:val="00C970F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970F2"/>
  </w:style>
  <w:style w:type="paragraph" w:customStyle="1" w:styleId="Tabletext8">
    <w:name w:val="Table text 8"/>
    <w:basedOn w:val="TableText"/>
    <w:qFormat/>
    <w:rsid w:val="00C970F2"/>
    <w:rPr>
      <w:snapToGrid w:val="0"/>
      <w:sz w:val="16"/>
      <w:szCs w:val="16"/>
    </w:rPr>
  </w:style>
  <w:style w:type="paragraph" w:customStyle="1" w:styleId="TableSpace">
    <w:name w:val="TableSpace"/>
    <w:basedOn w:val="TableSourceCaption"/>
    <w:next w:val="TableFootnoteCaption"/>
    <w:semiHidden/>
    <w:qFormat/>
    <w:rsid w:val="00C970F2"/>
  </w:style>
  <w:style w:type="paragraph" w:styleId="Title">
    <w:name w:val="Title"/>
    <w:basedOn w:val="Normal"/>
    <w:next w:val="Normal"/>
    <w:link w:val="TitleChar"/>
    <w:semiHidden/>
    <w:rsid w:val="00C970F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970F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970F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970F2"/>
    <w:pPr>
      <w:spacing w:before="0" w:after="160"/>
    </w:pPr>
  </w:style>
  <w:style w:type="paragraph" w:customStyle="1" w:styleId="TitleofDocumentNoPhoto">
    <w:name w:val="Title of Document No Photo"/>
    <w:basedOn w:val="TitleofDocumentHorizontal"/>
    <w:semiHidden/>
    <w:qFormat/>
    <w:rsid w:val="00C970F2"/>
  </w:style>
  <w:style w:type="paragraph" w:styleId="TOC1">
    <w:name w:val="toc 1"/>
    <w:next w:val="Normalcontinued"/>
    <w:autoRedefine/>
    <w:uiPriority w:val="39"/>
    <w:qFormat/>
    <w:rsid w:val="00C970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970F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970F2"/>
    <w:pPr>
      <w:tabs>
        <w:tab w:val="clear" w:pos="1080"/>
        <w:tab w:val="left" w:pos="1440"/>
      </w:tabs>
      <w:spacing w:after="120"/>
      <w:ind w:left="1440"/>
    </w:pPr>
  </w:style>
  <w:style w:type="paragraph" w:styleId="TOC4">
    <w:name w:val="toc 4"/>
    <w:next w:val="Normal"/>
    <w:autoRedefine/>
    <w:qFormat/>
    <w:rsid w:val="00C970F2"/>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970F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970F2"/>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970F2"/>
    <w:rPr>
      <w:rFonts w:eastAsia="Times New Roman" w:cs="Times New Roman"/>
      <w:szCs w:val="20"/>
    </w:rPr>
  </w:style>
  <w:style w:type="paragraph" w:customStyle="1" w:styleId="NumberedBulletLastDS">
    <w:name w:val="Numbered Bullet (Last DS)"/>
    <w:basedOn w:val="NumberedBullet"/>
    <w:next w:val="Normal"/>
    <w:qFormat/>
    <w:rsid w:val="00C970F2"/>
    <w:pPr>
      <w:spacing w:after="320"/>
    </w:pPr>
  </w:style>
  <w:style w:type="paragraph" w:customStyle="1" w:styleId="NumberedBulletLastSS">
    <w:name w:val="Numbered Bullet (Last SS)"/>
    <w:basedOn w:val="NumberedBulletLastDS"/>
    <w:next w:val="NormalSS"/>
    <w:qFormat/>
    <w:rsid w:val="00C970F2"/>
    <w:pPr>
      <w:spacing w:after="240"/>
    </w:pPr>
  </w:style>
  <w:style w:type="table" w:styleId="LightList">
    <w:name w:val="Light List"/>
    <w:basedOn w:val="TableNormal"/>
    <w:uiPriority w:val="61"/>
    <w:locked/>
    <w:rsid w:val="00C970F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970F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970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0F2"/>
    <w:pPr>
      <w:ind w:left="720"/>
      <w:contextualSpacing/>
    </w:pPr>
  </w:style>
  <w:style w:type="paragraph" w:customStyle="1" w:styleId="H1Title">
    <w:name w:val="H1_Title"/>
    <w:basedOn w:val="Normal"/>
    <w:next w:val="Normal"/>
    <w:link w:val="H1TitleChar"/>
    <w:qFormat/>
    <w:rsid w:val="00C970F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970F2"/>
    <w:pPr>
      <w:ind w:left="432" w:hanging="432"/>
      <w:outlineLvl w:val="1"/>
    </w:pPr>
  </w:style>
  <w:style w:type="character" w:customStyle="1" w:styleId="H1TitleChar">
    <w:name w:val="H1_Title Char"/>
    <w:basedOn w:val="DefaultParagraphFont"/>
    <w:link w:val="H1Title"/>
    <w:rsid w:val="00C970F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970F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970F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970F2"/>
    <w:pPr>
      <w:outlineLvl w:val="9"/>
    </w:pPr>
  </w:style>
  <w:style w:type="character" w:customStyle="1" w:styleId="H3AlphaChar">
    <w:name w:val="H3_Alpha Char"/>
    <w:basedOn w:val="Heading2Char"/>
    <w:link w:val="H3Alpha"/>
    <w:rsid w:val="00C970F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70F2"/>
    <w:pPr>
      <w:outlineLvl w:val="3"/>
    </w:pPr>
    <w:rPr>
      <w:b/>
    </w:rPr>
  </w:style>
  <w:style w:type="character" w:customStyle="1" w:styleId="H3AlphaNoTOCChar">
    <w:name w:val="H3_Alpha_No TOC Char"/>
    <w:basedOn w:val="H3AlphaChar"/>
    <w:link w:val="H3AlphaNoTOC"/>
    <w:rsid w:val="00C970F2"/>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970F2"/>
    <w:pPr>
      <w:outlineLvl w:val="9"/>
    </w:pPr>
  </w:style>
  <w:style w:type="character" w:customStyle="1" w:styleId="H4NumberChar">
    <w:name w:val="H4_Number Char"/>
    <w:basedOn w:val="Heading3Char"/>
    <w:link w:val="H4Number"/>
    <w:rsid w:val="00C970F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970F2"/>
    <w:pPr>
      <w:outlineLvl w:val="4"/>
    </w:pPr>
  </w:style>
  <w:style w:type="character" w:customStyle="1" w:styleId="H4NumberNoTOCChar">
    <w:name w:val="H4_Number_No TOC Char"/>
    <w:basedOn w:val="H4NumberChar"/>
    <w:link w:val="H4NumberNoTOC"/>
    <w:rsid w:val="00C970F2"/>
    <w:rPr>
      <w:rFonts w:ascii="Arial Black" w:eastAsia="Times New Roman" w:hAnsi="Arial Black" w:cs="Times New Roman"/>
      <w:b/>
      <w:sz w:val="22"/>
      <w:szCs w:val="20"/>
    </w:rPr>
  </w:style>
  <w:style w:type="character" w:customStyle="1" w:styleId="H5LowerChar">
    <w:name w:val="H5_Lower Char"/>
    <w:basedOn w:val="Heading4Char"/>
    <w:link w:val="H5Lower"/>
    <w:rsid w:val="00C970F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B30DDF"/>
    <w:rPr>
      <w:sz w:val="16"/>
      <w:szCs w:val="16"/>
    </w:rPr>
  </w:style>
  <w:style w:type="paragraph" w:styleId="CommentText">
    <w:name w:val="annotation text"/>
    <w:basedOn w:val="Normal"/>
    <w:link w:val="CommentTextChar"/>
    <w:unhideWhenUsed/>
    <w:rsid w:val="00B30DDF"/>
    <w:pPr>
      <w:tabs>
        <w:tab w:val="left" w:pos="720"/>
        <w:tab w:val="left" w:pos="1080"/>
        <w:tab w:val="left" w:pos="1440"/>
        <w:tab w:val="left" w:pos="1800"/>
      </w:tabs>
      <w:spacing w:line="240" w:lineRule="auto"/>
      <w:ind w:firstLine="0"/>
    </w:pPr>
    <w:rPr>
      <w:sz w:val="20"/>
    </w:rPr>
  </w:style>
  <w:style w:type="character" w:customStyle="1" w:styleId="CommentTextChar">
    <w:name w:val="Comment Text Char"/>
    <w:basedOn w:val="DefaultParagraphFont"/>
    <w:link w:val="CommentText"/>
    <w:rsid w:val="00B30DDF"/>
    <w:rPr>
      <w:rFonts w:eastAsia="Times New Roman" w:cs="Times New Roman"/>
      <w:sz w:val="20"/>
      <w:szCs w:val="20"/>
    </w:rPr>
  </w:style>
  <w:style w:type="paragraph" w:customStyle="1" w:styleId="Heading20">
    <w:name w:val="Heading #2"/>
    <w:basedOn w:val="Heading2"/>
    <w:qFormat/>
    <w:rsid w:val="00B30DDF"/>
    <w:pPr>
      <w:keepNext w:val="0"/>
      <w:framePr w:wrap="auto" w:vAnchor="margin" w:yAlign="inline"/>
      <w:pBdr>
        <w:bottom w:val="none" w:sz="0" w:space="0" w:color="auto"/>
      </w:pBdr>
      <w:tabs>
        <w:tab w:val="clear" w:pos="432"/>
        <w:tab w:val="left" w:pos="720"/>
        <w:tab w:val="left" w:pos="1080"/>
        <w:tab w:val="left" w:pos="1440"/>
        <w:tab w:val="left" w:pos="1800"/>
      </w:tabs>
      <w:spacing w:before="0" w:after="120"/>
      <w:ind w:left="432" w:hanging="432"/>
    </w:pPr>
    <w:rPr>
      <w:b/>
      <w:bCs/>
      <w:caps w:val="0"/>
      <w:szCs w:val="36"/>
    </w:rPr>
  </w:style>
  <w:style w:type="paragraph" w:customStyle="1" w:styleId="Heading3under2">
    <w:name w:val="Heading 3 under 2"/>
    <w:basedOn w:val="Normal"/>
    <w:qFormat/>
    <w:rsid w:val="00B30DDF"/>
    <w:pPr>
      <w:spacing w:after="240" w:line="240" w:lineRule="auto"/>
      <w:ind w:left="432" w:firstLine="0"/>
    </w:pPr>
    <w:rPr>
      <w:b/>
      <w:szCs w:val="22"/>
    </w:rPr>
  </w:style>
  <w:style w:type="paragraph" w:customStyle="1" w:styleId="NormalDS">
    <w:name w:val="Normal DS"/>
    <w:basedOn w:val="Normal"/>
    <w:qFormat/>
    <w:rsid w:val="00B30DDF"/>
    <w:pPr>
      <w:tabs>
        <w:tab w:val="left" w:pos="720"/>
        <w:tab w:val="left" w:pos="1080"/>
        <w:tab w:val="left" w:pos="1440"/>
        <w:tab w:val="left" w:pos="1800"/>
      </w:tabs>
    </w:pPr>
  </w:style>
  <w:style w:type="paragraph" w:customStyle="1" w:styleId="Heading30">
    <w:name w:val="Heading #3"/>
    <w:basedOn w:val="NormalDS"/>
    <w:qFormat/>
    <w:rsid w:val="00B30DDF"/>
    <w:pPr>
      <w:keepNext/>
      <w:spacing w:after="120" w:line="240" w:lineRule="auto"/>
      <w:ind w:left="432" w:hanging="432"/>
      <w:outlineLvl w:val="2"/>
    </w:pPr>
    <w:rPr>
      <w:b/>
    </w:rPr>
  </w:style>
  <w:style w:type="paragraph" w:customStyle="1" w:styleId="BulletSS">
    <w:name w:val="Bullet (SS)"/>
    <w:basedOn w:val="ListParagraph"/>
    <w:qFormat/>
    <w:rsid w:val="00B30DDF"/>
    <w:pPr>
      <w:numPr>
        <w:numId w:val="34"/>
      </w:numPr>
      <w:tabs>
        <w:tab w:val="left" w:pos="720"/>
        <w:tab w:val="left" w:pos="1080"/>
        <w:tab w:val="left" w:pos="1440"/>
        <w:tab w:val="left" w:pos="1800"/>
      </w:tabs>
      <w:spacing w:after="120" w:line="240" w:lineRule="auto"/>
      <w:ind w:left="432" w:hanging="432"/>
      <w:contextualSpacing w:val="0"/>
    </w:pPr>
    <w:rPr>
      <w:szCs w:val="22"/>
    </w:rPr>
  </w:style>
  <w:style w:type="table" w:customStyle="1" w:styleId="LightList1">
    <w:name w:val="Light List1"/>
    <w:basedOn w:val="TableNormal"/>
    <w:uiPriority w:val="61"/>
    <w:locked/>
    <w:rsid w:val="00030C5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DF23E4"/>
    <w:rPr>
      <w:rFonts w:eastAsia="Times New Roman" w:cs="Times New Roman"/>
      <w:szCs w:val="20"/>
    </w:rPr>
  </w:style>
  <w:style w:type="paragraph" w:customStyle="1" w:styleId="NormalSS-v2">
    <w:name w:val="NormalSS-v2"/>
    <w:basedOn w:val="NormalSS"/>
    <w:qFormat/>
    <w:rsid w:val="00DF23E4"/>
    <w:pPr>
      <w:tabs>
        <w:tab w:val="left" w:pos="720"/>
        <w:tab w:val="left" w:pos="1080"/>
        <w:tab w:val="left" w:pos="1440"/>
        <w:tab w:val="left" w:pos="1800"/>
      </w:tabs>
      <w:spacing w:after="0" w:line="480" w:lineRule="auto"/>
    </w:pPr>
  </w:style>
  <w:style w:type="paragraph" w:styleId="CommentSubject">
    <w:name w:val="annotation subject"/>
    <w:basedOn w:val="CommentText"/>
    <w:next w:val="CommentText"/>
    <w:link w:val="CommentSubjectChar"/>
    <w:uiPriority w:val="99"/>
    <w:semiHidden/>
    <w:unhideWhenUsed/>
    <w:rsid w:val="00E81A9B"/>
    <w:pPr>
      <w:tabs>
        <w:tab w:val="clear" w:pos="720"/>
        <w:tab w:val="clear" w:pos="1080"/>
        <w:tab w:val="clear" w:pos="1440"/>
        <w:tab w:val="clear" w:pos="1800"/>
      </w:tabs>
      <w:ind w:firstLine="432"/>
    </w:pPr>
    <w:rPr>
      <w:b/>
      <w:bCs/>
    </w:rPr>
  </w:style>
  <w:style w:type="character" w:customStyle="1" w:styleId="CommentSubjectChar">
    <w:name w:val="Comment Subject Char"/>
    <w:basedOn w:val="CommentTextChar"/>
    <w:link w:val="CommentSubject"/>
    <w:uiPriority w:val="99"/>
    <w:semiHidden/>
    <w:rsid w:val="00E81A9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FD84B-6CCB-4AD6-9A74-FBA30F3B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8129</Words>
  <Characters>46339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SYSTEM</cp:lastModifiedBy>
  <cp:revision>2</cp:revision>
  <cp:lastPrinted>2015-08-31T20:16:00Z</cp:lastPrinted>
  <dcterms:created xsi:type="dcterms:W3CDTF">2019-02-25T15:38:00Z</dcterms:created>
  <dcterms:modified xsi:type="dcterms:W3CDTF">2019-02-25T15:38:00Z</dcterms:modified>
</cp:coreProperties>
</file>