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2968BEE9" w14:textId="77777777" w:rsidR="003C3F4A" w:rsidRPr="00602065" w:rsidDel="003C3F4A" w:rsidRDefault="00711414" w:rsidP="001F38DB">
          <w:pPr>
            <w:rPr>
              <w:noProof/>
            </w:rPr>
          </w:pPr>
          <w:r w:rsidRPr="00602065">
            <w:rPr>
              <w:noProof/>
            </w:rPr>
            <mc:AlternateContent>
              <mc:Choice Requires="wps">
                <w:drawing>
                  <wp:anchor distT="0" distB="0" distL="114300" distR="114300" simplePos="0" relativeHeight="251676672" behindDoc="1" locked="0" layoutInCell="1" allowOverlap="1" wp14:anchorId="4B8CC6ED" wp14:editId="72B85BF8">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E80544"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sidRPr="00602065">
            <w:rPr>
              <w:noProof/>
            </w:rPr>
            <w:drawing>
              <wp:anchor distT="0" distB="0" distL="114300" distR="114300" simplePos="0" relativeHeight="251675647" behindDoc="0" locked="0" layoutInCell="1" allowOverlap="1" wp14:anchorId="25AD2C2F" wp14:editId="7F84E0E9">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sidRPr="00602065">
            <w:rPr>
              <w:noProof/>
            </w:rPr>
            <mc:AlternateContent>
              <mc:Choice Requires="wps">
                <w:drawing>
                  <wp:anchor distT="0" distB="0" distL="114300" distR="114300" simplePos="0" relativeHeight="251678720" behindDoc="0" locked="0" layoutInCell="1" allowOverlap="1" wp14:anchorId="27B542AE" wp14:editId="6FCBE6BF">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930F405"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3270BDA2" w14:textId="77777777" w:rsidR="00041909" w:rsidRPr="00602065" w:rsidRDefault="009B2A9E" w:rsidP="001F38DB"/>
      </w:sdtContent>
    </w:sdt>
    <w:p w14:paraId="2A27CEE6" w14:textId="77777777" w:rsidR="00D928FD" w:rsidRPr="00602065" w:rsidRDefault="00D928FD" w:rsidP="00D928FD"/>
    <w:sdt>
      <w:sdtPr>
        <w:rPr>
          <w:rFonts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543923FC" w14:textId="77777777" w:rsidR="00711414" w:rsidRPr="0040619F" w:rsidRDefault="00152D7D" w:rsidP="00711414">
          <w:pPr>
            <w:spacing w:line="240" w:lineRule="auto"/>
            <w:ind w:left="90"/>
            <w:rPr>
              <w:rFonts w:cs="Times New Roman"/>
              <w:color w:val="139CD8"/>
              <w:sz w:val="56"/>
              <w:szCs w:val="52"/>
            </w:rPr>
          </w:pPr>
          <w:r w:rsidRPr="0040619F">
            <w:rPr>
              <w:rFonts w:cs="Times New Roman"/>
              <w:color w:val="139CD8"/>
              <w:sz w:val="56"/>
              <w:szCs w:val="52"/>
            </w:rPr>
            <w:t>Supporting Statement for Densified Biomass Fuel Report</w:t>
          </w:r>
        </w:p>
      </w:sdtContent>
    </w:sdt>
    <w:p w14:paraId="2F265540" w14:textId="77777777" w:rsidR="0059212D" w:rsidRPr="0040619F" w:rsidRDefault="00EE2CAF" w:rsidP="0040619F">
      <w:pPr>
        <w:pStyle w:val="Heading1"/>
        <w:numPr>
          <w:ilvl w:val="0"/>
          <w:numId w:val="8"/>
        </w:numPr>
        <w:pBdr>
          <w:bottom w:val="none" w:sz="0" w:space="0" w:color="auto"/>
        </w:pBdr>
        <w:rPr>
          <w:rFonts w:asciiTheme="minorHAnsi" w:hAnsiTheme="minorHAnsi"/>
          <w:sz w:val="28"/>
        </w:rPr>
      </w:pPr>
      <w:bookmarkStart w:id="1" w:name="_Toc493689544"/>
      <w:bookmarkStart w:id="2" w:name="_Toc466046207"/>
      <w:r w:rsidRPr="0040619F">
        <w:rPr>
          <w:rFonts w:asciiTheme="minorHAnsi" w:hAnsiTheme="minorHAnsi"/>
          <w:sz w:val="28"/>
        </w:rPr>
        <w:t>Part A: Justification</w:t>
      </w:r>
      <w:bookmarkEnd w:id="1"/>
      <w:bookmarkEnd w:id="2"/>
    </w:p>
    <w:p w14:paraId="6CA13A2F" w14:textId="77777777" w:rsidR="00711414" w:rsidRPr="00602065" w:rsidRDefault="0059212D" w:rsidP="00D928FD">
      <w:pPr>
        <w:rPr>
          <w:b/>
          <w:sz w:val="36"/>
          <w:szCs w:val="36"/>
        </w:rPr>
      </w:pPr>
      <w:r w:rsidRPr="00602065">
        <w:rPr>
          <w:noProof/>
        </w:rPr>
        <mc:AlternateContent>
          <mc:Choice Requires="wps">
            <w:drawing>
              <wp:anchor distT="0" distB="0" distL="114300" distR="114300" simplePos="0" relativeHeight="251693056" behindDoc="0" locked="0" layoutInCell="1" allowOverlap="1" wp14:anchorId="7C602FE9" wp14:editId="111AE7AC">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348A5" w14:textId="77777777" w:rsidR="00E22B62" w:rsidRPr="0059212D" w:rsidRDefault="00E22B62" w:rsidP="00FB6BF3">
                            <w:pPr>
                              <w:rPr>
                                <w:i/>
                                <w:sz w:val="28"/>
                                <w:szCs w:val="28"/>
                              </w:rPr>
                            </w:pPr>
                            <w:r w:rsidRPr="0059212D">
                              <w:rPr>
                                <w:i/>
                                <w:sz w:val="28"/>
                                <w:szCs w:val="28"/>
                              </w:rPr>
                              <w:t>Form EIA-</w:t>
                            </w:r>
                            <w:r>
                              <w:rPr>
                                <w:i/>
                                <w:sz w:val="28"/>
                                <w:szCs w:val="28"/>
                              </w:rPr>
                              <w:t>63C</w:t>
                            </w:r>
                            <w:r w:rsidRPr="0059212D">
                              <w:rPr>
                                <w:i/>
                                <w:sz w:val="28"/>
                                <w:szCs w:val="28"/>
                              </w:rPr>
                              <w:t xml:space="preserve">, </w:t>
                            </w:r>
                            <w:r>
                              <w:rPr>
                                <w:i/>
                                <w:sz w:val="28"/>
                                <w:szCs w:val="28"/>
                              </w:rPr>
                              <w:t>Densified Biomass Fuel Report</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filled="f" stroked="f">
                <v:textbox inset="0">
                  <w:txbxContent>
                    <w:p w14:paraId="6EE348A5" w14:textId="77777777" w:rsidR="00E22B62" w:rsidRPr="0059212D" w:rsidRDefault="00E22B62" w:rsidP="00FB6BF3">
                      <w:pPr>
                        <w:rPr>
                          <w:i/>
                          <w:sz w:val="28"/>
                          <w:szCs w:val="28"/>
                        </w:rPr>
                      </w:pPr>
                      <w:r w:rsidRPr="0059212D">
                        <w:rPr>
                          <w:i/>
                          <w:sz w:val="28"/>
                          <w:szCs w:val="28"/>
                        </w:rPr>
                        <w:t>Form EIA-</w:t>
                      </w:r>
                      <w:r>
                        <w:rPr>
                          <w:i/>
                          <w:sz w:val="28"/>
                          <w:szCs w:val="28"/>
                        </w:rPr>
                        <w:t>63C</w:t>
                      </w:r>
                      <w:r w:rsidRPr="0059212D">
                        <w:rPr>
                          <w:i/>
                          <w:sz w:val="28"/>
                          <w:szCs w:val="28"/>
                        </w:rPr>
                        <w:t xml:space="preserve">, </w:t>
                      </w:r>
                      <w:r>
                        <w:rPr>
                          <w:i/>
                          <w:sz w:val="28"/>
                          <w:szCs w:val="28"/>
                        </w:rPr>
                        <w:t>Densified Biomass Fuel Report</w:t>
                      </w:r>
                    </w:p>
                  </w:txbxContent>
                </v:textbox>
                <w10:wrap type="square" anchorx="margin" anchory="margin"/>
              </v:shape>
            </w:pict>
          </mc:Fallback>
        </mc:AlternateContent>
      </w:r>
      <w:r w:rsidR="00711414" w:rsidRPr="0040619F">
        <w:rPr>
          <w:rFonts w:cs="Times New Roman"/>
          <w:b/>
          <w:sz w:val="36"/>
          <w:szCs w:val="36"/>
        </w:rPr>
        <w:t>OMB No. 1905-0</w:t>
      </w:r>
      <w:r w:rsidR="00F1721E" w:rsidRPr="0040619F">
        <w:rPr>
          <w:rFonts w:cs="Times New Roman"/>
          <w:b/>
          <w:sz w:val="36"/>
          <w:szCs w:val="36"/>
        </w:rPr>
        <w:t>209</w:t>
      </w:r>
    </w:p>
    <w:p w14:paraId="00421749" w14:textId="77777777" w:rsidR="001F3A8F" w:rsidRPr="0040619F" w:rsidRDefault="00EE2CAF" w:rsidP="00711414">
      <w:pPr>
        <w:rPr>
          <w:i/>
          <w:sz w:val="28"/>
          <w:szCs w:val="28"/>
        </w:rPr>
      </w:pPr>
      <w:r w:rsidRPr="00602065">
        <w:rPr>
          <w:noProof/>
        </w:rPr>
        <w:lastRenderedPageBreak/>
        <mc:AlternateContent>
          <mc:Choice Requires="wps">
            <w:drawing>
              <wp:anchor distT="0" distB="0" distL="114300" distR="114300" simplePos="0" relativeHeight="251681792" behindDoc="0" locked="0" layoutInCell="1" allowOverlap="1" wp14:anchorId="503665DC" wp14:editId="51EE817D">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3C0C7" w14:textId="7E8CAAEB" w:rsidR="00E22B62" w:rsidRPr="009818F9" w:rsidRDefault="00F96798">
                            <w:pPr>
                              <w:rPr>
                                <w:color w:val="A6A6A6" w:themeColor="background1" w:themeShade="A6"/>
                                <w:sz w:val="36"/>
                              </w:rPr>
                            </w:pPr>
                            <w:r>
                              <w:rPr>
                                <w:color w:val="A6A6A6" w:themeColor="background1" w:themeShade="A6"/>
                                <w:sz w:val="36"/>
                              </w:rPr>
                              <w:t>June</w:t>
                            </w:r>
                            <w:r w:rsidR="00E22B62">
                              <w:rPr>
                                <w:color w:val="A6A6A6" w:themeColor="background1" w:themeShade="A6"/>
                                <w:sz w:val="36"/>
                              </w:rPr>
                              <w:t xml:space="preserve"> 2018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2263C0C7" w14:textId="7E8CAAEB" w:rsidR="00E22B62" w:rsidRPr="009818F9" w:rsidRDefault="00F96798">
                      <w:pPr>
                        <w:rPr>
                          <w:color w:val="A6A6A6" w:themeColor="background1" w:themeShade="A6"/>
                          <w:sz w:val="36"/>
                        </w:rPr>
                      </w:pPr>
                      <w:r>
                        <w:rPr>
                          <w:color w:val="A6A6A6" w:themeColor="background1" w:themeShade="A6"/>
                          <w:sz w:val="36"/>
                        </w:rPr>
                        <w:t>June</w:t>
                      </w:r>
                      <w:r w:rsidR="00E22B62">
                        <w:rPr>
                          <w:color w:val="A6A6A6" w:themeColor="background1" w:themeShade="A6"/>
                          <w:sz w:val="36"/>
                        </w:rPr>
                        <w:t xml:space="preserve"> 2018</w:t>
                      </w:r>
                    </w:p>
                  </w:txbxContent>
                </v:textbox>
                <w10:wrap type="square" anchorx="margin" anchory="margin"/>
              </v:shape>
            </w:pict>
          </mc:Fallback>
        </mc:AlternateContent>
      </w:r>
      <w:r w:rsidRPr="0040619F">
        <w:rPr>
          <w:noProof/>
        </w:rPr>
        <mc:AlternateContent>
          <mc:Choice Requires="wps">
            <w:drawing>
              <wp:anchor distT="0" distB="0" distL="114300" distR="114300" simplePos="0" relativeHeight="251689984" behindDoc="1" locked="0" layoutInCell="1" allowOverlap="1" wp14:anchorId="45EA66B6" wp14:editId="4C7326D6">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752A9F" id="Rectangle 34" o:spid="_x0000_s1026"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fillcolor="#0c95d3" stroked="f" strokecolor="#f2f2f2 [3041]" strokeweight="3pt">
                <v:shadow color="#50191f [1608]" opacity=".5" offset="1pt"/>
                <w10:wrap type="through"/>
              </v:rect>
            </w:pict>
          </mc:Fallback>
        </mc:AlternateContent>
      </w:r>
      <w:r w:rsidR="00FB6BF3" w:rsidRPr="0040619F">
        <w:rPr>
          <w:noProof/>
        </w:rPr>
        <w:t xml:space="preserve"> </w:t>
      </w:r>
      <w:r w:rsidR="00711414" w:rsidRPr="0040619F">
        <w:rPr>
          <w:noProof/>
        </w:rPr>
        <mc:AlternateContent>
          <mc:Choice Requires="wps">
            <w:drawing>
              <wp:anchor distT="0" distB="0" distL="114300" distR="114300" simplePos="0" relativeHeight="251680768" behindDoc="0" locked="0" layoutInCell="1" allowOverlap="1" wp14:anchorId="78A5CDF5" wp14:editId="0BDB37A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7D104" w14:textId="77777777" w:rsidR="00E22B62" w:rsidRPr="00AA3D91" w:rsidRDefault="00E22B62"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3337D104" w14:textId="77777777" w:rsidR="00E22B62" w:rsidRPr="00AA3D91" w:rsidRDefault="00E22B62" w:rsidP="00D001E4">
                      <w:pPr>
                        <w:spacing w:line="240" w:lineRule="auto"/>
                        <w:ind w:left="90"/>
                        <w:rPr>
                          <w:sz w:val="52"/>
                          <w:szCs w:val="52"/>
                        </w:rPr>
                      </w:pPr>
                    </w:p>
                  </w:txbxContent>
                </v:textbox>
                <w10:wrap anchorx="margin"/>
              </v:shape>
            </w:pict>
          </mc:Fallback>
        </mc:AlternateContent>
      </w:r>
      <w:r w:rsidR="002556F3" w:rsidRPr="0040619F">
        <w:rPr>
          <w:noProof/>
        </w:rPr>
        <w:drawing>
          <wp:anchor distT="0" distB="0" distL="114300" distR="114300" simplePos="0" relativeHeight="251658752" behindDoc="0" locked="0" layoutInCell="1" allowOverlap="1" wp14:anchorId="73F1C645" wp14:editId="1D503A68">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1" cstate="print"/>
                    <a:srcRect/>
                    <a:stretch>
                      <a:fillRect/>
                    </a:stretch>
                  </pic:blipFill>
                  <pic:spPr>
                    <a:xfrm>
                      <a:off x="0" y="0"/>
                      <a:ext cx="6343650" cy="647700"/>
                    </a:xfrm>
                    <a:prstGeom prst="rect">
                      <a:avLst/>
                    </a:prstGeom>
                  </pic:spPr>
                </pic:pic>
              </a:graphicData>
            </a:graphic>
          </wp:anchor>
        </w:drawing>
      </w:r>
      <w:r w:rsidR="00711414" w:rsidRPr="0040619F">
        <w:rPr>
          <w:noProof/>
          <w:color w:val="A6A6A6" w:themeColor="background1" w:themeShade="A6"/>
        </w:rPr>
        <mc:AlternateContent>
          <mc:Choice Requires="wps">
            <w:drawing>
              <wp:anchor distT="0" distB="0" distL="114300" distR="114300" simplePos="0" relativeHeight="251691008" behindDoc="0" locked="0" layoutInCell="1" allowOverlap="1" wp14:anchorId="29DD6CA4" wp14:editId="2E9DA6A5">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C4707" w14:textId="77777777" w:rsidR="00E22B62" w:rsidRPr="008F4CBD" w:rsidRDefault="00E22B62"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229DC22B" w14:textId="77777777" w:rsidR="00E22B62" w:rsidRPr="008F4CBD" w:rsidRDefault="00E22B62"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49DC4707" w14:textId="77777777" w:rsidR="00E22B62" w:rsidRPr="008F4CBD" w:rsidRDefault="00E22B62"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229DC22B" w14:textId="77777777" w:rsidR="00E22B62" w:rsidRPr="008F4CBD" w:rsidRDefault="00E22B62"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sidRPr="0040619F">
        <w:rPr>
          <w:noProof/>
          <w:color w:val="A6A6A6" w:themeColor="background1" w:themeShade="A6"/>
        </w:rPr>
        <mc:AlternateContent>
          <mc:Choice Requires="wps">
            <w:drawing>
              <wp:anchor distT="0" distB="0" distL="114300" distR="114300" simplePos="0" relativeHeight="251692032" behindDoc="0" locked="0" layoutInCell="1" allowOverlap="1" wp14:anchorId="710EE453" wp14:editId="635A42EE">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4D454" w14:textId="77777777" w:rsidR="00E22B62" w:rsidRPr="008F4CBD" w:rsidRDefault="00E22B62"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4626FEF" w14:textId="77777777" w:rsidR="00E22B62" w:rsidRPr="008F4CBD" w:rsidRDefault="00E22B62"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2F54D454" w14:textId="77777777" w:rsidR="00E22B62" w:rsidRPr="008F4CBD" w:rsidRDefault="00E22B62"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4626FEF" w14:textId="77777777" w:rsidR="00E22B62" w:rsidRPr="008F4CBD" w:rsidRDefault="00E22B62"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rsidRPr="0040619F">
        <w:br w:type="page"/>
      </w:r>
    </w:p>
    <w:p w14:paraId="028408E4" w14:textId="77777777" w:rsidR="00755C3D" w:rsidRPr="0040619F" w:rsidRDefault="00755C3D" w:rsidP="00D928FD">
      <w:pPr>
        <w:sectPr w:rsidR="00755C3D" w:rsidRPr="0040619F"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1E55BD3E" w14:textId="77777777" w:rsidR="0059212D" w:rsidRPr="0081529E" w:rsidRDefault="0059212D" w:rsidP="00EE2CAF">
          <w:pPr>
            <w:pStyle w:val="TOCHeading"/>
            <w:rPr>
              <w:rFonts w:asciiTheme="minorHAnsi" w:hAnsiTheme="minorHAnsi"/>
            </w:rPr>
          </w:pPr>
          <w:r w:rsidRPr="0040619F">
            <w:rPr>
              <w:rFonts w:asciiTheme="minorHAnsi" w:hAnsiTheme="minorHAnsi"/>
            </w:rPr>
            <w:t>Table of Contents</w:t>
          </w:r>
        </w:p>
        <w:p w14:paraId="2C08E8F1" w14:textId="77777777" w:rsidR="00AF6383" w:rsidRPr="00602065" w:rsidRDefault="0059212D">
          <w:pPr>
            <w:pStyle w:val="TOC1"/>
            <w:rPr>
              <w:rFonts w:eastAsiaTheme="minorEastAsia"/>
              <w:noProof/>
              <w:color w:val="auto"/>
            </w:rPr>
          </w:pPr>
          <w:r w:rsidRPr="00DD2040">
            <w:fldChar w:fldCharType="begin"/>
          </w:r>
          <w:r w:rsidRPr="0040619F">
            <w:instrText xml:space="preserve"> TOC \o "1-3" \h \z \u </w:instrText>
          </w:r>
          <w:r w:rsidRPr="00DD2040">
            <w:fldChar w:fldCharType="separate"/>
          </w:r>
          <w:hyperlink w:anchor="_Toc493689544" w:history="1">
            <w:r w:rsidR="00AF6383" w:rsidRPr="00602065">
              <w:rPr>
                <w:rStyle w:val="Hyperlink"/>
                <w:noProof/>
              </w:rPr>
              <w:t>Part A: Justification</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_Toc493689544 \h </w:instrText>
            </w:r>
            <w:r w:rsidR="00AF6383" w:rsidRPr="0081529E">
              <w:rPr>
                <w:noProof/>
                <w:webHidden/>
              </w:rPr>
            </w:r>
            <w:r w:rsidR="00AF6383" w:rsidRPr="0081529E">
              <w:rPr>
                <w:noProof/>
                <w:webHidden/>
              </w:rPr>
              <w:fldChar w:fldCharType="separate"/>
            </w:r>
            <w:r w:rsidR="00FB723F">
              <w:rPr>
                <w:noProof/>
                <w:webHidden/>
              </w:rPr>
              <w:t>i</w:t>
            </w:r>
            <w:r w:rsidR="00AF6383" w:rsidRPr="0081529E">
              <w:rPr>
                <w:noProof/>
                <w:webHidden/>
              </w:rPr>
              <w:fldChar w:fldCharType="end"/>
            </w:r>
          </w:hyperlink>
        </w:p>
        <w:p w14:paraId="6CDD240A" w14:textId="77777777" w:rsidR="00AF6383" w:rsidRPr="00602065" w:rsidRDefault="009B2A9E">
          <w:pPr>
            <w:pStyle w:val="TOC2"/>
            <w:rPr>
              <w:rFonts w:eastAsiaTheme="minorEastAsia"/>
              <w:noProof/>
              <w:color w:val="auto"/>
            </w:rPr>
          </w:pPr>
          <w:hyperlink w:anchor="_Toc493689545" w:history="1">
            <w:r w:rsidR="00AF6383" w:rsidRPr="00602065">
              <w:rPr>
                <w:rStyle w:val="Hyperlink"/>
                <w:noProof/>
              </w:rPr>
              <w:t>Introduction</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_Toc493689545 \h </w:instrText>
            </w:r>
            <w:r w:rsidR="00AF6383" w:rsidRPr="0081529E">
              <w:rPr>
                <w:noProof/>
                <w:webHidden/>
              </w:rPr>
            </w:r>
            <w:r w:rsidR="00AF6383" w:rsidRPr="0081529E">
              <w:rPr>
                <w:noProof/>
                <w:webHidden/>
              </w:rPr>
              <w:fldChar w:fldCharType="separate"/>
            </w:r>
            <w:r w:rsidR="00FB723F">
              <w:rPr>
                <w:noProof/>
                <w:webHidden/>
              </w:rPr>
              <w:t>1</w:t>
            </w:r>
            <w:r w:rsidR="00AF6383" w:rsidRPr="0081529E">
              <w:rPr>
                <w:noProof/>
                <w:webHidden/>
              </w:rPr>
              <w:fldChar w:fldCharType="end"/>
            </w:r>
          </w:hyperlink>
        </w:p>
        <w:p w14:paraId="7ABC8033" w14:textId="55A3359C" w:rsidR="00AF6383" w:rsidRPr="00602065" w:rsidRDefault="009B2A9E">
          <w:pPr>
            <w:pStyle w:val="TOC2"/>
            <w:rPr>
              <w:rFonts w:eastAsiaTheme="minorEastAsia"/>
              <w:noProof/>
              <w:color w:val="auto"/>
            </w:rPr>
          </w:pPr>
          <w:hyperlink w:anchor="_Toc493689546" w:history="1">
            <w:r w:rsidR="00AF6383" w:rsidRPr="00602065">
              <w:rPr>
                <w:rStyle w:val="Hyperlink"/>
                <w:noProof/>
              </w:rPr>
              <w:t xml:space="preserve"> Revisions</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_Toc493689546 \h </w:instrText>
            </w:r>
            <w:r w:rsidR="00AF6383" w:rsidRPr="0081529E">
              <w:rPr>
                <w:noProof/>
                <w:webHidden/>
              </w:rPr>
            </w:r>
            <w:r w:rsidR="00AF6383" w:rsidRPr="0081529E">
              <w:rPr>
                <w:noProof/>
                <w:webHidden/>
              </w:rPr>
              <w:fldChar w:fldCharType="separate"/>
            </w:r>
            <w:r w:rsidR="00FB723F">
              <w:rPr>
                <w:noProof/>
                <w:webHidden/>
              </w:rPr>
              <w:t>1</w:t>
            </w:r>
            <w:r w:rsidR="00AF6383" w:rsidRPr="0081529E">
              <w:rPr>
                <w:noProof/>
                <w:webHidden/>
              </w:rPr>
              <w:fldChar w:fldCharType="end"/>
            </w:r>
          </w:hyperlink>
        </w:p>
        <w:p w14:paraId="2C8F2C60" w14:textId="77777777" w:rsidR="00AF6383" w:rsidRPr="00602065" w:rsidRDefault="009B2A9E">
          <w:pPr>
            <w:pStyle w:val="TOC2"/>
            <w:rPr>
              <w:rFonts w:eastAsiaTheme="minorEastAsia"/>
              <w:noProof/>
              <w:color w:val="auto"/>
            </w:rPr>
          </w:pPr>
          <w:hyperlink w:anchor="_Toc493689547" w:history="1">
            <w:r w:rsidR="00AF6383" w:rsidRPr="00602065">
              <w:rPr>
                <w:rStyle w:val="Hyperlink"/>
                <w:noProof/>
              </w:rPr>
              <w:t>A.1. Legal Justification</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_Toc493689547 \h </w:instrText>
            </w:r>
            <w:r w:rsidR="00AF6383" w:rsidRPr="0081529E">
              <w:rPr>
                <w:noProof/>
                <w:webHidden/>
              </w:rPr>
            </w:r>
            <w:r w:rsidR="00AF6383" w:rsidRPr="0081529E">
              <w:rPr>
                <w:noProof/>
                <w:webHidden/>
              </w:rPr>
              <w:fldChar w:fldCharType="separate"/>
            </w:r>
            <w:r w:rsidR="00FB723F">
              <w:rPr>
                <w:noProof/>
                <w:webHidden/>
              </w:rPr>
              <w:t>2</w:t>
            </w:r>
            <w:r w:rsidR="00AF6383" w:rsidRPr="0081529E">
              <w:rPr>
                <w:noProof/>
                <w:webHidden/>
              </w:rPr>
              <w:fldChar w:fldCharType="end"/>
            </w:r>
          </w:hyperlink>
        </w:p>
        <w:p w14:paraId="0BA61E7E" w14:textId="77777777" w:rsidR="00AF6383" w:rsidRPr="00602065" w:rsidRDefault="009B2A9E">
          <w:pPr>
            <w:pStyle w:val="TOC2"/>
            <w:rPr>
              <w:rFonts w:eastAsiaTheme="minorEastAsia"/>
              <w:noProof/>
              <w:color w:val="auto"/>
            </w:rPr>
          </w:pPr>
          <w:hyperlink w:anchor="_Toc493689548" w:history="1">
            <w:r w:rsidR="00AF6383" w:rsidRPr="00602065">
              <w:rPr>
                <w:rStyle w:val="Hyperlink"/>
                <w:noProof/>
              </w:rPr>
              <w:t>A.2. Needs and Uses of Data</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_Toc493689548 \h </w:instrText>
            </w:r>
            <w:r w:rsidR="00AF6383" w:rsidRPr="0081529E">
              <w:rPr>
                <w:noProof/>
                <w:webHidden/>
              </w:rPr>
            </w:r>
            <w:r w:rsidR="00AF6383" w:rsidRPr="0081529E">
              <w:rPr>
                <w:noProof/>
                <w:webHidden/>
              </w:rPr>
              <w:fldChar w:fldCharType="separate"/>
            </w:r>
            <w:r w:rsidR="00FB723F">
              <w:rPr>
                <w:noProof/>
                <w:webHidden/>
              </w:rPr>
              <w:t>3</w:t>
            </w:r>
            <w:r w:rsidR="00AF6383" w:rsidRPr="0081529E">
              <w:rPr>
                <w:noProof/>
                <w:webHidden/>
              </w:rPr>
              <w:fldChar w:fldCharType="end"/>
            </w:r>
          </w:hyperlink>
        </w:p>
        <w:p w14:paraId="7EEC836A" w14:textId="77777777" w:rsidR="00AF6383" w:rsidRPr="00602065" w:rsidRDefault="009B2A9E">
          <w:pPr>
            <w:pStyle w:val="TOC2"/>
            <w:rPr>
              <w:rFonts w:eastAsiaTheme="minorEastAsia"/>
              <w:noProof/>
              <w:color w:val="auto"/>
            </w:rPr>
          </w:pPr>
          <w:hyperlink w:anchor="_Toc493689549" w:history="1">
            <w:r w:rsidR="00AF6383" w:rsidRPr="00602065">
              <w:rPr>
                <w:rStyle w:val="Hyperlink"/>
                <w:noProof/>
              </w:rPr>
              <w:t>A.3. Use of Technology</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_Toc493689549 \h </w:instrText>
            </w:r>
            <w:r w:rsidR="00AF6383" w:rsidRPr="0081529E">
              <w:rPr>
                <w:noProof/>
                <w:webHidden/>
              </w:rPr>
            </w:r>
            <w:r w:rsidR="00AF6383" w:rsidRPr="0081529E">
              <w:rPr>
                <w:noProof/>
                <w:webHidden/>
              </w:rPr>
              <w:fldChar w:fldCharType="separate"/>
            </w:r>
            <w:r w:rsidR="00FB723F">
              <w:rPr>
                <w:noProof/>
                <w:webHidden/>
              </w:rPr>
              <w:t>4</w:t>
            </w:r>
            <w:r w:rsidR="00AF6383" w:rsidRPr="0081529E">
              <w:rPr>
                <w:noProof/>
                <w:webHidden/>
              </w:rPr>
              <w:fldChar w:fldCharType="end"/>
            </w:r>
          </w:hyperlink>
        </w:p>
        <w:p w14:paraId="527A69D3" w14:textId="77777777" w:rsidR="00AF6383" w:rsidRPr="00602065" w:rsidRDefault="009B2A9E">
          <w:pPr>
            <w:pStyle w:val="TOC2"/>
            <w:rPr>
              <w:rFonts w:eastAsiaTheme="minorEastAsia"/>
              <w:noProof/>
              <w:color w:val="auto"/>
            </w:rPr>
          </w:pPr>
          <w:hyperlink w:anchor="_Toc493689550" w:history="1">
            <w:r w:rsidR="00AF6383" w:rsidRPr="00602065">
              <w:rPr>
                <w:rStyle w:val="Hyperlink"/>
                <w:noProof/>
              </w:rPr>
              <w:t>A.4. Efforts to Identify Duplication</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_Toc493689550 \h </w:instrText>
            </w:r>
            <w:r w:rsidR="00AF6383" w:rsidRPr="0081529E">
              <w:rPr>
                <w:noProof/>
                <w:webHidden/>
              </w:rPr>
            </w:r>
            <w:r w:rsidR="00AF6383" w:rsidRPr="0081529E">
              <w:rPr>
                <w:noProof/>
                <w:webHidden/>
              </w:rPr>
              <w:fldChar w:fldCharType="separate"/>
            </w:r>
            <w:r w:rsidR="00FB723F">
              <w:rPr>
                <w:noProof/>
                <w:webHidden/>
              </w:rPr>
              <w:t>4</w:t>
            </w:r>
            <w:r w:rsidR="00AF6383" w:rsidRPr="0081529E">
              <w:rPr>
                <w:noProof/>
                <w:webHidden/>
              </w:rPr>
              <w:fldChar w:fldCharType="end"/>
            </w:r>
          </w:hyperlink>
        </w:p>
        <w:p w14:paraId="3D3AA848" w14:textId="77777777" w:rsidR="00AF6383" w:rsidRPr="00602065" w:rsidRDefault="009B2A9E">
          <w:pPr>
            <w:pStyle w:val="TOC2"/>
            <w:rPr>
              <w:rFonts w:eastAsiaTheme="minorEastAsia"/>
              <w:noProof/>
              <w:color w:val="auto"/>
            </w:rPr>
          </w:pPr>
          <w:hyperlink w:anchor="_Toc493689551" w:history="1">
            <w:r w:rsidR="00AF6383" w:rsidRPr="00602065">
              <w:rPr>
                <w:rStyle w:val="Hyperlink"/>
                <w:noProof/>
              </w:rPr>
              <w:t>A.5. Provisions for Reducing Burden on Small Businesses</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_Toc493689551 \h </w:instrText>
            </w:r>
            <w:r w:rsidR="00AF6383" w:rsidRPr="0081529E">
              <w:rPr>
                <w:noProof/>
                <w:webHidden/>
              </w:rPr>
            </w:r>
            <w:r w:rsidR="00AF6383" w:rsidRPr="0081529E">
              <w:rPr>
                <w:noProof/>
                <w:webHidden/>
              </w:rPr>
              <w:fldChar w:fldCharType="separate"/>
            </w:r>
            <w:r w:rsidR="00FB723F">
              <w:rPr>
                <w:noProof/>
                <w:webHidden/>
              </w:rPr>
              <w:t>6</w:t>
            </w:r>
            <w:r w:rsidR="00AF6383" w:rsidRPr="0081529E">
              <w:rPr>
                <w:noProof/>
                <w:webHidden/>
              </w:rPr>
              <w:fldChar w:fldCharType="end"/>
            </w:r>
          </w:hyperlink>
        </w:p>
        <w:p w14:paraId="0E56A9D3" w14:textId="77777777" w:rsidR="00AF6383" w:rsidRPr="00602065" w:rsidRDefault="009B2A9E">
          <w:pPr>
            <w:pStyle w:val="TOC2"/>
            <w:rPr>
              <w:rFonts w:eastAsiaTheme="minorEastAsia"/>
              <w:noProof/>
              <w:color w:val="auto"/>
            </w:rPr>
          </w:pPr>
          <w:hyperlink w:anchor="_Toc493689552" w:history="1">
            <w:r w:rsidR="00AF6383" w:rsidRPr="00602065">
              <w:rPr>
                <w:rStyle w:val="Hyperlink"/>
                <w:noProof/>
              </w:rPr>
              <w:t>A.6. Consequences of Less-Frequent Reporting</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_Toc493689552 \h </w:instrText>
            </w:r>
            <w:r w:rsidR="00AF6383" w:rsidRPr="0081529E">
              <w:rPr>
                <w:noProof/>
                <w:webHidden/>
              </w:rPr>
            </w:r>
            <w:r w:rsidR="00AF6383" w:rsidRPr="0081529E">
              <w:rPr>
                <w:noProof/>
                <w:webHidden/>
              </w:rPr>
              <w:fldChar w:fldCharType="separate"/>
            </w:r>
            <w:r w:rsidR="00FB723F">
              <w:rPr>
                <w:noProof/>
                <w:webHidden/>
              </w:rPr>
              <w:t>6</w:t>
            </w:r>
            <w:r w:rsidR="00AF6383" w:rsidRPr="0081529E">
              <w:rPr>
                <w:noProof/>
                <w:webHidden/>
              </w:rPr>
              <w:fldChar w:fldCharType="end"/>
            </w:r>
          </w:hyperlink>
        </w:p>
        <w:p w14:paraId="2DBDCB0F" w14:textId="77777777" w:rsidR="00AF6383" w:rsidRPr="00602065" w:rsidRDefault="009B2A9E">
          <w:pPr>
            <w:pStyle w:val="TOC2"/>
            <w:rPr>
              <w:rFonts w:eastAsiaTheme="minorEastAsia"/>
              <w:noProof/>
              <w:color w:val="auto"/>
            </w:rPr>
          </w:pPr>
          <w:hyperlink w:anchor="_Toc493689553" w:history="1">
            <w:r w:rsidR="00AF6383" w:rsidRPr="00602065">
              <w:rPr>
                <w:rStyle w:val="Hyperlink"/>
                <w:noProof/>
              </w:rPr>
              <w:t>A.7. Compliance with 5 CFR 1320.5</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_Toc493689553 \h </w:instrText>
            </w:r>
            <w:r w:rsidR="00AF6383" w:rsidRPr="0081529E">
              <w:rPr>
                <w:noProof/>
                <w:webHidden/>
              </w:rPr>
            </w:r>
            <w:r w:rsidR="00AF6383" w:rsidRPr="0081529E">
              <w:rPr>
                <w:noProof/>
                <w:webHidden/>
              </w:rPr>
              <w:fldChar w:fldCharType="separate"/>
            </w:r>
            <w:r w:rsidR="00FB723F">
              <w:rPr>
                <w:noProof/>
                <w:webHidden/>
              </w:rPr>
              <w:t>7</w:t>
            </w:r>
            <w:r w:rsidR="00AF6383" w:rsidRPr="0081529E">
              <w:rPr>
                <w:noProof/>
                <w:webHidden/>
              </w:rPr>
              <w:fldChar w:fldCharType="end"/>
            </w:r>
          </w:hyperlink>
        </w:p>
        <w:p w14:paraId="6523DC42" w14:textId="77777777" w:rsidR="00AF6383" w:rsidRPr="00602065" w:rsidRDefault="009B2A9E">
          <w:pPr>
            <w:pStyle w:val="TOC2"/>
            <w:rPr>
              <w:rFonts w:eastAsiaTheme="minorEastAsia"/>
              <w:noProof/>
              <w:color w:val="auto"/>
            </w:rPr>
          </w:pPr>
          <w:hyperlink w:anchor="_Toc493689554" w:history="1">
            <w:r w:rsidR="00AF6383" w:rsidRPr="00602065">
              <w:rPr>
                <w:rStyle w:val="Hyperlink"/>
                <w:noProof/>
              </w:rPr>
              <w:t>A.8. Summary of Consultations Outside of the Agency</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_Toc493689554 \h </w:instrText>
            </w:r>
            <w:r w:rsidR="00AF6383" w:rsidRPr="0081529E">
              <w:rPr>
                <w:noProof/>
                <w:webHidden/>
              </w:rPr>
            </w:r>
            <w:r w:rsidR="00AF6383" w:rsidRPr="0081529E">
              <w:rPr>
                <w:noProof/>
                <w:webHidden/>
              </w:rPr>
              <w:fldChar w:fldCharType="separate"/>
            </w:r>
            <w:r w:rsidR="00FB723F">
              <w:rPr>
                <w:noProof/>
                <w:webHidden/>
              </w:rPr>
              <w:t>7</w:t>
            </w:r>
            <w:r w:rsidR="00AF6383" w:rsidRPr="0081529E">
              <w:rPr>
                <w:noProof/>
                <w:webHidden/>
              </w:rPr>
              <w:fldChar w:fldCharType="end"/>
            </w:r>
          </w:hyperlink>
        </w:p>
        <w:p w14:paraId="2BC5B9B4" w14:textId="77777777" w:rsidR="00AF6383" w:rsidRPr="00602065" w:rsidRDefault="009B2A9E">
          <w:pPr>
            <w:pStyle w:val="TOC2"/>
            <w:rPr>
              <w:rFonts w:eastAsiaTheme="minorEastAsia"/>
              <w:noProof/>
              <w:color w:val="auto"/>
            </w:rPr>
          </w:pPr>
          <w:hyperlink w:anchor="_Toc493689555" w:history="1">
            <w:r w:rsidR="00AF6383" w:rsidRPr="00602065">
              <w:rPr>
                <w:rStyle w:val="Hyperlink"/>
                <w:noProof/>
              </w:rPr>
              <w:t>A.9. Payments or Gifts to Respondents</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_Toc493689555 \h </w:instrText>
            </w:r>
            <w:r w:rsidR="00AF6383" w:rsidRPr="0081529E">
              <w:rPr>
                <w:noProof/>
                <w:webHidden/>
              </w:rPr>
            </w:r>
            <w:r w:rsidR="00AF6383" w:rsidRPr="0081529E">
              <w:rPr>
                <w:noProof/>
                <w:webHidden/>
              </w:rPr>
              <w:fldChar w:fldCharType="separate"/>
            </w:r>
            <w:r w:rsidR="00FB723F">
              <w:rPr>
                <w:noProof/>
                <w:webHidden/>
              </w:rPr>
              <w:t>8</w:t>
            </w:r>
            <w:r w:rsidR="00AF6383" w:rsidRPr="0081529E">
              <w:rPr>
                <w:noProof/>
                <w:webHidden/>
              </w:rPr>
              <w:fldChar w:fldCharType="end"/>
            </w:r>
          </w:hyperlink>
        </w:p>
        <w:p w14:paraId="5B71ED2E" w14:textId="77777777" w:rsidR="00AF6383" w:rsidRPr="00602065" w:rsidRDefault="009B2A9E">
          <w:pPr>
            <w:pStyle w:val="TOC2"/>
            <w:rPr>
              <w:rFonts w:eastAsiaTheme="minorEastAsia"/>
              <w:noProof/>
              <w:color w:val="auto"/>
            </w:rPr>
          </w:pPr>
          <w:hyperlink w:anchor="_Toc493689556" w:history="1">
            <w:r w:rsidR="00AF6383" w:rsidRPr="00602065">
              <w:rPr>
                <w:rStyle w:val="Hyperlink"/>
                <w:noProof/>
              </w:rPr>
              <w:t>A.10. Provisions for Protection of Information</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_Toc493689556 \h </w:instrText>
            </w:r>
            <w:r w:rsidR="00AF6383" w:rsidRPr="0081529E">
              <w:rPr>
                <w:noProof/>
                <w:webHidden/>
              </w:rPr>
            </w:r>
            <w:r w:rsidR="00AF6383" w:rsidRPr="0081529E">
              <w:rPr>
                <w:noProof/>
                <w:webHidden/>
              </w:rPr>
              <w:fldChar w:fldCharType="separate"/>
            </w:r>
            <w:r w:rsidR="00FB723F">
              <w:rPr>
                <w:noProof/>
                <w:webHidden/>
              </w:rPr>
              <w:t>8</w:t>
            </w:r>
            <w:r w:rsidR="00AF6383" w:rsidRPr="0081529E">
              <w:rPr>
                <w:noProof/>
                <w:webHidden/>
              </w:rPr>
              <w:fldChar w:fldCharType="end"/>
            </w:r>
          </w:hyperlink>
        </w:p>
        <w:p w14:paraId="3CA4DFCB" w14:textId="77777777" w:rsidR="00AF6383" w:rsidRPr="00602065" w:rsidRDefault="009B2A9E">
          <w:pPr>
            <w:pStyle w:val="TOC2"/>
            <w:rPr>
              <w:rFonts w:eastAsiaTheme="minorEastAsia"/>
              <w:noProof/>
              <w:color w:val="auto"/>
            </w:rPr>
          </w:pPr>
          <w:hyperlink w:anchor="_Toc493689557" w:history="1">
            <w:r w:rsidR="00AF6383" w:rsidRPr="00602065">
              <w:rPr>
                <w:rStyle w:val="Hyperlink"/>
                <w:noProof/>
              </w:rPr>
              <w:t>A.11. Justification for Sensitive Questions</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_Toc493689557 \h </w:instrText>
            </w:r>
            <w:r w:rsidR="00AF6383" w:rsidRPr="0081529E">
              <w:rPr>
                <w:noProof/>
                <w:webHidden/>
              </w:rPr>
            </w:r>
            <w:r w:rsidR="00AF6383" w:rsidRPr="0081529E">
              <w:rPr>
                <w:noProof/>
                <w:webHidden/>
              </w:rPr>
              <w:fldChar w:fldCharType="separate"/>
            </w:r>
            <w:r w:rsidR="00FB723F">
              <w:rPr>
                <w:noProof/>
                <w:webHidden/>
              </w:rPr>
              <w:t>8</w:t>
            </w:r>
            <w:r w:rsidR="00AF6383" w:rsidRPr="0081529E">
              <w:rPr>
                <w:noProof/>
                <w:webHidden/>
              </w:rPr>
              <w:fldChar w:fldCharType="end"/>
            </w:r>
          </w:hyperlink>
        </w:p>
        <w:p w14:paraId="1C2A3FAC" w14:textId="3BF2F5DA" w:rsidR="00AF6383" w:rsidRPr="00602065" w:rsidRDefault="009B2A9E">
          <w:pPr>
            <w:pStyle w:val="TOC2"/>
            <w:rPr>
              <w:rFonts w:eastAsiaTheme="minorEastAsia"/>
              <w:noProof/>
              <w:color w:val="auto"/>
            </w:rPr>
          </w:pPr>
          <w:hyperlink w:anchor="_Toc493689558" w:history="1">
            <w:r w:rsidR="00AF6383" w:rsidRPr="00602065">
              <w:rPr>
                <w:rStyle w:val="Hyperlink"/>
                <w:noProof/>
              </w:rPr>
              <w:t>A.12. Estimate of Respondent Burden Hours and Cost</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_Toc493689558 \h </w:instrText>
            </w:r>
            <w:r w:rsidR="00AF6383" w:rsidRPr="0081529E">
              <w:rPr>
                <w:noProof/>
                <w:webHidden/>
              </w:rPr>
            </w:r>
            <w:r w:rsidR="00AF6383" w:rsidRPr="0081529E">
              <w:rPr>
                <w:noProof/>
                <w:webHidden/>
              </w:rPr>
              <w:fldChar w:fldCharType="separate"/>
            </w:r>
            <w:r w:rsidR="00FB723F">
              <w:rPr>
                <w:noProof/>
                <w:webHidden/>
              </w:rPr>
              <w:t>8</w:t>
            </w:r>
            <w:r w:rsidR="00AF6383" w:rsidRPr="0081529E">
              <w:rPr>
                <w:noProof/>
                <w:webHidden/>
              </w:rPr>
              <w:fldChar w:fldCharType="end"/>
            </w:r>
          </w:hyperlink>
        </w:p>
        <w:p w14:paraId="1BD9638E" w14:textId="77777777" w:rsidR="00AF6383" w:rsidRPr="00602065" w:rsidRDefault="009B2A9E">
          <w:pPr>
            <w:pStyle w:val="TOC2"/>
            <w:rPr>
              <w:rFonts w:eastAsiaTheme="minorEastAsia"/>
              <w:noProof/>
              <w:color w:val="auto"/>
            </w:rPr>
          </w:pPr>
          <w:hyperlink w:anchor="_Toc493689559" w:history="1">
            <w:r w:rsidR="00AF6383" w:rsidRPr="00602065">
              <w:rPr>
                <w:rStyle w:val="Hyperlink"/>
                <w:noProof/>
              </w:rPr>
              <w:t>A.13. Annual Cost to the Federal Government</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_Toc493689559 \h </w:instrText>
            </w:r>
            <w:r w:rsidR="00AF6383" w:rsidRPr="0081529E">
              <w:rPr>
                <w:noProof/>
                <w:webHidden/>
              </w:rPr>
            </w:r>
            <w:r w:rsidR="00AF6383" w:rsidRPr="0081529E">
              <w:rPr>
                <w:noProof/>
                <w:webHidden/>
              </w:rPr>
              <w:fldChar w:fldCharType="separate"/>
            </w:r>
            <w:r w:rsidR="00FB723F">
              <w:rPr>
                <w:noProof/>
                <w:webHidden/>
              </w:rPr>
              <w:t>9</w:t>
            </w:r>
            <w:r w:rsidR="00AF6383" w:rsidRPr="0081529E">
              <w:rPr>
                <w:noProof/>
                <w:webHidden/>
              </w:rPr>
              <w:fldChar w:fldCharType="end"/>
            </w:r>
          </w:hyperlink>
        </w:p>
        <w:p w14:paraId="7DCD0FA8" w14:textId="77777777" w:rsidR="00AF6383" w:rsidRPr="00602065" w:rsidRDefault="009B2A9E">
          <w:pPr>
            <w:pStyle w:val="TOC2"/>
            <w:rPr>
              <w:rFonts w:eastAsiaTheme="minorEastAsia"/>
              <w:noProof/>
              <w:color w:val="auto"/>
            </w:rPr>
          </w:pPr>
          <w:hyperlink w:anchor="_Toc493689560" w:history="1">
            <w:r w:rsidR="00AF6383" w:rsidRPr="00602065">
              <w:rPr>
                <w:rStyle w:val="Hyperlink"/>
                <w:noProof/>
              </w:rPr>
              <w:t>A.14. Changes in Burden</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_Toc493689560 \h </w:instrText>
            </w:r>
            <w:r w:rsidR="00AF6383" w:rsidRPr="0081529E">
              <w:rPr>
                <w:noProof/>
                <w:webHidden/>
              </w:rPr>
            </w:r>
            <w:r w:rsidR="00AF6383" w:rsidRPr="0081529E">
              <w:rPr>
                <w:noProof/>
                <w:webHidden/>
              </w:rPr>
              <w:fldChar w:fldCharType="separate"/>
            </w:r>
            <w:r w:rsidR="00FB723F">
              <w:rPr>
                <w:noProof/>
                <w:webHidden/>
              </w:rPr>
              <w:t>10</w:t>
            </w:r>
            <w:r w:rsidR="00AF6383" w:rsidRPr="0081529E">
              <w:rPr>
                <w:noProof/>
                <w:webHidden/>
              </w:rPr>
              <w:fldChar w:fldCharType="end"/>
            </w:r>
          </w:hyperlink>
        </w:p>
        <w:p w14:paraId="3EDE8E67" w14:textId="0610EBF7" w:rsidR="00AF6383" w:rsidRPr="00602065" w:rsidRDefault="009B2A9E">
          <w:pPr>
            <w:pStyle w:val="TOC2"/>
            <w:rPr>
              <w:rFonts w:eastAsiaTheme="minorEastAsia"/>
              <w:noProof/>
              <w:color w:val="auto"/>
            </w:rPr>
          </w:pPr>
          <w:hyperlink w:anchor="_Toc493689561" w:history="1">
            <w:r w:rsidR="00AF6383" w:rsidRPr="00602065">
              <w:rPr>
                <w:rStyle w:val="Hyperlink"/>
                <w:noProof/>
              </w:rPr>
              <w:t>A.</w:t>
            </w:r>
            <w:r w:rsidR="00B73867">
              <w:rPr>
                <w:rStyle w:val="Hyperlink"/>
                <w:noProof/>
              </w:rPr>
              <w:t>15</w:t>
            </w:r>
            <w:r w:rsidR="00AF6383" w:rsidRPr="00602065">
              <w:rPr>
                <w:rStyle w:val="Hyperlink"/>
                <w:noProof/>
              </w:rPr>
              <w:t>. Reasons for Changes in Burden</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_Toc493689561 \h </w:instrText>
            </w:r>
            <w:r w:rsidR="00AF6383" w:rsidRPr="0081529E">
              <w:rPr>
                <w:noProof/>
                <w:webHidden/>
              </w:rPr>
            </w:r>
            <w:r w:rsidR="00AF6383" w:rsidRPr="0081529E">
              <w:rPr>
                <w:noProof/>
                <w:webHidden/>
              </w:rPr>
              <w:fldChar w:fldCharType="separate"/>
            </w:r>
            <w:r w:rsidR="00FB723F">
              <w:rPr>
                <w:noProof/>
                <w:webHidden/>
              </w:rPr>
              <w:t>11</w:t>
            </w:r>
            <w:r w:rsidR="00AF6383" w:rsidRPr="0081529E">
              <w:rPr>
                <w:noProof/>
                <w:webHidden/>
              </w:rPr>
              <w:fldChar w:fldCharType="end"/>
            </w:r>
          </w:hyperlink>
        </w:p>
        <w:p w14:paraId="7B09CE52" w14:textId="52392365" w:rsidR="00AF6383" w:rsidRPr="00602065" w:rsidRDefault="009B2A9E">
          <w:pPr>
            <w:pStyle w:val="TOC2"/>
            <w:rPr>
              <w:rFonts w:eastAsiaTheme="minorEastAsia"/>
              <w:noProof/>
              <w:color w:val="auto"/>
            </w:rPr>
          </w:pPr>
          <w:hyperlink w:anchor="_Toc493689562" w:history="1">
            <w:r w:rsidR="00AF6383" w:rsidRPr="00602065">
              <w:rPr>
                <w:rStyle w:val="Hyperlink"/>
                <w:noProof/>
              </w:rPr>
              <w:t>A.16. Collection, Tabulation, and Publication Plans</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_Toc493689562 \h </w:instrText>
            </w:r>
            <w:r w:rsidR="00AF6383" w:rsidRPr="0081529E">
              <w:rPr>
                <w:noProof/>
                <w:webHidden/>
              </w:rPr>
            </w:r>
            <w:r w:rsidR="00AF6383" w:rsidRPr="0081529E">
              <w:rPr>
                <w:noProof/>
                <w:webHidden/>
              </w:rPr>
              <w:fldChar w:fldCharType="separate"/>
            </w:r>
            <w:r w:rsidR="00FB723F">
              <w:rPr>
                <w:noProof/>
                <w:webHidden/>
              </w:rPr>
              <w:t>12</w:t>
            </w:r>
            <w:r w:rsidR="00AF6383" w:rsidRPr="0081529E">
              <w:rPr>
                <w:noProof/>
                <w:webHidden/>
              </w:rPr>
              <w:fldChar w:fldCharType="end"/>
            </w:r>
          </w:hyperlink>
        </w:p>
        <w:p w14:paraId="423D15E0" w14:textId="750FAA29" w:rsidR="00AF6383" w:rsidRPr="00602065" w:rsidRDefault="009B2A9E">
          <w:pPr>
            <w:pStyle w:val="TOC2"/>
            <w:rPr>
              <w:rFonts w:eastAsiaTheme="minorEastAsia"/>
              <w:noProof/>
              <w:color w:val="auto"/>
            </w:rPr>
          </w:pPr>
          <w:hyperlink w:anchor="_Toc493689563" w:history="1">
            <w:r w:rsidR="00AF6383" w:rsidRPr="00602065">
              <w:rPr>
                <w:rStyle w:val="Hyperlink"/>
                <w:noProof/>
              </w:rPr>
              <w:t>A.17. OMB Number and Expiration Date</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_Toc493689563 \h </w:instrText>
            </w:r>
            <w:r w:rsidR="00AF6383" w:rsidRPr="0081529E">
              <w:rPr>
                <w:noProof/>
                <w:webHidden/>
              </w:rPr>
            </w:r>
            <w:r w:rsidR="00AF6383" w:rsidRPr="0081529E">
              <w:rPr>
                <w:noProof/>
                <w:webHidden/>
              </w:rPr>
              <w:fldChar w:fldCharType="separate"/>
            </w:r>
            <w:r w:rsidR="00FB723F">
              <w:rPr>
                <w:noProof/>
                <w:webHidden/>
              </w:rPr>
              <w:t>13</w:t>
            </w:r>
            <w:r w:rsidR="00AF6383" w:rsidRPr="0081529E">
              <w:rPr>
                <w:noProof/>
                <w:webHidden/>
              </w:rPr>
              <w:fldChar w:fldCharType="end"/>
            </w:r>
          </w:hyperlink>
        </w:p>
        <w:p w14:paraId="3C7D1668" w14:textId="77777777" w:rsidR="00AF6383" w:rsidRPr="00602065" w:rsidRDefault="009B2A9E">
          <w:pPr>
            <w:pStyle w:val="TOC2"/>
            <w:rPr>
              <w:rFonts w:eastAsiaTheme="minorEastAsia"/>
              <w:noProof/>
              <w:color w:val="auto"/>
            </w:rPr>
          </w:pPr>
          <w:hyperlink w:anchor="_Toc493689564" w:history="1">
            <w:r w:rsidR="00AF6383" w:rsidRPr="00602065">
              <w:rPr>
                <w:rStyle w:val="Hyperlink"/>
                <w:noProof/>
              </w:rPr>
              <w:t>A.18. Certification Statement</w:t>
            </w:r>
            <w:r w:rsidR="00AF6383" w:rsidRPr="00602065">
              <w:rPr>
                <w:noProof/>
                <w:webHidden/>
              </w:rPr>
              <w:tab/>
            </w:r>
            <w:r w:rsidR="00AF6383" w:rsidRPr="0081529E">
              <w:rPr>
                <w:noProof/>
                <w:webHidden/>
              </w:rPr>
              <w:fldChar w:fldCharType="begin"/>
            </w:r>
            <w:r w:rsidR="00AF6383" w:rsidRPr="00602065">
              <w:rPr>
                <w:noProof/>
                <w:webHidden/>
              </w:rPr>
              <w:instrText xml:space="preserve"> PAGEREF _Toc493689564 \h </w:instrText>
            </w:r>
            <w:r w:rsidR="00AF6383" w:rsidRPr="0081529E">
              <w:rPr>
                <w:noProof/>
                <w:webHidden/>
              </w:rPr>
            </w:r>
            <w:r w:rsidR="00AF6383" w:rsidRPr="0081529E">
              <w:rPr>
                <w:noProof/>
                <w:webHidden/>
              </w:rPr>
              <w:fldChar w:fldCharType="separate"/>
            </w:r>
            <w:r w:rsidR="00FB723F">
              <w:rPr>
                <w:noProof/>
                <w:webHidden/>
              </w:rPr>
              <w:t>13</w:t>
            </w:r>
            <w:r w:rsidR="00AF6383" w:rsidRPr="0081529E">
              <w:rPr>
                <w:noProof/>
                <w:webHidden/>
              </w:rPr>
              <w:fldChar w:fldCharType="end"/>
            </w:r>
          </w:hyperlink>
        </w:p>
        <w:p w14:paraId="4D0E12AF" w14:textId="77777777" w:rsidR="0059212D" w:rsidRPr="00602065" w:rsidRDefault="0059212D">
          <w:r w:rsidRPr="00DD2040">
            <w:rPr>
              <w:b/>
              <w:bCs/>
              <w:noProof/>
            </w:rPr>
            <w:fldChar w:fldCharType="end"/>
          </w:r>
        </w:p>
      </w:sdtContent>
    </w:sdt>
    <w:p w14:paraId="2FEFA7C1" w14:textId="77777777" w:rsidR="001F3A8F" w:rsidRPr="00602065" w:rsidRDefault="001F3A8F" w:rsidP="00D928FD"/>
    <w:p w14:paraId="18036B56" w14:textId="77777777" w:rsidR="00D928FD" w:rsidRPr="00602065" w:rsidRDefault="00D928FD" w:rsidP="00D928FD">
      <w:pPr>
        <w:sectPr w:rsidR="00D928FD" w:rsidRPr="00602065"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14:paraId="56397C03" w14:textId="77777777" w:rsidR="00041909" w:rsidRPr="00602065" w:rsidRDefault="00041909" w:rsidP="00836D62">
      <w:pPr>
        <w:spacing w:line="240" w:lineRule="auto"/>
        <w:sectPr w:rsidR="00041909" w:rsidRPr="00602065"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14:paraId="76575AA6" w14:textId="77777777" w:rsidR="008C734C" w:rsidRPr="00602065" w:rsidRDefault="008C734C" w:rsidP="00844524">
      <w:pPr>
        <w:pStyle w:val="Heading2"/>
      </w:pPr>
      <w:bookmarkStart w:id="3" w:name="_Toc493689545"/>
      <w:bookmarkStart w:id="4" w:name="_Toc466046208"/>
      <w:r w:rsidRPr="00602065">
        <w:t>Introdu</w:t>
      </w:r>
      <w:r w:rsidR="00844524" w:rsidRPr="00602065">
        <w:t>ction</w:t>
      </w:r>
      <w:bookmarkEnd w:id="3"/>
      <w:bookmarkEnd w:id="4"/>
    </w:p>
    <w:p w14:paraId="103D9129" w14:textId="77777777" w:rsidR="00860770" w:rsidRPr="00602065" w:rsidRDefault="00860770" w:rsidP="00860770">
      <w:r w:rsidRPr="00602065">
        <w:t>The U.S. Energy Information Administration (EIA) is the statistical and analytical agency within the U.S. Department of Energy (DOE).</w:t>
      </w:r>
      <w:r w:rsidR="00E610D7" w:rsidRPr="00602065">
        <w:t xml:space="preserve"> </w:t>
      </w:r>
      <w:r w:rsidRPr="00602065">
        <w:t xml:space="preserve">It collects, analyzes, and disseminates independent and impartial energy information to promote sound policymaking, efficient markets, and public understanding regarding energy and its interaction with the economy and the environment. </w:t>
      </w:r>
    </w:p>
    <w:p w14:paraId="4BDE22F3" w14:textId="30993E18" w:rsidR="00904100" w:rsidRPr="00602065" w:rsidRDefault="00904100" w:rsidP="00904100">
      <w:r w:rsidRPr="00602065">
        <w:t>EIA request</w:t>
      </w:r>
      <w:r w:rsidR="00D937D6" w:rsidRPr="00602065">
        <w:t>s</w:t>
      </w:r>
      <w:r w:rsidRPr="00602065">
        <w:t xml:space="preserve"> a three-year extension</w:t>
      </w:r>
      <w:r w:rsidR="009B6A86" w:rsidRPr="00602065">
        <w:t>,</w:t>
      </w:r>
      <w:r w:rsidRPr="00602065">
        <w:t xml:space="preserve"> with </w:t>
      </w:r>
      <w:r w:rsidR="009B6A86" w:rsidRPr="00602065">
        <w:t>change</w:t>
      </w:r>
      <w:r w:rsidRPr="00602065">
        <w:t>s</w:t>
      </w:r>
      <w:r w:rsidR="009B6A86" w:rsidRPr="00602065">
        <w:rPr>
          <w:b/>
        </w:rPr>
        <w:t>,</w:t>
      </w:r>
      <w:r w:rsidRPr="00602065">
        <w:t xml:space="preserve"> from the Office of Management and Budget (OMB) to Form EIA-63C</w:t>
      </w:r>
      <w:r w:rsidR="00D80ECE" w:rsidRPr="00602065">
        <w:t xml:space="preserve"> </w:t>
      </w:r>
      <w:r w:rsidR="00D80ECE" w:rsidRPr="00602065">
        <w:rPr>
          <w:i/>
        </w:rPr>
        <w:t>Densified Biomass Fuel Report</w:t>
      </w:r>
      <w:r w:rsidRPr="00602065">
        <w:t>.</w:t>
      </w:r>
    </w:p>
    <w:p w14:paraId="24F6994E" w14:textId="64F95832" w:rsidR="00860770" w:rsidRPr="00602065" w:rsidRDefault="00860770" w:rsidP="00860770">
      <w:r w:rsidRPr="00602065">
        <w:t xml:space="preserve">Form EIA-63C </w:t>
      </w:r>
      <w:r w:rsidRPr="00602065">
        <w:rPr>
          <w:i/>
        </w:rPr>
        <w:t>Densified Biomass Fuel Report</w:t>
      </w:r>
      <w:r w:rsidRPr="00602065">
        <w:t xml:space="preserve"> is part of EIA’s comprehensive energy data program.</w:t>
      </w:r>
      <w:r w:rsidR="00E610D7" w:rsidRPr="00602065">
        <w:t xml:space="preserve"> </w:t>
      </w:r>
      <w:r w:rsidR="002711D8" w:rsidRPr="00602065">
        <w:t>Th</w:t>
      </w:r>
      <w:r w:rsidR="00CD50EA" w:rsidRPr="00602065">
        <w:t>is</w:t>
      </w:r>
      <w:r w:rsidR="002711D8" w:rsidRPr="00602065">
        <w:t xml:space="preserve"> </w:t>
      </w:r>
      <w:r w:rsidR="000E26B2" w:rsidRPr="00602065">
        <w:t>mandatory</w:t>
      </w:r>
      <w:r w:rsidR="002711D8" w:rsidRPr="00602065">
        <w:t xml:space="preserve"> survey collects information from facilities that manufacture</w:t>
      </w:r>
      <w:r w:rsidR="001424BB" w:rsidRPr="00602065">
        <w:t xml:space="preserve"> densified biomass fuel products in the U.S.</w:t>
      </w:r>
      <w:r w:rsidR="002711D8" w:rsidRPr="00602065">
        <w:t xml:space="preserve"> </w:t>
      </w:r>
      <w:r w:rsidR="001424BB" w:rsidRPr="00602065">
        <w:t xml:space="preserve">Data </w:t>
      </w:r>
      <w:r w:rsidR="00CD50EA" w:rsidRPr="00602065">
        <w:t xml:space="preserve">collected </w:t>
      </w:r>
      <w:r w:rsidR="001424BB" w:rsidRPr="00602065">
        <w:t xml:space="preserve">include </w:t>
      </w:r>
      <w:r w:rsidR="0003106B" w:rsidRPr="00602065">
        <w:t xml:space="preserve">product </w:t>
      </w:r>
      <w:r w:rsidR="002711D8" w:rsidRPr="00602065">
        <w:t>characteristics</w:t>
      </w:r>
      <w:r w:rsidR="001424BB" w:rsidRPr="00602065">
        <w:t>, domestic and export sales</w:t>
      </w:r>
      <w:r w:rsidR="0003106B" w:rsidRPr="00602065">
        <w:t>,</w:t>
      </w:r>
      <w:r w:rsidR="001424BB" w:rsidRPr="00602065">
        <w:t xml:space="preserve"> and average price of densified biomass fuel products </w:t>
      </w:r>
      <w:r w:rsidR="002711D8" w:rsidRPr="00602065">
        <w:t xml:space="preserve">used for energy applications. The </w:t>
      </w:r>
      <w:r w:rsidR="00CD50EA" w:rsidRPr="00602065">
        <w:t>information</w:t>
      </w:r>
      <w:r w:rsidR="002711D8" w:rsidRPr="00602065">
        <w:t xml:space="preserve"> collected is </w:t>
      </w:r>
      <w:r w:rsidR="00D937D6" w:rsidRPr="00602065">
        <w:t>the</w:t>
      </w:r>
      <w:r w:rsidR="002711D8" w:rsidRPr="00602065">
        <w:t xml:space="preserve"> primary national source o</w:t>
      </w:r>
      <w:r w:rsidR="00CD50EA" w:rsidRPr="00602065">
        <w:t>n</w:t>
      </w:r>
      <w:r w:rsidR="002711D8" w:rsidRPr="00602065">
        <w:t xml:space="preserve"> the nation’s production of biomass </w:t>
      </w:r>
      <w:r w:rsidR="0003106B" w:rsidRPr="00602065">
        <w:t xml:space="preserve">fuel </w:t>
      </w:r>
      <w:r w:rsidR="002711D8" w:rsidRPr="00602065">
        <w:t xml:space="preserve">for heating and electric power generation </w:t>
      </w:r>
      <w:r w:rsidR="0003106B" w:rsidRPr="00602065">
        <w:t>in</w:t>
      </w:r>
      <w:r w:rsidR="002711D8" w:rsidRPr="00602065">
        <w:t xml:space="preserve"> domestic and export markets.</w:t>
      </w:r>
    </w:p>
    <w:p w14:paraId="75C86463" w14:textId="238B0628" w:rsidR="00B34656" w:rsidRPr="00602065" w:rsidRDefault="008F0984" w:rsidP="006E431A">
      <w:pPr>
        <w:pStyle w:val="Heading2"/>
      </w:pPr>
      <w:bookmarkStart w:id="5" w:name="_Toc493689546"/>
      <w:r w:rsidRPr="00602065">
        <w:t>Revisions</w:t>
      </w:r>
      <w:bookmarkEnd w:id="5"/>
    </w:p>
    <w:p w14:paraId="23C03269" w14:textId="7D548921" w:rsidR="00154106" w:rsidRPr="00602065" w:rsidRDefault="00154106" w:rsidP="00154106">
      <w:r w:rsidRPr="00602065">
        <w:t xml:space="preserve">Consultations with respondents </w:t>
      </w:r>
      <w:r w:rsidR="00D90752" w:rsidRPr="00602065">
        <w:t>during</w:t>
      </w:r>
      <w:r w:rsidRPr="00602065">
        <w:t xml:space="preserve"> the first year of </w:t>
      </w:r>
      <w:r w:rsidR="000E26B2" w:rsidRPr="00602065">
        <w:t xml:space="preserve">data </w:t>
      </w:r>
      <w:r w:rsidRPr="00602065">
        <w:t xml:space="preserve">collection identified questions that were either confusing or difficult </w:t>
      </w:r>
      <w:r w:rsidR="000E26B2" w:rsidRPr="00602065">
        <w:t xml:space="preserve">for respondents </w:t>
      </w:r>
      <w:r w:rsidRPr="00602065">
        <w:t>to answer.</w:t>
      </w:r>
      <w:r w:rsidR="00E610D7" w:rsidRPr="00602065">
        <w:t xml:space="preserve"> </w:t>
      </w:r>
      <w:r w:rsidRPr="00602065">
        <w:t xml:space="preserve">Other questions </w:t>
      </w:r>
      <w:r w:rsidR="002711D8" w:rsidRPr="00602065">
        <w:t>had</w:t>
      </w:r>
      <w:r w:rsidRPr="00602065">
        <w:t xml:space="preserve"> too few responses to allow </w:t>
      </w:r>
      <w:r w:rsidR="00767F9D" w:rsidRPr="00602065">
        <w:t xml:space="preserve">for </w:t>
      </w:r>
      <w:r w:rsidRPr="00602065">
        <w:t>publication without disclos</w:t>
      </w:r>
      <w:r w:rsidR="00D937D6" w:rsidRPr="00602065">
        <w:t>ing</w:t>
      </w:r>
      <w:r w:rsidR="00767F9D" w:rsidRPr="00602065">
        <w:t xml:space="preserve"> identifiable </w:t>
      </w:r>
      <w:r w:rsidRPr="00602065">
        <w:t xml:space="preserve">company </w:t>
      </w:r>
      <w:r w:rsidR="00D937D6" w:rsidRPr="00602065">
        <w:t>information</w:t>
      </w:r>
      <w:r w:rsidRPr="00602065">
        <w:t>.</w:t>
      </w:r>
      <w:r w:rsidR="00E610D7" w:rsidRPr="00602065">
        <w:t xml:space="preserve"> </w:t>
      </w:r>
      <w:r w:rsidR="00D90752" w:rsidRPr="00602065">
        <w:t>In a</w:t>
      </w:r>
      <w:r w:rsidR="008252A4" w:rsidRPr="00602065">
        <w:t xml:space="preserve"> Federal Register Notice, 82 FR 48808,</w:t>
      </w:r>
      <w:r w:rsidR="008252A4" w:rsidRPr="00602065">
        <w:rPr>
          <w:color w:val="FF0000"/>
        </w:rPr>
        <w:t xml:space="preserve"> </w:t>
      </w:r>
      <w:r w:rsidR="008252A4" w:rsidRPr="00602065">
        <w:t>published on October 20, 2017</w:t>
      </w:r>
      <w:r w:rsidR="00D90752" w:rsidRPr="00602065">
        <w:t xml:space="preserve">, the U.S. Energy Information Administration (EIA) proposed changes to Form EIA-63C.  </w:t>
      </w:r>
      <w:r w:rsidR="00D937D6" w:rsidRPr="00602065">
        <w:t xml:space="preserve">As a result, </w:t>
      </w:r>
      <w:r w:rsidRPr="00602065">
        <w:t xml:space="preserve">EIA </w:t>
      </w:r>
      <w:r w:rsidR="009B6A86" w:rsidRPr="00602065">
        <w:t>is</w:t>
      </w:r>
      <w:r w:rsidR="00594417" w:rsidRPr="00602065">
        <w:t xml:space="preserve"> removing</w:t>
      </w:r>
      <w:r w:rsidRPr="00602065">
        <w:t xml:space="preserve"> </w:t>
      </w:r>
      <w:r w:rsidR="008F0984" w:rsidRPr="00602065">
        <w:t>s</w:t>
      </w:r>
      <w:r w:rsidR="0004294D" w:rsidRPr="00602065">
        <w:t>ix</w:t>
      </w:r>
      <w:r w:rsidR="008F0984" w:rsidRPr="00602065">
        <w:t xml:space="preserve"> </w:t>
      </w:r>
      <w:r w:rsidRPr="00602065">
        <w:t>questions:</w:t>
      </w:r>
    </w:p>
    <w:p w14:paraId="1F5AB725" w14:textId="77777777" w:rsidR="00F041DD" w:rsidRPr="00602065" w:rsidRDefault="00F041DD" w:rsidP="00F041DD">
      <w:r w:rsidRPr="00602065">
        <w:t>Part 2. Question 2.2 Operational month</w:t>
      </w:r>
    </w:p>
    <w:p w14:paraId="7630C77A" w14:textId="77777777" w:rsidR="00F041DD" w:rsidRPr="00602065" w:rsidRDefault="00F041DD" w:rsidP="00F041DD">
      <w:r w:rsidRPr="00602065">
        <w:t>Part 2 Question 2.4 Current horsepower</w:t>
      </w:r>
    </w:p>
    <w:p w14:paraId="6076E3AB" w14:textId="18D6B574" w:rsidR="00F041DD" w:rsidRPr="00602065" w:rsidRDefault="00F041DD" w:rsidP="00F041DD">
      <w:r w:rsidRPr="00602065">
        <w:t>Part 2. Question 2.</w:t>
      </w:r>
      <w:r w:rsidR="00594417" w:rsidRPr="00602065">
        <w:t xml:space="preserve">6 </w:t>
      </w:r>
      <w:r w:rsidRPr="00602065">
        <w:t xml:space="preserve">Planned capacity </w:t>
      </w:r>
    </w:p>
    <w:p w14:paraId="4C0909C3" w14:textId="7FFBDD22" w:rsidR="00F041DD" w:rsidRPr="00602065" w:rsidRDefault="00F041DD" w:rsidP="00F041DD">
      <w:r w:rsidRPr="00602065">
        <w:t>Part 2. Question 2.</w:t>
      </w:r>
      <w:r w:rsidR="00594417" w:rsidRPr="00602065">
        <w:t xml:space="preserve">7 </w:t>
      </w:r>
      <w:r w:rsidRPr="00602065">
        <w:t>Planned horsepower</w:t>
      </w:r>
    </w:p>
    <w:p w14:paraId="11C8543C" w14:textId="77777777" w:rsidR="00F041DD" w:rsidRPr="00602065" w:rsidRDefault="00F041DD" w:rsidP="00F041DD">
      <w:r w:rsidRPr="00602065">
        <w:t>Part 3. Question 3.2 Feedstock utilization</w:t>
      </w:r>
    </w:p>
    <w:p w14:paraId="4D5445D5" w14:textId="77777777" w:rsidR="00F041DD" w:rsidRPr="00602065" w:rsidRDefault="00F041DD" w:rsidP="00F041DD">
      <w:r w:rsidRPr="00602065">
        <w:t>Part 4. Question 4.2,</w:t>
      </w:r>
      <w:r w:rsidR="00B8062F" w:rsidRPr="00602065">
        <w:t xml:space="preserve"> </w:t>
      </w:r>
      <w:r w:rsidR="0003106B" w:rsidRPr="00602065">
        <w:t xml:space="preserve">Delete </w:t>
      </w:r>
      <w:r w:rsidR="00B8062F" w:rsidRPr="00602065">
        <w:t>the column for reporting “</w:t>
      </w:r>
      <w:r w:rsidRPr="00602065">
        <w:t xml:space="preserve">Export </w:t>
      </w:r>
      <w:r w:rsidR="00B8062F" w:rsidRPr="00602065">
        <w:t>P</w:t>
      </w:r>
      <w:r w:rsidRPr="00602065">
        <w:t>ort</w:t>
      </w:r>
      <w:r w:rsidR="00B8062F" w:rsidRPr="00602065">
        <w:t>”</w:t>
      </w:r>
      <w:r w:rsidRPr="00602065">
        <w:t xml:space="preserve"> (not other parts of Q. 4.2)</w:t>
      </w:r>
    </w:p>
    <w:p w14:paraId="3E5376FB" w14:textId="3435756E" w:rsidR="005376C0" w:rsidRPr="00602065" w:rsidRDefault="005376C0" w:rsidP="005376C0">
      <w:r w:rsidRPr="00602065">
        <w:t xml:space="preserve">EIA is also </w:t>
      </w:r>
      <w:r w:rsidR="00594417" w:rsidRPr="00602065">
        <w:t>deleting</w:t>
      </w:r>
      <w:r w:rsidRPr="00602065">
        <w:t xml:space="preserve"> the </w:t>
      </w:r>
      <w:r w:rsidR="00D75E76" w:rsidRPr="00602065">
        <w:t>requirement to report quantity</w:t>
      </w:r>
      <w:r w:rsidR="00002C65" w:rsidRPr="00602065">
        <w:t>, characteristics, inventory,</w:t>
      </w:r>
      <w:r w:rsidR="00D75E76" w:rsidRPr="00602065">
        <w:t xml:space="preserve"> and revenue data on </w:t>
      </w:r>
      <w:r w:rsidRPr="00602065">
        <w:t>compressed fuel logs, bricks</w:t>
      </w:r>
      <w:r w:rsidR="00767F9D" w:rsidRPr="00602065">
        <w:t>,</w:t>
      </w:r>
      <w:r w:rsidRPr="00602065">
        <w:t xml:space="preserve"> and briquettes from Questions 3.3</w:t>
      </w:r>
      <w:r w:rsidR="00002C65" w:rsidRPr="00602065">
        <w:t>, 3.4</w:t>
      </w:r>
      <w:r w:rsidR="00D75E76" w:rsidRPr="00602065">
        <w:t xml:space="preserve"> and</w:t>
      </w:r>
      <w:r w:rsidRPr="00602065">
        <w:t xml:space="preserve"> 4.1.</w:t>
      </w:r>
      <w:r w:rsidR="009B6A86" w:rsidRPr="00602065">
        <w:t xml:space="preserve"> Due to the small size of this sector in the densified biomass industry, it is not feasible to consistently publish quality data.</w:t>
      </w:r>
    </w:p>
    <w:p w14:paraId="3507D386" w14:textId="63D29858" w:rsidR="00844524" w:rsidRPr="00602065" w:rsidRDefault="005376C0" w:rsidP="00844524">
      <w:r w:rsidRPr="00602065">
        <w:t xml:space="preserve">Finally, </w:t>
      </w:r>
      <w:r w:rsidR="00AC13A8" w:rsidRPr="00602065">
        <w:t>EIA is chang</w:t>
      </w:r>
      <w:r w:rsidR="009B6A86" w:rsidRPr="00602065">
        <w:t>ing</w:t>
      </w:r>
      <w:r w:rsidR="00AC13A8" w:rsidRPr="00602065">
        <w:t xml:space="preserve"> the due date for the annual respondents (small</w:t>
      </w:r>
      <w:r w:rsidR="0003106B" w:rsidRPr="00602065">
        <w:t xml:space="preserve"> facilities producing less than </w:t>
      </w:r>
      <w:r w:rsidR="002C235F" w:rsidRPr="00602065">
        <w:t>10,000 tons</w:t>
      </w:r>
      <w:r w:rsidR="0003106B" w:rsidRPr="00602065">
        <w:t xml:space="preserve"> annually</w:t>
      </w:r>
      <w:r w:rsidR="002C235F" w:rsidRPr="00602065">
        <w:t>,</w:t>
      </w:r>
      <w:r w:rsidR="00AC13A8" w:rsidRPr="00602065">
        <w:t xml:space="preserve"> </w:t>
      </w:r>
      <w:r w:rsidR="0003106B" w:rsidRPr="00602065">
        <w:t xml:space="preserve">and </w:t>
      </w:r>
      <w:r w:rsidR="00AC13A8" w:rsidRPr="00602065">
        <w:t>planned facilities) from February 1 to June 1 to coincide with the industry’s off-season and ease the burden on small respondents during their busiest time of the year.</w:t>
      </w:r>
    </w:p>
    <w:p w14:paraId="084A78AD" w14:textId="77777777" w:rsidR="00CC3B08" w:rsidRPr="00602065" w:rsidRDefault="00CC3B08">
      <w:pPr>
        <w:spacing w:line="240" w:lineRule="auto"/>
      </w:pPr>
      <w:bookmarkStart w:id="6" w:name="_Toc466046209"/>
      <w:r w:rsidRPr="00602065">
        <w:br w:type="page"/>
      </w:r>
    </w:p>
    <w:p w14:paraId="2C0432C8" w14:textId="77777777" w:rsidR="008C734C" w:rsidRPr="00602065" w:rsidRDefault="008C734C" w:rsidP="00602065">
      <w:pPr>
        <w:pStyle w:val="Heading2"/>
      </w:pPr>
      <w:bookmarkStart w:id="7" w:name="_Toc493689547"/>
      <w:r w:rsidRPr="00602065">
        <w:t>A.1. Legal Justification</w:t>
      </w:r>
      <w:bookmarkEnd w:id="6"/>
      <w:bookmarkEnd w:id="7"/>
    </w:p>
    <w:p w14:paraId="381CE365" w14:textId="77777777" w:rsidR="00CC3B08" w:rsidRPr="00602065" w:rsidRDefault="00CC3B08" w:rsidP="00CC3B08">
      <w:pPr>
        <w:ind w:left="360" w:hanging="360"/>
      </w:pPr>
      <w:r w:rsidRPr="00602065">
        <w:t>The authority for this mandatory data collection is provided by the following provisions:</w:t>
      </w:r>
    </w:p>
    <w:p w14:paraId="474C7122" w14:textId="1A4ECFD3" w:rsidR="00CC3B08" w:rsidRPr="00602065" w:rsidRDefault="00B73867" w:rsidP="00A9214E">
      <w:pPr>
        <w:pStyle w:val="ListParagraph"/>
        <w:numPr>
          <w:ilvl w:val="0"/>
          <w:numId w:val="9"/>
        </w:numPr>
      </w:pPr>
      <w:r>
        <w:t>15</w:t>
      </w:r>
      <w:r w:rsidR="00CC3B08" w:rsidRPr="00602065">
        <w:t xml:space="preserve"> U.S.C. </w:t>
      </w:r>
      <w:r w:rsidR="00850FA2" w:rsidRPr="00602065">
        <w:t>§</w:t>
      </w:r>
      <w:r w:rsidR="00CC3B08" w:rsidRPr="00602065">
        <w:t>772(b) states:</w:t>
      </w:r>
    </w:p>
    <w:p w14:paraId="53D16E27" w14:textId="074BD753" w:rsidR="00B67FEC" w:rsidRPr="00602065" w:rsidRDefault="00CC3B08" w:rsidP="00A9214E">
      <w:pPr>
        <w:pStyle w:val="ListParagraph"/>
        <w:numPr>
          <w:ilvl w:val="1"/>
          <w:numId w:val="9"/>
        </w:numPr>
      </w:pPr>
      <w:r w:rsidRPr="00602065">
        <w:t>"All persons owning or operating facilities or business premises who are engaged in any phase of energy supply or major energy consumption shall make available to the Administrator such information and periodic reports, records, documents, and other data, relating to the purposes of this Act, including full identification of all data and projections as to source, time and methodology of development; as the Administrator may prescribe by regulation or order as necessary or appropriate for the proper exercise of functions under this chapter."</w:t>
      </w:r>
    </w:p>
    <w:p w14:paraId="03903857" w14:textId="77777777" w:rsidR="005F11D0" w:rsidRPr="00602065" w:rsidRDefault="005F11D0" w:rsidP="0025302F">
      <w:pPr>
        <w:ind w:left="1440"/>
      </w:pPr>
    </w:p>
    <w:p w14:paraId="247BB6C5" w14:textId="5C8796BC" w:rsidR="00CC3B08" w:rsidRPr="00602065" w:rsidRDefault="00B73867" w:rsidP="00A9214E">
      <w:pPr>
        <w:pStyle w:val="ListParagraph"/>
        <w:numPr>
          <w:ilvl w:val="0"/>
          <w:numId w:val="9"/>
        </w:numPr>
      </w:pPr>
      <w:r>
        <w:t>15</w:t>
      </w:r>
      <w:r w:rsidR="00CC3B08" w:rsidRPr="00602065">
        <w:t xml:space="preserve"> U.S.C. </w:t>
      </w:r>
      <w:r w:rsidR="00850FA2" w:rsidRPr="00602065">
        <w:t>§</w:t>
      </w:r>
      <w:r w:rsidR="00CC3B08" w:rsidRPr="00602065">
        <w:t>764(b) states that to the extent authorized by subsection (a), the Administrator shall:</w:t>
      </w:r>
    </w:p>
    <w:p w14:paraId="391F6CEC" w14:textId="77777777" w:rsidR="00CC3B08" w:rsidRPr="00602065" w:rsidRDefault="00CC3B08" w:rsidP="00A9214E">
      <w:pPr>
        <w:pStyle w:val="ListParagraph"/>
        <w:numPr>
          <w:ilvl w:val="1"/>
          <w:numId w:val="9"/>
        </w:numPr>
      </w:pPr>
      <w:r w:rsidRPr="00602065">
        <w:t>(1) 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relating to energy resource management;</w:t>
      </w:r>
    </w:p>
    <w:p w14:paraId="05A26CE9" w14:textId="77777777" w:rsidR="00CC3B08" w:rsidRPr="00602065" w:rsidRDefault="00CC3B08" w:rsidP="00A9214E">
      <w:pPr>
        <w:pStyle w:val="ListParagraph"/>
        <w:numPr>
          <w:ilvl w:val="1"/>
          <w:numId w:val="9"/>
        </w:numPr>
      </w:pPr>
      <w:r w:rsidRPr="00602065">
        <w:t>(2) assess the adequacy of energy resources to meet demands in the immediate and longer range future for all sectors of the economy and for the general public;</w:t>
      </w:r>
    </w:p>
    <w:p w14:paraId="4338CB96" w14:textId="77777777" w:rsidR="00CC3B08" w:rsidRPr="00602065" w:rsidRDefault="00CC3B08" w:rsidP="00A9214E">
      <w:pPr>
        <w:pStyle w:val="ListParagraph"/>
        <w:numPr>
          <w:ilvl w:val="1"/>
          <w:numId w:val="9"/>
        </w:numPr>
      </w:pPr>
      <w:r w:rsidRPr="00602065">
        <w:t>(3) develop effective arrangements for the participation of State and local governments in the resolution of energy problems;</w:t>
      </w:r>
    </w:p>
    <w:p w14:paraId="74E70205" w14:textId="77777777" w:rsidR="00CC3B08" w:rsidRPr="00602065" w:rsidRDefault="00CC3B08" w:rsidP="00A9214E">
      <w:pPr>
        <w:pStyle w:val="ListParagraph"/>
        <w:numPr>
          <w:ilvl w:val="1"/>
          <w:numId w:val="9"/>
        </w:numPr>
      </w:pPr>
      <w:r w:rsidRPr="00602065">
        <w:t>(4) develop plans and programs for dealing with energy production shortages; …</w:t>
      </w:r>
    </w:p>
    <w:p w14:paraId="5D45736C" w14:textId="77777777" w:rsidR="00CC3B08" w:rsidRPr="00602065" w:rsidRDefault="00CC3B08" w:rsidP="00A9214E">
      <w:pPr>
        <w:pStyle w:val="ListParagraph"/>
        <w:numPr>
          <w:ilvl w:val="1"/>
          <w:numId w:val="9"/>
        </w:numPr>
      </w:pPr>
      <w:r w:rsidRPr="00602065">
        <w:t>(5) promote stability in energy prices to the consumer, promote free and open competition in all aspects of the energy field, prevent unreasonable profits within the various segments of the energy industry, and promote free enterprise;</w:t>
      </w:r>
    </w:p>
    <w:p w14:paraId="4C69EEF2" w14:textId="77777777" w:rsidR="00CC3B08" w:rsidRPr="00602065" w:rsidRDefault="00CC3B08" w:rsidP="00A9214E">
      <w:pPr>
        <w:pStyle w:val="ListParagraph"/>
        <w:numPr>
          <w:ilvl w:val="1"/>
          <w:numId w:val="9"/>
        </w:numPr>
      </w:pPr>
      <w:r w:rsidRPr="00602065">
        <w:t>(6) assure that energy programs are designed and implemented in a fair and efficient manner so as to minimize hardship and inequity while assuring that the priority needs of the Nation are met;</w:t>
      </w:r>
    </w:p>
    <w:p w14:paraId="1700854B" w14:textId="77777777" w:rsidR="00CC3B08" w:rsidRPr="00602065" w:rsidRDefault="00CC3B08" w:rsidP="00A9214E">
      <w:pPr>
        <w:pStyle w:val="ListParagraph"/>
        <w:numPr>
          <w:ilvl w:val="1"/>
          <w:numId w:val="9"/>
        </w:numPr>
      </w:pPr>
      <w:r w:rsidRPr="00602065">
        <w:t xml:space="preserve">(9) collect, evaluate, assemble, and analyze energy information on reserves, production, demand, and related economic data; </w:t>
      </w:r>
    </w:p>
    <w:p w14:paraId="31473783" w14:textId="271798AA" w:rsidR="00B67FEC" w:rsidRPr="00602065" w:rsidRDefault="00CC3B08" w:rsidP="00A9214E">
      <w:pPr>
        <w:pStyle w:val="ListParagraph"/>
        <w:numPr>
          <w:ilvl w:val="1"/>
          <w:numId w:val="9"/>
        </w:numPr>
      </w:pPr>
      <w:r w:rsidRPr="00602065">
        <w:t>(12) perform such other functions as may be prescribed by law."</w:t>
      </w:r>
    </w:p>
    <w:p w14:paraId="4F48695B" w14:textId="77777777" w:rsidR="005F11D0" w:rsidRPr="00602065" w:rsidRDefault="005F11D0" w:rsidP="0025302F">
      <w:pPr>
        <w:ind w:left="1440"/>
      </w:pPr>
    </w:p>
    <w:p w14:paraId="14296F3D" w14:textId="58AE9644" w:rsidR="00CC3B08" w:rsidRPr="00602065" w:rsidRDefault="00CC3B08" w:rsidP="00A9214E">
      <w:pPr>
        <w:pStyle w:val="ListParagraph"/>
        <w:numPr>
          <w:ilvl w:val="0"/>
          <w:numId w:val="9"/>
        </w:numPr>
      </w:pPr>
      <w:r w:rsidRPr="00602065">
        <w:t xml:space="preserve">As the authority for invoking subsection (b), above, </w:t>
      </w:r>
      <w:r w:rsidR="00B73867">
        <w:t>15</w:t>
      </w:r>
      <w:r w:rsidRPr="00602065">
        <w:t xml:space="preserve"> U.S.C. </w:t>
      </w:r>
      <w:r w:rsidR="00850FA2" w:rsidRPr="00602065">
        <w:t>§</w:t>
      </w:r>
      <w:r w:rsidRPr="00602065">
        <w:t>764(a) states:</w:t>
      </w:r>
    </w:p>
    <w:p w14:paraId="149D380D" w14:textId="77777777" w:rsidR="00CC3B08" w:rsidRPr="00602065" w:rsidRDefault="00CC3B08" w:rsidP="00A9214E">
      <w:pPr>
        <w:pStyle w:val="ListParagraph"/>
        <w:numPr>
          <w:ilvl w:val="1"/>
          <w:numId w:val="9"/>
        </w:numPr>
      </w:pPr>
      <w:r w:rsidRPr="00602065">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14:paraId="6E7C09BC" w14:textId="77777777" w:rsidR="00CC3B08" w:rsidRPr="00602065" w:rsidRDefault="00CC3B08" w:rsidP="00A9214E">
      <w:pPr>
        <w:pStyle w:val="ListParagraph"/>
        <w:numPr>
          <w:ilvl w:val="2"/>
          <w:numId w:val="9"/>
        </w:numPr>
      </w:pPr>
      <w:r w:rsidRPr="00602065">
        <w:t>(1) specifically transferred to or vested in him by or pursuant to this chapter;</w:t>
      </w:r>
    </w:p>
    <w:p w14:paraId="278E6849" w14:textId="77777777" w:rsidR="00CC3B08" w:rsidRPr="00602065" w:rsidRDefault="00CC3B08" w:rsidP="00A9214E">
      <w:pPr>
        <w:pStyle w:val="ListParagraph"/>
        <w:numPr>
          <w:ilvl w:val="2"/>
          <w:numId w:val="9"/>
        </w:numPr>
      </w:pPr>
      <w:r w:rsidRPr="00602065">
        <w:t>(3) otherwise specifically vested in the Administrator by the Congress."</w:t>
      </w:r>
    </w:p>
    <w:p w14:paraId="1D437D15" w14:textId="77777777" w:rsidR="00B67FEC" w:rsidRPr="00602065" w:rsidRDefault="00B67FEC" w:rsidP="00F211F2">
      <w:pPr>
        <w:ind w:left="2160"/>
      </w:pPr>
    </w:p>
    <w:p w14:paraId="412249D3" w14:textId="3CC7A517" w:rsidR="00CC3B08" w:rsidRPr="00602065" w:rsidRDefault="00CC3B08" w:rsidP="00A9214E">
      <w:pPr>
        <w:pStyle w:val="ListParagraph"/>
        <w:numPr>
          <w:ilvl w:val="0"/>
          <w:numId w:val="9"/>
        </w:numPr>
      </w:pPr>
      <w:r w:rsidRPr="00602065">
        <w:t>Additional authority for this information collection is provided by 15</w:t>
      </w:r>
      <w:r w:rsidR="00B73867">
        <w:t xml:space="preserve"> </w:t>
      </w:r>
      <w:r w:rsidRPr="00602065">
        <w:t xml:space="preserve">U.S.C. </w:t>
      </w:r>
      <w:r w:rsidR="00850FA2" w:rsidRPr="00602065">
        <w:t>§</w:t>
      </w:r>
      <w:r w:rsidRPr="00602065">
        <w:t>790(a) which states;</w:t>
      </w:r>
    </w:p>
    <w:p w14:paraId="5B76EA29" w14:textId="77777777" w:rsidR="00CC3B08" w:rsidRPr="00602065" w:rsidRDefault="00CC3B08" w:rsidP="00A9214E">
      <w:pPr>
        <w:pStyle w:val="ListParagraph"/>
        <w:numPr>
          <w:ilvl w:val="1"/>
          <w:numId w:val="9"/>
        </w:numPr>
      </w:pPr>
      <w:r w:rsidRPr="00602065">
        <w:t>“It shal</w:t>
      </w:r>
      <w:r w:rsidR="0017139C" w:rsidRPr="00602065">
        <w:t>l</w:t>
      </w:r>
      <w:r w:rsidRPr="00602065">
        <w:t xml:space="preserve"> be the duty of the Director to establish a National Energy Information System… [which] shall contain such information as is required to provide a description of and facilitate analysis of energy supply and consumption within and affecting the United States on the basis of such geographic areas and economic sectors as may be appropriate… to meet adequately the needs of…”</w:t>
      </w:r>
    </w:p>
    <w:p w14:paraId="7C01FDCF" w14:textId="77777777" w:rsidR="00CC3B08" w:rsidRPr="00602065" w:rsidRDefault="00CC3B08" w:rsidP="00A9214E">
      <w:pPr>
        <w:pStyle w:val="ListParagraph"/>
        <w:numPr>
          <w:ilvl w:val="2"/>
          <w:numId w:val="9"/>
        </w:numPr>
      </w:pPr>
      <w:r w:rsidRPr="00602065">
        <w:t>(1) the Department of Energy in carrying out its lawful functions;</w:t>
      </w:r>
    </w:p>
    <w:p w14:paraId="7372E302" w14:textId="77777777" w:rsidR="00CC3B08" w:rsidRPr="00602065" w:rsidRDefault="00CC3B08" w:rsidP="00A9214E">
      <w:pPr>
        <w:pStyle w:val="ListParagraph"/>
        <w:numPr>
          <w:ilvl w:val="2"/>
          <w:numId w:val="9"/>
        </w:numPr>
      </w:pPr>
      <w:r w:rsidRPr="00602065">
        <w:t>(2) the Congress;</w:t>
      </w:r>
    </w:p>
    <w:p w14:paraId="197BCAD3" w14:textId="77777777" w:rsidR="00CC3B08" w:rsidRPr="00602065" w:rsidRDefault="00CC3B08" w:rsidP="00A9214E">
      <w:pPr>
        <w:pStyle w:val="ListParagraph"/>
        <w:numPr>
          <w:ilvl w:val="2"/>
          <w:numId w:val="9"/>
        </w:numPr>
      </w:pPr>
      <w:r w:rsidRPr="00602065">
        <w:t>(3) other officers and employees of the United States in whom have been vested, or to whom have been delegated energy-related policy decision-making responsibilities;</w:t>
      </w:r>
    </w:p>
    <w:p w14:paraId="3D20C74F" w14:textId="3BD70285" w:rsidR="00CC3B08" w:rsidRPr="00602065" w:rsidRDefault="00CC3B08" w:rsidP="00A9214E">
      <w:pPr>
        <w:pStyle w:val="ListParagraph"/>
        <w:numPr>
          <w:ilvl w:val="2"/>
          <w:numId w:val="9"/>
        </w:numPr>
      </w:pPr>
      <w:r w:rsidRPr="00602065">
        <w:t xml:space="preserve">(4) the States to the extent required by the Natural Gas Act [15 U.S.C. </w:t>
      </w:r>
      <w:r w:rsidR="00850FA2" w:rsidRPr="00602065">
        <w:t>§</w:t>
      </w:r>
      <w:r w:rsidRPr="00602065">
        <w:t xml:space="preserve">717 et seq.] and the Federal Power Act [16 U.S.C. </w:t>
      </w:r>
      <w:r w:rsidR="00850FA2" w:rsidRPr="00602065">
        <w:t>§</w:t>
      </w:r>
      <w:r w:rsidRPr="00602065">
        <w:t>791a et seq.].</w:t>
      </w:r>
    </w:p>
    <w:p w14:paraId="2D8B068E" w14:textId="77777777" w:rsidR="00CC3B08" w:rsidRPr="00602065" w:rsidRDefault="00CC3B08" w:rsidP="00A9214E">
      <w:pPr>
        <w:pStyle w:val="ListParagraph"/>
        <w:numPr>
          <w:ilvl w:val="1"/>
          <w:numId w:val="9"/>
        </w:numPr>
      </w:pPr>
      <w:r w:rsidRPr="00602065">
        <w:t>"At a minimum, the System shall contain such energy information as is necessary to carry out the Administration's statistical and forecasting activities, and shall include… such energy information as is required to define and permit analysis of;</w:t>
      </w:r>
    </w:p>
    <w:p w14:paraId="49873BCB" w14:textId="77777777" w:rsidR="00CC3B08" w:rsidRPr="00602065" w:rsidRDefault="00CC3B08" w:rsidP="00A9214E">
      <w:pPr>
        <w:pStyle w:val="ListParagraph"/>
        <w:numPr>
          <w:ilvl w:val="2"/>
          <w:numId w:val="9"/>
        </w:numPr>
      </w:pPr>
      <w:r w:rsidRPr="00602065">
        <w:t>(1) the institutional structure of the energy supply system including patterns of ownership and control of mineral fuel and non-mineral energy resources and the production, distribution, and marketing of mineral fuels and electricity;</w:t>
      </w:r>
    </w:p>
    <w:p w14:paraId="640DBC27" w14:textId="77777777" w:rsidR="00CC3B08" w:rsidRPr="00602065" w:rsidRDefault="00CC3B08" w:rsidP="00A9214E">
      <w:pPr>
        <w:pStyle w:val="ListParagraph"/>
        <w:numPr>
          <w:ilvl w:val="2"/>
          <w:numId w:val="9"/>
        </w:numPr>
      </w:pPr>
      <w:r w:rsidRPr="00602065">
        <w:t>(2) the consumption of mineral fuels, non-mineral energy resources, and electricity by such classes, sectors, and regions as may be appropriate for the purposes of this chapter;</w:t>
      </w:r>
    </w:p>
    <w:p w14:paraId="7DF80319" w14:textId="77777777" w:rsidR="00CC3B08" w:rsidRPr="00602065" w:rsidRDefault="00CC3B08" w:rsidP="00A9214E">
      <w:pPr>
        <w:pStyle w:val="ListParagraph"/>
        <w:numPr>
          <w:ilvl w:val="2"/>
          <w:numId w:val="9"/>
        </w:numPr>
      </w:pPr>
      <w:r w:rsidRPr="00602065">
        <w:t>(5) industrial, labor, and regional impacts of changes in patterns of energy supply and consumption;</w:t>
      </w:r>
    </w:p>
    <w:p w14:paraId="2E9BDB9B" w14:textId="77777777" w:rsidR="00CC3B08" w:rsidRPr="00602065" w:rsidRDefault="00CC3B08" w:rsidP="00A9214E">
      <w:pPr>
        <w:pStyle w:val="ListParagraph"/>
        <w:numPr>
          <w:ilvl w:val="2"/>
          <w:numId w:val="9"/>
        </w:numPr>
      </w:pPr>
      <w:r w:rsidRPr="00602065">
        <w:t>(6) international aspects, economic and otherwise, of the evolving energy situation; and</w:t>
      </w:r>
    </w:p>
    <w:p w14:paraId="5E67CF2B" w14:textId="212B5A76" w:rsidR="008C734C" w:rsidRPr="00602065" w:rsidRDefault="00CC3B08" w:rsidP="00A9214E">
      <w:pPr>
        <w:pStyle w:val="ListParagraph"/>
        <w:numPr>
          <w:ilvl w:val="2"/>
          <w:numId w:val="9"/>
        </w:numPr>
      </w:pPr>
      <w:r w:rsidRPr="00602065">
        <w:t>(7) long-term relationships between energy supply and consumption in the United States and world communities.”</w:t>
      </w:r>
    </w:p>
    <w:p w14:paraId="4F838534" w14:textId="77777777" w:rsidR="008C734C" w:rsidRPr="00602065" w:rsidRDefault="008C734C" w:rsidP="008C734C">
      <w:pPr>
        <w:pStyle w:val="Heading2"/>
      </w:pPr>
      <w:bookmarkStart w:id="8" w:name="_Toc493689548"/>
      <w:bookmarkStart w:id="9" w:name="_Toc466046210"/>
      <w:r w:rsidRPr="00602065">
        <w:t>A.2. Needs and Uses of Data</w:t>
      </w:r>
      <w:bookmarkEnd w:id="8"/>
      <w:bookmarkEnd w:id="9"/>
    </w:p>
    <w:p w14:paraId="4AD2CB85" w14:textId="77777777" w:rsidR="008A29C8" w:rsidRDefault="004D448D" w:rsidP="00B87DA2">
      <w:r w:rsidRPr="0040619F">
        <w:t xml:space="preserve">The purpose of Form EIA-63C is to collect fundamental statistics on densified biomass production, distribution, trade, consumption, prices, and stocks. </w:t>
      </w:r>
    </w:p>
    <w:p w14:paraId="7998C837" w14:textId="77777777" w:rsidR="008A29C8" w:rsidRPr="0040619F" w:rsidRDefault="008A29C8" w:rsidP="008A29C8">
      <w:r w:rsidRPr="0040619F">
        <w:t xml:space="preserve">The data collected on Form EIA-63C is used by the US Forest Service. </w:t>
      </w:r>
      <w:r w:rsidRPr="00602065">
        <w:t>Production and</w:t>
      </w:r>
      <w:r>
        <w:t xml:space="preserve"> the export</w:t>
      </w:r>
      <w:r w:rsidRPr="00602065">
        <w:t xml:space="preserve"> of wood pellets has become a contentious issue for forest policy makers at local, national, and international levels</w:t>
      </w:r>
      <w:r>
        <w:t>. D</w:t>
      </w:r>
      <w:r w:rsidRPr="00602065">
        <w:t xml:space="preserve">ata from Form EIA-63C supports the </w:t>
      </w:r>
      <w:r w:rsidRPr="0040619F">
        <w:t>US Forest Service’s continued</w:t>
      </w:r>
      <w:r w:rsidRPr="00602065">
        <w:t xml:space="preserve"> research.</w:t>
      </w:r>
      <w:r w:rsidRPr="0040619F">
        <w:t xml:space="preserve"> The US Forest Service also uses </w:t>
      </w:r>
      <w:r>
        <w:t xml:space="preserve">these </w:t>
      </w:r>
      <w:r w:rsidRPr="0040619F">
        <w:t>data to prepare summary documents for the USDA Forest Service assessments, document production and exports for the chief of the Forest Service to present at international hearings and conferences and to address concerns raised by the USDA foreign Agricultural Service officers in London, Brussels and DC.  The forest service also uses</w:t>
      </w:r>
      <w:r w:rsidRPr="00602065">
        <w:t xml:space="preserve"> Form EIA-63C </w:t>
      </w:r>
      <w:r w:rsidRPr="0040619F">
        <w:t xml:space="preserve">feedstock source data to compare </w:t>
      </w:r>
      <w:r>
        <w:t>to</w:t>
      </w:r>
      <w:r w:rsidRPr="0040619F">
        <w:t xml:space="preserve"> data they collect in their Forest Inventory and Analysis</w:t>
      </w:r>
      <w:r>
        <w:t xml:space="preserve"> National Program</w:t>
      </w:r>
      <w:r w:rsidRPr="0040619F">
        <w:t>, to assess the sustainability and productivity of our national and private forest lands.</w:t>
      </w:r>
    </w:p>
    <w:p w14:paraId="0399FAE7" w14:textId="51A7007D" w:rsidR="00A12C07" w:rsidRPr="0040619F" w:rsidRDefault="00A12C07" w:rsidP="00B87DA2">
      <w:r w:rsidRPr="0040619F">
        <w:t xml:space="preserve">EIA </w:t>
      </w:r>
      <w:r w:rsidR="008A29C8">
        <w:t xml:space="preserve">also </w:t>
      </w:r>
      <w:r w:rsidRPr="0040619F">
        <w:t>use</w:t>
      </w:r>
      <w:r w:rsidR="00224FAB" w:rsidRPr="0040619F">
        <w:t>s</w:t>
      </w:r>
      <w:r w:rsidRPr="0040619F">
        <w:t xml:space="preserve"> the</w:t>
      </w:r>
      <w:r w:rsidR="001A74CD">
        <w:t>se</w:t>
      </w:r>
      <w:r w:rsidRPr="0040619F">
        <w:t xml:space="preserve"> data </w:t>
      </w:r>
      <w:r w:rsidRPr="001A74CD">
        <w:t>to</w:t>
      </w:r>
      <w:r w:rsidRPr="0040619F">
        <w:t xml:space="preserve"> answer queries from the U.S. Congress, other federal and state agencies, the </w:t>
      </w:r>
      <w:r w:rsidR="00AD3F56" w:rsidRPr="0040619F">
        <w:t>biomass</w:t>
      </w:r>
      <w:r w:rsidRPr="0040619F">
        <w:t xml:space="preserve"> fuel industry, and the general public</w:t>
      </w:r>
      <w:r w:rsidR="00F74292" w:rsidRPr="0040619F">
        <w:t>;</w:t>
      </w:r>
      <w:r w:rsidR="00F65A8A" w:rsidRPr="0040619F">
        <w:t xml:space="preserve"> and for other </w:t>
      </w:r>
      <w:r w:rsidRPr="0040619F">
        <w:t>analytical activities.</w:t>
      </w:r>
      <w:r w:rsidR="00E610D7" w:rsidRPr="0040619F">
        <w:t xml:space="preserve"> </w:t>
      </w:r>
      <w:r w:rsidRPr="0040619F">
        <w:t>Other users of the data include policy makers, regulators, energy market analysts, academia, and the renewable energy industries.</w:t>
      </w:r>
      <w:r w:rsidR="002577DE" w:rsidRPr="0040619F">
        <w:t xml:space="preserve"> For example, </w:t>
      </w:r>
      <w:r w:rsidR="001A74CD">
        <w:t xml:space="preserve">survey </w:t>
      </w:r>
      <w:r w:rsidR="00BF50FB" w:rsidRPr="0040619F">
        <w:t>respondents</w:t>
      </w:r>
      <w:r w:rsidR="0093331E" w:rsidRPr="0040619F">
        <w:t xml:space="preserve"> </w:t>
      </w:r>
      <w:r w:rsidR="001A74CD">
        <w:t xml:space="preserve">use </w:t>
      </w:r>
      <w:r w:rsidR="00A9214E" w:rsidRPr="0040619F">
        <w:t>Form EIA-</w:t>
      </w:r>
      <w:r w:rsidR="002577DE" w:rsidRPr="0040619F">
        <w:t xml:space="preserve">63C data </w:t>
      </w:r>
      <w:r w:rsidR="00FB768B">
        <w:t xml:space="preserve">to </w:t>
      </w:r>
      <w:r w:rsidR="002577DE" w:rsidRPr="0040619F">
        <w:t>compare pellet prices to other winter heating fuels.</w:t>
      </w:r>
      <w:r w:rsidR="00827C47" w:rsidRPr="0040619F">
        <w:t xml:space="preserve"> </w:t>
      </w:r>
      <w:r w:rsidR="00CC3E33">
        <w:t>T</w:t>
      </w:r>
      <w:r w:rsidR="0093331E" w:rsidRPr="0040619F">
        <w:t>h</w:t>
      </w:r>
      <w:r w:rsidR="00CC3E33">
        <w:t>e data are also used in models to forecast and plan for</w:t>
      </w:r>
      <w:r w:rsidR="0093331E" w:rsidRPr="0040619F">
        <w:t xml:space="preserve"> upcoming demand for th</w:t>
      </w:r>
      <w:r w:rsidR="00CC3E33">
        <w:t xml:space="preserve">e </w:t>
      </w:r>
      <w:r w:rsidR="0093331E" w:rsidRPr="0040619F">
        <w:t>winter</w:t>
      </w:r>
      <w:r w:rsidR="00CC3E33">
        <w:t xml:space="preserve"> heating season</w:t>
      </w:r>
      <w:r w:rsidR="0093331E" w:rsidRPr="0040619F">
        <w:t xml:space="preserve">. </w:t>
      </w:r>
      <w:r w:rsidR="00827C47" w:rsidRPr="0040619F">
        <w:t>Future Metrics</w:t>
      </w:r>
      <w:r w:rsidR="0093331E" w:rsidRPr="0040619F">
        <w:t>, a consulting agency that provides information, market analysis, operations guidance and strategic advice to companies in the wood pellet</w:t>
      </w:r>
      <w:r w:rsidR="00BF50FB" w:rsidRPr="0040619F">
        <w:t xml:space="preserve"> production</w:t>
      </w:r>
      <w:r w:rsidR="0093331E" w:rsidRPr="0040619F">
        <w:t xml:space="preserve"> sector, recently used </w:t>
      </w:r>
      <w:r w:rsidR="006D6D00" w:rsidRPr="0040619F">
        <w:t xml:space="preserve">Form </w:t>
      </w:r>
      <w:r w:rsidR="0093331E" w:rsidRPr="0040619F">
        <w:t>EIA-63C data in their 2018 North American Pellet Market Quarterly.</w:t>
      </w:r>
      <w:r w:rsidR="00827C47" w:rsidRPr="0040619F">
        <w:t xml:space="preserve"> </w:t>
      </w:r>
      <w:r w:rsidR="0093331E" w:rsidRPr="0040619F">
        <w:t>They specifically cited our inventory, capacity, production, and sales data in their report.</w:t>
      </w:r>
      <w:r w:rsidR="00BF50FB" w:rsidRPr="0040619F">
        <w:t xml:space="preserve"> </w:t>
      </w:r>
    </w:p>
    <w:p w14:paraId="453B2FAF" w14:textId="3A8B4827" w:rsidR="00A41763" w:rsidRPr="0040619F" w:rsidRDefault="0003106B" w:rsidP="00A12C07">
      <w:r w:rsidRPr="0040619F">
        <w:t xml:space="preserve">Outside of the data </w:t>
      </w:r>
      <w:r w:rsidR="00B47C3A" w:rsidRPr="0040619F">
        <w:t>coll</w:t>
      </w:r>
      <w:r w:rsidR="004910F1" w:rsidRPr="0040619F">
        <w:t>ected from</w:t>
      </w:r>
      <w:r w:rsidR="00B47C3A" w:rsidRPr="0040619F">
        <w:t xml:space="preserve"> </w:t>
      </w:r>
      <w:r w:rsidR="00825FC1" w:rsidRPr="0040619F">
        <w:t xml:space="preserve">Form </w:t>
      </w:r>
      <w:r w:rsidRPr="0040619F">
        <w:t>EIA-63C, the available quantitative i</w:t>
      </w:r>
      <w:r w:rsidR="00A12C07" w:rsidRPr="0040619F">
        <w:t>nformation on the densified biomass industry is minimal</w:t>
      </w:r>
      <w:r w:rsidRPr="0040619F">
        <w:t>, and in particular little data is available at the state level.</w:t>
      </w:r>
      <w:r w:rsidR="00825FC1" w:rsidRPr="0040619F">
        <w:t xml:space="preserve"> Form</w:t>
      </w:r>
      <w:r w:rsidR="00152D7D" w:rsidRPr="0040619F">
        <w:t xml:space="preserve"> </w:t>
      </w:r>
      <w:r w:rsidRPr="0040619F">
        <w:t>EIA-</w:t>
      </w:r>
      <w:r w:rsidR="004F0DBE" w:rsidRPr="0040619F">
        <w:t>63C fills this information gap.</w:t>
      </w:r>
      <w:r w:rsidR="00E64621" w:rsidRPr="0040619F">
        <w:t xml:space="preserve"> </w:t>
      </w:r>
      <w:r w:rsidR="00A12C07" w:rsidRPr="0040619F">
        <w:t>In the absence of a centralized and public data collection by EIA, each state would have to undertake its own data collection effort, and in many cases request duplicative information from firms with operations that cross state lines.</w:t>
      </w:r>
      <w:r w:rsidR="00E610D7" w:rsidRPr="0040619F">
        <w:t xml:space="preserve"> </w:t>
      </w:r>
      <w:r w:rsidR="00A12C07" w:rsidRPr="0040619F">
        <w:t xml:space="preserve">EIA </w:t>
      </w:r>
      <w:r w:rsidR="00611585" w:rsidRPr="0040619F">
        <w:t>ensures an efficient and</w:t>
      </w:r>
      <w:r w:rsidR="00A12C07" w:rsidRPr="0040619F">
        <w:t xml:space="preserve"> consistent data </w:t>
      </w:r>
      <w:r w:rsidR="00611585" w:rsidRPr="0040619F">
        <w:t>collection with</w:t>
      </w:r>
      <w:r w:rsidR="00A12C07" w:rsidRPr="0040619F">
        <w:t xml:space="preserve"> minimum cost to the public and respondents.</w:t>
      </w:r>
    </w:p>
    <w:p w14:paraId="0AA11628" w14:textId="0C5BDBCF" w:rsidR="008B48CC" w:rsidRPr="00602065" w:rsidRDefault="008B48CC" w:rsidP="008B48CC">
      <w:r w:rsidRPr="00602065">
        <w:t xml:space="preserve">The data collected </w:t>
      </w:r>
      <w:r w:rsidRPr="00602065">
        <w:rPr>
          <w:noProof/>
        </w:rPr>
        <w:t>on</w:t>
      </w:r>
      <w:r w:rsidRPr="00602065">
        <w:t xml:space="preserve"> this survey </w:t>
      </w:r>
      <w:r w:rsidR="0003106B" w:rsidRPr="00602065">
        <w:t>is</w:t>
      </w:r>
      <w:r w:rsidRPr="00602065">
        <w:t xml:space="preserve"> used in EIA reports</w:t>
      </w:r>
      <w:r w:rsidR="004910F1" w:rsidRPr="00602065">
        <w:t xml:space="preserve"> released on EIA’s website</w:t>
      </w:r>
      <w:r w:rsidRPr="00602065">
        <w:t>, including but not limited to:</w:t>
      </w:r>
    </w:p>
    <w:p w14:paraId="60DBBE3E" w14:textId="77777777" w:rsidR="008B48CC" w:rsidRPr="00602065" w:rsidRDefault="009B2A9E" w:rsidP="00A9214E">
      <w:pPr>
        <w:pStyle w:val="ListParagraph"/>
        <w:rPr>
          <w:u w:val="single"/>
        </w:rPr>
      </w:pPr>
      <w:hyperlink r:id="rId16" w:history="1">
        <w:r w:rsidR="00154106" w:rsidRPr="00602065">
          <w:rPr>
            <w:rStyle w:val="Hyperlink"/>
          </w:rPr>
          <w:t>Monthly Densified Biomass Fuel Report</w:t>
        </w:r>
      </w:hyperlink>
      <w:r w:rsidR="00154106" w:rsidRPr="00602065">
        <w:t xml:space="preserve"> </w:t>
      </w:r>
    </w:p>
    <w:p w14:paraId="691E35D3" w14:textId="77777777" w:rsidR="00A206D5" w:rsidRPr="0040619F" w:rsidRDefault="009B2A9E" w:rsidP="00A206D5">
      <w:pPr>
        <w:numPr>
          <w:ilvl w:val="0"/>
          <w:numId w:val="10"/>
        </w:numPr>
        <w:rPr>
          <w:u w:val="single"/>
        </w:rPr>
      </w:pPr>
      <w:hyperlink r:id="rId17" w:history="1">
        <w:r w:rsidR="008B48CC" w:rsidRPr="0040619F">
          <w:rPr>
            <w:rStyle w:val="Hyperlink"/>
          </w:rPr>
          <w:t>Short-Term Energy Outlook</w:t>
        </w:r>
      </w:hyperlink>
      <w:r w:rsidR="00A206D5" w:rsidRPr="0040619F" w:rsidDel="00A206D5">
        <w:t xml:space="preserve"> </w:t>
      </w:r>
    </w:p>
    <w:p w14:paraId="7842C229" w14:textId="0B202319" w:rsidR="008B48CC" w:rsidRPr="00602065" w:rsidRDefault="009B2A9E" w:rsidP="00930727">
      <w:pPr>
        <w:numPr>
          <w:ilvl w:val="0"/>
          <w:numId w:val="10"/>
        </w:numPr>
      </w:pPr>
      <w:hyperlink r:id="rId18" w:history="1">
        <w:r w:rsidR="008B48CC" w:rsidRPr="00602065">
          <w:rPr>
            <w:rStyle w:val="Hyperlink"/>
          </w:rPr>
          <w:t>Monthly Energy Review</w:t>
        </w:r>
      </w:hyperlink>
      <w:r w:rsidR="00A206D5" w:rsidRPr="00602065" w:rsidDel="00A206D5">
        <w:t xml:space="preserve"> </w:t>
      </w:r>
    </w:p>
    <w:p w14:paraId="341FA671" w14:textId="77777777" w:rsidR="008C734C" w:rsidRPr="00602065" w:rsidRDefault="008C734C" w:rsidP="008C734C">
      <w:pPr>
        <w:pStyle w:val="Heading2"/>
      </w:pPr>
      <w:bookmarkStart w:id="10" w:name="_Toc493689549"/>
      <w:bookmarkStart w:id="11" w:name="_Toc466046211"/>
      <w:r w:rsidRPr="00602065">
        <w:t>A.</w:t>
      </w:r>
      <w:r w:rsidR="00A41763" w:rsidRPr="00602065">
        <w:t xml:space="preserve">3. </w:t>
      </w:r>
      <w:r w:rsidRPr="00602065">
        <w:t>Use of Technology</w:t>
      </w:r>
      <w:bookmarkEnd w:id="10"/>
      <w:bookmarkEnd w:id="11"/>
    </w:p>
    <w:p w14:paraId="3D410728" w14:textId="61FE1FD1" w:rsidR="00CF0864" w:rsidRPr="00602065" w:rsidRDefault="00AF6383" w:rsidP="00CF0864">
      <w:r w:rsidRPr="00602065">
        <w:t xml:space="preserve">Form </w:t>
      </w:r>
      <w:r w:rsidR="00630FA8" w:rsidRPr="00602065">
        <w:t xml:space="preserve">EIA-63C </w:t>
      </w:r>
      <w:r w:rsidR="00630FA8" w:rsidRPr="00602065">
        <w:rPr>
          <w:i/>
        </w:rPr>
        <w:t>Densified Biomass Fuel Report</w:t>
      </w:r>
      <w:r w:rsidR="00683A0E" w:rsidRPr="00602065">
        <w:t>,</w:t>
      </w:r>
      <w:r w:rsidR="00630FA8" w:rsidRPr="00602065">
        <w:t xml:space="preserve"> </w:t>
      </w:r>
      <w:r w:rsidR="00CF0864" w:rsidRPr="00602065">
        <w:t>use</w:t>
      </w:r>
      <w:r w:rsidR="00630FA8" w:rsidRPr="00602065">
        <w:t>s</w:t>
      </w:r>
      <w:r w:rsidR="00CF0864" w:rsidRPr="00602065">
        <w:t xml:space="preserve"> Internet-based data collection systems as the primary means of data collection. The majority of </w:t>
      </w:r>
      <w:r w:rsidR="004910F1" w:rsidRPr="00602065">
        <w:t>communications</w:t>
      </w:r>
      <w:r w:rsidR="00CF0864" w:rsidRPr="00602065">
        <w:t xml:space="preserve"> with respondents is </w:t>
      </w:r>
      <w:r w:rsidR="00A206D5" w:rsidRPr="00602065">
        <w:t xml:space="preserve">by </w:t>
      </w:r>
      <w:r w:rsidR="00CF0864" w:rsidRPr="00602065">
        <w:t>email.</w:t>
      </w:r>
    </w:p>
    <w:p w14:paraId="0E2EFCDB" w14:textId="515976C7" w:rsidR="00CF0864" w:rsidRPr="00602065" w:rsidRDefault="00CF0864" w:rsidP="00CF0864">
      <w:r w:rsidRPr="00602065">
        <w:t xml:space="preserve">Internet data collection will continue to be the primary collection mode for </w:t>
      </w:r>
      <w:r w:rsidR="00630FA8" w:rsidRPr="00602065">
        <w:t>t</w:t>
      </w:r>
      <w:r w:rsidRPr="00602065">
        <w:t xml:space="preserve">he survey. The Internet-based system </w:t>
      </w:r>
      <w:r w:rsidRPr="00602065">
        <w:rPr>
          <w:noProof/>
        </w:rPr>
        <w:t>allow</w:t>
      </w:r>
      <w:r w:rsidR="00A206D5" w:rsidRPr="00602065">
        <w:rPr>
          <w:noProof/>
        </w:rPr>
        <w:t>s</w:t>
      </w:r>
      <w:r w:rsidRPr="00602065">
        <w:t xml:space="preserve"> respondents to enter their data directly into the EIA survey databases</w:t>
      </w:r>
      <w:r w:rsidR="0067476E" w:rsidRPr="00602065">
        <w:t>. This</w:t>
      </w:r>
      <w:r w:rsidRPr="00602065">
        <w:t xml:space="preserve"> reduces the time needed for data collection and processing. The system identif</w:t>
      </w:r>
      <w:r w:rsidR="005A455A" w:rsidRPr="00602065">
        <w:t>ies</w:t>
      </w:r>
      <w:r w:rsidRPr="00602065">
        <w:t xml:space="preserve"> reported data that fail edit specifications prior to submission</w:t>
      </w:r>
      <w:r w:rsidR="005A455A" w:rsidRPr="00602065">
        <w:t xml:space="preserve"> allowing</w:t>
      </w:r>
      <w:r w:rsidRPr="00602065">
        <w:t xml:space="preserve"> respondents to make necessary corrections or explain unusual situations </w:t>
      </w:r>
      <w:r w:rsidR="005A455A" w:rsidRPr="00602065">
        <w:t xml:space="preserve">that </w:t>
      </w:r>
      <w:r w:rsidRPr="00602065">
        <w:t>impact</w:t>
      </w:r>
      <w:r w:rsidR="005A455A" w:rsidRPr="00602065">
        <w:t xml:space="preserve"> the</w:t>
      </w:r>
      <w:r w:rsidRPr="00602065">
        <w:t xml:space="preserve"> reported data. This data editing process reduces respondent burden by reducing the number of times a respondent must resubmit forms prior to acceptance by EIA. It also improves the timeliness of reporting the information to the public. </w:t>
      </w:r>
    </w:p>
    <w:p w14:paraId="3BA7037A" w14:textId="77777777" w:rsidR="008C734C" w:rsidRPr="00602065" w:rsidRDefault="008C734C" w:rsidP="008C734C">
      <w:pPr>
        <w:pStyle w:val="Heading2"/>
      </w:pPr>
      <w:bookmarkStart w:id="12" w:name="_Toc493689550"/>
      <w:bookmarkStart w:id="13" w:name="_Toc466046212"/>
      <w:r w:rsidRPr="00602065">
        <w:t>A.</w:t>
      </w:r>
      <w:r w:rsidR="00A41763" w:rsidRPr="00602065">
        <w:t xml:space="preserve">4. </w:t>
      </w:r>
      <w:r w:rsidRPr="00602065">
        <w:t>Efforts to Identify Duplication</w:t>
      </w:r>
      <w:bookmarkEnd w:id="12"/>
      <w:bookmarkEnd w:id="13"/>
    </w:p>
    <w:p w14:paraId="060FC372" w14:textId="4760F53A" w:rsidR="004D448D" w:rsidRPr="00602065" w:rsidRDefault="00012054" w:rsidP="004D448D">
      <w:pPr>
        <w:rPr>
          <w:iCs/>
        </w:rPr>
      </w:pPr>
      <w:r w:rsidRPr="00602065">
        <w:t>The data elements collected on Form EIA-63C are not duplicated in other surveys or sources known to EIA</w:t>
      </w:r>
      <w:r w:rsidR="00E64621" w:rsidRPr="00602065">
        <w:t xml:space="preserve">. </w:t>
      </w:r>
      <w:r w:rsidR="004D448D" w:rsidRPr="00602065">
        <w:rPr>
          <w:iCs/>
        </w:rPr>
        <w:t xml:space="preserve">EIA reviews and evaluates densified biomass industry information available from a variety of sources, including other </w:t>
      </w:r>
      <w:r w:rsidR="00AD6512" w:rsidRPr="00602065">
        <w:rPr>
          <w:iCs/>
        </w:rPr>
        <w:t>f</w:t>
      </w:r>
      <w:r w:rsidR="004D448D" w:rsidRPr="00602065">
        <w:rPr>
          <w:iCs/>
        </w:rPr>
        <w:t xml:space="preserve">ederal agencies, industry trade associations, </w:t>
      </w:r>
      <w:r w:rsidR="00AD6512" w:rsidRPr="00602065">
        <w:rPr>
          <w:iCs/>
        </w:rPr>
        <w:t>s</w:t>
      </w:r>
      <w:r w:rsidR="004D448D" w:rsidRPr="00602065">
        <w:rPr>
          <w:iCs/>
        </w:rPr>
        <w:t>tate governments, and commercial information services, to identify instances of duplication. Additionally, in the public notices and consultations associated with the triennial re-clearance of Form EIA-63C, EIA encourages respondents and data users to identify alternate sources of the densified biomass information EIA proposes to collect. Instances of potential data duplication identified by EIA are evaluated in terms of data coverage, level of aggregation, frequency of collection, data reliability, and statutory requirements to determine whether alternate data sources represent a suitable substitute for EIA data.</w:t>
      </w:r>
    </w:p>
    <w:p w14:paraId="113D265B" w14:textId="77777777" w:rsidR="0001594F" w:rsidRPr="00602065" w:rsidRDefault="00D85E90" w:rsidP="0001594F">
      <w:pPr>
        <w:spacing w:after="0"/>
      </w:pPr>
      <w:r w:rsidRPr="00602065">
        <w:t>S</w:t>
      </w:r>
      <w:r w:rsidR="0001594F" w:rsidRPr="00602065">
        <w:t>everal other government and private entities conduct biomass energy data collection, estimation, and/or publication programs.</w:t>
      </w:r>
      <w:r w:rsidR="00E610D7" w:rsidRPr="00602065">
        <w:t xml:space="preserve"> </w:t>
      </w:r>
      <w:r w:rsidR="0001594F" w:rsidRPr="00602065">
        <w:t>These entities include:</w:t>
      </w:r>
    </w:p>
    <w:p w14:paraId="71F52C06" w14:textId="093E9421" w:rsidR="0001594F" w:rsidRPr="00602065" w:rsidRDefault="0001594F" w:rsidP="0001594F">
      <w:pPr>
        <w:numPr>
          <w:ilvl w:val="0"/>
          <w:numId w:val="11"/>
        </w:numPr>
        <w:tabs>
          <w:tab w:val="left" w:pos="360"/>
        </w:tabs>
        <w:spacing w:before="120" w:after="100" w:afterAutospacing="1" w:line="240" w:lineRule="auto"/>
        <w:jc w:val="both"/>
      </w:pPr>
      <w:r w:rsidRPr="00602065">
        <w:t xml:space="preserve">Pellet </w:t>
      </w:r>
      <w:r w:rsidR="004D7E5D" w:rsidRPr="00602065">
        <w:t>Fuel</w:t>
      </w:r>
      <w:r w:rsidR="00944E71" w:rsidRPr="00602065">
        <w:t>s</w:t>
      </w:r>
      <w:r w:rsidRPr="00602065">
        <w:t xml:space="preserve"> Institute</w:t>
      </w:r>
    </w:p>
    <w:p w14:paraId="65A6E082" w14:textId="77777777" w:rsidR="0001594F" w:rsidRPr="00602065" w:rsidRDefault="0001594F" w:rsidP="0001594F">
      <w:pPr>
        <w:numPr>
          <w:ilvl w:val="0"/>
          <w:numId w:val="11"/>
        </w:numPr>
        <w:tabs>
          <w:tab w:val="left" w:pos="360"/>
        </w:tabs>
        <w:spacing w:before="120" w:after="120" w:afterAutospacing="1" w:line="240" w:lineRule="auto"/>
        <w:jc w:val="both"/>
      </w:pPr>
      <w:r w:rsidRPr="00602065">
        <w:t>USDA Forest Service</w:t>
      </w:r>
    </w:p>
    <w:p w14:paraId="4DFFBEA8" w14:textId="0DD6EB99" w:rsidR="0001594F" w:rsidRPr="00602065" w:rsidRDefault="0001594F" w:rsidP="0001594F">
      <w:pPr>
        <w:numPr>
          <w:ilvl w:val="0"/>
          <w:numId w:val="11"/>
        </w:numPr>
        <w:tabs>
          <w:tab w:val="left" w:pos="360"/>
        </w:tabs>
        <w:spacing w:before="120" w:after="120" w:afterAutospacing="1" w:line="240" w:lineRule="auto"/>
        <w:jc w:val="both"/>
      </w:pPr>
      <w:r w:rsidRPr="00602065">
        <w:t>State</w:t>
      </w:r>
      <w:r w:rsidR="00593181" w:rsidRPr="00602065">
        <w:t xml:space="preserve"> Energy Offices</w:t>
      </w:r>
      <w:r w:rsidRPr="00602065">
        <w:t xml:space="preserve"> </w:t>
      </w:r>
    </w:p>
    <w:p w14:paraId="454ACED7" w14:textId="39C8D938" w:rsidR="0001594F" w:rsidRPr="00602065" w:rsidRDefault="0001594F" w:rsidP="00FF6BE0">
      <w:pPr>
        <w:spacing w:line="240" w:lineRule="auto"/>
        <w:rPr>
          <w:b/>
          <w:sz w:val="24"/>
          <w:szCs w:val="24"/>
        </w:rPr>
      </w:pPr>
      <w:bookmarkStart w:id="14" w:name="_Toc524420601"/>
      <w:r w:rsidRPr="00602065">
        <w:t xml:space="preserve">EIA </w:t>
      </w:r>
      <w:r w:rsidR="004E4A1E" w:rsidRPr="00602065">
        <w:t xml:space="preserve">has </w:t>
      </w:r>
      <w:r w:rsidRPr="00602065">
        <w:t xml:space="preserve">evaluated other sources of data relating to the densified biomass industry and has found no other source that can replace </w:t>
      </w:r>
      <w:r w:rsidR="00683A0E" w:rsidRPr="00602065">
        <w:t>Form</w:t>
      </w:r>
      <w:r w:rsidR="00152D7D" w:rsidRPr="00602065">
        <w:t xml:space="preserve"> </w:t>
      </w:r>
      <w:r w:rsidR="004E4A1E" w:rsidRPr="00602065">
        <w:t>EIA-63C</w:t>
      </w:r>
      <w:r w:rsidRPr="00602065">
        <w:t xml:space="preserve"> (see Table 1).</w:t>
      </w:r>
      <w:r w:rsidR="00E610D7" w:rsidRPr="00602065">
        <w:t xml:space="preserve"> </w:t>
      </w:r>
      <w:r w:rsidRPr="00602065">
        <w:t>This is because of differences in classification, inconsistency, incompleteness, unavailability, or lack of universal coverage.</w:t>
      </w:r>
    </w:p>
    <w:p w14:paraId="7220BD08" w14:textId="23E6E8C1" w:rsidR="0001594F" w:rsidRPr="00602065" w:rsidRDefault="0001594F" w:rsidP="0001594F">
      <w:pPr>
        <w:spacing w:after="0"/>
        <w:rPr>
          <w:b/>
        </w:rPr>
      </w:pPr>
      <w:r w:rsidRPr="00602065">
        <w:rPr>
          <w:b/>
        </w:rPr>
        <w:t xml:space="preserve">Table </w:t>
      </w:r>
      <w:r w:rsidR="002962A9">
        <w:rPr>
          <w:b/>
        </w:rPr>
        <w:t>A</w:t>
      </w:r>
      <w:r w:rsidRPr="00602065">
        <w:rPr>
          <w:b/>
        </w:rPr>
        <w:t>1.</w:t>
      </w:r>
      <w:r w:rsidR="00E610D7" w:rsidRPr="00602065">
        <w:rPr>
          <w:b/>
        </w:rPr>
        <w:t xml:space="preserve"> </w:t>
      </w:r>
      <w:r w:rsidRPr="00602065">
        <w:rPr>
          <w:b/>
        </w:rPr>
        <w:t>Non-EIA Pellet Fuel Data Collection Programs and Forms</w:t>
      </w:r>
      <w:r w:rsidRPr="00602065">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1174"/>
        <w:gridCol w:w="2250"/>
        <w:gridCol w:w="5130"/>
      </w:tblGrid>
      <w:tr w:rsidR="0001594F" w:rsidRPr="00602065" w14:paraId="0083EA99" w14:textId="77777777" w:rsidTr="00F211F2">
        <w:trPr>
          <w:cantSplit/>
          <w:tblHeader/>
        </w:trPr>
        <w:tc>
          <w:tcPr>
            <w:tcW w:w="1634" w:type="dxa"/>
            <w:shd w:val="clear" w:color="auto" w:fill="DDEFD0" w:themeFill="accent3" w:themeFillTint="33"/>
            <w:vAlign w:val="center"/>
          </w:tcPr>
          <w:p w14:paraId="6D00C21B" w14:textId="77777777" w:rsidR="0001594F" w:rsidRPr="00602065" w:rsidRDefault="0001594F" w:rsidP="00A206D5">
            <w:pPr>
              <w:spacing w:before="40" w:after="40"/>
              <w:jc w:val="center"/>
              <w:rPr>
                <w:b/>
                <w:sz w:val="20"/>
                <w:szCs w:val="20"/>
              </w:rPr>
            </w:pPr>
            <w:r w:rsidRPr="00602065">
              <w:rPr>
                <w:b/>
                <w:sz w:val="20"/>
                <w:szCs w:val="20"/>
              </w:rPr>
              <w:t>Responsible Group</w:t>
            </w:r>
          </w:p>
        </w:tc>
        <w:tc>
          <w:tcPr>
            <w:tcW w:w="1174" w:type="dxa"/>
            <w:shd w:val="clear" w:color="auto" w:fill="DDEFD0" w:themeFill="accent3" w:themeFillTint="33"/>
            <w:vAlign w:val="center"/>
          </w:tcPr>
          <w:p w14:paraId="51237CB8" w14:textId="77777777" w:rsidR="0001594F" w:rsidRPr="00602065" w:rsidRDefault="0001594F" w:rsidP="00A206D5">
            <w:pPr>
              <w:spacing w:before="40" w:after="40"/>
              <w:jc w:val="center"/>
              <w:rPr>
                <w:b/>
                <w:sz w:val="20"/>
                <w:szCs w:val="20"/>
              </w:rPr>
            </w:pPr>
            <w:r w:rsidRPr="00602065">
              <w:rPr>
                <w:b/>
                <w:sz w:val="20"/>
                <w:szCs w:val="20"/>
              </w:rPr>
              <w:t>Form or Collection</w:t>
            </w:r>
          </w:p>
          <w:p w14:paraId="597482DF" w14:textId="77777777" w:rsidR="0001594F" w:rsidRPr="00602065" w:rsidRDefault="0001594F" w:rsidP="00A206D5">
            <w:pPr>
              <w:spacing w:before="40" w:after="40"/>
              <w:jc w:val="center"/>
              <w:rPr>
                <w:b/>
                <w:sz w:val="20"/>
                <w:szCs w:val="20"/>
              </w:rPr>
            </w:pPr>
            <w:r w:rsidRPr="00602065">
              <w:rPr>
                <w:b/>
                <w:sz w:val="20"/>
                <w:szCs w:val="20"/>
              </w:rPr>
              <w:t xml:space="preserve"> No.</w:t>
            </w:r>
          </w:p>
        </w:tc>
        <w:tc>
          <w:tcPr>
            <w:tcW w:w="2250" w:type="dxa"/>
            <w:shd w:val="clear" w:color="auto" w:fill="DDEFD0" w:themeFill="accent3" w:themeFillTint="33"/>
            <w:vAlign w:val="center"/>
          </w:tcPr>
          <w:p w14:paraId="65CD91A8" w14:textId="77777777" w:rsidR="0001594F" w:rsidRPr="00602065" w:rsidRDefault="0001594F" w:rsidP="00A206D5">
            <w:pPr>
              <w:spacing w:before="40" w:after="40"/>
              <w:jc w:val="center"/>
              <w:rPr>
                <w:b/>
                <w:sz w:val="20"/>
                <w:szCs w:val="20"/>
              </w:rPr>
            </w:pPr>
            <w:r w:rsidRPr="00602065">
              <w:rPr>
                <w:b/>
                <w:sz w:val="20"/>
                <w:szCs w:val="20"/>
              </w:rPr>
              <w:t>Title</w:t>
            </w:r>
          </w:p>
        </w:tc>
        <w:tc>
          <w:tcPr>
            <w:tcW w:w="5130" w:type="dxa"/>
            <w:shd w:val="clear" w:color="auto" w:fill="DDEFD0" w:themeFill="accent3" w:themeFillTint="33"/>
            <w:vAlign w:val="center"/>
          </w:tcPr>
          <w:p w14:paraId="1A59C269" w14:textId="77777777" w:rsidR="0001594F" w:rsidRPr="00602065" w:rsidRDefault="0001594F" w:rsidP="00A206D5">
            <w:pPr>
              <w:spacing w:before="40" w:after="40"/>
              <w:jc w:val="center"/>
              <w:rPr>
                <w:b/>
                <w:sz w:val="20"/>
                <w:szCs w:val="20"/>
              </w:rPr>
            </w:pPr>
            <w:r w:rsidRPr="00602065">
              <w:rPr>
                <w:b/>
                <w:sz w:val="20"/>
                <w:szCs w:val="20"/>
              </w:rPr>
              <w:t>Notes</w:t>
            </w:r>
          </w:p>
        </w:tc>
      </w:tr>
      <w:tr w:rsidR="0001594F" w:rsidRPr="00602065" w14:paraId="7564B042" w14:textId="77777777" w:rsidTr="001F38DB">
        <w:trPr>
          <w:cantSplit/>
          <w:trHeight w:val="1475"/>
        </w:trPr>
        <w:tc>
          <w:tcPr>
            <w:tcW w:w="1634" w:type="dxa"/>
          </w:tcPr>
          <w:p w14:paraId="5FCBA8C0" w14:textId="40C559F4" w:rsidR="0001594F" w:rsidRPr="00602065" w:rsidRDefault="0001594F" w:rsidP="00740CBD">
            <w:pPr>
              <w:spacing w:before="40" w:after="40"/>
              <w:rPr>
                <w:sz w:val="20"/>
                <w:szCs w:val="20"/>
              </w:rPr>
            </w:pPr>
            <w:r w:rsidRPr="00602065">
              <w:rPr>
                <w:sz w:val="20"/>
                <w:szCs w:val="20"/>
              </w:rPr>
              <w:t xml:space="preserve">Pellet </w:t>
            </w:r>
            <w:r w:rsidR="004D7E5D" w:rsidRPr="00602065">
              <w:rPr>
                <w:sz w:val="20"/>
                <w:szCs w:val="20"/>
              </w:rPr>
              <w:t>Fuel</w:t>
            </w:r>
            <w:r w:rsidR="00944E71" w:rsidRPr="00602065">
              <w:rPr>
                <w:sz w:val="20"/>
                <w:szCs w:val="20"/>
              </w:rPr>
              <w:t>s</w:t>
            </w:r>
            <w:r w:rsidR="004D7E5D" w:rsidRPr="00602065">
              <w:rPr>
                <w:sz w:val="20"/>
                <w:szCs w:val="20"/>
              </w:rPr>
              <w:t xml:space="preserve"> </w:t>
            </w:r>
            <w:r w:rsidRPr="00602065">
              <w:rPr>
                <w:sz w:val="20"/>
                <w:szCs w:val="20"/>
              </w:rPr>
              <w:t>Institute</w:t>
            </w:r>
            <w:r w:rsidR="00A206D5" w:rsidRPr="00602065">
              <w:rPr>
                <w:sz w:val="20"/>
                <w:szCs w:val="20"/>
              </w:rPr>
              <w:t xml:space="preserve"> </w:t>
            </w:r>
          </w:p>
        </w:tc>
        <w:tc>
          <w:tcPr>
            <w:tcW w:w="1174" w:type="dxa"/>
          </w:tcPr>
          <w:p w14:paraId="2315BE4C" w14:textId="77777777" w:rsidR="0001594F" w:rsidRPr="00602065" w:rsidRDefault="0001594F" w:rsidP="00A206D5">
            <w:pPr>
              <w:spacing w:before="40" w:after="40"/>
              <w:rPr>
                <w:sz w:val="20"/>
                <w:szCs w:val="20"/>
              </w:rPr>
            </w:pPr>
            <w:r w:rsidRPr="00602065">
              <w:rPr>
                <w:sz w:val="20"/>
                <w:szCs w:val="20"/>
              </w:rPr>
              <w:t>N/A</w:t>
            </w:r>
          </w:p>
        </w:tc>
        <w:tc>
          <w:tcPr>
            <w:tcW w:w="2250" w:type="dxa"/>
          </w:tcPr>
          <w:p w14:paraId="143221CF" w14:textId="77777777" w:rsidR="0001594F" w:rsidRPr="00602065" w:rsidRDefault="0001594F" w:rsidP="00A206D5">
            <w:pPr>
              <w:spacing w:before="40" w:after="40"/>
              <w:rPr>
                <w:sz w:val="20"/>
                <w:szCs w:val="20"/>
              </w:rPr>
            </w:pPr>
            <w:r w:rsidRPr="00602065">
              <w:rPr>
                <w:sz w:val="20"/>
                <w:szCs w:val="20"/>
              </w:rPr>
              <w:t>PFI Pellet Industry Survey</w:t>
            </w:r>
          </w:p>
        </w:tc>
        <w:tc>
          <w:tcPr>
            <w:tcW w:w="5130" w:type="dxa"/>
          </w:tcPr>
          <w:p w14:paraId="6247BE84" w14:textId="336E03B8" w:rsidR="0001594F" w:rsidRPr="0040619F" w:rsidRDefault="0001594F" w:rsidP="009D6FA7">
            <w:pPr>
              <w:spacing w:before="100" w:beforeAutospacing="1"/>
              <w:rPr>
                <w:sz w:val="20"/>
                <w:szCs w:val="20"/>
              </w:rPr>
            </w:pPr>
            <w:r w:rsidRPr="00602065">
              <w:rPr>
                <w:sz w:val="20"/>
                <w:szCs w:val="20"/>
              </w:rPr>
              <w:t>Coverage of approximately 20% of the industry.</w:t>
            </w:r>
            <w:r w:rsidR="00D937D6" w:rsidRPr="00602065">
              <w:rPr>
                <w:sz w:val="20"/>
                <w:szCs w:val="20"/>
              </w:rPr>
              <w:t xml:space="preserve"> </w:t>
            </w:r>
            <w:r w:rsidR="009D6FA7" w:rsidRPr="00602065">
              <w:rPr>
                <w:sz w:val="20"/>
                <w:szCs w:val="20"/>
              </w:rPr>
              <w:t>Last survey was for 2012. Collected data on production, pricing, feedstock, and sales of pellet fuels.</w:t>
            </w:r>
            <w:r w:rsidR="006A1D1B" w:rsidRPr="00602065">
              <w:rPr>
                <w:sz w:val="20"/>
                <w:szCs w:val="20"/>
              </w:rPr>
              <w:t xml:space="preserve"> </w:t>
            </w:r>
            <w:r w:rsidR="00D937D6" w:rsidRPr="00602065">
              <w:rPr>
                <w:sz w:val="20"/>
                <w:szCs w:val="20"/>
              </w:rPr>
              <w:t xml:space="preserve">The lack of adequate market coverage and unavailability of any current data series </w:t>
            </w:r>
            <w:r w:rsidR="009D6FA7" w:rsidRPr="00602065">
              <w:rPr>
                <w:sz w:val="20"/>
                <w:szCs w:val="20"/>
              </w:rPr>
              <w:t xml:space="preserve">prevent this data series from being an appropriate </w:t>
            </w:r>
            <w:r w:rsidR="009D6FA7" w:rsidRPr="0040619F">
              <w:rPr>
                <w:sz w:val="20"/>
                <w:szCs w:val="20"/>
              </w:rPr>
              <w:t>substitute for Form EIA-63C</w:t>
            </w:r>
            <w:r w:rsidR="00602065">
              <w:rPr>
                <w:sz w:val="20"/>
                <w:szCs w:val="20"/>
              </w:rPr>
              <w:t>.</w:t>
            </w:r>
          </w:p>
        </w:tc>
      </w:tr>
      <w:tr w:rsidR="00740CBD" w:rsidRPr="00602065" w14:paraId="062E3893" w14:textId="77777777" w:rsidTr="001F38DB">
        <w:trPr>
          <w:cantSplit/>
          <w:trHeight w:val="980"/>
        </w:trPr>
        <w:tc>
          <w:tcPr>
            <w:tcW w:w="1634" w:type="dxa"/>
          </w:tcPr>
          <w:p w14:paraId="32CAB9CE" w14:textId="77777777" w:rsidR="00740CBD" w:rsidRPr="00602065" w:rsidRDefault="00740CBD" w:rsidP="00740CBD">
            <w:pPr>
              <w:spacing w:before="40" w:after="40"/>
              <w:rPr>
                <w:sz w:val="20"/>
                <w:szCs w:val="20"/>
              </w:rPr>
            </w:pPr>
            <w:r w:rsidRPr="00602065">
              <w:rPr>
                <w:sz w:val="20"/>
                <w:szCs w:val="20"/>
              </w:rPr>
              <w:t>U.S. Forest Service</w:t>
            </w:r>
          </w:p>
        </w:tc>
        <w:tc>
          <w:tcPr>
            <w:tcW w:w="1174" w:type="dxa"/>
          </w:tcPr>
          <w:p w14:paraId="2646E7FB" w14:textId="77777777" w:rsidR="00740CBD" w:rsidRPr="00602065" w:rsidRDefault="00740CBD" w:rsidP="00A206D5">
            <w:pPr>
              <w:spacing w:before="40" w:after="40"/>
              <w:rPr>
                <w:sz w:val="20"/>
                <w:szCs w:val="20"/>
              </w:rPr>
            </w:pPr>
            <w:r w:rsidRPr="00602065">
              <w:rPr>
                <w:sz w:val="20"/>
                <w:szCs w:val="20"/>
              </w:rPr>
              <w:t>N/A</w:t>
            </w:r>
          </w:p>
        </w:tc>
        <w:tc>
          <w:tcPr>
            <w:tcW w:w="2250" w:type="dxa"/>
          </w:tcPr>
          <w:p w14:paraId="093E615A" w14:textId="77777777" w:rsidR="00740CBD" w:rsidRPr="00602065" w:rsidDel="00740CBD" w:rsidRDefault="00740CBD" w:rsidP="00A206D5">
            <w:pPr>
              <w:spacing w:before="40" w:after="40"/>
              <w:rPr>
                <w:sz w:val="20"/>
                <w:szCs w:val="20"/>
              </w:rPr>
            </w:pPr>
            <w:r w:rsidRPr="00602065">
              <w:rPr>
                <w:sz w:val="20"/>
                <w:szCs w:val="20"/>
              </w:rPr>
              <w:t>Forest Inventory</w:t>
            </w:r>
          </w:p>
        </w:tc>
        <w:tc>
          <w:tcPr>
            <w:tcW w:w="5130" w:type="dxa"/>
          </w:tcPr>
          <w:p w14:paraId="39297304" w14:textId="4FD1B774" w:rsidR="00740CBD" w:rsidRPr="00602065" w:rsidRDefault="00740CBD" w:rsidP="00A5349A">
            <w:pPr>
              <w:spacing w:before="100" w:beforeAutospacing="1"/>
              <w:rPr>
                <w:sz w:val="20"/>
                <w:szCs w:val="20"/>
              </w:rPr>
            </w:pPr>
            <w:r w:rsidRPr="00602065">
              <w:rPr>
                <w:sz w:val="20"/>
                <w:szCs w:val="20"/>
              </w:rPr>
              <w:t>US Forest Service collects data on woody biomass consumption from public and private forests</w:t>
            </w:r>
            <w:r w:rsidR="004910F1" w:rsidRPr="00602065">
              <w:rPr>
                <w:sz w:val="20"/>
                <w:szCs w:val="20"/>
              </w:rPr>
              <w:t xml:space="preserve"> from the USDA Forest Service National Woodland Owner Survey.</w:t>
            </w:r>
            <w:r w:rsidR="00E64621" w:rsidRPr="00602065">
              <w:rPr>
                <w:sz w:val="20"/>
                <w:szCs w:val="20"/>
              </w:rPr>
              <w:t xml:space="preserve"> </w:t>
            </w:r>
            <w:r w:rsidR="002547FB" w:rsidRPr="00602065">
              <w:rPr>
                <w:sz w:val="20"/>
                <w:szCs w:val="20"/>
              </w:rPr>
              <w:t>They don’t track o</w:t>
            </w:r>
            <w:r w:rsidR="0093331E" w:rsidRPr="00602065">
              <w:rPr>
                <w:sz w:val="20"/>
                <w:szCs w:val="20"/>
              </w:rPr>
              <w:t>r</w:t>
            </w:r>
            <w:r w:rsidR="002547FB" w:rsidRPr="00602065">
              <w:rPr>
                <w:sz w:val="20"/>
                <w:szCs w:val="20"/>
              </w:rPr>
              <w:t xml:space="preserve"> collect the consumption of the wood</w:t>
            </w:r>
            <w:r w:rsidR="004910F1" w:rsidRPr="00602065">
              <w:rPr>
                <w:sz w:val="20"/>
                <w:szCs w:val="20"/>
              </w:rPr>
              <w:t>. T</w:t>
            </w:r>
            <w:r w:rsidR="002547FB" w:rsidRPr="00602065">
              <w:rPr>
                <w:sz w:val="20"/>
                <w:szCs w:val="20"/>
              </w:rPr>
              <w:t>hey track how much wood is removed from</w:t>
            </w:r>
            <w:r w:rsidR="004910F1" w:rsidRPr="00602065">
              <w:rPr>
                <w:sz w:val="20"/>
                <w:szCs w:val="20"/>
              </w:rPr>
              <w:t xml:space="preserve"> a</w:t>
            </w:r>
            <w:r w:rsidR="002547FB" w:rsidRPr="00602065">
              <w:rPr>
                <w:sz w:val="20"/>
                <w:szCs w:val="20"/>
              </w:rPr>
              <w:t xml:space="preserve"> forest. </w:t>
            </w:r>
            <w:r w:rsidR="004910F1" w:rsidRPr="00602065">
              <w:rPr>
                <w:sz w:val="20"/>
                <w:szCs w:val="20"/>
              </w:rPr>
              <w:t>There is some</w:t>
            </w:r>
            <w:r w:rsidR="002547FB" w:rsidRPr="00602065">
              <w:rPr>
                <w:sz w:val="20"/>
                <w:szCs w:val="20"/>
              </w:rPr>
              <w:t xml:space="preserve"> overlap with the collection of feedstock data. </w:t>
            </w:r>
            <w:r w:rsidR="004910F1" w:rsidRPr="00602065">
              <w:rPr>
                <w:sz w:val="20"/>
                <w:szCs w:val="20"/>
              </w:rPr>
              <w:t>EIA</w:t>
            </w:r>
            <w:r w:rsidR="002547FB" w:rsidRPr="00602065">
              <w:rPr>
                <w:sz w:val="20"/>
                <w:szCs w:val="20"/>
              </w:rPr>
              <w:t xml:space="preserve"> collect</w:t>
            </w:r>
            <w:r w:rsidR="004910F1" w:rsidRPr="00602065">
              <w:rPr>
                <w:sz w:val="20"/>
                <w:szCs w:val="20"/>
              </w:rPr>
              <w:t>s</w:t>
            </w:r>
            <w:r w:rsidR="002547FB" w:rsidRPr="00602065">
              <w:rPr>
                <w:sz w:val="20"/>
                <w:szCs w:val="20"/>
              </w:rPr>
              <w:t xml:space="preserve"> data from the receivers</w:t>
            </w:r>
            <w:r w:rsidR="0093331E" w:rsidRPr="00602065">
              <w:rPr>
                <w:sz w:val="20"/>
                <w:szCs w:val="20"/>
              </w:rPr>
              <w:t xml:space="preserve"> and buyers</w:t>
            </w:r>
            <w:r w:rsidR="002547FB" w:rsidRPr="00602065">
              <w:rPr>
                <w:sz w:val="20"/>
                <w:szCs w:val="20"/>
              </w:rPr>
              <w:t xml:space="preserve"> of feedstocks</w:t>
            </w:r>
            <w:r w:rsidR="004910F1" w:rsidRPr="00602065">
              <w:rPr>
                <w:sz w:val="20"/>
                <w:szCs w:val="20"/>
              </w:rPr>
              <w:t>. US Forest Service</w:t>
            </w:r>
            <w:r w:rsidR="002547FB" w:rsidRPr="00602065">
              <w:rPr>
                <w:sz w:val="20"/>
                <w:szCs w:val="20"/>
              </w:rPr>
              <w:t xml:space="preserve"> collect</w:t>
            </w:r>
            <w:r w:rsidR="004910F1" w:rsidRPr="00602065">
              <w:rPr>
                <w:sz w:val="20"/>
                <w:szCs w:val="20"/>
              </w:rPr>
              <w:t>s</w:t>
            </w:r>
            <w:r w:rsidR="002547FB" w:rsidRPr="00602065">
              <w:rPr>
                <w:sz w:val="20"/>
                <w:szCs w:val="20"/>
              </w:rPr>
              <w:t xml:space="preserve"> data from the</w:t>
            </w:r>
            <w:r w:rsidR="0093331E" w:rsidRPr="00602065">
              <w:rPr>
                <w:sz w:val="20"/>
                <w:szCs w:val="20"/>
              </w:rPr>
              <w:t xml:space="preserve"> owners of</w:t>
            </w:r>
            <w:r w:rsidR="002547FB" w:rsidRPr="00602065">
              <w:rPr>
                <w:sz w:val="20"/>
                <w:szCs w:val="20"/>
              </w:rPr>
              <w:t xml:space="preserve"> forests where the </w:t>
            </w:r>
            <w:r w:rsidR="004910F1" w:rsidRPr="00602065">
              <w:rPr>
                <w:sz w:val="20"/>
                <w:szCs w:val="20"/>
              </w:rPr>
              <w:t>trees</w:t>
            </w:r>
            <w:r w:rsidR="002547FB" w:rsidRPr="00602065">
              <w:rPr>
                <w:sz w:val="20"/>
                <w:szCs w:val="20"/>
              </w:rPr>
              <w:t xml:space="preserve"> where originally harvested. The</w:t>
            </w:r>
            <w:r w:rsidR="004910F1" w:rsidRPr="00602065">
              <w:rPr>
                <w:sz w:val="20"/>
                <w:szCs w:val="20"/>
              </w:rPr>
              <w:t xml:space="preserve"> frame file for the US Forest Service is</w:t>
            </w:r>
            <w:r w:rsidR="002547FB" w:rsidRPr="00602065">
              <w:rPr>
                <w:sz w:val="20"/>
                <w:szCs w:val="20"/>
              </w:rPr>
              <w:t xml:space="preserve"> </w:t>
            </w:r>
            <w:r w:rsidR="004910F1" w:rsidRPr="00602065">
              <w:rPr>
                <w:sz w:val="20"/>
                <w:szCs w:val="20"/>
              </w:rPr>
              <w:t xml:space="preserve">logging </w:t>
            </w:r>
            <w:r w:rsidR="002547FB" w:rsidRPr="00602065">
              <w:rPr>
                <w:sz w:val="20"/>
                <w:szCs w:val="20"/>
              </w:rPr>
              <w:t>co</w:t>
            </w:r>
            <w:r w:rsidR="0093331E" w:rsidRPr="00602065">
              <w:rPr>
                <w:sz w:val="20"/>
                <w:szCs w:val="20"/>
              </w:rPr>
              <w:t>mpanies</w:t>
            </w:r>
            <w:r w:rsidR="00A5349A" w:rsidRPr="00602065">
              <w:rPr>
                <w:sz w:val="20"/>
                <w:szCs w:val="20"/>
              </w:rPr>
              <w:t>.</w:t>
            </w:r>
            <w:r w:rsidR="004910F1" w:rsidRPr="00602065">
              <w:rPr>
                <w:sz w:val="20"/>
                <w:szCs w:val="20"/>
              </w:rPr>
              <w:t xml:space="preserve"> These logging companies</w:t>
            </w:r>
            <w:r w:rsidR="0093331E" w:rsidRPr="00602065">
              <w:rPr>
                <w:sz w:val="20"/>
                <w:szCs w:val="20"/>
              </w:rPr>
              <w:t xml:space="preserve"> are</w:t>
            </w:r>
            <w:r w:rsidR="004910F1" w:rsidRPr="00602065">
              <w:rPr>
                <w:sz w:val="20"/>
                <w:szCs w:val="20"/>
              </w:rPr>
              <w:t xml:space="preserve"> different from the biomass suppliers reporting on the EIA-63C frame file</w:t>
            </w:r>
            <w:r w:rsidR="0093331E" w:rsidRPr="00602065">
              <w:rPr>
                <w:sz w:val="20"/>
                <w:szCs w:val="20"/>
              </w:rPr>
              <w:t xml:space="preserve">. </w:t>
            </w:r>
          </w:p>
        </w:tc>
      </w:tr>
      <w:tr w:rsidR="00740CBD" w:rsidRPr="00602065" w14:paraId="53CD6604" w14:textId="77777777" w:rsidTr="00A206D5">
        <w:trPr>
          <w:cantSplit/>
        </w:trPr>
        <w:tc>
          <w:tcPr>
            <w:tcW w:w="1634" w:type="dxa"/>
          </w:tcPr>
          <w:p w14:paraId="363D03E5" w14:textId="77777777" w:rsidR="00740CBD" w:rsidRPr="00602065" w:rsidRDefault="00740CBD" w:rsidP="00740CBD">
            <w:pPr>
              <w:spacing w:before="40" w:after="40"/>
              <w:rPr>
                <w:sz w:val="20"/>
                <w:szCs w:val="20"/>
              </w:rPr>
            </w:pPr>
            <w:r w:rsidRPr="00602065">
              <w:rPr>
                <w:sz w:val="20"/>
                <w:szCs w:val="20"/>
              </w:rPr>
              <w:t>States</w:t>
            </w:r>
          </w:p>
        </w:tc>
        <w:tc>
          <w:tcPr>
            <w:tcW w:w="1174" w:type="dxa"/>
          </w:tcPr>
          <w:p w14:paraId="5DCB2D46" w14:textId="77777777" w:rsidR="00740CBD" w:rsidRPr="00602065" w:rsidRDefault="00740CBD" w:rsidP="00A206D5">
            <w:pPr>
              <w:spacing w:before="40" w:after="40"/>
              <w:rPr>
                <w:sz w:val="20"/>
                <w:szCs w:val="20"/>
              </w:rPr>
            </w:pPr>
            <w:r w:rsidRPr="00602065">
              <w:rPr>
                <w:sz w:val="20"/>
                <w:szCs w:val="20"/>
              </w:rPr>
              <w:t>N/A</w:t>
            </w:r>
          </w:p>
        </w:tc>
        <w:tc>
          <w:tcPr>
            <w:tcW w:w="2250" w:type="dxa"/>
          </w:tcPr>
          <w:p w14:paraId="5694C266" w14:textId="77777777" w:rsidR="00740CBD" w:rsidRPr="00602065" w:rsidDel="00740CBD" w:rsidRDefault="00740CBD" w:rsidP="00A206D5">
            <w:pPr>
              <w:spacing w:before="40" w:after="40"/>
              <w:rPr>
                <w:sz w:val="20"/>
                <w:szCs w:val="20"/>
              </w:rPr>
            </w:pPr>
            <w:r w:rsidRPr="00602065">
              <w:rPr>
                <w:sz w:val="20"/>
                <w:szCs w:val="20"/>
              </w:rPr>
              <w:t>NA</w:t>
            </w:r>
          </w:p>
        </w:tc>
        <w:tc>
          <w:tcPr>
            <w:tcW w:w="5130" w:type="dxa"/>
          </w:tcPr>
          <w:p w14:paraId="31C0FD97" w14:textId="4C7D6592" w:rsidR="00740CBD" w:rsidRPr="00602065" w:rsidRDefault="00E50139" w:rsidP="00155228">
            <w:pPr>
              <w:pStyle w:val="CommentText"/>
            </w:pPr>
            <w:r w:rsidRPr="00602065">
              <w:t xml:space="preserve">New Hampshire, Maine, Vermont, Massachusetts, and New York </w:t>
            </w:r>
            <w:r w:rsidR="00740CBD" w:rsidRPr="00602065">
              <w:t>collect data on densified biomass fuel use and appliances in conjunction with incentives for replacing fossil fuel with biomass for space heating.</w:t>
            </w:r>
            <w:r w:rsidR="002547FB" w:rsidRPr="00602065">
              <w:t xml:space="preserve"> These programs are focused towards the end user of the pellets; people or businesses with wood burning stoves for home heating</w:t>
            </w:r>
            <w:r w:rsidR="00C904A1" w:rsidRPr="00602065">
              <w:t xml:space="preserve"> (which EIA does not collect)</w:t>
            </w:r>
            <w:r w:rsidR="002547FB" w:rsidRPr="00602065">
              <w:t>. The</w:t>
            </w:r>
            <w:r w:rsidR="00C904A1" w:rsidRPr="00602065">
              <w:t xml:space="preserve"> states</w:t>
            </w:r>
            <w:r w:rsidR="002547FB" w:rsidRPr="00602065">
              <w:t xml:space="preserve"> collect information on who uses these stoves so that the proper incentives can be awarded to lower the cost of installation and maintenance. For example, NY </w:t>
            </w:r>
            <w:r w:rsidR="00827C47" w:rsidRPr="00602065">
              <w:t>has</w:t>
            </w:r>
            <w:r w:rsidR="002547FB" w:rsidRPr="00602065">
              <w:t xml:space="preserve"> a program called Renewable Heat NY. This program awards rebates or low interest loans to homeowners who install new pellet stoves for home heating, especially in areas with limited access to natural gas.</w:t>
            </w:r>
          </w:p>
        </w:tc>
      </w:tr>
      <w:bookmarkEnd w:id="14"/>
    </w:tbl>
    <w:p w14:paraId="7B07103D" w14:textId="77777777" w:rsidR="008C734C" w:rsidRPr="00602065" w:rsidRDefault="008C734C" w:rsidP="00A41763"/>
    <w:p w14:paraId="5906F45C" w14:textId="77777777" w:rsidR="008C734C" w:rsidRPr="00602065" w:rsidRDefault="008C734C" w:rsidP="008C734C">
      <w:pPr>
        <w:pStyle w:val="Heading2"/>
      </w:pPr>
      <w:bookmarkStart w:id="15" w:name="_Toc493689551"/>
      <w:bookmarkStart w:id="16" w:name="_Toc466046213"/>
      <w:r w:rsidRPr="00602065">
        <w:t>A.</w:t>
      </w:r>
      <w:r w:rsidR="00A41763" w:rsidRPr="00602065">
        <w:t xml:space="preserve">5. </w:t>
      </w:r>
      <w:r w:rsidRPr="00602065">
        <w:t>Provisions for Reducing Burden on Small Businesses</w:t>
      </w:r>
      <w:bookmarkEnd w:id="15"/>
      <w:bookmarkEnd w:id="16"/>
      <w:r w:rsidRPr="00602065">
        <w:t xml:space="preserve"> </w:t>
      </w:r>
    </w:p>
    <w:p w14:paraId="3DF8CDB3" w14:textId="49A79235" w:rsidR="004D448D" w:rsidRPr="00602065" w:rsidRDefault="004D448D" w:rsidP="006E431A">
      <w:r w:rsidRPr="00602065">
        <w:rPr>
          <w:bCs/>
        </w:rPr>
        <w:t>EIA recognizes the need to minimize the reporting burden on small businesses and designs data surveys so that small operations are not unduly affected. Additionally, EIA has established reporting thresholds for surveys likely to affect small businesses. These thresholds either eliminate the reporting requirement for small businesses or limit the amount of information they are asked to supply.</w:t>
      </w:r>
      <w:r w:rsidR="00E64621" w:rsidRPr="00602065">
        <w:rPr>
          <w:bCs/>
        </w:rPr>
        <w:t xml:space="preserve"> </w:t>
      </w:r>
    </w:p>
    <w:p w14:paraId="7AD96587" w14:textId="27C55AF9" w:rsidR="008C734C" w:rsidRPr="00602065" w:rsidRDefault="002F7CEE" w:rsidP="00A41763">
      <w:r w:rsidRPr="00602065">
        <w:t>Through its Internet data collection system, EIA pre-populates data elements for items that do not frequently change.</w:t>
      </w:r>
      <w:r w:rsidR="00E610D7" w:rsidRPr="00602065">
        <w:t xml:space="preserve"> </w:t>
      </w:r>
      <w:r w:rsidRPr="00602065">
        <w:t>This allows respondents (both large and small) to verify that the</w:t>
      </w:r>
      <w:r w:rsidR="00F92BBC" w:rsidRPr="00602065">
        <w:t xml:space="preserve"> previously reported </w:t>
      </w:r>
      <w:r w:rsidRPr="00602065">
        <w:t>information has not changed, as opposed to entering the same information for each survey cycle.</w:t>
      </w:r>
      <w:r w:rsidR="00E610D7" w:rsidRPr="00602065">
        <w:t xml:space="preserve"> </w:t>
      </w:r>
      <w:r w:rsidRPr="00602065">
        <w:t>In addition, the Internet data collection system with its built-in edits has reduced the burden on businesses by reducing call-backs to verify or correct questionable data.</w:t>
      </w:r>
    </w:p>
    <w:p w14:paraId="35261375" w14:textId="5491C2B2" w:rsidR="002F7CEE" w:rsidRPr="00602065" w:rsidRDefault="0051112B" w:rsidP="00A41763">
      <w:r w:rsidRPr="00602065">
        <w:t>Small biomass fuel manufacturers (</w:t>
      </w:r>
      <w:r w:rsidR="00A0294B" w:rsidRPr="00602065">
        <w:t xml:space="preserve">manufactures with </w:t>
      </w:r>
      <w:r w:rsidR="00F92BBC" w:rsidRPr="00602065">
        <w:t xml:space="preserve">annual capacity </w:t>
      </w:r>
      <w:r w:rsidRPr="00602065">
        <w:t>less than 10,000</w:t>
      </w:r>
      <w:r w:rsidR="00F92BBC" w:rsidRPr="00602065">
        <w:t xml:space="preserve"> tons</w:t>
      </w:r>
      <w:r w:rsidRPr="00602065">
        <w:t xml:space="preserve">) </w:t>
      </w:r>
      <w:r w:rsidR="005C134D" w:rsidRPr="00602065">
        <w:t xml:space="preserve">only need to </w:t>
      </w:r>
      <w:r w:rsidRPr="00602065">
        <w:t xml:space="preserve">report </w:t>
      </w:r>
      <w:r w:rsidR="00790AFA" w:rsidRPr="00602065">
        <w:t>Part 1 (Identification) and Part 2 (operational status, capacity</w:t>
      </w:r>
      <w:r w:rsidR="00F92BBC" w:rsidRPr="00602065">
        <w:t>,</w:t>
      </w:r>
      <w:r w:rsidR="00790AFA" w:rsidRPr="00602065">
        <w:t xml:space="preserve"> and year of initial operation) ann</w:t>
      </w:r>
      <w:r w:rsidRPr="00602065">
        <w:t>ually</w:t>
      </w:r>
      <w:r w:rsidR="005C134D" w:rsidRPr="00602065">
        <w:t xml:space="preserve"> to minimize their reporting burden</w:t>
      </w:r>
      <w:r w:rsidRPr="00602065">
        <w:t>.</w:t>
      </w:r>
      <w:r w:rsidR="00790AFA" w:rsidRPr="00602065">
        <w:t xml:space="preserve"> Monthly respondents report the entire form, Parts 1 </w:t>
      </w:r>
      <w:r w:rsidR="006237E1" w:rsidRPr="00602065">
        <w:t xml:space="preserve">through </w:t>
      </w:r>
      <w:r w:rsidR="00790AFA" w:rsidRPr="00602065">
        <w:t>4.</w:t>
      </w:r>
      <w:r w:rsidR="00E64621" w:rsidRPr="00602065">
        <w:t xml:space="preserve"> </w:t>
      </w:r>
    </w:p>
    <w:p w14:paraId="10C54992" w14:textId="77777777" w:rsidR="008C734C" w:rsidRPr="00602065" w:rsidRDefault="008C734C" w:rsidP="008C734C">
      <w:pPr>
        <w:pStyle w:val="Heading2"/>
      </w:pPr>
      <w:bookmarkStart w:id="17" w:name="_Toc493689552"/>
      <w:bookmarkStart w:id="18" w:name="_Toc466046214"/>
      <w:r w:rsidRPr="00602065">
        <w:t>A.</w:t>
      </w:r>
      <w:r w:rsidR="00A41763" w:rsidRPr="00602065">
        <w:t xml:space="preserve">6. </w:t>
      </w:r>
      <w:r w:rsidRPr="00602065">
        <w:t>Consequences of Less-Frequent Reporting</w:t>
      </w:r>
      <w:bookmarkEnd w:id="17"/>
      <w:bookmarkEnd w:id="18"/>
    </w:p>
    <w:p w14:paraId="3CB5D39A" w14:textId="16C81F6A" w:rsidR="004D448D" w:rsidRPr="00602065" w:rsidRDefault="004D448D" w:rsidP="006E431A">
      <w:r w:rsidRPr="00602065">
        <w:t xml:space="preserve">Less frequent reporting would not allow EIA to meet its mandate of providing timely, reliable energy information to the Congress, other federal, state and local governments, industry, and the general public. </w:t>
      </w:r>
      <w:r w:rsidR="00593181" w:rsidRPr="00602065">
        <w:t>If this survey went from a monthly to an annual frequency, the users would have a much tougher time forecasting their production needs for the winter.</w:t>
      </w:r>
      <w:r w:rsidR="00E64621" w:rsidRPr="00602065">
        <w:t xml:space="preserve"> </w:t>
      </w:r>
      <w:r w:rsidR="00593181" w:rsidRPr="00602065">
        <w:t>Having more frequent publications of values like inventory numbers allows the respondents to better prepare for a shortage or surplus of product.</w:t>
      </w:r>
    </w:p>
    <w:p w14:paraId="170DA4B6" w14:textId="2416CD38" w:rsidR="008C734C" w:rsidRPr="00602065" w:rsidRDefault="009D237B" w:rsidP="00A41763">
      <w:r w:rsidRPr="00602065">
        <w:rPr>
          <w:iCs/>
        </w:rPr>
        <w:t xml:space="preserve">The monthly </w:t>
      </w:r>
      <w:r w:rsidR="00B60EE9" w:rsidRPr="00602065">
        <w:rPr>
          <w:iCs/>
        </w:rPr>
        <w:t xml:space="preserve">information </w:t>
      </w:r>
      <w:r w:rsidRPr="00602065">
        <w:rPr>
          <w:iCs/>
        </w:rPr>
        <w:t xml:space="preserve">collected on the Densified Biomass Fuel Report is used to provide </w:t>
      </w:r>
      <w:r w:rsidR="001800A7" w:rsidRPr="00602065">
        <w:rPr>
          <w:iCs/>
        </w:rPr>
        <w:t>data, and in particular price data,</w:t>
      </w:r>
      <w:r w:rsidR="00B60EE9" w:rsidRPr="00602065">
        <w:rPr>
          <w:iCs/>
        </w:rPr>
        <w:t xml:space="preserve"> that</w:t>
      </w:r>
      <w:r w:rsidR="001800A7" w:rsidRPr="00602065">
        <w:rPr>
          <w:iCs/>
        </w:rPr>
        <w:t xml:space="preserve"> is of greatest value to the industry and analysts when it is timely. Since EIA has begun publication of this information the industry has learned that comparisons of pellet prices and the price of fuel oil for home heating is a valuable indicator of near-term demand. This </w:t>
      </w:r>
      <w:r w:rsidR="001800A7" w:rsidRPr="0040619F">
        <w:rPr>
          <w:iCs/>
        </w:rPr>
        <w:t>helps inform decisions on production and inventory levels</w:t>
      </w:r>
      <w:r w:rsidR="008A121D" w:rsidRPr="00602065">
        <w:t>.</w:t>
      </w:r>
    </w:p>
    <w:p w14:paraId="01749C48" w14:textId="77777777" w:rsidR="008C734C" w:rsidRPr="00602065" w:rsidRDefault="008C734C" w:rsidP="008C734C">
      <w:pPr>
        <w:pStyle w:val="Heading2"/>
      </w:pPr>
      <w:bookmarkStart w:id="19" w:name="_Toc493689553"/>
      <w:bookmarkStart w:id="20" w:name="_Toc466046215"/>
      <w:r w:rsidRPr="00602065">
        <w:t>A.</w:t>
      </w:r>
      <w:r w:rsidR="00A41763" w:rsidRPr="00602065">
        <w:t xml:space="preserve">7. </w:t>
      </w:r>
      <w:r w:rsidRPr="00602065">
        <w:t>Compliance with 5 CFR 1320.5</w:t>
      </w:r>
      <w:bookmarkEnd w:id="19"/>
      <w:bookmarkEnd w:id="20"/>
    </w:p>
    <w:p w14:paraId="113203CB" w14:textId="1D3F970F" w:rsidR="008C734C" w:rsidRPr="00602065" w:rsidRDefault="00796EAD" w:rsidP="00A41763">
      <w:pPr>
        <w:rPr>
          <w:b/>
          <w:bCs/>
        </w:rPr>
      </w:pPr>
      <w:r w:rsidRPr="00602065">
        <w:t>Form EIA-63C is operated in accordance with the guidelines in 5 CFR 1320.5</w:t>
      </w:r>
      <w:r w:rsidR="00B24375" w:rsidRPr="00602065">
        <w:t>.</w:t>
      </w:r>
    </w:p>
    <w:p w14:paraId="46C832ED" w14:textId="77777777" w:rsidR="008C734C" w:rsidRPr="00602065" w:rsidRDefault="008C734C" w:rsidP="008C734C">
      <w:pPr>
        <w:pStyle w:val="Heading2"/>
      </w:pPr>
      <w:bookmarkStart w:id="21" w:name="_Toc493689554"/>
      <w:bookmarkStart w:id="22" w:name="_Toc466046216"/>
      <w:r w:rsidRPr="00602065">
        <w:t>A.</w:t>
      </w:r>
      <w:r w:rsidR="00A41763" w:rsidRPr="00602065">
        <w:t xml:space="preserve">8. </w:t>
      </w:r>
      <w:r w:rsidRPr="00602065">
        <w:t>Summary of Consultations Outside of the Agency</w:t>
      </w:r>
      <w:bookmarkEnd w:id="21"/>
      <w:bookmarkEnd w:id="22"/>
    </w:p>
    <w:p w14:paraId="567C0170" w14:textId="0EF7AECD" w:rsidR="002C235F" w:rsidRPr="00602065" w:rsidRDefault="00EC4354" w:rsidP="0077079A">
      <w:r w:rsidRPr="00602065">
        <w:t xml:space="preserve">EIA </w:t>
      </w:r>
      <w:r w:rsidR="006237E1" w:rsidRPr="00602065">
        <w:t xml:space="preserve">staff </w:t>
      </w:r>
      <w:r w:rsidRPr="00602065">
        <w:t>a</w:t>
      </w:r>
      <w:r w:rsidR="002C235F" w:rsidRPr="00602065">
        <w:t xml:space="preserve">ttended the Pellet Fuel Institute </w:t>
      </w:r>
      <w:r w:rsidR="00D91DDD" w:rsidRPr="00602065">
        <w:t xml:space="preserve">(PFI) </w:t>
      </w:r>
      <w:r w:rsidR="00615B2F" w:rsidRPr="00602065">
        <w:t xml:space="preserve">Annual Conference </w:t>
      </w:r>
      <w:r w:rsidR="00D91DDD" w:rsidRPr="00602065">
        <w:t xml:space="preserve">in </w:t>
      </w:r>
      <w:r w:rsidR="00B6581B" w:rsidRPr="00602065">
        <w:t>Stowe, VT on July 23-25,</w:t>
      </w:r>
      <w:r w:rsidR="00D91DDD" w:rsidRPr="00602065">
        <w:t xml:space="preserve"> 2017</w:t>
      </w:r>
      <w:r w:rsidR="009134B4" w:rsidRPr="00602065">
        <w:t>. The conference</w:t>
      </w:r>
      <w:r w:rsidR="00D91DDD" w:rsidRPr="00602065">
        <w:t xml:space="preserve"> </w:t>
      </w:r>
      <w:r w:rsidR="00615B2F" w:rsidRPr="00602065">
        <w:t>highlight</w:t>
      </w:r>
      <w:r w:rsidR="004D448D" w:rsidRPr="00602065">
        <w:t>ed</w:t>
      </w:r>
      <w:r w:rsidR="00615B2F" w:rsidRPr="00602065">
        <w:t xml:space="preserve"> the various applications of densified biomass, as well as trends and best practices within the densified biomass industry. </w:t>
      </w:r>
      <w:r w:rsidR="00942698" w:rsidRPr="00602065">
        <w:t xml:space="preserve">PFI is a North American trade association consisting of 67 members involved in the diversified biomass fuel industry. </w:t>
      </w:r>
      <w:r w:rsidR="009134B4" w:rsidRPr="00602065">
        <w:t>A</w:t>
      </w:r>
      <w:r w:rsidR="00615B2F" w:rsidRPr="00602065">
        <w:t xml:space="preserve"> broad range of individuals from the public and private sectors, academia, and local, state and national governments from North America and </w:t>
      </w:r>
      <w:r w:rsidR="009134B4" w:rsidRPr="00602065">
        <w:t>Europe attended the conference</w:t>
      </w:r>
      <w:r w:rsidR="00615B2F" w:rsidRPr="00602065">
        <w:t xml:space="preserve">. The conference </w:t>
      </w:r>
      <w:r w:rsidR="009134B4" w:rsidRPr="00602065">
        <w:t>included</w:t>
      </w:r>
      <w:r w:rsidR="00615B2F" w:rsidRPr="00602065">
        <w:t xml:space="preserve"> two days of educational sessions as well as industry exhibits</w:t>
      </w:r>
      <w:r w:rsidR="00D91DDD" w:rsidRPr="00602065">
        <w:t xml:space="preserve"> and</w:t>
      </w:r>
      <w:r w:rsidR="00615B2F" w:rsidRPr="00602065">
        <w:t xml:space="preserve"> extensive networking opportunities</w:t>
      </w:r>
      <w:r w:rsidR="00D91DDD" w:rsidRPr="00602065">
        <w:t xml:space="preserve"> which allowed staff to directly engage pellet fuel producers who complete </w:t>
      </w:r>
      <w:r w:rsidR="00D25EEF" w:rsidRPr="00602065">
        <w:t>Form EIA-63C</w:t>
      </w:r>
      <w:r w:rsidR="00D91DDD" w:rsidRPr="00602065">
        <w:t>.</w:t>
      </w:r>
    </w:p>
    <w:p w14:paraId="6E5009CA" w14:textId="04286D26" w:rsidR="00312890" w:rsidRPr="00602065" w:rsidRDefault="00312890" w:rsidP="0077079A">
      <w:pPr>
        <w:rPr>
          <w:b/>
          <w:bCs/>
        </w:rPr>
      </w:pPr>
      <w:r w:rsidRPr="00602065">
        <w:t xml:space="preserve">Staff from EIA </w:t>
      </w:r>
      <w:r w:rsidR="00F92BBC" w:rsidRPr="00602065">
        <w:t xml:space="preserve">also </w:t>
      </w:r>
      <w:r w:rsidRPr="00602065">
        <w:t xml:space="preserve">attended and presented densified biomass survey data at the Hearth Patio &amp; Barbeque Association (HPBA) Expo in </w:t>
      </w:r>
      <w:r w:rsidR="00046857" w:rsidRPr="00602065">
        <w:t>Atlanta, GA</w:t>
      </w:r>
      <w:r w:rsidR="009134B4" w:rsidRPr="00602065">
        <w:t xml:space="preserve"> on</w:t>
      </w:r>
      <w:r w:rsidR="00B6581B" w:rsidRPr="00602065">
        <w:t xml:space="preserve"> </w:t>
      </w:r>
      <w:r w:rsidRPr="00602065">
        <w:t>March</w:t>
      </w:r>
      <w:r w:rsidR="00364233" w:rsidRPr="00602065">
        <w:t xml:space="preserve"> 1-4</w:t>
      </w:r>
      <w:r w:rsidR="002E72DD" w:rsidRPr="00602065">
        <w:t>,</w:t>
      </w:r>
      <w:r w:rsidRPr="00602065">
        <w:t xml:space="preserve"> 2017.</w:t>
      </w:r>
      <w:r w:rsidR="00E64621" w:rsidRPr="00602065">
        <w:t xml:space="preserve"> </w:t>
      </w:r>
      <w:r w:rsidRPr="00602065">
        <w:t xml:space="preserve">The HPBA is an international trade association that promotes the interests </w:t>
      </w:r>
      <w:r w:rsidR="001947DA" w:rsidRPr="00602065">
        <w:t xml:space="preserve">HPBA members that manufacture, distribute, sell, and service products that include, among other things, wood, pellet, coal, gas and electric stoves and </w:t>
      </w:r>
      <w:r w:rsidRPr="00602065">
        <w:t>the hearth products industry in North America</w:t>
      </w:r>
      <w:r w:rsidR="001947DA" w:rsidRPr="00602065">
        <w:t xml:space="preserve">. </w:t>
      </w:r>
      <w:r w:rsidR="00B6581B" w:rsidRPr="00602065">
        <w:t>EIA</w:t>
      </w:r>
      <w:r w:rsidR="006237E1" w:rsidRPr="00602065">
        <w:t>’s</w:t>
      </w:r>
      <w:r w:rsidR="00AF0E66" w:rsidRPr="00602065">
        <w:t xml:space="preserve"> presentation explained the history</w:t>
      </w:r>
      <w:r w:rsidR="006237E1" w:rsidRPr="00602065">
        <w:t xml:space="preserve">, </w:t>
      </w:r>
      <w:r w:rsidR="00AF0E66" w:rsidRPr="00602065">
        <w:t>purpose</w:t>
      </w:r>
      <w:r w:rsidR="006237E1" w:rsidRPr="00602065">
        <w:t xml:space="preserve">, and use of </w:t>
      </w:r>
      <w:r w:rsidR="00B6581B" w:rsidRPr="00602065">
        <w:t>Form</w:t>
      </w:r>
      <w:r w:rsidR="00AF0E66" w:rsidRPr="00602065">
        <w:t xml:space="preserve"> EIA-63C data collection.</w:t>
      </w:r>
      <w:r w:rsidR="00A553E6" w:rsidRPr="00602065">
        <w:t xml:space="preserve"> </w:t>
      </w:r>
      <w:r w:rsidR="00D25EEF" w:rsidRPr="00602065">
        <w:t>The presentation recounted that i</w:t>
      </w:r>
      <w:r w:rsidR="00A553E6" w:rsidRPr="00602065">
        <w:t>n 2013</w:t>
      </w:r>
      <w:r w:rsidR="00B6581B" w:rsidRPr="00602065">
        <w:t>,</w:t>
      </w:r>
      <w:r w:rsidR="00A553E6" w:rsidRPr="00602065">
        <w:t xml:space="preserve"> Senator Shaheen and Senator Collins wrote a letter asking </w:t>
      </w:r>
      <w:r w:rsidR="006237E1" w:rsidRPr="00602065">
        <w:t xml:space="preserve">EIA </w:t>
      </w:r>
      <w:r w:rsidR="00A553E6" w:rsidRPr="00602065">
        <w:t>to</w:t>
      </w:r>
      <w:r w:rsidR="00152D7D" w:rsidRPr="00602065">
        <w:t xml:space="preserve"> </w:t>
      </w:r>
      <w:r w:rsidR="00A553E6" w:rsidRPr="00602065">
        <w:t xml:space="preserve">expand </w:t>
      </w:r>
      <w:r w:rsidR="0091713B" w:rsidRPr="00602065">
        <w:t xml:space="preserve">the </w:t>
      </w:r>
      <w:r w:rsidR="00A553E6" w:rsidRPr="00602065">
        <w:t xml:space="preserve">collection and reporting of </w:t>
      </w:r>
      <w:r w:rsidR="00B6581B" w:rsidRPr="00602065">
        <w:t>biomass</w:t>
      </w:r>
      <w:r w:rsidR="00A553E6" w:rsidRPr="00602065">
        <w:t xml:space="preserve"> data. In th</w:t>
      </w:r>
      <w:r w:rsidR="00B6581B" w:rsidRPr="00602065">
        <w:t>eir</w:t>
      </w:r>
      <w:r w:rsidR="00A553E6" w:rsidRPr="00602065">
        <w:t xml:space="preserve"> letter</w:t>
      </w:r>
      <w:r w:rsidR="00B6581B" w:rsidRPr="00602065">
        <w:t>,</w:t>
      </w:r>
      <w:r w:rsidR="00A553E6" w:rsidRPr="00602065">
        <w:t xml:space="preserve"> the s</w:t>
      </w:r>
      <w:r w:rsidR="00B6581B" w:rsidRPr="00602065">
        <w:t>enators s</w:t>
      </w:r>
      <w:r w:rsidR="00A553E6" w:rsidRPr="00602065">
        <w:t>tated how important the biomass industry is to the</w:t>
      </w:r>
      <w:r w:rsidR="00B6581B" w:rsidRPr="00602065">
        <w:t>ir states</w:t>
      </w:r>
      <w:r w:rsidR="00A553E6" w:rsidRPr="00602065">
        <w:t xml:space="preserve"> and how thi</w:t>
      </w:r>
      <w:r w:rsidR="00755961" w:rsidRPr="00602065">
        <w:t xml:space="preserve">s collection </w:t>
      </w:r>
      <w:r w:rsidR="0091713B" w:rsidRPr="00602065">
        <w:t>w</w:t>
      </w:r>
      <w:r w:rsidR="00B6581B" w:rsidRPr="00602065">
        <w:t xml:space="preserve">ould </w:t>
      </w:r>
      <w:r w:rsidR="00755961" w:rsidRPr="00602065">
        <w:t>“</w:t>
      </w:r>
      <w:r w:rsidR="00A553E6" w:rsidRPr="00602065">
        <w:t>provide a clearer picture of the nation’s home heating fuel portfolio</w:t>
      </w:r>
      <w:r w:rsidR="00755961" w:rsidRPr="00602065">
        <w:t>”</w:t>
      </w:r>
      <w:r w:rsidR="00A553E6" w:rsidRPr="00602065">
        <w:t>.</w:t>
      </w:r>
      <w:r w:rsidR="00A553E6" w:rsidRPr="00602065">
        <w:rPr>
          <w:b/>
          <w:bCs/>
        </w:rPr>
        <w:t xml:space="preserve"> </w:t>
      </w:r>
      <w:r w:rsidR="00A553E6" w:rsidRPr="00602065">
        <w:rPr>
          <w:bCs/>
        </w:rPr>
        <w:t xml:space="preserve">The presentation </w:t>
      </w:r>
      <w:r w:rsidR="0091713B" w:rsidRPr="00602065">
        <w:rPr>
          <w:bCs/>
        </w:rPr>
        <w:t xml:space="preserve">also </w:t>
      </w:r>
      <w:r w:rsidR="00B6581B" w:rsidRPr="00602065">
        <w:rPr>
          <w:bCs/>
        </w:rPr>
        <w:t>covered</w:t>
      </w:r>
      <w:r w:rsidR="00AF0E66" w:rsidRPr="00602065">
        <w:t xml:space="preserve"> who is required to report </w:t>
      </w:r>
      <w:r w:rsidR="006237E1" w:rsidRPr="00602065">
        <w:t xml:space="preserve">for Form EIA-63C </w:t>
      </w:r>
      <w:r w:rsidR="00AF0E66" w:rsidRPr="00602065">
        <w:t xml:space="preserve">and what data elements are collected. </w:t>
      </w:r>
      <w:r w:rsidR="002A4ACB" w:rsidRPr="00602065">
        <w:t>A</w:t>
      </w:r>
      <w:r w:rsidR="00B6581B" w:rsidRPr="00602065">
        <w:t xml:space="preserve">ggregate sales and production data were presented as well as </w:t>
      </w:r>
      <w:r w:rsidR="00AF0E66" w:rsidRPr="00602065">
        <w:t xml:space="preserve">the different </w:t>
      </w:r>
      <w:r w:rsidR="00BD7AA3" w:rsidRPr="00602065">
        <w:t xml:space="preserve">publications </w:t>
      </w:r>
      <w:r w:rsidR="00B6581B" w:rsidRPr="00602065">
        <w:t xml:space="preserve">where </w:t>
      </w:r>
      <w:r w:rsidR="00BD7AA3" w:rsidRPr="00602065">
        <w:t xml:space="preserve">the data are </w:t>
      </w:r>
      <w:r w:rsidR="00B6581B" w:rsidRPr="00602065">
        <w:t>published</w:t>
      </w:r>
      <w:r w:rsidR="00AF0E66" w:rsidRPr="00602065">
        <w:t>.</w:t>
      </w:r>
    </w:p>
    <w:p w14:paraId="0CC09D17" w14:textId="3865BB79" w:rsidR="00551897" w:rsidRPr="00602065" w:rsidRDefault="00B6581B" w:rsidP="00A41763">
      <w:r w:rsidRPr="00602065">
        <w:t>C</w:t>
      </w:r>
      <w:r w:rsidR="00AF0E66" w:rsidRPr="00602065">
        <w:t xml:space="preserve">onversations </w:t>
      </w:r>
      <w:r w:rsidR="00F12E43" w:rsidRPr="00602065">
        <w:t xml:space="preserve">were conducted with </w:t>
      </w:r>
      <w:r w:rsidR="00AF0E66" w:rsidRPr="00602065">
        <w:t>several respondents, including Energex, Pacific Coast Pellets</w:t>
      </w:r>
      <w:r w:rsidR="004D448D" w:rsidRPr="00602065">
        <w:t>,</w:t>
      </w:r>
      <w:r w:rsidR="00AF0E66" w:rsidRPr="00602065">
        <w:t xml:space="preserve"> and American Wood Fibers</w:t>
      </w:r>
      <w:r w:rsidR="00F12E43" w:rsidRPr="00602065">
        <w:t xml:space="preserve">. These conversations </w:t>
      </w:r>
      <w:r w:rsidRPr="00602065">
        <w:t>occurred after</w:t>
      </w:r>
      <w:r w:rsidR="00F12E43" w:rsidRPr="00602065">
        <w:t xml:space="preserve"> the presentation and</w:t>
      </w:r>
      <w:r w:rsidR="00755961" w:rsidRPr="00602065">
        <w:t xml:space="preserve"> </w:t>
      </w:r>
      <w:r w:rsidRPr="00602065">
        <w:t xml:space="preserve">involved discussions on </w:t>
      </w:r>
      <w:r w:rsidR="00755961" w:rsidRPr="00602065">
        <w:t xml:space="preserve">how EIA-63C data are </w:t>
      </w:r>
      <w:r w:rsidR="00F12E43" w:rsidRPr="00602065">
        <w:t>useful to them.</w:t>
      </w:r>
    </w:p>
    <w:p w14:paraId="5A0081BE" w14:textId="5CBDA476" w:rsidR="00C64FC7" w:rsidRPr="00602065" w:rsidRDefault="00C64FC7" w:rsidP="00A41763">
      <w:r w:rsidRPr="00602065">
        <w:t>On December 5, 2017, EIA conducted an Outreach</w:t>
      </w:r>
      <w:r w:rsidR="00E76D00" w:rsidRPr="00602065">
        <w:t xml:space="preserve"> Session via both WebEx and In-Person attendance options.</w:t>
      </w:r>
      <w:r w:rsidR="00E64621" w:rsidRPr="00602065">
        <w:t xml:space="preserve"> </w:t>
      </w:r>
      <w:r w:rsidR="00E76D00" w:rsidRPr="00602065">
        <w:t>Invitations were extended to respondents, known relevant trade associations, and other stakeholders known to EIA.</w:t>
      </w:r>
      <w:r w:rsidR="00E64621" w:rsidRPr="00602065">
        <w:t xml:space="preserve"> </w:t>
      </w:r>
      <w:r w:rsidR="009B7A31" w:rsidRPr="00602065">
        <w:t xml:space="preserve">Representatives from University of British Columbia/Oak Ridge National Lab and Fiber </w:t>
      </w:r>
      <w:r w:rsidR="005076D5" w:rsidRPr="00602065">
        <w:t xml:space="preserve">By-Products </w:t>
      </w:r>
      <w:r w:rsidR="009B7A31" w:rsidRPr="00602065">
        <w:t>attended via WebEx.</w:t>
      </w:r>
      <w:r w:rsidR="00E64621" w:rsidRPr="00602065">
        <w:t xml:space="preserve"> </w:t>
      </w:r>
      <w:r w:rsidR="009B7A31" w:rsidRPr="00602065">
        <w:t>A representative from Enviva Biomass attended in person.</w:t>
      </w:r>
      <w:r w:rsidR="00E64621" w:rsidRPr="00602065">
        <w:t xml:space="preserve"> </w:t>
      </w:r>
      <w:r w:rsidR="00EA3E6E" w:rsidRPr="00602065">
        <w:t>EIA’s presentation covered the uses and purposes of the Form EIA-63C and reviewed the proposed changes from the 60 Day Federal Register Notice</w:t>
      </w:r>
      <w:r w:rsidR="00481C4B" w:rsidRPr="00602065">
        <w:t xml:space="preserve"> (FRN)</w:t>
      </w:r>
      <w:r w:rsidR="00EA3E6E" w:rsidRPr="00602065">
        <w:t>.</w:t>
      </w:r>
    </w:p>
    <w:p w14:paraId="650B63A5" w14:textId="67BC955E" w:rsidR="00EA3E6E" w:rsidRPr="00602065" w:rsidRDefault="00481C4B" w:rsidP="00A41763">
      <w:r w:rsidRPr="00602065">
        <w:t>EIA received one written comment in response to the 60 Day FRN from the Pellet Fuels Institute (PFI), a trade association.</w:t>
      </w:r>
      <w:r w:rsidR="00E64621" w:rsidRPr="00602065">
        <w:t xml:space="preserve"> </w:t>
      </w:r>
      <w:r w:rsidR="00F67F53">
        <w:t>PFI</w:t>
      </w:r>
      <w:r w:rsidRPr="00602065">
        <w:t xml:space="preserve"> agreed with EIA’s propos</w:t>
      </w:r>
      <w:r w:rsidR="00D90752" w:rsidRPr="00602065">
        <w:t>al to</w:t>
      </w:r>
      <w:r w:rsidRPr="00602065">
        <w:t xml:space="preserve"> eliminat</w:t>
      </w:r>
      <w:r w:rsidR="00D90752" w:rsidRPr="00602065">
        <w:t>e</w:t>
      </w:r>
      <w:r w:rsidRPr="00602065">
        <w:t xml:space="preserve"> Questions 2.2, 2.4, 2.7</w:t>
      </w:r>
      <w:r w:rsidR="002A4ACB" w:rsidRPr="00602065">
        <w:t>,</w:t>
      </w:r>
      <w:r w:rsidRPr="00602065">
        <w:t xml:space="preserve"> and 3.2.</w:t>
      </w:r>
      <w:r w:rsidR="00E64621" w:rsidRPr="00602065">
        <w:t xml:space="preserve"> </w:t>
      </w:r>
      <w:r w:rsidR="00426911" w:rsidRPr="00602065">
        <w:t>T</w:t>
      </w:r>
      <w:r w:rsidRPr="00602065">
        <w:t>hey recommended keeping Questions 2.5, 2.6, and 4.2.</w:t>
      </w:r>
      <w:r w:rsidR="00E64621" w:rsidRPr="00602065">
        <w:t xml:space="preserve"> </w:t>
      </w:r>
      <w:r w:rsidRPr="00602065">
        <w:t xml:space="preserve">EIA carefully considered </w:t>
      </w:r>
      <w:r w:rsidR="002A4ACB" w:rsidRPr="00602065">
        <w:t xml:space="preserve">their </w:t>
      </w:r>
      <w:r w:rsidRPr="00602065">
        <w:t xml:space="preserve">comment and agreed that Question 2.5 provides useful information, knowing why pellet extrusion equipment </w:t>
      </w:r>
      <w:r w:rsidR="00922FAE" w:rsidRPr="00602065">
        <w:t>is</w:t>
      </w:r>
      <w:r w:rsidRPr="00602065">
        <w:t xml:space="preserve"> not fully utilized, and should be retained.</w:t>
      </w:r>
      <w:r w:rsidR="00E64621" w:rsidRPr="00602065">
        <w:t xml:space="preserve"> </w:t>
      </w:r>
      <w:r w:rsidRPr="00602065">
        <w:t xml:space="preserve">EIA stated that finding a way to publish the data that was both useful and did not compromise data protection was an issue, but agreed that going forward </w:t>
      </w:r>
      <w:r w:rsidR="00D90752" w:rsidRPr="00602065">
        <w:t>EIA</w:t>
      </w:r>
      <w:r w:rsidRPr="00602065">
        <w:t xml:space="preserve"> would provide the information in a narrative format rather than tabular summary of the data.</w:t>
      </w:r>
      <w:r w:rsidR="003618FC" w:rsidRPr="00602065">
        <w:t xml:space="preserve">  This will be done using the monthly “highlights” section that gets published alongside the data tables.</w:t>
      </w:r>
    </w:p>
    <w:p w14:paraId="7A7F1430" w14:textId="3CB70BC1" w:rsidR="005E2B20" w:rsidRPr="00602065" w:rsidRDefault="00481C4B" w:rsidP="00A41763">
      <w:r w:rsidRPr="00602065">
        <w:t xml:space="preserve">EIA is still </w:t>
      </w:r>
      <w:r w:rsidR="00D90752" w:rsidRPr="00602065">
        <w:t>removing</w:t>
      </w:r>
      <w:r w:rsidRPr="00602065">
        <w:t xml:space="preserve"> Question 2.6</w:t>
      </w:r>
      <w:r w:rsidR="005C0F8F" w:rsidRPr="00602065">
        <w:t xml:space="preserve">, </w:t>
      </w:r>
      <w:r w:rsidR="002A4ACB" w:rsidRPr="00602065">
        <w:t>P</w:t>
      </w:r>
      <w:r w:rsidR="005C0F8F" w:rsidRPr="00602065">
        <w:t xml:space="preserve">lanned </w:t>
      </w:r>
      <w:r w:rsidR="002A4ACB" w:rsidRPr="00602065">
        <w:t>M</w:t>
      </w:r>
      <w:r w:rsidR="005C0F8F" w:rsidRPr="00602065">
        <w:t xml:space="preserve">aximum </w:t>
      </w:r>
      <w:r w:rsidR="002A4ACB" w:rsidRPr="00602065">
        <w:t>A</w:t>
      </w:r>
      <w:r w:rsidR="005C0F8F" w:rsidRPr="00602065">
        <w:t xml:space="preserve">nnual </w:t>
      </w:r>
      <w:r w:rsidR="002A4ACB" w:rsidRPr="00602065">
        <w:t>P</w:t>
      </w:r>
      <w:r w:rsidR="005C0F8F" w:rsidRPr="00602065">
        <w:t xml:space="preserve">roduction, and Question 4.2, </w:t>
      </w:r>
      <w:r w:rsidR="002A4ACB" w:rsidRPr="00602065">
        <w:t>P</w:t>
      </w:r>
      <w:r w:rsidR="005C0F8F" w:rsidRPr="00602065">
        <w:t xml:space="preserve">orts for </w:t>
      </w:r>
      <w:r w:rsidR="002A4ACB" w:rsidRPr="00602065">
        <w:t>P</w:t>
      </w:r>
      <w:r w:rsidR="005C0F8F" w:rsidRPr="00602065">
        <w:t xml:space="preserve">ellet </w:t>
      </w:r>
      <w:r w:rsidR="002A4ACB" w:rsidRPr="00602065">
        <w:t>E</w:t>
      </w:r>
      <w:r w:rsidR="005C0F8F" w:rsidRPr="00602065">
        <w:t>xport. Respondents have been unable to consistently provide accurate planned capacity data.</w:t>
      </w:r>
      <w:r w:rsidR="00E64621" w:rsidRPr="00602065">
        <w:t xml:space="preserve"> </w:t>
      </w:r>
      <w:r w:rsidR="005C0F8F" w:rsidRPr="00602065">
        <w:t>Problems have included reports of planned capacity less than existing capacity and reported capacity expansions that never occurred.</w:t>
      </w:r>
      <w:r w:rsidR="00E64621" w:rsidRPr="00602065">
        <w:t xml:space="preserve"> </w:t>
      </w:r>
      <w:r w:rsidR="005C0F8F" w:rsidRPr="00602065">
        <w:t>Further, only a small number of respondents provide the export port, so the data cannot be published without violating data protection rules designed to maintain the confidentiality of company-specific</w:t>
      </w:r>
      <w:r w:rsidR="00E64621" w:rsidRPr="00602065">
        <w:t xml:space="preserve"> </w:t>
      </w:r>
      <w:r w:rsidR="005C0F8F" w:rsidRPr="00602065">
        <w:t>information.</w:t>
      </w:r>
    </w:p>
    <w:p w14:paraId="4EB283F7" w14:textId="77777777" w:rsidR="008C734C" w:rsidRPr="00602065" w:rsidRDefault="008C734C" w:rsidP="008C734C">
      <w:pPr>
        <w:pStyle w:val="Heading2"/>
      </w:pPr>
      <w:bookmarkStart w:id="23" w:name="_Toc493689555"/>
      <w:bookmarkStart w:id="24" w:name="_Toc466046217"/>
      <w:r w:rsidRPr="00602065">
        <w:t>A.</w:t>
      </w:r>
      <w:r w:rsidR="00A41763" w:rsidRPr="00602065">
        <w:t xml:space="preserve">9. </w:t>
      </w:r>
      <w:r w:rsidRPr="00602065">
        <w:t>Payments or Gifts to Respondents</w:t>
      </w:r>
      <w:bookmarkEnd w:id="23"/>
      <w:bookmarkEnd w:id="24"/>
      <w:r w:rsidRPr="00602065">
        <w:t xml:space="preserve"> </w:t>
      </w:r>
    </w:p>
    <w:p w14:paraId="362CE85B" w14:textId="3D8AE30E" w:rsidR="008C734C" w:rsidRPr="00602065" w:rsidRDefault="00A302CF" w:rsidP="00A41763">
      <w:pPr>
        <w:rPr>
          <w:b/>
          <w:bCs/>
        </w:rPr>
      </w:pPr>
      <w:r w:rsidRPr="00602065">
        <w:rPr>
          <w:bCs/>
        </w:rPr>
        <w:t xml:space="preserve">There will not be any payments made or gifts given to respondents as an incentive to complete the </w:t>
      </w:r>
      <w:r w:rsidR="00AA7825" w:rsidRPr="00602065">
        <w:rPr>
          <w:bCs/>
        </w:rPr>
        <w:t>densified biomass</w:t>
      </w:r>
      <w:r w:rsidRPr="00602065">
        <w:rPr>
          <w:bCs/>
        </w:rPr>
        <w:t xml:space="preserve"> survey.</w:t>
      </w:r>
    </w:p>
    <w:p w14:paraId="73DAC75E" w14:textId="77777777" w:rsidR="008C734C" w:rsidRPr="00602065" w:rsidRDefault="008C734C" w:rsidP="008C734C">
      <w:pPr>
        <w:pStyle w:val="Heading2"/>
      </w:pPr>
      <w:bookmarkStart w:id="25" w:name="_Toc493689556"/>
      <w:bookmarkStart w:id="26" w:name="_Toc466046218"/>
      <w:r w:rsidRPr="00602065">
        <w:t>A.</w:t>
      </w:r>
      <w:r w:rsidR="00A41763" w:rsidRPr="00602065">
        <w:t xml:space="preserve">10. </w:t>
      </w:r>
      <w:r w:rsidRPr="00602065">
        <w:t>Provisions for Protection of Information</w:t>
      </w:r>
      <w:bookmarkEnd w:id="25"/>
      <w:bookmarkEnd w:id="26"/>
      <w:r w:rsidRPr="00602065">
        <w:t xml:space="preserve"> </w:t>
      </w:r>
    </w:p>
    <w:p w14:paraId="2B1F58F6" w14:textId="77777777" w:rsidR="00312628" w:rsidRPr="00602065" w:rsidRDefault="00312628" w:rsidP="00312628">
      <w:r w:rsidRPr="00602065">
        <w:t>Information reported for the following three data elements: Part 1. Name of Facility; Question 1.2. Physical Location of Facility; and Question 2.2. Maximum Annual Production Capacity; are considered public information and may be publicly released in company identifiable form.</w:t>
      </w:r>
    </w:p>
    <w:p w14:paraId="6CA499ED" w14:textId="77777777" w:rsidR="00312628" w:rsidRPr="00602065" w:rsidRDefault="00312628" w:rsidP="00312628">
      <w:r w:rsidRPr="00602065">
        <w:t>All other information reported on this survey will be protected and not disclosed to the public to the extent that it satisfies the criteria for exemption under the Freedom of Information Act (FOIA), 5 U.S.C. §552, the Department of Energy (DOE) regulations, 10 C.F.R. §1004.11, implementing the FOIA, and the Trade Secrets Act, 18 U.S.C. §1905.</w:t>
      </w:r>
    </w:p>
    <w:p w14:paraId="23E9C5B1" w14:textId="14357518" w:rsidR="00F056C3" w:rsidRPr="00602065" w:rsidRDefault="00312628" w:rsidP="00A41763">
      <w:pPr>
        <w:rPr>
          <w:b/>
          <w:bCs/>
        </w:rPr>
      </w:pPr>
      <w:r w:rsidRPr="00602065">
        <w:t xml:space="preserve">The Federal Energy Administration Act also requires EIA to provide company-specific data to other </w:t>
      </w:r>
      <w:r w:rsidR="001E1EFC" w:rsidRPr="00602065">
        <w:t>f</w:t>
      </w:r>
      <w:r w:rsidRPr="00602065">
        <w:t>ederal agencies when requested for official use.</w:t>
      </w:r>
      <w:r w:rsidR="00E610D7" w:rsidRPr="00602065">
        <w:t xml:space="preserve"> </w:t>
      </w:r>
      <w:r w:rsidRPr="00602065">
        <w:t>The information reported on these forms may also be made available, upon request, to another component of DOE; to any Committee of Congress; the Government Accountability Office; or other federal agencies authorized by law to receive such information.</w:t>
      </w:r>
      <w:r w:rsidR="00E610D7" w:rsidRPr="00602065">
        <w:t xml:space="preserve"> </w:t>
      </w:r>
      <w:r w:rsidRPr="00602065">
        <w:t>A court of competent jurisdiction may obtain this information in response to an order.</w:t>
      </w:r>
      <w:r w:rsidR="00E610D7" w:rsidRPr="00602065">
        <w:t xml:space="preserve"> </w:t>
      </w:r>
      <w:r w:rsidRPr="00602065">
        <w:t>The information may be used by other federal agencies for non-statistical purposes such as administrative, regulatory, law enforcement, or adjudicatory purposes.</w:t>
      </w:r>
    </w:p>
    <w:p w14:paraId="5A51D5CB" w14:textId="77777777" w:rsidR="00F056C3" w:rsidRPr="00602065" w:rsidRDefault="00F056C3" w:rsidP="00F056C3">
      <w:pPr>
        <w:pStyle w:val="Heading2"/>
      </w:pPr>
      <w:bookmarkStart w:id="27" w:name="_Toc493689557"/>
      <w:bookmarkStart w:id="28" w:name="_Toc466046219"/>
      <w:r w:rsidRPr="00602065">
        <w:t>A.</w:t>
      </w:r>
      <w:r w:rsidR="00A41763" w:rsidRPr="00602065">
        <w:t xml:space="preserve">11. </w:t>
      </w:r>
      <w:r w:rsidRPr="00602065">
        <w:t>Justification for Sensitive Questions</w:t>
      </w:r>
      <w:bookmarkEnd w:id="27"/>
      <w:bookmarkEnd w:id="28"/>
      <w:r w:rsidRPr="00602065">
        <w:t xml:space="preserve"> </w:t>
      </w:r>
    </w:p>
    <w:p w14:paraId="261BF459" w14:textId="61D9C780" w:rsidR="00F056C3" w:rsidRPr="00602065" w:rsidRDefault="00BF7D49" w:rsidP="00A41763">
      <w:pPr>
        <w:rPr>
          <w:b/>
          <w:bCs/>
        </w:rPr>
      </w:pPr>
      <w:r w:rsidRPr="00602065">
        <w:rPr>
          <w:bCs/>
        </w:rPr>
        <w:t>There are no questions of a sensitive nature.</w:t>
      </w:r>
    </w:p>
    <w:p w14:paraId="1979B3BB" w14:textId="77777777" w:rsidR="00F056C3" w:rsidRPr="00602065" w:rsidRDefault="00F056C3" w:rsidP="00F056C3">
      <w:pPr>
        <w:pStyle w:val="Heading2"/>
      </w:pPr>
      <w:bookmarkStart w:id="29" w:name="_Toc493689558"/>
      <w:bookmarkStart w:id="30" w:name="_Toc466046220"/>
      <w:r w:rsidRPr="00602065">
        <w:t>A.</w:t>
      </w:r>
      <w:r w:rsidR="00A41763" w:rsidRPr="00602065">
        <w:t xml:space="preserve">12. </w:t>
      </w:r>
      <w:r w:rsidRPr="00602065">
        <w:t>Estimate of Respondent Burden Hours and Cost</w:t>
      </w:r>
      <w:bookmarkEnd w:id="29"/>
      <w:bookmarkEnd w:id="30"/>
      <w:r w:rsidRPr="00602065">
        <w:t xml:space="preserve"> </w:t>
      </w:r>
    </w:p>
    <w:p w14:paraId="0C4CAE33" w14:textId="4797F42D" w:rsidR="008E140B" w:rsidRPr="00602065" w:rsidRDefault="00004904" w:rsidP="00004904">
      <w:pPr>
        <w:rPr>
          <w:bCs/>
        </w:rPr>
      </w:pPr>
      <w:bookmarkStart w:id="31" w:name="_Toc459210196"/>
      <w:r w:rsidRPr="00602065">
        <w:rPr>
          <w:bCs/>
        </w:rPr>
        <w:t>The total annual burden is estimated to be</w:t>
      </w:r>
      <w:r w:rsidR="00481C66" w:rsidRPr="00602065">
        <w:rPr>
          <w:bCs/>
        </w:rPr>
        <w:t xml:space="preserve"> </w:t>
      </w:r>
      <w:r w:rsidR="00B858D5" w:rsidRPr="00602065">
        <w:rPr>
          <w:bCs/>
        </w:rPr>
        <w:t>1,</w:t>
      </w:r>
      <w:r w:rsidR="00045CA6">
        <w:rPr>
          <w:bCs/>
        </w:rPr>
        <w:t>467</w:t>
      </w:r>
      <w:r w:rsidR="00045CA6" w:rsidRPr="00602065">
        <w:rPr>
          <w:bCs/>
        </w:rPr>
        <w:t xml:space="preserve"> </w:t>
      </w:r>
      <w:r w:rsidRPr="00602065">
        <w:rPr>
          <w:bCs/>
        </w:rPr>
        <w:t xml:space="preserve">hours (see Table </w:t>
      </w:r>
      <w:r w:rsidR="001E1EFC" w:rsidRPr="00602065">
        <w:rPr>
          <w:bCs/>
        </w:rPr>
        <w:t>2</w:t>
      </w:r>
      <w:r w:rsidRPr="00602065">
        <w:rPr>
          <w:bCs/>
        </w:rPr>
        <w:t>, below</w:t>
      </w:r>
      <w:bookmarkEnd w:id="31"/>
      <w:r w:rsidR="00091A29" w:rsidRPr="00602065">
        <w:rPr>
          <w:bCs/>
        </w:rPr>
        <w:t>).</w:t>
      </w:r>
      <w:r w:rsidR="002A6FF3" w:rsidRPr="00602065">
        <w:rPr>
          <w:bCs/>
        </w:rPr>
        <w:t xml:space="preserve"> </w:t>
      </w:r>
      <w:r w:rsidR="008E140B" w:rsidRPr="00602065">
        <w:rPr>
          <w:bCs/>
        </w:rPr>
        <w:t xml:space="preserve">During May and June of 2017, EIA conducted a cognitive research project </w:t>
      </w:r>
      <w:r w:rsidR="00080B05" w:rsidRPr="00602065">
        <w:rPr>
          <w:bCs/>
        </w:rPr>
        <w:t xml:space="preserve">on the form (including the six questions) </w:t>
      </w:r>
      <w:r w:rsidR="008E140B" w:rsidRPr="00602065">
        <w:rPr>
          <w:bCs/>
        </w:rPr>
        <w:t>to verify the reporting burden estimate of 1.5 hours and found it to be accurate based on responses received from the participants.</w:t>
      </w:r>
      <w:r w:rsidR="00045CA6" w:rsidRPr="00045CA6">
        <w:rPr>
          <w:bCs/>
        </w:rPr>
        <w:t xml:space="preserve"> </w:t>
      </w:r>
      <w:r w:rsidR="00045CA6" w:rsidRPr="00602065">
        <w:rPr>
          <w:bCs/>
        </w:rPr>
        <w:t>The burden hours per response of 1.4 hours is based on the removal of the six questions from the burden in the previous clearance of 1.5 hours.</w:t>
      </w:r>
    </w:p>
    <w:p w14:paraId="6CF0C5A7" w14:textId="0E8FFE01" w:rsidR="00004904" w:rsidRPr="00602065" w:rsidRDefault="004A4B6B" w:rsidP="00004904">
      <w:pPr>
        <w:rPr>
          <w:bCs/>
        </w:rPr>
      </w:pPr>
      <w:r w:rsidRPr="00602065">
        <w:rPr>
          <w:bCs/>
        </w:rPr>
        <w:t>Based</w:t>
      </w:r>
      <w:r w:rsidR="00004904" w:rsidRPr="00602065">
        <w:rPr>
          <w:bCs/>
        </w:rPr>
        <w:t xml:space="preserve"> on the estimated rate of $</w:t>
      </w:r>
      <w:r w:rsidR="0001060F" w:rsidRPr="00602065">
        <w:t>75.69</w:t>
      </w:r>
      <w:r w:rsidR="00E92F26" w:rsidRPr="00602065">
        <w:t xml:space="preserve"> </w:t>
      </w:r>
      <w:r w:rsidR="00004904" w:rsidRPr="00602065">
        <w:rPr>
          <w:bCs/>
        </w:rPr>
        <w:t>per hour for employees who would complete these forms, the total annual respondent cost for all forms is estimated to be:</w:t>
      </w:r>
    </w:p>
    <w:p w14:paraId="6BDB84C3" w14:textId="456F6DF9" w:rsidR="00004904" w:rsidRPr="00602065" w:rsidRDefault="00004904" w:rsidP="006E431A">
      <w:pPr>
        <w:rPr>
          <w:bCs/>
        </w:rPr>
      </w:pPr>
      <w:r w:rsidRPr="00602065">
        <w:rPr>
          <w:bCs/>
        </w:rPr>
        <w:t>$</w:t>
      </w:r>
      <w:r w:rsidR="0001060F" w:rsidRPr="00602065">
        <w:t>75.69</w:t>
      </w:r>
      <w:r w:rsidRPr="00602065">
        <w:rPr>
          <w:bCs/>
        </w:rPr>
        <w:t xml:space="preserve">/hour x </w:t>
      </w:r>
      <w:r w:rsidR="00B858D5" w:rsidRPr="00602065">
        <w:rPr>
          <w:bCs/>
        </w:rPr>
        <w:t>1,</w:t>
      </w:r>
      <w:r w:rsidR="00045CA6">
        <w:rPr>
          <w:bCs/>
        </w:rPr>
        <w:t>467</w:t>
      </w:r>
      <w:r w:rsidR="00045CA6" w:rsidRPr="00602065">
        <w:rPr>
          <w:bCs/>
        </w:rPr>
        <w:t xml:space="preserve"> </w:t>
      </w:r>
      <w:r w:rsidRPr="00602065">
        <w:rPr>
          <w:bCs/>
        </w:rPr>
        <w:t>hours/year = $</w:t>
      </w:r>
      <w:r w:rsidR="00045CA6" w:rsidRPr="00602065">
        <w:rPr>
          <w:bCs/>
        </w:rPr>
        <w:t>11</w:t>
      </w:r>
      <w:r w:rsidR="00045CA6">
        <w:rPr>
          <w:bCs/>
        </w:rPr>
        <w:t>1</w:t>
      </w:r>
      <w:r w:rsidR="0001060F" w:rsidRPr="00602065">
        <w:rPr>
          <w:bCs/>
        </w:rPr>
        <w:t>,</w:t>
      </w:r>
      <w:r w:rsidR="00045CA6">
        <w:rPr>
          <w:bCs/>
        </w:rPr>
        <w:t>026</w:t>
      </w:r>
      <w:r w:rsidR="0001060F" w:rsidRPr="00602065">
        <w:rPr>
          <w:bCs/>
        </w:rPr>
        <w:t>.</w:t>
      </w:r>
    </w:p>
    <w:p w14:paraId="5F8118A9" w14:textId="7019F1B8" w:rsidR="00A41763" w:rsidRPr="00602065" w:rsidRDefault="00004904" w:rsidP="00004904">
      <w:r w:rsidRPr="00602065">
        <w:rPr>
          <w:bCs/>
        </w:rPr>
        <w:t>An average cost per hour of $</w:t>
      </w:r>
      <w:r w:rsidR="0001060F" w:rsidRPr="00602065">
        <w:t>75.69</w:t>
      </w:r>
      <w:r w:rsidR="00AC7924" w:rsidRPr="00602065">
        <w:t xml:space="preserve"> </w:t>
      </w:r>
      <w:r w:rsidRPr="00602065">
        <w:rPr>
          <w:bCs/>
        </w:rPr>
        <w:t>is used because that is the average loaded (salary plus benefits) cost for an EIA employee assigned to data survey work. EIA assumes that the survey respondent workforce completing surveys for EIA is comparable with EIA workforce</w:t>
      </w:r>
      <w:r w:rsidR="00A41763" w:rsidRPr="00602065">
        <w:rPr>
          <w:b/>
          <w:bCs/>
        </w:rPr>
        <w:t xml:space="preserve">. </w:t>
      </w:r>
    </w:p>
    <w:p w14:paraId="783661B5" w14:textId="77777777" w:rsidR="005E2B20" w:rsidRPr="00602065" w:rsidRDefault="005E2B20" w:rsidP="00004904"/>
    <w:bookmarkStart w:id="32" w:name="_MON_1539789608"/>
    <w:bookmarkEnd w:id="32"/>
    <w:p w14:paraId="76A1D34F" w14:textId="32558B6D" w:rsidR="00DF01B8" w:rsidRPr="00602065" w:rsidRDefault="00045CA6" w:rsidP="006E431A">
      <w:pPr>
        <w:pStyle w:val="Heading2"/>
      </w:pPr>
      <w:r w:rsidRPr="00602065">
        <w:rPr>
          <w:bCs/>
        </w:rPr>
        <w:object w:dxaOrig="10287" w:dyaOrig="2082" w14:anchorId="18C68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45pt;height:111.2pt" o:ole="">
            <v:imagedata r:id="rId19" o:title=""/>
          </v:shape>
          <o:OLEObject Type="Embed" ProgID="Excel.Sheet.12" ShapeID="_x0000_i1025" DrawAspect="Content" ObjectID="_1591530620" r:id="rId20"/>
        </w:object>
      </w:r>
      <w:bookmarkStart w:id="33" w:name="_Toc466046221"/>
    </w:p>
    <w:p w14:paraId="040750CA" w14:textId="77777777" w:rsidR="00F056C3" w:rsidRPr="00602065" w:rsidRDefault="00F056C3" w:rsidP="00F056C3">
      <w:pPr>
        <w:pStyle w:val="Heading2"/>
      </w:pPr>
      <w:bookmarkStart w:id="34" w:name="_Toc493689559"/>
      <w:r w:rsidRPr="00602065">
        <w:t>A.</w:t>
      </w:r>
      <w:r w:rsidR="00A41763" w:rsidRPr="00602065">
        <w:t xml:space="preserve">13. </w:t>
      </w:r>
      <w:r w:rsidRPr="00602065">
        <w:t>Annual Cost to the Federal Government</w:t>
      </w:r>
      <w:bookmarkEnd w:id="33"/>
      <w:bookmarkEnd w:id="34"/>
    </w:p>
    <w:p w14:paraId="27B3179F" w14:textId="3E7C4D8C" w:rsidR="0091409C" w:rsidRPr="00602065" w:rsidRDefault="00C64E81" w:rsidP="002205DC">
      <w:pPr>
        <w:rPr>
          <w:bCs/>
        </w:rPr>
        <w:sectPr w:rsidR="0091409C" w:rsidRPr="00602065" w:rsidSect="008F4CBD">
          <w:headerReference w:type="even" r:id="rId21"/>
          <w:headerReference w:type="default" r:id="rId22"/>
          <w:footerReference w:type="even" r:id="rId23"/>
          <w:headerReference w:type="first" r:id="rId24"/>
          <w:footerReference w:type="first" r:id="rId25"/>
          <w:pgSz w:w="12240" w:h="15840"/>
          <w:pgMar w:top="1440" w:right="1440" w:bottom="1440" w:left="1440" w:header="720" w:footer="720" w:gutter="0"/>
          <w:pgNumType w:start="1"/>
          <w:cols w:space="720"/>
          <w:docGrid w:linePitch="360"/>
        </w:sectPr>
      </w:pPr>
      <w:r w:rsidRPr="00602065">
        <w:rPr>
          <w:bCs/>
        </w:rPr>
        <w:t xml:space="preserve">The </w:t>
      </w:r>
      <w:r w:rsidR="00A478C3" w:rsidRPr="0040619F">
        <w:rPr>
          <w:bCs/>
        </w:rPr>
        <w:t>est</w:t>
      </w:r>
      <w:r w:rsidR="00B02234" w:rsidRPr="0040619F">
        <w:rPr>
          <w:bCs/>
        </w:rPr>
        <w:t xml:space="preserve">imated </w:t>
      </w:r>
      <w:r w:rsidRPr="0040619F">
        <w:rPr>
          <w:bCs/>
        </w:rPr>
        <w:t xml:space="preserve">annual cost </w:t>
      </w:r>
      <w:r w:rsidR="00A478C3" w:rsidRPr="0040619F">
        <w:rPr>
          <w:bCs/>
        </w:rPr>
        <w:t>to the government for Form EIA-63C</w:t>
      </w:r>
      <w:r w:rsidRPr="0040619F">
        <w:rPr>
          <w:bCs/>
        </w:rPr>
        <w:t xml:space="preserve">, including personnel, maintenance, </w:t>
      </w:r>
      <w:r w:rsidR="00B02234" w:rsidRPr="0040619F">
        <w:rPr>
          <w:bCs/>
        </w:rPr>
        <w:t xml:space="preserve">data </w:t>
      </w:r>
      <w:r w:rsidRPr="00602065">
        <w:rPr>
          <w:bCs/>
        </w:rPr>
        <w:t>collection, and processing by EIA</w:t>
      </w:r>
      <w:r w:rsidR="00A478C3" w:rsidRPr="00602065">
        <w:rPr>
          <w:bCs/>
        </w:rPr>
        <w:t xml:space="preserve"> is approximately $158,949</w:t>
      </w:r>
      <w:r w:rsidRPr="00602065">
        <w:rPr>
          <w:bCs/>
        </w:rPr>
        <w:t>.</w:t>
      </w:r>
      <w:r w:rsidR="00E610D7" w:rsidRPr="00602065">
        <w:rPr>
          <w:bCs/>
        </w:rPr>
        <w:t xml:space="preserve"> </w:t>
      </w:r>
      <w:r w:rsidRPr="00602065">
        <w:rPr>
          <w:bCs/>
        </w:rPr>
        <w:t>The data requested will be captured via an internet data collection system and website for which EIA already has technology in place</w:t>
      </w:r>
      <w:bookmarkStart w:id="35" w:name="_Toc466046222"/>
      <w:r w:rsidR="00C34D80" w:rsidRPr="00602065">
        <w:rPr>
          <w:bCs/>
        </w:rPr>
        <w:t>.</w:t>
      </w:r>
      <w:r w:rsidR="005D0B3A" w:rsidRPr="00602065">
        <w:rPr>
          <w:bCs/>
        </w:rPr>
        <w:t xml:space="preserve"> </w:t>
      </w:r>
      <w:r w:rsidR="00C34D80" w:rsidRPr="00602065">
        <w:rPr>
          <w:bCs/>
        </w:rPr>
        <w:t>T</w:t>
      </w:r>
      <w:r w:rsidR="00A478C3" w:rsidRPr="00602065">
        <w:rPr>
          <w:bCs/>
        </w:rPr>
        <w:t>he estimate of $158,949 is based on one full-time equivalent (FTE) employee. (The current estimate of the hourly rate for an EIA employee is $75.69/hour.</w:t>
      </w:r>
      <w:r w:rsidR="005D0B3A" w:rsidRPr="00602065">
        <w:rPr>
          <w:bCs/>
        </w:rPr>
        <w:t xml:space="preserve"> </w:t>
      </w:r>
      <w:r w:rsidR="00A478C3" w:rsidRPr="00602065">
        <w:rPr>
          <w:bCs/>
        </w:rPr>
        <w:t>Assuming 2,100 hours per year the annual cost is $158,949.)</w:t>
      </w:r>
      <w:r w:rsidR="004B35D0" w:rsidRPr="00602065">
        <w:rPr>
          <w:bCs/>
        </w:rPr>
        <w:t xml:space="preserve"> The estimate of one FTE is based on experience with other EIA electricity surveys, the frame size of 10</w:t>
      </w:r>
      <w:r w:rsidR="00173DE7">
        <w:rPr>
          <w:bCs/>
        </w:rPr>
        <w:t>8</w:t>
      </w:r>
      <w:r w:rsidR="004B35D0" w:rsidRPr="00602065">
        <w:rPr>
          <w:bCs/>
        </w:rPr>
        <w:t xml:space="preserve"> respondents and the frequency of data collection.</w:t>
      </w:r>
    </w:p>
    <w:p w14:paraId="1C9DF81E" w14:textId="77777777" w:rsidR="00F056C3" w:rsidRPr="00602065" w:rsidRDefault="00F056C3" w:rsidP="00F056C3">
      <w:pPr>
        <w:pStyle w:val="Heading2"/>
      </w:pPr>
      <w:bookmarkStart w:id="36" w:name="_Toc493689560"/>
      <w:r w:rsidRPr="00602065">
        <w:t>A.</w:t>
      </w:r>
      <w:r w:rsidR="00A41763" w:rsidRPr="00602065">
        <w:t xml:space="preserve">14. </w:t>
      </w:r>
      <w:r w:rsidRPr="00602065">
        <w:t>Changes in Burden</w:t>
      </w:r>
      <w:bookmarkEnd w:id="35"/>
      <w:bookmarkEnd w:id="36"/>
      <w:r w:rsidRPr="00602065">
        <w:t xml:space="preserve"> </w:t>
      </w:r>
    </w:p>
    <w:p w14:paraId="73446A11" w14:textId="3500EA95" w:rsidR="00A87EA2" w:rsidRPr="0026677D" w:rsidRDefault="00184B64" w:rsidP="00A41763">
      <w:pPr>
        <w:rPr>
          <w:iCs/>
        </w:rPr>
      </w:pPr>
      <w:r w:rsidRPr="00602065">
        <w:rPr>
          <w:bCs/>
        </w:rPr>
        <w:t xml:space="preserve">The estimated change in annual burden is </w:t>
      </w:r>
      <w:r w:rsidR="00AB41CA" w:rsidRPr="00602065">
        <w:rPr>
          <w:bCs/>
        </w:rPr>
        <w:t xml:space="preserve">a reduction of </w:t>
      </w:r>
      <w:r w:rsidR="001E7D88" w:rsidRPr="00602065">
        <w:rPr>
          <w:bCs/>
        </w:rPr>
        <w:t>1,</w:t>
      </w:r>
      <w:r w:rsidR="00A066BE">
        <w:rPr>
          <w:bCs/>
        </w:rPr>
        <w:t>233</w:t>
      </w:r>
      <w:r w:rsidR="00A066BE" w:rsidRPr="00602065">
        <w:rPr>
          <w:bCs/>
        </w:rPr>
        <w:t xml:space="preserve"> </w:t>
      </w:r>
      <w:r w:rsidR="00C56984" w:rsidRPr="00602065">
        <w:rPr>
          <w:bCs/>
        </w:rPr>
        <w:t>hours</w:t>
      </w:r>
      <w:r w:rsidRPr="00602065">
        <w:rPr>
          <w:bCs/>
        </w:rPr>
        <w:t xml:space="preserve"> as shown in Table </w:t>
      </w:r>
      <w:r w:rsidR="001E1EFC" w:rsidRPr="00602065">
        <w:rPr>
          <w:bCs/>
        </w:rPr>
        <w:t>3</w:t>
      </w:r>
      <w:r w:rsidRPr="00602065">
        <w:rPr>
          <w:bCs/>
        </w:rPr>
        <w:t xml:space="preserve"> below</w:t>
      </w:r>
      <w:r w:rsidR="00A41763" w:rsidRPr="00602065">
        <w:rPr>
          <w:i/>
          <w:iCs/>
        </w:rPr>
        <w:t>.</w:t>
      </w:r>
    </w:p>
    <w:p w14:paraId="22A5FFD8" w14:textId="2ABA1166" w:rsidR="00A41763" w:rsidRPr="00602065" w:rsidRDefault="009B2A9E" w:rsidP="00A41763">
      <w:pPr>
        <w:rPr>
          <w:i/>
          <w:iCs/>
        </w:rPr>
      </w:pPr>
      <w:r>
        <w:rPr>
          <w:i/>
          <w:iCs/>
          <w:noProof/>
        </w:rPr>
        <w:pict w14:anchorId="13D68B67">
          <v:shape id="_x0000_s1031" type="#_x0000_t75" style="position:absolute;margin-left:-60.75pt;margin-top:19.9pt;width:771.75pt;height:143.45pt;z-index:251694080;mso-position-horizontal-relative:text;mso-position-vertical-relative:text">
            <v:imagedata r:id="rId26" o:title=""/>
            <o:lock v:ext="edit" aspectratio="f"/>
            <w10:wrap type="topAndBottom"/>
          </v:shape>
          <o:OLEObject Type="Embed" ProgID="Excel.Sheet.12" ShapeID="_x0000_s1031" DrawAspect="Content" ObjectID="_1591530622" r:id="rId27"/>
        </w:pict>
      </w:r>
      <w:r w:rsidR="00A41763" w:rsidRPr="00602065">
        <w:rPr>
          <w:i/>
          <w:iCs/>
        </w:rPr>
        <w:t xml:space="preserve"> </w:t>
      </w:r>
    </w:p>
    <w:p w14:paraId="5554CA13" w14:textId="77777777" w:rsidR="0091409C" w:rsidRPr="00602065" w:rsidRDefault="0091409C" w:rsidP="00A72AA8">
      <w:pPr>
        <w:ind w:left="-720" w:right="-720"/>
      </w:pPr>
    </w:p>
    <w:p w14:paraId="30D9151E" w14:textId="77777777" w:rsidR="0068693E" w:rsidRPr="00602065" w:rsidRDefault="0068693E" w:rsidP="00A41763">
      <w:pPr>
        <w:rPr>
          <w:b/>
          <w:bCs/>
        </w:rPr>
        <w:sectPr w:rsidR="0068693E" w:rsidRPr="00602065" w:rsidSect="0068693E">
          <w:pgSz w:w="15840" w:h="12240" w:orient="landscape"/>
          <w:pgMar w:top="1440" w:right="1440" w:bottom="1440" w:left="1440" w:header="720" w:footer="720" w:gutter="0"/>
          <w:cols w:space="720"/>
          <w:docGrid w:linePitch="360"/>
        </w:sectPr>
      </w:pPr>
    </w:p>
    <w:p w14:paraId="130BEE0D" w14:textId="14F78D24" w:rsidR="006D42EC" w:rsidRPr="00602065" w:rsidRDefault="00F056C3" w:rsidP="006D42EC">
      <w:pPr>
        <w:pStyle w:val="Heading2"/>
      </w:pPr>
      <w:bookmarkStart w:id="37" w:name="_Toc493689561"/>
      <w:bookmarkStart w:id="38" w:name="_Toc466046223"/>
      <w:r w:rsidRPr="00602065">
        <w:t>A.</w:t>
      </w:r>
      <w:r w:rsidR="00A41763" w:rsidRPr="00602065">
        <w:t xml:space="preserve">15. </w:t>
      </w:r>
      <w:r w:rsidR="006D42EC" w:rsidRPr="00602065">
        <w:t>Reasons for Changes in Burden</w:t>
      </w:r>
      <w:bookmarkEnd w:id="37"/>
      <w:bookmarkEnd w:id="38"/>
    </w:p>
    <w:p w14:paraId="33D5F860" w14:textId="2440C141" w:rsidR="001449E9" w:rsidRDefault="001405EC" w:rsidP="001449E9">
      <w:r w:rsidRPr="00602065">
        <w:t xml:space="preserve">The reduction of </w:t>
      </w:r>
      <w:r>
        <w:t>1,233</w:t>
      </w:r>
      <w:r w:rsidRPr="00602065">
        <w:t xml:space="preserve"> annual burden hours is comprised of three factors. One factor for </w:t>
      </w:r>
      <w:r>
        <w:t xml:space="preserve">the </w:t>
      </w:r>
      <w:r w:rsidRPr="00602065">
        <w:t xml:space="preserve">reduction is due to a frame adjustment </w:t>
      </w:r>
      <w:r>
        <w:t xml:space="preserve">following the </w:t>
      </w:r>
      <w:r w:rsidRPr="00602065">
        <w:t>initial cycle of</w:t>
      </w:r>
      <w:r>
        <w:t xml:space="preserve"> data</w:t>
      </w:r>
      <w:r w:rsidRPr="00C150FD">
        <w:t xml:space="preserve"> collection. </w:t>
      </w:r>
      <w:r>
        <w:t>When creating the frame in 2015, EIA used</w:t>
      </w:r>
      <w:r w:rsidRPr="0081529E">
        <w:t xml:space="preserve"> two main sources </w:t>
      </w:r>
      <w:r>
        <w:t xml:space="preserve">to target respondents. The first of these sources came from </w:t>
      </w:r>
      <w:r w:rsidRPr="0081529E">
        <w:t>discussions with</w:t>
      </w:r>
      <w:r w:rsidRPr="00C33325">
        <w:t xml:space="preserve"> </w:t>
      </w:r>
      <w:r>
        <w:t>the Pellet Fuel Institute,</w:t>
      </w:r>
      <w:r w:rsidRPr="0081529E">
        <w:t xml:space="preserve"> trade groups</w:t>
      </w:r>
      <w:r>
        <w:t>, and biomass manufacturers. </w:t>
      </w:r>
      <w:r w:rsidRPr="0081529E">
        <w:t>The second source was a list</w:t>
      </w:r>
      <w:r>
        <w:t xml:space="preserve"> of biomass manufactures published by Biomass Magazine. </w:t>
      </w:r>
      <w:r w:rsidRPr="0081529E">
        <w:t xml:space="preserve">This </w:t>
      </w:r>
      <w:r>
        <w:t xml:space="preserve">periodically updated </w:t>
      </w:r>
      <w:r w:rsidRPr="0081529E">
        <w:t>list include</w:t>
      </w:r>
      <w:r>
        <w:t xml:space="preserve">d more than 100 manufacturing establishments. Utilizing </w:t>
      </w:r>
      <w:r w:rsidRPr="0081529E">
        <w:t>these sources</w:t>
      </w:r>
      <w:r>
        <w:t>,</w:t>
      </w:r>
      <w:r w:rsidRPr="0081529E">
        <w:t xml:space="preserve"> </w:t>
      </w:r>
      <w:r>
        <w:t>EIA identified 150 establishments as the initial reporting population for Form EIA-63C. Since the initial survey collection, the survey frame has</w:t>
      </w:r>
      <w:r w:rsidR="00363379">
        <w:t xml:space="preserve"> been</w:t>
      </w:r>
      <w:r>
        <w:t xml:space="preserve"> regularly updated to remove duplicate reporting entities, establishments that ceased operations, and establishments that were improperly included in the survey frame. </w:t>
      </w:r>
    </w:p>
    <w:p w14:paraId="2F7CBDC3" w14:textId="3A067AC3" w:rsidR="00655BEA" w:rsidRDefault="001449E9" w:rsidP="001449E9">
      <w:r>
        <w:t xml:space="preserve">As of January 2018, the respondent frame </w:t>
      </w:r>
      <w:r w:rsidR="003713F7">
        <w:t>for reporting on</w:t>
      </w:r>
      <w:r>
        <w:t xml:space="preserve"> Form EIA-63C is 108 respondents</w:t>
      </w:r>
      <w:r w:rsidR="003713F7">
        <w:t>.</w:t>
      </w:r>
      <w:r>
        <w:t xml:space="preserve"> 87 respondents </w:t>
      </w:r>
      <w:r w:rsidR="00E108EC">
        <w:t xml:space="preserve">report </w:t>
      </w:r>
      <w:r w:rsidR="00E53043">
        <w:t>monthly</w:t>
      </w:r>
      <w:r w:rsidR="00E108EC">
        <w:t xml:space="preserve"> </w:t>
      </w:r>
      <w:r>
        <w:t>and 21 respondents</w:t>
      </w:r>
      <w:r w:rsidR="00E53043">
        <w:t xml:space="preserve"> report annually</w:t>
      </w:r>
      <w:r>
        <w:t xml:space="preserve">. The decrease in the number of monthly respondents </w:t>
      </w:r>
      <w:r w:rsidR="00E53043">
        <w:t xml:space="preserve">from </w:t>
      </w:r>
      <w:r w:rsidR="00071C76">
        <w:t>150</w:t>
      </w:r>
      <w:r w:rsidR="00205CAD">
        <w:t xml:space="preserve"> (previous clearance) to 87 </w:t>
      </w:r>
      <w:r>
        <w:t>lowered the annual number of responses</w:t>
      </w:r>
      <w:r w:rsidR="00363379">
        <w:t xml:space="preserve"> by</w:t>
      </w:r>
      <w:r>
        <w:t xml:space="preserve"> 756</w:t>
      </w:r>
      <w:r w:rsidR="00205CAD">
        <w:t xml:space="preserve"> (63 * 12)</w:t>
      </w:r>
      <w:r>
        <w:t xml:space="preserve">. </w:t>
      </w:r>
      <w:r w:rsidR="00205CAD">
        <w:t xml:space="preserve">Several factors caused the decrease of 63 monthly respondents from the last clearance. 21 of the 63 monthly respondent </w:t>
      </w:r>
      <w:r w:rsidR="00410AD8">
        <w:t xml:space="preserve">are active and in-scope but </w:t>
      </w:r>
      <w:r w:rsidR="00205CAD">
        <w:t>only need to report their production capacity on an annual basis. The reporting burden for these 21 small annual respondents w</w:t>
      </w:r>
      <w:r w:rsidR="00410AD8">
        <w:t>as</w:t>
      </w:r>
      <w:r w:rsidR="00205CAD">
        <w:t xml:space="preserve"> </w:t>
      </w:r>
      <w:r w:rsidR="00410AD8">
        <w:t xml:space="preserve">incorrectly </w:t>
      </w:r>
      <w:r w:rsidR="00205CAD">
        <w:t>combined with the larger</w:t>
      </w:r>
      <w:r w:rsidR="00410AD8">
        <w:t xml:space="preserve"> size</w:t>
      </w:r>
      <w:r w:rsidR="00205CAD">
        <w:t xml:space="preserve"> respondents </w:t>
      </w:r>
      <w:r w:rsidR="00410AD8">
        <w:t xml:space="preserve">that report monthly </w:t>
      </w:r>
      <w:r w:rsidR="00655BEA">
        <w:t>during</w:t>
      </w:r>
      <w:r w:rsidR="00205CAD">
        <w:t xml:space="preserve"> the last clearance. These </w:t>
      </w:r>
      <w:r w:rsidR="00410AD8">
        <w:t xml:space="preserve">21 </w:t>
      </w:r>
      <w:r w:rsidR="00205CAD">
        <w:t>small companies are shown</w:t>
      </w:r>
      <w:r w:rsidR="003713F7">
        <w:t xml:space="preserve"> </w:t>
      </w:r>
      <w:r w:rsidR="00205CAD">
        <w:t xml:space="preserve">as annual respondents in a second row in Table A3 and result in an increase of 21 responses </w:t>
      </w:r>
      <w:r w:rsidR="00410AD8">
        <w:t xml:space="preserve">and 5 hours </w:t>
      </w:r>
      <w:r w:rsidR="00205CAD">
        <w:t xml:space="preserve">annually </w:t>
      </w:r>
      <w:r w:rsidR="003713F7">
        <w:t xml:space="preserve">shown </w:t>
      </w:r>
      <w:r w:rsidR="00205CAD">
        <w:t>under Change due to Agency Discretion. S</w:t>
      </w:r>
      <w:r w:rsidR="00410AD8">
        <w:t>eparating</w:t>
      </w:r>
      <w:r w:rsidR="00205CAD">
        <w:t xml:space="preserve"> the annual respondents</w:t>
      </w:r>
      <w:r w:rsidR="00410AD8">
        <w:t xml:space="preserve"> from the monthly re</w:t>
      </w:r>
      <w:r w:rsidR="003713F7">
        <w:t>s</w:t>
      </w:r>
      <w:r w:rsidR="00410AD8">
        <w:t>pondents</w:t>
      </w:r>
      <w:r w:rsidR="00205CAD">
        <w:t xml:space="preserve"> and showing the reporting burden </w:t>
      </w:r>
      <w:r w:rsidR="00410AD8">
        <w:t xml:space="preserve">for annual respondents </w:t>
      </w:r>
      <w:r w:rsidR="00205CAD">
        <w:t xml:space="preserve">as a separate row also resulted in a decrease of 252 responses and is included </w:t>
      </w:r>
      <w:r w:rsidR="00410AD8">
        <w:t xml:space="preserve">in the -600 value shown </w:t>
      </w:r>
      <w:r w:rsidR="00205CAD">
        <w:t>under Change due to Agency</w:t>
      </w:r>
      <w:r w:rsidR="00655BEA">
        <w:t xml:space="preserve"> discretion in the first row for the respondents that report monthly.  </w:t>
      </w:r>
      <w:r w:rsidR="00E22B62">
        <w:t>It also resulted in a decrease of 378 hours and is included in the</w:t>
      </w:r>
      <w:r w:rsidR="003713F7">
        <w:t xml:space="preserve"> -900 value shown under Change D</w:t>
      </w:r>
      <w:r w:rsidR="00E22B62">
        <w:t xml:space="preserve">ue to Agency </w:t>
      </w:r>
      <w:r w:rsidR="00043A05">
        <w:t>D</w:t>
      </w:r>
      <w:r w:rsidR="00E22B62">
        <w:t>iscretion in the first row for the respondents that report monthly.</w:t>
      </w:r>
    </w:p>
    <w:p w14:paraId="7FCAF22D" w14:textId="68263B7D" w:rsidR="00E22B62" w:rsidRDefault="00655BEA" w:rsidP="00E22B62">
      <w:r>
        <w:t xml:space="preserve">The second reason relates to frame maintenance issues. </w:t>
      </w:r>
      <w:r w:rsidR="001449E9">
        <w:t>EIA</w:t>
      </w:r>
      <w:r w:rsidR="001449E9" w:rsidRPr="0081529E">
        <w:t xml:space="preserve"> found that </w:t>
      </w:r>
      <w:r w:rsidR="001449E9">
        <w:t>13</w:t>
      </w:r>
      <w:r w:rsidR="001449E9" w:rsidRPr="0081529E">
        <w:t xml:space="preserve"> entities</w:t>
      </w:r>
      <w:r>
        <w:t xml:space="preserve"> that were obtained from </w:t>
      </w:r>
      <w:r w:rsidR="001449E9" w:rsidRPr="0081529E">
        <w:t>the Biomass Magazine list were</w:t>
      </w:r>
      <w:r w:rsidR="003713F7">
        <w:t xml:space="preserve"> </w:t>
      </w:r>
      <w:r w:rsidR="001449E9" w:rsidRPr="0081529E">
        <w:t>duplicates</w:t>
      </w:r>
      <w:r w:rsidR="001449E9">
        <w:t>. This change represent</w:t>
      </w:r>
      <w:r>
        <w:t>s</w:t>
      </w:r>
      <w:r w:rsidR="001449E9">
        <w:t xml:space="preserve"> a decrease of 156 </w:t>
      </w:r>
      <w:r w:rsidR="00363379">
        <w:t>responses</w:t>
      </w:r>
      <w:r w:rsidR="001449E9">
        <w:t xml:space="preserve"> annually</w:t>
      </w:r>
      <w:r>
        <w:t xml:space="preserve"> (13 * 12) and is</w:t>
      </w:r>
      <w:r w:rsidR="00363379">
        <w:t xml:space="preserve"> shown</w:t>
      </w:r>
      <w:r w:rsidR="001449E9">
        <w:t xml:space="preserve"> </w:t>
      </w:r>
      <w:r>
        <w:t>under Change Due to A</w:t>
      </w:r>
      <w:r w:rsidR="001449E9">
        <w:t xml:space="preserve">gency </w:t>
      </w:r>
      <w:r>
        <w:t>E</w:t>
      </w:r>
      <w:r w:rsidR="001449E9">
        <w:t>stimate.</w:t>
      </w:r>
      <w:r w:rsidR="001449E9" w:rsidRPr="001449E9">
        <w:t xml:space="preserve"> </w:t>
      </w:r>
      <w:r w:rsidR="001449E9">
        <w:t xml:space="preserve">EIA also found that there were 29 companies who </w:t>
      </w:r>
      <w:r w:rsidR="001449E9" w:rsidRPr="0081529E">
        <w:t xml:space="preserve">produced </w:t>
      </w:r>
      <w:r w:rsidR="003713F7">
        <w:t xml:space="preserve">bio-densified </w:t>
      </w:r>
      <w:r w:rsidR="001449E9" w:rsidRPr="0081529E">
        <w:t xml:space="preserve">pellets for use other than energy, or were planned facilities that had made little or no progress </w:t>
      </w:r>
      <w:r w:rsidR="003713F7">
        <w:t xml:space="preserve">since </w:t>
      </w:r>
      <w:r w:rsidR="001449E9" w:rsidRPr="0081529E">
        <w:t xml:space="preserve">announcing an intention to build. </w:t>
      </w:r>
      <w:r w:rsidR="001449E9">
        <w:t xml:space="preserve"> This change represent</w:t>
      </w:r>
      <w:r>
        <w:t>s</w:t>
      </w:r>
      <w:r w:rsidR="001449E9">
        <w:t xml:space="preserve"> a decrease of 348 </w:t>
      </w:r>
      <w:r w:rsidR="00363379">
        <w:t xml:space="preserve">responses </w:t>
      </w:r>
      <w:r w:rsidR="001449E9">
        <w:t>annually</w:t>
      </w:r>
      <w:r>
        <w:t xml:space="preserve"> (29 * 12) and is included in the -600 value</w:t>
      </w:r>
      <w:r w:rsidR="001449E9">
        <w:t xml:space="preserve"> </w:t>
      </w:r>
      <w:r w:rsidR="00363379">
        <w:t xml:space="preserve">shown </w:t>
      </w:r>
      <w:r>
        <w:t>under Change Due to A</w:t>
      </w:r>
      <w:r w:rsidR="001449E9">
        <w:t xml:space="preserve">gency </w:t>
      </w:r>
      <w:r>
        <w:t>D</w:t>
      </w:r>
      <w:r w:rsidR="001449E9">
        <w:t>iscretion</w:t>
      </w:r>
      <w:r>
        <w:t xml:space="preserve"> because these 29 companies were not in scope to report on this survey</w:t>
      </w:r>
      <w:r w:rsidR="001449E9">
        <w:t xml:space="preserve">. </w:t>
      </w:r>
      <w:r w:rsidR="00E22B62">
        <w:t xml:space="preserve">It also resulted in a decrease of 522 hours and is included in the -900 value shown under Change due to Agency </w:t>
      </w:r>
      <w:r w:rsidR="00043A05">
        <w:t>D</w:t>
      </w:r>
      <w:r w:rsidR="00E22B62">
        <w:t>iscretion in the first row for the respondents that report monthly.</w:t>
      </w:r>
    </w:p>
    <w:p w14:paraId="546BA235" w14:textId="1F752390" w:rsidR="00043A05" w:rsidRDefault="001405EC" w:rsidP="00043A05">
      <w:r>
        <w:t xml:space="preserve">The third reason for the decline in </w:t>
      </w:r>
      <w:r w:rsidR="00363379">
        <w:t xml:space="preserve">total </w:t>
      </w:r>
      <w:r>
        <w:t xml:space="preserve">burden hours is the decrease in the </w:t>
      </w:r>
      <w:r w:rsidR="003713F7">
        <w:t xml:space="preserve">estimate for the </w:t>
      </w:r>
      <w:r>
        <w:t>burden per response</w:t>
      </w:r>
      <w:r w:rsidR="003713F7">
        <w:t xml:space="preserve"> for the respondents reporting monthly</w:t>
      </w:r>
      <w:r>
        <w:t xml:space="preserve"> from 1.5 hours to 1.4 hours. This reduction is due to the removal of the six questions from the form and the removal of the requirement to report quantity, characteristics, inventory, and revenue data on compressed fuel logs, bricks, and briquettes from Questions 3.3, 3.4 and 4.1. The change in </w:t>
      </w:r>
      <w:r w:rsidR="00E22B62">
        <w:t xml:space="preserve">the </w:t>
      </w:r>
      <w:r w:rsidR="00043A05">
        <w:t xml:space="preserve">estimate for the </w:t>
      </w:r>
      <w:r w:rsidR="00E22B62">
        <w:t>B</w:t>
      </w:r>
      <w:r>
        <w:t>urden</w:t>
      </w:r>
      <w:r w:rsidR="001449E9">
        <w:t xml:space="preserve"> </w:t>
      </w:r>
      <w:r w:rsidR="00E22B62">
        <w:t>H</w:t>
      </w:r>
      <w:r w:rsidR="001449E9">
        <w:t>ours</w:t>
      </w:r>
      <w:r w:rsidR="00E22B62">
        <w:t xml:space="preserve"> Per Response</w:t>
      </w:r>
      <w:r w:rsidR="00043A05">
        <w:t xml:space="preserve"> </w:t>
      </w:r>
      <w:r w:rsidR="003713F7">
        <w:t xml:space="preserve">for </w:t>
      </w:r>
      <w:r w:rsidR="00043A05">
        <w:t>respondents that report monthly results</w:t>
      </w:r>
      <w:r>
        <w:t xml:space="preserve"> </w:t>
      </w:r>
      <w:r w:rsidR="00043A05">
        <w:t>in a decrease of 104 hours and is included in the -378 value shown under Change due to Agency Estimate in the first row for the respondents that report monthly.</w:t>
      </w:r>
      <w:r w:rsidR="003713F7">
        <w:t xml:space="preserve">   Another 234 hours is included in the -378 value shown under Change due to Agency Estimate for the 12 companies listed in the frame that </w:t>
      </w:r>
      <w:r w:rsidR="003713F7" w:rsidRPr="0081529E">
        <w:t>were duplicates</w:t>
      </w:r>
      <w:r w:rsidR="003713F7">
        <w:t>.</w:t>
      </w:r>
    </w:p>
    <w:p w14:paraId="51B811D9" w14:textId="77777777" w:rsidR="001449E9" w:rsidRDefault="001449E9" w:rsidP="001405EC"/>
    <w:bookmarkStart w:id="39" w:name="_MON_1565435313"/>
    <w:bookmarkEnd w:id="39"/>
    <w:p w14:paraId="1D73E39C" w14:textId="3E2084C8" w:rsidR="00296A21" w:rsidRPr="00602065" w:rsidRDefault="004C512E" w:rsidP="002962A9">
      <w:pPr>
        <w:ind w:left="720"/>
      </w:pPr>
      <w:r w:rsidRPr="002962A9">
        <w:rPr>
          <w:b/>
          <w:bCs/>
        </w:rPr>
        <w:object w:dxaOrig="9107" w:dyaOrig="2082" w14:anchorId="28AEB587">
          <v:shape id="_x0000_i1027" type="#_x0000_t75" style="width:457.65pt;height:123.05pt" o:ole="">
            <v:imagedata r:id="rId28" o:title=""/>
          </v:shape>
          <o:OLEObject Type="Embed" ProgID="Excel.Sheet.12" ShapeID="_x0000_i1027" DrawAspect="Content" ObjectID="_1591530621" r:id="rId29"/>
        </w:object>
      </w:r>
    </w:p>
    <w:p w14:paraId="01EF9CE9" w14:textId="77777777" w:rsidR="00F056C3" w:rsidRPr="00602065" w:rsidRDefault="00F056C3" w:rsidP="00F056C3">
      <w:pPr>
        <w:pStyle w:val="Heading2"/>
      </w:pPr>
      <w:bookmarkStart w:id="40" w:name="_Toc493689562"/>
      <w:bookmarkStart w:id="41" w:name="_Toc466046224"/>
      <w:r w:rsidRPr="00602065">
        <w:t>A.</w:t>
      </w:r>
      <w:r w:rsidR="00A41763" w:rsidRPr="00602065">
        <w:t xml:space="preserve">16. </w:t>
      </w:r>
      <w:r w:rsidRPr="00602065">
        <w:t>Collection, Tabulation, and Publication Plans</w:t>
      </w:r>
      <w:bookmarkEnd w:id="40"/>
      <w:bookmarkEnd w:id="41"/>
      <w:r w:rsidRPr="00602065">
        <w:t xml:space="preserve"> </w:t>
      </w:r>
    </w:p>
    <w:p w14:paraId="606343D3" w14:textId="554ABCA2" w:rsidR="00C577C3" w:rsidRPr="00602065" w:rsidRDefault="00C577C3" w:rsidP="00C577C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heme="minorHAnsi"/>
          <w:color w:val="1396D8"/>
          <w:u w:val="single"/>
        </w:rPr>
      </w:pPr>
      <w:r w:rsidRPr="00602065">
        <w:rPr>
          <w:rFonts w:cstheme="minorHAnsi"/>
        </w:rPr>
        <w:t xml:space="preserve">The data collected in this package </w:t>
      </w:r>
      <w:r w:rsidR="00D90752" w:rsidRPr="00602065">
        <w:rPr>
          <w:rFonts w:cstheme="minorHAnsi"/>
        </w:rPr>
        <w:t>are</w:t>
      </w:r>
      <w:r w:rsidRPr="00602065">
        <w:rPr>
          <w:rFonts w:cstheme="minorHAnsi"/>
        </w:rPr>
        <w:t xml:space="preserve"> released in EIA reports</w:t>
      </w:r>
      <w:r w:rsidR="00D85336" w:rsidRPr="00602065">
        <w:rPr>
          <w:rFonts w:cstheme="minorHAnsi"/>
        </w:rPr>
        <w:t xml:space="preserve"> available on the EIA </w:t>
      </w:r>
      <w:r w:rsidR="00827C47" w:rsidRPr="00602065">
        <w:t>website</w:t>
      </w:r>
      <w:r w:rsidR="003F243E" w:rsidRPr="00602065">
        <w:t xml:space="preserve"> at</w:t>
      </w:r>
      <w:r w:rsidR="00827C47" w:rsidRPr="00602065">
        <w:rPr>
          <w:rStyle w:val="Hyperlink"/>
          <w:rFonts w:cstheme="minorHAnsi"/>
        </w:rPr>
        <w:t xml:space="preserve"> </w:t>
      </w:r>
      <w:hyperlink r:id="rId30" w:history="1">
        <w:r w:rsidR="00827C47" w:rsidRPr="00602065">
          <w:rPr>
            <w:rStyle w:val="Hyperlink"/>
            <w:rFonts w:cstheme="minorHAnsi"/>
          </w:rPr>
          <w:t>https://www.eia.gov/biofuels/biomass/</w:t>
        </w:r>
      </w:hyperlink>
      <w:r w:rsidR="00827C47" w:rsidRPr="00602065">
        <w:rPr>
          <w:rFonts w:cstheme="minorHAnsi"/>
        </w:rPr>
        <w:t xml:space="preserve"> </w:t>
      </w:r>
      <w:r w:rsidR="00D85336" w:rsidRPr="00602065">
        <w:rPr>
          <w:rFonts w:cstheme="minorHAnsi"/>
        </w:rPr>
        <w:t>and</w:t>
      </w:r>
      <w:r w:rsidRPr="00602065">
        <w:rPr>
          <w:rFonts w:cstheme="minorHAnsi"/>
        </w:rPr>
        <w:t xml:space="preserve"> </w:t>
      </w:r>
      <w:r w:rsidR="00827C47" w:rsidRPr="00602065">
        <w:rPr>
          <w:rFonts w:cstheme="minorHAnsi"/>
        </w:rPr>
        <w:t xml:space="preserve">is </w:t>
      </w:r>
      <w:r w:rsidR="00D85336" w:rsidRPr="00602065">
        <w:rPr>
          <w:rFonts w:cstheme="minorHAnsi"/>
        </w:rPr>
        <w:t>listed at the end of Section A.2</w:t>
      </w:r>
      <w:r w:rsidR="00D85336" w:rsidRPr="00602065">
        <w:rPr>
          <w:sz w:val="18"/>
          <w:szCs w:val="18"/>
        </w:rPr>
        <w:t>.</w:t>
      </w:r>
      <w:r w:rsidR="00E610D7" w:rsidRPr="00602065">
        <w:rPr>
          <w:rFonts w:cstheme="minorHAnsi"/>
        </w:rPr>
        <w:t xml:space="preserve"> </w:t>
      </w:r>
      <w:r w:rsidRPr="00602065">
        <w:rPr>
          <w:rFonts w:cstheme="minorHAnsi"/>
        </w:rPr>
        <w:t xml:space="preserve">Detailed information on the data elements collected on </w:t>
      </w:r>
      <w:r w:rsidR="00C71006" w:rsidRPr="00602065">
        <w:rPr>
          <w:rFonts w:cstheme="minorHAnsi"/>
        </w:rPr>
        <w:t>the</w:t>
      </w:r>
      <w:r w:rsidRPr="00602065">
        <w:rPr>
          <w:rFonts w:cstheme="minorHAnsi"/>
        </w:rPr>
        <w:t xml:space="preserve"> form tabulation, and publication time schedules are contained in Tables 5 and 6, respectively.</w:t>
      </w:r>
      <w:r w:rsidR="00E610D7" w:rsidRPr="00602065">
        <w:rPr>
          <w:rFonts w:cstheme="minorHAnsi"/>
        </w:rPr>
        <w:t xml:space="preserve"> </w:t>
      </w:r>
    </w:p>
    <w:p w14:paraId="5B2DE3CC" w14:textId="77777777" w:rsidR="00C577C3" w:rsidRPr="00602065" w:rsidRDefault="00C577C3" w:rsidP="00C577C3">
      <w:pPr>
        <w:spacing w:after="0"/>
        <w:rPr>
          <w:rFonts w:cstheme="minorHAnsi"/>
          <w:b/>
          <w:color w:val="FF0000"/>
        </w:rPr>
      </w:pPr>
    </w:p>
    <w:p w14:paraId="0A88FA68" w14:textId="228FCA51" w:rsidR="00C577C3" w:rsidRPr="00602065" w:rsidRDefault="00C577C3" w:rsidP="00C577C3">
      <w:pPr>
        <w:spacing w:after="120"/>
        <w:rPr>
          <w:b/>
        </w:rPr>
      </w:pPr>
      <w:bookmarkStart w:id="42" w:name="_Toc524420604"/>
      <w:bookmarkStart w:id="43" w:name="_Toc261607422"/>
      <w:r w:rsidRPr="00602065">
        <w:rPr>
          <w:b/>
        </w:rPr>
        <w:t xml:space="preserve">Table </w:t>
      </w:r>
      <w:r w:rsidR="002962A9">
        <w:rPr>
          <w:b/>
        </w:rPr>
        <w:t>A</w:t>
      </w:r>
      <w:r w:rsidRPr="00602065">
        <w:rPr>
          <w:b/>
        </w:rPr>
        <w:t>5.</w:t>
      </w:r>
      <w:r w:rsidR="00E610D7" w:rsidRPr="00602065">
        <w:rPr>
          <w:b/>
        </w:rPr>
        <w:t xml:space="preserve"> </w:t>
      </w:r>
      <w:r w:rsidRPr="00602065">
        <w:rPr>
          <w:b/>
        </w:rPr>
        <w:t xml:space="preserve">Data </w:t>
      </w:r>
      <w:r w:rsidR="00C71006" w:rsidRPr="00602065">
        <w:rPr>
          <w:b/>
        </w:rPr>
        <w:t>Elements Collected on</w:t>
      </w:r>
      <w:bookmarkEnd w:id="42"/>
      <w:bookmarkEnd w:id="43"/>
      <w:r w:rsidRPr="00602065">
        <w:rPr>
          <w:b/>
        </w:rPr>
        <w:t xml:space="preserve"> Form EIA-63C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4474"/>
      </w:tblGrid>
      <w:tr w:rsidR="00EC1340" w:rsidRPr="00602065" w14:paraId="64F842BA" w14:textId="77777777" w:rsidTr="00B73867">
        <w:trPr>
          <w:cantSplit/>
          <w:trHeight w:val="259"/>
          <w:tblHeader/>
        </w:trPr>
        <w:tc>
          <w:tcPr>
            <w:tcW w:w="2664" w:type="pct"/>
            <w:shd w:val="clear" w:color="auto" w:fill="DDD9C3"/>
            <w:vAlign w:val="center"/>
          </w:tcPr>
          <w:p w14:paraId="4EA87A80" w14:textId="77777777" w:rsidR="00EC1340" w:rsidRPr="00602065" w:rsidRDefault="00EC1340" w:rsidP="00B73867">
            <w:pPr>
              <w:spacing w:after="0"/>
              <w:jc w:val="center"/>
              <w:rPr>
                <w:rFonts w:eastAsia="Times New Roman"/>
                <w:b/>
                <w:bCs/>
                <w:sz w:val="20"/>
                <w:szCs w:val="20"/>
              </w:rPr>
            </w:pPr>
            <w:r w:rsidRPr="00602065">
              <w:rPr>
                <w:rFonts w:eastAsia="Times New Roman"/>
                <w:b/>
                <w:bCs/>
                <w:sz w:val="20"/>
                <w:szCs w:val="20"/>
              </w:rPr>
              <w:t>Elements Collected</w:t>
            </w:r>
          </w:p>
        </w:tc>
        <w:tc>
          <w:tcPr>
            <w:tcW w:w="2336" w:type="pct"/>
            <w:shd w:val="clear" w:color="auto" w:fill="DDD9C3"/>
            <w:vAlign w:val="center"/>
          </w:tcPr>
          <w:p w14:paraId="307072FE" w14:textId="404A511E" w:rsidR="00EC1340" w:rsidRPr="00602065" w:rsidRDefault="00C71006" w:rsidP="00B73867">
            <w:pPr>
              <w:spacing w:after="0"/>
              <w:jc w:val="center"/>
              <w:rPr>
                <w:rFonts w:eastAsia="Times New Roman"/>
                <w:b/>
                <w:bCs/>
                <w:sz w:val="20"/>
                <w:szCs w:val="20"/>
              </w:rPr>
            </w:pPr>
            <w:r w:rsidRPr="00602065">
              <w:rPr>
                <w:rFonts w:eastAsia="Times New Roman"/>
                <w:b/>
                <w:bCs/>
                <w:sz w:val="20"/>
                <w:szCs w:val="20"/>
              </w:rPr>
              <w:t xml:space="preserve">Publication </w:t>
            </w:r>
            <w:r w:rsidR="00EC1340" w:rsidRPr="00602065">
              <w:rPr>
                <w:rFonts w:eastAsia="Times New Roman"/>
                <w:b/>
                <w:bCs/>
                <w:sz w:val="20"/>
                <w:szCs w:val="20"/>
              </w:rPr>
              <w:t>Level of Detail</w:t>
            </w:r>
          </w:p>
        </w:tc>
      </w:tr>
      <w:tr w:rsidR="00EC1340" w:rsidRPr="00602065" w14:paraId="037BD921" w14:textId="77777777" w:rsidTr="00B73867">
        <w:trPr>
          <w:cantSplit/>
          <w:trHeight w:val="432"/>
        </w:trPr>
        <w:tc>
          <w:tcPr>
            <w:tcW w:w="2664" w:type="pct"/>
            <w:tcBorders>
              <w:top w:val="single" w:sz="4" w:space="0" w:color="auto"/>
              <w:left w:val="single" w:sz="4" w:space="0" w:color="auto"/>
              <w:bottom w:val="single" w:sz="4" w:space="0" w:color="auto"/>
              <w:right w:val="single" w:sz="4" w:space="0" w:color="auto"/>
            </w:tcBorders>
            <w:vAlign w:val="center"/>
          </w:tcPr>
          <w:p w14:paraId="2324CC36" w14:textId="77777777" w:rsidR="00EC1340" w:rsidRPr="00602065" w:rsidRDefault="00EC1340" w:rsidP="00B73867">
            <w:pPr>
              <w:rPr>
                <w:sz w:val="20"/>
                <w:szCs w:val="20"/>
              </w:rPr>
            </w:pPr>
            <w:r w:rsidRPr="00602065">
              <w:rPr>
                <w:sz w:val="20"/>
                <w:szCs w:val="20"/>
              </w:rPr>
              <w:t>Name and Location of Facility</w:t>
            </w:r>
          </w:p>
        </w:tc>
        <w:tc>
          <w:tcPr>
            <w:tcW w:w="2336" w:type="pct"/>
            <w:tcBorders>
              <w:top w:val="single" w:sz="4" w:space="0" w:color="auto"/>
              <w:left w:val="single" w:sz="4" w:space="0" w:color="auto"/>
              <w:bottom w:val="single" w:sz="4" w:space="0" w:color="auto"/>
              <w:right w:val="single" w:sz="4" w:space="0" w:color="auto"/>
            </w:tcBorders>
            <w:vAlign w:val="center"/>
          </w:tcPr>
          <w:p w14:paraId="55BB0A02" w14:textId="77777777" w:rsidR="00EC1340" w:rsidRPr="00602065" w:rsidRDefault="00EC1340" w:rsidP="00B73867">
            <w:pPr>
              <w:rPr>
                <w:sz w:val="20"/>
                <w:szCs w:val="20"/>
              </w:rPr>
            </w:pPr>
            <w:r w:rsidRPr="00602065">
              <w:rPr>
                <w:sz w:val="20"/>
                <w:szCs w:val="20"/>
              </w:rPr>
              <w:t>Facility Level</w:t>
            </w:r>
          </w:p>
        </w:tc>
      </w:tr>
      <w:tr w:rsidR="00EC1340" w:rsidRPr="00602065" w14:paraId="10ADAB3F" w14:textId="77777777" w:rsidTr="00B73867">
        <w:trPr>
          <w:cantSplit/>
          <w:trHeight w:val="432"/>
        </w:trPr>
        <w:tc>
          <w:tcPr>
            <w:tcW w:w="2664" w:type="pct"/>
            <w:tcBorders>
              <w:top w:val="single" w:sz="4" w:space="0" w:color="auto"/>
              <w:left w:val="single" w:sz="4" w:space="0" w:color="auto"/>
              <w:bottom w:val="single" w:sz="4" w:space="0" w:color="auto"/>
              <w:right w:val="single" w:sz="4" w:space="0" w:color="auto"/>
            </w:tcBorders>
            <w:vAlign w:val="center"/>
          </w:tcPr>
          <w:p w14:paraId="414577C4" w14:textId="77777777" w:rsidR="00EC1340" w:rsidRPr="00602065" w:rsidRDefault="00EC1340" w:rsidP="00B73867">
            <w:pPr>
              <w:rPr>
                <w:sz w:val="20"/>
                <w:szCs w:val="20"/>
              </w:rPr>
            </w:pPr>
            <w:r w:rsidRPr="00602065">
              <w:rPr>
                <w:sz w:val="20"/>
                <w:szCs w:val="20"/>
              </w:rPr>
              <w:t>Status of Operation</w:t>
            </w:r>
          </w:p>
        </w:tc>
        <w:tc>
          <w:tcPr>
            <w:tcW w:w="2336" w:type="pct"/>
            <w:tcBorders>
              <w:top w:val="single" w:sz="4" w:space="0" w:color="auto"/>
              <w:left w:val="single" w:sz="4" w:space="0" w:color="auto"/>
              <w:bottom w:val="single" w:sz="4" w:space="0" w:color="auto"/>
              <w:right w:val="single" w:sz="4" w:space="0" w:color="auto"/>
            </w:tcBorders>
            <w:vAlign w:val="center"/>
          </w:tcPr>
          <w:p w14:paraId="21107D8F" w14:textId="77777777" w:rsidR="00EC1340" w:rsidRPr="00602065" w:rsidRDefault="00EC1340" w:rsidP="00B73867">
            <w:pPr>
              <w:rPr>
                <w:sz w:val="20"/>
                <w:szCs w:val="20"/>
              </w:rPr>
            </w:pPr>
            <w:r w:rsidRPr="00602065">
              <w:rPr>
                <w:sz w:val="20"/>
                <w:szCs w:val="20"/>
              </w:rPr>
              <w:t>Aggregate by Production Capacity and State/Region</w:t>
            </w:r>
          </w:p>
        </w:tc>
      </w:tr>
      <w:tr w:rsidR="00EC1340" w:rsidRPr="00602065" w14:paraId="161E509E" w14:textId="77777777" w:rsidTr="00B73867">
        <w:trPr>
          <w:cantSplit/>
          <w:trHeight w:val="432"/>
        </w:trPr>
        <w:tc>
          <w:tcPr>
            <w:tcW w:w="2664" w:type="pct"/>
            <w:vAlign w:val="center"/>
          </w:tcPr>
          <w:p w14:paraId="718F509F" w14:textId="77777777" w:rsidR="00EC1340" w:rsidRPr="00602065" w:rsidRDefault="00EC1340" w:rsidP="00B73867">
            <w:pPr>
              <w:rPr>
                <w:sz w:val="20"/>
                <w:szCs w:val="20"/>
              </w:rPr>
            </w:pPr>
            <w:r w:rsidRPr="00602065">
              <w:rPr>
                <w:sz w:val="20"/>
                <w:szCs w:val="20"/>
              </w:rPr>
              <w:t>Year of Commercial Operation</w:t>
            </w:r>
          </w:p>
        </w:tc>
        <w:tc>
          <w:tcPr>
            <w:tcW w:w="2336" w:type="pct"/>
            <w:vAlign w:val="center"/>
          </w:tcPr>
          <w:p w14:paraId="2214E192" w14:textId="77777777" w:rsidR="00EC1340" w:rsidRPr="00602065" w:rsidRDefault="00EC1340" w:rsidP="00B73867">
            <w:pPr>
              <w:rPr>
                <w:sz w:val="20"/>
                <w:szCs w:val="20"/>
              </w:rPr>
            </w:pPr>
            <w:r w:rsidRPr="00602065">
              <w:rPr>
                <w:sz w:val="20"/>
                <w:szCs w:val="20"/>
              </w:rPr>
              <w:t>Aggregate by Production Capacity and State/Region</w:t>
            </w:r>
          </w:p>
        </w:tc>
      </w:tr>
      <w:tr w:rsidR="00EC1340" w:rsidRPr="00602065" w14:paraId="2CAC30BF" w14:textId="77777777" w:rsidTr="00B73867">
        <w:trPr>
          <w:cantSplit/>
          <w:trHeight w:val="432"/>
        </w:trPr>
        <w:tc>
          <w:tcPr>
            <w:tcW w:w="2664" w:type="pct"/>
            <w:vAlign w:val="center"/>
          </w:tcPr>
          <w:p w14:paraId="2407882E" w14:textId="77777777" w:rsidR="00EC1340" w:rsidRPr="00602065" w:rsidRDefault="00EC1340" w:rsidP="00B73867">
            <w:pPr>
              <w:rPr>
                <w:sz w:val="20"/>
                <w:szCs w:val="20"/>
              </w:rPr>
            </w:pPr>
            <w:r w:rsidRPr="00602065">
              <w:rPr>
                <w:sz w:val="20"/>
                <w:szCs w:val="20"/>
              </w:rPr>
              <w:t>Annual Production Capacity</w:t>
            </w:r>
          </w:p>
        </w:tc>
        <w:tc>
          <w:tcPr>
            <w:tcW w:w="2336" w:type="pct"/>
            <w:vAlign w:val="center"/>
          </w:tcPr>
          <w:p w14:paraId="50000AD3" w14:textId="77777777" w:rsidR="00EC1340" w:rsidRPr="00602065" w:rsidRDefault="00EC1340" w:rsidP="00B73867">
            <w:pPr>
              <w:rPr>
                <w:sz w:val="20"/>
                <w:szCs w:val="20"/>
              </w:rPr>
            </w:pPr>
            <w:r w:rsidRPr="00602065">
              <w:rPr>
                <w:sz w:val="20"/>
                <w:szCs w:val="20"/>
              </w:rPr>
              <w:t>Facility Level</w:t>
            </w:r>
          </w:p>
        </w:tc>
      </w:tr>
      <w:tr w:rsidR="00EC1340" w:rsidRPr="00602065" w14:paraId="3B9F3C49" w14:textId="77777777" w:rsidTr="00B73867">
        <w:trPr>
          <w:cantSplit/>
          <w:trHeight w:val="432"/>
        </w:trPr>
        <w:tc>
          <w:tcPr>
            <w:tcW w:w="2664" w:type="pct"/>
            <w:vAlign w:val="center"/>
          </w:tcPr>
          <w:p w14:paraId="64D6DF09" w14:textId="77777777" w:rsidR="00EC1340" w:rsidRPr="00602065" w:rsidRDefault="00EC1340" w:rsidP="00B73867">
            <w:pPr>
              <w:spacing w:after="0"/>
              <w:rPr>
                <w:rFonts w:eastAsia="Times New Roman"/>
                <w:sz w:val="20"/>
                <w:szCs w:val="20"/>
              </w:rPr>
            </w:pPr>
            <w:r w:rsidRPr="00602065">
              <w:rPr>
                <w:rFonts w:eastAsia="Times New Roman"/>
                <w:sz w:val="20"/>
                <w:szCs w:val="20"/>
              </w:rPr>
              <w:t>Number of Direct Employees</w:t>
            </w:r>
          </w:p>
        </w:tc>
        <w:tc>
          <w:tcPr>
            <w:tcW w:w="2336" w:type="pct"/>
            <w:vAlign w:val="center"/>
          </w:tcPr>
          <w:p w14:paraId="22373955" w14:textId="77777777" w:rsidR="00EC1340" w:rsidRPr="00602065" w:rsidRDefault="00EC1340" w:rsidP="00B73867">
            <w:pPr>
              <w:spacing w:after="0"/>
              <w:rPr>
                <w:rFonts w:eastAsia="Times New Roman"/>
                <w:sz w:val="20"/>
                <w:szCs w:val="20"/>
              </w:rPr>
            </w:pPr>
            <w:r w:rsidRPr="00602065">
              <w:rPr>
                <w:sz w:val="20"/>
                <w:szCs w:val="20"/>
              </w:rPr>
              <w:t>Aggregate by Production Capacity and State/Region</w:t>
            </w:r>
          </w:p>
        </w:tc>
      </w:tr>
      <w:tr w:rsidR="00EC1340" w:rsidRPr="00602065" w14:paraId="54B0EC6C" w14:textId="77777777" w:rsidTr="00B73867">
        <w:trPr>
          <w:cantSplit/>
          <w:trHeight w:val="432"/>
        </w:trPr>
        <w:tc>
          <w:tcPr>
            <w:tcW w:w="2664" w:type="pct"/>
            <w:vAlign w:val="center"/>
          </w:tcPr>
          <w:p w14:paraId="66D87E28" w14:textId="77777777" w:rsidR="00EC1340" w:rsidRPr="00602065" w:rsidRDefault="00EC1340" w:rsidP="00B73867">
            <w:pPr>
              <w:spacing w:after="0"/>
              <w:rPr>
                <w:rFonts w:eastAsia="Times New Roman"/>
                <w:sz w:val="20"/>
                <w:szCs w:val="20"/>
              </w:rPr>
            </w:pPr>
            <w:r w:rsidRPr="00602065">
              <w:rPr>
                <w:rFonts w:eastAsia="Times New Roman"/>
                <w:sz w:val="20"/>
                <w:szCs w:val="20"/>
              </w:rPr>
              <w:t>Feedstock Types/ Cost</w:t>
            </w:r>
          </w:p>
        </w:tc>
        <w:tc>
          <w:tcPr>
            <w:tcW w:w="2336" w:type="pct"/>
            <w:vAlign w:val="center"/>
          </w:tcPr>
          <w:p w14:paraId="1A6CA2DE" w14:textId="77777777" w:rsidR="00EC1340" w:rsidRPr="00602065" w:rsidRDefault="00EC1340" w:rsidP="00B73867">
            <w:pPr>
              <w:spacing w:after="0"/>
              <w:rPr>
                <w:rFonts w:eastAsia="Times New Roman"/>
                <w:sz w:val="20"/>
                <w:szCs w:val="20"/>
              </w:rPr>
            </w:pPr>
            <w:r w:rsidRPr="00602065">
              <w:rPr>
                <w:sz w:val="20"/>
                <w:szCs w:val="20"/>
              </w:rPr>
              <w:t>Aggregate by Production Capacity and State/Region</w:t>
            </w:r>
          </w:p>
        </w:tc>
      </w:tr>
      <w:tr w:rsidR="00EC1340" w:rsidRPr="00602065" w14:paraId="57CC4D65" w14:textId="77777777" w:rsidTr="00B73867">
        <w:trPr>
          <w:cantSplit/>
          <w:trHeight w:val="432"/>
        </w:trPr>
        <w:tc>
          <w:tcPr>
            <w:tcW w:w="2664" w:type="pct"/>
            <w:vAlign w:val="center"/>
          </w:tcPr>
          <w:p w14:paraId="226AD9E8" w14:textId="77777777" w:rsidR="00EC1340" w:rsidRPr="00602065" w:rsidRDefault="00EC1340" w:rsidP="00B73867">
            <w:pPr>
              <w:spacing w:after="0"/>
              <w:rPr>
                <w:rFonts w:eastAsia="Times New Roman"/>
                <w:sz w:val="20"/>
                <w:szCs w:val="20"/>
              </w:rPr>
            </w:pPr>
            <w:r w:rsidRPr="00602065">
              <w:rPr>
                <w:rFonts w:eastAsia="Times New Roman"/>
                <w:sz w:val="20"/>
                <w:szCs w:val="20"/>
              </w:rPr>
              <w:t>Product Type, Volume and Characteristics (heat, ash, moisture)</w:t>
            </w:r>
          </w:p>
        </w:tc>
        <w:tc>
          <w:tcPr>
            <w:tcW w:w="2336" w:type="pct"/>
            <w:vAlign w:val="center"/>
          </w:tcPr>
          <w:p w14:paraId="7836579E" w14:textId="77777777" w:rsidR="00EC1340" w:rsidRPr="00602065" w:rsidRDefault="00EC1340" w:rsidP="00B73867">
            <w:pPr>
              <w:spacing w:after="0"/>
              <w:rPr>
                <w:rFonts w:eastAsia="Times New Roman"/>
                <w:sz w:val="20"/>
                <w:szCs w:val="20"/>
              </w:rPr>
            </w:pPr>
            <w:r w:rsidRPr="00602065">
              <w:rPr>
                <w:sz w:val="20"/>
                <w:szCs w:val="20"/>
              </w:rPr>
              <w:t>Aggregate by Production Capacity and State/Region</w:t>
            </w:r>
          </w:p>
        </w:tc>
      </w:tr>
      <w:tr w:rsidR="00EC1340" w:rsidRPr="00602065" w14:paraId="762B6D79" w14:textId="77777777" w:rsidTr="00B73867">
        <w:trPr>
          <w:cantSplit/>
          <w:trHeight w:val="432"/>
        </w:trPr>
        <w:tc>
          <w:tcPr>
            <w:tcW w:w="2664" w:type="pct"/>
            <w:vAlign w:val="center"/>
          </w:tcPr>
          <w:p w14:paraId="53C2056A" w14:textId="77777777" w:rsidR="00EC1340" w:rsidRPr="00602065" w:rsidRDefault="00EC1340" w:rsidP="00B73867">
            <w:pPr>
              <w:spacing w:after="0"/>
              <w:rPr>
                <w:rFonts w:eastAsia="Times New Roman"/>
                <w:sz w:val="20"/>
                <w:szCs w:val="20"/>
              </w:rPr>
            </w:pPr>
            <w:r w:rsidRPr="00602065">
              <w:rPr>
                <w:rFonts w:eastAsia="Times New Roman"/>
                <w:sz w:val="20"/>
                <w:szCs w:val="20"/>
              </w:rPr>
              <w:t>Inventory Type and Volumes</w:t>
            </w:r>
          </w:p>
        </w:tc>
        <w:tc>
          <w:tcPr>
            <w:tcW w:w="2336" w:type="pct"/>
            <w:vAlign w:val="center"/>
          </w:tcPr>
          <w:p w14:paraId="555698A9" w14:textId="77777777" w:rsidR="00EC1340" w:rsidRPr="00602065" w:rsidRDefault="00EC1340" w:rsidP="00B73867">
            <w:pPr>
              <w:spacing w:after="0"/>
              <w:rPr>
                <w:rFonts w:eastAsia="Times New Roman"/>
                <w:sz w:val="20"/>
                <w:szCs w:val="20"/>
              </w:rPr>
            </w:pPr>
            <w:r w:rsidRPr="00602065">
              <w:rPr>
                <w:sz w:val="20"/>
                <w:szCs w:val="20"/>
              </w:rPr>
              <w:t>Aggregate by Production Capacity and State/Region</w:t>
            </w:r>
          </w:p>
        </w:tc>
      </w:tr>
      <w:tr w:rsidR="00EC1340" w:rsidRPr="00602065" w14:paraId="375B8C27" w14:textId="77777777" w:rsidTr="00B73867">
        <w:trPr>
          <w:cantSplit/>
          <w:trHeight w:val="432"/>
        </w:trPr>
        <w:tc>
          <w:tcPr>
            <w:tcW w:w="2664" w:type="pct"/>
            <w:vAlign w:val="center"/>
          </w:tcPr>
          <w:p w14:paraId="7B13B23D" w14:textId="77777777" w:rsidR="00EC1340" w:rsidRPr="00602065" w:rsidRDefault="00EC1340" w:rsidP="00B73867">
            <w:pPr>
              <w:spacing w:after="0"/>
              <w:rPr>
                <w:rFonts w:eastAsia="Times New Roman"/>
                <w:sz w:val="20"/>
                <w:szCs w:val="20"/>
              </w:rPr>
            </w:pPr>
            <w:r w:rsidRPr="00602065">
              <w:rPr>
                <w:rFonts w:eastAsia="Times New Roman"/>
                <w:sz w:val="20"/>
                <w:szCs w:val="20"/>
              </w:rPr>
              <w:t xml:space="preserve">Domestic Sales by Product Type, </w:t>
            </w:r>
            <w:r w:rsidRPr="00602065">
              <w:rPr>
                <w:rFonts w:eastAsia="Times New Roman"/>
                <w:noProof/>
                <w:sz w:val="20"/>
                <w:szCs w:val="20"/>
              </w:rPr>
              <w:t>Retail/Wholesale</w:t>
            </w:r>
            <w:r w:rsidRPr="00602065">
              <w:rPr>
                <w:rFonts w:eastAsia="Times New Roman"/>
                <w:sz w:val="20"/>
                <w:szCs w:val="20"/>
              </w:rPr>
              <w:t xml:space="preserve"> and Associated Revenues</w:t>
            </w:r>
          </w:p>
        </w:tc>
        <w:tc>
          <w:tcPr>
            <w:tcW w:w="2336" w:type="pct"/>
            <w:vAlign w:val="center"/>
          </w:tcPr>
          <w:p w14:paraId="3DA9D4F5" w14:textId="77777777" w:rsidR="00EC1340" w:rsidRPr="00602065" w:rsidRDefault="00EC1340" w:rsidP="00B73867">
            <w:pPr>
              <w:spacing w:after="0"/>
              <w:rPr>
                <w:rFonts w:eastAsia="Times New Roman"/>
                <w:sz w:val="20"/>
                <w:szCs w:val="20"/>
              </w:rPr>
            </w:pPr>
            <w:r w:rsidRPr="00602065">
              <w:rPr>
                <w:sz w:val="20"/>
                <w:szCs w:val="20"/>
              </w:rPr>
              <w:t>Aggregate by Production Capacity and State/Region</w:t>
            </w:r>
          </w:p>
        </w:tc>
      </w:tr>
      <w:tr w:rsidR="00EC1340" w:rsidRPr="00602065" w14:paraId="46B38C4C" w14:textId="77777777" w:rsidTr="00B73867">
        <w:trPr>
          <w:cantSplit/>
          <w:trHeight w:val="432"/>
        </w:trPr>
        <w:tc>
          <w:tcPr>
            <w:tcW w:w="2664" w:type="pct"/>
            <w:vAlign w:val="center"/>
          </w:tcPr>
          <w:p w14:paraId="4E1C8324" w14:textId="77777777" w:rsidR="00EC1340" w:rsidRPr="00602065" w:rsidRDefault="00EC1340" w:rsidP="00B73867">
            <w:pPr>
              <w:spacing w:after="0"/>
              <w:rPr>
                <w:rFonts w:eastAsia="Times New Roman"/>
                <w:sz w:val="20"/>
                <w:szCs w:val="20"/>
              </w:rPr>
            </w:pPr>
            <w:r w:rsidRPr="00602065">
              <w:rPr>
                <w:rFonts w:eastAsia="Times New Roman"/>
                <w:sz w:val="20"/>
                <w:szCs w:val="20"/>
              </w:rPr>
              <w:t>Export Sales by Product Type, Retail/Wholesale, Associated Revenues, Destination Countries</w:t>
            </w:r>
          </w:p>
        </w:tc>
        <w:tc>
          <w:tcPr>
            <w:tcW w:w="2336" w:type="pct"/>
            <w:vAlign w:val="center"/>
          </w:tcPr>
          <w:p w14:paraId="36DFE727" w14:textId="77777777" w:rsidR="00EC1340" w:rsidRPr="00602065" w:rsidRDefault="00EC1340" w:rsidP="00B73867">
            <w:pPr>
              <w:spacing w:after="0"/>
              <w:rPr>
                <w:rFonts w:eastAsia="Times New Roman"/>
                <w:sz w:val="20"/>
                <w:szCs w:val="20"/>
              </w:rPr>
            </w:pPr>
            <w:r w:rsidRPr="00602065">
              <w:rPr>
                <w:sz w:val="20"/>
                <w:szCs w:val="20"/>
              </w:rPr>
              <w:t>Aggregate by Production Capacity and State/Region</w:t>
            </w:r>
          </w:p>
        </w:tc>
      </w:tr>
    </w:tbl>
    <w:p w14:paraId="347B01B6" w14:textId="77777777" w:rsidR="00C577C3" w:rsidRPr="00602065" w:rsidRDefault="00C577C3" w:rsidP="00C577C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p>
    <w:p w14:paraId="5AC23D07" w14:textId="0151383B" w:rsidR="001C05B5" w:rsidRPr="00602065" w:rsidRDefault="001C05B5" w:rsidP="00C577C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602065">
        <w:rPr>
          <w:b/>
        </w:rPr>
        <w:t>Table</w:t>
      </w:r>
      <w:r w:rsidRPr="00602065">
        <w:t xml:space="preserve"> </w:t>
      </w:r>
      <w:r w:rsidR="002962A9">
        <w:t>A</w:t>
      </w:r>
      <w:r w:rsidRPr="00602065">
        <w:rPr>
          <w:b/>
        </w:rPr>
        <w:t>6. Collection, Tabulation, and Publication, Form EIA-63C</w:t>
      </w:r>
    </w:p>
    <w:tbl>
      <w:tblPr>
        <w:tblW w:w="9630" w:type="dxa"/>
        <w:tblLayout w:type="fixed"/>
        <w:tblLook w:val="04A0" w:firstRow="1" w:lastRow="0" w:firstColumn="1" w:lastColumn="0" w:noHBand="0" w:noVBand="1"/>
      </w:tblPr>
      <w:tblGrid>
        <w:gridCol w:w="1926"/>
        <w:gridCol w:w="1926"/>
        <w:gridCol w:w="1926"/>
        <w:gridCol w:w="1926"/>
        <w:gridCol w:w="1926"/>
      </w:tblGrid>
      <w:tr w:rsidR="00EB3297" w:rsidRPr="00602065" w14:paraId="1314AA32" w14:textId="77777777" w:rsidTr="002547FB">
        <w:trPr>
          <w:cantSplit/>
          <w:trHeight w:val="1105"/>
        </w:trPr>
        <w:tc>
          <w:tcPr>
            <w:tcW w:w="1926" w:type="dxa"/>
            <w:tcBorders>
              <w:top w:val="single" w:sz="4" w:space="0" w:color="auto"/>
              <w:left w:val="single" w:sz="4" w:space="0" w:color="auto"/>
              <w:bottom w:val="single" w:sz="4" w:space="0" w:color="auto"/>
              <w:right w:val="single" w:sz="4" w:space="0" w:color="auto"/>
            </w:tcBorders>
            <w:shd w:val="clear" w:color="auto" w:fill="DDEFD0" w:themeFill="accent3" w:themeFillTint="33"/>
            <w:vAlign w:val="center"/>
          </w:tcPr>
          <w:p w14:paraId="034651C2" w14:textId="77777777" w:rsidR="001C05B5" w:rsidRPr="00602065" w:rsidRDefault="001C05B5" w:rsidP="00B73867">
            <w:pPr>
              <w:jc w:val="center"/>
              <w:rPr>
                <w:b/>
                <w:sz w:val="18"/>
                <w:szCs w:val="18"/>
              </w:rPr>
            </w:pPr>
            <w:r w:rsidRPr="00602065">
              <w:rPr>
                <w:b/>
                <w:sz w:val="18"/>
                <w:szCs w:val="18"/>
              </w:rPr>
              <w:t>Survey Form</w:t>
            </w:r>
          </w:p>
        </w:tc>
        <w:tc>
          <w:tcPr>
            <w:tcW w:w="1926" w:type="dxa"/>
            <w:tcBorders>
              <w:top w:val="single" w:sz="4" w:space="0" w:color="auto"/>
              <w:left w:val="single" w:sz="4" w:space="0" w:color="auto"/>
              <w:bottom w:val="single" w:sz="4" w:space="0" w:color="auto"/>
              <w:right w:val="single" w:sz="4" w:space="0" w:color="auto"/>
            </w:tcBorders>
            <w:shd w:val="clear" w:color="auto" w:fill="DDEFD0" w:themeFill="accent3" w:themeFillTint="33"/>
            <w:vAlign w:val="center"/>
          </w:tcPr>
          <w:p w14:paraId="3BBB39C5" w14:textId="77777777" w:rsidR="001C05B5" w:rsidRPr="00602065" w:rsidRDefault="001C05B5" w:rsidP="00B73867">
            <w:pPr>
              <w:jc w:val="center"/>
              <w:rPr>
                <w:b/>
                <w:sz w:val="18"/>
                <w:szCs w:val="18"/>
              </w:rPr>
            </w:pPr>
            <w:r w:rsidRPr="00602065">
              <w:rPr>
                <w:b/>
                <w:sz w:val="18"/>
                <w:szCs w:val="18"/>
              </w:rPr>
              <w:t>Data Collection Frequency</w:t>
            </w:r>
          </w:p>
        </w:tc>
        <w:tc>
          <w:tcPr>
            <w:tcW w:w="1926" w:type="dxa"/>
            <w:tcBorders>
              <w:top w:val="single" w:sz="4" w:space="0" w:color="auto"/>
              <w:left w:val="single" w:sz="4" w:space="0" w:color="auto"/>
              <w:bottom w:val="single" w:sz="4" w:space="0" w:color="auto"/>
              <w:right w:val="single" w:sz="4" w:space="0" w:color="auto"/>
            </w:tcBorders>
            <w:shd w:val="clear" w:color="auto" w:fill="DDEFD0" w:themeFill="accent3" w:themeFillTint="33"/>
            <w:vAlign w:val="center"/>
          </w:tcPr>
          <w:p w14:paraId="18A4208D" w14:textId="77777777" w:rsidR="001C05B5" w:rsidRPr="00602065" w:rsidRDefault="001C05B5" w:rsidP="00B73867">
            <w:pPr>
              <w:jc w:val="center"/>
              <w:rPr>
                <w:b/>
                <w:sz w:val="18"/>
                <w:szCs w:val="18"/>
              </w:rPr>
            </w:pPr>
            <w:r w:rsidRPr="00602065">
              <w:rPr>
                <w:b/>
                <w:sz w:val="18"/>
                <w:szCs w:val="18"/>
              </w:rPr>
              <w:t>Survey Opening Date</w:t>
            </w:r>
          </w:p>
        </w:tc>
        <w:tc>
          <w:tcPr>
            <w:tcW w:w="1926" w:type="dxa"/>
            <w:tcBorders>
              <w:top w:val="single" w:sz="4" w:space="0" w:color="auto"/>
              <w:left w:val="single" w:sz="4" w:space="0" w:color="auto"/>
              <w:bottom w:val="single" w:sz="4" w:space="0" w:color="auto"/>
              <w:right w:val="single" w:sz="4" w:space="0" w:color="auto"/>
            </w:tcBorders>
            <w:shd w:val="clear" w:color="auto" w:fill="DDEFD0" w:themeFill="accent3" w:themeFillTint="33"/>
            <w:vAlign w:val="center"/>
          </w:tcPr>
          <w:p w14:paraId="6B816D81" w14:textId="77777777" w:rsidR="001C05B5" w:rsidRPr="00602065" w:rsidRDefault="001C05B5" w:rsidP="00B73867">
            <w:pPr>
              <w:jc w:val="center"/>
              <w:rPr>
                <w:b/>
                <w:sz w:val="18"/>
                <w:szCs w:val="18"/>
              </w:rPr>
            </w:pPr>
            <w:r w:rsidRPr="00602065">
              <w:rPr>
                <w:b/>
                <w:sz w:val="18"/>
                <w:szCs w:val="18"/>
              </w:rPr>
              <w:t>Response Due Date</w:t>
            </w:r>
          </w:p>
        </w:tc>
        <w:tc>
          <w:tcPr>
            <w:tcW w:w="1926" w:type="dxa"/>
            <w:tcBorders>
              <w:top w:val="single" w:sz="4" w:space="0" w:color="auto"/>
              <w:left w:val="single" w:sz="4" w:space="0" w:color="auto"/>
              <w:bottom w:val="single" w:sz="4" w:space="0" w:color="auto"/>
              <w:right w:val="single" w:sz="4" w:space="0" w:color="auto"/>
            </w:tcBorders>
            <w:shd w:val="clear" w:color="auto" w:fill="DDEFD0" w:themeFill="accent3" w:themeFillTint="33"/>
            <w:vAlign w:val="center"/>
          </w:tcPr>
          <w:p w14:paraId="5F52D51D" w14:textId="77777777" w:rsidR="001C05B5" w:rsidRPr="00602065" w:rsidRDefault="001C05B5" w:rsidP="00B73867">
            <w:pPr>
              <w:jc w:val="center"/>
              <w:rPr>
                <w:b/>
                <w:sz w:val="18"/>
                <w:szCs w:val="18"/>
              </w:rPr>
            </w:pPr>
            <w:r w:rsidRPr="00602065">
              <w:rPr>
                <w:b/>
                <w:sz w:val="18"/>
                <w:szCs w:val="18"/>
              </w:rPr>
              <w:t xml:space="preserve">Date Final Data </w:t>
            </w:r>
            <w:r w:rsidRPr="00602065">
              <w:rPr>
                <w:b/>
                <w:noProof/>
                <w:sz w:val="18"/>
                <w:szCs w:val="18"/>
              </w:rPr>
              <w:t>are</w:t>
            </w:r>
            <w:r w:rsidRPr="00602065">
              <w:rPr>
                <w:b/>
                <w:sz w:val="18"/>
                <w:szCs w:val="18"/>
              </w:rPr>
              <w:t xml:space="preserve"> Ready</w:t>
            </w:r>
          </w:p>
        </w:tc>
      </w:tr>
      <w:tr w:rsidR="00EB3297" w:rsidRPr="0040619F" w14:paraId="0F441A2C" w14:textId="77777777" w:rsidTr="0040619F">
        <w:trPr>
          <w:trHeight w:val="1105"/>
        </w:trPr>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1AD1FC1C" w14:textId="6A74ED2C" w:rsidR="00EB3297" w:rsidRPr="0040619F" w:rsidRDefault="00EB3297" w:rsidP="0040619F">
            <w:pPr>
              <w:spacing w:after="0"/>
              <w:jc w:val="center"/>
              <w:rPr>
                <w:rFonts w:cstheme="minorHAnsi"/>
                <w:sz w:val="18"/>
                <w:szCs w:val="18"/>
              </w:rPr>
            </w:pPr>
            <w:r w:rsidRPr="0040619F">
              <w:rPr>
                <w:rFonts w:cstheme="minorHAnsi"/>
                <w:sz w:val="18"/>
                <w:szCs w:val="18"/>
              </w:rPr>
              <w:t>EIA-63C - Densified Biomass Fuel Report</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04C17DA4" w14:textId="77777777" w:rsidR="00EB3297" w:rsidRPr="0040619F" w:rsidRDefault="00EB3297" w:rsidP="0040619F">
            <w:pPr>
              <w:spacing w:after="0"/>
              <w:jc w:val="center"/>
              <w:rPr>
                <w:rFonts w:cstheme="minorHAnsi"/>
                <w:sz w:val="18"/>
                <w:szCs w:val="18"/>
              </w:rPr>
            </w:pPr>
            <w:r w:rsidRPr="0040619F">
              <w:rPr>
                <w:rFonts w:cstheme="minorHAnsi"/>
                <w:sz w:val="18"/>
                <w:szCs w:val="18"/>
              </w:rPr>
              <w:t>Monthly</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0DFDAA4A" w14:textId="77777777" w:rsidR="00EB3297" w:rsidRPr="0040619F" w:rsidRDefault="00EB3297" w:rsidP="0040619F">
            <w:pPr>
              <w:spacing w:after="0"/>
              <w:jc w:val="center"/>
              <w:rPr>
                <w:rFonts w:cstheme="minorHAnsi"/>
                <w:sz w:val="18"/>
                <w:szCs w:val="18"/>
              </w:rPr>
            </w:pPr>
            <w:r w:rsidRPr="0040619F">
              <w:rPr>
                <w:rFonts w:cstheme="minorHAnsi"/>
                <w:sz w:val="18"/>
                <w:szCs w:val="18"/>
              </w:rPr>
              <w:t>First of the month</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577A84B7" w14:textId="77777777" w:rsidR="00EB3297" w:rsidRPr="0040619F" w:rsidRDefault="00EB3297" w:rsidP="0040619F">
            <w:pPr>
              <w:spacing w:after="0"/>
              <w:jc w:val="center"/>
              <w:rPr>
                <w:rFonts w:cstheme="minorHAnsi"/>
                <w:sz w:val="18"/>
                <w:szCs w:val="18"/>
              </w:rPr>
            </w:pPr>
            <w:r w:rsidRPr="0040619F">
              <w:rPr>
                <w:rFonts w:cstheme="minorHAnsi"/>
                <w:sz w:val="18"/>
                <w:szCs w:val="18"/>
              </w:rPr>
              <w:t>The last day of the month following the reporting period</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1242444A" w14:textId="77777777" w:rsidR="00EB3297" w:rsidRPr="0040619F" w:rsidRDefault="00EB3297" w:rsidP="0040619F">
            <w:pPr>
              <w:spacing w:after="0"/>
              <w:jc w:val="center"/>
              <w:rPr>
                <w:rFonts w:cstheme="minorHAnsi"/>
                <w:sz w:val="18"/>
                <w:szCs w:val="18"/>
              </w:rPr>
            </w:pPr>
            <w:r w:rsidRPr="0040619F">
              <w:rPr>
                <w:rFonts w:cstheme="minorHAnsi"/>
                <w:sz w:val="18"/>
                <w:szCs w:val="18"/>
              </w:rPr>
              <w:t>45 days after the Response Due Date</w:t>
            </w:r>
          </w:p>
        </w:tc>
      </w:tr>
      <w:tr w:rsidR="00EB3297" w:rsidRPr="0040619F" w14:paraId="6B962B57" w14:textId="77777777" w:rsidTr="0040619F">
        <w:trPr>
          <w:trHeight w:val="1105"/>
        </w:trPr>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78BDE173" w14:textId="4576BDD2" w:rsidR="00EB3297" w:rsidRPr="0040619F" w:rsidRDefault="00EB3297" w:rsidP="0040619F">
            <w:pPr>
              <w:spacing w:after="0"/>
              <w:jc w:val="center"/>
              <w:rPr>
                <w:rFonts w:cstheme="minorHAnsi"/>
                <w:sz w:val="18"/>
                <w:szCs w:val="18"/>
              </w:rPr>
            </w:pPr>
            <w:r w:rsidRPr="0040619F">
              <w:rPr>
                <w:rFonts w:cstheme="minorHAnsi"/>
                <w:sz w:val="18"/>
                <w:szCs w:val="18"/>
              </w:rPr>
              <w:t>Small facilities producing less than 10,000 tons annually</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277EFBE7" w14:textId="0E5AE039" w:rsidR="00EB3297" w:rsidRPr="0040619F" w:rsidRDefault="00EB3297" w:rsidP="0040619F">
            <w:pPr>
              <w:spacing w:after="0"/>
              <w:jc w:val="center"/>
              <w:rPr>
                <w:rFonts w:cstheme="minorHAnsi"/>
                <w:sz w:val="18"/>
                <w:szCs w:val="18"/>
              </w:rPr>
            </w:pPr>
            <w:r w:rsidRPr="0040619F">
              <w:rPr>
                <w:rFonts w:cstheme="minorHAnsi"/>
                <w:sz w:val="18"/>
                <w:szCs w:val="18"/>
              </w:rPr>
              <w:t>Annually</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4D92A1F6" w14:textId="4B0D0977" w:rsidR="00EB3297" w:rsidRPr="0040619F" w:rsidRDefault="00EB3297" w:rsidP="0040619F">
            <w:pPr>
              <w:spacing w:after="0"/>
              <w:jc w:val="center"/>
              <w:rPr>
                <w:rFonts w:cstheme="minorHAnsi"/>
                <w:sz w:val="18"/>
                <w:szCs w:val="18"/>
              </w:rPr>
            </w:pPr>
            <w:r w:rsidRPr="0040619F">
              <w:rPr>
                <w:rFonts w:cstheme="minorHAnsi"/>
                <w:sz w:val="18"/>
                <w:szCs w:val="18"/>
              </w:rPr>
              <w:t xml:space="preserve">First </w:t>
            </w:r>
            <w:r w:rsidR="00AE4AC8" w:rsidRPr="0040619F">
              <w:rPr>
                <w:rFonts w:cstheme="minorHAnsi"/>
                <w:sz w:val="18"/>
                <w:szCs w:val="18"/>
              </w:rPr>
              <w:t>business day of May.</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0D5C3A6E" w14:textId="4BFEED19" w:rsidR="00EB3297" w:rsidRPr="0040619F" w:rsidRDefault="00EB3297" w:rsidP="0040619F">
            <w:pPr>
              <w:spacing w:after="0"/>
              <w:jc w:val="center"/>
              <w:rPr>
                <w:rFonts w:cstheme="minorHAnsi"/>
                <w:sz w:val="18"/>
                <w:szCs w:val="18"/>
              </w:rPr>
            </w:pPr>
            <w:r w:rsidRPr="0040619F">
              <w:rPr>
                <w:rFonts w:cstheme="minorHAnsi"/>
                <w:sz w:val="18"/>
                <w:szCs w:val="18"/>
              </w:rPr>
              <w:t>Annual responses are due the first business day of June.</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263A3C32" w14:textId="25B5B096" w:rsidR="00EB3297" w:rsidRPr="0040619F" w:rsidRDefault="00A65CF3" w:rsidP="0040619F">
            <w:pPr>
              <w:spacing w:after="0"/>
              <w:jc w:val="center"/>
              <w:rPr>
                <w:rFonts w:cstheme="minorHAnsi"/>
                <w:sz w:val="18"/>
                <w:szCs w:val="18"/>
              </w:rPr>
            </w:pPr>
            <w:r w:rsidRPr="0040619F">
              <w:rPr>
                <w:rFonts w:cstheme="minorHAnsi"/>
                <w:sz w:val="18"/>
                <w:szCs w:val="18"/>
              </w:rPr>
              <w:t>45 days after response due date.</w:t>
            </w:r>
          </w:p>
        </w:tc>
      </w:tr>
    </w:tbl>
    <w:p w14:paraId="2EA94CB2" w14:textId="77777777" w:rsidR="00EC1340" w:rsidRPr="00602065" w:rsidRDefault="00EC1340" w:rsidP="00C577C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p>
    <w:p w14:paraId="2FF026C6" w14:textId="77777777" w:rsidR="00EC1340" w:rsidRPr="00602065" w:rsidRDefault="00EC1340" w:rsidP="00C577C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p>
    <w:p w14:paraId="2ED829E3" w14:textId="4A0D2752" w:rsidR="0077056A" w:rsidRPr="00602065" w:rsidRDefault="006F18B3" w:rsidP="00C577C3">
      <w:r w:rsidRPr="00602065">
        <w:rPr>
          <w:rFonts w:eastAsia="Times New Roman"/>
        </w:rPr>
        <w:t>Respondents</w:t>
      </w:r>
      <w:r w:rsidR="00C577C3" w:rsidRPr="00602065">
        <w:rPr>
          <w:rFonts w:eastAsia="Times New Roman"/>
        </w:rPr>
        <w:t xml:space="preserve"> can also link to the data series in EIA's Application Programming Interface (</w:t>
      </w:r>
      <w:hyperlink r:id="rId31" w:history="1">
        <w:r w:rsidR="00C577C3" w:rsidRPr="00602065">
          <w:rPr>
            <w:rFonts w:eastAsia="Times New Roman"/>
          </w:rPr>
          <w:t>API</w:t>
        </w:r>
      </w:hyperlink>
      <w:r w:rsidR="00C577C3" w:rsidRPr="00602065">
        <w:rPr>
          <w:rFonts w:eastAsia="Times New Roman"/>
        </w:rPr>
        <w:t>).</w:t>
      </w:r>
      <w:r w:rsidR="00E610D7" w:rsidRPr="00602065">
        <w:rPr>
          <w:rFonts w:eastAsia="Times New Roman"/>
        </w:rPr>
        <w:t xml:space="preserve"> </w:t>
      </w:r>
      <w:r w:rsidR="00C577C3" w:rsidRPr="00602065">
        <w:rPr>
          <w:rFonts w:eastAsia="Times New Roman"/>
        </w:rPr>
        <w:t>An API makes EIA data machine-readable and more accessible to users.</w:t>
      </w:r>
      <w:r w:rsidR="00E610D7" w:rsidRPr="00602065">
        <w:rPr>
          <w:rFonts w:eastAsia="Times New Roman"/>
        </w:rPr>
        <w:t xml:space="preserve"> </w:t>
      </w:r>
      <w:r w:rsidR="00C577C3" w:rsidRPr="00602065">
        <w:rPr>
          <w:rFonts w:eastAsia="Times New Roman"/>
        </w:rPr>
        <w:t>Links to analytic reports such as the Monthly Energy Review and pertinent Today in Energy articles are also available from the page.</w:t>
      </w:r>
      <w:r w:rsidR="00E610D7" w:rsidRPr="0040619F">
        <w:rPr>
          <w:rFonts w:eastAsia="Times New Roman"/>
        </w:rPr>
        <w:t xml:space="preserve"> </w:t>
      </w:r>
      <w:r w:rsidR="00C577C3" w:rsidRPr="0040619F">
        <w:rPr>
          <w:rFonts w:eastAsia="Times New Roman"/>
        </w:rPr>
        <w:t xml:space="preserve">For more information see the EIA website </w:t>
      </w:r>
      <w:r w:rsidR="00C577C3" w:rsidRPr="0040619F">
        <w:rPr>
          <w:rFonts w:eastAsia="Times New Roman"/>
          <w:noProof/>
        </w:rPr>
        <w:t>at:</w:t>
      </w:r>
      <w:r w:rsidR="00C577C3" w:rsidRPr="0040619F">
        <w:rPr>
          <w:rFonts w:eastAsia="Times New Roman"/>
        </w:rPr>
        <w:t xml:space="preserve"> </w:t>
      </w:r>
      <w:hyperlink r:id="rId32" w:history="1">
        <w:r w:rsidR="00C577C3" w:rsidRPr="00602065">
          <w:rPr>
            <w:rStyle w:val="Hyperlink"/>
          </w:rPr>
          <w:t>http://www.eia.gov/beta/api/</w:t>
        </w:r>
      </w:hyperlink>
      <w:r w:rsidR="0077056A" w:rsidRPr="00602065">
        <w:rPr>
          <w:rStyle w:val="Hyperlink"/>
        </w:rPr>
        <w:t>.</w:t>
      </w:r>
    </w:p>
    <w:p w14:paraId="35CBB452" w14:textId="77777777" w:rsidR="00F056C3" w:rsidRPr="00602065" w:rsidRDefault="00F056C3" w:rsidP="00F056C3">
      <w:pPr>
        <w:pStyle w:val="Heading2"/>
      </w:pPr>
      <w:bookmarkStart w:id="44" w:name="_Toc493689563"/>
      <w:bookmarkStart w:id="45" w:name="_Toc466046225"/>
      <w:r w:rsidRPr="00602065">
        <w:t>A.</w:t>
      </w:r>
      <w:r w:rsidR="00A41763" w:rsidRPr="00602065">
        <w:t xml:space="preserve">17. </w:t>
      </w:r>
      <w:r w:rsidRPr="00602065">
        <w:t>OMB Number and Expiration Date</w:t>
      </w:r>
      <w:bookmarkEnd w:id="44"/>
      <w:bookmarkEnd w:id="45"/>
      <w:r w:rsidRPr="00602065">
        <w:t xml:space="preserve"> </w:t>
      </w:r>
    </w:p>
    <w:p w14:paraId="1830C0FC" w14:textId="2005069D" w:rsidR="00F056C3" w:rsidRPr="00602065" w:rsidRDefault="00441A68" w:rsidP="00A41763">
      <w:pPr>
        <w:rPr>
          <w:b/>
          <w:bCs/>
        </w:rPr>
      </w:pPr>
      <w:r w:rsidRPr="00602065">
        <w:rPr>
          <w:bCs/>
        </w:rPr>
        <w:t>The OMB number (OMB Number 1905-0209) and expiration date will be displayed on the data collection form and instructions</w:t>
      </w:r>
      <w:r w:rsidR="00467184">
        <w:rPr>
          <w:bCs/>
        </w:rPr>
        <w:t>.</w:t>
      </w:r>
    </w:p>
    <w:p w14:paraId="21685393" w14:textId="77777777" w:rsidR="00F056C3" w:rsidRPr="00602065" w:rsidRDefault="00F056C3" w:rsidP="00F056C3">
      <w:pPr>
        <w:pStyle w:val="Heading2"/>
      </w:pPr>
      <w:bookmarkStart w:id="46" w:name="_Toc493689564"/>
      <w:bookmarkStart w:id="47" w:name="_Toc466046226"/>
      <w:r w:rsidRPr="00602065">
        <w:t>A.</w:t>
      </w:r>
      <w:r w:rsidR="00A41763" w:rsidRPr="00602065">
        <w:t xml:space="preserve">18. </w:t>
      </w:r>
      <w:r w:rsidRPr="00602065">
        <w:t>Certification Statement</w:t>
      </w:r>
      <w:bookmarkEnd w:id="46"/>
      <w:bookmarkEnd w:id="47"/>
      <w:r w:rsidRPr="00602065">
        <w:t xml:space="preserve"> </w:t>
      </w:r>
    </w:p>
    <w:p w14:paraId="3A5AE194" w14:textId="479EA7C4" w:rsidR="00A41763" w:rsidRPr="00602065" w:rsidRDefault="0077056A" w:rsidP="00A41763">
      <w:r w:rsidRPr="00602065">
        <w:t>There are no exceptions to the certification statement identified in Item 19, "Certification for Paperwork Reduction Act Submissions," of OMB Form 83-I. This information collection request complies with 5 CFR 1320.9</w:t>
      </w:r>
      <w:r w:rsidR="003F73BC">
        <w:t>.</w:t>
      </w:r>
    </w:p>
    <w:sectPr w:rsidR="00A41763" w:rsidRPr="00602065" w:rsidSect="006869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4F415" w14:textId="77777777" w:rsidR="00541DCC" w:rsidRDefault="00541DCC" w:rsidP="00536CE1">
      <w:pPr>
        <w:spacing w:after="0" w:line="240" w:lineRule="auto"/>
      </w:pPr>
      <w:r>
        <w:separator/>
      </w:r>
    </w:p>
  </w:endnote>
  <w:endnote w:type="continuationSeparator" w:id="0">
    <w:p w14:paraId="53165B57" w14:textId="77777777" w:rsidR="00541DCC" w:rsidRDefault="00541DCC" w:rsidP="00536CE1">
      <w:pPr>
        <w:spacing w:after="0" w:line="240" w:lineRule="auto"/>
      </w:pPr>
      <w:r>
        <w:continuationSeparator/>
      </w:r>
    </w:p>
  </w:endnote>
  <w:endnote w:type="continuationNotice" w:id="1">
    <w:p w14:paraId="7143CAEF" w14:textId="77777777" w:rsidR="00541DCC" w:rsidRDefault="00541D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A1CBE" w14:textId="77777777" w:rsidR="00E22B62" w:rsidRPr="001F3A8F" w:rsidRDefault="00E22B62" w:rsidP="00616E46">
    <w:pPr>
      <w:pStyle w:val="Footer"/>
      <w:tabs>
        <w:tab w:val="clear" w:pos="9720"/>
        <w:tab w:val="left" w:pos="8655"/>
      </w:tabs>
    </w:pPr>
    <w:r w:rsidRPr="00CB180D">
      <w:t>U.S. Energy Information Administration</w:t>
    </w:r>
    <w:r>
      <w:t xml:space="preserve"> </w:t>
    </w:r>
    <w:r w:rsidRPr="00CB180D">
      <w:t>|</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Densified Biomass Fuel Report</w:t>
        </w:r>
      </w:sdtContent>
    </w:sdt>
    <w:r>
      <w:t xml:space="preserve"> </w:t>
    </w:r>
    <w:r>
      <w:tab/>
      <w:t xml:space="preserve"> </w:t>
    </w:r>
    <w:r>
      <w:fldChar w:fldCharType="begin"/>
    </w:r>
    <w:r>
      <w:instrText xml:space="preserve"> PAGE   \* MERGEFORMAT </w:instrText>
    </w:r>
    <w:r>
      <w:fldChar w:fldCharType="separate"/>
    </w:r>
    <w:r w:rsidR="00071C76">
      <w:rPr>
        <w:noProof/>
      </w:rPr>
      <w:t>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D728B" w14:textId="095E1CE8" w:rsidR="00E22B62" w:rsidRDefault="009B2A9E" w:rsidP="00760677">
    <w:pPr>
      <w:pStyle w:val="Footer"/>
    </w:pPr>
    <w:sdt>
      <w:sdtPr>
        <w:id w:val="272451101"/>
        <w:docPartObj>
          <w:docPartGallery w:val="Page Numbers (Bottom of Page)"/>
          <w:docPartUnique/>
        </w:docPartObj>
      </w:sdtPr>
      <w:sdtEndPr/>
      <w:sdtContent>
        <w:r w:rsidR="00E22B62" w:rsidRPr="00CB180D">
          <w:t>U.S. Energy Information Administration</w:t>
        </w:r>
        <w:r w:rsidR="00E22B62">
          <w:t xml:space="preserve"> </w:t>
        </w:r>
        <w:r w:rsidR="00E22B62" w:rsidRPr="00CB180D">
          <w:t>|</w:t>
        </w:r>
        <w:r w:rsidR="00E22B62">
          <w:t xml:space="preserve">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E22B62">
              <w:t>Improving the Quality and Scope of EIA Data</w:t>
            </w:r>
          </w:sdtContent>
        </w:sdt>
        <w:r w:rsidR="00E22B62" w:rsidRPr="00CB180D">
          <w:tab/>
        </w:r>
      </w:sdtContent>
    </w:sdt>
    <w:r w:rsidR="00E22B62" w:rsidRPr="00760677">
      <w:t xml:space="preserve"> </w:t>
    </w:r>
    <w:r w:rsidR="00E22B62">
      <w:fldChar w:fldCharType="begin"/>
    </w:r>
    <w:r w:rsidR="00E22B62">
      <w:instrText xml:space="preserve"> PAGE   \* MERGEFORMAT </w:instrText>
    </w:r>
    <w:r w:rsidR="00E22B62">
      <w:fldChar w:fldCharType="separate"/>
    </w:r>
    <w:r w:rsidR="00E22B62">
      <w:rPr>
        <w:noProof/>
      </w:rPr>
      <w:t>x</w:t>
    </w:r>
    <w:r w:rsidR="00E22B62">
      <w:rPr>
        <w:noProof/>
      </w:rPr>
      <w:fldChar w:fldCharType="end"/>
    </w:r>
  </w:p>
  <w:p w14:paraId="4BAFE7A2" w14:textId="77777777" w:rsidR="00E22B62" w:rsidRDefault="00E22B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04978" w14:textId="53FE369C" w:rsidR="00E22B62" w:rsidRDefault="009B2A9E" w:rsidP="00760677">
    <w:pPr>
      <w:pStyle w:val="Footer"/>
    </w:pPr>
    <w:sdt>
      <w:sdtPr>
        <w:id w:val="-22715443"/>
        <w:docPartObj>
          <w:docPartGallery w:val="Page Numbers (Bottom of Page)"/>
          <w:docPartUnique/>
        </w:docPartObj>
      </w:sdtPr>
      <w:sdtEndPr/>
      <w:sdtContent>
        <w:r w:rsidR="00E22B62" w:rsidRPr="00CB180D">
          <w:t>U.S. Energy Information Administration</w:t>
        </w:r>
        <w:r w:rsidR="00E22B62">
          <w:t xml:space="preserve"> </w:t>
        </w:r>
        <w:r w:rsidR="00E22B62" w:rsidRPr="00CB180D">
          <w:t>|</w:t>
        </w:r>
        <w:r w:rsidR="00E22B62">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E22B62">
              <w:t>Improving the Quality and Scope of EIA Data</w:t>
            </w:r>
          </w:sdtContent>
        </w:sdt>
        <w:r w:rsidR="00E22B62" w:rsidRPr="00CB180D">
          <w:tab/>
        </w:r>
      </w:sdtContent>
    </w:sdt>
    <w:r w:rsidR="00E22B62" w:rsidRPr="00760677">
      <w:t xml:space="preserve"> </w:t>
    </w:r>
    <w:r w:rsidR="00E22B62">
      <w:fldChar w:fldCharType="begin"/>
    </w:r>
    <w:r w:rsidR="00E22B62">
      <w:instrText xml:space="preserve"> PAGE   \* MERGEFORMAT </w:instrText>
    </w:r>
    <w:r w:rsidR="00E22B62">
      <w:fldChar w:fldCharType="separate"/>
    </w:r>
    <w:r w:rsidR="00E22B62">
      <w:rPr>
        <w:noProof/>
      </w:rPr>
      <w:t>x</w:t>
    </w:r>
    <w:r w:rsidR="00E22B62">
      <w:rPr>
        <w:noProof/>
      </w:rPr>
      <w:fldChar w:fldCharType="end"/>
    </w:r>
  </w:p>
  <w:p w14:paraId="1ABF417C" w14:textId="77777777" w:rsidR="00E22B62" w:rsidRDefault="00E22B62"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299818"/>
      <w:docPartObj>
        <w:docPartGallery w:val="Page Numbers (Bottom of Page)"/>
        <w:docPartUnique/>
      </w:docPartObj>
    </w:sdtPr>
    <w:sdtEndPr/>
    <w:sdtContent>
      <w:p w14:paraId="17AA19A7" w14:textId="13F158BE" w:rsidR="00E22B62" w:rsidRDefault="00E22B62" w:rsidP="00760677">
        <w:pPr>
          <w:pStyle w:val="Footer"/>
        </w:pPr>
        <w:r>
          <w:fldChar w:fldCharType="begin"/>
        </w:r>
        <w:r>
          <w:instrText xml:space="preserve"> PAGE   \* MERGEFORMAT </w:instrText>
        </w:r>
        <w:r>
          <w:fldChar w:fldCharType="separate"/>
        </w:r>
        <w:r>
          <w:rPr>
            <w:noProof/>
          </w:rPr>
          <w:t>10</w:t>
        </w:r>
        <w:r>
          <w:rPr>
            <w:noProof/>
          </w:rPr>
          <w:fldChar w:fldCharType="end"/>
        </w:r>
        <w:r>
          <w:tab/>
          <w:t xml:space="preserve">      </w:t>
        </w:r>
        <w:r w:rsidRPr="00CB180D">
          <w:t>U.S. Energy Information Administration</w:t>
        </w:r>
        <w:r>
          <w:t xml:space="preserve"> </w:t>
        </w:r>
        <w:r w:rsidRPr="00CB180D">
          <w:t>|</w:t>
        </w:r>
        <w:r>
          <w:t xml:space="preserve"> </w:t>
        </w:r>
        <w:r w:rsidRPr="00CB180D">
          <w:t>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9B810" w14:textId="2104C610" w:rsidR="00E22B62" w:rsidRDefault="009B2A9E" w:rsidP="00760677">
    <w:pPr>
      <w:pStyle w:val="Footer"/>
    </w:pPr>
    <w:sdt>
      <w:sdtPr>
        <w:id w:val="-917554475"/>
        <w:docPartObj>
          <w:docPartGallery w:val="Page Numbers (Bottom of Page)"/>
          <w:docPartUnique/>
        </w:docPartObj>
      </w:sdtPr>
      <w:sdtEndPr/>
      <w:sdtContent>
        <w:r w:rsidR="00E22B62" w:rsidRPr="00CB180D">
          <w:t>U.S. Energy Information Administration</w:t>
        </w:r>
        <w:r w:rsidR="00E22B62">
          <w:t xml:space="preserve"> </w:t>
        </w:r>
        <w:r w:rsidR="00E22B62" w:rsidRPr="00CB180D">
          <w:t>|</w:t>
        </w:r>
        <w:r w:rsidR="00E22B62">
          <w:t xml:space="preserve"> </w:t>
        </w:r>
        <w:sdt>
          <w:sdtPr>
            <w:alias w:val="Subject"/>
            <w:id w:val="1130671141"/>
            <w:dataBinding w:prefixMappings="xmlns:ns0='http://purl.org/dc/elements/1.1/' xmlns:ns1='http://schemas.openxmlformats.org/package/2006/metadata/core-properties' " w:xpath="/ns1:coreProperties[1]/ns0:subject[1]" w:storeItemID="{6C3C8BC8-F283-45AE-878A-BAB7291924A1}"/>
            <w:text/>
          </w:sdtPr>
          <w:sdtEndPr/>
          <w:sdtContent>
            <w:r w:rsidR="00E22B62">
              <w:t>Improving the Quality and Scope of EIA Data</w:t>
            </w:r>
          </w:sdtContent>
        </w:sdt>
        <w:r w:rsidR="00E22B62" w:rsidRPr="00CB180D">
          <w:tab/>
        </w:r>
      </w:sdtContent>
    </w:sdt>
    <w:r w:rsidR="00E22B62" w:rsidRPr="00760677">
      <w:t xml:space="preserve"> </w:t>
    </w:r>
    <w:r w:rsidR="00E22B62">
      <w:fldChar w:fldCharType="begin"/>
    </w:r>
    <w:r w:rsidR="00E22B62">
      <w:instrText xml:space="preserve"> PAGE   \* MERGEFORMAT </w:instrText>
    </w:r>
    <w:r w:rsidR="00E22B62">
      <w:fldChar w:fldCharType="separate"/>
    </w:r>
    <w:r w:rsidR="00E22B62">
      <w:rPr>
        <w:noProof/>
      </w:rPr>
      <w:t>10</w:t>
    </w:r>
    <w:r w:rsidR="00E22B62">
      <w:rPr>
        <w:noProof/>
      </w:rPr>
      <w:fldChar w:fldCharType="end"/>
    </w:r>
  </w:p>
  <w:p w14:paraId="46B6FF86" w14:textId="77777777" w:rsidR="00E22B62" w:rsidRDefault="00E22B62"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54B99" w14:textId="77777777" w:rsidR="00541DCC" w:rsidRDefault="00541DCC" w:rsidP="00536CE1">
      <w:pPr>
        <w:spacing w:after="0" w:line="240" w:lineRule="auto"/>
      </w:pPr>
      <w:r>
        <w:separator/>
      </w:r>
    </w:p>
  </w:footnote>
  <w:footnote w:type="continuationSeparator" w:id="0">
    <w:p w14:paraId="1D4A4F0A" w14:textId="77777777" w:rsidR="00541DCC" w:rsidRDefault="00541DCC" w:rsidP="00536CE1">
      <w:pPr>
        <w:spacing w:after="0" w:line="240" w:lineRule="auto"/>
      </w:pPr>
      <w:r>
        <w:continuationSeparator/>
      </w:r>
    </w:p>
  </w:footnote>
  <w:footnote w:type="continuationNotice" w:id="1">
    <w:p w14:paraId="58036B81" w14:textId="77777777" w:rsidR="00541DCC" w:rsidRDefault="00541DC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32F73" w14:textId="77777777" w:rsidR="00E22B62" w:rsidRDefault="00E22B62"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FC36F" w14:textId="77777777" w:rsidR="00E22B62" w:rsidRPr="00373208" w:rsidRDefault="00E22B62"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7A672" w14:textId="510ABFD3" w:rsidR="00E22B62" w:rsidRPr="00F8298C" w:rsidRDefault="00FE7396" w:rsidP="00041909">
    <w:pPr>
      <w:pStyle w:val="Header"/>
    </w:pPr>
    <w:r>
      <w:t>June</w:t>
    </w:r>
    <w:r w:rsidR="00E22B62">
      <w:t xml:space="preserve"> 2018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0618E" w14:textId="77777777" w:rsidR="00E22B62" w:rsidRDefault="00E22B62"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0B223D81"/>
    <w:multiLevelType w:val="hybridMultilevel"/>
    <w:tmpl w:val="5CC66A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552EF9"/>
    <w:multiLevelType w:val="hybridMultilevel"/>
    <w:tmpl w:val="0CDCD286"/>
    <w:lvl w:ilvl="0" w:tplc="FED27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662E5D"/>
    <w:multiLevelType w:val="hybridMultilevel"/>
    <w:tmpl w:val="8CD40D7E"/>
    <w:lvl w:ilvl="0" w:tplc="E1E495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FB2C41"/>
    <w:multiLevelType w:val="hybridMultilevel"/>
    <w:tmpl w:val="EBB87B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3A2767"/>
    <w:multiLevelType w:val="hybridMultilevel"/>
    <w:tmpl w:val="A9663CE2"/>
    <w:lvl w:ilvl="0" w:tplc="38C8AC7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863061"/>
    <w:multiLevelType w:val="multilevel"/>
    <w:tmpl w:val="23362550"/>
    <w:lvl w:ilvl="0">
      <w:start w:val="1"/>
      <w:numFmt w:val="none"/>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2"/>
  </w:num>
  <w:num w:numId="9">
    <w:abstractNumId w:val="7"/>
  </w:num>
  <w:num w:numId="10">
    <w:abstractNumId w:val="9"/>
  </w:num>
  <w:num w:numId="11">
    <w:abstractNumId w:val="10"/>
  </w:num>
  <w:num w:numId="12">
    <w:abstractNumId w:val="8"/>
  </w:num>
  <w:num w:numId="13">
    <w:abstractNumId w:val="11"/>
  </w:num>
  <w:num w:numId="1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4097"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C2NDE3sjAwMrKwMDRV0lEKTi0uzszPAykwtKwFAB7tua4tAAAA"/>
  </w:docVars>
  <w:rsids>
    <w:rsidRoot w:val="00A41763"/>
    <w:rsid w:val="0000019D"/>
    <w:rsid w:val="00000A81"/>
    <w:rsid w:val="00002C65"/>
    <w:rsid w:val="0000364C"/>
    <w:rsid w:val="00004135"/>
    <w:rsid w:val="000041A1"/>
    <w:rsid w:val="00004904"/>
    <w:rsid w:val="000053BB"/>
    <w:rsid w:val="0001060F"/>
    <w:rsid w:val="00011B3F"/>
    <w:rsid w:val="00012054"/>
    <w:rsid w:val="000131BF"/>
    <w:rsid w:val="00013373"/>
    <w:rsid w:val="000142E5"/>
    <w:rsid w:val="0001594F"/>
    <w:rsid w:val="00015DA7"/>
    <w:rsid w:val="000248CE"/>
    <w:rsid w:val="00024E1E"/>
    <w:rsid w:val="0003106B"/>
    <w:rsid w:val="00034A4B"/>
    <w:rsid w:val="00041909"/>
    <w:rsid w:val="0004294D"/>
    <w:rsid w:val="00042C52"/>
    <w:rsid w:val="00043A05"/>
    <w:rsid w:val="00044650"/>
    <w:rsid w:val="00045CA6"/>
    <w:rsid w:val="00046593"/>
    <w:rsid w:val="00046857"/>
    <w:rsid w:val="00047C08"/>
    <w:rsid w:val="0005401F"/>
    <w:rsid w:val="00055769"/>
    <w:rsid w:val="00056EC3"/>
    <w:rsid w:val="00060F1F"/>
    <w:rsid w:val="00062CFE"/>
    <w:rsid w:val="000706A3"/>
    <w:rsid w:val="0007129A"/>
    <w:rsid w:val="00071C76"/>
    <w:rsid w:val="00080B05"/>
    <w:rsid w:val="000831C4"/>
    <w:rsid w:val="000844CA"/>
    <w:rsid w:val="00090D4C"/>
    <w:rsid w:val="00091A29"/>
    <w:rsid w:val="0009483C"/>
    <w:rsid w:val="00095641"/>
    <w:rsid w:val="000B3FBE"/>
    <w:rsid w:val="000B6A46"/>
    <w:rsid w:val="000C130D"/>
    <w:rsid w:val="000C28E1"/>
    <w:rsid w:val="000C5311"/>
    <w:rsid w:val="000E26B2"/>
    <w:rsid w:val="000E2AB9"/>
    <w:rsid w:val="000F040A"/>
    <w:rsid w:val="000F10D9"/>
    <w:rsid w:val="000F48DB"/>
    <w:rsid w:val="001034E8"/>
    <w:rsid w:val="00104E45"/>
    <w:rsid w:val="00112A69"/>
    <w:rsid w:val="0011541D"/>
    <w:rsid w:val="001228B8"/>
    <w:rsid w:val="00132F4A"/>
    <w:rsid w:val="001405EC"/>
    <w:rsid w:val="001424BB"/>
    <w:rsid w:val="001449E9"/>
    <w:rsid w:val="00152D7D"/>
    <w:rsid w:val="00154106"/>
    <w:rsid w:val="00154192"/>
    <w:rsid w:val="00155228"/>
    <w:rsid w:val="00160BC8"/>
    <w:rsid w:val="00167425"/>
    <w:rsid w:val="0017139C"/>
    <w:rsid w:val="00173DE7"/>
    <w:rsid w:val="001767D9"/>
    <w:rsid w:val="00177159"/>
    <w:rsid w:val="001800A7"/>
    <w:rsid w:val="001807A3"/>
    <w:rsid w:val="00184B64"/>
    <w:rsid w:val="001947D5"/>
    <w:rsid w:val="001947DA"/>
    <w:rsid w:val="00194A9C"/>
    <w:rsid w:val="001A2B56"/>
    <w:rsid w:val="001A6E1E"/>
    <w:rsid w:val="001A74CD"/>
    <w:rsid w:val="001A7D7B"/>
    <w:rsid w:val="001B0E69"/>
    <w:rsid w:val="001B6585"/>
    <w:rsid w:val="001C05B5"/>
    <w:rsid w:val="001D03A8"/>
    <w:rsid w:val="001D2631"/>
    <w:rsid w:val="001D3CAD"/>
    <w:rsid w:val="001D6919"/>
    <w:rsid w:val="001E1EFC"/>
    <w:rsid w:val="001E6201"/>
    <w:rsid w:val="001E7D88"/>
    <w:rsid w:val="001F38DB"/>
    <w:rsid w:val="001F3A8F"/>
    <w:rsid w:val="002008B4"/>
    <w:rsid w:val="00201F24"/>
    <w:rsid w:val="00205CAD"/>
    <w:rsid w:val="00211793"/>
    <w:rsid w:val="002127CE"/>
    <w:rsid w:val="0021383A"/>
    <w:rsid w:val="00215842"/>
    <w:rsid w:val="00216B4A"/>
    <w:rsid w:val="002205DC"/>
    <w:rsid w:val="002207DF"/>
    <w:rsid w:val="00221AC2"/>
    <w:rsid w:val="00224FAB"/>
    <w:rsid w:val="00226363"/>
    <w:rsid w:val="00227E4B"/>
    <w:rsid w:val="0023015A"/>
    <w:rsid w:val="00234698"/>
    <w:rsid w:val="0023708A"/>
    <w:rsid w:val="00242213"/>
    <w:rsid w:val="002459D7"/>
    <w:rsid w:val="0025022D"/>
    <w:rsid w:val="0025302F"/>
    <w:rsid w:val="002530BB"/>
    <w:rsid w:val="002547FB"/>
    <w:rsid w:val="002556F3"/>
    <w:rsid w:val="002577DE"/>
    <w:rsid w:val="00260EDF"/>
    <w:rsid w:val="00264148"/>
    <w:rsid w:val="0026677D"/>
    <w:rsid w:val="002711D8"/>
    <w:rsid w:val="00274179"/>
    <w:rsid w:val="0029087A"/>
    <w:rsid w:val="002962A9"/>
    <w:rsid w:val="00296A21"/>
    <w:rsid w:val="002A4ACB"/>
    <w:rsid w:val="002A6FF3"/>
    <w:rsid w:val="002A78CA"/>
    <w:rsid w:val="002B0FD2"/>
    <w:rsid w:val="002B2C02"/>
    <w:rsid w:val="002C235F"/>
    <w:rsid w:val="002C3473"/>
    <w:rsid w:val="002C378C"/>
    <w:rsid w:val="002D04C0"/>
    <w:rsid w:val="002D2A60"/>
    <w:rsid w:val="002E3FD5"/>
    <w:rsid w:val="002E72DD"/>
    <w:rsid w:val="002E7A38"/>
    <w:rsid w:val="002F7CEE"/>
    <w:rsid w:val="00306516"/>
    <w:rsid w:val="00312628"/>
    <w:rsid w:val="00312890"/>
    <w:rsid w:val="00320036"/>
    <w:rsid w:val="00324149"/>
    <w:rsid w:val="00342DA4"/>
    <w:rsid w:val="003469CB"/>
    <w:rsid w:val="00350C8B"/>
    <w:rsid w:val="003520D5"/>
    <w:rsid w:val="003530E7"/>
    <w:rsid w:val="003618FC"/>
    <w:rsid w:val="003630D2"/>
    <w:rsid w:val="00363331"/>
    <w:rsid w:val="00363379"/>
    <w:rsid w:val="00363FDC"/>
    <w:rsid w:val="00364233"/>
    <w:rsid w:val="003713F7"/>
    <w:rsid w:val="00371E14"/>
    <w:rsid w:val="00373208"/>
    <w:rsid w:val="00374254"/>
    <w:rsid w:val="00383DB3"/>
    <w:rsid w:val="003854B2"/>
    <w:rsid w:val="00385AE6"/>
    <w:rsid w:val="00386CCD"/>
    <w:rsid w:val="00387C8D"/>
    <w:rsid w:val="00392B21"/>
    <w:rsid w:val="00392DD0"/>
    <w:rsid w:val="00394218"/>
    <w:rsid w:val="00394BB3"/>
    <w:rsid w:val="00396BCB"/>
    <w:rsid w:val="00397825"/>
    <w:rsid w:val="00397C0F"/>
    <w:rsid w:val="003A1073"/>
    <w:rsid w:val="003A10F3"/>
    <w:rsid w:val="003A3906"/>
    <w:rsid w:val="003B03A4"/>
    <w:rsid w:val="003B7992"/>
    <w:rsid w:val="003C03EA"/>
    <w:rsid w:val="003C3F4A"/>
    <w:rsid w:val="003C690C"/>
    <w:rsid w:val="003C7BAE"/>
    <w:rsid w:val="003D6AE2"/>
    <w:rsid w:val="003E40FA"/>
    <w:rsid w:val="003F243E"/>
    <w:rsid w:val="003F24ED"/>
    <w:rsid w:val="003F4C7A"/>
    <w:rsid w:val="003F529E"/>
    <w:rsid w:val="003F73BC"/>
    <w:rsid w:val="0040619F"/>
    <w:rsid w:val="00410AD8"/>
    <w:rsid w:val="00416C04"/>
    <w:rsid w:val="00421445"/>
    <w:rsid w:val="00426481"/>
    <w:rsid w:val="00426911"/>
    <w:rsid w:val="00432966"/>
    <w:rsid w:val="00441A68"/>
    <w:rsid w:val="0045608E"/>
    <w:rsid w:val="0045662F"/>
    <w:rsid w:val="00466959"/>
    <w:rsid w:val="00467184"/>
    <w:rsid w:val="00474BCB"/>
    <w:rsid w:val="0047784B"/>
    <w:rsid w:val="00477FD5"/>
    <w:rsid w:val="00481C4B"/>
    <w:rsid w:val="00481C66"/>
    <w:rsid w:val="004910F1"/>
    <w:rsid w:val="004946F0"/>
    <w:rsid w:val="00494E5C"/>
    <w:rsid w:val="00497C2A"/>
    <w:rsid w:val="004A4B6B"/>
    <w:rsid w:val="004B1075"/>
    <w:rsid w:val="004B35D0"/>
    <w:rsid w:val="004C0BBF"/>
    <w:rsid w:val="004C1ADA"/>
    <w:rsid w:val="004C277B"/>
    <w:rsid w:val="004C4DF4"/>
    <w:rsid w:val="004C4F8A"/>
    <w:rsid w:val="004C512E"/>
    <w:rsid w:val="004D05FB"/>
    <w:rsid w:val="004D29C7"/>
    <w:rsid w:val="004D448D"/>
    <w:rsid w:val="004D7E5D"/>
    <w:rsid w:val="004E4100"/>
    <w:rsid w:val="004E4A1E"/>
    <w:rsid w:val="004E7359"/>
    <w:rsid w:val="004F0DBE"/>
    <w:rsid w:val="004F11E2"/>
    <w:rsid w:val="00504119"/>
    <w:rsid w:val="005065CF"/>
    <w:rsid w:val="00506BB4"/>
    <w:rsid w:val="0050705F"/>
    <w:rsid w:val="005076D5"/>
    <w:rsid w:val="0051112B"/>
    <w:rsid w:val="005170D3"/>
    <w:rsid w:val="0052493A"/>
    <w:rsid w:val="0052783E"/>
    <w:rsid w:val="00535CAF"/>
    <w:rsid w:val="00536054"/>
    <w:rsid w:val="0053654B"/>
    <w:rsid w:val="00536CE1"/>
    <w:rsid w:val="005376C0"/>
    <w:rsid w:val="0054180D"/>
    <w:rsid w:val="00541DCC"/>
    <w:rsid w:val="00543C6E"/>
    <w:rsid w:val="0054770A"/>
    <w:rsid w:val="00547B53"/>
    <w:rsid w:val="005515CD"/>
    <w:rsid w:val="00551897"/>
    <w:rsid w:val="00571D8F"/>
    <w:rsid w:val="0057367D"/>
    <w:rsid w:val="00583538"/>
    <w:rsid w:val="00585BE3"/>
    <w:rsid w:val="005875D7"/>
    <w:rsid w:val="0059212D"/>
    <w:rsid w:val="00593181"/>
    <w:rsid w:val="00594417"/>
    <w:rsid w:val="005A455A"/>
    <w:rsid w:val="005B2B58"/>
    <w:rsid w:val="005C00FA"/>
    <w:rsid w:val="005C0F8F"/>
    <w:rsid w:val="005C134D"/>
    <w:rsid w:val="005C2D89"/>
    <w:rsid w:val="005C485B"/>
    <w:rsid w:val="005D0B3A"/>
    <w:rsid w:val="005D39D7"/>
    <w:rsid w:val="005D5956"/>
    <w:rsid w:val="005D6F63"/>
    <w:rsid w:val="005E2B20"/>
    <w:rsid w:val="005F11D0"/>
    <w:rsid w:val="005F4848"/>
    <w:rsid w:val="00601B2A"/>
    <w:rsid w:val="00602065"/>
    <w:rsid w:val="00610889"/>
    <w:rsid w:val="00611585"/>
    <w:rsid w:val="00615B2F"/>
    <w:rsid w:val="00616E46"/>
    <w:rsid w:val="0062008C"/>
    <w:rsid w:val="00620797"/>
    <w:rsid w:val="00621144"/>
    <w:rsid w:val="006237E1"/>
    <w:rsid w:val="00626494"/>
    <w:rsid w:val="00630FA8"/>
    <w:rsid w:val="006320E6"/>
    <w:rsid w:val="00641DE2"/>
    <w:rsid w:val="0064285D"/>
    <w:rsid w:val="00643384"/>
    <w:rsid w:val="0064721F"/>
    <w:rsid w:val="0065406F"/>
    <w:rsid w:val="00655BEA"/>
    <w:rsid w:val="006574B7"/>
    <w:rsid w:val="00663EC4"/>
    <w:rsid w:val="0066604B"/>
    <w:rsid w:val="00666EB4"/>
    <w:rsid w:val="0067476E"/>
    <w:rsid w:val="00677C5F"/>
    <w:rsid w:val="00683A0E"/>
    <w:rsid w:val="0068693E"/>
    <w:rsid w:val="006879DD"/>
    <w:rsid w:val="006A0BC7"/>
    <w:rsid w:val="006A1D1B"/>
    <w:rsid w:val="006B0C3E"/>
    <w:rsid w:val="006C0062"/>
    <w:rsid w:val="006C097E"/>
    <w:rsid w:val="006C2DC3"/>
    <w:rsid w:val="006D01A3"/>
    <w:rsid w:val="006D0439"/>
    <w:rsid w:val="006D38CC"/>
    <w:rsid w:val="006D42EC"/>
    <w:rsid w:val="006D6D00"/>
    <w:rsid w:val="006E431A"/>
    <w:rsid w:val="006F18B3"/>
    <w:rsid w:val="006F4225"/>
    <w:rsid w:val="00704B7D"/>
    <w:rsid w:val="00711414"/>
    <w:rsid w:val="00725453"/>
    <w:rsid w:val="007260C7"/>
    <w:rsid w:val="007276B4"/>
    <w:rsid w:val="00730DA0"/>
    <w:rsid w:val="00732476"/>
    <w:rsid w:val="00737591"/>
    <w:rsid w:val="00740CBD"/>
    <w:rsid w:val="007438F2"/>
    <w:rsid w:val="00750F59"/>
    <w:rsid w:val="00755961"/>
    <w:rsid w:val="00755C3D"/>
    <w:rsid w:val="007576EF"/>
    <w:rsid w:val="00760677"/>
    <w:rsid w:val="00761C12"/>
    <w:rsid w:val="007648C5"/>
    <w:rsid w:val="007658BA"/>
    <w:rsid w:val="00767F9D"/>
    <w:rsid w:val="0077056A"/>
    <w:rsid w:val="0077079A"/>
    <w:rsid w:val="007716BE"/>
    <w:rsid w:val="007734FD"/>
    <w:rsid w:val="00776CF4"/>
    <w:rsid w:val="00784F89"/>
    <w:rsid w:val="007857C0"/>
    <w:rsid w:val="00786336"/>
    <w:rsid w:val="007865E0"/>
    <w:rsid w:val="00790AFA"/>
    <w:rsid w:val="007937C8"/>
    <w:rsid w:val="0079626F"/>
    <w:rsid w:val="00796EAD"/>
    <w:rsid w:val="007A0E7F"/>
    <w:rsid w:val="007A4378"/>
    <w:rsid w:val="007A78C1"/>
    <w:rsid w:val="007B4F46"/>
    <w:rsid w:val="007C0030"/>
    <w:rsid w:val="007C56FE"/>
    <w:rsid w:val="007C5CE9"/>
    <w:rsid w:val="007D39CC"/>
    <w:rsid w:val="007D6504"/>
    <w:rsid w:val="007D6AAF"/>
    <w:rsid w:val="007E5107"/>
    <w:rsid w:val="007E5A11"/>
    <w:rsid w:val="007E5E73"/>
    <w:rsid w:val="007E73E6"/>
    <w:rsid w:val="007F1954"/>
    <w:rsid w:val="007F21D7"/>
    <w:rsid w:val="008057F8"/>
    <w:rsid w:val="0081525D"/>
    <w:rsid w:val="0081529E"/>
    <w:rsid w:val="008213F9"/>
    <w:rsid w:val="008252A4"/>
    <w:rsid w:val="00825FC1"/>
    <w:rsid w:val="00827A4E"/>
    <w:rsid w:val="00827C47"/>
    <w:rsid w:val="008307E1"/>
    <w:rsid w:val="00836D62"/>
    <w:rsid w:val="00837C49"/>
    <w:rsid w:val="00842044"/>
    <w:rsid w:val="00844185"/>
    <w:rsid w:val="00844524"/>
    <w:rsid w:val="00850FA2"/>
    <w:rsid w:val="00860770"/>
    <w:rsid w:val="008610A6"/>
    <w:rsid w:val="00867160"/>
    <w:rsid w:val="00867200"/>
    <w:rsid w:val="0087205B"/>
    <w:rsid w:val="00874FB8"/>
    <w:rsid w:val="00880F8B"/>
    <w:rsid w:val="0088299F"/>
    <w:rsid w:val="008922B8"/>
    <w:rsid w:val="00895669"/>
    <w:rsid w:val="00895AD5"/>
    <w:rsid w:val="00897946"/>
    <w:rsid w:val="008A121D"/>
    <w:rsid w:val="008A1308"/>
    <w:rsid w:val="008A29C8"/>
    <w:rsid w:val="008A3276"/>
    <w:rsid w:val="008A3447"/>
    <w:rsid w:val="008A7417"/>
    <w:rsid w:val="008B1503"/>
    <w:rsid w:val="008B46B1"/>
    <w:rsid w:val="008B48CC"/>
    <w:rsid w:val="008C35B1"/>
    <w:rsid w:val="008C734C"/>
    <w:rsid w:val="008D2880"/>
    <w:rsid w:val="008D2D1C"/>
    <w:rsid w:val="008E140B"/>
    <w:rsid w:val="008E4BF2"/>
    <w:rsid w:val="008F0984"/>
    <w:rsid w:val="008F2821"/>
    <w:rsid w:val="008F2E7E"/>
    <w:rsid w:val="008F4CBD"/>
    <w:rsid w:val="009017AD"/>
    <w:rsid w:val="00901BED"/>
    <w:rsid w:val="00904100"/>
    <w:rsid w:val="00905735"/>
    <w:rsid w:val="009131B9"/>
    <w:rsid w:val="009134B4"/>
    <w:rsid w:val="0091409C"/>
    <w:rsid w:val="0091713B"/>
    <w:rsid w:val="0091751C"/>
    <w:rsid w:val="00922EC8"/>
    <w:rsid w:val="00922FAE"/>
    <w:rsid w:val="00930727"/>
    <w:rsid w:val="0093331E"/>
    <w:rsid w:val="00935805"/>
    <w:rsid w:val="009368F3"/>
    <w:rsid w:val="00942698"/>
    <w:rsid w:val="00944D43"/>
    <w:rsid w:val="00944E71"/>
    <w:rsid w:val="00947C42"/>
    <w:rsid w:val="00950489"/>
    <w:rsid w:val="0095154B"/>
    <w:rsid w:val="00953942"/>
    <w:rsid w:val="009550A7"/>
    <w:rsid w:val="00957DE9"/>
    <w:rsid w:val="009616F7"/>
    <w:rsid w:val="00965A44"/>
    <w:rsid w:val="00967164"/>
    <w:rsid w:val="00967D7C"/>
    <w:rsid w:val="00971E17"/>
    <w:rsid w:val="009756F2"/>
    <w:rsid w:val="009757AD"/>
    <w:rsid w:val="00980B6A"/>
    <w:rsid w:val="009818F9"/>
    <w:rsid w:val="0098547B"/>
    <w:rsid w:val="0098618F"/>
    <w:rsid w:val="00987C32"/>
    <w:rsid w:val="00991646"/>
    <w:rsid w:val="0099448B"/>
    <w:rsid w:val="00997347"/>
    <w:rsid w:val="009A2310"/>
    <w:rsid w:val="009A5DB1"/>
    <w:rsid w:val="009B19CE"/>
    <w:rsid w:val="009B2A9E"/>
    <w:rsid w:val="009B6A86"/>
    <w:rsid w:val="009B7A31"/>
    <w:rsid w:val="009C202F"/>
    <w:rsid w:val="009C4480"/>
    <w:rsid w:val="009C76BE"/>
    <w:rsid w:val="009C77F7"/>
    <w:rsid w:val="009D237B"/>
    <w:rsid w:val="009D6FA7"/>
    <w:rsid w:val="009E3096"/>
    <w:rsid w:val="009E5ABC"/>
    <w:rsid w:val="009E5B9C"/>
    <w:rsid w:val="009F4ED1"/>
    <w:rsid w:val="00A00D71"/>
    <w:rsid w:val="00A00EDF"/>
    <w:rsid w:val="00A0294B"/>
    <w:rsid w:val="00A066BE"/>
    <w:rsid w:val="00A07B96"/>
    <w:rsid w:val="00A11B96"/>
    <w:rsid w:val="00A12C07"/>
    <w:rsid w:val="00A1415A"/>
    <w:rsid w:val="00A206D5"/>
    <w:rsid w:val="00A26A17"/>
    <w:rsid w:val="00A30169"/>
    <w:rsid w:val="00A302CF"/>
    <w:rsid w:val="00A312A3"/>
    <w:rsid w:val="00A33D9F"/>
    <w:rsid w:val="00A37229"/>
    <w:rsid w:val="00A41763"/>
    <w:rsid w:val="00A418C9"/>
    <w:rsid w:val="00A478C3"/>
    <w:rsid w:val="00A5349A"/>
    <w:rsid w:val="00A553E6"/>
    <w:rsid w:val="00A56696"/>
    <w:rsid w:val="00A65CF3"/>
    <w:rsid w:val="00A66380"/>
    <w:rsid w:val="00A71436"/>
    <w:rsid w:val="00A72AA8"/>
    <w:rsid w:val="00A74144"/>
    <w:rsid w:val="00A74C9B"/>
    <w:rsid w:val="00A86675"/>
    <w:rsid w:val="00A87EA2"/>
    <w:rsid w:val="00A9214E"/>
    <w:rsid w:val="00A93478"/>
    <w:rsid w:val="00A97FE7"/>
    <w:rsid w:val="00AA1EB1"/>
    <w:rsid w:val="00AA3FD0"/>
    <w:rsid w:val="00AA46CA"/>
    <w:rsid w:val="00AA4DE6"/>
    <w:rsid w:val="00AA7825"/>
    <w:rsid w:val="00AA7EFA"/>
    <w:rsid w:val="00AB41CA"/>
    <w:rsid w:val="00AB61B3"/>
    <w:rsid w:val="00AB61D6"/>
    <w:rsid w:val="00AC0666"/>
    <w:rsid w:val="00AC13A8"/>
    <w:rsid w:val="00AC2D5B"/>
    <w:rsid w:val="00AC323A"/>
    <w:rsid w:val="00AC336D"/>
    <w:rsid w:val="00AC5748"/>
    <w:rsid w:val="00AC59EC"/>
    <w:rsid w:val="00AC7924"/>
    <w:rsid w:val="00AD3478"/>
    <w:rsid w:val="00AD3F56"/>
    <w:rsid w:val="00AD6357"/>
    <w:rsid w:val="00AD6512"/>
    <w:rsid w:val="00AD7F81"/>
    <w:rsid w:val="00AE175D"/>
    <w:rsid w:val="00AE4AC8"/>
    <w:rsid w:val="00AE4CA9"/>
    <w:rsid w:val="00AF0E66"/>
    <w:rsid w:val="00AF367D"/>
    <w:rsid w:val="00AF40B7"/>
    <w:rsid w:val="00AF45FD"/>
    <w:rsid w:val="00AF6383"/>
    <w:rsid w:val="00B02234"/>
    <w:rsid w:val="00B07443"/>
    <w:rsid w:val="00B17587"/>
    <w:rsid w:val="00B2386E"/>
    <w:rsid w:val="00B24375"/>
    <w:rsid w:val="00B335BA"/>
    <w:rsid w:val="00B34656"/>
    <w:rsid w:val="00B35E2A"/>
    <w:rsid w:val="00B4263D"/>
    <w:rsid w:val="00B47C3A"/>
    <w:rsid w:val="00B56F49"/>
    <w:rsid w:val="00B60EE9"/>
    <w:rsid w:val="00B64AF3"/>
    <w:rsid w:val="00B6581B"/>
    <w:rsid w:val="00B67FEC"/>
    <w:rsid w:val="00B73867"/>
    <w:rsid w:val="00B7442A"/>
    <w:rsid w:val="00B8062F"/>
    <w:rsid w:val="00B858D5"/>
    <w:rsid w:val="00B862BA"/>
    <w:rsid w:val="00B86FAA"/>
    <w:rsid w:val="00B87DA2"/>
    <w:rsid w:val="00B94117"/>
    <w:rsid w:val="00B9446C"/>
    <w:rsid w:val="00B97002"/>
    <w:rsid w:val="00BB2F70"/>
    <w:rsid w:val="00BB6CF4"/>
    <w:rsid w:val="00BC14C3"/>
    <w:rsid w:val="00BC1ABE"/>
    <w:rsid w:val="00BC3C6B"/>
    <w:rsid w:val="00BC4E28"/>
    <w:rsid w:val="00BD2F20"/>
    <w:rsid w:val="00BD4F62"/>
    <w:rsid w:val="00BD5E57"/>
    <w:rsid w:val="00BD7AA3"/>
    <w:rsid w:val="00BE4AFD"/>
    <w:rsid w:val="00BF50FB"/>
    <w:rsid w:val="00BF5E5D"/>
    <w:rsid w:val="00BF7D49"/>
    <w:rsid w:val="00C00590"/>
    <w:rsid w:val="00C04647"/>
    <w:rsid w:val="00C058CF"/>
    <w:rsid w:val="00C12551"/>
    <w:rsid w:val="00C14441"/>
    <w:rsid w:val="00C150FD"/>
    <w:rsid w:val="00C211CD"/>
    <w:rsid w:val="00C25328"/>
    <w:rsid w:val="00C313AD"/>
    <w:rsid w:val="00C31E81"/>
    <w:rsid w:val="00C33325"/>
    <w:rsid w:val="00C33D37"/>
    <w:rsid w:val="00C3483A"/>
    <w:rsid w:val="00C34D80"/>
    <w:rsid w:val="00C35E56"/>
    <w:rsid w:val="00C37381"/>
    <w:rsid w:val="00C3744D"/>
    <w:rsid w:val="00C433EA"/>
    <w:rsid w:val="00C43A84"/>
    <w:rsid w:val="00C55B98"/>
    <w:rsid w:val="00C56984"/>
    <w:rsid w:val="00C577C3"/>
    <w:rsid w:val="00C64137"/>
    <w:rsid w:val="00C64E81"/>
    <w:rsid w:val="00C64FC7"/>
    <w:rsid w:val="00C658E4"/>
    <w:rsid w:val="00C71006"/>
    <w:rsid w:val="00C7266E"/>
    <w:rsid w:val="00C74636"/>
    <w:rsid w:val="00C758F1"/>
    <w:rsid w:val="00C76C66"/>
    <w:rsid w:val="00C82DF9"/>
    <w:rsid w:val="00C87190"/>
    <w:rsid w:val="00C904A1"/>
    <w:rsid w:val="00CA1564"/>
    <w:rsid w:val="00CA2269"/>
    <w:rsid w:val="00CA687A"/>
    <w:rsid w:val="00CA7C8A"/>
    <w:rsid w:val="00CB3774"/>
    <w:rsid w:val="00CB3A6E"/>
    <w:rsid w:val="00CB44E8"/>
    <w:rsid w:val="00CB7978"/>
    <w:rsid w:val="00CC1D12"/>
    <w:rsid w:val="00CC3B08"/>
    <w:rsid w:val="00CC3E33"/>
    <w:rsid w:val="00CC7FBE"/>
    <w:rsid w:val="00CD1E79"/>
    <w:rsid w:val="00CD436F"/>
    <w:rsid w:val="00CD50EA"/>
    <w:rsid w:val="00CE42E9"/>
    <w:rsid w:val="00CE6933"/>
    <w:rsid w:val="00CF0864"/>
    <w:rsid w:val="00CF4895"/>
    <w:rsid w:val="00D001E4"/>
    <w:rsid w:val="00D00AA8"/>
    <w:rsid w:val="00D02778"/>
    <w:rsid w:val="00D11A41"/>
    <w:rsid w:val="00D12E35"/>
    <w:rsid w:val="00D13E84"/>
    <w:rsid w:val="00D15D76"/>
    <w:rsid w:val="00D25EEF"/>
    <w:rsid w:val="00D300F4"/>
    <w:rsid w:val="00D3344B"/>
    <w:rsid w:val="00D40175"/>
    <w:rsid w:val="00D44F9D"/>
    <w:rsid w:val="00D55243"/>
    <w:rsid w:val="00D62F90"/>
    <w:rsid w:val="00D63E74"/>
    <w:rsid w:val="00D64451"/>
    <w:rsid w:val="00D7028D"/>
    <w:rsid w:val="00D715C4"/>
    <w:rsid w:val="00D75E76"/>
    <w:rsid w:val="00D773D4"/>
    <w:rsid w:val="00D80ECE"/>
    <w:rsid w:val="00D81F20"/>
    <w:rsid w:val="00D85336"/>
    <w:rsid w:val="00D85E90"/>
    <w:rsid w:val="00D90752"/>
    <w:rsid w:val="00D91DDD"/>
    <w:rsid w:val="00D928FD"/>
    <w:rsid w:val="00D92A87"/>
    <w:rsid w:val="00D937D6"/>
    <w:rsid w:val="00D97335"/>
    <w:rsid w:val="00DA0E0C"/>
    <w:rsid w:val="00DA795B"/>
    <w:rsid w:val="00DA7B68"/>
    <w:rsid w:val="00DB29D0"/>
    <w:rsid w:val="00DB799D"/>
    <w:rsid w:val="00DC28F2"/>
    <w:rsid w:val="00DC79E3"/>
    <w:rsid w:val="00DD088F"/>
    <w:rsid w:val="00DD2040"/>
    <w:rsid w:val="00DD3374"/>
    <w:rsid w:val="00DD51E1"/>
    <w:rsid w:val="00DE0DD4"/>
    <w:rsid w:val="00DE2D54"/>
    <w:rsid w:val="00DE33B8"/>
    <w:rsid w:val="00DF01B8"/>
    <w:rsid w:val="00DF7A45"/>
    <w:rsid w:val="00E02BB0"/>
    <w:rsid w:val="00E03CE6"/>
    <w:rsid w:val="00E108EC"/>
    <w:rsid w:val="00E13716"/>
    <w:rsid w:val="00E17EC0"/>
    <w:rsid w:val="00E22B62"/>
    <w:rsid w:val="00E266FF"/>
    <w:rsid w:val="00E27661"/>
    <w:rsid w:val="00E47DB3"/>
    <w:rsid w:val="00E50139"/>
    <w:rsid w:val="00E509A9"/>
    <w:rsid w:val="00E51F8B"/>
    <w:rsid w:val="00E5242A"/>
    <w:rsid w:val="00E53043"/>
    <w:rsid w:val="00E53398"/>
    <w:rsid w:val="00E610D7"/>
    <w:rsid w:val="00E6181E"/>
    <w:rsid w:val="00E64621"/>
    <w:rsid w:val="00E661D2"/>
    <w:rsid w:val="00E66AE2"/>
    <w:rsid w:val="00E74DA4"/>
    <w:rsid w:val="00E76D00"/>
    <w:rsid w:val="00E81B89"/>
    <w:rsid w:val="00E8450C"/>
    <w:rsid w:val="00E87F30"/>
    <w:rsid w:val="00E91432"/>
    <w:rsid w:val="00E91B5A"/>
    <w:rsid w:val="00E92F26"/>
    <w:rsid w:val="00EA2FCB"/>
    <w:rsid w:val="00EA3E6E"/>
    <w:rsid w:val="00EB3297"/>
    <w:rsid w:val="00EC1340"/>
    <w:rsid w:val="00EC4354"/>
    <w:rsid w:val="00ED6E45"/>
    <w:rsid w:val="00EE035B"/>
    <w:rsid w:val="00EE2CAF"/>
    <w:rsid w:val="00EE43E4"/>
    <w:rsid w:val="00EE4AD9"/>
    <w:rsid w:val="00EF2D36"/>
    <w:rsid w:val="00EF33FB"/>
    <w:rsid w:val="00EF6517"/>
    <w:rsid w:val="00F001EA"/>
    <w:rsid w:val="00F041DD"/>
    <w:rsid w:val="00F056C3"/>
    <w:rsid w:val="00F108EE"/>
    <w:rsid w:val="00F12E43"/>
    <w:rsid w:val="00F16B90"/>
    <w:rsid w:val="00F1721E"/>
    <w:rsid w:val="00F211F2"/>
    <w:rsid w:val="00F32579"/>
    <w:rsid w:val="00F33A5A"/>
    <w:rsid w:val="00F34F19"/>
    <w:rsid w:val="00F40021"/>
    <w:rsid w:val="00F44A21"/>
    <w:rsid w:val="00F51318"/>
    <w:rsid w:val="00F52730"/>
    <w:rsid w:val="00F575F0"/>
    <w:rsid w:val="00F61970"/>
    <w:rsid w:val="00F65A8A"/>
    <w:rsid w:val="00F6664C"/>
    <w:rsid w:val="00F67F53"/>
    <w:rsid w:val="00F7087B"/>
    <w:rsid w:val="00F723F1"/>
    <w:rsid w:val="00F74292"/>
    <w:rsid w:val="00F750E7"/>
    <w:rsid w:val="00F80AF1"/>
    <w:rsid w:val="00F8298C"/>
    <w:rsid w:val="00F85077"/>
    <w:rsid w:val="00F90245"/>
    <w:rsid w:val="00F91221"/>
    <w:rsid w:val="00F91E4A"/>
    <w:rsid w:val="00F920D9"/>
    <w:rsid w:val="00F92BBC"/>
    <w:rsid w:val="00F94781"/>
    <w:rsid w:val="00F96798"/>
    <w:rsid w:val="00FA5388"/>
    <w:rsid w:val="00FB08E3"/>
    <w:rsid w:val="00FB54A0"/>
    <w:rsid w:val="00FB6BF3"/>
    <w:rsid w:val="00FB723F"/>
    <w:rsid w:val="00FB768B"/>
    <w:rsid w:val="00FB7EB9"/>
    <w:rsid w:val="00FC35B8"/>
    <w:rsid w:val="00FD397B"/>
    <w:rsid w:val="00FD4B01"/>
    <w:rsid w:val="00FD52F2"/>
    <w:rsid w:val="00FD7CDC"/>
    <w:rsid w:val="00FE58E0"/>
    <w:rsid w:val="00FE7396"/>
    <w:rsid w:val="00FE74D0"/>
    <w:rsid w:val="00FF1DCF"/>
    <w:rsid w:val="00FF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stroke="f">
      <v:fill color="white" on="f"/>
      <v:stroke on="f"/>
    </o:shapedefaults>
    <o:shapelayout v:ext="edit">
      <o:idmap v:ext="edit" data="1"/>
    </o:shapelayout>
  </w:shapeDefaults>
  <w:decimalSymbol w:val="."/>
  <w:listSeparator w:val=","/>
  <w14:docId w14:val="0C12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uiPriority="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602065"/>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602065"/>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A9214E"/>
    <w:pPr>
      <w:numPr>
        <w:numId w:val="13"/>
      </w:numPr>
      <w:contextualSpacing/>
    </w:pPr>
  </w:style>
  <w:style w:type="paragraph" w:styleId="TOCHeading">
    <w:name w:val="TOC Heading"/>
    <w:basedOn w:val="Heading1"/>
    <w:next w:val="Normal"/>
    <w:autoRedefine/>
    <w:uiPriority w:val="39"/>
    <w:qFormat/>
    <w:rsid w:val="005B2B58"/>
    <w:p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z-TopofForm">
    <w:name w:val="HTML Top of Form"/>
    <w:basedOn w:val="Normal"/>
    <w:link w:val="z-TopofFormChar"/>
    <w:rsid w:val="00A12C07"/>
    <w:pPr>
      <w:tabs>
        <w:tab w:val="left" w:pos="360"/>
      </w:tabs>
      <w:spacing w:before="120" w:after="0" w:afterAutospacing="1" w:line="240" w:lineRule="auto"/>
      <w:jc w:val="both"/>
    </w:pPr>
    <w:rPr>
      <w:rFonts w:ascii="Times New Roman" w:eastAsia="Times New Roman" w:hAnsi="Times New Roman" w:cs="Times New Roman"/>
      <w:sz w:val="24"/>
      <w:szCs w:val="20"/>
    </w:rPr>
  </w:style>
  <w:style w:type="character" w:customStyle="1" w:styleId="z-TopofFormChar">
    <w:name w:val="z-Top of Form Char"/>
    <w:basedOn w:val="DefaultParagraphFont"/>
    <w:link w:val="z-TopofForm"/>
    <w:rsid w:val="00A12C07"/>
    <w:rPr>
      <w:rFonts w:ascii="Times New Roman" w:eastAsia="Times New Roman" w:hAnsi="Times New Roman" w:cs="Times New Roman"/>
      <w:sz w:val="24"/>
      <w:szCs w:val="20"/>
    </w:rPr>
  </w:style>
  <w:style w:type="paragraph" w:customStyle="1" w:styleId="Default">
    <w:name w:val="Default"/>
    <w:rsid w:val="0077079A"/>
    <w:pPr>
      <w:autoSpaceDE w:val="0"/>
      <w:autoSpaceDN w:val="0"/>
      <w:adjustRightInd w:val="0"/>
      <w:spacing w:after="0"/>
    </w:pPr>
    <w:rPr>
      <w:rFonts w:ascii="Calibri" w:hAnsi="Calibri" w:cs="Calibri"/>
      <w:color w:val="000000"/>
      <w:sz w:val="24"/>
      <w:szCs w:val="24"/>
    </w:rPr>
  </w:style>
  <w:style w:type="character" w:styleId="CommentReference">
    <w:name w:val="annotation reference"/>
    <w:basedOn w:val="DefaultParagraphFont"/>
    <w:uiPriority w:val="99"/>
    <w:semiHidden/>
    <w:unhideWhenUsed/>
    <w:locked/>
    <w:rsid w:val="00A206D5"/>
    <w:rPr>
      <w:sz w:val="16"/>
      <w:szCs w:val="16"/>
    </w:rPr>
  </w:style>
  <w:style w:type="paragraph" w:styleId="CommentText">
    <w:name w:val="annotation text"/>
    <w:basedOn w:val="Normal"/>
    <w:link w:val="CommentTextChar"/>
    <w:uiPriority w:val="99"/>
    <w:unhideWhenUsed/>
    <w:locked/>
    <w:rsid w:val="00A206D5"/>
    <w:pPr>
      <w:spacing w:line="240" w:lineRule="auto"/>
    </w:pPr>
    <w:rPr>
      <w:sz w:val="20"/>
      <w:szCs w:val="20"/>
    </w:rPr>
  </w:style>
  <w:style w:type="character" w:customStyle="1" w:styleId="CommentTextChar">
    <w:name w:val="Comment Text Char"/>
    <w:basedOn w:val="DefaultParagraphFont"/>
    <w:link w:val="CommentText"/>
    <w:uiPriority w:val="99"/>
    <w:rsid w:val="00A206D5"/>
    <w:rPr>
      <w:sz w:val="20"/>
      <w:szCs w:val="20"/>
    </w:rPr>
  </w:style>
  <w:style w:type="paragraph" w:styleId="CommentSubject">
    <w:name w:val="annotation subject"/>
    <w:basedOn w:val="CommentText"/>
    <w:next w:val="CommentText"/>
    <w:link w:val="CommentSubjectChar"/>
    <w:uiPriority w:val="99"/>
    <w:semiHidden/>
    <w:unhideWhenUsed/>
    <w:locked/>
    <w:rsid w:val="00A206D5"/>
    <w:rPr>
      <w:b/>
      <w:bCs/>
    </w:rPr>
  </w:style>
  <w:style w:type="character" w:customStyle="1" w:styleId="CommentSubjectChar">
    <w:name w:val="Comment Subject Char"/>
    <w:basedOn w:val="CommentTextChar"/>
    <w:link w:val="CommentSubject"/>
    <w:uiPriority w:val="99"/>
    <w:semiHidden/>
    <w:rsid w:val="00A206D5"/>
    <w:rPr>
      <w:b/>
      <w:bCs/>
      <w:sz w:val="20"/>
      <w:szCs w:val="20"/>
    </w:rPr>
  </w:style>
  <w:style w:type="character" w:styleId="FollowedHyperlink">
    <w:name w:val="FollowedHyperlink"/>
    <w:basedOn w:val="DefaultParagraphFont"/>
    <w:uiPriority w:val="99"/>
    <w:semiHidden/>
    <w:unhideWhenUsed/>
    <w:locked/>
    <w:rsid w:val="00A206D5"/>
    <w:rPr>
      <w:color w:val="5D9732" w:themeColor="followedHyperlink"/>
      <w:u w:val="single"/>
    </w:rPr>
  </w:style>
  <w:style w:type="paragraph" w:styleId="Revision">
    <w:name w:val="Revision"/>
    <w:hidden/>
    <w:uiPriority w:val="99"/>
    <w:semiHidden/>
    <w:rsid w:val="00A206D5"/>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uiPriority="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602065"/>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602065"/>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A9214E"/>
    <w:pPr>
      <w:numPr>
        <w:numId w:val="13"/>
      </w:numPr>
      <w:contextualSpacing/>
    </w:pPr>
  </w:style>
  <w:style w:type="paragraph" w:styleId="TOCHeading">
    <w:name w:val="TOC Heading"/>
    <w:basedOn w:val="Heading1"/>
    <w:next w:val="Normal"/>
    <w:autoRedefine/>
    <w:uiPriority w:val="39"/>
    <w:qFormat/>
    <w:rsid w:val="005B2B58"/>
    <w:p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z-TopofForm">
    <w:name w:val="HTML Top of Form"/>
    <w:basedOn w:val="Normal"/>
    <w:link w:val="z-TopofFormChar"/>
    <w:rsid w:val="00A12C07"/>
    <w:pPr>
      <w:tabs>
        <w:tab w:val="left" w:pos="360"/>
      </w:tabs>
      <w:spacing w:before="120" w:after="0" w:afterAutospacing="1" w:line="240" w:lineRule="auto"/>
      <w:jc w:val="both"/>
    </w:pPr>
    <w:rPr>
      <w:rFonts w:ascii="Times New Roman" w:eastAsia="Times New Roman" w:hAnsi="Times New Roman" w:cs="Times New Roman"/>
      <w:sz w:val="24"/>
      <w:szCs w:val="20"/>
    </w:rPr>
  </w:style>
  <w:style w:type="character" w:customStyle="1" w:styleId="z-TopofFormChar">
    <w:name w:val="z-Top of Form Char"/>
    <w:basedOn w:val="DefaultParagraphFont"/>
    <w:link w:val="z-TopofForm"/>
    <w:rsid w:val="00A12C07"/>
    <w:rPr>
      <w:rFonts w:ascii="Times New Roman" w:eastAsia="Times New Roman" w:hAnsi="Times New Roman" w:cs="Times New Roman"/>
      <w:sz w:val="24"/>
      <w:szCs w:val="20"/>
    </w:rPr>
  </w:style>
  <w:style w:type="paragraph" w:customStyle="1" w:styleId="Default">
    <w:name w:val="Default"/>
    <w:rsid w:val="0077079A"/>
    <w:pPr>
      <w:autoSpaceDE w:val="0"/>
      <w:autoSpaceDN w:val="0"/>
      <w:adjustRightInd w:val="0"/>
      <w:spacing w:after="0"/>
    </w:pPr>
    <w:rPr>
      <w:rFonts w:ascii="Calibri" w:hAnsi="Calibri" w:cs="Calibri"/>
      <w:color w:val="000000"/>
      <w:sz w:val="24"/>
      <w:szCs w:val="24"/>
    </w:rPr>
  </w:style>
  <w:style w:type="character" w:styleId="CommentReference">
    <w:name w:val="annotation reference"/>
    <w:basedOn w:val="DefaultParagraphFont"/>
    <w:uiPriority w:val="99"/>
    <w:semiHidden/>
    <w:unhideWhenUsed/>
    <w:locked/>
    <w:rsid w:val="00A206D5"/>
    <w:rPr>
      <w:sz w:val="16"/>
      <w:szCs w:val="16"/>
    </w:rPr>
  </w:style>
  <w:style w:type="paragraph" w:styleId="CommentText">
    <w:name w:val="annotation text"/>
    <w:basedOn w:val="Normal"/>
    <w:link w:val="CommentTextChar"/>
    <w:uiPriority w:val="99"/>
    <w:unhideWhenUsed/>
    <w:locked/>
    <w:rsid w:val="00A206D5"/>
    <w:pPr>
      <w:spacing w:line="240" w:lineRule="auto"/>
    </w:pPr>
    <w:rPr>
      <w:sz w:val="20"/>
      <w:szCs w:val="20"/>
    </w:rPr>
  </w:style>
  <w:style w:type="character" w:customStyle="1" w:styleId="CommentTextChar">
    <w:name w:val="Comment Text Char"/>
    <w:basedOn w:val="DefaultParagraphFont"/>
    <w:link w:val="CommentText"/>
    <w:uiPriority w:val="99"/>
    <w:rsid w:val="00A206D5"/>
    <w:rPr>
      <w:sz w:val="20"/>
      <w:szCs w:val="20"/>
    </w:rPr>
  </w:style>
  <w:style w:type="paragraph" w:styleId="CommentSubject">
    <w:name w:val="annotation subject"/>
    <w:basedOn w:val="CommentText"/>
    <w:next w:val="CommentText"/>
    <w:link w:val="CommentSubjectChar"/>
    <w:uiPriority w:val="99"/>
    <w:semiHidden/>
    <w:unhideWhenUsed/>
    <w:locked/>
    <w:rsid w:val="00A206D5"/>
    <w:rPr>
      <w:b/>
      <w:bCs/>
    </w:rPr>
  </w:style>
  <w:style w:type="character" w:customStyle="1" w:styleId="CommentSubjectChar">
    <w:name w:val="Comment Subject Char"/>
    <w:basedOn w:val="CommentTextChar"/>
    <w:link w:val="CommentSubject"/>
    <w:uiPriority w:val="99"/>
    <w:semiHidden/>
    <w:rsid w:val="00A206D5"/>
    <w:rPr>
      <w:b/>
      <w:bCs/>
      <w:sz w:val="20"/>
      <w:szCs w:val="20"/>
    </w:rPr>
  </w:style>
  <w:style w:type="character" w:styleId="FollowedHyperlink">
    <w:name w:val="FollowedHyperlink"/>
    <w:basedOn w:val="DefaultParagraphFont"/>
    <w:uiPriority w:val="99"/>
    <w:semiHidden/>
    <w:unhideWhenUsed/>
    <w:locked/>
    <w:rsid w:val="00A206D5"/>
    <w:rPr>
      <w:color w:val="5D9732" w:themeColor="followedHyperlink"/>
      <w:u w:val="single"/>
    </w:rPr>
  </w:style>
  <w:style w:type="paragraph" w:styleId="Revision">
    <w:name w:val="Revision"/>
    <w:hidden/>
    <w:uiPriority w:val="99"/>
    <w:semiHidden/>
    <w:rsid w:val="00A206D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61719631">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2739890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73561963">
      <w:bodyDiv w:val="1"/>
      <w:marLeft w:val="0"/>
      <w:marRight w:val="0"/>
      <w:marTop w:val="0"/>
      <w:marBottom w:val="0"/>
      <w:divBdr>
        <w:top w:val="none" w:sz="0" w:space="0" w:color="auto"/>
        <w:left w:val="none" w:sz="0" w:space="0" w:color="auto"/>
        <w:bottom w:val="none" w:sz="0" w:space="0" w:color="auto"/>
        <w:right w:val="none" w:sz="0" w:space="0" w:color="auto"/>
      </w:divBdr>
    </w:div>
    <w:div w:id="1017195801">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14270630">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69159494">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88848962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eia.gov/totalenergy/data/monthly/" TargetMode="External"/><Relationship Id="rId26"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eia.gov/forecasts/steo/" TargetMode="Externa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ia.gov/biofuels/biomass/" TargetMode="External"/><Relationship Id="rId20" Type="http://schemas.openxmlformats.org/officeDocument/2006/relationships/package" Target="embeddings/Microsoft_Excel_Worksheet1.xlsx"/><Relationship Id="rId29" Type="http://schemas.openxmlformats.org/officeDocument/2006/relationships/package" Target="embeddings/Microsoft_Excel_Worksheet3.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4.xml"/><Relationship Id="rId32" Type="http://schemas.openxmlformats.org/officeDocument/2006/relationships/hyperlink" Target="http://www.eia.gov/beta/api/" TargetMode="Externa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image" Target="media/image5.emf"/><Relationship Id="rId10" Type="http://schemas.openxmlformats.org/officeDocument/2006/relationships/image" Target="media/image1.png"/><Relationship Id="rId19" Type="http://schemas.openxmlformats.org/officeDocument/2006/relationships/image" Target="media/image3.emf"/><Relationship Id="rId31" Type="http://schemas.openxmlformats.org/officeDocument/2006/relationships/hyperlink" Target="http://www.eia.gov/develope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package" Target="embeddings/Microsoft_Excel_Worksheet2.xlsx"/><Relationship Id="rId30" Type="http://schemas.openxmlformats.org/officeDocument/2006/relationships/hyperlink" Target="https://www.eia.gov/biofuels/biomass/"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8D"/>
    <w:rsid w:val="0006668C"/>
    <w:rsid w:val="00225617"/>
    <w:rsid w:val="00317ADB"/>
    <w:rsid w:val="003B5F1A"/>
    <w:rsid w:val="004A4143"/>
    <w:rsid w:val="004F21D6"/>
    <w:rsid w:val="00616348"/>
    <w:rsid w:val="00835383"/>
    <w:rsid w:val="0092191E"/>
    <w:rsid w:val="0097548D"/>
    <w:rsid w:val="009E75B6"/>
    <w:rsid w:val="00A01E3F"/>
    <w:rsid w:val="00A22AB6"/>
    <w:rsid w:val="00D04279"/>
    <w:rsid w:val="00D073C8"/>
    <w:rsid w:val="00DF7BB6"/>
    <w:rsid w:val="00F96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00D32A-0BDA-4AF9-A35F-E482C722B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4961</Words>
  <Characters>28284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Supporting Statement for Densified Biomass Fuel Report</vt:lpstr>
    </vt:vector>
  </TitlesOfParts>
  <Company/>
  <LinksUpToDate>false</LinksUpToDate>
  <CharactersWithSpaces>33179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Densified Biomass Fuel Report</dc:title>
  <dc:subject>Improving the Quality and Scope of EIA Data</dc:subject>
  <dc:creator>Bournazian, Jacob</dc:creator>
  <cp:keywords/>
  <dc:description/>
  <cp:lastModifiedBy>SYSTEM</cp:lastModifiedBy>
  <cp:revision>2</cp:revision>
  <cp:lastPrinted>2018-05-31T12:34:00Z</cp:lastPrinted>
  <dcterms:created xsi:type="dcterms:W3CDTF">2018-06-26T19:04:00Z</dcterms:created>
  <dcterms:modified xsi:type="dcterms:W3CDTF">2018-06-26T19:04:00Z</dcterms:modified>
</cp:coreProperties>
</file>