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FB" w:rsidRPr="00C61FFB" w:rsidRDefault="00C61FFB" w:rsidP="00C61FFB">
      <w:pPr>
        <w:autoSpaceDE w:val="0"/>
        <w:autoSpaceDN w:val="0"/>
        <w:adjustRightInd w:val="0"/>
        <w:spacing w:after="0" w:line="240" w:lineRule="auto"/>
        <w:jc w:val="center"/>
        <w:rPr>
          <w:rFonts w:ascii="Times New Roman" w:hAnsi="Times New Roman" w:cs="Times New Roman"/>
          <w:b/>
          <w:bCs/>
          <w:sz w:val="18"/>
          <w:szCs w:val="18"/>
        </w:rPr>
      </w:pPr>
      <w:bookmarkStart w:id="0" w:name="_GoBack"/>
      <w:bookmarkEnd w:id="0"/>
      <w:r w:rsidRPr="00C61FFB">
        <w:rPr>
          <w:rFonts w:ascii="Times New Roman" w:hAnsi="Times New Roman" w:cs="Times New Roman"/>
          <w:b/>
          <w:bCs/>
          <w:sz w:val="18"/>
          <w:szCs w:val="18"/>
        </w:rPr>
        <w:t>Pt. 40 18 CFR Ch. I (4–1–18 Edition)</w:t>
      </w:r>
    </w:p>
    <w:p w:rsidR="00C61FFB" w:rsidRPr="00C61FFB" w:rsidRDefault="00C61FFB" w:rsidP="00C61FFB">
      <w:pPr>
        <w:autoSpaceDE w:val="0"/>
        <w:autoSpaceDN w:val="0"/>
        <w:adjustRightInd w:val="0"/>
        <w:spacing w:after="0" w:line="240" w:lineRule="auto"/>
        <w:rPr>
          <w:rFonts w:ascii="Times New Roman" w:hAnsi="Times New Roman" w:cs="Times New Roman"/>
          <w:b/>
          <w:bCs/>
          <w:sz w:val="20"/>
          <w:szCs w:val="20"/>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0"/>
          <w:szCs w:val="20"/>
        </w:rPr>
      </w:pPr>
      <w:r w:rsidRPr="00C61FFB">
        <w:rPr>
          <w:rFonts w:ascii="Times New Roman" w:hAnsi="Times New Roman" w:cs="Times New Roman"/>
          <w:b/>
          <w:bCs/>
          <w:sz w:val="20"/>
          <w:szCs w:val="20"/>
        </w:rPr>
        <w:t>PART 40—MANDATORY RELIABILITY STANDARDS FOR THE BULKPOWER SYSTEM</w:t>
      </w: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Sec.</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40.1 Applicability.</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40.2 Mandatory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40.3 Availability of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AUTHORITY: 16 U.S.C. 824o.</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SOURCE: Order 693, 72 FR 16598, Apr. 4, 2007, unless otherwise noted.</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40.1 Applicability.</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This part applies to all users, owners and operators of the Bulk-Power System within the United States (other than Alaska or Hawaii),</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including, but not limited to, entities described in section 201(f) of the Federal Power Act.</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Each Reliability Standard made effective by § 40.2 must identify the subset of users, owners and operators of the Bulk-Power System to which a particular Reliability Standard applies.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40.2 Mandatory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Each applicable user, owner or operator of the Bulk-Power System must comply with Commission-approved Reliability Standards developed by the Electric Reliability Organization.</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A proposed modification to a Reliability Standard proposed to become effective pursuant to § 39.5 of this Chapter will not be effective until approved by the Commission.</w:t>
      </w: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40.3 Availability of Reliability Standards.</w:t>
      </w:r>
    </w:p>
    <w:p w:rsidR="00E03F91"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The Electric Reliability Organization must post on its Web site the currently effective Reliability Standards as approved and enforceable by the Commission. The effective date of the Reliability Standards must be included in the posting.</w:t>
      </w:r>
    </w:p>
    <w:sectPr w:rsidR="00E03F91" w:rsidRPr="00C61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FB"/>
    <w:rsid w:val="003504E2"/>
    <w:rsid w:val="00C61FFB"/>
    <w:rsid w:val="00E0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2018-07-10T12:24:00Z</dcterms:created>
  <dcterms:modified xsi:type="dcterms:W3CDTF">2018-07-10T12:24:00Z</dcterms:modified>
</cp:coreProperties>
</file>