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3DAD3" w14:textId="77777777" w:rsidR="00A2604E" w:rsidRDefault="00A2604E" w:rsidP="00A2604E">
      <w:pPr>
        <w:jc w:val="center"/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r>
            <w:t>UNITED STATES OF AMERICA</w:t>
          </w:r>
        </w:smartTag>
      </w:smartTag>
    </w:p>
    <w:p w14:paraId="2D7ED38E" w14:textId="77777777" w:rsidR="00A2604E" w:rsidRDefault="00A2604E" w:rsidP="00A2604E">
      <w:pPr>
        <w:jc w:val="center"/>
      </w:pPr>
      <w:r>
        <w:t>FEDERAL ENERGY REGULATORY COMMISSION</w:t>
      </w:r>
    </w:p>
    <w:p w14:paraId="7586AEA6" w14:textId="77777777" w:rsidR="00A2604E" w:rsidRDefault="00A2604E" w:rsidP="00A2604E"/>
    <w:p w14:paraId="4AE6FBC2" w14:textId="14F85024" w:rsidR="00A2604E" w:rsidRDefault="00A2604E" w:rsidP="00A2604E">
      <w:pPr>
        <w:jc w:val="center"/>
      </w:pPr>
      <w:r w:rsidRPr="00FC2D75">
        <w:t xml:space="preserve">[Docket No. </w:t>
      </w:r>
      <w:r w:rsidR="00DA19FA" w:rsidRPr="00FC2D75">
        <w:t>IC18-</w:t>
      </w:r>
      <w:r w:rsidR="009C5810" w:rsidRPr="00FC2D75">
        <w:t>14</w:t>
      </w:r>
      <w:r w:rsidR="00DA19FA" w:rsidRPr="00FC2D75">
        <w:t>-000</w:t>
      </w:r>
      <w:r w:rsidRPr="00FC2D75">
        <w:t>]</w:t>
      </w:r>
    </w:p>
    <w:p w14:paraId="1A551938" w14:textId="77777777" w:rsidR="00A2604E" w:rsidRDefault="00A2604E" w:rsidP="00A2604E"/>
    <w:p w14:paraId="4DB547B8" w14:textId="77777777" w:rsidR="00A2604E" w:rsidRDefault="00A2604E" w:rsidP="00A2604E">
      <w:pPr>
        <w:jc w:val="center"/>
      </w:pPr>
      <w:r>
        <w:t>COMMISSION INFORMATION COLLECTION ACTIVITIES (FERC-</w:t>
      </w:r>
      <w:r w:rsidR="00B71F04">
        <w:t>552)</w:t>
      </w:r>
      <w:r>
        <w:t>;</w:t>
      </w:r>
    </w:p>
    <w:p w14:paraId="3E8D3789" w14:textId="77777777" w:rsidR="00A2604E" w:rsidRDefault="00A2604E" w:rsidP="00A2604E">
      <w:pPr>
        <w:jc w:val="center"/>
      </w:pPr>
      <w:r>
        <w:t>COMMENT REQUEST; EXTENSION</w:t>
      </w:r>
    </w:p>
    <w:p w14:paraId="4A984681" w14:textId="77777777" w:rsidR="00810D18" w:rsidRDefault="00810D18" w:rsidP="00810D18"/>
    <w:p w14:paraId="7514699C" w14:textId="311DD24F" w:rsidR="008017C6" w:rsidRPr="000A60AC" w:rsidRDefault="000A60AC" w:rsidP="000A60AC">
      <w:pPr>
        <w:jc w:val="center"/>
      </w:pPr>
      <w:r w:rsidRPr="000A60AC">
        <w:t>(June 29, 2018)</w:t>
      </w:r>
    </w:p>
    <w:p w14:paraId="6019E52F" w14:textId="77777777" w:rsidR="000A60AC" w:rsidRPr="000A60AC" w:rsidRDefault="000A60AC" w:rsidP="000A60AC"/>
    <w:p w14:paraId="2B247ED5" w14:textId="77777777" w:rsidR="00A2604E" w:rsidRDefault="00A2604E" w:rsidP="00A2604E">
      <w:r w:rsidRPr="00AB4DBF">
        <w:rPr>
          <w:b/>
        </w:rPr>
        <w:t>AGENCY:</w:t>
      </w:r>
      <w:r w:rsidRPr="00AB4DBF">
        <w:t xml:space="preserve">  Federal Energy Regulatory Commission.</w:t>
      </w:r>
    </w:p>
    <w:p w14:paraId="32228048" w14:textId="77777777" w:rsidR="00A2604E" w:rsidRPr="00AB4DBF" w:rsidRDefault="00A2604E" w:rsidP="00A2604E"/>
    <w:p w14:paraId="70A007E5" w14:textId="77777777" w:rsidR="00A2604E" w:rsidRDefault="00A2604E" w:rsidP="00A2604E">
      <w:pPr>
        <w:spacing w:line="480" w:lineRule="auto"/>
      </w:pPr>
      <w:r w:rsidRPr="00CE64F2">
        <w:rPr>
          <w:b/>
        </w:rPr>
        <w:t>ACTION:</w:t>
      </w:r>
      <w:r>
        <w:t xml:space="preserve">  Notice of information collection and request for comments.</w:t>
      </w:r>
    </w:p>
    <w:p w14:paraId="465BCFCE" w14:textId="53D37760" w:rsidR="00A2604E" w:rsidRDefault="00A2604E" w:rsidP="00A2604E">
      <w:pPr>
        <w:spacing w:line="480" w:lineRule="auto"/>
      </w:pPr>
      <w:r w:rsidRPr="00CE64F2">
        <w:rPr>
          <w:b/>
        </w:rPr>
        <w:t>SUMMARY:</w:t>
      </w:r>
      <w:r>
        <w:t xml:space="preserve">  In compliance with the requirements of the Paperwork Reduction Act of 1995, the Federal Energy Regulatory Commission (Commission or FERC) is soliciting public comment on the currently approved information collection, </w:t>
      </w:r>
      <w:r w:rsidR="004D719E" w:rsidRPr="004D719E">
        <w:t>FERC- 552, Annual Report of Natural Gas Transactions</w:t>
      </w:r>
      <w:r w:rsidR="00087998">
        <w:t>.</w:t>
      </w:r>
    </w:p>
    <w:p w14:paraId="4B3FF62A" w14:textId="77777777" w:rsidR="00A2604E" w:rsidRDefault="00A2604E" w:rsidP="00A2604E">
      <w:pPr>
        <w:spacing w:line="480" w:lineRule="auto"/>
      </w:pPr>
      <w:r w:rsidRPr="00CE64F2">
        <w:rPr>
          <w:b/>
        </w:rPr>
        <w:t>DATES:</w:t>
      </w:r>
      <w:r>
        <w:t xml:space="preserve">  Comments on the collection of information are due </w:t>
      </w:r>
      <w:r w:rsidRPr="000A60AC">
        <w:rPr>
          <w:caps/>
        </w:rPr>
        <w:t>[</w:t>
      </w:r>
      <w:r w:rsidR="008017C6" w:rsidRPr="000A60AC">
        <w:rPr>
          <w:b/>
          <w:caps/>
        </w:rPr>
        <w:t>I</w:t>
      </w:r>
      <w:r w:rsidRPr="000A60AC">
        <w:rPr>
          <w:b/>
          <w:caps/>
        </w:rPr>
        <w:t xml:space="preserve">nsert date 60 days after </w:t>
      </w:r>
      <w:r w:rsidR="00CA6D76" w:rsidRPr="000A60AC">
        <w:rPr>
          <w:b/>
          <w:caps/>
        </w:rPr>
        <w:t xml:space="preserve">date of </w:t>
      </w:r>
      <w:r w:rsidRPr="000A60AC">
        <w:rPr>
          <w:b/>
          <w:caps/>
        </w:rPr>
        <w:t>publication in the Federal Register</w:t>
      </w:r>
      <w:r w:rsidRPr="000A60AC">
        <w:rPr>
          <w:caps/>
        </w:rPr>
        <w:t>]</w:t>
      </w:r>
      <w:r>
        <w:t xml:space="preserve">. </w:t>
      </w:r>
    </w:p>
    <w:p w14:paraId="6FD38B69" w14:textId="4859E220" w:rsidR="00A2604E" w:rsidRDefault="00A2604E" w:rsidP="00A2604E">
      <w:pPr>
        <w:spacing w:line="480" w:lineRule="auto"/>
      </w:pPr>
      <w:r w:rsidRPr="00AC750B">
        <w:rPr>
          <w:b/>
        </w:rPr>
        <w:t>ADDRESSES:</w:t>
      </w:r>
      <w:r w:rsidRPr="00AC750B">
        <w:t xml:space="preserve">  You may submit comments (identified </w:t>
      </w:r>
      <w:r w:rsidRPr="00DA19FA">
        <w:t xml:space="preserve">by </w:t>
      </w:r>
      <w:r w:rsidRPr="009C5810">
        <w:t>Docket No</w:t>
      </w:r>
      <w:r w:rsidRPr="00FC2D75">
        <w:t xml:space="preserve">. </w:t>
      </w:r>
      <w:r w:rsidR="00040CB2" w:rsidRPr="00FC2D75">
        <w:t>IC18</w:t>
      </w:r>
      <w:r w:rsidR="009C5810" w:rsidRPr="00FC2D75">
        <w:t>-14-</w:t>
      </w:r>
      <w:r w:rsidR="00DA19FA" w:rsidRPr="00FC2D75">
        <w:t>000</w:t>
      </w:r>
      <w:r w:rsidRPr="00FC2D75">
        <w:t>)</w:t>
      </w:r>
      <w:r w:rsidRPr="009C5810">
        <w:t xml:space="preserve"> by either of the following methods:</w:t>
      </w:r>
    </w:p>
    <w:p w14:paraId="21983967" w14:textId="77777777" w:rsidR="00A2604E" w:rsidRDefault="00A2604E" w:rsidP="00A2604E">
      <w:pPr>
        <w:numPr>
          <w:ilvl w:val="0"/>
          <w:numId w:val="2"/>
        </w:numPr>
        <w:tabs>
          <w:tab w:val="clear" w:pos="1500"/>
          <w:tab w:val="num" w:pos="1080"/>
        </w:tabs>
        <w:spacing w:line="480" w:lineRule="auto"/>
        <w:ind w:left="720" w:firstLine="0"/>
      </w:pPr>
      <w:bookmarkStart w:id="1" w:name="OLE_LINK1"/>
      <w:r>
        <w:t xml:space="preserve">eFiling at Commission’s Web Site: </w:t>
      </w:r>
      <w:hyperlink r:id="rId14" w:history="1">
        <w:r w:rsidRPr="00EC7068">
          <w:rPr>
            <w:rStyle w:val="Hyperlink"/>
          </w:rPr>
          <w:t>http://www.ferc.gov/docs-filing/efiling.asp</w:t>
        </w:r>
      </w:hyperlink>
    </w:p>
    <w:p w14:paraId="67DEDA70" w14:textId="77777777" w:rsidR="00A2604E" w:rsidRDefault="00A2604E" w:rsidP="00A2604E">
      <w:pPr>
        <w:numPr>
          <w:ilvl w:val="0"/>
          <w:numId w:val="2"/>
        </w:numPr>
        <w:tabs>
          <w:tab w:val="clear" w:pos="1500"/>
          <w:tab w:val="num" w:pos="1080"/>
        </w:tabs>
        <w:spacing w:line="480" w:lineRule="auto"/>
        <w:ind w:left="1080"/>
      </w:pPr>
      <w:r>
        <w:t xml:space="preserve">Mail/Hand Delivery/Courier: Federal Energy Regulatory Commission, Secretary of the Commission, </w:t>
      </w:r>
      <w:smartTag w:uri="urn:schemas-microsoft-com:office:smarttags" w:element="address">
        <w:smartTag w:uri="urn:schemas-microsoft-com:office:smarttags" w:element="Street">
          <w:r>
            <w:t>888 First Street, NE</w:t>
          </w:r>
        </w:smartTag>
        <w:r>
          <w:t xml:space="preserve">, </w:t>
        </w:r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20426</w:t>
          </w:r>
        </w:smartTag>
      </w:smartTag>
      <w:r>
        <w:t>.</w:t>
      </w:r>
    </w:p>
    <w:p w14:paraId="6B6EF977" w14:textId="77777777" w:rsidR="00A2604E" w:rsidRDefault="00A2604E" w:rsidP="00A2604E">
      <w:pPr>
        <w:spacing w:line="480" w:lineRule="auto"/>
      </w:pPr>
      <w:r>
        <w:rPr>
          <w:i/>
        </w:rPr>
        <w:t xml:space="preserve">Instructions: </w:t>
      </w:r>
      <w:r>
        <w:t xml:space="preserve">All submissions must be formatted and filed in accordance with submission guidelines at: </w:t>
      </w:r>
      <w:hyperlink r:id="rId15" w:history="1">
        <w:r w:rsidRPr="00866BB4">
          <w:rPr>
            <w:rStyle w:val="Hyperlink"/>
          </w:rPr>
          <w:t>http://www.ferc.gov/help/submission-guide.asp</w:t>
        </w:r>
      </w:hyperlink>
      <w:r>
        <w:t>.  For user assistance</w:t>
      </w:r>
      <w:r w:rsidR="00BF2D74">
        <w:t>,</w:t>
      </w:r>
      <w:r>
        <w:t xml:space="preserve"> contact FERC Online Support by e-mail at ferconlinesupport@ferc.gov, or by phone at:  (866) 208-3676 (toll-free), or (202) 502-8659 for TTY.</w:t>
      </w:r>
    </w:p>
    <w:p w14:paraId="1B6530F6" w14:textId="77777777" w:rsidR="00A2604E" w:rsidRPr="00241BFD" w:rsidRDefault="00A2604E" w:rsidP="00A2604E">
      <w:pPr>
        <w:spacing w:line="480" w:lineRule="auto"/>
      </w:pPr>
      <w:r>
        <w:rPr>
          <w:i/>
        </w:rPr>
        <w:lastRenderedPageBreak/>
        <w:t>Docket:</w:t>
      </w:r>
      <w:r>
        <w:t xml:space="preserve"> Users interested in receiving automatic notification of activity in this docket or in viewing/downloading comments and issuances in this docket may do so at </w:t>
      </w:r>
      <w:hyperlink r:id="rId16" w:history="1">
        <w:r w:rsidRPr="0057675D">
          <w:rPr>
            <w:rStyle w:val="Hyperlink"/>
          </w:rPr>
          <w:t>http://www.ferc.gov/docs-filing/docs-filing.asp</w:t>
        </w:r>
      </w:hyperlink>
      <w:r>
        <w:t xml:space="preserve">. </w:t>
      </w:r>
    </w:p>
    <w:bookmarkEnd w:id="1"/>
    <w:p w14:paraId="1414020B" w14:textId="77777777" w:rsidR="00A2604E" w:rsidRDefault="00A2604E" w:rsidP="00A2604E">
      <w:pPr>
        <w:spacing w:line="480" w:lineRule="auto"/>
      </w:pPr>
      <w:r w:rsidRPr="00656DF0">
        <w:rPr>
          <w:b/>
        </w:rPr>
        <w:t>FOR FURTHER INFORMATION:</w:t>
      </w:r>
      <w:r>
        <w:t xml:space="preserve">  </w:t>
      </w:r>
      <w:smartTag w:uri="urn:schemas-microsoft-com:office:smarttags" w:element="PersonName">
        <w:r w:rsidRPr="007731D6">
          <w:t>Ellen Brown</w:t>
        </w:r>
      </w:smartTag>
      <w:r>
        <w:t xml:space="preserve"> may be reached by e-mail at </w:t>
      </w:r>
      <w:hyperlink r:id="rId17" w:history="1">
        <w:r w:rsidRPr="00006D4B">
          <w:rPr>
            <w:rStyle w:val="Hyperlink"/>
          </w:rPr>
          <w:t>DataClearance@FERC.gov</w:t>
        </w:r>
      </w:hyperlink>
      <w:r>
        <w:t>, telephone at (202) 502-8663, and fax at (202) 273-0873.</w:t>
      </w:r>
    </w:p>
    <w:p w14:paraId="5E9F2E12" w14:textId="77777777" w:rsidR="00A2604E" w:rsidRPr="00853ABC" w:rsidRDefault="00A2604E" w:rsidP="00C1124F">
      <w:pPr>
        <w:tabs>
          <w:tab w:val="left" w:pos="7880"/>
        </w:tabs>
        <w:spacing w:line="480" w:lineRule="auto"/>
      </w:pPr>
      <w:r>
        <w:t xml:space="preserve"> </w:t>
      </w:r>
      <w:r w:rsidRPr="001C3703">
        <w:rPr>
          <w:b/>
        </w:rPr>
        <w:t>SUPPLEMENTARY INFORMATION:</w:t>
      </w:r>
      <w:r>
        <w:t xml:space="preserve">  </w:t>
      </w:r>
    </w:p>
    <w:p w14:paraId="1BB74CB9" w14:textId="77777777" w:rsidR="00B01B16" w:rsidRDefault="00B01B16" w:rsidP="00B01B16">
      <w:pPr>
        <w:spacing w:line="480" w:lineRule="auto"/>
        <w:rPr>
          <w:i/>
        </w:rPr>
      </w:pPr>
      <w:r>
        <w:rPr>
          <w:i/>
        </w:rPr>
        <w:t xml:space="preserve">Title: </w:t>
      </w:r>
      <w:r w:rsidR="00805CBD" w:rsidRPr="00805CBD">
        <w:t>FERC- 552, Annual Report of Natural Gas Transactions</w:t>
      </w:r>
    </w:p>
    <w:p w14:paraId="62070310" w14:textId="77777777" w:rsidR="00B01B16" w:rsidRDefault="00B01B16" w:rsidP="00B01B16">
      <w:pPr>
        <w:spacing w:line="480" w:lineRule="auto"/>
      </w:pPr>
      <w:r>
        <w:rPr>
          <w:i/>
        </w:rPr>
        <w:t>OMB Control No.:</w:t>
      </w:r>
      <w:r w:rsidRPr="00F50EDA">
        <w:t xml:space="preserve"> </w:t>
      </w:r>
      <w:r w:rsidR="006765C9" w:rsidRPr="006765C9">
        <w:t>1902-0</w:t>
      </w:r>
      <w:r w:rsidR="00805CBD">
        <w:t>242</w:t>
      </w:r>
    </w:p>
    <w:p w14:paraId="420D5CF2" w14:textId="77777777" w:rsidR="00B01B16" w:rsidRPr="00B5364C" w:rsidRDefault="00B01B16" w:rsidP="00B01B16">
      <w:pPr>
        <w:spacing w:line="480" w:lineRule="auto"/>
      </w:pPr>
      <w:r>
        <w:rPr>
          <w:i/>
        </w:rPr>
        <w:t>Type of Request:</w:t>
      </w:r>
      <w:r>
        <w:t xml:space="preserve"> Three-year extension of the FERC-</w:t>
      </w:r>
      <w:r w:rsidR="00805CBD">
        <w:t>552</w:t>
      </w:r>
      <w:r>
        <w:t xml:space="preserve"> information collection requirements with no changes to the current reporting requirements. </w:t>
      </w:r>
    </w:p>
    <w:p w14:paraId="15B38B7B" w14:textId="589D17CC" w:rsidR="00805CBD" w:rsidRPr="00805CBD" w:rsidRDefault="00805CBD" w:rsidP="00805CBD">
      <w:pPr>
        <w:autoSpaceDE w:val="0"/>
        <w:autoSpaceDN w:val="0"/>
        <w:adjustRightInd w:val="0"/>
        <w:spacing w:line="480" w:lineRule="auto"/>
      </w:pPr>
      <w:r w:rsidRPr="00805CBD">
        <w:rPr>
          <w:i/>
        </w:rPr>
        <w:t xml:space="preserve">Abstract: </w:t>
      </w:r>
      <w:r w:rsidRPr="00805CBD">
        <w:t>The Commission use</w:t>
      </w:r>
      <w:r>
        <w:t xml:space="preserve">s the information collected </w:t>
      </w:r>
      <w:r w:rsidRPr="00805CBD">
        <w:t>in the FERC-552</w:t>
      </w:r>
      <w:r w:rsidR="00BB4A41">
        <w:rPr>
          <w:rStyle w:val="FootnoteReference"/>
        </w:rPr>
        <w:footnoteReference w:id="1"/>
      </w:r>
      <w:r w:rsidRPr="00805CBD">
        <w:t xml:space="preserve"> to provide greater transparency </w:t>
      </w:r>
      <w:r w:rsidR="000D6513">
        <w:t>into the size of the physical natural gas market and the types of transactions market participants use to make</w:t>
      </w:r>
      <w:r w:rsidR="00705705">
        <w:t xml:space="preserve"> physical</w:t>
      </w:r>
      <w:r w:rsidR="000D6513">
        <w:t xml:space="preserve"> natural gas purchases and sales</w:t>
      </w:r>
      <w:r w:rsidRPr="00805CBD">
        <w:t xml:space="preserve">. </w:t>
      </w:r>
      <w:r>
        <w:t xml:space="preserve"> </w:t>
      </w:r>
      <w:r w:rsidRPr="00805CBD">
        <w:t xml:space="preserve">The collection includes transactions that contribute to, or may contribute to natural gas price indices. </w:t>
      </w:r>
      <w:r>
        <w:t xml:space="preserve"> </w:t>
      </w:r>
      <w:r w:rsidRPr="00805CBD">
        <w:t xml:space="preserve">Many market participants rely on indices as a way to reference market prices without taking on the risks of active trading.  </w:t>
      </w:r>
    </w:p>
    <w:p w14:paraId="23FA9FD0" w14:textId="77777777" w:rsidR="00805CBD" w:rsidRPr="00805CBD" w:rsidRDefault="00805CBD" w:rsidP="00805CBD">
      <w:pPr>
        <w:autoSpaceDE w:val="0"/>
        <w:autoSpaceDN w:val="0"/>
        <w:adjustRightInd w:val="0"/>
        <w:spacing w:line="480" w:lineRule="auto"/>
        <w:rPr>
          <w:szCs w:val="26"/>
        </w:rPr>
      </w:pPr>
      <w:r w:rsidRPr="00805CBD">
        <w:tab/>
        <w:t>FERC-552 had its genesis in the Energy Policy Act of 2005</w:t>
      </w:r>
      <w:r w:rsidRPr="00805CBD">
        <w:rPr>
          <w:szCs w:val="26"/>
          <w:vertAlign w:val="superscript"/>
        </w:rPr>
        <w:footnoteReference w:id="2"/>
      </w:r>
      <w:r w:rsidRPr="00805CBD">
        <w:t>,</w:t>
      </w:r>
      <w:r w:rsidRPr="00805CBD">
        <w:rPr>
          <w:b/>
          <w:bCs/>
        </w:rPr>
        <w:t xml:space="preserve"> </w:t>
      </w:r>
      <w:r w:rsidRPr="00805CBD">
        <w:t xml:space="preserve">which added section 23 of the Natural Gas Act (NGA). </w:t>
      </w:r>
      <w:r>
        <w:t xml:space="preserve"> </w:t>
      </w:r>
      <w:r w:rsidRPr="00805CBD">
        <w:t xml:space="preserve">Section 23 of the NGA, among other things, directs the Commission “to facilitate price transparency in markets for the sale or transportation </w:t>
      </w:r>
      <w:r w:rsidRPr="00805CBD">
        <w:lastRenderedPageBreak/>
        <w:t>of physical natural gas in interstate commerce, having due regard for the public interest, the integrity of those markets, and the protection of consumers.”</w:t>
      </w:r>
      <w:r w:rsidRPr="00805CBD">
        <w:rPr>
          <w:szCs w:val="26"/>
          <w:vertAlign w:val="superscript"/>
        </w:rPr>
        <w:footnoteReference w:id="3"/>
      </w:r>
      <w:r w:rsidRPr="00805CBD">
        <w:rPr>
          <w:b/>
          <w:bCs/>
        </w:rPr>
        <w:t xml:space="preserve">  </w:t>
      </w:r>
    </w:p>
    <w:p w14:paraId="60D1B5E4" w14:textId="77777777" w:rsidR="00805CBD" w:rsidRPr="00805CBD" w:rsidRDefault="00805CBD" w:rsidP="00805CBD">
      <w:pPr>
        <w:spacing w:line="480" w:lineRule="auto"/>
      </w:pPr>
      <w:r w:rsidRPr="00805CBD">
        <w:rPr>
          <w:i/>
        </w:rPr>
        <w:t xml:space="preserve">Type of Respondents: </w:t>
      </w:r>
      <w:r w:rsidRPr="00805CBD">
        <w:t>Wholesale</w:t>
      </w:r>
      <w:r w:rsidRPr="00805CBD">
        <w:rPr>
          <w:i/>
        </w:rPr>
        <w:t xml:space="preserve"> </w:t>
      </w:r>
      <w:r w:rsidRPr="00805CBD">
        <w:t xml:space="preserve">natural gas market participants </w:t>
      </w:r>
    </w:p>
    <w:p w14:paraId="683BE908" w14:textId="77777777" w:rsidR="00156BBB" w:rsidRDefault="00B01B16" w:rsidP="006765C9">
      <w:pPr>
        <w:spacing w:line="480" w:lineRule="auto"/>
      </w:pPr>
      <w:r>
        <w:rPr>
          <w:i/>
        </w:rPr>
        <w:t>Estimate of Annual Burden</w:t>
      </w:r>
      <w:r>
        <w:rPr>
          <w:rStyle w:val="FootnoteReference"/>
          <w:i/>
        </w:rPr>
        <w:footnoteReference w:id="4"/>
      </w:r>
      <w:r>
        <w:rPr>
          <w:i/>
        </w:rPr>
        <w:t xml:space="preserve">: </w:t>
      </w:r>
      <w:r>
        <w:t xml:space="preserve">The Commission estimates the total </w:t>
      </w:r>
      <w:r w:rsidR="00EA689F">
        <w:t>annual b</w:t>
      </w:r>
      <w:r>
        <w:t xml:space="preserve">urden </w:t>
      </w:r>
      <w:r w:rsidR="00EA689F">
        <w:t>and cost</w:t>
      </w:r>
      <w:r w:rsidR="00EA689F">
        <w:rPr>
          <w:rStyle w:val="FootnoteReference"/>
        </w:rPr>
        <w:footnoteReference w:id="5"/>
      </w:r>
      <w:r w:rsidR="00EA689F">
        <w:t xml:space="preserve"> </w:t>
      </w:r>
      <w:r>
        <w:t>for this information collection as</w:t>
      </w:r>
      <w:r w:rsidR="00EA689F">
        <w:t xml:space="preserve"> follows.</w:t>
      </w:r>
    </w:p>
    <w:tbl>
      <w:tblPr>
        <w:tblW w:w="576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1752"/>
        <w:gridCol w:w="1660"/>
        <w:gridCol w:w="1475"/>
        <w:gridCol w:w="1475"/>
        <w:gridCol w:w="1475"/>
        <w:gridCol w:w="1658"/>
      </w:tblGrid>
      <w:tr w:rsidR="006B744D" w:rsidRPr="009B525A" w14:paraId="711A3B87" w14:textId="77777777" w:rsidTr="00227778">
        <w:trPr>
          <w:cantSplit/>
        </w:trPr>
        <w:tc>
          <w:tcPr>
            <w:tcW w:w="5000" w:type="pct"/>
            <w:gridSpan w:val="7"/>
            <w:shd w:val="clear" w:color="auto" w:fill="D9D9D9"/>
          </w:tcPr>
          <w:p w14:paraId="5D67C5C0" w14:textId="1DA6C06F" w:rsidR="006B744D" w:rsidRPr="009B525A" w:rsidRDefault="00805CBD" w:rsidP="00FC2D75">
            <w:pPr>
              <w:jc w:val="center"/>
              <w:rPr>
                <w:rFonts w:eastAsia="Calibri"/>
                <w:b/>
                <w:szCs w:val="26"/>
              </w:rPr>
            </w:pPr>
            <w:r w:rsidRPr="00805CBD">
              <w:rPr>
                <w:rFonts w:eastAsia="Calibri"/>
                <w:b/>
                <w:szCs w:val="26"/>
              </w:rPr>
              <w:t>FERC-552</w:t>
            </w:r>
            <w:r w:rsidR="009C5810">
              <w:rPr>
                <w:rFonts w:eastAsia="Calibri"/>
                <w:b/>
                <w:szCs w:val="26"/>
              </w:rPr>
              <w:t>,</w:t>
            </w:r>
            <w:r w:rsidRPr="00805CBD">
              <w:rPr>
                <w:rFonts w:eastAsia="Calibri"/>
                <w:b/>
                <w:szCs w:val="26"/>
              </w:rPr>
              <w:t xml:space="preserve"> Annual Report of Natural Gas Transactions</w:t>
            </w:r>
          </w:p>
        </w:tc>
      </w:tr>
      <w:tr w:rsidR="00705705" w:rsidRPr="009B525A" w14:paraId="3A88C157" w14:textId="77777777" w:rsidTr="00227778">
        <w:trPr>
          <w:cantSplit/>
        </w:trPr>
        <w:tc>
          <w:tcPr>
            <w:tcW w:w="699" w:type="pct"/>
            <w:shd w:val="clear" w:color="auto" w:fill="D9D9D9"/>
            <w:vAlign w:val="bottom"/>
          </w:tcPr>
          <w:p w14:paraId="166A8FA6" w14:textId="77777777" w:rsidR="00A1074A" w:rsidRPr="009B525A" w:rsidRDefault="00A1074A" w:rsidP="006B744D">
            <w:pPr>
              <w:jc w:val="center"/>
              <w:rPr>
                <w:rFonts w:eastAsia="Calibri"/>
                <w:b/>
                <w:szCs w:val="26"/>
              </w:rPr>
            </w:pPr>
            <w:r>
              <w:rPr>
                <w:rFonts w:eastAsia="Calibri"/>
                <w:b/>
                <w:szCs w:val="26"/>
              </w:rPr>
              <w:t>Category</w:t>
            </w:r>
          </w:p>
        </w:tc>
        <w:tc>
          <w:tcPr>
            <w:tcW w:w="794" w:type="pct"/>
            <w:shd w:val="clear" w:color="auto" w:fill="D9D9D9"/>
            <w:vAlign w:val="bottom"/>
          </w:tcPr>
          <w:p w14:paraId="11159279" w14:textId="77777777" w:rsidR="00A1074A" w:rsidRPr="009B525A" w:rsidRDefault="00A1074A" w:rsidP="006765C9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Number of Respondents</w:t>
            </w:r>
          </w:p>
          <w:p w14:paraId="03A0E428" w14:textId="77777777" w:rsidR="00A1074A" w:rsidRPr="009B525A" w:rsidRDefault="00A1074A" w:rsidP="006765C9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(1)</w:t>
            </w:r>
          </w:p>
        </w:tc>
        <w:tc>
          <w:tcPr>
            <w:tcW w:w="752" w:type="pct"/>
            <w:shd w:val="clear" w:color="auto" w:fill="D9D9D9"/>
            <w:vAlign w:val="bottom"/>
          </w:tcPr>
          <w:p w14:paraId="4E5D8ED9" w14:textId="77777777" w:rsidR="00A1074A" w:rsidRPr="009B525A" w:rsidRDefault="00A1074A" w:rsidP="00D04B1A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Annual Number of Responses per Respondent</w:t>
            </w:r>
          </w:p>
          <w:p w14:paraId="763DFD23" w14:textId="77777777" w:rsidR="00A1074A" w:rsidRPr="009B525A" w:rsidRDefault="00A1074A" w:rsidP="00D04B1A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(2)</w:t>
            </w:r>
          </w:p>
        </w:tc>
        <w:tc>
          <w:tcPr>
            <w:tcW w:w="668" w:type="pct"/>
            <w:shd w:val="clear" w:color="auto" w:fill="D9D9D9"/>
            <w:vAlign w:val="bottom"/>
          </w:tcPr>
          <w:p w14:paraId="43250D8B" w14:textId="77777777" w:rsidR="00A1074A" w:rsidRPr="009B525A" w:rsidRDefault="00A1074A" w:rsidP="006765C9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Total Number of Responses</w:t>
            </w:r>
          </w:p>
          <w:p w14:paraId="7F8561A3" w14:textId="77777777" w:rsidR="00A1074A" w:rsidRPr="009B525A" w:rsidRDefault="00A1074A" w:rsidP="006765C9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(1)*(2)=(3)</w:t>
            </w:r>
          </w:p>
        </w:tc>
        <w:tc>
          <w:tcPr>
            <w:tcW w:w="668" w:type="pct"/>
            <w:shd w:val="clear" w:color="auto" w:fill="D9D9D9"/>
            <w:vAlign w:val="bottom"/>
          </w:tcPr>
          <w:p w14:paraId="3AFFA9BE" w14:textId="77777777" w:rsidR="00A1074A" w:rsidRPr="009B525A" w:rsidRDefault="00A1074A" w:rsidP="00D04B1A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 xml:space="preserve">Average Burden </w:t>
            </w:r>
            <w:r w:rsidR="007671F8">
              <w:rPr>
                <w:rFonts w:eastAsia="Calibri"/>
                <w:b/>
                <w:szCs w:val="26"/>
              </w:rPr>
              <w:t xml:space="preserve">Hrs. </w:t>
            </w:r>
            <w:r w:rsidRPr="009B525A">
              <w:rPr>
                <w:rFonts w:eastAsia="Calibri"/>
                <w:b/>
                <w:szCs w:val="26"/>
              </w:rPr>
              <w:t xml:space="preserve">&amp; Cost </w:t>
            </w:r>
            <w:r w:rsidR="007671F8">
              <w:rPr>
                <w:rFonts w:eastAsia="Calibri"/>
                <w:b/>
                <w:szCs w:val="26"/>
              </w:rPr>
              <w:t xml:space="preserve">($) </w:t>
            </w:r>
            <w:r w:rsidRPr="009B525A">
              <w:rPr>
                <w:rFonts w:eastAsia="Calibri"/>
                <w:b/>
                <w:szCs w:val="26"/>
              </w:rPr>
              <w:t>Per Response</w:t>
            </w:r>
          </w:p>
          <w:p w14:paraId="7D1FBDDA" w14:textId="77777777" w:rsidR="00A1074A" w:rsidRPr="009B525A" w:rsidRDefault="00A1074A" w:rsidP="00D04B1A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(4)</w:t>
            </w:r>
          </w:p>
        </w:tc>
        <w:tc>
          <w:tcPr>
            <w:tcW w:w="668" w:type="pct"/>
            <w:shd w:val="clear" w:color="auto" w:fill="D9D9D9"/>
            <w:vAlign w:val="bottom"/>
          </w:tcPr>
          <w:p w14:paraId="45C3609C" w14:textId="77777777" w:rsidR="00A1074A" w:rsidRPr="009B525A" w:rsidRDefault="007671F8" w:rsidP="00D04B1A">
            <w:pPr>
              <w:jc w:val="center"/>
              <w:rPr>
                <w:rFonts w:eastAsia="Calibri"/>
                <w:b/>
                <w:szCs w:val="26"/>
              </w:rPr>
            </w:pPr>
            <w:r>
              <w:rPr>
                <w:rFonts w:eastAsia="Calibri"/>
                <w:b/>
                <w:szCs w:val="26"/>
              </w:rPr>
              <w:t>Total Annual Burden H</w:t>
            </w:r>
            <w:r w:rsidR="00A1074A" w:rsidRPr="009B525A">
              <w:rPr>
                <w:rFonts w:eastAsia="Calibri"/>
                <w:b/>
                <w:szCs w:val="26"/>
              </w:rPr>
              <w:t>rs</w:t>
            </w:r>
            <w:r>
              <w:rPr>
                <w:rFonts w:eastAsia="Calibri"/>
                <w:b/>
                <w:szCs w:val="26"/>
              </w:rPr>
              <w:t>.</w:t>
            </w:r>
            <w:r w:rsidR="00A1074A" w:rsidRPr="009B525A">
              <w:rPr>
                <w:rFonts w:eastAsia="Calibri"/>
                <w:b/>
                <w:szCs w:val="26"/>
              </w:rPr>
              <w:t xml:space="preserve"> &amp; Cost</w:t>
            </w:r>
            <w:r>
              <w:rPr>
                <w:rFonts w:eastAsia="Calibri"/>
                <w:b/>
                <w:szCs w:val="26"/>
              </w:rPr>
              <w:t xml:space="preserve"> ($)</w:t>
            </w:r>
          </w:p>
          <w:p w14:paraId="735E29CB" w14:textId="77777777" w:rsidR="00A1074A" w:rsidRPr="009B525A" w:rsidRDefault="00A1074A" w:rsidP="00D04B1A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(3)*(4)=(5)</w:t>
            </w:r>
          </w:p>
        </w:tc>
        <w:tc>
          <w:tcPr>
            <w:tcW w:w="752" w:type="pct"/>
            <w:shd w:val="clear" w:color="auto" w:fill="D9D9D9"/>
            <w:vAlign w:val="bottom"/>
          </w:tcPr>
          <w:p w14:paraId="7E764AE0" w14:textId="77777777" w:rsidR="00A1074A" w:rsidRPr="009B525A" w:rsidRDefault="00A1074A" w:rsidP="00D04B1A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Annual Cost per Respondent ($)</w:t>
            </w:r>
          </w:p>
          <w:p w14:paraId="1B237694" w14:textId="77777777" w:rsidR="00A1074A" w:rsidRPr="009B525A" w:rsidRDefault="00A1074A" w:rsidP="00D04B1A">
            <w:pPr>
              <w:jc w:val="center"/>
              <w:rPr>
                <w:rFonts w:eastAsia="Calibri"/>
                <w:b/>
                <w:szCs w:val="26"/>
              </w:rPr>
            </w:pPr>
            <w:r w:rsidRPr="009B525A">
              <w:rPr>
                <w:rFonts w:eastAsia="Calibri"/>
                <w:b/>
                <w:szCs w:val="26"/>
              </w:rPr>
              <w:t>(5)÷(1)</w:t>
            </w:r>
          </w:p>
        </w:tc>
      </w:tr>
      <w:tr w:rsidR="00705705" w:rsidRPr="009B525A" w14:paraId="24AB508A" w14:textId="77777777" w:rsidTr="00227778">
        <w:trPr>
          <w:cantSplit/>
        </w:trPr>
        <w:tc>
          <w:tcPr>
            <w:tcW w:w="699" w:type="pct"/>
          </w:tcPr>
          <w:p w14:paraId="2B6DFB93" w14:textId="21311534" w:rsidR="00A1074A" w:rsidRPr="009B525A" w:rsidRDefault="00805CBD" w:rsidP="00227778">
            <w:pPr>
              <w:jc w:val="center"/>
              <w:rPr>
                <w:rFonts w:eastAsia="Calibri"/>
                <w:szCs w:val="26"/>
              </w:rPr>
            </w:pPr>
            <w:r w:rsidRPr="00805CBD">
              <w:rPr>
                <w:rFonts w:eastAsia="Calibri"/>
                <w:szCs w:val="26"/>
              </w:rPr>
              <w:t xml:space="preserve">Wholesale natural </w:t>
            </w:r>
            <w:r w:rsidR="005B0C93">
              <w:rPr>
                <w:rFonts w:eastAsia="Calibri"/>
                <w:szCs w:val="26"/>
              </w:rPr>
              <w:t xml:space="preserve">gas </w:t>
            </w:r>
            <w:r w:rsidRPr="00805CBD">
              <w:rPr>
                <w:rFonts w:eastAsia="Calibri"/>
                <w:szCs w:val="26"/>
              </w:rPr>
              <w:t xml:space="preserve">market participants </w:t>
            </w:r>
          </w:p>
        </w:tc>
        <w:tc>
          <w:tcPr>
            <w:tcW w:w="794" w:type="pct"/>
            <w:vAlign w:val="bottom"/>
          </w:tcPr>
          <w:p w14:paraId="35590F7E" w14:textId="73072C2D" w:rsidR="00A1074A" w:rsidRPr="009B525A" w:rsidRDefault="000D6513" w:rsidP="00FC2D75">
            <w:pPr>
              <w:jc w:val="righ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675</w:t>
            </w:r>
          </w:p>
        </w:tc>
        <w:tc>
          <w:tcPr>
            <w:tcW w:w="752" w:type="pct"/>
            <w:vAlign w:val="bottom"/>
          </w:tcPr>
          <w:p w14:paraId="34B42D7D" w14:textId="2BC051C0" w:rsidR="00A1074A" w:rsidRPr="009B525A" w:rsidRDefault="00805CBD" w:rsidP="00FC2D75">
            <w:pPr>
              <w:jc w:val="right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1</w:t>
            </w:r>
          </w:p>
        </w:tc>
        <w:tc>
          <w:tcPr>
            <w:tcW w:w="668" w:type="pct"/>
            <w:vAlign w:val="bottom"/>
          </w:tcPr>
          <w:p w14:paraId="7F41F0A5" w14:textId="7536B4B4" w:rsidR="00A1074A" w:rsidRPr="00FC2D75" w:rsidRDefault="000D6513" w:rsidP="00FC2D75">
            <w:pPr>
              <w:jc w:val="right"/>
              <w:rPr>
                <w:rFonts w:eastAsia="Calibri"/>
                <w:szCs w:val="26"/>
              </w:rPr>
            </w:pPr>
            <w:r w:rsidRPr="00FC2D75">
              <w:rPr>
                <w:rFonts w:eastAsia="Calibri"/>
                <w:szCs w:val="26"/>
              </w:rPr>
              <w:t>675</w:t>
            </w:r>
          </w:p>
        </w:tc>
        <w:tc>
          <w:tcPr>
            <w:tcW w:w="668" w:type="pct"/>
            <w:vAlign w:val="bottom"/>
          </w:tcPr>
          <w:p w14:paraId="081ED883" w14:textId="4EBF4F0E" w:rsidR="00757AC1" w:rsidRPr="00FC2D75" w:rsidRDefault="00C92259" w:rsidP="00FC2D75">
            <w:pPr>
              <w:jc w:val="right"/>
              <w:rPr>
                <w:rFonts w:eastAsia="Calibri"/>
                <w:szCs w:val="26"/>
              </w:rPr>
            </w:pPr>
            <w:r w:rsidRPr="00FC2D75">
              <w:rPr>
                <w:rFonts w:eastAsia="Calibri"/>
                <w:szCs w:val="26"/>
              </w:rPr>
              <w:t>2</w:t>
            </w:r>
            <w:r w:rsidR="00805CBD" w:rsidRPr="00FC2D75">
              <w:rPr>
                <w:rFonts w:eastAsia="Calibri"/>
                <w:szCs w:val="26"/>
              </w:rPr>
              <w:t>0 hrs.;</w:t>
            </w:r>
            <w:r w:rsidR="00757AC1" w:rsidRPr="00FC2D75">
              <w:rPr>
                <w:rStyle w:val="FootnoteReference"/>
                <w:rFonts w:eastAsia="Calibri"/>
                <w:b w:val="0"/>
              </w:rPr>
              <w:footnoteReference w:id="6"/>
            </w:r>
          </w:p>
          <w:p w14:paraId="1FB9DAC9" w14:textId="1B335109" w:rsidR="00A1074A" w:rsidRPr="00FC2D75" w:rsidRDefault="00C92259" w:rsidP="00FC2D75">
            <w:pPr>
              <w:jc w:val="right"/>
              <w:rPr>
                <w:rFonts w:eastAsia="Calibri"/>
                <w:szCs w:val="26"/>
              </w:rPr>
            </w:pPr>
            <w:r w:rsidRPr="00FC2D75">
              <w:rPr>
                <w:rFonts w:eastAsia="Calibri"/>
                <w:szCs w:val="26"/>
              </w:rPr>
              <w:t>$</w:t>
            </w:r>
            <w:r w:rsidR="00CF72BB" w:rsidRPr="00FC2D75">
              <w:rPr>
                <w:rFonts w:eastAsia="Calibri"/>
                <w:szCs w:val="26"/>
              </w:rPr>
              <w:t>1,683.6</w:t>
            </w:r>
            <w:r w:rsidR="00227778" w:rsidRPr="00FC2D75">
              <w:rPr>
                <w:rFonts w:eastAsia="Calibri"/>
                <w:szCs w:val="26"/>
              </w:rPr>
              <w:t>0</w:t>
            </w:r>
          </w:p>
        </w:tc>
        <w:tc>
          <w:tcPr>
            <w:tcW w:w="668" w:type="pct"/>
            <w:vAlign w:val="bottom"/>
          </w:tcPr>
          <w:p w14:paraId="380B19C7" w14:textId="0A375BC7" w:rsidR="00A1074A" w:rsidRPr="00FC2D75" w:rsidRDefault="00705705" w:rsidP="00FC2D75">
            <w:pPr>
              <w:jc w:val="right"/>
              <w:rPr>
                <w:rFonts w:eastAsia="Calibri"/>
                <w:szCs w:val="26"/>
              </w:rPr>
            </w:pPr>
            <w:r w:rsidRPr="00FC2D75">
              <w:rPr>
                <w:rFonts w:eastAsia="Calibri"/>
                <w:szCs w:val="26"/>
              </w:rPr>
              <w:t>13</w:t>
            </w:r>
            <w:r w:rsidR="00805CBD" w:rsidRPr="00FC2D75">
              <w:rPr>
                <w:rFonts w:eastAsia="Calibri"/>
                <w:szCs w:val="26"/>
              </w:rPr>
              <w:t>,</w:t>
            </w:r>
            <w:r w:rsidRPr="00FC2D75">
              <w:rPr>
                <w:rFonts w:eastAsia="Calibri"/>
                <w:szCs w:val="26"/>
              </w:rPr>
              <w:t>50</w:t>
            </w:r>
            <w:r w:rsidR="0002550D" w:rsidRPr="00FC2D75">
              <w:rPr>
                <w:rFonts w:eastAsia="Calibri"/>
                <w:szCs w:val="26"/>
              </w:rPr>
              <w:t>0</w:t>
            </w:r>
            <w:r w:rsidR="00805CBD" w:rsidRPr="00FC2D75">
              <w:rPr>
                <w:rFonts w:eastAsia="Calibri"/>
                <w:szCs w:val="26"/>
              </w:rPr>
              <w:t xml:space="preserve"> hrs.; </w:t>
            </w:r>
            <w:r w:rsidRPr="00FC2D75">
              <w:rPr>
                <w:rFonts w:eastAsia="Calibri"/>
                <w:szCs w:val="26"/>
              </w:rPr>
              <w:t>$</w:t>
            </w:r>
            <w:r w:rsidR="00CF72BB" w:rsidRPr="00FC2D75">
              <w:rPr>
                <w:rFonts w:eastAsia="Calibri"/>
                <w:szCs w:val="26"/>
              </w:rPr>
              <w:t>1,136,430</w:t>
            </w:r>
          </w:p>
        </w:tc>
        <w:tc>
          <w:tcPr>
            <w:tcW w:w="752" w:type="pct"/>
            <w:vAlign w:val="bottom"/>
          </w:tcPr>
          <w:p w14:paraId="1CE8A915" w14:textId="150DF811" w:rsidR="00A1074A" w:rsidRPr="00FC2D75" w:rsidRDefault="00805CBD" w:rsidP="00FC2D75">
            <w:pPr>
              <w:jc w:val="right"/>
              <w:rPr>
                <w:rFonts w:eastAsia="Calibri"/>
                <w:szCs w:val="26"/>
              </w:rPr>
            </w:pPr>
            <w:r w:rsidRPr="00FC2D75">
              <w:rPr>
                <w:rFonts w:eastAsia="Calibri"/>
                <w:szCs w:val="26"/>
              </w:rPr>
              <w:t>$</w:t>
            </w:r>
            <w:r w:rsidR="00705705" w:rsidRPr="00FC2D75">
              <w:rPr>
                <w:rFonts w:eastAsia="Calibri"/>
                <w:szCs w:val="26"/>
              </w:rPr>
              <w:t>1,</w:t>
            </w:r>
            <w:r w:rsidR="00CF72BB" w:rsidRPr="00FC2D75">
              <w:rPr>
                <w:rFonts w:eastAsia="Calibri"/>
                <w:szCs w:val="26"/>
              </w:rPr>
              <w:t>683</w:t>
            </w:r>
          </w:p>
        </w:tc>
      </w:tr>
    </w:tbl>
    <w:p w14:paraId="5B3D83AA" w14:textId="77777777" w:rsidR="00156BBB" w:rsidRDefault="00156BBB" w:rsidP="00B01B16">
      <w:pPr>
        <w:spacing w:line="480" w:lineRule="auto"/>
      </w:pPr>
    </w:p>
    <w:p w14:paraId="61F1002D" w14:textId="77777777" w:rsidR="00881405" w:rsidRDefault="00AE1F12" w:rsidP="00AE1F12">
      <w:pPr>
        <w:spacing w:line="480" w:lineRule="auto"/>
      </w:pPr>
      <w:r>
        <w:rPr>
          <w:i/>
        </w:rPr>
        <w:t xml:space="preserve">Comments:  </w:t>
      </w:r>
      <w:r>
        <w:t xml:space="preserve">Comments are invited on:  (1) whether the collection of information is necessary for the proper performance of the functions of the Commission, including whether the information will have practical utility; (2) the accuracy of the agency’s estimate of the burden and cost of the collection of information, including the validity of the methodology and assumptions used; (3) ways to enhance the quality, utility and clarity of the information collection; and (4) ways to minimize the burden of the </w:t>
      </w:r>
    </w:p>
    <w:p w14:paraId="75A09C01" w14:textId="77777777" w:rsidR="00AE1F12" w:rsidRDefault="00AE1F12" w:rsidP="00AE1F12">
      <w:pPr>
        <w:spacing w:line="480" w:lineRule="auto"/>
      </w:pPr>
      <w:r>
        <w:t xml:space="preserve">collection of information on those who are to respond, including the use of automated collection techniques or other forms of information technology.  </w:t>
      </w:r>
    </w:p>
    <w:p w14:paraId="23FD2F99" w14:textId="277EB208" w:rsidR="00853ABC" w:rsidRDefault="00853ABC" w:rsidP="000A60AC"/>
    <w:p w14:paraId="42809195" w14:textId="6107A0C2" w:rsidR="000A60AC" w:rsidRDefault="000A60AC" w:rsidP="000A60AC"/>
    <w:p w14:paraId="7CAF129B" w14:textId="0F0AD1F6" w:rsidR="000A60AC" w:rsidRDefault="000A60AC" w:rsidP="000A60AC"/>
    <w:p w14:paraId="2D2572C1" w14:textId="372D67E5" w:rsidR="000A60AC" w:rsidRDefault="000A60AC" w:rsidP="000A60AC"/>
    <w:p w14:paraId="63F79B59" w14:textId="17980198" w:rsidR="000A60AC" w:rsidRPr="000A60AC" w:rsidRDefault="000A60AC" w:rsidP="000A60AC">
      <w:pPr>
        <w:ind w:firstLine="2174"/>
        <w:jc w:val="center"/>
      </w:pPr>
      <w:r w:rsidRPr="000A60AC">
        <w:t>Kimberly D. Bose,</w:t>
      </w:r>
    </w:p>
    <w:p w14:paraId="0DD079FF" w14:textId="3D81E1F6" w:rsidR="000A60AC" w:rsidRPr="000A60AC" w:rsidRDefault="000A60AC" w:rsidP="000A60AC">
      <w:pPr>
        <w:ind w:firstLine="2174"/>
        <w:jc w:val="center"/>
      </w:pPr>
      <w:r w:rsidRPr="000A60AC">
        <w:t>Secretary.</w:t>
      </w:r>
    </w:p>
    <w:p w14:paraId="1CBA65C2" w14:textId="77777777" w:rsidR="000A60AC" w:rsidRDefault="000A60AC" w:rsidP="000A60AC"/>
    <w:sectPr w:rsidR="000A60AC" w:rsidSect="00BF2D74">
      <w:head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B001C" w14:textId="77777777" w:rsidR="00A91635" w:rsidRDefault="00A91635" w:rsidP="00B01B16">
      <w:r>
        <w:separator/>
      </w:r>
    </w:p>
  </w:endnote>
  <w:endnote w:type="continuationSeparator" w:id="0">
    <w:p w14:paraId="6654F4BB" w14:textId="77777777" w:rsidR="00A91635" w:rsidRDefault="00A91635" w:rsidP="00B0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3DA4D" w14:textId="77777777" w:rsidR="00A91635" w:rsidRDefault="00A91635" w:rsidP="00B01B16">
      <w:r>
        <w:separator/>
      </w:r>
    </w:p>
  </w:footnote>
  <w:footnote w:type="continuationSeparator" w:id="0">
    <w:p w14:paraId="6EF6E0F7" w14:textId="77777777" w:rsidR="00A91635" w:rsidRDefault="00A91635" w:rsidP="00B01B16">
      <w:r>
        <w:continuationSeparator/>
      </w:r>
    </w:p>
  </w:footnote>
  <w:footnote w:id="1">
    <w:p w14:paraId="24AA2EC9" w14:textId="77777777" w:rsidR="00BB4A41" w:rsidRPr="00BB4A41" w:rsidRDefault="00BB4A41">
      <w:pPr>
        <w:pStyle w:val="FootnoteText"/>
        <w:rPr>
          <w:sz w:val="26"/>
          <w:szCs w:val="26"/>
        </w:rPr>
      </w:pPr>
      <w:r w:rsidRPr="00026BCF">
        <w:rPr>
          <w:rStyle w:val="FootnoteReference"/>
          <w:b w:val="0"/>
        </w:rPr>
        <w:footnoteRef/>
      </w:r>
      <w:r w:rsidRPr="00FC2D7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FERC-552 is pr</w:t>
      </w:r>
      <w:r w:rsidRPr="00BB4A41">
        <w:rPr>
          <w:sz w:val="26"/>
          <w:szCs w:val="26"/>
        </w:rPr>
        <w:t>escribed in 18 CFR (Code of Federal Regulations) 260.401.</w:t>
      </w:r>
    </w:p>
  </w:footnote>
  <w:footnote w:id="2">
    <w:p w14:paraId="2FD191CA" w14:textId="77777777" w:rsidR="00805CBD" w:rsidRPr="00C0296E" w:rsidRDefault="00805CBD" w:rsidP="00805CBD">
      <w:pPr>
        <w:pStyle w:val="FootnoteText"/>
        <w:rPr>
          <w:sz w:val="26"/>
          <w:szCs w:val="26"/>
        </w:rPr>
      </w:pPr>
      <w:r w:rsidRPr="00C0296E">
        <w:rPr>
          <w:rStyle w:val="FootnoteReference"/>
          <w:b w:val="0"/>
        </w:rPr>
        <w:footnoteRef/>
      </w:r>
      <w:r w:rsidRPr="00C0296E">
        <w:rPr>
          <w:sz w:val="26"/>
          <w:szCs w:val="26"/>
        </w:rPr>
        <w:t xml:space="preserve"> Pub. L. 109-58</w:t>
      </w:r>
    </w:p>
  </w:footnote>
  <w:footnote w:id="3">
    <w:p w14:paraId="15D2B1C6" w14:textId="77777777" w:rsidR="00805CBD" w:rsidRPr="00EB108D" w:rsidRDefault="00805CBD" w:rsidP="00805CBD">
      <w:pPr>
        <w:pStyle w:val="FootnoteText"/>
        <w:rPr>
          <w:sz w:val="26"/>
          <w:szCs w:val="26"/>
        </w:rPr>
      </w:pPr>
      <w:r w:rsidRPr="00EB108D">
        <w:rPr>
          <w:rStyle w:val="FootnoteReference"/>
          <w:b w:val="0"/>
        </w:rPr>
        <w:footnoteRef/>
      </w:r>
      <w:r w:rsidRPr="00EB108D">
        <w:rPr>
          <w:sz w:val="26"/>
          <w:szCs w:val="26"/>
        </w:rPr>
        <w:t xml:space="preserve"> 15 USC 717t-2</w:t>
      </w:r>
    </w:p>
  </w:footnote>
  <w:footnote w:id="4">
    <w:p w14:paraId="4EFAC608" w14:textId="77777777" w:rsidR="00AE1F12" w:rsidRPr="00FC2D75" w:rsidRDefault="00B01B16" w:rsidP="00B01B16">
      <w:pPr>
        <w:pStyle w:val="FootnoteText"/>
        <w:rPr>
          <w:sz w:val="26"/>
          <w:szCs w:val="26"/>
        </w:rPr>
      </w:pPr>
      <w:r w:rsidRPr="00026BCF">
        <w:rPr>
          <w:rStyle w:val="FootnoteReference"/>
          <w:b w:val="0"/>
        </w:rPr>
        <w:footnoteRef/>
      </w:r>
      <w:r w:rsidRPr="006536D8">
        <w:rPr>
          <w:sz w:val="26"/>
          <w:szCs w:val="26"/>
        </w:rPr>
        <w:t xml:space="preserve"> </w:t>
      </w:r>
      <w:r w:rsidR="00E8661B">
        <w:rPr>
          <w:sz w:val="26"/>
          <w:szCs w:val="26"/>
        </w:rPr>
        <w:t>“B</w:t>
      </w:r>
      <w:r w:rsidRPr="006536D8">
        <w:rPr>
          <w:sz w:val="26"/>
          <w:szCs w:val="26"/>
        </w:rPr>
        <w:t>urden</w:t>
      </w:r>
      <w:r w:rsidR="00E8661B">
        <w:rPr>
          <w:sz w:val="26"/>
          <w:szCs w:val="26"/>
        </w:rPr>
        <w:t>” is</w:t>
      </w:r>
      <w:r w:rsidRPr="006536D8">
        <w:rPr>
          <w:sz w:val="26"/>
          <w:szCs w:val="26"/>
        </w:rPr>
        <w:t xml:space="preserve"> the total time, effort, or financial resources expended by persons to generate, maintain, retain, or disclose or provide information to or for a Federal agency. For further explanation of what is included in the information collection burden, </w:t>
      </w:r>
      <w:r w:rsidR="00376525" w:rsidRPr="006536D8">
        <w:rPr>
          <w:sz w:val="26"/>
          <w:szCs w:val="26"/>
        </w:rPr>
        <w:t xml:space="preserve">refer to Title </w:t>
      </w:r>
      <w:r w:rsidRPr="006536D8">
        <w:rPr>
          <w:sz w:val="26"/>
          <w:szCs w:val="26"/>
        </w:rPr>
        <w:t xml:space="preserve">5 </w:t>
      </w:r>
      <w:r w:rsidR="009F089E">
        <w:rPr>
          <w:sz w:val="26"/>
          <w:szCs w:val="26"/>
        </w:rPr>
        <w:t>CFR</w:t>
      </w:r>
      <w:r w:rsidRPr="006536D8">
        <w:rPr>
          <w:sz w:val="26"/>
          <w:szCs w:val="26"/>
        </w:rPr>
        <w:t xml:space="preserve"> </w:t>
      </w:r>
      <w:r w:rsidRPr="00FC2D75">
        <w:rPr>
          <w:sz w:val="26"/>
          <w:szCs w:val="26"/>
        </w:rPr>
        <w:t>1320.3.</w:t>
      </w:r>
    </w:p>
  </w:footnote>
  <w:footnote w:id="5">
    <w:p w14:paraId="058BF73A" w14:textId="5303DEBC" w:rsidR="000B1CE7" w:rsidRPr="00FC2D75" w:rsidRDefault="00EA689F" w:rsidP="00805CBD">
      <w:pPr>
        <w:pStyle w:val="FootnoteText"/>
      </w:pPr>
      <w:r w:rsidRPr="00FC2D75">
        <w:rPr>
          <w:rStyle w:val="FootnoteReference"/>
          <w:b w:val="0"/>
        </w:rPr>
        <w:footnoteRef/>
      </w:r>
      <w:r w:rsidRPr="00FC2D75">
        <w:rPr>
          <w:sz w:val="26"/>
          <w:szCs w:val="26"/>
        </w:rPr>
        <w:t xml:space="preserve"> </w:t>
      </w:r>
      <w:r w:rsidR="00B273D5" w:rsidRPr="00FC2D75">
        <w:rPr>
          <w:sz w:val="26"/>
          <w:szCs w:val="26"/>
        </w:rPr>
        <w:t xml:space="preserve"> </w:t>
      </w:r>
      <w:r w:rsidR="008D4891" w:rsidRPr="00FC2D75">
        <w:rPr>
          <w:sz w:val="26"/>
          <w:szCs w:val="26"/>
        </w:rPr>
        <w:t>C</w:t>
      </w:r>
      <w:r w:rsidR="00B4757E" w:rsidRPr="00FC2D75">
        <w:rPr>
          <w:sz w:val="26"/>
          <w:szCs w:val="26"/>
        </w:rPr>
        <w:t xml:space="preserve">osts (for wages and benefits) are based on wage figures from the Bureau of Labor Statistics (BLS) for May </w:t>
      </w:r>
      <w:r w:rsidR="009C5810" w:rsidRPr="00FC2D75">
        <w:rPr>
          <w:sz w:val="26"/>
          <w:szCs w:val="26"/>
        </w:rPr>
        <w:t xml:space="preserve">2017 </w:t>
      </w:r>
      <w:r w:rsidR="00D027FE" w:rsidRPr="00FC2D75">
        <w:rPr>
          <w:sz w:val="26"/>
          <w:szCs w:val="26"/>
        </w:rPr>
        <w:t>(</w:t>
      </w:r>
      <w:r w:rsidR="00B4757E" w:rsidRPr="00FC2D75">
        <w:rPr>
          <w:sz w:val="26"/>
          <w:szCs w:val="26"/>
        </w:rPr>
        <w:t xml:space="preserve">at </w:t>
      </w:r>
      <w:hyperlink r:id="rId1" w:history="1">
        <w:r w:rsidR="00B4757E" w:rsidRPr="00FC2D75">
          <w:rPr>
            <w:rStyle w:val="Hyperlink"/>
            <w:sz w:val="26"/>
            <w:szCs w:val="26"/>
          </w:rPr>
          <w:t>https://www.bls.gov/oes/current/naics2_22.htm</w:t>
        </w:r>
      </w:hyperlink>
      <w:r w:rsidR="00D027FE" w:rsidRPr="00FC2D75">
        <w:rPr>
          <w:sz w:val="26"/>
          <w:szCs w:val="26"/>
        </w:rPr>
        <w:t>)</w:t>
      </w:r>
      <w:r w:rsidR="00B4757E" w:rsidRPr="00FC2D75">
        <w:rPr>
          <w:sz w:val="26"/>
          <w:szCs w:val="26"/>
        </w:rPr>
        <w:t xml:space="preserve"> and benefits information (for December 2017, issued March 20, 2018, at https://www.bls.gov/news.release/ecec.nr0.htm</w:t>
      </w:r>
      <w:r w:rsidR="00567282" w:rsidRPr="00FC2D75">
        <w:rPr>
          <w:sz w:val="26"/>
          <w:szCs w:val="26"/>
        </w:rPr>
        <w:t>)</w:t>
      </w:r>
      <w:r w:rsidR="00B4757E" w:rsidRPr="00FC2D75">
        <w:rPr>
          <w:sz w:val="26"/>
          <w:szCs w:val="26"/>
        </w:rPr>
        <w:t xml:space="preserve">.  </w:t>
      </w:r>
      <w:r w:rsidR="009C5810" w:rsidRPr="00FC2D75">
        <w:rPr>
          <w:sz w:val="26"/>
          <w:szCs w:val="26"/>
        </w:rPr>
        <w:t>The staff estimates that 75% of the work is done by a financial analyst (</w:t>
      </w:r>
      <w:r w:rsidR="00A8124E" w:rsidRPr="00FC2D75">
        <w:rPr>
          <w:sz w:val="26"/>
          <w:szCs w:val="26"/>
        </w:rPr>
        <w:t xml:space="preserve">code 13-2051) at an hourly cost of $64.35 (for wages plus benefits), and 25% of the work is done by legal staff members (code 23-0000) at an hourly cost of $143.68 </w:t>
      </w:r>
      <w:r w:rsidR="00FC2D75">
        <w:rPr>
          <w:sz w:val="26"/>
          <w:szCs w:val="26"/>
        </w:rPr>
        <w:t>(</w:t>
      </w:r>
      <w:r w:rsidR="00A8124E" w:rsidRPr="00FC2D75">
        <w:rPr>
          <w:sz w:val="26"/>
          <w:szCs w:val="26"/>
        </w:rPr>
        <w:t xml:space="preserve">for wages plus benefits).  </w:t>
      </w:r>
      <w:r w:rsidR="00CF72BB" w:rsidRPr="00FC2D75">
        <w:rPr>
          <w:sz w:val="26"/>
          <w:szCs w:val="26"/>
        </w:rPr>
        <w:t>Therefor</w:t>
      </w:r>
      <w:r w:rsidR="000A60AC">
        <w:rPr>
          <w:sz w:val="26"/>
          <w:szCs w:val="26"/>
        </w:rPr>
        <w:t>e</w:t>
      </w:r>
      <w:r w:rsidR="00CF72BB" w:rsidRPr="00FC2D75">
        <w:rPr>
          <w:sz w:val="26"/>
          <w:szCs w:val="26"/>
        </w:rPr>
        <w:t xml:space="preserve"> the average cost (for wages plus benefits) is rounded to $84.18/hour [or ($64.35/hour * 0.75)+($143.68/hour * 0.25)].</w:t>
      </w:r>
    </w:p>
  </w:footnote>
  <w:footnote w:id="6">
    <w:p w14:paraId="5DB6A728" w14:textId="27B96755" w:rsidR="00CA08DB" w:rsidRPr="00FC2D75" w:rsidRDefault="00757AC1" w:rsidP="00FC2D75">
      <w:pPr>
        <w:pStyle w:val="FootnoteText"/>
        <w:rPr>
          <w:sz w:val="26"/>
          <w:szCs w:val="26"/>
        </w:rPr>
      </w:pPr>
      <w:r w:rsidRPr="00FC2D75">
        <w:rPr>
          <w:rStyle w:val="FootnoteReference"/>
          <w:b w:val="0"/>
        </w:rPr>
        <w:footnoteRef/>
      </w:r>
      <w:r w:rsidRPr="00FC2D75">
        <w:rPr>
          <w:sz w:val="26"/>
          <w:szCs w:val="26"/>
        </w:rPr>
        <w:t xml:space="preserve"> The staff </w:t>
      </w:r>
      <w:r w:rsidR="00087998">
        <w:rPr>
          <w:sz w:val="26"/>
          <w:szCs w:val="26"/>
        </w:rPr>
        <w:t>thinks</w:t>
      </w:r>
      <w:r>
        <w:rPr>
          <w:sz w:val="26"/>
          <w:szCs w:val="26"/>
        </w:rPr>
        <w:t xml:space="preserve"> that</w:t>
      </w:r>
      <w:r w:rsidRPr="00FC2D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average estimated </w:t>
      </w:r>
      <w:r w:rsidRPr="00FC2D75">
        <w:rPr>
          <w:sz w:val="26"/>
          <w:szCs w:val="26"/>
        </w:rPr>
        <w:t xml:space="preserve">burden per filing </w:t>
      </w:r>
      <w:r>
        <w:rPr>
          <w:sz w:val="26"/>
          <w:szCs w:val="26"/>
        </w:rPr>
        <w:t xml:space="preserve">should be </w:t>
      </w:r>
      <w:r w:rsidRPr="00FC2D75">
        <w:rPr>
          <w:sz w:val="26"/>
          <w:szCs w:val="26"/>
        </w:rPr>
        <w:t>20 hours (rather than the current</w:t>
      </w:r>
      <w:r>
        <w:rPr>
          <w:sz w:val="26"/>
          <w:szCs w:val="26"/>
        </w:rPr>
        <w:t xml:space="preserve"> estimate of 10 hours).  There are no changes to the reporting requirements.</w:t>
      </w:r>
      <w:r w:rsidR="00CA08DB">
        <w:rPr>
          <w:sz w:val="26"/>
          <w:szCs w:val="2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20985" w14:textId="11C6429A" w:rsidR="00810D18" w:rsidRDefault="00810D18" w:rsidP="00810D18">
    <w:pPr>
      <w:pStyle w:val="Header"/>
    </w:pPr>
    <w:r w:rsidRPr="00FC2D75">
      <w:t xml:space="preserve">Docket No. </w:t>
    </w:r>
    <w:r w:rsidR="00040CB2" w:rsidRPr="00FC2D75">
      <w:t>IC18</w:t>
    </w:r>
    <w:r w:rsidR="009C5810" w:rsidRPr="00FC2D75">
      <w:t>-14-</w:t>
    </w:r>
    <w:r w:rsidR="00DA19FA" w:rsidRPr="00FC2D75">
      <w:t>000</w:t>
    </w:r>
    <w:r>
      <w:tab/>
    </w:r>
    <w:sdt>
      <w:sdtPr>
        <w:id w:val="15158862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54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52407C3" w14:textId="77777777" w:rsidR="00BF2D74" w:rsidRDefault="00BF2D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02A8"/>
    <w:multiLevelType w:val="hybridMultilevel"/>
    <w:tmpl w:val="1F3240CC"/>
    <w:lvl w:ilvl="0" w:tplc="DE32E33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3156D43"/>
    <w:multiLevelType w:val="multilevel"/>
    <w:tmpl w:val="B140707E"/>
    <w:lvl w:ilvl="0">
      <w:start w:val="1"/>
      <w:numFmt w:val="decimal"/>
      <w:pStyle w:val="ListContinue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16"/>
    <w:rsid w:val="00007516"/>
    <w:rsid w:val="0002550D"/>
    <w:rsid w:val="00026BCF"/>
    <w:rsid w:val="00040CB2"/>
    <w:rsid w:val="000459B6"/>
    <w:rsid w:val="00062427"/>
    <w:rsid w:val="00087998"/>
    <w:rsid w:val="000A0250"/>
    <w:rsid w:val="000A60AC"/>
    <w:rsid w:val="000A7E68"/>
    <w:rsid w:val="000B1CE7"/>
    <w:rsid w:val="000B3F13"/>
    <w:rsid w:val="000D6513"/>
    <w:rsid w:val="000E2568"/>
    <w:rsid w:val="00156BBB"/>
    <w:rsid w:val="001600DF"/>
    <w:rsid w:val="00162E44"/>
    <w:rsid w:val="00171725"/>
    <w:rsid w:val="00181BF7"/>
    <w:rsid w:val="001A6AD6"/>
    <w:rsid w:val="001B78B8"/>
    <w:rsid w:val="001C3865"/>
    <w:rsid w:val="002104A4"/>
    <w:rsid w:val="00227778"/>
    <w:rsid w:val="002513A9"/>
    <w:rsid w:val="00251BE0"/>
    <w:rsid w:val="00294D19"/>
    <w:rsid w:val="002A796B"/>
    <w:rsid w:val="002B1897"/>
    <w:rsid w:val="002D3CFE"/>
    <w:rsid w:val="002E43AC"/>
    <w:rsid w:val="003017CB"/>
    <w:rsid w:val="00303E01"/>
    <w:rsid w:val="00311D90"/>
    <w:rsid w:val="003149BC"/>
    <w:rsid w:val="003673EC"/>
    <w:rsid w:val="00376525"/>
    <w:rsid w:val="003C3E7A"/>
    <w:rsid w:val="003D0899"/>
    <w:rsid w:val="003E2D4F"/>
    <w:rsid w:val="003E44AD"/>
    <w:rsid w:val="00443282"/>
    <w:rsid w:val="004559FF"/>
    <w:rsid w:val="004C70C8"/>
    <w:rsid w:val="004D719E"/>
    <w:rsid w:val="00510FCF"/>
    <w:rsid w:val="0054746C"/>
    <w:rsid w:val="00567282"/>
    <w:rsid w:val="0058544A"/>
    <w:rsid w:val="005A2F24"/>
    <w:rsid w:val="005A6A4C"/>
    <w:rsid w:val="005B0C93"/>
    <w:rsid w:val="005B4DA4"/>
    <w:rsid w:val="005D58B8"/>
    <w:rsid w:val="005E1FA1"/>
    <w:rsid w:val="00603D9F"/>
    <w:rsid w:val="00606F0E"/>
    <w:rsid w:val="006128A5"/>
    <w:rsid w:val="0061661C"/>
    <w:rsid w:val="00637F43"/>
    <w:rsid w:val="00644A1B"/>
    <w:rsid w:val="00651734"/>
    <w:rsid w:val="006536D8"/>
    <w:rsid w:val="00653732"/>
    <w:rsid w:val="00654BA4"/>
    <w:rsid w:val="006765C9"/>
    <w:rsid w:val="00681A35"/>
    <w:rsid w:val="006825C4"/>
    <w:rsid w:val="006963BC"/>
    <w:rsid w:val="006A1CFC"/>
    <w:rsid w:val="006B744D"/>
    <w:rsid w:val="006E7CBB"/>
    <w:rsid w:val="00705705"/>
    <w:rsid w:val="007261FA"/>
    <w:rsid w:val="00742841"/>
    <w:rsid w:val="0075009F"/>
    <w:rsid w:val="00750DF5"/>
    <w:rsid w:val="00753DD8"/>
    <w:rsid w:val="00757AC1"/>
    <w:rsid w:val="00763112"/>
    <w:rsid w:val="007671F8"/>
    <w:rsid w:val="007F00CB"/>
    <w:rsid w:val="008017C6"/>
    <w:rsid w:val="00803CA2"/>
    <w:rsid w:val="00805CBD"/>
    <w:rsid w:val="00807CAC"/>
    <w:rsid w:val="00810D18"/>
    <w:rsid w:val="008115BF"/>
    <w:rsid w:val="00824D81"/>
    <w:rsid w:val="00853ABC"/>
    <w:rsid w:val="00860A08"/>
    <w:rsid w:val="008764F8"/>
    <w:rsid w:val="00881405"/>
    <w:rsid w:val="0089069F"/>
    <w:rsid w:val="00895D18"/>
    <w:rsid w:val="00895DA2"/>
    <w:rsid w:val="00897359"/>
    <w:rsid w:val="008B58C2"/>
    <w:rsid w:val="008D25B7"/>
    <w:rsid w:val="008D4891"/>
    <w:rsid w:val="008D5479"/>
    <w:rsid w:val="008E0DF5"/>
    <w:rsid w:val="008E3273"/>
    <w:rsid w:val="009171DB"/>
    <w:rsid w:val="00940C0F"/>
    <w:rsid w:val="00956A62"/>
    <w:rsid w:val="009744C8"/>
    <w:rsid w:val="00981886"/>
    <w:rsid w:val="00990FEC"/>
    <w:rsid w:val="009A1B08"/>
    <w:rsid w:val="009B525A"/>
    <w:rsid w:val="009C4A13"/>
    <w:rsid w:val="009C5810"/>
    <w:rsid w:val="009D7120"/>
    <w:rsid w:val="009E1C9D"/>
    <w:rsid w:val="009F089E"/>
    <w:rsid w:val="009F7DE3"/>
    <w:rsid w:val="00A1074A"/>
    <w:rsid w:val="00A139D3"/>
    <w:rsid w:val="00A2604E"/>
    <w:rsid w:val="00A36407"/>
    <w:rsid w:val="00A52CA7"/>
    <w:rsid w:val="00A569FC"/>
    <w:rsid w:val="00A664DF"/>
    <w:rsid w:val="00A713D0"/>
    <w:rsid w:val="00A732AF"/>
    <w:rsid w:val="00A8124E"/>
    <w:rsid w:val="00A82A29"/>
    <w:rsid w:val="00A91635"/>
    <w:rsid w:val="00A93FC7"/>
    <w:rsid w:val="00AA516A"/>
    <w:rsid w:val="00AA5B0E"/>
    <w:rsid w:val="00AC750B"/>
    <w:rsid w:val="00AE1F12"/>
    <w:rsid w:val="00AE4155"/>
    <w:rsid w:val="00AE4B7C"/>
    <w:rsid w:val="00AF349B"/>
    <w:rsid w:val="00B01B16"/>
    <w:rsid w:val="00B273D5"/>
    <w:rsid w:val="00B3306E"/>
    <w:rsid w:val="00B447D7"/>
    <w:rsid w:val="00B4757E"/>
    <w:rsid w:val="00B71F04"/>
    <w:rsid w:val="00B76A1F"/>
    <w:rsid w:val="00B82F8C"/>
    <w:rsid w:val="00B958F1"/>
    <w:rsid w:val="00BB41AE"/>
    <w:rsid w:val="00BB4A41"/>
    <w:rsid w:val="00BD033D"/>
    <w:rsid w:val="00BD2145"/>
    <w:rsid w:val="00BD74AE"/>
    <w:rsid w:val="00BE3FE7"/>
    <w:rsid w:val="00BF18A8"/>
    <w:rsid w:val="00BF2D74"/>
    <w:rsid w:val="00BF4CC8"/>
    <w:rsid w:val="00C1124F"/>
    <w:rsid w:val="00C37BFF"/>
    <w:rsid w:val="00C4054D"/>
    <w:rsid w:val="00C51458"/>
    <w:rsid w:val="00C53580"/>
    <w:rsid w:val="00C55838"/>
    <w:rsid w:val="00C77EF7"/>
    <w:rsid w:val="00C820F1"/>
    <w:rsid w:val="00C91512"/>
    <w:rsid w:val="00C92259"/>
    <w:rsid w:val="00CA08DB"/>
    <w:rsid w:val="00CA6636"/>
    <w:rsid w:val="00CA6D76"/>
    <w:rsid w:val="00CB5083"/>
    <w:rsid w:val="00CE21CB"/>
    <w:rsid w:val="00CF4753"/>
    <w:rsid w:val="00CF72BB"/>
    <w:rsid w:val="00CF7818"/>
    <w:rsid w:val="00D0083B"/>
    <w:rsid w:val="00D027FE"/>
    <w:rsid w:val="00D1020B"/>
    <w:rsid w:val="00D36594"/>
    <w:rsid w:val="00D44183"/>
    <w:rsid w:val="00DA19FA"/>
    <w:rsid w:val="00DA529F"/>
    <w:rsid w:val="00DC5017"/>
    <w:rsid w:val="00DD7F1B"/>
    <w:rsid w:val="00E11C4A"/>
    <w:rsid w:val="00E41DB9"/>
    <w:rsid w:val="00E524DB"/>
    <w:rsid w:val="00E56045"/>
    <w:rsid w:val="00E762BB"/>
    <w:rsid w:val="00E8661B"/>
    <w:rsid w:val="00EA689F"/>
    <w:rsid w:val="00EF33BE"/>
    <w:rsid w:val="00F309CB"/>
    <w:rsid w:val="00F44A0E"/>
    <w:rsid w:val="00F53B91"/>
    <w:rsid w:val="00FB3EF0"/>
    <w:rsid w:val="00FC2D75"/>
    <w:rsid w:val="00FC3F00"/>
    <w:rsid w:val="00FF1D71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2289"/>
    <o:shapelayout v:ext="edit">
      <o:idmap v:ext="edit" data="1"/>
    </o:shapelayout>
  </w:shapeDefaults>
  <w:decimalSymbol w:val="."/>
  <w:listSeparator w:val=","/>
  <w14:docId w14:val="5238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1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,Style 13,Style 12,Style 15,Style 17,Style 9,o1,fr1,o2,fr2,o3,fr3,Style 18,(NECG) Footnote Reference,Style 20,Style 7,Styl,Style 8,Style 19,Style 28,Style 11,Style 16"/>
    <w:rsid w:val="00B01B1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r"/>
    <w:basedOn w:val="Normal"/>
    <w:link w:val="FootnoteTextChar"/>
    <w:rsid w:val="00B01B16"/>
    <w:rPr>
      <w:sz w:val="22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rsid w:val="00B01B16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B01B16"/>
    <w:rPr>
      <w:color w:val="0000FF"/>
      <w:u w:val="single"/>
    </w:rPr>
  </w:style>
  <w:style w:type="paragraph" w:styleId="ListContinue">
    <w:name w:val="List Continue"/>
    <w:basedOn w:val="Normal"/>
    <w:unhideWhenUsed/>
    <w:rsid w:val="00B01B16"/>
    <w:pPr>
      <w:numPr>
        <w:numId w:val="1"/>
      </w:numPr>
      <w:spacing w:after="120" w:line="480" w:lineRule="auto"/>
    </w:pPr>
  </w:style>
  <w:style w:type="paragraph" w:customStyle="1" w:styleId="LegalFormat">
    <w:name w:val="Legal Format"/>
    <w:basedOn w:val="ListContinue"/>
    <w:rsid w:val="00B01B16"/>
    <w:pPr>
      <w:spacing w:after="0"/>
      <w:ind w:left="0"/>
    </w:pPr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1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74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F2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D74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D74"/>
    <w:rPr>
      <w:rFonts w:ascii="Times New Roman" w:eastAsia="Times New Roman" w:hAnsi="Times New Roman" w:cs="Times New Roman"/>
      <w:sz w:val="26"/>
      <w:szCs w:val="24"/>
    </w:rPr>
  </w:style>
  <w:style w:type="paragraph" w:styleId="NormalWeb">
    <w:name w:val="Normal (Web)"/>
    <w:basedOn w:val="Normal"/>
    <w:uiPriority w:val="99"/>
    <w:unhideWhenUsed/>
    <w:rsid w:val="00AE4155"/>
    <w:rPr>
      <w:rFonts w:eastAsiaTheme="minorHAns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55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1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o,fr,Style 13,Style 12,Style 15,Style 17,Style 9,o1,fr1,o2,fr2,o3,fr3,Style 18,(NECG) Footnote Reference,Style 20,Style 7,Styl,Style 8,Style 19,Style 28,Style 11,Style 16"/>
    <w:rsid w:val="00B01B1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aliases w:val="fn,Footnote Text Char1,Footnote Text Char Char,Footnote Text Char1 Char,Footnote Text Char Char Char,Footnote Text MRP,Footnote Text Char1 Char Char,Footnote Text Char1 Char1,Footnote Text Char3,Footnote Text Char2 Char,fn1,fn3,fn4,ft Char"/>
    <w:basedOn w:val="Normal"/>
    <w:link w:val="FootnoteTextChar"/>
    <w:rsid w:val="00B01B16"/>
    <w:rPr>
      <w:sz w:val="22"/>
      <w:szCs w:val="20"/>
    </w:rPr>
  </w:style>
  <w:style w:type="character" w:customStyle="1" w:styleId="FootnoteTextChar">
    <w:name w:val="Footnote Text Char"/>
    <w:aliases w:val="fn Char,Footnote Text Char1 Char2,Footnote Text Char Char Char1,Footnote Text Char1 Char Char1,Footnote Text Char Char Char Char,Footnote Text MRP Char,Footnote Text Char1 Char Char Char,Footnote Text Char1 Char1 Char,fn1 Char"/>
    <w:basedOn w:val="DefaultParagraphFont"/>
    <w:link w:val="FootnoteText"/>
    <w:rsid w:val="00B01B16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B01B16"/>
    <w:rPr>
      <w:color w:val="0000FF"/>
      <w:u w:val="single"/>
    </w:rPr>
  </w:style>
  <w:style w:type="paragraph" w:styleId="ListContinue">
    <w:name w:val="List Continue"/>
    <w:basedOn w:val="Normal"/>
    <w:unhideWhenUsed/>
    <w:rsid w:val="00B01B16"/>
    <w:pPr>
      <w:numPr>
        <w:numId w:val="1"/>
      </w:numPr>
      <w:spacing w:after="120" w:line="480" w:lineRule="auto"/>
    </w:pPr>
  </w:style>
  <w:style w:type="paragraph" w:customStyle="1" w:styleId="LegalFormat">
    <w:name w:val="Legal Format"/>
    <w:basedOn w:val="ListContinue"/>
    <w:rsid w:val="00B01B16"/>
    <w:pPr>
      <w:spacing w:after="0"/>
      <w:ind w:left="0"/>
    </w:pPr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1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74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F2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D74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D74"/>
    <w:rPr>
      <w:rFonts w:ascii="Times New Roman" w:eastAsia="Times New Roman" w:hAnsi="Times New Roman" w:cs="Times New Roman"/>
      <w:sz w:val="26"/>
      <w:szCs w:val="24"/>
    </w:rPr>
  </w:style>
  <w:style w:type="paragraph" w:styleId="NormalWeb">
    <w:name w:val="Normal (Web)"/>
    <w:basedOn w:val="Normal"/>
    <w:uiPriority w:val="99"/>
    <w:unhideWhenUsed/>
    <w:rsid w:val="00AE4155"/>
    <w:rPr>
      <w:rFonts w:eastAsiaTheme="minorHAnsi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55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DataClearance@FER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erc.gov/docs-filing/docs-filing.a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erc.gov/help/submission-guide.asp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ferc.gov/docs-filing/efiling.as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oes/current/naics2_2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60-Day Notice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552</_x0031__x002e__x0020_Collection_x0020_Number>
    <Date xmlns="d6eefc7d-9817-4fa6-84d5-3bc009be21b8">2018-06-29T00:00:00-04:00</Date>
    <Status xmlns="d6eefc7d-9817-4fa6-84d5-3bc009be21b8">Issued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IC18-14</_x0031__x002e__x0020_Docket_x0020_Number>
    <_x0033__x002e__x0020_Collection_x0020_Number xmlns="d6eefc7d-9817-4fa6-84d5-3bc009be21b8" xsi:nil="true"/>
  </documentManagement>
</p:properties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2BA4-42E3-4037-8954-0F628E67B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B1DD4-8130-4FE7-964C-24C804F058D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6eefc7d-9817-4fa6-84d5-3bc009be21b8"/>
  </ds:schemaRefs>
</ds:datastoreItem>
</file>

<file path=customXml/itemProps3.xml><?xml version="1.0" encoding="utf-8"?>
<ds:datastoreItem xmlns:ds="http://schemas.openxmlformats.org/officeDocument/2006/customXml" ds:itemID="{B6368FA6-7061-4E38-96FD-1DCEE29BCF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ED28E34-8FE4-41B3-B19A-BA96FCE70BB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9E91544-16D0-4845-ADC3-0C1933054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7B54472-041A-44ED-84DC-ABFCA8FB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includes OE edits of 6/28/18</vt:lpstr>
    </vt:vector>
  </TitlesOfParts>
  <Manager/>
  <Company/>
  <LinksUpToDate>false</LinksUpToDate>
  <CharactersWithSpaces>4421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cp:lastPrinted>2018-03-29T18:10:00Z</cp:lastPrinted>
  <dcterms:created xsi:type="dcterms:W3CDTF">2018-06-29T14:24:00Z</dcterms:created>
  <dcterms:modified xsi:type="dcterms:W3CDTF">2018-06-29T14:24:00Z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