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331429" w:rsidRPr="00F8131D" w14:paraId="37FB5C1D" w14:textId="77777777">
        <w:trPr>
          <w:tblCellSpacing w:w="15" w:type="dxa"/>
          <w:jc w:val="center"/>
        </w:trPr>
        <w:tc>
          <w:tcPr>
            <w:tcW w:w="0" w:type="auto"/>
            <w:hideMark/>
          </w:tcPr>
          <w:p w14:paraId="379DB37C" w14:textId="77777777" w:rsidR="00331429" w:rsidRPr="00F8131D" w:rsidRDefault="00331429" w:rsidP="00331429">
            <w:pPr>
              <w:rPr>
                <w:rFonts w:ascii="Arial" w:hAnsi="Arial" w:cs="Arial"/>
                <w:b/>
                <w:bCs/>
              </w:rPr>
            </w:pPr>
            <w:bookmarkStart w:id="0" w:name="_GoBack"/>
            <w:bookmarkEnd w:id="0"/>
            <w:r w:rsidRPr="00F8131D">
              <w:rPr>
                <w:rFonts w:ascii="Arial" w:hAnsi="Arial" w:cs="Arial"/>
                <w:b/>
                <w:bCs/>
              </w:rPr>
              <w:t>e-CFR data is current as of June 25, 2018</w:t>
            </w:r>
          </w:p>
        </w:tc>
      </w:tr>
    </w:tbl>
    <w:p w14:paraId="410983A0" w14:textId="77777777" w:rsidR="00331429" w:rsidRPr="00F8131D" w:rsidRDefault="00331429" w:rsidP="00331429">
      <w:pPr>
        <w:rPr>
          <w:rFonts w:ascii="Arial" w:hAnsi="Arial" w:cs="Arial"/>
          <w:vanish/>
        </w:rPr>
      </w:pPr>
    </w:p>
    <w:p w14:paraId="250B68B8" w14:textId="77777777" w:rsidR="00331429" w:rsidRPr="00F8131D" w:rsidRDefault="00331429" w:rsidP="00331429">
      <w:pPr>
        <w:rPr>
          <w:rFonts w:ascii="Arial" w:hAnsi="Arial" w:cs="Arial"/>
        </w:rPr>
      </w:pPr>
      <w:r w:rsidRPr="00F8131D">
        <w:rPr>
          <w:rFonts w:ascii="Arial" w:hAnsi="Arial" w:cs="Arial"/>
        </w:rPr>
        <w:t xml:space="preserve">Title 18: Conservation of Power and Water Resources </w:t>
      </w:r>
      <w:r w:rsidRPr="00F8131D">
        <w:rPr>
          <w:rFonts w:ascii="Arial" w:hAnsi="Arial" w:cs="Arial"/>
        </w:rPr>
        <w:br/>
      </w:r>
      <w:hyperlink r:id="rId10" w:history="1">
        <w:r w:rsidRPr="00F8131D">
          <w:rPr>
            <w:rStyle w:val="Hyperlink"/>
            <w:rFonts w:ascii="Arial" w:hAnsi="Arial" w:cs="Arial"/>
          </w:rPr>
          <w:t>PART 260—STATEMENTS AND REPORTS (SCHEDULES)</w:t>
        </w:r>
      </w:hyperlink>
      <w:r w:rsidRPr="00F8131D">
        <w:rPr>
          <w:rFonts w:ascii="Arial" w:hAnsi="Arial" w:cs="Arial"/>
        </w:rPr>
        <w:t xml:space="preserve"> </w:t>
      </w:r>
    </w:p>
    <w:p w14:paraId="41BD1B48" w14:textId="77777777" w:rsidR="00331429" w:rsidRPr="00F8131D" w:rsidRDefault="00074D98" w:rsidP="00331429">
      <w:pPr>
        <w:rPr>
          <w:rFonts w:ascii="Arial" w:hAnsi="Arial" w:cs="Arial"/>
        </w:rPr>
      </w:pPr>
      <w:r>
        <w:rPr>
          <w:rFonts w:ascii="Arial" w:hAnsi="Arial" w:cs="Arial"/>
        </w:rPr>
        <w:pict w14:anchorId="1795AAEA">
          <v:rect id="_x0000_i1025" style="width:0;height:1.5pt" o:hralign="center" o:hrstd="t" o:hr="t" fillcolor="#a0a0a0" stroked="f"/>
        </w:pict>
      </w:r>
    </w:p>
    <w:p w14:paraId="0ECC7B17" w14:textId="77777777" w:rsidR="00331429" w:rsidRPr="00F8131D" w:rsidRDefault="00331429" w:rsidP="00331429">
      <w:pPr>
        <w:rPr>
          <w:rFonts w:ascii="Arial" w:hAnsi="Arial" w:cs="Arial"/>
          <w:b/>
          <w:bCs/>
        </w:rPr>
      </w:pPr>
      <w:bookmarkStart w:id="1" w:name="_top"/>
      <w:bookmarkEnd w:id="1"/>
      <w:r w:rsidRPr="00F8131D">
        <w:rPr>
          <w:rFonts w:ascii="Arial" w:hAnsi="Arial" w:cs="Arial"/>
          <w:b/>
          <w:bCs/>
        </w:rPr>
        <w:t>§260.401   FERC Form No. 552, Annual Report of Natural Gas Transactions.</w:t>
      </w:r>
    </w:p>
    <w:p w14:paraId="559AE457" w14:textId="77777777" w:rsidR="00331429" w:rsidRPr="00F8131D" w:rsidRDefault="00331429" w:rsidP="00331429">
      <w:pPr>
        <w:rPr>
          <w:rFonts w:ascii="Arial" w:hAnsi="Arial" w:cs="Arial"/>
        </w:rPr>
      </w:pPr>
      <w:r w:rsidRPr="00F8131D">
        <w:rPr>
          <w:rFonts w:ascii="Arial" w:hAnsi="Arial" w:cs="Arial"/>
        </w:rPr>
        <w:t xml:space="preserve">(a) </w:t>
      </w:r>
      <w:r w:rsidRPr="00F8131D">
        <w:rPr>
          <w:rFonts w:ascii="Arial" w:hAnsi="Arial" w:cs="Arial"/>
          <w:i/>
          <w:iCs/>
        </w:rPr>
        <w:t>Prescription.</w:t>
      </w:r>
      <w:r w:rsidRPr="00F8131D">
        <w:rPr>
          <w:rFonts w:ascii="Arial" w:hAnsi="Arial" w:cs="Arial"/>
        </w:rPr>
        <w:t xml:space="preserve"> The annual report for natural gas market participants, designated as FERC Form No. 552, is prescribed for the calendar year ending December 31, 2008 and each calendar year thereafter.</w:t>
      </w:r>
    </w:p>
    <w:p w14:paraId="3236C648" w14:textId="77777777" w:rsidR="00331429" w:rsidRPr="00F8131D" w:rsidRDefault="00331429" w:rsidP="00331429">
      <w:pPr>
        <w:rPr>
          <w:rFonts w:ascii="Arial" w:hAnsi="Arial" w:cs="Arial"/>
        </w:rPr>
      </w:pPr>
      <w:r w:rsidRPr="00F8131D">
        <w:rPr>
          <w:rFonts w:ascii="Arial" w:hAnsi="Arial" w:cs="Arial"/>
        </w:rPr>
        <w:t xml:space="preserve">(b) </w:t>
      </w:r>
      <w:r w:rsidRPr="00F8131D">
        <w:rPr>
          <w:rFonts w:ascii="Arial" w:hAnsi="Arial" w:cs="Arial"/>
          <w:i/>
          <w:iCs/>
        </w:rPr>
        <w:t>Filing requirements</w:t>
      </w:r>
      <w:r w:rsidRPr="00F8131D">
        <w:rPr>
          <w:rFonts w:ascii="Arial" w:hAnsi="Arial" w:cs="Arial"/>
        </w:rPr>
        <w:t xml:space="preserve">—(1) </w:t>
      </w:r>
      <w:r w:rsidRPr="00F8131D">
        <w:rPr>
          <w:rFonts w:ascii="Arial" w:hAnsi="Arial" w:cs="Arial"/>
          <w:i/>
          <w:iCs/>
        </w:rPr>
        <w:t>Who must file.</w:t>
      </w:r>
      <w:r w:rsidRPr="00F8131D">
        <w:rPr>
          <w:rFonts w:ascii="Arial" w:hAnsi="Arial" w:cs="Arial"/>
        </w:rPr>
        <w:t xml:space="preserve"> Unless otherwise exempted or granted a waiver by Commission rule or order, each natural gas market participant, i.e., any buyer or seller that engaged in physical natural gas transactions the previous calendar year, must prepare and file with the Commission a FERC Form No. 552 pursuant to the definitions and general instructions set forth in that form. However a </w:t>
      </w:r>
      <w:r w:rsidRPr="00F8131D">
        <w:rPr>
          <w:rFonts w:ascii="Arial" w:hAnsi="Arial" w:cs="Arial"/>
          <w:i/>
          <w:iCs/>
        </w:rPr>
        <w:t>de minimis</w:t>
      </w:r>
      <w:r w:rsidRPr="00F8131D">
        <w:rPr>
          <w:rFonts w:ascii="Arial" w:hAnsi="Arial" w:cs="Arial"/>
        </w:rPr>
        <w:t xml:space="preserve"> exemption, a natural gas market participant is exempt from this filing requirement if:</w:t>
      </w:r>
    </w:p>
    <w:p w14:paraId="7A61887A" w14:textId="77777777" w:rsidR="00331429" w:rsidRPr="00F8131D" w:rsidRDefault="00331429" w:rsidP="00331429">
      <w:pPr>
        <w:rPr>
          <w:rFonts w:ascii="Arial" w:hAnsi="Arial" w:cs="Arial"/>
        </w:rPr>
      </w:pPr>
      <w:r w:rsidRPr="00F8131D">
        <w:rPr>
          <w:rFonts w:ascii="Arial" w:hAnsi="Arial" w:cs="Arial"/>
        </w:rPr>
        <w:t>(i) It engages in reportable physical natural gas sales that amount to less than 2,200,000 MMBtus for the previous calendar year; and</w:t>
      </w:r>
    </w:p>
    <w:p w14:paraId="0ABDA5BD" w14:textId="77777777" w:rsidR="00331429" w:rsidRPr="00F8131D" w:rsidRDefault="00331429" w:rsidP="00331429">
      <w:pPr>
        <w:rPr>
          <w:rFonts w:ascii="Arial" w:hAnsi="Arial" w:cs="Arial"/>
        </w:rPr>
      </w:pPr>
      <w:r w:rsidRPr="00F8131D">
        <w:rPr>
          <w:rFonts w:ascii="Arial" w:hAnsi="Arial" w:cs="Arial"/>
        </w:rPr>
        <w:t>(ii) It engages in reportable physical natural gas purchases that amount to less than 2,200,000 MMBtus for the previous calendar year.</w:t>
      </w:r>
    </w:p>
    <w:p w14:paraId="288BE90D" w14:textId="77777777" w:rsidR="00331429" w:rsidRPr="00F8131D" w:rsidRDefault="00331429" w:rsidP="00331429">
      <w:pPr>
        <w:rPr>
          <w:rFonts w:ascii="Arial" w:hAnsi="Arial" w:cs="Arial"/>
        </w:rPr>
      </w:pPr>
      <w:r w:rsidRPr="00F8131D">
        <w:rPr>
          <w:rFonts w:ascii="Arial" w:hAnsi="Arial" w:cs="Arial"/>
        </w:rPr>
        <w:t>(2) Form No. 552 must be filed as prescribed in §385.2011 of this chapter as indicated in the General Instructions set out in the annual reporting form, and must be properly completed and verified. Each market participant must file Form No. 552 by May 1, 2009 for calendar year 2008 and by May 1 of each year thereafter for the previous calendar year. Each report must be prepared in conformance with the Commission's software and guidance posted and available for downloading from the FERC Web site (</w:t>
      </w:r>
      <w:r w:rsidRPr="00F8131D">
        <w:rPr>
          <w:rFonts w:ascii="Arial" w:hAnsi="Arial" w:cs="Arial"/>
          <w:i/>
          <w:iCs/>
        </w:rPr>
        <w:t>http://www.ferc.gov</w:t>
      </w:r>
      <w:r w:rsidRPr="00F8131D">
        <w:rPr>
          <w:rFonts w:ascii="Arial" w:hAnsi="Arial" w:cs="Arial"/>
        </w:rPr>
        <w:t>). One copy of the report must be retained by the respondent in its files.</w:t>
      </w:r>
    </w:p>
    <w:p w14:paraId="1A7863B4" w14:textId="77777777" w:rsidR="00262E42" w:rsidRPr="00F8131D" w:rsidRDefault="00331429" w:rsidP="00331429">
      <w:pPr>
        <w:rPr>
          <w:rFonts w:ascii="Arial" w:hAnsi="Arial" w:cs="Arial"/>
        </w:rPr>
      </w:pPr>
      <w:r w:rsidRPr="00F8131D">
        <w:rPr>
          <w:rFonts w:ascii="Arial" w:hAnsi="Arial" w:cs="Arial"/>
        </w:rPr>
        <w:t>[73 FR 1031, Jan. 4, 2008, as amended at 73 FR 55739, Sept. 26, 2008; Order 704-C, 75 FR 35643, June 23, 2010]</w:t>
      </w:r>
    </w:p>
    <w:sectPr w:rsidR="00262E42" w:rsidRPr="00F81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29"/>
    <w:rsid w:val="00074D98"/>
    <w:rsid w:val="00262E42"/>
    <w:rsid w:val="00331429"/>
    <w:rsid w:val="00F81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4E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42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4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70772">
      <w:bodyDiv w:val="1"/>
      <w:marLeft w:val="0"/>
      <w:marRight w:val="0"/>
      <w:marTop w:val="30"/>
      <w:marBottom w:val="750"/>
      <w:divBdr>
        <w:top w:val="none" w:sz="0" w:space="0" w:color="auto"/>
        <w:left w:val="none" w:sz="0" w:space="0" w:color="auto"/>
        <w:bottom w:val="none" w:sz="0" w:space="0" w:color="auto"/>
        <w:right w:val="none" w:sz="0" w:space="0" w:color="auto"/>
      </w:divBdr>
      <w:divsChild>
        <w:div w:id="1457217413">
          <w:marLeft w:val="0"/>
          <w:marRight w:val="0"/>
          <w:marTop w:val="0"/>
          <w:marBottom w:val="0"/>
          <w:divBdr>
            <w:top w:val="none" w:sz="0" w:space="0" w:color="auto"/>
            <w:left w:val="none" w:sz="0" w:space="0" w:color="auto"/>
            <w:bottom w:val="none" w:sz="0" w:space="0" w:color="auto"/>
            <w:right w:val="none" w:sz="0" w:space="0" w:color="auto"/>
          </w:divBdr>
        </w:div>
      </w:divsChild>
    </w:div>
    <w:div w:id="1175532981">
      <w:bodyDiv w:val="1"/>
      <w:marLeft w:val="0"/>
      <w:marRight w:val="0"/>
      <w:marTop w:val="30"/>
      <w:marBottom w:val="750"/>
      <w:divBdr>
        <w:top w:val="none" w:sz="0" w:space="0" w:color="auto"/>
        <w:left w:val="none" w:sz="0" w:space="0" w:color="auto"/>
        <w:bottom w:val="none" w:sz="0" w:space="0" w:color="auto"/>
        <w:right w:val="none" w:sz="0" w:space="0" w:color="auto"/>
      </w:divBdr>
      <w:divsChild>
        <w:div w:id="136887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ecfr.gov/cgi-bin/retrieveECFR?gp=&amp;SID=de4dc247f6d726d09ef5c880fb883ffc&amp;mc=true&amp;n=pt18.1.260&amp;r=PART&amp;ty=HTM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552</_x0031__x002e__x0020_Collection_x0020_Number>
    <Date xmlns="d6eefc7d-9817-4fa6-84d5-3bc009be21b8">2018-06-27T00:00:00-04:00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A6FFE-2F0F-4AB4-8E0E-75F69E84E2F8}">
  <ds:schemaRefs>
    <ds:schemaRef ds:uri="Microsoft.SharePoint.Taxonomy.ContentTypeSync"/>
  </ds:schemaRefs>
</ds:datastoreItem>
</file>

<file path=customXml/itemProps2.xml><?xml version="1.0" encoding="utf-8"?>
<ds:datastoreItem xmlns:ds="http://schemas.openxmlformats.org/officeDocument/2006/customXml" ds:itemID="{CF7D41BA-BF5F-46BB-B193-08ADD628A597}">
  <ds:schemaRefs>
    <ds:schemaRef ds:uri="http://schemas.microsoft.com/office/2006/metadata/customXsn"/>
  </ds:schemaRefs>
</ds:datastoreItem>
</file>

<file path=customXml/itemProps3.xml><?xml version="1.0" encoding="utf-8"?>
<ds:datastoreItem xmlns:ds="http://schemas.openxmlformats.org/officeDocument/2006/customXml" ds:itemID="{E57E34B9-DAB2-4211-B028-1309216B1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017D2-A672-480C-8B29-49D287445174}">
  <ds:schemaRefs>
    <ds:schemaRef ds:uri="http://schemas.microsoft.com/office/2006/metadata/properties"/>
    <ds:schemaRef ds:uri="http://schemas.openxmlformats.org/package/2006/metadata/core-properties"/>
    <ds:schemaRef ds:uri="d6eefc7d-9817-4fa6-84d5-3bc009be21b8"/>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CF924CEA-7D78-47AC-A0AB-9549510FA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2018-06-27T13:42:00Z</dcterms:created>
  <dcterms:modified xsi:type="dcterms:W3CDTF">2018-06-27T13:42:00Z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