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A2" w:rsidRPr="00AE1565" w:rsidRDefault="00DC44A2" w:rsidP="00DC44A2">
      <w:pPr>
        <w:rPr>
          <w:rFonts w:ascii="Calibri" w:hAnsi="Calibri"/>
          <w:b/>
          <w:color w:val="000000"/>
        </w:rPr>
      </w:pPr>
      <w:bookmarkStart w:id="0" w:name="_GoBack"/>
      <w:bookmarkEnd w:id="0"/>
      <w:r w:rsidRPr="00AE1565">
        <w:rPr>
          <w:rFonts w:ascii="Calibri" w:hAnsi="Calibri"/>
          <w:b/>
          <w:color w:val="000000"/>
        </w:rPr>
        <w:t>B.  DESCRIPTIONS OF INFORMATION COLLECTION EMPLOYING STATISTICAL METHODS</w:t>
      </w:r>
    </w:p>
    <w:p w:rsidR="00DC44A2" w:rsidRDefault="00DC44A2" w:rsidP="00DC44A2">
      <w:pPr>
        <w:tabs>
          <w:tab w:val="left" w:pos="540"/>
          <w:tab w:val="left" w:pos="960"/>
          <w:tab w:val="left" w:pos="1320"/>
          <w:tab w:val="left" w:pos="2400"/>
        </w:tabs>
        <w:jc w:val="both"/>
        <w:rPr>
          <w:rFonts w:ascii="Calibri" w:hAnsi="Calibri"/>
          <w:b/>
          <w:color w:val="000000"/>
          <w:sz w:val="22"/>
          <w:szCs w:val="22"/>
        </w:rPr>
      </w:pPr>
    </w:p>
    <w:p w:rsidR="00DC44A2" w:rsidRPr="004808B4" w:rsidRDefault="00DC44A2" w:rsidP="00DC44A2">
      <w:pPr>
        <w:tabs>
          <w:tab w:val="left" w:pos="540"/>
          <w:tab w:val="left" w:pos="960"/>
          <w:tab w:val="left" w:pos="1320"/>
          <w:tab w:val="left" w:pos="2400"/>
        </w:tabs>
        <w:jc w:val="both"/>
        <w:rPr>
          <w:rFonts w:ascii="Calibri" w:hAnsi="Calibri"/>
          <w:color w:val="000000"/>
          <w:sz w:val="22"/>
          <w:szCs w:val="22"/>
        </w:rPr>
      </w:pPr>
      <w:r w:rsidRPr="004808B4">
        <w:rPr>
          <w:rFonts w:ascii="Calibri" w:hAnsi="Calibri"/>
          <w:sz w:val="22"/>
          <w:szCs w:val="22"/>
        </w:rPr>
        <w:t>The following paragraphs summarize the primary features of the sampling and statistical methods used to collect data and produce estimates for the IPP Export and Import series</w:t>
      </w:r>
      <w:r w:rsidRPr="004808B4">
        <w:rPr>
          <w:rFonts w:ascii="Calibri" w:hAnsi="Calibri"/>
          <w:color w:val="000000"/>
          <w:sz w:val="22"/>
          <w:szCs w:val="22"/>
        </w:rPr>
        <w:t xml:space="preserve">.  Additional technical details are provided in Chapter 15 of the BLS Handbook of Methods </w:t>
      </w:r>
      <w:hyperlink r:id="rId8" w:history="1">
        <w:r>
          <w:rPr>
            <w:rStyle w:val="Hyperlink"/>
            <w:rFonts w:ascii="Calibri" w:hAnsi="Calibri"/>
            <w:sz w:val="22"/>
            <w:szCs w:val="22"/>
          </w:rPr>
          <w:t>https://www.bls.gov/opub/hom/pdf/mxp-19970820.pdf</w:t>
        </w:r>
      </w:hyperlink>
      <w:r w:rsidRPr="004808B4">
        <w:rPr>
          <w:rFonts w:ascii="Calibri" w:hAnsi="Calibri"/>
          <w:color w:val="000000"/>
          <w:sz w:val="22"/>
          <w:szCs w:val="22"/>
        </w:rPr>
        <w:t xml:space="preserve"> and the Sampling and Index Construction Concepts papers, which are internal BLS reports and are available upon request.</w:t>
      </w:r>
    </w:p>
    <w:p w:rsidR="00DC44A2" w:rsidRDefault="00DC44A2" w:rsidP="00DC44A2">
      <w:pPr>
        <w:tabs>
          <w:tab w:val="left" w:pos="480"/>
          <w:tab w:val="left" w:pos="1320"/>
          <w:tab w:val="left" w:pos="2400"/>
        </w:tabs>
        <w:jc w:val="both"/>
        <w:rPr>
          <w:rFonts w:ascii="Calibri" w:hAnsi="Calibri" w:cs="Courier New"/>
          <w:color w:val="000000"/>
          <w:sz w:val="22"/>
          <w:szCs w:val="22"/>
        </w:rPr>
      </w:pPr>
    </w:p>
    <w:p w:rsidR="00DC44A2" w:rsidRDefault="00DC44A2" w:rsidP="00DC44A2">
      <w:pPr>
        <w:tabs>
          <w:tab w:val="left" w:pos="480"/>
          <w:tab w:val="left" w:pos="1320"/>
          <w:tab w:val="left" w:pos="2400"/>
        </w:tabs>
        <w:jc w:val="both"/>
        <w:rPr>
          <w:rFonts w:ascii="Calibri" w:hAnsi="Calibri"/>
          <w:b/>
        </w:rPr>
      </w:pPr>
      <w:r w:rsidRPr="0045587E">
        <w:rPr>
          <w:rFonts w:ascii="Calibri" w:hAnsi="Calibri"/>
          <w:b/>
        </w:rPr>
        <w:t>1.</w:t>
      </w:r>
      <w:r w:rsidRPr="0045587E">
        <w:rPr>
          <w:rFonts w:ascii="Calibri" w:hAnsi="Calibri"/>
          <w:b/>
        </w:rPr>
        <w:tab/>
        <w:t xml:space="preserve">Universe and </w:t>
      </w:r>
      <w:r>
        <w:rPr>
          <w:rFonts w:ascii="Calibri" w:hAnsi="Calibri"/>
          <w:b/>
        </w:rPr>
        <w:t>Sample</w:t>
      </w:r>
      <w:r w:rsidRPr="0045587E">
        <w:rPr>
          <w:rFonts w:ascii="Calibri" w:hAnsi="Calibri"/>
          <w:b/>
        </w:rPr>
        <w:t xml:space="preserve"> Size</w:t>
      </w:r>
    </w:p>
    <w:p w:rsidR="00DC44A2" w:rsidRPr="0045587E" w:rsidRDefault="00DC44A2" w:rsidP="00DC44A2">
      <w:pPr>
        <w:tabs>
          <w:tab w:val="left" w:pos="480"/>
          <w:tab w:val="left" w:pos="1320"/>
          <w:tab w:val="left" w:pos="2400"/>
        </w:tabs>
        <w:jc w:val="both"/>
        <w:rPr>
          <w:rFonts w:ascii="Calibri" w:hAnsi="Calibri"/>
          <w:b/>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The target universe of the import and export price indexes consists of all goods and services sold by U.S. residents to foreign buyers (exports) and purchased from abroad by U.S. residents (imports).  However, items for which it is difficult to obtain consistent time series for comparable products (such as works of art) are excluded, as are goods purchased specifically for military use.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The import and export price indexes are calculated from prices submitted on a monthly basis by sampled establishments that agree to participate in the IPP’s Import/Export Price Index Survey at initiation. Thus, the IPP collects data from sampled establishments at i</w:t>
      </w:r>
      <w:r>
        <w:rPr>
          <w:rFonts w:ascii="Calibri" w:hAnsi="Calibri"/>
          <w:sz w:val="22"/>
          <w:szCs w:val="22"/>
        </w:rPr>
        <w:t>nitiation and during monthly re</w:t>
      </w:r>
      <w:r w:rsidRPr="00557717">
        <w:rPr>
          <w:rFonts w:ascii="Calibri" w:hAnsi="Calibri"/>
          <w:sz w:val="22"/>
          <w:szCs w:val="22"/>
        </w:rPr>
        <w:t xml:space="preserve">pricing.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In the following, the unweighted </w:t>
      </w:r>
      <w:r>
        <w:rPr>
          <w:rFonts w:ascii="Calibri" w:hAnsi="Calibri"/>
          <w:sz w:val="22"/>
          <w:szCs w:val="22"/>
        </w:rPr>
        <w:t xml:space="preserve">quote </w:t>
      </w:r>
      <w:r w:rsidRPr="00557717">
        <w:rPr>
          <w:rFonts w:ascii="Calibri" w:hAnsi="Calibri"/>
          <w:sz w:val="22"/>
          <w:szCs w:val="22"/>
        </w:rPr>
        <w:t xml:space="preserve">response rates are </w:t>
      </w:r>
      <w:r>
        <w:rPr>
          <w:rFonts w:ascii="Calibri" w:hAnsi="Calibri"/>
          <w:sz w:val="22"/>
          <w:szCs w:val="22"/>
        </w:rPr>
        <w:t>presented for initiation and re</w:t>
      </w:r>
      <w:r w:rsidRPr="00557717">
        <w:rPr>
          <w:rFonts w:ascii="Calibri" w:hAnsi="Calibri"/>
          <w:sz w:val="22"/>
          <w:szCs w:val="22"/>
        </w:rPr>
        <w:t xml:space="preserve">pricing.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w:t>
      </w:r>
      <w:r>
        <w:rPr>
          <w:rFonts w:ascii="Calibri" w:hAnsi="Calibri"/>
          <w:color w:val="000000"/>
          <w:sz w:val="22"/>
          <w:szCs w:val="22"/>
        </w:rPr>
        <w:t xml:space="preserve">establishment </w:t>
      </w:r>
      <w:r w:rsidRPr="00557717">
        <w:rPr>
          <w:rFonts w:ascii="Calibri" w:hAnsi="Calibri"/>
          <w:color w:val="000000"/>
          <w:sz w:val="22"/>
          <w:szCs w:val="22"/>
        </w:rPr>
        <w:t xml:space="preserve">quote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Pr="00557717" w:rsidRDefault="00DC44A2" w:rsidP="00DC44A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position w:val="-76"/>
          <w:sz w:val="22"/>
          <w:szCs w:val="22"/>
        </w:rPr>
        <w:object w:dxaOrig="47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81.75pt" o:ole="">
            <v:imagedata r:id="rId9" o:title=""/>
          </v:shape>
          <o:OLEObject Type="Embed" ProgID="Equation.3" ShapeID="_x0000_i1025" DrawAspect="Content" ObjectID="_1597728493" r:id="rId10"/>
        </w:objec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Pr="00AE1565" w:rsidRDefault="00DC44A2" w:rsidP="00DC44A2">
      <w:pPr>
        <w:tabs>
          <w:tab w:val="left" w:pos="480"/>
          <w:tab w:val="left" w:pos="960"/>
          <w:tab w:val="left" w:pos="1320"/>
          <w:tab w:val="left" w:pos="2400"/>
        </w:tabs>
        <w:ind w:left="576"/>
        <w:jc w:val="both"/>
        <w:rPr>
          <w:rFonts w:ascii="Calibri" w:hAnsi="Calibri"/>
          <w:b/>
          <w:color w:val="000000"/>
          <w:sz w:val="22"/>
          <w:szCs w:val="22"/>
        </w:rPr>
      </w:pPr>
      <w:r w:rsidRPr="00AE1565">
        <w:rPr>
          <w:rFonts w:ascii="Calibri" w:hAnsi="Calibri"/>
          <w:b/>
          <w:color w:val="000000"/>
          <w:sz w:val="22"/>
          <w:szCs w:val="22"/>
        </w:rPr>
        <w:t>where:</w:t>
      </w:r>
    </w:p>
    <w:p w:rsidR="00DC44A2"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COOP = the number </w:t>
      </w:r>
      <w:r>
        <w:rPr>
          <w:rFonts w:ascii="Calibri" w:hAnsi="Calibri"/>
          <w:color w:val="000000"/>
          <w:sz w:val="22"/>
          <w:szCs w:val="22"/>
        </w:rPr>
        <w:t xml:space="preserve">of </w:t>
      </w:r>
      <w:r w:rsidRPr="00557717">
        <w:rPr>
          <w:rFonts w:ascii="Calibri" w:hAnsi="Calibri"/>
          <w:color w:val="000000"/>
          <w:sz w:val="22"/>
          <w:szCs w:val="22"/>
        </w:rPr>
        <w:t>cooperative quotes;</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quotes coded as refusals;</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OOS = the number of out-of-scope quotes; and</w:t>
      </w:r>
    </w:p>
    <w:p w:rsidR="00DC44A2"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w:t>
      </w:r>
      <w:r>
        <w:rPr>
          <w:rFonts w:ascii="Calibri" w:hAnsi="Calibri"/>
          <w:color w:val="000000"/>
          <w:sz w:val="22"/>
          <w:szCs w:val="22"/>
        </w:rPr>
        <w:t>mber of out-of-business quotes</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557717" w:rsidRDefault="00DC44A2" w:rsidP="00DC44A2">
      <w:pPr>
        <w:tabs>
          <w:tab w:val="left" w:pos="480"/>
          <w:tab w:val="left" w:pos="960"/>
          <w:tab w:val="left" w:pos="1320"/>
          <w:tab w:val="left" w:pos="2400"/>
        </w:tabs>
        <w:jc w:val="both"/>
        <w:rPr>
          <w:rFonts w:ascii="Calibri" w:hAnsi="Calibri"/>
          <w:color w:val="000000"/>
          <w:sz w:val="22"/>
          <w:szCs w:val="22"/>
        </w:rPr>
      </w:pPr>
      <w:r w:rsidRPr="00557717">
        <w:rPr>
          <w:rFonts w:ascii="Calibri" w:hAnsi="Calibri"/>
          <w:sz w:val="22"/>
          <w:szCs w:val="22"/>
        </w:rPr>
        <w:t xml:space="preserve">The </w:t>
      </w:r>
      <w:r w:rsidRPr="00557717">
        <w:rPr>
          <w:rFonts w:ascii="Calibri" w:hAnsi="Calibri"/>
          <w:color w:val="000000"/>
          <w:sz w:val="22"/>
          <w:szCs w:val="22"/>
        </w:rPr>
        <w:t xml:space="preserve">unweighted establishment response rate and </w:t>
      </w:r>
      <w:r>
        <w:rPr>
          <w:rFonts w:ascii="Calibri" w:hAnsi="Calibri"/>
          <w:color w:val="000000"/>
          <w:sz w:val="22"/>
          <w:szCs w:val="22"/>
        </w:rPr>
        <w:t>frame</w:t>
      </w:r>
      <w:r w:rsidRPr="00557717">
        <w:rPr>
          <w:rFonts w:ascii="Calibri" w:hAnsi="Calibri"/>
          <w:color w:val="000000"/>
          <w:sz w:val="22"/>
          <w:szCs w:val="22"/>
        </w:rPr>
        <w:t xml:space="preserve"> error rate are equal to:</w:t>
      </w:r>
    </w:p>
    <w:p w:rsidR="00DC44A2" w:rsidRPr="00A42AE1" w:rsidRDefault="00DC44A2" w:rsidP="00DC44A2">
      <w:pPr>
        <w:tabs>
          <w:tab w:val="left" w:pos="480"/>
          <w:tab w:val="left" w:pos="960"/>
          <w:tab w:val="left" w:pos="1320"/>
          <w:tab w:val="left" w:pos="2400"/>
        </w:tabs>
        <w:ind w:left="576"/>
        <w:jc w:val="center"/>
        <w:rPr>
          <w:rFonts w:ascii="Calibri" w:hAnsi="Calibri"/>
          <w:color w:val="000000"/>
          <w:sz w:val="22"/>
          <w:szCs w:val="22"/>
        </w:rPr>
      </w:pPr>
      <w:r w:rsidRPr="00E134EB">
        <w:rPr>
          <w:rFonts w:ascii="Calibri" w:hAnsi="Calibri"/>
          <w:color w:val="000000"/>
          <w:position w:val="-76"/>
          <w:sz w:val="22"/>
          <w:szCs w:val="22"/>
        </w:rPr>
        <w:object w:dxaOrig="4760" w:dyaOrig="1640">
          <v:shape id="_x0000_i1026" type="#_x0000_t75" style="width:238.5pt;height:81.75pt" o:ole="">
            <v:imagedata r:id="rId11" o:title=""/>
          </v:shape>
          <o:OLEObject Type="Embed" ProgID="Equation.3" ShapeID="_x0000_i1026" DrawAspect="Content" ObjectID="_1597728494" r:id="rId12"/>
        </w:object>
      </w:r>
      <w:r w:rsidRPr="00A42AE1">
        <w:rPr>
          <w:rFonts w:ascii="Calibri" w:hAnsi="Calibri"/>
          <w:color w:val="000000"/>
          <w:sz w:val="22"/>
          <w:szCs w:val="22"/>
        </w:rPr>
        <w:t xml:space="preserve"> </w:t>
      </w:r>
    </w:p>
    <w:p w:rsidR="00DC44A2" w:rsidRPr="00557717" w:rsidRDefault="00DC44A2" w:rsidP="00DC44A2">
      <w:pPr>
        <w:tabs>
          <w:tab w:val="left" w:pos="480"/>
          <w:tab w:val="left" w:pos="960"/>
          <w:tab w:val="left" w:pos="1320"/>
          <w:tab w:val="left" w:pos="2400"/>
        </w:tabs>
        <w:ind w:left="576"/>
        <w:jc w:val="center"/>
        <w:rPr>
          <w:rFonts w:ascii="Calibri" w:hAnsi="Calibri"/>
          <w:color w:val="000000"/>
          <w:sz w:val="22"/>
          <w:szCs w:val="22"/>
        </w:rPr>
      </w:pPr>
      <w:r w:rsidRPr="00557717">
        <w:rPr>
          <w:rFonts w:ascii="Calibri" w:hAnsi="Calibri"/>
          <w:color w:val="000000"/>
          <w:sz w:val="22"/>
          <w:szCs w:val="22"/>
        </w:rPr>
        <w:t xml:space="preserve"> </w:t>
      </w:r>
    </w:p>
    <w:p w:rsidR="00DC44A2" w:rsidRPr="00557717" w:rsidRDefault="00DC44A2" w:rsidP="00DC44A2">
      <w:pPr>
        <w:tabs>
          <w:tab w:val="left" w:pos="480"/>
          <w:tab w:val="left" w:pos="960"/>
          <w:tab w:val="left" w:pos="1320"/>
          <w:tab w:val="left" w:pos="2400"/>
        </w:tabs>
        <w:ind w:left="576"/>
        <w:jc w:val="center"/>
        <w:rPr>
          <w:rFonts w:ascii="Calibri" w:hAnsi="Calibri"/>
          <w:color w:val="000000"/>
          <w:sz w:val="22"/>
          <w:szCs w:val="22"/>
        </w:rPr>
      </w:pPr>
    </w:p>
    <w:p w:rsidR="00DC44A2" w:rsidRPr="00AE1565" w:rsidRDefault="00DC44A2" w:rsidP="00DC44A2">
      <w:pPr>
        <w:tabs>
          <w:tab w:val="left" w:pos="480"/>
          <w:tab w:val="left" w:pos="960"/>
          <w:tab w:val="left" w:pos="1320"/>
          <w:tab w:val="left" w:pos="2400"/>
        </w:tabs>
        <w:ind w:left="576"/>
        <w:jc w:val="both"/>
        <w:rPr>
          <w:rFonts w:ascii="Calibri" w:hAnsi="Calibri"/>
          <w:b/>
          <w:color w:val="000000"/>
          <w:sz w:val="22"/>
          <w:szCs w:val="22"/>
        </w:rPr>
      </w:pPr>
      <w:r w:rsidRPr="00AE1565">
        <w:rPr>
          <w:rFonts w:ascii="Calibri" w:hAnsi="Calibri"/>
          <w:b/>
          <w:color w:val="000000"/>
          <w:sz w:val="22"/>
          <w:szCs w:val="22"/>
        </w:rPr>
        <w:t>where:</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COOP = the number of establishments with at least one cooperative quote;</w:t>
      </w:r>
    </w:p>
    <w:p w:rsidR="00DC44A2"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REF = the number of establishments with no cooperative quotes and at least one quote</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coded as a refusal;</w:t>
      </w:r>
    </w:p>
    <w:p w:rsidR="00DC44A2"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OOS = the number of establishments with no quotes coded as cooperative or as refusals</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sidRPr="00557717">
        <w:rPr>
          <w:rFonts w:ascii="Calibri" w:hAnsi="Calibri"/>
          <w:color w:val="000000"/>
          <w:sz w:val="22"/>
          <w:szCs w:val="22"/>
        </w:rPr>
        <w:t xml:space="preserve"> </w:t>
      </w:r>
      <w:r>
        <w:rPr>
          <w:rFonts w:ascii="Calibri" w:hAnsi="Calibri"/>
          <w:color w:val="000000"/>
          <w:sz w:val="22"/>
          <w:szCs w:val="22"/>
        </w:rPr>
        <w:t xml:space="preserve">              </w:t>
      </w:r>
      <w:r w:rsidRPr="00557717">
        <w:rPr>
          <w:rFonts w:ascii="Calibri" w:hAnsi="Calibri"/>
          <w:color w:val="000000"/>
          <w:sz w:val="22"/>
          <w:szCs w:val="22"/>
        </w:rPr>
        <w:t>and with at least one quote coded as out-of-scope; and</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r>
        <w:rPr>
          <w:rFonts w:ascii="Calibri" w:hAnsi="Calibri"/>
          <w:color w:val="000000"/>
          <w:sz w:val="22"/>
          <w:szCs w:val="22"/>
        </w:rPr>
        <w:t xml:space="preserve">  </w:t>
      </w:r>
      <w:r w:rsidRPr="00557717">
        <w:rPr>
          <w:rFonts w:ascii="Calibri" w:hAnsi="Calibri"/>
          <w:color w:val="000000"/>
          <w:sz w:val="22"/>
          <w:szCs w:val="22"/>
        </w:rPr>
        <w:t>OOB = the number of establishments with all quotes coded as out-of-business</w:t>
      </w:r>
    </w:p>
    <w:p w:rsidR="00DC44A2" w:rsidRPr="00557717"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Default="00DC44A2" w:rsidP="00DC44A2">
      <w:pPr>
        <w:tabs>
          <w:tab w:val="left" w:pos="480"/>
          <w:tab w:val="left" w:pos="960"/>
          <w:tab w:val="left" w:pos="1320"/>
          <w:tab w:val="left" w:pos="2400"/>
        </w:tabs>
        <w:jc w:val="both"/>
        <w:rPr>
          <w:rFonts w:ascii="Calibri" w:hAnsi="Calibri"/>
          <w:b/>
          <w:caps/>
          <w:sz w:val="22"/>
          <w:szCs w:val="22"/>
        </w:rPr>
      </w:pPr>
      <w:r>
        <w:rPr>
          <w:rFonts w:ascii="Calibri" w:hAnsi="Calibri"/>
          <w:b/>
          <w:caps/>
          <w:color w:val="000080"/>
          <w:sz w:val="22"/>
          <w:szCs w:val="22"/>
        </w:rPr>
        <w:t xml:space="preserve">                                                                             </w:t>
      </w:r>
      <w:r w:rsidRPr="00FB3525">
        <w:rPr>
          <w:rFonts w:ascii="Calibri" w:hAnsi="Calibri"/>
          <w:b/>
          <w:caps/>
          <w:sz w:val="22"/>
          <w:szCs w:val="22"/>
          <w:highlight w:val="lightGray"/>
        </w:rPr>
        <w:t>EXPORTS</w:t>
      </w:r>
    </w:p>
    <w:p w:rsidR="00DC44A2" w:rsidRPr="00FB3525" w:rsidRDefault="00DC44A2" w:rsidP="00DC44A2">
      <w:pPr>
        <w:tabs>
          <w:tab w:val="left" w:pos="480"/>
          <w:tab w:val="left" w:pos="960"/>
          <w:tab w:val="left" w:pos="1320"/>
          <w:tab w:val="left" w:pos="2400"/>
        </w:tabs>
        <w:jc w:val="both"/>
        <w:rPr>
          <w:rFonts w:ascii="Calibri" w:hAnsi="Calibri"/>
          <w:b/>
          <w:caps/>
          <w:sz w:val="22"/>
          <w:szCs w:val="22"/>
        </w:rPr>
      </w:pPr>
    </w:p>
    <w:p w:rsidR="00DC44A2" w:rsidRPr="00557717"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To meet the demanding requirements of the IPP in the environment of the constantly changing composition of international trade requires </w:t>
      </w:r>
      <w:r>
        <w:rPr>
          <w:rFonts w:ascii="Calibri" w:hAnsi="Calibri"/>
          <w:sz w:val="22"/>
          <w:szCs w:val="22"/>
        </w:rPr>
        <w:t xml:space="preserve">thoughtful </w:t>
      </w:r>
      <w:r w:rsidRPr="00557717">
        <w:rPr>
          <w:rFonts w:ascii="Calibri" w:hAnsi="Calibri"/>
          <w:sz w:val="22"/>
          <w:szCs w:val="22"/>
        </w:rPr>
        <w:t>statistical procedures.  The universe consists of the total set of export prices.  The number of establishments exporting products or services from the United States in</w:t>
      </w:r>
      <w:r>
        <w:rPr>
          <w:rFonts w:ascii="Calibri" w:hAnsi="Calibri"/>
          <w:sz w:val="22"/>
          <w:szCs w:val="22"/>
        </w:rPr>
        <w:t xml:space="preserve"> the</w:t>
      </w:r>
      <w:r w:rsidRPr="00557717">
        <w:rPr>
          <w:rFonts w:ascii="Calibri" w:hAnsi="Calibri"/>
          <w:sz w:val="22"/>
          <w:szCs w:val="22"/>
        </w:rPr>
        <w:t xml:space="preserve"> universe is approximately 5</w:t>
      </w:r>
      <w:r>
        <w:rPr>
          <w:rFonts w:ascii="Calibri" w:hAnsi="Calibri"/>
          <w:sz w:val="22"/>
          <w:szCs w:val="22"/>
        </w:rPr>
        <w:t>0</w:t>
      </w:r>
      <w:r w:rsidRPr="00557717">
        <w:rPr>
          <w:rFonts w:ascii="Calibri" w:hAnsi="Calibri"/>
          <w:sz w:val="22"/>
          <w:szCs w:val="22"/>
        </w:rPr>
        <w:t>0,0</w:t>
      </w:r>
      <w:r>
        <w:rPr>
          <w:rFonts w:ascii="Calibri" w:hAnsi="Calibri"/>
          <w:sz w:val="22"/>
          <w:szCs w:val="22"/>
        </w:rPr>
        <w:t xml:space="preserve">00. </w:t>
      </w:r>
      <w:r w:rsidRPr="00557717">
        <w:rPr>
          <w:rFonts w:ascii="Calibri" w:hAnsi="Calibri"/>
          <w:sz w:val="22"/>
          <w:szCs w:val="22"/>
        </w:rPr>
        <w:t>In 20</w:t>
      </w:r>
      <w:r>
        <w:rPr>
          <w:rFonts w:ascii="Calibri" w:hAnsi="Calibri"/>
          <w:sz w:val="22"/>
          <w:szCs w:val="22"/>
        </w:rPr>
        <w:t>18</w:t>
      </w:r>
      <w:r w:rsidRPr="00557717">
        <w:rPr>
          <w:rFonts w:ascii="Calibri" w:hAnsi="Calibri"/>
          <w:sz w:val="22"/>
          <w:szCs w:val="22"/>
        </w:rPr>
        <w:t xml:space="preserve">, the overall sample for ongoing repricing of exports for the IPP is approximately </w:t>
      </w:r>
      <w:r>
        <w:rPr>
          <w:rFonts w:ascii="Calibri" w:hAnsi="Calibri"/>
          <w:sz w:val="22"/>
          <w:szCs w:val="22"/>
        </w:rPr>
        <w:t>1750</w:t>
      </w:r>
      <w:r w:rsidRPr="00557717">
        <w:rPr>
          <w:rFonts w:ascii="Calibri" w:hAnsi="Calibri"/>
          <w:sz w:val="22"/>
          <w:szCs w:val="22"/>
        </w:rPr>
        <w:t xml:space="preserve"> exporters with </w:t>
      </w:r>
      <w:r>
        <w:rPr>
          <w:rFonts w:ascii="Calibri" w:hAnsi="Calibri"/>
          <w:sz w:val="22"/>
          <w:szCs w:val="22"/>
        </w:rPr>
        <w:t>16,275 annual prices/responses</w:t>
      </w:r>
      <w:r w:rsidRPr="00557717">
        <w:rPr>
          <w:rFonts w:ascii="Calibri" w:hAnsi="Calibri"/>
          <w:sz w:val="22"/>
          <w:szCs w:val="22"/>
        </w:rPr>
        <w:t xml:space="preserve">. Approximately </w:t>
      </w:r>
      <w:r>
        <w:rPr>
          <w:rFonts w:ascii="Calibri" w:hAnsi="Calibri"/>
          <w:sz w:val="22"/>
          <w:szCs w:val="22"/>
        </w:rPr>
        <w:t>9.3</w:t>
      </w:r>
      <w:r w:rsidRPr="00557717">
        <w:rPr>
          <w:rFonts w:ascii="Calibri" w:hAnsi="Calibri"/>
          <w:sz w:val="22"/>
          <w:szCs w:val="22"/>
        </w:rPr>
        <w:t xml:space="preserve"> </w:t>
      </w:r>
      <w:r>
        <w:rPr>
          <w:rFonts w:ascii="Calibri" w:hAnsi="Calibri"/>
          <w:sz w:val="22"/>
          <w:szCs w:val="22"/>
        </w:rPr>
        <w:t>quote</w:t>
      </w:r>
      <w:r w:rsidRPr="00557717">
        <w:rPr>
          <w:rFonts w:ascii="Calibri" w:hAnsi="Calibri"/>
          <w:sz w:val="22"/>
          <w:szCs w:val="22"/>
        </w:rPr>
        <w:t xml:space="preserve"> prices are sampled within each exporter with a resultant average of </w:t>
      </w:r>
      <w:r>
        <w:rPr>
          <w:rFonts w:ascii="Calibri" w:hAnsi="Calibri"/>
          <w:sz w:val="22"/>
          <w:szCs w:val="22"/>
        </w:rPr>
        <w:t xml:space="preserve">5.5 </w:t>
      </w:r>
      <w:r w:rsidRPr="00557717">
        <w:rPr>
          <w:rFonts w:ascii="Calibri" w:hAnsi="Calibri"/>
          <w:sz w:val="22"/>
          <w:szCs w:val="22"/>
        </w:rPr>
        <w:t xml:space="preserve">prices collected </w:t>
      </w:r>
      <w:r>
        <w:rPr>
          <w:rFonts w:ascii="Calibri" w:hAnsi="Calibri"/>
          <w:sz w:val="22"/>
          <w:szCs w:val="22"/>
        </w:rPr>
        <w:t xml:space="preserve">from each responding exporter. </w:t>
      </w:r>
      <w:r w:rsidRPr="00557717">
        <w:rPr>
          <w:rFonts w:ascii="Calibri" w:hAnsi="Calibri"/>
          <w:sz w:val="22"/>
          <w:szCs w:val="22"/>
        </w:rPr>
        <w:t xml:space="preserve">There are approximately 150 product category </w:t>
      </w:r>
      <w:r>
        <w:rPr>
          <w:rFonts w:ascii="Calibri" w:hAnsi="Calibri"/>
          <w:sz w:val="22"/>
          <w:szCs w:val="22"/>
        </w:rPr>
        <w:t>strata</w:t>
      </w:r>
      <w:r>
        <w:rPr>
          <w:rStyle w:val="FootnoteReference"/>
          <w:rFonts w:ascii="Calibri" w:hAnsi="Calibri"/>
          <w:sz w:val="22"/>
          <w:szCs w:val="22"/>
        </w:rPr>
        <w:footnoteReference w:id="1"/>
      </w:r>
      <w:r>
        <w:rPr>
          <w:rFonts w:ascii="Calibri" w:hAnsi="Calibri"/>
          <w:sz w:val="22"/>
          <w:szCs w:val="22"/>
        </w:rPr>
        <w:t xml:space="preserve"> </w:t>
      </w:r>
      <w:r w:rsidRPr="00557717">
        <w:rPr>
          <w:rFonts w:ascii="Calibri" w:hAnsi="Calibri"/>
          <w:sz w:val="22"/>
          <w:szCs w:val="22"/>
        </w:rPr>
        <w:t>in the export sample design.</w:t>
      </w:r>
    </w:p>
    <w:p w:rsidR="00DC44A2" w:rsidRDefault="00DC44A2" w:rsidP="00DC44A2">
      <w:pPr>
        <w:tabs>
          <w:tab w:val="left" w:pos="480"/>
          <w:tab w:val="left" w:pos="1320"/>
          <w:tab w:val="left" w:pos="2400"/>
        </w:tabs>
        <w:jc w:val="both"/>
        <w:rPr>
          <w:rFonts w:ascii="Calibri" w:hAnsi="Calibri"/>
          <w:b/>
          <w:sz w:val="22"/>
          <w:szCs w:val="22"/>
          <w:u w:val="single"/>
        </w:rPr>
      </w:pPr>
    </w:p>
    <w:p w:rsidR="00DC44A2" w:rsidRDefault="00DC44A2" w:rsidP="00DC44A2">
      <w:pPr>
        <w:tabs>
          <w:tab w:val="left" w:pos="48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at Initiation</w:t>
      </w:r>
    </w:p>
    <w:p w:rsidR="00DC44A2" w:rsidRDefault="00DC44A2" w:rsidP="00DC44A2">
      <w:pPr>
        <w:tabs>
          <w:tab w:val="left" w:pos="480"/>
          <w:tab w:val="left" w:pos="1320"/>
          <w:tab w:val="left" w:pos="2400"/>
        </w:tabs>
        <w:jc w:val="both"/>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This section summarizes IPP response rates at initiation for the last two export samples, at both the quote level and at the establishment level.</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1320"/>
          <w:tab w:val="left" w:pos="2400"/>
        </w:tabs>
        <w:jc w:val="center"/>
        <w:rPr>
          <w:rFonts w:ascii="Calibri" w:hAnsi="Calibri"/>
          <w:b/>
          <w:sz w:val="22"/>
          <w:szCs w:val="22"/>
        </w:rPr>
      </w:pPr>
      <w:r>
        <w:rPr>
          <w:rFonts w:ascii="Calibri" w:hAnsi="Calibri"/>
          <w:b/>
          <w:sz w:val="22"/>
          <w:szCs w:val="22"/>
        </w:rPr>
        <w:t>Table 1</w:t>
      </w:r>
    </w:p>
    <w:tbl>
      <w:tblPr>
        <w:tblW w:w="4514" w:type="dxa"/>
        <w:jc w:val="center"/>
        <w:tblLook w:val="0000" w:firstRow="0" w:lastRow="0" w:firstColumn="0" w:lastColumn="0" w:noHBand="0" w:noVBand="0"/>
      </w:tblPr>
      <w:tblGrid>
        <w:gridCol w:w="1537"/>
        <w:gridCol w:w="960"/>
        <w:gridCol w:w="960"/>
        <w:gridCol w:w="1057"/>
      </w:tblGrid>
      <w:tr w:rsidR="00DC44A2" w:rsidRPr="00557717" w:rsidTr="003717FA">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Unweighted Response Rate at Quote Level</w:t>
            </w:r>
          </w:p>
        </w:tc>
      </w:tr>
      <w:tr w:rsidR="00DC44A2" w:rsidRPr="00557717" w:rsidTr="003717FA">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655351" w:rsidRDefault="00DC44A2" w:rsidP="003717FA">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center"/>
              <w:rPr>
                <w:rFonts w:ascii="Calibri" w:hAnsi="Calibri"/>
                <w:b/>
                <w:sz w:val="22"/>
                <w:szCs w:val="22"/>
              </w:rPr>
            </w:pPr>
            <w:r w:rsidRPr="00655351">
              <w:rPr>
                <w:rFonts w:ascii="Calibri" w:hAnsi="Calibri"/>
                <w:b/>
                <w:sz w:val="22"/>
                <w:szCs w:val="22"/>
              </w:rPr>
              <w:t>X</w:t>
            </w:r>
            <w:r>
              <w:rPr>
                <w:rFonts w:ascii="Calibri" w:hAnsi="Calibri"/>
                <w:b/>
                <w:sz w:val="22"/>
                <w:szCs w:val="22"/>
              </w:rPr>
              <w:t>40</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center"/>
              <w:rPr>
                <w:rFonts w:ascii="Calibri" w:hAnsi="Calibri"/>
                <w:b/>
                <w:sz w:val="22"/>
                <w:szCs w:val="22"/>
              </w:rPr>
            </w:pPr>
            <w:r w:rsidRPr="00655351">
              <w:rPr>
                <w:rFonts w:ascii="Calibri" w:hAnsi="Calibri"/>
                <w:b/>
                <w:sz w:val="22"/>
                <w:szCs w:val="22"/>
              </w:rPr>
              <w:t>X</w:t>
            </w:r>
            <w:r>
              <w:rPr>
                <w:rFonts w:ascii="Calibri" w:hAnsi="Calibri"/>
                <w:b/>
                <w:sz w:val="22"/>
                <w:szCs w:val="22"/>
              </w:rPr>
              <w:t>41</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center"/>
              <w:rPr>
                <w:rFonts w:ascii="Calibri" w:hAnsi="Calibri"/>
                <w:b/>
                <w:sz w:val="22"/>
                <w:szCs w:val="22"/>
              </w:rPr>
            </w:pPr>
            <w:r w:rsidRPr="00655351">
              <w:rPr>
                <w:rFonts w:ascii="Calibri" w:hAnsi="Calibri"/>
                <w:b/>
                <w:sz w:val="22"/>
                <w:szCs w:val="22"/>
              </w:rPr>
              <w:t>Overall</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58.1</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62.6</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60.1</w:t>
            </w:r>
            <w:r w:rsidRPr="00557717">
              <w:rPr>
                <w:rFonts w:ascii="Calibri" w:hAnsi="Calibri"/>
                <w:sz w:val="22"/>
                <w:szCs w:val="22"/>
              </w:rPr>
              <w:t>%</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41.9</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37.4</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39.9</w:t>
            </w:r>
            <w:r w:rsidRPr="00557717">
              <w:rPr>
                <w:rFonts w:ascii="Calibri" w:hAnsi="Calibri"/>
                <w:sz w:val="22"/>
                <w:szCs w:val="22"/>
              </w:rPr>
              <w:t>%</w:t>
            </w:r>
          </w:p>
        </w:tc>
      </w:tr>
    </w:tbl>
    <w:p w:rsidR="00DC44A2" w:rsidRPr="00557717" w:rsidRDefault="00DC44A2" w:rsidP="00DC44A2">
      <w:pPr>
        <w:tabs>
          <w:tab w:val="left" w:pos="480"/>
          <w:tab w:val="left" w:pos="1320"/>
          <w:tab w:val="left" w:pos="2400"/>
        </w:tabs>
        <w:ind w:left="576"/>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Table 1 presents unweighted quote response rates at initiation during the last two IPP export samples. The overall initiation response rate for both samples (combined) is approximately 60% excluding out-of-scope and out-of-business quotes.  (Quotes considered out-of-scope or out-of-business are not included in the above table as the rates displayed simply indicate whether or not the IPP obtained cooperation.) A</w:t>
      </w:r>
      <w:r w:rsidRPr="00557717">
        <w:rPr>
          <w:rFonts w:ascii="Calibri" w:hAnsi="Calibri"/>
          <w:sz w:val="22"/>
          <w:szCs w:val="22"/>
        </w:rPr>
        <w:t xml:space="preserve">pproximately </w:t>
      </w:r>
      <w:r>
        <w:rPr>
          <w:rFonts w:ascii="Calibri" w:hAnsi="Calibri"/>
          <w:sz w:val="22"/>
          <w:szCs w:val="22"/>
        </w:rPr>
        <w:t>28% of the sampled quotes were</w:t>
      </w:r>
      <w:r w:rsidRPr="00557717">
        <w:rPr>
          <w:rFonts w:ascii="Calibri" w:hAnsi="Calibri"/>
          <w:sz w:val="22"/>
          <w:szCs w:val="22"/>
        </w:rPr>
        <w:t xml:space="preserve"> either o</w:t>
      </w:r>
      <w:r>
        <w:rPr>
          <w:rFonts w:ascii="Calibri" w:hAnsi="Calibri"/>
          <w:sz w:val="22"/>
          <w:szCs w:val="22"/>
        </w:rPr>
        <w:t>ut</w:t>
      </w:r>
      <w:r>
        <w:rPr>
          <w:rFonts w:ascii="Calibri" w:hAnsi="Calibri"/>
          <w:sz w:val="22"/>
          <w:szCs w:val="22"/>
        </w:rPr>
        <w:noBreakHyphen/>
        <w:t>of</w:t>
      </w:r>
      <w:r>
        <w:rPr>
          <w:rFonts w:ascii="Calibri" w:hAnsi="Calibri"/>
          <w:sz w:val="22"/>
          <w:szCs w:val="22"/>
        </w:rPr>
        <w:noBreakHyphen/>
        <w:t>scope or out</w:t>
      </w:r>
      <w:r>
        <w:rPr>
          <w:rFonts w:ascii="Calibri" w:hAnsi="Calibri"/>
          <w:sz w:val="22"/>
          <w:szCs w:val="22"/>
        </w:rPr>
        <w:noBreakHyphen/>
        <w:t>of</w:t>
      </w:r>
      <w:r>
        <w:rPr>
          <w:rFonts w:ascii="Calibri" w:hAnsi="Calibri"/>
          <w:sz w:val="22"/>
          <w:szCs w:val="22"/>
        </w:rPr>
        <w:noBreakHyphen/>
        <w:t>business (as indicated in the following table).</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1320"/>
          <w:tab w:val="left" w:pos="2400"/>
        </w:tabs>
        <w:jc w:val="center"/>
        <w:rPr>
          <w:rFonts w:ascii="Calibri" w:hAnsi="Calibri"/>
          <w:b/>
          <w:sz w:val="22"/>
          <w:szCs w:val="22"/>
        </w:rPr>
      </w:pPr>
      <w:r>
        <w:rPr>
          <w:rFonts w:ascii="Calibri" w:hAnsi="Calibri"/>
          <w:b/>
          <w:sz w:val="22"/>
          <w:szCs w:val="22"/>
        </w:rPr>
        <w:t>Table 2</w:t>
      </w:r>
    </w:p>
    <w:tbl>
      <w:tblPr>
        <w:tblW w:w="6182" w:type="dxa"/>
        <w:jc w:val="center"/>
        <w:tblLook w:val="0000" w:firstRow="0" w:lastRow="0" w:firstColumn="0" w:lastColumn="0" w:noHBand="0" w:noVBand="0"/>
      </w:tblPr>
      <w:tblGrid>
        <w:gridCol w:w="1840"/>
        <w:gridCol w:w="747"/>
        <w:gridCol w:w="747"/>
        <w:gridCol w:w="1440"/>
        <w:gridCol w:w="1408"/>
      </w:tblGrid>
      <w:tr w:rsidR="00DC44A2" w:rsidRPr="00557717" w:rsidTr="003717FA">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Export Quote Counts</w:t>
            </w:r>
          </w:p>
        </w:tc>
      </w:tr>
      <w:tr w:rsidR="00DC44A2" w:rsidRPr="00557717" w:rsidTr="003717FA">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557717" w:rsidRDefault="00DC44A2" w:rsidP="003717FA">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X</w:t>
            </w:r>
            <w:r>
              <w:rPr>
                <w:rFonts w:ascii="Calibri" w:hAnsi="Calibri"/>
                <w:b/>
                <w:bCs/>
                <w:sz w:val="22"/>
                <w:szCs w:val="22"/>
              </w:rPr>
              <w:t>40</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X</w:t>
            </w:r>
            <w:r>
              <w:rPr>
                <w:rFonts w:ascii="Calibri" w:hAnsi="Calibri"/>
                <w:b/>
                <w:bCs/>
                <w:sz w:val="22"/>
                <w:szCs w:val="22"/>
              </w:rPr>
              <w:t>41</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rsidR="00DC44A2" w:rsidRPr="00557717" w:rsidRDefault="00DC44A2" w:rsidP="003717FA">
            <w:pPr>
              <w:jc w:val="right"/>
              <w:rPr>
                <w:rFonts w:ascii="Calibri" w:hAnsi="Calibri"/>
                <w:b/>
                <w:bCs/>
                <w:sz w:val="22"/>
                <w:szCs w:val="22"/>
              </w:rPr>
            </w:pPr>
            <w:r>
              <w:rPr>
                <w:rFonts w:ascii="Calibri" w:hAnsi="Calibri"/>
                <w:b/>
                <w:bCs/>
                <w:sz w:val="22"/>
                <w:szCs w:val="22"/>
              </w:rPr>
              <w:t>Percent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lastRenderedPageBreak/>
              <w:t>Cooperative</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3483</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3039</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6522</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43.5</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2511</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1816</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4327</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28.9</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108</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113</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221</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1.5</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1885</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2033</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3918</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26.1</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7987</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7001</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14988</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sidRPr="00E241DC">
              <w:rPr>
                <w:rFonts w:ascii="Calibri" w:hAnsi="Calibri"/>
                <w:bCs/>
                <w:sz w:val="22"/>
                <w:szCs w:val="22"/>
              </w:rPr>
              <w:t>100.0%</w:t>
            </w:r>
          </w:p>
        </w:tc>
      </w:tr>
    </w:tbl>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p>
    <w:p w:rsidR="00DC44A2" w:rsidRPr="00557717" w:rsidRDefault="00DC44A2" w:rsidP="00DC44A2">
      <w:pPr>
        <w:tabs>
          <w:tab w:val="left" w:pos="480"/>
          <w:tab w:val="left" w:pos="1320"/>
          <w:tab w:val="left" w:pos="2400"/>
        </w:tabs>
        <w:jc w:val="both"/>
        <w:rPr>
          <w:rFonts w:ascii="Calibri" w:hAnsi="Calibri"/>
          <w:sz w:val="22"/>
          <w:szCs w:val="22"/>
        </w:rPr>
      </w:pPr>
      <w:r>
        <w:rPr>
          <w:rFonts w:ascii="Calibri" w:hAnsi="Calibri"/>
          <w:sz w:val="22"/>
          <w:szCs w:val="22"/>
        </w:rPr>
        <w:t>Table 2 displays the</w:t>
      </w:r>
      <w:r w:rsidRPr="00557717">
        <w:rPr>
          <w:rFonts w:ascii="Calibri" w:hAnsi="Calibri"/>
          <w:sz w:val="22"/>
          <w:szCs w:val="22"/>
        </w:rPr>
        <w:t xml:space="preserve"> number of quotes from the </w:t>
      </w:r>
      <w:r>
        <w:rPr>
          <w:rFonts w:ascii="Calibri" w:hAnsi="Calibri"/>
          <w:sz w:val="22"/>
          <w:szCs w:val="22"/>
        </w:rPr>
        <w:t>last two IPP</w:t>
      </w:r>
      <w:r w:rsidRPr="00557717">
        <w:rPr>
          <w:rFonts w:ascii="Calibri" w:hAnsi="Calibri"/>
          <w:sz w:val="22"/>
          <w:szCs w:val="22"/>
        </w:rPr>
        <w:t xml:space="preserve"> export sam</w:t>
      </w:r>
      <w:r>
        <w:rPr>
          <w:rFonts w:ascii="Calibri" w:hAnsi="Calibri"/>
          <w:sz w:val="22"/>
          <w:szCs w:val="22"/>
        </w:rPr>
        <w:t xml:space="preserve">ples by initiation outcome code.  </w:t>
      </w:r>
      <w:r w:rsidRPr="00557717">
        <w:rPr>
          <w:rFonts w:ascii="Calibri" w:hAnsi="Calibri"/>
          <w:sz w:val="22"/>
          <w:szCs w:val="22"/>
        </w:rPr>
        <w:t xml:space="preserve">These numbers were used to calculate the unweighted response rates at the quote level.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960"/>
          <w:tab w:val="left" w:pos="1320"/>
          <w:tab w:val="left" w:pos="2400"/>
        </w:tabs>
        <w:jc w:val="center"/>
        <w:rPr>
          <w:rFonts w:ascii="Calibri" w:hAnsi="Calibri"/>
          <w:b/>
          <w:sz w:val="22"/>
          <w:szCs w:val="22"/>
        </w:rPr>
      </w:pPr>
      <w:r w:rsidRPr="00146E00">
        <w:rPr>
          <w:rFonts w:ascii="Calibri" w:hAnsi="Calibri"/>
          <w:b/>
          <w:sz w:val="22"/>
          <w:szCs w:val="22"/>
        </w:rPr>
        <w:t>Table 3</w:t>
      </w:r>
    </w:p>
    <w:tbl>
      <w:tblPr>
        <w:tblW w:w="4514" w:type="dxa"/>
        <w:jc w:val="center"/>
        <w:tblLook w:val="0000" w:firstRow="0" w:lastRow="0" w:firstColumn="0" w:lastColumn="0" w:noHBand="0" w:noVBand="0"/>
      </w:tblPr>
      <w:tblGrid>
        <w:gridCol w:w="1537"/>
        <w:gridCol w:w="960"/>
        <w:gridCol w:w="960"/>
        <w:gridCol w:w="1057"/>
      </w:tblGrid>
      <w:tr w:rsidR="00DC44A2" w:rsidRPr="00557717" w:rsidTr="003717FA">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pct10" w:color="auto" w:fill="auto"/>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C44A2" w:rsidRPr="00557717" w:rsidTr="003717FA">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ED1654" w:rsidRDefault="00DC44A2" w:rsidP="003717FA">
            <w:pPr>
              <w:rPr>
                <w:rFonts w:ascii="Calibri" w:hAnsi="Calibri"/>
                <w:b/>
                <w:sz w:val="22"/>
                <w:szCs w:val="22"/>
              </w:rPr>
            </w:pPr>
            <w:r w:rsidRPr="00ED1654">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ED1654" w:rsidRDefault="00DC44A2" w:rsidP="003717FA">
            <w:pPr>
              <w:jc w:val="center"/>
              <w:rPr>
                <w:rFonts w:ascii="Calibri" w:hAnsi="Calibri"/>
                <w:b/>
                <w:sz w:val="22"/>
                <w:szCs w:val="22"/>
              </w:rPr>
            </w:pPr>
            <w:r w:rsidRPr="00ED1654">
              <w:rPr>
                <w:rFonts w:ascii="Calibri" w:hAnsi="Calibri"/>
                <w:b/>
                <w:sz w:val="22"/>
                <w:szCs w:val="22"/>
              </w:rPr>
              <w:t>X</w:t>
            </w:r>
            <w:r>
              <w:rPr>
                <w:rFonts w:ascii="Calibri" w:hAnsi="Calibri"/>
                <w:b/>
                <w:sz w:val="22"/>
                <w:szCs w:val="22"/>
              </w:rPr>
              <w:t>40</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ED1654" w:rsidRDefault="00DC44A2" w:rsidP="003717FA">
            <w:pPr>
              <w:jc w:val="center"/>
              <w:rPr>
                <w:rFonts w:ascii="Calibri" w:hAnsi="Calibri"/>
                <w:b/>
                <w:sz w:val="22"/>
                <w:szCs w:val="22"/>
              </w:rPr>
            </w:pPr>
            <w:r w:rsidRPr="00ED1654">
              <w:rPr>
                <w:rFonts w:ascii="Calibri" w:hAnsi="Calibri"/>
                <w:b/>
                <w:sz w:val="22"/>
                <w:szCs w:val="22"/>
              </w:rPr>
              <w:t>X</w:t>
            </w:r>
            <w:r>
              <w:rPr>
                <w:rFonts w:ascii="Calibri" w:hAnsi="Calibri"/>
                <w:b/>
                <w:sz w:val="22"/>
                <w:szCs w:val="22"/>
              </w:rPr>
              <w:t>41</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DC44A2" w:rsidRPr="00ED1654" w:rsidRDefault="00DC44A2" w:rsidP="003717FA">
            <w:pPr>
              <w:jc w:val="center"/>
              <w:rPr>
                <w:rFonts w:ascii="Calibri" w:hAnsi="Calibri"/>
                <w:b/>
                <w:sz w:val="22"/>
                <w:szCs w:val="22"/>
              </w:rPr>
            </w:pPr>
            <w:r w:rsidRPr="00ED1654">
              <w:rPr>
                <w:rFonts w:ascii="Calibri" w:hAnsi="Calibri"/>
                <w:b/>
                <w:sz w:val="22"/>
                <w:szCs w:val="22"/>
              </w:rPr>
              <w:t>Overall</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71.0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75.9</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73.3</w:t>
            </w:r>
            <w:r w:rsidRPr="00557717">
              <w:rPr>
                <w:rFonts w:ascii="Calibri" w:hAnsi="Calibri"/>
                <w:sz w:val="22"/>
                <w:szCs w:val="22"/>
              </w:rPr>
              <w:t>%</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29.0</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24.1</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26.7</w:t>
            </w:r>
            <w:r w:rsidRPr="00557717">
              <w:rPr>
                <w:rFonts w:ascii="Calibri" w:hAnsi="Calibri"/>
                <w:sz w:val="22"/>
                <w:szCs w:val="22"/>
              </w:rPr>
              <w:t>%</w:t>
            </w:r>
          </w:p>
        </w:tc>
      </w:tr>
    </w:tbl>
    <w:p w:rsidR="00DC44A2" w:rsidRDefault="00DC44A2" w:rsidP="00DC44A2">
      <w:pPr>
        <w:tabs>
          <w:tab w:val="left" w:pos="48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r>
        <w:rPr>
          <w:rFonts w:ascii="Calibri" w:hAnsi="Calibri"/>
          <w:sz w:val="22"/>
          <w:szCs w:val="22"/>
        </w:rPr>
        <w:t>Unweighted establishment response rates at initiation are presented for the last two IPP export samples in Table 3.  T</w:t>
      </w:r>
      <w:r w:rsidRPr="00557717">
        <w:rPr>
          <w:rFonts w:ascii="Calibri" w:hAnsi="Calibri"/>
          <w:sz w:val="22"/>
          <w:szCs w:val="22"/>
        </w:rPr>
        <w:t xml:space="preserve">he </w:t>
      </w:r>
      <w:r>
        <w:rPr>
          <w:rFonts w:ascii="Calibri" w:hAnsi="Calibri"/>
          <w:sz w:val="22"/>
          <w:szCs w:val="22"/>
        </w:rPr>
        <w:t xml:space="preserve">overall initiation </w:t>
      </w:r>
      <w:r w:rsidRPr="00557717">
        <w:rPr>
          <w:rFonts w:ascii="Calibri" w:hAnsi="Calibri"/>
          <w:sz w:val="22"/>
          <w:szCs w:val="22"/>
        </w:rPr>
        <w:t xml:space="preserve">response rate </w:t>
      </w:r>
      <w:r>
        <w:rPr>
          <w:rFonts w:ascii="Calibri" w:hAnsi="Calibri"/>
          <w:sz w:val="22"/>
          <w:szCs w:val="22"/>
        </w:rPr>
        <w:t>for both samples (combined) is</w:t>
      </w:r>
      <w:r w:rsidRPr="00557717">
        <w:rPr>
          <w:rFonts w:ascii="Calibri" w:hAnsi="Calibri"/>
          <w:sz w:val="22"/>
          <w:szCs w:val="22"/>
        </w:rPr>
        <w:t xml:space="preserve"> </w:t>
      </w:r>
      <w:r>
        <w:rPr>
          <w:rFonts w:ascii="Calibri" w:hAnsi="Calibri"/>
          <w:sz w:val="22"/>
          <w:szCs w:val="22"/>
        </w:rPr>
        <w:t>approximately 73</w:t>
      </w:r>
      <w:r w:rsidRPr="00557717">
        <w:rPr>
          <w:rFonts w:ascii="Calibri" w:hAnsi="Calibri"/>
          <w:sz w:val="22"/>
          <w:szCs w:val="22"/>
        </w:rPr>
        <w:t>% excluding out</w:t>
      </w:r>
      <w:r w:rsidRPr="00557717">
        <w:rPr>
          <w:rFonts w:ascii="Calibri" w:hAnsi="Calibri"/>
          <w:sz w:val="22"/>
          <w:szCs w:val="22"/>
        </w:rPr>
        <w:noBreakHyphen/>
        <w:t>of</w:t>
      </w:r>
      <w:r w:rsidRPr="00557717">
        <w:rPr>
          <w:rFonts w:ascii="Calibri" w:hAnsi="Calibri"/>
          <w:sz w:val="22"/>
          <w:szCs w:val="22"/>
        </w:rPr>
        <w:noBreakHyphen/>
        <w:t>scope and</w:t>
      </w:r>
      <w:r w:rsidRPr="00557717">
        <w:rPr>
          <w:rFonts w:ascii="Calibri" w:hAnsi="Calibri"/>
          <w:sz w:val="22"/>
          <w:szCs w:val="22"/>
          <w:u w:val="double"/>
        </w:rPr>
        <w:t xml:space="preserve"> </w:t>
      </w:r>
      <w:r w:rsidRPr="00557717">
        <w:rPr>
          <w:rFonts w:ascii="Calibri" w:hAnsi="Calibri"/>
          <w:sz w:val="22"/>
          <w:szCs w:val="22"/>
        </w:rPr>
        <w:t>out</w:t>
      </w:r>
      <w:r w:rsidRPr="00557717">
        <w:rPr>
          <w:rFonts w:ascii="Calibri" w:hAnsi="Calibri"/>
          <w:sz w:val="22"/>
          <w:szCs w:val="22"/>
        </w:rPr>
        <w:noBreakHyphen/>
        <w:t>of</w:t>
      </w:r>
      <w:r w:rsidRPr="00557717">
        <w:rPr>
          <w:rFonts w:ascii="Calibri" w:hAnsi="Calibri"/>
          <w:sz w:val="22"/>
          <w:szCs w:val="22"/>
        </w:rPr>
        <w:noBreakHyphen/>
        <w:t xml:space="preserve">business units.  </w:t>
      </w:r>
      <w:r>
        <w:rPr>
          <w:rFonts w:ascii="Calibri" w:hAnsi="Calibri"/>
          <w:sz w:val="22"/>
          <w:szCs w:val="22"/>
        </w:rPr>
        <w:t xml:space="preserve">(Units considered out-of-scope or out-of-business are not included in the above table as the rates displayed simply indicate whether or not the IPP obtained cooperation.)  </w:t>
      </w:r>
      <w:r w:rsidRPr="00557717">
        <w:rPr>
          <w:rFonts w:ascii="Calibri" w:hAnsi="Calibri"/>
          <w:sz w:val="22"/>
          <w:szCs w:val="22"/>
        </w:rPr>
        <w:t>Approximately 2</w:t>
      </w:r>
      <w:r>
        <w:rPr>
          <w:rFonts w:ascii="Calibri" w:hAnsi="Calibri"/>
          <w:sz w:val="22"/>
          <w:szCs w:val="22"/>
        </w:rPr>
        <w:t>2% of the sampled units were</w:t>
      </w:r>
      <w:r w:rsidRPr="00557717">
        <w:rPr>
          <w:rFonts w:ascii="Calibri" w:hAnsi="Calibri"/>
          <w:sz w:val="22"/>
          <w:szCs w:val="22"/>
        </w:rPr>
        <w:t xml:space="preserv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rsidR="00DC44A2" w:rsidRDefault="00DC44A2" w:rsidP="00DC44A2">
      <w:pPr>
        <w:tabs>
          <w:tab w:val="left" w:pos="480"/>
          <w:tab w:val="left" w:pos="1320"/>
          <w:tab w:val="left" w:pos="2400"/>
        </w:tabs>
        <w:jc w:val="both"/>
        <w:rPr>
          <w:rFonts w:ascii="Calibri" w:hAnsi="Calibri"/>
          <w:sz w:val="22"/>
          <w:szCs w:val="22"/>
        </w:rPr>
      </w:pPr>
    </w:p>
    <w:p w:rsidR="00DC44A2" w:rsidRPr="00146E00" w:rsidRDefault="00DC44A2" w:rsidP="00DC44A2">
      <w:pPr>
        <w:tabs>
          <w:tab w:val="left" w:pos="480"/>
          <w:tab w:val="left" w:pos="1320"/>
          <w:tab w:val="left" w:pos="2400"/>
        </w:tabs>
        <w:jc w:val="center"/>
        <w:rPr>
          <w:rFonts w:ascii="Calibri" w:hAnsi="Calibri"/>
          <w:b/>
          <w:sz w:val="22"/>
          <w:szCs w:val="22"/>
        </w:rPr>
      </w:pPr>
      <w:r>
        <w:rPr>
          <w:rFonts w:ascii="Calibri" w:hAnsi="Calibri"/>
          <w:b/>
          <w:sz w:val="22"/>
          <w:szCs w:val="22"/>
        </w:rPr>
        <w:t>Table 4</w:t>
      </w:r>
    </w:p>
    <w:tbl>
      <w:tblPr>
        <w:tblW w:w="6182" w:type="dxa"/>
        <w:jc w:val="center"/>
        <w:tblLook w:val="0000" w:firstRow="0" w:lastRow="0" w:firstColumn="0" w:lastColumn="0" w:noHBand="0" w:noVBand="0"/>
      </w:tblPr>
      <w:tblGrid>
        <w:gridCol w:w="1840"/>
        <w:gridCol w:w="747"/>
        <w:gridCol w:w="747"/>
        <w:gridCol w:w="1440"/>
        <w:gridCol w:w="1408"/>
      </w:tblGrid>
      <w:tr w:rsidR="00DC44A2" w:rsidRPr="00557717" w:rsidTr="003717FA">
        <w:trPr>
          <w:trHeight w:val="270"/>
          <w:jc w:val="center"/>
        </w:trPr>
        <w:tc>
          <w:tcPr>
            <w:tcW w:w="6182"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Export Establishment Counts</w:t>
            </w:r>
          </w:p>
        </w:tc>
      </w:tr>
      <w:tr w:rsidR="00DC44A2" w:rsidRPr="00557717" w:rsidTr="003717FA">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557717" w:rsidRDefault="00DC44A2" w:rsidP="003717FA">
            <w:pPr>
              <w:rPr>
                <w:rFonts w:ascii="Calibri" w:hAnsi="Calibri"/>
                <w:b/>
                <w:bCs/>
                <w:sz w:val="22"/>
                <w:szCs w:val="22"/>
              </w:rPr>
            </w:pPr>
            <w:r w:rsidRPr="00557717">
              <w:rPr>
                <w:rFonts w:ascii="Calibri" w:hAnsi="Calibri"/>
                <w:b/>
                <w:bCs/>
                <w:sz w:val="22"/>
                <w:szCs w:val="22"/>
              </w:rPr>
              <w:t>Outcome</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X</w:t>
            </w:r>
            <w:r>
              <w:rPr>
                <w:rFonts w:ascii="Calibri" w:hAnsi="Calibri"/>
                <w:b/>
                <w:bCs/>
                <w:sz w:val="22"/>
                <w:szCs w:val="22"/>
              </w:rPr>
              <w:t>40</w:t>
            </w:r>
          </w:p>
        </w:tc>
        <w:tc>
          <w:tcPr>
            <w:tcW w:w="747"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X</w:t>
            </w:r>
            <w:r>
              <w:rPr>
                <w:rFonts w:ascii="Calibri" w:hAnsi="Calibri"/>
                <w:b/>
                <w:bCs/>
                <w:sz w:val="22"/>
                <w:szCs w:val="22"/>
              </w:rPr>
              <w:t>41</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 xml:space="preserve">Overall </w:t>
            </w:r>
          </w:p>
        </w:tc>
        <w:tc>
          <w:tcPr>
            <w:tcW w:w="1408" w:type="dxa"/>
            <w:tcBorders>
              <w:top w:val="single" w:sz="4" w:space="0" w:color="auto"/>
              <w:left w:val="nil"/>
              <w:bottom w:val="single" w:sz="4" w:space="0" w:color="auto"/>
              <w:right w:val="single" w:sz="4" w:space="0" w:color="auto"/>
            </w:tcBorders>
            <w:shd w:val="clear" w:color="auto" w:fill="DBE5F1"/>
          </w:tcPr>
          <w:p w:rsidR="00DC44A2" w:rsidRPr="00557717" w:rsidRDefault="00DC44A2" w:rsidP="003717FA">
            <w:pPr>
              <w:jc w:val="right"/>
              <w:rPr>
                <w:rFonts w:ascii="Calibri" w:hAnsi="Calibri"/>
                <w:b/>
                <w:bCs/>
                <w:sz w:val="22"/>
                <w:szCs w:val="22"/>
              </w:rPr>
            </w:pPr>
            <w:r>
              <w:rPr>
                <w:rFonts w:ascii="Calibri" w:hAnsi="Calibri"/>
                <w:b/>
                <w:bCs/>
                <w:sz w:val="22"/>
                <w:szCs w:val="22"/>
              </w:rPr>
              <w:t>Percent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715</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678</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1393</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57.3</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292</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215</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507</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20.9</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OOB</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21</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23</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44</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1.8</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OOS</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216</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269</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485</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20.0</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1244</w:t>
            </w:r>
          </w:p>
        </w:tc>
        <w:tc>
          <w:tcPr>
            <w:tcW w:w="74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1185</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2429</w:t>
            </w:r>
          </w:p>
        </w:tc>
        <w:tc>
          <w:tcPr>
            <w:tcW w:w="1408"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sidRPr="00E241DC">
              <w:rPr>
                <w:rFonts w:ascii="Calibri" w:hAnsi="Calibri"/>
                <w:bCs/>
                <w:sz w:val="22"/>
                <w:szCs w:val="22"/>
              </w:rPr>
              <w:t>100.0%</w:t>
            </w:r>
          </w:p>
        </w:tc>
      </w:tr>
    </w:tbl>
    <w:p w:rsidR="00DC44A2" w:rsidRPr="00557717" w:rsidRDefault="00DC44A2" w:rsidP="00DC44A2">
      <w:pPr>
        <w:tabs>
          <w:tab w:val="left" w:pos="480"/>
          <w:tab w:val="left" w:pos="1320"/>
          <w:tab w:val="left" w:pos="2400"/>
        </w:tabs>
        <w:jc w:val="both"/>
        <w:rPr>
          <w:rFonts w:ascii="Calibri" w:hAnsi="Calibri"/>
          <w:b/>
          <w:sz w:val="22"/>
          <w:szCs w:val="22"/>
          <w:u w:val="single"/>
        </w:rPr>
      </w:pPr>
    </w:p>
    <w:p w:rsidR="00DC44A2" w:rsidRDefault="00DC44A2" w:rsidP="00DC44A2">
      <w:pPr>
        <w:tabs>
          <w:tab w:val="left" w:pos="480"/>
          <w:tab w:val="left" w:pos="1320"/>
          <w:tab w:val="left" w:pos="2400"/>
        </w:tabs>
        <w:jc w:val="both"/>
        <w:rPr>
          <w:rFonts w:ascii="Calibri" w:hAnsi="Calibri"/>
          <w:sz w:val="22"/>
          <w:szCs w:val="22"/>
        </w:rPr>
      </w:pPr>
    </w:p>
    <w:p w:rsidR="00DC44A2" w:rsidRPr="00557717" w:rsidRDefault="00DC44A2" w:rsidP="00DC44A2">
      <w:pPr>
        <w:tabs>
          <w:tab w:val="left" w:pos="480"/>
          <w:tab w:val="left" w:pos="1320"/>
          <w:tab w:val="left" w:pos="2400"/>
        </w:tabs>
        <w:jc w:val="both"/>
        <w:rPr>
          <w:rFonts w:ascii="Calibri" w:hAnsi="Calibri"/>
          <w:sz w:val="22"/>
          <w:szCs w:val="22"/>
        </w:rPr>
      </w:pPr>
      <w:r>
        <w:rPr>
          <w:rFonts w:ascii="Calibri" w:hAnsi="Calibri"/>
          <w:sz w:val="22"/>
          <w:szCs w:val="22"/>
        </w:rPr>
        <w:t>Table 4 displays the</w:t>
      </w:r>
      <w:r w:rsidRPr="00557717">
        <w:rPr>
          <w:rFonts w:ascii="Calibri" w:hAnsi="Calibri"/>
          <w:sz w:val="22"/>
          <w:szCs w:val="22"/>
        </w:rPr>
        <w:t xml:space="preserve"> number of </w:t>
      </w:r>
      <w:r>
        <w:rPr>
          <w:rFonts w:ascii="Calibri" w:hAnsi="Calibri"/>
          <w:sz w:val="22"/>
          <w:szCs w:val="22"/>
        </w:rPr>
        <w:t>establishments</w:t>
      </w:r>
      <w:r w:rsidRPr="00557717">
        <w:rPr>
          <w:rFonts w:ascii="Calibri" w:hAnsi="Calibri"/>
          <w:sz w:val="22"/>
          <w:szCs w:val="22"/>
        </w:rPr>
        <w:t xml:space="preserve"> from the </w:t>
      </w:r>
      <w:r>
        <w:rPr>
          <w:rFonts w:ascii="Calibri" w:hAnsi="Calibri"/>
          <w:sz w:val="22"/>
          <w:szCs w:val="22"/>
        </w:rPr>
        <w:t>last two IPP</w:t>
      </w:r>
      <w:r w:rsidRPr="00557717">
        <w:rPr>
          <w:rFonts w:ascii="Calibri" w:hAnsi="Calibri"/>
          <w:sz w:val="22"/>
          <w:szCs w:val="22"/>
        </w:rPr>
        <w:t xml:space="preserve"> export sam</w:t>
      </w:r>
      <w:r>
        <w:rPr>
          <w:rFonts w:ascii="Calibri" w:hAnsi="Calibri"/>
          <w:sz w:val="22"/>
          <w:szCs w:val="22"/>
        </w:rPr>
        <w:t xml:space="preserve">ples by initiation outcome code.  </w:t>
      </w:r>
      <w:r w:rsidRPr="00557717">
        <w:rPr>
          <w:rFonts w:ascii="Calibri" w:hAnsi="Calibri"/>
          <w:sz w:val="22"/>
          <w:szCs w:val="22"/>
        </w:rPr>
        <w:t xml:space="preserve">These numbers were used to calculate the unweighted response rates at the </w:t>
      </w:r>
      <w:r>
        <w:rPr>
          <w:rFonts w:ascii="Calibri" w:hAnsi="Calibri"/>
          <w:sz w:val="22"/>
          <w:szCs w:val="22"/>
        </w:rPr>
        <w:t>establishment</w:t>
      </w:r>
      <w:r w:rsidRPr="00557717">
        <w:rPr>
          <w:rFonts w:ascii="Calibri" w:hAnsi="Calibri"/>
          <w:sz w:val="22"/>
          <w:szCs w:val="22"/>
        </w:rPr>
        <w:t xml:space="preserve"> level. </w:t>
      </w:r>
    </w:p>
    <w:p w:rsidR="00DC44A2" w:rsidRDefault="00DC44A2" w:rsidP="00DC44A2">
      <w:pPr>
        <w:tabs>
          <w:tab w:val="left" w:pos="480"/>
          <w:tab w:val="left" w:pos="960"/>
          <w:tab w:val="left" w:pos="1320"/>
          <w:tab w:val="left" w:pos="2400"/>
        </w:tabs>
        <w:jc w:val="both"/>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Export Response Rates for Repricing</w:t>
      </w:r>
    </w:p>
    <w:p w:rsidR="00DC44A2" w:rsidRDefault="00DC44A2" w:rsidP="00DC44A2">
      <w:pPr>
        <w:tabs>
          <w:tab w:val="left" w:pos="480"/>
          <w:tab w:val="left" w:pos="960"/>
          <w:tab w:val="left" w:pos="1320"/>
          <w:tab w:val="left" w:pos="2400"/>
        </w:tabs>
        <w:jc w:val="both"/>
        <w:rPr>
          <w:rFonts w:ascii="Calibri" w:hAnsi="Calibri"/>
          <w:b/>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Once an establishment agrees to provide price data to the IPP at initiation, each unique item to be repriced for the establishment is loaded into the </w:t>
      </w:r>
      <w:r>
        <w:rPr>
          <w:rFonts w:ascii="Calibri" w:hAnsi="Calibri"/>
          <w:sz w:val="22"/>
          <w:szCs w:val="22"/>
        </w:rPr>
        <w:t>r</w:t>
      </w:r>
      <w:r w:rsidRPr="00557717">
        <w:rPr>
          <w:rFonts w:ascii="Calibri" w:hAnsi="Calibri"/>
          <w:sz w:val="22"/>
          <w:szCs w:val="22"/>
        </w:rPr>
        <w:t xml:space="preserve">epricing and </w:t>
      </w:r>
      <w:r>
        <w:rPr>
          <w:rFonts w:ascii="Calibri" w:hAnsi="Calibri"/>
          <w:sz w:val="22"/>
          <w:szCs w:val="22"/>
        </w:rPr>
        <w:t>e</w:t>
      </w:r>
      <w:r w:rsidRPr="00557717">
        <w:rPr>
          <w:rFonts w:ascii="Calibri" w:hAnsi="Calibri"/>
          <w:sz w:val="22"/>
          <w:szCs w:val="22"/>
        </w:rPr>
        <w:t xml:space="preserve">stimation portions of the IPP Unified Database.  </w:t>
      </w:r>
      <w:r>
        <w:rPr>
          <w:rFonts w:ascii="Calibri" w:hAnsi="Calibri"/>
          <w:sz w:val="22"/>
          <w:szCs w:val="22"/>
        </w:rPr>
        <w:t>In most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a single quote from one sample, but </w:t>
      </w:r>
      <w:r>
        <w:rPr>
          <w:rFonts w:ascii="Calibri" w:hAnsi="Calibri"/>
          <w:sz w:val="22"/>
          <w:szCs w:val="22"/>
        </w:rPr>
        <w:t xml:space="preserve">in </w:t>
      </w:r>
      <w:r w:rsidRPr="00557717">
        <w:rPr>
          <w:rFonts w:ascii="Calibri" w:hAnsi="Calibri"/>
          <w:sz w:val="22"/>
          <w:szCs w:val="22"/>
        </w:rPr>
        <w:t>some</w:t>
      </w:r>
      <w:r>
        <w:rPr>
          <w:rFonts w:ascii="Calibri" w:hAnsi="Calibri"/>
          <w:sz w:val="22"/>
          <w:szCs w:val="22"/>
        </w:rPr>
        <w:t xml:space="preserve"> cases an</w:t>
      </w:r>
      <w:r w:rsidRPr="00557717">
        <w:rPr>
          <w:rFonts w:ascii="Calibri" w:hAnsi="Calibri"/>
          <w:sz w:val="22"/>
          <w:szCs w:val="22"/>
        </w:rPr>
        <w:t xml:space="preserve"> item represent</w:t>
      </w:r>
      <w:r>
        <w:rPr>
          <w:rFonts w:ascii="Calibri" w:hAnsi="Calibri"/>
          <w:sz w:val="22"/>
          <w:szCs w:val="22"/>
        </w:rPr>
        <w:t>s</w:t>
      </w:r>
      <w:r w:rsidRPr="00557717">
        <w:rPr>
          <w:rFonts w:ascii="Calibri" w:hAnsi="Calibri"/>
          <w:sz w:val="22"/>
          <w:szCs w:val="22"/>
        </w:rPr>
        <w:t xml:space="preserve"> multiple quotes from a single sample, or one or more quotes from more than one sample.  </w:t>
      </w:r>
      <w:r>
        <w:rPr>
          <w:rFonts w:ascii="Calibri" w:hAnsi="Calibri"/>
          <w:sz w:val="22"/>
          <w:szCs w:val="22"/>
        </w:rPr>
        <w:t>IPP repricing rates are calculated based on the unique items being repriced.</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The IPP continues data collection three months after data for the reference month was first published; therefore, the fourth publishing represents the final revision.  Table 5 displays</w:t>
      </w:r>
      <w:r w:rsidRPr="00557717">
        <w:rPr>
          <w:rFonts w:ascii="Calibri" w:hAnsi="Calibri"/>
          <w:sz w:val="22"/>
          <w:szCs w:val="22"/>
        </w:rPr>
        <w:t xml:space="preserve"> unweighted response rates </w:t>
      </w:r>
      <w:r>
        <w:rPr>
          <w:rFonts w:ascii="Calibri" w:hAnsi="Calibri"/>
          <w:sz w:val="22"/>
          <w:szCs w:val="22"/>
        </w:rPr>
        <w:t xml:space="preserve">at the time of final revision, for reference months </w:t>
      </w:r>
      <w:r w:rsidRPr="00557717">
        <w:rPr>
          <w:rFonts w:ascii="Calibri" w:hAnsi="Calibri"/>
          <w:sz w:val="22"/>
          <w:szCs w:val="22"/>
        </w:rPr>
        <w:t xml:space="preserve">January </w:t>
      </w:r>
      <w:r>
        <w:rPr>
          <w:rFonts w:ascii="Calibri" w:hAnsi="Calibri"/>
          <w:sz w:val="22"/>
          <w:szCs w:val="22"/>
        </w:rPr>
        <w:t>2015</w:t>
      </w:r>
      <w:r w:rsidRPr="00557717">
        <w:rPr>
          <w:rFonts w:ascii="Calibri" w:hAnsi="Calibri"/>
          <w:sz w:val="22"/>
          <w:szCs w:val="22"/>
        </w:rPr>
        <w:t xml:space="preserve"> – </w:t>
      </w:r>
      <w:r>
        <w:rPr>
          <w:rFonts w:ascii="Calibri" w:hAnsi="Calibri"/>
          <w:sz w:val="22"/>
          <w:szCs w:val="22"/>
        </w:rPr>
        <w:t>December 2017</w:t>
      </w:r>
      <w:r w:rsidRPr="00557717">
        <w:rPr>
          <w:rFonts w:ascii="Calibri" w:hAnsi="Calibri"/>
          <w:sz w:val="22"/>
          <w:szCs w:val="22"/>
        </w:rPr>
        <w:t xml:space="preserve">. </w:t>
      </w:r>
      <w:r>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960"/>
          <w:tab w:val="left" w:pos="1320"/>
          <w:tab w:val="left" w:pos="2400"/>
        </w:tabs>
        <w:jc w:val="center"/>
        <w:rPr>
          <w:rFonts w:ascii="Calibri" w:hAnsi="Calibri"/>
          <w:b/>
          <w:sz w:val="22"/>
          <w:szCs w:val="22"/>
        </w:rPr>
      </w:pPr>
      <w:r>
        <w:rPr>
          <w:rFonts w:ascii="Calibri" w:hAnsi="Calibri"/>
          <w:b/>
          <w:sz w:val="22"/>
          <w:szCs w:val="22"/>
        </w:rPr>
        <w:t>Table 5</w:t>
      </w:r>
    </w:p>
    <w:tbl>
      <w:tblPr>
        <w:tblW w:w="0" w:type="auto"/>
        <w:jc w:val="center"/>
        <w:tblLayout w:type="fixed"/>
        <w:tblLook w:val="0000" w:firstRow="0" w:lastRow="0" w:firstColumn="0" w:lastColumn="0" w:noHBand="0" w:noVBand="0"/>
      </w:tblPr>
      <w:tblGrid>
        <w:gridCol w:w="1522"/>
        <w:gridCol w:w="1260"/>
        <w:gridCol w:w="1170"/>
      </w:tblGrid>
      <w:tr w:rsidR="00DC44A2" w:rsidTr="003717FA">
        <w:trPr>
          <w:trHeight w:val="255"/>
          <w:jc w:val="center"/>
        </w:trPr>
        <w:tc>
          <w:tcPr>
            <w:tcW w:w="3952"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DC44A2" w:rsidRDefault="00DC44A2" w:rsidP="003717FA">
            <w:pPr>
              <w:jc w:val="center"/>
              <w:rPr>
                <w:rFonts w:ascii="Calibri" w:hAnsi="Calibri"/>
                <w:b/>
                <w:sz w:val="22"/>
                <w:szCs w:val="22"/>
              </w:rPr>
            </w:pPr>
            <w:r>
              <w:rPr>
                <w:rFonts w:ascii="Calibri" w:hAnsi="Calibri"/>
                <w:b/>
                <w:sz w:val="22"/>
                <w:szCs w:val="22"/>
              </w:rPr>
              <w:t>Export Response Rates for Repricing</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shd w:val="clear" w:color="auto" w:fill="DBE5F1"/>
            <w:vAlign w:val="center"/>
          </w:tcPr>
          <w:p w:rsidR="00DC44A2" w:rsidRDefault="00DC44A2" w:rsidP="003717FA">
            <w:pPr>
              <w:autoSpaceDE w:val="0"/>
              <w:autoSpaceDN w:val="0"/>
              <w:adjustRightInd w:val="0"/>
              <w:jc w:val="center"/>
              <w:rPr>
                <w:rFonts w:ascii="Arial" w:hAnsi="Arial" w:cs="Arial"/>
                <w:sz w:val="20"/>
                <w:szCs w:val="20"/>
              </w:rPr>
            </w:pPr>
            <w:r>
              <w:rPr>
                <w:rFonts w:ascii="Calibri" w:hAnsi="Calibri"/>
                <w:b/>
                <w:sz w:val="22"/>
                <w:szCs w:val="22"/>
              </w:rPr>
              <w:t>Reference Month</w:t>
            </w:r>
          </w:p>
        </w:tc>
        <w:tc>
          <w:tcPr>
            <w:tcW w:w="1260" w:type="dxa"/>
            <w:tcBorders>
              <w:top w:val="single" w:sz="6" w:space="0" w:color="auto"/>
              <w:left w:val="nil"/>
              <w:bottom w:val="single" w:sz="6" w:space="0" w:color="auto"/>
              <w:right w:val="single" w:sz="6" w:space="0" w:color="auto"/>
            </w:tcBorders>
            <w:shd w:val="clear" w:color="auto" w:fill="DBE5F1"/>
            <w:vAlign w:val="center"/>
          </w:tcPr>
          <w:p w:rsidR="00DC44A2" w:rsidRDefault="00DC44A2" w:rsidP="003717FA">
            <w:pPr>
              <w:jc w:val="center"/>
              <w:rPr>
                <w:rFonts w:ascii="Calibri" w:hAnsi="Calibri"/>
                <w:b/>
                <w:sz w:val="22"/>
                <w:szCs w:val="22"/>
              </w:rPr>
            </w:pPr>
          </w:p>
          <w:p w:rsidR="00DC44A2" w:rsidRPr="00557717" w:rsidRDefault="00DC44A2" w:rsidP="003717FA">
            <w:pPr>
              <w:jc w:val="center"/>
              <w:rPr>
                <w:rFonts w:ascii="Calibri" w:hAnsi="Calibri"/>
                <w:b/>
                <w:sz w:val="22"/>
                <w:szCs w:val="22"/>
              </w:rPr>
            </w:pPr>
            <w:r>
              <w:rPr>
                <w:rFonts w:ascii="Calibri" w:hAnsi="Calibri"/>
                <w:b/>
                <w:sz w:val="22"/>
                <w:szCs w:val="22"/>
              </w:rPr>
              <w:t>Response Rate</w:t>
            </w:r>
          </w:p>
          <w:p w:rsidR="00DC44A2" w:rsidRDefault="00DC44A2" w:rsidP="003717FA">
            <w:pPr>
              <w:autoSpaceDE w:val="0"/>
              <w:autoSpaceDN w:val="0"/>
              <w:adjustRightInd w:val="0"/>
              <w:jc w:val="center"/>
              <w:rPr>
                <w:rFonts w:ascii="Arial" w:hAnsi="Arial" w:cs="Arial"/>
                <w:sz w:val="20"/>
                <w:szCs w:val="20"/>
              </w:rPr>
            </w:pPr>
          </w:p>
        </w:tc>
        <w:tc>
          <w:tcPr>
            <w:tcW w:w="1170" w:type="dxa"/>
            <w:tcBorders>
              <w:top w:val="single" w:sz="6" w:space="0" w:color="auto"/>
              <w:left w:val="nil"/>
              <w:bottom w:val="single" w:sz="6" w:space="0" w:color="auto"/>
              <w:right w:val="single" w:sz="6" w:space="0" w:color="auto"/>
            </w:tcBorders>
            <w:shd w:val="clear" w:color="auto" w:fill="DBE5F1"/>
            <w:vAlign w:val="center"/>
          </w:tcPr>
          <w:p w:rsidR="00DC44A2" w:rsidRPr="00557717" w:rsidRDefault="00DC44A2" w:rsidP="003717FA">
            <w:pPr>
              <w:jc w:val="center"/>
              <w:rPr>
                <w:rFonts w:ascii="Calibri" w:hAnsi="Calibri"/>
                <w:b/>
                <w:sz w:val="22"/>
                <w:szCs w:val="22"/>
              </w:rPr>
            </w:pPr>
            <w:r>
              <w:rPr>
                <w:rFonts w:ascii="Calibri" w:hAnsi="Calibri"/>
                <w:b/>
                <w:sz w:val="22"/>
                <w:szCs w:val="22"/>
              </w:rPr>
              <w:t>Usable Response Rate</w:t>
            </w:r>
          </w:p>
          <w:p w:rsidR="00DC44A2" w:rsidRDefault="00DC44A2" w:rsidP="003717FA">
            <w:pPr>
              <w:autoSpaceDE w:val="0"/>
              <w:autoSpaceDN w:val="0"/>
              <w:adjustRightInd w:val="0"/>
              <w:jc w:val="center"/>
              <w:rPr>
                <w:rFonts w:ascii="Arial" w:hAnsi="Arial" w:cs="Arial"/>
                <w:sz w:val="20"/>
                <w:szCs w:val="20"/>
              </w:rPr>
            </w:pP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201504</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201505</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201506</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201507</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201508</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201509</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201510</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201604</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201605</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201606</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201607</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201608</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201609</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201610</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201704</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201705</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201706</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201707</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76%</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201708</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75%</w:t>
            </w:r>
          </w:p>
        </w:tc>
      </w:tr>
      <w:tr w:rsidR="00DC44A2" w:rsidRPr="006E16F5"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201709</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77%</w:t>
            </w:r>
          </w:p>
        </w:tc>
        <w:tc>
          <w:tcPr>
            <w:tcW w:w="1170" w:type="dxa"/>
            <w:tcBorders>
              <w:top w:val="single" w:sz="6" w:space="0" w:color="auto"/>
              <w:left w:val="nil"/>
              <w:bottom w:val="single" w:sz="6" w:space="0" w:color="auto"/>
              <w:right w:val="single" w:sz="6" w:space="0" w:color="auto"/>
            </w:tcBorders>
            <w:vAlign w:val="bottom"/>
          </w:tcPr>
          <w:p w:rsidR="00DC44A2" w:rsidRPr="006E16F5"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74%</w:t>
            </w:r>
          </w:p>
        </w:tc>
      </w:tr>
      <w:tr w:rsidR="00DC44A2" w:rsidRPr="006E16F5"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201710</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Pr="006E16F5" w:rsidRDefault="00DC44A2" w:rsidP="003717FA">
            <w:pPr>
              <w:autoSpaceDE w:val="0"/>
              <w:autoSpaceDN w:val="0"/>
              <w:adjustRightInd w:val="0"/>
              <w:jc w:val="center"/>
              <w:rPr>
                <w:rFonts w:ascii="Arial" w:hAnsi="Arial" w:cs="Arial"/>
                <w:bCs/>
                <w:sz w:val="20"/>
                <w:szCs w:val="20"/>
              </w:rPr>
            </w:pPr>
            <w:r>
              <w:rPr>
                <w:rFonts w:ascii="Arial" w:hAnsi="Arial" w:cs="Arial"/>
                <w:sz w:val="20"/>
                <w:szCs w:val="20"/>
              </w:rPr>
              <w:t>75%</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76%</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74%</w:t>
            </w:r>
          </w:p>
        </w:tc>
      </w:tr>
    </w:tbl>
    <w:p w:rsidR="00DC44A2" w:rsidRDefault="00DC44A2" w:rsidP="00DC44A2">
      <w:pPr>
        <w:jc w:val="both"/>
        <w:rPr>
          <w:rFonts w:ascii="Calibri" w:hAnsi="Calibri"/>
          <w:sz w:val="22"/>
          <w:szCs w:val="22"/>
        </w:rPr>
      </w:pPr>
    </w:p>
    <w:p w:rsidR="00DC44A2" w:rsidRPr="00557717" w:rsidRDefault="00DC44A2" w:rsidP="00DC44A2">
      <w:pPr>
        <w:tabs>
          <w:tab w:val="left" w:pos="480"/>
          <w:tab w:val="left" w:pos="960"/>
          <w:tab w:val="left" w:pos="1320"/>
          <w:tab w:val="left" w:pos="2400"/>
        </w:tabs>
        <w:ind w:left="1152"/>
        <w:jc w:val="center"/>
        <w:rPr>
          <w:rFonts w:ascii="Calibri" w:hAnsi="Calibri"/>
          <w:sz w:val="22"/>
          <w:szCs w:val="22"/>
        </w:rPr>
      </w:pPr>
    </w:p>
    <w:p w:rsidR="00DC44A2" w:rsidRPr="00FB3525" w:rsidRDefault="00DC44A2" w:rsidP="00DC44A2">
      <w:pPr>
        <w:tabs>
          <w:tab w:val="left" w:pos="480"/>
          <w:tab w:val="left" w:pos="960"/>
          <w:tab w:val="left" w:pos="1320"/>
          <w:tab w:val="left" w:pos="2400"/>
        </w:tabs>
        <w:ind w:left="1152"/>
        <w:rPr>
          <w:rFonts w:ascii="Calibri" w:hAnsi="Calibri"/>
          <w:b/>
          <w:color w:val="000000"/>
          <w:sz w:val="22"/>
          <w:szCs w:val="22"/>
        </w:rPr>
      </w:pPr>
      <w:r>
        <w:rPr>
          <w:rFonts w:ascii="Calibri" w:hAnsi="Calibri"/>
          <w:b/>
          <w:color w:val="000080"/>
          <w:sz w:val="22"/>
          <w:szCs w:val="22"/>
        </w:rPr>
        <w:t xml:space="preserve">                                                    </w:t>
      </w:r>
      <w:r w:rsidRPr="00FB3525">
        <w:rPr>
          <w:rFonts w:ascii="Calibri" w:hAnsi="Calibri"/>
          <w:b/>
          <w:color w:val="000000"/>
          <w:sz w:val="22"/>
          <w:szCs w:val="22"/>
          <w:highlight w:val="lightGray"/>
        </w:rPr>
        <w:t>IMPORTS</w:t>
      </w:r>
    </w:p>
    <w:p w:rsidR="00DC44A2" w:rsidRPr="00557717" w:rsidRDefault="00DC44A2" w:rsidP="00DC44A2">
      <w:pPr>
        <w:tabs>
          <w:tab w:val="left" w:pos="480"/>
          <w:tab w:val="left" w:pos="960"/>
          <w:tab w:val="left" w:pos="1320"/>
          <w:tab w:val="left" w:pos="2400"/>
        </w:tabs>
        <w:ind w:left="1152"/>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To meet the demanding requirements of the IPP in the environment of the constantly changing composition of international trade requires complex statistical procedures.  The universe consists of the total set of import prices.  The number of establishments importing products or services into the United States is approximately 5</w:t>
      </w:r>
      <w:r>
        <w:rPr>
          <w:rFonts w:ascii="Calibri" w:hAnsi="Calibri"/>
          <w:sz w:val="22"/>
          <w:szCs w:val="22"/>
        </w:rPr>
        <w:t>0</w:t>
      </w:r>
      <w:r w:rsidRPr="00557717">
        <w:rPr>
          <w:rFonts w:ascii="Calibri" w:hAnsi="Calibri"/>
          <w:sz w:val="22"/>
          <w:szCs w:val="22"/>
        </w:rPr>
        <w:t>0,000.  In 20</w:t>
      </w:r>
      <w:r>
        <w:rPr>
          <w:rFonts w:ascii="Calibri" w:hAnsi="Calibri"/>
          <w:sz w:val="22"/>
          <w:szCs w:val="22"/>
        </w:rPr>
        <w:t>18</w:t>
      </w:r>
      <w:r w:rsidRPr="00557717">
        <w:rPr>
          <w:rFonts w:ascii="Calibri" w:hAnsi="Calibri"/>
          <w:sz w:val="22"/>
          <w:szCs w:val="22"/>
        </w:rPr>
        <w:t xml:space="preserve">, the overall sample for ongoing repricing of imports for the IPP is approximately </w:t>
      </w:r>
      <w:r>
        <w:rPr>
          <w:rFonts w:ascii="Calibri" w:hAnsi="Calibri"/>
          <w:sz w:val="22"/>
          <w:szCs w:val="22"/>
        </w:rPr>
        <w:t>2700</w:t>
      </w:r>
      <w:r w:rsidRPr="00557717">
        <w:rPr>
          <w:rFonts w:ascii="Calibri" w:hAnsi="Calibri"/>
          <w:sz w:val="22"/>
          <w:szCs w:val="22"/>
        </w:rPr>
        <w:t xml:space="preserve"> importers with </w:t>
      </w:r>
      <w:r>
        <w:rPr>
          <w:rFonts w:ascii="Calibri" w:hAnsi="Calibri"/>
          <w:sz w:val="22"/>
          <w:szCs w:val="22"/>
        </w:rPr>
        <w:t xml:space="preserve">24300 </w:t>
      </w:r>
      <w:r w:rsidRPr="00557717">
        <w:rPr>
          <w:rFonts w:ascii="Calibri" w:hAnsi="Calibri"/>
          <w:sz w:val="22"/>
          <w:szCs w:val="22"/>
        </w:rPr>
        <w:t xml:space="preserve">prices/responses. Approximately </w:t>
      </w:r>
      <w:r>
        <w:rPr>
          <w:rFonts w:ascii="Calibri" w:hAnsi="Calibri"/>
          <w:sz w:val="22"/>
          <w:szCs w:val="22"/>
        </w:rPr>
        <w:t>9.0</w:t>
      </w:r>
      <w:r w:rsidRPr="00557717">
        <w:rPr>
          <w:rFonts w:ascii="Calibri" w:hAnsi="Calibri"/>
          <w:sz w:val="22"/>
          <w:szCs w:val="22"/>
        </w:rPr>
        <w:t xml:space="preserve"> </w:t>
      </w:r>
      <w:r>
        <w:rPr>
          <w:rFonts w:ascii="Calibri" w:hAnsi="Calibri"/>
          <w:sz w:val="22"/>
          <w:szCs w:val="22"/>
        </w:rPr>
        <w:t>quote</w:t>
      </w:r>
      <w:r w:rsidRPr="00557717">
        <w:rPr>
          <w:rFonts w:ascii="Calibri" w:hAnsi="Calibri"/>
          <w:sz w:val="22"/>
          <w:szCs w:val="22"/>
        </w:rPr>
        <w:t xml:space="preserve"> prices are sampled within each importer with a resultant average of </w:t>
      </w:r>
      <w:r>
        <w:rPr>
          <w:rFonts w:ascii="Calibri" w:hAnsi="Calibri"/>
          <w:sz w:val="22"/>
          <w:szCs w:val="22"/>
        </w:rPr>
        <w:t>5.325</w:t>
      </w:r>
      <w:r w:rsidRPr="00557717">
        <w:rPr>
          <w:rFonts w:ascii="Calibri" w:hAnsi="Calibri"/>
          <w:sz w:val="22"/>
          <w:szCs w:val="22"/>
        </w:rPr>
        <w:t xml:space="preserve"> prices collected from each responding importer.  There are approximately 150 product category </w:t>
      </w:r>
      <w:r w:rsidRPr="00E241DC">
        <w:rPr>
          <w:rFonts w:ascii="Calibri" w:hAnsi="Calibri"/>
          <w:sz w:val="22"/>
          <w:szCs w:val="22"/>
        </w:rPr>
        <w:t>strata</w:t>
      </w:r>
      <w:r w:rsidRPr="00557717">
        <w:rPr>
          <w:rFonts w:ascii="Calibri" w:hAnsi="Calibri"/>
          <w:sz w:val="22"/>
          <w:szCs w:val="22"/>
        </w:rPr>
        <w:t xml:space="preserve"> in the import sample design.</w:t>
      </w:r>
    </w:p>
    <w:p w:rsidR="00DC44A2" w:rsidRPr="00557717"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spacing w:before="120"/>
        <w:rPr>
          <w:rFonts w:ascii="Calibri" w:hAnsi="Calibri"/>
          <w:b/>
          <w:sz w:val="22"/>
          <w:szCs w:val="22"/>
          <w:u w:val="single"/>
        </w:rPr>
      </w:pPr>
      <w:r w:rsidRPr="00557717">
        <w:rPr>
          <w:rFonts w:ascii="Calibri" w:hAnsi="Calibri"/>
          <w:b/>
          <w:sz w:val="22"/>
          <w:szCs w:val="22"/>
          <w:u w:val="single"/>
        </w:rPr>
        <w:t>Import Response Rates at Initiation</w:t>
      </w:r>
    </w:p>
    <w:p w:rsidR="00DC44A2" w:rsidRDefault="00DC44A2" w:rsidP="00DC44A2">
      <w:pPr>
        <w:tabs>
          <w:tab w:val="left" w:pos="480"/>
          <w:tab w:val="left" w:pos="960"/>
          <w:tab w:val="left" w:pos="1320"/>
          <w:tab w:val="left" w:pos="2400"/>
        </w:tabs>
        <w:spacing w:before="120"/>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This section summarizes IPP response rates at initiation for the last two import samples, at both the quote level and at the establishment level.</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960"/>
          <w:tab w:val="left" w:pos="1320"/>
          <w:tab w:val="left" w:pos="2400"/>
        </w:tabs>
        <w:jc w:val="center"/>
        <w:rPr>
          <w:rFonts w:ascii="Calibri" w:hAnsi="Calibri"/>
          <w:b/>
          <w:sz w:val="22"/>
          <w:szCs w:val="22"/>
        </w:rPr>
      </w:pPr>
      <w:r>
        <w:rPr>
          <w:rFonts w:ascii="Calibri" w:hAnsi="Calibri"/>
          <w:b/>
          <w:sz w:val="22"/>
          <w:szCs w:val="22"/>
        </w:rPr>
        <w:t>Table 6</w:t>
      </w:r>
    </w:p>
    <w:tbl>
      <w:tblPr>
        <w:tblW w:w="4514" w:type="dxa"/>
        <w:jc w:val="center"/>
        <w:tblLook w:val="0000" w:firstRow="0" w:lastRow="0" w:firstColumn="0" w:lastColumn="0" w:noHBand="0" w:noVBand="0"/>
      </w:tblPr>
      <w:tblGrid>
        <w:gridCol w:w="1537"/>
        <w:gridCol w:w="960"/>
        <w:gridCol w:w="960"/>
        <w:gridCol w:w="1057"/>
      </w:tblGrid>
      <w:tr w:rsidR="00DC44A2" w:rsidRPr="00557717" w:rsidTr="003717FA">
        <w:trPr>
          <w:trHeight w:val="270"/>
          <w:jc w:val="center"/>
        </w:trPr>
        <w:tc>
          <w:tcPr>
            <w:tcW w:w="4514"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Unweighted Response Rate at Quote Level</w:t>
            </w:r>
          </w:p>
        </w:tc>
      </w:tr>
      <w:tr w:rsidR="00DC44A2" w:rsidRPr="00557717" w:rsidTr="003717FA">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9D08ED" w:rsidRDefault="00DC44A2" w:rsidP="003717FA">
            <w:pPr>
              <w:rPr>
                <w:rFonts w:ascii="Calibri" w:hAnsi="Calibri"/>
                <w:b/>
                <w:sz w:val="22"/>
                <w:szCs w:val="22"/>
              </w:rPr>
            </w:pPr>
            <w:r w:rsidRPr="009D08ED">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9D08ED" w:rsidRDefault="00DC44A2" w:rsidP="003717FA">
            <w:pPr>
              <w:jc w:val="center"/>
              <w:rPr>
                <w:rFonts w:ascii="Calibri" w:hAnsi="Calibri"/>
                <w:b/>
                <w:sz w:val="22"/>
                <w:szCs w:val="22"/>
              </w:rPr>
            </w:pPr>
            <w:r w:rsidRPr="009D08ED">
              <w:rPr>
                <w:rFonts w:ascii="Calibri" w:hAnsi="Calibri"/>
                <w:b/>
                <w:sz w:val="22"/>
                <w:szCs w:val="22"/>
              </w:rPr>
              <w:t>M</w:t>
            </w:r>
            <w:r>
              <w:rPr>
                <w:rFonts w:ascii="Calibri" w:hAnsi="Calibri"/>
                <w:b/>
                <w:sz w:val="22"/>
                <w:szCs w:val="22"/>
              </w:rPr>
              <w:t>40</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9D08ED" w:rsidRDefault="00DC44A2" w:rsidP="003717FA">
            <w:pPr>
              <w:jc w:val="center"/>
              <w:rPr>
                <w:rFonts w:ascii="Calibri" w:hAnsi="Calibri"/>
                <w:b/>
                <w:sz w:val="22"/>
                <w:szCs w:val="22"/>
              </w:rPr>
            </w:pPr>
            <w:r w:rsidRPr="009D08ED">
              <w:rPr>
                <w:rFonts w:ascii="Calibri" w:hAnsi="Calibri"/>
                <w:b/>
                <w:sz w:val="22"/>
                <w:szCs w:val="22"/>
              </w:rPr>
              <w:t>M</w:t>
            </w:r>
            <w:r>
              <w:rPr>
                <w:rFonts w:ascii="Calibri" w:hAnsi="Calibri"/>
                <w:b/>
                <w:sz w:val="22"/>
                <w:szCs w:val="22"/>
              </w:rPr>
              <w:t>41</w:t>
            </w:r>
          </w:p>
        </w:tc>
        <w:tc>
          <w:tcPr>
            <w:tcW w:w="1057" w:type="dxa"/>
            <w:tcBorders>
              <w:top w:val="single" w:sz="4" w:space="0" w:color="auto"/>
              <w:left w:val="nil"/>
              <w:bottom w:val="single" w:sz="4" w:space="0" w:color="auto"/>
              <w:right w:val="single" w:sz="4" w:space="0" w:color="auto"/>
            </w:tcBorders>
            <w:shd w:val="clear" w:color="auto" w:fill="DBE5F1"/>
            <w:noWrap/>
            <w:vAlign w:val="bottom"/>
          </w:tcPr>
          <w:p w:rsidR="00DC44A2" w:rsidRPr="009D08ED" w:rsidRDefault="00DC44A2" w:rsidP="003717FA">
            <w:pPr>
              <w:jc w:val="center"/>
              <w:rPr>
                <w:rFonts w:ascii="Calibri" w:hAnsi="Calibri"/>
                <w:b/>
                <w:sz w:val="22"/>
                <w:szCs w:val="22"/>
              </w:rPr>
            </w:pPr>
            <w:r w:rsidRPr="009D08ED">
              <w:rPr>
                <w:rFonts w:ascii="Calibri" w:hAnsi="Calibri"/>
                <w:b/>
                <w:sz w:val="22"/>
                <w:szCs w:val="22"/>
              </w:rPr>
              <w:t>Overall</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66.6</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66.8</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66.7</w:t>
            </w:r>
            <w:r w:rsidRPr="00557717">
              <w:rPr>
                <w:rFonts w:ascii="Calibri" w:hAnsi="Calibri"/>
                <w:sz w:val="22"/>
                <w:szCs w:val="22"/>
              </w:rPr>
              <w:t>%</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33.4</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33.2</w:t>
            </w:r>
            <w:r w:rsidRPr="00557717">
              <w:rPr>
                <w:rFonts w:ascii="Calibri" w:hAnsi="Calibri"/>
                <w:sz w:val="22"/>
                <w:szCs w:val="22"/>
              </w:rPr>
              <w:t>%</w:t>
            </w:r>
          </w:p>
        </w:tc>
        <w:tc>
          <w:tcPr>
            <w:tcW w:w="1057"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33.3</w:t>
            </w:r>
            <w:r w:rsidRPr="00557717">
              <w:rPr>
                <w:rFonts w:ascii="Calibri" w:hAnsi="Calibri"/>
                <w:sz w:val="22"/>
                <w:szCs w:val="22"/>
              </w:rPr>
              <w:t>%</w:t>
            </w:r>
          </w:p>
        </w:tc>
      </w:tr>
      <w:tr w:rsidR="00DC44A2" w:rsidRPr="00557717" w:rsidTr="003717FA">
        <w:trPr>
          <w:trHeight w:val="270"/>
          <w:jc w:val="center"/>
        </w:trPr>
        <w:tc>
          <w:tcPr>
            <w:tcW w:w="1537" w:type="dxa"/>
            <w:tcBorders>
              <w:top w:val="nil"/>
              <w:left w:val="nil"/>
              <w:bottom w:val="nil"/>
              <w:right w:val="nil"/>
            </w:tcBorders>
            <w:shd w:val="clear" w:color="auto" w:fill="auto"/>
            <w:noWrap/>
            <w:vAlign w:val="bottom"/>
          </w:tcPr>
          <w:p w:rsidR="00DC44A2" w:rsidRPr="00557717" w:rsidRDefault="00DC44A2" w:rsidP="003717FA">
            <w:pPr>
              <w:rPr>
                <w:rFonts w:ascii="Calibri" w:hAnsi="Calibri"/>
                <w:sz w:val="22"/>
                <w:szCs w:val="22"/>
              </w:rPr>
            </w:pPr>
          </w:p>
        </w:tc>
        <w:tc>
          <w:tcPr>
            <w:tcW w:w="960" w:type="dxa"/>
            <w:tcBorders>
              <w:top w:val="nil"/>
              <w:left w:val="nil"/>
              <w:bottom w:val="nil"/>
              <w:right w:val="nil"/>
            </w:tcBorders>
            <w:shd w:val="clear" w:color="auto" w:fill="auto"/>
            <w:noWrap/>
            <w:vAlign w:val="bottom"/>
          </w:tcPr>
          <w:p w:rsidR="00DC44A2" w:rsidRPr="00557717" w:rsidRDefault="00DC44A2" w:rsidP="003717FA">
            <w:pPr>
              <w:rPr>
                <w:rFonts w:ascii="Calibri" w:hAnsi="Calibri"/>
                <w:sz w:val="22"/>
                <w:szCs w:val="22"/>
              </w:rPr>
            </w:pPr>
          </w:p>
        </w:tc>
        <w:tc>
          <w:tcPr>
            <w:tcW w:w="960" w:type="dxa"/>
            <w:tcBorders>
              <w:top w:val="nil"/>
              <w:left w:val="nil"/>
              <w:bottom w:val="nil"/>
              <w:right w:val="nil"/>
            </w:tcBorders>
            <w:shd w:val="clear" w:color="auto" w:fill="auto"/>
            <w:noWrap/>
            <w:vAlign w:val="bottom"/>
          </w:tcPr>
          <w:p w:rsidR="00DC44A2" w:rsidRPr="00557717" w:rsidRDefault="00DC44A2" w:rsidP="003717FA">
            <w:pPr>
              <w:rPr>
                <w:rFonts w:ascii="Calibri" w:hAnsi="Calibri"/>
                <w:sz w:val="22"/>
                <w:szCs w:val="22"/>
              </w:rPr>
            </w:pPr>
          </w:p>
        </w:tc>
        <w:tc>
          <w:tcPr>
            <w:tcW w:w="1057" w:type="dxa"/>
            <w:tcBorders>
              <w:top w:val="nil"/>
              <w:left w:val="nil"/>
              <w:bottom w:val="nil"/>
              <w:right w:val="nil"/>
            </w:tcBorders>
            <w:shd w:val="clear" w:color="auto" w:fill="auto"/>
            <w:noWrap/>
            <w:vAlign w:val="bottom"/>
          </w:tcPr>
          <w:p w:rsidR="00DC44A2" w:rsidRPr="00557717" w:rsidRDefault="00DC44A2" w:rsidP="003717FA">
            <w:pPr>
              <w:rPr>
                <w:rFonts w:ascii="Calibri" w:hAnsi="Calibri"/>
                <w:sz w:val="22"/>
                <w:szCs w:val="22"/>
              </w:rPr>
            </w:pPr>
          </w:p>
        </w:tc>
      </w:tr>
    </w:tbl>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Table 6 presents unweighted quote resp</w:t>
      </w:r>
      <w:r w:rsidRPr="00557717">
        <w:rPr>
          <w:rFonts w:ascii="Calibri" w:hAnsi="Calibri"/>
          <w:sz w:val="22"/>
          <w:szCs w:val="22"/>
        </w:rPr>
        <w:t>onse rate</w:t>
      </w:r>
      <w:r>
        <w:rPr>
          <w:rFonts w:ascii="Calibri" w:hAnsi="Calibri"/>
          <w:sz w:val="22"/>
          <w:szCs w:val="22"/>
        </w:rPr>
        <w:t>s</w:t>
      </w:r>
      <w:r w:rsidRPr="00557717">
        <w:rPr>
          <w:rFonts w:ascii="Calibri" w:hAnsi="Calibri"/>
          <w:sz w:val="22"/>
          <w:szCs w:val="22"/>
        </w:rPr>
        <w:t xml:space="preserve"> </w:t>
      </w:r>
      <w:r>
        <w:rPr>
          <w:rFonts w:ascii="Calibri" w:hAnsi="Calibri"/>
          <w:sz w:val="22"/>
          <w:szCs w:val="22"/>
        </w:rPr>
        <w:t>at initiation during the l</w:t>
      </w:r>
      <w:r w:rsidRPr="00557717">
        <w:rPr>
          <w:rFonts w:ascii="Calibri" w:hAnsi="Calibri"/>
          <w:sz w:val="22"/>
          <w:szCs w:val="22"/>
        </w:rPr>
        <w:t>ast two import samples</w:t>
      </w:r>
      <w:r>
        <w:rPr>
          <w:rFonts w:ascii="Calibri" w:hAnsi="Calibri"/>
          <w:sz w:val="22"/>
          <w:szCs w:val="22"/>
        </w:rPr>
        <w:t>.  The overall initiation response rate for both samples (combined) is approximately 67</w:t>
      </w:r>
      <w:r w:rsidRPr="00557717">
        <w:rPr>
          <w:rFonts w:ascii="Calibri" w:hAnsi="Calibri"/>
          <w:sz w:val="22"/>
          <w:szCs w:val="22"/>
        </w:rPr>
        <w:t>%</w:t>
      </w:r>
      <w:r>
        <w:rPr>
          <w:rFonts w:ascii="Calibri" w:hAnsi="Calibri"/>
          <w:sz w:val="22"/>
          <w:szCs w:val="22"/>
        </w:rPr>
        <w:t xml:space="preserve"> excluding out-of-scope and out-of-business quotes</w:t>
      </w:r>
      <w:r w:rsidRPr="00557717">
        <w:rPr>
          <w:rFonts w:ascii="Calibri" w:hAnsi="Calibri"/>
          <w:sz w:val="22"/>
          <w:szCs w:val="22"/>
        </w:rPr>
        <w:t>.</w:t>
      </w:r>
      <w:r>
        <w:rPr>
          <w:rFonts w:ascii="Calibri" w:hAnsi="Calibri"/>
          <w:sz w:val="22"/>
          <w:szCs w:val="22"/>
        </w:rPr>
        <w:t xml:space="preserve">  (Quotes considered out-of-scope or out-of-business are not included in the above table as the rates displayed simply indicate whether or not the IPP obtained cooperation.)</w:t>
      </w:r>
      <w:r w:rsidRPr="00557717">
        <w:rPr>
          <w:rFonts w:ascii="Calibri" w:hAnsi="Calibri"/>
          <w:sz w:val="22"/>
          <w:szCs w:val="22"/>
        </w:rPr>
        <w:t xml:space="preserve">  Approximately 2</w:t>
      </w:r>
      <w:r>
        <w:rPr>
          <w:rFonts w:ascii="Calibri" w:hAnsi="Calibri"/>
          <w:sz w:val="22"/>
          <w:szCs w:val="22"/>
        </w:rPr>
        <w:t>1</w:t>
      </w:r>
      <w:r w:rsidRPr="00557717">
        <w:rPr>
          <w:rFonts w:ascii="Calibri" w:hAnsi="Calibri"/>
          <w:sz w:val="22"/>
          <w:szCs w:val="22"/>
        </w:rPr>
        <w:t xml:space="preserve">% of the sampled quotes </w:t>
      </w:r>
      <w:r>
        <w:rPr>
          <w:rFonts w:ascii="Calibri" w:hAnsi="Calibri"/>
          <w:sz w:val="22"/>
          <w:szCs w:val="22"/>
        </w:rPr>
        <w:t>were</w:t>
      </w:r>
      <w:r w:rsidRPr="00557717">
        <w:rPr>
          <w:rFonts w:ascii="Calibri" w:hAnsi="Calibri"/>
          <w:sz w:val="22"/>
          <w:szCs w:val="22"/>
        </w:rPr>
        <w:t xml:space="preserv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1320"/>
          <w:tab w:val="left" w:pos="2400"/>
        </w:tabs>
        <w:jc w:val="center"/>
        <w:rPr>
          <w:rFonts w:ascii="Calibri" w:hAnsi="Calibri"/>
          <w:b/>
          <w:sz w:val="22"/>
          <w:szCs w:val="22"/>
        </w:rPr>
      </w:pPr>
      <w:r>
        <w:rPr>
          <w:rFonts w:ascii="Calibri" w:hAnsi="Calibri"/>
          <w:b/>
          <w:sz w:val="22"/>
          <w:szCs w:val="22"/>
        </w:rPr>
        <w:t>Table 7</w:t>
      </w:r>
    </w:p>
    <w:tbl>
      <w:tblPr>
        <w:tblW w:w="6271" w:type="dxa"/>
        <w:jc w:val="center"/>
        <w:tblLook w:val="0000" w:firstRow="0" w:lastRow="0" w:firstColumn="0" w:lastColumn="0" w:noHBand="0" w:noVBand="0"/>
      </w:tblPr>
      <w:tblGrid>
        <w:gridCol w:w="1840"/>
        <w:gridCol w:w="774"/>
        <w:gridCol w:w="774"/>
        <w:gridCol w:w="1440"/>
        <w:gridCol w:w="1443"/>
      </w:tblGrid>
      <w:tr w:rsidR="00DC44A2" w:rsidRPr="00557717" w:rsidTr="003717FA">
        <w:trPr>
          <w:trHeight w:val="270"/>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Import Quote Counts</w:t>
            </w:r>
          </w:p>
        </w:tc>
      </w:tr>
      <w:tr w:rsidR="00DC44A2" w:rsidRPr="00557717" w:rsidTr="003717FA">
        <w:trPr>
          <w:trHeight w:val="270"/>
          <w:jc w:val="center"/>
        </w:trPr>
        <w:tc>
          <w:tcPr>
            <w:tcW w:w="1840"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557717" w:rsidRDefault="00DC44A2" w:rsidP="003717FA">
            <w:pPr>
              <w:rPr>
                <w:rFonts w:ascii="Calibri" w:hAnsi="Calibri"/>
                <w:b/>
                <w:bCs/>
                <w:sz w:val="22"/>
                <w:szCs w:val="22"/>
              </w:rPr>
            </w:pPr>
            <w:r w:rsidRPr="00557717">
              <w:rPr>
                <w:rFonts w:ascii="Calibri" w:hAnsi="Calibri"/>
                <w:b/>
                <w:bCs/>
                <w:sz w:val="22"/>
                <w:szCs w:val="22"/>
              </w:rPr>
              <w:t>Outcome</w:t>
            </w:r>
          </w:p>
        </w:tc>
        <w:tc>
          <w:tcPr>
            <w:tcW w:w="774"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M</w:t>
            </w:r>
            <w:r>
              <w:rPr>
                <w:rFonts w:ascii="Calibri" w:hAnsi="Calibri"/>
                <w:b/>
                <w:bCs/>
                <w:sz w:val="22"/>
                <w:szCs w:val="22"/>
              </w:rPr>
              <w:t>40</w:t>
            </w:r>
          </w:p>
        </w:tc>
        <w:tc>
          <w:tcPr>
            <w:tcW w:w="774"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M</w:t>
            </w:r>
            <w:r>
              <w:rPr>
                <w:rFonts w:ascii="Calibri" w:hAnsi="Calibri"/>
                <w:b/>
                <w:bCs/>
                <w:sz w:val="22"/>
                <w:szCs w:val="22"/>
              </w:rPr>
              <w:t>41</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 xml:space="preserve">Overall </w:t>
            </w:r>
          </w:p>
        </w:tc>
        <w:tc>
          <w:tcPr>
            <w:tcW w:w="1440" w:type="dxa"/>
            <w:tcBorders>
              <w:top w:val="single" w:sz="4" w:space="0" w:color="auto"/>
              <w:left w:val="nil"/>
              <w:bottom w:val="single" w:sz="4" w:space="0" w:color="auto"/>
              <w:right w:val="single" w:sz="4" w:space="0" w:color="auto"/>
            </w:tcBorders>
            <w:shd w:val="clear" w:color="auto" w:fill="DBE5F1"/>
          </w:tcPr>
          <w:p w:rsidR="00DC44A2" w:rsidRPr="00557717" w:rsidRDefault="00DC44A2" w:rsidP="003717FA">
            <w:pPr>
              <w:jc w:val="right"/>
              <w:rPr>
                <w:rFonts w:ascii="Calibri" w:hAnsi="Calibri"/>
                <w:b/>
                <w:bCs/>
                <w:sz w:val="22"/>
                <w:szCs w:val="22"/>
              </w:rPr>
            </w:pPr>
            <w:r>
              <w:rPr>
                <w:rFonts w:ascii="Calibri" w:hAnsi="Calibri"/>
                <w:b/>
                <w:bCs/>
                <w:sz w:val="22"/>
                <w:szCs w:val="22"/>
              </w:rPr>
              <w:t>Percent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6239</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5684</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11923</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52.8</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3134</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2819</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5953</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26.3</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OOB</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230</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94</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324</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1.4</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OOS</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2086</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2320</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4406</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19.5</w:t>
            </w:r>
            <w:r w:rsidRPr="00E241DC">
              <w:rPr>
                <w:rFonts w:ascii="Calibri" w:hAnsi="Calibri"/>
                <w:bCs/>
                <w:sz w:val="22"/>
                <w:szCs w:val="22"/>
              </w:rPr>
              <w:t>%</w:t>
            </w:r>
          </w:p>
        </w:tc>
      </w:tr>
      <w:tr w:rsidR="00DC44A2" w:rsidRPr="00557717" w:rsidTr="003717FA">
        <w:trPr>
          <w:trHeight w:val="270"/>
          <w:jc w:val="center"/>
        </w:trPr>
        <w:tc>
          <w:tcPr>
            <w:tcW w:w="1840"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11689</w:t>
            </w:r>
          </w:p>
        </w:tc>
        <w:tc>
          <w:tcPr>
            <w:tcW w:w="774"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10917</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22606</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sidRPr="00E241DC">
              <w:rPr>
                <w:rFonts w:ascii="Calibri" w:hAnsi="Calibri"/>
                <w:bCs/>
                <w:sz w:val="22"/>
                <w:szCs w:val="22"/>
              </w:rPr>
              <w:t>100.0%</w:t>
            </w:r>
          </w:p>
        </w:tc>
      </w:tr>
    </w:tbl>
    <w:p w:rsidR="00DC44A2" w:rsidRDefault="00DC44A2" w:rsidP="00DC44A2">
      <w:pPr>
        <w:tabs>
          <w:tab w:val="left" w:pos="48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r>
        <w:rPr>
          <w:rFonts w:ascii="Calibri" w:hAnsi="Calibri"/>
          <w:sz w:val="22"/>
          <w:szCs w:val="22"/>
        </w:rPr>
        <w:t>Table 7 displays the number of quotes from the last two IPP import samples by initiation outcome code.  These numbers were us</w:t>
      </w:r>
      <w:r w:rsidRPr="00557717">
        <w:rPr>
          <w:rFonts w:ascii="Calibri" w:hAnsi="Calibri"/>
          <w:sz w:val="22"/>
          <w:szCs w:val="22"/>
        </w:rPr>
        <w:t xml:space="preserve">ed to calculate the unweighted response rates at the quote level. </w:t>
      </w:r>
    </w:p>
    <w:p w:rsidR="00DC44A2" w:rsidRDefault="00DC44A2" w:rsidP="00DC44A2">
      <w:pPr>
        <w:tabs>
          <w:tab w:val="left" w:pos="480"/>
          <w:tab w:val="left" w:pos="1320"/>
          <w:tab w:val="left" w:pos="2400"/>
        </w:tabs>
        <w:jc w:val="both"/>
        <w:rPr>
          <w:rFonts w:ascii="Calibri" w:hAnsi="Calibri"/>
          <w:sz w:val="22"/>
          <w:szCs w:val="22"/>
        </w:rPr>
      </w:pPr>
    </w:p>
    <w:p w:rsidR="00DC44A2" w:rsidRPr="00146E00" w:rsidRDefault="00DC44A2" w:rsidP="00DC44A2">
      <w:pPr>
        <w:tabs>
          <w:tab w:val="left" w:pos="480"/>
          <w:tab w:val="left" w:pos="960"/>
          <w:tab w:val="left" w:pos="1320"/>
          <w:tab w:val="left" w:pos="2400"/>
        </w:tabs>
        <w:jc w:val="center"/>
        <w:rPr>
          <w:rFonts w:ascii="Calibri" w:hAnsi="Calibri"/>
          <w:b/>
          <w:color w:val="000000"/>
          <w:sz w:val="22"/>
          <w:szCs w:val="22"/>
        </w:rPr>
      </w:pPr>
      <w:r>
        <w:rPr>
          <w:rFonts w:ascii="Calibri" w:hAnsi="Calibri"/>
          <w:b/>
          <w:color w:val="000000"/>
          <w:sz w:val="22"/>
          <w:szCs w:val="22"/>
        </w:rPr>
        <w:t>Table 8</w:t>
      </w:r>
    </w:p>
    <w:tbl>
      <w:tblPr>
        <w:tblW w:w="4417" w:type="dxa"/>
        <w:jc w:val="center"/>
        <w:tblLook w:val="0000" w:firstRow="0" w:lastRow="0" w:firstColumn="0" w:lastColumn="0" w:noHBand="0" w:noVBand="0"/>
      </w:tblPr>
      <w:tblGrid>
        <w:gridCol w:w="1537"/>
        <w:gridCol w:w="960"/>
        <w:gridCol w:w="960"/>
        <w:gridCol w:w="960"/>
      </w:tblGrid>
      <w:tr w:rsidR="00DC44A2" w:rsidRPr="00557717" w:rsidTr="003717FA">
        <w:trPr>
          <w:trHeight w:val="270"/>
          <w:jc w:val="center"/>
        </w:trPr>
        <w:tc>
          <w:tcPr>
            <w:tcW w:w="4417" w:type="dxa"/>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Unweighted Response Rate at Establishment Level</w:t>
            </w:r>
          </w:p>
        </w:tc>
      </w:tr>
      <w:tr w:rsidR="00DC44A2" w:rsidRPr="00557717" w:rsidTr="003717FA">
        <w:trPr>
          <w:trHeight w:val="270"/>
          <w:jc w:val="center"/>
        </w:trPr>
        <w:tc>
          <w:tcPr>
            <w:tcW w:w="153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655351" w:rsidRDefault="00DC44A2" w:rsidP="003717FA">
            <w:pPr>
              <w:rPr>
                <w:rFonts w:ascii="Calibri" w:hAnsi="Calibri"/>
                <w:b/>
                <w:sz w:val="22"/>
                <w:szCs w:val="22"/>
              </w:rPr>
            </w:pPr>
            <w:r w:rsidRPr="00655351">
              <w:rPr>
                <w:rFonts w:ascii="Calibri" w:hAnsi="Calibri"/>
                <w:b/>
                <w:sz w:val="22"/>
                <w:szCs w:val="22"/>
              </w:rPr>
              <w:t>Outcome</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right"/>
              <w:rPr>
                <w:rFonts w:ascii="Calibri" w:hAnsi="Calibri"/>
                <w:b/>
                <w:sz w:val="22"/>
                <w:szCs w:val="22"/>
              </w:rPr>
            </w:pPr>
            <w:r w:rsidRPr="00655351">
              <w:rPr>
                <w:rFonts w:ascii="Calibri" w:hAnsi="Calibri"/>
                <w:b/>
                <w:sz w:val="22"/>
                <w:szCs w:val="22"/>
              </w:rPr>
              <w:t>M</w:t>
            </w:r>
            <w:r>
              <w:rPr>
                <w:rFonts w:ascii="Calibri" w:hAnsi="Calibri"/>
                <w:b/>
                <w:sz w:val="22"/>
                <w:szCs w:val="22"/>
              </w:rPr>
              <w:t>40</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right"/>
              <w:rPr>
                <w:rFonts w:ascii="Calibri" w:hAnsi="Calibri"/>
                <w:b/>
                <w:sz w:val="22"/>
                <w:szCs w:val="22"/>
              </w:rPr>
            </w:pPr>
            <w:r w:rsidRPr="00655351">
              <w:rPr>
                <w:rFonts w:ascii="Calibri" w:hAnsi="Calibri"/>
                <w:b/>
                <w:sz w:val="22"/>
                <w:szCs w:val="22"/>
              </w:rPr>
              <w:t>M</w:t>
            </w:r>
            <w:r>
              <w:rPr>
                <w:rFonts w:ascii="Calibri" w:hAnsi="Calibri"/>
                <w:b/>
                <w:sz w:val="22"/>
                <w:szCs w:val="22"/>
              </w:rPr>
              <w:t>41</w:t>
            </w:r>
          </w:p>
        </w:tc>
        <w:tc>
          <w:tcPr>
            <w:tcW w:w="960" w:type="dxa"/>
            <w:tcBorders>
              <w:top w:val="single" w:sz="4" w:space="0" w:color="auto"/>
              <w:left w:val="nil"/>
              <w:bottom w:val="single" w:sz="4" w:space="0" w:color="auto"/>
              <w:right w:val="single" w:sz="4" w:space="0" w:color="auto"/>
            </w:tcBorders>
            <w:shd w:val="clear" w:color="auto" w:fill="DBE5F1"/>
            <w:noWrap/>
            <w:vAlign w:val="bottom"/>
          </w:tcPr>
          <w:p w:rsidR="00DC44A2" w:rsidRPr="00655351" w:rsidRDefault="00DC44A2" w:rsidP="003717FA">
            <w:pPr>
              <w:jc w:val="right"/>
              <w:rPr>
                <w:rFonts w:ascii="Calibri" w:hAnsi="Calibri"/>
                <w:b/>
                <w:sz w:val="22"/>
                <w:szCs w:val="22"/>
              </w:rPr>
            </w:pPr>
            <w:r w:rsidRPr="00655351">
              <w:rPr>
                <w:rFonts w:ascii="Calibri" w:hAnsi="Calibri"/>
                <w:b/>
                <w:sz w:val="22"/>
                <w:szCs w:val="22"/>
              </w:rPr>
              <w:t>Overall</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77.4</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D53F97" w:rsidRDefault="00DC44A2" w:rsidP="003717FA">
            <w:pPr>
              <w:jc w:val="right"/>
              <w:rPr>
                <w:rFonts w:ascii="Calibri" w:hAnsi="Calibri"/>
                <w:sz w:val="22"/>
                <w:szCs w:val="22"/>
              </w:rPr>
            </w:pPr>
            <w:r w:rsidRPr="00D53F97">
              <w:rPr>
                <w:rFonts w:ascii="Calibri" w:hAnsi="Calibri"/>
                <w:sz w:val="22"/>
                <w:szCs w:val="22"/>
              </w:rPr>
              <w:t>78.9%</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78.1</w:t>
            </w:r>
            <w:r w:rsidRPr="00557717">
              <w:rPr>
                <w:rFonts w:ascii="Calibri" w:hAnsi="Calibri"/>
                <w:sz w:val="22"/>
                <w:szCs w:val="22"/>
              </w:rPr>
              <w:t>%</w:t>
            </w:r>
          </w:p>
        </w:tc>
      </w:tr>
      <w:tr w:rsidR="00DC44A2" w:rsidRPr="00557717" w:rsidTr="003717FA">
        <w:trPr>
          <w:trHeight w:val="270"/>
          <w:jc w:val="center"/>
        </w:trPr>
        <w:tc>
          <w:tcPr>
            <w:tcW w:w="1537"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22.6</w:t>
            </w:r>
            <w:r w:rsidRPr="00557717">
              <w:rPr>
                <w:rFonts w:ascii="Calibri" w:hAnsi="Calibri"/>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DC44A2" w:rsidRPr="00D53F97" w:rsidRDefault="00DC44A2" w:rsidP="003717FA">
            <w:pPr>
              <w:jc w:val="right"/>
              <w:rPr>
                <w:rFonts w:ascii="Calibri" w:hAnsi="Calibri"/>
                <w:sz w:val="22"/>
                <w:szCs w:val="22"/>
              </w:rPr>
            </w:pPr>
            <w:r w:rsidRPr="00D53F97">
              <w:rPr>
                <w:rFonts w:ascii="Calibri" w:hAnsi="Calibri"/>
                <w:sz w:val="22"/>
                <w:szCs w:val="22"/>
              </w:rPr>
              <w:t>21.1%</w:t>
            </w:r>
          </w:p>
        </w:tc>
        <w:tc>
          <w:tcPr>
            <w:tcW w:w="960"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21.9</w:t>
            </w:r>
            <w:r w:rsidRPr="00557717">
              <w:rPr>
                <w:rFonts w:ascii="Calibri" w:hAnsi="Calibri"/>
                <w:sz w:val="22"/>
                <w:szCs w:val="22"/>
              </w:rPr>
              <w:t>%</w:t>
            </w:r>
          </w:p>
        </w:tc>
      </w:tr>
    </w:tbl>
    <w:p w:rsidR="00DC44A2" w:rsidRDefault="00DC44A2" w:rsidP="00DC44A2">
      <w:pPr>
        <w:tabs>
          <w:tab w:val="left" w:pos="480"/>
          <w:tab w:val="left" w:pos="960"/>
          <w:tab w:val="left" w:pos="1320"/>
          <w:tab w:val="left" w:pos="2400"/>
        </w:tabs>
        <w:ind w:left="576"/>
        <w:jc w:val="both"/>
        <w:rPr>
          <w:rFonts w:ascii="Calibri" w:hAnsi="Calibri"/>
          <w:color w:val="000000"/>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 xml:space="preserve">Unweighted establishment response rates at initiation are presented for the last two IPP import samples in Table 8.  The overall initiation </w:t>
      </w:r>
      <w:r w:rsidRPr="00557717">
        <w:rPr>
          <w:rFonts w:ascii="Calibri" w:hAnsi="Calibri"/>
          <w:sz w:val="22"/>
          <w:szCs w:val="22"/>
        </w:rPr>
        <w:t xml:space="preserve">response rate </w:t>
      </w:r>
      <w:r>
        <w:rPr>
          <w:rFonts w:ascii="Calibri" w:hAnsi="Calibri"/>
          <w:sz w:val="22"/>
          <w:szCs w:val="22"/>
        </w:rPr>
        <w:t>for both samples (combined) is approximately 78</w:t>
      </w:r>
      <w:r w:rsidRPr="00557717">
        <w:rPr>
          <w:rFonts w:ascii="Calibri" w:hAnsi="Calibri"/>
          <w:sz w:val="22"/>
          <w:szCs w:val="22"/>
        </w:rPr>
        <w:t>%</w:t>
      </w:r>
      <w:r>
        <w:rPr>
          <w:rFonts w:ascii="Calibri" w:hAnsi="Calibri"/>
          <w:sz w:val="22"/>
          <w:szCs w:val="22"/>
        </w:rPr>
        <w:t xml:space="preserve"> excluding out-of-scope and out-of-business units.  (Units considered out-of-scope or out-of-business are not included in the above table as the rates displayed simply indicate whether or not the IPP obtained cooperation.)  </w:t>
      </w:r>
      <w:r w:rsidRPr="00557717">
        <w:rPr>
          <w:rFonts w:ascii="Calibri" w:hAnsi="Calibri"/>
          <w:sz w:val="22"/>
          <w:szCs w:val="22"/>
        </w:rPr>
        <w:t>Approximately 1</w:t>
      </w:r>
      <w:r>
        <w:rPr>
          <w:rFonts w:ascii="Calibri" w:hAnsi="Calibri"/>
          <w:sz w:val="22"/>
          <w:szCs w:val="22"/>
        </w:rPr>
        <w:t>6</w:t>
      </w:r>
      <w:r w:rsidRPr="00557717">
        <w:rPr>
          <w:rFonts w:ascii="Calibri" w:hAnsi="Calibri"/>
          <w:sz w:val="22"/>
          <w:szCs w:val="22"/>
        </w:rPr>
        <w:t>% of the units sampled are either out</w:t>
      </w:r>
      <w:r w:rsidRPr="00557717">
        <w:rPr>
          <w:rFonts w:ascii="Calibri" w:hAnsi="Calibri"/>
          <w:sz w:val="22"/>
          <w:szCs w:val="22"/>
        </w:rPr>
        <w:noBreakHyphen/>
        <w:t>of</w:t>
      </w:r>
      <w:r w:rsidRPr="00557717">
        <w:rPr>
          <w:rFonts w:ascii="Calibri" w:hAnsi="Calibri"/>
          <w:sz w:val="22"/>
          <w:szCs w:val="22"/>
        </w:rPr>
        <w:noBreakHyphen/>
        <w:t>scope or out</w:t>
      </w:r>
      <w:r w:rsidRPr="00557717">
        <w:rPr>
          <w:rFonts w:ascii="Calibri" w:hAnsi="Calibri"/>
          <w:sz w:val="22"/>
          <w:szCs w:val="22"/>
        </w:rPr>
        <w:noBreakHyphen/>
        <w:t>of</w:t>
      </w:r>
      <w:r w:rsidRPr="00557717">
        <w:rPr>
          <w:rFonts w:ascii="Calibri" w:hAnsi="Calibri"/>
          <w:sz w:val="22"/>
          <w:szCs w:val="22"/>
        </w:rPr>
        <w:noBreakHyphen/>
        <w:t>business</w:t>
      </w:r>
      <w:r>
        <w:rPr>
          <w:rFonts w:ascii="Calibri" w:hAnsi="Calibri"/>
          <w:sz w:val="22"/>
          <w:szCs w:val="22"/>
        </w:rPr>
        <w:t xml:space="preserve"> (as indicated in the following table)</w:t>
      </w:r>
      <w:r w:rsidRPr="00557717">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tabs>
          <w:tab w:val="left" w:pos="480"/>
          <w:tab w:val="left" w:pos="1320"/>
          <w:tab w:val="left" w:pos="2400"/>
        </w:tabs>
        <w:jc w:val="center"/>
        <w:rPr>
          <w:rFonts w:ascii="Calibri" w:hAnsi="Calibri"/>
          <w:b/>
          <w:sz w:val="22"/>
          <w:szCs w:val="22"/>
        </w:rPr>
      </w:pPr>
      <w:r>
        <w:rPr>
          <w:rFonts w:ascii="Calibri" w:hAnsi="Calibri"/>
          <w:b/>
          <w:sz w:val="22"/>
          <w:szCs w:val="22"/>
        </w:rPr>
        <w:t>Table 9</w:t>
      </w:r>
    </w:p>
    <w:tbl>
      <w:tblPr>
        <w:tblW w:w="6454" w:type="dxa"/>
        <w:jc w:val="center"/>
        <w:tblLook w:val="0000" w:firstRow="0" w:lastRow="0" w:firstColumn="0" w:lastColumn="0" w:noHBand="0" w:noVBand="0"/>
      </w:tblPr>
      <w:tblGrid>
        <w:gridCol w:w="1843"/>
        <w:gridCol w:w="749"/>
        <w:gridCol w:w="749"/>
        <w:gridCol w:w="1440"/>
        <w:gridCol w:w="1673"/>
      </w:tblGrid>
      <w:tr w:rsidR="00DC44A2" w:rsidRPr="00557717" w:rsidTr="003717FA">
        <w:trPr>
          <w:trHeight w:val="270"/>
          <w:jc w:val="center"/>
        </w:trPr>
        <w:tc>
          <w:tcPr>
            <w:tcW w:w="6454"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tcPr>
          <w:p w:rsidR="00DC44A2" w:rsidRPr="00557717" w:rsidRDefault="00DC44A2" w:rsidP="003717FA">
            <w:pPr>
              <w:jc w:val="center"/>
              <w:rPr>
                <w:rFonts w:ascii="Calibri" w:hAnsi="Calibri"/>
                <w:b/>
                <w:bCs/>
                <w:sz w:val="22"/>
                <w:szCs w:val="22"/>
              </w:rPr>
            </w:pPr>
            <w:r w:rsidRPr="00557717">
              <w:rPr>
                <w:rFonts w:ascii="Calibri" w:hAnsi="Calibri"/>
                <w:b/>
                <w:bCs/>
                <w:sz w:val="22"/>
                <w:szCs w:val="22"/>
              </w:rPr>
              <w:t>Import Establishment Counts</w:t>
            </w:r>
          </w:p>
        </w:tc>
      </w:tr>
      <w:tr w:rsidR="00DC44A2" w:rsidRPr="00557717" w:rsidTr="003717FA">
        <w:trPr>
          <w:trHeight w:val="270"/>
          <w:jc w:val="center"/>
        </w:trPr>
        <w:tc>
          <w:tcPr>
            <w:tcW w:w="1843"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DC44A2" w:rsidRPr="00557717" w:rsidRDefault="00DC44A2" w:rsidP="003717FA">
            <w:pPr>
              <w:rPr>
                <w:rFonts w:ascii="Calibri" w:hAnsi="Calibri"/>
                <w:b/>
                <w:bCs/>
                <w:sz w:val="22"/>
                <w:szCs w:val="22"/>
              </w:rPr>
            </w:pPr>
            <w:r w:rsidRPr="00557717">
              <w:rPr>
                <w:rFonts w:ascii="Calibri" w:hAnsi="Calibri"/>
                <w:b/>
                <w:bCs/>
                <w:sz w:val="22"/>
                <w:szCs w:val="22"/>
              </w:rPr>
              <w:t>Outcome</w:t>
            </w:r>
          </w:p>
        </w:tc>
        <w:tc>
          <w:tcPr>
            <w:tcW w:w="749"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7</w:t>
            </w:r>
          </w:p>
        </w:tc>
        <w:tc>
          <w:tcPr>
            <w:tcW w:w="749"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M3</w:t>
            </w:r>
            <w:r>
              <w:rPr>
                <w:rFonts w:ascii="Calibri" w:hAnsi="Calibri"/>
                <w:b/>
                <w:bCs/>
                <w:sz w:val="22"/>
                <w:szCs w:val="22"/>
              </w:rPr>
              <w:t>8</w:t>
            </w:r>
          </w:p>
        </w:tc>
        <w:tc>
          <w:tcPr>
            <w:tcW w:w="1440" w:type="dxa"/>
            <w:tcBorders>
              <w:top w:val="single" w:sz="4" w:space="0" w:color="auto"/>
              <w:left w:val="nil"/>
              <w:bottom w:val="single" w:sz="4" w:space="0" w:color="auto"/>
              <w:right w:val="single" w:sz="4" w:space="0" w:color="auto"/>
            </w:tcBorders>
            <w:shd w:val="clear" w:color="auto" w:fill="DBE5F1"/>
            <w:noWrap/>
            <w:vAlign w:val="bottom"/>
          </w:tcPr>
          <w:p w:rsidR="00DC44A2" w:rsidRPr="00557717" w:rsidRDefault="00DC44A2" w:rsidP="003717FA">
            <w:pPr>
              <w:jc w:val="right"/>
              <w:rPr>
                <w:rFonts w:ascii="Calibri" w:hAnsi="Calibri"/>
                <w:b/>
                <w:bCs/>
                <w:sz w:val="22"/>
                <w:szCs w:val="22"/>
              </w:rPr>
            </w:pPr>
            <w:r w:rsidRPr="00557717">
              <w:rPr>
                <w:rFonts w:ascii="Calibri" w:hAnsi="Calibri"/>
                <w:b/>
                <w:bCs/>
                <w:sz w:val="22"/>
                <w:szCs w:val="22"/>
              </w:rPr>
              <w:t>Overall</w:t>
            </w:r>
          </w:p>
        </w:tc>
        <w:tc>
          <w:tcPr>
            <w:tcW w:w="1440" w:type="dxa"/>
            <w:tcBorders>
              <w:top w:val="single" w:sz="4" w:space="0" w:color="auto"/>
              <w:left w:val="nil"/>
              <w:bottom w:val="single" w:sz="4" w:space="0" w:color="auto"/>
              <w:right w:val="single" w:sz="4" w:space="0" w:color="auto"/>
            </w:tcBorders>
            <w:shd w:val="clear" w:color="auto" w:fill="DBE5F1"/>
          </w:tcPr>
          <w:p w:rsidR="00DC44A2" w:rsidRPr="00557717" w:rsidRDefault="00DC44A2" w:rsidP="003717FA">
            <w:pPr>
              <w:jc w:val="right"/>
              <w:rPr>
                <w:rFonts w:ascii="Calibri" w:hAnsi="Calibri"/>
                <w:b/>
                <w:bCs/>
                <w:sz w:val="22"/>
                <w:szCs w:val="22"/>
              </w:rPr>
            </w:pPr>
            <w:r>
              <w:rPr>
                <w:rFonts w:ascii="Calibri" w:hAnsi="Calibri"/>
                <w:b/>
                <w:bCs/>
                <w:sz w:val="22"/>
                <w:szCs w:val="22"/>
              </w:rPr>
              <w:t>Percent</w:t>
            </w:r>
          </w:p>
        </w:tc>
      </w:tr>
      <w:tr w:rsidR="00DC44A2" w:rsidRPr="00557717" w:rsidTr="003717FA">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Cooperative</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1131</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1125</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2256</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65.7</w:t>
            </w:r>
            <w:r w:rsidRPr="00E241DC">
              <w:rPr>
                <w:rFonts w:ascii="Calibri" w:hAnsi="Calibri"/>
                <w:bCs/>
                <w:sz w:val="22"/>
                <w:szCs w:val="22"/>
              </w:rPr>
              <w:t>%</w:t>
            </w:r>
          </w:p>
        </w:tc>
      </w:tr>
      <w:tr w:rsidR="00DC44A2" w:rsidRPr="00557717" w:rsidTr="003717FA">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Refusal</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330</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301</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631</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18.4</w:t>
            </w:r>
            <w:r w:rsidRPr="00E241DC">
              <w:rPr>
                <w:rFonts w:ascii="Calibri" w:hAnsi="Calibri"/>
                <w:bCs/>
                <w:sz w:val="22"/>
                <w:szCs w:val="22"/>
              </w:rPr>
              <w:t>%</w:t>
            </w:r>
          </w:p>
        </w:tc>
      </w:tr>
      <w:tr w:rsidR="00DC44A2" w:rsidRPr="00557717" w:rsidTr="003717FA">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OOB</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42</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17</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59</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1.7</w:t>
            </w:r>
            <w:r w:rsidRPr="00E241DC">
              <w:rPr>
                <w:rFonts w:ascii="Calibri" w:hAnsi="Calibri"/>
                <w:bCs/>
                <w:sz w:val="22"/>
                <w:szCs w:val="22"/>
              </w:rPr>
              <w:t>%</w:t>
            </w:r>
          </w:p>
        </w:tc>
      </w:tr>
      <w:tr w:rsidR="00DC44A2" w:rsidRPr="00557717" w:rsidTr="003717FA">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sidRPr="00557717">
              <w:rPr>
                <w:rFonts w:ascii="Calibri" w:hAnsi="Calibri"/>
                <w:sz w:val="22"/>
                <w:szCs w:val="22"/>
              </w:rPr>
              <w:t>OOS</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199</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290</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489</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Pr>
                <w:rFonts w:ascii="Calibri" w:hAnsi="Calibri"/>
                <w:bCs/>
                <w:sz w:val="22"/>
                <w:szCs w:val="22"/>
              </w:rPr>
              <w:t>14.2</w:t>
            </w:r>
            <w:r w:rsidRPr="00E241DC">
              <w:rPr>
                <w:rFonts w:ascii="Calibri" w:hAnsi="Calibri"/>
                <w:bCs/>
                <w:sz w:val="22"/>
                <w:szCs w:val="22"/>
              </w:rPr>
              <w:t>%</w:t>
            </w:r>
          </w:p>
        </w:tc>
      </w:tr>
      <w:tr w:rsidR="00DC44A2" w:rsidRPr="00557717" w:rsidTr="003717FA">
        <w:trPr>
          <w:trHeight w:val="270"/>
          <w:jc w:val="center"/>
        </w:trPr>
        <w:tc>
          <w:tcPr>
            <w:tcW w:w="1843" w:type="dxa"/>
            <w:tcBorders>
              <w:top w:val="nil"/>
              <w:left w:val="single" w:sz="4" w:space="0" w:color="auto"/>
              <w:bottom w:val="single" w:sz="4" w:space="0" w:color="auto"/>
              <w:right w:val="single" w:sz="4" w:space="0" w:color="auto"/>
            </w:tcBorders>
            <w:shd w:val="clear" w:color="auto" w:fill="auto"/>
            <w:noWrap/>
            <w:vAlign w:val="bottom"/>
          </w:tcPr>
          <w:p w:rsidR="00DC44A2" w:rsidRPr="00557717" w:rsidRDefault="00DC44A2" w:rsidP="003717FA">
            <w:pPr>
              <w:rPr>
                <w:rFonts w:ascii="Calibri" w:hAnsi="Calibri"/>
                <w:sz w:val="22"/>
                <w:szCs w:val="22"/>
              </w:rPr>
            </w:pPr>
            <w:r>
              <w:rPr>
                <w:rFonts w:ascii="Calibri" w:hAnsi="Calibri"/>
                <w:sz w:val="22"/>
                <w:szCs w:val="22"/>
              </w:rPr>
              <w:t xml:space="preserve">Grand </w:t>
            </w:r>
            <w:r w:rsidRPr="00557717">
              <w:rPr>
                <w:rFonts w:ascii="Calibri" w:hAnsi="Calibri"/>
                <w:sz w:val="22"/>
                <w:szCs w:val="22"/>
              </w:rPr>
              <w:t>Total</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1702</w:t>
            </w:r>
          </w:p>
        </w:tc>
        <w:tc>
          <w:tcPr>
            <w:tcW w:w="749" w:type="dxa"/>
            <w:tcBorders>
              <w:top w:val="nil"/>
              <w:left w:val="nil"/>
              <w:bottom w:val="single" w:sz="4" w:space="0" w:color="auto"/>
              <w:right w:val="single" w:sz="4" w:space="0" w:color="auto"/>
            </w:tcBorders>
            <w:shd w:val="clear" w:color="auto" w:fill="auto"/>
            <w:noWrap/>
            <w:vAlign w:val="bottom"/>
          </w:tcPr>
          <w:p w:rsidR="00DC44A2" w:rsidRPr="00557717" w:rsidRDefault="00DC44A2" w:rsidP="003717FA">
            <w:pPr>
              <w:jc w:val="right"/>
              <w:rPr>
                <w:rFonts w:ascii="Calibri" w:hAnsi="Calibri"/>
                <w:sz w:val="22"/>
                <w:szCs w:val="22"/>
              </w:rPr>
            </w:pPr>
            <w:r>
              <w:rPr>
                <w:rFonts w:ascii="Calibri" w:hAnsi="Calibri"/>
                <w:sz w:val="22"/>
                <w:szCs w:val="22"/>
              </w:rPr>
              <w:t>1733</w:t>
            </w:r>
          </w:p>
        </w:tc>
        <w:tc>
          <w:tcPr>
            <w:tcW w:w="1440" w:type="dxa"/>
            <w:tcBorders>
              <w:top w:val="nil"/>
              <w:left w:val="nil"/>
              <w:bottom w:val="single" w:sz="4" w:space="0" w:color="auto"/>
              <w:right w:val="single" w:sz="4" w:space="0" w:color="auto"/>
            </w:tcBorders>
            <w:shd w:val="clear" w:color="auto" w:fill="auto"/>
            <w:noWrap/>
            <w:vAlign w:val="bottom"/>
          </w:tcPr>
          <w:p w:rsidR="00DC44A2" w:rsidRPr="00E241DC" w:rsidRDefault="00DC44A2" w:rsidP="003717FA">
            <w:pPr>
              <w:jc w:val="right"/>
              <w:rPr>
                <w:rFonts w:ascii="Calibri" w:hAnsi="Calibri"/>
                <w:bCs/>
                <w:sz w:val="22"/>
                <w:szCs w:val="22"/>
              </w:rPr>
            </w:pPr>
            <w:r>
              <w:rPr>
                <w:rFonts w:ascii="Calibri" w:hAnsi="Calibri"/>
                <w:bCs/>
                <w:sz w:val="22"/>
                <w:szCs w:val="22"/>
              </w:rPr>
              <w:t>3435</w:t>
            </w:r>
          </w:p>
        </w:tc>
        <w:tc>
          <w:tcPr>
            <w:tcW w:w="1440" w:type="dxa"/>
            <w:tcBorders>
              <w:top w:val="nil"/>
              <w:left w:val="nil"/>
              <w:bottom w:val="single" w:sz="4" w:space="0" w:color="auto"/>
              <w:right w:val="single" w:sz="4" w:space="0" w:color="auto"/>
            </w:tcBorders>
          </w:tcPr>
          <w:p w:rsidR="00DC44A2" w:rsidRPr="00E241DC" w:rsidRDefault="00DC44A2" w:rsidP="003717FA">
            <w:pPr>
              <w:jc w:val="right"/>
              <w:rPr>
                <w:rFonts w:ascii="Calibri" w:hAnsi="Calibri"/>
                <w:bCs/>
                <w:sz w:val="22"/>
                <w:szCs w:val="22"/>
              </w:rPr>
            </w:pPr>
            <w:r w:rsidRPr="00E241DC">
              <w:rPr>
                <w:rFonts w:ascii="Calibri" w:hAnsi="Calibri"/>
                <w:bCs/>
                <w:sz w:val="22"/>
                <w:szCs w:val="22"/>
              </w:rPr>
              <w:t>100.0%</w:t>
            </w:r>
          </w:p>
        </w:tc>
      </w:tr>
    </w:tbl>
    <w:p w:rsidR="00DC44A2" w:rsidRDefault="00DC44A2" w:rsidP="00DC44A2">
      <w:pPr>
        <w:tabs>
          <w:tab w:val="left" w:pos="480"/>
          <w:tab w:val="left" w:pos="960"/>
          <w:tab w:val="left" w:pos="1320"/>
          <w:tab w:val="left" w:pos="2400"/>
        </w:tabs>
        <w:jc w:val="both"/>
        <w:rPr>
          <w:rFonts w:ascii="Calibri" w:hAnsi="Calibri"/>
          <w:b/>
          <w:sz w:val="22"/>
          <w:szCs w:val="22"/>
          <w:u w:val="single"/>
        </w:rPr>
      </w:pPr>
    </w:p>
    <w:p w:rsidR="00DC44A2" w:rsidRDefault="00DC44A2" w:rsidP="00DC44A2">
      <w:pPr>
        <w:tabs>
          <w:tab w:val="left" w:pos="480"/>
          <w:tab w:val="left" w:pos="1320"/>
          <w:tab w:val="left" w:pos="2400"/>
        </w:tabs>
        <w:jc w:val="both"/>
        <w:rPr>
          <w:rFonts w:ascii="Calibri" w:hAnsi="Calibri"/>
          <w:sz w:val="22"/>
          <w:szCs w:val="22"/>
        </w:rPr>
      </w:pPr>
    </w:p>
    <w:p w:rsidR="00DC44A2" w:rsidRDefault="00DC44A2" w:rsidP="00DC44A2">
      <w:pPr>
        <w:tabs>
          <w:tab w:val="left" w:pos="480"/>
          <w:tab w:val="left" w:pos="1320"/>
          <w:tab w:val="left" w:pos="2400"/>
        </w:tabs>
        <w:jc w:val="both"/>
        <w:rPr>
          <w:rFonts w:ascii="Calibri" w:hAnsi="Calibri"/>
          <w:sz w:val="22"/>
          <w:szCs w:val="22"/>
        </w:rPr>
      </w:pPr>
      <w:r>
        <w:rPr>
          <w:rFonts w:ascii="Calibri" w:hAnsi="Calibri"/>
          <w:sz w:val="22"/>
          <w:szCs w:val="22"/>
        </w:rPr>
        <w:t>Table 9 displays the number of establishments from the last two IPP import samples by initiation outcome code.  These numbers were used to calculate the unweighted response rates at the establishment level.</w:t>
      </w:r>
      <w:r w:rsidRPr="00557717">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b/>
          <w:sz w:val="22"/>
          <w:szCs w:val="22"/>
          <w:u w:val="single"/>
        </w:rPr>
      </w:pPr>
      <w:r w:rsidRPr="00557717">
        <w:rPr>
          <w:rFonts w:ascii="Calibri" w:hAnsi="Calibri"/>
          <w:b/>
          <w:sz w:val="22"/>
          <w:szCs w:val="22"/>
          <w:u w:val="single"/>
        </w:rPr>
        <w:t>Import Response Rates for Repricing</w:t>
      </w:r>
    </w:p>
    <w:p w:rsidR="00DC44A2" w:rsidRDefault="00DC44A2" w:rsidP="00DC44A2">
      <w:pPr>
        <w:tabs>
          <w:tab w:val="left" w:pos="480"/>
          <w:tab w:val="left" w:pos="960"/>
          <w:tab w:val="left" w:pos="1320"/>
          <w:tab w:val="left" w:pos="2400"/>
        </w:tabs>
        <w:jc w:val="both"/>
        <w:rPr>
          <w:rFonts w:ascii="Calibri" w:hAnsi="Calibri"/>
          <w:b/>
          <w:sz w:val="22"/>
          <w:szCs w:val="22"/>
          <w:u w:val="single"/>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 xml:space="preserve">Once an establishment agrees to provide price data to the IPP at initiation, each unique item to be repriced for the establishment is loaded into the </w:t>
      </w:r>
      <w:r>
        <w:rPr>
          <w:rFonts w:ascii="Calibri" w:hAnsi="Calibri"/>
          <w:sz w:val="22"/>
          <w:szCs w:val="22"/>
        </w:rPr>
        <w:t>r</w:t>
      </w:r>
      <w:r w:rsidRPr="00557717">
        <w:rPr>
          <w:rFonts w:ascii="Calibri" w:hAnsi="Calibri"/>
          <w:sz w:val="22"/>
          <w:szCs w:val="22"/>
        </w:rPr>
        <w:t xml:space="preserve">epricing and </w:t>
      </w:r>
      <w:r>
        <w:rPr>
          <w:rFonts w:ascii="Calibri" w:hAnsi="Calibri"/>
          <w:sz w:val="22"/>
          <w:szCs w:val="22"/>
        </w:rPr>
        <w:t>e</w:t>
      </w:r>
      <w:r w:rsidRPr="00557717">
        <w:rPr>
          <w:rFonts w:ascii="Calibri" w:hAnsi="Calibri"/>
          <w:sz w:val="22"/>
          <w:szCs w:val="22"/>
        </w:rPr>
        <w:t xml:space="preserve">stimation portions of the IPP Unified </w:t>
      </w:r>
      <w:r w:rsidRPr="00E241DC">
        <w:rPr>
          <w:rFonts w:ascii="Calibri" w:hAnsi="Calibri"/>
          <w:sz w:val="22"/>
          <w:szCs w:val="22"/>
        </w:rPr>
        <w:t xml:space="preserve">Database.  In most cases, an item represents a single quote from one sample, but in some cases, an item represents multiple quotes from a single sample, or one or more quotes from more than one sample.  </w:t>
      </w:r>
      <w:r>
        <w:rPr>
          <w:rFonts w:ascii="Calibri" w:hAnsi="Calibri"/>
          <w:sz w:val="22"/>
          <w:szCs w:val="22"/>
        </w:rPr>
        <w:t>IPP repricing rates are calculated based on the unique items being repriced.</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Pr>
          <w:rFonts w:ascii="Calibri" w:hAnsi="Calibri"/>
          <w:sz w:val="22"/>
          <w:szCs w:val="22"/>
        </w:rPr>
        <w:t>The IPP continues data collection three months after data for the reference month was first published; therefore, the fourth publishing represents the final revision.  Table 10 displays</w:t>
      </w:r>
      <w:r w:rsidRPr="00557717">
        <w:rPr>
          <w:rFonts w:ascii="Calibri" w:hAnsi="Calibri"/>
          <w:sz w:val="22"/>
          <w:szCs w:val="22"/>
        </w:rPr>
        <w:t xml:space="preserve"> unweighted response rates </w:t>
      </w:r>
      <w:r>
        <w:rPr>
          <w:rFonts w:ascii="Calibri" w:hAnsi="Calibri"/>
          <w:sz w:val="22"/>
          <w:szCs w:val="22"/>
        </w:rPr>
        <w:t xml:space="preserve">at the time of final revision, for reference months </w:t>
      </w:r>
      <w:r w:rsidRPr="00557717">
        <w:rPr>
          <w:rFonts w:ascii="Calibri" w:hAnsi="Calibri"/>
          <w:sz w:val="22"/>
          <w:szCs w:val="22"/>
        </w:rPr>
        <w:t xml:space="preserve">January </w:t>
      </w:r>
      <w:r>
        <w:rPr>
          <w:rFonts w:ascii="Calibri" w:hAnsi="Calibri"/>
          <w:sz w:val="22"/>
          <w:szCs w:val="22"/>
        </w:rPr>
        <w:t>2015</w:t>
      </w:r>
      <w:r w:rsidRPr="00557717">
        <w:rPr>
          <w:rFonts w:ascii="Calibri" w:hAnsi="Calibri"/>
          <w:sz w:val="22"/>
          <w:szCs w:val="22"/>
        </w:rPr>
        <w:t xml:space="preserve"> – </w:t>
      </w:r>
      <w:r>
        <w:rPr>
          <w:rFonts w:ascii="Calibri" w:hAnsi="Calibri"/>
          <w:sz w:val="22"/>
          <w:szCs w:val="22"/>
        </w:rPr>
        <w:t>December 2017</w:t>
      </w:r>
      <w:r w:rsidRPr="00557717">
        <w:rPr>
          <w:rFonts w:ascii="Calibri" w:hAnsi="Calibri"/>
          <w:sz w:val="22"/>
          <w:szCs w:val="22"/>
        </w:rPr>
        <w:t xml:space="preserve">. </w:t>
      </w:r>
      <w:r>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Pr="00146E00" w:rsidRDefault="00DC44A2" w:rsidP="00DC44A2">
      <w:pPr>
        <w:jc w:val="center"/>
        <w:rPr>
          <w:rFonts w:ascii="Calibri" w:hAnsi="Calibri"/>
          <w:b/>
          <w:sz w:val="22"/>
          <w:szCs w:val="22"/>
        </w:rPr>
      </w:pPr>
      <w:r>
        <w:rPr>
          <w:rFonts w:ascii="Calibri" w:hAnsi="Calibri"/>
          <w:b/>
          <w:sz w:val="22"/>
          <w:szCs w:val="22"/>
        </w:rPr>
        <w:t>Table 10</w:t>
      </w:r>
    </w:p>
    <w:tbl>
      <w:tblPr>
        <w:tblW w:w="0" w:type="auto"/>
        <w:jc w:val="center"/>
        <w:tblLayout w:type="fixed"/>
        <w:tblLook w:val="0000" w:firstRow="0" w:lastRow="0" w:firstColumn="0" w:lastColumn="0" w:noHBand="0" w:noVBand="0"/>
      </w:tblPr>
      <w:tblGrid>
        <w:gridCol w:w="1522"/>
        <w:gridCol w:w="1260"/>
        <w:gridCol w:w="1170"/>
      </w:tblGrid>
      <w:tr w:rsidR="00DC44A2" w:rsidTr="003717FA">
        <w:trPr>
          <w:trHeight w:val="255"/>
          <w:jc w:val="center"/>
        </w:trPr>
        <w:tc>
          <w:tcPr>
            <w:tcW w:w="3952"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DC44A2" w:rsidRDefault="00DC44A2" w:rsidP="003717FA">
            <w:pPr>
              <w:jc w:val="center"/>
              <w:rPr>
                <w:rFonts w:ascii="Calibri" w:hAnsi="Calibri"/>
                <w:b/>
                <w:sz w:val="22"/>
                <w:szCs w:val="22"/>
              </w:rPr>
            </w:pPr>
            <w:r>
              <w:rPr>
                <w:rFonts w:ascii="Calibri" w:hAnsi="Calibri"/>
                <w:b/>
                <w:sz w:val="22"/>
                <w:szCs w:val="22"/>
              </w:rPr>
              <w:t>Import Response Rates for Repricing</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shd w:val="clear" w:color="auto" w:fill="DBE5F1"/>
            <w:vAlign w:val="center"/>
          </w:tcPr>
          <w:p w:rsidR="00DC44A2" w:rsidRDefault="00DC44A2" w:rsidP="003717FA">
            <w:pPr>
              <w:autoSpaceDE w:val="0"/>
              <w:autoSpaceDN w:val="0"/>
              <w:adjustRightInd w:val="0"/>
              <w:jc w:val="center"/>
              <w:rPr>
                <w:rFonts w:ascii="Arial" w:hAnsi="Arial" w:cs="Arial"/>
                <w:sz w:val="20"/>
                <w:szCs w:val="20"/>
              </w:rPr>
            </w:pPr>
            <w:r>
              <w:rPr>
                <w:rFonts w:ascii="Calibri" w:hAnsi="Calibri"/>
                <w:b/>
                <w:sz w:val="22"/>
                <w:szCs w:val="22"/>
              </w:rPr>
              <w:t>Reference Month</w:t>
            </w:r>
          </w:p>
        </w:tc>
        <w:tc>
          <w:tcPr>
            <w:tcW w:w="1260" w:type="dxa"/>
            <w:tcBorders>
              <w:top w:val="single" w:sz="6" w:space="0" w:color="auto"/>
              <w:left w:val="nil"/>
              <w:bottom w:val="single" w:sz="6" w:space="0" w:color="auto"/>
              <w:right w:val="single" w:sz="6" w:space="0" w:color="auto"/>
            </w:tcBorders>
            <w:shd w:val="clear" w:color="auto" w:fill="DBE5F1"/>
            <w:vAlign w:val="center"/>
          </w:tcPr>
          <w:p w:rsidR="00DC44A2" w:rsidRPr="00557717" w:rsidRDefault="00DC44A2" w:rsidP="003717FA">
            <w:pPr>
              <w:jc w:val="center"/>
              <w:rPr>
                <w:rFonts w:ascii="Calibri" w:hAnsi="Calibri"/>
                <w:b/>
                <w:sz w:val="22"/>
                <w:szCs w:val="22"/>
              </w:rPr>
            </w:pPr>
            <w:r>
              <w:rPr>
                <w:rFonts w:ascii="Calibri" w:hAnsi="Calibri"/>
                <w:b/>
                <w:sz w:val="22"/>
                <w:szCs w:val="22"/>
              </w:rPr>
              <w:t>Response Rate</w:t>
            </w:r>
          </w:p>
          <w:p w:rsidR="00DC44A2" w:rsidRDefault="00DC44A2" w:rsidP="003717FA">
            <w:pPr>
              <w:autoSpaceDE w:val="0"/>
              <w:autoSpaceDN w:val="0"/>
              <w:adjustRightInd w:val="0"/>
              <w:jc w:val="center"/>
              <w:rPr>
                <w:rFonts w:ascii="Arial" w:hAnsi="Arial" w:cs="Arial"/>
                <w:sz w:val="20"/>
                <w:szCs w:val="20"/>
              </w:rPr>
            </w:pPr>
          </w:p>
        </w:tc>
        <w:tc>
          <w:tcPr>
            <w:tcW w:w="1170" w:type="dxa"/>
            <w:tcBorders>
              <w:top w:val="single" w:sz="6" w:space="0" w:color="auto"/>
              <w:left w:val="nil"/>
              <w:bottom w:val="single" w:sz="6" w:space="0" w:color="auto"/>
              <w:right w:val="single" w:sz="6" w:space="0" w:color="auto"/>
            </w:tcBorders>
            <w:shd w:val="clear" w:color="auto" w:fill="DBE5F1"/>
            <w:vAlign w:val="center"/>
          </w:tcPr>
          <w:p w:rsidR="00DC44A2" w:rsidRPr="00557717" w:rsidRDefault="00DC44A2" w:rsidP="003717FA">
            <w:pPr>
              <w:jc w:val="center"/>
              <w:rPr>
                <w:rFonts w:ascii="Calibri" w:hAnsi="Calibri"/>
                <w:b/>
                <w:sz w:val="22"/>
                <w:szCs w:val="22"/>
              </w:rPr>
            </w:pPr>
            <w:r>
              <w:rPr>
                <w:rFonts w:ascii="Calibri" w:hAnsi="Calibri"/>
                <w:b/>
                <w:sz w:val="22"/>
                <w:szCs w:val="22"/>
              </w:rPr>
              <w:t>Usable Response Rate</w:t>
            </w:r>
          </w:p>
          <w:p w:rsidR="00DC44A2" w:rsidRDefault="00DC44A2" w:rsidP="003717FA">
            <w:pPr>
              <w:autoSpaceDE w:val="0"/>
              <w:autoSpaceDN w:val="0"/>
              <w:adjustRightInd w:val="0"/>
              <w:jc w:val="center"/>
              <w:rPr>
                <w:rFonts w:ascii="Arial" w:hAnsi="Arial" w:cs="Arial"/>
                <w:sz w:val="20"/>
                <w:szCs w:val="20"/>
              </w:rPr>
            </w:pP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201504</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76%</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201505</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201506</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201507</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201508</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201509</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201510</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201512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201604</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201605</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201606</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201607</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201608</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201609</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201610</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201612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201703</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82%</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80%</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201704</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201705</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81%</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201706</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78%</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201707</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76%</w:t>
            </w:r>
          </w:p>
        </w:tc>
      </w:tr>
      <w:tr w:rsidR="00DC44A2" w:rsidRPr="005124ED"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201708</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80%</w:t>
            </w:r>
          </w:p>
        </w:tc>
        <w:tc>
          <w:tcPr>
            <w:tcW w:w="117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77%</w:t>
            </w:r>
          </w:p>
        </w:tc>
      </w:tr>
      <w:tr w:rsidR="00DC44A2" w:rsidRPr="006E16F5"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201709</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Pr="006E16F5"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76%</w:t>
            </w:r>
          </w:p>
        </w:tc>
      </w:tr>
      <w:tr w:rsidR="00DC44A2" w:rsidRPr="006E16F5"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201710</w:t>
            </w:r>
          </w:p>
        </w:tc>
        <w:tc>
          <w:tcPr>
            <w:tcW w:w="1260" w:type="dxa"/>
            <w:tcBorders>
              <w:top w:val="single" w:sz="6" w:space="0" w:color="auto"/>
              <w:left w:val="nil"/>
              <w:bottom w:val="single" w:sz="6" w:space="0" w:color="auto"/>
              <w:right w:val="single" w:sz="6" w:space="0" w:color="auto"/>
            </w:tcBorders>
            <w:vAlign w:val="bottom"/>
          </w:tcPr>
          <w:p w:rsidR="00DC44A2" w:rsidRPr="005124ED" w:rsidRDefault="00DC44A2" w:rsidP="003717FA">
            <w:pPr>
              <w:autoSpaceDE w:val="0"/>
              <w:autoSpaceDN w:val="0"/>
              <w:adjustRightInd w:val="0"/>
              <w:jc w:val="center"/>
              <w:rPr>
                <w:rFonts w:ascii="Arial" w:hAnsi="Arial" w:cs="Arial"/>
                <w:iCs/>
                <w:sz w:val="20"/>
                <w:szCs w:val="20"/>
              </w:rPr>
            </w:pPr>
            <w:r>
              <w:rPr>
                <w:rFonts w:ascii="Arial" w:hAnsi="Arial" w:cs="Arial"/>
                <w:sz w:val="20"/>
                <w:szCs w:val="20"/>
              </w:rPr>
              <w:t>78%</w:t>
            </w:r>
          </w:p>
        </w:tc>
        <w:tc>
          <w:tcPr>
            <w:tcW w:w="1170" w:type="dxa"/>
            <w:tcBorders>
              <w:top w:val="single" w:sz="6" w:space="0" w:color="auto"/>
              <w:left w:val="nil"/>
              <w:bottom w:val="single" w:sz="6" w:space="0" w:color="auto"/>
              <w:right w:val="single" w:sz="6" w:space="0" w:color="auto"/>
            </w:tcBorders>
            <w:vAlign w:val="bottom"/>
          </w:tcPr>
          <w:p w:rsidR="00DC44A2" w:rsidRPr="006E16F5" w:rsidRDefault="00DC44A2" w:rsidP="003717FA">
            <w:pPr>
              <w:autoSpaceDE w:val="0"/>
              <w:autoSpaceDN w:val="0"/>
              <w:adjustRightInd w:val="0"/>
              <w:jc w:val="center"/>
              <w:rPr>
                <w:rFonts w:ascii="Arial" w:hAnsi="Arial" w:cs="Arial"/>
                <w:bCs/>
                <w:sz w:val="20"/>
                <w:szCs w:val="20"/>
              </w:rPr>
            </w:pPr>
            <w:r>
              <w:rPr>
                <w:rFonts w:ascii="Arial" w:hAnsi="Arial" w:cs="Arial"/>
                <w:sz w:val="20"/>
                <w:szCs w:val="20"/>
              </w:rPr>
              <w:t>76%</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201711</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79%</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76%</w:t>
            </w:r>
          </w:p>
        </w:tc>
      </w:tr>
      <w:tr w:rsidR="00DC44A2" w:rsidTr="003717FA">
        <w:trPr>
          <w:trHeight w:val="255"/>
          <w:jc w:val="center"/>
        </w:trPr>
        <w:tc>
          <w:tcPr>
            <w:tcW w:w="1522" w:type="dxa"/>
            <w:tcBorders>
              <w:top w:val="single" w:sz="6" w:space="0" w:color="auto"/>
              <w:left w:val="single" w:sz="6" w:space="0" w:color="auto"/>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201712</w:t>
            </w:r>
          </w:p>
        </w:tc>
        <w:tc>
          <w:tcPr>
            <w:tcW w:w="126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77%</w:t>
            </w:r>
          </w:p>
        </w:tc>
        <w:tc>
          <w:tcPr>
            <w:tcW w:w="1170" w:type="dxa"/>
            <w:tcBorders>
              <w:top w:val="single" w:sz="6" w:space="0" w:color="auto"/>
              <w:left w:val="nil"/>
              <w:bottom w:val="single" w:sz="6" w:space="0" w:color="auto"/>
              <w:right w:val="single" w:sz="6" w:space="0" w:color="auto"/>
            </w:tcBorders>
            <w:vAlign w:val="bottom"/>
          </w:tcPr>
          <w:p w:rsidR="00DC44A2" w:rsidRDefault="00DC44A2" w:rsidP="003717FA">
            <w:pPr>
              <w:autoSpaceDE w:val="0"/>
              <w:autoSpaceDN w:val="0"/>
              <w:adjustRightInd w:val="0"/>
              <w:jc w:val="center"/>
              <w:rPr>
                <w:rFonts w:ascii="Arial" w:hAnsi="Arial" w:cs="Arial"/>
                <w:sz w:val="20"/>
                <w:szCs w:val="20"/>
              </w:rPr>
            </w:pPr>
            <w:r>
              <w:rPr>
                <w:rFonts w:ascii="Arial" w:hAnsi="Arial" w:cs="Arial"/>
                <w:sz w:val="20"/>
                <w:szCs w:val="20"/>
              </w:rPr>
              <w:t>75%</w:t>
            </w:r>
          </w:p>
        </w:tc>
      </w:tr>
    </w:tbl>
    <w:p w:rsidR="00DC44A2" w:rsidRDefault="00DC44A2" w:rsidP="00DC44A2">
      <w:pPr>
        <w:rPr>
          <w:rFonts w:ascii="Calibri" w:hAnsi="Calibri"/>
          <w:sz w:val="22"/>
          <w:szCs w:val="22"/>
        </w:rPr>
      </w:pPr>
    </w:p>
    <w:p w:rsidR="00DC44A2" w:rsidRDefault="00DC44A2" w:rsidP="00DC44A2">
      <w:pPr>
        <w:rPr>
          <w:rFonts w:ascii="Calibri" w:hAnsi="Calibri"/>
          <w:sz w:val="22"/>
          <w:szCs w:val="22"/>
        </w:rPr>
      </w:pPr>
    </w:p>
    <w:p w:rsidR="00DC44A2" w:rsidRPr="00101AC4" w:rsidRDefault="00DC44A2" w:rsidP="00DC44A2">
      <w:pPr>
        <w:jc w:val="both"/>
        <w:rPr>
          <w:rFonts w:ascii="Calibri" w:hAnsi="Calibri"/>
          <w:sz w:val="16"/>
          <w:szCs w:val="16"/>
        </w:rPr>
      </w:pPr>
    </w:p>
    <w:p w:rsidR="00DC44A2" w:rsidRDefault="00DC44A2" w:rsidP="00DC44A2">
      <w:pPr>
        <w:tabs>
          <w:tab w:val="left" w:pos="480"/>
          <w:tab w:val="left" w:pos="720"/>
          <w:tab w:val="left" w:pos="960"/>
          <w:tab w:val="left" w:pos="1320"/>
          <w:tab w:val="left" w:pos="2400"/>
        </w:tabs>
        <w:rPr>
          <w:rFonts w:ascii="Calibri" w:hAnsi="Calibri"/>
          <w:color w:val="000000"/>
          <w:sz w:val="22"/>
          <w:szCs w:val="22"/>
        </w:rPr>
      </w:pPr>
    </w:p>
    <w:p w:rsidR="00DC44A2" w:rsidRDefault="00DC44A2" w:rsidP="00DC44A2">
      <w:pPr>
        <w:tabs>
          <w:tab w:val="left" w:pos="480"/>
          <w:tab w:val="left" w:pos="720"/>
          <w:tab w:val="left" w:pos="960"/>
          <w:tab w:val="left" w:pos="1320"/>
          <w:tab w:val="left" w:pos="2400"/>
        </w:tabs>
        <w:rPr>
          <w:rFonts w:ascii="Calibri" w:hAnsi="Calibri"/>
          <w:color w:val="000000"/>
          <w:sz w:val="22"/>
          <w:szCs w:val="22"/>
        </w:rPr>
      </w:pPr>
    </w:p>
    <w:p w:rsidR="00DC44A2" w:rsidRDefault="00DC44A2" w:rsidP="00DC44A2">
      <w:pPr>
        <w:tabs>
          <w:tab w:val="left" w:pos="480"/>
          <w:tab w:val="left" w:pos="720"/>
          <w:tab w:val="left" w:pos="960"/>
          <w:tab w:val="left" w:pos="1320"/>
          <w:tab w:val="left" w:pos="2400"/>
        </w:tabs>
        <w:rPr>
          <w:rFonts w:ascii="Calibri" w:hAnsi="Calibri"/>
          <w:color w:val="000000"/>
          <w:sz w:val="22"/>
          <w:szCs w:val="22"/>
        </w:rPr>
      </w:pPr>
    </w:p>
    <w:p w:rsidR="00DC44A2" w:rsidRDefault="00DC44A2" w:rsidP="00DC44A2">
      <w:pPr>
        <w:tabs>
          <w:tab w:val="left" w:pos="480"/>
          <w:tab w:val="left" w:pos="720"/>
          <w:tab w:val="left" w:pos="960"/>
          <w:tab w:val="left" w:pos="1320"/>
          <w:tab w:val="left" w:pos="2400"/>
        </w:tabs>
        <w:rPr>
          <w:rFonts w:ascii="Calibri" w:hAnsi="Calibri"/>
          <w:color w:val="000000"/>
          <w:sz w:val="22"/>
          <w:szCs w:val="22"/>
        </w:rPr>
      </w:pPr>
    </w:p>
    <w:p w:rsidR="00DC44A2" w:rsidRPr="0045587E" w:rsidRDefault="00DC44A2" w:rsidP="00DC44A2">
      <w:pPr>
        <w:tabs>
          <w:tab w:val="left" w:pos="480"/>
          <w:tab w:val="left" w:pos="720"/>
          <w:tab w:val="left" w:pos="960"/>
          <w:tab w:val="left" w:pos="1320"/>
          <w:tab w:val="left" w:pos="2400"/>
        </w:tabs>
        <w:rPr>
          <w:rFonts w:ascii="Calibri" w:hAnsi="Calibri"/>
          <w:b/>
        </w:rPr>
      </w:pPr>
      <w:r w:rsidRPr="0045587E">
        <w:rPr>
          <w:rFonts w:ascii="Calibri" w:hAnsi="Calibri"/>
          <w:b/>
        </w:rPr>
        <w:t>2</w:t>
      </w:r>
      <w:r>
        <w:rPr>
          <w:rFonts w:ascii="Calibri" w:hAnsi="Calibri"/>
          <w:b/>
        </w:rPr>
        <w:t>.</w:t>
      </w:r>
      <w:r w:rsidRPr="0045587E">
        <w:rPr>
          <w:rFonts w:ascii="Calibri" w:hAnsi="Calibri"/>
          <w:b/>
        </w:rPr>
        <w:tab/>
        <w:t>Collection Procedures</w:t>
      </w:r>
      <w:r w:rsidRPr="0045587E">
        <w:rPr>
          <w:rFonts w:ascii="Calibri" w:hAnsi="Calibri"/>
          <w:b/>
        </w:rPr>
        <w:tab/>
      </w:r>
    </w:p>
    <w:p w:rsidR="00DC44A2" w:rsidRDefault="00DC44A2" w:rsidP="00DC44A2">
      <w:pPr>
        <w:tabs>
          <w:tab w:val="left" w:pos="480"/>
          <w:tab w:val="left" w:pos="720"/>
          <w:tab w:val="left" w:pos="960"/>
          <w:tab w:val="left" w:pos="1320"/>
          <w:tab w:val="left" w:pos="2400"/>
        </w:tabs>
        <w:rPr>
          <w:rFonts w:ascii="Calibri" w:hAnsi="Calibri"/>
          <w:b/>
          <w:sz w:val="22"/>
          <w:szCs w:val="22"/>
        </w:rPr>
      </w:pPr>
    </w:p>
    <w:p w:rsidR="00DC44A2" w:rsidRPr="00557717" w:rsidRDefault="00DC44A2" w:rsidP="00DC44A2">
      <w:pPr>
        <w:tabs>
          <w:tab w:val="left" w:pos="480"/>
          <w:tab w:val="left" w:pos="720"/>
          <w:tab w:val="left" w:pos="960"/>
          <w:tab w:val="left" w:pos="1320"/>
          <w:tab w:val="left" w:pos="2400"/>
        </w:tabs>
        <w:rPr>
          <w:rFonts w:ascii="Calibri" w:hAnsi="Calibri"/>
          <w:b/>
          <w:sz w:val="22"/>
          <w:szCs w:val="22"/>
        </w:rPr>
      </w:pPr>
      <w:r>
        <w:rPr>
          <w:rFonts w:ascii="Calibri" w:hAnsi="Calibri"/>
          <w:b/>
          <w:sz w:val="22"/>
          <w:szCs w:val="22"/>
        </w:rPr>
        <w:t xml:space="preserve">a.       </w:t>
      </w:r>
      <w:r w:rsidRPr="00557717">
        <w:rPr>
          <w:rFonts w:ascii="Calibri" w:hAnsi="Calibri"/>
          <w:b/>
          <w:sz w:val="22"/>
          <w:szCs w:val="22"/>
        </w:rPr>
        <w:t>Description of Sampling Methodology</w:t>
      </w:r>
    </w:p>
    <w:p w:rsidR="00DC44A2" w:rsidRPr="00557717" w:rsidRDefault="00DC44A2" w:rsidP="00DC44A2">
      <w:pPr>
        <w:ind w:left="720"/>
        <w:jc w:val="both"/>
        <w:rPr>
          <w:rFonts w:ascii="Calibri" w:hAnsi="Calibri"/>
          <w:sz w:val="22"/>
          <w:szCs w:val="22"/>
        </w:rPr>
      </w:pPr>
    </w:p>
    <w:p w:rsidR="00DC44A2" w:rsidRPr="00557717" w:rsidRDefault="00DC44A2" w:rsidP="00DC44A2">
      <w:pPr>
        <w:jc w:val="both"/>
        <w:rPr>
          <w:rFonts w:ascii="Calibri" w:hAnsi="Calibri"/>
          <w:sz w:val="22"/>
          <w:szCs w:val="22"/>
        </w:rPr>
      </w:pPr>
      <w:r w:rsidRPr="00557717">
        <w:rPr>
          <w:rFonts w:ascii="Calibri" w:hAnsi="Calibri"/>
          <w:sz w:val="22"/>
          <w:szCs w:val="22"/>
        </w:rPr>
        <w:t xml:space="preserve">The import merchandise sampling frame is obtained from the U.S. Customs and Border Protection (USCBP). This frame contains information about all import transactions that were filed with the USCBP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rsidR="00DC44A2" w:rsidRPr="00557717" w:rsidRDefault="00DC44A2" w:rsidP="00DC44A2">
      <w:pPr>
        <w:ind w:left="144"/>
        <w:jc w:val="both"/>
        <w:rPr>
          <w:rFonts w:ascii="Calibri" w:hAnsi="Calibri"/>
          <w:sz w:val="22"/>
          <w:szCs w:val="22"/>
        </w:rPr>
      </w:pPr>
    </w:p>
    <w:p w:rsidR="00DC44A2" w:rsidRPr="00557717" w:rsidRDefault="00DC44A2" w:rsidP="00DC44A2">
      <w:pPr>
        <w:jc w:val="both"/>
        <w:rPr>
          <w:rFonts w:ascii="Calibri" w:hAnsi="Calibri"/>
          <w:sz w:val="22"/>
          <w:szCs w:val="22"/>
        </w:rPr>
      </w:pPr>
      <w:r w:rsidRPr="00557717">
        <w:rPr>
          <w:rFonts w:ascii="Calibri" w:hAnsi="Calibri"/>
          <w:sz w:val="22"/>
          <w:szCs w:val="22"/>
        </w:rPr>
        <w:t>The export merchandise sampling frame is obtained from the U.S. Census Bureau for exports to the world</w:t>
      </w:r>
      <w:r>
        <w:rPr>
          <w:rFonts w:ascii="Calibri" w:hAnsi="Calibri"/>
          <w:sz w:val="22"/>
          <w:szCs w:val="22"/>
        </w:rPr>
        <w:t xml:space="preserve"> except Canada. These e</w:t>
      </w:r>
      <w:r w:rsidRPr="00557717">
        <w:rPr>
          <w:rFonts w:ascii="Calibri" w:hAnsi="Calibri"/>
          <w:sz w:val="22"/>
          <w:szCs w:val="22"/>
        </w:rPr>
        <w:t xml:space="preserve">xports are filed on an electronic computer system known as the Automated Export System (AES). Since exporters trading with </w:t>
      </w:r>
      <w:smartTag w:uri="urn:schemas-microsoft-com:office:smarttags" w:element="place">
        <w:smartTag w:uri="urn:schemas-microsoft-com:office:smarttags" w:element="country-region">
          <w:r w:rsidRPr="00557717">
            <w:rPr>
              <w:rFonts w:ascii="Calibri" w:hAnsi="Calibri"/>
              <w:sz w:val="22"/>
              <w:szCs w:val="22"/>
            </w:rPr>
            <w:t>Canada</w:t>
          </w:r>
        </w:smartTag>
      </w:smartTag>
      <w:r w:rsidRPr="00557717">
        <w:rPr>
          <w:rFonts w:ascii="Calibri" w:hAnsi="Calibri"/>
          <w:sz w:val="22"/>
          <w:szCs w:val="22"/>
        </w:rPr>
        <w:t xml:space="preserve"> no longer need to file export documentation, the IPP uses the Canadian import documents provided to the U.S. Census Bureau from the Canadian Customs Service. The constructed frame contains information about all export transactions that were filed during the reference year. The frame information available for each transaction includes a company identifier (usually the Employer Identification Number), the detailed product category (Harmonized Tariff number) of the goods that are being shipped, and the corresponding dollar value of the shipped goods. </w:t>
      </w:r>
    </w:p>
    <w:p w:rsidR="00DC44A2" w:rsidRPr="00557717" w:rsidRDefault="00DC44A2" w:rsidP="00DC44A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The IPP divides both its import and export universes into two halves referred to as panels based on trade dollar value. The program samples one import panel and one export panel each year. Those samples are sent to the field offices for collection, so that both universes are fully re-sampled every two years. The sampled products are priced for approximately five years until the items are replaced by a newly drawn sample from the same panel. As a result, each published index is based upon the price changes of items from up to three different samples</w:t>
      </w:r>
      <w:r>
        <w:rPr>
          <w:rFonts w:ascii="Calibri" w:hAnsi="Calibri"/>
          <w:sz w:val="22"/>
          <w:szCs w:val="22"/>
        </w:rPr>
        <w:t>.</w:t>
      </w:r>
      <w:r w:rsidRPr="00557717">
        <w:rPr>
          <w:rFonts w:ascii="Calibri" w:hAnsi="Calibri"/>
          <w:sz w:val="22"/>
          <w:szCs w:val="22"/>
        </w:rPr>
        <w:t xml:space="preserve"> </w:t>
      </w:r>
    </w:p>
    <w:p w:rsidR="00DC44A2" w:rsidRPr="00557717" w:rsidRDefault="00DC44A2" w:rsidP="00DC44A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For exports, the two panels consist of the following major product groupings, as defined by the Harmonized System:</w:t>
      </w:r>
    </w:p>
    <w:p w:rsidR="00DC44A2" w:rsidRPr="00557717" w:rsidRDefault="00DC44A2" w:rsidP="00DC44A2">
      <w:pPr>
        <w:tabs>
          <w:tab w:val="left" w:pos="480"/>
          <w:tab w:val="left" w:pos="960"/>
          <w:tab w:val="left" w:pos="1320"/>
          <w:tab w:val="left" w:pos="2400"/>
        </w:tabs>
        <w:ind w:left="1872"/>
        <w:jc w:val="both"/>
        <w:rPr>
          <w:rFonts w:ascii="Calibri" w:hAnsi="Calibri"/>
          <w:sz w:val="22"/>
          <w:szCs w:val="22"/>
        </w:rPr>
      </w:pPr>
    </w:p>
    <w:p w:rsidR="00DC44A2" w:rsidRPr="00557717" w:rsidRDefault="00DC44A2" w:rsidP="00DC44A2">
      <w:pPr>
        <w:tabs>
          <w:tab w:val="left" w:pos="480"/>
          <w:tab w:val="left" w:pos="960"/>
          <w:tab w:val="left" w:pos="1320"/>
          <w:tab w:val="left" w:pos="2400"/>
        </w:tabs>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 xml:space="preserve">Panel </w:t>
      </w:r>
      <w:r w:rsidRPr="00557717">
        <w:rPr>
          <w:rFonts w:ascii="Calibri" w:hAnsi="Calibri"/>
          <w:sz w:val="22"/>
          <w:szCs w:val="22"/>
        </w:rPr>
        <w:t>A:  Food and beverages</w:t>
      </w:r>
    </w:p>
    <w:p w:rsidR="00DC44A2" w:rsidRPr="00557717" w:rsidRDefault="00DC44A2" w:rsidP="00DC44A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Minerals, chemicals, and rubber</w:t>
      </w:r>
    </w:p>
    <w:p w:rsidR="00DC44A2" w:rsidRPr="00557717" w:rsidRDefault="00DC44A2" w:rsidP="00DC44A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rsidR="00DC44A2" w:rsidRPr="00557717" w:rsidRDefault="00DC44A2" w:rsidP="00DC44A2">
      <w:pPr>
        <w:tabs>
          <w:tab w:val="left" w:pos="480"/>
          <w:tab w:val="left" w:pos="960"/>
          <w:tab w:val="left" w:pos="1320"/>
          <w:tab w:val="left" w:pos="2400"/>
        </w:tabs>
        <w:ind w:left="1440"/>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rsidR="00DC44A2" w:rsidRPr="00557717" w:rsidRDefault="00DC44A2" w:rsidP="00DC44A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 xml:space="preserve">Export Product </w:t>
      </w:r>
      <w:r>
        <w:rPr>
          <w:rFonts w:ascii="Calibri" w:hAnsi="Calibri"/>
          <w:sz w:val="22"/>
          <w:szCs w:val="22"/>
        </w:rPr>
        <w:t>Panel</w:t>
      </w:r>
      <w:r w:rsidRPr="00557717">
        <w:rPr>
          <w:rFonts w:ascii="Calibri" w:hAnsi="Calibri"/>
          <w:sz w:val="22"/>
          <w:szCs w:val="22"/>
        </w:rPr>
        <w:t xml:space="preserve"> B:  Machinery</w:t>
      </w:r>
    </w:p>
    <w:p w:rsidR="00DC44A2" w:rsidRPr="00557717" w:rsidRDefault="00DC44A2" w:rsidP="00DC44A2">
      <w:pPr>
        <w:tabs>
          <w:tab w:val="left" w:pos="480"/>
          <w:tab w:val="left" w:pos="960"/>
          <w:tab w:val="left" w:pos="1320"/>
          <w:tab w:val="left" w:pos="2400"/>
        </w:tabs>
        <w:ind w:left="1152"/>
        <w:jc w:val="both"/>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rsidR="00DC44A2" w:rsidRPr="00557717" w:rsidRDefault="00DC44A2" w:rsidP="00DC44A2">
      <w:pPr>
        <w:tabs>
          <w:tab w:val="left" w:pos="480"/>
          <w:tab w:val="left" w:pos="960"/>
          <w:tab w:val="left" w:pos="1320"/>
          <w:tab w:val="left" w:pos="2400"/>
        </w:tabs>
        <w:rPr>
          <w:rFonts w:ascii="Calibri" w:hAnsi="Calibri"/>
          <w:b/>
          <w:sz w:val="22"/>
          <w:szCs w:val="22"/>
        </w:rPr>
      </w:pPr>
    </w:p>
    <w:p w:rsidR="00DC44A2" w:rsidRPr="00557717" w:rsidRDefault="00DC44A2" w:rsidP="00DC44A2">
      <w:pPr>
        <w:tabs>
          <w:tab w:val="left" w:pos="480"/>
          <w:tab w:val="left" w:pos="960"/>
          <w:tab w:val="left" w:pos="1320"/>
          <w:tab w:val="left" w:pos="2400"/>
        </w:tabs>
        <w:spacing w:before="120"/>
        <w:ind w:left="720"/>
        <w:jc w:val="both"/>
        <w:rPr>
          <w:rFonts w:ascii="Calibri" w:hAnsi="Calibri"/>
          <w:sz w:val="22"/>
          <w:szCs w:val="22"/>
        </w:rPr>
      </w:pPr>
      <w:r w:rsidRPr="00557717">
        <w:rPr>
          <w:rFonts w:ascii="Calibri" w:hAnsi="Calibri"/>
          <w:sz w:val="22"/>
          <w:szCs w:val="22"/>
        </w:rPr>
        <w:t>For imports, the two panels consist of the following major product groupings, as defined by the Harmonized System:</w:t>
      </w:r>
    </w:p>
    <w:p w:rsidR="00DC44A2" w:rsidRPr="00557717" w:rsidRDefault="00DC44A2" w:rsidP="00DC44A2">
      <w:pPr>
        <w:tabs>
          <w:tab w:val="left" w:pos="480"/>
          <w:tab w:val="left" w:pos="960"/>
          <w:tab w:val="left" w:pos="1320"/>
          <w:tab w:val="left" w:pos="2400"/>
        </w:tabs>
        <w:ind w:left="1152"/>
        <w:rPr>
          <w:rFonts w:ascii="Calibri" w:hAnsi="Calibri"/>
          <w:sz w:val="22"/>
          <w:szCs w:val="22"/>
        </w:rPr>
      </w:pPr>
    </w:p>
    <w:p w:rsidR="00DC44A2" w:rsidRPr="00557717" w:rsidRDefault="00DC44A2" w:rsidP="00DC44A2">
      <w:pPr>
        <w:tabs>
          <w:tab w:val="left" w:pos="480"/>
          <w:tab w:val="left" w:pos="960"/>
          <w:tab w:val="left" w:pos="1320"/>
          <w:tab w:val="left" w:pos="2400"/>
        </w:tabs>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A:  Food and Beverages</w:t>
      </w:r>
    </w:p>
    <w:p w:rsidR="00DC44A2" w:rsidRPr="00557717" w:rsidRDefault="00DC44A2" w:rsidP="00DC44A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Crude materials; related goods</w:t>
      </w:r>
    </w:p>
    <w:p w:rsidR="00DC44A2" w:rsidRPr="00557717" w:rsidRDefault="00DC44A2" w:rsidP="00DC44A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Vehicles and transportation equipment</w:t>
      </w:r>
    </w:p>
    <w:p w:rsidR="00DC44A2" w:rsidRPr="00557717" w:rsidRDefault="00DC44A2" w:rsidP="00DC44A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Miscellaneous manufactures</w:t>
      </w:r>
    </w:p>
    <w:p w:rsidR="00DC44A2" w:rsidRPr="00557717" w:rsidRDefault="00DC44A2" w:rsidP="00DC44A2">
      <w:pPr>
        <w:tabs>
          <w:tab w:val="left" w:pos="480"/>
          <w:tab w:val="left" w:pos="960"/>
          <w:tab w:val="left" w:pos="1320"/>
          <w:tab w:val="left" w:pos="2400"/>
        </w:tabs>
        <w:spacing w:before="120"/>
        <w:ind w:left="720"/>
        <w:rPr>
          <w:rFonts w:ascii="Calibri" w:hAnsi="Calibri"/>
          <w:sz w:val="22"/>
          <w:szCs w:val="22"/>
        </w:rPr>
      </w:pPr>
      <w:r w:rsidRPr="00557717">
        <w:rPr>
          <w:rFonts w:ascii="Calibri" w:hAnsi="Calibri"/>
          <w:sz w:val="22"/>
          <w:szCs w:val="22"/>
        </w:rPr>
        <w:t xml:space="preserve">Import Product </w:t>
      </w:r>
      <w:r>
        <w:rPr>
          <w:rFonts w:ascii="Calibri" w:hAnsi="Calibri"/>
          <w:sz w:val="22"/>
          <w:szCs w:val="22"/>
        </w:rPr>
        <w:t>Panel</w:t>
      </w:r>
      <w:r w:rsidRPr="00557717">
        <w:rPr>
          <w:rFonts w:ascii="Calibri" w:hAnsi="Calibri"/>
          <w:sz w:val="22"/>
          <w:szCs w:val="22"/>
        </w:rPr>
        <w:t xml:space="preserve"> B:  Minerals, chemicals, and rubber</w:t>
      </w:r>
    </w:p>
    <w:p w:rsidR="00DC44A2" w:rsidRPr="00557717" w:rsidRDefault="00DC44A2" w:rsidP="00DC44A2">
      <w:pPr>
        <w:tabs>
          <w:tab w:val="left" w:pos="480"/>
          <w:tab w:val="left" w:pos="960"/>
          <w:tab w:val="left" w:pos="1320"/>
          <w:tab w:val="left" w:pos="2400"/>
        </w:tabs>
        <w:ind w:left="1152"/>
        <w:rPr>
          <w:rFonts w:ascii="Calibri" w:hAnsi="Calibri"/>
          <w:sz w:val="22"/>
          <w:szCs w:val="22"/>
        </w:rPr>
      </w:pPr>
      <w:r w:rsidRPr="00557717">
        <w:rPr>
          <w:rFonts w:ascii="Calibri" w:hAnsi="Calibri"/>
          <w:sz w:val="22"/>
          <w:szCs w:val="22"/>
        </w:rPr>
        <w:t xml:space="preserve">                        </w:t>
      </w:r>
      <w:r>
        <w:rPr>
          <w:rFonts w:ascii="Calibri" w:hAnsi="Calibri"/>
          <w:sz w:val="22"/>
          <w:szCs w:val="22"/>
        </w:rPr>
        <w:t xml:space="preserve">            </w:t>
      </w:r>
      <w:r w:rsidRPr="00557717">
        <w:rPr>
          <w:rFonts w:ascii="Calibri" w:hAnsi="Calibri"/>
          <w:sz w:val="22"/>
          <w:szCs w:val="22"/>
        </w:rPr>
        <w:t>Machinery</w:t>
      </w:r>
    </w:p>
    <w:p w:rsidR="00DC44A2" w:rsidRPr="00557717" w:rsidRDefault="00DC44A2" w:rsidP="00DC44A2">
      <w:pPr>
        <w:tabs>
          <w:tab w:val="left" w:pos="480"/>
          <w:tab w:val="left" w:pos="960"/>
          <w:tab w:val="left" w:pos="1320"/>
          <w:tab w:val="left" w:pos="2400"/>
        </w:tabs>
        <w:rPr>
          <w:rFonts w:ascii="Calibri" w:hAnsi="Calibri"/>
          <w:b/>
          <w:sz w:val="22"/>
          <w:szCs w:val="22"/>
        </w:rPr>
      </w:pPr>
    </w:p>
    <w:p w:rsidR="00DC44A2" w:rsidRPr="00557717" w:rsidRDefault="00DC44A2" w:rsidP="00DC44A2">
      <w:pPr>
        <w:autoSpaceDE w:val="0"/>
        <w:autoSpaceDN w:val="0"/>
        <w:adjustRightInd w:val="0"/>
        <w:jc w:val="both"/>
        <w:rPr>
          <w:rFonts w:ascii="Calibri" w:hAnsi="Calibri"/>
          <w:sz w:val="22"/>
          <w:szCs w:val="22"/>
        </w:rPr>
      </w:pPr>
      <w:r w:rsidRPr="00557717">
        <w:rPr>
          <w:rFonts w:ascii="Calibri" w:hAnsi="Calibri"/>
          <w:sz w:val="22"/>
          <w:szCs w:val="22"/>
        </w:rPr>
        <w:t xml:space="preserve">Each panel is sampled using a three stage sample design. The first stage selects establishments independently proportional to size (dollar value) within each broad product category (stratum) identified </w:t>
      </w:r>
      <w:r>
        <w:rPr>
          <w:rFonts w:ascii="Calibri" w:hAnsi="Calibri"/>
          <w:sz w:val="22"/>
          <w:szCs w:val="22"/>
        </w:rPr>
        <w:t>by</w:t>
      </w:r>
      <w:r w:rsidRPr="00557717">
        <w:rPr>
          <w:rFonts w:ascii="Calibri" w:hAnsi="Calibri"/>
          <w:sz w:val="22"/>
          <w:szCs w:val="22"/>
        </w:rPr>
        <w:t xml:space="preserve"> the </w:t>
      </w:r>
      <w:r>
        <w:rPr>
          <w:rFonts w:ascii="Calibri" w:hAnsi="Calibri"/>
          <w:sz w:val="22"/>
          <w:szCs w:val="22"/>
        </w:rPr>
        <w:t>H</w:t>
      </w:r>
      <w:r w:rsidRPr="00557717">
        <w:rPr>
          <w:rFonts w:ascii="Calibri" w:hAnsi="Calibri"/>
          <w:sz w:val="22"/>
          <w:szCs w:val="22"/>
        </w:rPr>
        <w:t>armonized classification system (HS).</w:t>
      </w:r>
    </w:p>
    <w:p w:rsidR="00DC44A2" w:rsidRPr="00557717" w:rsidRDefault="00DC44A2" w:rsidP="00DC44A2">
      <w:pPr>
        <w:autoSpaceDE w:val="0"/>
        <w:autoSpaceDN w:val="0"/>
        <w:adjustRightInd w:val="0"/>
        <w:ind w:left="720"/>
        <w:jc w:val="both"/>
        <w:rPr>
          <w:rFonts w:ascii="Calibri" w:hAnsi="Calibri"/>
          <w:sz w:val="22"/>
          <w:szCs w:val="22"/>
        </w:rPr>
      </w:pPr>
    </w:p>
    <w:p w:rsidR="00DC44A2" w:rsidRPr="00557717" w:rsidRDefault="00DC44A2" w:rsidP="00DC44A2">
      <w:pPr>
        <w:autoSpaceDE w:val="0"/>
        <w:autoSpaceDN w:val="0"/>
        <w:adjustRightInd w:val="0"/>
        <w:jc w:val="both"/>
        <w:rPr>
          <w:rFonts w:ascii="Calibri" w:hAnsi="Calibri"/>
          <w:sz w:val="22"/>
          <w:szCs w:val="22"/>
        </w:rPr>
      </w:pPr>
      <w:r w:rsidRPr="00557717">
        <w:rPr>
          <w:rFonts w:ascii="Calibri" w:hAnsi="Calibri"/>
          <w:sz w:val="22"/>
          <w:szCs w:val="22"/>
        </w:rPr>
        <w:t>The second stage selects detailed product categories (classification groups) within each establishment using a systematic probability proportional to size (PPS) design. The measure of size is the relative dollar value adjusted to ensure adequate coverage across all classi</w:t>
      </w:r>
      <w:r>
        <w:rPr>
          <w:rFonts w:ascii="Calibri" w:hAnsi="Calibri"/>
          <w:sz w:val="22"/>
          <w:szCs w:val="22"/>
        </w:rPr>
        <w:t>fication systems, and known non</w:t>
      </w:r>
      <w:r w:rsidRPr="00557717">
        <w:rPr>
          <w:rFonts w:ascii="Calibri" w:hAnsi="Calibri"/>
          <w:sz w:val="22"/>
          <w:szCs w:val="22"/>
        </w:rPr>
        <w:t xml:space="preserve">response factors (total company burden and frequency of trade within each classification group). Each establishment-classification group (or sampling group) can be sampled multiple times and the number of times each sampling group is selected is then referred to as the number of quotes requested. </w:t>
      </w:r>
    </w:p>
    <w:p w:rsidR="00DC44A2" w:rsidRPr="00557717" w:rsidRDefault="00DC44A2" w:rsidP="00DC44A2">
      <w:pPr>
        <w:autoSpaceDE w:val="0"/>
        <w:autoSpaceDN w:val="0"/>
        <w:adjustRightInd w:val="0"/>
        <w:ind w:left="720"/>
        <w:jc w:val="both"/>
        <w:rPr>
          <w:rFonts w:ascii="Calibri" w:hAnsi="Calibri"/>
          <w:sz w:val="22"/>
          <w:szCs w:val="22"/>
        </w:rPr>
      </w:pPr>
    </w:p>
    <w:p w:rsidR="00DC44A2" w:rsidRPr="00557717" w:rsidRDefault="00DC44A2" w:rsidP="00DC44A2">
      <w:pPr>
        <w:autoSpaceDE w:val="0"/>
        <w:autoSpaceDN w:val="0"/>
        <w:adjustRightInd w:val="0"/>
        <w:jc w:val="both"/>
        <w:rPr>
          <w:rFonts w:ascii="Calibri" w:hAnsi="Calibri"/>
          <w:sz w:val="22"/>
          <w:szCs w:val="22"/>
        </w:rPr>
      </w:pPr>
      <w:r w:rsidRPr="00557717">
        <w:rPr>
          <w:rFonts w:ascii="Calibri" w:hAnsi="Calibri"/>
          <w:sz w:val="22"/>
          <w:szCs w:val="22"/>
        </w:rPr>
        <w:t xml:space="preserve">In the third and final stage, the </w:t>
      </w:r>
      <w:r>
        <w:rPr>
          <w:rFonts w:ascii="Calibri" w:hAnsi="Calibri"/>
          <w:sz w:val="22"/>
          <w:szCs w:val="22"/>
        </w:rPr>
        <w:t>Field Economist</w:t>
      </w:r>
      <w:r w:rsidRPr="00557717">
        <w:rPr>
          <w:rFonts w:ascii="Calibri" w:hAnsi="Calibri"/>
          <w:sz w:val="22"/>
          <w:szCs w:val="22"/>
        </w:rPr>
        <w:t xml:space="preserve">, with the cooperation of the company </w:t>
      </w:r>
      <w:r>
        <w:rPr>
          <w:rFonts w:ascii="Calibri" w:hAnsi="Calibri"/>
          <w:sz w:val="22"/>
          <w:szCs w:val="22"/>
        </w:rPr>
        <w:t>respondent</w:t>
      </w:r>
      <w:r w:rsidRPr="00557717">
        <w:rPr>
          <w:rFonts w:ascii="Calibri" w:hAnsi="Calibri"/>
          <w:sz w:val="22"/>
          <w:szCs w:val="22"/>
        </w:rPr>
        <w:t xml:space="preserve">, performs the selection of the actual items for use in the IPP indexes. Using the entry level classification groups selected in the second stage, a list of items </w:t>
      </w:r>
      <w:r>
        <w:rPr>
          <w:rFonts w:ascii="Calibri" w:hAnsi="Calibri"/>
          <w:sz w:val="22"/>
          <w:szCs w:val="22"/>
        </w:rPr>
        <w:t xml:space="preserve">can be </w:t>
      </w:r>
      <w:r w:rsidRPr="00557717">
        <w:rPr>
          <w:rFonts w:ascii="Calibri" w:hAnsi="Calibri"/>
          <w:sz w:val="22"/>
          <w:szCs w:val="22"/>
        </w:rPr>
        <w:t xml:space="preserve">provided by the </w:t>
      </w:r>
      <w:r>
        <w:rPr>
          <w:rFonts w:ascii="Calibri" w:hAnsi="Calibri"/>
          <w:sz w:val="22"/>
          <w:szCs w:val="22"/>
        </w:rPr>
        <w:t>respondent</w:t>
      </w:r>
      <w:r w:rsidRPr="00557717">
        <w:rPr>
          <w:rFonts w:ascii="Calibri" w:hAnsi="Calibri"/>
          <w:sz w:val="22"/>
          <w:szCs w:val="22"/>
        </w:rPr>
        <w:t xml:space="preserve"> to the </w:t>
      </w:r>
      <w:r>
        <w:rPr>
          <w:rFonts w:ascii="Calibri" w:hAnsi="Calibri"/>
          <w:sz w:val="22"/>
          <w:szCs w:val="22"/>
        </w:rPr>
        <w:t>Field Economist</w:t>
      </w:r>
      <w:r w:rsidRPr="00557717">
        <w:rPr>
          <w:rFonts w:ascii="Calibri" w:hAnsi="Calibri"/>
          <w:sz w:val="22"/>
          <w:szCs w:val="22"/>
        </w:rPr>
        <w:t>. Using a process called disaggregation, items are selected from this list with replacement to satisfy the number of quotes requested for each entry level classification group.</w:t>
      </w:r>
    </w:p>
    <w:p w:rsidR="00DC44A2" w:rsidRDefault="00DC44A2" w:rsidP="00DC44A2">
      <w:pPr>
        <w:tabs>
          <w:tab w:val="left" w:pos="480"/>
          <w:tab w:val="left" w:pos="960"/>
          <w:tab w:val="left" w:pos="1320"/>
          <w:tab w:val="left" w:pos="2400"/>
        </w:tabs>
        <w:rPr>
          <w:rFonts w:ascii="Calibri" w:hAnsi="Calibri"/>
          <w:b/>
          <w:sz w:val="22"/>
          <w:szCs w:val="22"/>
        </w:rPr>
      </w:pPr>
    </w:p>
    <w:p w:rsidR="00DC44A2" w:rsidRPr="00557717" w:rsidRDefault="00DC44A2" w:rsidP="00DC44A2">
      <w:pPr>
        <w:tabs>
          <w:tab w:val="left" w:pos="480"/>
          <w:tab w:val="left" w:pos="960"/>
          <w:tab w:val="left" w:pos="1320"/>
          <w:tab w:val="left" w:pos="2400"/>
        </w:tabs>
        <w:rPr>
          <w:rFonts w:ascii="Calibri" w:hAnsi="Calibri"/>
          <w:b/>
          <w:sz w:val="22"/>
          <w:szCs w:val="22"/>
        </w:rPr>
      </w:pPr>
    </w:p>
    <w:p w:rsidR="00DC44A2" w:rsidRPr="00557717" w:rsidRDefault="00DC44A2" w:rsidP="00DC44A2">
      <w:pPr>
        <w:tabs>
          <w:tab w:val="left" w:pos="480"/>
          <w:tab w:val="left" w:pos="720"/>
          <w:tab w:val="left" w:pos="960"/>
          <w:tab w:val="left" w:pos="1320"/>
          <w:tab w:val="left" w:pos="2400"/>
        </w:tabs>
        <w:rPr>
          <w:rFonts w:ascii="Calibri" w:hAnsi="Calibri"/>
          <w:b/>
          <w:sz w:val="22"/>
          <w:szCs w:val="22"/>
        </w:rPr>
      </w:pPr>
      <w:r w:rsidRPr="00557717">
        <w:rPr>
          <w:rFonts w:ascii="Calibri" w:hAnsi="Calibri"/>
          <w:b/>
          <w:sz w:val="22"/>
          <w:szCs w:val="22"/>
        </w:rPr>
        <w:t xml:space="preserve">b. </w:t>
      </w:r>
      <w:r>
        <w:rPr>
          <w:rFonts w:ascii="Calibri" w:hAnsi="Calibri"/>
          <w:b/>
          <w:sz w:val="22"/>
          <w:szCs w:val="22"/>
        </w:rPr>
        <w:t xml:space="preserve">     </w:t>
      </w:r>
      <w:r w:rsidRPr="00557717">
        <w:rPr>
          <w:rFonts w:ascii="Calibri" w:hAnsi="Calibri"/>
          <w:b/>
          <w:sz w:val="22"/>
          <w:szCs w:val="22"/>
        </w:rPr>
        <w:t>Description of Estimation Methodology</w:t>
      </w:r>
    </w:p>
    <w:p w:rsidR="00DC44A2" w:rsidRPr="00557717" w:rsidRDefault="00DC44A2" w:rsidP="00DC44A2">
      <w:pPr>
        <w:tabs>
          <w:tab w:val="left" w:pos="480"/>
          <w:tab w:val="left" w:pos="960"/>
          <w:tab w:val="left" w:pos="1320"/>
          <w:tab w:val="left" w:pos="2400"/>
        </w:tabs>
        <w:rPr>
          <w:rFonts w:ascii="Calibri" w:hAnsi="Calibri"/>
          <w:sz w:val="22"/>
          <w:szCs w:val="22"/>
        </w:rPr>
      </w:pPr>
    </w:p>
    <w:p w:rsidR="00DC44A2" w:rsidRPr="00557717" w:rsidRDefault="00DC44A2" w:rsidP="00DC44A2">
      <w:pPr>
        <w:jc w:val="both"/>
        <w:rPr>
          <w:rFonts w:ascii="Calibri" w:hAnsi="Calibri"/>
          <w:sz w:val="22"/>
          <w:szCs w:val="22"/>
        </w:rPr>
      </w:pPr>
      <w:r>
        <w:rPr>
          <w:rFonts w:ascii="Calibri" w:hAnsi="Calibri"/>
          <w:sz w:val="22"/>
          <w:szCs w:val="22"/>
        </w:rPr>
        <w:t>T</w:t>
      </w:r>
      <w:r w:rsidRPr="00557717">
        <w:rPr>
          <w:rFonts w:ascii="Calibri" w:hAnsi="Calibri"/>
          <w:sz w:val="22"/>
          <w:szCs w:val="22"/>
        </w:rPr>
        <w:t xml:space="preserve">he IPP uses the </w:t>
      </w:r>
      <w:r>
        <w:rPr>
          <w:rFonts w:ascii="Calibri" w:hAnsi="Calibri"/>
          <w:sz w:val="22"/>
          <w:szCs w:val="22"/>
        </w:rPr>
        <w:t>items that are initiated and re</w:t>
      </w:r>
      <w:r w:rsidRPr="00557717">
        <w:rPr>
          <w:rFonts w:ascii="Calibri" w:hAnsi="Calibri"/>
          <w:sz w:val="22"/>
          <w:szCs w:val="22"/>
        </w:rPr>
        <w:t>priced every month to compute its price indexes. These indexes are calculated using a modified Laspeyres index formula. The modification used by the IPP differs from the conventional Laspeyres index by using a chained index instead of a fixed-base index. Chaining involves multiplying an index (or long term ratio) by a short term ratio (STR). This is useful since the product mix available for calculating price indexes can differ over time</w:t>
      </w:r>
      <w:r>
        <w:rPr>
          <w:rFonts w:ascii="Calibri" w:hAnsi="Calibri"/>
          <w:sz w:val="22"/>
          <w:szCs w:val="22"/>
        </w:rPr>
        <w:t xml:space="preserve"> (Bobbitt et al., </w:t>
      </w:r>
      <w:r w:rsidRPr="00557717">
        <w:rPr>
          <w:rFonts w:ascii="Calibri" w:hAnsi="Calibri"/>
          <w:sz w:val="22"/>
          <w:szCs w:val="22"/>
        </w:rPr>
        <w:t>2007).</w:t>
      </w:r>
    </w:p>
    <w:p w:rsidR="00DC44A2" w:rsidRPr="00557717" w:rsidRDefault="00DC44A2" w:rsidP="00DC44A2">
      <w:pPr>
        <w:ind w:left="720"/>
        <w:jc w:val="both"/>
        <w:rPr>
          <w:rFonts w:ascii="Calibri" w:hAnsi="Calibri"/>
          <w:sz w:val="22"/>
          <w:szCs w:val="22"/>
        </w:rPr>
      </w:pPr>
    </w:p>
    <w:p w:rsidR="00DC44A2" w:rsidRPr="00557717" w:rsidRDefault="00DC44A2" w:rsidP="00DC44A2">
      <w:pPr>
        <w:jc w:val="both"/>
        <w:rPr>
          <w:rFonts w:ascii="Calibri" w:hAnsi="Calibri"/>
          <w:sz w:val="22"/>
          <w:szCs w:val="22"/>
        </w:rPr>
      </w:pPr>
      <w:r>
        <w:rPr>
          <w:rFonts w:ascii="Calibri" w:hAnsi="Calibri"/>
          <w:sz w:val="22"/>
          <w:szCs w:val="22"/>
        </w:rPr>
        <w:t>The conventional Laspeyres index and the modified index</w:t>
      </w:r>
      <w:r w:rsidRPr="00557717">
        <w:rPr>
          <w:rFonts w:ascii="Calibri" w:hAnsi="Calibri"/>
          <w:sz w:val="22"/>
          <w:szCs w:val="22"/>
        </w:rPr>
        <w:t xml:space="preserve"> </w:t>
      </w:r>
      <w:r>
        <w:rPr>
          <w:rFonts w:ascii="Calibri" w:hAnsi="Calibri"/>
          <w:sz w:val="22"/>
          <w:szCs w:val="22"/>
        </w:rPr>
        <w:t>are</w:t>
      </w:r>
      <w:r w:rsidRPr="00557717">
        <w:rPr>
          <w:rFonts w:ascii="Calibri" w:hAnsi="Calibri"/>
          <w:sz w:val="22"/>
          <w:szCs w:val="22"/>
        </w:rPr>
        <w:t xml:space="preserve"> identical as long as the market basket of items does not change over time and each item provides a usable price in every period. </w:t>
      </w:r>
      <w:r>
        <w:rPr>
          <w:rFonts w:ascii="Calibri" w:hAnsi="Calibri"/>
          <w:sz w:val="22"/>
          <w:szCs w:val="22"/>
        </w:rPr>
        <w:t xml:space="preserve"> However, due to non</w:t>
      </w:r>
      <w:r w:rsidRPr="00557717">
        <w:rPr>
          <w:rFonts w:ascii="Calibri" w:hAnsi="Calibri"/>
          <w:sz w:val="22"/>
          <w:szCs w:val="22"/>
        </w:rPr>
        <w:t>response</w:t>
      </w:r>
      <w:r>
        <w:rPr>
          <w:rFonts w:ascii="Calibri" w:hAnsi="Calibri"/>
          <w:sz w:val="22"/>
          <w:szCs w:val="22"/>
        </w:rPr>
        <w:t xml:space="preserve"> and other factors</w:t>
      </w:r>
      <w:r w:rsidRPr="00557717">
        <w:rPr>
          <w:rFonts w:ascii="Calibri" w:hAnsi="Calibri"/>
          <w:sz w:val="22"/>
          <w:szCs w:val="22"/>
        </w:rPr>
        <w:t xml:space="preserve">, the mix of items used in the index from one period to the next is often different. The benefits of chaining over a fixed base index include a better reflection of changing economic conditions, technological progress, and spending patterns, and a suitable means for handling items that are not traded every calculation month. </w:t>
      </w:r>
    </w:p>
    <w:p w:rsidR="00DC44A2" w:rsidRPr="00557717" w:rsidRDefault="00DC44A2" w:rsidP="00DC44A2">
      <w:pPr>
        <w:ind w:left="720"/>
        <w:jc w:val="both"/>
        <w:rPr>
          <w:rFonts w:ascii="Calibri" w:hAnsi="Calibri"/>
          <w:sz w:val="22"/>
          <w:szCs w:val="22"/>
        </w:rPr>
      </w:pPr>
    </w:p>
    <w:p w:rsidR="00DC44A2" w:rsidRPr="00557717" w:rsidRDefault="00DC44A2" w:rsidP="00DC44A2">
      <w:pPr>
        <w:jc w:val="both"/>
        <w:rPr>
          <w:rFonts w:ascii="Calibri" w:hAnsi="Calibri"/>
          <w:sz w:val="22"/>
          <w:szCs w:val="22"/>
        </w:rPr>
      </w:pPr>
      <w:r w:rsidRPr="00557717">
        <w:rPr>
          <w:rFonts w:ascii="Calibri" w:hAnsi="Calibri"/>
          <w:sz w:val="22"/>
          <w:szCs w:val="22"/>
        </w:rPr>
        <w:t>Below is the derivation of the modified fixed quantity Laspeyres formula used in the IPP.</w:t>
      </w:r>
    </w:p>
    <w:p w:rsidR="00DC44A2" w:rsidRPr="00557717" w:rsidRDefault="00DC44A2" w:rsidP="00DC44A2">
      <w:pPr>
        <w:ind w:left="720"/>
        <w:jc w:val="both"/>
        <w:rPr>
          <w:rFonts w:ascii="Calibri" w:hAnsi="Calibri"/>
          <w:sz w:val="22"/>
          <w:szCs w:val="22"/>
        </w:rPr>
      </w:pPr>
    </w:p>
    <w:p w:rsidR="00DC44A2" w:rsidRPr="00557717" w:rsidRDefault="00DC44A2" w:rsidP="00DC44A2">
      <w:pPr>
        <w:ind w:left="720"/>
        <w:jc w:val="center"/>
        <w:rPr>
          <w:rFonts w:ascii="Calibri" w:hAnsi="Calibri"/>
          <w:sz w:val="22"/>
          <w:szCs w:val="22"/>
        </w:rPr>
      </w:pPr>
      <w:r w:rsidRPr="00557717">
        <w:rPr>
          <w:rFonts w:ascii="Calibri" w:hAnsi="Calibri"/>
          <w:position w:val="-6"/>
          <w:sz w:val="22"/>
          <w:szCs w:val="22"/>
        </w:rPr>
        <w:object w:dxaOrig="4040" w:dyaOrig="5360">
          <v:shape id="_x0000_i1027" type="#_x0000_t75" style="width:201.75pt;height:266.25pt" o:ole="">
            <v:imagedata r:id="rId13" o:title=""/>
          </v:shape>
          <o:OLEObject Type="Embed" ProgID="Equation.3" ShapeID="_x0000_i1027" DrawAspect="Content" ObjectID="_1597728495" r:id="rId14"/>
        </w:object>
      </w:r>
    </w:p>
    <w:p w:rsidR="00DC44A2" w:rsidRDefault="00DC44A2" w:rsidP="00DC44A2">
      <w:pPr>
        <w:ind w:left="720"/>
        <w:jc w:val="both"/>
        <w:rPr>
          <w:rFonts w:ascii="Calibri" w:hAnsi="Calibri"/>
          <w:sz w:val="22"/>
          <w:szCs w:val="22"/>
        </w:rPr>
      </w:pPr>
      <w:r>
        <w:rPr>
          <w:rFonts w:ascii="Calibri" w:hAnsi="Calibri"/>
          <w:sz w:val="22"/>
          <w:szCs w:val="22"/>
        </w:rPr>
        <w:t>where:</w:t>
      </w:r>
    </w:p>
    <w:p w:rsidR="00DC44A2" w:rsidRPr="00557717" w:rsidRDefault="00DC44A2" w:rsidP="00DC44A2">
      <w:pPr>
        <w:ind w:left="720"/>
        <w:jc w:val="both"/>
        <w:rPr>
          <w:rFonts w:ascii="Calibri" w:hAnsi="Calibri"/>
          <w:sz w:val="22"/>
          <w:szCs w:val="22"/>
        </w:rPr>
      </w:pPr>
      <w:r w:rsidRPr="00557717">
        <w:rPr>
          <w:rFonts w:ascii="Calibri" w:hAnsi="Calibri"/>
          <w:position w:val="-148"/>
          <w:sz w:val="22"/>
          <w:szCs w:val="22"/>
        </w:rPr>
        <w:object w:dxaOrig="5400" w:dyaOrig="3080">
          <v:shape id="_x0000_i1028" type="#_x0000_t75" style="width:302.25pt;height:158.25pt" o:ole="">
            <v:imagedata r:id="rId15" o:title=""/>
          </v:shape>
          <o:OLEObject Type="Embed" ProgID="Equation.3" ShapeID="_x0000_i1028" DrawAspect="Content" ObjectID="_1597728496" r:id="rId16"/>
        </w:object>
      </w:r>
    </w:p>
    <w:p w:rsidR="00DC44A2" w:rsidRPr="00557717" w:rsidRDefault="00DC44A2" w:rsidP="00DC44A2">
      <w:pPr>
        <w:ind w:left="720"/>
        <w:jc w:val="both"/>
        <w:rPr>
          <w:rFonts w:ascii="Calibri" w:hAnsi="Calibri"/>
          <w:sz w:val="22"/>
          <w:szCs w:val="22"/>
        </w:rPr>
      </w:pPr>
    </w:p>
    <w:p w:rsidR="00DC44A2" w:rsidRDefault="00DC44A2" w:rsidP="00DC44A2">
      <w:pPr>
        <w:jc w:val="both"/>
        <w:rPr>
          <w:rFonts w:ascii="Calibri" w:hAnsi="Calibri"/>
          <w:sz w:val="22"/>
          <w:szCs w:val="22"/>
        </w:rPr>
      </w:pPr>
      <w:r w:rsidRPr="00557717">
        <w:rPr>
          <w:rFonts w:ascii="Calibri" w:hAnsi="Calibri"/>
          <w:sz w:val="22"/>
          <w:szCs w:val="22"/>
        </w:rPr>
        <w:t>For each classification system, the IPP calculates its estimates of price change using an index aggregation structure (i.e. aggregation tree) with the following form</w:t>
      </w:r>
      <w:r>
        <w:rPr>
          <w:rFonts w:ascii="Calibri" w:hAnsi="Calibri"/>
          <w:sz w:val="22"/>
          <w:szCs w:val="22"/>
        </w:rPr>
        <w:t xml:space="preserve"> (Powers et al., 2006)</w:t>
      </w:r>
      <w:r w:rsidRPr="00557717">
        <w:rPr>
          <w:rFonts w:ascii="Calibri" w:hAnsi="Calibri"/>
          <w:sz w:val="22"/>
          <w:szCs w:val="22"/>
        </w:rPr>
        <w:t>:</w:t>
      </w:r>
    </w:p>
    <w:p w:rsidR="00DC44A2" w:rsidRPr="00557717" w:rsidRDefault="00DC44A2" w:rsidP="00DC44A2">
      <w:pPr>
        <w:ind w:left="720"/>
        <w:jc w:val="both"/>
        <w:rPr>
          <w:rFonts w:ascii="Calibri" w:hAnsi="Calibri"/>
          <w:sz w:val="22"/>
          <w:szCs w:val="22"/>
        </w:rPr>
      </w:pPr>
    </w:p>
    <w:p w:rsidR="00DC44A2" w:rsidRPr="00557717" w:rsidRDefault="00DC44A2" w:rsidP="00DC44A2">
      <w:pPr>
        <w:ind w:left="720"/>
        <w:jc w:val="both"/>
        <w:rPr>
          <w:rFonts w:ascii="Calibri" w:hAnsi="Calibri"/>
          <w:sz w:val="22"/>
          <w:szCs w:val="22"/>
        </w:rPr>
      </w:pPr>
      <w:r w:rsidRPr="00557717">
        <w:rPr>
          <w:rFonts w:ascii="Calibri" w:hAnsi="Calibri"/>
          <w:sz w:val="22"/>
          <w:szCs w:val="22"/>
        </w:rPr>
        <w:t>Upper Level Strata</w:t>
      </w:r>
    </w:p>
    <w:p w:rsidR="00DC44A2" w:rsidRPr="00557717" w:rsidRDefault="00DC44A2" w:rsidP="00DC44A2">
      <w:pPr>
        <w:ind w:left="720"/>
        <w:jc w:val="both"/>
        <w:rPr>
          <w:rFonts w:ascii="Calibri" w:hAnsi="Calibri"/>
          <w:sz w:val="22"/>
          <w:szCs w:val="22"/>
        </w:rPr>
      </w:pPr>
      <w:r w:rsidRPr="00557717">
        <w:rPr>
          <w:rFonts w:ascii="Calibri" w:hAnsi="Calibri"/>
          <w:sz w:val="22"/>
          <w:szCs w:val="22"/>
        </w:rPr>
        <w:t>Lower Level Strata</w:t>
      </w:r>
    </w:p>
    <w:p w:rsidR="00DC44A2" w:rsidRPr="00557717" w:rsidRDefault="00DC44A2" w:rsidP="00DC44A2">
      <w:pPr>
        <w:ind w:left="720"/>
        <w:jc w:val="both"/>
        <w:rPr>
          <w:rFonts w:ascii="Calibri" w:hAnsi="Calibri"/>
          <w:sz w:val="22"/>
          <w:szCs w:val="22"/>
        </w:rPr>
      </w:pPr>
      <w:r w:rsidRPr="00557717">
        <w:rPr>
          <w:rFonts w:ascii="Calibri" w:hAnsi="Calibri"/>
          <w:sz w:val="22"/>
          <w:szCs w:val="22"/>
        </w:rPr>
        <w:t>Classification Groups</w:t>
      </w:r>
    </w:p>
    <w:p w:rsidR="00DC44A2" w:rsidRPr="00557717" w:rsidRDefault="00DC44A2" w:rsidP="00DC44A2">
      <w:pPr>
        <w:ind w:left="720"/>
        <w:jc w:val="both"/>
        <w:rPr>
          <w:rFonts w:ascii="Calibri" w:hAnsi="Calibri"/>
          <w:sz w:val="22"/>
          <w:szCs w:val="22"/>
        </w:rPr>
      </w:pPr>
      <w:r w:rsidRPr="00557717">
        <w:rPr>
          <w:rFonts w:ascii="Calibri" w:hAnsi="Calibri"/>
          <w:sz w:val="22"/>
          <w:szCs w:val="22"/>
        </w:rPr>
        <w:t>Weight Groups (i.e. Company-Index Classification Group)</w:t>
      </w:r>
    </w:p>
    <w:p w:rsidR="00DC44A2" w:rsidRPr="00557717" w:rsidRDefault="00DC44A2" w:rsidP="00DC44A2">
      <w:pPr>
        <w:ind w:left="720"/>
        <w:jc w:val="both"/>
        <w:rPr>
          <w:rFonts w:ascii="Calibri" w:hAnsi="Calibri"/>
          <w:sz w:val="22"/>
          <w:szCs w:val="22"/>
        </w:rPr>
      </w:pPr>
      <w:r w:rsidRPr="00557717">
        <w:rPr>
          <w:rFonts w:ascii="Calibri" w:hAnsi="Calibri"/>
          <w:sz w:val="22"/>
          <w:szCs w:val="22"/>
        </w:rPr>
        <w:t>Items</w:t>
      </w:r>
    </w:p>
    <w:p w:rsidR="00DC44A2" w:rsidRPr="00557717" w:rsidRDefault="00DC44A2" w:rsidP="00DC44A2">
      <w:pPr>
        <w:ind w:left="720"/>
        <w:jc w:val="both"/>
        <w:rPr>
          <w:rFonts w:ascii="Calibri" w:hAnsi="Calibri"/>
          <w:sz w:val="22"/>
          <w:szCs w:val="22"/>
        </w:rPr>
      </w:pPr>
    </w:p>
    <w:p w:rsidR="00DC44A2" w:rsidRPr="00557717" w:rsidRDefault="00DC44A2" w:rsidP="00DC44A2">
      <w:pPr>
        <w:autoSpaceDE w:val="0"/>
        <w:autoSpaceDN w:val="0"/>
        <w:adjustRightInd w:val="0"/>
        <w:rPr>
          <w:rFonts w:ascii="Calibri" w:hAnsi="Calibri"/>
          <w:sz w:val="22"/>
          <w:szCs w:val="22"/>
        </w:rPr>
      </w:pPr>
      <w:r w:rsidRPr="00557717">
        <w:rPr>
          <w:rFonts w:ascii="Calibri" w:hAnsi="Calibri"/>
          <w:sz w:val="22"/>
          <w:szCs w:val="22"/>
        </w:rPr>
        <w:t xml:space="preserve">A stratum may have several </w:t>
      </w:r>
      <w:r>
        <w:rPr>
          <w:rFonts w:ascii="Calibri" w:hAnsi="Calibri"/>
          <w:sz w:val="22"/>
          <w:szCs w:val="22"/>
        </w:rPr>
        <w:t>middle-level-</w:t>
      </w:r>
      <w:r w:rsidRPr="00557717">
        <w:rPr>
          <w:rFonts w:ascii="Calibri" w:hAnsi="Calibri"/>
          <w:sz w:val="22"/>
          <w:szCs w:val="22"/>
        </w:rPr>
        <w:t xml:space="preserve">strata </w:t>
      </w:r>
      <w:r>
        <w:rPr>
          <w:rFonts w:ascii="Calibri" w:hAnsi="Calibri"/>
          <w:sz w:val="22"/>
          <w:szCs w:val="22"/>
        </w:rPr>
        <w:t xml:space="preserve">or none, </w:t>
      </w:r>
      <w:r w:rsidRPr="00557717">
        <w:rPr>
          <w:rFonts w:ascii="Calibri" w:hAnsi="Calibri"/>
          <w:sz w:val="22"/>
          <w:szCs w:val="22"/>
        </w:rPr>
        <w:t>between itself and the classification group level. The number of middle</w:t>
      </w:r>
      <w:r>
        <w:rPr>
          <w:rFonts w:ascii="Calibri" w:hAnsi="Calibri"/>
          <w:sz w:val="22"/>
          <w:szCs w:val="22"/>
        </w:rPr>
        <w:t xml:space="preserve">-level-strata </w:t>
      </w:r>
      <w:r w:rsidRPr="00557717">
        <w:rPr>
          <w:rFonts w:ascii="Calibri" w:hAnsi="Calibri"/>
          <w:sz w:val="22"/>
          <w:szCs w:val="22"/>
        </w:rPr>
        <w:t xml:space="preserve">from the classification group to each stratum varies depending on which stratum the specific CG belongs. Similarly, the number of </w:t>
      </w:r>
      <w:r>
        <w:rPr>
          <w:rFonts w:ascii="Calibri" w:hAnsi="Calibri"/>
          <w:sz w:val="22"/>
          <w:szCs w:val="22"/>
        </w:rPr>
        <w:t>middle-step-strata</w:t>
      </w:r>
      <w:r w:rsidRPr="00557717">
        <w:rPr>
          <w:rFonts w:ascii="Calibri" w:hAnsi="Calibri"/>
          <w:sz w:val="22"/>
          <w:szCs w:val="22"/>
        </w:rPr>
        <w:t xml:space="preserve"> from a stratum lower to an overall index varies.</w:t>
      </w:r>
      <w:r>
        <w:rPr>
          <w:rFonts w:ascii="Calibri" w:hAnsi="Calibri"/>
          <w:sz w:val="22"/>
          <w:szCs w:val="22"/>
        </w:rPr>
        <w:t xml:space="preserve"> The following</w:t>
      </w:r>
      <w:r w:rsidRPr="00557717">
        <w:rPr>
          <w:rFonts w:ascii="Calibri" w:hAnsi="Calibri"/>
          <w:sz w:val="22"/>
          <w:szCs w:val="22"/>
        </w:rPr>
        <w:t xml:space="preserve"> general formula is used until the desired aggregation level index is obtained.</w:t>
      </w:r>
    </w:p>
    <w:p w:rsidR="00DC44A2" w:rsidRPr="00557717" w:rsidRDefault="00DC44A2" w:rsidP="00DC44A2">
      <w:pPr>
        <w:autoSpaceDE w:val="0"/>
        <w:autoSpaceDN w:val="0"/>
        <w:adjustRightInd w:val="0"/>
        <w:ind w:left="720"/>
        <w:jc w:val="both"/>
        <w:rPr>
          <w:rFonts w:ascii="Calibri" w:hAnsi="Calibri"/>
          <w:b/>
          <w:bCs/>
          <w:sz w:val="22"/>
          <w:szCs w:val="22"/>
        </w:rPr>
      </w:pPr>
    </w:p>
    <w:p w:rsidR="00DC44A2" w:rsidRPr="00557717" w:rsidRDefault="00DC44A2" w:rsidP="00DC44A2">
      <w:pPr>
        <w:autoSpaceDE w:val="0"/>
        <w:autoSpaceDN w:val="0"/>
        <w:adjustRightInd w:val="0"/>
        <w:jc w:val="both"/>
        <w:rPr>
          <w:rFonts w:ascii="Calibri" w:hAnsi="Calibri"/>
          <w:sz w:val="22"/>
          <w:szCs w:val="22"/>
        </w:rPr>
      </w:pPr>
      <w:r w:rsidRPr="00557717">
        <w:rPr>
          <w:rFonts w:ascii="Calibri" w:hAnsi="Calibri"/>
          <w:sz w:val="22"/>
          <w:szCs w:val="22"/>
        </w:rPr>
        <w:t xml:space="preserve">Let </w:t>
      </w:r>
      <w:r w:rsidRPr="00557717">
        <w:rPr>
          <w:rFonts w:ascii="Calibri" w:hAnsi="Calibri"/>
          <w:i/>
          <w:iCs/>
          <w:sz w:val="22"/>
          <w:szCs w:val="22"/>
        </w:rPr>
        <w:t>Child</w:t>
      </w:r>
      <w:r w:rsidRPr="00557717">
        <w:rPr>
          <w:rFonts w:ascii="Calibri" w:hAnsi="Calibri"/>
          <w:sz w:val="22"/>
          <w:szCs w:val="22"/>
        </w:rPr>
        <w:t>[</w:t>
      </w:r>
      <w:r w:rsidRPr="00557717">
        <w:rPr>
          <w:rFonts w:ascii="Calibri" w:hAnsi="Calibri"/>
          <w:i/>
          <w:iCs/>
          <w:sz w:val="22"/>
          <w:szCs w:val="22"/>
        </w:rPr>
        <w:t>h</w:t>
      </w:r>
      <w:r w:rsidRPr="00557717">
        <w:rPr>
          <w:rFonts w:ascii="Calibri" w:hAnsi="Calibri"/>
          <w:sz w:val="22"/>
          <w:szCs w:val="22"/>
        </w:rPr>
        <w:t xml:space="preserve">] to be the set of all strata or classification groups </w:t>
      </w:r>
      <w:r>
        <w:rPr>
          <w:rFonts w:ascii="Calibri" w:hAnsi="Calibri"/>
          <w:sz w:val="22"/>
          <w:szCs w:val="22"/>
        </w:rPr>
        <w:t xml:space="preserve">in the aggregation level </w:t>
      </w:r>
      <w:r w:rsidRPr="00557717">
        <w:rPr>
          <w:rFonts w:ascii="Calibri" w:hAnsi="Calibri"/>
          <w:sz w:val="22"/>
          <w:szCs w:val="22"/>
        </w:rPr>
        <w:t xml:space="preserve">directly below Stratum </w:t>
      </w:r>
      <w:r w:rsidRPr="00557717">
        <w:rPr>
          <w:rFonts w:ascii="Calibri" w:hAnsi="Calibri"/>
          <w:i/>
          <w:iCs/>
          <w:sz w:val="22"/>
          <w:szCs w:val="22"/>
        </w:rPr>
        <w:t xml:space="preserve">h </w:t>
      </w:r>
      <w:r w:rsidRPr="00557717">
        <w:rPr>
          <w:rFonts w:ascii="Calibri" w:hAnsi="Calibri"/>
          <w:sz w:val="22"/>
          <w:szCs w:val="22"/>
        </w:rPr>
        <w:t xml:space="preserve">in an aggregation tree. Let </w:t>
      </w:r>
      <w:r w:rsidRPr="00557717">
        <w:rPr>
          <w:rFonts w:ascii="Calibri" w:hAnsi="Calibri"/>
          <w:position w:val="-14"/>
          <w:sz w:val="22"/>
          <w:szCs w:val="22"/>
        </w:rPr>
        <w:object w:dxaOrig="660" w:dyaOrig="380">
          <v:shape id="_x0000_i1029" type="#_x0000_t75" style="width:36.75pt;height:21.75pt" o:ole="">
            <v:imagedata r:id="rId17" o:title=""/>
          </v:shape>
          <o:OLEObject Type="Embed" ProgID="Equation.3" ShapeID="_x0000_i1029" DrawAspect="Content" ObjectID="_1597728497" r:id="rId18"/>
        </w:object>
      </w:r>
      <w:r w:rsidRPr="00557717">
        <w:rPr>
          <w:rFonts w:ascii="Calibri" w:hAnsi="Calibri"/>
          <w:sz w:val="22"/>
          <w:szCs w:val="22"/>
        </w:rPr>
        <w:t>be a short-term ratio of stratum,</w:t>
      </w:r>
      <w:r w:rsidRPr="00557717">
        <w:rPr>
          <w:rFonts w:ascii="Calibri" w:hAnsi="Calibri"/>
          <w:position w:val="-6"/>
          <w:sz w:val="22"/>
          <w:szCs w:val="22"/>
        </w:rPr>
        <w:object w:dxaOrig="200" w:dyaOrig="279">
          <v:shape id="_x0000_i1030" type="#_x0000_t75" style="width:7.5pt;height:14.25pt" o:ole="">
            <v:imagedata r:id="rId19" o:title=""/>
          </v:shape>
          <o:OLEObject Type="Embed" ProgID="Equation.3" ShapeID="_x0000_i1030" DrawAspect="Content" ObjectID="_1597728498" r:id="rId20"/>
        </w:object>
      </w:r>
      <w:r w:rsidRPr="00557717">
        <w:rPr>
          <w:rFonts w:ascii="Calibri" w:hAnsi="Calibri"/>
          <w:sz w:val="22"/>
          <w:szCs w:val="22"/>
        </w:rPr>
        <w:t>, at time</w:t>
      </w:r>
      <w:r w:rsidRPr="00557717">
        <w:rPr>
          <w:rFonts w:ascii="Calibri" w:hAnsi="Calibri"/>
          <w:position w:val="-6"/>
          <w:sz w:val="22"/>
          <w:szCs w:val="22"/>
        </w:rPr>
        <w:object w:dxaOrig="139" w:dyaOrig="240">
          <v:shape id="_x0000_i1031" type="#_x0000_t75" style="width:7.5pt;height:14.25pt" o:ole="">
            <v:imagedata r:id="rId21" o:title=""/>
          </v:shape>
          <o:OLEObject Type="Embed" ProgID="Equation.3" ShapeID="_x0000_i1031" DrawAspect="Content" ObjectID="_1597728499" r:id="rId22"/>
        </w:object>
      </w:r>
      <w:r w:rsidRPr="00557717">
        <w:rPr>
          <w:rFonts w:ascii="Calibri" w:hAnsi="Calibri"/>
          <w:sz w:val="22"/>
          <w:szCs w:val="22"/>
        </w:rPr>
        <w:t>:</w:t>
      </w:r>
    </w:p>
    <w:p w:rsidR="00DC44A2" w:rsidRPr="00557717" w:rsidRDefault="00DC44A2" w:rsidP="00DC44A2">
      <w:pPr>
        <w:autoSpaceDE w:val="0"/>
        <w:autoSpaceDN w:val="0"/>
        <w:adjustRightInd w:val="0"/>
        <w:ind w:left="720"/>
        <w:jc w:val="both"/>
        <w:rPr>
          <w:rFonts w:ascii="Calibri" w:hAnsi="Calibri"/>
          <w:sz w:val="22"/>
          <w:szCs w:val="22"/>
        </w:rPr>
      </w:pPr>
    </w:p>
    <w:p w:rsidR="00DC44A2" w:rsidRPr="00557717" w:rsidRDefault="00DC44A2" w:rsidP="00DC44A2">
      <w:pPr>
        <w:autoSpaceDE w:val="0"/>
        <w:autoSpaceDN w:val="0"/>
        <w:adjustRightInd w:val="0"/>
        <w:ind w:left="720"/>
        <w:jc w:val="center"/>
        <w:rPr>
          <w:rFonts w:ascii="Calibri" w:hAnsi="Calibri"/>
          <w:sz w:val="22"/>
          <w:szCs w:val="22"/>
        </w:rPr>
      </w:pPr>
      <w:r w:rsidRPr="00557717">
        <w:rPr>
          <w:rFonts w:ascii="Calibri" w:hAnsi="Calibri"/>
          <w:position w:val="-46"/>
          <w:sz w:val="22"/>
          <w:szCs w:val="22"/>
        </w:rPr>
        <w:object w:dxaOrig="2260" w:dyaOrig="1040">
          <v:shape id="_x0000_i1032" type="#_x0000_t75" style="width:115.5pt;height:50.25pt" o:ole="">
            <v:imagedata r:id="rId23" o:title=""/>
          </v:shape>
          <o:OLEObject Type="Embed" ProgID="Equation.3" ShapeID="_x0000_i1032" DrawAspect="Content" ObjectID="_1597728500" r:id="rId24"/>
        </w:object>
      </w:r>
    </w:p>
    <w:p w:rsidR="00DC44A2" w:rsidRDefault="00DC44A2" w:rsidP="00DC44A2">
      <w:pPr>
        <w:autoSpaceDE w:val="0"/>
        <w:autoSpaceDN w:val="0"/>
        <w:adjustRightInd w:val="0"/>
        <w:rPr>
          <w:rFonts w:ascii="Calibri" w:hAnsi="Calibri"/>
          <w:iCs/>
          <w:sz w:val="22"/>
          <w:szCs w:val="22"/>
        </w:rPr>
      </w:pPr>
      <w:r w:rsidRPr="00557717">
        <w:rPr>
          <w:rFonts w:ascii="Calibri" w:hAnsi="Calibri"/>
          <w:iCs/>
          <w:sz w:val="22"/>
          <w:szCs w:val="22"/>
        </w:rPr>
        <w:t>where:</w:t>
      </w:r>
    </w:p>
    <w:p w:rsidR="00DC44A2" w:rsidRPr="00557717" w:rsidRDefault="00DC44A2" w:rsidP="00DC44A2">
      <w:pPr>
        <w:autoSpaceDE w:val="0"/>
        <w:autoSpaceDN w:val="0"/>
        <w:adjustRightInd w:val="0"/>
        <w:ind w:left="720"/>
        <w:rPr>
          <w:rFonts w:ascii="Calibri" w:hAnsi="Calibri"/>
          <w:iCs/>
          <w:sz w:val="22"/>
          <w:szCs w:val="22"/>
        </w:rPr>
      </w:pPr>
    </w:p>
    <w:p w:rsidR="00DC44A2" w:rsidRPr="00557717" w:rsidRDefault="00DC44A2" w:rsidP="00DC44A2">
      <w:pPr>
        <w:autoSpaceDE w:val="0"/>
        <w:autoSpaceDN w:val="0"/>
        <w:adjustRightInd w:val="0"/>
        <w:ind w:left="720"/>
        <w:rPr>
          <w:rFonts w:ascii="Calibri" w:hAnsi="Calibri"/>
          <w:iCs/>
          <w:sz w:val="22"/>
          <w:szCs w:val="22"/>
        </w:rPr>
      </w:pPr>
      <w:r w:rsidRPr="00557717">
        <w:rPr>
          <w:rFonts w:ascii="Calibri" w:hAnsi="Calibri"/>
          <w:position w:val="-48"/>
          <w:sz w:val="22"/>
          <w:szCs w:val="22"/>
        </w:rPr>
        <w:object w:dxaOrig="4080" w:dyaOrig="1060">
          <v:shape id="_x0000_i1033" type="#_x0000_t75" style="width:209.25pt;height:43.5pt" o:ole="">
            <v:imagedata r:id="rId25" o:title=""/>
          </v:shape>
          <o:OLEObject Type="Embed" ProgID="Equation.3" ShapeID="_x0000_i1033" DrawAspect="Content" ObjectID="_1597728501" r:id="rId26"/>
        </w:object>
      </w:r>
    </w:p>
    <w:p w:rsidR="00DC44A2" w:rsidRPr="00557717" w:rsidRDefault="00DC44A2" w:rsidP="00DC44A2">
      <w:pPr>
        <w:autoSpaceDE w:val="0"/>
        <w:autoSpaceDN w:val="0"/>
        <w:adjustRightInd w:val="0"/>
        <w:ind w:left="720"/>
        <w:rPr>
          <w:rFonts w:ascii="Calibri" w:hAnsi="Calibri"/>
          <w:sz w:val="22"/>
          <w:szCs w:val="22"/>
        </w:rPr>
      </w:pPr>
    </w:p>
    <w:p w:rsidR="00DC44A2" w:rsidRPr="00557717" w:rsidRDefault="00DC44A2" w:rsidP="00DC44A2">
      <w:pPr>
        <w:ind w:left="720"/>
        <w:jc w:val="both"/>
        <w:rPr>
          <w:rFonts w:ascii="Calibri" w:hAnsi="Calibri"/>
          <w:sz w:val="22"/>
          <w:szCs w:val="22"/>
        </w:rPr>
      </w:pPr>
    </w:p>
    <w:p w:rsidR="00DC44A2" w:rsidRPr="00557717" w:rsidRDefault="00DC44A2" w:rsidP="00DC44A2">
      <w:pPr>
        <w:jc w:val="both"/>
        <w:rPr>
          <w:rFonts w:ascii="Calibri" w:hAnsi="Calibri"/>
          <w:sz w:val="22"/>
          <w:szCs w:val="22"/>
        </w:rPr>
      </w:pPr>
      <w:r w:rsidRPr="00557717">
        <w:rPr>
          <w:rFonts w:ascii="Calibri" w:hAnsi="Calibri"/>
          <w:sz w:val="22"/>
          <w:szCs w:val="22"/>
        </w:rPr>
        <w:t xml:space="preserve">As mentioned previously, at any given time, the IPP has up to three samples of items being used to calculate each stratum's index estimate. Currently the IPP combines </w:t>
      </w:r>
      <w:r>
        <w:rPr>
          <w:rFonts w:ascii="Calibri" w:hAnsi="Calibri"/>
          <w:sz w:val="22"/>
          <w:szCs w:val="22"/>
        </w:rPr>
        <w:t>the data from these samples by ‘</w:t>
      </w:r>
      <w:r w:rsidRPr="00557717">
        <w:rPr>
          <w:rFonts w:ascii="Calibri" w:hAnsi="Calibri"/>
          <w:sz w:val="22"/>
          <w:szCs w:val="22"/>
        </w:rPr>
        <w:t>pooling</w:t>
      </w:r>
      <w:r>
        <w:rPr>
          <w:rFonts w:ascii="Calibri" w:hAnsi="Calibri"/>
          <w:sz w:val="22"/>
          <w:szCs w:val="22"/>
        </w:rPr>
        <w:t>’</w:t>
      </w:r>
      <w:r w:rsidRPr="00557717">
        <w:rPr>
          <w:rFonts w:ascii="Calibri" w:hAnsi="Calibri"/>
          <w:sz w:val="22"/>
          <w:szCs w:val="22"/>
        </w:rPr>
        <w:t xml:space="preserve"> the individual estimates.</w:t>
      </w:r>
    </w:p>
    <w:p w:rsidR="00DC44A2" w:rsidRPr="00557717" w:rsidRDefault="00DC44A2" w:rsidP="00DC44A2">
      <w:pPr>
        <w:ind w:left="720"/>
        <w:jc w:val="both"/>
        <w:rPr>
          <w:rFonts w:ascii="Calibri" w:hAnsi="Calibri"/>
          <w:sz w:val="22"/>
          <w:szCs w:val="22"/>
        </w:rPr>
      </w:pPr>
    </w:p>
    <w:p w:rsidR="00DC44A2" w:rsidRPr="00557717" w:rsidRDefault="00DC44A2" w:rsidP="00DC44A2">
      <w:pPr>
        <w:jc w:val="both"/>
        <w:rPr>
          <w:rFonts w:ascii="Calibri" w:hAnsi="Calibri"/>
          <w:sz w:val="22"/>
          <w:szCs w:val="22"/>
        </w:rPr>
      </w:pPr>
      <w:r w:rsidRPr="00557717">
        <w:rPr>
          <w:rFonts w:ascii="Calibri" w:hAnsi="Calibri"/>
          <w:sz w:val="22"/>
          <w:szCs w:val="22"/>
        </w:rPr>
        <w:t>Pooling refers to combining items from multiple samples at the lowest level of the index aggregation tree. These combined sample groups are referred to as a weight group. Different sampling groups can be selected for the same weight group across different samples, so it is possible that multiple items from different sampling groups can be used to calculate a single weight group index. This weight group level aggregation is done primarily so the Industry Analysts within IPP can perform analyses on the index information across samples.</w:t>
      </w:r>
    </w:p>
    <w:p w:rsidR="00DC44A2" w:rsidRPr="00557717" w:rsidRDefault="00DC44A2" w:rsidP="00DC44A2">
      <w:pPr>
        <w:tabs>
          <w:tab w:val="left" w:pos="480"/>
          <w:tab w:val="left" w:pos="960"/>
          <w:tab w:val="left" w:pos="1320"/>
          <w:tab w:val="left" w:pos="2400"/>
        </w:tabs>
        <w:rPr>
          <w:rFonts w:ascii="Calibri" w:hAnsi="Calibri"/>
          <w:sz w:val="22"/>
          <w:szCs w:val="22"/>
        </w:rPr>
      </w:pPr>
    </w:p>
    <w:p w:rsidR="00DC44A2" w:rsidRPr="0045587E" w:rsidRDefault="00DC44A2" w:rsidP="00DC44A2">
      <w:pPr>
        <w:tabs>
          <w:tab w:val="left" w:pos="480"/>
          <w:tab w:val="left" w:pos="720"/>
          <w:tab w:val="left" w:pos="960"/>
          <w:tab w:val="left" w:pos="1320"/>
          <w:tab w:val="left" w:pos="2400"/>
        </w:tabs>
        <w:jc w:val="both"/>
        <w:rPr>
          <w:rFonts w:ascii="Calibri" w:hAnsi="Calibri"/>
          <w:b/>
        </w:rPr>
      </w:pPr>
      <w:r w:rsidRPr="0045587E">
        <w:rPr>
          <w:rFonts w:ascii="Calibri" w:hAnsi="Calibri"/>
          <w:b/>
        </w:rPr>
        <w:t xml:space="preserve">3. </w:t>
      </w:r>
      <w:r w:rsidRPr="0045587E">
        <w:rPr>
          <w:rFonts w:ascii="Calibri" w:hAnsi="Calibri"/>
          <w:b/>
        </w:rPr>
        <w:tab/>
      </w:r>
      <w:r w:rsidRPr="0045587E">
        <w:rPr>
          <w:rFonts w:ascii="Calibri" w:hAnsi="Calibri"/>
          <w:b/>
        </w:rPr>
        <w:tab/>
        <w:t xml:space="preserve">Methods to Maximize Response Rates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tabs>
          <w:tab w:val="left" w:pos="480"/>
          <w:tab w:val="left" w:pos="960"/>
          <w:tab w:val="left" w:pos="1320"/>
          <w:tab w:val="left" w:pos="2400"/>
        </w:tabs>
        <w:jc w:val="both"/>
        <w:rPr>
          <w:rFonts w:ascii="Calibri" w:hAnsi="Calibri"/>
          <w:sz w:val="22"/>
          <w:szCs w:val="22"/>
        </w:rPr>
      </w:pPr>
      <w:r w:rsidRPr="00557717">
        <w:rPr>
          <w:rFonts w:ascii="Calibri" w:hAnsi="Calibri"/>
          <w:sz w:val="22"/>
          <w:szCs w:val="22"/>
        </w:rPr>
        <w:t>Several techniques are used to ensure maintenance of adequate sample siz</w:t>
      </w:r>
      <w:r>
        <w:rPr>
          <w:rFonts w:ascii="Calibri" w:hAnsi="Calibri"/>
          <w:sz w:val="22"/>
          <w:szCs w:val="22"/>
        </w:rPr>
        <w:t xml:space="preserve">es for estimating IPP indexes. </w:t>
      </w:r>
      <w:r w:rsidRPr="00557717">
        <w:rPr>
          <w:rFonts w:ascii="Calibri" w:hAnsi="Calibri"/>
          <w:sz w:val="22"/>
          <w:szCs w:val="22"/>
        </w:rPr>
        <w:t>Initial sample sizes are sufficiently larger than desire</w:t>
      </w:r>
      <w:r>
        <w:rPr>
          <w:rFonts w:ascii="Calibri" w:hAnsi="Calibri"/>
          <w:sz w:val="22"/>
          <w:szCs w:val="22"/>
        </w:rPr>
        <w:t>d sample sizes to allow for non</w:t>
      </w:r>
      <w:r w:rsidRPr="00557717">
        <w:rPr>
          <w:rFonts w:ascii="Calibri" w:hAnsi="Calibri"/>
          <w:sz w:val="22"/>
          <w:szCs w:val="22"/>
        </w:rPr>
        <w:t>response</w:t>
      </w:r>
      <w:r>
        <w:rPr>
          <w:rFonts w:ascii="Calibri" w:hAnsi="Calibri"/>
          <w:sz w:val="22"/>
          <w:szCs w:val="22"/>
        </w:rPr>
        <w:t xml:space="preserve"> (which includes </w:t>
      </w:r>
      <w:r w:rsidRPr="00557717">
        <w:rPr>
          <w:rFonts w:ascii="Calibri" w:hAnsi="Calibri"/>
          <w:sz w:val="22"/>
          <w:szCs w:val="22"/>
        </w:rPr>
        <w:t>out</w:t>
      </w:r>
      <w:r w:rsidRPr="00557717">
        <w:rPr>
          <w:rFonts w:ascii="Calibri" w:hAnsi="Calibri"/>
          <w:sz w:val="22"/>
          <w:szCs w:val="22"/>
        </w:rPr>
        <w:noBreakHyphen/>
        <w:t>of</w:t>
      </w:r>
      <w:r w:rsidRPr="00557717">
        <w:rPr>
          <w:rFonts w:ascii="Calibri" w:hAnsi="Calibri"/>
          <w:sz w:val="22"/>
          <w:szCs w:val="22"/>
        </w:rPr>
        <w:noBreakHyphen/>
        <w:t>business, out</w:t>
      </w:r>
      <w:r w:rsidRPr="00557717">
        <w:rPr>
          <w:rFonts w:ascii="Calibri" w:hAnsi="Calibri"/>
          <w:sz w:val="22"/>
          <w:szCs w:val="22"/>
        </w:rPr>
        <w:noBreakHyphen/>
        <w:t>of</w:t>
      </w:r>
      <w:r w:rsidRPr="00557717">
        <w:rPr>
          <w:rFonts w:ascii="Calibri" w:hAnsi="Calibri"/>
          <w:sz w:val="22"/>
          <w:szCs w:val="22"/>
        </w:rPr>
        <w:noBreakHyphen/>
        <w:t>scope, and refusal</w:t>
      </w:r>
      <w:r>
        <w:rPr>
          <w:rFonts w:ascii="Calibri" w:hAnsi="Calibri"/>
          <w:sz w:val="22"/>
          <w:szCs w:val="22"/>
        </w:rPr>
        <w:t xml:space="preserve"> outcomes)</w:t>
      </w:r>
      <w:r w:rsidRPr="00557717">
        <w:rPr>
          <w:rFonts w:ascii="Calibri" w:hAnsi="Calibri"/>
          <w:sz w:val="22"/>
          <w:szCs w:val="22"/>
        </w:rPr>
        <w:t>.  An export analysis and an import analysis were conducted to identify the causes of out</w:t>
      </w:r>
      <w:r w:rsidRPr="00557717">
        <w:rPr>
          <w:rFonts w:ascii="Calibri" w:hAnsi="Calibri"/>
          <w:sz w:val="22"/>
          <w:szCs w:val="22"/>
        </w:rPr>
        <w:noBreakHyphen/>
        <w:t>of</w:t>
      </w:r>
      <w:r w:rsidRPr="00557717">
        <w:rPr>
          <w:rFonts w:ascii="Calibri" w:hAnsi="Calibri"/>
          <w:sz w:val="22"/>
          <w:szCs w:val="22"/>
        </w:rPr>
        <w:noBreakHyphen/>
        <w:t xml:space="preserve">scope </w:t>
      </w:r>
      <w:r>
        <w:rPr>
          <w:rFonts w:ascii="Calibri" w:hAnsi="Calibri"/>
          <w:sz w:val="22"/>
          <w:szCs w:val="22"/>
        </w:rPr>
        <w:t>non</w:t>
      </w:r>
      <w:r w:rsidRPr="00557717">
        <w:rPr>
          <w:rFonts w:ascii="Calibri" w:hAnsi="Calibri"/>
          <w:sz w:val="22"/>
          <w:szCs w:val="22"/>
        </w:rPr>
        <w:t>response, which resulted in the methodology changes</w:t>
      </w:r>
      <w:r>
        <w:rPr>
          <w:rFonts w:ascii="Calibri" w:hAnsi="Calibri"/>
          <w:sz w:val="22"/>
          <w:szCs w:val="22"/>
        </w:rPr>
        <w:t xml:space="preserve"> below</w:t>
      </w:r>
      <w:r w:rsidRPr="00557717">
        <w:rPr>
          <w:rFonts w:ascii="Calibri" w:hAnsi="Calibri"/>
          <w:sz w:val="22"/>
          <w:szCs w:val="22"/>
        </w:rPr>
        <w:t xml:space="preserve">.  </w:t>
      </w:r>
      <w:r>
        <w:rPr>
          <w:rFonts w:ascii="Calibri" w:hAnsi="Calibri"/>
          <w:sz w:val="22"/>
          <w:szCs w:val="22"/>
        </w:rPr>
        <w:t>(</w:t>
      </w:r>
      <w:r w:rsidRPr="00557717">
        <w:rPr>
          <w:rFonts w:ascii="Calibri" w:hAnsi="Calibri"/>
          <w:color w:val="000000"/>
          <w:sz w:val="22"/>
          <w:szCs w:val="22"/>
        </w:rPr>
        <w:t>For additional details, see the Out-of-Scope Export and Import Analysis reports which are internal BLS reports available upon request.</w:t>
      </w:r>
      <w:r>
        <w:rPr>
          <w:rFonts w:ascii="Calibri" w:hAnsi="Calibri"/>
          <w:color w:val="000000"/>
          <w:sz w:val="22"/>
          <w:szCs w:val="22"/>
        </w:rPr>
        <w:t>)</w:t>
      </w:r>
      <w:r w:rsidRPr="00557717">
        <w:rPr>
          <w:rFonts w:ascii="Calibri" w:hAnsi="Calibri"/>
          <w:sz w:val="22"/>
          <w:szCs w:val="22"/>
        </w:rPr>
        <w:t xml:space="preserve">  </w:t>
      </w:r>
    </w:p>
    <w:p w:rsidR="00DC44A2" w:rsidRDefault="00DC44A2" w:rsidP="00DC44A2">
      <w:pPr>
        <w:tabs>
          <w:tab w:val="left" w:pos="480"/>
          <w:tab w:val="left" w:pos="960"/>
          <w:tab w:val="left" w:pos="1320"/>
          <w:tab w:val="left" w:pos="2400"/>
        </w:tabs>
        <w:jc w:val="both"/>
        <w:rPr>
          <w:rFonts w:ascii="Calibri" w:hAnsi="Calibri"/>
          <w:sz w:val="22"/>
          <w:szCs w:val="22"/>
        </w:rPr>
      </w:pPr>
    </w:p>
    <w:p w:rsidR="00DC44A2" w:rsidRDefault="00DC44A2" w:rsidP="00DC44A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A paneling approach was implemented whereby a new sample is introduced each</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year</w:t>
      </w:r>
      <w:r>
        <w:rPr>
          <w:rFonts w:ascii="Calibri" w:hAnsi="Calibri"/>
          <w:sz w:val="22"/>
          <w:szCs w:val="22"/>
        </w:rPr>
        <w:t xml:space="preserve"> </w:t>
      </w:r>
      <w:r w:rsidRPr="00C57552">
        <w:rPr>
          <w:rFonts w:ascii="Calibri" w:hAnsi="Calibri"/>
          <w:sz w:val="22"/>
          <w:szCs w:val="22"/>
        </w:rPr>
        <w:t>across half the product categories, re</w:t>
      </w:r>
      <w:r w:rsidRPr="00C57552">
        <w:rPr>
          <w:rFonts w:ascii="Calibri" w:hAnsi="Calibri"/>
          <w:sz w:val="22"/>
          <w:szCs w:val="22"/>
        </w:rPr>
        <w:noBreakHyphen/>
        <w:t>establishing the distribution of the</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C57552">
        <w:rPr>
          <w:rFonts w:ascii="Calibri" w:hAnsi="Calibri"/>
          <w:sz w:val="22"/>
          <w:szCs w:val="22"/>
        </w:rPr>
        <w:t xml:space="preserve"> </w:t>
      </w:r>
      <w:r>
        <w:rPr>
          <w:rFonts w:ascii="Calibri" w:hAnsi="Calibri"/>
          <w:sz w:val="22"/>
          <w:szCs w:val="22"/>
        </w:rPr>
        <w:t xml:space="preserve">    </w:t>
      </w:r>
      <w:r w:rsidRPr="00C57552">
        <w:rPr>
          <w:rFonts w:ascii="Calibri" w:hAnsi="Calibri"/>
          <w:sz w:val="22"/>
          <w:szCs w:val="22"/>
        </w:rPr>
        <w:t>sample an</w:t>
      </w:r>
      <w:r>
        <w:rPr>
          <w:rFonts w:ascii="Calibri" w:hAnsi="Calibri"/>
          <w:sz w:val="22"/>
          <w:szCs w:val="22"/>
        </w:rPr>
        <w:t xml:space="preserve">d </w:t>
      </w:r>
      <w:r w:rsidRPr="00C57552">
        <w:rPr>
          <w:rFonts w:ascii="Calibri" w:hAnsi="Calibri"/>
          <w:sz w:val="22"/>
          <w:szCs w:val="22"/>
        </w:rPr>
        <w:t xml:space="preserve">incorporating changes in the distribution of exports/imports. </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C57552">
        <w:rPr>
          <w:rFonts w:ascii="Calibri" w:hAnsi="Calibri"/>
          <w:sz w:val="22"/>
          <w:szCs w:val="22"/>
        </w:rPr>
        <w:t>Frequency of trade of</w:t>
      </w:r>
      <w:r>
        <w:rPr>
          <w:rFonts w:ascii="Calibri" w:hAnsi="Calibri"/>
          <w:sz w:val="22"/>
          <w:szCs w:val="22"/>
        </w:rPr>
        <w:t xml:space="preserve"> </w:t>
      </w:r>
      <w:r w:rsidRPr="00F355C8">
        <w:rPr>
          <w:rFonts w:ascii="Calibri" w:hAnsi="Calibri"/>
          <w:sz w:val="22"/>
          <w:szCs w:val="22"/>
        </w:rPr>
        <w:t>exporters/importers in products is measured from the</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sampling frame and</w:t>
      </w:r>
      <w:r>
        <w:rPr>
          <w:rFonts w:ascii="Calibri" w:hAnsi="Calibri"/>
          <w:sz w:val="22"/>
          <w:szCs w:val="22"/>
        </w:rPr>
        <w:t xml:space="preserve"> </w:t>
      </w:r>
      <w:r w:rsidRPr="00F355C8">
        <w:rPr>
          <w:rFonts w:ascii="Calibri" w:hAnsi="Calibri"/>
          <w:sz w:val="22"/>
          <w:szCs w:val="22"/>
        </w:rPr>
        <w:t>incorporated in</w:t>
      </w:r>
      <w:r>
        <w:rPr>
          <w:rFonts w:ascii="Calibri" w:hAnsi="Calibri"/>
          <w:sz w:val="22"/>
          <w:szCs w:val="22"/>
        </w:rPr>
        <w:t xml:space="preserve"> </w:t>
      </w:r>
      <w:r w:rsidRPr="00F355C8">
        <w:rPr>
          <w:rFonts w:ascii="Calibri" w:hAnsi="Calibri"/>
          <w:sz w:val="22"/>
          <w:szCs w:val="22"/>
        </w:rPr>
        <w:t>the sample design to reduce the</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out</w:t>
      </w:r>
      <w:r w:rsidRPr="00F355C8">
        <w:rPr>
          <w:rFonts w:ascii="Calibri" w:hAnsi="Calibri"/>
          <w:sz w:val="22"/>
          <w:szCs w:val="22"/>
        </w:rPr>
        <w:noBreakHyphen/>
        <w:t>of</w:t>
      </w:r>
      <w:r w:rsidRPr="00F355C8">
        <w:rPr>
          <w:rFonts w:ascii="Calibri" w:hAnsi="Calibri"/>
          <w:sz w:val="22"/>
          <w:szCs w:val="22"/>
        </w:rPr>
        <w:noBreakHyphen/>
        <w:t xml:space="preserve">scope rate.  </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p>
    <w:p w:rsidR="00DC44A2" w:rsidRDefault="00DC44A2" w:rsidP="00DC44A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For exports, the IPP </w:t>
      </w:r>
      <w:r>
        <w:rPr>
          <w:rFonts w:ascii="Calibri" w:hAnsi="Calibri"/>
          <w:sz w:val="22"/>
          <w:szCs w:val="22"/>
        </w:rPr>
        <w:t>receives</w:t>
      </w:r>
      <w:r w:rsidRPr="00F355C8">
        <w:rPr>
          <w:rFonts w:ascii="Calibri" w:hAnsi="Calibri"/>
          <w:sz w:val="22"/>
          <w:szCs w:val="22"/>
        </w:rPr>
        <w:t xml:space="preserve"> name and address information for each export</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 xml:space="preserve">shipment from a company and </w:t>
      </w:r>
      <w:r>
        <w:rPr>
          <w:rFonts w:ascii="Calibri" w:hAnsi="Calibri"/>
          <w:sz w:val="22"/>
          <w:szCs w:val="22"/>
        </w:rPr>
        <w:t>has revised</w:t>
      </w:r>
      <w:r w:rsidRPr="00F355C8">
        <w:rPr>
          <w:rFonts w:ascii="Calibri" w:hAnsi="Calibri"/>
          <w:sz w:val="22"/>
          <w:szCs w:val="22"/>
        </w:rPr>
        <w:t xml:space="preserve"> its matching process for determining</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and address of each sampled unit.  </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p>
    <w:p w:rsidR="00DC44A2" w:rsidRDefault="00DC44A2" w:rsidP="00DC44A2">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The Program</w:t>
      </w:r>
      <w:r w:rsidRPr="00F355C8">
        <w:rPr>
          <w:rFonts w:ascii="Calibri" w:hAnsi="Calibri"/>
          <w:sz w:val="22"/>
          <w:szCs w:val="22"/>
        </w:rPr>
        <w:t xml:space="preserve"> </w:t>
      </w:r>
      <w:r>
        <w:rPr>
          <w:rFonts w:ascii="Calibri" w:hAnsi="Calibri"/>
          <w:sz w:val="22"/>
          <w:szCs w:val="22"/>
        </w:rPr>
        <w:t>has</w:t>
      </w:r>
      <w:r w:rsidRPr="00F355C8">
        <w:rPr>
          <w:rFonts w:ascii="Calibri" w:hAnsi="Calibri"/>
          <w:sz w:val="22"/>
          <w:szCs w:val="22"/>
        </w:rPr>
        <w:t xml:space="preserve"> </w:t>
      </w:r>
      <w:r>
        <w:rPr>
          <w:rFonts w:ascii="Calibri" w:hAnsi="Calibri"/>
          <w:sz w:val="22"/>
          <w:szCs w:val="22"/>
        </w:rPr>
        <w:t>implemented</w:t>
      </w:r>
      <w:r w:rsidRPr="00F355C8">
        <w:rPr>
          <w:rFonts w:ascii="Calibri" w:hAnsi="Calibri"/>
          <w:sz w:val="22"/>
          <w:szCs w:val="22"/>
        </w:rPr>
        <w:t xml:space="preserve"> linking the Employer Identification Number</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(EIN) to additional data sources and using the linked information for identifying</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r>
        <w:rPr>
          <w:rFonts w:ascii="Calibri" w:hAnsi="Calibri"/>
          <w:sz w:val="22"/>
          <w:szCs w:val="22"/>
        </w:rPr>
        <w:t xml:space="preserve">    </w:t>
      </w:r>
      <w:r w:rsidRPr="00F355C8">
        <w:rPr>
          <w:rFonts w:ascii="Calibri" w:hAnsi="Calibri"/>
          <w:sz w:val="22"/>
          <w:szCs w:val="22"/>
        </w:rPr>
        <w:t xml:space="preserve">the correct name, address, and other pertinent information of each sampled unit. </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sidRPr="00F355C8">
        <w:rPr>
          <w:rFonts w:ascii="Calibri" w:hAnsi="Calibri"/>
          <w:sz w:val="22"/>
          <w:szCs w:val="22"/>
        </w:rPr>
        <w:t xml:space="preserve"> </w:t>
      </w:r>
    </w:p>
    <w:p w:rsidR="00DC44A2" w:rsidRDefault="00DC44A2" w:rsidP="00DC44A2">
      <w:pPr>
        <w:pStyle w:val="ListParagraph"/>
        <w:numPr>
          <w:ilvl w:val="0"/>
          <w:numId w:val="39"/>
        </w:numPr>
        <w:tabs>
          <w:tab w:val="left" w:pos="480"/>
          <w:tab w:val="left" w:pos="960"/>
          <w:tab w:val="left" w:pos="1320"/>
          <w:tab w:val="left" w:pos="2400"/>
        </w:tabs>
        <w:jc w:val="both"/>
        <w:rPr>
          <w:rFonts w:ascii="Calibri" w:hAnsi="Calibri"/>
          <w:sz w:val="22"/>
          <w:szCs w:val="22"/>
        </w:rPr>
      </w:pPr>
      <w:r w:rsidRPr="00F355C8">
        <w:rPr>
          <w:rFonts w:ascii="Calibri" w:hAnsi="Calibri"/>
          <w:sz w:val="22"/>
          <w:szCs w:val="22"/>
        </w:rPr>
        <w:t xml:space="preserve">Additionally, other variables on the sampling frame </w:t>
      </w:r>
      <w:r>
        <w:rPr>
          <w:rFonts w:ascii="Calibri" w:hAnsi="Calibri"/>
          <w:sz w:val="22"/>
          <w:szCs w:val="22"/>
        </w:rPr>
        <w:t>were</w:t>
      </w:r>
      <w:r w:rsidRPr="00F355C8">
        <w:rPr>
          <w:rFonts w:ascii="Calibri" w:hAnsi="Calibri"/>
          <w:sz w:val="22"/>
          <w:szCs w:val="22"/>
        </w:rPr>
        <w:t xml:space="preserve"> examined for aid in</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F355C8">
        <w:rPr>
          <w:rFonts w:ascii="Calibri" w:hAnsi="Calibri"/>
          <w:sz w:val="22"/>
          <w:szCs w:val="22"/>
        </w:rPr>
        <w:t>i</w:t>
      </w:r>
      <w:r>
        <w:rPr>
          <w:rFonts w:ascii="Calibri" w:hAnsi="Calibri"/>
          <w:sz w:val="22"/>
          <w:szCs w:val="22"/>
        </w:rPr>
        <w:t>dentifying out-of-scope trade.  As a result of this analysis, the IPP now screens</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(from its sampling frame) transactions that contain values for these variables that</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identify out-of-scope shipments.</w:t>
      </w:r>
    </w:p>
    <w:p w:rsidR="00DC44A2" w:rsidRDefault="00DC44A2" w:rsidP="00DC44A2">
      <w:pPr>
        <w:pStyle w:val="ListParagraph"/>
        <w:tabs>
          <w:tab w:val="left" w:pos="480"/>
          <w:tab w:val="left" w:pos="960"/>
          <w:tab w:val="left" w:pos="1320"/>
          <w:tab w:val="left" w:pos="2400"/>
        </w:tabs>
        <w:ind w:left="1080"/>
        <w:jc w:val="both"/>
        <w:rPr>
          <w:rFonts w:ascii="Calibri" w:hAnsi="Calibri"/>
          <w:sz w:val="22"/>
          <w:szCs w:val="22"/>
        </w:rPr>
      </w:pPr>
    </w:p>
    <w:p w:rsidR="00DC44A2" w:rsidRDefault="00DC44A2" w:rsidP="00DC44A2">
      <w:pPr>
        <w:pStyle w:val="ListParagraph"/>
        <w:numPr>
          <w:ilvl w:val="0"/>
          <w:numId w:val="39"/>
        </w:numPr>
        <w:tabs>
          <w:tab w:val="left" w:pos="480"/>
          <w:tab w:val="left" w:pos="960"/>
          <w:tab w:val="left" w:pos="1320"/>
          <w:tab w:val="left" w:pos="2400"/>
        </w:tabs>
        <w:jc w:val="both"/>
        <w:rPr>
          <w:rFonts w:ascii="Calibri" w:hAnsi="Calibri"/>
          <w:sz w:val="22"/>
          <w:szCs w:val="22"/>
        </w:rPr>
      </w:pPr>
      <w:r>
        <w:rPr>
          <w:rFonts w:ascii="Calibri" w:hAnsi="Calibri"/>
          <w:sz w:val="22"/>
          <w:szCs w:val="22"/>
        </w:rPr>
        <w:t>In 2011, the IPP began a pilot study to examine the productivity of allowing initiation of a</w:t>
      </w:r>
    </w:p>
    <w:p w:rsidR="00DC44A2" w:rsidRDefault="00DC44A2" w:rsidP="00DC44A2">
      <w:pPr>
        <w:tabs>
          <w:tab w:val="left" w:pos="480"/>
          <w:tab w:val="left" w:pos="960"/>
          <w:tab w:val="left" w:pos="1320"/>
          <w:tab w:val="left" w:pos="2400"/>
        </w:tabs>
        <w:ind w:left="1080"/>
        <w:jc w:val="both"/>
        <w:rPr>
          <w:rFonts w:ascii="Calibri" w:hAnsi="Calibri"/>
          <w:sz w:val="22"/>
          <w:szCs w:val="22"/>
        </w:rPr>
      </w:pPr>
      <w:r>
        <w:rPr>
          <w:rFonts w:ascii="Calibri" w:hAnsi="Calibri"/>
          <w:sz w:val="22"/>
          <w:szCs w:val="22"/>
        </w:rPr>
        <w:t xml:space="preserve">     </w:t>
      </w:r>
      <w:r w:rsidRPr="00C5489C">
        <w:rPr>
          <w:rFonts w:ascii="Calibri" w:hAnsi="Calibri"/>
          <w:sz w:val="22"/>
          <w:szCs w:val="22"/>
        </w:rPr>
        <w:t>sampled product area to occur at a broader (six-digit</w:t>
      </w:r>
      <w:r>
        <w:rPr>
          <w:rFonts w:ascii="Calibri" w:hAnsi="Calibri"/>
          <w:sz w:val="22"/>
          <w:szCs w:val="22"/>
        </w:rPr>
        <w:t xml:space="preserve"> </w:t>
      </w:r>
      <w:r w:rsidRPr="00C5489C">
        <w:rPr>
          <w:rFonts w:ascii="Calibri" w:hAnsi="Calibri"/>
          <w:sz w:val="22"/>
          <w:szCs w:val="22"/>
        </w:rPr>
        <w:t>Harmonized) level when the original</w:t>
      </w:r>
    </w:p>
    <w:p w:rsidR="00DC44A2" w:rsidRDefault="00DC44A2" w:rsidP="00DC44A2">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Pr>
          <w:rFonts w:ascii="Calibri" w:hAnsi="Calibri"/>
          <w:sz w:val="22"/>
          <w:szCs w:val="22"/>
        </w:rPr>
        <w:t xml:space="preserve">    </w:t>
      </w:r>
      <w:r w:rsidRPr="00C5489C">
        <w:rPr>
          <w:rFonts w:ascii="Calibri" w:hAnsi="Calibri"/>
          <w:sz w:val="22"/>
          <w:szCs w:val="22"/>
        </w:rPr>
        <w:t>initiation at the more detailed ten-digit</w:t>
      </w:r>
      <w:r>
        <w:rPr>
          <w:rFonts w:ascii="Calibri" w:hAnsi="Calibri"/>
          <w:sz w:val="22"/>
          <w:szCs w:val="22"/>
        </w:rPr>
        <w:t xml:space="preserve"> </w:t>
      </w:r>
      <w:r w:rsidRPr="00C5489C">
        <w:rPr>
          <w:rFonts w:ascii="Calibri" w:hAnsi="Calibri"/>
          <w:sz w:val="22"/>
          <w:szCs w:val="22"/>
        </w:rPr>
        <w:t>Harmonized level resulted in an out-of-scope</w:t>
      </w:r>
    </w:p>
    <w:p w:rsidR="00DC44A2" w:rsidRDefault="00DC44A2" w:rsidP="00DC44A2">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Pr>
          <w:rFonts w:ascii="Calibri" w:hAnsi="Calibri"/>
          <w:sz w:val="22"/>
          <w:szCs w:val="22"/>
        </w:rPr>
        <w:t xml:space="preserve">    </w:t>
      </w:r>
      <w:r w:rsidRPr="00C5489C">
        <w:rPr>
          <w:rFonts w:ascii="Calibri" w:hAnsi="Calibri"/>
          <w:sz w:val="22"/>
          <w:szCs w:val="22"/>
        </w:rPr>
        <w:t>situation.  Following the implementation of</w:t>
      </w:r>
      <w:r>
        <w:rPr>
          <w:rFonts w:ascii="Calibri" w:hAnsi="Calibri"/>
          <w:sz w:val="22"/>
          <w:szCs w:val="22"/>
        </w:rPr>
        <w:t xml:space="preserve"> </w:t>
      </w:r>
      <w:r w:rsidRPr="00C5489C">
        <w:rPr>
          <w:rFonts w:ascii="Calibri" w:hAnsi="Calibri"/>
          <w:sz w:val="22"/>
          <w:szCs w:val="22"/>
        </w:rPr>
        <w:t>these changes into production (in 2012), the</w:t>
      </w:r>
    </w:p>
    <w:p w:rsidR="00DC44A2" w:rsidRDefault="00DC44A2" w:rsidP="00DC44A2">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Pr>
          <w:rFonts w:ascii="Calibri" w:hAnsi="Calibri"/>
          <w:sz w:val="22"/>
          <w:szCs w:val="22"/>
        </w:rPr>
        <w:t xml:space="preserve">    </w:t>
      </w:r>
      <w:r w:rsidRPr="00C5489C">
        <w:rPr>
          <w:rFonts w:ascii="Calibri" w:hAnsi="Calibri"/>
          <w:sz w:val="22"/>
          <w:szCs w:val="22"/>
        </w:rPr>
        <w:t>IPP observed a decline in out-of-scope rates</w:t>
      </w:r>
      <w:r>
        <w:rPr>
          <w:rFonts w:ascii="Calibri" w:hAnsi="Calibri"/>
          <w:sz w:val="22"/>
          <w:szCs w:val="22"/>
        </w:rPr>
        <w:t xml:space="preserve"> </w:t>
      </w:r>
      <w:r w:rsidRPr="00C5489C">
        <w:rPr>
          <w:rFonts w:ascii="Calibri" w:hAnsi="Calibri"/>
          <w:sz w:val="22"/>
          <w:szCs w:val="22"/>
        </w:rPr>
        <w:t>at both the quote level and at the</w:t>
      </w:r>
    </w:p>
    <w:p w:rsidR="00DC44A2" w:rsidRPr="00C5489C" w:rsidRDefault="00DC44A2" w:rsidP="00DC44A2">
      <w:pPr>
        <w:tabs>
          <w:tab w:val="left" w:pos="480"/>
          <w:tab w:val="left" w:pos="960"/>
          <w:tab w:val="left" w:pos="1320"/>
          <w:tab w:val="left" w:pos="2400"/>
        </w:tabs>
        <w:ind w:left="1080"/>
        <w:jc w:val="both"/>
        <w:rPr>
          <w:rFonts w:ascii="Calibri" w:hAnsi="Calibri"/>
          <w:sz w:val="22"/>
          <w:szCs w:val="22"/>
        </w:rPr>
      </w:pPr>
      <w:r w:rsidRPr="00C5489C">
        <w:rPr>
          <w:rFonts w:ascii="Calibri" w:hAnsi="Calibri"/>
          <w:sz w:val="22"/>
          <w:szCs w:val="22"/>
        </w:rPr>
        <w:t xml:space="preserve"> </w:t>
      </w:r>
      <w:r>
        <w:rPr>
          <w:rFonts w:ascii="Calibri" w:hAnsi="Calibri"/>
          <w:sz w:val="22"/>
          <w:szCs w:val="22"/>
        </w:rPr>
        <w:t xml:space="preserve">    </w:t>
      </w:r>
      <w:r w:rsidRPr="00C5489C">
        <w:rPr>
          <w:rFonts w:ascii="Calibri" w:hAnsi="Calibri"/>
          <w:sz w:val="22"/>
          <w:szCs w:val="22"/>
        </w:rPr>
        <w:t>establishment level.</w:t>
      </w:r>
    </w:p>
    <w:p w:rsidR="00DC44A2" w:rsidRDefault="00DC44A2" w:rsidP="00DC44A2">
      <w:pPr>
        <w:tabs>
          <w:tab w:val="left" w:pos="480"/>
          <w:tab w:val="left" w:pos="960"/>
          <w:tab w:val="left" w:pos="1320"/>
          <w:tab w:val="left" w:pos="2400"/>
        </w:tabs>
        <w:spacing w:before="120"/>
        <w:jc w:val="both"/>
        <w:rPr>
          <w:rFonts w:ascii="Calibri" w:hAnsi="Calibri"/>
          <w:sz w:val="22"/>
          <w:szCs w:val="22"/>
        </w:rPr>
      </w:pPr>
      <w:r w:rsidRPr="00557717">
        <w:rPr>
          <w:rFonts w:ascii="Calibri" w:hAnsi="Calibri"/>
          <w:sz w:val="22"/>
          <w:szCs w:val="22"/>
        </w:rPr>
        <w:t xml:space="preserve">To improve the response rate of </w:t>
      </w:r>
      <w:r>
        <w:rPr>
          <w:rFonts w:ascii="Calibri" w:hAnsi="Calibri"/>
          <w:sz w:val="22"/>
          <w:szCs w:val="22"/>
        </w:rPr>
        <w:t>respondent</w:t>
      </w:r>
      <w:r w:rsidRPr="00557717">
        <w:rPr>
          <w:rFonts w:ascii="Calibri" w:hAnsi="Calibri"/>
          <w:sz w:val="22"/>
          <w:szCs w:val="22"/>
        </w:rPr>
        <w:t xml:space="preserve">s, the IPP </w:t>
      </w:r>
      <w:r>
        <w:rPr>
          <w:rFonts w:ascii="Calibri" w:hAnsi="Calibri"/>
          <w:sz w:val="22"/>
          <w:szCs w:val="22"/>
        </w:rPr>
        <w:t>has devised</w:t>
      </w:r>
      <w:r w:rsidRPr="00557717">
        <w:rPr>
          <w:rFonts w:ascii="Calibri" w:hAnsi="Calibri"/>
          <w:sz w:val="22"/>
          <w:szCs w:val="22"/>
        </w:rPr>
        <w:t xml:space="preserve"> strategies to reduce </w:t>
      </w:r>
      <w:r>
        <w:rPr>
          <w:rFonts w:ascii="Calibri" w:hAnsi="Calibri"/>
          <w:sz w:val="22"/>
          <w:szCs w:val="22"/>
        </w:rPr>
        <w:t>respondent</w:t>
      </w:r>
      <w:r w:rsidRPr="00557717">
        <w:rPr>
          <w:rFonts w:ascii="Calibri" w:hAnsi="Calibri"/>
          <w:sz w:val="22"/>
          <w:szCs w:val="22"/>
        </w:rPr>
        <w:t xml:space="preserve"> burden while increasing or at least maintaining their level of participation.  The strategies which the IPP has implemented include </w:t>
      </w:r>
      <w:r>
        <w:rPr>
          <w:rFonts w:ascii="Calibri" w:hAnsi="Calibri"/>
          <w:sz w:val="22"/>
          <w:szCs w:val="22"/>
        </w:rPr>
        <w:t>the following:</w:t>
      </w:r>
    </w:p>
    <w:p w:rsidR="00DC44A2" w:rsidRDefault="00DC44A2" w:rsidP="00DC44A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capping the burden for a respondent within a sample</w:t>
      </w:r>
    </w:p>
    <w:p w:rsidR="00DC44A2" w:rsidRDefault="00DC44A2" w:rsidP="00DC44A2">
      <w:pPr>
        <w:pStyle w:val="ListParagraph"/>
        <w:tabs>
          <w:tab w:val="left" w:pos="480"/>
          <w:tab w:val="left" w:pos="960"/>
          <w:tab w:val="left" w:pos="1320"/>
          <w:tab w:val="left" w:pos="2400"/>
        </w:tabs>
        <w:spacing w:before="120"/>
        <w:ind w:left="1440"/>
        <w:jc w:val="both"/>
        <w:rPr>
          <w:rFonts w:ascii="Calibri" w:hAnsi="Calibri"/>
          <w:sz w:val="22"/>
          <w:szCs w:val="22"/>
        </w:rPr>
      </w:pPr>
    </w:p>
    <w:p w:rsidR="00DC44A2" w:rsidRDefault="00DC44A2" w:rsidP="00DC44A2">
      <w:pPr>
        <w:pStyle w:val="ListParagraph"/>
        <w:numPr>
          <w:ilvl w:val="0"/>
          <w:numId w:val="39"/>
        </w:numPr>
        <w:tabs>
          <w:tab w:val="left" w:pos="480"/>
          <w:tab w:val="left" w:pos="960"/>
          <w:tab w:val="left" w:pos="1320"/>
          <w:tab w:val="left" w:pos="2400"/>
        </w:tabs>
        <w:spacing w:before="120"/>
        <w:jc w:val="both"/>
        <w:rPr>
          <w:rFonts w:ascii="Calibri" w:hAnsi="Calibri"/>
          <w:sz w:val="22"/>
          <w:szCs w:val="22"/>
        </w:rPr>
      </w:pPr>
      <w:r>
        <w:rPr>
          <w:rFonts w:ascii="Calibri" w:hAnsi="Calibri"/>
          <w:sz w:val="22"/>
          <w:szCs w:val="22"/>
        </w:rPr>
        <w:t>enhancing the sampling</w:t>
      </w:r>
      <w:r w:rsidRPr="00502F6C">
        <w:rPr>
          <w:rFonts w:ascii="Calibri" w:hAnsi="Calibri"/>
          <w:sz w:val="22"/>
          <w:szCs w:val="22"/>
        </w:rPr>
        <w:t xml:space="preserve"> refinement process </w:t>
      </w:r>
      <w:r>
        <w:rPr>
          <w:rFonts w:ascii="Calibri" w:hAnsi="Calibri"/>
          <w:sz w:val="22"/>
          <w:szCs w:val="22"/>
        </w:rPr>
        <w:t xml:space="preserve">so </w:t>
      </w:r>
      <w:r w:rsidRPr="00502F6C">
        <w:rPr>
          <w:rFonts w:ascii="Calibri" w:hAnsi="Calibri"/>
          <w:sz w:val="22"/>
          <w:szCs w:val="22"/>
        </w:rPr>
        <w:t xml:space="preserve">that </w:t>
      </w:r>
      <w:r w:rsidRPr="00911172">
        <w:rPr>
          <w:rFonts w:ascii="Calibri" w:hAnsi="Calibri"/>
          <w:sz w:val="22"/>
          <w:szCs w:val="22"/>
        </w:rPr>
        <w:t xml:space="preserve">Field Economists </w:t>
      </w:r>
      <w:r>
        <w:rPr>
          <w:rFonts w:ascii="Calibri" w:hAnsi="Calibri"/>
          <w:sz w:val="22"/>
          <w:szCs w:val="22"/>
        </w:rPr>
        <w:t xml:space="preserve">can prioritize </w:t>
      </w:r>
    </w:p>
    <w:p w:rsidR="00DC44A2" w:rsidRDefault="00DC44A2" w:rsidP="00DC44A2">
      <w:pPr>
        <w:tabs>
          <w:tab w:val="left" w:pos="480"/>
          <w:tab w:val="left" w:pos="960"/>
          <w:tab w:val="left" w:pos="1320"/>
          <w:tab w:val="left" w:pos="2400"/>
        </w:tabs>
        <w:spacing w:before="12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03F02">
        <w:rPr>
          <w:rFonts w:ascii="Calibri" w:hAnsi="Calibri"/>
          <w:sz w:val="22"/>
          <w:szCs w:val="22"/>
        </w:rPr>
        <w:t xml:space="preserve">items for collection if burden issues arise (with input from the National Office, if </w:t>
      </w:r>
    </w:p>
    <w:p w:rsidR="00DC44A2" w:rsidRDefault="00DC44A2" w:rsidP="00DC44A2">
      <w:pPr>
        <w:tabs>
          <w:tab w:val="left" w:pos="480"/>
          <w:tab w:val="left" w:pos="960"/>
          <w:tab w:val="left" w:pos="1320"/>
          <w:tab w:val="left" w:pos="2400"/>
        </w:tabs>
        <w:spacing w:before="12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applicable); and </w:t>
      </w:r>
    </w:p>
    <w:p w:rsidR="00DC44A2" w:rsidRDefault="00DC44A2" w:rsidP="00DC44A2">
      <w:pPr>
        <w:pStyle w:val="ListParagraph"/>
        <w:numPr>
          <w:ilvl w:val="0"/>
          <w:numId w:val="40"/>
        </w:numPr>
        <w:tabs>
          <w:tab w:val="left" w:pos="480"/>
          <w:tab w:val="left" w:pos="960"/>
          <w:tab w:val="left" w:pos="1320"/>
          <w:tab w:val="left" w:pos="2400"/>
        </w:tabs>
        <w:spacing w:before="120"/>
        <w:jc w:val="both"/>
        <w:rPr>
          <w:rFonts w:ascii="Calibri" w:hAnsi="Calibri"/>
          <w:sz w:val="22"/>
          <w:szCs w:val="22"/>
        </w:rPr>
      </w:pPr>
      <w:r w:rsidRPr="00502F6C">
        <w:rPr>
          <w:rFonts w:ascii="Calibri" w:hAnsi="Calibri"/>
          <w:sz w:val="22"/>
          <w:szCs w:val="22"/>
        </w:rPr>
        <w:t>repricing current items for a longer period of time r</w:t>
      </w:r>
      <w:bookmarkStart w:id="1" w:name="OLE_LINK1"/>
      <w:bookmarkStart w:id="2" w:name="OLE_LINK2"/>
      <w:r w:rsidRPr="00502F6C">
        <w:rPr>
          <w:rFonts w:ascii="Calibri" w:hAnsi="Calibri"/>
          <w:sz w:val="22"/>
          <w:szCs w:val="22"/>
        </w:rPr>
        <w:t>ather than initiating new</w:t>
      </w:r>
    </w:p>
    <w:p w:rsidR="00DC44A2" w:rsidRPr="00502F6C" w:rsidRDefault="00DC44A2" w:rsidP="00DC44A2">
      <w:pPr>
        <w:pStyle w:val="ListParagraph"/>
        <w:tabs>
          <w:tab w:val="left" w:pos="480"/>
          <w:tab w:val="left" w:pos="960"/>
          <w:tab w:val="left" w:pos="1320"/>
          <w:tab w:val="left" w:pos="2400"/>
        </w:tabs>
        <w:spacing w:before="120"/>
        <w:ind w:left="1080"/>
        <w:jc w:val="both"/>
        <w:rPr>
          <w:rFonts w:ascii="Calibri" w:hAnsi="Calibri"/>
          <w:sz w:val="22"/>
          <w:szCs w:val="22"/>
        </w:rPr>
      </w:pPr>
      <w:r>
        <w:rPr>
          <w:rFonts w:ascii="Calibri" w:hAnsi="Calibri"/>
          <w:sz w:val="22"/>
          <w:szCs w:val="22"/>
        </w:rPr>
        <w:t xml:space="preserve">     </w:t>
      </w:r>
      <w:r w:rsidRPr="00502F6C">
        <w:rPr>
          <w:rFonts w:ascii="Calibri" w:hAnsi="Calibri"/>
          <w:sz w:val="22"/>
          <w:szCs w:val="22"/>
        </w:rPr>
        <w:t>items.</w:t>
      </w:r>
    </w:p>
    <w:p w:rsidR="00DC44A2" w:rsidRPr="0035795F" w:rsidRDefault="00DC44A2" w:rsidP="00DC44A2">
      <w:pPr>
        <w:tabs>
          <w:tab w:val="left" w:pos="480"/>
          <w:tab w:val="left" w:pos="960"/>
          <w:tab w:val="left" w:pos="1320"/>
          <w:tab w:val="left" w:pos="2400"/>
        </w:tabs>
        <w:spacing w:before="120"/>
        <w:jc w:val="both"/>
        <w:rPr>
          <w:rFonts w:ascii="Calibri" w:hAnsi="Calibri"/>
          <w:sz w:val="22"/>
          <w:szCs w:val="22"/>
        </w:rPr>
      </w:pPr>
    </w:p>
    <w:p w:rsidR="00DC44A2" w:rsidRPr="0045587E" w:rsidRDefault="00DC44A2" w:rsidP="00DC44A2">
      <w:pPr>
        <w:tabs>
          <w:tab w:val="left" w:pos="480"/>
          <w:tab w:val="left" w:pos="720"/>
          <w:tab w:val="left" w:pos="960"/>
          <w:tab w:val="left" w:pos="1320"/>
          <w:tab w:val="left" w:pos="2400"/>
        </w:tabs>
        <w:rPr>
          <w:rFonts w:ascii="Calibri" w:hAnsi="Calibri"/>
          <w:b/>
        </w:rPr>
      </w:pPr>
      <w:r w:rsidRPr="0045587E">
        <w:rPr>
          <w:rFonts w:ascii="Calibri" w:hAnsi="Calibri"/>
          <w:b/>
        </w:rPr>
        <w:t xml:space="preserve">4.   </w:t>
      </w:r>
      <w:r w:rsidRPr="0045587E">
        <w:rPr>
          <w:rFonts w:ascii="Calibri" w:hAnsi="Calibri"/>
          <w:b/>
        </w:rPr>
        <w:tab/>
      </w:r>
      <w:r w:rsidRPr="0045587E">
        <w:rPr>
          <w:rFonts w:ascii="Calibri" w:hAnsi="Calibri"/>
          <w:b/>
        </w:rPr>
        <w:tab/>
        <w:t>Testing Procedures and Plans</w:t>
      </w:r>
    </w:p>
    <w:p w:rsidR="00DC44A2" w:rsidRDefault="00DC44A2" w:rsidP="00DC44A2">
      <w:pPr>
        <w:tabs>
          <w:tab w:val="left" w:pos="480"/>
          <w:tab w:val="left" w:pos="720"/>
          <w:tab w:val="left" w:pos="960"/>
          <w:tab w:val="left" w:pos="1320"/>
          <w:tab w:val="left" w:pos="2400"/>
        </w:tabs>
        <w:jc w:val="both"/>
        <w:rPr>
          <w:rFonts w:ascii="Calibri" w:hAnsi="Calibri"/>
          <w:b/>
          <w:sz w:val="22"/>
          <w:szCs w:val="22"/>
        </w:rPr>
      </w:pPr>
    </w:p>
    <w:p w:rsidR="00DC44A2" w:rsidRDefault="00DC44A2" w:rsidP="00DC44A2">
      <w:pPr>
        <w:tabs>
          <w:tab w:val="left" w:pos="480"/>
          <w:tab w:val="left" w:pos="720"/>
          <w:tab w:val="left" w:pos="960"/>
          <w:tab w:val="left" w:pos="1320"/>
          <w:tab w:val="left" w:pos="2400"/>
        </w:tabs>
        <w:jc w:val="both"/>
        <w:rPr>
          <w:rFonts w:ascii="Calibri" w:hAnsi="Calibri"/>
          <w:sz w:val="22"/>
          <w:szCs w:val="22"/>
        </w:rPr>
      </w:pPr>
      <w:r w:rsidRPr="00557717">
        <w:rPr>
          <w:rFonts w:ascii="Calibri" w:hAnsi="Calibri"/>
          <w:sz w:val="22"/>
          <w:szCs w:val="22"/>
        </w:rPr>
        <w:t xml:space="preserve">The Program has implemented </w:t>
      </w:r>
      <w:r>
        <w:rPr>
          <w:rFonts w:ascii="Calibri" w:hAnsi="Calibri"/>
          <w:sz w:val="22"/>
          <w:szCs w:val="22"/>
        </w:rPr>
        <w:t xml:space="preserve">several </w:t>
      </w:r>
      <w:r w:rsidRPr="00557717">
        <w:rPr>
          <w:rFonts w:ascii="Calibri" w:hAnsi="Calibri"/>
          <w:sz w:val="22"/>
          <w:szCs w:val="22"/>
        </w:rPr>
        <w:t xml:space="preserve">changes to reduce </w:t>
      </w:r>
      <w:r>
        <w:rPr>
          <w:rFonts w:ascii="Calibri" w:hAnsi="Calibri"/>
          <w:sz w:val="22"/>
          <w:szCs w:val="22"/>
        </w:rPr>
        <w:t>respondent</w:t>
      </w:r>
      <w:r w:rsidRPr="00557717">
        <w:rPr>
          <w:rFonts w:ascii="Calibri" w:hAnsi="Calibri"/>
          <w:sz w:val="22"/>
          <w:szCs w:val="22"/>
        </w:rPr>
        <w:t xml:space="preserve"> burden (discussed under number 3 in </w:t>
      </w:r>
      <w:r>
        <w:rPr>
          <w:rFonts w:ascii="Calibri" w:hAnsi="Calibri"/>
          <w:sz w:val="22"/>
          <w:szCs w:val="22"/>
        </w:rPr>
        <w:t>parts</w:t>
      </w:r>
      <w:r w:rsidRPr="00557717">
        <w:rPr>
          <w:rFonts w:ascii="Calibri" w:hAnsi="Calibri"/>
          <w:sz w:val="22"/>
          <w:szCs w:val="22"/>
        </w:rPr>
        <w:t xml:space="preserve"> A</w:t>
      </w:r>
      <w:r>
        <w:rPr>
          <w:rFonts w:ascii="Calibri" w:hAnsi="Calibri"/>
          <w:sz w:val="22"/>
          <w:szCs w:val="22"/>
        </w:rPr>
        <w:t xml:space="preserve"> and B of the Supporting Statement</w:t>
      </w:r>
      <w:r w:rsidRPr="00557717">
        <w:rPr>
          <w:rFonts w:ascii="Calibri" w:hAnsi="Calibri"/>
          <w:sz w:val="22"/>
          <w:szCs w:val="22"/>
        </w:rPr>
        <w:t>)</w:t>
      </w:r>
      <w:r>
        <w:rPr>
          <w:rFonts w:ascii="Calibri" w:hAnsi="Calibri"/>
          <w:sz w:val="22"/>
          <w:szCs w:val="22"/>
        </w:rPr>
        <w:t xml:space="preserve">. </w:t>
      </w:r>
      <w:r w:rsidRPr="00557717">
        <w:rPr>
          <w:rFonts w:ascii="Calibri" w:hAnsi="Calibri"/>
          <w:sz w:val="22"/>
          <w:szCs w:val="22"/>
        </w:rPr>
        <w:t xml:space="preserve">However, </w:t>
      </w:r>
      <w:r>
        <w:rPr>
          <w:rFonts w:ascii="Calibri" w:hAnsi="Calibri"/>
          <w:sz w:val="22"/>
          <w:szCs w:val="22"/>
        </w:rPr>
        <w:t xml:space="preserve">the </w:t>
      </w:r>
      <w:r w:rsidRPr="00557717">
        <w:rPr>
          <w:rFonts w:ascii="Calibri" w:hAnsi="Calibri"/>
          <w:sz w:val="22"/>
          <w:szCs w:val="22"/>
        </w:rPr>
        <w:t xml:space="preserve">IPP has no testing related to reducing </w:t>
      </w:r>
      <w:r>
        <w:rPr>
          <w:rFonts w:ascii="Calibri" w:hAnsi="Calibri"/>
          <w:sz w:val="22"/>
          <w:szCs w:val="22"/>
        </w:rPr>
        <w:t>respondent</w:t>
      </w:r>
      <w:r w:rsidRPr="00557717">
        <w:rPr>
          <w:rFonts w:ascii="Calibri" w:hAnsi="Calibri"/>
          <w:sz w:val="22"/>
          <w:szCs w:val="22"/>
        </w:rPr>
        <w:t xml:space="preserve"> burden scheduled for the foreseeable future.</w:t>
      </w:r>
      <w:bookmarkEnd w:id="1"/>
      <w:bookmarkEnd w:id="2"/>
    </w:p>
    <w:p w:rsidR="00DC44A2" w:rsidRPr="00557717" w:rsidRDefault="00DC44A2" w:rsidP="00DC44A2">
      <w:pPr>
        <w:tabs>
          <w:tab w:val="left" w:pos="480"/>
          <w:tab w:val="left" w:pos="720"/>
          <w:tab w:val="left" w:pos="960"/>
          <w:tab w:val="left" w:pos="1320"/>
          <w:tab w:val="left" w:pos="2400"/>
        </w:tabs>
        <w:jc w:val="both"/>
        <w:rPr>
          <w:rFonts w:ascii="Calibri" w:hAnsi="Calibri"/>
          <w:sz w:val="22"/>
          <w:szCs w:val="22"/>
        </w:rPr>
      </w:pPr>
    </w:p>
    <w:p w:rsidR="00DC44A2" w:rsidRPr="0045587E" w:rsidRDefault="00DC44A2" w:rsidP="00DC44A2">
      <w:pPr>
        <w:tabs>
          <w:tab w:val="left" w:pos="720"/>
          <w:tab w:val="left" w:pos="4680"/>
          <w:tab w:val="left" w:pos="4920"/>
        </w:tabs>
        <w:rPr>
          <w:rFonts w:ascii="Calibri" w:hAnsi="Calibri"/>
          <w:b/>
        </w:rPr>
      </w:pPr>
      <w:r w:rsidRPr="0045587E">
        <w:rPr>
          <w:rFonts w:ascii="Calibri" w:hAnsi="Calibri"/>
          <w:b/>
        </w:rPr>
        <w:t xml:space="preserve">5.       </w:t>
      </w:r>
      <w:r w:rsidRPr="0045587E">
        <w:rPr>
          <w:rFonts w:ascii="Calibri" w:hAnsi="Calibri"/>
          <w:b/>
        </w:rPr>
        <w:tab/>
        <w:t>Statistical Contacts</w:t>
      </w:r>
    </w:p>
    <w:p w:rsidR="00DC44A2" w:rsidRDefault="00DC44A2" w:rsidP="00DC44A2">
      <w:pPr>
        <w:tabs>
          <w:tab w:val="left" w:pos="720"/>
          <w:tab w:val="left" w:pos="4680"/>
          <w:tab w:val="left" w:pos="4920"/>
        </w:tabs>
        <w:jc w:val="both"/>
        <w:rPr>
          <w:rFonts w:ascii="Calibri" w:hAnsi="Calibri"/>
          <w:sz w:val="22"/>
          <w:szCs w:val="22"/>
        </w:rPr>
      </w:pPr>
    </w:p>
    <w:p w:rsidR="00DC44A2" w:rsidRDefault="00DC44A2" w:rsidP="00DC44A2">
      <w:pPr>
        <w:tabs>
          <w:tab w:val="left" w:pos="720"/>
          <w:tab w:val="left" w:pos="4680"/>
          <w:tab w:val="left" w:pos="4920"/>
        </w:tabs>
        <w:jc w:val="both"/>
        <w:rPr>
          <w:rFonts w:ascii="Calibri" w:hAnsi="Calibri"/>
          <w:sz w:val="22"/>
          <w:szCs w:val="22"/>
        </w:rPr>
      </w:pPr>
      <w:r w:rsidRPr="00557717">
        <w:rPr>
          <w:rFonts w:ascii="Calibri" w:hAnsi="Calibri"/>
          <w:sz w:val="22"/>
          <w:szCs w:val="22"/>
        </w:rPr>
        <w:t>The responsibility for the statistical aspects of the International Price Program as well as collection and processing of price information</w:t>
      </w:r>
      <w:r>
        <w:rPr>
          <w:rFonts w:ascii="Calibri" w:hAnsi="Calibri"/>
          <w:sz w:val="22"/>
          <w:szCs w:val="22"/>
        </w:rPr>
        <w:t>,</w:t>
      </w:r>
      <w:r w:rsidRPr="00557717">
        <w:rPr>
          <w:rFonts w:ascii="Calibri" w:hAnsi="Calibri"/>
          <w:sz w:val="22"/>
          <w:szCs w:val="22"/>
        </w:rPr>
        <w:t xml:space="preserve"> resides with </w:t>
      </w:r>
      <w:r>
        <w:rPr>
          <w:rFonts w:ascii="Calibri" w:hAnsi="Calibri"/>
          <w:sz w:val="22"/>
          <w:szCs w:val="22"/>
        </w:rPr>
        <w:t>Susan Fleck</w:t>
      </w:r>
      <w:r w:rsidRPr="00557717">
        <w:rPr>
          <w:rFonts w:ascii="Calibri" w:hAnsi="Calibri"/>
          <w:sz w:val="22"/>
          <w:szCs w:val="22"/>
        </w:rPr>
        <w:t>, Assistant Commissioner for International Prices, Office of Prices and Living Conditions, Bureau of Labor Statistics.</w:t>
      </w:r>
    </w:p>
    <w:p w:rsidR="00DC44A2" w:rsidRDefault="00DC44A2" w:rsidP="00DC44A2">
      <w:pPr>
        <w:tabs>
          <w:tab w:val="left" w:pos="720"/>
          <w:tab w:val="left" w:pos="4680"/>
          <w:tab w:val="left" w:pos="4920"/>
        </w:tabs>
        <w:jc w:val="both"/>
        <w:rPr>
          <w:rFonts w:ascii="Calibri" w:hAnsi="Calibri"/>
          <w:sz w:val="22"/>
          <w:szCs w:val="22"/>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Default="00DC44A2" w:rsidP="00DC44A2">
      <w:pPr>
        <w:tabs>
          <w:tab w:val="left" w:pos="4800"/>
        </w:tabs>
        <w:jc w:val="center"/>
        <w:rPr>
          <w:rFonts w:ascii="Calibri" w:hAnsi="Calibri"/>
          <w:b/>
          <w:sz w:val="28"/>
          <w:szCs w:val="28"/>
        </w:rPr>
      </w:pPr>
    </w:p>
    <w:p w:rsidR="00DC44A2" w:rsidRPr="0045587E" w:rsidRDefault="00DC44A2" w:rsidP="00DC44A2">
      <w:pPr>
        <w:tabs>
          <w:tab w:val="left" w:pos="4800"/>
        </w:tabs>
        <w:jc w:val="center"/>
        <w:rPr>
          <w:rFonts w:ascii="Calibri" w:hAnsi="Calibri"/>
          <w:b/>
          <w:sz w:val="28"/>
          <w:szCs w:val="28"/>
        </w:rPr>
      </w:pPr>
      <w:r>
        <w:rPr>
          <w:rFonts w:ascii="Calibri" w:hAnsi="Calibri"/>
          <w:b/>
          <w:sz w:val="28"/>
          <w:szCs w:val="28"/>
        </w:rPr>
        <w:t>References</w:t>
      </w:r>
    </w:p>
    <w:p w:rsidR="00DC44A2"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Bobbitt, P.A., Paben, S.P., Cho, M.J., Himelein, J.A., Chen, T-C., and Ernst, L.R.</w:t>
      </w:r>
      <w:r>
        <w:rPr>
          <w:rFonts w:ascii="Calibri" w:hAnsi="Calibri" w:cs="Arial"/>
          <w:sz w:val="22"/>
          <w:szCs w:val="22"/>
        </w:rPr>
        <w:t xml:space="preserve"> </w:t>
      </w:r>
      <w:r w:rsidRPr="00A24903">
        <w:rPr>
          <w:rFonts w:ascii="Calibri" w:hAnsi="Calibri" w:cs="Arial"/>
          <w:sz w:val="22"/>
          <w:szCs w:val="22"/>
        </w:rPr>
        <w:t xml:space="preserve">(2007). Application of the Bootstrap Method in the International Price Program. 2007 Proceedings of the American Statistical Association, Survey Research Methods </w:t>
      </w:r>
      <w:r>
        <w:rPr>
          <w:rFonts w:ascii="Calibri" w:hAnsi="Calibri" w:cs="Arial"/>
          <w:sz w:val="22"/>
          <w:szCs w:val="22"/>
        </w:rPr>
        <w:t xml:space="preserve">Section </w:t>
      </w:r>
      <w:r w:rsidRPr="00A24903">
        <w:rPr>
          <w:rFonts w:ascii="Calibri" w:hAnsi="Calibri" w:cs="Arial"/>
          <w:sz w:val="22"/>
          <w:szCs w:val="22"/>
        </w:rPr>
        <w:t>[CD-ROM], 2910-2917</w:t>
      </w:r>
    </w:p>
    <w:p w:rsidR="00DC44A2" w:rsidRPr="00A24903"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Bobbitt, P. A, Cho, M. J. and Eddy, R. M.</w:t>
      </w:r>
      <w:r>
        <w:rPr>
          <w:rFonts w:ascii="Calibri" w:hAnsi="Calibri" w:cs="Arial"/>
          <w:sz w:val="22"/>
          <w:szCs w:val="22"/>
        </w:rPr>
        <w:t xml:space="preserve"> </w:t>
      </w:r>
      <w:r w:rsidRPr="00A24903">
        <w:rPr>
          <w:rFonts w:ascii="Calibri" w:hAnsi="Calibri" w:cs="Arial"/>
          <w:sz w:val="22"/>
          <w:szCs w:val="22"/>
        </w:rPr>
        <w:t>(2005). Comparing Weighting Methods in the International Price Program. 2005 Proceedings of the American Statistical Association, Government Statistics Section [CD-ROM], 1006-1014</w:t>
      </w:r>
    </w:p>
    <w:p w:rsidR="00DC44A2" w:rsidRPr="00A24903"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Chen, T-C., Bobbitt, P.A., Himelein, J.A., Paben, S.P., Cho, M.J., and Ernst, L.R.</w:t>
      </w:r>
      <w:r>
        <w:rPr>
          <w:rFonts w:ascii="Calibri" w:hAnsi="Calibri" w:cs="Arial"/>
          <w:sz w:val="22"/>
          <w:szCs w:val="22"/>
        </w:rPr>
        <w:t xml:space="preserve"> </w:t>
      </w:r>
      <w:r w:rsidRPr="00A24903">
        <w:rPr>
          <w:rFonts w:ascii="Calibri" w:hAnsi="Calibri" w:cs="Arial"/>
          <w:sz w:val="22"/>
          <w:szCs w:val="22"/>
        </w:rPr>
        <w:t>(2007). Variance Estimation for International Price Program Indexes. 2007 Proceedings of the American Statistical Association, Survey Research Methods Section [CD-ROM], 1427-1434</w:t>
      </w:r>
    </w:p>
    <w:p w:rsidR="00DC44A2" w:rsidRPr="00A24903" w:rsidRDefault="00DC44A2" w:rsidP="00DC44A2">
      <w:pPr>
        <w:autoSpaceDE w:val="0"/>
        <w:autoSpaceDN w:val="0"/>
        <w:adjustRightInd w:val="0"/>
        <w:jc w:val="both"/>
        <w:rPr>
          <w:rFonts w:ascii="Calibri" w:hAnsi="Calibri" w:cs="Arial"/>
          <w:sz w:val="22"/>
          <w:szCs w:val="22"/>
        </w:rPr>
      </w:pPr>
    </w:p>
    <w:p w:rsidR="00DC44A2" w:rsidRPr="00146E00" w:rsidRDefault="00DC44A2" w:rsidP="00DC44A2">
      <w:pPr>
        <w:rPr>
          <w:rFonts w:ascii="Calibri" w:hAnsi="Calibri"/>
          <w:sz w:val="22"/>
          <w:szCs w:val="22"/>
        </w:rPr>
      </w:pPr>
      <w:r w:rsidRPr="00146E00">
        <w:rPr>
          <w:rFonts w:ascii="Calibri" w:hAnsi="Calibri"/>
          <w:sz w:val="22"/>
          <w:szCs w:val="22"/>
        </w:rPr>
        <w:t>Cho, M.J. and Lang, L. (2016). Learning about Respondents’ Characteristics Using Standard Exploratory Data Analysis (EDA) Tools, 2016 Proceedings of the American Statistical Association, Korean International Statistical Society [CD-ROM], 720-736</w:t>
      </w:r>
    </w:p>
    <w:p w:rsidR="00DC44A2"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Cho, M. J. and Eltinge, J. L.</w:t>
      </w:r>
      <w:r>
        <w:rPr>
          <w:rFonts w:ascii="Calibri" w:hAnsi="Calibri" w:cs="Arial"/>
          <w:sz w:val="22"/>
          <w:szCs w:val="22"/>
        </w:rPr>
        <w:t xml:space="preserve"> </w:t>
      </w:r>
      <w:r w:rsidRPr="00A24903">
        <w:rPr>
          <w:rFonts w:ascii="Calibri" w:hAnsi="Calibri" w:cs="Arial"/>
          <w:sz w:val="22"/>
          <w:szCs w:val="22"/>
        </w:rPr>
        <w:t>(2008). Evaluation of Error Components in a Simulation Based Evaluation of a Survey Procedure. 2008 Proceedings of the American Statistical Association [CD-ROM], 352-359</w:t>
      </w:r>
    </w:p>
    <w:p w:rsidR="00DC44A2" w:rsidRPr="00A24903"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Cho, M. J., Chen, T-C, Bobbitt, P.A., Himelein, J.A., Paben, S.P., Ernst, L.R., and Eltinge, J. L.</w:t>
      </w:r>
      <w:r>
        <w:rPr>
          <w:rFonts w:ascii="Calibri" w:hAnsi="Calibri" w:cs="Arial"/>
          <w:sz w:val="22"/>
          <w:szCs w:val="22"/>
        </w:rPr>
        <w:t xml:space="preserve"> </w:t>
      </w:r>
      <w:r w:rsidRPr="00A24903">
        <w:rPr>
          <w:rFonts w:ascii="Calibri" w:hAnsi="Calibri" w:cs="Arial"/>
          <w:sz w:val="22"/>
          <w:szCs w:val="22"/>
        </w:rPr>
        <w:t>(2007). Comparison of Simulation Methods Using Historical Data in the U.S. International Price Program. 2007 Proceedings of the American Statistical Association, Third International Conference on Establishment Surveys [CD-ROM], 248-255</w:t>
      </w:r>
    </w:p>
    <w:p w:rsidR="00DC44A2" w:rsidRPr="00A24903" w:rsidRDefault="00DC44A2" w:rsidP="00DC44A2">
      <w:pPr>
        <w:autoSpaceDE w:val="0"/>
        <w:autoSpaceDN w:val="0"/>
        <w:adjustRightInd w:val="0"/>
        <w:jc w:val="both"/>
        <w:rPr>
          <w:rFonts w:ascii="Calibri" w:hAnsi="Calibri" w:cs="Arial"/>
          <w:sz w:val="22"/>
          <w:szCs w:val="22"/>
        </w:rPr>
      </w:pPr>
    </w:p>
    <w:p w:rsidR="00DC44A2" w:rsidRDefault="00DC44A2" w:rsidP="00DC44A2">
      <w:pPr>
        <w:autoSpaceDE w:val="0"/>
        <w:autoSpaceDN w:val="0"/>
        <w:adjustRightInd w:val="0"/>
        <w:jc w:val="both"/>
        <w:rPr>
          <w:rFonts w:ascii="Calibri" w:hAnsi="Calibri" w:cs="Arial"/>
          <w:sz w:val="22"/>
          <w:szCs w:val="22"/>
        </w:rPr>
      </w:pPr>
      <w:r>
        <w:rPr>
          <w:rFonts w:ascii="Calibri" w:hAnsi="Calibri" w:cs="Arial"/>
          <w:sz w:val="22"/>
          <w:szCs w:val="22"/>
        </w:rPr>
        <w:t>Fitzgerald, Jenny (2009). Assessing Nonresponse Bias in the International Price Program’s (IPP) Import and Export Price Index Surveys. 2009 Proceedings of the American Statistical Association, Survey Research Methods Section [CD-ROM], 2070-2082</w:t>
      </w:r>
    </w:p>
    <w:p w:rsidR="00DC44A2" w:rsidRDefault="00DC44A2" w:rsidP="00DC44A2">
      <w:pPr>
        <w:autoSpaceDE w:val="0"/>
        <w:autoSpaceDN w:val="0"/>
        <w:adjustRightInd w:val="0"/>
        <w:jc w:val="both"/>
        <w:rPr>
          <w:rFonts w:ascii="Calibri" w:hAnsi="Calibri" w:cs="Arial"/>
          <w:sz w:val="22"/>
          <w:szCs w:val="22"/>
        </w:rPr>
      </w:pPr>
    </w:p>
    <w:p w:rsidR="00DC44A2" w:rsidRDefault="00DC44A2" w:rsidP="00DC44A2">
      <w:pPr>
        <w:autoSpaceDE w:val="0"/>
        <w:autoSpaceDN w:val="0"/>
        <w:adjustRightInd w:val="0"/>
        <w:jc w:val="both"/>
        <w:rPr>
          <w:rFonts w:ascii="Calibri" w:hAnsi="Calibri" w:cs="Arial"/>
          <w:sz w:val="22"/>
          <w:szCs w:val="22"/>
        </w:rPr>
      </w:pPr>
      <w:r>
        <w:rPr>
          <w:rFonts w:ascii="Calibri" w:hAnsi="Calibri" w:cs="Arial"/>
          <w:sz w:val="22"/>
          <w:szCs w:val="22"/>
        </w:rPr>
        <w:t xml:space="preserve">Kravis, Irving B. and Lipsey, Robert E. (1971). Price Competitiveness in World Trade. </w:t>
      </w:r>
    </w:p>
    <w:p w:rsidR="00DC44A2" w:rsidRDefault="00DC44A2" w:rsidP="00DC44A2">
      <w:pPr>
        <w:autoSpaceDE w:val="0"/>
        <w:autoSpaceDN w:val="0"/>
        <w:adjustRightInd w:val="0"/>
        <w:jc w:val="both"/>
        <w:rPr>
          <w:rFonts w:ascii="Calibri" w:hAnsi="Calibri" w:cs="Arial"/>
          <w:sz w:val="22"/>
          <w:szCs w:val="22"/>
        </w:rPr>
      </w:pPr>
    </w:p>
    <w:p w:rsidR="00DC44A2" w:rsidRPr="00A24903" w:rsidRDefault="00DC44A2" w:rsidP="00DC44A2">
      <w:pPr>
        <w:autoSpaceDE w:val="0"/>
        <w:autoSpaceDN w:val="0"/>
        <w:adjustRightInd w:val="0"/>
        <w:jc w:val="both"/>
        <w:rPr>
          <w:rFonts w:ascii="Calibri" w:hAnsi="Calibri" w:cs="Arial"/>
          <w:sz w:val="22"/>
          <w:szCs w:val="22"/>
        </w:rPr>
      </w:pPr>
      <w:r w:rsidRPr="00A24903">
        <w:rPr>
          <w:rFonts w:ascii="Calibri" w:hAnsi="Calibri" w:cs="Arial"/>
          <w:sz w:val="22"/>
          <w:szCs w:val="22"/>
        </w:rPr>
        <w:t>Powers, R., Eltinge, J. L. and Cho, M. J.</w:t>
      </w:r>
      <w:r>
        <w:rPr>
          <w:rFonts w:ascii="Calibri" w:hAnsi="Calibri" w:cs="Arial"/>
          <w:sz w:val="22"/>
          <w:szCs w:val="22"/>
        </w:rPr>
        <w:t xml:space="preserve"> </w:t>
      </w:r>
      <w:r w:rsidRPr="00A24903">
        <w:rPr>
          <w:rFonts w:ascii="Calibri" w:hAnsi="Calibri" w:cs="Arial"/>
          <w:sz w:val="22"/>
          <w:szCs w:val="22"/>
        </w:rPr>
        <w:t>(2006). Evaluations of the Detectability and Inferential Impact of Nonresponse Bias in Establishment Surveys. 2006 Proceedings of the American Statistical Association, Survey Research Methods Section [CD-ROM], 3577-3583</w:t>
      </w:r>
    </w:p>
    <w:p w:rsidR="00E90A27" w:rsidRDefault="00E90A27"/>
    <w:sectPr w:rsidR="00E90A27">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A2" w:rsidRDefault="00DC44A2" w:rsidP="00DC44A2">
      <w:r>
        <w:separator/>
      </w:r>
    </w:p>
  </w:endnote>
  <w:endnote w:type="continuationSeparator" w:id="0">
    <w:p w:rsidR="00DC44A2" w:rsidRDefault="00DC44A2" w:rsidP="00DC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A2" w:rsidRDefault="00DC44A2" w:rsidP="00DC44A2">
      <w:r>
        <w:separator/>
      </w:r>
    </w:p>
  </w:footnote>
  <w:footnote w:type="continuationSeparator" w:id="0">
    <w:p w:rsidR="00DC44A2" w:rsidRDefault="00DC44A2" w:rsidP="00DC44A2">
      <w:r>
        <w:continuationSeparator/>
      </w:r>
    </w:p>
  </w:footnote>
  <w:footnote w:id="1">
    <w:p w:rsidR="00DC44A2" w:rsidRDefault="00DC44A2" w:rsidP="00DC44A2">
      <w:pPr>
        <w:pStyle w:val="FootnoteText"/>
        <w:rPr>
          <w:rFonts w:ascii="Calibri" w:hAnsi="Calibri"/>
          <w:sz w:val="16"/>
          <w:szCs w:val="16"/>
        </w:rPr>
      </w:pPr>
      <w:r>
        <w:rPr>
          <w:rStyle w:val="FootnoteReference"/>
          <w:rFonts w:ascii="Calibri" w:hAnsi="Calibri"/>
          <w:sz w:val="16"/>
          <w:szCs w:val="16"/>
        </w:rPr>
        <w:t xml:space="preserve">1 </w:t>
      </w:r>
      <w:r w:rsidRPr="00431B9B">
        <w:rPr>
          <w:rFonts w:ascii="Calibri" w:hAnsi="Calibri"/>
          <w:sz w:val="16"/>
          <w:szCs w:val="16"/>
        </w:rPr>
        <w:t xml:space="preserve">IPP uses the term “stratum” (pl. </w:t>
      </w:r>
      <w:r>
        <w:rPr>
          <w:rFonts w:ascii="Calibri" w:hAnsi="Calibri"/>
          <w:sz w:val="16"/>
          <w:szCs w:val="16"/>
        </w:rPr>
        <w:t>“</w:t>
      </w:r>
      <w:r w:rsidRPr="00431B9B">
        <w:rPr>
          <w:rFonts w:ascii="Calibri" w:hAnsi="Calibri"/>
          <w:sz w:val="16"/>
          <w:szCs w:val="16"/>
        </w:rPr>
        <w:t>strata</w:t>
      </w:r>
      <w:r>
        <w:rPr>
          <w:rFonts w:ascii="Calibri" w:hAnsi="Calibri"/>
          <w:sz w:val="16"/>
          <w:szCs w:val="16"/>
        </w:rPr>
        <w:t>”</w:t>
      </w:r>
      <w:r w:rsidRPr="00431B9B">
        <w:rPr>
          <w:rFonts w:ascii="Calibri" w:hAnsi="Calibri"/>
          <w:sz w:val="16"/>
          <w:szCs w:val="16"/>
        </w:rPr>
        <w:t>) to refer to a grouping of one or more classification groups which are homogenous with</w:t>
      </w:r>
    </w:p>
    <w:p w:rsidR="00DC44A2" w:rsidRDefault="00DC44A2" w:rsidP="00DC44A2">
      <w:pPr>
        <w:pStyle w:val="FootnoteText"/>
      </w:pPr>
      <w:r>
        <w:rPr>
          <w:rFonts w:ascii="Calibri" w:hAnsi="Calibri"/>
          <w:sz w:val="16"/>
          <w:szCs w:val="16"/>
        </w:rPr>
        <w:t xml:space="preserve">  </w:t>
      </w:r>
      <w:r w:rsidRPr="00431B9B">
        <w:rPr>
          <w:rFonts w:ascii="Calibri" w:hAnsi="Calibri"/>
          <w:sz w:val="16"/>
          <w:szCs w:val="16"/>
        </w:rPr>
        <w:t>respect to some characteristic and may experience similar price trends.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A2" w:rsidRDefault="00DC44A2" w:rsidP="00DC44A2">
    <w:pPr>
      <w:pStyle w:val="Header"/>
    </w:pPr>
    <w:r>
      <w:t>U. S. Import and Export Price Indexes</w:t>
    </w:r>
  </w:p>
  <w:p w:rsidR="00DC44A2" w:rsidRDefault="00DC44A2" w:rsidP="00DC44A2">
    <w:pPr>
      <w:pStyle w:val="Header"/>
    </w:pPr>
    <w:r>
      <w:t>1220-0025</w:t>
    </w:r>
  </w:p>
  <w:p w:rsidR="00DC44A2" w:rsidRDefault="00DC44A2" w:rsidP="00DC44A2">
    <w:pPr>
      <w:pStyle w:val="Header"/>
    </w:pPr>
    <w:r>
      <w:t>September 2018</w:t>
    </w:r>
  </w:p>
  <w:p w:rsidR="00DC44A2" w:rsidRDefault="00DC4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693"/>
    <w:multiLevelType w:val="hybridMultilevel"/>
    <w:tmpl w:val="AA2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C4EC2"/>
    <w:multiLevelType w:val="hybridMultilevel"/>
    <w:tmpl w:val="75105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7">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8">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9">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1">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2">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4">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5">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6">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9">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3C5D6B85"/>
    <w:multiLevelType w:val="hybridMultilevel"/>
    <w:tmpl w:val="36C48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2">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3">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6">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29">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1">
    <w:nsid w:val="50C673DE"/>
    <w:multiLevelType w:val="singleLevel"/>
    <w:tmpl w:val="0A7C7D20"/>
    <w:lvl w:ilvl="0">
      <w:start w:val="15"/>
      <w:numFmt w:val="none"/>
      <w:lvlText w:val="17."/>
      <w:lvlJc w:val="left"/>
      <w:pPr>
        <w:tabs>
          <w:tab w:val="num" w:pos="720"/>
        </w:tabs>
        <w:ind w:left="360" w:hanging="360"/>
      </w:pPr>
    </w:lvl>
  </w:abstractNum>
  <w:abstractNum w:abstractNumId="32">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39">
    <w:nsid w:val="6FD50FC0"/>
    <w:multiLevelType w:val="hybridMultilevel"/>
    <w:tmpl w:val="C7DE2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1">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5"/>
  </w:num>
  <w:num w:numId="4">
    <w:abstractNumId w:val="8"/>
  </w:num>
  <w:num w:numId="5">
    <w:abstractNumId w:val="10"/>
  </w:num>
  <w:num w:numId="6">
    <w:abstractNumId w:val="32"/>
  </w:num>
  <w:num w:numId="7">
    <w:abstractNumId w:val="24"/>
  </w:num>
  <w:num w:numId="8">
    <w:abstractNumId w:val="27"/>
  </w:num>
  <w:num w:numId="9">
    <w:abstractNumId w:val="3"/>
  </w:num>
  <w:num w:numId="10">
    <w:abstractNumId w:val="38"/>
  </w:num>
  <w:num w:numId="11">
    <w:abstractNumId w:val="16"/>
  </w:num>
  <w:num w:numId="12">
    <w:abstractNumId w:val="17"/>
  </w:num>
  <w:num w:numId="13">
    <w:abstractNumId w:val="22"/>
  </w:num>
  <w:num w:numId="14">
    <w:abstractNumId w:val="30"/>
  </w:num>
  <w:num w:numId="15">
    <w:abstractNumId w:val="28"/>
  </w:num>
  <w:num w:numId="16">
    <w:abstractNumId w:val="1"/>
  </w:num>
  <w:num w:numId="17">
    <w:abstractNumId w:val="13"/>
  </w:num>
  <w:num w:numId="18">
    <w:abstractNumId w:val="40"/>
  </w:num>
  <w:num w:numId="19">
    <w:abstractNumId w:val="14"/>
  </w:num>
  <w:num w:numId="20">
    <w:abstractNumId w:val="21"/>
  </w:num>
  <w:num w:numId="21">
    <w:abstractNumId w:val="7"/>
  </w:num>
  <w:num w:numId="22">
    <w:abstractNumId w:val="31"/>
  </w:num>
  <w:num w:numId="23">
    <w:abstractNumId w:val="6"/>
  </w:num>
  <w:num w:numId="24">
    <w:abstractNumId w:val="25"/>
  </w:num>
  <w:num w:numId="25">
    <w:abstractNumId w:val="9"/>
  </w:num>
  <w:num w:numId="26">
    <w:abstractNumId w:val="19"/>
  </w:num>
  <w:num w:numId="27">
    <w:abstractNumId w:val="11"/>
  </w:num>
  <w:num w:numId="28">
    <w:abstractNumId w:val="15"/>
  </w:num>
  <w:num w:numId="29">
    <w:abstractNumId w:val="12"/>
  </w:num>
  <w:num w:numId="30">
    <w:abstractNumId w:val="18"/>
  </w:num>
  <w:num w:numId="31">
    <w:abstractNumId w:val="26"/>
  </w:num>
  <w:num w:numId="32">
    <w:abstractNumId w:val="35"/>
  </w:num>
  <w:num w:numId="33">
    <w:abstractNumId w:val="34"/>
  </w:num>
  <w:num w:numId="34">
    <w:abstractNumId w:val="37"/>
  </w:num>
  <w:num w:numId="35">
    <w:abstractNumId w:val="29"/>
  </w:num>
  <w:num w:numId="36">
    <w:abstractNumId w:val="2"/>
  </w:num>
  <w:num w:numId="37">
    <w:abstractNumId w:val="42"/>
  </w:num>
  <w:num w:numId="38">
    <w:abstractNumId w:val="36"/>
  </w:num>
  <w:num w:numId="39">
    <w:abstractNumId w:val="4"/>
  </w:num>
  <w:num w:numId="40">
    <w:abstractNumId w:val="2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A2"/>
    <w:rsid w:val="00A232B4"/>
    <w:rsid w:val="00DC44A2"/>
    <w:rsid w:val="00E9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44A2"/>
    <w:rPr>
      <w:sz w:val="20"/>
      <w:szCs w:val="20"/>
    </w:rPr>
  </w:style>
  <w:style w:type="character" w:customStyle="1" w:styleId="FootnoteTextChar">
    <w:name w:val="Footnote Text Char"/>
    <w:basedOn w:val="DefaultParagraphFont"/>
    <w:link w:val="FootnoteText"/>
    <w:uiPriority w:val="99"/>
    <w:semiHidden/>
    <w:rsid w:val="00DC4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44A2"/>
    <w:rPr>
      <w:vertAlign w:val="superscript"/>
    </w:rPr>
  </w:style>
  <w:style w:type="character" w:styleId="Hyperlink">
    <w:name w:val="Hyperlink"/>
    <w:basedOn w:val="DefaultParagraphFont"/>
    <w:rsid w:val="00DC44A2"/>
    <w:rPr>
      <w:color w:val="0000FF"/>
      <w:u w:val="single"/>
    </w:rPr>
  </w:style>
  <w:style w:type="character" w:styleId="CommentReference">
    <w:name w:val="annotation reference"/>
    <w:basedOn w:val="DefaultParagraphFont"/>
    <w:semiHidden/>
    <w:unhideWhenUsed/>
    <w:rsid w:val="00DC44A2"/>
    <w:rPr>
      <w:sz w:val="16"/>
      <w:szCs w:val="16"/>
    </w:rPr>
  </w:style>
  <w:style w:type="paragraph" w:styleId="CommentText">
    <w:name w:val="annotation text"/>
    <w:basedOn w:val="Normal"/>
    <w:link w:val="CommentTextChar"/>
    <w:semiHidden/>
    <w:unhideWhenUsed/>
    <w:rsid w:val="00DC44A2"/>
    <w:rPr>
      <w:sz w:val="20"/>
      <w:szCs w:val="20"/>
    </w:rPr>
  </w:style>
  <w:style w:type="character" w:customStyle="1" w:styleId="CommentTextChar">
    <w:name w:val="Comment Text Char"/>
    <w:basedOn w:val="DefaultParagraphFont"/>
    <w:link w:val="CommentText"/>
    <w:semiHidden/>
    <w:rsid w:val="00DC44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C44A2"/>
    <w:rPr>
      <w:b/>
      <w:bCs/>
    </w:rPr>
  </w:style>
  <w:style w:type="character" w:customStyle="1" w:styleId="CommentSubjectChar">
    <w:name w:val="Comment Subject Char"/>
    <w:basedOn w:val="CommentTextChar"/>
    <w:link w:val="CommentSubject"/>
    <w:semiHidden/>
    <w:rsid w:val="00DC44A2"/>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DC44A2"/>
    <w:rPr>
      <w:rFonts w:ascii="Tahoma" w:hAnsi="Tahoma" w:cs="Tahoma"/>
      <w:sz w:val="16"/>
      <w:szCs w:val="16"/>
    </w:rPr>
  </w:style>
  <w:style w:type="character" w:customStyle="1" w:styleId="BalloonTextChar">
    <w:name w:val="Balloon Text Char"/>
    <w:basedOn w:val="DefaultParagraphFont"/>
    <w:link w:val="BalloonText"/>
    <w:rsid w:val="00DC44A2"/>
    <w:rPr>
      <w:rFonts w:ascii="Tahoma" w:eastAsia="Times New Roman" w:hAnsi="Tahoma" w:cs="Tahoma"/>
      <w:sz w:val="16"/>
      <w:szCs w:val="16"/>
    </w:rPr>
  </w:style>
  <w:style w:type="paragraph" w:styleId="Header">
    <w:name w:val="header"/>
    <w:basedOn w:val="Normal"/>
    <w:link w:val="HeaderChar"/>
    <w:unhideWhenUsed/>
    <w:rsid w:val="00DC44A2"/>
    <w:pPr>
      <w:tabs>
        <w:tab w:val="center" w:pos="4680"/>
        <w:tab w:val="right" w:pos="9360"/>
      </w:tabs>
    </w:pPr>
  </w:style>
  <w:style w:type="character" w:customStyle="1" w:styleId="HeaderChar">
    <w:name w:val="Header Char"/>
    <w:basedOn w:val="DefaultParagraphFont"/>
    <w:link w:val="Header"/>
    <w:rsid w:val="00DC44A2"/>
    <w:rPr>
      <w:rFonts w:ascii="Times New Roman" w:eastAsia="Times New Roman" w:hAnsi="Times New Roman" w:cs="Times New Roman"/>
      <w:sz w:val="24"/>
      <w:szCs w:val="24"/>
    </w:rPr>
  </w:style>
  <w:style w:type="paragraph" w:styleId="Footer">
    <w:name w:val="footer"/>
    <w:basedOn w:val="Normal"/>
    <w:link w:val="FooterChar"/>
    <w:unhideWhenUsed/>
    <w:rsid w:val="00DC44A2"/>
    <w:pPr>
      <w:tabs>
        <w:tab w:val="center" w:pos="4680"/>
        <w:tab w:val="right" w:pos="9360"/>
      </w:tabs>
    </w:pPr>
  </w:style>
  <w:style w:type="character" w:customStyle="1" w:styleId="FooterChar">
    <w:name w:val="Footer Char"/>
    <w:basedOn w:val="DefaultParagraphFont"/>
    <w:link w:val="Footer"/>
    <w:rsid w:val="00DC44A2"/>
    <w:rPr>
      <w:rFonts w:ascii="Times New Roman" w:eastAsia="Times New Roman" w:hAnsi="Times New Roman" w:cs="Times New Roman"/>
      <w:sz w:val="24"/>
      <w:szCs w:val="24"/>
    </w:rPr>
  </w:style>
  <w:style w:type="paragraph" w:styleId="ListParagraph">
    <w:name w:val="List Paragraph"/>
    <w:basedOn w:val="Normal"/>
    <w:uiPriority w:val="34"/>
    <w:qFormat/>
    <w:rsid w:val="00DC44A2"/>
    <w:pPr>
      <w:ind w:left="720"/>
      <w:contextualSpacing/>
    </w:pPr>
  </w:style>
  <w:style w:type="character" w:styleId="FollowedHyperlink">
    <w:name w:val="FollowedHyperlink"/>
    <w:basedOn w:val="DefaultParagraphFont"/>
    <w:unhideWhenUsed/>
    <w:rsid w:val="00DC44A2"/>
    <w:rPr>
      <w:color w:val="954F72" w:themeColor="followedHyperlink"/>
      <w:u w:val="single"/>
    </w:rPr>
  </w:style>
  <w:style w:type="paragraph" w:styleId="BodyTextIndent">
    <w:name w:val="Body Text Indent"/>
    <w:basedOn w:val="Normal"/>
    <w:link w:val="BodyTextIndentChar"/>
    <w:rsid w:val="00DC44A2"/>
    <w:pPr>
      <w:spacing w:after="120"/>
      <w:ind w:left="360"/>
    </w:pPr>
    <w:rPr>
      <w:sz w:val="20"/>
      <w:szCs w:val="20"/>
    </w:rPr>
  </w:style>
  <w:style w:type="character" w:customStyle="1" w:styleId="BodyTextIndentChar">
    <w:name w:val="Body Text Indent Char"/>
    <w:basedOn w:val="DefaultParagraphFont"/>
    <w:link w:val="BodyTextIndent"/>
    <w:rsid w:val="00DC44A2"/>
    <w:rPr>
      <w:rFonts w:ascii="Times New Roman" w:eastAsia="Times New Roman" w:hAnsi="Times New Roman" w:cs="Times New Roman"/>
      <w:sz w:val="20"/>
      <w:szCs w:val="20"/>
    </w:rPr>
  </w:style>
  <w:style w:type="table" w:styleId="TableGrid">
    <w:name w:val="Table Grid"/>
    <w:basedOn w:val="TableNormal"/>
    <w:rsid w:val="00DC4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44A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C44A2"/>
    <w:rPr>
      <w:rFonts w:ascii="Courier" w:eastAsia="Times New Roman" w:hAnsi="Courier" w:cs="Times New Roman"/>
      <w:sz w:val="24"/>
      <w:szCs w:val="20"/>
    </w:rPr>
  </w:style>
  <w:style w:type="character" w:styleId="PageNumber">
    <w:name w:val="page number"/>
    <w:basedOn w:val="DefaultParagraphFont"/>
    <w:rsid w:val="00DC44A2"/>
  </w:style>
  <w:style w:type="character" w:styleId="Strong">
    <w:name w:val="Strong"/>
    <w:qFormat/>
    <w:rsid w:val="00DC44A2"/>
    <w:rPr>
      <w:b/>
      <w:bCs/>
    </w:rPr>
  </w:style>
  <w:style w:type="paragraph" w:customStyle="1" w:styleId="Default">
    <w:name w:val="Default"/>
    <w:rsid w:val="00DC44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C44A2"/>
    <w:rPr>
      <w:sz w:val="20"/>
      <w:szCs w:val="20"/>
    </w:rPr>
  </w:style>
  <w:style w:type="character" w:customStyle="1" w:styleId="FootnoteTextChar">
    <w:name w:val="Footnote Text Char"/>
    <w:basedOn w:val="DefaultParagraphFont"/>
    <w:link w:val="FootnoteText"/>
    <w:uiPriority w:val="99"/>
    <w:semiHidden/>
    <w:rsid w:val="00DC4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44A2"/>
    <w:rPr>
      <w:vertAlign w:val="superscript"/>
    </w:rPr>
  </w:style>
  <w:style w:type="character" w:styleId="Hyperlink">
    <w:name w:val="Hyperlink"/>
    <w:basedOn w:val="DefaultParagraphFont"/>
    <w:rsid w:val="00DC44A2"/>
    <w:rPr>
      <w:color w:val="0000FF"/>
      <w:u w:val="single"/>
    </w:rPr>
  </w:style>
  <w:style w:type="character" w:styleId="CommentReference">
    <w:name w:val="annotation reference"/>
    <w:basedOn w:val="DefaultParagraphFont"/>
    <w:semiHidden/>
    <w:unhideWhenUsed/>
    <w:rsid w:val="00DC44A2"/>
    <w:rPr>
      <w:sz w:val="16"/>
      <w:szCs w:val="16"/>
    </w:rPr>
  </w:style>
  <w:style w:type="paragraph" w:styleId="CommentText">
    <w:name w:val="annotation text"/>
    <w:basedOn w:val="Normal"/>
    <w:link w:val="CommentTextChar"/>
    <w:semiHidden/>
    <w:unhideWhenUsed/>
    <w:rsid w:val="00DC44A2"/>
    <w:rPr>
      <w:sz w:val="20"/>
      <w:szCs w:val="20"/>
    </w:rPr>
  </w:style>
  <w:style w:type="character" w:customStyle="1" w:styleId="CommentTextChar">
    <w:name w:val="Comment Text Char"/>
    <w:basedOn w:val="DefaultParagraphFont"/>
    <w:link w:val="CommentText"/>
    <w:semiHidden/>
    <w:rsid w:val="00DC44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C44A2"/>
    <w:rPr>
      <w:b/>
      <w:bCs/>
    </w:rPr>
  </w:style>
  <w:style w:type="character" w:customStyle="1" w:styleId="CommentSubjectChar">
    <w:name w:val="Comment Subject Char"/>
    <w:basedOn w:val="CommentTextChar"/>
    <w:link w:val="CommentSubject"/>
    <w:semiHidden/>
    <w:rsid w:val="00DC44A2"/>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DC44A2"/>
    <w:rPr>
      <w:rFonts w:ascii="Tahoma" w:hAnsi="Tahoma" w:cs="Tahoma"/>
      <w:sz w:val="16"/>
      <w:szCs w:val="16"/>
    </w:rPr>
  </w:style>
  <w:style w:type="character" w:customStyle="1" w:styleId="BalloonTextChar">
    <w:name w:val="Balloon Text Char"/>
    <w:basedOn w:val="DefaultParagraphFont"/>
    <w:link w:val="BalloonText"/>
    <w:rsid w:val="00DC44A2"/>
    <w:rPr>
      <w:rFonts w:ascii="Tahoma" w:eastAsia="Times New Roman" w:hAnsi="Tahoma" w:cs="Tahoma"/>
      <w:sz w:val="16"/>
      <w:szCs w:val="16"/>
    </w:rPr>
  </w:style>
  <w:style w:type="paragraph" w:styleId="Header">
    <w:name w:val="header"/>
    <w:basedOn w:val="Normal"/>
    <w:link w:val="HeaderChar"/>
    <w:unhideWhenUsed/>
    <w:rsid w:val="00DC44A2"/>
    <w:pPr>
      <w:tabs>
        <w:tab w:val="center" w:pos="4680"/>
        <w:tab w:val="right" w:pos="9360"/>
      </w:tabs>
    </w:pPr>
  </w:style>
  <w:style w:type="character" w:customStyle="1" w:styleId="HeaderChar">
    <w:name w:val="Header Char"/>
    <w:basedOn w:val="DefaultParagraphFont"/>
    <w:link w:val="Header"/>
    <w:rsid w:val="00DC44A2"/>
    <w:rPr>
      <w:rFonts w:ascii="Times New Roman" w:eastAsia="Times New Roman" w:hAnsi="Times New Roman" w:cs="Times New Roman"/>
      <w:sz w:val="24"/>
      <w:szCs w:val="24"/>
    </w:rPr>
  </w:style>
  <w:style w:type="paragraph" w:styleId="Footer">
    <w:name w:val="footer"/>
    <w:basedOn w:val="Normal"/>
    <w:link w:val="FooterChar"/>
    <w:unhideWhenUsed/>
    <w:rsid w:val="00DC44A2"/>
    <w:pPr>
      <w:tabs>
        <w:tab w:val="center" w:pos="4680"/>
        <w:tab w:val="right" w:pos="9360"/>
      </w:tabs>
    </w:pPr>
  </w:style>
  <w:style w:type="character" w:customStyle="1" w:styleId="FooterChar">
    <w:name w:val="Footer Char"/>
    <w:basedOn w:val="DefaultParagraphFont"/>
    <w:link w:val="Footer"/>
    <w:rsid w:val="00DC44A2"/>
    <w:rPr>
      <w:rFonts w:ascii="Times New Roman" w:eastAsia="Times New Roman" w:hAnsi="Times New Roman" w:cs="Times New Roman"/>
      <w:sz w:val="24"/>
      <w:szCs w:val="24"/>
    </w:rPr>
  </w:style>
  <w:style w:type="paragraph" w:styleId="ListParagraph">
    <w:name w:val="List Paragraph"/>
    <w:basedOn w:val="Normal"/>
    <w:uiPriority w:val="34"/>
    <w:qFormat/>
    <w:rsid w:val="00DC44A2"/>
    <w:pPr>
      <w:ind w:left="720"/>
      <w:contextualSpacing/>
    </w:pPr>
  </w:style>
  <w:style w:type="character" w:styleId="FollowedHyperlink">
    <w:name w:val="FollowedHyperlink"/>
    <w:basedOn w:val="DefaultParagraphFont"/>
    <w:unhideWhenUsed/>
    <w:rsid w:val="00DC44A2"/>
    <w:rPr>
      <w:color w:val="954F72" w:themeColor="followedHyperlink"/>
      <w:u w:val="single"/>
    </w:rPr>
  </w:style>
  <w:style w:type="paragraph" w:styleId="BodyTextIndent">
    <w:name w:val="Body Text Indent"/>
    <w:basedOn w:val="Normal"/>
    <w:link w:val="BodyTextIndentChar"/>
    <w:rsid w:val="00DC44A2"/>
    <w:pPr>
      <w:spacing w:after="120"/>
      <w:ind w:left="360"/>
    </w:pPr>
    <w:rPr>
      <w:sz w:val="20"/>
      <w:szCs w:val="20"/>
    </w:rPr>
  </w:style>
  <w:style w:type="character" w:customStyle="1" w:styleId="BodyTextIndentChar">
    <w:name w:val="Body Text Indent Char"/>
    <w:basedOn w:val="DefaultParagraphFont"/>
    <w:link w:val="BodyTextIndent"/>
    <w:rsid w:val="00DC44A2"/>
    <w:rPr>
      <w:rFonts w:ascii="Times New Roman" w:eastAsia="Times New Roman" w:hAnsi="Times New Roman" w:cs="Times New Roman"/>
      <w:sz w:val="20"/>
      <w:szCs w:val="20"/>
    </w:rPr>
  </w:style>
  <w:style w:type="table" w:styleId="TableGrid">
    <w:name w:val="Table Grid"/>
    <w:basedOn w:val="TableNormal"/>
    <w:rsid w:val="00DC4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44A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C44A2"/>
    <w:rPr>
      <w:rFonts w:ascii="Courier" w:eastAsia="Times New Roman" w:hAnsi="Courier" w:cs="Times New Roman"/>
      <w:sz w:val="24"/>
      <w:szCs w:val="20"/>
    </w:rPr>
  </w:style>
  <w:style w:type="character" w:styleId="PageNumber">
    <w:name w:val="page number"/>
    <w:basedOn w:val="DefaultParagraphFont"/>
    <w:rsid w:val="00DC44A2"/>
  </w:style>
  <w:style w:type="character" w:styleId="Strong">
    <w:name w:val="Strong"/>
    <w:qFormat/>
    <w:rsid w:val="00DC44A2"/>
    <w:rPr>
      <w:b/>
      <w:bCs/>
    </w:rPr>
  </w:style>
  <w:style w:type="paragraph" w:customStyle="1" w:styleId="Default">
    <w:name w:val="Default"/>
    <w:rsid w:val="00DC44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hom/pdf/mxp-19970820.pdf"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2018-09-06T12:42:00Z</dcterms:created>
  <dcterms:modified xsi:type="dcterms:W3CDTF">2018-09-06T12:42:00Z</dcterms:modified>
</cp:coreProperties>
</file>