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D79FE" w14:textId="77777777" w:rsidR="008F1EB4" w:rsidRDefault="008F1EB4">
      <w:pPr>
        <w:tabs>
          <w:tab w:val="center" w:pos="4752"/>
          <w:tab w:val="left" w:pos="5040"/>
          <w:tab w:val="left" w:pos="5760"/>
          <w:tab w:val="left" w:pos="6480"/>
          <w:tab w:val="left" w:pos="7200"/>
          <w:tab w:val="left" w:pos="7920"/>
          <w:tab w:val="left" w:pos="8640"/>
          <w:tab w:val="left" w:pos="9360"/>
        </w:tabs>
        <w:rPr>
          <w:sz w:val="32"/>
          <w:szCs w:val="32"/>
          <w:u w:val="single"/>
        </w:rPr>
      </w:pPr>
      <w:bookmarkStart w:id="0" w:name="_GoBack"/>
      <w:bookmarkEnd w:id="0"/>
      <w:r>
        <w:rPr>
          <w:sz w:val="32"/>
          <w:szCs w:val="32"/>
        </w:rPr>
        <w:tab/>
      </w:r>
      <w:r>
        <w:rPr>
          <w:sz w:val="32"/>
          <w:szCs w:val="32"/>
          <w:u w:val="single"/>
        </w:rPr>
        <w:t xml:space="preserve">Supporting Statement </w:t>
      </w:r>
    </w:p>
    <w:p w14:paraId="4DFDBC32" w14:textId="589CA3F1" w:rsidR="00E343F3" w:rsidRDefault="00756D0C" w:rsidP="00B60C1A">
      <w:pPr>
        <w:tabs>
          <w:tab w:val="center" w:pos="4752"/>
          <w:tab w:val="left" w:pos="5040"/>
          <w:tab w:val="left" w:pos="5760"/>
          <w:tab w:val="left" w:pos="6480"/>
          <w:tab w:val="left" w:pos="7200"/>
          <w:tab w:val="left" w:pos="7920"/>
          <w:tab w:val="left" w:pos="8640"/>
          <w:tab w:val="left" w:pos="9360"/>
        </w:tabs>
        <w:jc w:val="center"/>
        <w:rPr>
          <w:sz w:val="32"/>
          <w:szCs w:val="32"/>
        </w:rPr>
      </w:pPr>
      <w:r w:rsidRPr="00756D0C">
        <w:rPr>
          <w:sz w:val="32"/>
          <w:szCs w:val="32"/>
        </w:rPr>
        <w:t xml:space="preserve">Medicare and </w:t>
      </w:r>
      <w:r w:rsidR="005917E4" w:rsidRPr="00756D0C">
        <w:rPr>
          <w:sz w:val="32"/>
          <w:szCs w:val="32"/>
        </w:rPr>
        <w:t>Medicaid Programs</w:t>
      </w:r>
      <w:r w:rsidRPr="00756D0C">
        <w:rPr>
          <w:sz w:val="32"/>
          <w:szCs w:val="32"/>
        </w:rPr>
        <w:t xml:space="preserve">; </w:t>
      </w:r>
      <w:r w:rsidR="003A2F1A">
        <w:rPr>
          <w:sz w:val="32"/>
          <w:szCs w:val="32"/>
        </w:rPr>
        <w:t>Promoting Interoperability Program</w:t>
      </w:r>
      <w:r>
        <w:rPr>
          <w:sz w:val="32"/>
          <w:szCs w:val="32"/>
        </w:rPr>
        <w:t xml:space="preserve"> </w:t>
      </w:r>
      <w:r w:rsidR="003A2F1A">
        <w:rPr>
          <w:sz w:val="32"/>
          <w:szCs w:val="32"/>
        </w:rPr>
        <w:t xml:space="preserve">(Formerly known as the Medicare and Medicaid EHR Incentive Program) </w:t>
      </w:r>
      <w:r>
        <w:rPr>
          <w:sz w:val="32"/>
          <w:szCs w:val="32"/>
        </w:rPr>
        <w:t>(CMS-10336)</w:t>
      </w:r>
    </w:p>
    <w:p w14:paraId="1A29A97A" w14:textId="77777777"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57629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D4976">
        <w:rPr>
          <w:b/>
          <w:bCs/>
          <w:sz w:val="24"/>
        </w:rPr>
        <w:t>A.</w:t>
      </w:r>
      <w:r>
        <w:rPr>
          <w:b/>
          <w:bCs/>
          <w:sz w:val="24"/>
        </w:rPr>
        <w:tab/>
      </w:r>
      <w:r>
        <w:rPr>
          <w:b/>
          <w:bCs/>
          <w:sz w:val="24"/>
          <w:u w:val="single"/>
        </w:rPr>
        <w:t>Background</w:t>
      </w:r>
    </w:p>
    <w:p w14:paraId="726E40A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AB4166D" w14:textId="77777777" w:rsidR="008F1EB4" w:rsidRPr="006C1E0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9CD0487" w14:textId="77777777" w:rsidR="00DC186B" w:rsidRDefault="00012EB3" w:rsidP="00DC18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C1E0B">
        <w:rPr>
          <w:sz w:val="24"/>
        </w:rPr>
        <w:t xml:space="preserve">The </w:t>
      </w:r>
      <w:r w:rsidR="00BE0367">
        <w:rPr>
          <w:sz w:val="24"/>
        </w:rPr>
        <w:t xml:space="preserve">American </w:t>
      </w:r>
      <w:r w:rsidRPr="006C1E0B">
        <w:rPr>
          <w:sz w:val="24"/>
        </w:rPr>
        <w:t xml:space="preserve">Recovery </w:t>
      </w:r>
      <w:r w:rsidR="00725916">
        <w:rPr>
          <w:sz w:val="24"/>
        </w:rPr>
        <w:t xml:space="preserve">and Reinvestment </w:t>
      </w:r>
      <w:r w:rsidRPr="006C1E0B">
        <w:rPr>
          <w:sz w:val="24"/>
        </w:rPr>
        <w:t>Act of 2009</w:t>
      </w:r>
      <w:r w:rsidR="00BE0367">
        <w:rPr>
          <w:sz w:val="24"/>
        </w:rPr>
        <w:t xml:space="preserve"> (Recovery Act)</w:t>
      </w:r>
      <w:r w:rsidRPr="006C1E0B">
        <w:rPr>
          <w:sz w:val="24"/>
        </w:rPr>
        <w:t xml:space="preserve"> (P. L. 111-5) was enacted on February 17, 2009.  The Recovery Act includes many measures to modernize our nation's infrastructure, and improve affordable health care. </w:t>
      </w:r>
      <w:r w:rsidRPr="006C1E0B" w:rsidDel="0046102A">
        <w:rPr>
          <w:sz w:val="24"/>
        </w:rPr>
        <w:t xml:space="preserve"> </w:t>
      </w:r>
      <w:r w:rsidR="006C1E0B" w:rsidRPr="006C1E0B">
        <w:rPr>
          <w:sz w:val="24"/>
        </w:rPr>
        <w:t xml:space="preserve">Expanded use of health information technology (HIT) and certified electronic health record </w:t>
      </w:r>
      <w:r w:rsidR="006C1E0B">
        <w:rPr>
          <w:sz w:val="24"/>
        </w:rPr>
        <w:t>(</w:t>
      </w:r>
      <w:r w:rsidR="006C1E0B" w:rsidRPr="006C1E0B">
        <w:rPr>
          <w:sz w:val="24"/>
        </w:rPr>
        <w:t>EHR</w:t>
      </w:r>
      <w:r w:rsidR="006C1E0B">
        <w:rPr>
          <w:sz w:val="24"/>
        </w:rPr>
        <w:t>)</w:t>
      </w:r>
      <w:r w:rsidR="006C1E0B" w:rsidRPr="006C1E0B">
        <w:rPr>
          <w:sz w:val="24"/>
        </w:rPr>
        <w:t xml:space="preserve"> </w:t>
      </w:r>
      <w:r w:rsidR="00BC59B4">
        <w:rPr>
          <w:sz w:val="24"/>
        </w:rPr>
        <w:t xml:space="preserve">technology </w:t>
      </w:r>
      <w:r w:rsidR="006C1E0B" w:rsidRPr="006C1E0B">
        <w:rPr>
          <w:sz w:val="24"/>
        </w:rPr>
        <w:t>will improve the quality and value of America</w:t>
      </w:r>
      <w:r w:rsidR="00BC59B4">
        <w:rPr>
          <w:sz w:val="24"/>
        </w:rPr>
        <w:t>’s</w:t>
      </w:r>
      <w:r w:rsidR="006C1E0B" w:rsidRPr="006C1E0B">
        <w:rPr>
          <w:sz w:val="24"/>
        </w:rPr>
        <w:t xml:space="preserve"> health care.  </w:t>
      </w:r>
      <w:r w:rsidRPr="006C1E0B">
        <w:rPr>
          <w:sz w:val="24"/>
        </w:rPr>
        <w:t xml:space="preserve">Title IV of Division B of the Recovery Act amends Titles XVIII and XIX of the </w:t>
      </w:r>
      <w:r w:rsidR="00B5532B" w:rsidRPr="006C1E0B">
        <w:rPr>
          <w:sz w:val="24"/>
        </w:rPr>
        <w:t xml:space="preserve">Social Security </w:t>
      </w:r>
      <w:r w:rsidRPr="006C1E0B">
        <w:rPr>
          <w:sz w:val="24"/>
        </w:rPr>
        <w:t xml:space="preserve">Act </w:t>
      </w:r>
      <w:r w:rsidR="00020FED">
        <w:rPr>
          <w:sz w:val="24"/>
        </w:rPr>
        <w:t xml:space="preserve">(the Act) </w:t>
      </w:r>
      <w:r w:rsidRPr="006C1E0B">
        <w:rPr>
          <w:sz w:val="24"/>
        </w:rPr>
        <w:t xml:space="preserve">by establishing incentive payments to </w:t>
      </w:r>
      <w:r w:rsidR="00A96FB4">
        <w:rPr>
          <w:sz w:val="24"/>
        </w:rPr>
        <w:t>eligible professionals (</w:t>
      </w:r>
      <w:r w:rsidR="00B5532B" w:rsidRPr="006C1E0B">
        <w:rPr>
          <w:sz w:val="24"/>
        </w:rPr>
        <w:t>EPs</w:t>
      </w:r>
      <w:r w:rsidR="00A96FB4">
        <w:rPr>
          <w:sz w:val="24"/>
        </w:rPr>
        <w:t>)</w:t>
      </w:r>
      <w:r w:rsidR="008120F0">
        <w:rPr>
          <w:sz w:val="24"/>
        </w:rPr>
        <w:t xml:space="preserve">, </w:t>
      </w:r>
      <w:r w:rsidRPr="006C1E0B">
        <w:rPr>
          <w:sz w:val="24"/>
        </w:rPr>
        <w:t>eligible hospitals</w:t>
      </w:r>
      <w:r w:rsidR="008120F0">
        <w:rPr>
          <w:sz w:val="24"/>
        </w:rPr>
        <w:t xml:space="preserve"> and </w:t>
      </w:r>
      <w:r w:rsidR="00D704E8">
        <w:rPr>
          <w:sz w:val="24"/>
        </w:rPr>
        <w:t>critical access hospitals (</w:t>
      </w:r>
      <w:r w:rsidR="008120F0">
        <w:rPr>
          <w:sz w:val="24"/>
        </w:rPr>
        <w:t>CAHs</w:t>
      </w:r>
      <w:r w:rsidR="00D704E8">
        <w:rPr>
          <w:sz w:val="24"/>
        </w:rPr>
        <w:t>)</w:t>
      </w:r>
      <w:r w:rsidR="00A96FB4">
        <w:rPr>
          <w:sz w:val="24"/>
        </w:rPr>
        <w:t xml:space="preserve">, </w:t>
      </w:r>
      <w:r w:rsidR="00B80245">
        <w:rPr>
          <w:sz w:val="24"/>
        </w:rPr>
        <w:t xml:space="preserve">and Medicare Advantage (MA) </w:t>
      </w:r>
      <w:r w:rsidR="008630A1">
        <w:rPr>
          <w:sz w:val="24"/>
        </w:rPr>
        <w:t>o</w:t>
      </w:r>
      <w:r w:rsidR="00B80245">
        <w:rPr>
          <w:sz w:val="24"/>
        </w:rPr>
        <w:t>rganizations</w:t>
      </w:r>
      <w:r w:rsidRPr="006C1E0B">
        <w:rPr>
          <w:sz w:val="24"/>
        </w:rPr>
        <w:t xml:space="preserve"> </w:t>
      </w:r>
      <w:r w:rsidR="008440B3">
        <w:rPr>
          <w:sz w:val="24"/>
        </w:rPr>
        <w:t xml:space="preserve">participating in the Medicare and Medicaid programs that adopt and successfully demonstrate </w:t>
      </w:r>
      <w:r w:rsidRPr="006C1E0B">
        <w:rPr>
          <w:sz w:val="24"/>
        </w:rPr>
        <w:t xml:space="preserve">meaningful use of </w:t>
      </w:r>
      <w:r w:rsidR="002873C5">
        <w:rPr>
          <w:sz w:val="24"/>
        </w:rPr>
        <w:t>certified</w:t>
      </w:r>
      <w:r w:rsidR="006C1E0B">
        <w:rPr>
          <w:sz w:val="24"/>
        </w:rPr>
        <w:t xml:space="preserve"> </w:t>
      </w:r>
      <w:r w:rsidRPr="006C1E0B">
        <w:rPr>
          <w:sz w:val="24"/>
        </w:rPr>
        <w:t>EHR</w:t>
      </w:r>
      <w:r w:rsidR="002873C5">
        <w:rPr>
          <w:sz w:val="24"/>
        </w:rPr>
        <w:t xml:space="preserve"> technology</w:t>
      </w:r>
      <w:r w:rsidRPr="006C1E0B">
        <w:rPr>
          <w:sz w:val="24"/>
        </w:rPr>
        <w:t xml:space="preserve">. These </w:t>
      </w:r>
      <w:r w:rsidR="00BB7580">
        <w:rPr>
          <w:sz w:val="24"/>
        </w:rPr>
        <w:t xml:space="preserve">Recovery Act </w:t>
      </w:r>
      <w:r w:rsidRPr="006C1E0B">
        <w:rPr>
          <w:sz w:val="24"/>
        </w:rPr>
        <w:t>provisions, together with Title XIII of Division A of the Recovery Act, may be cited as the “Health Information Technology for Economic and Clinical Health Act” or the “HITECH Act</w:t>
      </w:r>
      <w:r w:rsidR="00BE0367">
        <w:rPr>
          <w:sz w:val="24"/>
        </w:rPr>
        <w:t>.</w:t>
      </w:r>
      <w:r w:rsidRPr="006C1E0B">
        <w:rPr>
          <w:sz w:val="24"/>
        </w:rPr>
        <w:t xml:space="preserve">”  </w:t>
      </w:r>
    </w:p>
    <w:p w14:paraId="093379FA" w14:textId="77777777" w:rsidR="00012EB3" w:rsidRPr="006C1E0B" w:rsidRDefault="00012EB3" w:rsidP="00012EB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14:paraId="16DB1183" w14:textId="77777777" w:rsidR="00427D1F" w:rsidRPr="00427D1F" w:rsidRDefault="00427D1F" w:rsidP="00DC186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27D1F">
        <w:rPr>
          <w:sz w:val="24"/>
        </w:rPr>
        <w:t>The HITECH Act creates incentive</w:t>
      </w:r>
      <w:r w:rsidR="00C30654">
        <w:rPr>
          <w:sz w:val="24"/>
        </w:rPr>
        <w:t xml:space="preserve"> programs</w:t>
      </w:r>
      <w:r w:rsidRPr="00427D1F">
        <w:rPr>
          <w:sz w:val="24"/>
        </w:rPr>
        <w:t xml:space="preserve"> </w:t>
      </w:r>
      <w:r w:rsidR="003C65BB">
        <w:rPr>
          <w:sz w:val="24"/>
        </w:rPr>
        <w:t xml:space="preserve">for </w:t>
      </w:r>
      <w:r w:rsidR="003C65BB" w:rsidRPr="00012EB3">
        <w:rPr>
          <w:sz w:val="24"/>
        </w:rPr>
        <w:t>EPs and eligible hospitals</w:t>
      </w:r>
      <w:r w:rsidR="00BE0367">
        <w:rPr>
          <w:sz w:val="24"/>
        </w:rPr>
        <w:t>,</w:t>
      </w:r>
      <w:r w:rsidR="003C65BB" w:rsidRPr="00012EB3">
        <w:rPr>
          <w:sz w:val="24"/>
        </w:rPr>
        <w:t xml:space="preserve"> </w:t>
      </w:r>
      <w:r w:rsidR="003C65BB">
        <w:rPr>
          <w:sz w:val="24"/>
        </w:rPr>
        <w:t>including</w:t>
      </w:r>
      <w:r w:rsidR="00D704E8">
        <w:rPr>
          <w:sz w:val="24"/>
        </w:rPr>
        <w:t xml:space="preserve"> </w:t>
      </w:r>
      <w:r w:rsidR="00E51C7D">
        <w:rPr>
          <w:sz w:val="24"/>
        </w:rPr>
        <w:t>CAH</w:t>
      </w:r>
      <w:r w:rsidR="003C65BB">
        <w:rPr>
          <w:sz w:val="24"/>
        </w:rPr>
        <w:t>s</w:t>
      </w:r>
      <w:r w:rsidR="00BE0367">
        <w:rPr>
          <w:sz w:val="24"/>
        </w:rPr>
        <w:t>,</w:t>
      </w:r>
      <w:r w:rsidR="003C65BB">
        <w:rPr>
          <w:sz w:val="24"/>
        </w:rPr>
        <w:t xml:space="preserve"> </w:t>
      </w:r>
      <w:r w:rsidRPr="00427D1F">
        <w:rPr>
          <w:sz w:val="24"/>
        </w:rPr>
        <w:t xml:space="preserve">in the Medicare Fee-for-Service (FFS), MA, and Medicaid programs </w:t>
      </w:r>
      <w:r w:rsidR="00BE0367">
        <w:rPr>
          <w:sz w:val="24"/>
        </w:rPr>
        <w:t>that</w:t>
      </w:r>
      <w:r w:rsidR="003C65BB">
        <w:rPr>
          <w:sz w:val="24"/>
        </w:rPr>
        <w:t xml:space="preserve"> </w:t>
      </w:r>
      <w:r w:rsidR="00537D31">
        <w:rPr>
          <w:sz w:val="24"/>
        </w:rPr>
        <w:t xml:space="preserve">successfully demonstrate </w:t>
      </w:r>
      <w:r w:rsidR="003C65BB" w:rsidRPr="00012EB3">
        <w:rPr>
          <w:sz w:val="24"/>
        </w:rPr>
        <w:t xml:space="preserve">meaningful use </w:t>
      </w:r>
      <w:r w:rsidR="00537D31">
        <w:rPr>
          <w:sz w:val="24"/>
        </w:rPr>
        <w:t xml:space="preserve">of </w:t>
      </w:r>
      <w:r w:rsidR="003C65BB" w:rsidRPr="00012EB3">
        <w:rPr>
          <w:sz w:val="24"/>
        </w:rPr>
        <w:t>certified EHR technology</w:t>
      </w:r>
      <w:r w:rsidR="00537D31">
        <w:rPr>
          <w:sz w:val="24"/>
        </w:rPr>
        <w:t>.</w:t>
      </w:r>
      <w:r w:rsidR="00555037">
        <w:rPr>
          <w:sz w:val="24"/>
        </w:rPr>
        <w:t xml:space="preserve"> In their first payment year, Medicaid EPs and eligible hospitals may adopt, implement or upgrade to certified EHR technology.</w:t>
      </w:r>
      <w:r w:rsidR="00537D31">
        <w:rPr>
          <w:sz w:val="24"/>
        </w:rPr>
        <w:t xml:space="preserve"> It also</w:t>
      </w:r>
      <w:r w:rsidR="003C65BB">
        <w:rPr>
          <w:sz w:val="24"/>
        </w:rPr>
        <w:t xml:space="preserve">, </w:t>
      </w:r>
      <w:r w:rsidR="00263994">
        <w:rPr>
          <w:sz w:val="24"/>
        </w:rPr>
        <w:t>provides for</w:t>
      </w:r>
      <w:r w:rsidR="00263994" w:rsidRPr="00427D1F">
        <w:rPr>
          <w:sz w:val="24"/>
        </w:rPr>
        <w:t xml:space="preserve"> </w:t>
      </w:r>
      <w:r w:rsidRPr="00427D1F">
        <w:rPr>
          <w:sz w:val="24"/>
        </w:rPr>
        <w:t>payment adjustments in the Medicare FFS and MA programs</w:t>
      </w:r>
      <w:r w:rsidR="006C1E0B" w:rsidRPr="006C1E0B">
        <w:rPr>
          <w:sz w:val="24"/>
        </w:rPr>
        <w:t xml:space="preserve"> starting in FY 2015 for EPs and eligible hospitals participating in Medicare that are not meaningful users of certified EHR technology.</w:t>
      </w:r>
      <w:r w:rsidRPr="00427D1F">
        <w:rPr>
          <w:sz w:val="24"/>
        </w:rPr>
        <w:t xml:space="preserve"> </w:t>
      </w:r>
      <w:r w:rsidR="00C30654">
        <w:rPr>
          <w:sz w:val="24"/>
        </w:rPr>
        <w:t xml:space="preserve">These payment adjustments do not pertain to Medicaid providers. </w:t>
      </w:r>
      <w:r w:rsidRPr="00427D1F">
        <w:rPr>
          <w:sz w:val="24"/>
        </w:rPr>
        <w:t xml:space="preserve">  </w:t>
      </w:r>
    </w:p>
    <w:p w14:paraId="6D3B9013" w14:textId="77777777" w:rsidR="00427D1F" w:rsidRPr="00012EB3" w:rsidRDefault="00427D1F" w:rsidP="00012EB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14:paraId="3E787CF5" w14:textId="65D1C3F5" w:rsidR="00707396" w:rsidRDefault="00C30654" w:rsidP="00707396">
      <w:pPr>
        <w:rPr>
          <w:sz w:val="24"/>
        </w:rPr>
      </w:pPr>
      <w:r>
        <w:rPr>
          <w:sz w:val="24"/>
        </w:rPr>
        <w:t xml:space="preserve">The </w:t>
      </w:r>
      <w:r w:rsidR="00142316">
        <w:rPr>
          <w:sz w:val="24"/>
        </w:rPr>
        <w:t xml:space="preserve">first </w:t>
      </w:r>
      <w:r>
        <w:rPr>
          <w:sz w:val="24"/>
        </w:rPr>
        <w:t xml:space="preserve">final rule for the Medicare and Medicaid </w:t>
      </w:r>
      <w:r w:rsidR="000C24E4">
        <w:rPr>
          <w:sz w:val="24"/>
        </w:rPr>
        <w:t>Promoting Interoperability</w:t>
      </w:r>
      <w:r>
        <w:rPr>
          <w:sz w:val="24"/>
        </w:rPr>
        <w:t xml:space="preserve"> Program</w:t>
      </w:r>
      <w:r w:rsidR="00707396">
        <w:rPr>
          <w:sz w:val="24"/>
        </w:rPr>
        <w:t>s</w:t>
      </w:r>
      <w:r w:rsidR="003A2F1A">
        <w:rPr>
          <w:sz w:val="24"/>
        </w:rPr>
        <w:t xml:space="preserve"> (formerly known as the Medicare and Medicaid EHR Incentive Program</w:t>
      </w:r>
      <w:r w:rsidR="00707396">
        <w:rPr>
          <w:sz w:val="24"/>
        </w:rPr>
        <w:t>s</w:t>
      </w:r>
      <w:r w:rsidR="003A2F1A">
        <w:rPr>
          <w:sz w:val="24"/>
        </w:rPr>
        <w:t>)</w:t>
      </w:r>
      <w:r>
        <w:rPr>
          <w:sz w:val="24"/>
        </w:rPr>
        <w:t>, which was published in the Federal Register on July 28, 2010</w:t>
      </w:r>
      <w:r w:rsidR="00DD35C8">
        <w:rPr>
          <w:sz w:val="24"/>
        </w:rPr>
        <w:t xml:space="preserve"> (CMS-0033-F)</w:t>
      </w:r>
      <w:r>
        <w:rPr>
          <w:sz w:val="24"/>
        </w:rPr>
        <w:t xml:space="preserve">, </w:t>
      </w:r>
      <w:r w:rsidR="00FF0CB0">
        <w:rPr>
          <w:sz w:val="24"/>
        </w:rPr>
        <w:t xml:space="preserve">specified the initial criteria EPs, eligible hospitals and CAHs, and MA </w:t>
      </w:r>
      <w:r w:rsidR="008630A1">
        <w:rPr>
          <w:sz w:val="24"/>
        </w:rPr>
        <w:t>o</w:t>
      </w:r>
      <w:r w:rsidR="00FF0CB0">
        <w:rPr>
          <w:sz w:val="24"/>
        </w:rPr>
        <w:t>rganizations must meet in order to qualify for incentive payment</w:t>
      </w:r>
      <w:r w:rsidR="00445732">
        <w:rPr>
          <w:sz w:val="24"/>
        </w:rPr>
        <w:t>s</w:t>
      </w:r>
      <w:r w:rsidR="00FF0CB0">
        <w:rPr>
          <w:sz w:val="24"/>
        </w:rPr>
        <w:t>; calculation of incentive payment amounts; payment adjustments under Medicare for covered professional services and inpatient hospital services</w:t>
      </w:r>
      <w:r w:rsidR="001E59B9">
        <w:rPr>
          <w:sz w:val="24"/>
        </w:rPr>
        <w:t xml:space="preserve"> provided by EPs, eligible hospitals and CAHs failing to demonstrate meaningful use of certified EHR technology beginning in 2015; and other program participation requirements. </w:t>
      </w:r>
      <w:r w:rsidR="00445732">
        <w:rPr>
          <w:sz w:val="24"/>
        </w:rPr>
        <w:t>On the same date</w:t>
      </w:r>
      <w:r w:rsidR="00D01756">
        <w:rPr>
          <w:sz w:val="24"/>
        </w:rPr>
        <w:t xml:space="preserve">, the Office of the National Coordinator of Health Information Technology (ONC) issued a closely related final rule </w:t>
      </w:r>
      <w:r w:rsidR="00445732">
        <w:rPr>
          <w:sz w:val="24"/>
        </w:rPr>
        <w:t xml:space="preserve">(45 CFR Part 170, RIN 0991-AB58) </w:t>
      </w:r>
      <w:r w:rsidR="00D01756">
        <w:rPr>
          <w:sz w:val="24"/>
        </w:rPr>
        <w:t>that specified the initial set of standards, implementation specifications, and certification criteria for certified EHR technology. ONC has also issued a separate final rule on the establishment of certification programs for health information technology (HIT)</w:t>
      </w:r>
      <w:r w:rsidR="006E5CC8">
        <w:rPr>
          <w:sz w:val="24"/>
        </w:rPr>
        <w:t xml:space="preserve"> (45 CFR Part 170, RIN 0991-AB59)</w:t>
      </w:r>
      <w:r w:rsidR="00D01756">
        <w:rPr>
          <w:sz w:val="24"/>
        </w:rPr>
        <w:t xml:space="preserve">. </w:t>
      </w:r>
      <w:r w:rsidR="005B7B84">
        <w:rPr>
          <w:rStyle w:val="CommentReference"/>
          <w:sz w:val="24"/>
        </w:rPr>
        <w:t>T</w:t>
      </w:r>
      <w:r w:rsidR="00012EB3" w:rsidRPr="00012EB3">
        <w:rPr>
          <w:sz w:val="24"/>
        </w:rPr>
        <w:t xml:space="preserve">he functionality of certified EHR technology should </w:t>
      </w:r>
      <w:r w:rsidR="003C65BB">
        <w:rPr>
          <w:sz w:val="24"/>
        </w:rPr>
        <w:t>facilitate</w:t>
      </w:r>
      <w:r w:rsidR="00012EB3" w:rsidRPr="00012EB3">
        <w:rPr>
          <w:sz w:val="24"/>
        </w:rPr>
        <w:t xml:space="preserve"> the </w:t>
      </w:r>
      <w:r w:rsidR="003C65BB">
        <w:rPr>
          <w:sz w:val="24"/>
        </w:rPr>
        <w:t>implementation</w:t>
      </w:r>
      <w:r w:rsidR="00012EB3" w:rsidRPr="00012EB3">
        <w:rPr>
          <w:sz w:val="24"/>
        </w:rPr>
        <w:t xml:space="preserve"> of meaningful use.  </w:t>
      </w:r>
      <w:r w:rsidR="005F50D7">
        <w:rPr>
          <w:sz w:val="24"/>
        </w:rPr>
        <w:t>Subsequently, final rule</w:t>
      </w:r>
      <w:r w:rsidR="00142316">
        <w:rPr>
          <w:sz w:val="24"/>
        </w:rPr>
        <w:t>s</w:t>
      </w:r>
      <w:r w:rsidR="005F50D7">
        <w:rPr>
          <w:sz w:val="24"/>
        </w:rPr>
        <w:t xml:space="preserve"> have been issued by CMS (77 FR 53968) and ONC (77 FR 72985) to create a Stage 2 of meaningful use criter</w:t>
      </w:r>
      <w:r w:rsidR="000C24E4">
        <w:rPr>
          <w:sz w:val="24"/>
        </w:rPr>
        <w:t xml:space="preserve">ia and other changes </w:t>
      </w:r>
      <w:r w:rsidR="000C24E4">
        <w:rPr>
          <w:sz w:val="24"/>
        </w:rPr>
        <w:lastRenderedPageBreak/>
        <w:t xml:space="preserve">to the Medicare and Medicaid </w:t>
      </w:r>
      <w:r w:rsidR="003A2F1A">
        <w:rPr>
          <w:sz w:val="24"/>
        </w:rPr>
        <w:t>P</w:t>
      </w:r>
      <w:r w:rsidR="000C24E4">
        <w:rPr>
          <w:sz w:val="24"/>
        </w:rPr>
        <w:t xml:space="preserve">romoting </w:t>
      </w:r>
      <w:r w:rsidR="003A2F1A">
        <w:rPr>
          <w:sz w:val="24"/>
        </w:rPr>
        <w:t>I</w:t>
      </w:r>
      <w:r w:rsidR="000C24E4">
        <w:rPr>
          <w:sz w:val="24"/>
        </w:rPr>
        <w:t>nteroperability</w:t>
      </w:r>
      <w:r w:rsidR="003A2F1A">
        <w:rPr>
          <w:sz w:val="24"/>
        </w:rPr>
        <w:t xml:space="preserve"> Program</w:t>
      </w:r>
      <w:r w:rsidR="000C24E4">
        <w:rPr>
          <w:sz w:val="24"/>
        </w:rPr>
        <w:t>s</w:t>
      </w:r>
      <w:r w:rsidR="003A2F1A">
        <w:rPr>
          <w:sz w:val="24"/>
        </w:rPr>
        <w:t xml:space="preserve"> (formerly known as the </w:t>
      </w:r>
      <w:r w:rsidR="005F50D7">
        <w:rPr>
          <w:sz w:val="24"/>
        </w:rPr>
        <w:t>EHR Incentive Program</w:t>
      </w:r>
      <w:r w:rsidR="00386BE5">
        <w:rPr>
          <w:sz w:val="24"/>
        </w:rPr>
        <w:t>)</w:t>
      </w:r>
      <w:r w:rsidR="005F50D7">
        <w:rPr>
          <w:sz w:val="24"/>
        </w:rPr>
        <w:t xml:space="preserve"> and the 2014 Edition Certification Criteria for EHR technology. </w:t>
      </w:r>
      <w:r w:rsidR="008043DC">
        <w:rPr>
          <w:sz w:val="24"/>
        </w:rPr>
        <w:t xml:space="preserve"> This ICR previously consisted of stage 1 and stage 2 however stage 1 has been completed.</w:t>
      </w:r>
      <w:r w:rsidR="00707396" w:rsidRPr="00707396">
        <w:rPr>
          <w:sz w:val="24"/>
        </w:rPr>
        <w:t xml:space="preserve"> </w:t>
      </w:r>
      <w:r w:rsidR="00707396">
        <w:rPr>
          <w:sz w:val="24"/>
        </w:rPr>
        <w:t xml:space="preserve">The requirements were revised in 80 FR 62762, </w:t>
      </w:r>
      <w:r w:rsidR="00707396" w:rsidRPr="00E3465A">
        <w:rPr>
          <w:sz w:val="24"/>
        </w:rPr>
        <w:t>Medicare and Medicaid Programs; Electronic Health Recor</w:t>
      </w:r>
      <w:r w:rsidR="00707396">
        <w:rPr>
          <w:sz w:val="24"/>
        </w:rPr>
        <w:t>d Incentive Program; Final Rule and the</w:t>
      </w:r>
      <w:r w:rsidR="00707396" w:rsidRPr="005F50D7">
        <w:rPr>
          <w:sz w:val="24"/>
        </w:rPr>
        <w:t xml:space="preserve"> Medicare and Medicaid Programs; Electronic Health Record Incentive Program</w:t>
      </w:r>
      <w:r w:rsidR="00707396">
        <w:rPr>
          <w:sz w:val="24"/>
        </w:rPr>
        <w:t xml:space="preserve">-Stage 3 and Modifications to Meaningful Use in 2015 through 2017.  With the passage of the Medicare Access and CHIP Reauthorization Act of 2015 and implemented through 81 FR 77008-77831 the Medicare EHR Incentive Program for eligible professionals was replaced by the Quality Payment Program starting in 2017. </w:t>
      </w:r>
    </w:p>
    <w:p w14:paraId="21131FAA" w14:textId="240A695B" w:rsidR="00012EB3" w:rsidRPr="00012EB3" w:rsidRDefault="00012EB3" w:rsidP="00DC186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5B292D9" w14:textId="77777777" w:rsidR="000344C8" w:rsidRPr="00012EB3" w:rsidRDefault="000344C8" w:rsidP="00012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B883B8" w14:textId="77777777" w:rsidR="000344C8" w:rsidRDefault="000344C8" w:rsidP="000344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14:paraId="67A21178" w14:textId="77777777" w:rsidR="000344C8" w:rsidRDefault="000344C8" w:rsidP="000344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850A73" w14:textId="77777777" w:rsidR="000344C8" w:rsidRDefault="000344C8" w:rsidP="000344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1 .</w:t>
      </w:r>
      <w:r>
        <w:rPr>
          <w:sz w:val="24"/>
        </w:rPr>
        <w:tab/>
      </w:r>
      <w:r>
        <w:rPr>
          <w:sz w:val="24"/>
          <w:u w:val="single"/>
        </w:rPr>
        <w:t>Need and Legal Basis</w:t>
      </w:r>
    </w:p>
    <w:p w14:paraId="3DEEC029" w14:textId="77777777" w:rsidR="009F0B32" w:rsidRDefault="009F0B32" w:rsidP="000344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0B4EAB55" w14:textId="75849102" w:rsidR="009F0B32" w:rsidRDefault="009F0B32" w:rsidP="009F0B32">
      <w:pPr>
        <w:pStyle w:val="BodyText"/>
        <w:spacing w:before="69"/>
        <w:ind w:left="0" w:right="123"/>
      </w:pPr>
      <w:r>
        <w:t>This information collection serves to implement the HITECH Act. Eligible pro</w:t>
      </w:r>
      <w:r w:rsidR="0076330D">
        <w:t>fessionals</w:t>
      </w:r>
      <w:r>
        <w:t xml:space="preserve">, eligible hospitals and CAHs submit information to successfully demonstrate meaningful use in order receive an incentive payment in the Medicaid Promoting Interoperability Program (formerly the Medicaid EHR Incentive Program) or avoid a </w:t>
      </w:r>
      <w:r w:rsidR="00707396">
        <w:t xml:space="preserve">downward </w:t>
      </w:r>
      <w:r>
        <w:t xml:space="preserve">payment </w:t>
      </w:r>
      <w:r w:rsidR="00707396">
        <w:t>a</w:t>
      </w:r>
      <w:r>
        <w:t>djustment in the Medicare Promoting Interoperability Program (formerly the Medicare EHR Incentive Program). They must submit information on 8 objectives and their associated measures and on clinical quality measures.</w:t>
      </w:r>
    </w:p>
    <w:p w14:paraId="640F8576" w14:textId="4EF0C429" w:rsidR="009F0B32" w:rsidRDefault="009F0B32" w:rsidP="009F0B32">
      <w:pPr>
        <w:pStyle w:val="BodyText"/>
        <w:spacing w:before="69"/>
        <w:ind w:left="0" w:right="123"/>
      </w:pPr>
      <w:r>
        <w:t>As noted above eligible pro</w:t>
      </w:r>
      <w:r w:rsidR="0076330D">
        <w:t>fessionals</w:t>
      </w:r>
      <w:r>
        <w:t xml:space="preserve"> no longer participate in the Medicare Promoting Interoperability Program and </w:t>
      </w:r>
      <w:r w:rsidR="0076330D">
        <w:t xml:space="preserve">the program </w:t>
      </w:r>
      <w:r>
        <w:t xml:space="preserve">was sunset back in CY 2017. In the 2018 Inpatient Prospective Payment System (IPPS) final rule we </w:t>
      </w:r>
      <w:r w:rsidR="00361E96">
        <w:t xml:space="preserve">enabled </w:t>
      </w:r>
      <w:r>
        <w:t>eligible hospital</w:t>
      </w:r>
      <w:r w:rsidR="00361E96">
        <w:t>s</w:t>
      </w:r>
      <w:r>
        <w:t xml:space="preserve"> </w:t>
      </w:r>
      <w:r w:rsidR="00361E96">
        <w:t xml:space="preserve">and </w:t>
      </w:r>
      <w:r>
        <w:t>CAH</w:t>
      </w:r>
      <w:r w:rsidR="00E47326">
        <w:t>s</w:t>
      </w:r>
      <w:r>
        <w:t xml:space="preserve"> in Medicare or an eligible hospital, or EP in Medicaid to attest to Modified Stage 2 </w:t>
      </w:r>
      <w:r w:rsidR="00707396">
        <w:t xml:space="preserve">or Stage 3 </w:t>
      </w:r>
      <w:r>
        <w:t xml:space="preserve">in CY 2018 to allow for greater flexibility. </w:t>
      </w:r>
    </w:p>
    <w:p w14:paraId="427FF8CD" w14:textId="77777777" w:rsidR="009F0B32" w:rsidRDefault="009F0B32" w:rsidP="009F0B32">
      <w:pPr>
        <w:pStyle w:val="BodyText"/>
        <w:spacing w:before="69"/>
        <w:ind w:left="0" w:right="123"/>
      </w:pPr>
    </w:p>
    <w:p w14:paraId="4278B0C1" w14:textId="2C97E5F6" w:rsidR="009F0B32" w:rsidRDefault="009F0B32" w:rsidP="009F0B32">
      <w:pPr>
        <w:pStyle w:val="BodyText"/>
        <w:spacing w:before="69"/>
        <w:ind w:left="0" w:right="123"/>
      </w:pPr>
      <w:r>
        <w:t>According to the HITECH Act of 2009 we have to have some mean</w:t>
      </w:r>
      <w:r w:rsidR="00707396">
        <w:t>s</w:t>
      </w:r>
      <w:r>
        <w:t xml:space="preserve"> to collect data from these participants and we have used attestation as the way to do so. As a result we have developed objectives and measures as the tool to collect data and have the healthcare providers attest that they have met the requirements of the Medicare and Medicaid Promoting Interoperability Programs. </w:t>
      </w:r>
    </w:p>
    <w:p w14:paraId="2B21C59D" w14:textId="77777777" w:rsidR="009F0B32" w:rsidRDefault="009F0B32" w:rsidP="000344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9A6E84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DD595F" w14:textId="77777777" w:rsidR="0022232A" w:rsidRDefault="002223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5BA817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14:paraId="7F053E4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733A674" w14:textId="710E516F" w:rsidR="00C83D81" w:rsidRDefault="007007DA" w:rsidP="00C83D81">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sidRPr="00DD2203">
        <w:rPr>
          <w:color w:val="000000"/>
          <w:sz w:val="24"/>
        </w:rPr>
        <w:t xml:space="preserve">The information collection requirements described herein are needed to implement the HITECH Act.  </w:t>
      </w:r>
      <w:r w:rsidR="00813630">
        <w:rPr>
          <w:sz w:val="24"/>
        </w:rPr>
        <w:t>In order to avoid duplicate payments, a</w:t>
      </w:r>
      <w:r w:rsidR="00C83D81" w:rsidRPr="00B1703C">
        <w:rPr>
          <w:sz w:val="24"/>
        </w:rPr>
        <w:t xml:space="preserve">ll </w:t>
      </w:r>
      <w:r w:rsidR="00707396">
        <w:rPr>
          <w:sz w:val="24"/>
        </w:rPr>
        <w:t xml:space="preserve">Medicaid </w:t>
      </w:r>
      <w:r w:rsidR="00C83D81" w:rsidRPr="00B1703C">
        <w:rPr>
          <w:sz w:val="24"/>
        </w:rPr>
        <w:t>EPs are enumerated through the</w:t>
      </w:r>
      <w:r w:rsidR="00B26F63">
        <w:rPr>
          <w:sz w:val="24"/>
        </w:rPr>
        <w:t>ir</w:t>
      </w:r>
      <w:r w:rsidR="00C83D81" w:rsidRPr="00B1703C">
        <w:rPr>
          <w:sz w:val="24"/>
        </w:rPr>
        <w:t xml:space="preserve"> NPI</w:t>
      </w:r>
      <w:r w:rsidR="00E3561B">
        <w:rPr>
          <w:sz w:val="24"/>
        </w:rPr>
        <w:t>, while</w:t>
      </w:r>
      <w:r w:rsidR="00C83D81" w:rsidRPr="00B1703C">
        <w:rPr>
          <w:sz w:val="24"/>
        </w:rPr>
        <w:t xml:space="preserve"> </w:t>
      </w:r>
      <w:r w:rsidR="00C83D81">
        <w:rPr>
          <w:sz w:val="24"/>
        </w:rPr>
        <w:t xml:space="preserve">all eligible hospitals and CAHs </w:t>
      </w:r>
      <w:r w:rsidR="004C2B2A">
        <w:rPr>
          <w:sz w:val="24"/>
        </w:rPr>
        <w:t>are</w:t>
      </w:r>
      <w:r w:rsidR="00E3561B">
        <w:rPr>
          <w:sz w:val="24"/>
        </w:rPr>
        <w:t xml:space="preserve"> </w:t>
      </w:r>
      <w:r w:rsidR="00C83D81">
        <w:rPr>
          <w:sz w:val="24"/>
        </w:rPr>
        <w:t>enumerated through the</w:t>
      </w:r>
      <w:r w:rsidR="00B26F63">
        <w:rPr>
          <w:sz w:val="24"/>
        </w:rPr>
        <w:t>ir</w:t>
      </w:r>
      <w:r w:rsidR="00C83D81">
        <w:rPr>
          <w:sz w:val="24"/>
        </w:rPr>
        <w:t xml:space="preserve"> </w:t>
      </w:r>
      <w:r w:rsidR="00C83D81" w:rsidRPr="00BD7891">
        <w:rPr>
          <w:sz w:val="24"/>
        </w:rPr>
        <w:t>CCN</w:t>
      </w:r>
      <w:r w:rsidR="00813630">
        <w:rPr>
          <w:sz w:val="24"/>
        </w:rPr>
        <w:t xml:space="preserve">. State Medicaid agencies and CMS </w:t>
      </w:r>
      <w:r w:rsidR="004C2B2A">
        <w:rPr>
          <w:sz w:val="24"/>
        </w:rPr>
        <w:t>uses</w:t>
      </w:r>
      <w:r w:rsidR="00813630">
        <w:rPr>
          <w:sz w:val="24"/>
        </w:rPr>
        <w:t xml:space="preserve"> the </w:t>
      </w:r>
      <w:r w:rsidR="00707396">
        <w:rPr>
          <w:sz w:val="24"/>
        </w:rPr>
        <w:t xml:space="preserve">health care </w:t>
      </w:r>
      <w:r w:rsidR="00813630">
        <w:rPr>
          <w:sz w:val="24"/>
        </w:rPr>
        <w:t>provider’s TIN and NPI or CCN combination</w:t>
      </w:r>
      <w:r w:rsidR="00C83D81" w:rsidRPr="00B1703C">
        <w:rPr>
          <w:sz w:val="24"/>
        </w:rPr>
        <w:t xml:space="preserve"> in order to </w:t>
      </w:r>
      <w:r w:rsidR="00C83D81">
        <w:rPr>
          <w:sz w:val="24"/>
        </w:rPr>
        <w:t>make payment, validate payment eligibility</w:t>
      </w:r>
      <w:r w:rsidR="00105493">
        <w:rPr>
          <w:sz w:val="24"/>
        </w:rPr>
        <w:t xml:space="preserve"> and detect and prevent duplicate payments for EPs, eligible hospitals and CAHs. </w:t>
      </w:r>
      <w:r w:rsidR="005917E4">
        <w:rPr>
          <w:sz w:val="24"/>
        </w:rPr>
        <w:t xml:space="preserve">We are using this the information collected in order to make payments for </w:t>
      </w:r>
      <w:r w:rsidR="005917E4">
        <w:rPr>
          <w:sz w:val="24"/>
        </w:rPr>
        <w:lastRenderedPageBreak/>
        <w:t xml:space="preserve">EPs in the Medicaid </w:t>
      </w:r>
      <w:r w:rsidR="000C24E4">
        <w:rPr>
          <w:sz w:val="24"/>
        </w:rPr>
        <w:t>Promoting Interoperability</w:t>
      </w:r>
      <w:r w:rsidR="005917E4">
        <w:rPr>
          <w:sz w:val="24"/>
        </w:rPr>
        <w:t xml:space="preserve"> Program</w:t>
      </w:r>
      <w:r w:rsidR="003A2F1A">
        <w:rPr>
          <w:sz w:val="24"/>
        </w:rPr>
        <w:t xml:space="preserve"> (formerly known as the Medicaid EHR Incentive Program)</w:t>
      </w:r>
      <w:r w:rsidR="00707396">
        <w:rPr>
          <w:sz w:val="24"/>
        </w:rPr>
        <w:t>a</w:t>
      </w:r>
      <w:r w:rsidR="005917E4">
        <w:rPr>
          <w:sz w:val="24"/>
        </w:rPr>
        <w:t xml:space="preserve">s well as provide incentive payments to eligible hospitals in Puerto Rico as well as payment adjust eligible hospitals and CAHs in the Medicare </w:t>
      </w:r>
      <w:r w:rsidR="000C24E4">
        <w:rPr>
          <w:sz w:val="24"/>
        </w:rPr>
        <w:t>Promoting Interoperability</w:t>
      </w:r>
      <w:r w:rsidR="005917E4">
        <w:rPr>
          <w:sz w:val="24"/>
        </w:rPr>
        <w:t xml:space="preserve"> Program </w:t>
      </w:r>
      <w:r w:rsidR="003A2F1A">
        <w:rPr>
          <w:sz w:val="24"/>
        </w:rPr>
        <w:t xml:space="preserve">(formerly known as the Medicare EHR Incentive Program) </w:t>
      </w:r>
      <w:r w:rsidR="005917E4">
        <w:rPr>
          <w:sz w:val="24"/>
        </w:rPr>
        <w:t xml:space="preserve">who are not considered to be a meaningful </w:t>
      </w:r>
      <w:r w:rsidR="00707396">
        <w:rPr>
          <w:sz w:val="24"/>
        </w:rPr>
        <w:t>user</w:t>
      </w:r>
      <w:r w:rsidR="005917E4">
        <w:rPr>
          <w:sz w:val="24"/>
        </w:rPr>
        <w:t xml:space="preserve"> of EHR technology. </w:t>
      </w:r>
    </w:p>
    <w:p w14:paraId="6385767F" w14:textId="77777777" w:rsidR="00C83D81" w:rsidRDefault="00C83D81" w:rsidP="00DD2203">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14:paraId="121FD57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3.</w:t>
      </w:r>
      <w:r>
        <w:rPr>
          <w:sz w:val="24"/>
        </w:rPr>
        <w:tab/>
      </w:r>
      <w:r>
        <w:rPr>
          <w:sz w:val="24"/>
          <w:u w:val="single"/>
        </w:rPr>
        <w:t>Use of Information Technology</w:t>
      </w:r>
    </w:p>
    <w:p w14:paraId="6A4DA660" w14:textId="77777777" w:rsidR="00BE6065" w:rsidRDefault="00BE6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3FF490C9" w14:textId="2836C368" w:rsidR="00430FB7" w:rsidRPr="00B1703C" w:rsidRDefault="00BE2BE7" w:rsidP="00430FB7">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All t</w:t>
      </w:r>
      <w:r w:rsidR="00DF26D5">
        <w:rPr>
          <w:sz w:val="24"/>
        </w:rPr>
        <w:t xml:space="preserve">he </w:t>
      </w:r>
      <w:r>
        <w:rPr>
          <w:sz w:val="24"/>
        </w:rPr>
        <w:t xml:space="preserve">proposed </w:t>
      </w:r>
      <w:r w:rsidR="00DF26D5">
        <w:rPr>
          <w:sz w:val="24"/>
        </w:rPr>
        <w:t>information</w:t>
      </w:r>
      <w:r>
        <w:rPr>
          <w:sz w:val="24"/>
        </w:rPr>
        <w:t xml:space="preserve"> collection</w:t>
      </w:r>
      <w:r w:rsidR="00DF26D5">
        <w:rPr>
          <w:sz w:val="24"/>
        </w:rPr>
        <w:t xml:space="preserve"> described in this form </w:t>
      </w:r>
      <w:r w:rsidR="004C2B2A">
        <w:rPr>
          <w:sz w:val="24"/>
        </w:rPr>
        <w:t xml:space="preserve">is </w:t>
      </w:r>
      <w:r w:rsidR="00DF26D5">
        <w:rPr>
          <w:sz w:val="24"/>
        </w:rPr>
        <w:t xml:space="preserve">be </w:t>
      </w:r>
      <w:r w:rsidR="00430FB7">
        <w:rPr>
          <w:sz w:val="24"/>
        </w:rPr>
        <w:t xml:space="preserve">done </w:t>
      </w:r>
      <w:r w:rsidR="00DF26D5">
        <w:rPr>
          <w:sz w:val="24"/>
        </w:rPr>
        <w:t>electronic</w:t>
      </w:r>
      <w:r w:rsidR="00430FB7">
        <w:rPr>
          <w:sz w:val="24"/>
        </w:rPr>
        <w:t>ally</w:t>
      </w:r>
      <w:r w:rsidR="004C2B2A">
        <w:rPr>
          <w:sz w:val="24"/>
        </w:rPr>
        <w:t xml:space="preserve">. </w:t>
      </w:r>
      <w:r w:rsidR="00430FB7">
        <w:rPr>
          <w:sz w:val="24"/>
        </w:rPr>
        <w:t>EPs,</w:t>
      </w:r>
      <w:r w:rsidR="008067CC">
        <w:rPr>
          <w:sz w:val="24"/>
        </w:rPr>
        <w:t xml:space="preserve"> eligible hospitals </w:t>
      </w:r>
      <w:r w:rsidR="00557E3F">
        <w:rPr>
          <w:sz w:val="24"/>
        </w:rPr>
        <w:t xml:space="preserve">and CAHs </w:t>
      </w:r>
      <w:r w:rsidR="004C2B2A">
        <w:rPr>
          <w:sz w:val="24"/>
        </w:rPr>
        <w:t>use</w:t>
      </w:r>
      <w:r w:rsidR="008067CC">
        <w:rPr>
          <w:sz w:val="24"/>
        </w:rPr>
        <w:t xml:space="preserve"> the </w:t>
      </w:r>
      <w:r w:rsidR="00557E3F">
        <w:rPr>
          <w:sz w:val="24"/>
        </w:rPr>
        <w:t xml:space="preserve">existing </w:t>
      </w:r>
      <w:r w:rsidR="00DF26D5">
        <w:rPr>
          <w:sz w:val="24"/>
        </w:rPr>
        <w:t xml:space="preserve">CMS </w:t>
      </w:r>
      <w:r w:rsidR="00557E3F">
        <w:rPr>
          <w:sz w:val="24"/>
        </w:rPr>
        <w:t xml:space="preserve">(electronic) </w:t>
      </w:r>
      <w:r w:rsidR="00DF26D5">
        <w:rPr>
          <w:sz w:val="24"/>
        </w:rPr>
        <w:t xml:space="preserve">National Plan and Provider Enumeration System </w:t>
      </w:r>
      <w:r w:rsidR="00276833">
        <w:rPr>
          <w:sz w:val="24"/>
        </w:rPr>
        <w:t xml:space="preserve">(NPPES) </w:t>
      </w:r>
      <w:r w:rsidR="00DF26D5">
        <w:rPr>
          <w:sz w:val="24"/>
        </w:rPr>
        <w:t>to regist</w:t>
      </w:r>
      <w:r w:rsidR="00BC1BC6">
        <w:rPr>
          <w:sz w:val="24"/>
        </w:rPr>
        <w:t>er</w:t>
      </w:r>
      <w:r w:rsidR="00430FB7">
        <w:rPr>
          <w:sz w:val="24"/>
        </w:rPr>
        <w:t>,</w:t>
      </w:r>
      <w:r w:rsidR="00276833">
        <w:rPr>
          <w:sz w:val="24"/>
        </w:rPr>
        <w:t xml:space="preserve"> through a secure mechanism in a manner specified by CMS</w:t>
      </w:r>
      <w:r w:rsidR="00430FB7">
        <w:rPr>
          <w:sz w:val="24"/>
        </w:rPr>
        <w:t xml:space="preserve">, for participating in the </w:t>
      </w:r>
      <w:r w:rsidR="000C24E4">
        <w:rPr>
          <w:sz w:val="24"/>
        </w:rPr>
        <w:t>Promoting Interoperability</w:t>
      </w:r>
      <w:r w:rsidR="00430FB7">
        <w:rPr>
          <w:sz w:val="24"/>
        </w:rPr>
        <w:t xml:space="preserve"> </w:t>
      </w:r>
      <w:r w:rsidR="00965D53">
        <w:rPr>
          <w:sz w:val="24"/>
        </w:rPr>
        <w:t>P</w:t>
      </w:r>
      <w:r w:rsidR="004C2B2A">
        <w:rPr>
          <w:sz w:val="24"/>
        </w:rPr>
        <w:t>rogram</w:t>
      </w:r>
      <w:r w:rsidR="003A2F1A">
        <w:rPr>
          <w:sz w:val="24"/>
        </w:rPr>
        <w:t xml:space="preserve"> (formerly known as the EHR Incentive Program)</w:t>
      </w:r>
      <w:r w:rsidR="004C2B2A">
        <w:rPr>
          <w:sz w:val="24"/>
        </w:rPr>
        <w:t xml:space="preserve">. </w:t>
      </w:r>
      <w:r w:rsidR="00430FB7">
        <w:rPr>
          <w:sz w:val="24"/>
        </w:rPr>
        <w:t xml:space="preserve">CMS </w:t>
      </w:r>
      <w:r w:rsidR="004C2B2A">
        <w:rPr>
          <w:sz w:val="24"/>
        </w:rPr>
        <w:t>uses</w:t>
      </w:r>
      <w:r w:rsidR="00430FB7">
        <w:rPr>
          <w:sz w:val="24"/>
        </w:rPr>
        <w:t xml:space="preserve"> the existing </w:t>
      </w:r>
      <w:r w:rsidR="00557E3F">
        <w:rPr>
          <w:sz w:val="24"/>
        </w:rPr>
        <w:t xml:space="preserve">(electronic) </w:t>
      </w:r>
      <w:r w:rsidR="00430FB7">
        <w:rPr>
          <w:sz w:val="24"/>
        </w:rPr>
        <w:t xml:space="preserve">Provider Enrollment and Chain Ownership System (PECOS) to validate </w:t>
      </w:r>
      <w:r w:rsidR="00F65B04">
        <w:rPr>
          <w:sz w:val="24"/>
        </w:rPr>
        <w:t>eligible hospital and CAH</w:t>
      </w:r>
      <w:r w:rsidR="00B932B5">
        <w:rPr>
          <w:sz w:val="24"/>
        </w:rPr>
        <w:t xml:space="preserve"> </w:t>
      </w:r>
      <w:r w:rsidR="00430FB7">
        <w:rPr>
          <w:sz w:val="24"/>
        </w:rPr>
        <w:t>eligibility and attestation data</w:t>
      </w:r>
      <w:r w:rsidR="00AA0389">
        <w:rPr>
          <w:sz w:val="24"/>
        </w:rPr>
        <w:t xml:space="preserve"> and also Medicaid hospital enumeration and national eligibility</w:t>
      </w:r>
      <w:r w:rsidR="00430FB7">
        <w:rPr>
          <w:sz w:val="24"/>
        </w:rPr>
        <w:t xml:space="preserve">. The data collected </w:t>
      </w:r>
      <w:r w:rsidR="004C2B2A">
        <w:rPr>
          <w:sz w:val="24"/>
        </w:rPr>
        <w:t>feeds</w:t>
      </w:r>
      <w:r w:rsidR="00430FB7">
        <w:rPr>
          <w:sz w:val="24"/>
        </w:rPr>
        <w:t xml:space="preserve"> into </w:t>
      </w:r>
      <w:r w:rsidR="00C4784B">
        <w:rPr>
          <w:sz w:val="24"/>
        </w:rPr>
        <w:t>quality net</w:t>
      </w:r>
      <w:r w:rsidR="00430FB7">
        <w:rPr>
          <w:sz w:val="24"/>
        </w:rPr>
        <w:t xml:space="preserve"> </w:t>
      </w:r>
      <w:r w:rsidR="00C4784B">
        <w:rPr>
          <w:sz w:val="24"/>
        </w:rPr>
        <w:t xml:space="preserve">(QNET) </w:t>
      </w:r>
      <w:r w:rsidR="00430FB7">
        <w:rPr>
          <w:sz w:val="24"/>
        </w:rPr>
        <w:t xml:space="preserve">to process payments, track/avoid duplicate payments, and exchange payment information with the States.   </w:t>
      </w:r>
    </w:p>
    <w:p w14:paraId="246335AE" w14:textId="77777777" w:rsidR="00430FB7" w:rsidRDefault="00430FB7" w:rsidP="00430F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D0F12B4" w14:textId="1AB14EA7" w:rsidR="00642A37" w:rsidRPr="00B1703C" w:rsidRDefault="00435AC2" w:rsidP="00642A37">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Respondents are</w:t>
      </w:r>
      <w:r w:rsidR="00E1519B">
        <w:rPr>
          <w:sz w:val="24"/>
        </w:rPr>
        <w:t xml:space="preserve"> required to attest that the information provided</w:t>
      </w:r>
      <w:r w:rsidR="00DA1892">
        <w:rPr>
          <w:sz w:val="24"/>
        </w:rPr>
        <w:t xml:space="preserve"> and captured by </w:t>
      </w:r>
      <w:r w:rsidR="00C4784B">
        <w:rPr>
          <w:sz w:val="24"/>
        </w:rPr>
        <w:t xml:space="preserve">(QNET)  </w:t>
      </w:r>
      <w:r w:rsidR="00DA1892">
        <w:rPr>
          <w:sz w:val="24"/>
        </w:rPr>
        <w:t>is not false</w:t>
      </w:r>
      <w:r w:rsidR="00642A37">
        <w:rPr>
          <w:sz w:val="24"/>
        </w:rPr>
        <w:t>.</w:t>
      </w:r>
      <w:r>
        <w:rPr>
          <w:sz w:val="24"/>
        </w:rPr>
        <w:t xml:space="preserve"> Identify is verified by using the NPPES log-in credentials of the provider or an individual designated by a provider to act on their behalf. </w:t>
      </w:r>
    </w:p>
    <w:p w14:paraId="164D499A" w14:textId="77777777" w:rsidR="00B66474" w:rsidRDefault="00B664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E0D53F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14:paraId="505BEFD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20D10A0" w14:textId="397EC3E7" w:rsidR="00BE6065" w:rsidRPr="00BE6065" w:rsidRDefault="00BE6065" w:rsidP="00BE6065">
      <w:pPr>
        <w:rPr>
          <w:sz w:val="24"/>
        </w:rPr>
      </w:pPr>
      <w:r w:rsidRPr="00BE6065">
        <w:rPr>
          <w:sz w:val="24"/>
        </w:rPr>
        <w:t>This is not a duplicative collection of information</w:t>
      </w:r>
      <w:r w:rsidR="005917E4">
        <w:rPr>
          <w:sz w:val="24"/>
        </w:rPr>
        <w:t xml:space="preserve"> and n</w:t>
      </w:r>
      <w:r w:rsidRPr="00BE6065">
        <w:rPr>
          <w:sz w:val="24"/>
        </w:rPr>
        <w:t>o other collections can substitute for this.</w:t>
      </w:r>
      <w:r w:rsidR="002C2BDF">
        <w:rPr>
          <w:sz w:val="24"/>
        </w:rPr>
        <w:t xml:space="preserve"> Where possible, we leverage existing systems, including PECOS and NPPES.</w:t>
      </w:r>
      <w:r w:rsidR="005917E4">
        <w:rPr>
          <w:sz w:val="24"/>
        </w:rPr>
        <w:t xml:space="preserve"> We are also utilizing Quality Net (QNET) to collect data but this data is unique to the Medicare </w:t>
      </w:r>
      <w:r w:rsidR="00C4784B">
        <w:rPr>
          <w:sz w:val="24"/>
        </w:rPr>
        <w:t xml:space="preserve">Promoting Interoperability </w:t>
      </w:r>
      <w:r w:rsidR="005917E4">
        <w:rPr>
          <w:sz w:val="24"/>
        </w:rPr>
        <w:t>Program</w:t>
      </w:r>
      <w:r w:rsidR="00C4784B">
        <w:rPr>
          <w:sz w:val="24"/>
        </w:rPr>
        <w:t xml:space="preserve">. The </w:t>
      </w:r>
      <w:r w:rsidR="000C24E4">
        <w:rPr>
          <w:sz w:val="24"/>
        </w:rPr>
        <w:t>National Level Repository (</w:t>
      </w:r>
      <w:r w:rsidR="00C4784B">
        <w:rPr>
          <w:sz w:val="24"/>
        </w:rPr>
        <w:t>NLR</w:t>
      </w:r>
      <w:r w:rsidR="000C24E4">
        <w:rPr>
          <w:sz w:val="24"/>
        </w:rPr>
        <w:t>)</w:t>
      </w:r>
      <w:r w:rsidR="00C4784B">
        <w:rPr>
          <w:sz w:val="24"/>
        </w:rPr>
        <w:t xml:space="preserve"> collects data for</w:t>
      </w:r>
      <w:r w:rsidR="005917E4">
        <w:rPr>
          <w:sz w:val="24"/>
        </w:rPr>
        <w:t xml:space="preserve"> the Medicaid </w:t>
      </w:r>
      <w:r w:rsidR="00C4784B">
        <w:rPr>
          <w:sz w:val="24"/>
        </w:rPr>
        <w:t xml:space="preserve">Promoting Interoperability </w:t>
      </w:r>
      <w:r w:rsidR="005917E4">
        <w:rPr>
          <w:sz w:val="24"/>
        </w:rPr>
        <w:t>Program</w:t>
      </w:r>
      <w:r w:rsidR="00C4784B">
        <w:rPr>
          <w:sz w:val="24"/>
        </w:rPr>
        <w:t xml:space="preserve">. </w:t>
      </w:r>
    </w:p>
    <w:p w14:paraId="7A43BE3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E41F3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14:paraId="318E4A7D" w14:textId="77777777" w:rsidR="00571BDF" w:rsidRDefault="00571BDF" w:rsidP="00571BD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ACC5828" w14:textId="523F0F7F" w:rsidR="005917E4" w:rsidRDefault="005917E4" w:rsidP="005917E4">
      <w:pPr>
        <w:pStyle w:val="BodyText"/>
        <w:spacing w:before="69"/>
        <w:ind w:left="0" w:right="768"/>
      </w:pPr>
      <w:r>
        <w:t>The only small businesses affected by this effort will be those small</w:t>
      </w:r>
      <w:r>
        <w:rPr>
          <w:spacing w:val="-12"/>
        </w:rPr>
        <w:t xml:space="preserve"> </w:t>
      </w:r>
      <w:r>
        <w:t>or medium-sized physician practices, eligible hospitals, and CAHs (&lt;=</w:t>
      </w:r>
      <w:r>
        <w:rPr>
          <w:spacing w:val="-12"/>
        </w:rPr>
        <w:t xml:space="preserve"> </w:t>
      </w:r>
      <w:r>
        <w:t xml:space="preserve">20 providers) that participate in the Medicare and Medicaid </w:t>
      </w:r>
      <w:r w:rsidR="003A2F1A">
        <w:t>PI</w:t>
      </w:r>
      <w:r>
        <w:t xml:space="preserve"> Programs</w:t>
      </w:r>
      <w:r w:rsidR="003A2F1A">
        <w:t xml:space="preserve"> (formerly known as the Medicare and Medicaid EHR Incentive Program)</w:t>
      </w:r>
      <w:r>
        <w:t>.  Ninety-nine percent of all hospitals have adopted EHRs, whereas about 77% of all of EPs have adopted EHRs.</w:t>
      </w:r>
      <w:r w:rsidRPr="007A34BE">
        <w:t xml:space="preserve"> </w:t>
      </w:r>
      <w:r>
        <w:t xml:space="preserve">We have minimized the impact on these entities by allowing all healthcare providers to apply for a significant hardship exception by meeting certain requirements. This will help to minimize the impact on healthcare providers who are unable to meet the requirements. Please note each hardship is reviewed on a case by case basis. </w:t>
      </w:r>
    </w:p>
    <w:p w14:paraId="4C5EB99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902C57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14:paraId="2A5F8BB4" w14:textId="77777777" w:rsidR="00571BDF" w:rsidRDefault="00571BDF" w:rsidP="00571BD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E7F47D1" w14:textId="5857B197" w:rsidR="00BC1BC6" w:rsidRDefault="00AA0389" w:rsidP="00BC1BC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szCs w:val="24"/>
        </w:rPr>
        <w:t>With respect to Medicare, r</w:t>
      </w:r>
      <w:r w:rsidR="00BC1BC6">
        <w:rPr>
          <w:szCs w:val="24"/>
        </w:rPr>
        <w:t xml:space="preserve">egistration </w:t>
      </w:r>
      <w:r w:rsidR="00BC1BC6" w:rsidRPr="00BC1BC6">
        <w:rPr>
          <w:szCs w:val="24"/>
        </w:rPr>
        <w:t xml:space="preserve">information </w:t>
      </w:r>
      <w:r w:rsidR="00BC1BC6">
        <w:rPr>
          <w:szCs w:val="24"/>
        </w:rPr>
        <w:t xml:space="preserve">collection </w:t>
      </w:r>
      <w:r w:rsidR="00BC1BC6" w:rsidRPr="00BC1BC6">
        <w:rPr>
          <w:szCs w:val="24"/>
        </w:rPr>
        <w:t xml:space="preserve">is </w:t>
      </w:r>
      <w:r w:rsidR="00BC1BC6">
        <w:rPr>
          <w:szCs w:val="24"/>
        </w:rPr>
        <w:t xml:space="preserve">voluntary for the first five years from the effective date of the final rule.  </w:t>
      </w:r>
      <w:r w:rsidR="00707396">
        <w:rPr>
          <w:szCs w:val="24"/>
        </w:rPr>
        <w:t xml:space="preserve">Updates to </w:t>
      </w:r>
      <w:r w:rsidR="00FF7829">
        <w:rPr>
          <w:szCs w:val="24"/>
        </w:rPr>
        <w:t xml:space="preserve"> registration  depends on</w:t>
      </w:r>
      <w:r w:rsidR="00BC1BC6" w:rsidRPr="00BC1BC6">
        <w:rPr>
          <w:szCs w:val="24"/>
        </w:rPr>
        <w:t xml:space="preserve"> the</w:t>
      </w:r>
      <w:r w:rsidR="00FF7829">
        <w:rPr>
          <w:szCs w:val="24"/>
        </w:rPr>
        <w:t xml:space="preserve"> </w:t>
      </w:r>
      <w:r w:rsidR="00482541">
        <w:rPr>
          <w:szCs w:val="24"/>
        </w:rPr>
        <w:t xml:space="preserve"> </w:t>
      </w:r>
      <w:r w:rsidR="00FF7829">
        <w:rPr>
          <w:szCs w:val="24"/>
        </w:rPr>
        <w:t>eligible hospitals</w:t>
      </w:r>
      <w:r w:rsidR="00482541">
        <w:rPr>
          <w:szCs w:val="24"/>
        </w:rPr>
        <w:t xml:space="preserve"> and CAHs</w:t>
      </w:r>
      <w:r w:rsidR="00FF7829">
        <w:rPr>
          <w:szCs w:val="24"/>
        </w:rPr>
        <w:t>’ changing</w:t>
      </w:r>
      <w:r w:rsidR="00BC1BC6" w:rsidRPr="00BC1BC6">
        <w:rPr>
          <w:szCs w:val="24"/>
        </w:rPr>
        <w:t xml:space="preserve"> business needs, such as </w:t>
      </w:r>
      <w:r w:rsidR="009137B9">
        <w:rPr>
          <w:szCs w:val="24"/>
        </w:rPr>
        <w:t xml:space="preserve">changes in </w:t>
      </w:r>
      <w:r w:rsidR="00BC1BC6" w:rsidRPr="00BC1BC6">
        <w:rPr>
          <w:szCs w:val="24"/>
        </w:rPr>
        <w:t xml:space="preserve">their business </w:t>
      </w:r>
      <w:r w:rsidR="00FF7829">
        <w:rPr>
          <w:szCs w:val="24"/>
        </w:rPr>
        <w:t xml:space="preserve">practices, eligibility, or </w:t>
      </w:r>
      <w:r w:rsidR="003A2F1A">
        <w:rPr>
          <w:szCs w:val="24"/>
        </w:rPr>
        <w:t>the PI Program (</w:t>
      </w:r>
      <w:r w:rsidR="003A2F1A">
        <w:t>formerly known as the EHR Incentive Program</w:t>
      </w:r>
      <w:r w:rsidR="003A2F1A">
        <w:rPr>
          <w:szCs w:val="24"/>
        </w:rPr>
        <w:t xml:space="preserve">) </w:t>
      </w:r>
      <w:r w:rsidR="00BC1BC6" w:rsidRPr="00BC1BC6">
        <w:rPr>
          <w:szCs w:val="24"/>
        </w:rPr>
        <w:t xml:space="preserve">they elect to </w:t>
      </w:r>
      <w:r w:rsidR="00FF7829">
        <w:rPr>
          <w:szCs w:val="24"/>
        </w:rPr>
        <w:t>participate</w:t>
      </w:r>
      <w:r w:rsidR="00BC1BC6" w:rsidRPr="00BC1BC6">
        <w:rPr>
          <w:szCs w:val="24"/>
        </w:rPr>
        <w:t xml:space="preserve">.  </w:t>
      </w:r>
      <w:r w:rsidR="00FF7829">
        <w:rPr>
          <w:szCs w:val="24"/>
        </w:rPr>
        <w:t>E</w:t>
      </w:r>
      <w:r w:rsidR="00AA3C15">
        <w:rPr>
          <w:szCs w:val="24"/>
        </w:rPr>
        <w:t xml:space="preserve">ligible </w:t>
      </w:r>
      <w:r w:rsidR="00FF7829">
        <w:rPr>
          <w:szCs w:val="24"/>
        </w:rPr>
        <w:t>hospitals</w:t>
      </w:r>
      <w:r w:rsidR="00BC1BC6" w:rsidRPr="00BC1BC6">
        <w:rPr>
          <w:szCs w:val="24"/>
        </w:rPr>
        <w:t xml:space="preserve"> </w:t>
      </w:r>
      <w:r w:rsidR="00AA3C15">
        <w:rPr>
          <w:szCs w:val="24"/>
        </w:rPr>
        <w:t xml:space="preserve">and CAHs </w:t>
      </w:r>
      <w:r w:rsidR="00BC1BC6" w:rsidRPr="00BC1BC6">
        <w:rPr>
          <w:szCs w:val="24"/>
        </w:rPr>
        <w:t>would th</w:t>
      </w:r>
      <w:r w:rsidR="00FF7829">
        <w:rPr>
          <w:szCs w:val="24"/>
        </w:rPr>
        <w:t>en communicate such changes to CMS</w:t>
      </w:r>
      <w:r w:rsidR="009137B9">
        <w:rPr>
          <w:szCs w:val="24"/>
        </w:rPr>
        <w:t xml:space="preserve"> electronically</w:t>
      </w:r>
      <w:r w:rsidR="00BC1BC6" w:rsidRPr="00BC1BC6">
        <w:rPr>
          <w:szCs w:val="24"/>
        </w:rPr>
        <w:t xml:space="preserve">.  </w:t>
      </w:r>
      <w:r w:rsidR="00FF7829">
        <w:rPr>
          <w:szCs w:val="24"/>
        </w:rPr>
        <w:t xml:space="preserve">To implement the </w:t>
      </w:r>
      <w:r w:rsidR="00276833">
        <w:rPr>
          <w:szCs w:val="24"/>
        </w:rPr>
        <w:t xml:space="preserve">meaningful use </w:t>
      </w:r>
      <w:r w:rsidR="00FF7829">
        <w:rPr>
          <w:szCs w:val="24"/>
        </w:rPr>
        <w:t>provisions</w:t>
      </w:r>
      <w:r w:rsidR="00276833">
        <w:rPr>
          <w:szCs w:val="24"/>
        </w:rPr>
        <w:t xml:space="preserve"> of the HITECH Act</w:t>
      </w:r>
      <w:r w:rsidR="00E2515E">
        <w:rPr>
          <w:szCs w:val="24"/>
        </w:rPr>
        <w:t xml:space="preserve"> and </w:t>
      </w:r>
      <w:r w:rsidR="00707396">
        <w:rPr>
          <w:szCs w:val="24"/>
        </w:rPr>
        <w:t>avoid a negative payment adjustment</w:t>
      </w:r>
      <w:r w:rsidR="00FF7829">
        <w:rPr>
          <w:szCs w:val="24"/>
        </w:rPr>
        <w:t xml:space="preserve"> eligible hospitals </w:t>
      </w:r>
      <w:r w:rsidR="00AA3C15">
        <w:rPr>
          <w:szCs w:val="24"/>
        </w:rPr>
        <w:t xml:space="preserve">and CAHs </w:t>
      </w:r>
      <w:r w:rsidR="00FF7829">
        <w:rPr>
          <w:szCs w:val="24"/>
        </w:rPr>
        <w:t xml:space="preserve">are required to attest to </w:t>
      </w:r>
      <w:r w:rsidR="00346564">
        <w:rPr>
          <w:szCs w:val="24"/>
        </w:rPr>
        <w:t xml:space="preserve">the </w:t>
      </w:r>
      <w:r w:rsidR="00FF7829">
        <w:rPr>
          <w:szCs w:val="24"/>
        </w:rPr>
        <w:t>identif</w:t>
      </w:r>
      <w:r w:rsidR="00346564">
        <w:rPr>
          <w:szCs w:val="24"/>
        </w:rPr>
        <w:t>ication of</w:t>
      </w:r>
      <w:r w:rsidR="00FF7829">
        <w:rPr>
          <w:szCs w:val="24"/>
        </w:rPr>
        <w:t xml:space="preserve"> the certified EHR technology </w:t>
      </w:r>
      <w:r w:rsidR="009137B9">
        <w:rPr>
          <w:szCs w:val="24"/>
        </w:rPr>
        <w:t xml:space="preserve">used, </w:t>
      </w:r>
      <w:r w:rsidR="00346564">
        <w:rPr>
          <w:szCs w:val="24"/>
        </w:rPr>
        <w:t>satisfaction of the app</w:t>
      </w:r>
      <w:r w:rsidR="009137B9">
        <w:rPr>
          <w:szCs w:val="24"/>
        </w:rPr>
        <w:t>licable objectives</w:t>
      </w:r>
      <w:r w:rsidR="00692C19">
        <w:rPr>
          <w:szCs w:val="24"/>
        </w:rPr>
        <w:t xml:space="preserve"> </w:t>
      </w:r>
      <w:r w:rsidR="009137B9">
        <w:rPr>
          <w:szCs w:val="24"/>
        </w:rPr>
        <w:t xml:space="preserve">and measures, and reporting of quality measures </w:t>
      </w:r>
      <w:r w:rsidR="00346564">
        <w:rPr>
          <w:szCs w:val="24"/>
        </w:rPr>
        <w:t>annually</w:t>
      </w:r>
      <w:r w:rsidR="00692C19">
        <w:rPr>
          <w:szCs w:val="24"/>
        </w:rPr>
        <w:t>.</w:t>
      </w:r>
      <w:r w:rsidR="00346564">
        <w:rPr>
          <w:szCs w:val="24"/>
        </w:rPr>
        <w:t xml:space="preserve">  Le</w:t>
      </w:r>
      <w:r w:rsidR="00BC1BC6">
        <w:rPr>
          <w:color w:val="000000"/>
        </w:rPr>
        <w:t xml:space="preserve">ss frequent information collection would impede efforts to establish compliance with the HITECH </w:t>
      </w:r>
      <w:r w:rsidR="00482541">
        <w:rPr>
          <w:color w:val="000000"/>
        </w:rPr>
        <w:t>Act</w:t>
      </w:r>
      <w:r w:rsidR="00BC1BC6">
        <w:rPr>
          <w:color w:val="000000"/>
        </w:rPr>
        <w:t xml:space="preserve">. </w:t>
      </w:r>
    </w:p>
    <w:p w14:paraId="63F2E514" w14:textId="77777777" w:rsidR="002F6343" w:rsidRPr="002F6343" w:rsidRDefault="002F6343" w:rsidP="002F6343">
      <w:pPr>
        <w:rPr>
          <w:color w:val="000000"/>
        </w:rPr>
      </w:pPr>
    </w:p>
    <w:p w14:paraId="784B2D65" w14:textId="6399D5C0" w:rsidR="00AA0389" w:rsidRDefault="00AA0389" w:rsidP="00AA03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szCs w:val="24"/>
        </w:rPr>
        <w:t xml:space="preserve">With respect to Medicaid, registration </w:t>
      </w:r>
      <w:r w:rsidRPr="00BC1BC6">
        <w:rPr>
          <w:szCs w:val="24"/>
        </w:rPr>
        <w:t xml:space="preserve">information </w:t>
      </w:r>
      <w:r>
        <w:rPr>
          <w:szCs w:val="24"/>
        </w:rPr>
        <w:t xml:space="preserve">collection </w:t>
      </w:r>
      <w:r w:rsidRPr="00BC1BC6">
        <w:rPr>
          <w:szCs w:val="24"/>
        </w:rPr>
        <w:t xml:space="preserve">is </w:t>
      </w:r>
      <w:r>
        <w:rPr>
          <w:szCs w:val="24"/>
        </w:rPr>
        <w:t>voluntary for the first six years from the time the State initiates the program.  After the initial registration, the State must also verify annual eligibility, but subsequent registration frequency depends on</w:t>
      </w:r>
      <w:r w:rsidRPr="00BC1BC6">
        <w:rPr>
          <w:szCs w:val="24"/>
        </w:rPr>
        <w:t xml:space="preserve"> the</w:t>
      </w:r>
      <w:r>
        <w:rPr>
          <w:szCs w:val="24"/>
        </w:rPr>
        <w:t xml:space="preserve"> EPs and eligible hospitals’ changing</w:t>
      </w:r>
      <w:r w:rsidRPr="00BC1BC6">
        <w:rPr>
          <w:szCs w:val="24"/>
        </w:rPr>
        <w:t xml:space="preserve"> business needs, such as </w:t>
      </w:r>
      <w:r>
        <w:rPr>
          <w:szCs w:val="24"/>
        </w:rPr>
        <w:t xml:space="preserve">changes in </w:t>
      </w:r>
      <w:r w:rsidRPr="00BC1BC6">
        <w:rPr>
          <w:szCs w:val="24"/>
        </w:rPr>
        <w:t xml:space="preserve">their business </w:t>
      </w:r>
      <w:r>
        <w:rPr>
          <w:szCs w:val="24"/>
        </w:rPr>
        <w:t xml:space="preserve">practices, eligibility, or </w:t>
      </w:r>
      <w:r w:rsidR="003A2F1A">
        <w:rPr>
          <w:szCs w:val="24"/>
        </w:rPr>
        <w:t>PI P</w:t>
      </w:r>
      <w:r>
        <w:rPr>
          <w:szCs w:val="24"/>
        </w:rPr>
        <w:t xml:space="preserve">rogram </w:t>
      </w:r>
      <w:r w:rsidR="003A2F1A">
        <w:rPr>
          <w:szCs w:val="24"/>
        </w:rPr>
        <w:t>(</w:t>
      </w:r>
      <w:r w:rsidR="003A2F1A">
        <w:t>formerly known as the EHR Incentive Program</w:t>
      </w:r>
      <w:r w:rsidR="003A2F1A">
        <w:rPr>
          <w:szCs w:val="24"/>
        </w:rPr>
        <w:t xml:space="preserve">) </w:t>
      </w:r>
      <w:r w:rsidRPr="00BC1BC6">
        <w:rPr>
          <w:szCs w:val="24"/>
        </w:rPr>
        <w:t xml:space="preserve">they elect to </w:t>
      </w:r>
      <w:r>
        <w:rPr>
          <w:szCs w:val="24"/>
        </w:rPr>
        <w:t>participate (e.g., they may switch States or to the Medicare program)</w:t>
      </w:r>
      <w:r w:rsidRPr="00BC1BC6">
        <w:rPr>
          <w:szCs w:val="24"/>
        </w:rPr>
        <w:t xml:space="preserve">.  </w:t>
      </w:r>
      <w:r>
        <w:rPr>
          <w:szCs w:val="24"/>
        </w:rPr>
        <w:t>EPs and eligible hospitals</w:t>
      </w:r>
      <w:r w:rsidRPr="00BC1BC6">
        <w:rPr>
          <w:szCs w:val="24"/>
        </w:rPr>
        <w:t xml:space="preserve"> would th</w:t>
      </w:r>
      <w:r>
        <w:rPr>
          <w:szCs w:val="24"/>
        </w:rPr>
        <w:t>en communicate such changes to CMS or the State electronically</w:t>
      </w:r>
      <w:r w:rsidRPr="00BC1BC6">
        <w:rPr>
          <w:szCs w:val="24"/>
        </w:rPr>
        <w:t xml:space="preserve">.  </w:t>
      </w:r>
      <w:r>
        <w:rPr>
          <w:szCs w:val="24"/>
        </w:rPr>
        <w:t>To implement the meaningful use provisions of the HITECH Act and receive incentives, (registered) EPs and eligible hospitals are required to attest to the State the  identification of the certified EHR technology used, satisfaction of the applicable objectives and measures, and reporting of quality measures annually.  Le</w:t>
      </w:r>
      <w:r>
        <w:rPr>
          <w:color w:val="000000"/>
        </w:rPr>
        <w:t xml:space="preserve">ss frequent information collection would impede efforts to establish compliance with the HITECH </w:t>
      </w:r>
      <w:r w:rsidR="00573FAF">
        <w:rPr>
          <w:color w:val="000000"/>
        </w:rPr>
        <w:t>Act</w:t>
      </w:r>
      <w:r>
        <w:rPr>
          <w:color w:val="000000"/>
        </w:rPr>
        <w:t xml:space="preserve">. </w:t>
      </w:r>
    </w:p>
    <w:p w14:paraId="77196291" w14:textId="77777777" w:rsidR="00AA0389" w:rsidRDefault="00AA0389" w:rsidP="00BC1BC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3E73DA7" w14:textId="77777777" w:rsidR="00BC1BC6" w:rsidRPr="00BC1BC6" w:rsidRDefault="00BC1BC6" w:rsidP="00BC1BC6">
      <w:pPr>
        <w:rPr>
          <w:sz w:val="24"/>
        </w:rPr>
      </w:pPr>
    </w:p>
    <w:p w14:paraId="7934F59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7.</w:t>
      </w:r>
      <w:r>
        <w:rPr>
          <w:sz w:val="24"/>
        </w:rPr>
        <w:tab/>
      </w:r>
      <w:r>
        <w:rPr>
          <w:sz w:val="24"/>
          <w:u w:val="single"/>
        </w:rPr>
        <w:t>Special Circumstances</w:t>
      </w:r>
    </w:p>
    <w:p w14:paraId="7FBDF44C" w14:textId="77777777" w:rsidR="007007DA" w:rsidRDefault="007007DA" w:rsidP="00571BD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551F707" w14:textId="77777777" w:rsidR="00571BDF" w:rsidRDefault="007007DA" w:rsidP="00571BD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Without</w:t>
      </w:r>
      <w:r w:rsidR="00571BDF">
        <w:rPr>
          <w:color w:val="000000"/>
        </w:rPr>
        <w:t xml:space="preserve"> legislative amendment</w:t>
      </w:r>
      <w:r>
        <w:rPr>
          <w:color w:val="000000"/>
        </w:rPr>
        <w:t>s</w:t>
      </w:r>
      <w:r w:rsidR="00571BDF">
        <w:rPr>
          <w:color w:val="000000"/>
        </w:rPr>
        <w:t>, we are unable to anticipate any circumstances that would change the requirements of this package.</w:t>
      </w:r>
    </w:p>
    <w:p w14:paraId="247EA548" w14:textId="77777777" w:rsidR="00571BDF" w:rsidRDefault="00571B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2997778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14:paraId="32D21F2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013D0F" w14:textId="77777777" w:rsidR="008043DC" w:rsidRDefault="008043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60-day Federal Register notice published on March 27, 2018 (83 FR 13030).  There were no public comments received.</w:t>
      </w:r>
    </w:p>
    <w:p w14:paraId="44903CE5" w14:textId="77777777" w:rsidR="008043DC" w:rsidRDefault="008043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7CEBDD" w14:textId="77777777" w:rsidR="008043DC" w:rsidRDefault="008043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30-day Federal Register notice published on June 8, 2018 (83 FR 26691)</w:t>
      </w:r>
    </w:p>
    <w:p w14:paraId="0F7172DA" w14:textId="77777777" w:rsidR="003979D5" w:rsidRPr="00BE6065" w:rsidRDefault="003979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E4FC88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14:paraId="25CC806B" w14:textId="77777777" w:rsidR="00BE6065" w:rsidRDefault="00BE6065" w:rsidP="00BE6065">
      <w:pPr>
        <w:rPr>
          <w:sz w:val="18"/>
          <w:szCs w:val="18"/>
        </w:rPr>
      </w:pPr>
    </w:p>
    <w:p w14:paraId="31674424" w14:textId="77777777" w:rsidR="00BE6065" w:rsidRDefault="00BE6065" w:rsidP="00BE6065">
      <w:pPr>
        <w:rPr>
          <w:sz w:val="24"/>
        </w:rPr>
      </w:pPr>
      <w:r w:rsidRPr="00BE6065">
        <w:rPr>
          <w:sz w:val="24"/>
        </w:rPr>
        <w:t>There will be no payments/gifts to respondents.</w:t>
      </w:r>
    </w:p>
    <w:p w14:paraId="61ADE68D" w14:textId="77777777" w:rsidR="00692C19" w:rsidRPr="00BE6065" w:rsidRDefault="00692C19" w:rsidP="00BE6065">
      <w:pPr>
        <w:rPr>
          <w:sz w:val="24"/>
        </w:rPr>
      </w:pPr>
    </w:p>
    <w:p w14:paraId="6772A86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14:paraId="34B2866D" w14:textId="77777777" w:rsidR="00BE6065" w:rsidRDefault="00BE6065" w:rsidP="00BE6065">
      <w:pPr>
        <w:rPr>
          <w:sz w:val="18"/>
          <w:szCs w:val="18"/>
        </w:rPr>
      </w:pPr>
    </w:p>
    <w:p w14:paraId="3FDBE0BC" w14:textId="77777777" w:rsidR="00BE6065" w:rsidRPr="00BE6065" w:rsidRDefault="00BE6065" w:rsidP="00BE6065">
      <w:pPr>
        <w:rPr>
          <w:sz w:val="24"/>
        </w:rPr>
      </w:pPr>
      <w:r w:rsidRPr="00BE6065">
        <w:rPr>
          <w:sz w:val="24"/>
        </w:rPr>
        <w:t xml:space="preserve">Respondent information </w:t>
      </w:r>
      <w:r w:rsidR="004C2B2A">
        <w:rPr>
          <w:sz w:val="24"/>
        </w:rPr>
        <w:t>is</w:t>
      </w:r>
      <w:r w:rsidRPr="00BE6065">
        <w:rPr>
          <w:sz w:val="24"/>
        </w:rPr>
        <w:t xml:space="preserve"> kept in a physically secured area (electronic).  The computer system </w:t>
      </w:r>
      <w:r w:rsidR="004C2B2A">
        <w:rPr>
          <w:sz w:val="24"/>
        </w:rPr>
        <w:t>is</w:t>
      </w:r>
      <w:r w:rsidRPr="00BE6065">
        <w:rPr>
          <w:sz w:val="24"/>
        </w:rPr>
        <w:t xml:space="preserve"> password protected for electronic information.  Files containing the actual forms or information from these forms </w:t>
      </w:r>
      <w:r w:rsidR="004C2B2A">
        <w:rPr>
          <w:sz w:val="24"/>
        </w:rPr>
        <w:t>is</w:t>
      </w:r>
      <w:r w:rsidRPr="00BE6065">
        <w:rPr>
          <w:sz w:val="24"/>
        </w:rPr>
        <w:t xml:space="preserve"> safeguarded.</w:t>
      </w:r>
    </w:p>
    <w:p w14:paraId="71495DAB"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69B4D0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14:paraId="2EE5D7C9" w14:textId="77777777" w:rsidR="00571BDF" w:rsidRDefault="00571BDF" w:rsidP="00571BD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2940B3E" w14:textId="77777777" w:rsidR="00571BDF" w:rsidRDefault="00571BDF" w:rsidP="00571BD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There are no questions of a sensitive nature associated with this information collection.</w:t>
      </w:r>
    </w:p>
    <w:p w14:paraId="44801F7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243FF3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14:paraId="1E7549E1" w14:textId="6EC33198" w:rsidR="004154D5" w:rsidRDefault="00B60C1A" w:rsidP="00A420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4"/>
        </w:rPr>
        <w:t xml:space="preserve">The Table below provides the burden estimates. These are based on the National Occupational Employment and Wage Estimates found at </w:t>
      </w:r>
      <w:hyperlink r:id="rId9" w:history="1">
        <w:r w:rsidR="00C4784B" w:rsidRPr="00E236C7">
          <w:rPr>
            <w:rStyle w:val="Hyperlink"/>
            <w:sz w:val="24"/>
          </w:rPr>
          <w:t>www.bls.gov</w:t>
        </w:r>
      </w:hyperlink>
      <w:r w:rsidR="00C4784B">
        <w:rPr>
          <w:sz w:val="24"/>
        </w:rPr>
        <w:t xml:space="preserve"> .</w:t>
      </w:r>
      <w:r w:rsidR="00CA4AB2" w:rsidRPr="00A4207D">
        <w:rPr>
          <w:sz w:val="24"/>
        </w:rPr>
        <w:t xml:space="preserve"> Please note in the table below we used the BLS statistics and doubled the amount to take into account fringe benefits and overhead.</w:t>
      </w:r>
    </w:p>
    <w:p w14:paraId="149FF06F" w14:textId="637D19F3" w:rsidR="00385AA8" w:rsidRPr="00385AA8" w:rsidRDefault="00C4784B" w:rsidP="00385AA8">
      <w:pPr>
        <w:pStyle w:val="BodyText"/>
        <w:spacing w:before="69"/>
        <w:ind w:left="260" w:right="259"/>
        <w:rPr>
          <w:rFonts w:cs="Times New Roman"/>
        </w:rPr>
      </w:pPr>
      <w:r w:rsidRPr="00385AA8">
        <w:rPr>
          <w:rFonts w:cs="Times New Roman"/>
        </w:rPr>
        <w:t>We are updating the burden estimates below to take into account the removal of the Stage 1 requ</w:t>
      </w:r>
      <w:r w:rsidRPr="00CA4AB2">
        <w:rPr>
          <w:rFonts w:cs="Times New Roman"/>
        </w:rPr>
        <w:t xml:space="preserve">irements from the Medicare and Medicaid </w:t>
      </w:r>
      <w:r w:rsidRPr="00A4207D">
        <w:rPr>
          <w:rFonts w:cs="Times New Roman"/>
        </w:rPr>
        <w:t xml:space="preserve">Promoting Interoperability Programs.  Additionally, we are taking into account </w:t>
      </w:r>
      <w:r w:rsidR="00385AA8" w:rsidRPr="00A4207D">
        <w:rPr>
          <w:rFonts w:cs="Times New Roman"/>
        </w:rPr>
        <w:t xml:space="preserve">the streamlined </w:t>
      </w:r>
      <w:r w:rsidRPr="00A4207D">
        <w:rPr>
          <w:rFonts w:cs="Times New Roman"/>
        </w:rPr>
        <w:t>Modified Stage 2 objectives and measures that were</w:t>
      </w:r>
      <w:r w:rsidRPr="006E6183">
        <w:rPr>
          <w:rFonts w:cs="Times New Roman"/>
        </w:rPr>
        <w:t xml:space="preserve"> finalized in previous rulemaking. </w:t>
      </w:r>
      <w:r w:rsidR="00385AA8" w:rsidRPr="006E6183">
        <w:rPr>
          <w:rFonts w:cs="Times New Roman"/>
        </w:rPr>
        <w:t xml:space="preserve">We believe the burden will be different for Medicaid healthcare providers compared to Medicare eligible hospitals and CAHs as we now have different requirements for the two programs. As a result we are modifying the burden estimates. We note that the Medicare </w:t>
      </w:r>
      <w:r w:rsidR="003A2F1A">
        <w:rPr>
          <w:rFonts w:cs="Times New Roman"/>
        </w:rPr>
        <w:t>PI</w:t>
      </w:r>
      <w:r w:rsidR="00385AA8" w:rsidRPr="006E6183">
        <w:rPr>
          <w:rFonts w:cs="Times New Roman"/>
        </w:rPr>
        <w:t xml:space="preserve"> Program</w:t>
      </w:r>
      <w:r w:rsidR="003A2F1A">
        <w:rPr>
          <w:rFonts w:cs="Times New Roman"/>
        </w:rPr>
        <w:t xml:space="preserve"> (</w:t>
      </w:r>
      <w:r w:rsidR="003A2F1A">
        <w:t>formerly known as the Medicare EHR Incentive Program)</w:t>
      </w:r>
      <w:r w:rsidR="00385AA8" w:rsidRPr="006E6183">
        <w:rPr>
          <w:rFonts w:cs="Times New Roman"/>
        </w:rPr>
        <w:t xml:space="preserve"> was sunset for EPs in 2017 and now these EPs report to the Quality Payment Program (QPP).  We estimate that approximately 198,000 EPs now participate in QPP based on the participation requirements. Currently the burden is estimated at $388,408,189 annually.  We estimate the burden for all participants in the Medicare and Medicaid Promoting Interoperability Programs represent a total cost of </w:t>
      </w:r>
      <w:r w:rsidR="00385AA8" w:rsidRPr="00A4207D">
        <w:rPr>
          <w:rFonts w:cs="Times New Roman"/>
          <w:bCs/>
          <w:color w:val="000000"/>
          <w:szCs w:val="20"/>
        </w:rPr>
        <w:t>$</w:t>
      </w:r>
      <w:r w:rsidR="00A4207D" w:rsidRPr="006A3423">
        <w:t xml:space="preserve">113,194,129.70 </w:t>
      </w:r>
      <w:r w:rsidR="00385AA8" w:rsidRPr="00385AA8">
        <w:rPr>
          <w:rFonts w:cs="Times New Roman"/>
          <w:bCs/>
          <w:color w:val="000000"/>
        </w:rPr>
        <w:t>which is a reduction of $</w:t>
      </w:r>
      <w:r w:rsidR="00A4207D">
        <w:rPr>
          <w:rFonts w:cs="Times New Roman"/>
          <w:bCs/>
          <w:color w:val="000000"/>
        </w:rPr>
        <w:t>275,214,059</w:t>
      </w:r>
      <w:r w:rsidR="00385AA8" w:rsidRPr="00385AA8">
        <w:rPr>
          <w:rFonts w:cs="Times New Roman"/>
          <w:bCs/>
          <w:color w:val="000000"/>
        </w:rPr>
        <w:t xml:space="preserve"> annually. This burden reduction will occur as a result of </w:t>
      </w:r>
      <w:r w:rsidR="00385AA8">
        <w:rPr>
          <w:rFonts w:cs="Times New Roman"/>
          <w:bCs/>
          <w:color w:val="000000"/>
        </w:rPr>
        <w:t>the reduced numbers of EPs, the conclusion of Stage 1, and the removal of the menu objectives and measures</w:t>
      </w:r>
      <w:r w:rsidR="00385AA8" w:rsidRPr="00385AA8">
        <w:rPr>
          <w:rFonts w:cs="Times New Roman"/>
          <w:bCs/>
          <w:color w:val="000000"/>
        </w:rPr>
        <w:t xml:space="preserve">.  </w:t>
      </w:r>
      <w:r w:rsidR="00385AA8" w:rsidRPr="00385AA8">
        <w:rPr>
          <w:rFonts w:cs="Times New Roman"/>
        </w:rPr>
        <w:t>We are requesting an update to the existing OMB control number 0938-1158 for the information collection requirements contained in this</w:t>
      </w:r>
      <w:r w:rsidR="00385AA8" w:rsidRPr="00385AA8">
        <w:rPr>
          <w:rFonts w:cs="Times New Roman"/>
          <w:spacing w:val="-12"/>
        </w:rPr>
        <w:t xml:space="preserve"> </w:t>
      </w:r>
      <w:r w:rsidR="00385AA8" w:rsidRPr="00385AA8">
        <w:rPr>
          <w:rFonts w:cs="Times New Roman"/>
        </w:rPr>
        <w:t>information collection</w:t>
      </w:r>
      <w:r w:rsidR="00385AA8" w:rsidRPr="00385AA8">
        <w:rPr>
          <w:rFonts w:cs="Times New Roman"/>
          <w:spacing w:val="-6"/>
        </w:rPr>
        <w:t xml:space="preserve"> </w:t>
      </w:r>
      <w:r w:rsidR="00385AA8" w:rsidRPr="00385AA8">
        <w:rPr>
          <w:rFonts w:cs="Times New Roman"/>
        </w:rPr>
        <w:t>request.</w:t>
      </w:r>
    </w:p>
    <w:p w14:paraId="56D7834A" w14:textId="77777777" w:rsidR="00C4784B" w:rsidRDefault="00C4784B" w:rsidP="00C4784B">
      <w:pPr>
        <w:pStyle w:val="BodyText"/>
        <w:spacing w:before="69"/>
        <w:ind w:left="0" w:right="259"/>
      </w:pPr>
    </w:p>
    <w:p w14:paraId="24D48F7B" w14:textId="77777777" w:rsidR="00C4784B" w:rsidRDefault="00C4784B" w:rsidP="00E30B1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9911889" w14:textId="77777777" w:rsidR="004A30F9" w:rsidRDefault="004154D5">
      <w:pPr>
        <w:widowControl/>
        <w:autoSpaceDE/>
        <w:autoSpaceDN/>
        <w:adjustRightInd/>
        <w:rPr>
          <w:color w:val="000000"/>
        </w:rPr>
        <w:sectPr w:rsidR="004A30F9" w:rsidSect="004A30F9">
          <w:footerReference w:type="default" r:id="rId10"/>
          <w:endnotePr>
            <w:numFmt w:val="decimal"/>
          </w:endnotePr>
          <w:type w:val="continuous"/>
          <w:pgSz w:w="12240" w:h="15840"/>
          <w:pgMar w:top="1440" w:right="1296" w:bottom="1440" w:left="1440" w:header="1440" w:footer="1440" w:gutter="0"/>
          <w:cols w:space="720"/>
          <w:noEndnote/>
          <w:docGrid w:linePitch="272"/>
        </w:sectPr>
      </w:pPr>
      <w:r>
        <w:rPr>
          <w:color w:val="000000"/>
        </w:rPr>
        <w:br w:type="page"/>
      </w:r>
    </w:p>
    <w:p w14:paraId="1E66F1C0" w14:textId="77777777" w:rsidR="002D3B2F" w:rsidRDefault="002D3B2F" w:rsidP="002D3B2F">
      <w:pPr>
        <w:keepNext/>
        <w:keepLines/>
        <w:widowControl/>
        <w:jc w:val="center"/>
        <w:rPr>
          <w:b/>
        </w:rPr>
      </w:pPr>
      <w:r w:rsidRPr="003F16B5">
        <w:rPr>
          <w:b/>
        </w:rPr>
        <w:t>ESTIMATED ANNUAL INFORMATION COLLECTION BURDEN</w:t>
      </w:r>
    </w:p>
    <w:tbl>
      <w:tblPr>
        <w:tblW w:w="11840" w:type="dxa"/>
        <w:tblInd w:w="-10" w:type="dxa"/>
        <w:tblLook w:val="04A0" w:firstRow="1" w:lastRow="0" w:firstColumn="1" w:lastColumn="0" w:noHBand="0" w:noVBand="1"/>
      </w:tblPr>
      <w:tblGrid>
        <w:gridCol w:w="1885"/>
        <w:gridCol w:w="960"/>
        <w:gridCol w:w="1483"/>
        <w:gridCol w:w="1284"/>
        <w:gridCol w:w="1172"/>
        <w:gridCol w:w="866"/>
        <w:gridCol w:w="1270"/>
        <w:gridCol w:w="2920"/>
      </w:tblGrid>
      <w:tr w:rsidR="006E6183" w:rsidRPr="006E6183" w14:paraId="3EAE4916" w14:textId="77777777" w:rsidTr="006E6183">
        <w:trPr>
          <w:cantSplit/>
          <w:trHeight w:val="1290"/>
        </w:trPr>
        <w:tc>
          <w:tcPr>
            <w:tcW w:w="1900" w:type="dxa"/>
            <w:tcBorders>
              <w:top w:val="single" w:sz="8" w:space="0" w:color="auto"/>
              <w:left w:val="single" w:sz="8" w:space="0" w:color="auto"/>
              <w:bottom w:val="single" w:sz="8" w:space="0" w:color="auto"/>
              <w:right w:val="single" w:sz="8" w:space="0" w:color="auto"/>
            </w:tcBorders>
            <w:shd w:val="clear" w:color="auto" w:fill="auto"/>
            <w:hideMark/>
          </w:tcPr>
          <w:p w14:paraId="6E550C24" w14:textId="77777777" w:rsidR="00CA4AB2" w:rsidRPr="00E47326" w:rsidRDefault="00CA4AB2" w:rsidP="00CA4AB2">
            <w:pPr>
              <w:widowControl/>
              <w:autoSpaceDE/>
              <w:autoSpaceDN/>
              <w:adjustRightInd/>
              <w:jc w:val="center"/>
              <w:rPr>
                <w:b/>
                <w:bCs/>
                <w:color w:val="000000"/>
                <w:szCs w:val="20"/>
              </w:rPr>
            </w:pPr>
            <w:r w:rsidRPr="006E6183">
              <w:t>Reg Section</w:t>
            </w:r>
          </w:p>
        </w:tc>
        <w:tc>
          <w:tcPr>
            <w:tcW w:w="960" w:type="dxa"/>
            <w:tcBorders>
              <w:top w:val="single" w:sz="8" w:space="0" w:color="auto"/>
              <w:left w:val="nil"/>
              <w:bottom w:val="single" w:sz="8" w:space="0" w:color="auto"/>
              <w:right w:val="single" w:sz="8" w:space="0" w:color="auto"/>
            </w:tcBorders>
            <w:shd w:val="clear" w:color="auto" w:fill="auto"/>
            <w:hideMark/>
          </w:tcPr>
          <w:p w14:paraId="4FBFC686" w14:textId="77777777" w:rsidR="00CA4AB2" w:rsidRPr="00E47326" w:rsidRDefault="00CA4AB2" w:rsidP="00CA4AB2">
            <w:pPr>
              <w:widowControl/>
              <w:autoSpaceDE/>
              <w:autoSpaceDN/>
              <w:adjustRightInd/>
              <w:jc w:val="center"/>
              <w:rPr>
                <w:b/>
                <w:bCs/>
                <w:color w:val="000000"/>
                <w:szCs w:val="20"/>
              </w:rPr>
            </w:pPr>
            <w:r w:rsidRPr="006E6183">
              <w:t>OMB Control No.</w:t>
            </w:r>
          </w:p>
        </w:tc>
        <w:tc>
          <w:tcPr>
            <w:tcW w:w="1483" w:type="dxa"/>
            <w:tcBorders>
              <w:top w:val="single" w:sz="8" w:space="0" w:color="auto"/>
              <w:left w:val="nil"/>
              <w:bottom w:val="single" w:sz="8" w:space="0" w:color="auto"/>
              <w:right w:val="single" w:sz="8" w:space="0" w:color="auto"/>
            </w:tcBorders>
            <w:shd w:val="clear" w:color="auto" w:fill="auto"/>
            <w:hideMark/>
          </w:tcPr>
          <w:p w14:paraId="0B2FEFDB" w14:textId="77777777" w:rsidR="00CA4AB2" w:rsidRPr="00E47326" w:rsidRDefault="00CA4AB2" w:rsidP="00CA4AB2">
            <w:pPr>
              <w:widowControl/>
              <w:autoSpaceDE/>
              <w:autoSpaceDN/>
              <w:adjustRightInd/>
              <w:jc w:val="center"/>
              <w:rPr>
                <w:b/>
                <w:bCs/>
                <w:color w:val="000000"/>
                <w:szCs w:val="20"/>
              </w:rPr>
            </w:pPr>
            <w:r w:rsidRPr="006E6183">
              <w:t>Number of Respondents</w:t>
            </w:r>
          </w:p>
        </w:tc>
        <w:tc>
          <w:tcPr>
            <w:tcW w:w="1284" w:type="dxa"/>
            <w:tcBorders>
              <w:top w:val="single" w:sz="8" w:space="0" w:color="auto"/>
              <w:left w:val="nil"/>
              <w:bottom w:val="single" w:sz="8" w:space="0" w:color="auto"/>
              <w:right w:val="single" w:sz="8" w:space="0" w:color="auto"/>
            </w:tcBorders>
            <w:shd w:val="clear" w:color="auto" w:fill="auto"/>
            <w:hideMark/>
          </w:tcPr>
          <w:p w14:paraId="49114A9F" w14:textId="77777777" w:rsidR="00CA4AB2" w:rsidRPr="00E47326" w:rsidRDefault="00CA4AB2" w:rsidP="00CA4AB2">
            <w:pPr>
              <w:widowControl/>
              <w:autoSpaceDE/>
              <w:autoSpaceDN/>
              <w:adjustRightInd/>
              <w:jc w:val="center"/>
              <w:rPr>
                <w:b/>
                <w:bCs/>
                <w:color w:val="000000"/>
                <w:szCs w:val="20"/>
              </w:rPr>
            </w:pPr>
            <w:r w:rsidRPr="006E6183">
              <w:t>Number of Responses</w:t>
            </w:r>
          </w:p>
        </w:tc>
        <w:tc>
          <w:tcPr>
            <w:tcW w:w="1172" w:type="dxa"/>
            <w:tcBorders>
              <w:top w:val="single" w:sz="8" w:space="0" w:color="auto"/>
              <w:left w:val="nil"/>
              <w:bottom w:val="single" w:sz="8" w:space="0" w:color="auto"/>
              <w:right w:val="single" w:sz="8" w:space="0" w:color="auto"/>
            </w:tcBorders>
            <w:shd w:val="clear" w:color="auto" w:fill="auto"/>
            <w:hideMark/>
          </w:tcPr>
          <w:p w14:paraId="37689A17" w14:textId="77777777" w:rsidR="00CA4AB2" w:rsidRPr="00E47326" w:rsidRDefault="00CA4AB2" w:rsidP="00CA4AB2">
            <w:pPr>
              <w:widowControl/>
              <w:autoSpaceDE/>
              <w:autoSpaceDN/>
              <w:adjustRightInd/>
              <w:jc w:val="center"/>
              <w:rPr>
                <w:b/>
                <w:bCs/>
                <w:color w:val="000000"/>
                <w:szCs w:val="20"/>
              </w:rPr>
            </w:pPr>
            <w:r w:rsidRPr="006E6183">
              <w:t>Burden per Response (hours)</w:t>
            </w:r>
          </w:p>
        </w:tc>
        <w:tc>
          <w:tcPr>
            <w:tcW w:w="851" w:type="dxa"/>
            <w:tcBorders>
              <w:top w:val="single" w:sz="8" w:space="0" w:color="auto"/>
              <w:left w:val="nil"/>
              <w:bottom w:val="single" w:sz="8" w:space="0" w:color="auto"/>
              <w:right w:val="single" w:sz="8" w:space="0" w:color="auto"/>
            </w:tcBorders>
            <w:shd w:val="clear" w:color="auto" w:fill="auto"/>
            <w:hideMark/>
          </w:tcPr>
          <w:p w14:paraId="42EC4683" w14:textId="77777777" w:rsidR="00CA4AB2" w:rsidRPr="00E47326" w:rsidRDefault="00CA4AB2" w:rsidP="00CA4AB2">
            <w:pPr>
              <w:widowControl/>
              <w:autoSpaceDE/>
              <w:autoSpaceDN/>
              <w:adjustRightInd/>
              <w:jc w:val="center"/>
              <w:rPr>
                <w:b/>
                <w:bCs/>
                <w:color w:val="000000"/>
                <w:szCs w:val="20"/>
              </w:rPr>
            </w:pPr>
            <w:r w:rsidRPr="006E6183">
              <w:t>Total Annual Burden (hours)</w:t>
            </w:r>
          </w:p>
        </w:tc>
        <w:tc>
          <w:tcPr>
            <w:tcW w:w="1270" w:type="dxa"/>
            <w:tcBorders>
              <w:top w:val="single" w:sz="8" w:space="0" w:color="auto"/>
              <w:left w:val="nil"/>
              <w:bottom w:val="single" w:sz="8" w:space="0" w:color="auto"/>
              <w:right w:val="single" w:sz="8" w:space="0" w:color="auto"/>
            </w:tcBorders>
            <w:shd w:val="clear" w:color="auto" w:fill="auto"/>
            <w:hideMark/>
          </w:tcPr>
          <w:p w14:paraId="7D59E77A" w14:textId="77777777" w:rsidR="00CA4AB2" w:rsidRPr="00E47326" w:rsidRDefault="00CA4AB2" w:rsidP="00CA4AB2">
            <w:pPr>
              <w:widowControl/>
              <w:autoSpaceDE/>
              <w:autoSpaceDN/>
              <w:adjustRightInd/>
              <w:jc w:val="center"/>
              <w:rPr>
                <w:b/>
                <w:bCs/>
                <w:color w:val="000000"/>
                <w:szCs w:val="20"/>
              </w:rPr>
            </w:pPr>
            <w:r w:rsidRPr="006E6183">
              <w:t>Hourly Labor Cost of Reporting ($)</w:t>
            </w:r>
          </w:p>
        </w:tc>
        <w:tc>
          <w:tcPr>
            <w:tcW w:w="2920" w:type="dxa"/>
            <w:tcBorders>
              <w:top w:val="single" w:sz="8" w:space="0" w:color="auto"/>
              <w:left w:val="nil"/>
              <w:bottom w:val="single" w:sz="8" w:space="0" w:color="auto"/>
              <w:right w:val="single" w:sz="8" w:space="0" w:color="auto"/>
            </w:tcBorders>
            <w:shd w:val="clear" w:color="auto" w:fill="auto"/>
            <w:hideMark/>
          </w:tcPr>
          <w:p w14:paraId="7D1235FE" w14:textId="77777777" w:rsidR="00CA4AB2" w:rsidRPr="00E47326" w:rsidRDefault="00CA4AB2" w:rsidP="00CA4AB2">
            <w:pPr>
              <w:widowControl/>
              <w:autoSpaceDE/>
              <w:autoSpaceDN/>
              <w:adjustRightInd/>
              <w:jc w:val="center"/>
              <w:rPr>
                <w:b/>
                <w:bCs/>
                <w:color w:val="000000"/>
                <w:szCs w:val="20"/>
              </w:rPr>
            </w:pPr>
            <w:r w:rsidRPr="006E6183">
              <w:t>Total Cost ($)</w:t>
            </w:r>
          </w:p>
        </w:tc>
      </w:tr>
      <w:tr w:rsidR="006E6183" w:rsidRPr="006E6183" w14:paraId="1D4E5FAA" w14:textId="77777777" w:rsidTr="006E6183">
        <w:trPr>
          <w:cantSplit/>
          <w:trHeight w:val="315"/>
        </w:trPr>
        <w:tc>
          <w:tcPr>
            <w:tcW w:w="1900" w:type="dxa"/>
            <w:tcBorders>
              <w:top w:val="nil"/>
              <w:left w:val="single" w:sz="8" w:space="0" w:color="auto"/>
              <w:bottom w:val="single" w:sz="8" w:space="0" w:color="auto"/>
              <w:right w:val="single" w:sz="8" w:space="0" w:color="auto"/>
            </w:tcBorders>
            <w:shd w:val="clear" w:color="auto" w:fill="auto"/>
            <w:hideMark/>
          </w:tcPr>
          <w:p w14:paraId="3F36958D" w14:textId="77777777" w:rsidR="00CA4AB2" w:rsidRDefault="007B55FA" w:rsidP="00CA4AB2">
            <w:pPr>
              <w:widowControl/>
              <w:autoSpaceDE/>
              <w:autoSpaceDN/>
              <w:adjustRightInd/>
            </w:pPr>
            <w:r w:rsidRPr="006E6183">
              <w:t>§</w:t>
            </w:r>
            <w:r>
              <w:t>495.22(b)-</w:t>
            </w:r>
            <w:r w:rsidR="00CA4AB2" w:rsidRPr="006E6183">
              <w:t>Medicaid EPs</w:t>
            </w:r>
          </w:p>
          <w:p w14:paraId="2C1423C8" w14:textId="77777777" w:rsidR="006E6183" w:rsidRPr="00E47326" w:rsidRDefault="006E6183" w:rsidP="00CA4AB2">
            <w:pPr>
              <w:widowControl/>
              <w:autoSpaceDE/>
              <w:autoSpaceDN/>
              <w:adjustRightInd/>
              <w:rPr>
                <w:color w:val="000000"/>
                <w:szCs w:val="20"/>
              </w:rPr>
            </w:pPr>
          </w:p>
        </w:tc>
        <w:tc>
          <w:tcPr>
            <w:tcW w:w="960" w:type="dxa"/>
            <w:tcBorders>
              <w:top w:val="nil"/>
              <w:left w:val="nil"/>
              <w:bottom w:val="single" w:sz="8" w:space="0" w:color="auto"/>
              <w:right w:val="single" w:sz="8" w:space="0" w:color="auto"/>
            </w:tcBorders>
            <w:shd w:val="clear" w:color="auto" w:fill="auto"/>
            <w:noWrap/>
            <w:hideMark/>
          </w:tcPr>
          <w:p w14:paraId="1BAD762B" w14:textId="77777777" w:rsidR="00CA4AB2" w:rsidRPr="00E47326" w:rsidRDefault="00CA4AB2" w:rsidP="00CA4AB2">
            <w:pPr>
              <w:widowControl/>
              <w:autoSpaceDE/>
              <w:autoSpaceDN/>
              <w:adjustRightInd/>
              <w:rPr>
                <w:color w:val="000000"/>
                <w:sz w:val="18"/>
                <w:szCs w:val="18"/>
              </w:rPr>
            </w:pPr>
            <w:r w:rsidRPr="006E6183">
              <w:t>0938-1158</w:t>
            </w:r>
          </w:p>
        </w:tc>
        <w:tc>
          <w:tcPr>
            <w:tcW w:w="1483" w:type="dxa"/>
            <w:tcBorders>
              <w:top w:val="nil"/>
              <w:left w:val="nil"/>
              <w:bottom w:val="single" w:sz="8" w:space="0" w:color="auto"/>
              <w:right w:val="single" w:sz="8" w:space="0" w:color="auto"/>
            </w:tcBorders>
            <w:shd w:val="clear" w:color="auto" w:fill="auto"/>
            <w:noWrap/>
            <w:hideMark/>
          </w:tcPr>
          <w:p w14:paraId="689B002C" w14:textId="77777777" w:rsidR="00CA4AB2" w:rsidRPr="00E47326" w:rsidRDefault="00CA4AB2" w:rsidP="00CA4AB2">
            <w:pPr>
              <w:widowControl/>
              <w:autoSpaceDE/>
              <w:autoSpaceDN/>
              <w:adjustRightInd/>
              <w:jc w:val="right"/>
              <w:rPr>
                <w:color w:val="000000"/>
                <w:szCs w:val="20"/>
              </w:rPr>
            </w:pPr>
            <w:r w:rsidRPr="006E6183">
              <w:t>80,000</w:t>
            </w:r>
          </w:p>
        </w:tc>
        <w:tc>
          <w:tcPr>
            <w:tcW w:w="1284" w:type="dxa"/>
            <w:tcBorders>
              <w:top w:val="nil"/>
              <w:left w:val="nil"/>
              <w:bottom w:val="single" w:sz="8" w:space="0" w:color="auto"/>
              <w:right w:val="single" w:sz="8" w:space="0" w:color="auto"/>
            </w:tcBorders>
            <w:shd w:val="clear" w:color="auto" w:fill="auto"/>
            <w:noWrap/>
            <w:hideMark/>
          </w:tcPr>
          <w:p w14:paraId="1D628CCD" w14:textId="77777777" w:rsidR="00CA4AB2" w:rsidRPr="00E47326" w:rsidRDefault="00CA4AB2" w:rsidP="00CA4AB2">
            <w:pPr>
              <w:widowControl/>
              <w:autoSpaceDE/>
              <w:autoSpaceDN/>
              <w:adjustRightInd/>
              <w:jc w:val="right"/>
              <w:rPr>
                <w:color w:val="000000"/>
                <w:szCs w:val="20"/>
              </w:rPr>
            </w:pPr>
            <w:r w:rsidRPr="006E6183">
              <w:t>80,000</w:t>
            </w:r>
          </w:p>
        </w:tc>
        <w:tc>
          <w:tcPr>
            <w:tcW w:w="1172" w:type="dxa"/>
            <w:tcBorders>
              <w:top w:val="nil"/>
              <w:left w:val="nil"/>
              <w:bottom w:val="single" w:sz="8" w:space="0" w:color="auto"/>
              <w:right w:val="single" w:sz="8" w:space="0" w:color="auto"/>
            </w:tcBorders>
            <w:shd w:val="clear" w:color="auto" w:fill="auto"/>
            <w:noWrap/>
            <w:hideMark/>
          </w:tcPr>
          <w:p w14:paraId="68C04EC4" w14:textId="77777777" w:rsidR="00CA4AB2" w:rsidRPr="00E47326" w:rsidRDefault="00CA4AB2" w:rsidP="00CA4AB2">
            <w:pPr>
              <w:widowControl/>
              <w:autoSpaceDE/>
              <w:autoSpaceDN/>
              <w:adjustRightInd/>
              <w:jc w:val="right"/>
              <w:rPr>
                <w:color w:val="000000"/>
                <w:szCs w:val="20"/>
              </w:rPr>
            </w:pPr>
            <w:r w:rsidRPr="006E6183">
              <w:t>6.86</w:t>
            </w:r>
          </w:p>
        </w:tc>
        <w:tc>
          <w:tcPr>
            <w:tcW w:w="851" w:type="dxa"/>
            <w:tcBorders>
              <w:top w:val="nil"/>
              <w:left w:val="nil"/>
              <w:bottom w:val="single" w:sz="8" w:space="0" w:color="auto"/>
              <w:right w:val="single" w:sz="8" w:space="0" w:color="auto"/>
            </w:tcBorders>
            <w:shd w:val="clear" w:color="auto" w:fill="auto"/>
            <w:noWrap/>
            <w:hideMark/>
          </w:tcPr>
          <w:p w14:paraId="349A9B2E" w14:textId="77777777" w:rsidR="00CA4AB2" w:rsidRPr="00F94FAA" w:rsidRDefault="00CA4AB2" w:rsidP="00CA4AB2">
            <w:pPr>
              <w:widowControl/>
              <w:autoSpaceDE/>
              <w:autoSpaceDN/>
              <w:adjustRightInd/>
              <w:jc w:val="right"/>
              <w:rPr>
                <w:color w:val="000000"/>
                <w:szCs w:val="20"/>
              </w:rPr>
            </w:pPr>
            <w:r w:rsidRPr="006E6183">
              <w:t>548,800</w:t>
            </w:r>
          </w:p>
        </w:tc>
        <w:tc>
          <w:tcPr>
            <w:tcW w:w="1270" w:type="dxa"/>
            <w:tcBorders>
              <w:top w:val="nil"/>
              <w:left w:val="nil"/>
              <w:bottom w:val="single" w:sz="8" w:space="0" w:color="auto"/>
              <w:right w:val="single" w:sz="8" w:space="0" w:color="auto"/>
            </w:tcBorders>
            <w:shd w:val="clear" w:color="auto" w:fill="auto"/>
            <w:noWrap/>
            <w:hideMark/>
          </w:tcPr>
          <w:p w14:paraId="2A4015B8" w14:textId="77777777" w:rsidR="00CA4AB2" w:rsidRPr="00E47326" w:rsidRDefault="00CA4AB2" w:rsidP="00CA4AB2">
            <w:pPr>
              <w:widowControl/>
              <w:autoSpaceDE/>
              <w:autoSpaceDN/>
              <w:adjustRightInd/>
              <w:jc w:val="right"/>
              <w:rPr>
                <w:color w:val="000000"/>
                <w:szCs w:val="20"/>
              </w:rPr>
            </w:pPr>
            <w:r w:rsidRPr="006E6183">
              <w:t xml:space="preserve">$200.00 </w:t>
            </w:r>
          </w:p>
        </w:tc>
        <w:tc>
          <w:tcPr>
            <w:tcW w:w="2920" w:type="dxa"/>
            <w:tcBorders>
              <w:top w:val="nil"/>
              <w:left w:val="nil"/>
              <w:bottom w:val="single" w:sz="8" w:space="0" w:color="auto"/>
              <w:right w:val="single" w:sz="8" w:space="0" w:color="auto"/>
            </w:tcBorders>
            <w:shd w:val="clear" w:color="auto" w:fill="auto"/>
            <w:noWrap/>
            <w:hideMark/>
          </w:tcPr>
          <w:p w14:paraId="778DFDCB" w14:textId="77777777" w:rsidR="00CA4AB2" w:rsidRPr="00F94FAA" w:rsidRDefault="00CA4AB2" w:rsidP="00CA4AB2">
            <w:pPr>
              <w:widowControl/>
              <w:autoSpaceDE/>
              <w:autoSpaceDN/>
              <w:adjustRightInd/>
              <w:jc w:val="right"/>
              <w:rPr>
                <w:color w:val="000000"/>
                <w:szCs w:val="20"/>
              </w:rPr>
            </w:pPr>
            <w:r w:rsidRPr="006E6183">
              <w:t xml:space="preserve">$109,760,000 </w:t>
            </w:r>
          </w:p>
        </w:tc>
      </w:tr>
      <w:tr w:rsidR="006E6183" w:rsidRPr="006E6183" w14:paraId="0C8CEEB1" w14:textId="77777777" w:rsidTr="006E6183">
        <w:trPr>
          <w:cantSplit/>
          <w:trHeight w:val="315"/>
        </w:trPr>
        <w:tc>
          <w:tcPr>
            <w:tcW w:w="1900" w:type="dxa"/>
            <w:tcBorders>
              <w:top w:val="nil"/>
              <w:left w:val="single" w:sz="8" w:space="0" w:color="auto"/>
              <w:bottom w:val="single" w:sz="8" w:space="0" w:color="auto"/>
              <w:right w:val="single" w:sz="8" w:space="0" w:color="auto"/>
            </w:tcBorders>
            <w:shd w:val="clear" w:color="auto" w:fill="auto"/>
            <w:hideMark/>
          </w:tcPr>
          <w:p w14:paraId="62B8CD9B" w14:textId="77777777" w:rsidR="00CA4AB2" w:rsidRPr="00E47326" w:rsidRDefault="007B55FA" w:rsidP="007B55FA">
            <w:pPr>
              <w:widowControl/>
              <w:autoSpaceDE/>
              <w:autoSpaceDN/>
              <w:adjustRightInd/>
              <w:rPr>
                <w:color w:val="000000"/>
                <w:szCs w:val="20"/>
              </w:rPr>
            </w:pPr>
            <w:r w:rsidRPr="006E6183">
              <w:t>§</w:t>
            </w:r>
            <w:r>
              <w:t>495.2(e)-</w:t>
            </w:r>
            <w:r w:rsidR="00CA4AB2" w:rsidRPr="006E6183">
              <w:t>Medicaid eligible hospitals/ CAHs</w:t>
            </w:r>
            <w:r>
              <w:t xml:space="preserve"> </w:t>
            </w:r>
          </w:p>
        </w:tc>
        <w:tc>
          <w:tcPr>
            <w:tcW w:w="960" w:type="dxa"/>
            <w:tcBorders>
              <w:top w:val="nil"/>
              <w:left w:val="nil"/>
              <w:bottom w:val="single" w:sz="8" w:space="0" w:color="auto"/>
              <w:right w:val="single" w:sz="8" w:space="0" w:color="auto"/>
            </w:tcBorders>
            <w:shd w:val="clear" w:color="auto" w:fill="auto"/>
            <w:noWrap/>
            <w:hideMark/>
          </w:tcPr>
          <w:p w14:paraId="66B48CC5" w14:textId="77777777" w:rsidR="00CA4AB2" w:rsidRPr="00E47326" w:rsidRDefault="00CA4AB2" w:rsidP="00CA4AB2">
            <w:pPr>
              <w:widowControl/>
              <w:autoSpaceDE/>
              <w:autoSpaceDN/>
              <w:adjustRightInd/>
              <w:rPr>
                <w:color w:val="000000"/>
                <w:sz w:val="18"/>
                <w:szCs w:val="18"/>
              </w:rPr>
            </w:pPr>
            <w:r w:rsidRPr="006E6183">
              <w:t>0938-1158</w:t>
            </w:r>
          </w:p>
        </w:tc>
        <w:tc>
          <w:tcPr>
            <w:tcW w:w="1483" w:type="dxa"/>
            <w:tcBorders>
              <w:top w:val="nil"/>
              <w:left w:val="nil"/>
              <w:bottom w:val="single" w:sz="8" w:space="0" w:color="auto"/>
              <w:right w:val="single" w:sz="8" w:space="0" w:color="auto"/>
            </w:tcBorders>
            <w:shd w:val="clear" w:color="auto" w:fill="auto"/>
            <w:noWrap/>
            <w:hideMark/>
          </w:tcPr>
          <w:p w14:paraId="37895D20" w14:textId="77777777" w:rsidR="00CA4AB2" w:rsidRPr="00E47326" w:rsidRDefault="00CA4AB2" w:rsidP="00CA4AB2">
            <w:pPr>
              <w:widowControl/>
              <w:autoSpaceDE/>
              <w:autoSpaceDN/>
              <w:adjustRightInd/>
              <w:jc w:val="right"/>
              <w:rPr>
                <w:color w:val="000000"/>
                <w:szCs w:val="20"/>
              </w:rPr>
            </w:pPr>
            <w:r w:rsidRPr="006E6183">
              <w:t>133</w:t>
            </w:r>
          </w:p>
        </w:tc>
        <w:tc>
          <w:tcPr>
            <w:tcW w:w="1284" w:type="dxa"/>
            <w:tcBorders>
              <w:top w:val="nil"/>
              <w:left w:val="nil"/>
              <w:bottom w:val="single" w:sz="8" w:space="0" w:color="auto"/>
              <w:right w:val="single" w:sz="8" w:space="0" w:color="auto"/>
            </w:tcBorders>
            <w:shd w:val="clear" w:color="auto" w:fill="auto"/>
            <w:noWrap/>
            <w:hideMark/>
          </w:tcPr>
          <w:p w14:paraId="2BC65C42" w14:textId="77777777" w:rsidR="00CA4AB2" w:rsidRPr="00E47326" w:rsidRDefault="00CA4AB2" w:rsidP="00CA4AB2">
            <w:pPr>
              <w:widowControl/>
              <w:autoSpaceDE/>
              <w:autoSpaceDN/>
              <w:adjustRightInd/>
              <w:jc w:val="right"/>
              <w:rPr>
                <w:color w:val="000000"/>
                <w:szCs w:val="20"/>
              </w:rPr>
            </w:pPr>
            <w:r w:rsidRPr="006E6183">
              <w:t>133</w:t>
            </w:r>
          </w:p>
        </w:tc>
        <w:tc>
          <w:tcPr>
            <w:tcW w:w="1172" w:type="dxa"/>
            <w:tcBorders>
              <w:top w:val="nil"/>
              <w:left w:val="nil"/>
              <w:bottom w:val="single" w:sz="8" w:space="0" w:color="auto"/>
              <w:right w:val="single" w:sz="8" w:space="0" w:color="auto"/>
            </w:tcBorders>
            <w:shd w:val="clear" w:color="auto" w:fill="auto"/>
            <w:noWrap/>
            <w:hideMark/>
          </w:tcPr>
          <w:p w14:paraId="73CE1C53" w14:textId="77777777" w:rsidR="00CA4AB2" w:rsidRPr="00E47326" w:rsidRDefault="00CA4AB2" w:rsidP="00CA4AB2">
            <w:pPr>
              <w:widowControl/>
              <w:autoSpaceDE/>
              <w:autoSpaceDN/>
              <w:adjustRightInd/>
              <w:jc w:val="right"/>
              <w:rPr>
                <w:color w:val="000000"/>
                <w:szCs w:val="20"/>
              </w:rPr>
            </w:pPr>
            <w:r w:rsidRPr="006E6183">
              <w:t>7.43</w:t>
            </w:r>
          </w:p>
        </w:tc>
        <w:tc>
          <w:tcPr>
            <w:tcW w:w="851" w:type="dxa"/>
            <w:tcBorders>
              <w:top w:val="nil"/>
              <w:left w:val="nil"/>
              <w:bottom w:val="single" w:sz="8" w:space="0" w:color="auto"/>
              <w:right w:val="single" w:sz="8" w:space="0" w:color="auto"/>
            </w:tcBorders>
            <w:shd w:val="clear" w:color="auto" w:fill="auto"/>
            <w:noWrap/>
            <w:hideMark/>
          </w:tcPr>
          <w:p w14:paraId="45219FE0" w14:textId="77777777" w:rsidR="00CA4AB2" w:rsidRPr="00E47326" w:rsidRDefault="00CA4AB2" w:rsidP="00CA4AB2">
            <w:pPr>
              <w:widowControl/>
              <w:autoSpaceDE/>
              <w:autoSpaceDN/>
              <w:adjustRightInd/>
              <w:jc w:val="right"/>
              <w:rPr>
                <w:color w:val="000000"/>
                <w:szCs w:val="20"/>
              </w:rPr>
            </w:pPr>
            <w:r w:rsidRPr="006E6183">
              <w:t>988</w:t>
            </w:r>
          </w:p>
        </w:tc>
        <w:tc>
          <w:tcPr>
            <w:tcW w:w="1270" w:type="dxa"/>
            <w:tcBorders>
              <w:top w:val="nil"/>
              <w:left w:val="nil"/>
              <w:bottom w:val="single" w:sz="8" w:space="0" w:color="auto"/>
              <w:right w:val="single" w:sz="8" w:space="0" w:color="auto"/>
            </w:tcBorders>
            <w:shd w:val="clear" w:color="auto" w:fill="auto"/>
            <w:noWrap/>
            <w:hideMark/>
          </w:tcPr>
          <w:p w14:paraId="35FF3ACE" w14:textId="77777777" w:rsidR="00CA4AB2" w:rsidRPr="00E47326" w:rsidRDefault="00CA4AB2" w:rsidP="00CA4AB2">
            <w:pPr>
              <w:widowControl/>
              <w:autoSpaceDE/>
              <w:autoSpaceDN/>
              <w:adjustRightInd/>
              <w:jc w:val="right"/>
              <w:rPr>
                <w:color w:val="000000"/>
                <w:szCs w:val="20"/>
              </w:rPr>
            </w:pPr>
            <w:r w:rsidRPr="006E6183">
              <w:t xml:space="preserve">$134.50 </w:t>
            </w:r>
          </w:p>
        </w:tc>
        <w:tc>
          <w:tcPr>
            <w:tcW w:w="2920" w:type="dxa"/>
            <w:tcBorders>
              <w:top w:val="nil"/>
              <w:left w:val="nil"/>
              <w:bottom w:val="single" w:sz="8" w:space="0" w:color="auto"/>
              <w:right w:val="single" w:sz="8" w:space="0" w:color="auto"/>
            </w:tcBorders>
            <w:shd w:val="clear" w:color="auto" w:fill="auto"/>
            <w:noWrap/>
            <w:hideMark/>
          </w:tcPr>
          <w:p w14:paraId="1B7FAFEE" w14:textId="77777777" w:rsidR="00CA4AB2" w:rsidRPr="00E47326" w:rsidRDefault="00CA4AB2" w:rsidP="00CA4AB2">
            <w:pPr>
              <w:widowControl/>
              <w:autoSpaceDE/>
              <w:autoSpaceDN/>
              <w:adjustRightInd/>
              <w:jc w:val="right"/>
              <w:rPr>
                <w:color w:val="000000"/>
                <w:szCs w:val="20"/>
              </w:rPr>
            </w:pPr>
            <w:r w:rsidRPr="006E6183">
              <w:t xml:space="preserve">$132,912 </w:t>
            </w:r>
          </w:p>
        </w:tc>
      </w:tr>
      <w:tr w:rsidR="006E6183" w:rsidRPr="006E6183" w14:paraId="488C83AD" w14:textId="77777777" w:rsidTr="006E6183">
        <w:trPr>
          <w:cantSplit/>
          <w:trHeight w:val="315"/>
        </w:trPr>
        <w:tc>
          <w:tcPr>
            <w:tcW w:w="1900" w:type="dxa"/>
            <w:tcBorders>
              <w:top w:val="nil"/>
              <w:left w:val="single" w:sz="8" w:space="0" w:color="auto"/>
              <w:bottom w:val="single" w:sz="8" w:space="0" w:color="auto"/>
              <w:right w:val="single" w:sz="8" w:space="0" w:color="auto"/>
            </w:tcBorders>
            <w:shd w:val="clear" w:color="auto" w:fill="auto"/>
            <w:hideMark/>
          </w:tcPr>
          <w:p w14:paraId="15ADBCBE" w14:textId="77777777" w:rsidR="00CA4AB2" w:rsidRPr="00E47326" w:rsidRDefault="007B55FA" w:rsidP="007B55FA">
            <w:pPr>
              <w:widowControl/>
              <w:autoSpaceDE/>
              <w:autoSpaceDN/>
              <w:adjustRightInd/>
              <w:rPr>
                <w:color w:val="000000"/>
                <w:szCs w:val="20"/>
              </w:rPr>
            </w:pPr>
            <w:r w:rsidRPr="006E6183">
              <w:t>§</w:t>
            </w:r>
            <w:r>
              <w:t>495.22(c)-</w:t>
            </w:r>
            <w:r w:rsidR="00CA4AB2" w:rsidRPr="006E6183">
              <w:t>Medicare eligible hospitals/CAHs</w:t>
            </w:r>
            <w:r>
              <w:t xml:space="preserve"> </w:t>
            </w:r>
          </w:p>
        </w:tc>
        <w:tc>
          <w:tcPr>
            <w:tcW w:w="960" w:type="dxa"/>
            <w:tcBorders>
              <w:top w:val="nil"/>
              <w:left w:val="nil"/>
              <w:bottom w:val="single" w:sz="8" w:space="0" w:color="auto"/>
              <w:right w:val="single" w:sz="8" w:space="0" w:color="auto"/>
            </w:tcBorders>
            <w:shd w:val="clear" w:color="auto" w:fill="auto"/>
            <w:noWrap/>
            <w:hideMark/>
          </w:tcPr>
          <w:p w14:paraId="452E8097" w14:textId="77777777" w:rsidR="00CA4AB2" w:rsidRPr="00E47326" w:rsidRDefault="00CA4AB2" w:rsidP="00CA4AB2">
            <w:pPr>
              <w:widowControl/>
              <w:autoSpaceDE/>
              <w:autoSpaceDN/>
              <w:adjustRightInd/>
              <w:rPr>
                <w:color w:val="000000"/>
                <w:sz w:val="18"/>
                <w:szCs w:val="18"/>
              </w:rPr>
            </w:pPr>
            <w:r w:rsidRPr="006E6183">
              <w:t>0938-1158</w:t>
            </w:r>
          </w:p>
        </w:tc>
        <w:tc>
          <w:tcPr>
            <w:tcW w:w="1483" w:type="dxa"/>
            <w:tcBorders>
              <w:top w:val="nil"/>
              <w:left w:val="nil"/>
              <w:bottom w:val="single" w:sz="8" w:space="0" w:color="auto"/>
              <w:right w:val="single" w:sz="8" w:space="0" w:color="auto"/>
            </w:tcBorders>
            <w:shd w:val="clear" w:color="auto" w:fill="auto"/>
            <w:noWrap/>
            <w:hideMark/>
          </w:tcPr>
          <w:p w14:paraId="24080A35" w14:textId="77777777" w:rsidR="00CA4AB2" w:rsidRPr="00E47326" w:rsidRDefault="00CA4AB2" w:rsidP="00CA4AB2">
            <w:pPr>
              <w:widowControl/>
              <w:autoSpaceDE/>
              <w:autoSpaceDN/>
              <w:adjustRightInd/>
              <w:jc w:val="right"/>
              <w:rPr>
                <w:color w:val="000000"/>
                <w:szCs w:val="20"/>
              </w:rPr>
            </w:pPr>
            <w:r w:rsidRPr="006E6183">
              <w:t>3,300</w:t>
            </w:r>
          </w:p>
        </w:tc>
        <w:tc>
          <w:tcPr>
            <w:tcW w:w="1284" w:type="dxa"/>
            <w:tcBorders>
              <w:top w:val="nil"/>
              <w:left w:val="nil"/>
              <w:bottom w:val="single" w:sz="8" w:space="0" w:color="auto"/>
              <w:right w:val="single" w:sz="8" w:space="0" w:color="auto"/>
            </w:tcBorders>
            <w:shd w:val="clear" w:color="auto" w:fill="auto"/>
            <w:noWrap/>
            <w:hideMark/>
          </w:tcPr>
          <w:p w14:paraId="637C5590" w14:textId="77777777" w:rsidR="00CA4AB2" w:rsidRPr="00E47326" w:rsidRDefault="00CA4AB2" w:rsidP="00CA4AB2">
            <w:pPr>
              <w:widowControl/>
              <w:autoSpaceDE/>
              <w:autoSpaceDN/>
              <w:adjustRightInd/>
              <w:jc w:val="right"/>
              <w:rPr>
                <w:color w:val="000000"/>
                <w:szCs w:val="20"/>
              </w:rPr>
            </w:pPr>
            <w:r w:rsidRPr="006E6183">
              <w:t>3,300</w:t>
            </w:r>
          </w:p>
        </w:tc>
        <w:tc>
          <w:tcPr>
            <w:tcW w:w="1172" w:type="dxa"/>
            <w:tcBorders>
              <w:top w:val="nil"/>
              <w:left w:val="nil"/>
              <w:bottom w:val="single" w:sz="8" w:space="0" w:color="auto"/>
              <w:right w:val="single" w:sz="8" w:space="0" w:color="auto"/>
            </w:tcBorders>
            <w:shd w:val="clear" w:color="auto" w:fill="auto"/>
            <w:noWrap/>
            <w:hideMark/>
          </w:tcPr>
          <w:p w14:paraId="33EB6C00" w14:textId="77777777" w:rsidR="00CA4AB2" w:rsidRPr="00E47326" w:rsidRDefault="00CA4AB2" w:rsidP="00CA4AB2">
            <w:pPr>
              <w:widowControl/>
              <w:autoSpaceDE/>
              <w:autoSpaceDN/>
              <w:adjustRightInd/>
              <w:jc w:val="right"/>
              <w:rPr>
                <w:color w:val="000000"/>
                <w:szCs w:val="20"/>
              </w:rPr>
            </w:pPr>
            <w:r w:rsidRPr="006E6183">
              <w:t>7.43</w:t>
            </w:r>
          </w:p>
        </w:tc>
        <w:tc>
          <w:tcPr>
            <w:tcW w:w="851" w:type="dxa"/>
            <w:tcBorders>
              <w:top w:val="nil"/>
              <w:left w:val="nil"/>
              <w:bottom w:val="single" w:sz="8" w:space="0" w:color="auto"/>
              <w:right w:val="single" w:sz="8" w:space="0" w:color="auto"/>
            </w:tcBorders>
            <w:shd w:val="clear" w:color="auto" w:fill="auto"/>
            <w:noWrap/>
            <w:hideMark/>
          </w:tcPr>
          <w:p w14:paraId="699B0B0C" w14:textId="77777777" w:rsidR="00CA4AB2" w:rsidRPr="00E47326" w:rsidRDefault="00CA4AB2" w:rsidP="00CA4AB2">
            <w:pPr>
              <w:widowControl/>
              <w:autoSpaceDE/>
              <w:autoSpaceDN/>
              <w:adjustRightInd/>
              <w:jc w:val="right"/>
              <w:rPr>
                <w:color w:val="000000"/>
                <w:szCs w:val="20"/>
              </w:rPr>
            </w:pPr>
            <w:r w:rsidRPr="006E6183">
              <w:t>24519</w:t>
            </w:r>
          </w:p>
        </w:tc>
        <w:tc>
          <w:tcPr>
            <w:tcW w:w="1270" w:type="dxa"/>
            <w:tcBorders>
              <w:top w:val="nil"/>
              <w:left w:val="nil"/>
              <w:bottom w:val="single" w:sz="8" w:space="0" w:color="auto"/>
              <w:right w:val="single" w:sz="8" w:space="0" w:color="auto"/>
            </w:tcBorders>
            <w:shd w:val="clear" w:color="auto" w:fill="auto"/>
            <w:noWrap/>
            <w:hideMark/>
          </w:tcPr>
          <w:p w14:paraId="7C03BD66" w14:textId="77777777" w:rsidR="00CA4AB2" w:rsidRPr="00E47326" w:rsidRDefault="00CA4AB2" w:rsidP="00CA4AB2">
            <w:pPr>
              <w:widowControl/>
              <w:autoSpaceDE/>
              <w:autoSpaceDN/>
              <w:adjustRightInd/>
              <w:jc w:val="right"/>
              <w:rPr>
                <w:color w:val="000000"/>
                <w:szCs w:val="20"/>
              </w:rPr>
            </w:pPr>
            <w:r w:rsidRPr="006E6183">
              <w:t xml:space="preserve">$134.50 </w:t>
            </w:r>
          </w:p>
        </w:tc>
        <w:tc>
          <w:tcPr>
            <w:tcW w:w="2920" w:type="dxa"/>
            <w:tcBorders>
              <w:top w:val="nil"/>
              <w:left w:val="nil"/>
              <w:bottom w:val="single" w:sz="8" w:space="0" w:color="auto"/>
              <w:right w:val="single" w:sz="8" w:space="0" w:color="auto"/>
            </w:tcBorders>
            <w:shd w:val="clear" w:color="auto" w:fill="auto"/>
            <w:noWrap/>
            <w:hideMark/>
          </w:tcPr>
          <w:p w14:paraId="3685DD6E" w14:textId="77777777" w:rsidR="00CA4AB2" w:rsidRPr="00E47326" w:rsidRDefault="00CA4AB2" w:rsidP="00CA4AB2">
            <w:pPr>
              <w:widowControl/>
              <w:autoSpaceDE/>
              <w:autoSpaceDN/>
              <w:adjustRightInd/>
              <w:jc w:val="right"/>
              <w:rPr>
                <w:color w:val="000000"/>
                <w:szCs w:val="20"/>
              </w:rPr>
            </w:pPr>
            <w:r w:rsidRPr="006E6183">
              <w:t xml:space="preserve">$3,297,806 </w:t>
            </w:r>
          </w:p>
        </w:tc>
      </w:tr>
      <w:tr w:rsidR="006E6183" w:rsidRPr="006E6183" w14:paraId="7C724A0A" w14:textId="77777777" w:rsidTr="006E6183">
        <w:trPr>
          <w:cantSplit/>
          <w:trHeight w:val="1290"/>
        </w:trPr>
        <w:tc>
          <w:tcPr>
            <w:tcW w:w="1900" w:type="dxa"/>
            <w:tcBorders>
              <w:top w:val="nil"/>
              <w:left w:val="single" w:sz="8" w:space="0" w:color="auto"/>
              <w:bottom w:val="single" w:sz="8" w:space="0" w:color="auto"/>
              <w:right w:val="single" w:sz="8" w:space="0" w:color="auto"/>
            </w:tcBorders>
            <w:shd w:val="clear" w:color="auto" w:fill="auto"/>
            <w:hideMark/>
          </w:tcPr>
          <w:p w14:paraId="51A45EF6" w14:textId="77777777" w:rsidR="00CA4AB2" w:rsidRPr="00E47326" w:rsidRDefault="00CA4AB2" w:rsidP="00CA4AB2">
            <w:pPr>
              <w:widowControl/>
              <w:autoSpaceDE/>
              <w:autoSpaceDN/>
              <w:adjustRightInd/>
              <w:rPr>
                <w:color w:val="000000"/>
                <w:szCs w:val="20"/>
              </w:rPr>
            </w:pPr>
            <w:r w:rsidRPr="006E6183">
              <w:t xml:space="preserve">§495.342 </w:t>
            </w:r>
            <w:r w:rsidRPr="006E6183">
              <w:rPr>
                <w:rFonts w:ascii="Cambria Math" w:hAnsi="Cambria Math" w:cs="Cambria Math"/>
              </w:rPr>
              <w:t>‑</w:t>
            </w:r>
            <w:r w:rsidRPr="006E6183">
              <w:t xml:space="preserve"> 1. Frequency of Health Information Technology (HIT) Implementation Advanced Planning Document (IAPD) Updates </w:t>
            </w:r>
          </w:p>
        </w:tc>
        <w:tc>
          <w:tcPr>
            <w:tcW w:w="960" w:type="dxa"/>
            <w:tcBorders>
              <w:top w:val="nil"/>
              <w:left w:val="nil"/>
              <w:bottom w:val="single" w:sz="8" w:space="0" w:color="auto"/>
              <w:right w:val="single" w:sz="8" w:space="0" w:color="auto"/>
            </w:tcBorders>
            <w:shd w:val="clear" w:color="auto" w:fill="auto"/>
            <w:noWrap/>
            <w:hideMark/>
          </w:tcPr>
          <w:p w14:paraId="29DBD86A" w14:textId="77777777" w:rsidR="00CA4AB2" w:rsidRPr="00E47326" w:rsidRDefault="00CA4AB2" w:rsidP="00CA4AB2">
            <w:pPr>
              <w:widowControl/>
              <w:autoSpaceDE/>
              <w:autoSpaceDN/>
              <w:adjustRightInd/>
              <w:rPr>
                <w:color w:val="000000"/>
                <w:sz w:val="18"/>
                <w:szCs w:val="18"/>
              </w:rPr>
            </w:pPr>
            <w:r w:rsidRPr="006E6183">
              <w:t>0938-1158</w:t>
            </w:r>
          </w:p>
        </w:tc>
        <w:tc>
          <w:tcPr>
            <w:tcW w:w="1483" w:type="dxa"/>
            <w:tcBorders>
              <w:top w:val="nil"/>
              <w:left w:val="nil"/>
              <w:bottom w:val="single" w:sz="8" w:space="0" w:color="auto"/>
              <w:right w:val="single" w:sz="8" w:space="0" w:color="auto"/>
            </w:tcBorders>
            <w:shd w:val="clear" w:color="auto" w:fill="auto"/>
            <w:noWrap/>
            <w:hideMark/>
          </w:tcPr>
          <w:p w14:paraId="720A1433" w14:textId="77777777" w:rsidR="00CA4AB2" w:rsidRPr="00E47326" w:rsidRDefault="00CA4AB2" w:rsidP="00CA4AB2">
            <w:pPr>
              <w:widowControl/>
              <w:autoSpaceDE/>
              <w:autoSpaceDN/>
              <w:adjustRightInd/>
              <w:jc w:val="right"/>
              <w:rPr>
                <w:color w:val="000000"/>
                <w:szCs w:val="20"/>
              </w:rPr>
            </w:pPr>
            <w:r w:rsidRPr="006E6183">
              <w:t>56</w:t>
            </w:r>
          </w:p>
        </w:tc>
        <w:tc>
          <w:tcPr>
            <w:tcW w:w="1284" w:type="dxa"/>
            <w:tcBorders>
              <w:top w:val="nil"/>
              <w:left w:val="nil"/>
              <w:bottom w:val="single" w:sz="8" w:space="0" w:color="auto"/>
              <w:right w:val="single" w:sz="8" w:space="0" w:color="auto"/>
            </w:tcBorders>
            <w:shd w:val="clear" w:color="auto" w:fill="auto"/>
            <w:noWrap/>
            <w:hideMark/>
          </w:tcPr>
          <w:p w14:paraId="07B5E37D" w14:textId="77777777" w:rsidR="00CA4AB2" w:rsidRPr="00E47326" w:rsidRDefault="00CA4AB2" w:rsidP="00CA4AB2">
            <w:pPr>
              <w:widowControl/>
              <w:autoSpaceDE/>
              <w:autoSpaceDN/>
              <w:adjustRightInd/>
              <w:jc w:val="right"/>
              <w:rPr>
                <w:color w:val="000000"/>
                <w:szCs w:val="20"/>
              </w:rPr>
            </w:pPr>
            <w:r w:rsidRPr="006E6183">
              <w:t>56</w:t>
            </w:r>
          </w:p>
        </w:tc>
        <w:tc>
          <w:tcPr>
            <w:tcW w:w="1172" w:type="dxa"/>
            <w:tcBorders>
              <w:top w:val="nil"/>
              <w:left w:val="nil"/>
              <w:bottom w:val="single" w:sz="8" w:space="0" w:color="auto"/>
              <w:right w:val="single" w:sz="8" w:space="0" w:color="auto"/>
            </w:tcBorders>
            <w:shd w:val="clear" w:color="auto" w:fill="auto"/>
            <w:noWrap/>
            <w:hideMark/>
          </w:tcPr>
          <w:p w14:paraId="67E4E8BB" w14:textId="77777777" w:rsidR="00CA4AB2" w:rsidRPr="00E47326" w:rsidRDefault="00CA4AB2" w:rsidP="00CA4AB2">
            <w:pPr>
              <w:widowControl/>
              <w:autoSpaceDE/>
              <w:autoSpaceDN/>
              <w:adjustRightInd/>
              <w:jc w:val="right"/>
              <w:rPr>
                <w:color w:val="000000"/>
                <w:szCs w:val="20"/>
              </w:rPr>
            </w:pPr>
            <w:r w:rsidRPr="006E6183">
              <w:t>20</w:t>
            </w:r>
          </w:p>
        </w:tc>
        <w:tc>
          <w:tcPr>
            <w:tcW w:w="851" w:type="dxa"/>
            <w:tcBorders>
              <w:top w:val="nil"/>
              <w:left w:val="nil"/>
              <w:bottom w:val="single" w:sz="8" w:space="0" w:color="auto"/>
              <w:right w:val="single" w:sz="8" w:space="0" w:color="auto"/>
            </w:tcBorders>
            <w:shd w:val="clear" w:color="auto" w:fill="auto"/>
            <w:noWrap/>
            <w:hideMark/>
          </w:tcPr>
          <w:p w14:paraId="53C14239" w14:textId="77777777" w:rsidR="00CA4AB2" w:rsidRPr="00E47326" w:rsidRDefault="00CA4AB2" w:rsidP="00CA4AB2">
            <w:pPr>
              <w:widowControl/>
              <w:autoSpaceDE/>
              <w:autoSpaceDN/>
              <w:adjustRightInd/>
              <w:jc w:val="right"/>
              <w:rPr>
                <w:color w:val="000000"/>
                <w:szCs w:val="20"/>
              </w:rPr>
            </w:pPr>
            <w:r w:rsidRPr="006E6183">
              <w:t>1,120</w:t>
            </w:r>
          </w:p>
        </w:tc>
        <w:tc>
          <w:tcPr>
            <w:tcW w:w="1270" w:type="dxa"/>
            <w:tcBorders>
              <w:top w:val="nil"/>
              <w:left w:val="nil"/>
              <w:bottom w:val="single" w:sz="8" w:space="0" w:color="auto"/>
              <w:right w:val="single" w:sz="8" w:space="0" w:color="auto"/>
            </w:tcBorders>
            <w:shd w:val="clear" w:color="auto" w:fill="auto"/>
            <w:noWrap/>
            <w:hideMark/>
          </w:tcPr>
          <w:p w14:paraId="38165AF3" w14:textId="77777777" w:rsidR="00CA4AB2" w:rsidRPr="00E47326" w:rsidRDefault="00CA4AB2" w:rsidP="00CA4AB2">
            <w:pPr>
              <w:widowControl/>
              <w:autoSpaceDE/>
              <w:autoSpaceDN/>
              <w:adjustRightInd/>
              <w:jc w:val="right"/>
              <w:rPr>
                <w:color w:val="000000"/>
                <w:szCs w:val="20"/>
              </w:rPr>
            </w:pPr>
            <w:r w:rsidRPr="006E6183">
              <w:t xml:space="preserve">$3.05 </w:t>
            </w:r>
          </w:p>
        </w:tc>
        <w:tc>
          <w:tcPr>
            <w:tcW w:w="2920" w:type="dxa"/>
            <w:tcBorders>
              <w:top w:val="nil"/>
              <w:left w:val="nil"/>
              <w:bottom w:val="single" w:sz="8" w:space="0" w:color="auto"/>
              <w:right w:val="single" w:sz="8" w:space="0" w:color="auto"/>
            </w:tcBorders>
            <w:shd w:val="clear" w:color="auto" w:fill="auto"/>
            <w:noWrap/>
            <w:hideMark/>
          </w:tcPr>
          <w:p w14:paraId="4CABF8BD" w14:textId="77777777" w:rsidR="00CA4AB2" w:rsidRPr="00E47326" w:rsidRDefault="00CA4AB2" w:rsidP="00CA4AB2">
            <w:pPr>
              <w:widowControl/>
              <w:autoSpaceDE/>
              <w:autoSpaceDN/>
              <w:adjustRightInd/>
              <w:jc w:val="right"/>
              <w:rPr>
                <w:color w:val="000000"/>
                <w:szCs w:val="20"/>
              </w:rPr>
            </w:pPr>
            <w:r w:rsidRPr="006E6183">
              <w:t xml:space="preserve">$3,413 </w:t>
            </w:r>
          </w:p>
        </w:tc>
      </w:tr>
      <w:tr w:rsidR="006E6183" w:rsidRPr="006E6183" w14:paraId="71D273D1" w14:textId="77777777" w:rsidTr="006E6183">
        <w:trPr>
          <w:cantSplit/>
          <w:trHeight w:val="780"/>
        </w:trPr>
        <w:tc>
          <w:tcPr>
            <w:tcW w:w="1900" w:type="dxa"/>
            <w:tcBorders>
              <w:top w:val="nil"/>
              <w:left w:val="single" w:sz="8" w:space="0" w:color="auto"/>
              <w:bottom w:val="single" w:sz="8" w:space="0" w:color="auto"/>
              <w:right w:val="single" w:sz="8" w:space="0" w:color="auto"/>
            </w:tcBorders>
            <w:shd w:val="clear" w:color="auto" w:fill="auto"/>
            <w:hideMark/>
          </w:tcPr>
          <w:p w14:paraId="478F6A9A" w14:textId="77777777" w:rsidR="00CA4AB2" w:rsidRPr="00E47326" w:rsidRDefault="00CA4AB2" w:rsidP="00CA4AB2">
            <w:pPr>
              <w:widowControl/>
              <w:autoSpaceDE/>
              <w:autoSpaceDN/>
              <w:adjustRightInd/>
              <w:rPr>
                <w:b/>
                <w:bCs/>
                <w:color w:val="000000"/>
                <w:szCs w:val="20"/>
              </w:rPr>
            </w:pPr>
            <w:r w:rsidRPr="006E6183">
              <w:t>Burden Total for 2018</w:t>
            </w:r>
          </w:p>
        </w:tc>
        <w:tc>
          <w:tcPr>
            <w:tcW w:w="960" w:type="dxa"/>
            <w:tcBorders>
              <w:top w:val="nil"/>
              <w:left w:val="nil"/>
              <w:bottom w:val="single" w:sz="8" w:space="0" w:color="auto"/>
              <w:right w:val="single" w:sz="8" w:space="0" w:color="auto"/>
            </w:tcBorders>
            <w:shd w:val="clear" w:color="auto" w:fill="auto"/>
            <w:noWrap/>
            <w:hideMark/>
          </w:tcPr>
          <w:p w14:paraId="63F97148" w14:textId="77777777" w:rsidR="00CA4AB2" w:rsidRPr="00E47326" w:rsidRDefault="00CA4AB2" w:rsidP="00CA4AB2">
            <w:pPr>
              <w:widowControl/>
              <w:autoSpaceDE/>
              <w:autoSpaceDN/>
              <w:adjustRightInd/>
              <w:rPr>
                <w:b/>
                <w:bCs/>
                <w:color w:val="000000"/>
                <w:szCs w:val="20"/>
              </w:rPr>
            </w:pPr>
          </w:p>
        </w:tc>
        <w:tc>
          <w:tcPr>
            <w:tcW w:w="1483" w:type="dxa"/>
            <w:tcBorders>
              <w:top w:val="nil"/>
              <w:left w:val="nil"/>
              <w:bottom w:val="single" w:sz="8" w:space="0" w:color="auto"/>
              <w:right w:val="single" w:sz="8" w:space="0" w:color="auto"/>
            </w:tcBorders>
            <w:shd w:val="clear" w:color="auto" w:fill="auto"/>
            <w:noWrap/>
            <w:hideMark/>
          </w:tcPr>
          <w:p w14:paraId="737BC11A" w14:textId="77777777" w:rsidR="00CA4AB2" w:rsidRPr="00E47326" w:rsidRDefault="00CA4AB2" w:rsidP="00CA4AB2">
            <w:pPr>
              <w:widowControl/>
              <w:autoSpaceDE/>
              <w:autoSpaceDN/>
              <w:adjustRightInd/>
              <w:jc w:val="right"/>
              <w:rPr>
                <w:b/>
                <w:bCs/>
                <w:color w:val="000000"/>
                <w:szCs w:val="20"/>
              </w:rPr>
            </w:pPr>
          </w:p>
        </w:tc>
        <w:tc>
          <w:tcPr>
            <w:tcW w:w="1284" w:type="dxa"/>
            <w:tcBorders>
              <w:top w:val="nil"/>
              <w:left w:val="nil"/>
              <w:bottom w:val="single" w:sz="8" w:space="0" w:color="auto"/>
              <w:right w:val="single" w:sz="8" w:space="0" w:color="auto"/>
            </w:tcBorders>
            <w:shd w:val="clear" w:color="auto" w:fill="auto"/>
            <w:noWrap/>
            <w:hideMark/>
          </w:tcPr>
          <w:p w14:paraId="6DABFC80" w14:textId="77777777" w:rsidR="00CA4AB2" w:rsidRPr="00E47326" w:rsidRDefault="00CA4AB2" w:rsidP="00CA4AB2">
            <w:pPr>
              <w:widowControl/>
              <w:autoSpaceDE/>
              <w:autoSpaceDN/>
              <w:adjustRightInd/>
              <w:jc w:val="right"/>
              <w:rPr>
                <w:b/>
                <w:bCs/>
                <w:color w:val="000000"/>
                <w:szCs w:val="20"/>
              </w:rPr>
            </w:pPr>
          </w:p>
        </w:tc>
        <w:tc>
          <w:tcPr>
            <w:tcW w:w="1172" w:type="dxa"/>
            <w:tcBorders>
              <w:top w:val="nil"/>
              <w:left w:val="nil"/>
              <w:bottom w:val="single" w:sz="8" w:space="0" w:color="auto"/>
              <w:right w:val="single" w:sz="8" w:space="0" w:color="auto"/>
            </w:tcBorders>
            <w:shd w:val="clear" w:color="auto" w:fill="auto"/>
            <w:hideMark/>
          </w:tcPr>
          <w:p w14:paraId="7A02B6A7" w14:textId="77777777" w:rsidR="00CA4AB2" w:rsidRPr="00E47326" w:rsidRDefault="00CA4AB2" w:rsidP="00CA4AB2">
            <w:pPr>
              <w:widowControl/>
              <w:autoSpaceDE/>
              <w:autoSpaceDN/>
              <w:adjustRightInd/>
              <w:jc w:val="right"/>
              <w:rPr>
                <w:b/>
                <w:bCs/>
                <w:color w:val="000000"/>
                <w:szCs w:val="20"/>
              </w:rPr>
            </w:pPr>
          </w:p>
        </w:tc>
        <w:tc>
          <w:tcPr>
            <w:tcW w:w="851" w:type="dxa"/>
            <w:tcBorders>
              <w:top w:val="nil"/>
              <w:left w:val="nil"/>
              <w:bottom w:val="single" w:sz="8" w:space="0" w:color="auto"/>
              <w:right w:val="single" w:sz="8" w:space="0" w:color="auto"/>
            </w:tcBorders>
            <w:shd w:val="clear" w:color="auto" w:fill="auto"/>
            <w:noWrap/>
            <w:hideMark/>
          </w:tcPr>
          <w:p w14:paraId="5526241F" w14:textId="77777777" w:rsidR="00CA4AB2" w:rsidRPr="00E47326" w:rsidRDefault="00CA4AB2" w:rsidP="00CA4AB2">
            <w:pPr>
              <w:widowControl/>
              <w:autoSpaceDE/>
              <w:autoSpaceDN/>
              <w:adjustRightInd/>
              <w:jc w:val="right"/>
              <w:rPr>
                <w:b/>
                <w:bCs/>
                <w:color w:val="000000"/>
                <w:szCs w:val="20"/>
              </w:rPr>
            </w:pPr>
            <w:r w:rsidRPr="006E6183">
              <w:t>575,427</w:t>
            </w:r>
          </w:p>
        </w:tc>
        <w:tc>
          <w:tcPr>
            <w:tcW w:w="1270" w:type="dxa"/>
            <w:tcBorders>
              <w:top w:val="nil"/>
              <w:left w:val="nil"/>
              <w:bottom w:val="single" w:sz="8" w:space="0" w:color="auto"/>
              <w:right w:val="single" w:sz="8" w:space="0" w:color="auto"/>
            </w:tcBorders>
            <w:shd w:val="clear" w:color="auto" w:fill="auto"/>
            <w:hideMark/>
          </w:tcPr>
          <w:p w14:paraId="3344920E" w14:textId="77777777" w:rsidR="00CA4AB2" w:rsidRPr="00E47326" w:rsidRDefault="00CA4AB2" w:rsidP="00CA4AB2">
            <w:pPr>
              <w:widowControl/>
              <w:autoSpaceDE/>
              <w:autoSpaceDN/>
              <w:adjustRightInd/>
              <w:jc w:val="right"/>
              <w:rPr>
                <w:b/>
                <w:bCs/>
                <w:color w:val="000000"/>
                <w:szCs w:val="20"/>
              </w:rPr>
            </w:pPr>
          </w:p>
        </w:tc>
        <w:tc>
          <w:tcPr>
            <w:tcW w:w="2920" w:type="dxa"/>
            <w:tcBorders>
              <w:top w:val="nil"/>
              <w:left w:val="nil"/>
              <w:bottom w:val="single" w:sz="8" w:space="0" w:color="auto"/>
              <w:right w:val="single" w:sz="8" w:space="0" w:color="auto"/>
            </w:tcBorders>
            <w:shd w:val="clear" w:color="auto" w:fill="auto"/>
            <w:hideMark/>
          </w:tcPr>
          <w:p w14:paraId="68A3DFED" w14:textId="77777777" w:rsidR="00CA4AB2" w:rsidRPr="00E47326" w:rsidRDefault="00A4207D" w:rsidP="00CA4AB2">
            <w:pPr>
              <w:widowControl/>
              <w:autoSpaceDE/>
              <w:autoSpaceDN/>
              <w:adjustRightInd/>
              <w:jc w:val="right"/>
              <w:rPr>
                <w:b/>
                <w:bCs/>
                <w:color w:val="000000"/>
                <w:szCs w:val="20"/>
              </w:rPr>
            </w:pPr>
            <w:r w:rsidRPr="006E6183">
              <w:t>$113,194,13</w:t>
            </w:r>
            <w:r w:rsidR="00CA4AB2" w:rsidRPr="006E6183">
              <w:t xml:space="preserve">0 </w:t>
            </w:r>
          </w:p>
        </w:tc>
      </w:tr>
    </w:tbl>
    <w:p w14:paraId="31B20845" w14:textId="77777777" w:rsidR="002D3B2F" w:rsidRDefault="002D3B2F" w:rsidP="00A83D2B">
      <w:pPr>
        <w:keepNext/>
        <w:keepLines/>
        <w:widowControl/>
        <w:rPr>
          <w:b/>
        </w:rPr>
      </w:pPr>
    </w:p>
    <w:p w14:paraId="15F415E9" w14:textId="77777777" w:rsidR="004A30F9" w:rsidRDefault="004A30F9">
      <w:pPr>
        <w:widowControl/>
        <w:autoSpaceDE/>
        <w:autoSpaceDN/>
        <w:adjustRightInd/>
        <w:rPr>
          <w:color w:val="000000"/>
        </w:rPr>
      </w:pPr>
    </w:p>
    <w:p w14:paraId="4FF95320" w14:textId="77777777" w:rsidR="004A30F9" w:rsidRDefault="004A30F9">
      <w:pPr>
        <w:widowControl/>
        <w:autoSpaceDE/>
        <w:autoSpaceDN/>
        <w:adjustRightInd/>
        <w:rPr>
          <w:color w:val="000000"/>
        </w:rPr>
      </w:pPr>
    </w:p>
    <w:p w14:paraId="2AF6D768" w14:textId="77777777" w:rsidR="00A8355F" w:rsidRDefault="00A8355F">
      <w:pPr>
        <w:widowControl/>
        <w:autoSpaceDE/>
        <w:autoSpaceDN/>
        <w:adjustRightInd/>
        <w:rPr>
          <w:color w:val="000000"/>
        </w:rPr>
      </w:pPr>
    </w:p>
    <w:p w14:paraId="5AB27005" w14:textId="77777777" w:rsidR="007B55FA" w:rsidRDefault="007B55FA">
      <w:pPr>
        <w:widowControl/>
        <w:autoSpaceDE/>
        <w:autoSpaceDN/>
        <w:adjustRightInd/>
        <w:rPr>
          <w:color w:val="000000"/>
        </w:rPr>
      </w:pPr>
    </w:p>
    <w:p w14:paraId="0A805559" w14:textId="77777777" w:rsidR="00A8355F" w:rsidRDefault="00A8355F">
      <w:pPr>
        <w:widowControl/>
        <w:autoSpaceDE/>
        <w:autoSpaceDN/>
        <w:adjustRightInd/>
        <w:rPr>
          <w:color w:val="000000"/>
        </w:rPr>
      </w:pPr>
    </w:p>
    <w:p w14:paraId="7856EF86" w14:textId="77777777" w:rsidR="00A8355F" w:rsidRDefault="00A8355F">
      <w:pPr>
        <w:widowControl/>
        <w:autoSpaceDE/>
        <w:autoSpaceDN/>
        <w:adjustRightInd/>
        <w:rPr>
          <w:color w:val="000000"/>
        </w:rPr>
      </w:pPr>
    </w:p>
    <w:tbl>
      <w:tblPr>
        <w:tblStyle w:val="TableGrid"/>
        <w:tblW w:w="0" w:type="auto"/>
        <w:tblInd w:w="1255" w:type="dxa"/>
        <w:tblLook w:val="04A0" w:firstRow="1" w:lastRow="0" w:firstColumn="1" w:lastColumn="0" w:noHBand="0" w:noVBand="1"/>
      </w:tblPr>
      <w:tblGrid>
        <w:gridCol w:w="3780"/>
        <w:gridCol w:w="1030"/>
        <w:gridCol w:w="5000"/>
      </w:tblGrid>
      <w:tr w:rsidR="005917E4" w14:paraId="10FEB4D6" w14:textId="77777777" w:rsidTr="005917E4">
        <w:tc>
          <w:tcPr>
            <w:tcW w:w="3780" w:type="dxa"/>
          </w:tcPr>
          <w:p w14:paraId="3A2FF0B9" w14:textId="77777777" w:rsidR="005917E4" w:rsidRPr="000546B3" w:rsidRDefault="005917E4" w:rsidP="005917E4">
            <w:pPr>
              <w:widowControl/>
              <w:rPr>
                <w:b/>
              </w:rPr>
            </w:pPr>
            <w:r w:rsidRPr="000546B3">
              <w:rPr>
                <w:b/>
              </w:rPr>
              <w:t>Position</w:t>
            </w:r>
          </w:p>
        </w:tc>
        <w:tc>
          <w:tcPr>
            <w:tcW w:w="1030" w:type="dxa"/>
          </w:tcPr>
          <w:p w14:paraId="5C32CB96" w14:textId="77777777" w:rsidR="005917E4" w:rsidRPr="000546B3" w:rsidRDefault="005917E4" w:rsidP="005917E4">
            <w:pPr>
              <w:widowControl/>
              <w:rPr>
                <w:b/>
              </w:rPr>
            </w:pPr>
            <w:r w:rsidRPr="000546B3">
              <w:rPr>
                <w:b/>
              </w:rPr>
              <w:t>Salary</w:t>
            </w:r>
            <w:r w:rsidR="00CA4AB2">
              <w:rPr>
                <w:rStyle w:val="FootnoteReference"/>
                <w:b/>
              </w:rPr>
              <w:footnoteReference w:id="1"/>
            </w:r>
          </w:p>
        </w:tc>
        <w:tc>
          <w:tcPr>
            <w:tcW w:w="5000" w:type="dxa"/>
          </w:tcPr>
          <w:p w14:paraId="23B9264A" w14:textId="77777777" w:rsidR="005917E4" w:rsidRPr="000546B3" w:rsidRDefault="005917E4" w:rsidP="005917E4">
            <w:pPr>
              <w:widowControl/>
              <w:rPr>
                <w:b/>
              </w:rPr>
            </w:pPr>
            <w:r w:rsidRPr="000546B3">
              <w:rPr>
                <w:b/>
              </w:rPr>
              <w:t>Bureau of Labor Statistics</w:t>
            </w:r>
            <w:r>
              <w:rPr>
                <w:b/>
              </w:rPr>
              <w:t>/Federal Salary Database</w:t>
            </w:r>
          </w:p>
        </w:tc>
      </w:tr>
      <w:tr w:rsidR="005917E4" w14:paraId="1FBB6607" w14:textId="77777777" w:rsidTr="005917E4">
        <w:tc>
          <w:tcPr>
            <w:tcW w:w="3780" w:type="dxa"/>
          </w:tcPr>
          <w:p w14:paraId="166C21F4" w14:textId="77777777" w:rsidR="005917E4" w:rsidRDefault="005917E4" w:rsidP="005917E4">
            <w:pPr>
              <w:widowControl/>
            </w:pPr>
            <w:r>
              <w:t xml:space="preserve">Physician </w:t>
            </w:r>
          </w:p>
        </w:tc>
        <w:tc>
          <w:tcPr>
            <w:tcW w:w="1030" w:type="dxa"/>
          </w:tcPr>
          <w:p w14:paraId="4D5F478F" w14:textId="77777777" w:rsidR="005917E4" w:rsidRDefault="005917E4" w:rsidP="005917E4">
            <w:pPr>
              <w:widowControl/>
            </w:pPr>
            <w:r>
              <w:br/>
              <w:t>$100.00</w:t>
            </w:r>
          </w:p>
        </w:tc>
        <w:tc>
          <w:tcPr>
            <w:tcW w:w="5000" w:type="dxa"/>
          </w:tcPr>
          <w:p w14:paraId="5B492272" w14:textId="77777777" w:rsidR="005917E4" w:rsidRDefault="005D0343" w:rsidP="005917E4">
            <w:pPr>
              <w:widowControl/>
            </w:pPr>
            <w:hyperlink r:id="rId11" w:history="1">
              <w:r w:rsidR="005917E4" w:rsidRPr="00884195">
                <w:rPr>
                  <w:rStyle w:val="Hyperlink"/>
                </w:rPr>
                <w:t>https://www.bls.gov/ooh/healthcare/physicians-and-surgeons.htm</w:t>
              </w:r>
            </w:hyperlink>
            <w:r w:rsidR="005917E4">
              <w:t xml:space="preserve"> </w:t>
            </w:r>
          </w:p>
        </w:tc>
      </w:tr>
      <w:tr w:rsidR="005917E4" w14:paraId="349A3155" w14:textId="77777777" w:rsidTr="005917E4">
        <w:tc>
          <w:tcPr>
            <w:tcW w:w="3780" w:type="dxa"/>
          </w:tcPr>
          <w:p w14:paraId="7345E29F" w14:textId="77777777" w:rsidR="005917E4" w:rsidRDefault="005917E4" w:rsidP="005917E4">
            <w:pPr>
              <w:widowControl/>
            </w:pPr>
            <w:r>
              <w:t xml:space="preserve">Lawyer </w:t>
            </w:r>
          </w:p>
        </w:tc>
        <w:tc>
          <w:tcPr>
            <w:tcW w:w="1030" w:type="dxa"/>
          </w:tcPr>
          <w:p w14:paraId="5B13E3EC" w14:textId="77777777" w:rsidR="005917E4" w:rsidRDefault="005917E4" w:rsidP="005917E4">
            <w:pPr>
              <w:widowControl/>
            </w:pPr>
            <w:r>
              <w:t>$67.25</w:t>
            </w:r>
          </w:p>
        </w:tc>
        <w:tc>
          <w:tcPr>
            <w:tcW w:w="5000" w:type="dxa"/>
          </w:tcPr>
          <w:p w14:paraId="251BBFCF" w14:textId="77777777" w:rsidR="005917E4" w:rsidRDefault="005D0343" w:rsidP="005917E4">
            <w:pPr>
              <w:widowControl/>
            </w:pPr>
            <w:hyperlink r:id="rId12" w:history="1">
              <w:r w:rsidR="005917E4" w:rsidRPr="00B14E02">
                <w:rPr>
                  <w:rStyle w:val="Hyperlink"/>
                </w:rPr>
                <w:t>https://www.bls.gov/oes/current/oes231011.htm</w:t>
              </w:r>
            </w:hyperlink>
            <w:r w:rsidR="005917E4">
              <w:t xml:space="preserve"> </w:t>
            </w:r>
          </w:p>
        </w:tc>
      </w:tr>
      <w:tr w:rsidR="005917E4" w14:paraId="12FAA3A7" w14:textId="77777777" w:rsidTr="005917E4">
        <w:tc>
          <w:tcPr>
            <w:tcW w:w="3780" w:type="dxa"/>
          </w:tcPr>
          <w:p w14:paraId="1A634826" w14:textId="77777777" w:rsidR="005917E4" w:rsidRDefault="005917E4" w:rsidP="005917E4">
            <w:pPr>
              <w:widowControl/>
            </w:pPr>
            <w:r>
              <w:t>State employee equivalent to a GS 12</w:t>
            </w:r>
          </w:p>
        </w:tc>
        <w:tc>
          <w:tcPr>
            <w:tcW w:w="1030" w:type="dxa"/>
          </w:tcPr>
          <w:p w14:paraId="6DD38B1B" w14:textId="77777777" w:rsidR="005917E4" w:rsidRDefault="005917E4" w:rsidP="005917E4">
            <w:pPr>
              <w:widowControl/>
            </w:pPr>
            <w:r>
              <w:t>$3.047</w:t>
            </w:r>
            <w:r>
              <w:rPr>
                <w:rStyle w:val="FootnoteReference"/>
              </w:rPr>
              <w:footnoteReference w:id="2"/>
            </w:r>
          </w:p>
        </w:tc>
        <w:tc>
          <w:tcPr>
            <w:tcW w:w="5000" w:type="dxa"/>
          </w:tcPr>
          <w:p w14:paraId="678C7894" w14:textId="77777777" w:rsidR="005917E4" w:rsidRDefault="005D0343" w:rsidP="005917E4">
            <w:pPr>
              <w:widowControl/>
            </w:pPr>
            <w:hyperlink r:id="rId13" w:history="1">
              <w:r w:rsidR="005917E4" w:rsidRPr="00884195">
                <w:rPr>
                  <w:rStyle w:val="Hyperlink"/>
                </w:rPr>
                <w:t>https://www.federalpay.org/gs/2018/GS-12</w:t>
              </w:r>
            </w:hyperlink>
            <w:r w:rsidR="005917E4">
              <w:t xml:space="preserve"> </w:t>
            </w:r>
          </w:p>
        </w:tc>
      </w:tr>
    </w:tbl>
    <w:p w14:paraId="346507FF" w14:textId="77777777" w:rsidR="005917E4" w:rsidRDefault="005917E4">
      <w:pPr>
        <w:widowControl/>
        <w:autoSpaceDE/>
        <w:autoSpaceDN/>
        <w:adjustRightInd/>
        <w:rPr>
          <w:color w:val="000000"/>
        </w:rPr>
      </w:pPr>
    </w:p>
    <w:p w14:paraId="22F0A2AC" w14:textId="77777777" w:rsidR="004154D5" w:rsidRDefault="004154D5">
      <w:pPr>
        <w:widowControl/>
        <w:autoSpaceDE/>
        <w:autoSpaceDN/>
        <w:adjustRightInd/>
        <w:rPr>
          <w:color w:val="000000"/>
        </w:rPr>
        <w:sectPr w:rsidR="004154D5" w:rsidSect="004A30F9">
          <w:endnotePr>
            <w:numFmt w:val="decimal"/>
          </w:endnotePr>
          <w:pgSz w:w="15840" w:h="12240" w:orient="landscape"/>
          <w:pgMar w:top="1440" w:right="1440" w:bottom="1296" w:left="1440" w:header="1440" w:footer="1440" w:gutter="0"/>
          <w:cols w:space="720"/>
          <w:noEndnote/>
        </w:sectPr>
      </w:pPr>
      <w:r>
        <w:rPr>
          <w:color w:val="000000"/>
        </w:rPr>
        <w:br w:type="page"/>
      </w:r>
    </w:p>
    <w:p w14:paraId="049D5C95" w14:textId="77777777" w:rsidR="004154D5" w:rsidRPr="004154D5" w:rsidRDefault="004154D5">
      <w:pPr>
        <w:widowControl/>
        <w:autoSpaceDE/>
        <w:autoSpaceDN/>
        <w:adjustRightInd/>
        <w:rPr>
          <w:color w:val="000000"/>
        </w:rPr>
      </w:pPr>
    </w:p>
    <w:p w14:paraId="23F5672B" w14:textId="77777777" w:rsidR="004154D5" w:rsidRDefault="004154D5" w:rsidP="00E30B1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883A874" w14:textId="77777777" w:rsidR="004C3541" w:rsidRDefault="004C35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DE216B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14:paraId="358E93F8" w14:textId="77777777" w:rsidR="00BE6065" w:rsidRDefault="00BE6065" w:rsidP="00BE6065">
      <w:pPr>
        <w:rPr>
          <w:sz w:val="18"/>
          <w:szCs w:val="18"/>
        </w:rPr>
      </w:pPr>
    </w:p>
    <w:p w14:paraId="39CF65FD" w14:textId="77777777" w:rsidR="00614E9A" w:rsidRPr="005C58DA" w:rsidRDefault="00851C3F" w:rsidP="00851C3F">
      <w:pPr>
        <w:rPr>
          <w:rFonts w:cs="Courier New"/>
          <w:b/>
          <w:sz w:val="24"/>
        </w:rPr>
      </w:pPr>
      <w:r>
        <w:rPr>
          <w:sz w:val="24"/>
        </w:rPr>
        <w:t xml:space="preserve">There are no capital costs associated with this information collection request. </w:t>
      </w:r>
    </w:p>
    <w:p w14:paraId="64886D08" w14:textId="77777777" w:rsidR="008F1EB4" w:rsidRPr="005C58D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0CBA8BE" w14:textId="77777777" w:rsidR="00F37EE8" w:rsidRPr="00F37EE8" w:rsidRDefault="00F37EE8" w:rsidP="00F37EE8">
      <w:pPr>
        <w:ind w:left="432" w:hanging="432"/>
        <w:rPr>
          <w:sz w:val="24"/>
          <w:u w:val="single"/>
        </w:rPr>
      </w:pPr>
      <w:r w:rsidRPr="00F37EE8">
        <w:rPr>
          <w:sz w:val="24"/>
        </w:rPr>
        <w:t xml:space="preserve">14.  </w:t>
      </w:r>
      <w:r w:rsidRPr="00F37EE8">
        <w:rPr>
          <w:sz w:val="24"/>
          <w:u w:val="single"/>
        </w:rPr>
        <w:t>Cost to Federal Government</w:t>
      </w:r>
    </w:p>
    <w:p w14:paraId="00155CE4" w14:textId="77777777" w:rsidR="00F37EE8" w:rsidRPr="00F37EE8" w:rsidRDefault="00F37EE8" w:rsidP="00F37EE8">
      <w:pPr>
        <w:rPr>
          <w:rFonts w:ascii="Shruti" w:hAnsi="Shruti" w:cs="Shruti"/>
          <w:sz w:val="24"/>
        </w:rPr>
      </w:pPr>
    </w:p>
    <w:p w14:paraId="4E993E77" w14:textId="40C73E89" w:rsidR="00F37EE8" w:rsidRPr="00F37EE8" w:rsidRDefault="00F37EE8" w:rsidP="00F37EE8">
      <w:pPr>
        <w:rPr>
          <w:sz w:val="24"/>
        </w:rPr>
      </w:pPr>
      <w:r w:rsidRPr="00F37EE8">
        <w:rPr>
          <w:sz w:val="24"/>
        </w:rPr>
        <w:t>To collect the required information, the Federal Government (CMS) will build the IT infrastructure in 3 phases. The projected IT infrastructure cost for Phase 1 is $40 million.  The projected IT infrastructure cost for Phase 2 is $</w:t>
      </w:r>
      <w:r>
        <w:rPr>
          <w:sz w:val="24"/>
        </w:rPr>
        <w:t>65</w:t>
      </w:r>
      <w:r w:rsidRPr="00F37EE8">
        <w:rPr>
          <w:sz w:val="24"/>
        </w:rPr>
        <w:t xml:space="preserve"> million. </w:t>
      </w:r>
      <w:r w:rsidR="005F2BBB">
        <w:rPr>
          <w:sz w:val="24"/>
        </w:rPr>
        <w:t>The average cost of Phase 2 is $21.6 million over three years.</w:t>
      </w:r>
      <w:r w:rsidR="003A342E">
        <w:rPr>
          <w:sz w:val="24"/>
        </w:rPr>
        <w:t xml:space="preserve"> We note that Phase 3 has no additional costs associated with included </w:t>
      </w:r>
      <w:r w:rsidR="000C24E4">
        <w:rPr>
          <w:sz w:val="24"/>
        </w:rPr>
        <w:t>Promoting Interoperability</w:t>
      </w:r>
      <w:r w:rsidR="003A2F1A">
        <w:rPr>
          <w:sz w:val="24"/>
        </w:rPr>
        <w:t xml:space="preserve"> Program (formerly known as the EHR Incentive Program) </w:t>
      </w:r>
      <w:r w:rsidR="003A342E">
        <w:rPr>
          <w:sz w:val="24"/>
        </w:rPr>
        <w:t>data in Quality Net (QNET)</w:t>
      </w:r>
      <w:r w:rsidR="00EF49A9">
        <w:rPr>
          <w:sz w:val="24"/>
        </w:rPr>
        <w:t>.</w:t>
      </w:r>
    </w:p>
    <w:p w14:paraId="67FE3871" w14:textId="77777777" w:rsidR="00F37EE8" w:rsidRPr="00F37EE8" w:rsidRDefault="00F37EE8" w:rsidP="00F37EE8">
      <w:pPr>
        <w:pStyle w:val="NoSpacing"/>
        <w:ind w:left="360"/>
        <w:rPr>
          <w:rFonts w:ascii="Times New Roman" w:hAnsi="Times New Roman"/>
          <w:sz w:val="24"/>
          <w:szCs w:val="24"/>
          <w:u w:val="single"/>
        </w:rPr>
      </w:pPr>
    </w:p>
    <w:p w14:paraId="1EC82D08" w14:textId="77777777" w:rsidR="00F37EE8" w:rsidRPr="00F37EE8" w:rsidRDefault="00F37EE8" w:rsidP="00F37EE8">
      <w:pPr>
        <w:pStyle w:val="NoSpacing"/>
        <w:rPr>
          <w:rFonts w:ascii="Times New Roman" w:hAnsi="Times New Roman"/>
          <w:sz w:val="24"/>
          <w:szCs w:val="24"/>
        </w:rPr>
      </w:pPr>
      <w:r w:rsidRPr="00F37EE8">
        <w:rPr>
          <w:rFonts w:ascii="Times New Roman" w:hAnsi="Times New Roman"/>
          <w:sz w:val="24"/>
          <w:szCs w:val="24"/>
          <w:u w:val="single"/>
        </w:rPr>
        <w:t xml:space="preserve">“Phase 1 (10/2009 – 12/2011)” </w:t>
      </w:r>
      <w:r w:rsidRPr="00F37EE8">
        <w:rPr>
          <w:rFonts w:ascii="Times New Roman" w:hAnsi="Times New Roman"/>
          <w:sz w:val="24"/>
          <w:szCs w:val="24"/>
        </w:rPr>
        <w:t xml:space="preserve">– Establish a National Level Repository (NLR) that will be available in January 2011 and will support registering EPs and hospitals for the program, attestation, calculating incentive payments and assuring no duplicate payments are issued.  An oversight (program integrity) strategy will also be developed and implemented during this Phase. </w:t>
      </w:r>
    </w:p>
    <w:p w14:paraId="0074478E" w14:textId="77777777" w:rsidR="00F37EE8" w:rsidRPr="00F37EE8" w:rsidRDefault="00F37EE8" w:rsidP="00F37EE8">
      <w:pPr>
        <w:pStyle w:val="NoSpacing"/>
        <w:rPr>
          <w:rFonts w:ascii="Times New Roman" w:hAnsi="Times New Roman"/>
          <w:sz w:val="24"/>
          <w:szCs w:val="24"/>
        </w:rPr>
      </w:pPr>
    </w:p>
    <w:p w14:paraId="07E9B62E" w14:textId="6CE6BACD" w:rsidR="002B24BC" w:rsidRDefault="00F37EE8" w:rsidP="00F37EE8">
      <w:pPr>
        <w:pStyle w:val="Default"/>
        <w:rPr>
          <w:rFonts w:ascii="Times New Roman" w:hAnsi="Times New Roman" w:cs="Times New Roman"/>
        </w:rPr>
      </w:pPr>
      <w:r w:rsidRPr="00F37EE8">
        <w:rPr>
          <w:rFonts w:ascii="Times New Roman" w:hAnsi="Times New Roman" w:cs="Times New Roman"/>
          <w:u w:val="single"/>
        </w:rPr>
        <w:t xml:space="preserve">“Phase 2 (1/2012 </w:t>
      </w:r>
      <w:r>
        <w:rPr>
          <w:rFonts w:ascii="Times New Roman" w:hAnsi="Times New Roman" w:cs="Times New Roman"/>
          <w:u w:val="single"/>
        </w:rPr>
        <w:t>–</w:t>
      </w:r>
      <w:r w:rsidRPr="00F37EE8">
        <w:rPr>
          <w:rFonts w:ascii="Times New Roman" w:hAnsi="Times New Roman" w:cs="Times New Roman"/>
          <w:u w:val="single"/>
        </w:rPr>
        <w:t xml:space="preserve"> </w:t>
      </w:r>
      <w:r w:rsidR="003A342E">
        <w:rPr>
          <w:rFonts w:ascii="Times New Roman" w:hAnsi="Times New Roman" w:cs="Times New Roman"/>
          <w:u w:val="single"/>
        </w:rPr>
        <w:t>11/2017</w:t>
      </w:r>
      <w:r w:rsidRPr="00F37EE8">
        <w:rPr>
          <w:rFonts w:ascii="Times New Roman" w:hAnsi="Times New Roman" w:cs="Times New Roman"/>
          <w:u w:val="single"/>
        </w:rPr>
        <w:t>)”</w:t>
      </w:r>
      <w:r w:rsidRPr="00F37EE8">
        <w:rPr>
          <w:rFonts w:ascii="Times New Roman" w:hAnsi="Times New Roman" w:cs="Times New Roman"/>
        </w:rPr>
        <w:t xml:space="preserve"> -  Implement coding to the NLR that will support the next stage of the </w:t>
      </w:r>
      <w:r w:rsidR="003E5B42">
        <w:rPr>
          <w:rFonts w:ascii="Times New Roman" w:hAnsi="Times New Roman" w:cs="Times New Roman"/>
        </w:rPr>
        <w:t>P</w:t>
      </w:r>
      <w:r w:rsidR="000C24E4">
        <w:rPr>
          <w:rFonts w:ascii="Times New Roman" w:hAnsi="Times New Roman" w:cs="Times New Roman"/>
        </w:rPr>
        <w:t xml:space="preserve">romoting </w:t>
      </w:r>
      <w:r w:rsidR="003E5B42">
        <w:rPr>
          <w:rFonts w:ascii="Times New Roman" w:hAnsi="Times New Roman" w:cs="Times New Roman"/>
        </w:rPr>
        <w:t>I</w:t>
      </w:r>
      <w:r w:rsidR="000C24E4">
        <w:rPr>
          <w:rFonts w:ascii="Times New Roman" w:hAnsi="Times New Roman" w:cs="Times New Roman"/>
        </w:rPr>
        <w:t>nteroperability</w:t>
      </w:r>
      <w:r w:rsidR="003E5B42">
        <w:rPr>
          <w:rFonts w:ascii="Times New Roman" w:hAnsi="Times New Roman" w:cs="Times New Roman"/>
        </w:rPr>
        <w:t xml:space="preserve"> Program (</w:t>
      </w:r>
      <w:r w:rsidR="003E5B42" w:rsidRPr="00E47326">
        <w:rPr>
          <w:rFonts w:ascii="Times New Roman" w:hAnsi="Times New Roman" w:cs="Times New Roman"/>
        </w:rPr>
        <w:t>formerly known as the EHR Incentive Program</w:t>
      </w:r>
      <w:r w:rsidR="003E5B42">
        <w:rPr>
          <w:rFonts w:ascii="Times New Roman" w:hAnsi="Times New Roman" w:cs="Times New Roman"/>
        </w:rPr>
        <w:t xml:space="preserve">) </w:t>
      </w:r>
      <w:r w:rsidRPr="00F37EE8">
        <w:rPr>
          <w:rFonts w:ascii="Times New Roman" w:hAnsi="Times New Roman" w:cs="Times New Roman"/>
        </w:rPr>
        <w:t>in preparing for Stage 2 of this program.  In August 2012, CMS published a final rule that specifies the Stage 2 criteria t</w:t>
      </w:r>
      <w:r w:rsidR="008B2757">
        <w:rPr>
          <w:rFonts w:ascii="Times New Roman" w:hAnsi="Times New Roman" w:cs="Times New Roman"/>
        </w:rPr>
        <w:t>hat eligible professionals, eligible hospitals, and CAHs</w:t>
      </w:r>
      <w:r w:rsidRPr="00F37EE8">
        <w:rPr>
          <w:rFonts w:ascii="Times New Roman" w:hAnsi="Times New Roman" w:cs="Times New Roman"/>
        </w:rPr>
        <w:t xml:space="preserve"> must meet in order to continue to participate in the Medicare and Medicaid </w:t>
      </w:r>
      <w:r w:rsidR="003E5B42">
        <w:rPr>
          <w:rFonts w:ascii="Times New Roman" w:hAnsi="Times New Roman" w:cs="Times New Roman"/>
        </w:rPr>
        <w:t>P</w:t>
      </w:r>
      <w:r w:rsidR="000C24E4">
        <w:rPr>
          <w:rFonts w:ascii="Times New Roman" w:hAnsi="Times New Roman" w:cs="Times New Roman"/>
        </w:rPr>
        <w:t xml:space="preserve">romoting </w:t>
      </w:r>
      <w:r w:rsidR="003E5B42">
        <w:rPr>
          <w:rFonts w:ascii="Times New Roman" w:hAnsi="Times New Roman" w:cs="Times New Roman"/>
        </w:rPr>
        <w:t>I</w:t>
      </w:r>
      <w:r w:rsidR="000C24E4">
        <w:rPr>
          <w:rFonts w:ascii="Times New Roman" w:hAnsi="Times New Roman" w:cs="Times New Roman"/>
        </w:rPr>
        <w:t>nteroperability</w:t>
      </w:r>
      <w:r w:rsidRPr="00F37EE8">
        <w:rPr>
          <w:rFonts w:ascii="Times New Roman" w:hAnsi="Times New Roman" w:cs="Times New Roman"/>
        </w:rPr>
        <w:t xml:space="preserve"> Programs</w:t>
      </w:r>
      <w:r w:rsidR="003E5B42">
        <w:rPr>
          <w:rFonts w:ascii="Times New Roman" w:hAnsi="Times New Roman" w:cs="Times New Roman"/>
        </w:rPr>
        <w:t xml:space="preserve"> </w:t>
      </w:r>
      <w:r w:rsidR="003E5B42" w:rsidRPr="003E5B42">
        <w:rPr>
          <w:rFonts w:ascii="Times New Roman" w:hAnsi="Times New Roman" w:cs="Times New Roman"/>
        </w:rPr>
        <w:t>(</w:t>
      </w:r>
      <w:r w:rsidR="003E5B42" w:rsidRPr="00E47326">
        <w:rPr>
          <w:rFonts w:ascii="Times New Roman" w:hAnsi="Times New Roman" w:cs="Times New Roman"/>
        </w:rPr>
        <w:t>formerly known as the Medicare and Medicaid EHR Incentive Program)</w:t>
      </w:r>
      <w:r w:rsidRPr="00F37EE8">
        <w:rPr>
          <w:rFonts w:ascii="Times New Roman" w:hAnsi="Times New Roman" w:cs="Times New Roman"/>
        </w:rPr>
        <w:t>.</w:t>
      </w:r>
      <w:r w:rsidR="002B24BC">
        <w:rPr>
          <w:rFonts w:ascii="Times New Roman" w:hAnsi="Times New Roman" w:cs="Times New Roman"/>
        </w:rPr>
        <w:t xml:space="preserve"> </w:t>
      </w:r>
    </w:p>
    <w:p w14:paraId="2BFEC0E7" w14:textId="77777777" w:rsidR="002B24BC" w:rsidRDefault="002B24BC" w:rsidP="00F37EE8">
      <w:pPr>
        <w:pStyle w:val="Default"/>
        <w:rPr>
          <w:rFonts w:ascii="Times New Roman" w:hAnsi="Times New Roman" w:cs="Times New Roman"/>
        </w:rPr>
      </w:pPr>
    </w:p>
    <w:p w14:paraId="673B3A1D" w14:textId="71D08250" w:rsidR="00F37EE8" w:rsidRPr="00F37EE8" w:rsidRDefault="002B24BC" w:rsidP="00F37EE8">
      <w:pPr>
        <w:pStyle w:val="Default"/>
        <w:rPr>
          <w:rFonts w:ascii="Times New Roman" w:hAnsi="Times New Roman" w:cs="Times New Roman"/>
        </w:rPr>
      </w:pPr>
      <w:r>
        <w:rPr>
          <w:rFonts w:ascii="Times New Roman" w:hAnsi="Times New Roman" w:cs="Times New Roman"/>
        </w:rPr>
        <w:t xml:space="preserve">“Phase 3 (12/2017- 12/2022)- At the end of 2017 we note that the data that was previously included in the NLR is now being transferred and collected in the Quality Net (QNET) system. We began using this platform to collect EHR data and for attestation </w:t>
      </w:r>
      <w:r w:rsidR="003A342E">
        <w:rPr>
          <w:rFonts w:ascii="Times New Roman" w:hAnsi="Times New Roman" w:cs="Times New Roman"/>
        </w:rPr>
        <w:t xml:space="preserve">purposes </w:t>
      </w:r>
      <w:r>
        <w:rPr>
          <w:rFonts w:ascii="Times New Roman" w:hAnsi="Times New Roman" w:cs="Times New Roman"/>
        </w:rPr>
        <w:t xml:space="preserve">as we note most of the other hospital quality reporting programs already use this platform and we note that there would be reduced burden in hospitals using just one system to submit their data. As a result there was no additional cost to the Medicare and Medicaid </w:t>
      </w:r>
      <w:r w:rsidR="000C24E4">
        <w:rPr>
          <w:rFonts w:ascii="Times New Roman" w:hAnsi="Times New Roman" w:cs="Times New Roman"/>
        </w:rPr>
        <w:t>Promoting Interoperability</w:t>
      </w:r>
      <w:r>
        <w:rPr>
          <w:rFonts w:ascii="Times New Roman" w:hAnsi="Times New Roman" w:cs="Times New Roman"/>
        </w:rPr>
        <w:t xml:space="preserve"> </w:t>
      </w:r>
      <w:r w:rsidRPr="003E5B42">
        <w:rPr>
          <w:rFonts w:ascii="Times New Roman" w:hAnsi="Times New Roman" w:cs="Times New Roman"/>
        </w:rPr>
        <w:t>Programs</w:t>
      </w:r>
      <w:r w:rsidR="003E5B42">
        <w:rPr>
          <w:rFonts w:ascii="Times New Roman" w:hAnsi="Times New Roman" w:cs="Times New Roman"/>
        </w:rPr>
        <w:t xml:space="preserve"> </w:t>
      </w:r>
      <w:r w:rsidR="003E5B42" w:rsidRPr="008317C1">
        <w:rPr>
          <w:rFonts w:ascii="Times New Roman" w:hAnsi="Times New Roman" w:cs="Times New Roman"/>
        </w:rPr>
        <w:t>(formerly known as the Medicare and Medicaid EHR Incentive Program)</w:t>
      </w:r>
      <w:r>
        <w:rPr>
          <w:rFonts w:ascii="Times New Roman" w:hAnsi="Times New Roman" w:cs="Times New Roman"/>
        </w:rPr>
        <w:t xml:space="preserve"> as the system already had the capability to ingest our data without any additional burdens. </w:t>
      </w:r>
    </w:p>
    <w:p w14:paraId="66316B13" w14:textId="77777777" w:rsidR="00F37EE8" w:rsidRPr="00F37EE8" w:rsidRDefault="00F37EE8" w:rsidP="00F37EE8">
      <w:pPr>
        <w:pStyle w:val="NoSpacing"/>
        <w:rPr>
          <w:rFonts w:ascii="Times New Roman" w:hAnsi="Times New Roman"/>
          <w:sz w:val="24"/>
          <w:szCs w:val="24"/>
        </w:rPr>
      </w:pPr>
    </w:p>
    <w:p w14:paraId="10E595B7" w14:textId="77777777" w:rsidR="0075647B" w:rsidRDefault="007564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2AD50D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14:paraId="5E032D4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705360" w14:textId="207A6CA7" w:rsidR="008043DC" w:rsidRPr="006E6183" w:rsidRDefault="002D3B2F" w:rsidP="00851C3F">
      <w:pPr>
        <w:rPr>
          <w:sz w:val="24"/>
        </w:rPr>
      </w:pPr>
      <w:r w:rsidRPr="006E6183">
        <w:rPr>
          <w:sz w:val="24"/>
        </w:rPr>
        <w:t>The previous package included burden for bo</w:t>
      </w:r>
      <w:r w:rsidR="006E6183">
        <w:rPr>
          <w:sz w:val="24"/>
        </w:rPr>
        <w:t>th Stage 1 and Stage 2.  Stage 1 is no longer applicable and has caused for us to reduce the number of hours required, this change also takes into account the streamlined objectives and measures in Modified Stage 2. Additionally, we note that t</w:t>
      </w:r>
      <w:r w:rsidR="006E6183" w:rsidRPr="006E6183">
        <w:rPr>
          <w:sz w:val="24"/>
        </w:rPr>
        <w:t>his burden reduction would occur as a re</w:t>
      </w:r>
      <w:r w:rsidR="008B2757">
        <w:rPr>
          <w:sz w:val="24"/>
        </w:rPr>
        <w:t>sult of the reduced numbers of eligible professionals</w:t>
      </w:r>
      <w:r w:rsidR="006E6183" w:rsidRPr="006E6183">
        <w:rPr>
          <w:sz w:val="24"/>
        </w:rPr>
        <w:t xml:space="preserve">, as they have transitioned to the Quality Payment Program. We previously estimated that there were 198,912 Medicare and Medicaid EPs in the Medicare and Medicaid </w:t>
      </w:r>
      <w:r w:rsidR="003E5B42">
        <w:rPr>
          <w:sz w:val="24"/>
        </w:rPr>
        <w:t>PI</w:t>
      </w:r>
      <w:r w:rsidR="006E6183" w:rsidRPr="006E6183">
        <w:rPr>
          <w:sz w:val="24"/>
        </w:rPr>
        <w:t xml:space="preserve"> Program</w:t>
      </w:r>
      <w:r w:rsidR="003E5B42">
        <w:rPr>
          <w:sz w:val="24"/>
        </w:rPr>
        <w:t xml:space="preserve"> </w:t>
      </w:r>
      <w:r w:rsidR="003E5B42" w:rsidRPr="008317C1">
        <w:t>(</w:t>
      </w:r>
      <w:r w:rsidR="003E5B42" w:rsidRPr="008317C1">
        <w:rPr>
          <w:sz w:val="24"/>
        </w:rPr>
        <w:t>formerly known as the Medicare and Medicaid EHR Incentive Program</w:t>
      </w:r>
      <w:r w:rsidR="003E5B42" w:rsidRPr="008317C1">
        <w:t>)</w:t>
      </w:r>
      <w:r w:rsidR="006E6183" w:rsidRPr="006E6183">
        <w:rPr>
          <w:sz w:val="24"/>
        </w:rPr>
        <w:t>. We have since updated this to only include the remaining Medicaid EPs which we estimate to be 80,000 Medicaid EPs</w:t>
      </w:r>
      <w:r w:rsidR="006E6183">
        <w:rPr>
          <w:sz w:val="24"/>
        </w:rPr>
        <w:t xml:space="preserve">. We also wanted to note that many of the Medicare EPs are also Medicaid EPs. These remaining 80,000 Medicaid EPs are those we assume can still receive an incentive payment. </w:t>
      </w:r>
      <w:r w:rsidRPr="006E6183">
        <w:rPr>
          <w:sz w:val="24"/>
        </w:rPr>
        <w:t xml:space="preserve">We estimate the burden for all participants in the Medicare and Medicaid </w:t>
      </w:r>
      <w:r w:rsidR="00E5404A" w:rsidRPr="006E6183">
        <w:rPr>
          <w:sz w:val="24"/>
        </w:rPr>
        <w:t>Promoting Interoperability</w:t>
      </w:r>
      <w:r w:rsidRPr="006E6183">
        <w:rPr>
          <w:sz w:val="24"/>
        </w:rPr>
        <w:t xml:space="preserve"> Programs </w:t>
      </w:r>
      <w:r w:rsidR="00E5404A" w:rsidRPr="006E6183">
        <w:rPr>
          <w:sz w:val="24"/>
        </w:rPr>
        <w:t xml:space="preserve">(formerly the Medicare and Medicaid EHR Incentive Program) </w:t>
      </w:r>
      <w:r w:rsidRPr="006E6183">
        <w:rPr>
          <w:sz w:val="24"/>
        </w:rPr>
        <w:t xml:space="preserve">represents a total cost of </w:t>
      </w:r>
      <w:r w:rsidR="00A4207D" w:rsidRPr="006E6183">
        <w:rPr>
          <w:bCs/>
          <w:color w:val="000000"/>
          <w:sz w:val="24"/>
        </w:rPr>
        <w:t>$113,194,130</w:t>
      </w:r>
      <w:r w:rsidR="00A4207D" w:rsidRPr="006E6183">
        <w:rPr>
          <w:b/>
          <w:bCs/>
          <w:color w:val="000000"/>
          <w:sz w:val="24"/>
        </w:rPr>
        <w:t xml:space="preserve">, </w:t>
      </w:r>
      <w:r w:rsidRPr="006E6183">
        <w:rPr>
          <w:sz w:val="24"/>
        </w:rPr>
        <w:t xml:space="preserve">which is a reduction of </w:t>
      </w:r>
      <w:r w:rsidR="00A4207D" w:rsidRPr="006E6183">
        <w:rPr>
          <w:sz w:val="24"/>
        </w:rPr>
        <w:t>$</w:t>
      </w:r>
      <w:r w:rsidR="00A4207D" w:rsidRPr="006E6183">
        <w:rPr>
          <w:bCs/>
          <w:color w:val="000000"/>
          <w:sz w:val="24"/>
        </w:rPr>
        <w:t xml:space="preserve">275,214,059 </w:t>
      </w:r>
      <w:r w:rsidRPr="006E6183">
        <w:rPr>
          <w:sz w:val="24"/>
        </w:rPr>
        <w:t xml:space="preserve">annually. We also note that the currently approved burden in hours are </w:t>
      </w:r>
      <w:r w:rsidR="0055720A">
        <w:rPr>
          <w:sz w:val="24"/>
        </w:rPr>
        <w:t>4,792,112</w:t>
      </w:r>
      <w:r w:rsidRPr="006E6183">
        <w:rPr>
          <w:sz w:val="24"/>
        </w:rPr>
        <w:t xml:space="preserve"> </w:t>
      </w:r>
      <w:r w:rsidR="006E6183">
        <w:rPr>
          <w:sz w:val="24"/>
        </w:rPr>
        <w:t xml:space="preserve">and as a result of the changes discussed above those hours are reduced to </w:t>
      </w:r>
      <w:r w:rsidR="006E6183" w:rsidRPr="006E6183">
        <w:rPr>
          <w:sz w:val="24"/>
        </w:rPr>
        <w:t>575,427</w:t>
      </w:r>
      <w:r w:rsidRPr="006E6183">
        <w:rPr>
          <w:bCs/>
          <w:color w:val="000000"/>
          <w:sz w:val="24"/>
        </w:rPr>
        <w:t xml:space="preserve"> hours.</w:t>
      </w:r>
      <w:r w:rsidRPr="006E6183">
        <w:rPr>
          <w:sz w:val="24"/>
        </w:rPr>
        <w:t xml:space="preserve">  </w:t>
      </w:r>
    </w:p>
    <w:p w14:paraId="633B43F1" w14:textId="77777777" w:rsidR="000117EA" w:rsidRDefault="000117EA" w:rsidP="00851C3F">
      <w:pPr>
        <w:rPr>
          <w:sz w:val="24"/>
        </w:rPr>
      </w:pPr>
    </w:p>
    <w:p w14:paraId="6BFD90EA" w14:textId="77777777" w:rsidR="00851C3F" w:rsidRPr="00BE6065" w:rsidRDefault="00851C3F" w:rsidP="00BE6065">
      <w:pPr>
        <w:rPr>
          <w:sz w:val="24"/>
        </w:rPr>
      </w:pPr>
    </w:p>
    <w:p w14:paraId="79AD504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14:paraId="08ED839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DE22EE" w14:textId="77777777" w:rsidR="00BE6065" w:rsidRDefault="005917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N/A</w:t>
      </w:r>
    </w:p>
    <w:p w14:paraId="56EECD9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14:paraId="2251FE7C"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2B92259" w14:textId="6169B8FA" w:rsidR="00E47326" w:rsidRPr="00E47326" w:rsidRDefault="00E473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47326">
        <w:rPr>
          <w:sz w:val="24"/>
        </w:rPr>
        <w:t>The expiration date will be displayed on the following website</w:t>
      </w:r>
      <w:r>
        <w:rPr>
          <w:sz w:val="24"/>
        </w:rPr>
        <w:t>:</w:t>
      </w:r>
    </w:p>
    <w:p w14:paraId="3E9CB2B7" w14:textId="77777777" w:rsidR="008F1EB4" w:rsidRPr="00575588" w:rsidRDefault="001328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hyperlink r:id="rId14" w:history="1">
        <w:r w:rsidR="005917E4" w:rsidRPr="001713CD">
          <w:rPr>
            <w:rStyle w:val="Hyperlink"/>
            <w:sz w:val="24"/>
          </w:rPr>
          <w:t>https://www.cms.gov/Regulations-and-Guidance/Legislation/EHRIncentivePrograms/index.html</w:t>
        </w:r>
      </w:hyperlink>
      <w:r w:rsidR="005917E4">
        <w:rPr>
          <w:sz w:val="24"/>
        </w:rPr>
        <w:t xml:space="preserve"> </w:t>
      </w:r>
    </w:p>
    <w:p w14:paraId="1C80DDE4" w14:textId="77777777" w:rsidR="00037546" w:rsidRDefault="000375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6CD2B4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18.</w:t>
      </w:r>
      <w:r>
        <w:rPr>
          <w:sz w:val="24"/>
        </w:rPr>
        <w:tab/>
      </w:r>
      <w:r>
        <w:rPr>
          <w:sz w:val="24"/>
          <w:u w:val="single"/>
        </w:rPr>
        <w:t>Certification Statement</w:t>
      </w:r>
    </w:p>
    <w:p w14:paraId="58020627" w14:textId="77777777" w:rsidR="00BE6065" w:rsidRDefault="00BE6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0B2EB52" w14:textId="77777777" w:rsidR="00037546" w:rsidRPr="00037546" w:rsidRDefault="00037546" w:rsidP="00037546">
      <w:pPr>
        <w:rPr>
          <w:color w:val="000000"/>
          <w:sz w:val="24"/>
        </w:rPr>
      </w:pPr>
      <w:r w:rsidRPr="00037546">
        <w:rPr>
          <w:color w:val="000000"/>
          <w:sz w:val="24"/>
        </w:rPr>
        <w:t>There are no exceptions to the certification statement.</w:t>
      </w:r>
    </w:p>
    <w:p w14:paraId="4AFA8ADF" w14:textId="77777777" w:rsidR="00BE6065" w:rsidRDefault="00BE6065" w:rsidP="00BE6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8AE5DF0" w14:textId="77777777" w:rsidR="00BE6065" w:rsidRPr="00BE6065" w:rsidRDefault="00BE6065" w:rsidP="00BE6065">
      <w:pPr>
        <w:widowControl/>
        <w:autoSpaceDE/>
        <w:autoSpaceDN/>
        <w:adjustRightInd/>
        <w:rPr>
          <w:b/>
          <w:sz w:val="24"/>
        </w:rPr>
      </w:pPr>
      <w:r w:rsidRPr="00BE6065">
        <w:rPr>
          <w:b/>
          <w:sz w:val="24"/>
        </w:rPr>
        <w:t>C.     Collections of Information Employing Statistical Methods</w:t>
      </w:r>
    </w:p>
    <w:p w14:paraId="24567A42" w14:textId="77777777" w:rsidR="00BE6065" w:rsidRPr="00BE6065" w:rsidRDefault="00BE6065" w:rsidP="00BE6065">
      <w:pPr>
        <w:rPr>
          <w:sz w:val="24"/>
        </w:rPr>
      </w:pPr>
    </w:p>
    <w:p w14:paraId="249D070D" w14:textId="77777777" w:rsidR="00BE6065" w:rsidRPr="00BE6065" w:rsidRDefault="00BE6065" w:rsidP="00BE6065">
      <w:pPr>
        <w:rPr>
          <w:sz w:val="24"/>
        </w:rPr>
      </w:pPr>
      <w:r>
        <w:rPr>
          <w:sz w:val="24"/>
        </w:rPr>
        <w:t xml:space="preserve"> </w:t>
      </w:r>
      <w:r w:rsidRPr="00BE6065">
        <w:rPr>
          <w:sz w:val="24"/>
        </w:rPr>
        <w:t>This collection of information does not employ statistical methods</w:t>
      </w:r>
      <w:r w:rsidR="00037546">
        <w:rPr>
          <w:sz w:val="24"/>
        </w:rPr>
        <w:t>.</w:t>
      </w:r>
    </w:p>
    <w:p w14:paraId="372445BB" w14:textId="77777777" w:rsidR="00BE6065" w:rsidRDefault="00BE6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sectPr w:rsidR="00BE6065" w:rsidSect="004154D5">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AE33D" w14:textId="77777777" w:rsidR="00564D09" w:rsidRDefault="00564D09">
      <w:r>
        <w:separator/>
      </w:r>
    </w:p>
  </w:endnote>
  <w:endnote w:type="continuationSeparator" w:id="0">
    <w:p w14:paraId="629B9915" w14:textId="77777777" w:rsidR="00564D09" w:rsidRDefault="0056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24497" w14:textId="77777777" w:rsidR="006E6183" w:rsidRDefault="006E6183">
    <w:pPr>
      <w:spacing w:line="240" w:lineRule="exact"/>
    </w:pPr>
  </w:p>
  <w:p w14:paraId="260E4061" w14:textId="77777777" w:rsidR="006E6183" w:rsidRDefault="006E6183">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D0343">
      <w:rPr>
        <w:noProof/>
        <w:sz w:val="24"/>
      </w:rPr>
      <w:t>1</w:t>
    </w:r>
    <w:r>
      <w:rPr>
        <w:sz w:val="24"/>
      </w:rPr>
      <w:fldChar w:fldCharType="end"/>
    </w:r>
  </w:p>
  <w:p w14:paraId="0BC895D2" w14:textId="77777777" w:rsidR="006E6183" w:rsidRDefault="006E6183">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9B21C" w14:textId="77777777" w:rsidR="00564D09" w:rsidRDefault="00564D09">
      <w:r>
        <w:separator/>
      </w:r>
    </w:p>
  </w:footnote>
  <w:footnote w:type="continuationSeparator" w:id="0">
    <w:p w14:paraId="756C2570" w14:textId="77777777" w:rsidR="00564D09" w:rsidRDefault="00564D09">
      <w:r>
        <w:continuationSeparator/>
      </w:r>
    </w:p>
  </w:footnote>
  <w:footnote w:id="1">
    <w:p w14:paraId="62389719" w14:textId="77777777" w:rsidR="006E6183" w:rsidRDefault="006E6183">
      <w:pPr>
        <w:pStyle w:val="FootnoteText"/>
      </w:pPr>
      <w:r>
        <w:rPr>
          <w:rStyle w:val="FootnoteReference"/>
        </w:rPr>
        <w:footnoteRef/>
      </w:r>
      <w:r>
        <w:t xml:space="preserve"> Please note that the salary presented in this table does note take into account fringe benefits and overheard. However, we have taken this into account in the collection burden table as provided above. </w:t>
      </w:r>
    </w:p>
  </w:footnote>
  <w:footnote w:id="2">
    <w:p w14:paraId="300995B7" w14:textId="266B98D3" w:rsidR="006E6183" w:rsidRDefault="006E6183" w:rsidP="005917E4">
      <w:pPr>
        <w:widowControl/>
      </w:pPr>
      <w:r>
        <w:rPr>
          <w:rStyle w:val="FootnoteReference"/>
        </w:rPr>
        <w:footnoteRef/>
      </w:r>
      <w:r>
        <w:t xml:space="preserve"> This number is based on the salary rate of a GS 12 step 1 (2018 unadjusted for locality rate), with an hourly rate of approximately $30.47. This amount is reduced by the 90 percent federal contribution for administration services under the Medicaid </w:t>
      </w:r>
      <w:r w:rsidR="003E5B42">
        <w:t>PI</w:t>
      </w:r>
      <w:r>
        <w:t xml:space="preserve"> Program</w:t>
      </w:r>
      <w:r w:rsidR="003E5B42">
        <w:t xml:space="preserve"> (formerly known as the </w:t>
      </w:r>
      <w:r w:rsidR="003E5B42" w:rsidRPr="003E5B42">
        <w:t>Medicaid EHR Incentive Program)</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6F1E"/>
    <w:multiLevelType w:val="multilevel"/>
    <w:tmpl w:val="E8582C70"/>
    <w:lvl w:ilvl="0">
      <w:start w:val="1"/>
      <w:numFmt w:val="upperRoman"/>
      <w:pStyle w:val="Heading1"/>
      <w:lvlText w:val="%1."/>
      <w:lvlJc w:val="left"/>
      <w:rPr>
        <w:rFonts w:cs="Times New Roman" w:hint="default"/>
      </w:rPr>
    </w:lvl>
    <w:lvl w:ilvl="1">
      <w:start w:val="1"/>
      <w:numFmt w:val="upperLetter"/>
      <w:pStyle w:val="Heading2"/>
      <w:lvlText w:val="%2."/>
      <w:lvlJc w:val="left"/>
      <w:rPr>
        <w:rFonts w:cs="Times New Roman" w:hint="default"/>
      </w:rPr>
    </w:lvl>
    <w:lvl w:ilvl="2">
      <w:start w:val="1"/>
      <w:numFmt w:val="decimal"/>
      <w:pStyle w:val="Heading3"/>
      <w:lvlText w:val="%3."/>
      <w:lvlJc w:val="left"/>
      <w:rPr>
        <w:rFonts w:cs="Times New Roman" w:hint="default"/>
      </w:rPr>
    </w:lvl>
    <w:lvl w:ilvl="3">
      <w:start w:val="1"/>
      <w:numFmt w:val="lowerLetter"/>
      <w:pStyle w:val="Heading4"/>
      <w:lvlText w:val="%4)"/>
      <w:lvlJc w:val="left"/>
      <w:rPr>
        <w:rFonts w:cs="Times New Roman" w:hint="default"/>
      </w:rPr>
    </w:lvl>
    <w:lvl w:ilvl="4">
      <w:start w:val="1"/>
      <w:numFmt w:val="decimal"/>
      <w:pStyle w:val="Heading5"/>
      <w:lvlText w:val="(%5)"/>
      <w:lvlJc w:val="left"/>
      <w:rPr>
        <w:rFonts w:cs="Times New Roman" w:hint="default"/>
      </w:rPr>
    </w:lvl>
    <w:lvl w:ilvl="5">
      <w:start w:val="1"/>
      <w:numFmt w:val="lowerLetter"/>
      <w:pStyle w:val="Heading6"/>
      <w:lvlText w:val="(%6)"/>
      <w:lvlJc w:val="left"/>
      <w:rPr>
        <w:rFonts w:cs="Times New Roman" w:hint="default"/>
      </w:rPr>
    </w:lvl>
    <w:lvl w:ilvl="6">
      <w:start w:val="1"/>
      <w:numFmt w:val="lowerRoman"/>
      <w:pStyle w:val="Heading7"/>
      <w:lvlText w:val="(%7)"/>
      <w:lvlJc w:val="left"/>
      <w:rPr>
        <w:rFonts w:cs="Times New Roman" w:hint="default"/>
      </w:rPr>
    </w:lvl>
    <w:lvl w:ilvl="7">
      <w:start w:val="1"/>
      <w:numFmt w:val="lowerLetter"/>
      <w:pStyle w:val="Heading8"/>
      <w:lvlText w:val="(%8)"/>
      <w:lvlJc w:val="left"/>
      <w:rPr>
        <w:rFonts w:cs="Times New Roman" w:hint="default"/>
      </w:rPr>
    </w:lvl>
    <w:lvl w:ilvl="8">
      <w:start w:val="1"/>
      <w:numFmt w:val="lowerRoman"/>
      <w:pStyle w:val="Heading9"/>
      <w:lvlText w:val="(%9)"/>
      <w:lvlJc w:val="left"/>
      <w:rPr>
        <w:rFonts w:cs="Times New Roman" w:hint="default"/>
      </w:rPr>
    </w:lvl>
  </w:abstractNum>
  <w:abstractNum w:abstractNumId="1">
    <w:nsid w:val="1E6A75FD"/>
    <w:multiLevelType w:val="hybridMultilevel"/>
    <w:tmpl w:val="07F48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041188"/>
    <w:multiLevelType w:val="singleLevel"/>
    <w:tmpl w:val="61EE86BC"/>
    <w:lvl w:ilvl="0">
      <w:start w:val="1"/>
      <w:numFmt w:val="upperLetter"/>
      <w:lvlText w:val="%1."/>
      <w:lvlJc w:val="left"/>
      <w:pPr>
        <w:tabs>
          <w:tab w:val="num" w:pos="1350"/>
        </w:tabs>
        <w:ind w:left="1350" w:hanging="720"/>
      </w:pPr>
      <w:rPr>
        <w:rFonts w:hint="default"/>
        <w:b w:val="0"/>
        <w:u w:val="none"/>
      </w:rPr>
    </w:lvl>
  </w:abstractNum>
  <w:abstractNum w:abstractNumId="3">
    <w:nsid w:val="3B3B12C9"/>
    <w:multiLevelType w:val="hybridMultilevel"/>
    <w:tmpl w:val="9CF6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1B0B19"/>
    <w:multiLevelType w:val="hybridMultilevel"/>
    <w:tmpl w:val="436C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0AAB"/>
    <w:rsid w:val="000117EA"/>
    <w:rsid w:val="00011B23"/>
    <w:rsid w:val="00012EB3"/>
    <w:rsid w:val="00020FED"/>
    <w:rsid w:val="00023D80"/>
    <w:rsid w:val="00033B3B"/>
    <w:rsid w:val="000344C8"/>
    <w:rsid w:val="00035755"/>
    <w:rsid w:val="00037546"/>
    <w:rsid w:val="00054D73"/>
    <w:rsid w:val="000640F3"/>
    <w:rsid w:val="000648E2"/>
    <w:rsid w:val="00070D02"/>
    <w:rsid w:val="00072285"/>
    <w:rsid w:val="00081C0A"/>
    <w:rsid w:val="00090BA0"/>
    <w:rsid w:val="00091611"/>
    <w:rsid w:val="000A27DE"/>
    <w:rsid w:val="000A6342"/>
    <w:rsid w:val="000A7520"/>
    <w:rsid w:val="000B20CB"/>
    <w:rsid w:val="000B4170"/>
    <w:rsid w:val="000C211E"/>
    <w:rsid w:val="000C24E4"/>
    <w:rsid w:val="000C7D3E"/>
    <w:rsid w:val="000D1505"/>
    <w:rsid w:val="000D1C60"/>
    <w:rsid w:val="000D33F3"/>
    <w:rsid w:val="000E7510"/>
    <w:rsid w:val="000F3AF4"/>
    <w:rsid w:val="00100F5E"/>
    <w:rsid w:val="00105493"/>
    <w:rsid w:val="001128B4"/>
    <w:rsid w:val="0011490B"/>
    <w:rsid w:val="001158C0"/>
    <w:rsid w:val="001215CC"/>
    <w:rsid w:val="00124B80"/>
    <w:rsid w:val="0013284F"/>
    <w:rsid w:val="00132A5E"/>
    <w:rsid w:val="00135521"/>
    <w:rsid w:val="00136D18"/>
    <w:rsid w:val="00137C30"/>
    <w:rsid w:val="00142316"/>
    <w:rsid w:val="001424D6"/>
    <w:rsid w:val="0014686C"/>
    <w:rsid w:val="001500BD"/>
    <w:rsid w:val="00153084"/>
    <w:rsid w:val="001532CE"/>
    <w:rsid w:val="0015664E"/>
    <w:rsid w:val="00157226"/>
    <w:rsid w:val="001630AF"/>
    <w:rsid w:val="00174B7E"/>
    <w:rsid w:val="00177A55"/>
    <w:rsid w:val="00184064"/>
    <w:rsid w:val="00190FE9"/>
    <w:rsid w:val="001A61B6"/>
    <w:rsid w:val="001A6D9C"/>
    <w:rsid w:val="001B0A28"/>
    <w:rsid w:val="001C0D58"/>
    <w:rsid w:val="001C1874"/>
    <w:rsid w:val="001D2F85"/>
    <w:rsid w:val="001E59B9"/>
    <w:rsid w:val="001F1C48"/>
    <w:rsid w:val="00201C5A"/>
    <w:rsid w:val="00205069"/>
    <w:rsid w:val="00207A55"/>
    <w:rsid w:val="0022232A"/>
    <w:rsid w:val="00224986"/>
    <w:rsid w:val="002249EC"/>
    <w:rsid w:val="00226A50"/>
    <w:rsid w:val="0023237D"/>
    <w:rsid w:val="00235CEC"/>
    <w:rsid w:val="00263994"/>
    <w:rsid w:val="00270344"/>
    <w:rsid w:val="00276833"/>
    <w:rsid w:val="0028158A"/>
    <w:rsid w:val="002873C5"/>
    <w:rsid w:val="00287972"/>
    <w:rsid w:val="00293C40"/>
    <w:rsid w:val="002959F7"/>
    <w:rsid w:val="00296695"/>
    <w:rsid w:val="00297657"/>
    <w:rsid w:val="002A015F"/>
    <w:rsid w:val="002B24BC"/>
    <w:rsid w:val="002B3657"/>
    <w:rsid w:val="002B36A4"/>
    <w:rsid w:val="002C2BDF"/>
    <w:rsid w:val="002D0E8C"/>
    <w:rsid w:val="002D3B2F"/>
    <w:rsid w:val="002D3C82"/>
    <w:rsid w:val="002D4BB3"/>
    <w:rsid w:val="002F4BC0"/>
    <w:rsid w:val="002F6343"/>
    <w:rsid w:val="002F68F0"/>
    <w:rsid w:val="00303E7C"/>
    <w:rsid w:val="003064D5"/>
    <w:rsid w:val="003240A7"/>
    <w:rsid w:val="0033132B"/>
    <w:rsid w:val="003415A0"/>
    <w:rsid w:val="00346564"/>
    <w:rsid w:val="00347ECC"/>
    <w:rsid w:val="00361E96"/>
    <w:rsid w:val="00362A3E"/>
    <w:rsid w:val="0036651F"/>
    <w:rsid w:val="00381CA0"/>
    <w:rsid w:val="00385325"/>
    <w:rsid w:val="00385AA8"/>
    <w:rsid w:val="00386BE5"/>
    <w:rsid w:val="00396096"/>
    <w:rsid w:val="003979D5"/>
    <w:rsid w:val="003A002E"/>
    <w:rsid w:val="003A2F1A"/>
    <w:rsid w:val="003A342E"/>
    <w:rsid w:val="003C02CD"/>
    <w:rsid w:val="003C06BD"/>
    <w:rsid w:val="003C14B7"/>
    <w:rsid w:val="003C65BB"/>
    <w:rsid w:val="003D610A"/>
    <w:rsid w:val="003D67F0"/>
    <w:rsid w:val="003D72BF"/>
    <w:rsid w:val="003E27A8"/>
    <w:rsid w:val="003E3B3F"/>
    <w:rsid w:val="003E48EC"/>
    <w:rsid w:val="003E503E"/>
    <w:rsid w:val="003E5B42"/>
    <w:rsid w:val="003E7AA9"/>
    <w:rsid w:val="003F3DCF"/>
    <w:rsid w:val="00404989"/>
    <w:rsid w:val="004154D5"/>
    <w:rsid w:val="00420940"/>
    <w:rsid w:val="00421EBE"/>
    <w:rsid w:val="00427D1F"/>
    <w:rsid w:val="00430FB7"/>
    <w:rsid w:val="00435AC2"/>
    <w:rsid w:val="0043640F"/>
    <w:rsid w:val="00443C2E"/>
    <w:rsid w:val="00445732"/>
    <w:rsid w:val="00450645"/>
    <w:rsid w:val="00461648"/>
    <w:rsid w:val="00475CAB"/>
    <w:rsid w:val="0047662B"/>
    <w:rsid w:val="00482215"/>
    <w:rsid w:val="00482541"/>
    <w:rsid w:val="00494219"/>
    <w:rsid w:val="004A0EAC"/>
    <w:rsid w:val="004A30F9"/>
    <w:rsid w:val="004B44D0"/>
    <w:rsid w:val="004B5B82"/>
    <w:rsid w:val="004B7124"/>
    <w:rsid w:val="004B7E17"/>
    <w:rsid w:val="004C0D82"/>
    <w:rsid w:val="004C2B2A"/>
    <w:rsid w:val="004C3541"/>
    <w:rsid w:val="004D72F4"/>
    <w:rsid w:val="004E7CA0"/>
    <w:rsid w:val="004F7521"/>
    <w:rsid w:val="00503AF8"/>
    <w:rsid w:val="00504685"/>
    <w:rsid w:val="005124AC"/>
    <w:rsid w:val="005273ED"/>
    <w:rsid w:val="00535C01"/>
    <w:rsid w:val="00536EE7"/>
    <w:rsid w:val="00537D31"/>
    <w:rsid w:val="00540250"/>
    <w:rsid w:val="00555037"/>
    <w:rsid w:val="005568E9"/>
    <w:rsid w:val="0055720A"/>
    <w:rsid w:val="00557E3F"/>
    <w:rsid w:val="005631B2"/>
    <w:rsid w:val="00564D09"/>
    <w:rsid w:val="00571BDF"/>
    <w:rsid w:val="00573FAF"/>
    <w:rsid w:val="005749C7"/>
    <w:rsid w:val="0057545B"/>
    <w:rsid w:val="00575588"/>
    <w:rsid w:val="00575FCB"/>
    <w:rsid w:val="005811C8"/>
    <w:rsid w:val="005817DD"/>
    <w:rsid w:val="005917E4"/>
    <w:rsid w:val="005928B7"/>
    <w:rsid w:val="00595F2F"/>
    <w:rsid w:val="00596120"/>
    <w:rsid w:val="005A4AE3"/>
    <w:rsid w:val="005B7B84"/>
    <w:rsid w:val="005C2776"/>
    <w:rsid w:val="005C58DA"/>
    <w:rsid w:val="005C7B87"/>
    <w:rsid w:val="005D0343"/>
    <w:rsid w:val="005D4976"/>
    <w:rsid w:val="005E3E50"/>
    <w:rsid w:val="005E4BD0"/>
    <w:rsid w:val="005F2BBB"/>
    <w:rsid w:val="005F50D7"/>
    <w:rsid w:val="00613356"/>
    <w:rsid w:val="00614E9A"/>
    <w:rsid w:val="00615281"/>
    <w:rsid w:val="00624AAD"/>
    <w:rsid w:val="00626306"/>
    <w:rsid w:val="00627C94"/>
    <w:rsid w:val="006348AF"/>
    <w:rsid w:val="00642A37"/>
    <w:rsid w:val="006520D1"/>
    <w:rsid w:val="0066123E"/>
    <w:rsid w:val="006648D8"/>
    <w:rsid w:val="00666340"/>
    <w:rsid w:val="006706F8"/>
    <w:rsid w:val="006904B2"/>
    <w:rsid w:val="006921DB"/>
    <w:rsid w:val="00692C19"/>
    <w:rsid w:val="006A58E9"/>
    <w:rsid w:val="006C07E2"/>
    <w:rsid w:val="006C0C14"/>
    <w:rsid w:val="006C1527"/>
    <w:rsid w:val="006C1E0B"/>
    <w:rsid w:val="006C2A58"/>
    <w:rsid w:val="006C4DFA"/>
    <w:rsid w:val="006C63CC"/>
    <w:rsid w:val="006C6D87"/>
    <w:rsid w:val="006E0843"/>
    <w:rsid w:val="006E5A98"/>
    <w:rsid w:val="006E5CC8"/>
    <w:rsid w:val="006E6183"/>
    <w:rsid w:val="007007DA"/>
    <w:rsid w:val="00701FA5"/>
    <w:rsid w:val="00704DC7"/>
    <w:rsid w:val="00705A84"/>
    <w:rsid w:val="00706BAF"/>
    <w:rsid w:val="00707396"/>
    <w:rsid w:val="007112E6"/>
    <w:rsid w:val="007239EB"/>
    <w:rsid w:val="007247EF"/>
    <w:rsid w:val="00725916"/>
    <w:rsid w:val="007311FE"/>
    <w:rsid w:val="0074761C"/>
    <w:rsid w:val="0075647B"/>
    <w:rsid w:val="00756D0C"/>
    <w:rsid w:val="00757B67"/>
    <w:rsid w:val="0076330D"/>
    <w:rsid w:val="00771757"/>
    <w:rsid w:val="00771EF3"/>
    <w:rsid w:val="0077692A"/>
    <w:rsid w:val="007869BC"/>
    <w:rsid w:val="00790ECC"/>
    <w:rsid w:val="00791A85"/>
    <w:rsid w:val="00797ADD"/>
    <w:rsid w:val="007A3FE0"/>
    <w:rsid w:val="007A6476"/>
    <w:rsid w:val="007A659B"/>
    <w:rsid w:val="007B0DC0"/>
    <w:rsid w:val="007B2C0B"/>
    <w:rsid w:val="007B4C9A"/>
    <w:rsid w:val="007B55FA"/>
    <w:rsid w:val="007E093D"/>
    <w:rsid w:val="007E25F5"/>
    <w:rsid w:val="007F4A33"/>
    <w:rsid w:val="007F63EC"/>
    <w:rsid w:val="007F6898"/>
    <w:rsid w:val="00800DD3"/>
    <w:rsid w:val="00801E96"/>
    <w:rsid w:val="008043DC"/>
    <w:rsid w:val="008067CC"/>
    <w:rsid w:val="00812005"/>
    <w:rsid w:val="008120F0"/>
    <w:rsid w:val="00813630"/>
    <w:rsid w:val="00813C96"/>
    <w:rsid w:val="00817280"/>
    <w:rsid w:val="00820AD0"/>
    <w:rsid w:val="00830936"/>
    <w:rsid w:val="008371E7"/>
    <w:rsid w:val="008440B3"/>
    <w:rsid w:val="00851C3F"/>
    <w:rsid w:val="00853EAD"/>
    <w:rsid w:val="008563C4"/>
    <w:rsid w:val="008630A1"/>
    <w:rsid w:val="00863B9C"/>
    <w:rsid w:val="00865BE3"/>
    <w:rsid w:val="008722E1"/>
    <w:rsid w:val="00882741"/>
    <w:rsid w:val="00883C03"/>
    <w:rsid w:val="00886AAB"/>
    <w:rsid w:val="008A1F11"/>
    <w:rsid w:val="008A7342"/>
    <w:rsid w:val="008A754C"/>
    <w:rsid w:val="008B2757"/>
    <w:rsid w:val="008B4AEF"/>
    <w:rsid w:val="008B7A49"/>
    <w:rsid w:val="008C542B"/>
    <w:rsid w:val="008C5A31"/>
    <w:rsid w:val="008E081C"/>
    <w:rsid w:val="008E4237"/>
    <w:rsid w:val="008F1EB4"/>
    <w:rsid w:val="009126EB"/>
    <w:rsid w:val="009137B9"/>
    <w:rsid w:val="009161B9"/>
    <w:rsid w:val="00934BC7"/>
    <w:rsid w:val="009355F2"/>
    <w:rsid w:val="009415B9"/>
    <w:rsid w:val="00950083"/>
    <w:rsid w:val="009572A5"/>
    <w:rsid w:val="00960343"/>
    <w:rsid w:val="00965D53"/>
    <w:rsid w:val="009909B9"/>
    <w:rsid w:val="0099277E"/>
    <w:rsid w:val="009A045B"/>
    <w:rsid w:val="009A466F"/>
    <w:rsid w:val="009A6E9F"/>
    <w:rsid w:val="009A7D3E"/>
    <w:rsid w:val="009C3033"/>
    <w:rsid w:val="009D1DE7"/>
    <w:rsid w:val="009E3F09"/>
    <w:rsid w:val="009E43A4"/>
    <w:rsid w:val="009F0B32"/>
    <w:rsid w:val="00A04E59"/>
    <w:rsid w:val="00A05B53"/>
    <w:rsid w:val="00A2506F"/>
    <w:rsid w:val="00A41177"/>
    <w:rsid w:val="00A411EB"/>
    <w:rsid w:val="00A4207D"/>
    <w:rsid w:val="00A4543F"/>
    <w:rsid w:val="00A5268C"/>
    <w:rsid w:val="00A569CD"/>
    <w:rsid w:val="00A6581B"/>
    <w:rsid w:val="00A66E72"/>
    <w:rsid w:val="00A8355F"/>
    <w:rsid w:val="00A83D2B"/>
    <w:rsid w:val="00A93EC8"/>
    <w:rsid w:val="00A95D46"/>
    <w:rsid w:val="00A9646F"/>
    <w:rsid w:val="00A96FB4"/>
    <w:rsid w:val="00AA0154"/>
    <w:rsid w:val="00AA0389"/>
    <w:rsid w:val="00AA3C15"/>
    <w:rsid w:val="00AA7B6D"/>
    <w:rsid w:val="00AC6B0B"/>
    <w:rsid w:val="00AE58CD"/>
    <w:rsid w:val="00AF665C"/>
    <w:rsid w:val="00AF6B75"/>
    <w:rsid w:val="00B02B2F"/>
    <w:rsid w:val="00B13D41"/>
    <w:rsid w:val="00B1703C"/>
    <w:rsid w:val="00B230E8"/>
    <w:rsid w:val="00B26F63"/>
    <w:rsid w:val="00B35426"/>
    <w:rsid w:val="00B429E3"/>
    <w:rsid w:val="00B432E8"/>
    <w:rsid w:val="00B5532B"/>
    <w:rsid w:val="00B60C1A"/>
    <w:rsid w:val="00B61E58"/>
    <w:rsid w:val="00B6502B"/>
    <w:rsid w:val="00B66474"/>
    <w:rsid w:val="00B80245"/>
    <w:rsid w:val="00B82D29"/>
    <w:rsid w:val="00B8519D"/>
    <w:rsid w:val="00B932B5"/>
    <w:rsid w:val="00B95887"/>
    <w:rsid w:val="00B967C9"/>
    <w:rsid w:val="00BA1A63"/>
    <w:rsid w:val="00BA2B1C"/>
    <w:rsid w:val="00BA2D6D"/>
    <w:rsid w:val="00BA524F"/>
    <w:rsid w:val="00BA6F47"/>
    <w:rsid w:val="00BB2888"/>
    <w:rsid w:val="00BB2956"/>
    <w:rsid w:val="00BB6F42"/>
    <w:rsid w:val="00BB7580"/>
    <w:rsid w:val="00BC1BC6"/>
    <w:rsid w:val="00BC59B4"/>
    <w:rsid w:val="00BD75FB"/>
    <w:rsid w:val="00BD7891"/>
    <w:rsid w:val="00BE0367"/>
    <w:rsid w:val="00BE2021"/>
    <w:rsid w:val="00BE2BE7"/>
    <w:rsid w:val="00BE53F5"/>
    <w:rsid w:val="00BE6065"/>
    <w:rsid w:val="00BF0332"/>
    <w:rsid w:val="00BF49D5"/>
    <w:rsid w:val="00C00B00"/>
    <w:rsid w:val="00C0108F"/>
    <w:rsid w:val="00C123BE"/>
    <w:rsid w:val="00C12C15"/>
    <w:rsid w:val="00C15CE0"/>
    <w:rsid w:val="00C265DA"/>
    <w:rsid w:val="00C30654"/>
    <w:rsid w:val="00C344C8"/>
    <w:rsid w:val="00C35A11"/>
    <w:rsid w:val="00C40674"/>
    <w:rsid w:val="00C41109"/>
    <w:rsid w:val="00C43421"/>
    <w:rsid w:val="00C44C29"/>
    <w:rsid w:val="00C471A4"/>
    <w:rsid w:val="00C4784B"/>
    <w:rsid w:val="00C5600A"/>
    <w:rsid w:val="00C751B2"/>
    <w:rsid w:val="00C815C2"/>
    <w:rsid w:val="00C83D81"/>
    <w:rsid w:val="00C96435"/>
    <w:rsid w:val="00CA0814"/>
    <w:rsid w:val="00CA4AB2"/>
    <w:rsid w:val="00CC3519"/>
    <w:rsid w:val="00CC39F3"/>
    <w:rsid w:val="00CC4F03"/>
    <w:rsid w:val="00CC6111"/>
    <w:rsid w:val="00CC75B1"/>
    <w:rsid w:val="00CD556E"/>
    <w:rsid w:val="00CE3464"/>
    <w:rsid w:val="00D01756"/>
    <w:rsid w:val="00D04520"/>
    <w:rsid w:val="00D0495E"/>
    <w:rsid w:val="00D07816"/>
    <w:rsid w:val="00D12F0B"/>
    <w:rsid w:val="00D14676"/>
    <w:rsid w:val="00D14744"/>
    <w:rsid w:val="00D57B42"/>
    <w:rsid w:val="00D6136B"/>
    <w:rsid w:val="00D64693"/>
    <w:rsid w:val="00D65925"/>
    <w:rsid w:val="00D65FD3"/>
    <w:rsid w:val="00D704E8"/>
    <w:rsid w:val="00D75F77"/>
    <w:rsid w:val="00D7617C"/>
    <w:rsid w:val="00D8337D"/>
    <w:rsid w:val="00DA1892"/>
    <w:rsid w:val="00DA2BA9"/>
    <w:rsid w:val="00DA4940"/>
    <w:rsid w:val="00DA6D17"/>
    <w:rsid w:val="00DA6E2B"/>
    <w:rsid w:val="00DB4E24"/>
    <w:rsid w:val="00DB74C9"/>
    <w:rsid w:val="00DC186B"/>
    <w:rsid w:val="00DC3917"/>
    <w:rsid w:val="00DD2203"/>
    <w:rsid w:val="00DD327E"/>
    <w:rsid w:val="00DD35C8"/>
    <w:rsid w:val="00DD369C"/>
    <w:rsid w:val="00DD61EE"/>
    <w:rsid w:val="00DE3805"/>
    <w:rsid w:val="00DF26D5"/>
    <w:rsid w:val="00DF666E"/>
    <w:rsid w:val="00E1519B"/>
    <w:rsid w:val="00E2515E"/>
    <w:rsid w:val="00E30B15"/>
    <w:rsid w:val="00E343F3"/>
    <w:rsid w:val="00E3465A"/>
    <w:rsid w:val="00E351F4"/>
    <w:rsid w:val="00E3561B"/>
    <w:rsid w:val="00E36DA4"/>
    <w:rsid w:val="00E37915"/>
    <w:rsid w:val="00E37FF6"/>
    <w:rsid w:val="00E47326"/>
    <w:rsid w:val="00E51C7D"/>
    <w:rsid w:val="00E5404A"/>
    <w:rsid w:val="00E551FB"/>
    <w:rsid w:val="00E5588B"/>
    <w:rsid w:val="00E60D41"/>
    <w:rsid w:val="00E7354D"/>
    <w:rsid w:val="00E76AD9"/>
    <w:rsid w:val="00E826F7"/>
    <w:rsid w:val="00E84111"/>
    <w:rsid w:val="00E8539A"/>
    <w:rsid w:val="00E8776C"/>
    <w:rsid w:val="00EC3C3F"/>
    <w:rsid w:val="00ED066D"/>
    <w:rsid w:val="00ED596D"/>
    <w:rsid w:val="00EF00C0"/>
    <w:rsid w:val="00EF35E6"/>
    <w:rsid w:val="00EF47BC"/>
    <w:rsid w:val="00EF49A9"/>
    <w:rsid w:val="00F06B24"/>
    <w:rsid w:val="00F123B0"/>
    <w:rsid w:val="00F125B6"/>
    <w:rsid w:val="00F13514"/>
    <w:rsid w:val="00F17F61"/>
    <w:rsid w:val="00F31D4A"/>
    <w:rsid w:val="00F33F7D"/>
    <w:rsid w:val="00F37EE8"/>
    <w:rsid w:val="00F51C1F"/>
    <w:rsid w:val="00F53CC9"/>
    <w:rsid w:val="00F63800"/>
    <w:rsid w:val="00F65B04"/>
    <w:rsid w:val="00F730A1"/>
    <w:rsid w:val="00F74311"/>
    <w:rsid w:val="00F75293"/>
    <w:rsid w:val="00F7769C"/>
    <w:rsid w:val="00F82C86"/>
    <w:rsid w:val="00F94FAA"/>
    <w:rsid w:val="00F96A55"/>
    <w:rsid w:val="00FA0067"/>
    <w:rsid w:val="00FB4784"/>
    <w:rsid w:val="00FC7C7D"/>
    <w:rsid w:val="00FD1135"/>
    <w:rsid w:val="00FD1F38"/>
    <w:rsid w:val="00FD683B"/>
    <w:rsid w:val="00FF0CB0"/>
    <w:rsid w:val="00FF2C7F"/>
    <w:rsid w:val="00FF5E7D"/>
    <w:rsid w:val="00FF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2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02E"/>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AA3C15"/>
    <w:pPr>
      <w:widowControl/>
      <w:numPr>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rFonts w:ascii="Courier New" w:hAnsi="Courier New" w:cs="Courier New"/>
      <w:b/>
      <w:sz w:val="24"/>
      <w:szCs w:val="20"/>
    </w:rPr>
  </w:style>
  <w:style w:type="paragraph" w:styleId="Heading2">
    <w:name w:val="heading 2"/>
    <w:basedOn w:val="Normal"/>
    <w:next w:val="Normal"/>
    <w:link w:val="Heading2Char"/>
    <w:uiPriority w:val="99"/>
    <w:qFormat/>
    <w:rsid w:val="00AA3C15"/>
    <w:pPr>
      <w:widowControl/>
      <w:numPr>
        <w:ilvl w:val="1"/>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1"/>
    </w:pPr>
    <w:rPr>
      <w:rFonts w:ascii="Courier New" w:hAnsi="Courier New" w:cs="Courier New"/>
      <w:b/>
      <w:color w:val="000000"/>
      <w:sz w:val="24"/>
      <w:szCs w:val="20"/>
    </w:rPr>
  </w:style>
  <w:style w:type="paragraph" w:styleId="Heading3">
    <w:name w:val="heading 3"/>
    <w:basedOn w:val="Normal"/>
    <w:next w:val="Normal"/>
    <w:link w:val="Heading3Char"/>
    <w:uiPriority w:val="99"/>
    <w:qFormat/>
    <w:rsid w:val="00AA3C15"/>
    <w:pPr>
      <w:keepNext/>
      <w:keepLines/>
      <w:numPr>
        <w:ilvl w:val="2"/>
        <w:numId w:val="5"/>
      </w:numPr>
      <w:autoSpaceDE/>
      <w:autoSpaceDN/>
      <w:adjustRightInd/>
      <w:spacing w:before="200" w:line="480" w:lineRule="auto"/>
      <w:outlineLvl w:val="2"/>
    </w:pPr>
    <w:rPr>
      <w:rFonts w:ascii="Courier New" w:hAnsi="Courier New"/>
      <w:b/>
      <w:bCs/>
      <w:color w:val="000000"/>
      <w:sz w:val="24"/>
      <w:szCs w:val="20"/>
    </w:rPr>
  </w:style>
  <w:style w:type="paragraph" w:styleId="Heading4">
    <w:name w:val="heading 4"/>
    <w:basedOn w:val="Normal"/>
    <w:next w:val="Normal"/>
    <w:link w:val="Heading4Char"/>
    <w:uiPriority w:val="99"/>
    <w:qFormat/>
    <w:rsid w:val="00AA3C15"/>
    <w:pPr>
      <w:keepNext/>
      <w:numPr>
        <w:ilvl w:val="3"/>
        <w:numId w:val="5"/>
      </w:numPr>
      <w:autoSpaceDE/>
      <w:autoSpaceDN/>
      <w:adjustRightInd/>
      <w:spacing w:before="240" w:after="60"/>
      <w:outlineLvl w:val="3"/>
    </w:pPr>
    <w:rPr>
      <w:rFonts w:ascii="Courier New" w:hAnsi="Courier New"/>
      <w:b/>
      <w:bCs/>
      <w:sz w:val="24"/>
      <w:szCs w:val="28"/>
    </w:rPr>
  </w:style>
  <w:style w:type="paragraph" w:styleId="Heading5">
    <w:name w:val="heading 5"/>
    <w:basedOn w:val="Normal"/>
    <w:next w:val="Normal"/>
    <w:link w:val="Heading5Char"/>
    <w:uiPriority w:val="99"/>
    <w:qFormat/>
    <w:rsid w:val="00AA3C15"/>
    <w:pPr>
      <w:numPr>
        <w:ilvl w:val="4"/>
        <w:numId w:val="5"/>
      </w:numPr>
      <w:autoSpaceDE/>
      <w:autoSpaceDN/>
      <w:adjustRightInd/>
      <w:spacing w:before="240" w:after="60"/>
      <w:outlineLvl w:val="4"/>
    </w:pPr>
    <w:rPr>
      <w:rFonts w:ascii="Courier New" w:hAnsi="Courier New"/>
      <w:b/>
      <w:bCs/>
      <w:iCs/>
      <w:sz w:val="24"/>
      <w:szCs w:val="26"/>
    </w:rPr>
  </w:style>
  <w:style w:type="paragraph" w:styleId="Heading6">
    <w:name w:val="heading 6"/>
    <w:basedOn w:val="Normal"/>
    <w:next w:val="Normal"/>
    <w:link w:val="Heading6Char"/>
    <w:uiPriority w:val="99"/>
    <w:qFormat/>
    <w:rsid w:val="00AA3C15"/>
    <w:pPr>
      <w:numPr>
        <w:ilvl w:val="5"/>
        <w:numId w:val="5"/>
      </w:numPr>
      <w:autoSpaceDE/>
      <w:autoSpaceDN/>
      <w:adjustRightInd/>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AA3C15"/>
    <w:pPr>
      <w:numPr>
        <w:ilvl w:val="6"/>
        <w:numId w:val="5"/>
      </w:numPr>
      <w:autoSpaceDE/>
      <w:autoSpaceDN/>
      <w:adjustRightInd/>
      <w:spacing w:before="240" w:after="60"/>
      <w:outlineLvl w:val="6"/>
    </w:pPr>
    <w:rPr>
      <w:rFonts w:ascii="Calibri" w:hAnsi="Calibri"/>
      <w:sz w:val="24"/>
    </w:rPr>
  </w:style>
  <w:style w:type="paragraph" w:styleId="Heading8">
    <w:name w:val="heading 8"/>
    <w:basedOn w:val="Normal"/>
    <w:next w:val="Normal"/>
    <w:link w:val="Heading8Char"/>
    <w:uiPriority w:val="99"/>
    <w:qFormat/>
    <w:rsid w:val="00AA3C15"/>
    <w:pPr>
      <w:numPr>
        <w:ilvl w:val="7"/>
        <w:numId w:val="5"/>
      </w:numPr>
      <w:autoSpaceDE/>
      <w:autoSpaceDN/>
      <w:adjustRightInd/>
      <w:spacing w:before="240" w:after="60"/>
      <w:outlineLvl w:val="7"/>
    </w:pPr>
    <w:rPr>
      <w:rFonts w:ascii="Calibri" w:hAnsi="Calibri"/>
      <w:i/>
      <w:iCs/>
      <w:sz w:val="24"/>
    </w:rPr>
  </w:style>
  <w:style w:type="paragraph" w:styleId="Heading9">
    <w:name w:val="heading 9"/>
    <w:basedOn w:val="Normal"/>
    <w:next w:val="Normal"/>
    <w:link w:val="Heading9Char"/>
    <w:uiPriority w:val="99"/>
    <w:qFormat/>
    <w:rsid w:val="00AA3C15"/>
    <w:pPr>
      <w:numPr>
        <w:ilvl w:val="8"/>
        <w:numId w:val="5"/>
      </w:numPr>
      <w:autoSpaceDE/>
      <w:autoSpaceDN/>
      <w:adjustRightInd/>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A002E"/>
  </w:style>
  <w:style w:type="character" w:customStyle="1" w:styleId="documentbody5">
    <w:name w:val="documentbody5"/>
    <w:basedOn w:val="DefaultParagraphFont"/>
    <w:rsid w:val="00012EB3"/>
    <w:rPr>
      <w:rFonts w:ascii="Verdana" w:hAnsi="Verdana" w:hint="default"/>
      <w:sz w:val="19"/>
      <w:szCs w:val="19"/>
    </w:rPr>
  </w:style>
  <w:style w:type="character" w:styleId="CommentReference">
    <w:name w:val="annotation reference"/>
    <w:basedOn w:val="DefaultParagraphFont"/>
    <w:uiPriority w:val="99"/>
    <w:rsid w:val="00012EB3"/>
    <w:rPr>
      <w:sz w:val="16"/>
    </w:rPr>
  </w:style>
  <w:style w:type="paragraph" w:styleId="ListParagraph">
    <w:name w:val="List Paragraph"/>
    <w:basedOn w:val="Normal"/>
    <w:uiPriority w:val="34"/>
    <w:qFormat/>
    <w:rsid w:val="00F53CC9"/>
    <w:pPr>
      <w:widowControl/>
      <w:autoSpaceDE/>
      <w:autoSpaceDN/>
      <w:adjustRightInd/>
      <w:spacing w:after="200" w:line="276" w:lineRule="auto"/>
      <w:ind w:left="720"/>
      <w:contextualSpacing/>
    </w:pPr>
    <w:rPr>
      <w:rFonts w:eastAsia="Calibri"/>
      <w:sz w:val="24"/>
      <w:szCs w:val="22"/>
    </w:rPr>
  </w:style>
  <w:style w:type="paragraph" w:customStyle="1" w:styleId="Style0">
    <w:name w:val="Style0"/>
    <w:rsid w:val="00E30B15"/>
    <w:rPr>
      <w:snapToGrid w:val="0"/>
      <w:sz w:val="24"/>
    </w:rPr>
  </w:style>
  <w:style w:type="character" w:styleId="Hyperlink">
    <w:name w:val="Hyperlink"/>
    <w:basedOn w:val="DefaultParagraphFont"/>
    <w:rsid w:val="00E30B15"/>
    <w:rPr>
      <w:color w:val="0000FF"/>
      <w:u w:val="single"/>
    </w:rPr>
  </w:style>
  <w:style w:type="paragraph" w:styleId="NoSpacing">
    <w:name w:val="No Spacing"/>
    <w:basedOn w:val="Normal"/>
    <w:uiPriority w:val="1"/>
    <w:qFormat/>
    <w:rsid w:val="0075647B"/>
    <w:pPr>
      <w:widowControl/>
      <w:autoSpaceDE/>
      <w:autoSpaceDN/>
      <w:adjustRightInd/>
    </w:pPr>
    <w:rPr>
      <w:rFonts w:ascii="Calibri" w:eastAsia="Calibri" w:hAnsi="Calibri"/>
      <w:sz w:val="22"/>
      <w:szCs w:val="22"/>
    </w:rPr>
  </w:style>
  <w:style w:type="character" w:customStyle="1" w:styleId="Heading1Char">
    <w:name w:val="Heading 1 Char"/>
    <w:basedOn w:val="DefaultParagraphFont"/>
    <w:link w:val="Heading1"/>
    <w:uiPriority w:val="99"/>
    <w:rsid w:val="00AA3C15"/>
    <w:rPr>
      <w:rFonts w:ascii="Courier New" w:hAnsi="Courier New" w:cs="Courier New"/>
      <w:b/>
      <w:sz w:val="24"/>
    </w:rPr>
  </w:style>
  <w:style w:type="character" w:customStyle="1" w:styleId="Heading2Char">
    <w:name w:val="Heading 2 Char"/>
    <w:basedOn w:val="DefaultParagraphFont"/>
    <w:link w:val="Heading2"/>
    <w:uiPriority w:val="99"/>
    <w:rsid w:val="00AA3C15"/>
    <w:rPr>
      <w:rFonts w:ascii="Courier New" w:hAnsi="Courier New" w:cs="Courier New"/>
      <w:b/>
      <w:color w:val="000000"/>
      <w:sz w:val="24"/>
    </w:rPr>
  </w:style>
  <w:style w:type="character" w:customStyle="1" w:styleId="Heading3Char">
    <w:name w:val="Heading 3 Char"/>
    <w:basedOn w:val="DefaultParagraphFont"/>
    <w:link w:val="Heading3"/>
    <w:uiPriority w:val="99"/>
    <w:rsid w:val="00AA3C15"/>
    <w:rPr>
      <w:rFonts w:ascii="Courier New" w:hAnsi="Courier New"/>
      <w:b/>
      <w:bCs/>
      <w:color w:val="000000"/>
      <w:sz w:val="24"/>
    </w:rPr>
  </w:style>
  <w:style w:type="character" w:customStyle="1" w:styleId="Heading4Char">
    <w:name w:val="Heading 4 Char"/>
    <w:basedOn w:val="DefaultParagraphFont"/>
    <w:link w:val="Heading4"/>
    <w:uiPriority w:val="99"/>
    <w:rsid w:val="00AA3C15"/>
    <w:rPr>
      <w:rFonts w:ascii="Courier New" w:hAnsi="Courier New"/>
      <w:b/>
      <w:bCs/>
      <w:sz w:val="24"/>
      <w:szCs w:val="28"/>
    </w:rPr>
  </w:style>
  <w:style w:type="character" w:customStyle="1" w:styleId="Heading5Char">
    <w:name w:val="Heading 5 Char"/>
    <w:basedOn w:val="DefaultParagraphFont"/>
    <w:link w:val="Heading5"/>
    <w:uiPriority w:val="99"/>
    <w:rsid w:val="00AA3C15"/>
    <w:rPr>
      <w:rFonts w:ascii="Courier New" w:hAnsi="Courier New"/>
      <w:b/>
      <w:bCs/>
      <w:iCs/>
      <w:sz w:val="24"/>
      <w:szCs w:val="26"/>
    </w:rPr>
  </w:style>
  <w:style w:type="character" w:customStyle="1" w:styleId="Heading6Char">
    <w:name w:val="Heading 6 Char"/>
    <w:basedOn w:val="DefaultParagraphFont"/>
    <w:link w:val="Heading6"/>
    <w:uiPriority w:val="99"/>
    <w:rsid w:val="00AA3C15"/>
    <w:rPr>
      <w:rFonts w:ascii="Calibri" w:hAnsi="Calibri"/>
      <w:b/>
      <w:bCs/>
      <w:sz w:val="22"/>
      <w:szCs w:val="22"/>
    </w:rPr>
  </w:style>
  <w:style w:type="character" w:customStyle="1" w:styleId="Heading7Char">
    <w:name w:val="Heading 7 Char"/>
    <w:basedOn w:val="DefaultParagraphFont"/>
    <w:link w:val="Heading7"/>
    <w:uiPriority w:val="99"/>
    <w:rsid w:val="00AA3C15"/>
    <w:rPr>
      <w:rFonts w:ascii="Calibri" w:hAnsi="Calibri"/>
      <w:sz w:val="24"/>
      <w:szCs w:val="24"/>
    </w:rPr>
  </w:style>
  <w:style w:type="character" w:customStyle="1" w:styleId="Heading8Char">
    <w:name w:val="Heading 8 Char"/>
    <w:basedOn w:val="DefaultParagraphFont"/>
    <w:link w:val="Heading8"/>
    <w:uiPriority w:val="99"/>
    <w:rsid w:val="00AA3C15"/>
    <w:rPr>
      <w:rFonts w:ascii="Calibri" w:hAnsi="Calibri"/>
      <w:i/>
      <w:iCs/>
      <w:sz w:val="24"/>
      <w:szCs w:val="24"/>
    </w:rPr>
  </w:style>
  <w:style w:type="character" w:customStyle="1" w:styleId="Heading9Char">
    <w:name w:val="Heading 9 Char"/>
    <w:basedOn w:val="DefaultParagraphFont"/>
    <w:link w:val="Heading9"/>
    <w:uiPriority w:val="99"/>
    <w:rsid w:val="00AA3C15"/>
    <w:rPr>
      <w:rFonts w:ascii="Cambria" w:hAnsi="Cambria"/>
      <w:sz w:val="22"/>
      <w:szCs w:val="22"/>
    </w:rPr>
  </w:style>
  <w:style w:type="paragraph" w:styleId="BalloonText">
    <w:name w:val="Balloon Text"/>
    <w:basedOn w:val="Normal"/>
    <w:link w:val="BalloonTextChar"/>
    <w:rsid w:val="00701FA5"/>
    <w:rPr>
      <w:rFonts w:ascii="Tahoma" w:hAnsi="Tahoma" w:cs="Tahoma"/>
      <w:sz w:val="16"/>
      <w:szCs w:val="16"/>
    </w:rPr>
  </w:style>
  <w:style w:type="character" w:customStyle="1" w:styleId="BalloonTextChar">
    <w:name w:val="Balloon Text Char"/>
    <w:basedOn w:val="DefaultParagraphFont"/>
    <w:link w:val="BalloonText"/>
    <w:rsid w:val="00701FA5"/>
    <w:rPr>
      <w:rFonts w:ascii="Tahoma" w:hAnsi="Tahoma" w:cs="Tahoma"/>
      <w:sz w:val="16"/>
      <w:szCs w:val="16"/>
    </w:rPr>
  </w:style>
  <w:style w:type="paragraph" w:styleId="CommentText">
    <w:name w:val="annotation text"/>
    <w:aliases w:val="t"/>
    <w:basedOn w:val="Normal"/>
    <w:link w:val="CommentTextChar"/>
    <w:uiPriority w:val="99"/>
    <w:qFormat/>
    <w:rsid w:val="006E5A98"/>
    <w:rPr>
      <w:szCs w:val="20"/>
    </w:rPr>
  </w:style>
  <w:style w:type="character" w:customStyle="1" w:styleId="CommentTextChar">
    <w:name w:val="Comment Text Char"/>
    <w:aliases w:val="t Char"/>
    <w:basedOn w:val="DefaultParagraphFont"/>
    <w:link w:val="CommentText"/>
    <w:uiPriority w:val="99"/>
    <w:rsid w:val="006E5A98"/>
  </w:style>
  <w:style w:type="paragraph" w:styleId="CommentSubject">
    <w:name w:val="annotation subject"/>
    <w:basedOn w:val="CommentText"/>
    <w:next w:val="CommentText"/>
    <w:link w:val="CommentSubjectChar"/>
    <w:rsid w:val="006E5A98"/>
    <w:rPr>
      <w:b/>
      <w:bCs/>
    </w:rPr>
  </w:style>
  <w:style w:type="character" w:customStyle="1" w:styleId="CommentSubjectChar">
    <w:name w:val="Comment Subject Char"/>
    <w:basedOn w:val="CommentTextChar"/>
    <w:link w:val="CommentSubject"/>
    <w:rsid w:val="006E5A98"/>
    <w:rPr>
      <w:b/>
      <w:bCs/>
    </w:rPr>
  </w:style>
  <w:style w:type="paragraph" w:styleId="Header">
    <w:name w:val="header"/>
    <w:basedOn w:val="Normal"/>
    <w:link w:val="HeaderChar"/>
    <w:rsid w:val="00F17F61"/>
    <w:pPr>
      <w:tabs>
        <w:tab w:val="center" w:pos="4680"/>
        <w:tab w:val="right" w:pos="9360"/>
      </w:tabs>
    </w:pPr>
  </w:style>
  <w:style w:type="character" w:customStyle="1" w:styleId="HeaderChar">
    <w:name w:val="Header Char"/>
    <w:basedOn w:val="DefaultParagraphFont"/>
    <w:link w:val="Header"/>
    <w:rsid w:val="00F17F61"/>
    <w:rPr>
      <w:szCs w:val="24"/>
    </w:rPr>
  </w:style>
  <w:style w:type="paragraph" w:customStyle="1" w:styleId="Default">
    <w:name w:val="Default"/>
    <w:basedOn w:val="Normal"/>
    <w:rsid w:val="00F37EE8"/>
    <w:pPr>
      <w:widowControl/>
      <w:adjustRightInd/>
    </w:pPr>
    <w:rPr>
      <w:rFonts w:ascii="Calibri" w:eastAsiaTheme="minorHAnsi" w:hAnsi="Calibri" w:cs="Calibri"/>
      <w:color w:val="000000"/>
      <w:sz w:val="24"/>
    </w:rPr>
  </w:style>
  <w:style w:type="paragraph" w:styleId="BodyText">
    <w:name w:val="Body Text"/>
    <w:basedOn w:val="Normal"/>
    <w:link w:val="BodyTextChar"/>
    <w:uiPriority w:val="1"/>
    <w:qFormat/>
    <w:rsid w:val="005917E4"/>
    <w:pPr>
      <w:autoSpaceDE/>
      <w:autoSpaceDN/>
      <w:adjustRightInd/>
      <w:ind w:left="1160"/>
    </w:pPr>
    <w:rPr>
      <w:rFonts w:cstheme="minorBidi"/>
      <w:sz w:val="24"/>
    </w:rPr>
  </w:style>
  <w:style w:type="character" w:customStyle="1" w:styleId="BodyTextChar">
    <w:name w:val="Body Text Char"/>
    <w:basedOn w:val="DefaultParagraphFont"/>
    <w:link w:val="BodyText"/>
    <w:uiPriority w:val="1"/>
    <w:rsid w:val="005917E4"/>
    <w:rPr>
      <w:rFonts w:cstheme="minorBidi"/>
      <w:sz w:val="24"/>
      <w:szCs w:val="24"/>
    </w:rPr>
  </w:style>
  <w:style w:type="table" w:styleId="TableGrid">
    <w:name w:val="Table Grid"/>
    <w:basedOn w:val="TableNormal"/>
    <w:uiPriority w:val="59"/>
    <w:rsid w:val="005917E4"/>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C44C29"/>
    <w:rPr>
      <w:color w:val="800080" w:themeColor="followedHyperlink"/>
      <w:u w:val="single"/>
    </w:rPr>
  </w:style>
  <w:style w:type="paragraph" w:styleId="FootnoteText">
    <w:name w:val="footnote text"/>
    <w:basedOn w:val="Normal"/>
    <w:link w:val="FootnoteTextChar"/>
    <w:semiHidden/>
    <w:unhideWhenUsed/>
    <w:rsid w:val="00CA4AB2"/>
    <w:rPr>
      <w:szCs w:val="20"/>
    </w:rPr>
  </w:style>
  <w:style w:type="character" w:customStyle="1" w:styleId="FootnoteTextChar">
    <w:name w:val="Footnote Text Char"/>
    <w:basedOn w:val="DefaultParagraphFont"/>
    <w:link w:val="FootnoteText"/>
    <w:semiHidden/>
    <w:rsid w:val="00CA4AB2"/>
  </w:style>
  <w:style w:type="paragraph" w:styleId="Revision">
    <w:name w:val="Revision"/>
    <w:hidden/>
    <w:uiPriority w:val="99"/>
    <w:semiHidden/>
    <w:rsid w:val="006E6183"/>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02E"/>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AA3C15"/>
    <w:pPr>
      <w:widowControl/>
      <w:numPr>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rFonts w:ascii="Courier New" w:hAnsi="Courier New" w:cs="Courier New"/>
      <w:b/>
      <w:sz w:val="24"/>
      <w:szCs w:val="20"/>
    </w:rPr>
  </w:style>
  <w:style w:type="paragraph" w:styleId="Heading2">
    <w:name w:val="heading 2"/>
    <w:basedOn w:val="Normal"/>
    <w:next w:val="Normal"/>
    <w:link w:val="Heading2Char"/>
    <w:uiPriority w:val="99"/>
    <w:qFormat/>
    <w:rsid w:val="00AA3C15"/>
    <w:pPr>
      <w:widowControl/>
      <w:numPr>
        <w:ilvl w:val="1"/>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1"/>
    </w:pPr>
    <w:rPr>
      <w:rFonts w:ascii="Courier New" w:hAnsi="Courier New" w:cs="Courier New"/>
      <w:b/>
      <w:color w:val="000000"/>
      <w:sz w:val="24"/>
      <w:szCs w:val="20"/>
    </w:rPr>
  </w:style>
  <w:style w:type="paragraph" w:styleId="Heading3">
    <w:name w:val="heading 3"/>
    <w:basedOn w:val="Normal"/>
    <w:next w:val="Normal"/>
    <w:link w:val="Heading3Char"/>
    <w:uiPriority w:val="99"/>
    <w:qFormat/>
    <w:rsid w:val="00AA3C15"/>
    <w:pPr>
      <w:keepNext/>
      <w:keepLines/>
      <w:numPr>
        <w:ilvl w:val="2"/>
        <w:numId w:val="5"/>
      </w:numPr>
      <w:autoSpaceDE/>
      <w:autoSpaceDN/>
      <w:adjustRightInd/>
      <w:spacing w:before="200" w:line="480" w:lineRule="auto"/>
      <w:outlineLvl w:val="2"/>
    </w:pPr>
    <w:rPr>
      <w:rFonts w:ascii="Courier New" w:hAnsi="Courier New"/>
      <w:b/>
      <w:bCs/>
      <w:color w:val="000000"/>
      <w:sz w:val="24"/>
      <w:szCs w:val="20"/>
    </w:rPr>
  </w:style>
  <w:style w:type="paragraph" w:styleId="Heading4">
    <w:name w:val="heading 4"/>
    <w:basedOn w:val="Normal"/>
    <w:next w:val="Normal"/>
    <w:link w:val="Heading4Char"/>
    <w:uiPriority w:val="99"/>
    <w:qFormat/>
    <w:rsid w:val="00AA3C15"/>
    <w:pPr>
      <w:keepNext/>
      <w:numPr>
        <w:ilvl w:val="3"/>
        <w:numId w:val="5"/>
      </w:numPr>
      <w:autoSpaceDE/>
      <w:autoSpaceDN/>
      <w:adjustRightInd/>
      <w:spacing w:before="240" w:after="60"/>
      <w:outlineLvl w:val="3"/>
    </w:pPr>
    <w:rPr>
      <w:rFonts w:ascii="Courier New" w:hAnsi="Courier New"/>
      <w:b/>
      <w:bCs/>
      <w:sz w:val="24"/>
      <w:szCs w:val="28"/>
    </w:rPr>
  </w:style>
  <w:style w:type="paragraph" w:styleId="Heading5">
    <w:name w:val="heading 5"/>
    <w:basedOn w:val="Normal"/>
    <w:next w:val="Normal"/>
    <w:link w:val="Heading5Char"/>
    <w:uiPriority w:val="99"/>
    <w:qFormat/>
    <w:rsid w:val="00AA3C15"/>
    <w:pPr>
      <w:numPr>
        <w:ilvl w:val="4"/>
        <w:numId w:val="5"/>
      </w:numPr>
      <w:autoSpaceDE/>
      <w:autoSpaceDN/>
      <w:adjustRightInd/>
      <w:spacing w:before="240" w:after="60"/>
      <w:outlineLvl w:val="4"/>
    </w:pPr>
    <w:rPr>
      <w:rFonts w:ascii="Courier New" w:hAnsi="Courier New"/>
      <w:b/>
      <w:bCs/>
      <w:iCs/>
      <w:sz w:val="24"/>
      <w:szCs w:val="26"/>
    </w:rPr>
  </w:style>
  <w:style w:type="paragraph" w:styleId="Heading6">
    <w:name w:val="heading 6"/>
    <w:basedOn w:val="Normal"/>
    <w:next w:val="Normal"/>
    <w:link w:val="Heading6Char"/>
    <w:uiPriority w:val="99"/>
    <w:qFormat/>
    <w:rsid w:val="00AA3C15"/>
    <w:pPr>
      <w:numPr>
        <w:ilvl w:val="5"/>
        <w:numId w:val="5"/>
      </w:numPr>
      <w:autoSpaceDE/>
      <w:autoSpaceDN/>
      <w:adjustRightInd/>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AA3C15"/>
    <w:pPr>
      <w:numPr>
        <w:ilvl w:val="6"/>
        <w:numId w:val="5"/>
      </w:numPr>
      <w:autoSpaceDE/>
      <w:autoSpaceDN/>
      <w:adjustRightInd/>
      <w:spacing w:before="240" w:after="60"/>
      <w:outlineLvl w:val="6"/>
    </w:pPr>
    <w:rPr>
      <w:rFonts w:ascii="Calibri" w:hAnsi="Calibri"/>
      <w:sz w:val="24"/>
    </w:rPr>
  </w:style>
  <w:style w:type="paragraph" w:styleId="Heading8">
    <w:name w:val="heading 8"/>
    <w:basedOn w:val="Normal"/>
    <w:next w:val="Normal"/>
    <w:link w:val="Heading8Char"/>
    <w:uiPriority w:val="99"/>
    <w:qFormat/>
    <w:rsid w:val="00AA3C15"/>
    <w:pPr>
      <w:numPr>
        <w:ilvl w:val="7"/>
        <w:numId w:val="5"/>
      </w:numPr>
      <w:autoSpaceDE/>
      <w:autoSpaceDN/>
      <w:adjustRightInd/>
      <w:spacing w:before="240" w:after="60"/>
      <w:outlineLvl w:val="7"/>
    </w:pPr>
    <w:rPr>
      <w:rFonts w:ascii="Calibri" w:hAnsi="Calibri"/>
      <w:i/>
      <w:iCs/>
      <w:sz w:val="24"/>
    </w:rPr>
  </w:style>
  <w:style w:type="paragraph" w:styleId="Heading9">
    <w:name w:val="heading 9"/>
    <w:basedOn w:val="Normal"/>
    <w:next w:val="Normal"/>
    <w:link w:val="Heading9Char"/>
    <w:uiPriority w:val="99"/>
    <w:qFormat/>
    <w:rsid w:val="00AA3C15"/>
    <w:pPr>
      <w:numPr>
        <w:ilvl w:val="8"/>
        <w:numId w:val="5"/>
      </w:numPr>
      <w:autoSpaceDE/>
      <w:autoSpaceDN/>
      <w:adjustRightInd/>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A002E"/>
  </w:style>
  <w:style w:type="character" w:customStyle="1" w:styleId="documentbody5">
    <w:name w:val="documentbody5"/>
    <w:basedOn w:val="DefaultParagraphFont"/>
    <w:rsid w:val="00012EB3"/>
    <w:rPr>
      <w:rFonts w:ascii="Verdana" w:hAnsi="Verdana" w:hint="default"/>
      <w:sz w:val="19"/>
      <w:szCs w:val="19"/>
    </w:rPr>
  </w:style>
  <w:style w:type="character" w:styleId="CommentReference">
    <w:name w:val="annotation reference"/>
    <w:basedOn w:val="DefaultParagraphFont"/>
    <w:uiPriority w:val="99"/>
    <w:rsid w:val="00012EB3"/>
    <w:rPr>
      <w:sz w:val="16"/>
    </w:rPr>
  </w:style>
  <w:style w:type="paragraph" w:styleId="ListParagraph">
    <w:name w:val="List Paragraph"/>
    <w:basedOn w:val="Normal"/>
    <w:uiPriority w:val="34"/>
    <w:qFormat/>
    <w:rsid w:val="00F53CC9"/>
    <w:pPr>
      <w:widowControl/>
      <w:autoSpaceDE/>
      <w:autoSpaceDN/>
      <w:adjustRightInd/>
      <w:spacing w:after="200" w:line="276" w:lineRule="auto"/>
      <w:ind w:left="720"/>
      <w:contextualSpacing/>
    </w:pPr>
    <w:rPr>
      <w:rFonts w:eastAsia="Calibri"/>
      <w:sz w:val="24"/>
      <w:szCs w:val="22"/>
    </w:rPr>
  </w:style>
  <w:style w:type="paragraph" w:customStyle="1" w:styleId="Style0">
    <w:name w:val="Style0"/>
    <w:rsid w:val="00E30B15"/>
    <w:rPr>
      <w:snapToGrid w:val="0"/>
      <w:sz w:val="24"/>
    </w:rPr>
  </w:style>
  <w:style w:type="character" w:styleId="Hyperlink">
    <w:name w:val="Hyperlink"/>
    <w:basedOn w:val="DefaultParagraphFont"/>
    <w:rsid w:val="00E30B15"/>
    <w:rPr>
      <w:color w:val="0000FF"/>
      <w:u w:val="single"/>
    </w:rPr>
  </w:style>
  <w:style w:type="paragraph" w:styleId="NoSpacing">
    <w:name w:val="No Spacing"/>
    <w:basedOn w:val="Normal"/>
    <w:uiPriority w:val="1"/>
    <w:qFormat/>
    <w:rsid w:val="0075647B"/>
    <w:pPr>
      <w:widowControl/>
      <w:autoSpaceDE/>
      <w:autoSpaceDN/>
      <w:adjustRightInd/>
    </w:pPr>
    <w:rPr>
      <w:rFonts w:ascii="Calibri" w:eastAsia="Calibri" w:hAnsi="Calibri"/>
      <w:sz w:val="22"/>
      <w:szCs w:val="22"/>
    </w:rPr>
  </w:style>
  <w:style w:type="character" w:customStyle="1" w:styleId="Heading1Char">
    <w:name w:val="Heading 1 Char"/>
    <w:basedOn w:val="DefaultParagraphFont"/>
    <w:link w:val="Heading1"/>
    <w:uiPriority w:val="99"/>
    <w:rsid w:val="00AA3C15"/>
    <w:rPr>
      <w:rFonts w:ascii="Courier New" w:hAnsi="Courier New" w:cs="Courier New"/>
      <w:b/>
      <w:sz w:val="24"/>
    </w:rPr>
  </w:style>
  <w:style w:type="character" w:customStyle="1" w:styleId="Heading2Char">
    <w:name w:val="Heading 2 Char"/>
    <w:basedOn w:val="DefaultParagraphFont"/>
    <w:link w:val="Heading2"/>
    <w:uiPriority w:val="99"/>
    <w:rsid w:val="00AA3C15"/>
    <w:rPr>
      <w:rFonts w:ascii="Courier New" w:hAnsi="Courier New" w:cs="Courier New"/>
      <w:b/>
      <w:color w:val="000000"/>
      <w:sz w:val="24"/>
    </w:rPr>
  </w:style>
  <w:style w:type="character" w:customStyle="1" w:styleId="Heading3Char">
    <w:name w:val="Heading 3 Char"/>
    <w:basedOn w:val="DefaultParagraphFont"/>
    <w:link w:val="Heading3"/>
    <w:uiPriority w:val="99"/>
    <w:rsid w:val="00AA3C15"/>
    <w:rPr>
      <w:rFonts w:ascii="Courier New" w:hAnsi="Courier New"/>
      <w:b/>
      <w:bCs/>
      <w:color w:val="000000"/>
      <w:sz w:val="24"/>
    </w:rPr>
  </w:style>
  <w:style w:type="character" w:customStyle="1" w:styleId="Heading4Char">
    <w:name w:val="Heading 4 Char"/>
    <w:basedOn w:val="DefaultParagraphFont"/>
    <w:link w:val="Heading4"/>
    <w:uiPriority w:val="99"/>
    <w:rsid w:val="00AA3C15"/>
    <w:rPr>
      <w:rFonts w:ascii="Courier New" w:hAnsi="Courier New"/>
      <w:b/>
      <w:bCs/>
      <w:sz w:val="24"/>
      <w:szCs w:val="28"/>
    </w:rPr>
  </w:style>
  <w:style w:type="character" w:customStyle="1" w:styleId="Heading5Char">
    <w:name w:val="Heading 5 Char"/>
    <w:basedOn w:val="DefaultParagraphFont"/>
    <w:link w:val="Heading5"/>
    <w:uiPriority w:val="99"/>
    <w:rsid w:val="00AA3C15"/>
    <w:rPr>
      <w:rFonts w:ascii="Courier New" w:hAnsi="Courier New"/>
      <w:b/>
      <w:bCs/>
      <w:iCs/>
      <w:sz w:val="24"/>
      <w:szCs w:val="26"/>
    </w:rPr>
  </w:style>
  <w:style w:type="character" w:customStyle="1" w:styleId="Heading6Char">
    <w:name w:val="Heading 6 Char"/>
    <w:basedOn w:val="DefaultParagraphFont"/>
    <w:link w:val="Heading6"/>
    <w:uiPriority w:val="99"/>
    <w:rsid w:val="00AA3C15"/>
    <w:rPr>
      <w:rFonts w:ascii="Calibri" w:hAnsi="Calibri"/>
      <w:b/>
      <w:bCs/>
      <w:sz w:val="22"/>
      <w:szCs w:val="22"/>
    </w:rPr>
  </w:style>
  <w:style w:type="character" w:customStyle="1" w:styleId="Heading7Char">
    <w:name w:val="Heading 7 Char"/>
    <w:basedOn w:val="DefaultParagraphFont"/>
    <w:link w:val="Heading7"/>
    <w:uiPriority w:val="99"/>
    <w:rsid w:val="00AA3C15"/>
    <w:rPr>
      <w:rFonts w:ascii="Calibri" w:hAnsi="Calibri"/>
      <w:sz w:val="24"/>
      <w:szCs w:val="24"/>
    </w:rPr>
  </w:style>
  <w:style w:type="character" w:customStyle="1" w:styleId="Heading8Char">
    <w:name w:val="Heading 8 Char"/>
    <w:basedOn w:val="DefaultParagraphFont"/>
    <w:link w:val="Heading8"/>
    <w:uiPriority w:val="99"/>
    <w:rsid w:val="00AA3C15"/>
    <w:rPr>
      <w:rFonts w:ascii="Calibri" w:hAnsi="Calibri"/>
      <w:i/>
      <w:iCs/>
      <w:sz w:val="24"/>
      <w:szCs w:val="24"/>
    </w:rPr>
  </w:style>
  <w:style w:type="character" w:customStyle="1" w:styleId="Heading9Char">
    <w:name w:val="Heading 9 Char"/>
    <w:basedOn w:val="DefaultParagraphFont"/>
    <w:link w:val="Heading9"/>
    <w:uiPriority w:val="99"/>
    <w:rsid w:val="00AA3C15"/>
    <w:rPr>
      <w:rFonts w:ascii="Cambria" w:hAnsi="Cambria"/>
      <w:sz w:val="22"/>
      <w:szCs w:val="22"/>
    </w:rPr>
  </w:style>
  <w:style w:type="paragraph" w:styleId="BalloonText">
    <w:name w:val="Balloon Text"/>
    <w:basedOn w:val="Normal"/>
    <w:link w:val="BalloonTextChar"/>
    <w:rsid w:val="00701FA5"/>
    <w:rPr>
      <w:rFonts w:ascii="Tahoma" w:hAnsi="Tahoma" w:cs="Tahoma"/>
      <w:sz w:val="16"/>
      <w:szCs w:val="16"/>
    </w:rPr>
  </w:style>
  <w:style w:type="character" w:customStyle="1" w:styleId="BalloonTextChar">
    <w:name w:val="Balloon Text Char"/>
    <w:basedOn w:val="DefaultParagraphFont"/>
    <w:link w:val="BalloonText"/>
    <w:rsid w:val="00701FA5"/>
    <w:rPr>
      <w:rFonts w:ascii="Tahoma" w:hAnsi="Tahoma" w:cs="Tahoma"/>
      <w:sz w:val="16"/>
      <w:szCs w:val="16"/>
    </w:rPr>
  </w:style>
  <w:style w:type="paragraph" w:styleId="CommentText">
    <w:name w:val="annotation text"/>
    <w:aliases w:val="t"/>
    <w:basedOn w:val="Normal"/>
    <w:link w:val="CommentTextChar"/>
    <w:uiPriority w:val="99"/>
    <w:qFormat/>
    <w:rsid w:val="006E5A98"/>
    <w:rPr>
      <w:szCs w:val="20"/>
    </w:rPr>
  </w:style>
  <w:style w:type="character" w:customStyle="1" w:styleId="CommentTextChar">
    <w:name w:val="Comment Text Char"/>
    <w:aliases w:val="t Char"/>
    <w:basedOn w:val="DefaultParagraphFont"/>
    <w:link w:val="CommentText"/>
    <w:uiPriority w:val="99"/>
    <w:rsid w:val="006E5A98"/>
  </w:style>
  <w:style w:type="paragraph" w:styleId="CommentSubject">
    <w:name w:val="annotation subject"/>
    <w:basedOn w:val="CommentText"/>
    <w:next w:val="CommentText"/>
    <w:link w:val="CommentSubjectChar"/>
    <w:rsid w:val="006E5A98"/>
    <w:rPr>
      <w:b/>
      <w:bCs/>
    </w:rPr>
  </w:style>
  <w:style w:type="character" w:customStyle="1" w:styleId="CommentSubjectChar">
    <w:name w:val="Comment Subject Char"/>
    <w:basedOn w:val="CommentTextChar"/>
    <w:link w:val="CommentSubject"/>
    <w:rsid w:val="006E5A98"/>
    <w:rPr>
      <w:b/>
      <w:bCs/>
    </w:rPr>
  </w:style>
  <w:style w:type="paragraph" w:styleId="Header">
    <w:name w:val="header"/>
    <w:basedOn w:val="Normal"/>
    <w:link w:val="HeaderChar"/>
    <w:rsid w:val="00F17F61"/>
    <w:pPr>
      <w:tabs>
        <w:tab w:val="center" w:pos="4680"/>
        <w:tab w:val="right" w:pos="9360"/>
      </w:tabs>
    </w:pPr>
  </w:style>
  <w:style w:type="character" w:customStyle="1" w:styleId="HeaderChar">
    <w:name w:val="Header Char"/>
    <w:basedOn w:val="DefaultParagraphFont"/>
    <w:link w:val="Header"/>
    <w:rsid w:val="00F17F61"/>
    <w:rPr>
      <w:szCs w:val="24"/>
    </w:rPr>
  </w:style>
  <w:style w:type="paragraph" w:customStyle="1" w:styleId="Default">
    <w:name w:val="Default"/>
    <w:basedOn w:val="Normal"/>
    <w:rsid w:val="00F37EE8"/>
    <w:pPr>
      <w:widowControl/>
      <w:adjustRightInd/>
    </w:pPr>
    <w:rPr>
      <w:rFonts w:ascii="Calibri" w:eastAsiaTheme="minorHAnsi" w:hAnsi="Calibri" w:cs="Calibri"/>
      <w:color w:val="000000"/>
      <w:sz w:val="24"/>
    </w:rPr>
  </w:style>
  <w:style w:type="paragraph" w:styleId="BodyText">
    <w:name w:val="Body Text"/>
    <w:basedOn w:val="Normal"/>
    <w:link w:val="BodyTextChar"/>
    <w:uiPriority w:val="1"/>
    <w:qFormat/>
    <w:rsid w:val="005917E4"/>
    <w:pPr>
      <w:autoSpaceDE/>
      <w:autoSpaceDN/>
      <w:adjustRightInd/>
      <w:ind w:left="1160"/>
    </w:pPr>
    <w:rPr>
      <w:rFonts w:cstheme="minorBidi"/>
      <w:sz w:val="24"/>
    </w:rPr>
  </w:style>
  <w:style w:type="character" w:customStyle="1" w:styleId="BodyTextChar">
    <w:name w:val="Body Text Char"/>
    <w:basedOn w:val="DefaultParagraphFont"/>
    <w:link w:val="BodyText"/>
    <w:uiPriority w:val="1"/>
    <w:rsid w:val="005917E4"/>
    <w:rPr>
      <w:rFonts w:cstheme="minorBidi"/>
      <w:sz w:val="24"/>
      <w:szCs w:val="24"/>
    </w:rPr>
  </w:style>
  <w:style w:type="table" w:styleId="TableGrid">
    <w:name w:val="Table Grid"/>
    <w:basedOn w:val="TableNormal"/>
    <w:uiPriority w:val="59"/>
    <w:rsid w:val="005917E4"/>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C44C29"/>
    <w:rPr>
      <w:color w:val="800080" w:themeColor="followedHyperlink"/>
      <w:u w:val="single"/>
    </w:rPr>
  </w:style>
  <w:style w:type="paragraph" w:styleId="FootnoteText">
    <w:name w:val="footnote text"/>
    <w:basedOn w:val="Normal"/>
    <w:link w:val="FootnoteTextChar"/>
    <w:semiHidden/>
    <w:unhideWhenUsed/>
    <w:rsid w:val="00CA4AB2"/>
    <w:rPr>
      <w:szCs w:val="20"/>
    </w:rPr>
  </w:style>
  <w:style w:type="character" w:customStyle="1" w:styleId="FootnoteTextChar">
    <w:name w:val="Footnote Text Char"/>
    <w:basedOn w:val="DefaultParagraphFont"/>
    <w:link w:val="FootnoteText"/>
    <w:semiHidden/>
    <w:rsid w:val="00CA4AB2"/>
  </w:style>
  <w:style w:type="paragraph" w:styleId="Revision">
    <w:name w:val="Revision"/>
    <w:hidden/>
    <w:uiPriority w:val="99"/>
    <w:semiHidden/>
    <w:rsid w:val="006E618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780">
      <w:bodyDiv w:val="1"/>
      <w:marLeft w:val="0"/>
      <w:marRight w:val="0"/>
      <w:marTop w:val="0"/>
      <w:marBottom w:val="0"/>
      <w:divBdr>
        <w:top w:val="none" w:sz="0" w:space="0" w:color="auto"/>
        <w:left w:val="none" w:sz="0" w:space="0" w:color="auto"/>
        <w:bottom w:val="none" w:sz="0" w:space="0" w:color="auto"/>
        <w:right w:val="none" w:sz="0" w:space="0" w:color="auto"/>
      </w:divBdr>
    </w:div>
    <w:div w:id="157620243">
      <w:bodyDiv w:val="1"/>
      <w:marLeft w:val="0"/>
      <w:marRight w:val="0"/>
      <w:marTop w:val="0"/>
      <w:marBottom w:val="0"/>
      <w:divBdr>
        <w:top w:val="none" w:sz="0" w:space="0" w:color="auto"/>
        <w:left w:val="none" w:sz="0" w:space="0" w:color="auto"/>
        <w:bottom w:val="none" w:sz="0" w:space="0" w:color="auto"/>
        <w:right w:val="none" w:sz="0" w:space="0" w:color="auto"/>
      </w:divBdr>
    </w:div>
    <w:div w:id="238296563">
      <w:bodyDiv w:val="1"/>
      <w:marLeft w:val="0"/>
      <w:marRight w:val="0"/>
      <w:marTop w:val="0"/>
      <w:marBottom w:val="0"/>
      <w:divBdr>
        <w:top w:val="none" w:sz="0" w:space="0" w:color="auto"/>
        <w:left w:val="none" w:sz="0" w:space="0" w:color="auto"/>
        <w:bottom w:val="none" w:sz="0" w:space="0" w:color="auto"/>
        <w:right w:val="none" w:sz="0" w:space="0" w:color="auto"/>
      </w:divBdr>
    </w:div>
    <w:div w:id="976960487">
      <w:bodyDiv w:val="1"/>
      <w:marLeft w:val="0"/>
      <w:marRight w:val="0"/>
      <w:marTop w:val="0"/>
      <w:marBottom w:val="0"/>
      <w:divBdr>
        <w:top w:val="none" w:sz="0" w:space="0" w:color="auto"/>
        <w:left w:val="none" w:sz="0" w:space="0" w:color="auto"/>
        <w:bottom w:val="none" w:sz="0" w:space="0" w:color="auto"/>
        <w:right w:val="none" w:sz="0" w:space="0" w:color="auto"/>
      </w:divBdr>
    </w:div>
    <w:div w:id="1038579808">
      <w:bodyDiv w:val="1"/>
      <w:marLeft w:val="0"/>
      <w:marRight w:val="0"/>
      <w:marTop w:val="0"/>
      <w:marBottom w:val="0"/>
      <w:divBdr>
        <w:top w:val="none" w:sz="0" w:space="0" w:color="auto"/>
        <w:left w:val="none" w:sz="0" w:space="0" w:color="auto"/>
        <w:bottom w:val="none" w:sz="0" w:space="0" w:color="auto"/>
        <w:right w:val="none" w:sz="0" w:space="0" w:color="auto"/>
      </w:divBdr>
    </w:div>
    <w:div w:id="1658801112">
      <w:bodyDiv w:val="1"/>
      <w:marLeft w:val="0"/>
      <w:marRight w:val="0"/>
      <w:marTop w:val="0"/>
      <w:marBottom w:val="0"/>
      <w:divBdr>
        <w:top w:val="none" w:sz="0" w:space="0" w:color="auto"/>
        <w:left w:val="none" w:sz="0" w:space="0" w:color="auto"/>
        <w:bottom w:val="none" w:sz="0" w:space="0" w:color="auto"/>
        <w:right w:val="none" w:sz="0" w:space="0" w:color="auto"/>
      </w:divBdr>
    </w:div>
    <w:div w:id="1668901818">
      <w:bodyDiv w:val="1"/>
      <w:marLeft w:val="0"/>
      <w:marRight w:val="0"/>
      <w:marTop w:val="0"/>
      <w:marBottom w:val="0"/>
      <w:divBdr>
        <w:top w:val="none" w:sz="0" w:space="0" w:color="auto"/>
        <w:left w:val="none" w:sz="0" w:space="0" w:color="auto"/>
        <w:bottom w:val="none" w:sz="0" w:space="0" w:color="auto"/>
        <w:right w:val="none" w:sz="0" w:space="0" w:color="auto"/>
      </w:divBdr>
    </w:div>
    <w:div w:id="19451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deralpay.org/gs/2018/GS-1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es/current/oes231011.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oh/healthcare/physicians-and-surgeons.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 TargetMode="External"/><Relationship Id="rId14" Type="http://schemas.openxmlformats.org/officeDocument/2006/relationships/hyperlink" Target="https://www.cms.gov/Regulations-and-Guidance/Legislation/EHRIncentiveProgram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94C21-4ABD-492A-BF7A-A3729272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2783</Words>
  <Characters>15868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18614</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2013-09-09T18:32:00Z</cp:lastPrinted>
  <dcterms:created xsi:type="dcterms:W3CDTF">2018-06-22T13:46:00Z</dcterms:created>
  <dcterms:modified xsi:type="dcterms:W3CDTF">2018-06-22T13:46:00Z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-316424070</vt:i4>
  </property>
  <property fmtid="{D5CDD505-2E9C-101B-9397-08002B2CF9AE}" pid="4" name="_EmailSubject">
    <vt:lpwstr>PRA Package CMS-10336</vt:lpwstr>
  </property>
  <property fmtid="{D5CDD505-2E9C-101B-9397-08002B2CF9AE}" pid="5" name="_AuthorEmail">
    <vt:lpwstr>Elizabeth.Holland@cms.hhs.gov</vt:lpwstr>
  </property>
  <property fmtid="{D5CDD505-2E9C-101B-9397-08002B2CF9AE}" pid="6" name="_AuthorEmailDisplayName">
    <vt:lpwstr>Holland, Elizabeth S. (CMS/CCSQ)</vt:lpwstr>
  </property>
  <property fmtid="{D5CDD505-2E9C-101B-9397-08002B2CF9AE}" pid="7" name="_PreviousAdHocReviewCycleID">
    <vt:i4>858897028</vt:i4>
  </property>
  <property fmtid="{D5CDD505-2E9C-101B-9397-08002B2CF9AE}" pid="8" name="_ReviewingToolsShownOnce">
    <vt:lpwstr/>
  </property>
</Properties>
</file>