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B56" w:rsidRDefault="00480B53">
      <w:pPr>
        <w:pStyle w:val="Heading1"/>
        <w:spacing w:before="66" w:line="247" w:lineRule="auto"/>
        <w:ind w:left="745" w:right="760" w:firstLine="1"/>
        <w:jc w:val="center"/>
        <w:rPr>
          <w:u w:val="none"/>
        </w:rPr>
      </w:pPr>
      <w:bookmarkStart w:id="0" w:name="_GoBack"/>
      <w:bookmarkEnd w:id="0"/>
      <w:r>
        <w:rPr>
          <w:u w:val="thick"/>
        </w:rPr>
        <w:t>Supporting Statement – Part A                                                           Application To Be a Qualified Entity to Receive Medicare Data for Performance Measurement (ACA Section 10332)</w:t>
      </w:r>
    </w:p>
    <w:p w:rsidR="00491B56" w:rsidRDefault="00491B56">
      <w:pPr>
        <w:pStyle w:val="BodyText"/>
        <w:spacing w:before="6"/>
        <w:rPr>
          <w:b/>
          <w:sz w:val="17"/>
        </w:rPr>
      </w:pPr>
    </w:p>
    <w:p w:rsidR="00491B56" w:rsidRDefault="00480B53">
      <w:pPr>
        <w:pStyle w:val="ListParagraph"/>
        <w:numPr>
          <w:ilvl w:val="0"/>
          <w:numId w:val="2"/>
        </w:numPr>
        <w:tabs>
          <w:tab w:val="left" w:pos="533"/>
        </w:tabs>
        <w:spacing w:before="90"/>
        <w:rPr>
          <w:b/>
          <w:sz w:val="24"/>
        </w:rPr>
      </w:pPr>
      <w:r>
        <w:rPr>
          <w:b/>
          <w:sz w:val="24"/>
          <w:u w:val="thick"/>
        </w:rPr>
        <w:t>Background</w:t>
      </w:r>
    </w:p>
    <w:p w:rsidR="00491B56" w:rsidRDefault="00491B56">
      <w:pPr>
        <w:pStyle w:val="BodyText"/>
        <w:spacing w:before="11"/>
        <w:rPr>
          <w:b/>
          <w:sz w:val="16"/>
        </w:rPr>
      </w:pPr>
    </w:p>
    <w:p w:rsidR="00491B56" w:rsidRDefault="00480B53">
      <w:pPr>
        <w:pStyle w:val="BodyText"/>
        <w:spacing w:before="90" w:line="247" w:lineRule="auto"/>
        <w:ind w:left="532" w:right="117"/>
      </w:pPr>
      <w:r>
        <w:t>Section 10332 of the Patient Protection and Affordable Care Act (ACA) requires the</w:t>
      </w:r>
      <w:r>
        <w:rPr>
          <w:spacing w:val="-29"/>
        </w:rPr>
        <w:t xml:space="preserve"> </w:t>
      </w:r>
      <w:r>
        <w:t>Secretary to make standardized extracts of Medicare claims data under Parts A, B, and D available to “qualified entities” for the evaluation of the performance of providers of services and suppliers. The statute provides the Secretary with discretion to establish criteria to determine whether an entity is qualified to use claims data to evaluate the performance of providers of services and suppliers. After consideration of comments from a wide variety of stakeholders during the public comment period, CMS established “Medicare Program; Availability of Medicare Data for Performance Measurement” (hereinafter called the Final Rule and referred to as the Medicare Data Sharing Program) published in the Federal Register on December 7, 2011 (42 CFR, Part 401, Subpart G). To implement the requirements outlined in the legislation, CMS established the Qualified Entity Certification Program (QECP) to evaluate an organization’s eligibility across three areas: organizational and governance capabilities, addition of claims data from other sources (as required in the statute), and data privacy and security. This collection covers the application through which organizations provide information to CMS to determine whether they will be approved as a qualified</w:t>
      </w:r>
      <w:r>
        <w:rPr>
          <w:spacing w:val="-31"/>
        </w:rPr>
        <w:t xml:space="preserve"> </w:t>
      </w:r>
      <w:r>
        <w:t>entity.</w:t>
      </w:r>
      <w:r w:rsidR="005805AC">
        <w:t xml:space="preserve"> CMS is requesting this package (0938-1144) to be reinstated.  This package was delayed due to administrative issues.</w:t>
      </w:r>
    </w:p>
    <w:p w:rsidR="00491B56" w:rsidRDefault="00491B56">
      <w:pPr>
        <w:pStyle w:val="BodyText"/>
        <w:rPr>
          <w:sz w:val="25"/>
        </w:rPr>
      </w:pPr>
    </w:p>
    <w:p w:rsidR="00491B56" w:rsidRDefault="00480B53">
      <w:pPr>
        <w:pStyle w:val="Heading1"/>
        <w:numPr>
          <w:ilvl w:val="0"/>
          <w:numId w:val="2"/>
        </w:numPr>
        <w:tabs>
          <w:tab w:val="left" w:pos="532"/>
          <w:tab w:val="left" w:pos="533"/>
        </w:tabs>
        <w:rPr>
          <w:u w:val="none"/>
        </w:rPr>
      </w:pPr>
      <w:r>
        <w:rPr>
          <w:u w:val="thick"/>
        </w:rPr>
        <w:t>Justification</w:t>
      </w:r>
    </w:p>
    <w:p w:rsidR="00491B56" w:rsidRDefault="00491B56">
      <w:pPr>
        <w:pStyle w:val="BodyText"/>
        <w:rPr>
          <w:b/>
          <w:sz w:val="17"/>
        </w:rPr>
      </w:pPr>
    </w:p>
    <w:p w:rsidR="00491B56" w:rsidRDefault="00480B53">
      <w:pPr>
        <w:pStyle w:val="ListParagraph"/>
        <w:numPr>
          <w:ilvl w:val="1"/>
          <w:numId w:val="2"/>
        </w:numPr>
        <w:tabs>
          <w:tab w:val="left" w:pos="532"/>
          <w:tab w:val="left" w:pos="533"/>
        </w:tabs>
        <w:spacing w:before="90"/>
        <w:rPr>
          <w:sz w:val="24"/>
        </w:rPr>
      </w:pPr>
      <w:r>
        <w:rPr>
          <w:sz w:val="24"/>
          <w:u w:val="single"/>
        </w:rPr>
        <w:t xml:space="preserve">Need and </w:t>
      </w:r>
      <w:r>
        <w:rPr>
          <w:spacing w:val="-3"/>
          <w:sz w:val="24"/>
          <w:u w:val="single"/>
        </w:rPr>
        <w:t xml:space="preserve">Legal </w:t>
      </w:r>
      <w:r>
        <w:rPr>
          <w:sz w:val="24"/>
          <w:u w:val="single"/>
        </w:rPr>
        <w:t>Basis</w:t>
      </w:r>
    </w:p>
    <w:p w:rsidR="00491B56" w:rsidRDefault="00491B56">
      <w:pPr>
        <w:pStyle w:val="BodyText"/>
        <w:spacing w:before="5"/>
        <w:rPr>
          <w:sz w:val="17"/>
        </w:rPr>
      </w:pPr>
    </w:p>
    <w:p w:rsidR="00491B56" w:rsidRDefault="00480B53">
      <w:pPr>
        <w:pStyle w:val="BodyText"/>
        <w:spacing w:before="90"/>
        <w:ind w:left="532"/>
      </w:pPr>
      <w:r>
        <w:t>The Patient Protection and Affordable Care Act (ACA) was enacted on March 23, 2010 (Pub.</w:t>
      </w:r>
    </w:p>
    <w:p w:rsidR="00491B56" w:rsidRDefault="00480B53">
      <w:pPr>
        <w:pStyle w:val="BodyText"/>
        <w:spacing w:before="7" w:line="247" w:lineRule="auto"/>
        <w:ind w:left="532" w:right="169"/>
      </w:pPr>
      <w:r>
        <w:t>L. 111-148). ACA amends section 1874 of the Social Security Act by adding a new subsection (e) to make standardized extracts of Medicare claims data under Parts A, B, and D available to qualified entities to evaluate the performance of providers of services and suppliers. This is the application needed to determine an organization’s eligibility as a qualified entity.</w:t>
      </w:r>
    </w:p>
    <w:p w:rsidR="00491B56" w:rsidRDefault="00491B56">
      <w:pPr>
        <w:pStyle w:val="BodyText"/>
        <w:spacing w:before="6"/>
      </w:pPr>
    </w:p>
    <w:p w:rsidR="00491B56" w:rsidRDefault="00480B53">
      <w:pPr>
        <w:pStyle w:val="ListParagraph"/>
        <w:numPr>
          <w:ilvl w:val="1"/>
          <w:numId w:val="2"/>
        </w:numPr>
        <w:tabs>
          <w:tab w:val="left" w:pos="532"/>
          <w:tab w:val="left" w:pos="533"/>
        </w:tabs>
        <w:spacing w:before="1"/>
        <w:rPr>
          <w:sz w:val="24"/>
        </w:rPr>
      </w:pPr>
      <w:r>
        <w:rPr>
          <w:sz w:val="24"/>
          <w:u w:val="single"/>
        </w:rPr>
        <w:t>Information</w:t>
      </w:r>
      <w:r>
        <w:rPr>
          <w:spacing w:val="-9"/>
          <w:sz w:val="24"/>
          <w:u w:val="single"/>
        </w:rPr>
        <w:t xml:space="preserve"> </w:t>
      </w:r>
      <w:r>
        <w:rPr>
          <w:sz w:val="24"/>
          <w:u w:val="single"/>
        </w:rPr>
        <w:t>Users</w:t>
      </w:r>
    </w:p>
    <w:p w:rsidR="00491B56" w:rsidRDefault="00491B56">
      <w:pPr>
        <w:pStyle w:val="BodyText"/>
        <w:spacing w:before="5"/>
        <w:rPr>
          <w:sz w:val="17"/>
        </w:rPr>
      </w:pPr>
    </w:p>
    <w:p w:rsidR="00491B56" w:rsidRDefault="00480B53">
      <w:pPr>
        <w:pStyle w:val="BodyText"/>
        <w:spacing w:before="90" w:line="247" w:lineRule="auto"/>
        <w:ind w:left="532" w:right="169"/>
      </w:pPr>
      <w:r>
        <w:t>The information from the collection is used by CMS to determine whether an organization meets the criteria required to be considered a qualified entity to receive Medicare claims data under ACA Section 10332. CMS evaluates the organization’s eligibility in terms of organizational and governance capabilities, addition of claims data from other sources, and data privacy and security.</w:t>
      </w:r>
    </w:p>
    <w:p w:rsidR="00491B56" w:rsidRDefault="00491B56">
      <w:pPr>
        <w:pStyle w:val="BodyText"/>
        <w:spacing w:before="6"/>
      </w:pPr>
    </w:p>
    <w:p w:rsidR="00491B56" w:rsidRDefault="00480B53">
      <w:pPr>
        <w:pStyle w:val="ListParagraph"/>
        <w:numPr>
          <w:ilvl w:val="1"/>
          <w:numId w:val="2"/>
        </w:numPr>
        <w:tabs>
          <w:tab w:val="left" w:pos="532"/>
          <w:tab w:val="left" w:pos="533"/>
        </w:tabs>
        <w:rPr>
          <w:sz w:val="24"/>
        </w:rPr>
      </w:pPr>
      <w:r>
        <w:rPr>
          <w:sz w:val="24"/>
          <w:u w:val="single"/>
        </w:rPr>
        <w:t>Use of Information</w:t>
      </w:r>
      <w:r>
        <w:rPr>
          <w:spacing w:val="-15"/>
          <w:sz w:val="24"/>
          <w:u w:val="single"/>
        </w:rPr>
        <w:t xml:space="preserve"> </w:t>
      </w:r>
      <w:r>
        <w:rPr>
          <w:sz w:val="24"/>
          <w:u w:val="single"/>
        </w:rPr>
        <w:t>Technology</w:t>
      </w:r>
    </w:p>
    <w:p w:rsidR="00491B56" w:rsidRDefault="00491B56">
      <w:pPr>
        <w:rPr>
          <w:sz w:val="24"/>
        </w:rPr>
        <w:sectPr w:rsidR="00491B56">
          <w:footerReference w:type="default" r:id="rId8"/>
          <w:type w:val="continuous"/>
          <w:pgSz w:w="12240" w:h="15840"/>
          <w:pgMar w:top="1380" w:right="1180" w:bottom="1700" w:left="1340" w:header="720" w:footer="1509" w:gutter="0"/>
          <w:pgNumType w:start="1"/>
          <w:cols w:space="720"/>
        </w:sectPr>
      </w:pPr>
    </w:p>
    <w:p w:rsidR="00491B56" w:rsidRDefault="00491B56">
      <w:pPr>
        <w:pStyle w:val="BodyText"/>
        <w:spacing w:before="8"/>
        <w:rPr>
          <w:sz w:val="11"/>
        </w:rPr>
      </w:pPr>
    </w:p>
    <w:p w:rsidR="00491B56" w:rsidRDefault="00480B53">
      <w:pPr>
        <w:pStyle w:val="BodyText"/>
        <w:spacing w:before="90"/>
        <w:ind w:left="532"/>
      </w:pPr>
      <w:r>
        <w:t>All applications are submitted by electronic means.</w:t>
      </w:r>
    </w:p>
    <w:p w:rsidR="00491B56" w:rsidRDefault="00491B56">
      <w:pPr>
        <w:pStyle w:val="BodyText"/>
        <w:spacing w:before="2"/>
        <w:rPr>
          <w:sz w:val="25"/>
        </w:rPr>
      </w:pPr>
    </w:p>
    <w:p w:rsidR="00491B56" w:rsidRDefault="00480B53">
      <w:pPr>
        <w:pStyle w:val="ListParagraph"/>
        <w:numPr>
          <w:ilvl w:val="1"/>
          <w:numId w:val="2"/>
        </w:numPr>
        <w:tabs>
          <w:tab w:val="left" w:pos="532"/>
          <w:tab w:val="left" w:pos="533"/>
        </w:tabs>
        <w:rPr>
          <w:sz w:val="24"/>
        </w:rPr>
      </w:pPr>
      <w:r>
        <w:rPr>
          <w:sz w:val="24"/>
          <w:u w:val="single"/>
        </w:rPr>
        <w:t>Duplication of</w:t>
      </w:r>
      <w:r>
        <w:rPr>
          <w:spacing w:val="-6"/>
          <w:sz w:val="24"/>
          <w:u w:val="single"/>
        </w:rPr>
        <w:t xml:space="preserve"> </w:t>
      </w:r>
      <w:r>
        <w:rPr>
          <w:sz w:val="24"/>
          <w:u w:val="single"/>
        </w:rPr>
        <w:t>Efforts</w:t>
      </w:r>
    </w:p>
    <w:p w:rsidR="00491B56" w:rsidRDefault="00491B56">
      <w:pPr>
        <w:pStyle w:val="BodyText"/>
        <w:spacing w:before="4"/>
        <w:rPr>
          <w:sz w:val="17"/>
        </w:rPr>
      </w:pPr>
    </w:p>
    <w:p w:rsidR="00491B56" w:rsidRDefault="00480B53">
      <w:pPr>
        <w:pStyle w:val="BodyText"/>
        <w:spacing w:before="90" w:line="247" w:lineRule="auto"/>
        <w:ind w:left="532"/>
      </w:pPr>
      <w:r>
        <w:t>This information collection does not duplicate any other effort and the information cannot be obtained from any other source.</w:t>
      </w:r>
    </w:p>
    <w:p w:rsidR="00491B56" w:rsidRDefault="00491B56">
      <w:pPr>
        <w:pStyle w:val="BodyText"/>
        <w:spacing w:before="5"/>
      </w:pPr>
    </w:p>
    <w:p w:rsidR="00491B56" w:rsidRDefault="00480B53">
      <w:pPr>
        <w:pStyle w:val="ListParagraph"/>
        <w:numPr>
          <w:ilvl w:val="1"/>
          <w:numId w:val="2"/>
        </w:numPr>
        <w:tabs>
          <w:tab w:val="left" w:pos="532"/>
          <w:tab w:val="left" w:pos="533"/>
        </w:tabs>
        <w:spacing w:before="1"/>
        <w:rPr>
          <w:sz w:val="24"/>
        </w:rPr>
      </w:pPr>
      <w:r>
        <w:rPr>
          <w:sz w:val="24"/>
          <w:u w:val="single"/>
        </w:rPr>
        <w:t>Small</w:t>
      </w:r>
      <w:r>
        <w:rPr>
          <w:spacing w:val="-3"/>
          <w:sz w:val="24"/>
          <w:u w:val="single"/>
        </w:rPr>
        <w:t xml:space="preserve"> </w:t>
      </w:r>
      <w:r>
        <w:rPr>
          <w:sz w:val="24"/>
          <w:u w:val="single"/>
        </w:rPr>
        <w:t>Businesses</w:t>
      </w:r>
    </w:p>
    <w:p w:rsidR="00491B56" w:rsidRDefault="00491B56">
      <w:pPr>
        <w:pStyle w:val="BodyText"/>
        <w:spacing w:before="5"/>
        <w:rPr>
          <w:sz w:val="17"/>
        </w:rPr>
      </w:pPr>
    </w:p>
    <w:p w:rsidR="00491B56" w:rsidRDefault="00480B53">
      <w:pPr>
        <w:pStyle w:val="BodyText"/>
        <w:spacing w:before="90" w:line="247" w:lineRule="auto"/>
        <w:ind w:left="532"/>
      </w:pPr>
      <w:r>
        <w:t>No special considerations are given to small businesses. The same information is needed to assess the qualifications of all organizations.</w:t>
      </w:r>
    </w:p>
    <w:p w:rsidR="00491B56" w:rsidRDefault="00491B56">
      <w:pPr>
        <w:pStyle w:val="BodyText"/>
        <w:spacing w:before="6"/>
      </w:pPr>
    </w:p>
    <w:p w:rsidR="00491B56" w:rsidRDefault="00480B53">
      <w:pPr>
        <w:pStyle w:val="ListParagraph"/>
        <w:numPr>
          <w:ilvl w:val="1"/>
          <w:numId w:val="2"/>
        </w:numPr>
        <w:tabs>
          <w:tab w:val="left" w:pos="532"/>
          <w:tab w:val="left" w:pos="533"/>
        </w:tabs>
        <w:rPr>
          <w:sz w:val="24"/>
        </w:rPr>
      </w:pPr>
      <w:r>
        <w:rPr>
          <w:sz w:val="24"/>
          <w:u w:val="single"/>
        </w:rPr>
        <w:t>Less Frequent</w:t>
      </w:r>
      <w:r>
        <w:rPr>
          <w:spacing w:val="-13"/>
          <w:sz w:val="24"/>
          <w:u w:val="single"/>
        </w:rPr>
        <w:t xml:space="preserve"> </w:t>
      </w:r>
      <w:r>
        <w:rPr>
          <w:sz w:val="24"/>
          <w:u w:val="single"/>
        </w:rPr>
        <w:t>Collection</w:t>
      </w:r>
    </w:p>
    <w:p w:rsidR="00491B56" w:rsidRDefault="00491B56">
      <w:pPr>
        <w:pStyle w:val="BodyText"/>
        <w:spacing w:before="4"/>
        <w:rPr>
          <w:sz w:val="17"/>
        </w:rPr>
      </w:pPr>
    </w:p>
    <w:p w:rsidR="00491B56" w:rsidRDefault="00480B53">
      <w:pPr>
        <w:pStyle w:val="BodyText"/>
        <w:spacing w:before="90"/>
        <w:ind w:left="532"/>
      </w:pPr>
      <w:r>
        <w:t>Data are collected once at the time of application.</w:t>
      </w:r>
    </w:p>
    <w:p w:rsidR="00491B56" w:rsidRDefault="00491B56">
      <w:pPr>
        <w:pStyle w:val="BodyText"/>
        <w:spacing w:before="2"/>
        <w:rPr>
          <w:sz w:val="25"/>
        </w:rPr>
      </w:pPr>
    </w:p>
    <w:p w:rsidR="00491B56" w:rsidRDefault="00480B53">
      <w:pPr>
        <w:pStyle w:val="ListParagraph"/>
        <w:numPr>
          <w:ilvl w:val="1"/>
          <w:numId w:val="2"/>
        </w:numPr>
        <w:tabs>
          <w:tab w:val="left" w:pos="532"/>
          <w:tab w:val="left" w:pos="533"/>
        </w:tabs>
        <w:rPr>
          <w:sz w:val="24"/>
        </w:rPr>
      </w:pPr>
      <w:r>
        <w:rPr>
          <w:sz w:val="24"/>
          <w:u w:val="single"/>
        </w:rPr>
        <w:t>Special</w:t>
      </w:r>
      <w:r>
        <w:rPr>
          <w:spacing w:val="-7"/>
          <w:sz w:val="24"/>
          <w:u w:val="single"/>
        </w:rPr>
        <w:t xml:space="preserve"> </w:t>
      </w:r>
      <w:r>
        <w:rPr>
          <w:sz w:val="24"/>
          <w:u w:val="single"/>
        </w:rPr>
        <w:t>Circumstances</w:t>
      </w:r>
    </w:p>
    <w:p w:rsidR="00491B56" w:rsidRDefault="00491B56">
      <w:pPr>
        <w:pStyle w:val="BodyText"/>
        <w:spacing w:before="4"/>
        <w:rPr>
          <w:sz w:val="17"/>
        </w:rPr>
      </w:pPr>
    </w:p>
    <w:p w:rsidR="00491B56" w:rsidRDefault="00480B53">
      <w:pPr>
        <w:pStyle w:val="BodyText"/>
        <w:spacing w:before="90"/>
        <w:ind w:left="532"/>
      </w:pPr>
      <w:r>
        <w:t>No special circumstances.</w:t>
      </w:r>
    </w:p>
    <w:p w:rsidR="00491B56" w:rsidRDefault="00491B56">
      <w:pPr>
        <w:pStyle w:val="BodyText"/>
        <w:spacing w:before="2"/>
        <w:rPr>
          <w:sz w:val="25"/>
        </w:rPr>
      </w:pPr>
    </w:p>
    <w:p w:rsidR="00491B56" w:rsidRDefault="00480B53">
      <w:pPr>
        <w:pStyle w:val="ListParagraph"/>
        <w:numPr>
          <w:ilvl w:val="1"/>
          <w:numId w:val="2"/>
        </w:numPr>
        <w:tabs>
          <w:tab w:val="left" w:pos="532"/>
          <w:tab w:val="left" w:pos="533"/>
        </w:tabs>
        <w:rPr>
          <w:sz w:val="24"/>
        </w:rPr>
      </w:pPr>
      <w:r>
        <w:rPr>
          <w:sz w:val="24"/>
          <w:u w:val="single"/>
        </w:rPr>
        <w:t>Federal Register/Outside</w:t>
      </w:r>
      <w:r>
        <w:rPr>
          <w:spacing w:val="-13"/>
          <w:sz w:val="24"/>
          <w:u w:val="single"/>
        </w:rPr>
        <w:t xml:space="preserve"> </w:t>
      </w:r>
      <w:r>
        <w:rPr>
          <w:sz w:val="24"/>
          <w:u w:val="single"/>
        </w:rPr>
        <w:t>Consultation</w:t>
      </w:r>
    </w:p>
    <w:p w:rsidR="00491B56" w:rsidRDefault="00491B56">
      <w:pPr>
        <w:pStyle w:val="BodyText"/>
        <w:spacing w:before="5"/>
        <w:rPr>
          <w:sz w:val="17"/>
        </w:rPr>
      </w:pPr>
    </w:p>
    <w:p w:rsidR="00B71BEB" w:rsidRDefault="00B71BEB" w:rsidP="00B71BEB">
      <w:pPr>
        <w:spacing w:line="259" w:lineRule="auto"/>
        <w:ind w:left="432"/>
      </w:pPr>
      <w:r>
        <w:t>The 60-day federal register notice published on March 12, 2018 (83FR10730) and the 30-day federal register notice published on June 11, 2018(83FR27005). No comments were received in either cycle of comments</w:t>
      </w:r>
    </w:p>
    <w:p w:rsidR="00491B56" w:rsidRDefault="00491B56">
      <w:pPr>
        <w:pStyle w:val="BodyText"/>
        <w:spacing w:before="6"/>
      </w:pPr>
    </w:p>
    <w:p w:rsidR="00491B56" w:rsidRDefault="00480B53">
      <w:pPr>
        <w:pStyle w:val="ListParagraph"/>
        <w:numPr>
          <w:ilvl w:val="1"/>
          <w:numId w:val="2"/>
        </w:numPr>
        <w:tabs>
          <w:tab w:val="left" w:pos="532"/>
          <w:tab w:val="left" w:pos="533"/>
        </w:tabs>
        <w:rPr>
          <w:sz w:val="24"/>
        </w:rPr>
      </w:pPr>
      <w:r>
        <w:rPr>
          <w:sz w:val="24"/>
          <w:u w:val="single"/>
        </w:rPr>
        <w:t>Payments/Gifts to</w:t>
      </w:r>
      <w:r>
        <w:rPr>
          <w:spacing w:val="-11"/>
          <w:sz w:val="24"/>
          <w:u w:val="single"/>
        </w:rPr>
        <w:t xml:space="preserve"> </w:t>
      </w:r>
      <w:r>
        <w:rPr>
          <w:sz w:val="24"/>
          <w:u w:val="single"/>
        </w:rPr>
        <w:t>Respondents</w:t>
      </w:r>
    </w:p>
    <w:p w:rsidR="00491B56" w:rsidRDefault="00491B56">
      <w:pPr>
        <w:pStyle w:val="BodyText"/>
        <w:spacing w:before="5"/>
        <w:rPr>
          <w:sz w:val="17"/>
        </w:rPr>
      </w:pPr>
    </w:p>
    <w:p w:rsidR="00491B56" w:rsidRDefault="00480B53">
      <w:pPr>
        <w:pStyle w:val="BodyText"/>
        <w:spacing w:before="90"/>
        <w:ind w:left="532"/>
      </w:pPr>
      <w:r>
        <w:t>There are no payments/gifts to respondents.</w:t>
      </w:r>
      <w:r w:rsidRPr="00480B53">
        <w:t xml:space="preserve"> </w:t>
      </w:r>
      <w:r>
        <w:t>This collection is only set out to establish criteria to determine whether an entity is qualified to use claims data to evaluate the performance of providers of services and suppliers.</w:t>
      </w:r>
    </w:p>
    <w:p w:rsidR="00491B56" w:rsidRDefault="00491B56">
      <w:pPr>
        <w:pStyle w:val="BodyText"/>
        <w:spacing w:before="2"/>
        <w:rPr>
          <w:sz w:val="25"/>
        </w:rPr>
      </w:pPr>
    </w:p>
    <w:p w:rsidR="00491B56" w:rsidRDefault="00480B53">
      <w:pPr>
        <w:pStyle w:val="ListParagraph"/>
        <w:numPr>
          <w:ilvl w:val="1"/>
          <w:numId w:val="2"/>
        </w:numPr>
        <w:tabs>
          <w:tab w:val="left" w:pos="533"/>
        </w:tabs>
        <w:spacing w:before="1"/>
        <w:rPr>
          <w:sz w:val="24"/>
        </w:rPr>
      </w:pPr>
      <w:r>
        <w:rPr>
          <w:sz w:val="24"/>
          <w:u w:val="single"/>
        </w:rPr>
        <w:t>Confidentiality</w:t>
      </w:r>
    </w:p>
    <w:p w:rsidR="00491B56" w:rsidRDefault="00491B56">
      <w:pPr>
        <w:pStyle w:val="BodyText"/>
        <w:spacing w:before="5"/>
        <w:rPr>
          <w:sz w:val="17"/>
        </w:rPr>
      </w:pPr>
    </w:p>
    <w:p w:rsidR="00491B56" w:rsidRDefault="00480B53">
      <w:pPr>
        <w:pStyle w:val="BodyText"/>
        <w:spacing w:before="90" w:line="247" w:lineRule="auto"/>
        <w:ind w:left="532" w:right="70"/>
      </w:pPr>
      <w:r>
        <w:t>We pledge privacy to the extent allowed by law. The applications will be kept secure. No proprietary data or information will be disclosed outside the Government and will not be duplicated, used, or disclosed – in whole or in part – for any purpose other than to evaluate the application. Files containing the applications or information from these forms will be safeguarded in accordance with Departmental standards and National Institute of Standards and Technology (NIST) Special Publication 800-53, Recommended Security Controls for</w:t>
      </w:r>
    </w:p>
    <w:p w:rsidR="00491B56" w:rsidRDefault="00491B56">
      <w:pPr>
        <w:spacing w:line="247" w:lineRule="auto"/>
        <w:sectPr w:rsidR="00491B56">
          <w:pgSz w:w="12240" w:h="15840"/>
          <w:pgMar w:top="1500" w:right="1200" w:bottom="1700" w:left="1340" w:header="0" w:footer="1509" w:gutter="0"/>
          <w:cols w:space="720"/>
        </w:sectPr>
      </w:pPr>
    </w:p>
    <w:p w:rsidR="00491B56" w:rsidRDefault="00480B53">
      <w:pPr>
        <w:pStyle w:val="BodyText"/>
        <w:spacing w:before="62" w:line="247" w:lineRule="auto"/>
        <w:ind w:left="532"/>
      </w:pPr>
      <w:r>
        <w:lastRenderedPageBreak/>
        <w:t xml:space="preserve">Federal Information Systems and Organizations which limits access to only authorized personnel. The safeguards shall provide a level of security as required by Office of Management and Budget (OMB) Circular No. A-130 (revised), Appendix III – </w:t>
      </w:r>
      <w:r>
        <w:rPr>
          <w:u w:val="single"/>
        </w:rPr>
        <w:t>Security of Federal Automated Information Systems.</w:t>
      </w:r>
    </w:p>
    <w:p w:rsidR="00491B56" w:rsidRDefault="00491B56">
      <w:pPr>
        <w:pStyle w:val="BodyText"/>
        <w:spacing w:before="8"/>
        <w:rPr>
          <w:sz w:val="16"/>
        </w:rPr>
      </w:pPr>
    </w:p>
    <w:p w:rsidR="00491B56" w:rsidRDefault="00480B53">
      <w:pPr>
        <w:pStyle w:val="ListParagraph"/>
        <w:numPr>
          <w:ilvl w:val="1"/>
          <w:numId w:val="2"/>
        </w:numPr>
        <w:tabs>
          <w:tab w:val="left" w:pos="533"/>
        </w:tabs>
        <w:spacing w:before="90"/>
        <w:rPr>
          <w:sz w:val="24"/>
        </w:rPr>
      </w:pPr>
      <w:r>
        <w:rPr>
          <w:sz w:val="24"/>
          <w:u w:val="single"/>
        </w:rPr>
        <w:t>Sensitive</w:t>
      </w:r>
      <w:r>
        <w:rPr>
          <w:spacing w:val="-3"/>
          <w:sz w:val="24"/>
          <w:u w:val="single"/>
        </w:rPr>
        <w:t xml:space="preserve"> </w:t>
      </w:r>
      <w:r>
        <w:rPr>
          <w:sz w:val="24"/>
          <w:u w:val="single"/>
        </w:rPr>
        <w:t>Questions</w:t>
      </w:r>
    </w:p>
    <w:p w:rsidR="00491B56" w:rsidRDefault="00491B56">
      <w:pPr>
        <w:pStyle w:val="BodyText"/>
        <w:spacing w:before="4"/>
        <w:rPr>
          <w:sz w:val="17"/>
        </w:rPr>
      </w:pPr>
    </w:p>
    <w:p w:rsidR="00491B56" w:rsidRDefault="00480B53">
      <w:pPr>
        <w:pStyle w:val="BodyText"/>
        <w:spacing w:before="90"/>
        <w:ind w:left="532"/>
      </w:pPr>
      <w:r>
        <w:t>No sensitive questions are part of this information collection.</w:t>
      </w:r>
    </w:p>
    <w:p w:rsidR="00491B56" w:rsidRDefault="00491B56">
      <w:pPr>
        <w:pStyle w:val="BodyText"/>
        <w:spacing w:before="2"/>
        <w:rPr>
          <w:sz w:val="25"/>
        </w:rPr>
      </w:pPr>
    </w:p>
    <w:p w:rsidR="00491B56" w:rsidRDefault="00480B53">
      <w:pPr>
        <w:pStyle w:val="ListParagraph"/>
        <w:numPr>
          <w:ilvl w:val="1"/>
          <w:numId w:val="2"/>
        </w:numPr>
        <w:tabs>
          <w:tab w:val="left" w:pos="533"/>
        </w:tabs>
        <w:rPr>
          <w:sz w:val="24"/>
        </w:rPr>
      </w:pPr>
      <w:r>
        <w:rPr>
          <w:sz w:val="24"/>
          <w:u w:val="single"/>
        </w:rPr>
        <w:t>Burden Estimates (Hours &amp;</w:t>
      </w:r>
      <w:r>
        <w:rPr>
          <w:spacing w:val="-13"/>
          <w:sz w:val="24"/>
          <w:u w:val="single"/>
        </w:rPr>
        <w:t xml:space="preserve"> </w:t>
      </w:r>
      <w:r>
        <w:rPr>
          <w:sz w:val="24"/>
          <w:u w:val="single"/>
        </w:rPr>
        <w:t>Wages)</w:t>
      </w:r>
    </w:p>
    <w:p w:rsidR="00491B56" w:rsidRDefault="00491B56">
      <w:pPr>
        <w:pStyle w:val="BodyText"/>
        <w:spacing w:before="5"/>
        <w:rPr>
          <w:sz w:val="17"/>
        </w:rPr>
      </w:pPr>
    </w:p>
    <w:p w:rsidR="00491B56" w:rsidRDefault="00480B53">
      <w:pPr>
        <w:pStyle w:val="BodyText"/>
        <w:spacing w:before="90" w:line="283" w:lineRule="auto"/>
        <w:ind w:left="532" w:right="90"/>
      </w:pPr>
      <w:r>
        <w:t>To date, there are 23 Qualified Entities (QEs), the majority of whom are non-profit agencies, including medical associations and consumer, provider, and supplier groups. Non-profit QEs also include community quality collaboratives, which are community-based organizations of multiple stakeholders that work together to transform health care at the local level by promoting quality and efficiency of care, and by measuring and publishing quality information. Current for-profit QEs include several healthcare analytic companies, data vendors, and technology companies. There is one state department of health, one agency that is a CMS-approved Qualified Clinical Data Registry (QCDR), a school of public health, and a public university. Going forward, we believe that we will continue to see an increase in applications from healthcare analytic and technology companies given the expanded uses of the Medicare data afforded by section 105 of the Medicare Access and CHIP Reauthorization Act (MACRA) of 2016. We also expect to see provider network companies and other CMS- approved QCDRs apply to the program. We have examined available information related to these entities to inform our assumptions. We estimate that 30 additional organizations will submit applications to participate as qualified entities</w:t>
      </w:r>
    </w:p>
    <w:p w:rsidR="00491B56" w:rsidRDefault="00491B56">
      <w:pPr>
        <w:pStyle w:val="BodyText"/>
        <w:spacing w:before="7"/>
        <w:rPr>
          <w:sz w:val="28"/>
        </w:rPr>
      </w:pPr>
    </w:p>
    <w:p w:rsidR="00491B56" w:rsidRDefault="00480B53">
      <w:pPr>
        <w:pStyle w:val="BodyText"/>
        <w:spacing w:line="283" w:lineRule="auto"/>
        <w:ind w:left="532" w:right="97"/>
      </w:pPr>
      <w:r>
        <w:t>We estimate that the average response to complete each application will be 500 hours and</w:t>
      </w:r>
      <w:r>
        <w:rPr>
          <w:spacing w:val="-21"/>
        </w:rPr>
        <w:t xml:space="preserve"> </w:t>
      </w:r>
      <w:r>
        <w:t xml:space="preserve">will include a mix of staff from the following occupations: social scientists, network and systems administers and executives. The time estimate for preparation of the application is based upon the professional judgment of staff members at the Centers for Medicare and Medicaid Services and the QECP implementation support contractor. We estimate that 10 organizations will apply each </w:t>
      </w:r>
      <w:r>
        <w:rPr>
          <w:spacing w:val="-3"/>
        </w:rPr>
        <w:t xml:space="preserve">year </w:t>
      </w:r>
      <w:r>
        <w:t>at an average response time of 500 hours per response. Therefore, we have calculated the annual burden as follows: 10 responses X 500 hours per response =5,000 burden hours</w:t>
      </w:r>
      <w:r>
        <w:rPr>
          <w:spacing w:val="-6"/>
        </w:rPr>
        <w:t xml:space="preserve"> </w:t>
      </w:r>
      <w:r>
        <w:t>(annual).</w:t>
      </w:r>
    </w:p>
    <w:p w:rsidR="00491B56" w:rsidRDefault="00491B56">
      <w:pPr>
        <w:pStyle w:val="BodyText"/>
        <w:spacing w:before="7"/>
        <w:rPr>
          <w:sz w:val="28"/>
        </w:rPr>
      </w:pPr>
    </w:p>
    <w:p w:rsidR="00491B56" w:rsidRDefault="00480B53">
      <w:pPr>
        <w:pStyle w:val="BodyText"/>
        <w:spacing w:line="283" w:lineRule="auto"/>
        <w:ind w:left="532" w:right="90"/>
      </w:pPr>
      <w:r>
        <w:t>As referenced earlier, we believe that social scientists, network and systems administrators, and an executive from each organization will be involved in responding to the information collection requirements (see Table 1 below).</w:t>
      </w:r>
    </w:p>
    <w:p w:rsidR="00491B56" w:rsidRDefault="00491B56">
      <w:pPr>
        <w:spacing w:line="283" w:lineRule="auto"/>
        <w:sectPr w:rsidR="00491B56">
          <w:pgSz w:w="12240" w:h="15840"/>
          <w:pgMar w:top="1380" w:right="1220" w:bottom="1700" w:left="1340" w:header="0" w:footer="1509" w:gutter="0"/>
          <w:cols w:space="720"/>
        </w:sectPr>
      </w:pPr>
    </w:p>
    <w:p w:rsidR="00491B56" w:rsidRDefault="00491B56">
      <w:pPr>
        <w:pStyle w:val="BodyText"/>
        <w:rPr>
          <w:sz w:val="20"/>
        </w:rPr>
      </w:pPr>
    </w:p>
    <w:p w:rsidR="00491B56" w:rsidRDefault="00491B56">
      <w:pPr>
        <w:pStyle w:val="BodyText"/>
        <w:spacing w:before="1"/>
        <w:rPr>
          <w:sz w:val="20"/>
        </w:rPr>
      </w:pPr>
    </w:p>
    <w:p w:rsidR="00491B56" w:rsidRDefault="00480B53">
      <w:pPr>
        <w:pStyle w:val="BodyText"/>
        <w:spacing w:before="90" w:line="242" w:lineRule="auto"/>
        <w:ind w:left="552" w:right="90"/>
      </w:pPr>
      <w:r>
        <w:t>Based on the most recent Bureau of Labor and Statistics Occupational and Employment Data (May 2016) for Category [19-3099] (Social Scientist and Related Workers, All Other), the mean hourly wage for a social scientist is $38.87.</w:t>
      </w:r>
      <w:r>
        <w:rPr>
          <w:position w:val="9"/>
          <w:sz w:val="16"/>
        </w:rPr>
        <w:t xml:space="preserve">1 </w:t>
      </w:r>
      <w:r>
        <w:t>We have added 100% of the mean hourly wage to account for fringe and overhead benefits, which calculates to $77.74 ($38.87 +</w:t>
      </w:r>
    </w:p>
    <w:p w:rsidR="00491B56" w:rsidRDefault="00480B53">
      <w:pPr>
        <w:pStyle w:val="BodyText"/>
        <w:spacing w:before="4"/>
        <w:ind w:left="552"/>
      </w:pPr>
      <w:r>
        <w:t>$38.87).</w:t>
      </w:r>
    </w:p>
    <w:p w:rsidR="00491B56" w:rsidRDefault="00491B56">
      <w:pPr>
        <w:pStyle w:val="BodyText"/>
        <w:spacing w:before="2"/>
        <w:rPr>
          <w:sz w:val="25"/>
        </w:rPr>
      </w:pPr>
    </w:p>
    <w:p w:rsidR="00491B56" w:rsidRDefault="00480B53">
      <w:pPr>
        <w:pStyle w:val="BodyText"/>
        <w:spacing w:before="1" w:line="242" w:lineRule="auto"/>
        <w:ind w:left="552" w:right="90"/>
      </w:pPr>
      <w:r>
        <w:t>Based on the most recent Bureau of Labor and Statistics Occupational and Employment Data (May 2016) for Category [15-1142] (Network and Computer Systems Administrators), the mean hourly wage for a systems administrator is $40.63.</w:t>
      </w:r>
      <w:r>
        <w:rPr>
          <w:position w:val="9"/>
          <w:sz w:val="16"/>
        </w:rPr>
        <w:t xml:space="preserve">2 </w:t>
      </w:r>
      <w:r>
        <w:t>We have added 100% of the mean hourly wage to account for fringe and overhead benefits, which calculates to $81.26 ($40.63 +</w:t>
      </w:r>
    </w:p>
    <w:p w:rsidR="00491B56" w:rsidRDefault="00480B53">
      <w:pPr>
        <w:pStyle w:val="BodyText"/>
        <w:spacing w:before="4"/>
        <w:ind w:left="552"/>
      </w:pPr>
      <w:r>
        <w:t>$40.63).</w:t>
      </w:r>
    </w:p>
    <w:p w:rsidR="00491B56" w:rsidRDefault="00491B56">
      <w:pPr>
        <w:pStyle w:val="BodyText"/>
        <w:spacing w:before="2"/>
        <w:rPr>
          <w:sz w:val="25"/>
        </w:rPr>
      </w:pPr>
    </w:p>
    <w:p w:rsidR="00491B56" w:rsidRDefault="00480B53">
      <w:pPr>
        <w:pStyle w:val="BodyText"/>
        <w:spacing w:line="242" w:lineRule="auto"/>
        <w:ind w:left="552" w:right="90"/>
      </w:pPr>
      <w:r>
        <w:t>Based on the most recent Bureau of Labor and Statistics Occupational and Employment Data (May 2016) for Category [11-1011] (Chief Executive), the mean hourly wage for a chief executive is $93.44.</w:t>
      </w:r>
      <w:r>
        <w:rPr>
          <w:position w:val="9"/>
          <w:sz w:val="16"/>
        </w:rPr>
        <w:t xml:space="preserve">3 </w:t>
      </w:r>
      <w:r>
        <w:t>We have added 100% of the mean hourly wage to account for fringe and overhead benefits, which calculates to $186.88 ($93.44 + $93.44).</w:t>
      </w:r>
    </w:p>
    <w:p w:rsidR="00491B56" w:rsidRDefault="00491B56">
      <w:pPr>
        <w:pStyle w:val="BodyText"/>
        <w:spacing w:before="4"/>
        <w:rPr>
          <w:sz w:val="25"/>
        </w:rPr>
      </w:pPr>
    </w:p>
    <w:p w:rsidR="00491B56" w:rsidRDefault="00480B53">
      <w:pPr>
        <w:pStyle w:val="Heading1"/>
        <w:spacing w:after="55"/>
        <w:ind w:left="552" w:firstLine="0"/>
        <w:rPr>
          <w:u w:val="none"/>
        </w:rPr>
      </w:pPr>
      <w:r>
        <w:rPr>
          <w:u w:val="none"/>
        </w:rPr>
        <w:t>Table 1: Mean Hourly Wage by Occupation</w:t>
      </w:r>
    </w:p>
    <w:tbl>
      <w:tblPr>
        <w:tblW w:w="0" w:type="auto"/>
        <w:tblInd w:w="552"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927"/>
        <w:gridCol w:w="1905"/>
        <w:gridCol w:w="2250"/>
        <w:gridCol w:w="1473"/>
      </w:tblGrid>
      <w:tr w:rsidR="00491B56">
        <w:trPr>
          <w:trHeight w:hRule="exact" w:val="592"/>
        </w:trPr>
        <w:tc>
          <w:tcPr>
            <w:tcW w:w="2927" w:type="dxa"/>
            <w:tcBorders>
              <w:bottom w:val="single" w:sz="5" w:space="0" w:color="000000"/>
            </w:tcBorders>
          </w:tcPr>
          <w:p w:rsidR="00491B56" w:rsidRDefault="00480B53">
            <w:pPr>
              <w:pStyle w:val="TableParagraph"/>
              <w:spacing w:line="266" w:lineRule="exact"/>
              <w:ind w:left="0"/>
              <w:rPr>
                <w:sz w:val="24"/>
              </w:rPr>
            </w:pPr>
            <w:r>
              <w:rPr>
                <w:sz w:val="24"/>
              </w:rPr>
              <w:t>Occupation</w:t>
            </w:r>
          </w:p>
        </w:tc>
        <w:tc>
          <w:tcPr>
            <w:tcW w:w="1905" w:type="dxa"/>
            <w:tcBorders>
              <w:bottom w:val="single" w:sz="5" w:space="0" w:color="000000"/>
            </w:tcBorders>
          </w:tcPr>
          <w:p w:rsidR="00491B56" w:rsidRDefault="00480B53">
            <w:pPr>
              <w:pStyle w:val="TableParagraph"/>
              <w:spacing w:line="266" w:lineRule="exact"/>
              <w:ind w:left="241"/>
              <w:rPr>
                <w:sz w:val="24"/>
              </w:rPr>
            </w:pPr>
            <w:r>
              <w:rPr>
                <w:sz w:val="24"/>
              </w:rPr>
              <w:t>2017 hourly</w:t>
            </w:r>
          </w:p>
          <w:p w:rsidR="00491B56" w:rsidRDefault="00480B53">
            <w:pPr>
              <w:pStyle w:val="TableParagraph"/>
              <w:spacing w:before="50"/>
              <w:ind w:left="241"/>
              <w:rPr>
                <w:sz w:val="24"/>
              </w:rPr>
            </w:pPr>
            <w:r>
              <w:rPr>
                <w:sz w:val="24"/>
              </w:rPr>
              <w:t>wage rate</w:t>
            </w:r>
          </w:p>
        </w:tc>
        <w:tc>
          <w:tcPr>
            <w:tcW w:w="2250" w:type="dxa"/>
            <w:tcBorders>
              <w:bottom w:val="single" w:sz="5" w:space="0" w:color="000000"/>
            </w:tcBorders>
          </w:tcPr>
          <w:p w:rsidR="00491B56" w:rsidRDefault="00480B53">
            <w:pPr>
              <w:pStyle w:val="TableParagraph"/>
              <w:spacing w:line="266" w:lineRule="exact"/>
              <w:ind w:left="496"/>
              <w:rPr>
                <w:sz w:val="24"/>
              </w:rPr>
            </w:pPr>
            <w:r>
              <w:rPr>
                <w:sz w:val="24"/>
              </w:rPr>
              <w:t>Overhead/</w:t>
            </w:r>
          </w:p>
          <w:p w:rsidR="00491B56" w:rsidRDefault="00480B53">
            <w:pPr>
              <w:pStyle w:val="TableParagraph"/>
              <w:spacing w:before="50"/>
              <w:ind w:left="496"/>
              <w:rPr>
                <w:sz w:val="24"/>
              </w:rPr>
            </w:pPr>
            <w:r>
              <w:rPr>
                <w:sz w:val="24"/>
              </w:rPr>
              <w:t>fringe (100%)</w:t>
            </w:r>
          </w:p>
        </w:tc>
        <w:tc>
          <w:tcPr>
            <w:tcW w:w="1473" w:type="dxa"/>
            <w:tcBorders>
              <w:bottom w:val="single" w:sz="5" w:space="0" w:color="000000"/>
            </w:tcBorders>
          </w:tcPr>
          <w:p w:rsidR="00491B56" w:rsidRDefault="00480B53">
            <w:pPr>
              <w:pStyle w:val="TableParagraph"/>
              <w:spacing w:line="266" w:lineRule="exact"/>
              <w:ind w:left="407"/>
              <w:rPr>
                <w:sz w:val="24"/>
              </w:rPr>
            </w:pPr>
            <w:r>
              <w:rPr>
                <w:sz w:val="24"/>
              </w:rPr>
              <w:t>Total</w:t>
            </w:r>
          </w:p>
          <w:p w:rsidR="00491B56" w:rsidRDefault="00480B53">
            <w:pPr>
              <w:pStyle w:val="TableParagraph"/>
              <w:spacing w:before="50"/>
              <w:ind w:left="407"/>
              <w:rPr>
                <w:sz w:val="24"/>
              </w:rPr>
            </w:pPr>
            <w:r>
              <w:rPr>
                <w:sz w:val="24"/>
              </w:rPr>
              <w:t>hourly</w:t>
            </w:r>
            <w:r>
              <w:rPr>
                <w:spacing w:val="-9"/>
                <w:sz w:val="24"/>
              </w:rPr>
              <w:t xml:space="preserve"> </w:t>
            </w:r>
            <w:r>
              <w:rPr>
                <w:sz w:val="24"/>
              </w:rPr>
              <w:t>cost</w:t>
            </w:r>
          </w:p>
        </w:tc>
      </w:tr>
      <w:tr w:rsidR="00491B56">
        <w:trPr>
          <w:trHeight w:hRule="exact" w:val="847"/>
        </w:trPr>
        <w:tc>
          <w:tcPr>
            <w:tcW w:w="2927" w:type="dxa"/>
            <w:tcBorders>
              <w:top w:val="single" w:sz="5" w:space="0" w:color="000000"/>
            </w:tcBorders>
          </w:tcPr>
          <w:p w:rsidR="00491B56" w:rsidRDefault="00480B53">
            <w:pPr>
              <w:pStyle w:val="TableParagraph"/>
              <w:spacing w:before="64" w:line="283" w:lineRule="auto"/>
              <w:ind w:left="287" w:right="221" w:hanging="288"/>
              <w:rPr>
                <w:sz w:val="24"/>
              </w:rPr>
            </w:pPr>
            <w:r>
              <w:rPr>
                <w:sz w:val="24"/>
              </w:rPr>
              <w:t>Social Scientist and Related Workers, All Other</w:t>
            </w:r>
          </w:p>
        </w:tc>
        <w:tc>
          <w:tcPr>
            <w:tcW w:w="1905" w:type="dxa"/>
            <w:tcBorders>
              <w:top w:val="single" w:sz="5" w:space="0" w:color="000000"/>
            </w:tcBorders>
          </w:tcPr>
          <w:p w:rsidR="00491B56" w:rsidRDefault="00480B53">
            <w:pPr>
              <w:pStyle w:val="TableParagraph"/>
              <w:spacing w:before="64"/>
              <w:ind w:left="241"/>
              <w:rPr>
                <w:sz w:val="24"/>
              </w:rPr>
            </w:pPr>
            <w:r>
              <w:rPr>
                <w:sz w:val="24"/>
              </w:rPr>
              <w:t>$38.87</w:t>
            </w:r>
          </w:p>
        </w:tc>
        <w:tc>
          <w:tcPr>
            <w:tcW w:w="2250" w:type="dxa"/>
            <w:tcBorders>
              <w:top w:val="single" w:sz="5" w:space="0" w:color="000000"/>
            </w:tcBorders>
          </w:tcPr>
          <w:p w:rsidR="00491B56" w:rsidRDefault="00480B53">
            <w:pPr>
              <w:pStyle w:val="TableParagraph"/>
              <w:spacing w:before="64"/>
              <w:ind w:left="496"/>
              <w:rPr>
                <w:sz w:val="24"/>
              </w:rPr>
            </w:pPr>
            <w:r>
              <w:rPr>
                <w:sz w:val="24"/>
              </w:rPr>
              <w:t>$38.87</w:t>
            </w:r>
          </w:p>
        </w:tc>
        <w:tc>
          <w:tcPr>
            <w:tcW w:w="1473" w:type="dxa"/>
            <w:tcBorders>
              <w:top w:val="single" w:sz="5" w:space="0" w:color="000000"/>
            </w:tcBorders>
          </w:tcPr>
          <w:p w:rsidR="00491B56" w:rsidRDefault="00480B53">
            <w:pPr>
              <w:pStyle w:val="TableParagraph"/>
              <w:spacing w:before="64"/>
              <w:ind w:left="407"/>
              <w:rPr>
                <w:sz w:val="24"/>
              </w:rPr>
            </w:pPr>
            <w:r>
              <w:rPr>
                <w:sz w:val="24"/>
              </w:rPr>
              <w:t>$77.74</w:t>
            </w:r>
          </w:p>
        </w:tc>
      </w:tr>
      <w:tr w:rsidR="00491B56">
        <w:trPr>
          <w:trHeight w:hRule="exact" w:val="979"/>
        </w:trPr>
        <w:tc>
          <w:tcPr>
            <w:tcW w:w="2927" w:type="dxa"/>
          </w:tcPr>
          <w:p w:rsidR="00491B56" w:rsidRDefault="00480B53">
            <w:pPr>
              <w:pStyle w:val="TableParagraph"/>
              <w:spacing w:before="183" w:line="283" w:lineRule="auto"/>
              <w:ind w:left="287" w:hanging="288"/>
              <w:rPr>
                <w:sz w:val="24"/>
              </w:rPr>
            </w:pPr>
            <w:r>
              <w:rPr>
                <w:sz w:val="24"/>
              </w:rPr>
              <w:t>Network and Computer Systems Administrators</w:t>
            </w:r>
          </w:p>
        </w:tc>
        <w:tc>
          <w:tcPr>
            <w:tcW w:w="1905" w:type="dxa"/>
          </w:tcPr>
          <w:p w:rsidR="00491B56" w:rsidRDefault="00480B53">
            <w:pPr>
              <w:pStyle w:val="TableParagraph"/>
              <w:spacing w:before="183"/>
              <w:ind w:left="241"/>
              <w:rPr>
                <w:sz w:val="24"/>
              </w:rPr>
            </w:pPr>
            <w:r>
              <w:rPr>
                <w:sz w:val="24"/>
              </w:rPr>
              <w:t>$40.63</w:t>
            </w:r>
          </w:p>
        </w:tc>
        <w:tc>
          <w:tcPr>
            <w:tcW w:w="2250" w:type="dxa"/>
          </w:tcPr>
          <w:p w:rsidR="00491B56" w:rsidRDefault="00480B53">
            <w:pPr>
              <w:pStyle w:val="TableParagraph"/>
              <w:spacing w:before="183"/>
              <w:ind w:left="496"/>
              <w:rPr>
                <w:sz w:val="24"/>
              </w:rPr>
            </w:pPr>
            <w:r>
              <w:rPr>
                <w:sz w:val="24"/>
              </w:rPr>
              <w:t>$40.63</w:t>
            </w:r>
          </w:p>
        </w:tc>
        <w:tc>
          <w:tcPr>
            <w:tcW w:w="1473" w:type="dxa"/>
          </w:tcPr>
          <w:p w:rsidR="00491B56" w:rsidRDefault="00480B53">
            <w:pPr>
              <w:pStyle w:val="TableParagraph"/>
              <w:spacing w:before="183"/>
              <w:ind w:left="407"/>
              <w:rPr>
                <w:sz w:val="24"/>
              </w:rPr>
            </w:pPr>
            <w:r>
              <w:rPr>
                <w:sz w:val="24"/>
              </w:rPr>
              <w:t>$81.26</w:t>
            </w:r>
          </w:p>
        </w:tc>
      </w:tr>
      <w:tr w:rsidR="00491B56">
        <w:trPr>
          <w:trHeight w:hRule="exact" w:val="440"/>
        </w:trPr>
        <w:tc>
          <w:tcPr>
            <w:tcW w:w="2927" w:type="dxa"/>
            <w:tcBorders>
              <w:bottom w:val="single" w:sz="5" w:space="0" w:color="000000"/>
            </w:tcBorders>
          </w:tcPr>
          <w:p w:rsidR="00491B56" w:rsidRDefault="00480B53">
            <w:pPr>
              <w:pStyle w:val="TableParagraph"/>
              <w:spacing w:before="183"/>
              <w:ind w:left="0"/>
              <w:rPr>
                <w:sz w:val="24"/>
              </w:rPr>
            </w:pPr>
            <w:r>
              <w:rPr>
                <w:sz w:val="24"/>
              </w:rPr>
              <w:t>Chief Executive</w:t>
            </w:r>
          </w:p>
        </w:tc>
        <w:tc>
          <w:tcPr>
            <w:tcW w:w="1905" w:type="dxa"/>
            <w:tcBorders>
              <w:bottom w:val="single" w:sz="5" w:space="0" w:color="000000"/>
            </w:tcBorders>
          </w:tcPr>
          <w:p w:rsidR="00491B56" w:rsidRDefault="00480B53">
            <w:pPr>
              <w:pStyle w:val="TableParagraph"/>
              <w:spacing w:before="183"/>
              <w:ind w:left="241"/>
              <w:rPr>
                <w:sz w:val="24"/>
              </w:rPr>
            </w:pPr>
            <w:r>
              <w:rPr>
                <w:sz w:val="24"/>
              </w:rPr>
              <w:t>$93.44</w:t>
            </w:r>
          </w:p>
        </w:tc>
        <w:tc>
          <w:tcPr>
            <w:tcW w:w="2250" w:type="dxa"/>
            <w:tcBorders>
              <w:bottom w:val="single" w:sz="5" w:space="0" w:color="000000"/>
            </w:tcBorders>
          </w:tcPr>
          <w:p w:rsidR="00491B56" w:rsidRDefault="00480B53">
            <w:pPr>
              <w:pStyle w:val="TableParagraph"/>
              <w:spacing w:before="183"/>
              <w:ind w:left="556"/>
              <w:rPr>
                <w:sz w:val="24"/>
              </w:rPr>
            </w:pPr>
            <w:r>
              <w:rPr>
                <w:sz w:val="24"/>
              </w:rPr>
              <w:t>$93.44</w:t>
            </w:r>
          </w:p>
        </w:tc>
        <w:tc>
          <w:tcPr>
            <w:tcW w:w="1473" w:type="dxa"/>
            <w:tcBorders>
              <w:bottom w:val="single" w:sz="5" w:space="0" w:color="000000"/>
            </w:tcBorders>
          </w:tcPr>
          <w:p w:rsidR="00491B56" w:rsidRDefault="00480B53">
            <w:pPr>
              <w:pStyle w:val="TableParagraph"/>
              <w:spacing w:before="183"/>
              <w:ind w:left="407"/>
              <w:rPr>
                <w:sz w:val="24"/>
              </w:rPr>
            </w:pPr>
            <w:r>
              <w:rPr>
                <w:sz w:val="24"/>
              </w:rPr>
              <w:t>$186.88</w:t>
            </w:r>
          </w:p>
        </w:tc>
      </w:tr>
    </w:tbl>
    <w:p w:rsidR="00491B56" w:rsidRDefault="00491B56">
      <w:pPr>
        <w:pStyle w:val="BodyText"/>
        <w:rPr>
          <w:b/>
          <w:sz w:val="26"/>
        </w:rPr>
      </w:pPr>
    </w:p>
    <w:p w:rsidR="00491B56" w:rsidRDefault="00491B56">
      <w:pPr>
        <w:pStyle w:val="BodyText"/>
        <w:spacing w:before="4"/>
        <w:rPr>
          <w:b/>
          <w:sz w:val="36"/>
        </w:rPr>
      </w:pPr>
    </w:p>
    <w:p w:rsidR="00491B56" w:rsidRDefault="00480B53">
      <w:pPr>
        <w:pStyle w:val="BodyText"/>
        <w:spacing w:line="283" w:lineRule="auto"/>
        <w:ind w:left="552" w:right="90"/>
      </w:pPr>
      <w:r>
        <w:t>As reflected in Table 2 below we estimate the total cost for a social scientist to be $23,322 (300 hours x $77.74/hour). We estimate the total annual cost for a network and computer systems administrator to be $13,001.60 (160 hours x $81.26/hour). We estimate the total cost for a chief executive to be $7,475.20 (40 hours x $186.88/hour). From this, we estimate that the cost per organization for applying initially to be a qualified entity will be $43,798.80, and we estimate that 30 organizations will apply over three years.</w:t>
      </w:r>
    </w:p>
    <w:p w:rsidR="00491B56" w:rsidRDefault="0000393E">
      <w:pPr>
        <w:pStyle w:val="BodyText"/>
        <w:spacing w:before="7"/>
        <w:rPr>
          <w:sz w:val="25"/>
        </w:rPr>
      </w:pPr>
      <w:r>
        <w:pict>
          <v:line id="_x0000_s2050" style="position:absolute;z-index:251657728;mso-wrap-distance-left:0;mso-wrap-distance-right:0;mso-position-horizontal-relative:page" from="1in,16.95pt" to="216.05pt,16.95pt" strokeweight=".48pt">
            <w10:wrap type="topAndBottom" anchorx="page"/>
          </v:line>
        </w:pict>
      </w:r>
    </w:p>
    <w:p w:rsidR="00491B56" w:rsidRDefault="0000393E">
      <w:pPr>
        <w:pStyle w:val="ListParagraph"/>
        <w:numPr>
          <w:ilvl w:val="0"/>
          <w:numId w:val="1"/>
        </w:numPr>
        <w:tabs>
          <w:tab w:val="left" w:pos="272"/>
        </w:tabs>
        <w:spacing w:before="60"/>
        <w:ind w:hanging="151"/>
        <w:rPr>
          <w:sz w:val="20"/>
        </w:rPr>
      </w:pPr>
      <w:hyperlink r:id="rId9">
        <w:r w:rsidR="00480B53">
          <w:rPr>
            <w:color w:val="0562C1"/>
            <w:sz w:val="20"/>
            <w:u w:val="single" w:color="0562C1"/>
          </w:rPr>
          <w:t>https://www.bls.gov/oes/current/oes193099.htm</w:t>
        </w:r>
      </w:hyperlink>
    </w:p>
    <w:p w:rsidR="00491B56" w:rsidRDefault="0000393E">
      <w:pPr>
        <w:pStyle w:val="ListParagraph"/>
        <w:numPr>
          <w:ilvl w:val="0"/>
          <w:numId w:val="1"/>
        </w:numPr>
        <w:tabs>
          <w:tab w:val="left" w:pos="272"/>
        </w:tabs>
        <w:spacing w:before="5"/>
        <w:ind w:hanging="151"/>
        <w:rPr>
          <w:sz w:val="20"/>
        </w:rPr>
      </w:pPr>
      <w:hyperlink r:id="rId10">
        <w:r w:rsidR="00480B53">
          <w:rPr>
            <w:color w:val="0562C1"/>
            <w:sz w:val="20"/>
            <w:u w:val="single" w:color="0562C1"/>
          </w:rPr>
          <w:t>https://www.bls.gov/oes/current/oes151142.htm</w:t>
        </w:r>
      </w:hyperlink>
    </w:p>
    <w:p w:rsidR="00491B56" w:rsidRDefault="0000393E">
      <w:pPr>
        <w:pStyle w:val="ListParagraph"/>
        <w:numPr>
          <w:ilvl w:val="0"/>
          <w:numId w:val="1"/>
        </w:numPr>
        <w:tabs>
          <w:tab w:val="left" w:pos="272"/>
        </w:tabs>
        <w:spacing w:before="5"/>
        <w:ind w:hanging="151"/>
        <w:rPr>
          <w:sz w:val="20"/>
        </w:rPr>
      </w:pPr>
      <w:hyperlink r:id="rId11">
        <w:r w:rsidR="00480B53">
          <w:rPr>
            <w:color w:val="0562C1"/>
            <w:sz w:val="20"/>
            <w:u w:val="single" w:color="0562C1"/>
          </w:rPr>
          <w:t>https://www.bls.gov/oes/current/oes111011.htm</w:t>
        </w:r>
      </w:hyperlink>
    </w:p>
    <w:p w:rsidR="00491B56" w:rsidRDefault="00491B56">
      <w:pPr>
        <w:rPr>
          <w:sz w:val="20"/>
        </w:rPr>
        <w:sectPr w:rsidR="00491B56">
          <w:pgSz w:w="12240" w:h="15840"/>
          <w:pgMar w:top="1500" w:right="1180" w:bottom="1700" w:left="1320" w:header="0" w:footer="1509" w:gutter="0"/>
          <w:cols w:space="720"/>
        </w:sectPr>
      </w:pPr>
    </w:p>
    <w:p w:rsidR="00491B56" w:rsidRDefault="00491B56">
      <w:pPr>
        <w:pStyle w:val="BodyText"/>
        <w:spacing w:before="6"/>
        <w:rPr>
          <w:sz w:val="15"/>
        </w:rPr>
      </w:pPr>
    </w:p>
    <w:p w:rsidR="00491B56" w:rsidRDefault="00480B53">
      <w:pPr>
        <w:pStyle w:val="BodyText"/>
        <w:spacing w:before="90" w:line="283" w:lineRule="auto"/>
        <w:ind w:left="532" w:right="280"/>
      </w:pPr>
      <w:r>
        <w:t>The total hour burden will be 15,000 hours (500 hours multiplied by 30 organizations = 15,000 hours) and the total cost will be $1,313.964.</w:t>
      </w:r>
    </w:p>
    <w:p w:rsidR="00491B56" w:rsidRDefault="00491B56">
      <w:pPr>
        <w:pStyle w:val="BodyText"/>
        <w:rPr>
          <w:sz w:val="26"/>
        </w:rPr>
      </w:pPr>
    </w:p>
    <w:p w:rsidR="00491B56" w:rsidRDefault="00491B56">
      <w:pPr>
        <w:pStyle w:val="BodyText"/>
        <w:spacing w:before="10"/>
        <w:rPr>
          <w:sz w:val="23"/>
        </w:rPr>
      </w:pPr>
    </w:p>
    <w:p w:rsidR="00491B56" w:rsidRDefault="00480B53">
      <w:pPr>
        <w:pStyle w:val="Heading1"/>
        <w:spacing w:after="44"/>
        <w:ind w:firstLine="0"/>
        <w:rPr>
          <w:u w:val="none"/>
        </w:rPr>
      </w:pPr>
      <w:r>
        <w:rPr>
          <w:u w:val="none"/>
        </w:rPr>
        <w:t>Table 2: Costs by Occupation and Application</w:t>
      </w:r>
    </w:p>
    <w:tbl>
      <w:tblPr>
        <w:tblW w:w="0" w:type="auto"/>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9"/>
        <w:gridCol w:w="1261"/>
        <w:gridCol w:w="1080"/>
        <w:gridCol w:w="1260"/>
        <w:gridCol w:w="1260"/>
        <w:gridCol w:w="2432"/>
      </w:tblGrid>
      <w:tr w:rsidR="00491B56">
        <w:trPr>
          <w:trHeight w:hRule="exact" w:val="475"/>
        </w:trPr>
        <w:tc>
          <w:tcPr>
            <w:tcW w:w="1889" w:type="dxa"/>
          </w:tcPr>
          <w:p w:rsidR="00491B56" w:rsidRDefault="00480B53">
            <w:pPr>
              <w:pStyle w:val="TableParagraph"/>
              <w:spacing w:before="3"/>
              <w:rPr>
                <w:b/>
                <w:sz w:val="20"/>
              </w:rPr>
            </w:pPr>
            <w:r>
              <w:rPr>
                <w:b/>
                <w:sz w:val="20"/>
              </w:rPr>
              <w:t>Occupation</w:t>
            </w:r>
          </w:p>
        </w:tc>
        <w:tc>
          <w:tcPr>
            <w:tcW w:w="1261" w:type="dxa"/>
          </w:tcPr>
          <w:p w:rsidR="00491B56" w:rsidRDefault="00480B53">
            <w:pPr>
              <w:pStyle w:val="TableParagraph"/>
              <w:spacing w:before="3" w:line="242" w:lineRule="auto"/>
              <w:ind w:right="516"/>
              <w:rPr>
                <w:b/>
                <w:sz w:val="20"/>
              </w:rPr>
            </w:pPr>
            <w:r>
              <w:rPr>
                <w:b/>
                <w:sz w:val="20"/>
              </w:rPr>
              <w:t>Hourly</w:t>
            </w:r>
            <w:r>
              <w:rPr>
                <w:b/>
                <w:w w:val="99"/>
                <w:sz w:val="20"/>
              </w:rPr>
              <w:t xml:space="preserve"> </w:t>
            </w:r>
            <w:r>
              <w:rPr>
                <w:b/>
                <w:sz w:val="20"/>
              </w:rPr>
              <w:t>Cost</w:t>
            </w:r>
          </w:p>
        </w:tc>
        <w:tc>
          <w:tcPr>
            <w:tcW w:w="1080" w:type="dxa"/>
          </w:tcPr>
          <w:p w:rsidR="00491B56" w:rsidRDefault="00480B53">
            <w:pPr>
              <w:pStyle w:val="TableParagraph"/>
              <w:spacing w:before="3" w:line="242" w:lineRule="auto"/>
              <w:ind w:right="414"/>
              <w:rPr>
                <w:b/>
                <w:sz w:val="20"/>
              </w:rPr>
            </w:pPr>
            <w:r>
              <w:rPr>
                <w:b/>
                <w:sz w:val="20"/>
              </w:rPr>
              <w:t>Total Hours</w:t>
            </w:r>
          </w:p>
        </w:tc>
        <w:tc>
          <w:tcPr>
            <w:tcW w:w="1260" w:type="dxa"/>
          </w:tcPr>
          <w:p w:rsidR="00491B56" w:rsidRDefault="00480B53">
            <w:pPr>
              <w:pStyle w:val="TableParagraph"/>
              <w:spacing w:before="3" w:line="242" w:lineRule="auto"/>
              <w:rPr>
                <w:b/>
                <w:sz w:val="20"/>
              </w:rPr>
            </w:pPr>
            <w:r>
              <w:rPr>
                <w:b/>
                <w:sz w:val="20"/>
              </w:rPr>
              <w:t xml:space="preserve">Cost per </w:t>
            </w:r>
            <w:r>
              <w:rPr>
                <w:b/>
                <w:w w:val="95"/>
                <w:sz w:val="20"/>
              </w:rPr>
              <w:t>Response</w:t>
            </w:r>
          </w:p>
        </w:tc>
        <w:tc>
          <w:tcPr>
            <w:tcW w:w="1260" w:type="dxa"/>
          </w:tcPr>
          <w:p w:rsidR="00491B56" w:rsidRDefault="00480B53">
            <w:pPr>
              <w:pStyle w:val="TableParagraph"/>
              <w:spacing w:before="3" w:line="242" w:lineRule="auto"/>
              <w:rPr>
                <w:b/>
                <w:sz w:val="20"/>
              </w:rPr>
            </w:pPr>
            <w:r>
              <w:rPr>
                <w:b/>
                <w:sz w:val="20"/>
              </w:rPr>
              <w:t>Number of Responses</w:t>
            </w:r>
          </w:p>
        </w:tc>
        <w:tc>
          <w:tcPr>
            <w:tcW w:w="2432" w:type="dxa"/>
          </w:tcPr>
          <w:p w:rsidR="00491B56" w:rsidRDefault="00480B53">
            <w:pPr>
              <w:pStyle w:val="TableParagraph"/>
              <w:spacing w:before="3"/>
              <w:rPr>
                <w:b/>
                <w:sz w:val="20"/>
              </w:rPr>
            </w:pPr>
            <w:r>
              <w:rPr>
                <w:b/>
                <w:sz w:val="20"/>
              </w:rPr>
              <w:t>Total Costs</w:t>
            </w:r>
          </w:p>
        </w:tc>
      </w:tr>
      <w:tr w:rsidR="00491B56">
        <w:trPr>
          <w:trHeight w:hRule="exact" w:val="245"/>
        </w:trPr>
        <w:tc>
          <w:tcPr>
            <w:tcW w:w="1889" w:type="dxa"/>
          </w:tcPr>
          <w:p w:rsidR="00491B56" w:rsidRDefault="00480B53">
            <w:pPr>
              <w:pStyle w:val="TableParagraph"/>
              <w:rPr>
                <w:sz w:val="20"/>
              </w:rPr>
            </w:pPr>
            <w:r>
              <w:rPr>
                <w:sz w:val="20"/>
              </w:rPr>
              <w:t>Social Scientist</w:t>
            </w:r>
          </w:p>
        </w:tc>
        <w:tc>
          <w:tcPr>
            <w:tcW w:w="1261" w:type="dxa"/>
          </w:tcPr>
          <w:p w:rsidR="00491B56" w:rsidRDefault="00480B53">
            <w:pPr>
              <w:pStyle w:val="TableParagraph"/>
              <w:rPr>
                <w:sz w:val="20"/>
              </w:rPr>
            </w:pPr>
            <w:r>
              <w:rPr>
                <w:sz w:val="20"/>
              </w:rPr>
              <w:t>$77.74</w:t>
            </w:r>
          </w:p>
        </w:tc>
        <w:tc>
          <w:tcPr>
            <w:tcW w:w="1080" w:type="dxa"/>
          </w:tcPr>
          <w:p w:rsidR="00491B56" w:rsidRDefault="00480B53">
            <w:pPr>
              <w:pStyle w:val="TableParagraph"/>
              <w:rPr>
                <w:sz w:val="20"/>
              </w:rPr>
            </w:pPr>
            <w:r>
              <w:rPr>
                <w:sz w:val="20"/>
              </w:rPr>
              <w:t>300</w:t>
            </w:r>
          </w:p>
        </w:tc>
        <w:tc>
          <w:tcPr>
            <w:tcW w:w="1260" w:type="dxa"/>
          </w:tcPr>
          <w:p w:rsidR="00491B56" w:rsidRDefault="00480B53">
            <w:pPr>
              <w:pStyle w:val="TableParagraph"/>
              <w:rPr>
                <w:sz w:val="20"/>
              </w:rPr>
            </w:pPr>
            <w:r>
              <w:rPr>
                <w:sz w:val="20"/>
              </w:rPr>
              <w:t>$23,322.00</w:t>
            </w:r>
          </w:p>
        </w:tc>
        <w:tc>
          <w:tcPr>
            <w:tcW w:w="1260" w:type="dxa"/>
          </w:tcPr>
          <w:p w:rsidR="00491B56" w:rsidRDefault="00480B53">
            <w:pPr>
              <w:pStyle w:val="TableParagraph"/>
              <w:rPr>
                <w:sz w:val="20"/>
              </w:rPr>
            </w:pPr>
            <w:r>
              <w:rPr>
                <w:w w:val="99"/>
                <w:sz w:val="20"/>
              </w:rPr>
              <w:t>-</w:t>
            </w:r>
          </w:p>
        </w:tc>
        <w:tc>
          <w:tcPr>
            <w:tcW w:w="2432" w:type="dxa"/>
          </w:tcPr>
          <w:p w:rsidR="00491B56" w:rsidRDefault="00480B53">
            <w:pPr>
              <w:pStyle w:val="TableParagraph"/>
              <w:rPr>
                <w:sz w:val="20"/>
              </w:rPr>
            </w:pPr>
            <w:r>
              <w:rPr>
                <w:w w:val="99"/>
                <w:sz w:val="20"/>
              </w:rPr>
              <w:t>-</w:t>
            </w:r>
          </w:p>
        </w:tc>
      </w:tr>
      <w:tr w:rsidR="00491B56">
        <w:trPr>
          <w:trHeight w:hRule="exact" w:val="716"/>
        </w:trPr>
        <w:tc>
          <w:tcPr>
            <w:tcW w:w="1889" w:type="dxa"/>
          </w:tcPr>
          <w:p w:rsidR="00491B56" w:rsidRDefault="00480B53">
            <w:pPr>
              <w:pStyle w:val="TableParagraph"/>
              <w:spacing w:line="244" w:lineRule="auto"/>
              <w:rPr>
                <w:sz w:val="20"/>
              </w:rPr>
            </w:pPr>
            <w:r>
              <w:rPr>
                <w:sz w:val="20"/>
              </w:rPr>
              <w:t>Network and Computer Systems Administrators</w:t>
            </w:r>
          </w:p>
        </w:tc>
        <w:tc>
          <w:tcPr>
            <w:tcW w:w="1261" w:type="dxa"/>
          </w:tcPr>
          <w:p w:rsidR="00491B56" w:rsidRDefault="00480B53">
            <w:pPr>
              <w:pStyle w:val="TableParagraph"/>
              <w:rPr>
                <w:sz w:val="20"/>
              </w:rPr>
            </w:pPr>
            <w:r>
              <w:rPr>
                <w:sz w:val="20"/>
              </w:rPr>
              <w:t>$81.26</w:t>
            </w:r>
          </w:p>
        </w:tc>
        <w:tc>
          <w:tcPr>
            <w:tcW w:w="1080" w:type="dxa"/>
          </w:tcPr>
          <w:p w:rsidR="00491B56" w:rsidRDefault="00480B53">
            <w:pPr>
              <w:pStyle w:val="TableParagraph"/>
              <w:rPr>
                <w:sz w:val="20"/>
              </w:rPr>
            </w:pPr>
            <w:r>
              <w:rPr>
                <w:sz w:val="20"/>
              </w:rPr>
              <w:t>160</w:t>
            </w:r>
          </w:p>
        </w:tc>
        <w:tc>
          <w:tcPr>
            <w:tcW w:w="1260" w:type="dxa"/>
          </w:tcPr>
          <w:p w:rsidR="00491B56" w:rsidRDefault="00491B56">
            <w:pPr>
              <w:pStyle w:val="TableParagraph"/>
              <w:ind w:left="0"/>
              <w:rPr>
                <w:b/>
              </w:rPr>
            </w:pPr>
          </w:p>
          <w:p w:rsidR="00491B56" w:rsidRDefault="00491B56">
            <w:pPr>
              <w:pStyle w:val="TableParagraph"/>
              <w:ind w:left="0"/>
              <w:rPr>
                <w:b/>
                <w:sz w:val="19"/>
              </w:rPr>
            </w:pPr>
          </w:p>
          <w:p w:rsidR="00491B56" w:rsidRDefault="00480B53">
            <w:pPr>
              <w:pStyle w:val="TableParagraph"/>
              <w:rPr>
                <w:sz w:val="20"/>
              </w:rPr>
            </w:pPr>
            <w:r>
              <w:rPr>
                <w:sz w:val="20"/>
              </w:rPr>
              <w:t>$13,001.60</w:t>
            </w:r>
          </w:p>
        </w:tc>
        <w:tc>
          <w:tcPr>
            <w:tcW w:w="1260" w:type="dxa"/>
          </w:tcPr>
          <w:p w:rsidR="00491B56" w:rsidRDefault="00480B53">
            <w:pPr>
              <w:pStyle w:val="TableParagraph"/>
              <w:rPr>
                <w:sz w:val="20"/>
              </w:rPr>
            </w:pPr>
            <w:r>
              <w:rPr>
                <w:w w:val="99"/>
                <w:sz w:val="20"/>
              </w:rPr>
              <w:t>-</w:t>
            </w:r>
          </w:p>
        </w:tc>
        <w:tc>
          <w:tcPr>
            <w:tcW w:w="2432" w:type="dxa"/>
          </w:tcPr>
          <w:p w:rsidR="00491B56" w:rsidRDefault="00480B53">
            <w:pPr>
              <w:pStyle w:val="TableParagraph"/>
              <w:rPr>
                <w:sz w:val="20"/>
              </w:rPr>
            </w:pPr>
            <w:r>
              <w:rPr>
                <w:w w:val="99"/>
                <w:sz w:val="20"/>
              </w:rPr>
              <w:t>-</w:t>
            </w:r>
          </w:p>
        </w:tc>
      </w:tr>
      <w:tr w:rsidR="00491B56">
        <w:trPr>
          <w:trHeight w:hRule="exact" w:val="245"/>
        </w:trPr>
        <w:tc>
          <w:tcPr>
            <w:tcW w:w="1889" w:type="dxa"/>
          </w:tcPr>
          <w:p w:rsidR="00491B56" w:rsidRDefault="00480B53">
            <w:pPr>
              <w:pStyle w:val="TableParagraph"/>
              <w:ind w:left="153"/>
              <w:rPr>
                <w:sz w:val="20"/>
              </w:rPr>
            </w:pPr>
            <w:r>
              <w:rPr>
                <w:sz w:val="20"/>
              </w:rPr>
              <w:t>Executive</w:t>
            </w:r>
          </w:p>
        </w:tc>
        <w:tc>
          <w:tcPr>
            <w:tcW w:w="1261" w:type="dxa"/>
          </w:tcPr>
          <w:p w:rsidR="00491B56" w:rsidRDefault="00480B53">
            <w:pPr>
              <w:pStyle w:val="TableParagraph"/>
              <w:rPr>
                <w:sz w:val="20"/>
              </w:rPr>
            </w:pPr>
            <w:r>
              <w:rPr>
                <w:sz w:val="20"/>
              </w:rPr>
              <w:t>$186.88</w:t>
            </w:r>
          </w:p>
        </w:tc>
        <w:tc>
          <w:tcPr>
            <w:tcW w:w="1080" w:type="dxa"/>
          </w:tcPr>
          <w:p w:rsidR="00491B56" w:rsidRDefault="00480B53">
            <w:pPr>
              <w:pStyle w:val="TableParagraph"/>
              <w:rPr>
                <w:sz w:val="20"/>
              </w:rPr>
            </w:pPr>
            <w:r>
              <w:rPr>
                <w:sz w:val="20"/>
              </w:rPr>
              <w:t>40</w:t>
            </w:r>
          </w:p>
        </w:tc>
        <w:tc>
          <w:tcPr>
            <w:tcW w:w="1260" w:type="dxa"/>
          </w:tcPr>
          <w:p w:rsidR="00491B56" w:rsidRDefault="00480B53">
            <w:pPr>
              <w:pStyle w:val="TableParagraph"/>
              <w:rPr>
                <w:sz w:val="20"/>
              </w:rPr>
            </w:pPr>
            <w:r>
              <w:rPr>
                <w:sz w:val="20"/>
              </w:rPr>
              <w:t>$7,475.20</w:t>
            </w:r>
          </w:p>
        </w:tc>
        <w:tc>
          <w:tcPr>
            <w:tcW w:w="1260" w:type="dxa"/>
          </w:tcPr>
          <w:p w:rsidR="00491B56" w:rsidRDefault="00480B53">
            <w:pPr>
              <w:pStyle w:val="TableParagraph"/>
              <w:rPr>
                <w:sz w:val="20"/>
              </w:rPr>
            </w:pPr>
            <w:r>
              <w:rPr>
                <w:w w:val="99"/>
                <w:sz w:val="20"/>
              </w:rPr>
              <w:t>-</w:t>
            </w:r>
          </w:p>
        </w:tc>
        <w:tc>
          <w:tcPr>
            <w:tcW w:w="2432" w:type="dxa"/>
          </w:tcPr>
          <w:p w:rsidR="00491B56" w:rsidRDefault="00491B56"/>
        </w:tc>
      </w:tr>
      <w:tr w:rsidR="00491B56">
        <w:trPr>
          <w:trHeight w:hRule="exact" w:val="245"/>
        </w:trPr>
        <w:tc>
          <w:tcPr>
            <w:tcW w:w="1889" w:type="dxa"/>
          </w:tcPr>
          <w:p w:rsidR="00491B56" w:rsidRDefault="00480B53">
            <w:pPr>
              <w:pStyle w:val="TableParagraph"/>
              <w:spacing w:before="3"/>
              <w:rPr>
                <w:b/>
                <w:sz w:val="20"/>
              </w:rPr>
            </w:pPr>
            <w:r>
              <w:rPr>
                <w:b/>
                <w:sz w:val="20"/>
              </w:rPr>
              <w:t>Total</w:t>
            </w:r>
          </w:p>
        </w:tc>
        <w:tc>
          <w:tcPr>
            <w:tcW w:w="1261" w:type="dxa"/>
          </w:tcPr>
          <w:p w:rsidR="00491B56" w:rsidRDefault="00480B53">
            <w:pPr>
              <w:pStyle w:val="TableParagraph"/>
              <w:rPr>
                <w:sz w:val="20"/>
              </w:rPr>
            </w:pPr>
            <w:r>
              <w:rPr>
                <w:w w:val="99"/>
                <w:sz w:val="20"/>
              </w:rPr>
              <w:t>-</w:t>
            </w:r>
          </w:p>
        </w:tc>
        <w:tc>
          <w:tcPr>
            <w:tcW w:w="1080" w:type="dxa"/>
          </w:tcPr>
          <w:p w:rsidR="00491B56" w:rsidRDefault="00480B53">
            <w:pPr>
              <w:pStyle w:val="TableParagraph"/>
              <w:rPr>
                <w:sz w:val="20"/>
              </w:rPr>
            </w:pPr>
            <w:r>
              <w:rPr>
                <w:sz w:val="20"/>
              </w:rPr>
              <w:t>500</w:t>
            </w:r>
          </w:p>
        </w:tc>
        <w:tc>
          <w:tcPr>
            <w:tcW w:w="1260" w:type="dxa"/>
          </w:tcPr>
          <w:p w:rsidR="00491B56" w:rsidRDefault="00480B53">
            <w:pPr>
              <w:pStyle w:val="TableParagraph"/>
              <w:rPr>
                <w:sz w:val="20"/>
              </w:rPr>
            </w:pPr>
            <w:r>
              <w:rPr>
                <w:sz w:val="20"/>
              </w:rPr>
              <w:t>$43,798.80</w:t>
            </w:r>
          </w:p>
        </w:tc>
        <w:tc>
          <w:tcPr>
            <w:tcW w:w="1260" w:type="dxa"/>
          </w:tcPr>
          <w:p w:rsidR="00491B56" w:rsidRDefault="00480B53">
            <w:pPr>
              <w:pStyle w:val="TableParagraph"/>
              <w:rPr>
                <w:sz w:val="20"/>
              </w:rPr>
            </w:pPr>
            <w:r>
              <w:rPr>
                <w:sz w:val="20"/>
              </w:rPr>
              <w:t>30</w:t>
            </w:r>
          </w:p>
        </w:tc>
        <w:tc>
          <w:tcPr>
            <w:tcW w:w="2432" w:type="dxa"/>
          </w:tcPr>
          <w:p w:rsidR="00491B56" w:rsidRDefault="00480B53">
            <w:pPr>
              <w:pStyle w:val="TableParagraph"/>
              <w:rPr>
                <w:sz w:val="20"/>
              </w:rPr>
            </w:pPr>
            <w:r>
              <w:rPr>
                <w:sz w:val="20"/>
              </w:rPr>
              <w:t>$1,313,964</w:t>
            </w:r>
          </w:p>
        </w:tc>
      </w:tr>
    </w:tbl>
    <w:p w:rsidR="00491B56" w:rsidRDefault="00491B56">
      <w:pPr>
        <w:pStyle w:val="BodyText"/>
        <w:rPr>
          <w:b/>
          <w:sz w:val="26"/>
        </w:rPr>
      </w:pPr>
    </w:p>
    <w:p w:rsidR="00491B56" w:rsidRDefault="00491B56">
      <w:pPr>
        <w:pStyle w:val="BodyText"/>
        <w:spacing w:before="4"/>
        <w:rPr>
          <w:b/>
          <w:sz w:val="23"/>
        </w:rPr>
      </w:pPr>
    </w:p>
    <w:p w:rsidR="00491B56" w:rsidRDefault="00480B53">
      <w:pPr>
        <w:pStyle w:val="BodyText"/>
        <w:spacing w:line="247" w:lineRule="auto"/>
        <w:ind w:left="532" w:right="280"/>
      </w:pPr>
      <w:r>
        <w:t>Based on the information listed above, the overall annual burden associated with this information collection requirements is 5,000 hours (15,000 hours divided by 3 years = 5,000 hours). Organizations applying to be a qualified entity will do so one time during a 3 year period.</w:t>
      </w:r>
    </w:p>
    <w:p w:rsidR="00491B56" w:rsidRDefault="00491B56">
      <w:pPr>
        <w:pStyle w:val="BodyText"/>
        <w:spacing w:before="6"/>
      </w:pPr>
    </w:p>
    <w:p w:rsidR="00491B56" w:rsidRDefault="00480B53">
      <w:pPr>
        <w:pStyle w:val="BodyText"/>
        <w:spacing w:line="247" w:lineRule="auto"/>
        <w:ind w:left="532" w:right="170"/>
      </w:pPr>
      <w:r>
        <w:t>Additionally, the annual average cost burden is estimated at $437,988. ($1,313,964 divided by 3 years=$437,988)</w:t>
      </w:r>
    </w:p>
    <w:p w:rsidR="00491B56" w:rsidRDefault="00491B56">
      <w:pPr>
        <w:pStyle w:val="BodyText"/>
        <w:spacing w:before="6"/>
      </w:pPr>
    </w:p>
    <w:p w:rsidR="00491B56" w:rsidRDefault="00480B53">
      <w:pPr>
        <w:pStyle w:val="ListParagraph"/>
        <w:numPr>
          <w:ilvl w:val="1"/>
          <w:numId w:val="2"/>
        </w:numPr>
        <w:tabs>
          <w:tab w:val="left" w:pos="533"/>
        </w:tabs>
        <w:spacing w:before="1"/>
        <w:rPr>
          <w:sz w:val="24"/>
        </w:rPr>
      </w:pPr>
      <w:r>
        <w:rPr>
          <w:sz w:val="24"/>
          <w:u w:val="single"/>
        </w:rPr>
        <w:t>Capital</w:t>
      </w:r>
      <w:r>
        <w:rPr>
          <w:spacing w:val="-2"/>
          <w:sz w:val="24"/>
          <w:u w:val="single"/>
        </w:rPr>
        <w:t xml:space="preserve"> </w:t>
      </w:r>
      <w:r>
        <w:rPr>
          <w:sz w:val="24"/>
          <w:u w:val="single"/>
        </w:rPr>
        <w:t>Costs</w:t>
      </w:r>
    </w:p>
    <w:p w:rsidR="00491B56" w:rsidRDefault="00491B56">
      <w:pPr>
        <w:pStyle w:val="BodyText"/>
        <w:spacing w:before="5"/>
        <w:rPr>
          <w:sz w:val="17"/>
        </w:rPr>
      </w:pPr>
    </w:p>
    <w:p w:rsidR="00491B56" w:rsidRDefault="00480B53">
      <w:pPr>
        <w:pStyle w:val="BodyText"/>
        <w:spacing w:before="90"/>
        <w:ind w:left="532"/>
      </w:pPr>
      <w:r>
        <w:t>There are no capital costs associated with preparing the application to be a qualified entity.</w:t>
      </w:r>
    </w:p>
    <w:p w:rsidR="00491B56" w:rsidRDefault="00491B56">
      <w:pPr>
        <w:pStyle w:val="BodyText"/>
        <w:spacing w:before="2"/>
        <w:rPr>
          <w:sz w:val="25"/>
        </w:rPr>
      </w:pPr>
    </w:p>
    <w:p w:rsidR="00491B56" w:rsidRDefault="00480B53">
      <w:pPr>
        <w:pStyle w:val="ListParagraph"/>
        <w:numPr>
          <w:ilvl w:val="1"/>
          <w:numId w:val="2"/>
        </w:numPr>
        <w:tabs>
          <w:tab w:val="left" w:pos="533"/>
        </w:tabs>
        <w:spacing w:before="1"/>
        <w:rPr>
          <w:sz w:val="24"/>
        </w:rPr>
      </w:pPr>
      <w:r>
        <w:rPr>
          <w:sz w:val="24"/>
          <w:u w:val="single"/>
        </w:rPr>
        <w:t>Cost to Federal</w:t>
      </w:r>
      <w:r>
        <w:rPr>
          <w:spacing w:val="-9"/>
          <w:sz w:val="24"/>
          <w:u w:val="single"/>
        </w:rPr>
        <w:t xml:space="preserve"> </w:t>
      </w:r>
      <w:r>
        <w:rPr>
          <w:sz w:val="24"/>
          <w:u w:val="single"/>
        </w:rPr>
        <w:t>Government</w:t>
      </w:r>
    </w:p>
    <w:p w:rsidR="00491B56" w:rsidRDefault="00491B56">
      <w:pPr>
        <w:pStyle w:val="BodyText"/>
        <w:spacing w:before="5"/>
        <w:rPr>
          <w:sz w:val="17"/>
        </w:rPr>
      </w:pPr>
    </w:p>
    <w:p w:rsidR="00491B56" w:rsidRDefault="00480B53">
      <w:pPr>
        <w:pStyle w:val="BodyText"/>
        <w:spacing w:before="90" w:line="247" w:lineRule="auto"/>
        <w:ind w:left="532" w:right="170"/>
      </w:pPr>
      <w:r>
        <w:t>It is estimated that annual CMS costs for managing the information collection will include one full time equivalent at the GS-13 step 4 level with an annual fully loaded salary of $158,000, and $585,000 in contractor support, for a total of $743,000.</w:t>
      </w:r>
    </w:p>
    <w:p w:rsidR="00491B56" w:rsidRDefault="00491B56">
      <w:pPr>
        <w:pStyle w:val="BodyText"/>
        <w:spacing w:before="7"/>
      </w:pPr>
    </w:p>
    <w:p w:rsidR="00491B56" w:rsidRDefault="00480B53">
      <w:pPr>
        <w:pStyle w:val="ListParagraph"/>
        <w:numPr>
          <w:ilvl w:val="1"/>
          <w:numId w:val="2"/>
        </w:numPr>
        <w:tabs>
          <w:tab w:val="left" w:pos="533"/>
        </w:tabs>
        <w:rPr>
          <w:sz w:val="24"/>
        </w:rPr>
      </w:pPr>
      <w:r>
        <w:rPr>
          <w:sz w:val="24"/>
          <w:u w:val="single"/>
        </w:rPr>
        <w:t>Changes to</w:t>
      </w:r>
      <w:r>
        <w:rPr>
          <w:spacing w:val="-8"/>
          <w:sz w:val="24"/>
          <w:u w:val="single"/>
        </w:rPr>
        <w:t xml:space="preserve"> </w:t>
      </w:r>
      <w:r>
        <w:rPr>
          <w:sz w:val="24"/>
          <w:u w:val="single"/>
        </w:rPr>
        <w:t>Burden</w:t>
      </w:r>
    </w:p>
    <w:p w:rsidR="00491B56" w:rsidRDefault="00491B56">
      <w:pPr>
        <w:pStyle w:val="BodyText"/>
        <w:spacing w:before="5"/>
        <w:rPr>
          <w:sz w:val="17"/>
        </w:rPr>
      </w:pPr>
    </w:p>
    <w:p w:rsidR="00906550" w:rsidRPr="00906550" w:rsidRDefault="00906550" w:rsidP="00906550">
      <w:pPr>
        <w:pStyle w:val="BodyText"/>
        <w:numPr>
          <w:ilvl w:val="0"/>
          <w:numId w:val="4"/>
        </w:numPr>
        <w:spacing w:before="5"/>
      </w:pPr>
      <w:r>
        <w:t xml:space="preserve">The burden estimate </w:t>
      </w:r>
      <w:r w:rsidR="009648B2">
        <w:t>has been adjusted from 35 to 1</w:t>
      </w:r>
      <w:r>
        <w:t>0 for the total number of organizations that are expected to submit applications.</w:t>
      </w:r>
      <w:r w:rsidR="009648B2">
        <w:t xml:space="preserve"> The reduction in burden is due to a</w:t>
      </w:r>
      <w:r w:rsidR="00BD40D5">
        <w:t>n adjustment</w:t>
      </w:r>
      <w:r w:rsidR="009648B2">
        <w:t xml:space="preserve"> in the total number of respondents from a </w:t>
      </w:r>
      <w:r w:rsidR="00BD40D5">
        <w:t>3 year to 1 year representation of burden.</w:t>
      </w:r>
    </w:p>
    <w:p w:rsidR="00491B56" w:rsidRDefault="00906550" w:rsidP="00906550">
      <w:pPr>
        <w:pStyle w:val="BodyText"/>
        <w:numPr>
          <w:ilvl w:val="0"/>
          <w:numId w:val="4"/>
        </w:numPr>
        <w:spacing w:before="90" w:line="247" w:lineRule="auto"/>
        <w:ind w:right="280"/>
      </w:pPr>
      <w:r>
        <w:t xml:space="preserve">The only other </w:t>
      </w:r>
      <w:r w:rsidR="00480B53">
        <w:t>changes made that impact burden to individual applicants were updates to the BLS labor categories, which have increased since the last information collection submission.</w:t>
      </w:r>
    </w:p>
    <w:p w:rsidR="00491B56" w:rsidRDefault="00491B56">
      <w:pPr>
        <w:pStyle w:val="BodyText"/>
        <w:spacing w:before="6"/>
      </w:pPr>
    </w:p>
    <w:p w:rsidR="00491B56" w:rsidRDefault="00480B53">
      <w:pPr>
        <w:pStyle w:val="ListParagraph"/>
        <w:numPr>
          <w:ilvl w:val="1"/>
          <w:numId w:val="2"/>
        </w:numPr>
        <w:tabs>
          <w:tab w:val="left" w:pos="533"/>
        </w:tabs>
        <w:rPr>
          <w:sz w:val="24"/>
        </w:rPr>
      </w:pPr>
      <w:r>
        <w:rPr>
          <w:sz w:val="24"/>
          <w:u w:val="single"/>
        </w:rPr>
        <w:t>Publication/Tabulation</w:t>
      </w:r>
      <w:r>
        <w:rPr>
          <w:spacing w:val="-4"/>
          <w:sz w:val="24"/>
          <w:u w:val="single"/>
        </w:rPr>
        <w:t xml:space="preserve"> </w:t>
      </w:r>
      <w:r>
        <w:rPr>
          <w:sz w:val="24"/>
          <w:u w:val="single"/>
        </w:rPr>
        <w:t>Dates</w:t>
      </w:r>
    </w:p>
    <w:p w:rsidR="00491B56" w:rsidRDefault="00491B56">
      <w:pPr>
        <w:pStyle w:val="BodyText"/>
        <w:spacing w:before="4"/>
        <w:rPr>
          <w:sz w:val="17"/>
        </w:rPr>
      </w:pPr>
    </w:p>
    <w:p w:rsidR="00491B56" w:rsidRDefault="00480B53">
      <w:pPr>
        <w:pStyle w:val="BodyText"/>
        <w:spacing w:before="90"/>
        <w:ind w:left="532"/>
      </w:pPr>
      <w:r>
        <w:t>There are no publication/tabulation dates associated with this collection.</w:t>
      </w:r>
    </w:p>
    <w:p w:rsidR="00491B56" w:rsidRDefault="00491B56">
      <w:pPr>
        <w:pStyle w:val="BodyText"/>
        <w:spacing w:before="2"/>
        <w:rPr>
          <w:sz w:val="25"/>
        </w:rPr>
      </w:pPr>
    </w:p>
    <w:p w:rsidR="00491B56" w:rsidRDefault="00480B53">
      <w:pPr>
        <w:pStyle w:val="ListParagraph"/>
        <w:numPr>
          <w:ilvl w:val="1"/>
          <w:numId w:val="2"/>
        </w:numPr>
        <w:tabs>
          <w:tab w:val="left" w:pos="533"/>
        </w:tabs>
        <w:rPr>
          <w:sz w:val="24"/>
        </w:rPr>
      </w:pPr>
      <w:r>
        <w:rPr>
          <w:sz w:val="24"/>
          <w:u w:val="single"/>
        </w:rPr>
        <w:t>Expiration</w:t>
      </w:r>
      <w:r>
        <w:rPr>
          <w:spacing w:val="-3"/>
          <w:sz w:val="24"/>
          <w:u w:val="single"/>
        </w:rPr>
        <w:t xml:space="preserve"> </w:t>
      </w:r>
      <w:r>
        <w:rPr>
          <w:sz w:val="24"/>
          <w:u w:val="single"/>
        </w:rPr>
        <w:t>Date</w:t>
      </w:r>
    </w:p>
    <w:p w:rsidR="00491B56" w:rsidRDefault="00491B56">
      <w:pPr>
        <w:rPr>
          <w:sz w:val="24"/>
        </w:rPr>
        <w:sectPr w:rsidR="00491B56">
          <w:pgSz w:w="12240" w:h="15840"/>
          <w:pgMar w:top="1500" w:right="1040" w:bottom="1700" w:left="1340" w:header="0" w:footer="1509" w:gutter="0"/>
          <w:cols w:space="720"/>
        </w:sectPr>
      </w:pPr>
    </w:p>
    <w:p w:rsidR="00491B56" w:rsidRDefault="00491B56">
      <w:pPr>
        <w:pStyle w:val="BodyText"/>
        <w:spacing w:before="8"/>
        <w:rPr>
          <w:sz w:val="11"/>
        </w:rPr>
      </w:pPr>
    </w:p>
    <w:p w:rsidR="00491B56" w:rsidRDefault="00480B53">
      <w:pPr>
        <w:pStyle w:val="BodyText"/>
        <w:spacing w:before="90"/>
        <w:ind w:left="532"/>
      </w:pPr>
      <w:r>
        <w:t>CMS would like to display the expiration date as indicated.</w:t>
      </w:r>
    </w:p>
    <w:p w:rsidR="00491B56" w:rsidRDefault="00491B56">
      <w:pPr>
        <w:pStyle w:val="BodyText"/>
        <w:spacing w:before="2"/>
        <w:rPr>
          <w:sz w:val="25"/>
        </w:rPr>
      </w:pPr>
    </w:p>
    <w:p w:rsidR="00491B56" w:rsidRDefault="00480B53">
      <w:pPr>
        <w:pStyle w:val="BodyText"/>
        <w:ind w:left="100"/>
      </w:pPr>
      <w:r>
        <w:t>On the footer of every page for the following information collection instruments:</w:t>
      </w:r>
    </w:p>
    <w:p w:rsidR="00491B56" w:rsidRDefault="00480B53">
      <w:pPr>
        <w:pStyle w:val="ListParagraph"/>
        <w:numPr>
          <w:ilvl w:val="2"/>
          <w:numId w:val="2"/>
        </w:numPr>
        <w:tabs>
          <w:tab w:val="left" w:pos="820"/>
          <w:tab w:val="left" w:pos="821"/>
        </w:tabs>
        <w:spacing w:before="4"/>
        <w:rPr>
          <w:sz w:val="24"/>
        </w:rPr>
      </w:pPr>
      <w:r>
        <w:rPr>
          <w:sz w:val="24"/>
        </w:rPr>
        <w:t>QECP Paper-Based Application</w:t>
      </w:r>
      <w:r>
        <w:rPr>
          <w:spacing w:val="-12"/>
          <w:sz w:val="24"/>
        </w:rPr>
        <w:t xml:space="preserve"> </w:t>
      </w:r>
      <w:r>
        <w:rPr>
          <w:sz w:val="24"/>
        </w:rPr>
        <w:t>Form</w:t>
      </w:r>
    </w:p>
    <w:p w:rsidR="00491B56" w:rsidRDefault="00480B53">
      <w:pPr>
        <w:pStyle w:val="ListParagraph"/>
        <w:numPr>
          <w:ilvl w:val="2"/>
          <w:numId w:val="2"/>
        </w:numPr>
        <w:tabs>
          <w:tab w:val="left" w:pos="820"/>
          <w:tab w:val="left" w:pos="821"/>
        </w:tabs>
        <w:spacing w:before="3"/>
        <w:rPr>
          <w:sz w:val="24"/>
        </w:rPr>
      </w:pPr>
      <w:r>
        <w:rPr>
          <w:sz w:val="24"/>
        </w:rPr>
        <w:t>QECP Letter of</w:t>
      </w:r>
      <w:r>
        <w:rPr>
          <w:spacing w:val="-11"/>
          <w:sz w:val="24"/>
        </w:rPr>
        <w:t xml:space="preserve"> </w:t>
      </w:r>
      <w:r>
        <w:rPr>
          <w:sz w:val="24"/>
        </w:rPr>
        <w:t>Commitment</w:t>
      </w:r>
    </w:p>
    <w:p w:rsidR="00491B56" w:rsidRDefault="00480B53">
      <w:pPr>
        <w:pStyle w:val="ListParagraph"/>
        <w:numPr>
          <w:ilvl w:val="2"/>
          <w:numId w:val="2"/>
        </w:numPr>
        <w:tabs>
          <w:tab w:val="left" w:pos="820"/>
          <w:tab w:val="left" w:pos="821"/>
        </w:tabs>
        <w:spacing w:before="3"/>
        <w:rPr>
          <w:sz w:val="24"/>
        </w:rPr>
      </w:pPr>
      <w:r>
        <w:rPr>
          <w:sz w:val="24"/>
        </w:rPr>
        <w:t>QECP Letter of Commitment for Quasi</w:t>
      </w:r>
      <w:r>
        <w:rPr>
          <w:spacing w:val="-15"/>
          <w:sz w:val="24"/>
        </w:rPr>
        <w:t xml:space="preserve"> </w:t>
      </w:r>
      <w:r>
        <w:rPr>
          <w:sz w:val="24"/>
        </w:rPr>
        <w:t>QEs</w:t>
      </w:r>
    </w:p>
    <w:p w:rsidR="00491B56" w:rsidRDefault="00480B53">
      <w:pPr>
        <w:pStyle w:val="ListParagraph"/>
        <w:numPr>
          <w:ilvl w:val="2"/>
          <w:numId w:val="2"/>
        </w:numPr>
        <w:tabs>
          <w:tab w:val="left" w:pos="820"/>
          <w:tab w:val="left" w:pos="821"/>
        </w:tabs>
        <w:spacing w:before="3"/>
        <w:rPr>
          <w:sz w:val="24"/>
        </w:rPr>
      </w:pPr>
      <w:r>
        <w:rPr>
          <w:sz w:val="24"/>
        </w:rPr>
        <w:t>QECP QA Worksheet  (within the PRA disclosure</w:t>
      </w:r>
      <w:r>
        <w:rPr>
          <w:spacing w:val="-6"/>
          <w:sz w:val="24"/>
        </w:rPr>
        <w:t xml:space="preserve"> </w:t>
      </w:r>
      <w:r>
        <w:rPr>
          <w:sz w:val="24"/>
        </w:rPr>
        <w:t>statement)</w:t>
      </w:r>
    </w:p>
    <w:p w:rsidR="00491B56" w:rsidRDefault="00491B56">
      <w:pPr>
        <w:pStyle w:val="BodyText"/>
        <w:spacing w:before="1"/>
        <w:rPr>
          <w:sz w:val="25"/>
        </w:rPr>
      </w:pPr>
    </w:p>
    <w:p w:rsidR="00491B56" w:rsidRDefault="00480B53">
      <w:pPr>
        <w:pStyle w:val="BodyText"/>
        <w:spacing w:line="247" w:lineRule="auto"/>
        <w:ind w:left="100"/>
      </w:pPr>
      <w:r>
        <w:t>On the first page/worksheet (“Instructions” tab) of the following information collection instruments:</w:t>
      </w:r>
    </w:p>
    <w:p w:rsidR="00491B56" w:rsidRDefault="00480B53">
      <w:pPr>
        <w:pStyle w:val="ListParagraph"/>
        <w:numPr>
          <w:ilvl w:val="2"/>
          <w:numId w:val="2"/>
        </w:numPr>
        <w:tabs>
          <w:tab w:val="left" w:pos="820"/>
          <w:tab w:val="left" w:pos="821"/>
        </w:tabs>
        <w:spacing w:line="291" w:lineRule="exact"/>
        <w:rPr>
          <w:sz w:val="24"/>
        </w:rPr>
      </w:pPr>
      <w:r>
        <w:rPr>
          <w:sz w:val="24"/>
        </w:rPr>
        <w:t>QECP Data Source Attestation - Instructions tab, line</w:t>
      </w:r>
      <w:r>
        <w:rPr>
          <w:spacing w:val="-16"/>
          <w:sz w:val="24"/>
        </w:rPr>
        <w:t xml:space="preserve"> </w:t>
      </w:r>
      <w:r>
        <w:rPr>
          <w:sz w:val="24"/>
        </w:rPr>
        <w:t>56</w:t>
      </w:r>
    </w:p>
    <w:p w:rsidR="00491B56" w:rsidRDefault="00480B53">
      <w:pPr>
        <w:pStyle w:val="ListParagraph"/>
        <w:numPr>
          <w:ilvl w:val="2"/>
          <w:numId w:val="2"/>
        </w:numPr>
        <w:tabs>
          <w:tab w:val="left" w:pos="820"/>
          <w:tab w:val="left" w:pos="821"/>
        </w:tabs>
        <w:spacing w:before="4"/>
        <w:rPr>
          <w:sz w:val="24"/>
        </w:rPr>
      </w:pPr>
      <w:r>
        <w:rPr>
          <w:sz w:val="24"/>
        </w:rPr>
        <w:t>QECP Data Security Workbook - Instructions tab, line</w:t>
      </w:r>
      <w:r>
        <w:rPr>
          <w:spacing w:val="-21"/>
          <w:sz w:val="24"/>
        </w:rPr>
        <w:t xml:space="preserve"> </w:t>
      </w:r>
      <w:r>
        <w:rPr>
          <w:sz w:val="24"/>
        </w:rPr>
        <w:t>7</w:t>
      </w:r>
    </w:p>
    <w:p w:rsidR="00491B56" w:rsidRDefault="00480B53">
      <w:pPr>
        <w:pStyle w:val="ListParagraph"/>
        <w:numPr>
          <w:ilvl w:val="2"/>
          <w:numId w:val="2"/>
        </w:numPr>
        <w:tabs>
          <w:tab w:val="left" w:pos="820"/>
          <w:tab w:val="left" w:pos="821"/>
        </w:tabs>
        <w:spacing w:before="3"/>
        <w:rPr>
          <w:sz w:val="24"/>
        </w:rPr>
      </w:pPr>
      <w:r>
        <w:rPr>
          <w:sz w:val="24"/>
        </w:rPr>
        <w:t>QECP Measure Information Workbook - Instructions tab, line</w:t>
      </w:r>
      <w:r>
        <w:rPr>
          <w:spacing w:val="-22"/>
          <w:sz w:val="24"/>
        </w:rPr>
        <w:t xml:space="preserve"> </w:t>
      </w:r>
      <w:r>
        <w:rPr>
          <w:sz w:val="24"/>
        </w:rPr>
        <w:t>210</w:t>
      </w:r>
    </w:p>
    <w:p w:rsidR="00491B56" w:rsidRDefault="00491B56">
      <w:pPr>
        <w:pStyle w:val="BodyText"/>
        <w:spacing w:before="9"/>
        <w:rPr>
          <w:sz w:val="22"/>
        </w:rPr>
      </w:pPr>
    </w:p>
    <w:p w:rsidR="00491B56" w:rsidRDefault="00480B53">
      <w:pPr>
        <w:pStyle w:val="ListParagraph"/>
        <w:numPr>
          <w:ilvl w:val="1"/>
          <w:numId w:val="2"/>
        </w:numPr>
        <w:tabs>
          <w:tab w:val="left" w:pos="533"/>
        </w:tabs>
        <w:spacing w:before="1"/>
        <w:rPr>
          <w:sz w:val="24"/>
        </w:rPr>
      </w:pPr>
      <w:r>
        <w:rPr>
          <w:sz w:val="24"/>
          <w:u w:val="single"/>
        </w:rPr>
        <w:t>Certification</w:t>
      </w:r>
      <w:r>
        <w:rPr>
          <w:spacing w:val="-4"/>
          <w:sz w:val="24"/>
          <w:u w:val="single"/>
        </w:rPr>
        <w:t xml:space="preserve"> </w:t>
      </w:r>
      <w:r>
        <w:rPr>
          <w:sz w:val="24"/>
          <w:u w:val="single"/>
        </w:rPr>
        <w:t>Statement</w:t>
      </w:r>
    </w:p>
    <w:p w:rsidR="00491B56" w:rsidRDefault="00491B56">
      <w:pPr>
        <w:pStyle w:val="BodyText"/>
        <w:spacing w:before="5"/>
        <w:rPr>
          <w:sz w:val="17"/>
        </w:rPr>
      </w:pPr>
    </w:p>
    <w:p w:rsidR="00491B56" w:rsidRDefault="00480B53">
      <w:pPr>
        <w:pStyle w:val="BodyText"/>
        <w:spacing w:before="90"/>
        <w:ind w:left="532"/>
      </w:pPr>
      <w:r>
        <w:t>There are no exceptions to the certification statement.</w:t>
      </w:r>
    </w:p>
    <w:sectPr w:rsidR="00491B56">
      <w:pgSz w:w="12240" w:h="15840"/>
      <w:pgMar w:top="1500" w:right="1720" w:bottom="1700" w:left="1340" w:header="0" w:footer="15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18B" w:rsidRDefault="00480B53">
      <w:r>
        <w:separator/>
      </w:r>
    </w:p>
  </w:endnote>
  <w:endnote w:type="continuationSeparator" w:id="0">
    <w:p w:rsidR="0084018B" w:rsidRDefault="00480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B56" w:rsidRDefault="0000393E">
    <w:pPr>
      <w:pStyle w:val="BodyText"/>
      <w:spacing w:line="14" w:lineRule="auto"/>
      <w:rPr>
        <w:sz w:val="20"/>
      </w:rPr>
    </w:pPr>
    <w:r>
      <w:pict>
        <v:shapetype id="_x0000_t202" coordsize="21600,21600" o:spt="202" path="m,l,21600r21600,l21600,xe">
          <v:stroke joinstyle="miter"/>
          <v:path gradientshapeok="t" o:connecttype="rect"/>
        </v:shapetype>
        <v:shape id="_x0000_s1025" type="#_x0000_t202" style="position:absolute;margin-left:304.65pt;margin-top:705.55pt;width:10pt;height:15.3pt;z-index:-251658752;mso-position-horizontal-relative:page;mso-position-vertical-relative:page" filled="f" stroked="f">
          <v:textbox inset="0,0,0,0">
            <w:txbxContent>
              <w:p w:rsidR="00491B56" w:rsidRDefault="00480B53">
                <w:pPr>
                  <w:pStyle w:val="BodyText"/>
                  <w:spacing w:before="10"/>
                  <w:ind w:left="40"/>
                </w:pPr>
                <w:r>
                  <w:fldChar w:fldCharType="begin"/>
                </w:r>
                <w:r>
                  <w:instrText xml:space="preserve"> PAGE </w:instrText>
                </w:r>
                <w:r>
                  <w:fldChar w:fldCharType="separate"/>
                </w:r>
                <w:r w:rsidR="0000393E">
                  <w:rPr>
                    <w:noProof/>
                  </w:rPr>
                  <w:t>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18B" w:rsidRDefault="00480B53">
      <w:r>
        <w:separator/>
      </w:r>
    </w:p>
  </w:footnote>
  <w:footnote w:type="continuationSeparator" w:id="0">
    <w:p w:rsidR="0084018B" w:rsidRDefault="00480B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1E0D"/>
    <w:multiLevelType w:val="hybridMultilevel"/>
    <w:tmpl w:val="33B2A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812C94"/>
    <w:multiLevelType w:val="hybridMultilevel"/>
    <w:tmpl w:val="7E48F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E648BD"/>
    <w:multiLevelType w:val="hybridMultilevel"/>
    <w:tmpl w:val="9A727324"/>
    <w:lvl w:ilvl="0" w:tplc="94F85CD8">
      <w:start w:val="1"/>
      <w:numFmt w:val="upperLetter"/>
      <w:lvlText w:val="%1."/>
      <w:lvlJc w:val="left"/>
      <w:pPr>
        <w:ind w:left="532" w:hanging="432"/>
        <w:jc w:val="left"/>
      </w:pPr>
      <w:rPr>
        <w:rFonts w:hint="default"/>
        <w:spacing w:val="-1"/>
        <w:w w:val="99"/>
        <w:u w:val="thick" w:color="000000"/>
      </w:rPr>
    </w:lvl>
    <w:lvl w:ilvl="1" w:tplc="3B7C54A6">
      <w:start w:val="1"/>
      <w:numFmt w:val="decimal"/>
      <w:lvlText w:val="%2."/>
      <w:lvlJc w:val="left"/>
      <w:pPr>
        <w:ind w:left="532" w:hanging="432"/>
        <w:jc w:val="left"/>
      </w:pPr>
      <w:rPr>
        <w:rFonts w:ascii="Times New Roman" w:eastAsia="Times New Roman" w:hAnsi="Times New Roman" w:cs="Times New Roman" w:hint="default"/>
        <w:spacing w:val="-6"/>
        <w:w w:val="99"/>
        <w:sz w:val="24"/>
        <w:szCs w:val="24"/>
      </w:rPr>
    </w:lvl>
    <w:lvl w:ilvl="2" w:tplc="F378C7F4">
      <w:numFmt w:val="bullet"/>
      <w:lvlText w:val=""/>
      <w:lvlJc w:val="left"/>
      <w:pPr>
        <w:ind w:left="820" w:hanging="360"/>
      </w:pPr>
      <w:rPr>
        <w:rFonts w:ascii="Symbol" w:eastAsia="Symbol" w:hAnsi="Symbol" w:cs="Symbol" w:hint="default"/>
        <w:w w:val="100"/>
        <w:sz w:val="24"/>
        <w:szCs w:val="24"/>
      </w:rPr>
    </w:lvl>
    <w:lvl w:ilvl="3" w:tplc="66C2B4CA">
      <w:numFmt w:val="bullet"/>
      <w:lvlText w:val="•"/>
      <w:lvlJc w:val="left"/>
      <w:pPr>
        <w:ind w:left="2677" w:hanging="360"/>
      </w:pPr>
      <w:rPr>
        <w:rFonts w:hint="default"/>
      </w:rPr>
    </w:lvl>
    <w:lvl w:ilvl="4" w:tplc="4FAC0A9E">
      <w:numFmt w:val="bullet"/>
      <w:lvlText w:val="•"/>
      <w:lvlJc w:val="left"/>
      <w:pPr>
        <w:ind w:left="3606" w:hanging="360"/>
      </w:pPr>
      <w:rPr>
        <w:rFonts w:hint="default"/>
      </w:rPr>
    </w:lvl>
    <w:lvl w:ilvl="5" w:tplc="9A624884">
      <w:numFmt w:val="bullet"/>
      <w:lvlText w:val="•"/>
      <w:lvlJc w:val="left"/>
      <w:pPr>
        <w:ind w:left="4535" w:hanging="360"/>
      </w:pPr>
      <w:rPr>
        <w:rFonts w:hint="default"/>
      </w:rPr>
    </w:lvl>
    <w:lvl w:ilvl="6" w:tplc="85245D72">
      <w:numFmt w:val="bullet"/>
      <w:lvlText w:val="•"/>
      <w:lvlJc w:val="left"/>
      <w:pPr>
        <w:ind w:left="5464" w:hanging="360"/>
      </w:pPr>
      <w:rPr>
        <w:rFonts w:hint="default"/>
      </w:rPr>
    </w:lvl>
    <w:lvl w:ilvl="7" w:tplc="3906F2C2">
      <w:numFmt w:val="bullet"/>
      <w:lvlText w:val="•"/>
      <w:lvlJc w:val="left"/>
      <w:pPr>
        <w:ind w:left="6393" w:hanging="360"/>
      </w:pPr>
      <w:rPr>
        <w:rFonts w:hint="default"/>
      </w:rPr>
    </w:lvl>
    <w:lvl w:ilvl="8" w:tplc="A83A3826">
      <w:numFmt w:val="bullet"/>
      <w:lvlText w:val="•"/>
      <w:lvlJc w:val="left"/>
      <w:pPr>
        <w:ind w:left="7322" w:hanging="360"/>
      </w:pPr>
      <w:rPr>
        <w:rFonts w:hint="default"/>
      </w:rPr>
    </w:lvl>
  </w:abstractNum>
  <w:abstractNum w:abstractNumId="3">
    <w:nsid w:val="693730FF"/>
    <w:multiLevelType w:val="hybridMultilevel"/>
    <w:tmpl w:val="CB2E4806"/>
    <w:lvl w:ilvl="0" w:tplc="750A8EF6">
      <w:start w:val="1"/>
      <w:numFmt w:val="decimal"/>
      <w:lvlText w:val="%1"/>
      <w:lvlJc w:val="left"/>
      <w:pPr>
        <w:ind w:left="271" w:hanging="152"/>
        <w:jc w:val="left"/>
      </w:pPr>
      <w:rPr>
        <w:rFonts w:ascii="Times New Roman" w:eastAsia="Times New Roman" w:hAnsi="Times New Roman" w:cs="Times New Roman" w:hint="default"/>
        <w:w w:val="99"/>
        <w:sz w:val="20"/>
        <w:szCs w:val="20"/>
      </w:rPr>
    </w:lvl>
    <w:lvl w:ilvl="1" w:tplc="D4EA958C">
      <w:numFmt w:val="bullet"/>
      <w:lvlText w:val="•"/>
      <w:lvlJc w:val="left"/>
      <w:pPr>
        <w:ind w:left="1226" w:hanging="152"/>
      </w:pPr>
      <w:rPr>
        <w:rFonts w:hint="default"/>
      </w:rPr>
    </w:lvl>
    <w:lvl w:ilvl="2" w:tplc="B5F27AB4">
      <w:numFmt w:val="bullet"/>
      <w:lvlText w:val="•"/>
      <w:lvlJc w:val="left"/>
      <w:pPr>
        <w:ind w:left="2172" w:hanging="152"/>
      </w:pPr>
      <w:rPr>
        <w:rFonts w:hint="default"/>
      </w:rPr>
    </w:lvl>
    <w:lvl w:ilvl="3" w:tplc="E2B02BBE">
      <w:numFmt w:val="bullet"/>
      <w:lvlText w:val="•"/>
      <w:lvlJc w:val="left"/>
      <w:pPr>
        <w:ind w:left="3118" w:hanging="152"/>
      </w:pPr>
      <w:rPr>
        <w:rFonts w:hint="default"/>
      </w:rPr>
    </w:lvl>
    <w:lvl w:ilvl="4" w:tplc="8F2040C2">
      <w:numFmt w:val="bullet"/>
      <w:lvlText w:val="•"/>
      <w:lvlJc w:val="left"/>
      <w:pPr>
        <w:ind w:left="4064" w:hanging="152"/>
      </w:pPr>
      <w:rPr>
        <w:rFonts w:hint="default"/>
      </w:rPr>
    </w:lvl>
    <w:lvl w:ilvl="5" w:tplc="A5122352">
      <w:numFmt w:val="bullet"/>
      <w:lvlText w:val="•"/>
      <w:lvlJc w:val="left"/>
      <w:pPr>
        <w:ind w:left="5010" w:hanging="152"/>
      </w:pPr>
      <w:rPr>
        <w:rFonts w:hint="default"/>
      </w:rPr>
    </w:lvl>
    <w:lvl w:ilvl="6" w:tplc="7076C188">
      <w:numFmt w:val="bullet"/>
      <w:lvlText w:val="•"/>
      <w:lvlJc w:val="left"/>
      <w:pPr>
        <w:ind w:left="5956" w:hanging="152"/>
      </w:pPr>
      <w:rPr>
        <w:rFonts w:hint="default"/>
      </w:rPr>
    </w:lvl>
    <w:lvl w:ilvl="7" w:tplc="014ADE66">
      <w:numFmt w:val="bullet"/>
      <w:lvlText w:val="•"/>
      <w:lvlJc w:val="left"/>
      <w:pPr>
        <w:ind w:left="6902" w:hanging="152"/>
      </w:pPr>
      <w:rPr>
        <w:rFonts w:hint="default"/>
      </w:rPr>
    </w:lvl>
    <w:lvl w:ilvl="8" w:tplc="8CDA198E">
      <w:numFmt w:val="bullet"/>
      <w:lvlText w:val="•"/>
      <w:lvlJc w:val="left"/>
      <w:pPr>
        <w:ind w:left="7848" w:hanging="152"/>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491B56"/>
    <w:rsid w:val="0000393E"/>
    <w:rsid w:val="00480B53"/>
    <w:rsid w:val="00491B56"/>
    <w:rsid w:val="005805AC"/>
    <w:rsid w:val="0084018B"/>
    <w:rsid w:val="00906550"/>
    <w:rsid w:val="009648B2"/>
    <w:rsid w:val="00B71BEB"/>
    <w:rsid w:val="00BD40D5"/>
    <w:rsid w:val="00DE6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32" w:hanging="432"/>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32" w:hanging="432"/>
    </w:pPr>
  </w:style>
  <w:style w:type="paragraph" w:customStyle="1" w:styleId="TableParagraph">
    <w:name w:val="Table Paragraph"/>
    <w:basedOn w:val="Normal"/>
    <w:uiPriority w:val="1"/>
    <w:qFormat/>
    <w:pPr>
      <w:ind w:left="103"/>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bls.gov/oes/current/oes111011.htm" TargetMode="External"/><Relationship Id="rId5" Type="http://schemas.openxmlformats.org/officeDocument/2006/relationships/webSettings" Target="webSettings.xml"/><Relationship Id="rId10" Type="http://schemas.openxmlformats.org/officeDocument/2006/relationships/hyperlink" Target="https://www.bls.gov/oes/current/oes151142.htm" TargetMode="External"/><Relationship Id="rId4" Type="http://schemas.openxmlformats.org/officeDocument/2006/relationships/settings" Target="settings.xml"/><Relationship Id="rId9" Type="http://schemas.openxmlformats.org/officeDocument/2006/relationships/hyperlink" Target="https://www.bls.gov/oes/current/oes19309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1718</Words>
  <Characters>9794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Supporting Statement – Part A Application To Be a Qualified Entity to Receive Medicare Data for Performance Measurement (ACA Section 10332)</vt:lpstr>
    </vt:vector>
  </TitlesOfParts>
  <Company>CMS</Company>
  <LinksUpToDate>false</LinksUpToDate>
  <CharactersWithSpaces>11490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A Application To Be a Qualified Entity to Receive Medicare Data for Performance Measurement (ACA Section 10332)</dc:title>
  <dc:subject>Supporting Statement – Part ASupporting Statement – Part A Application To Be a Qualified Entity to Receive Medicare Data for Performance Measurement (ACA Section 10332)</dc:subject>
  <dc:creator>CMS</dc:creator>
  <cp:keywords>Supporting Statement – Part A Application To Be a Qualified Entity to Receive Medicare Data for Performance Measurement (ACA Section 10332)</cp:keywords>
  <cp:lastModifiedBy>SYSTEM</cp:lastModifiedBy>
  <cp:revision>2</cp:revision>
  <dcterms:created xsi:type="dcterms:W3CDTF">2018-06-13T17:32:00Z</dcterms:created>
  <dcterms:modified xsi:type="dcterms:W3CDTF">2018-06-13T17:32:00Z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2018-03-21T00:00:00Z</vt:filetime>
  </property>
  <property fmtid="{D5CDD505-2E9C-101B-9397-08002B2CF9AE}" pid="3" name="Creator">
    <vt:lpwstr>Microsoft® Word 2013</vt:lpwstr>
  </property>
  <property fmtid="{D5CDD505-2E9C-101B-9397-08002B2CF9AE}" pid="4" name="LastSaved">
    <vt:filetime>2018-06-13T00:00:00Z</vt:filetime>
  </property>
</Properties>
</file>