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AF6" w:rsidRDefault="00136AF6" w:rsidP="00E429DC">
      <w:pPr>
        <w:jc w:val="center"/>
        <w:rPr>
          <w:b/>
        </w:rPr>
      </w:pPr>
      <w:bookmarkStart w:id="0" w:name="_GoBack"/>
      <w:bookmarkEnd w:id="0"/>
    </w:p>
    <w:p w:rsidR="00136AF6" w:rsidRPr="0001596A" w:rsidRDefault="00136AF6" w:rsidP="00E429DC">
      <w:pPr>
        <w:jc w:val="center"/>
        <w:rPr>
          <w:b/>
        </w:rPr>
      </w:pPr>
      <w:smartTag w:uri="urn:schemas-microsoft-com:office:smarttags" w:element="place">
        <w:smartTag w:uri="urn:schemas-microsoft-com:office:smarttags" w:element="PlaceName">
          <w:r w:rsidRPr="0001596A">
            <w:rPr>
              <w:b/>
            </w:rPr>
            <w:t>National</w:t>
          </w:r>
        </w:smartTag>
        <w:r w:rsidRPr="0001596A">
          <w:rPr>
            <w:b/>
          </w:rPr>
          <w:t xml:space="preserve"> </w:t>
        </w:r>
        <w:smartTag w:uri="urn:schemas-microsoft-com:office:smarttags" w:element="PlaceType">
          <w:r w:rsidRPr="0001596A">
            <w:rPr>
              <w:b/>
            </w:rPr>
            <w:t>Center</w:t>
          </w:r>
        </w:smartTag>
      </w:smartTag>
      <w:r w:rsidRPr="0001596A">
        <w:rPr>
          <w:b/>
        </w:rPr>
        <w:t xml:space="preserve"> for Biotechnology Information</w:t>
      </w:r>
    </w:p>
    <w:p w:rsidR="00136AF6" w:rsidRPr="00E429DC" w:rsidRDefault="00136AF6" w:rsidP="00E429DC">
      <w:pPr>
        <w:jc w:val="center"/>
        <w:rPr>
          <w:b/>
        </w:rPr>
      </w:pPr>
      <w:r>
        <w:rPr>
          <w:b/>
        </w:rPr>
        <w:t>Standard Operating Procedure for</w:t>
      </w:r>
      <w:r w:rsidRPr="00E429DC">
        <w:rPr>
          <w:b/>
        </w:rPr>
        <w:t xml:space="preserve"> </w:t>
      </w:r>
    </w:p>
    <w:p w:rsidR="00136AF6" w:rsidRPr="00E429DC" w:rsidRDefault="00136AF6" w:rsidP="00E429DC">
      <w:pPr>
        <w:jc w:val="center"/>
        <w:rPr>
          <w:b/>
        </w:rPr>
      </w:pPr>
      <w:r w:rsidRPr="00E429DC">
        <w:rPr>
          <w:b/>
        </w:rPr>
        <w:t>Resolution of Complaints about Information Submitted to the Genetic Testing Registry</w:t>
      </w:r>
    </w:p>
    <w:p w:rsidR="00136AF6" w:rsidRDefault="00136AF6"/>
    <w:p w:rsidR="00136AF6" w:rsidRPr="0001596A" w:rsidRDefault="00136AF6"/>
    <w:p w:rsidR="00136AF6" w:rsidRPr="00E429DC" w:rsidRDefault="00136AF6">
      <w:pPr>
        <w:rPr>
          <w:b/>
          <w:u w:val="single"/>
        </w:rPr>
      </w:pPr>
      <w:r w:rsidRPr="00E429DC">
        <w:rPr>
          <w:b/>
          <w:u w:val="single"/>
        </w:rPr>
        <w:t>Purpose</w:t>
      </w:r>
    </w:p>
    <w:p w:rsidR="00136AF6" w:rsidRDefault="00136AF6"/>
    <w:p w:rsidR="00136AF6" w:rsidRDefault="00136AF6">
      <w:r>
        <w:t xml:space="preserve">This standard operating procedure (SOP) outlines the steps and activities in place to resolve complaints received by the National Institutes of Health (NIH)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Biotechnology Information (NCBI) about laboratory or genetic test information submitted to the Genetic Testing Registry (GTR).  It is designed to facilitate consistency in addressing and resolving complaints as well as documenting actions and outcomes. </w:t>
      </w:r>
    </w:p>
    <w:p w:rsidR="00136AF6" w:rsidRDefault="00136AF6"/>
    <w:p w:rsidR="00136AF6" w:rsidRPr="006C0EB1" w:rsidRDefault="00136AF6">
      <w:pPr>
        <w:rPr>
          <w:b/>
          <w:u w:val="single"/>
        </w:rPr>
      </w:pPr>
      <w:r w:rsidRPr="006C0EB1">
        <w:rPr>
          <w:b/>
          <w:u w:val="single"/>
        </w:rPr>
        <w:t>Submission of Complaints</w:t>
      </w:r>
    </w:p>
    <w:p w:rsidR="00136AF6" w:rsidRDefault="00136AF6"/>
    <w:p w:rsidR="00136AF6" w:rsidRDefault="00136AF6">
      <w:r>
        <w:t xml:space="preserve">The GTR enables users to submit complaints, such as breaches of the </w:t>
      </w:r>
      <w:r w:rsidRPr="000723B9">
        <w:t>GTR Code of Conduct</w:t>
      </w:r>
      <w:r>
        <w:t>,</w:t>
      </w:r>
      <w:r>
        <w:rPr>
          <w:rStyle w:val="FootnoteReference"/>
        </w:rPr>
        <w:footnoteReference w:id="1"/>
      </w:r>
      <w:r>
        <w:t xml:space="preserve"> through the “Contact GTR” link on the GTR </w:t>
      </w:r>
      <w:r>
        <w:lastRenderedPageBreak/>
        <w:t>homepage.</w:t>
      </w:r>
      <w:r>
        <w:rPr>
          <w:rStyle w:val="FootnoteReference"/>
        </w:rPr>
        <w:footnoteReference w:id="2"/>
      </w:r>
      <w:r>
        <w:t xml:space="preserve">  This link brings the user to a feedback form,</w:t>
      </w:r>
      <w:r>
        <w:rPr>
          <w:rStyle w:val="FootnoteReference"/>
        </w:rPr>
        <w:footnoteReference w:id="3"/>
      </w:r>
      <w:r>
        <w:t xml:space="preserve"> which includes options to “report information that appears to be inaccurate or misleading” and to submit “other comments or questions on the content of the registry.”</w:t>
      </w:r>
    </w:p>
    <w:p w:rsidR="00136AF6" w:rsidRDefault="00136AF6"/>
    <w:p w:rsidR="00136AF6" w:rsidRPr="008C5663" w:rsidRDefault="00136AF6">
      <w:pPr>
        <w:rPr>
          <w:b/>
          <w:u w:val="single"/>
        </w:rPr>
      </w:pPr>
      <w:r>
        <w:rPr>
          <w:b/>
          <w:u w:val="single"/>
        </w:rPr>
        <w:t>Procedures</w:t>
      </w:r>
    </w:p>
    <w:p w:rsidR="00136AF6" w:rsidRDefault="00136AF6"/>
    <w:p w:rsidR="00136AF6" w:rsidRPr="0001596A" w:rsidRDefault="00136AF6">
      <w:pPr>
        <w:rPr>
          <w:b/>
          <w:i/>
        </w:rPr>
      </w:pPr>
      <w:r w:rsidRPr="0001596A">
        <w:rPr>
          <w:b/>
          <w:i/>
        </w:rPr>
        <w:t>NCBI GTR Staff</w:t>
      </w:r>
    </w:p>
    <w:p w:rsidR="00136AF6" w:rsidRDefault="00136AF6"/>
    <w:p w:rsidR="00136AF6" w:rsidRDefault="00136AF6" w:rsidP="000731D4">
      <w:pPr>
        <w:pStyle w:val="ListParagraph"/>
        <w:numPr>
          <w:ilvl w:val="0"/>
          <w:numId w:val="1"/>
        </w:numPr>
      </w:pPr>
      <w:r>
        <w:t xml:space="preserve">Feedback forms </w:t>
      </w:r>
      <w:r w:rsidR="00136165">
        <w:t xml:space="preserve">will be </w:t>
      </w:r>
      <w:r>
        <w:t>automatically transmitted to NCBI GTR staff</w:t>
      </w:r>
      <w:r w:rsidR="00B53699">
        <w:t>,</w:t>
      </w:r>
      <w:r>
        <w:rPr>
          <w:rStyle w:val="FootnoteReference"/>
        </w:rPr>
        <w:footnoteReference w:id="4"/>
      </w:r>
      <w:r w:rsidR="00B53699">
        <w:t xml:space="preserve"> and an automated reply will notify the sender that the form was received.  </w:t>
      </w:r>
    </w:p>
    <w:p w:rsidR="00136AF6" w:rsidRDefault="00136AF6" w:rsidP="000731D4">
      <w:pPr>
        <w:pStyle w:val="ListParagraph"/>
        <w:numPr>
          <w:ilvl w:val="0"/>
          <w:numId w:val="1"/>
        </w:numPr>
      </w:pPr>
      <w:r>
        <w:t xml:space="preserve">GTR staff </w:t>
      </w:r>
      <w:r w:rsidR="00136165">
        <w:t xml:space="preserve">will </w:t>
      </w:r>
      <w:r>
        <w:t>enter all complaints in a database, indexed by the test accession number, for tracking to ensure prompt follow up and resolution.</w:t>
      </w:r>
    </w:p>
    <w:p w:rsidR="00F03DED" w:rsidRDefault="00136AF6" w:rsidP="00D43681">
      <w:pPr>
        <w:pStyle w:val="ListParagraph"/>
        <w:numPr>
          <w:ilvl w:val="0"/>
          <w:numId w:val="1"/>
        </w:numPr>
      </w:pPr>
      <w:r>
        <w:t xml:space="preserve">As possible and appropriate, GTR staff </w:t>
      </w:r>
      <w:r w:rsidR="00136165">
        <w:t>will evaluate</w:t>
      </w:r>
      <w:r w:rsidR="00C11807">
        <w:t xml:space="preserve"> and </w:t>
      </w:r>
      <w:r>
        <w:t xml:space="preserve">address complaints directly (e.g., correcting typographical errors or incorrect URLs).  </w:t>
      </w:r>
    </w:p>
    <w:p w:rsidR="00D43681" w:rsidRDefault="00D43681" w:rsidP="00D43681">
      <w:pPr>
        <w:pStyle w:val="ListParagraph"/>
        <w:numPr>
          <w:ilvl w:val="0"/>
          <w:numId w:val="1"/>
        </w:numPr>
      </w:pPr>
      <w:bookmarkStart w:id="1" w:name="_Ref336949340"/>
      <w:r>
        <w:lastRenderedPageBreak/>
        <w:t>As needed, GTR staff may consult with appropriate experts within or outside NIH</w:t>
      </w:r>
      <w:bookmarkStart w:id="2" w:name="_Ref336949398"/>
      <w:r>
        <w:rPr>
          <w:rStyle w:val="FootnoteReference"/>
        </w:rPr>
        <w:footnoteReference w:id="5"/>
      </w:r>
      <w:bookmarkEnd w:id="2"/>
      <w:r>
        <w:t xml:space="preserve"> for assistance in evaluating complaints.</w:t>
      </w:r>
      <w:bookmarkEnd w:id="1"/>
    </w:p>
    <w:p w:rsidR="00D43681" w:rsidRDefault="00136AF6" w:rsidP="00D43681">
      <w:pPr>
        <w:pStyle w:val="ListParagraph"/>
        <w:numPr>
          <w:ilvl w:val="0"/>
          <w:numId w:val="1"/>
        </w:numPr>
      </w:pPr>
      <w:r>
        <w:t xml:space="preserve">Complaints </w:t>
      </w:r>
      <w:r w:rsidR="00D43681">
        <w:t xml:space="preserve">related to noncompliance with regulatory matters or oversight processes under the jurisdiction of other offices or agencies (e.g., CLIA compliance, FDA regulations, fraud, </w:t>
      </w:r>
      <w:r w:rsidR="005056A3">
        <w:t>and scientific</w:t>
      </w:r>
      <w:r w:rsidR="00D43681">
        <w:t xml:space="preserve"> misconduct) </w:t>
      </w:r>
      <w:r>
        <w:t xml:space="preserve">will be referred to </w:t>
      </w:r>
      <w:r w:rsidR="004358A9">
        <w:t xml:space="preserve">the </w:t>
      </w:r>
      <w:r>
        <w:t>appropriate office or agenc</w:t>
      </w:r>
      <w:r w:rsidR="00D43681">
        <w:t>y</w:t>
      </w:r>
      <w:r>
        <w:t>.</w:t>
      </w:r>
      <w:r w:rsidR="00C11807">
        <w:t xml:space="preserve">  </w:t>
      </w:r>
    </w:p>
    <w:p w:rsidR="00136AF6" w:rsidRDefault="004358A9" w:rsidP="004358A9">
      <w:pPr>
        <w:pStyle w:val="ListParagraph"/>
        <w:numPr>
          <w:ilvl w:val="0"/>
          <w:numId w:val="1"/>
        </w:numPr>
      </w:pPr>
      <w:r w:rsidRPr="004358A9">
        <w:t xml:space="preserve">For complaints related to the GTR Code of Conduct, the GTR staff will inform the </w:t>
      </w:r>
      <w:r w:rsidR="00F03DED">
        <w:t xml:space="preserve">content </w:t>
      </w:r>
      <w:r w:rsidRPr="004358A9">
        <w:t xml:space="preserve">submitter about the complaint and seek a </w:t>
      </w:r>
      <w:r w:rsidR="00B53699">
        <w:t xml:space="preserve">timely </w:t>
      </w:r>
      <w:r w:rsidRPr="004358A9">
        <w:t>resolution of the matter</w:t>
      </w:r>
      <w:r>
        <w:t xml:space="preserve"> (</w:t>
      </w:r>
      <w:r w:rsidRPr="004358A9">
        <w:t>e.g., a satisfactory explanation about why the complaint is without foundation or an agreement that the submitter’s GTR record will be corrected</w:t>
      </w:r>
      <w:r>
        <w:t>)</w:t>
      </w:r>
      <w:r w:rsidRPr="004358A9">
        <w:t xml:space="preserve">.  </w:t>
      </w:r>
    </w:p>
    <w:p w:rsidR="00136AF6" w:rsidRDefault="00136AF6" w:rsidP="000731D4">
      <w:pPr>
        <w:pStyle w:val="ListParagraph"/>
        <w:numPr>
          <w:ilvl w:val="0"/>
          <w:numId w:val="1"/>
        </w:numPr>
      </w:pPr>
      <w:bookmarkStart w:id="3" w:name="_Ref335737378"/>
      <w:r>
        <w:t xml:space="preserve">As appropriate, GTR staff </w:t>
      </w:r>
      <w:r w:rsidR="00136165">
        <w:t xml:space="preserve">will </w:t>
      </w:r>
      <w:r>
        <w:t>report the outcome to the complainant.</w:t>
      </w:r>
      <w:bookmarkEnd w:id="3"/>
    </w:p>
    <w:p w:rsidR="00136AF6" w:rsidRDefault="00136AF6" w:rsidP="000731D4">
      <w:pPr>
        <w:pStyle w:val="ListParagraph"/>
        <w:numPr>
          <w:ilvl w:val="0"/>
          <w:numId w:val="1"/>
        </w:numPr>
      </w:pPr>
      <w:r>
        <w:t xml:space="preserve">If the complainant is unsatisfied with the outcome, GTR staff </w:t>
      </w:r>
      <w:r w:rsidR="00136165">
        <w:t xml:space="preserve">will </w:t>
      </w:r>
      <w:r w:rsidR="00717A61">
        <w:t xml:space="preserve">re-evaluate the complaint, and as needed, </w:t>
      </w:r>
      <w:r>
        <w:t>re-engage with the submitter of the reported content to attempt resolution.</w:t>
      </w:r>
    </w:p>
    <w:p w:rsidR="00136AF6" w:rsidRPr="000731D4" w:rsidRDefault="00136AF6" w:rsidP="000731D4">
      <w:pPr>
        <w:pStyle w:val="ListParagraph"/>
        <w:numPr>
          <w:ilvl w:val="0"/>
          <w:numId w:val="1"/>
        </w:numPr>
        <w:rPr>
          <w:color w:val="000000"/>
        </w:rPr>
      </w:pPr>
      <w:r>
        <w:t xml:space="preserve">If </w:t>
      </w:r>
      <w:r w:rsidR="004358A9">
        <w:t xml:space="preserve">a GTR Code of Conduct </w:t>
      </w:r>
      <w:r>
        <w:t xml:space="preserve">complaint cannot be resolved to the satisfaction of the complainant and the content submitter, the GTR </w:t>
      </w:r>
      <w:r w:rsidR="00096430">
        <w:t xml:space="preserve">staff </w:t>
      </w:r>
      <w:r w:rsidR="00136165">
        <w:t>will notify</w:t>
      </w:r>
      <w:r w:rsidR="00096430">
        <w:t xml:space="preserve"> the GTR </w:t>
      </w:r>
      <w:r>
        <w:t>Director</w:t>
      </w:r>
      <w:r w:rsidR="00096430">
        <w:t>, who</w:t>
      </w:r>
      <w:r>
        <w:t xml:space="preserve"> </w:t>
      </w:r>
      <w:r w:rsidR="00324A62">
        <w:t xml:space="preserve">will </w:t>
      </w:r>
      <w:r>
        <w:t xml:space="preserve">seek advice from the </w:t>
      </w:r>
      <w:r w:rsidRPr="000731D4">
        <w:rPr>
          <w:color w:val="000000"/>
        </w:rPr>
        <w:t>NIH Clinical Advisors to the GTR</w:t>
      </w:r>
      <w:r>
        <w:rPr>
          <w:color w:val="000000"/>
        </w:rPr>
        <w:t xml:space="preserve">, an advisory committee consisting of </w:t>
      </w:r>
      <w:r>
        <w:rPr>
          <w:color w:val="000000"/>
        </w:rPr>
        <w:lastRenderedPageBreak/>
        <w:t>NIH federal employees with professional expertise in genetic testing and disease</w:t>
      </w:r>
      <w:r w:rsidRPr="000731D4">
        <w:rPr>
          <w:color w:val="000000"/>
        </w:rPr>
        <w:t>.</w:t>
      </w:r>
      <w:r>
        <w:rPr>
          <w:rStyle w:val="FootnoteReference"/>
          <w:color w:val="000000"/>
        </w:rPr>
        <w:footnoteReference w:id="6"/>
      </w:r>
    </w:p>
    <w:p w:rsidR="00136AF6" w:rsidRDefault="00136AF6">
      <w:pPr>
        <w:rPr>
          <w:color w:val="000000"/>
        </w:rPr>
      </w:pPr>
    </w:p>
    <w:p w:rsidR="00136AF6" w:rsidRPr="0001596A" w:rsidRDefault="00136AF6">
      <w:pPr>
        <w:rPr>
          <w:b/>
          <w:i/>
          <w:color w:val="000000"/>
        </w:rPr>
      </w:pPr>
      <w:r w:rsidRPr="0001596A">
        <w:rPr>
          <w:b/>
          <w:i/>
          <w:color w:val="000000"/>
        </w:rPr>
        <w:t>NIH Clinical Advisors to the GTR</w:t>
      </w:r>
    </w:p>
    <w:p w:rsidR="00136AF6" w:rsidRDefault="00136AF6">
      <w:pPr>
        <w:rPr>
          <w:color w:val="000000"/>
        </w:rPr>
      </w:pPr>
    </w:p>
    <w:p w:rsidR="00136AF6" w:rsidRDefault="00136AF6" w:rsidP="00390964">
      <w:pPr>
        <w:pStyle w:val="ListParagraph"/>
        <w:numPr>
          <w:ilvl w:val="0"/>
          <w:numId w:val="1"/>
        </w:numPr>
      </w:pPr>
      <w:r>
        <w:t xml:space="preserve">The GTR Director </w:t>
      </w:r>
      <w:r w:rsidR="00136165">
        <w:t xml:space="preserve">will </w:t>
      </w:r>
      <w:r>
        <w:t xml:space="preserve">provide information about </w:t>
      </w:r>
      <w:r w:rsidR="00BF22D3">
        <w:t xml:space="preserve">any </w:t>
      </w:r>
      <w:r>
        <w:t xml:space="preserve">unresolved complaint and actions taken by the NCBI GTR staff to the </w:t>
      </w:r>
      <w:r w:rsidR="00BF22D3">
        <w:t>NIH C</w:t>
      </w:r>
      <w:r>
        <w:t xml:space="preserve">linical </w:t>
      </w:r>
      <w:r w:rsidR="00BF22D3">
        <w:t>A</w:t>
      </w:r>
      <w:r>
        <w:t xml:space="preserve">dvisors using </w:t>
      </w:r>
      <w:r w:rsidR="007F6DD5">
        <w:t xml:space="preserve">the </w:t>
      </w:r>
      <w:r>
        <w:t xml:space="preserve">form </w:t>
      </w:r>
      <w:r w:rsidR="007F6DD5" w:rsidRPr="000E1C26">
        <w:rPr>
          <w:i/>
        </w:rPr>
        <w:t>Referral of Complaint to the NIH Clinical Advisors to the Genetic Testing Registry</w:t>
      </w:r>
      <w:r w:rsidR="007F6DD5">
        <w:t xml:space="preserve"> </w:t>
      </w:r>
      <w:r>
        <w:t>(see Appendix A).</w:t>
      </w:r>
    </w:p>
    <w:p w:rsidR="00136AF6" w:rsidRDefault="00136AF6" w:rsidP="00390964">
      <w:pPr>
        <w:pStyle w:val="ListParagraph"/>
        <w:numPr>
          <w:ilvl w:val="0"/>
          <w:numId w:val="1"/>
        </w:numPr>
      </w:pPr>
      <w:r>
        <w:t xml:space="preserve">The </w:t>
      </w:r>
      <w:r w:rsidR="00800EE1">
        <w:t>NIH C</w:t>
      </w:r>
      <w:r>
        <w:t xml:space="preserve">linical </w:t>
      </w:r>
      <w:r w:rsidR="00800EE1">
        <w:t>A</w:t>
      </w:r>
      <w:r>
        <w:t xml:space="preserve">dvisors </w:t>
      </w:r>
      <w:r w:rsidR="00136165">
        <w:t xml:space="preserve">will </w:t>
      </w:r>
      <w:r>
        <w:t>meet by conference call, in-person meeting, and/or web meeting to discuss the complaint.</w:t>
      </w:r>
    </w:p>
    <w:p w:rsidR="00136AF6" w:rsidRDefault="00136AF6" w:rsidP="00390964">
      <w:pPr>
        <w:pStyle w:val="ListParagraph"/>
        <w:numPr>
          <w:ilvl w:val="0"/>
          <w:numId w:val="1"/>
        </w:numPr>
      </w:pPr>
      <w:r>
        <w:t xml:space="preserve">As needed, the </w:t>
      </w:r>
      <w:r w:rsidR="00800EE1">
        <w:t>NIH C</w:t>
      </w:r>
      <w:r>
        <w:t xml:space="preserve">linical </w:t>
      </w:r>
      <w:r w:rsidR="00800EE1">
        <w:t>A</w:t>
      </w:r>
      <w:r>
        <w:t xml:space="preserve">dvisors </w:t>
      </w:r>
      <w:r w:rsidR="00136165">
        <w:t xml:space="preserve">may </w:t>
      </w:r>
      <w:r>
        <w:t>consult with appropriate experts within and/or outside NIH.</w:t>
      </w:r>
      <w:r w:rsidR="005A6BC8">
        <w:fldChar w:fldCharType="begin"/>
      </w:r>
      <w:r w:rsidR="005A6BC8">
        <w:instrText xml:space="preserve"> NOTEREF _Ref336949398 \h  \* MERGEFORMAT </w:instrText>
      </w:r>
      <w:r w:rsidR="005A6BC8">
        <w:fldChar w:fldCharType="separate"/>
      </w:r>
      <w:r w:rsidR="00063108">
        <w:t>5</w:t>
      </w:r>
      <w:r w:rsidR="005A6BC8">
        <w:fldChar w:fldCharType="end"/>
      </w:r>
      <w:r w:rsidR="005E1F35" w:rsidRPr="0065081C">
        <w:rPr>
          <w:vertAlign w:val="superscript"/>
        </w:rPr>
        <w:t xml:space="preserve"> </w:t>
      </w:r>
    </w:p>
    <w:p w:rsidR="00136AF6" w:rsidRDefault="00136AF6" w:rsidP="00390964">
      <w:pPr>
        <w:pStyle w:val="ListParagraph"/>
        <w:numPr>
          <w:ilvl w:val="0"/>
          <w:numId w:val="1"/>
        </w:numPr>
      </w:pPr>
      <w:r>
        <w:t xml:space="preserve">The </w:t>
      </w:r>
      <w:r w:rsidR="007F6DD5">
        <w:t>NIH C</w:t>
      </w:r>
      <w:r>
        <w:t xml:space="preserve">linical </w:t>
      </w:r>
      <w:r w:rsidR="007F6DD5">
        <w:t>A</w:t>
      </w:r>
      <w:r>
        <w:t xml:space="preserve">dvisors </w:t>
      </w:r>
      <w:r w:rsidR="00136165">
        <w:t xml:space="preserve">will </w:t>
      </w:r>
      <w:r>
        <w:t xml:space="preserve">recommend a course of action to resolve the complaint (e.g., </w:t>
      </w:r>
      <w:r w:rsidR="00800EE1">
        <w:t xml:space="preserve">removal of a test record from the GTR if </w:t>
      </w:r>
      <w:r>
        <w:t>inaccurate information</w:t>
      </w:r>
      <w:r w:rsidR="00AD2789">
        <w:t xml:space="preserve"> is not corrected</w:t>
      </w:r>
      <w:r>
        <w:t>)</w:t>
      </w:r>
      <w:r w:rsidR="0065081C">
        <w:t>,</w:t>
      </w:r>
      <w:r>
        <w:t xml:space="preserve"> </w:t>
      </w:r>
      <w:r w:rsidR="0065081C">
        <w:t>which</w:t>
      </w:r>
      <w:r>
        <w:t xml:space="preserve"> is documented on the form</w:t>
      </w:r>
      <w:r w:rsidR="007F6DD5">
        <w:t xml:space="preserve"> </w:t>
      </w:r>
      <w:r w:rsidR="007F6DD5" w:rsidRPr="000E1C26">
        <w:rPr>
          <w:i/>
        </w:rPr>
        <w:t>Referral of Complaint to the NIH Clinical Advisors to the Genetic Testing Registry</w:t>
      </w:r>
      <w:r>
        <w:t>.</w:t>
      </w:r>
      <w:r w:rsidR="00C8084D">
        <w:t xml:space="preserve"> </w:t>
      </w:r>
    </w:p>
    <w:p w:rsidR="00723F15" w:rsidRDefault="00C3208B" w:rsidP="00C3208B">
      <w:pPr>
        <w:pStyle w:val="ListParagraph"/>
        <w:numPr>
          <w:ilvl w:val="0"/>
          <w:numId w:val="1"/>
        </w:numPr>
      </w:pPr>
      <w:r>
        <w:t xml:space="preserve">The </w:t>
      </w:r>
      <w:r w:rsidR="00136AF6">
        <w:t xml:space="preserve">GTR </w:t>
      </w:r>
      <w:r w:rsidR="007F6DD5">
        <w:t xml:space="preserve">Director </w:t>
      </w:r>
      <w:r w:rsidR="00136165">
        <w:t xml:space="preserve">will </w:t>
      </w:r>
      <w:r w:rsidR="00136AF6">
        <w:t>use the recommended course of action as a guide to re-attempt resolution</w:t>
      </w:r>
      <w:r w:rsidR="00723F15">
        <w:t>.  I</w:t>
      </w:r>
      <w:r w:rsidR="00136AF6">
        <w:t xml:space="preserve">f the complainant or submitter of the information in question is unsatisfied with the outcome, he/she </w:t>
      </w:r>
      <w:r w:rsidR="005056A3">
        <w:t xml:space="preserve">may </w:t>
      </w:r>
      <w:r w:rsidR="00136AF6">
        <w:lastRenderedPageBreak/>
        <w:t>appeal the decision</w:t>
      </w:r>
      <w:r w:rsidR="005056A3">
        <w:t xml:space="preserve"> to the NIH Deputy Director for Science, Outreach, and Policy (DDSOP) within 30 days through a letter explaining why the decision</w:t>
      </w:r>
      <w:r w:rsidR="006C3ED8">
        <w:t xml:space="preserve"> </w:t>
      </w:r>
      <w:r w:rsidR="005056A3">
        <w:t>should be reversed</w:t>
      </w:r>
      <w:r w:rsidR="00207B0F">
        <w:t xml:space="preserve">. </w:t>
      </w:r>
    </w:p>
    <w:p w:rsidR="00136AF6" w:rsidRDefault="00136AF6"/>
    <w:p w:rsidR="00136AF6" w:rsidRPr="0001596A" w:rsidRDefault="00136AF6">
      <w:pPr>
        <w:rPr>
          <w:b/>
          <w:i/>
        </w:rPr>
      </w:pPr>
      <w:r w:rsidRPr="0001596A">
        <w:rPr>
          <w:b/>
          <w:i/>
        </w:rPr>
        <w:t>Office of the Director</w:t>
      </w:r>
    </w:p>
    <w:p w:rsidR="00136AF6" w:rsidRDefault="00136AF6" w:rsidP="005056A3">
      <w:pPr>
        <w:pStyle w:val="ListParagraph"/>
        <w:ind w:left="0"/>
      </w:pPr>
      <w:r>
        <w:t>.</w:t>
      </w:r>
    </w:p>
    <w:p w:rsidR="00136AF6" w:rsidRDefault="00136AF6" w:rsidP="00C3208B">
      <w:pPr>
        <w:pStyle w:val="ListParagraph"/>
        <w:numPr>
          <w:ilvl w:val="0"/>
          <w:numId w:val="1"/>
        </w:numPr>
      </w:pPr>
      <w:r>
        <w:t>The GTR Director</w:t>
      </w:r>
      <w:r w:rsidR="00747A03">
        <w:t xml:space="preserve"> </w:t>
      </w:r>
      <w:r w:rsidR="001641E6">
        <w:t xml:space="preserve">will </w:t>
      </w:r>
      <w:r>
        <w:t xml:space="preserve">provide </w:t>
      </w:r>
      <w:r w:rsidR="001641E6">
        <w:t>further</w:t>
      </w:r>
      <w:r>
        <w:t xml:space="preserve"> information </w:t>
      </w:r>
      <w:r w:rsidR="001641E6">
        <w:t xml:space="preserve">to the DDSOP </w:t>
      </w:r>
      <w:r>
        <w:t xml:space="preserve">about the appeal, actions taken by the GTR staff, and guidance from the NIH Clinical Advisors using </w:t>
      </w:r>
      <w:r w:rsidR="00435021">
        <w:t xml:space="preserve">the </w:t>
      </w:r>
      <w:r>
        <w:t xml:space="preserve">form </w:t>
      </w:r>
      <w:r w:rsidR="00435021" w:rsidRPr="00435021">
        <w:rPr>
          <w:i/>
        </w:rPr>
        <w:t>Referral of Compla</w:t>
      </w:r>
      <w:r w:rsidR="006C3ED8">
        <w:rPr>
          <w:i/>
        </w:rPr>
        <w:t>i</w:t>
      </w:r>
      <w:r w:rsidR="00435021" w:rsidRPr="00435021">
        <w:rPr>
          <w:i/>
        </w:rPr>
        <w:t>nt to the NIH Deputy Director for Science, Outreach, and Policy</w:t>
      </w:r>
      <w:r w:rsidR="00435021">
        <w:t xml:space="preserve"> </w:t>
      </w:r>
      <w:r>
        <w:t>(see Appendix B).</w:t>
      </w:r>
    </w:p>
    <w:p w:rsidR="00136AF6" w:rsidRDefault="00136AF6" w:rsidP="00C3208B">
      <w:pPr>
        <w:pStyle w:val="ListParagraph"/>
        <w:numPr>
          <w:ilvl w:val="0"/>
          <w:numId w:val="1"/>
        </w:numPr>
      </w:pPr>
      <w:r>
        <w:t>As needed, the DDSOP consults with the GTR Director, appellant, appellee, and appropriate experts to reach a decision.</w:t>
      </w:r>
    </w:p>
    <w:p w:rsidR="00136AF6" w:rsidRDefault="00136AF6" w:rsidP="00C3208B">
      <w:pPr>
        <w:pStyle w:val="ListParagraph"/>
        <w:numPr>
          <w:ilvl w:val="0"/>
          <w:numId w:val="1"/>
        </w:numPr>
      </w:pPr>
      <w:r>
        <w:t>The DDSOP’s decision is communicated in writing to the GTR Director, appellant, and appellee, and it is considered final.  In some circumstances, it may be made public as well.</w:t>
      </w:r>
    </w:p>
    <w:p w:rsidR="00136AF6" w:rsidRDefault="00136AF6" w:rsidP="00DB4192"/>
    <w:p w:rsidR="00136AF6" w:rsidRPr="008C5663" w:rsidRDefault="00136AF6" w:rsidP="00DB4192">
      <w:pPr>
        <w:rPr>
          <w:b/>
          <w:u w:val="single"/>
        </w:rPr>
      </w:pPr>
      <w:r w:rsidRPr="008C5663">
        <w:rPr>
          <w:b/>
          <w:u w:val="single"/>
        </w:rPr>
        <w:t xml:space="preserve">Date of </w:t>
      </w:r>
      <w:r>
        <w:rPr>
          <w:b/>
          <w:u w:val="single"/>
        </w:rPr>
        <w:t xml:space="preserve">SOP </w:t>
      </w:r>
      <w:r w:rsidRPr="008C5663">
        <w:rPr>
          <w:b/>
          <w:u w:val="single"/>
        </w:rPr>
        <w:t>Implementation</w:t>
      </w:r>
    </w:p>
    <w:p w:rsidR="00136AF6" w:rsidRDefault="00136AF6" w:rsidP="00DB4192"/>
    <w:p w:rsidR="00136AF6" w:rsidRDefault="00136AF6" w:rsidP="00DB4192">
      <w:r>
        <w:t xml:space="preserve">The SOP for the resolution of complaints about information submitted to the GTR is effective </w:t>
      </w:r>
      <w:r w:rsidR="00063108">
        <w:t>as of November 13, 2012</w:t>
      </w:r>
      <w:r>
        <w:t>.  The SOP will be reviewed one year after implementation and revised, if necessary, based on experience resolving complaints.</w:t>
      </w:r>
    </w:p>
    <w:p w:rsidR="00136AF6" w:rsidRDefault="00136AF6">
      <w:pPr>
        <w:rPr>
          <w:b/>
          <w:u w:val="single"/>
        </w:rPr>
      </w:pPr>
    </w:p>
    <w:p w:rsidR="00136AF6" w:rsidRDefault="00136AF6" w:rsidP="0001596A">
      <w:pPr>
        <w:rPr>
          <w:b/>
          <w:u w:val="single"/>
        </w:rPr>
      </w:pPr>
      <w:r w:rsidRPr="0001596A">
        <w:rPr>
          <w:b/>
          <w:u w:val="single"/>
        </w:rPr>
        <w:t xml:space="preserve">Point of Contact </w:t>
      </w:r>
    </w:p>
    <w:p w:rsidR="00136AF6" w:rsidRPr="0001596A" w:rsidRDefault="00136AF6" w:rsidP="0001596A"/>
    <w:p w:rsidR="00136AF6" w:rsidRDefault="00136AF6" w:rsidP="0001596A">
      <w:r>
        <w:t>Wendy Rubinstein, M.D., Ph.D., FACP, FACMG</w:t>
      </w:r>
    </w:p>
    <w:p w:rsidR="00136AF6" w:rsidRDefault="00136AF6" w:rsidP="0001596A">
      <w:r>
        <w:lastRenderedPageBreak/>
        <w:t>Director, NIH Genetic Testing Registry</w:t>
      </w:r>
    </w:p>
    <w:p w:rsidR="00136AF6" w:rsidRDefault="00136AF6" w:rsidP="0001596A">
      <w:smartTag w:uri="urn:schemas-microsoft-com:office:smarttags" w:element="PlaceType">
        <w:smartTag w:uri="urn:schemas-microsoft-com:office:smarttags" w:element="PlaceType">
          <w:r>
            <w:t>National</w:t>
          </w:r>
        </w:smartTag>
        <w:r>
          <w:t xml:space="preserve"> </w:t>
        </w:r>
        <w:smartTag w:uri="urn:schemas-microsoft-com:office:smarttags" w:element="PlaceType">
          <w:r>
            <w:t>Center</w:t>
          </w:r>
        </w:smartTag>
      </w:smartTag>
      <w:r>
        <w:t xml:space="preserve"> for Biotechnology Information</w:t>
      </w:r>
    </w:p>
    <w:p w:rsidR="00136AF6" w:rsidRDefault="00136AF6" w:rsidP="0001596A">
      <w:r>
        <w:t>301-435-5991</w:t>
      </w:r>
    </w:p>
    <w:p w:rsidR="00136AF6" w:rsidRDefault="00886F23">
      <w:hyperlink r:id="rId12" w:history="1">
        <w:r w:rsidR="00136AF6" w:rsidRPr="00C17D10">
          <w:rPr>
            <w:rStyle w:val="Hyperlink"/>
          </w:rPr>
          <w:t>wendy.rubinstein@nih.gov</w:t>
        </w:r>
      </w:hyperlink>
      <w:r w:rsidR="00136AF6">
        <w:br w:type="page"/>
      </w:r>
    </w:p>
    <w:p w:rsidR="00136AF6" w:rsidRDefault="00136AF6" w:rsidP="006F3423">
      <w:pPr>
        <w:jc w:val="center"/>
        <w:rPr>
          <w:b/>
        </w:rPr>
      </w:pPr>
      <w:r w:rsidRPr="006F3423">
        <w:rPr>
          <w:b/>
        </w:rPr>
        <w:lastRenderedPageBreak/>
        <w:t>APPENDIX A</w:t>
      </w:r>
    </w:p>
    <w:p w:rsidR="00136AF6" w:rsidRDefault="00136AF6" w:rsidP="006F3423">
      <w:pPr>
        <w:jc w:val="center"/>
        <w:rPr>
          <w:b/>
        </w:rPr>
      </w:pPr>
    </w:p>
    <w:p w:rsidR="00136AF6" w:rsidRDefault="00136AF6" w:rsidP="006F3423">
      <w:pPr>
        <w:jc w:val="center"/>
        <w:rPr>
          <w:b/>
        </w:rPr>
      </w:pPr>
    </w:p>
    <w:p w:rsidR="00136AF6" w:rsidRDefault="00136AF6" w:rsidP="006F3423">
      <w:pPr>
        <w:jc w:val="center"/>
        <w:rPr>
          <w:b/>
        </w:rPr>
      </w:pPr>
      <w:r>
        <w:rPr>
          <w:b/>
        </w:rPr>
        <w:t xml:space="preserve">Referral of Complaint to the </w:t>
      </w:r>
    </w:p>
    <w:p w:rsidR="00136AF6" w:rsidRDefault="00136AF6" w:rsidP="006F3423">
      <w:pPr>
        <w:jc w:val="center"/>
      </w:pPr>
      <w:r>
        <w:rPr>
          <w:b/>
        </w:rPr>
        <w:t xml:space="preserve">NIH Clinical Advisors to the Genetic Testing Registry </w:t>
      </w:r>
    </w:p>
    <w:p w:rsidR="00136AF6" w:rsidRDefault="00136AF6" w:rsidP="006F3423">
      <w:pPr>
        <w:jc w:val="center"/>
      </w:pPr>
    </w:p>
    <w:p w:rsidR="00136AF6" w:rsidRDefault="00136AF6" w:rsidP="006F3423">
      <w:pPr>
        <w:jc w:val="center"/>
      </w:pPr>
    </w:p>
    <w:p w:rsidR="00136AF6" w:rsidRDefault="00136AF6" w:rsidP="006F3423"/>
    <w:p w:rsidR="00136AF6" w:rsidRDefault="00136AF6" w:rsidP="006E6C2B">
      <w:pPr>
        <w:pStyle w:val="ListParagraph"/>
        <w:numPr>
          <w:ilvl w:val="0"/>
          <w:numId w:val="4"/>
        </w:numPr>
        <w:ind w:left="360"/>
      </w:pPr>
      <w:r>
        <w:t>Date of Genetic Testing Registry (GTR) complaint:</w:t>
      </w:r>
    </w:p>
    <w:p w:rsidR="00136AF6" w:rsidRDefault="00136AF6" w:rsidP="006E6C2B"/>
    <w:p w:rsidR="00136AF6" w:rsidRDefault="00136AF6" w:rsidP="006E6C2B">
      <w:pPr>
        <w:pStyle w:val="ListParagraph"/>
        <w:numPr>
          <w:ilvl w:val="0"/>
          <w:numId w:val="4"/>
        </w:numPr>
        <w:ind w:left="360"/>
      </w:pPr>
      <w:r>
        <w:t>GTR record(s) named in complaint (accession and version numbers):</w:t>
      </w:r>
    </w:p>
    <w:p w:rsidR="00136AF6" w:rsidRDefault="00136AF6" w:rsidP="006E6C2B"/>
    <w:p w:rsidR="00136AF6" w:rsidRDefault="00136AF6" w:rsidP="006E6C2B">
      <w:pPr>
        <w:pStyle w:val="ListParagraph"/>
        <w:numPr>
          <w:ilvl w:val="0"/>
          <w:numId w:val="4"/>
        </w:numPr>
        <w:ind w:left="360"/>
      </w:pPr>
      <w:r>
        <w:t>Nature of the complaint:</w:t>
      </w:r>
    </w:p>
    <w:p w:rsidR="00136AF6" w:rsidRDefault="00136AF6" w:rsidP="006E6C2B"/>
    <w:p w:rsidR="00136AF6" w:rsidRDefault="00136AF6" w:rsidP="006E6C2B">
      <w:pPr>
        <w:pStyle w:val="ListParagraph"/>
        <w:numPr>
          <w:ilvl w:val="0"/>
          <w:numId w:val="4"/>
        </w:numPr>
        <w:ind w:left="360"/>
      </w:pPr>
      <w:r>
        <w:t>Actions taken by NCBI GTR staff (list by date):</w:t>
      </w:r>
    </w:p>
    <w:p w:rsidR="00136AF6" w:rsidRDefault="00136AF6" w:rsidP="006B3485">
      <w:pPr>
        <w:pStyle w:val="ListParagraph"/>
      </w:pPr>
    </w:p>
    <w:p w:rsidR="00136AF6" w:rsidRDefault="000567E4" w:rsidP="000030F1">
      <w:pPr>
        <w:pStyle w:val="ListParagraph"/>
        <w:numPr>
          <w:ilvl w:val="0"/>
          <w:numId w:val="4"/>
        </w:numPr>
        <w:ind w:left="360"/>
      </w:pPr>
      <w:r>
        <w:t xml:space="preserve">Summary of </w:t>
      </w:r>
      <w:r w:rsidR="001641E6">
        <w:t xml:space="preserve">the </w:t>
      </w:r>
      <w:r>
        <w:t>unresolved issue(s)</w:t>
      </w:r>
      <w:r w:rsidR="00136AF6">
        <w:t>:</w:t>
      </w:r>
    </w:p>
    <w:p w:rsidR="00136AF6" w:rsidRDefault="00136AF6" w:rsidP="006E6C2B"/>
    <w:p w:rsidR="00136AF6" w:rsidRDefault="00136AF6" w:rsidP="006E6C2B">
      <w:pPr>
        <w:pStyle w:val="ListParagraph"/>
        <w:numPr>
          <w:ilvl w:val="0"/>
          <w:numId w:val="4"/>
        </w:numPr>
        <w:ind w:left="360"/>
      </w:pPr>
      <w:r>
        <w:t>Date complaint was referred to the NIH Clinical Advisors:</w:t>
      </w:r>
    </w:p>
    <w:p w:rsidR="00136AF6" w:rsidRDefault="00136AF6" w:rsidP="006E6C2B"/>
    <w:p w:rsidR="00136AF6" w:rsidRDefault="00136AF6" w:rsidP="006E6C2B">
      <w:pPr>
        <w:pStyle w:val="ListParagraph"/>
        <w:numPr>
          <w:ilvl w:val="0"/>
          <w:numId w:val="4"/>
        </w:numPr>
        <w:ind w:left="360"/>
      </w:pPr>
      <w:r>
        <w:t>Course of action recommended by the NIH Clinical Advisors:</w:t>
      </w:r>
    </w:p>
    <w:p w:rsidR="00136AF6" w:rsidRDefault="00136AF6" w:rsidP="006E6C2B"/>
    <w:p w:rsidR="00136AF6" w:rsidRDefault="00136AF6" w:rsidP="006E6C2B">
      <w:pPr>
        <w:pStyle w:val="ListParagraph"/>
        <w:numPr>
          <w:ilvl w:val="0"/>
          <w:numId w:val="4"/>
        </w:numPr>
        <w:ind w:left="360"/>
      </w:pPr>
      <w:r>
        <w:t>Date of recommended action(s):</w:t>
      </w:r>
    </w:p>
    <w:p w:rsidR="00136AF6" w:rsidRDefault="00136AF6" w:rsidP="006F3423"/>
    <w:p w:rsidR="00136AF6" w:rsidRDefault="00136AF6">
      <w:r>
        <w:br w:type="page"/>
      </w:r>
    </w:p>
    <w:p w:rsidR="00136AF6" w:rsidRDefault="00136AF6" w:rsidP="00406DA1">
      <w:pPr>
        <w:jc w:val="center"/>
        <w:rPr>
          <w:b/>
        </w:rPr>
      </w:pPr>
      <w:r>
        <w:rPr>
          <w:b/>
        </w:rPr>
        <w:lastRenderedPageBreak/>
        <w:t>APPENDIX B</w:t>
      </w:r>
    </w:p>
    <w:p w:rsidR="00136AF6" w:rsidRDefault="00136AF6" w:rsidP="00406DA1">
      <w:pPr>
        <w:jc w:val="center"/>
        <w:rPr>
          <w:b/>
        </w:rPr>
      </w:pPr>
    </w:p>
    <w:p w:rsidR="00136AF6" w:rsidRDefault="00136AF6" w:rsidP="00406DA1">
      <w:pPr>
        <w:jc w:val="center"/>
        <w:rPr>
          <w:b/>
        </w:rPr>
      </w:pPr>
    </w:p>
    <w:p w:rsidR="00136AF6" w:rsidRDefault="00136AF6" w:rsidP="00406DA1">
      <w:pPr>
        <w:jc w:val="center"/>
        <w:rPr>
          <w:b/>
        </w:rPr>
      </w:pPr>
      <w:r>
        <w:rPr>
          <w:b/>
        </w:rPr>
        <w:t xml:space="preserve">Referral of Complaint to the </w:t>
      </w:r>
    </w:p>
    <w:p w:rsidR="00136AF6" w:rsidRDefault="00136AF6" w:rsidP="00406DA1">
      <w:pPr>
        <w:jc w:val="center"/>
      </w:pPr>
      <w:r>
        <w:rPr>
          <w:b/>
        </w:rPr>
        <w:t>NIH Deputy Director for Science, Outreach, and Policy</w:t>
      </w:r>
    </w:p>
    <w:p w:rsidR="00136AF6" w:rsidRDefault="00136AF6" w:rsidP="00406DA1">
      <w:pPr>
        <w:jc w:val="center"/>
      </w:pPr>
    </w:p>
    <w:p w:rsidR="00136AF6" w:rsidRDefault="00136AF6" w:rsidP="00406DA1">
      <w:pPr>
        <w:jc w:val="center"/>
      </w:pPr>
    </w:p>
    <w:p w:rsidR="00136AF6" w:rsidRDefault="00136AF6" w:rsidP="00406DA1"/>
    <w:p w:rsidR="00136AF6" w:rsidRDefault="00136AF6" w:rsidP="00FE07A7">
      <w:pPr>
        <w:pStyle w:val="ListParagraph"/>
        <w:numPr>
          <w:ilvl w:val="0"/>
          <w:numId w:val="5"/>
        </w:numPr>
        <w:ind w:left="360"/>
      </w:pPr>
      <w:r>
        <w:t>Date of Genetic Testing Registry (GTR) complaint:</w:t>
      </w:r>
    </w:p>
    <w:p w:rsidR="00136AF6" w:rsidRDefault="00136AF6" w:rsidP="00FE07A7"/>
    <w:p w:rsidR="00136AF6" w:rsidRDefault="00136AF6" w:rsidP="00FE07A7">
      <w:pPr>
        <w:pStyle w:val="ListParagraph"/>
        <w:numPr>
          <w:ilvl w:val="0"/>
          <w:numId w:val="5"/>
        </w:numPr>
        <w:ind w:left="360"/>
      </w:pPr>
      <w:r>
        <w:t>GTR record(s) named in the complaint (accession and version numbers):</w:t>
      </w:r>
    </w:p>
    <w:p w:rsidR="00136AF6" w:rsidRDefault="00136AF6" w:rsidP="00FE07A7"/>
    <w:p w:rsidR="00136AF6" w:rsidRDefault="00136AF6" w:rsidP="00FE07A7">
      <w:pPr>
        <w:pStyle w:val="ListParagraph"/>
        <w:numPr>
          <w:ilvl w:val="0"/>
          <w:numId w:val="5"/>
        </w:numPr>
        <w:ind w:left="360"/>
      </w:pPr>
      <w:r>
        <w:t>Nature of the complaint:</w:t>
      </w:r>
    </w:p>
    <w:p w:rsidR="00136AF6" w:rsidRDefault="00136AF6" w:rsidP="00FE07A7"/>
    <w:p w:rsidR="00136AF6" w:rsidRDefault="00136AF6" w:rsidP="00FE07A7">
      <w:pPr>
        <w:pStyle w:val="ListParagraph"/>
        <w:numPr>
          <w:ilvl w:val="0"/>
          <w:numId w:val="5"/>
        </w:numPr>
        <w:ind w:left="360"/>
      </w:pPr>
      <w:r>
        <w:t>Actions taken by NCBI GTR staff (list by date):</w:t>
      </w:r>
    </w:p>
    <w:p w:rsidR="00136AF6" w:rsidRDefault="00136AF6" w:rsidP="006B3485">
      <w:pPr>
        <w:pStyle w:val="ListParagraph"/>
      </w:pPr>
    </w:p>
    <w:p w:rsidR="00136AF6" w:rsidRDefault="000567E4" w:rsidP="006B3485">
      <w:pPr>
        <w:pStyle w:val="ListParagraph"/>
        <w:numPr>
          <w:ilvl w:val="0"/>
          <w:numId w:val="5"/>
        </w:numPr>
        <w:ind w:left="360"/>
      </w:pPr>
      <w:r>
        <w:t xml:space="preserve">Summary of </w:t>
      </w:r>
      <w:r w:rsidR="001641E6">
        <w:t xml:space="preserve">the </w:t>
      </w:r>
      <w:r>
        <w:t>unresolved issues(s):</w:t>
      </w:r>
    </w:p>
    <w:p w:rsidR="00136AF6" w:rsidRDefault="00136AF6" w:rsidP="00FE07A7"/>
    <w:p w:rsidR="00136AF6" w:rsidRDefault="00136AF6" w:rsidP="00FE07A7">
      <w:pPr>
        <w:pStyle w:val="ListParagraph"/>
        <w:numPr>
          <w:ilvl w:val="0"/>
          <w:numId w:val="5"/>
        </w:numPr>
        <w:ind w:left="360"/>
      </w:pPr>
      <w:r>
        <w:t>Date complaint was referred to the NIH Clinical Advisors:</w:t>
      </w:r>
    </w:p>
    <w:p w:rsidR="00136AF6" w:rsidRDefault="00136AF6" w:rsidP="00FE07A7"/>
    <w:p w:rsidR="00136AF6" w:rsidRDefault="00136AF6" w:rsidP="00FE07A7">
      <w:pPr>
        <w:pStyle w:val="ListParagraph"/>
        <w:numPr>
          <w:ilvl w:val="0"/>
          <w:numId w:val="5"/>
        </w:numPr>
        <w:ind w:left="360"/>
      </w:pPr>
      <w:r>
        <w:t>Course of action recommended by the NIH Clinical Advisors:</w:t>
      </w:r>
    </w:p>
    <w:p w:rsidR="00136AF6" w:rsidRDefault="00136AF6" w:rsidP="00FE07A7"/>
    <w:p w:rsidR="00136AF6" w:rsidRDefault="00136AF6" w:rsidP="00FE07A7">
      <w:pPr>
        <w:pStyle w:val="ListParagraph"/>
        <w:numPr>
          <w:ilvl w:val="0"/>
          <w:numId w:val="5"/>
        </w:numPr>
        <w:ind w:left="360"/>
      </w:pPr>
      <w:r>
        <w:t>Date of NIH Clinical Advisors recommended action(s):</w:t>
      </w:r>
    </w:p>
    <w:p w:rsidR="00136AF6" w:rsidRDefault="00136AF6" w:rsidP="00FE07A7"/>
    <w:p w:rsidR="00136AF6" w:rsidRDefault="00136AF6" w:rsidP="00FE07A7">
      <w:pPr>
        <w:pStyle w:val="ListParagraph"/>
        <w:numPr>
          <w:ilvl w:val="0"/>
          <w:numId w:val="5"/>
        </w:numPr>
        <w:ind w:left="360"/>
      </w:pPr>
      <w:r>
        <w:t>Follow-up steps taken by NCBI GTR staff (list by date):</w:t>
      </w:r>
    </w:p>
    <w:p w:rsidR="00136AF6" w:rsidRDefault="00136AF6" w:rsidP="00A70E61">
      <w:pPr>
        <w:pStyle w:val="ListParagraph"/>
      </w:pPr>
    </w:p>
    <w:p w:rsidR="00136AF6" w:rsidRDefault="000567E4" w:rsidP="00FE07A7">
      <w:pPr>
        <w:pStyle w:val="ListParagraph"/>
        <w:numPr>
          <w:ilvl w:val="0"/>
          <w:numId w:val="5"/>
        </w:numPr>
        <w:ind w:left="360"/>
      </w:pPr>
      <w:r>
        <w:lastRenderedPageBreak/>
        <w:t xml:space="preserve">Summary of </w:t>
      </w:r>
      <w:r w:rsidR="001641E6">
        <w:t xml:space="preserve">the </w:t>
      </w:r>
      <w:r>
        <w:t>unresolved issue(s)</w:t>
      </w:r>
      <w:r w:rsidR="00136AF6">
        <w:t>:</w:t>
      </w:r>
    </w:p>
    <w:p w:rsidR="00136AF6" w:rsidRDefault="00136AF6" w:rsidP="00FE07A7"/>
    <w:p w:rsidR="00136AF6" w:rsidRDefault="00136AF6" w:rsidP="00FE07A7">
      <w:pPr>
        <w:pStyle w:val="ListParagraph"/>
        <w:numPr>
          <w:ilvl w:val="0"/>
          <w:numId w:val="5"/>
        </w:numPr>
        <w:ind w:left="360"/>
      </w:pPr>
      <w:r>
        <w:t>Date complaint is referred to the NIH Deputy Director:</w:t>
      </w:r>
    </w:p>
    <w:p w:rsidR="00136AF6" w:rsidRDefault="00136AF6" w:rsidP="00FE07A7"/>
    <w:p w:rsidR="00136AF6" w:rsidRDefault="00136AF6" w:rsidP="00FE07A7">
      <w:pPr>
        <w:pStyle w:val="ListParagraph"/>
        <w:numPr>
          <w:ilvl w:val="0"/>
          <w:numId w:val="5"/>
        </w:numPr>
        <w:ind w:left="360"/>
      </w:pPr>
      <w:r>
        <w:t>Additional comments:</w:t>
      </w:r>
    </w:p>
    <w:sectPr w:rsidR="00136AF6" w:rsidSect="00395A15">
      <w:headerReference w:type="default" r:id="rId13"/>
      <w:footerReference w:type="default" r:id="rId14"/>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F23" w:rsidRDefault="00886F23" w:rsidP="00E429DC">
      <w:r>
        <w:separator/>
      </w:r>
    </w:p>
    <w:p w:rsidR="00886F23" w:rsidRDefault="00886F23"/>
  </w:endnote>
  <w:endnote w:type="continuationSeparator" w:id="0">
    <w:p w:rsidR="00886F23" w:rsidRDefault="00886F23" w:rsidP="00E429DC">
      <w:r>
        <w:continuationSeparator/>
      </w:r>
    </w:p>
    <w:p w:rsidR="00886F23" w:rsidRDefault="00886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F6" w:rsidRPr="00E429DC" w:rsidRDefault="00136AF6" w:rsidP="00E429DC">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F23" w:rsidRDefault="00886F23" w:rsidP="00E429DC">
      <w:r>
        <w:separator/>
      </w:r>
    </w:p>
    <w:p w:rsidR="00886F23" w:rsidRDefault="00886F23"/>
  </w:footnote>
  <w:footnote w:type="continuationSeparator" w:id="0">
    <w:p w:rsidR="00886F23" w:rsidRDefault="00886F23" w:rsidP="00E429DC">
      <w:r>
        <w:continuationSeparator/>
      </w:r>
    </w:p>
    <w:p w:rsidR="00886F23" w:rsidRDefault="00886F23"/>
  </w:footnote>
  <w:footnote w:id="1">
    <w:p w:rsidR="00136AF6" w:rsidRDefault="00136AF6">
      <w:pPr>
        <w:pStyle w:val="FootnoteText"/>
      </w:pPr>
      <w:r>
        <w:rPr>
          <w:rStyle w:val="FootnoteReference"/>
        </w:rPr>
        <w:footnoteRef/>
      </w:r>
      <w:r>
        <w:t xml:space="preserve"> Code of Conduct for submitters to the Genetic Testing Registry: </w:t>
      </w:r>
      <w:hyperlink r:id="rId1" w:history="1">
        <w:r w:rsidRPr="00C17D10">
          <w:rPr>
            <w:rStyle w:val="Hyperlink"/>
          </w:rPr>
          <w:t>http://www.ncbi.nlm.nih.gov/gtr/docs/code/</w:t>
        </w:r>
      </w:hyperlink>
      <w:r>
        <w:t xml:space="preserve">. </w:t>
      </w:r>
    </w:p>
  </w:footnote>
  <w:footnote w:id="2">
    <w:p w:rsidR="00136AF6" w:rsidRDefault="00136AF6">
      <w:pPr>
        <w:pStyle w:val="FootnoteText"/>
      </w:pPr>
      <w:r>
        <w:rPr>
          <w:rStyle w:val="FootnoteReference"/>
        </w:rPr>
        <w:footnoteRef/>
      </w:r>
      <w:r>
        <w:t xml:space="preserve"> Genetic Testing Registry homepage: </w:t>
      </w:r>
      <w:hyperlink r:id="rId2" w:history="1">
        <w:r w:rsidRPr="001A15A7">
          <w:rPr>
            <w:rStyle w:val="Hyperlink"/>
          </w:rPr>
          <w:t>http://www.ncbi.nlm.nih.gov/gtr/</w:t>
        </w:r>
      </w:hyperlink>
      <w:r>
        <w:t xml:space="preserve">. </w:t>
      </w:r>
    </w:p>
  </w:footnote>
  <w:footnote w:id="3">
    <w:p w:rsidR="00136AF6" w:rsidRDefault="00136AF6">
      <w:pPr>
        <w:pStyle w:val="FootnoteText"/>
      </w:pPr>
      <w:r>
        <w:rPr>
          <w:rStyle w:val="FootnoteReference"/>
        </w:rPr>
        <w:footnoteRef/>
      </w:r>
      <w:r>
        <w:t xml:space="preserve"> NCBI Feedback for the Genetic Testing Registry: </w:t>
      </w:r>
      <w:hyperlink r:id="rId3" w:history="1">
        <w:r w:rsidRPr="001A15A7">
          <w:rPr>
            <w:rStyle w:val="Hyperlink"/>
          </w:rPr>
          <w:t>http://www.ncbi.nlm.nih.gov/projects/gtr_feedback/feedback.cgi</w:t>
        </w:r>
      </w:hyperlink>
      <w:r>
        <w:t xml:space="preserve">. </w:t>
      </w:r>
    </w:p>
  </w:footnote>
  <w:footnote w:id="4">
    <w:p w:rsidR="00136AF6" w:rsidRDefault="00136AF6">
      <w:pPr>
        <w:pStyle w:val="FootnoteText"/>
      </w:pPr>
      <w:r>
        <w:rPr>
          <w:rStyle w:val="FootnoteReference"/>
        </w:rPr>
        <w:footnoteRef/>
      </w:r>
      <w:r>
        <w:t xml:space="preserve"> NCBI GTR Staff refers to staff with laboratory and/or clinical genetics experience.</w:t>
      </w:r>
    </w:p>
  </w:footnote>
  <w:footnote w:id="5">
    <w:p w:rsidR="00D43681" w:rsidRDefault="00D43681" w:rsidP="00D43681">
      <w:pPr>
        <w:pStyle w:val="FootnoteText"/>
      </w:pPr>
      <w:r>
        <w:rPr>
          <w:rStyle w:val="FootnoteReference"/>
        </w:rPr>
        <w:footnoteRef/>
      </w:r>
      <w:r>
        <w:t xml:space="preserve"> Consultation outside NIH will not involve consensus advice</w:t>
      </w:r>
      <w:r w:rsidR="0037664B">
        <w:t>, and the identities of the complainant and GTR submitter will be kept confidential</w:t>
      </w:r>
      <w:r>
        <w:t>.</w:t>
      </w:r>
    </w:p>
  </w:footnote>
  <w:footnote w:id="6">
    <w:p w:rsidR="00136AF6" w:rsidRDefault="00136AF6">
      <w:pPr>
        <w:pStyle w:val="FootnoteText"/>
      </w:pPr>
      <w:r>
        <w:rPr>
          <w:rStyle w:val="FootnoteReference"/>
        </w:rPr>
        <w:footnoteRef/>
      </w:r>
      <w:r>
        <w:t xml:space="preserve"> NIH Clinical Advisors to the Genetic Testing Registry: </w:t>
      </w:r>
      <w:hyperlink r:id="rId4" w:history="1">
        <w:r w:rsidRPr="001A15A7">
          <w:rPr>
            <w:rStyle w:val="Hyperlink"/>
          </w:rPr>
          <w:t>http://oba.od.nih.gov/oba/gtr/Roster_NIH_Clinical_Advisors_to_GTR_1-5-12.pdf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F6" w:rsidRDefault="00136AF6" w:rsidP="00395A15">
    <w:pPr>
      <w:pStyle w:val="Header"/>
      <w:ind w:left="7200"/>
      <w:jc w:val="both"/>
      <w:rPr>
        <w:sz w:val="20"/>
        <w:szCs w:val="20"/>
      </w:rPr>
    </w:pPr>
    <w:r>
      <w:rPr>
        <w:sz w:val="20"/>
        <w:szCs w:val="20"/>
      </w:rPr>
      <w:t>GTR SOP</w:t>
    </w:r>
  </w:p>
  <w:p w:rsidR="00136AF6" w:rsidRDefault="00B53699" w:rsidP="00395A15">
    <w:pPr>
      <w:pStyle w:val="Header"/>
      <w:ind w:left="7200"/>
      <w:jc w:val="both"/>
      <w:rPr>
        <w:sz w:val="20"/>
        <w:szCs w:val="20"/>
      </w:rPr>
    </w:pPr>
    <w:r>
      <w:rPr>
        <w:sz w:val="20"/>
        <w:szCs w:val="20"/>
      </w:rPr>
      <w:t>November 1</w:t>
    </w:r>
    <w:r w:rsidR="005056A3">
      <w:rPr>
        <w:sz w:val="20"/>
        <w:szCs w:val="20"/>
      </w:rPr>
      <w:t>3</w:t>
    </w:r>
    <w:r w:rsidR="00136AF6">
      <w:rPr>
        <w:sz w:val="20"/>
        <w:szCs w:val="20"/>
      </w:rPr>
      <w:t>, 2012</w:t>
    </w:r>
  </w:p>
  <w:p w:rsidR="00136AF6" w:rsidRDefault="00136AF6" w:rsidP="00395A15">
    <w:pPr>
      <w:pStyle w:val="Header"/>
      <w:ind w:left="7200"/>
      <w:jc w:val="both"/>
      <w:rPr>
        <w:noProof/>
        <w:sz w:val="20"/>
        <w:szCs w:val="20"/>
      </w:rPr>
    </w:pPr>
    <w:r>
      <w:rPr>
        <w:sz w:val="20"/>
        <w:szCs w:val="20"/>
      </w:rPr>
      <w:t xml:space="preserve">Page </w:t>
    </w:r>
    <w:r w:rsidR="0052533F" w:rsidRPr="00395A15">
      <w:rPr>
        <w:sz w:val="20"/>
        <w:szCs w:val="20"/>
      </w:rPr>
      <w:fldChar w:fldCharType="begin"/>
    </w:r>
    <w:r w:rsidRPr="00395A15">
      <w:rPr>
        <w:sz w:val="20"/>
        <w:szCs w:val="20"/>
      </w:rPr>
      <w:instrText xml:space="preserve"> PAGE   \* MERGEFORMAT </w:instrText>
    </w:r>
    <w:r w:rsidR="0052533F" w:rsidRPr="00395A15">
      <w:rPr>
        <w:sz w:val="20"/>
        <w:szCs w:val="20"/>
      </w:rPr>
      <w:fldChar w:fldCharType="separate"/>
    </w:r>
    <w:r w:rsidR="00197096">
      <w:rPr>
        <w:noProof/>
        <w:sz w:val="20"/>
        <w:szCs w:val="20"/>
      </w:rPr>
      <w:t>1</w:t>
    </w:r>
    <w:r w:rsidR="0052533F" w:rsidRPr="00395A15">
      <w:rPr>
        <w:sz w:val="20"/>
        <w:szCs w:val="20"/>
      </w:rPr>
      <w:fldChar w:fldCharType="end"/>
    </w:r>
    <w:r>
      <w:rPr>
        <w:noProof/>
        <w:sz w:val="20"/>
        <w:szCs w:val="20"/>
      </w:rPr>
      <w:t xml:space="preserve"> of 4</w:t>
    </w:r>
  </w:p>
  <w:p w:rsidR="00200615" w:rsidRDefault="002006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C1064"/>
    <w:multiLevelType w:val="hybridMultilevel"/>
    <w:tmpl w:val="4E06CF38"/>
    <w:lvl w:ilvl="0" w:tplc="4C8CEE94">
      <w:start w:val="1"/>
      <w:numFmt w:val="decimal"/>
      <w:lvlText w:val="%1."/>
      <w:lvlJc w:val="left"/>
      <w:pPr>
        <w:ind w:left="360" w:hanging="360"/>
      </w:pPr>
      <w:rPr>
        <w:rFonts w:cs="Times New Roman"/>
        <w:color w:val="00000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4A62100"/>
    <w:multiLevelType w:val="hybridMultilevel"/>
    <w:tmpl w:val="4A3665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9964479"/>
    <w:multiLevelType w:val="hybridMultilevel"/>
    <w:tmpl w:val="40E2728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595D1D44"/>
    <w:multiLevelType w:val="hybridMultilevel"/>
    <w:tmpl w:val="AD2E42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D95100"/>
    <w:multiLevelType w:val="hybridMultilevel"/>
    <w:tmpl w:val="5148A9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7ED4124"/>
    <w:multiLevelType w:val="hybridMultilevel"/>
    <w:tmpl w:val="DD90790E"/>
    <w:lvl w:ilvl="0" w:tplc="2E5CD57E">
      <w:start w:val="1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DC"/>
    <w:rsid w:val="000030F1"/>
    <w:rsid w:val="00011101"/>
    <w:rsid w:val="0001596A"/>
    <w:rsid w:val="00034C5B"/>
    <w:rsid w:val="00043A3F"/>
    <w:rsid w:val="000567E4"/>
    <w:rsid w:val="00063108"/>
    <w:rsid w:val="00063F13"/>
    <w:rsid w:val="000723B9"/>
    <w:rsid w:val="000731D4"/>
    <w:rsid w:val="00090ABC"/>
    <w:rsid w:val="000935CC"/>
    <w:rsid w:val="00096430"/>
    <w:rsid w:val="000D6FAC"/>
    <w:rsid w:val="000E16BE"/>
    <w:rsid w:val="001227A6"/>
    <w:rsid w:val="00132D67"/>
    <w:rsid w:val="00136165"/>
    <w:rsid w:val="00136AF6"/>
    <w:rsid w:val="001641E6"/>
    <w:rsid w:val="00185ACE"/>
    <w:rsid w:val="001938D3"/>
    <w:rsid w:val="00197096"/>
    <w:rsid w:val="001A0416"/>
    <w:rsid w:val="001A15A7"/>
    <w:rsid w:val="001C308C"/>
    <w:rsid w:val="001D6347"/>
    <w:rsid w:val="00200615"/>
    <w:rsid w:val="00207B0F"/>
    <w:rsid w:val="0023281E"/>
    <w:rsid w:val="00254918"/>
    <w:rsid w:val="00254DD8"/>
    <w:rsid w:val="002D2407"/>
    <w:rsid w:val="002E71C3"/>
    <w:rsid w:val="00317B50"/>
    <w:rsid w:val="00324A62"/>
    <w:rsid w:val="003563E6"/>
    <w:rsid w:val="0037664B"/>
    <w:rsid w:val="00390964"/>
    <w:rsid w:val="00395A15"/>
    <w:rsid w:val="003B5234"/>
    <w:rsid w:val="004005CC"/>
    <w:rsid w:val="00406DA1"/>
    <w:rsid w:val="00435021"/>
    <w:rsid w:val="004358A9"/>
    <w:rsid w:val="0049074E"/>
    <w:rsid w:val="004B7A16"/>
    <w:rsid w:val="004E216E"/>
    <w:rsid w:val="004E3E2E"/>
    <w:rsid w:val="005056A3"/>
    <w:rsid w:val="0052533F"/>
    <w:rsid w:val="00527FF3"/>
    <w:rsid w:val="005856AC"/>
    <w:rsid w:val="005A6BC8"/>
    <w:rsid w:val="005B3AAE"/>
    <w:rsid w:val="005D134B"/>
    <w:rsid w:val="005E1F35"/>
    <w:rsid w:val="005E7A59"/>
    <w:rsid w:val="0060778F"/>
    <w:rsid w:val="0062214E"/>
    <w:rsid w:val="006407B7"/>
    <w:rsid w:val="0065081C"/>
    <w:rsid w:val="0065594F"/>
    <w:rsid w:val="00673E51"/>
    <w:rsid w:val="006962D0"/>
    <w:rsid w:val="006A51BE"/>
    <w:rsid w:val="006B3485"/>
    <w:rsid w:val="006C0EB1"/>
    <w:rsid w:val="006C3ED8"/>
    <w:rsid w:val="006E6C2B"/>
    <w:rsid w:val="006E6CC4"/>
    <w:rsid w:val="006E72F5"/>
    <w:rsid w:val="006F3423"/>
    <w:rsid w:val="007061C2"/>
    <w:rsid w:val="00717A61"/>
    <w:rsid w:val="00723F15"/>
    <w:rsid w:val="00747A03"/>
    <w:rsid w:val="007725EC"/>
    <w:rsid w:val="007B3B8C"/>
    <w:rsid w:val="007D6839"/>
    <w:rsid w:val="007E5FF0"/>
    <w:rsid w:val="007F6DD5"/>
    <w:rsid w:val="00800EE1"/>
    <w:rsid w:val="008308C7"/>
    <w:rsid w:val="00835160"/>
    <w:rsid w:val="00843C39"/>
    <w:rsid w:val="0086352B"/>
    <w:rsid w:val="00886B5E"/>
    <w:rsid w:val="00886F23"/>
    <w:rsid w:val="008A7693"/>
    <w:rsid w:val="008C20C2"/>
    <w:rsid w:val="008C2D6F"/>
    <w:rsid w:val="008C5663"/>
    <w:rsid w:val="009E4138"/>
    <w:rsid w:val="00A70E61"/>
    <w:rsid w:val="00AA2AB2"/>
    <w:rsid w:val="00AB298B"/>
    <w:rsid w:val="00AB7130"/>
    <w:rsid w:val="00AC31EE"/>
    <w:rsid w:val="00AD2789"/>
    <w:rsid w:val="00AE2FC2"/>
    <w:rsid w:val="00AE6BBA"/>
    <w:rsid w:val="00B15C38"/>
    <w:rsid w:val="00B35687"/>
    <w:rsid w:val="00B37CFC"/>
    <w:rsid w:val="00B40714"/>
    <w:rsid w:val="00B4688E"/>
    <w:rsid w:val="00B53699"/>
    <w:rsid w:val="00BA026D"/>
    <w:rsid w:val="00BA19D9"/>
    <w:rsid w:val="00BA4B8F"/>
    <w:rsid w:val="00BF063A"/>
    <w:rsid w:val="00BF22D3"/>
    <w:rsid w:val="00C02221"/>
    <w:rsid w:val="00C11807"/>
    <w:rsid w:val="00C17D10"/>
    <w:rsid w:val="00C2728E"/>
    <w:rsid w:val="00C3208B"/>
    <w:rsid w:val="00C765E4"/>
    <w:rsid w:val="00C773C5"/>
    <w:rsid w:val="00C8084D"/>
    <w:rsid w:val="00C87A81"/>
    <w:rsid w:val="00CA46DD"/>
    <w:rsid w:val="00D1603C"/>
    <w:rsid w:val="00D16D96"/>
    <w:rsid w:val="00D43681"/>
    <w:rsid w:val="00D607AB"/>
    <w:rsid w:val="00DB3E6C"/>
    <w:rsid w:val="00DB4192"/>
    <w:rsid w:val="00DB5FCB"/>
    <w:rsid w:val="00DD7983"/>
    <w:rsid w:val="00DF2472"/>
    <w:rsid w:val="00E35AB7"/>
    <w:rsid w:val="00E429DC"/>
    <w:rsid w:val="00E45BC9"/>
    <w:rsid w:val="00E56272"/>
    <w:rsid w:val="00E86EA5"/>
    <w:rsid w:val="00EA5BC7"/>
    <w:rsid w:val="00EC3B88"/>
    <w:rsid w:val="00ED35E3"/>
    <w:rsid w:val="00F03DED"/>
    <w:rsid w:val="00F37EC3"/>
    <w:rsid w:val="00F41CF9"/>
    <w:rsid w:val="00F53D0F"/>
    <w:rsid w:val="00F67F1A"/>
    <w:rsid w:val="00FD2851"/>
    <w:rsid w:val="00FD3770"/>
    <w:rsid w:val="00FE07A7"/>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A6C0F6E0-3D11-4D1A-9F05-BCE67A7B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AB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429DC"/>
    <w:pPr>
      <w:tabs>
        <w:tab w:val="center" w:pos="4680"/>
        <w:tab w:val="right" w:pos="9360"/>
      </w:tabs>
    </w:pPr>
  </w:style>
  <w:style w:type="character" w:customStyle="1" w:styleId="HeaderChar">
    <w:name w:val="Header Char"/>
    <w:link w:val="Header"/>
    <w:uiPriority w:val="99"/>
    <w:locked/>
    <w:rsid w:val="00E429DC"/>
    <w:rPr>
      <w:rFonts w:cs="Times New Roman"/>
    </w:rPr>
  </w:style>
  <w:style w:type="paragraph" w:styleId="Footer">
    <w:name w:val="footer"/>
    <w:basedOn w:val="Normal"/>
    <w:link w:val="FooterChar"/>
    <w:uiPriority w:val="99"/>
    <w:rsid w:val="00E429DC"/>
    <w:pPr>
      <w:tabs>
        <w:tab w:val="center" w:pos="4680"/>
        <w:tab w:val="right" w:pos="9360"/>
      </w:tabs>
    </w:pPr>
  </w:style>
  <w:style w:type="character" w:customStyle="1" w:styleId="FooterChar">
    <w:name w:val="Footer Char"/>
    <w:link w:val="Footer"/>
    <w:uiPriority w:val="99"/>
    <w:locked/>
    <w:rsid w:val="00E429DC"/>
    <w:rPr>
      <w:rFonts w:cs="Times New Roman"/>
    </w:rPr>
  </w:style>
  <w:style w:type="paragraph" w:styleId="FootnoteText">
    <w:name w:val="footnote text"/>
    <w:basedOn w:val="Normal"/>
    <w:link w:val="FootnoteTextChar"/>
    <w:uiPriority w:val="99"/>
    <w:semiHidden/>
    <w:rsid w:val="006C0EB1"/>
    <w:rPr>
      <w:sz w:val="20"/>
      <w:szCs w:val="20"/>
    </w:rPr>
  </w:style>
  <w:style w:type="character" w:customStyle="1" w:styleId="FootnoteTextChar">
    <w:name w:val="Footnote Text Char"/>
    <w:link w:val="FootnoteText"/>
    <w:uiPriority w:val="99"/>
    <w:semiHidden/>
    <w:locked/>
    <w:rsid w:val="006C0EB1"/>
    <w:rPr>
      <w:rFonts w:cs="Times New Roman"/>
      <w:sz w:val="20"/>
      <w:szCs w:val="20"/>
    </w:rPr>
  </w:style>
  <w:style w:type="character" w:styleId="FootnoteReference">
    <w:name w:val="footnote reference"/>
    <w:uiPriority w:val="99"/>
    <w:semiHidden/>
    <w:rsid w:val="006C0EB1"/>
    <w:rPr>
      <w:rFonts w:cs="Times New Roman"/>
      <w:vertAlign w:val="superscript"/>
    </w:rPr>
  </w:style>
  <w:style w:type="character" w:styleId="Hyperlink">
    <w:name w:val="Hyperlink"/>
    <w:uiPriority w:val="99"/>
    <w:rsid w:val="006C0EB1"/>
    <w:rPr>
      <w:rFonts w:cs="Times New Roman"/>
      <w:color w:val="0000FF"/>
      <w:u w:val="single"/>
    </w:rPr>
  </w:style>
  <w:style w:type="paragraph" w:styleId="ListParagraph">
    <w:name w:val="List Paragraph"/>
    <w:basedOn w:val="Normal"/>
    <w:uiPriority w:val="99"/>
    <w:qFormat/>
    <w:rsid w:val="000731D4"/>
    <w:pPr>
      <w:ind w:left="720"/>
      <w:contextualSpacing/>
    </w:pPr>
  </w:style>
  <w:style w:type="paragraph" w:styleId="BalloonText">
    <w:name w:val="Balloon Text"/>
    <w:basedOn w:val="Normal"/>
    <w:link w:val="BalloonTextChar"/>
    <w:uiPriority w:val="99"/>
    <w:semiHidden/>
    <w:rsid w:val="00DB3E6C"/>
    <w:rPr>
      <w:rFonts w:ascii="Tahoma" w:hAnsi="Tahoma" w:cs="Tahoma"/>
      <w:sz w:val="16"/>
      <w:szCs w:val="16"/>
    </w:rPr>
  </w:style>
  <w:style w:type="character" w:customStyle="1" w:styleId="BalloonTextChar">
    <w:name w:val="Balloon Text Char"/>
    <w:link w:val="BalloonText"/>
    <w:uiPriority w:val="99"/>
    <w:semiHidden/>
    <w:locked/>
    <w:rsid w:val="00DB3E6C"/>
    <w:rPr>
      <w:rFonts w:ascii="Tahoma" w:hAnsi="Tahoma" w:cs="Tahoma"/>
      <w:sz w:val="16"/>
      <w:szCs w:val="16"/>
    </w:rPr>
  </w:style>
  <w:style w:type="character" w:styleId="CommentReference">
    <w:name w:val="annotation reference"/>
    <w:uiPriority w:val="99"/>
    <w:semiHidden/>
    <w:rsid w:val="00DB4192"/>
    <w:rPr>
      <w:rFonts w:cs="Times New Roman"/>
      <w:sz w:val="16"/>
      <w:szCs w:val="16"/>
    </w:rPr>
  </w:style>
  <w:style w:type="paragraph" w:styleId="CommentText">
    <w:name w:val="annotation text"/>
    <w:basedOn w:val="Normal"/>
    <w:link w:val="CommentTextChar"/>
    <w:uiPriority w:val="99"/>
    <w:semiHidden/>
    <w:rsid w:val="00DB4192"/>
    <w:rPr>
      <w:sz w:val="20"/>
      <w:szCs w:val="20"/>
    </w:rPr>
  </w:style>
  <w:style w:type="character" w:customStyle="1" w:styleId="CommentTextChar">
    <w:name w:val="Comment Text Char"/>
    <w:link w:val="CommentText"/>
    <w:uiPriority w:val="99"/>
    <w:semiHidden/>
    <w:locked/>
    <w:rsid w:val="00DB4192"/>
    <w:rPr>
      <w:rFonts w:cs="Times New Roman"/>
      <w:sz w:val="20"/>
      <w:szCs w:val="20"/>
    </w:rPr>
  </w:style>
  <w:style w:type="paragraph" w:styleId="CommentSubject">
    <w:name w:val="annotation subject"/>
    <w:basedOn w:val="CommentText"/>
    <w:next w:val="CommentText"/>
    <w:link w:val="CommentSubjectChar"/>
    <w:uiPriority w:val="99"/>
    <w:semiHidden/>
    <w:rsid w:val="00DB4192"/>
    <w:rPr>
      <w:b/>
      <w:bCs/>
    </w:rPr>
  </w:style>
  <w:style w:type="character" w:customStyle="1" w:styleId="CommentSubjectChar">
    <w:name w:val="Comment Subject Char"/>
    <w:link w:val="CommentSubject"/>
    <w:uiPriority w:val="99"/>
    <w:semiHidden/>
    <w:locked/>
    <w:rsid w:val="00DB4192"/>
    <w:rPr>
      <w:rFonts w:cs="Times New Roman"/>
      <w:b/>
      <w:bCs/>
      <w:sz w:val="20"/>
      <w:szCs w:val="20"/>
    </w:rPr>
  </w:style>
  <w:style w:type="paragraph" w:styleId="Revision">
    <w:name w:val="Revision"/>
    <w:hidden/>
    <w:uiPriority w:val="99"/>
    <w:semiHidden/>
    <w:rsid w:val="0001596A"/>
    <w:rPr>
      <w:sz w:val="22"/>
      <w:szCs w:val="22"/>
    </w:rPr>
  </w:style>
  <w:style w:type="character" w:styleId="FollowedHyperlink">
    <w:name w:val="FollowedHyperlink"/>
    <w:uiPriority w:val="99"/>
    <w:semiHidden/>
    <w:rsid w:val="000723B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2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endy.rubinstein@nih.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rojects/gtr_feedback/feedback.cgi" TargetMode="External"/><Relationship Id="rId2" Type="http://schemas.openxmlformats.org/officeDocument/2006/relationships/hyperlink" Target="http://www.ncbi.nlm.nih.gov/gtr/" TargetMode="External"/><Relationship Id="rId1" Type="http://schemas.openxmlformats.org/officeDocument/2006/relationships/hyperlink" Target="http://www.ncbi.nlm.nih.gov/gtr/docs/code/" TargetMode="External"/><Relationship Id="rId4" Type="http://schemas.openxmlformats.org/officeDocument/2006/relationships/hyperlink" Target="http://oba.od.nih.gov/oba/gtr/Roster_NIH_Clinical_Advisors_to_GTR_1-5-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F887FEAA4934E820A8CDB9218D406" ma:contentTypeVersion="1" ma:contentTypeDescription="Create a new document." ma:contentTypeScope="" ma:versionID="a593aa794d68f095195228080966698d">
  <xsd:schema xmlns:xsd="http://www.w3.org/2001/XMLSchema" xmlns:xs="http://www.w3.org/2001/XMLSchema" xmlns:p="http://schemas.microsoft.com/office/2006/metadata/properties" xmlns:ns2="0cfd3f52-68a2-4d3a-84c0-c311bdaf408b" xmlns:ns3="bebfb516-47c3-42bf-8695-c627e02fd07c" targetNamespace="http://schemas.microsoft.com/office/2006/metadata/properties" ma:root="true" ma:fieldsID="e7f79537397fd6ed42320d4c952a83a5" ns2:_="" ns3:_="">
    <xsd:import namespace="0cfd3f52-68a2-4d3a-84c0-c311bdaf408b"/>
    <xsd:import namespace="bebfb516-47c3-42bf-8695-c627e02fd07c"/>
    <xsd:element name="properties">
      <xsd:complexType>
        <xsd:sequence>
          <xsd:element name="documentManagement">
            <xsd:complexType>
              <xsd:all>
                <xsd:element ref="ns2:Descript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d3f52-68a2-4d3a-84c0-c311bdaf408b"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bfb516-47c3-42bf-8695-c627e02fd07c"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Description0 xmlns="0cfd3f52-68a2-4d3a-84c0-c311bdaf408b" xsi:nil="true"/>
    <_dlc_DocId xmlns="bebfb516-47c3-42bf-8695-c627e02fd07c">RP5EP2USD5DN-1126-1082</_dlc_DocId>
    <_dlc_DocIdUrl xmlns="bebfb516-47c3-42bf-8695-c627e02fd07c">
      <Url>https://sp.ncbi.nlm.nih.gov/IEB/RCS/gtr/_layouts/15/DocIdRedir.aspx?ID=RP5EP2USD5DN-1126-1082</Url>
      <Description>RP5EP2USD5DN-1126-1082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8173F-EF17-4A42-B564-02621BB3A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d3f52-68a2-4d3a-84c0-c311bdaf408b"/>
    <ds:schemaRef ds:uri="bebfb516-47c3-42bf-8695-c627e02fd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5EA38-BA18-484A-A2E0-0DA98E696D6E}">
  <ds:schemaRefs>
    <ds:schemaRef ds:uri="http://schemas.microsoft.com/sharepoint/events"/>
  </ds:schemaRefs>
</ds:datastoreItem>
</file>

<file path=customXml/itemProps3.xml><?xml version="1.0" encoding="utf-8"?>
<ds:datastoreItem xmlns:ds="http://schemas.openxmlformats.org/officeDocument/2006/customXml" ds:itemID="{86BC5583-E3F6-4A51-B31B-B98640F47271}">
  <ds:schemaRefs>
    <ds:schemaRef ds:uri="http://schemas.microsoft.com/office/2006/metadata/properties"/>
    <ds:schemaRef ds:uri="0cfd3f52-68a2-4d3a-84c0-c311bdaf408b"/>
    <ds:schemaRef ds:uri="bebfb516-47c3-42bf-8695-c627e02fd07c"/>
  </ds:schemaRefs>
</ds:datastoreItem>
</file>

<file path=customXml/itemProps4.xml><?xml version="1.0" encoding="utf-8"?>
<ds:datastoreItem xmlns:ds="http://schemas.openxmlformats.org/officeDocument/2006/customXml" ds:itemID="{F76EB8F8-31BB-4314-9642-98BCB768AEA5}">
  <ds:schemaRefs>
    <ds:schemaRef ds:uri="http://schemas.microsoft.com/sharepoint/v3/contenttype/forms"/>
  </ds:schemaRefs>
</ds:datastoreItem>
</file>

<file path=customXml/itemProps5.xml><?xml version="1.0" encoding="utf-8"?>
<ds:datastoreItem xmlns:ds="http://schemas.openxmlformats.org/officeDocument/2006/customXml" ds:itemID="{06809DFD-C436-40CA-9106-B18D56B2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National Center for Biotechnology Information</vt:lpstr>
    </vt:vector>
  </TitlesOfParts>
  <Company>NIH\OD</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Biotechnology Information</dc:title>
  <dc:creator>cf</dc:creator>
  <cp:lastModifiedBy>Kattman, Brandi (NIH/NLM/NCBI) [E]</cp:lastModifiedBy>
  <cp:revision>2</cp:revision>
  <cp:lastPrinted>2012-12-18T15:43:00Z</cp:lastPrinted>
  <dcterms:created xsi:type="dcterms:W3CDTF">2015-07-02T14:21:00Z</dcterms:created>
  <dcterms:modified xsi:type="dcterms:W3CDTF">2015-07-02T14:21:00Z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0x0101004E7F887FEAA4934E820A8CDB9218D406</vt:lpwstr>
  </property>
  <property fmtid="{D5CDD505-2E9C-101B-9397-08002B2CF9AE}" pid="3" name="_dlc_DocIdItemGuid">
    <vt:lpwstr>7191b66f-20c9-4ccf-ab7b-51dce071b76b</vt:lpwstr>
  </property>
</Properties>
</file>