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494FE0" w:rsidR="00025433" w:rsidP="00494FE0" w:rsidRDefault="003177C7" w14:paraId="27981F75" w14:textId="399D9E44">
      <w:pPr>
        <w:rPr>
          <w:b/>
          <w:bCs/>
          <w:sz w:val="28"/>
          <w:szCs w:val="28"/>
        </w:rPr>
      </w:pPr>
      <w:r>
        <w:rPr>
          <w:b/>
          <w:bCs/>
          <w:sz w:val="28"/>
          <w:szCs w:val="28"/>
        </w:rPr>
        <w:t>Attachment B</w:t>
      </w:r>
      <w:bookmarkStart w:name="_GoBack" w:id="0"/>
      <w:bookmarkEnd w:id="0"/>
      <w:r w:rsidR="00494FE0">
        <w:rPr>
          <w:b/>
          <w:bCs/>
          <w:sz w:val="28"/>
          <w:szCs w:val="28"/>
        </w:rPr>
        <w:t xml:space="preserve">: Incentive Justification for the </w:t>
      </w:r>
      <w:r w:rsidR="001D2E43">
        <w:rPr>
          <w:b/>
          <w:bCs/>
          <w:i/>
          <w:iCs/>
          <w:sz w:val="28"/>
          <w:szCs w:val="28"/>
        </w:rPr>
        <w:t>Be Antibiotics Aware</w:t>
      </w:r>
      <w:r w:rsidR="00494FE0">
        <w:rPr>
          <w:b/>
          <w:bCs/>
          <w:sz w:val="28"/>
          <w:szCs w:val="28"/>
        </w:rPr>
        <w:t xml:space="preserve"> HCP Campaign</w:t>
      </w:r>
    </w:p>
    <w:p w:rsidRPr="00C24AFA" w:rsidR="00000EAC" w:rsidP="00DC7166" w:rsidRDefault="00C24AFA" w14:paraId="5B0BC1B3" w14:textId="10B72942">
      <w:pPr>
        <w:pStyle w:val="BodyText2"/>
        <w:numPr>
          <w:ilvl w:val="12"/>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120"/>
        <w:rPr>
          <w:rFonts w:asciiTheme="minorHAnsi" w:hAnsiTheme="minorHAnsi"/>
          <w:sz w:val="22"/>
          <w:szCs w:val="22"/>
        </w:rPr>
      </w:pPr>
      <w:r w:rsidRPr="00C24AFA">
        <w:rPr>
          <w:rFonts w:asciiTheme="minorHAnsi" w:hAnsiTheme="minorHAnsi"/>
          <w:color w:val="000000"/>
          <w:sz w:val="22"/>
          <w:szCs w:val="22"/>
        </w:rPr>
        <w:t>P</w:t>
      </w:r>
      <w:r w:rsidRPr="00C24AFA" w:rsidR="00FE725B">
        <w:rPr>
          <w:rFonts w:asciiTheme="minorHAnsi" w:hAnsiTheme="minorHAnsi"/>
          <w:color w:val="000000"/>
          <w:sz w:val="22"/>
          <w:szCs w:val="22"/>
        </w:rPr>
        <w:t xml:space="preserve">articipants </w:t>
      </w:r>
      <w:r w:rsidRPr="00C24AFA">
        <w:rPr>
          <w:rFonts w:asciiTheme="minorHAnsi" w:hAnsiTheme="minorHAnsi"/>
          <w:color w:val="000000"/>
          <w:sz w:val="22"/>
          <w:szCs w:val="22"/>
        </w:rPr>
        <w:t xml:space="preserve">who complete either the pre- or post-test HCP surveys </w:t>
      </w:r>
      <w:r w:rsidRPr="00C24AFA" w:rsidR="00FE725B">
        <w:rPr>
          <w:rFonts w:asciiTheme="minorHAnsi" w:hAnsiTheme="minorHAnsi"/>
          <w:color w:val="000000"/>
          <w:sz w:val="22"/>
          <w:szCs w:val="22"/>
        </w:rPr>
        <w:t xml:space="preserve">will be given </w:t>
      </w:r>
      <w:r w:rsidRPr="00C24AFA" w:rsidR="00494FE0">
        <w:rPr>
          <w:rFonts w:asciiTheme="minorHAnsi" w:hAnsiTheme="minorHAnsi"/>
          <w:color w:val="000000"/>
          <w:sz w:val="22"/>
          <w:szCs w:val="22"/>
        </w:rPr>
        <w:t>an</w:t>
      </w:r>
      <w:r w:rsidRPr="00C24AFA" w:rsidR="00FE725B">
        <w:rPr>
          <w:rFonts w:asciiTheme="minorHAnsi" w:hAnsiTheme="minorHAnsi"/>
          <w:color w:val="000000"/>
          <w:sz w:val="22"/>
          <w:szCs w:val="22"/>
        </w:rPr>
        <w:t xml:space="preserve"> honorarium/token of appreciation for their participation</w:t>
      </w:r>
      <w:r w:rsidRPr="00C24AFA" w:rsidR="00263F62">
        <w:rPr>
          <w:rFonts w:asciiTheme="minorHAnsi" w:hAnsiTheme="minorHAnsi"/>
          <w:color w:val="000000"/>
          <w:sz w:val="22"/>
          <w:szCs w:val="22"/>
        </w:rPr>
        <w:t xml:space="preserve"> in the </w:t>
      </w:r>
      <w:r w:rsidRPr="00C24AFA">
        <w:rPr>
          <w:rFonts w:asciiTheme="minorHAnsi" w:hAnsiTheme="minorHAnsi"/>
          <w:color w:val="000000"/>
          <w:sz w:val="22"/>
          <w:szCs w:val="22"/>
        </w:rPr>
        <w:t>approximately 20</w:t>
      </w:r>
      <w:r w:rsidRPr="00C24AFA" w:rsidR="00263F62">
        <w:rPr>
          <w:rFonts w:asciiTheme="minorHAnsi" w:hAnsiTheme="minorHAnsi"/>
          <w:color w:val="000000"/>
          <w:sz w:val="22"/>
          <w:szCs w:val="22"/>
        </w:rPr>
        <w:t xml:space="preserve"> </w:t>
      </w:r>
      <w:r w:rsidRPr="00C24AFA">
        <w:rPr>
          <w:rFonts w:asciiTheme="minorHAnsi" w:hAnsiTheme="minorHAnsi"/>
          <w:color w:val="000000"/>
          <w:sz w:val="22"/>
          <w:szCs w:val="22"/>
        </w:rPr>
        <w:t>minute online</w:t>
      </w:r>
      <w:r w:rsidR="006841FB">
        <w:rPr>
          <w:rFonts w:asciiTheme="minorHAnsi" w:hAnsiTheme="minorHAnsi"/>
          <w:color w:val="000000"/>
          <w:sz w:val="22"/>
          <w:szCs w:val="22"/>
        </w:rPr>
        <w:t xml:space="preserve"> survey</w:t>
      </w:r>
      <w:r w:rsidRPr="00C24AFA" w:rsidR="00487732">
        <w:rPr>
          <w:rFonts w:asciiTheme="minorHAnsi" w:hAnsiTheme="minorHAnsi"/>
          <w:color w:val="000000"/>
          <w:sz w:val="22"/>
          <w:szCs w:val="22"/>
        </w:rPr>
        <w:t xml:space="preserve">. </w:t>
      </w:r>
      <w:r w:rsidRPr="00C24AFA" w:rsidR="00487732">
        <w:rPr>
          <w:rFonts w:asciiTheme="minorHAnsi" w:hAnsiTheme="minorHAnsi"/>
          <w:sz w:val="22"/>
          <w:szCs w:val="22"/>
        </w:rPr>
        <w:t>Incentives serve as an acknowledgment that the information a respondent provides and the time they offer is valuable.</w:t>
      </w:r>
      <w:r w:rsidRPr="00C24AFA" w:rsidR="00AB18E6">
        <w:rPr>
          <w:rFonts w:asciiTheme="minorHAnsi" w:hAnsiTheme="minorHAnsi"/>
          <w:sz w:val="22"/>
          <w:szCs w:val="22"/>
          <w:vertAlign w:val="superscript"/>
        </w:rPr>
        <w:t>1</w:t>
      </w:r>
      <w:proofErr w:type="gramStart"/>
      <w:r w:rsidRPr="00C24AFA" w:rsidR="00DE2E83">
        <w:rPr>
          <w:rFonts w:asciiTheme="minorHAnsi" w:hAnsiTheme="minorHAnsi"/>
          <w:sz w:val="22"/>
          <w:szCs w:val="22"/>
          <w:vertAlign w:val="superscript"/>
        </w:rPr>
        <w:t>,2</w:t>
      </w:r>
      <w:proofErr w:type="gramEnd"/>
      <w:r w:rsidRPr="00C24AFA" w:rsidR="00487732">
        <w:rPr>
          <w:rFonts w:asciiTheme="minorHAnsi" w:hAnsiTheme="minorHAnsi"/>
          <w:sz w:val="22"/>
          <w:szCs w:val="22"/>
        </w:rPr>
        <w:t xml:space="preserve"> </w:t>
      </w:r>
      <w:r w:rsidRPr="00C24AFA" w:rsidR="002F5A73">
        <w:rPr>
          <w:rFonts w:asciiTheme="minorHAnsi" w:hAnsiTheme="minorHAnsi"/>
          <w:sz w:val="22"/>
          <w:szCs w:val="22"/>
        </w:rPr>
        <w:t>The incentives will also help to off-set any costs associated with participation, such as childcare and/or time away from work.</w:t>
      </w:r>
      <w:r w:rsidRPr="00C24AFA">
        <w:rPr>
          <w:rFonts w:asciiTheme="minorHAnsi" w:hAnsiTheme="minorHAnsi"/>
          <w:sz w:val="22"/>
          <w:szCs w:val="22"/>
        </w:rPr>
        <w:t xml:space="preserve"> Incentive amounts will be offered as followed:</w:t>
      </w:r>
    </w:p>
    <w:p w:rsidRPr="00C24AFA" w:rsidR="00C24AFA" w:rsidP="00C24AFA" w:rsidRDefault="00FD033A" w14:paraId="222038C2" w14:textId="2D713F67">
      <w:pPr>
        <w:pStyle w:val="ListParagraph"/>
        <w:numPr>
          <w:ilvl w:val="0"/>
          <w:numId w:val="23"/>
        </w:numPr>
        <w:spacing w:line="256" w:lineRule="auto"/>
        <w:rPr>
          <w:rFonts w:cstheme="minorHAnsi"/>
        </w:rPr>
      </w:pPr>
      <w:r>
        <w:rPr>
          <w:rFonts w:cstheme="minorHAnsi"/>
        </w:rPr>
        <w:t>Urgent Care p</w:t>
      </w:r>
      <w:r w:rsidR="006841FB">
        <w:rPr>
          <w:rFonts w:cstheme="minorHAnsi"/>
        </w:rPr>
        <w:t>hysicians, n</w:t>
      </w:r>
      <w:r w:rsidR="001D2E43">
        <w:rPr>
          <w:rFonts w:cstheme="minorHAnsi"/>
        </w:rPr>
        <w:t xml:space="preserve">urse practitioners (NPs), and </w:t>
      </w:r>
      <w:r w:rsidR="006841FB">
        <w:rPr>
          <w:rFonts w:cstheme="minorHAnsi"/>
        </w:rPr>
        <w:t>p</w:t>
      </w:r>
      <w:r w:rsidRPr="00C24AFA" w:rsidR="00C24AFA">
        <w:rPr>
          <w:rFonts w:cstheme="minorHAnsi"/>
        </w:rPr>
        <w:t xml:space="preserve">hysician assistants (PAs) </w:t>
      </w:r>
      <w:r w:rsidR="001D2E43">
        <w:rPr>
          <w:rFonts w:cstheme="minorHAnsi"/>
        </w:rPr>
        <w:t>= $4</w:t>
      </w:r>
      <w:r w:rsidR="00C24AFA">
        <w:rPr>
          <w:rFonts w:cstheme="minorHAnsi"/>
        </w:rPr>
        <w:t>5</w:t>
      </w:r>
    </w:p>
    <w:p w:rsidRPr="00C24AFA" w:rsidR="00C24AFA" w:rsidP="00C24AFA" w:rsidRDefault="006841FB" w14:paraId="492E3A5A" w14:textId="2699CAD2">
      <w:pPr>
        <w:pStyle w:val="ListParagraph"/>
        <w:numPr>
          <w:ilvl w:val="0"/>
          <w:numId w:val="23"/>
        </w:numPr>
        <w:spacing w:line="256" w:lineRule="auto"/>
        <w:rPr>
          <w:rFonts w:cstheme="minorHAnsi"/>
        </w:rPr>
      </w:pPr>
      <w:r>
        <w:rPr>
          <w:rFonts w:cstheme="minorHAnsi"/>
        </w:rPr>
        <w:t>Nurse</w:t>
      </w:r>
      <w:r w:rsidRPr="00C24AFA" w:rsidR="00C24AFA">
        <w:rPr>
          <w:rFonts w:cstheme="minorHAnsi"/>
        </w:rPr>
        <w:t xml:space="preserve"> </w:t>
      </w:r>
      <w:r w:rsidR="001D2E43">
        <w:rPr>
          <w:rFonts w:cstheme="minorHAnsi"/>
        </w:rPr>
        <w:t>practitioners and physician assistants, outpatient settings</w:t>
      </w:r>
      <w:r w:rsidR="00C24AFA">
        <w:rPr>
          <w:rFonts w:cstheme="minorHAnsi"/>
        </w:rPr>
        <w:t xml:space="preserve"> </w:t>
      </w:r>
      <w:r w:rsidR="001D2E43">
        <w:rPr>
          <w:rFonts w:cstheme="minorHAnsi"/>
        </w:rPr>
        <w:t>= $30</w:t>
      </w:r>
      <w:r w:rsidRPr="00C24AFA" w:rsidR="00C24AFA">
        <w:rPr>
          <w:rFonts w:cstheme="minorHAnsi"/>
        </w:rPr>
        <w:t xml:space="preserve"> </w:t>
      </w:r>
    </w:p>
    <w:p w:rsidRPr="00C24AFA" w:rsidR="00C24AFA" w:rsidP="00C24AFA" w:rsidRDefault="00C24AFA" w14:paraId="1A977F97" w14:textId="317B1779">
      <w:pPr>
        <w:pStyle w:val="ListParagraph"/>
        <w:numPr>
          <w:ilvl w:val="0"/>
          <w:numId w:val="23"/>
        </w:numPr>
        <w:spacing w:line="256" w:lineRule="auto"/>
        <w:rPr>
          <w:rFonts w:cstheme="minorHAnsi"/>
        </w:rPr>
      </w:pPr>
      <w:r w:rsidRPr="00C24AFA">
        <w:rPr>
          <w:rFonts w:cstheme="minorHAnsi"/>
        </w:rPr>
        <w:t>Primary care physicians (PCPs)</w:t>
      </w:r>
      <w:r w:rsidR="001D2E43">
        <w:rPr>
          <w:rFonts w:cstheme="minorHAnsi"/>
        </w:rPr>
        <w:t>, outpatient settings = $3</w:t>
      </w:r>
      <w:r>
        <w:rPr>
          <w:rFonts w:cstheme="minorHAnsi"/>
        </w:rPr>
        <w:t>5</w:t>
      </w:r>
    </w:p>
    <w:p w:rsidRPr="00C24AFA" w:rsidR="00FE725B" w:rsidP="00DC7166" w:rsidRDefault="00487732" w14:paraId="38E4510A" w14:textId="273F4E77">
      <w:pPr>
        <w:pStyle w:val="BodyText2"/>
        <w:numPr>
          <w:ilvl w:val="12"/>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120"/>
        <w:rPr>
          <w:rFonts w:asciiTheme="minorHAnsi" w:hAnsiTheme="minorHAnsi"/>
          <w:color w:val="000000"/>
          <w:sz w:val="22"/>
          <w:szCs w:val="22"/>
          <w:vertAlign w:val="superscript"/>
        </w:rPr>
      </w:pPr>
      <w:r w:rsidRPr="00C24AFA">
        <w:rPr>
          <w:rFonts w:asciiTheme="minorHAnsi" w:hAnsiTheme="minorHAnsi"/>
          <w:sz w:val="22"/>
          <w:szCs w:val="22"/>
        </w:rPr>
        <w:t xml:space="preserve">Multiple studies using a variety of data collection methodologies have shown that offering incentives increases </w:t>
      </w:r>
      <w:r w:rsidRPr="00C24AFA" w:rsidR="002F5A73">
        <w:rPr>
          <w:rFonts w:asciiTheme="minorHAnsi" w:hAnsiTheme="minorHAnsi"/>
          <w:sz w:val="22"/>
          <w:szCs w:val="22"/>
        </w:rPr>
        <w:t xml:space="preserve">participation </w:t>
      </w:r>
      <w:r w:rsidRPr="00C24AFA">
        <w:rPr>
          <w:rFonts w:asciiTheme="minorHAnsi" w:hAnsiTheme="minorHAnsi"/>
          <w:sz w:val="22"/>
          <w:szCs w:val="22"/>
        </w:rPr>
        <w:t>rates</w:t>
      </w:r>
      <w:r w:rsidRPr="00C24AFA" w:rsidR="00AB18E6">
        <w:rPr>
          <w:rFonts w:asciiTheme="minorHAnsi" w:hAnsiTheme="minorHAnsi"/>
          <w:sz w:val="22"/>
          <w:szCs w:val="22"/>
        </w:rPr>
        <w:t>.</w:t>
      </w:r>
      <w:r w:rsidRPr="00C24AFA" w:rsidR="00AB18E6">
        <w:rPr>
          <w:rFonts w:asciiTheme="minorHAnsi" w:hAnsiTheme="minorHAnsi"/>
          <w:sz w:val="22"/>
          <w:szCs w:val="22"/>
          <w:vertAlign w:val="superscript"/>
        </w:rPr>
        <w:t>1-</w:t>
      </w:r>
      <w:r w:rsidRPr="00C24AFA" w:rsidR="00DE2E83">
        <w:rPr>
          <w:rFonts w:asciiTheme="minorHAnsi" w:hAnsiTheme="minorHAnsi"/>
          <w:sz w:val="22"/>
          <w:szCs w:val="22"/>
          <w:vertAlign w:val="superscript"/>
        </w:rPr>
        <w:t>8</w:t>
      </w:r>
      <w:r w:rsidRPr="00C24AFA" w:rsidR="00AB18E6">
        <w:rPr>
          <w:rFonts w:asciiTheme="minorHAnsi" w:hAnsiTheme="minorHAnsi"/>
          <w:sz w:val="22"/>
          <w:szCs w:val="22"/>
        </w:rPr>
        <w:t xml:space="preserve"> </w:t>
      </w:r>
      <w:r w:rsidRPr="00C24AFA">
        <w:rPr>
          <w:rFonts w:asciiTheme="minorHAnsi" w:hAnsiTheme="minorHAnsi"/>
          <w:sz w:val="22"/>
          <w:szCs w:val="22"/>
        </w:rPr>
        <w:t xml:space="preserve">Incentives are offered to increase the likelihood of participation and to thank a respondent for their time and input to the study. While the incentive amount may vary by the type of interviewees, the length and burden of the interview, </w:t>
      </w:r>
      <w:r w:rsidRPr="00C24AFA" w:rsidR="00DC7166">
        <w:rPr>
          <w:rFonts w:asciiTheme="minorHAnsi" w:hAnsiTheme="minorHAnsi"/>
          <w:sz w:val="22"/>
          <w:szCs w:val="22"/>
        </w:rPr>
        <w:t>and other factors</w:t>
      </w:r>
      <w:r w:rsidRPr="00C24AFA">
        <w:rPr>
          <w:rFonts w:asciiTheme="minorHAnsi" w:hAnsiTheme="minorHAnsi"/>
          <w:sz w:val="22"/>
          <w:szCs w:val="22"/>
        </w:rPr>
        <w:t xml:space="preserve">, the impact of an incentive on the </w:t>
      </w:r>
      <w:r w:rsidRPr="00C24AFA" w:rsidR="00FF060A">
        <w:rPr>
          <w:rFonts w:asciiTheme="minorHAnsi" w:hAnsiTheme="minorHAnsi"/>
          <w:sz w:val="22"/>
          <w:szCs w:val="22"/>
        </w:rPr>
        <w:t xml:space="preserve">participation </w:t>
      </w:r>
      <w:r w:rsidRPr="00C24AFA">
        <w:rPr>
          <w:rFonts w:asciiTheme="minorHAnsi" w:hAnsiTheme="minorHAnsi"/>
          <w:sz w:val="22"/>
          <w:szCs w:val="22"/>
        </w:rPr>
        <w:t>rate does not vary by data collection type.</w:t>
      </w:r>
      <w:r w:rsidRPr="00C24AFA" w:rsidR="00DE2E83">
        <w:rPr>
          <w:rFonts w:asciiTheme="minorHAnsi" w:hAnsiTheme="minorHAnsi"/>
          <w:sz w:val="22"/>
          <w:szCs w:val="22"/>
          <w:vertAlign w:val="superscript"/>
        </w:rPr>
        <w:t>2</w:t>
      </w:r>
      <w:r w:rsidRPr="00C24AFA" w:rsidR="00657068">
        <w:rPr>
          <w:rFonts w:asciiTheme="minorHAnsi" w:hAnsiTheme="minorHAnsi"/>
          <w:sz w:val="22"/>
          <w:szCs w:val="22"/>
          <w:vertAlign w:val="superscript"/>
        </w:rPr>
        <w:t xml:space="preserve"> </w:t>
      </w:r>
    </w:p>
    <w:p w:rsidRPr="00C24AFA" w:rsidR="00657068" w:rsidP="002F51A4" w:rsidRDefault="006460A9" w14:paraId="67AFBC8F" w14:textId="70E38C0D">
      <w:pPr>
        <w:pStyle w:val="bodytextpsg"/>
        <w:ind w:firstLine="0"/>
        <w:jc w:val="both"/>
        <w:rPr>
          <w:rFonts w:asciiTheme="minorHAnsi" w:hAnsiTheme="minorHAnsi"/>
          <w:szCs w:val="22"/>
        </w:rPr>
      </w:pPr>
      <w:r w:rsidRPr="00C24AFA">
        <w:rPr>
          <w:rFonts w:asciiTheme="minorHAnsi" w:hAnsiTheme="minorHAnsi"/>
          <w:szCs w:val="22"/>
        </w:rPr>
        <w:t xml:space="preserve">In the contractor’s experience conducting multiple </w:t>
      </w:r>
      <w:r w:rsidR="00494FE0">
        <w:rPr>
          <w:rFonts w:asciiTheme="minorHAnsi" w:hAnsiTheme="minorHAnsi"/>
          <w:szCs w:val="22"/>
        </w:rPr>
        <w:t>educational effort</w:t>
      </w:r>
      <w:r w:rsidR="00C24AFA">
        <w:rPr>
          <w:rFonts w:asciiTheme="minorHAnsi" w:hAnsiTheme="minorHAnsi"/>
          <w:szCs w:val="22"/>
        </w:rPr>
        <w:t xml:space="preserve"> assessments utilizing online surveys</w:t>
      </w:r>
      <w:r w:rsidRPr="00C24AFA">
        <w:rPr>
          <w:rFonts w:asciiTheme="minorHAnsi" w:hAnsiTheme="minorHAnsi"/>
          <w:szCs w:val="22"/>
        </w:rPr>
        <w:t xml:space="preserve">, </w:t>
      </w:r>
      <w:r w:rsidRPr="00C24AFA" w:rsidR="000D5051">
        <w:rPr>
          <w:rFonts w:asciiTheme="minorHAnsi" w:hAnsiTheme="minorHAnsi"/>
          <w:szCs w:val="22"/>
        </w:rPr>
        <w:t xml:space="preserve">healthcare professionals </w:t>
      </w:r>
      <w:r w:rsidRPr="00C24AFA" w:rsidR="00647187">
        <w:rPr>
          <w:rFonts w:asciiTheme="minorHAnsi" w:hAnsiTheme="minorHAnsi"/>
          <w:szCs w:val="22"/>
        </w:rPr>
        <w:t xml:space="preserve">are frequently inundated by numerous entities requesting interviews, surveys, or </w:t>
      </w:r>
      <w:r w:rsidRPr="00C24AFA" w:rsidR="009C0621">
        <w:rPr>
          <w:rFonts w:asciiTheme="minorHAnsi" w:hAnsiTheme="minorHAnsi"/>
          <w:szCs w:val="22"/>
        </w:rPr>
        <w:t xml:space="preserve">other research participation. </w:t>
      </w:r>
      <w:r w:rsidRPr="00C24AFA" w:rsidR="00647187">
        <w:rPr>
          <w:rFonts w:asciiTheme="minorHAnsi" w:hAnsiTheme="minorHAnsi"/>
          <w:szCs w:val="22"/>
        </w:rPr>
        <w:t xml:space="preserve">As a result, </w:t>
      </w:r>
      <w:r w:rsidRPr="00C24AFA" w:rsidR="009C0621">
        <w:rPr>
          <w:rFonts w:asciiTheme="minorHAnsi" w:hAnsiTheme="minorHAnsi"/>
          <w:szCs w:val="22"/>
        </w:rPr>
        <w:t xml:space="preserve">healthcare professionals </w:t>
      </w:r>
      <w:r w:rsidRPr="00C24AFA" w:rsidR="00647187">
        <w:rPr>
          <w:rFonts w:asciiTheme="minorHAnsi" w:hAnsiTheme="minorHAnsi"/>
          <w:szCs w:val="22"/>
        </w:rPr>
        <w:t>often decline to participate</w:t>
      </w:r>
      <w:r w:rsidRPr="00C24AFA" w:rsidR="005F5C29">
        <w:rPr>
          <w:rFonts w:asciiTheme="minorHAnsi" w:hAnsiTheme="minorHAnsi"/>
          <w:szCs w:val="22"/>
        </w:rPr>
        <w:t>, even though they do not have to physically travel to a site</w:t>
      </w:r>
      <w:r w:rsidRPr="00C24AFA" w:rsidR="00647187">
        <w:rPr>
          <w:rFonts w:asciiTheme="minorHAnsi" w:hAnsiTheme="minorHAnsi"/>
          <w:szCs w:val="22"/>
        </w:rPr>
        <w:t xml:space="preserve">. </w:t>
      </w:r>
      <w:r w:rsidRPr="00C24AFA" w:rsidR="00657068">
        <w:rPr>
          <w:rFonts w:asciiTheme="minorHAnsi" w:hAnsiTheme="minorHAnsi"/>
          <w:szCs w:val="22"/>
        </w:rPr>
        <w:t>Because the work being proposed needs to be completed in a short timeframe</w:t>
      </w:r>
      <w:r w:rsidRPr="00C24AFA" w:rsidR="002F5A73">
        <w:rPr>
          <w:rFonts w:asciiTheme="minorHAnsi" w:hAnsiTheme="minorHAnsi"/>
          <w:szCs w:val="22"/>
        </w:rPr>
        <w:t xml:space="preserve">, and the proposed study </w:t>
      </w:r>
      <w:r w:rsidR="00C24AFA">
        <w:rPr>
          <w:rFonts w:asciiTheme="minorHAnsi" w:hAnsiTheme="minorHAnsi"/>
          <w:szCs w:val="22"/>
        </w:rPr>
        <w:t>audiences are</w:t>
      </w:r>
      <w:r w:rsidRPr="00C24AFA" w:rsidR="002F5A73">
        <w:rPr>
          <w:rFonts w:asciiTheme="minorHAnsi" w:hAnsiTheme="minorHAnsi"/>
          <w:szCs w:val="22"/>
        </w:rPr>
        <w:t xml:space="preserve"> restricted to</w:t>
      </w:r>
      <w:r w:rsidRPr="00C24AFA" w:rsidR="00657068">
        <w:rPr>
          <w:rFonts w:asciiTheme="minorHAnsi" w:hAnsiTheme="minorHAnsi"/>
          <w:szCs w:val="22"/>
        </w:rPr>
        <w:t xml:space="preserve"> </w:t>
      </w:r>
      <w:r w:rsidRPr="00C24AFA" w:rsidR="009C0621">
        <w:rPr>
          <w:rFonts w:asciiTheme="minorHAnsi" w:hAnsiTheme="minorHAnsi"/>
          <w:szCs w:val="22"/>
        </w:rPr>
        <w:t xml:space="preserve">specific types of healthcare professionals </w:t>
      </w:r>
      <w:r w:rsidR="00C24AFA">
        <w:rPr>
          <w:rFonts w:asciiTheme="minorHAnsi" w:hAnsiTheme="minorHAnsi"/>
          <w:szCs w:val="22"/>
        </w:rPr>
        <w:t>within one metro area (</w:t>
      </w:r>
      <w:r w:rsidR="001D2E43">
        <w:rPr>
          <w:rFonts w:asciiTheme="minorHAnsi" w:hAnsiTheme="minorHAnsi"/>
          <w:szCs w:val="22"/>
        </w:rPr>
        <w:t>Memphis, TN</w:t>
      </w:r>
      <w:r w:rsidR="00C24AFA">
        <w:rPr>
          <w:rFonts w:asciiTheme="minorHAnsi" w:hAnsiTheme="minorHAnsi"/>
          <w:szCs w:val="22"/>
        </w:rPr>
        <w:t>)</w:t>
      </w:r>
      <w:r w:rsidRPr="00C24AFA" w:rsidR="00657068">
        <w:rPr>
          <w:rFonts w:asciiTheme="minorHAnsi" w:hAnsiTheme="minorHAnsi"/>
          <w:szCs w:val="22"/>
        </w:rPr>
        <w:t xml:space="preserve">, offering a token of appreciation to participants can help ensure that the work is completed within the time allotted. </w:t>
      </w:r>
    </w:p>
    <w:p w:rsidRPr="00C24AFA" w:rsidR="00BE4358" w:rsidP="009C0621" w:rsidRDefault="000D5051" w14:paraId="25C170AA" w14:textId="4460AFB1">
      <w:pPr>
        <w:pStyle w:val="bodytextpsg"/>
        <w:ind w:firstLine="0"/>
        <w:jc w:val="both"/>
        <w:rPr>
          <w:rFonts w:asciiTheme="minorHAnsi" w:hAnsiTheme="minorHAnsi"/>
          <w:bCs/>
          <w:szCs w:val="22"/>
        </w:rPr>
      </w:pPr>
      <w:r w:rsidRPr="00C24AFA">
        <w:rPr>
          <w:rFonts w:asciiTheme="minorHAnsi" w:hAnsiTheme="minorHAnsi"/>
          <w:szCs w:val="22"/>
        </w:rPr>
        <w:t xml:space="preserve">CDC has </w:t>
      </w:r>
      <w:r w:rsidR="001D2E43">
        <w:rPr>
          <w:rFonts w:asciiTheme="minorHAnsi" w:hAnsiTheme="minorHAnsi"/>
          <w:szCs w:val="22"/>
        </w:rPr>
        <w:t xml:space="preserve">previously </w:t>
      </w:r>
      <w:r w:rsidRPr="00C24AFA">
        <w:rPr>
          <w:rFonts w:asciiTheme="minorHAnsi" w:hAnsiTheme="minorHAnsi"/>
          <w:szCs w:val="22"/>
        </w:rPr>
        <w:t xml:space="preserve">contracted with ICF to conduct </w:t>
      </w:r>
      <w:r w:rsidR="00C24AFA">
        <w:rPr>
          <w:rFonts w:asciiTheme="minorHAnsi" w:hAnsiTheme="minorHAnsi"/>
          <w:szCs w:val="22"/>
        </w:rPr>
        <w:t xml:space="preserve">a </w:t>
      </w:r>
      <w:r w:rsidR="001D2E43">
        <w:rPr>
          <w:rFonts w:asciiTheme="minorHAnsi" w:hAnsiTheme="minorHAnsi"/>
          <w:szCs w:val="22"/>
        </w:rPr>
        <w:t>similar</w:t>
      </w:r>
      <w:r w:rsidRPr="00C24AFA">
        <w:rPr>
          <w:rFonts w:asciiTheme="minorHAnsi" w:hAnsiTheme="minorHAnsi"/>
          <w:szCs w:val="22"/>
        </w:rPr>
        <w:t xml:space="preserve"> </w:t>
      </w:r>
      <w:r w:rsidR="00C24AFA">
        <w:rPr>
          <w:rFonts w:asciiTheme="minorHAnsi" w:hAnsiTheme="minorHAnsi"/>
          <w:szCs w:val="22"/>
        </w:rPr>
        <w:t>assessment</w:t>
      </w:r>
      <w:r w:rsidR="001D2E43">
        <w:rPr>
          <w:rFonts w:asciiTheme="minorHAnsi" w:hAnsiTheme="minorHAnsi"/>
          <w:szCs w:val="22"/>
        </w:rPr>
        <w:t xml:space="preserve"> of</w:t>
      </w:r>
      <w:r w:rsidRPr="00C24AFA">
        <w:rPr>
          <w:rFonts w:asciiTheme="minorHAnsi" w:hAnsiTheme="minorHAnsi"/>
          <w:szCs w:val="22"/>
        </w:rPr>
        <w:t xml:space="preserve"> the </w:t>
      </w:r>
      <w:r w:rsidRPr="00C24AFA" w:rsidR="001837E9">
        <w:rPr>
          <w:rFonts w:asciiTheme="minorHAnsi" w:hAnsiTheme="minorHAnsi"/>
          <w:i/>
          <w:szCs w:val="22"/>
        </w:rPr>
        <w:t>Get Ahead of Sepsis</w:t>
      </w:r>
      <w:r w:rsidRPr="00C24AFA">
        <w:rPr>
          <w:rFonts w:asciiTheme="minorHAnsi" w:hAnsiTheme="minorHAnsi"/>
          <w:szCs w:val="22"/>
        </w:rPr>
        <w:t xml:space="preserve"> educational effort </w:t>
      </w:r>
      <w:r w:rsidR="00C24AFA">
        <w:rPr>
          <w:rFonts w:asciiTheme="minorHAnsi" w:hAnsiTheme="minorHAnsi"/>
          <w:szCs w:val="22"/>
        </w:rPr>
        <w:t xml:space="preserve">(2018) </w:t>
      </w:r>
      <w:r w:rsidRPr="00C24AFA">
        <w:rPr>
          <w:rFonts w:asciiTheme="minorHAnsi" w:hAnsiTheme="minorHAnsi"/>
          <w:szCs w:val="22"/>
        </w:rPr>
        <w:t xml:space="preserve">and found </w:t>
      </w:r>
      <w:r w:rsidRPr="00C24AFA" w:rsidR="007812E1">
        <w:rPr>
          <w:rFonts w:asciiTheme="minorHAnsi" w:hAnsiTheme="minorHAnsi"/>
          <w:szCs w:val="22"/>
        </w:rPr>
        <w:t xml:space="preserve">that </w:t>
      </w:r>
      <w:r w:rsidRPr="00C24AFA" w:rsidR="006460A9">
        <w:rPr>
          <w:rFonts w:asciiTheme="minorHAnsi" w:hAnsiTheme="minorHAnsi"/>
          <w:szCs w:val="22"/>
        </w:rPr>
        <w:t xml:space="preserve">a monetary gift </w:t>
      </w:r>
      <w:r w:rsidRPr="00C24AFA" w:rsidR="00553DAD">
        <w:rPr>
          <w:rFonts w:asciiTheme="minorHAnsi" w:hAnsiTheme="minorHAnsi"/>
          <w:szCs w:val="22"/>
        </w:rPr>
        <w:t>of</w:t>
      </w:r>
      <w:r w:rsidR="00C24AFA">
        <w:rPr>
          <w:rFonts w:asciiTheme="minorHAnsi" w:hAnsiTheme="minorHAnsi"/>
          <w:szCs w:val="22"/>
        </w:rPr>
        <w:t xml:space="preserve"> approximately</w:t>
      </w:r>
      <w:r w:rsidRPr="00C24AFA" w:rsidR="001E38A6">
        <w:rPr>
          <w:rFonts w:asciiTheme="minorHAnsi" w:hAnsiTheme="minorHAnsi"/>
          <w:szCs w:val="22"/>
        </w:rPr>
        <w:t xml:space="preserve"> </w:t>
      </w:r>
      <w:r w:rsidR="00C24AFA">
        <w:rPr>
          <w:rFonts w:asciiTheme="minorHAnsi" w:hAnsiTheme="minorHAnsi"/>
          <w:szCs w:val="22"/>
        </w:rPr>
        <w:t>$30</w:t>
      </w:r>
      <w:r w:rsidRPr="00C24AFA" w:rsidR="007812E1">
        <w:rPr>
          <w:rFonts w:asciiTheme="minorHAnsi" w:hAnsiTheme="minorHAnsi"/>
          <w:szCs w:val="22"/>
        </w:rPr>
        <w:t xml:space="preserve"> </w:t>
      </w:r>
      <w:r w:rsidRPr="00C24AFA" w:rsidR="00553DAD">
        <w:rPr>
          <w:rFonts w:asciiTheme="minorHAnsi" w:hAnsiTheme="minorHAnsi"/>
          <w:szCs w:val="22"/>
        </w:rPr>
        <w:t xml:space="preserve">for </w:t>
      </w:r>
      <w:r w:rsidR="00C24AFA">
        <w:rPr>
          <w:rFonts w:asciiTheme="minorHAnsi" w:hAnsiTheme="minorHAnsi"/>
          <w:szCs w:val="22"/>
        </w:rPr>
        <w:t>similar HCP audiences</w:t>
      </w:r>
      <w:r w:rsidRPr="00C24AFA" w:rsidR="00553DAD">
        <w:rPr>
          <w:rFonts w:asciiTheme="minorHAnsi" w:hAnsiTheme="minorHAnsi"/>
          <w:szCs w:val="22"/>
        </w:rPr>
        <w:t xml:space="preserve"> </w:t>
      </w:r>
      <w:r w:rsidRPr="00C24AFA" w:rsidR="006460A9">
        <w:rPr>
          <w:rFonts w:asciiTheme="minorHAnsi" w:hAnsiTheme="minorHAnsi"/>
          <w:szCs w:val="22"/>
        </w:rPr>
        <w:t xml:space="preserve">is adequate for </w:t>
      </w:r>
      <w:r w:rsidRPr="00C24AFA" w:rsidR="007812E1">
        <w:rPr>
          <w:rFonts w:asciiTheme="minorHAnsi" w:hAnsiTheme="minorHAnsi"/>
          <w:szCs w:val="22"/>
        </w:rPr>
        <w:t xml:space="preserve">a </w:t>
      </w:r>
      <w:r w:rsidR="00C24AFA">
        <w:rPr>
          <w:rFonts w:asciiTheme="minorHAnsi" w:hAnsiTheme="minorHAnsi"/>
          <w:szCs w:val="22"/>
        </w:rPr>
        <w:t>2</w:t>
      </w:r>
      <w:r w:rsidRPr="00C24AFA" w:rsidR="007812E1">
        <w:rPr>
          <w:rFonts w:asciiTheme="minorHAnsi" w:hAnsiTheme="minorHAnsi"/>
          <w:szCs w:val="22"/>
        </w:rPr>
        <w:t xml:space="preserve">0-minute, online </w:t>
      </w:r>
      <w:r w:rsidR="00C24AFA">
        <w:rPr>
          <w:rFonts w:asciiTheme="minorHAnsi" w:hAnsiTheme="minorHAnsi"/>
          <w:szCs w:val="22"/>
        </w:rPr>
        <w:t>survey</w:t>
      </w:r>
      <w:r w:rsidRPr="00C24AFA" w:rsidR="00DF541A">
        <w:rPr>
          <w:rFonts w:asciiTheme="minorHAnsi" w:hAnsiTheme="minorHAnsi"/>
          <w:szCs w:val="22"/>
        </w:rPr>
        <w:t>, especially</w:t>
      </w:r>
      <w:r w:rsidRPr="00C24AFA" w:rsidR="004324B5">
        <w:rPr>
          <w:rFonts w:asciiTheme="minorHAnsi" w:hAnsiTheme="minorHAnsi"/>
          <w:szCs w:val="22"/>
        </w:rPr>
        <w:t xml:space="preserve"> given </w:t>
      </w:r>
      <w:proofErr w:type="spellStart"/>
      <w:r w:rsidR="00C24AFA">
        <w:rPr>
          <w:rFonts w:asciiTheme="minorHAnsi" w:hAnsiTheme="minorHAnsi"/>
          <w:szCs w:val="22"/>
        </w:rPr>
        <w:t>HCPs’</w:t>
      </w:r>
      <w:proofErr w:type="spellEnd"/>
      <w:r w:rsidRPr="00C24AFA" w:rsidR="004324B5">
        <w:rPr>
          <w:rFonts w:asciiTheme="minorHAnsi" w:hAnsiTheme="minorHAnsi"/>
          <w:szCs w:val="22"/>
        </w:rPr>
        <w:t xml:space="preserve"> </w:t>
      </w:r>
      <w:r w:rsidRPr="00C24AFA" w:rsidR="002F5A73">
        <w:rPr>
          <w:rFonts w:asciiTheme="minorHAnsi" w:hAnsiTheme="minorHAnsi"/>
          <w:szCs w:val="22"/>
        </w:rPr>
        <w:t xml:space="preserve">training and education, specialization, and </w:t>
      </w:r>
      <w:r w:rsidRPr="00C24AFA" w:rsidR="003660B6">
        <w:rPr>
          <w:rFonts w:asciiTheme="minorHAnsi" w:hAnsiTheme="minorHAnsi"/>
          <w:szCs w:val="22"/>
        </w:rPr>
        <w:t xml:space="preserve">role and </w:t>
      </w:r>
      <w:r w:rsidRPr="00C24AFA" w:rsidR="004324B5">
        <w:rPr>
          <w:rFonts w:asciiTheme="minorHAnsi" w:hAnsiTheme="minorHAnsi"/>
          <w:szCs w:val="22"/>
        </w:rPr>
        <w:t xml:space="preserve">responsibilities related to </w:t>
      </w:r>
      <w:r w:rsidRPr="00C24AFA" w:rsidR="001837E9">
        <w:rPr>
          <w:rFonts w:asciiTheme="minorHAnsi" w:hAnsiTheme="minorHAnsi"/>
          <w:szCs w:val="22"/>
        </w:rPr>
        <w:t>sepsis recognition</w:t>
      </w:r>
      <w:r w:rsidRPr="00C24AFA" w:rsidR="009C0621">
        <w:rPr>
          <w:rFonts w:asciiTheme="minorHAnsi" w:hAnsiTheme="minorHAnsi"/>
          <w:szCs w:val="22"/>
        </w:rPr>
        <w:t xml:space="preserve"> and treatment</w:t>
      </w:r>
      <w:r w:rsidRPr="00C24AFA" w:rsidR="001837E9">
        <w:rPr>
          <w:rFonts w:asciiTheme="minorHAnsi" w:hAnsiTheme="minorHAnsi"/>
          <w:szCs w:val="22"/>
        </w:rPr>
        <w:t xml:space="preserve">. </w:t>
      </w:r>
      <w:r w:rsidRPr="00C24AFA" w:rsidR="002F5A73">
        <w:rPr>
          <w:rFonts w:asciiTheme="minorHAnsi" w:hAnsiTheme="minorHAnsi"/>
          <w:szCs w:val="22"/>
        </w:rPr>
        <w:t>Even at these levels, r</w:t>
      </w:r>
      <w:r w:rsidRPr="00C24AFA" w:rsidR="009C0621">
        <w:rPr>
          <w:rFonts w:asciiTheme="minorHAnsi" w:hAnsiTheme="minorHAnsi"/>
          <w:szCs w:val="22"/>
        </w:rPr>
        <w:t>esearch recruitment proved to be difficult</w:t>
      </w:r>
      <w:r w:rsidRPr="00C24AFA" w:rsidR="00BE4358">
        <w:rPr>
          <w:rFonts w:asciiTheme="minorHAnsi" w:hAnsiTheme="minorHAnsi"/>
          <w:szCs w:val="22"/>
        </w:rPr>
        <w:t xml:space="preserve"> within the time frame available for this work, </w:t>
      </w:r>
      <w:r w:rsidR="00C24AFA">
        <w:rPr>
          <w:rFonts w:asciiTheme="minorHAnsi" w:hAnsiTheme="minorHAnsi"/>
          <w:szCs w:val="22"/>
        </w:rPr>
        <w:t xml:space="preserve">especially for </w:t>
      </w:r>
      <w:r w:rsidR="00494FE0">
        <w:rPr>
          <w:rFonts w:asciiTheme="minorHAnsi" w:hAnsiTheme="minorHAnsi"/>
          <w:szCs w:val="22"/>
        </w:rPr>
        <w:t>identifying individuals within the specified target audiences who had been exposed to the educational effort</w:t>
      </w:r>
      <w:r w:rsidRPr="00C24AFA" w:rsidR="006460A9">
        <w:rPr>
          <w:rFonts w:asciiTheme="minorHAnsi" w:hAnsiTheme="minorHAnsi"/>
          <w:bCs/>
          <w:szCs w:val="22"/>
        </w:rPr>
        <w:t xml:space="preserve">. In response to offering this </w:t>
      </w:r>
      <w:r w:rsidRPr="00C24AFA" w:rsidR="00BE4358">
        <w:rPr>
          <w:rFonts w:asciiTheme="minorHAnsi" w:hAnsiTheme="minorHAnsi"/>
          <w:bCs/>
          <w:szCs w:val="22"/>
        </w:rPr>
        <w:t xml:space="preserve">incentive </w:t>
      </w:r>
      <w:r w:rsidRPr="00C24AFA" w:rsidR="006460A9">
        <w:rPr>
          <w:rFonts w:asciiTheme="minorHAnsi" w:hAnsiTheme="minorHAnsi"/>
          <w:bCs/>
          <w:szCs w:val="22"/>
        </w:rPr>
        <w:t xml:space="preserve">level, </w:t>
      </w:r>
      <w:r w:rsidR="00494FE0">
        <w:rPr>
          <w:rFonts w:asciiTheme="minorHAnsi" w:hAnsiTheme="minorHAnsi"/>
          <w:bCs/>
          <w:szCs w:val="22"/>
        </w:rPr>
        <w:t>HCP</w:t>
      </w:r>
      <w:r w:rsidRPr="00C24AFA" w:rsidR="00BE4358">
        <w:rPr>
          <w:rFonts w:asciiTheme="minorHAnsi" w:hAnsiTheme="minorHAnsi"/>
          <w:bCs/>
          <w:szCs w:val="22"/>
        </w:rPr>
        <w:t xml:space="preserve">s </w:t>
      </w:r>
      <w:r w:rsidRPr="00C24AFA" w:rsidR="006460A9">
        <w:rPr>
          <w:rFonts w:asciiTheme="minorHAnsi" w:hAnsiTheme="minorHAnsi"/>
          <w:bCs/>
          <w:szCs w:val="22"/>
        </w:rPr>
        <w:t xml:space="preserve">are more likely to </w:t>
      </w:r>
      <w:r w:rsidR="00494FE0">
        <w:rPr>
          <w:rFonts w:asciiTheme="minorHAnsi" w:hAnsiTheme="minorHAnsi"/>
          <w:bCs/>
          <w:szCs w:val="22"/>
        </w:rPr>
        <w:t>complete the online surveys, especially the post-test survey</w:t>
      </w:r>
      <w:r w:rsidRPr="00C24AFA" w:rsidR="006460A9">
        <w:rPr>
          <w:rFonts w:asciiTheme="minorHAnsi" w:hAnsiTheme="minorHAnsi"/>
          <w:bCs/>
          <w:szCs w:val="22"/>
        </w:rPr>
        <w:t xml:space="preserve">. Lower </w:t>
      </w:r>
      <w:r w:rsidRPr="00C24AFA" w:rsidR="00BE4358">
        <w:rPr>
          <w:rFonts w:asciiTheme="minorHAnsi" w:hAnsiTheme="minorHAnsi"/>
          <w:bCs/>
          <w:szCs w:val="22"/>
        </w:rPr>
        <w:t xml:space="preserve">incentive </w:t>
      </w:r>
      <w:r w:rsidRPr="00C24AFA" w:rsidR="006460A9">
        <w:rPr>
          <w:rFonts w:asciiTheme="minorHAnsi" w:hAnsiTheme="minorHAnsi"/>
          <w:bCs/>
          <w:szCs w:val="22"/>
        </w:rPr>
        <w:t xml:space="preserve">amounts could </w:t>
      </w:r>
      <w:r w:rsidRPr="00C24AFA" w:rsidR="00BE4358">
        <w:rPr>
          <w:rFonts w:asciiTheme="minorHAnsi" w:hAnsiTheme="minorHAnsi"/>
          <w:bCs/>
          <w:szCs w:val="22"/>
        </w:rPr>
        <w:t>lead to inadequate participation, delayed results, and/or</w:t>
      </w:r>
      <w:r w:rsidRPr="00C24AFA" w:rsidR="006460A9">
        <w:rPr>
          <w:rFonts w:asciiTheme="minorHAnsi" w:hAnsiTheme="minorHAnsi"/>
          <w:bCs/>
          <w:szCs w:val="22"/>
        </w:rPr>
        <w:t xml:space="preserve"> higher recruiting costs and burden to the public due to the need for additional </w:t>
      </w:r>
      <w:r w:rsidRPr="00C24AFA" w:rsidR="00BE4358">
        <w:rPr>
          <w:rFonts w:asciiTheme="minorHAnsi" w:hAnsiTheme="minorHAnsi"/>
          <w:bCs/>
          <w:szCs w:val="22"/>
        </w:rPr>
        <w:t>screening</w:t>
      </w:r>
      <w:r w:rsidRPr="00C24AFA" w:rsidR="006460A9">
        <w:rPr>
          <w:rFonts w:asciiTheme="minorHAnsi" w:hAnsiTheme="minorHAnsi"/>
          <w:bCs/>
          <w:szCs w:val="22"/>
        </w:rPr>
        <w:t>.</w:t>
      </w:r>
      <w:r w:rsidRPr="00C24AFA" w:rsidR="00000EAC">
        <w:rPr>
          <w:rFonts w:asciiTheme="minorHAnsi" w:hAnsiTheme="minorHAnsi"/>
          <w:bCs/>
          <w:szCs w:val="22"/>
          <w:vertAlign w:val="superscript"/>
        </w:rPr>
        <w:t>5</w:t>
      </w:r>
      <w:r w:rsidRPr="00C24AFA" w:rsidR="009C0621">
        <w:rPr>
          <w:rFonts w:asciiTheme="minorHAnsi" w:hAnsiTheme="minorHAnsi"/>
          <w:bCs/>
          <w:szCs w:val="22"/>
        </w:rPr>
        <w:t xml:space="preserve"> </w:t>
      </w:r>
    </w:p>
    <w:p w:rsidRPr="00C24AFA" w:rsidR="00DF541A" w:rsidP="00DF541A" w:rsidRDefault="00494FE0" w14:paraId="76C913E8" w14:textId="1109F9E0">
      <w:pPr>
        <w:pStyle w:val="bodytextpsg"/>
        <w:ind w:firstLine="0"/>
        <w:jc w:val="both"/>
        <w:rPr>
          <w:rFonts w:asciiTheme="minorHAnsi" w:hAnsiTheme="minorHAnsi"/>
          <w:bCs/>
          <w:szCs w:val="22"/>
        </w:rPr>
      </w:pPr>
      <w:r>
        <w:rPr>
          <w:rFonts w:asciiTheme="minorHAnsi" w:hAnsiTheme="minorHAnsi"/>
          <w:bCs/>
          <w:szCs w:val="22"/>
        </w:rPr>
        <w:t>In addition to ICF’s</w:t>
      </w:r>
      <w:r w:rsidR="001D2E43">
        <w:rPr>
          <w:rFonts w:asciiTheme="minorHAnsi" w:hAnsiTheme="minorHAnsi"/>
          <w:bCs/>
          <w:szCs w:val="22"/>
        </w:rPr>
        <w:t xml:space="preserve"> previous</w:t>
      </w:r>
      <w:r>
        <w:rPr>
          <w:rFonts w:asciiTheme="minorHAnsi" w:hAnsiTheme="minorHAnsi"/>
          <w:bCs/>
          <w:szCs w:val="22"/>
        </w:rPr>
        <w:t xml:space="preserve"> experience conducting a </w:t>
      </w:r>
      <w:r w:rsidR="001D2E43">
        <w:rPr>
          <w:rFonts w:asciiTheme="minorHAnsi" w:hAnsiTheme="minorHAnsi"/>
          <w:bCs/>
          <w:szCs w:val="22"/>
        </w:rPr>
        <w:t>similar</w:t>
      </w:r>
      <w:r>
        <w:rPr>
          <w:rFonts w:asciiTheme="minorHAnsi" w:hAnsiTheme="minorHAnsi"/>
          <w:bCs/>
          <w:szCs w:val="22"/>
        </w:rPr>
        <w:t xml:space="preserve"> assessment of the </w:t>
      </w:r>
      <w:r>
        <w:rPr>
          <w:rFonts w:asciiTheme="minorHAnsi" w:hAnsiTheme="minorHAnsi"/>
          <w:bCs/>
          <w:i/>
          <w:szCs w:val="22"/>
        </w:rPr>
        <w:t>Get Ahead of Sepsis</w:t>
      </w:r>
      <w:r>
        <w:rPr>
          <w:rFonts w:asciiTheme="minorHAnsi" w:hAnsiTheme="minorHAnsi"/>
          <w:bCs/>
          <w:szCs w:val="22"/>
        </w:rPr>
        <w:t xml:space="preserve">, we have also consulted with an online survey panel vendor who specializes in recruiting HCPs for this type of assessment and who is familiar with these HCP populations within the </w:t>
      </w:r>
      <w:r w:rsidR="001D2E43">
        <w:rPr>
          <w:rFonts w:asciiTheme="minorHAnsi" w:hAnsiTheme="minorHAnsi"/>
          <w:bCs/>
          <w:szCs w:val="22"/>
        </w:rPr>
        <w:t>Memphis</w:t>
      </w:r>
      <w:r>
        <w:rPr>
          <w:rFonts w:asciiTheme="minorHAnsi" w:hAnsiTheme="minorHAnsi"/>
          <w:bCs/>
          <w:szCs w:val="22"/>
        </w:rPr>
        <w:t xml:space="preserve"> area</w:t>
      </w:r>
      <w:r w:rsidRPr="00C24AFA" w:rsidR="001E6544">
        <w:rPr>
          <w:rFonts w:asciiTheme="minorHAnsi" w:hAnsiTheme="minorHAnsi"/>
          <w:szCs w:val="22"/>
        </w:rPr>
        <w:t>.</w:t>
      </w:r>
      <w:r>
        <w:rPr>
          <w:rFonts w:asciiTheme="minorHAnsi" w:hAnsiTheme="minorHAnsi"/>
          <w:szCs w:val="22"/>
        </w:rPr>
        <w:t xml:space="preserve"> Because the maximum available audience sizes are limited by the geographic specifications of this assessment, it will be necessary to recruit a larger percentage of the overall population for the smaller target audiences. Therefore, based on the vendor’s expertise and a brief review of the population size for each of the specified target audiences, the vendor recommended a tiered incentive structure, with higher incentives offered for target audiences with a smaller population in the target market and lower incentives offered for larger target audiences. They believe that the incentives noted above will be adequate to recruit the maximum response from each target audience up to a maximum of 30 responses per target audience. </w:t>
      </w:r>
      <w:r w:rsidRPr="00C24AFA" w:rsidR="001E6544">
        <w:rPr>
          <w:rFonts w:asciiTheme="minorHAnsi" w:hAnsiTheme="minorHAnsi"/>
          <w:szCs w:val="22"/>
        </w:rPr>
        <w:t xml:space="preserve"> </w:t>
      </w:r>
    </w:p>
    <w:p w:rsidRPr="00C24AFA" w:rsidR="00820DA2" w:rsidP="00820DA2" w:rsidRDefault="00886869" w14:paraId="05AA373F" w14:textId="45B4468B">
      <w:pPr>
        <w:tabs>
          <w:tab w:val="left" w:pos="360"/>
        </w:tabs>
        <w:spacing w:after="60" w:line="240" w:lineRule="auto"/>
        <w:rPr>
          <w:rFonts w:cs="Times New Roman"/>
        </w:rPr>
      </w:pPr>
      <w:r>
        <w:pict w14:anchorId="30031CA3">
          <v:rect id="_x0000_i1025" style="width:0;height:1.5pt" o:hr="t" o:hrstd="t" o:hralign="center" fillcolor="#a0a0a0" stroked="f"/>
        </w:pict>
      </w:r>
    </w:p>
    <w:p w:rsidRPr="00C24AFA" w:rsidR="00820DA2" w:rsidP="00820DA2" w:rsidRDefault="00025433" w14:paraId="5F74F1F5" w14:textId="28CE8DED">
      <w:pPr>
        <w:tabs>
          <w:tab w:val="left" w:pos="360"/>
        </w:tabs>
        <w:spacing w:after="60" w:line="240" w:lineRule="auto"/>
        <w:rPr>
          <w:rFonts w:cs="Times New Roman"/>
          <w:b/>
        </w:rPr>
      </w:pPr>
      <w:r w:rsidRPr="00C24AFA">
        <w:rPr>
          <w:rFonts w:cs="Times New Roman"/>
          <w:b/>
        </w:rPr>
        <w:t>References</w:t>
      </w:r>
    </w:p>
    <w:p w:rsidRPr="00C24AFA" w:rsidR="00510F71" w:rsidP="00044C49" w:rsidRDefault="00510F71" w14:paraId="36E974B5" w14:textId="026E6067">
      <w:pPr>
        <w:pStyle w:val="ListParagraph"/>
        <w:numPr>
          <w:ilvl w:val="0"/>
          <w:numId w:val="22"/>
        </w:numPr>
        <w:tabs>
          <w:tab w:val="left" w:pos="360"/>
        </w:tabs>
        <w:spacing w:after="60" w:line="240" w:lineRule="auto"/>
        <w:ind w:hanging="720"/>
        <w:contextualSpacing w:val="0"/>
        <w:rPr>
          <w:rFonts w:cs="Times New Roman"/>
        </w:rPr>
      </w:pPr>
      <w:proofErr w:type="spellStart"/>
      <w:r w:rsidRPr="00C24AFA">
        <w:rPr>
          <w:rFonts w:cs="Times New Roman"/>
        </w:rPr>
        <w:lastRenderedPageBreak/>
        <w:t>Bonevski</w:t>
      </w:r>
      <w:proofErr w:type="spellEnd"/>
      <w:r w:rsidRPr="00C24AFA">
        <w:rPr>
          <w:rFonts w:cs="Times New Roman"/>
        </w:rPr>
        <w:t xml:space="preserve">, B.; Randell, M.; Paul, C.; Chapman, K.; </w:t>
      </w:r>
      <w:proofErr w:type="spellStart"/>
      <w:r w:rsidRPr="00C24AFA">
        <w:rPr>
          <w:rFonts w:cs="Times New Roman"/>
        </w:rPr>
        <w:t>Twyman</w:t>
      </w:r>
      <w:proofErr w:type="spellEnd"/>
      <w:r w:rsidRPr="00C24AFA">
        <w:rPr>
          <w:rFonts w:cs="Times New Roman"/>
        </w:rPr>
        <w:t xml:space="preserve">, L.; Bryant, J.; </w:t>
      </w:r>
      <w:proofErr w:type="spellStart"/>
      <w:r w:rsidRPr="00C24AFA">
        <w:rPr>
          <w:rFonts w:cs="Times New Roman"/>
        </w:rPr>
        <w:t>Brozek</w:t>
      </w:r>
      <w:proofErr w:type="spellEnd"/>
      <w:r w:rsidRPr="00C24AFA">
        <w:rPr>
          <w:rFonts w:cs="Times New Roman"/>
        </w:rPr>
        <w:t xml:space="preserve">, I.; Hughes, C. Reaching the hard-to-reach: A systematic review of strategies for improving health and medical research with socially disadvantaged groups. </w:t>
      </w:r>
      <w:r w:rsidRPr="00C24AFA">
        <w:rPr>
          <w:rFonts w:cs="Times New Roman"/>
          <w:i/>
        </w:rPr>
        <w:t xml:space="preserve">BMC Med. Res. </w:t>
      </w:r>
      <w:proofErr w:type="spellStart"/>
      <w:r w:rsidRPr="00C24AFA">
        <w:rPr>
          <w:rFonts w:cs="Times New Roman"/>
          <w:i/>
        </w:rPr>
        <w:t>Methodol</w:t>
      </w:r>
      <w:proofErr w:type="spellEnd"/>
      <w:r w:rsidRPr="00C24AFA">
        <w:rPr>
          <w:rFonts w:cs="Times New Roman"/>
          <w:i/>
        </w:rPr>
        <w:t xml:space="preserve"> 14</w:t>
      </w:r>
      <w:r w:rsidRPr="00C24AFA">
        <w:rPr>
          <w:rFonts w:cs="Times New Roman"/>
        </w:rPr>
        <w:t>(42).</w:t>
      </w:r>
    </w:p>
    <w:p w:rsidRPr="00C24AFA" w:rsidR="001E2292" w:rsidP="00044C49" w:rsidRDefault="001E2292" w14:paraId="3D010369" w14:textId="77777777">
      <w:pPr>
        <w:numPr>
          <w:ilvl w:val="0"/>
          <w:numId w:val="22"/>
        </w:numPr>
        <w:tabs>
          <w:tab w:val="left" w:pos="360"/>
        </w:tabs>
        <w:spacing w:after="60" w:line="240" w:lineRule="auto"/>
        <w:ind w:hanging="720"/>
        <w:rPr>
          <w:rFonts w:cs="Times New Roman"/>
        </w:rPr>
      </w:pPr>
      <w:proofErr w:type="spellStart"/>
      <w:r w:rsidRPr="00C24AFA">
        <w:rPr>
          <w:rFonts w:cs="Times New Roman"/>
        </w:rPr>
        <w:t>Salant</w:t>
      </w:r>
      <w:proofErr w:type="spellEnd"/>
      <w:r w:rsidRPr="00C24AFA">
        <w:rPr>
          <w:rFonts w:cs="Times New Roman"/>
        </w:rPr>
        <w:t xml:space="preserve">, P. and </w:t>
      </w:r>
      <w:proofErr w:type="spellStart"/>
      <w:r w:rsidRPr="00C24AFA">
        <w:rPr>
          <w:rFonts w:cs="Times New Roman"/>
        </w:rPr>
        <w:t>Dillman</w:t>
      </w:r>
      <w:proofErr w:type="spellEnd"/>
      <w:r w:rsidRPr="00C24AFA">
        <w:rPr>
          <w:rFonts w:cs="Times New Roman"/>
        </w:rPr>
        <w:t xml:space="preserve">, D.A. (1994). </w:t>
      </w:r>
      <w:r w:rsidRPr="00C24AFA">
        <w:rPr>
          <w:rFonts w:cs="Times New Roman"/>
          <w:i/>
          <w:iCs/>
        </w:rPr>
        <w:t>How to Conduct Your Own Survey</w:t>
      </w:r>
      <w:r w:rsidRPr="00C24AFA">
        <w:rPr>
          <w:rFonts w:cs="Times New Roman"/>
        </w:rPr>
        <w:t>. New York, NY: John Wiley &amp; Sons, Inc.</w:t>
      </w:r>
      <w:bookmarkStart w:name="_Toc58902754" w:id="1"/>
    </w:p>
    <w:p w:rsidRPr="00C24AFA" w:rsidR="001E2292" w:rsidP="00044C49" w:rsidRDefault="001E2292" w14:paraId="1456357D" w14:textId="77777777">
      <w:pPr>
        <w:numPr>
          <w:ilvl w:val="0"/>
          <w:numId w:val="22"/>
        </w:numPr>
        <w:tabs>
          <w:tab w:val="left" w:pos="360"/>
        </w:tabs>
        <w:spacing w:after="60" w:line="240" w:lineRule="auto"/>
        <w:ind w:hanging="720"/>
        <w:rPr>
          <w:rFonts w:cs="Times New Roman"/>
        </w:rPr>
      </w:pPr>
      <w:r w:rsidRPr="00C24AFA">
        <w:rPr>
          <w:rFonts w:cs="Times New Roman"/>
        </w:rPr>
        <w:t>Church, A.H. (1993). “Estimating the effect of Incentives on Mail Survey Response Rates: A</w:t>
      </w:r>
      <w:bookmarkEnd w:id="1"/>
      <w:r w:rsidRPr="00C24AFA">
        <w:rPr>
          <w:rFonts w:cs="Times New Roman"/>
        </w:rPr>
        <w:t xml:space="preserve"> </w:t>
      </w:r>
      <w:proofErr w:type="spellStart"/>
      <w:r w:rsidRPr="00C24AFA">
        <w:rPr>
          <w:rFonts w:cs="Times New Roman"/>
        </w:rPr>
        <w:t>Meta Analysis</w:t>
      </w:r>
      <w:proofErr w:type="spellEnd"/>
      <w:r w:rsidRPr="00C24AFA">
        <w:rPr>
          <w:rFonts w:cs="Times New Roman"/>
        </w:rPr>
        <w:t xml:space="preserve">.” </w:t>
      </w:r>
      <w:r w:rsidRPr="00C24AFA">
        <w:rPr>
          <w:rFonts w:cs="Times New Roman"/>
          <w:i/>
          <w:iCs/>
        </w:rPr>
        <w:t>Public Opinion Quarterly 57</w:t>
      </w:r>
      <w:r w:rsidRPr="00C24AFA">
        <w:rPr>
          <w:rFonts w:cs="Times New Roman"/>
        </w:rPr>
        <w:t>: 62-79.</w:t>
      </w:r>
    </w:p>
    <w:p w:rsidRPr="00C24AFA" w:rsidR="001E2292" w:rsidP="00044C49" w:rsidRDefault="001E2292" w14:paraId="4AD205B3" w14:textId="77777777">
      <w:pPr>
        <w:numPr>
          <w:ilvl w:val="0"/>
          <w:numId w:val="22"/>
        </w:numPr>
        <w:tabs>
          <w:tab w:val="left" w:pos="360"/>
        </w:tabs>
        <w:spacing w:after="60" w:line="240" w:lineRule="auto"/>
        <w:ind w:hanging="720"/>
        <w:rPr>
          <w:rFonts w:cs="Times New Roman"/>
        </w:rPr>
      </w:pPr>
      <w:r w:rsidRPr="00C24AFA">
        <w:rPr>
          <w:rFonts w:cs="Times New Roman"/>
        </w:rPr>
        <w:t xml:space="preserve">Groves, R. and Couper, M. (1998). </w:t>
      </w:r>
      <w:proofErr w:type="spellStart"/>
      <w:r w:rsidRPr="00C24AFA">
        <w:rPr>
          <w:rFonts w:cs="Times New Roman"/>
          <w:i/>
          <w:iCs/>
        </w:rPr>
        <w:t>Nonreponse</w:t>
      </w:r>
      <w:proofErr w:type="spellEnd"/>
      <w:r w:rsidRPr="00C24AFA">
        <w:rPr>
          <w:rFonts w:cs="Times New Roman"/>
          <w:i/>
          <w:iCs/>
        </w:rPr>
        <w:t xml:space="preserve"> in Household Interview Surveys</w:t>
      </w:r>
      <w:r w:rsidRPr="00C24AFA">
        <w:rPr>
          <w:rFonts w:cs="Times New Roman"/>
        </w:rPr>
        <w:t>. New York, NY: John Wiley &amp; Sons, Inc.</w:t>
      </w:r>
    </w:p>
    <w:p w:rsidRPr="00C24AFA" w:rsidR="00C1727F" w:rsidP="00044C49" w:rsidRDefault="00C1727F" w14:paraId="3489FD97" w14:textId="4DBDC0CC">
      <w:pPr>
        <w:numPr>
          <w:ilvl w:val="0"/>
          <w:numId w:val="22"/>
        </w:numPr>
        <w:tabs>
          <w:tab w:val="left" w:pos="360"/>
        </w:tabs>
        <w:spacing w:after="60" w:line="240" w:lineRule="auto"/>
        <w:ind w:hanging="720"/>
        <w:rPr>
          <w:rFonts w:cs="Times New Roman"/>
        </w:rPr>
      </w:pPr>
      <w:r w:rsidRPr="00C24AFA">
        <w:rPr>
          <w:rFonts w:cs="Times New Roman"/>
        </w:rPr>
        <w:t xml:space="preserve">Krueger, R. and Casey, M. (2009) </w:t>
      </w:r>
      <w:r w:rsidRPr="00C24AFA">
        <w:rPr>
          <w:rFonts w:cs="Times New Roman"/>
          <w:i/>
        </w:rPr>
        <w:t>Focus Groups: A Practical Guide for Applied Research</w:t>
      </w:r>
      <w:r w:rsidRPr="00C24AFA">
        <w:rPr>
          <w:rFonts w:cs="Times New Roman"/>
        </w:rPr>
        <w:t>. Sage Publications</w:t>
      </w:r>
      <w:r w:rsidRPr="00C24AFA" w:rsidR="00FB14CA">
        <w:rPr>
          <w:rFonts w:cs="Times New Roman"/>
        </w:rPr>
        <w:t>:</w:t>
      </w:r>
      <w:r w:rsidRPr="00C24AFA">
        <w:rPr>
          <w:rFonts w:cs="Times New Roman"/>
        </w:rPr>
        <w:t xml:space="preserve"> Thousand Oaks, CA.</w:t>
      </w:r>
    </w:p>
    <w:p w:rsidRPr="00C24AFA" w:rsidR="00DE2E83" w:rsidP="00044C49" w:rsidRDefault="00DE2E83" w14:paraId="00600604" w14:textId="18489BB4">
      <w:pPr>
        <w:numPr>
          <w:ilvl w:val="0"/>
          <w:numId w:val="22"/>
        </w:numPr>
        <w:tabs>
          <w:tab w:val="left" w:pos="360"/>
        </w:tabs>
        <w:spacing w:after="60" w:line="240" w:lineRule="auto"/>
        <w:ind w:hanging="720"/>
        <w:rPr>
          <w:rFonts w:cs="Times New Roman"/>
        </w:rPr>
      </w:pPr>
      <w:r w:rsidRPr="00C24AFA">
        <w:rPr>
          <w:rFonts w:cs="Times New Roman"/>
        </w:rPr>
        <w:t xml:space="preserve">Robinson, K.A., Dennison, C.R., </w:t>
      </w:r>
      <w:proofErr w:type="spellStart"/>
      <w:r w:rsidRPr="00C24AFA">
        <w:rPr>
          <w:rFonts w:cs="Times New Roman"/>
        </w:rPr>
        <w:t>Wayman</w:t>
      </w:r>
      <w:proofErr w:type="spellEnd"/>
      <w:r w:rsidRPr="00C24AFA">
        <w:rPr>
          <w:rFonts w:cs="Times New Roman"/>
        </w:rPr>
        <w:t xml:space="preserve">, D.M., </w:t>
      </w:r>
      <w:proofErr w:type="spellStart"/>
      <w:r w:rsidRPr="00C24AFA">
        <w:rPr>
          <w:rFonts w:cs="Times New Roman"/>
        </w:rPr>
        <w:t>Pronovost</w:t>
      </w:r>
      <w:proofErr w:type="spellEnd"/>
      <w:r w:rsidRPr="00C24AFA">
        <w:rPr>
          <w:rFonts w:cs="Times New Roman"/>
        </w:rPr>
        <w:t>, P.J., and Needham, D.M. (2007). Systematic review identifies number of strategies important for retaining study participants</w:t>
      </w:r>
      <w:r w:rsidRPr="00C24AFA" w:rsidR="00365922">
        <w:rPr>
          <w:rFonts w:cs="Times New Roman"/>
        </w:rPr>
        <w:t xml:space="preserve">. </w:t>
      </w:r>
      <w:r w:rsidRPr="00C24AFA" w:rsidR="00365922">
        <w:rPr>
          <w:rFonts w:cs="Times New Roman"/>
          <w:i/>
        </w:rPr>
        <w:t xml:space="preserve">J </w:t>
      </w:r>
      <w:proofErr w:type="spellStart"/>
      <w:r w:rsidRPr="00C24AFA" w:rsidR="00365922">
        <w:rPr>
          <w:rFonts w:cs="Times New Roman"/>
          <w:i/>
        </w:rPr>
        <w:t>Clin</w:t>
      </w:r>
      <w:proofErr w:type="spellEnd"/>
      <w:r w:rsidRPr="00C24AFA" w:rsidR="00365922">
        <w:rPr>
          <w:rFonts w:cs="Times New Roman"/>
          <w:i/>
        </w:rPr>
        <w:t xml:space="preserve"> </w:t>
      </w:r>
      <w:proofErr w:type="spellStart"/>
      <w:r w:rsidRPr="00C24AFA" w:rsidR="00365922">
        <w:rPr>
          <w:rFonts w:cs="Times New Roman"/>
          <w:i/>
        </w:rPr>
        <w:t>Epidemiol</w:t>
      </w:r>
      <w:proofErr w:type="spellEnd"/>
      <w:r w:rsidRPr="00C24AFA" w:rsidR="00365922">
        <w:rPr>
          <w:rFonts w:cs="Times New Roman"/>
          <w:i/>
        </w:rPr>
        <w:t>; 60</w:t>
      </w:r>
      <w:r w:rsidRPr="00C24AFA" w:rsidR="00365922">
        <w:rPr>
          <w:rFonts w:cs="Times New Roman"/>
        </w:rPr>
        <w:t>(8): 757-765.</w:t>
      </w:r>
    </w:p>
    <w:p w:rsidRPr="00C24AFA" w:rsidR="001E2292" w:rsidP="00044C49" w:rsidRDefault="001E2292" w14:paraId="66E6DA97" w14:textId="0686E731">
      <w:pPr>
        <w:numPr>
          <w:ilvl w:val="0"/>
          <w:numId w:val="22"/>
        </w:numPr>
        <w:tabs>
          <w:tab w:val="left" w:pos="360"/>
        </w:tabs>
        <w:spacing w:after="60" w:line="240" w:lineRule="auto"/>
        <w:ind w:hanging="720"/>
        <w:rPr>
          <w:rFonts w:cs="Times New Roman"/>
        </w:rPr>
      </w:pPr>
      <w:r w:rsidRPr="00C24AFA">
        <w:rPr>
          <w:rFonts w:cs="Times New Roman"/>
        </w:rPr>
        <w:t xml:space="preserve">Singer, E., N. </w:t>
      </w:r>
      <w:proofErr w:type="spellStart"/>
      <w:r w:rsidRPr="00C24AFA">
        <w:rPr>
          <w:rFonts w:cs="Times New Roman"/>
        </w:rPr>
        <w:t>Gelber</w:t>
      </w:r>
      <w:proofErr w:type="spellEnd"/>
      <w:r w:rsidRPr="00C24AFA">
        <w:rPr>
          <w:rFonts w:cs="Times New Roman"/>
        </w:rPr>
        <w:t xml:space="preserve">, J. Van </w:t>
      </w:r>
      <w:proofErr w:type="spellStart"/>
      <w:r w:rsidRPr="00C24AFA">
        <w:rPr>
          <w:rFonts w:cs="Times New Roman"/>
        </w:rPr>
        <w:t>Hoewyk</w:t>
      </w:r>
      <w:proofErr w:type="spellEnd"/>
      <w:r w:rsidRPr="00C24AFA">
        <w:rPr>
          <w:rFonts w:cs="Times New Roman"/>
        </w:rPr>
        <w:t xml:space="preserve">, and J. Brown (1997). </w:t>
      </w:r>
      <w:r w:rsidRPr="00C24AFA">
        <w:rPr>
          <w:rFonts w:cs="Times New Roman"/>
          <w:i/>
          <w:iCs/>
        </w:rPr>
        <w:t>Does $10 Equal $10? The Effect of Framing on the Impact of Incentives</w:t>
      </w:r>
      <w:r w:rsidRPr="00C24AFA">
        <w:rPr>
          <w:rFonts w:cs="Times New Roman"/>
        </w:rPr>
        <w:t xml:space="preserve">. Paper presented at the American Association for Public Opinion; Norfolk, VA. </w:t>
      </w:r>
    </w:p>
    <w:p w:rsidRPr="00C24AFA" w:rsidR="001E2292" w:rsidP="00044C49" w:rsidRDefault="001E2292" w14:paraId="165459AD" w14:textId="222241AC">
      <w:pPr>
        <w:pStyle w:val="ListParagraph"/>
        <w:numPr>
          <w:ilvl w:val="0"/>
          <w:numId w:val="22"/>
        </w:numPr>
        <w:tabs>
          <w:tab w:val="left" w:pos="360"/>
        </w:tabs>
        <w:spacing w:after="60" w:line="240" w:lineRule="auto"/>
        <w:ind w:hanging="720"/>
        <w:contextualSpacing w:val="0"/>
        <w:rPr>
          <w:rFonts w:cs="Times New Roman"/>
        </w:rPr>
      </w:pPr>
      <w:r w:rsidRPr="00C24AFA">
        <w:rPr>
          <w:rFonts w:cs="Times New Roman"/>
        </w:rPr>
        <w:t xml:space="preserve">Singer, E., Van </w:t>
      </w:r>
      <w:proofErr w:type="spellStart"/>
      <w:r w:rsidRPr="00C24AFA">
        <w:rPr>
          <w:rFonts w:cs="Times New Roman"/>
        </w:rPr>
        <w:t>Hoewyk</w:t>
      </w:r>
      <w:proofErr w:type="spellEnd"/>
      <w:r w:rsidRPr="00C24AFA">
        <w:rPr>
          <w:rFonts w:cs="Times New Roman"/>
        </w:rPr>
        <w:t xml:space="preserve">, J., and Maher, M.P. (2000). Experiments with Incentives in Telephone Surveys. </w:t>
      </w:r>
      <w:r w:rsidRPr="00C24AFA">
        <w:rPr>
          <w:rFonts w:cs="Times New Roman"/>
          <w:i/>
          <w:iCs/>
        </w:rPr>
        <w:t>Public Opinion Quarterly 64</w:t>
      </w:r>
      <w:r w:rsidRPr="00C24AFA">
        <w:rPr>
          <w:rFonts w:cs="Times New Roman"/>
        </w:rPr>
        <w:t>(3):171-188.</w:t>
      </w:r>
    </w:p>
    <w:p w:rsidRPr="00C24AFA" w:rsidR="00423741" w:rsidP="00044C49" w:rsidRDefault="00423741" w14:paraId="2AF4F995" w14:textId="40B93039">
      <w:pPr>
        <w:pStyle w:val="ListParagraph"/>
        <w:numPr>
          <w:ilvl w:val="0"/>
          <w:numId w:val="22"/>
        </w:numPr>
        <w:tabs>
          <w:tab w:val="left" w:pos="360"/>
        </w:tabs>
        <w:spacing w:after="60" w:line="240" w:lineRule="auto"/>
        <w:ind w:hanging="720"/>
        <w:contextualSpacing w:val="0"/>
        <w:rPr>
          <w:rFonts w:cs="Times New Roman"/>
        </w:rPr>
      </w:pPr>
      <w:r w:rsidRPr="00C24AFA">
        <w:rPr>
          <w:rFonts w:cs="Times New Roman"/>
        </w:rPr>
        <w:t>Stewart, D.W.</w:t>
      </w:r>
      <w:r w:rsidRPr="00C24AFA" w:rsidR="0021360A">
        <w:rPr>
          <w:rFonts w:cs="Times New Roman"/>
        </w:rPr>
        <w:t xml:space="preserve"> and</w:t>
      </w:r>
      <w:r w:rsidRPr="00C24AFA">
        <w:rPr>
          <w:rFonts w:cs="Times New Roman"/>
        </w:rPr>
        <w:t xml:space="preserve"> </w:t>
      </w:r>
      <w:proofErr w:type="spellStart"/>
      <w:r w:rsidRPr="00C24AFA" w:rsidR="0021360A">
        <w:rPr>
          <w:rFonts w:cs="Times New Roman"/>
        </w:rPr>
        <w:t>Shamdasani</w:t>
      </w:r>
      <w:proofErr w:type="spellEnd"/>
      <w:r w:rsidRPr="00C24AFA" w:rsidR="0021360A">
        <w:rPr>
          <w:rFonts w:cs="Times New Roman"/>
        </w:rPr>
        <w:t>, P.N. (</w:t>
      </w:r>
      <w:r w:rsidRPr="00C24AFA" w:rsidR="004004B3">
        <w:rPr>
          <w:rFonts w:cs="Times New Roman"/>
        </w:rPr>
        <w:t>201</w:t>
      </w:r>
      <w:r w:rsidRPr="00C24AFA" w:rsidR="005C2FC9">
        <w:rPr>
          <w:rFonts w:cs="Times New Roman"/>
        </w:rPr>
        <w:t>4</w:t>
      </w:r>
      <w:r w:rsidRPr="00C24AFA" w:rsidR="004004B3">
        <w:rPr>
          <w:rFonts w:cs="Times New Roman"/>
        </w:rPr>
        <w:t xml:space="preserve">). </w:t>
      </w:r>
      <w:r w:rsidRPr="00C24AFA" w:rsidR="00953709">
        <w:rPr>
          <w:rFonts w:cs="Times New Roman"/>
          <w:i/>
        </w:rPr>
        <w:t xml:space="preserve">Focus </w:t>
      </w:r>
      <w:r w:rsidRPr="00C24AFA" w:rsidR="00FB14CA">
        <w:rPr>
          <w:rFonts w:cs="Times New Roman"/>
          <w:i/>
        </w:rPr>
        <w:t>G</w:t>
      </w:r>
      <w:r w:rsidRPr="00C24AFA" w:rsidR="00953709">
        <w:rPr>
          <w:rFonts w:cs="Times New Roman"/>
          <w:i/>
        </w:rPr>
        <w:t xml:space="preserve">roups: </w:t>
      </w:r>
      <w:r w:rsidRPr="00C24AFA" w:rsidR="00FB14CA">
        <w:rPr>
          <w:rFonts w:cs="Times New Roman"/>
          <w:i/>
        </w:rPr>
        <w:t>T</w:t>
      </w:r>
      <w:r w:rsidRPr="00C24AFA" w:rsidR="00953709">
        <w:rPr>
          <w:rFonts w:cs="Times New Roman"/>
          <w:i/>
        </w:rPr>
        <w:t xml:space="preserve">heory and </w:t>
      </w:r>
      <w:r w:rsidRPr="00C24AFA" w:rsidR="00FB14CA">
        <w:rPr>
          <w:rFonts w:cs="Times New Roman"/>
          <w:i/>
        </w:rPr>
        <w:t>P</w:t>
      </w:r>
      <w:r w:rsidRPr="00C24AFA" w:rsidR="00953709">
        <w:rPr>
          <w:rFonts w:cs="Times New Roman"/>
          <w:i/>
        </w:rPr>
        <w:t>ractice</w:t>
      </w:r>
      <w:r w:rsidRPr="00C24AFA" w:rsidR="00B001D4">
        <w:rPr>
          <w:rFonts w:cs="Times New Roman"/>
          <w:i/>
        </w:rPr>
        <w:t>, 3</w:t>
      </w:r>
      <w:r w:rsidRPr="00C24AFA" w:rsidR="00B001D4">
        <w:rPr>
          <w:rFonts w:cs="Times New Roman"/>
          <w:i/>
          <w:vertAlign w:val="superscript"/>
        </w:rPr>
        <w:t>rd</w:t>
      </w:r>
      <w:r w:rsidRPr="00C24AFA" w:rsidR="00B001D4">
        <w:rPr>
          <w:rFonts w:cs="Times New Roman"/>
          <w:i/>
        </w:rPr>
        <w:t xml:space="preserve"> edition</w:t>
      </w:r>
      <w:r w:rsidRPr="00C24AFA" w:rsidR="00953709">
        <w:rPr>
          <w:rFonts w:cs="Times New Roman"/>
        </w:rPr>
        <w:t>.</w:t>
      </w:r>
      <w:r w:rsidRPr="00C24AFA" w:rsidR="004004B3">
        <w:rPr>
          <w:rFonts w:cs="Times New Roman"/>
        </w:rPr>
        <w:t xml:space="preserve"> </w:t>
      </w:r>
      <w:r w:rsidRPr="00C24AFA" w:rsidR="00FB14CA">
        <w:rPr>
          <w:rFonts w:cs="Times New Roman"/>
        </w:rPr>
        <w:t xml:space="preserve">Sage Publications: </w:t>
      </w:r>
      <w:r w:rsidRPr="00C24AFA" w:rsidR="000D2F3F">
        <w:rPr>
          <w:rFonts w:cs="Times New Roman"/>
        </w:rPr>
        <w:t>Thousand Oaks, CA</w:t>
      </w:r>
    </w:p>
    <w:sectPr w:rsidRPr="00C24AFA" w:rsidR="00423741" w:rsidSect="001010E4">
      <w:headerReference w:type="default" r:id="rId10"/>
      <w:footerReference w:type="default" r:id="rId11"/>
      <w:pgSz w:w="12240" w:h="15840"/>
      <w:pgMar w:top="1440" w:right="1440" w:bottom="1440" w:left="1440" w:header="432" w:footer="576"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3C0CB0C" w16cid:durableId="20B74FFE"/>
  <w16cid:commentId w16cid:paraId="7B738E7F" w16cid:durableId="20B74FFF"/>
  <w16cid:commentId w16cid:paraId="7AAD390C" w16cid:durableId="20B78556"/>
  <w16cid:commentId w16cid:paraId="0B23FC2C" w16cid:durableId="20B75000"/>
  <w16cid:commentId w16cid:paraId="1A2C87A5" w16cid:durableId="20B784DE"/>
  <w16cid:commentId w16cid:paraId="6CB10FCE" w16cid:durableId="20BDCA3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6B764F" w14:textId="77777777" w:rsidR="00886869" w:rsidRDefault="00886869" w:rsidP="00331FC9">
      <w:pPr>
        <w:spacing w:after="0" w:line="240" w:lineRule="auto"/>
      </w:pPr>
      <w:r>
        <w:separator/>
      </w:r>
    </w:p>
  </w:endnote>
  <w:endnote w:type="continuationSeparator" w:id="0">
    <w:p w14:paraId="4A214582" w14:textId="77777777" w:rsidR="00886869" w:rsidRDefault="00886869" w:rsidP="00331F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1A37C6" w14:textId="15F50571" w:rsidR="00117349" w:rsidRPr="00345832" w:rsidRDefault="00345832" w:rsidP="00345832">
    <w:pPr>
      <w:pStyle w:val="Footer"/>
      <w:jc w:val="right"/>
      <w:rPr>
        <w:rFonts w:ascii="Times New Roman" w:hAnsi="Times New Roman" w:cs="Times New Roman"/>
        <w:sz w:val="20"/>
      </w:rPr>
    </w:pPr>
    <w:r w:rsidRPr="00345832">
      <w:rPr>
        <w:rFonts w:ascii="Times New Roman" w:hAnsi="Times New Roman" w:cs="Times New Roman"/>
        <w:sz w:val="20"/>
      </w:rPr>
      <w:t xml:space="preserve">Attachment </w:t>
    </w:r>
    <w:r w:rsidR="00494FE0">
      <w:rPr>
        <w:rFonts w:ascii="Times New Roman" w:hAnsi="Times New Roman" w:cs="Times New Roman"/>
        <w:sz w:val="20"/>
      </w:rPr>
      <w:t>H</w:t>
    </w:r>
    <w:r w:rsidRPr="00345832">
      <w:rPr>
        <w:rFonts w:ascii="Times New Roman" w:hAnsi="Times New Roman" w:cs="Times New Roman"/>
        <w:sz w:val="20"/>
      </w:rPr>
      <w:tab/>
    </w:r>
    <w:r w:rsidRPr="00345832">
      <w:rPr>
        <w:rFonts w:ascii="Times New Roman" w:hAnsi="Times New Roman" w:cs="Times New Roman"/>
        <w:sz w:val="20"/>
      </w:rPr>
      <w:tab/>
    </w:r>
    <w:sdt>
      <w:sdtPr>
        <w:rPr>
          <w:rFonts w:ascii="Times New Roman" w:hAnsi="Times New Roman" w:cs="Times New Roman"/>
          <w:sz w:val="20"/>
        </w:rPr>
        <w:id w:val="1033610043"/>
        <w:docPartObj>
          <w:docPartGallery w:val="Page Numbers (Bottom of Page)"/>
          <w:docPartUnique/>
        </w:docPartObj>
      </w:sdtPr>
      <w:sdtEndPr>
        <w:rPr>
          <w:noProof/>
        </w:rPr>
      </w:sdtEndPr>
      <w:sdtContent>
        <w:r w:rsidRPr="00345832">
          <w:rPr>
            <w:rFonts w:ascii="Times New Roman" w:hAnsi="Times New Roman" w:cs="Times New Roman"/>
            <w:sz w:val="20"/>
          </w:rPr>
          <w:fldChar w:fldCharType="begin"/>
        </w:r>
        <w:r w:rsidRPr="00345832">
          <w:rPr>
            <w:rFonts w:ascii="Times New Roman" w:hAnsi="Times New Roman" w:cs="Times New Roman"/>
            <w:sz w:val="20"/>
          </w:rPr>
          <w:instrText xml:space="preserve"> PAGE   \* MERGEFORMAT </w:instrText>
        </w:r>
        <w:r w:rsidRPr="00345832">
          <w:rPr>
            <w:rFonts w:ascii="Times New Roman" w:hAnsi="Times New Roman" w:cs="Times New Roman"/>
            <w:sz w:val="20"/>
          </w:rPr>
          <w:fldChar w:fldCharType="separate"/>
        </w:r>
        <w:r w:rsidR="003177C7">
          <w:rPr>
            <w:rFonts w:ascii="Times New Roman" w:hAnsi="Times New Roman" w:cs="Times New Roman"/>
            <w:noProof/>
            <w:sz w:val="20"/>
          </w:rPr>
          <w:t>2</w:t>
        </w:r>
        <w:r w:rsidRPr="00345832">
          <w:rPr>
            <w:rFonts w:ascii="Times New Roman" w:hAnsi="Times New Roman" w:cs="Times New Roman"/>
            <w:noProof/>
            <w:sz w:val="20"/>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87363B" w14:textId="77777777" w:rsidR="00886869" w:rsidRDefault="00886869" w:rsidP="00331FC9">
      <w:pPr>
        <w:spacing w:after="0" w:line="240" w:lineRule="auto"/>
      </w:pPr>
      <w:r>
        <w:separator/>
      </w:r>
    </w:p>
  </w:footnote>
  <w:footnote w:type="continuationSeparator" w:id="0">
    <w:p w14:paraId="0068D793" w14:textId="77777777" w:rsidR="00886869" w:rsidRDefault="00886869" w:rsidP="00331F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6EA46C" w14:textId="2B9EE89F" w:rsidR="00331FC9" w:rsidRPr="00331FC9" w:rsidRDefault="001D2E43" w:rsidP="00331FC9">
    <w:pPr>
      <w:rPr>
        <w:rFonts w:ascii="Times New Roman" w:hAnsi="Times New Roman" w:cs="Times New Roman"/>
        <w:b/>
        <w:sz w:val="24"/>
      </w:rPr>
    </w:pPr>
    <w:r>
      <w:rPr>
        <w:rFonts w:ascii="Times New Roman" w:hAnsi="Times New Roman" w:cs="Times New Roman"/>
        <w:b/>
        <w:i/>
        <w:sz w:val="24"/>
      </w:rPr>
      <w:t>Be Antibiotics Aware</w:t>
    </w:r>
    <w:r w:rsidR="00331FC9" w:rsidRPr="00CE1817">
      <w:rPr>
        <w:rFonts w:ascii="Times New Roman" w:hAnsi="Times New Roman" w:cs="Times New Roman"/>
        <w:b/>
        <w:sz w:val="24"/>
      </w:rPr>
      <w:t xml:space="preserve"> </w:t>
    </w:r>
    <w:r w:rsidR="00494FE0">
      <w:rPr>
        <w:rFonts w:ascii="Times New Roman" w:hAnsi="Times New Roman" w:cs="Times New Roman"/>
        <w:b/>
        <w:sz w:val="24"/>
      </w:rPr>
      <w:t>(</w:t>
    </w:r>
    <w:r>
      <w:rPr>
        <w:rFonts w:ascii="Times New Roman" w:hAnsi="Times New Roman" w:cs="Times New Roman"/>
        <w:b/>
        <w:sz w:val="24"/>
      </w:rPr>
      <w:t>BAA</w:t>
    </w:r>
    <w:r w:rsidR="00494FE0">
      <w:rPr>
        <w:rFonts w:ascii="Times New Roman" w:hAnsi="Times New Roman" w:cs="Times New Roman"/>
        <w:b/>
        <w:sz w:val="24"/>
      </w:rPr>
      <w:t>) Pilot Assessment Incentive Justification</w:t>
    </w:r>
    <w:r w:rsidR="00B111FB" w:rsidRPr="00CE1817">
      <w:rPr>
        <w:rFonts w:ascii="Times New Roman" w:hAnsi="Times New Roman" w:cs="Times New Roman"/>
        <w:b/>
        <w:sz w:val="24"/>
      </w:rPr>
      <w:t xml:space="preserve"> </w:t>
    </w:r>
    <w:r w:rsidR="00331FC9" w:rsidRPr="00CE1817">
      <w:rPr>
        <w:rFonts w:ascii="Times New Roman" w:hAnsi="Times New Roman" w:cs="Times New Roman"/>
        <w:b/>
        <w:sz w:val="24"/>
      </w:rPr>
      <w:t xml:space="preserve">– </w:t>
    </w:r>
    <w:r w:rsidR="00DC7166">
      <w:rPr>
        <w:rFonts w:ascii="Times New Roman" w:hAnsi="Times New Roman" w:cs="Times New Roman"/>
        <w:b/>
        <w:sz w:val="24"/>
      </w:rPr>
      <w:t>HCP</w:t>
    </w:r>
    <w:r w:rsidR="00DC7166" w:rsidRPr="00CE1817">
      <w:rPr>
        <w:rFonts w:ascii="Times New Roman" w:hAnsi="Times New Roman" w:cs="Times New Roman"/>
        <w:b/>
        <w:sz w:val="24"/>
      </w:rPr>
      <w:t xml:space="preserve"> </w:t>
    </w:r>
    <w:r w:rsidR="00331FC9" w:rsidRPr="00CE1817">
      <w:rPr>
        <w:rFonts w:ascii="Times New Roman" w:hAnsi="Times New Roman" w:cs="Times New Roman"/>
        <w:b/>
        <w:sz w:val="24"/>
      </w:rPr>
      <w:t>Audiences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4B5D9A"/>
    <w:multiLevelType w:val="hybridMultilevel"/>
    <w:tmpl w:val="4A90FD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05E2119"/>
    <w:multiLevelType w:val="hybridMultilevel"/>
    <w:tmpl w:val="EE7CC2D2"/>
    <w:lvl w:ilvl="0" w:tplc="C9EC11D6">
      <w:start w:val="1"/>
      <w:numFmt w:val="bullet"/>
      <w:lvlText w:val="­"/>
      <w:lvlJc w:val="left"/>
      <w:pPr>
        <w:ind w:left="1296" w:hanging="360"/>
      </w:pPr>
      <w:rPr>
        <w:rFonts w:ascii="Courier New" w:hAnsi="Courier New" w:hint="default"/>
      </w:rPr>
    </w:lvl>
    <w:lvl w:ilvl="1" w:tplc="04090003">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2" w15:restartNumberingAfterBreak="0">
    <w:nsid w:val="165E5B54"/>
    <w:multiLevelType w:val="hybridMultilevel"/>
    <w:tmpl w:val="ECFE8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0E614C"/>
    <w:multiLevelType w:val="hybridMultilevel"/>
    <w:tmpl w:val="E41E05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6C46204"/>
    <w:multiLevelType w:val="hybridMultilevel"/>
    <w:tmpl w:val="D9D2DD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7AA6E74"/>
    <w:multiLevelType w:val="hybridMultilevel"/>
    <w:tmpl w:val="63E26F48"/>
    <w:lvl w:ilvl="0" w:tplc="8ABA66DA">
      <w:start w:val="1"/>
      <w:numFmt w:val="decimal"/>
      <w:lvlText w:val="%1."/>
      <w:lvlJc w:val="left"/>
      <w:pPr>
        <w:tabs>
          <w:tab w:val="num" w:pos="720"/>
        </w:tabs>
        <w:ind w:left="720" w:hanging="360"/>
      </w:pPr>
      <w:rPr>
        <w:rFonts w:hint="default"/>
        <w:sz w:val="24"/>
      </w:r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DC55DD7"/>
    <w:multiLevelType w:val="multilevel"/>
    <w:tmpl w:val="DBAE22E0"/>
    <w:styleLink w:val="Tablebullet1"/>
    <w:lvl w:ilvl="0">
      <w:start w:val="1"/>
      <w:numFmt w:val="bullet"/>
      <w:pStyle w:val="Tablebullet"/>
      <w:lvlText w:val=""/>
      <w:lvlJc w:val="left"/>
      <w:pPr>
        <w:ind w:left="576" w:hanging="360"/>
      </w:pPr>
      <w:rPr>
        <w:rFonts w:ascii="Wingdings" w:hAnsi="Wingdings" w:cs="Times New Roman" w:hint="default"/>
        <w:b w:val="0"/>
        <w:bCs w:val="0"/>
        <w:i w:val="0"/>
        <w:iCs w:val="0"/>
        <w:caps w:val="0"/>
        <w:strike w:val="0"/>
        <w:dstrike w:val="0"/>
        <w:outline w:val="0"/>
        <w:shadow w:val="0"/>
        <w:emboss w:val="0"/>
        <w:imprint w:val="0"/>
        <w:vanish w:val="0"/>
        <w:color w:val="00528A"/>
        <w:spacing w:val="0"/>
        <w:kern w:val="0"/>
        <w:position w:val="0"/>
        <w:sz w:val="22"/>
        <w:u w:val="none"/>
        <w:effect w:val="none"/>
        <w:vertAlign w:val="baseline"/>
        <w:em w:val="none"/>
        <w14:ligatures w14:val="none"/>
        <w14:numForm w14:val="default"/>
        <w14:numSpacing w14:val="default"/>
        <w14:stylisticSets/>
        <w14:cntxtAlts w14:val="0"/>
      </w:rPr>
    </w:lvl>
    <w:lvl w:ilvl="1">
      <w:start w:val="1"/>
      <w:numFmt w:val="bullet"/>
      <w:lvlText w:val="o"/>
      <w:lvlJc w:val="left"/>
      <w:pPr>
        <w:ind w:left="1296" w:hanging="360"/>
      </w:pPr>
      <w:rPr>
        <w:rFonts w:ascii="Courier New" w:hAnsi="Courier New" w:cs="Courier New" w:hint="default"/>
      </w:rPr>
    </w:lvl>
    <w:lvl w:ilvl="2">
      <w:start w:val="1"/>
      <w:numFmt w:val="bullet"/>
      <w:lvlText w:val=""/>
      <w:lvlJc w:val="left"/>
      <w:pPr>
        <w:ind w:left="2016" w:hanging="360"/>
      </w:pPr>
      <w:rPr>
        <w:rFonts w:ascii="Wingdings" w:hAnsi="Wingdings" w:hint="default"/>
      </w:rPr>
    </w:lvl>
    <w:lvl w:ilvl="3">
      <w:start w:val="1"/>
      <w:numFmt w:val="bullet"/>
      <w:lvlText w:val=""/>
      <w:lvlJc w:val="left"/>
      <w:pPr>
        <w:ind w:left="2736" w:hanging="360"/>
      </w:pPr>
      <w:rPr>
        <w:rFonts w:ascii="Symbol" w:hAnsi="Symbol" w:hint="default"/>
      </w:rPr>
    </w:lvl>
    <w:lvl w:ilvl="4">
      <w:start w:val="1"/>
      <w:numFmt w:val="bullet"/>
      <w:lvlText w:val="o"/>
      <w:lvlJc w:val="left"/>
      <w:pPr>
        <w:ind w:left="3456" w:hanging="360"/>
      </w:pPr>
      <w:rPr>
        <w:rFonts w:ascii="Courier New" w:hAnsi="Courier New" w:cs="Courier New" w:hint="default"/>
      </w:rPr>
    </w:lvl>
    <w:lvl w:ilvl="5">
      <w:start w:val="1"/>
      <w:numFmt w:val="bullet"/>
      <w:lvlText w:val=""/>
      <w:lvlJc w:val="left"/>
      <w:pPr>
        <w:ind w:left="4176" w:hanging="360"/>
      </w:pPr>
      <w:rPr>
        <w:rFonts w:ascii="Wingdings" w:hAnsi="Wingdings" w:hint="default"/>
      </w:rPr>
    </w:lvl>
    <w:lvl w:ilvl="6">
      <w:start w:val="1"/>
      <w:numFmt w:val="bullet"/>
      <w:lvlText w:val=""/>
      <w:lvlJc w:val="left"/>
      <w:pPr>
        <w:ind w:left="4896" w:hanging="360"/>
      </w:pPr>
      <w:rPr>
        <w:rFonts w:ascii="Symbol" w:hAnsi="Symbol" w:hint="default"/>
      </w:rPr>
    </w:lvl>
    <w:lvl w:ilvl="7">
      <w:start w:val="1"/>
      <w:numFmt w:val="bullet"/>
      <w:lvlText w:val="o"/>
      <w:lvlJc w:val="left"/>
      <w:pPr>
        <w:ind w:left="5616" w:hanging="360"/>
      </w:pPr>
      <w:rPr>
        <w:rFonts w:ascii="Courier New" w:hAnsi="Courier New" w:cs="Courier New" w:hint="default"/>
      </w:rPr>
    </w:lvl>
    <w:lvl w:ilvl="8">
      <w:start w:val="1"/>
      <w:numFmt w:val="bullet"/>
      <w:lvlText w:val=""/>
      <w:lvlJc w:val="left"/>
      <w:pPr>
        <w:ind w:left="6336" w:hanging="360"/>
      </w:pPr>
      <w:rPr>
        <w:rFonts w:ascii="Wingdings" w:hAnsi="Wingdings" w:hint="default"/>
      </w:rPr>
    </w:lvl>
  </w:abstractNum>
  <w:abstractNum w:abstractNumId="7" w15:restartNumberingAfterBreak="0">
    <w:nsid w:val="5B325A09"/>
    <w:multiLevelType w:val="multilevel"/>
    <w:tmpl w:val="DBAE22E0"/>
    <w:numStyleLink w:val="Tablebullet1"/>
  </w:abstractNum>
  <w:abstractNum w:abstractNumId="8" w15:restartNumberingAfterBreak="0">
    <w:nsid w:val="5BC01ED9"/>
    <w:multiLevelType w:val="hybridMultilevel"/>
    <w:tmpl w:val="574ED02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6"/>
  </w:num>
  <w:num w:numId="3">
    <w:abstractNumId w:val="7"/>
    <w:lvlOverride w:ilvl="0">
      <w:lvl w:ilvl="0">
        <w:start w:val="1"/>
        <w:numFmt w:val="bullet"/>
        <w:pStyle w:val="Tablebullet"/>
        <w:lvlText w:val=""/>
        <w:lvlJc w:val="left"/>
        <w:pPr>
          <w:ind w:left="1296" w:hanging="360"/>
        </w:pPr>
        <w:rPr>
          <w:rFonts w:ascii="Wingdings" w:hAnsi="Wingdings" w:cs="Times New Roman" w:hint="default"/>
          <w:b w:val="0"/>
          <w:bCs w:val="0"/>
          <w:i w:val="0"/>
          <w:iCs w:val="0"/>
          <w:caps w:val="0"/>
          <w:strike w:val="0"/>
          <w:dstrike w:val="0"/>
          <w:outline w:val="0"/>
          <w:shadow w:val="0"/>
          <w:emboss w:val="0"/>
          <w:imprint w:val="0"/>
          <w:vanish w:val="0"/>
          <w:color w:val="00528A"/>
          <w:spacing w:val="0"/>
          <w:kern w:val="0"/>
          <w:position w:val="0"/>
          <w:sz w:val="22"/>
          <w:u w:val="none"/>
          <w:effect w:val="none"/>
          <w:vertAlign w:val="baseline"/>
          <w:em w:val="none"/>
          <w14:ligatures w14:val="none"/>
          <w14:numForm w14:val="default"/>
          <w14:numSpacing w14:val="default"/>
          <w14:stylisticSets/>
          <w14:cntxtAlts w14:val="0"/>
        </w:rPr>
      </w:lvl>
    </w:lvlOverride>
    <w:lvlOverride w:ilvl="1">
      <w:lvl w:ilvl="1">
        <w:start w:val="1"/>
        <w:numFmt w:val="bullet"/>
        <w:lvlText w:val="o"/>
        <w:lvlJc w:val="left"/>
        <w:pPr>
          <w:ind w:left="2016" w:hanging="360"/>
        </w:pPr>
        <w:rPr>
          <w:rFonts w:ascii="Courier New" w:hAnsi="Courier New" w:cs="Courier New" w:hint="default"/>
        </w:rPr>
      </w:lvl>
    </w:lvlOverride>
    <w:lvlOverride w:ilvl="2">
      <w:lvl w:ilvl="2">
        <w:start w:val="1"/>
        <w:numFmt w:val="bullet"/>
        <w:lvlText w:val=""/>
        <w:lvlJc w:val="left"/>
        <w:pPr>
          <w:ind w:left="2736" w:hanging="360"/>
        </w:pPr>
        <w:rPr>
          <w:rFonts w:ascii="Wingdings" w:hAnsi="Wingdings" w:hint="default"/>
        </w:rPr>
      </w:lvl>
    </w:lvlOverride>
    <w:lvlOverride w:ilvl="3">
      <w:lvl w:ilvl="3">
        <w:start w:val="1"/>
        <w:numFmt w:val="bullet"/>
        <w:lvlText w:val=""/>
        <w:lvlJc w:val="left"/>
        <w:pPr>
          <w:ind w:left="3456" w:hanging="360"/>
        </w:pPr>
        <w:rPr>
          <w:rFonts w:ascii="Symbol" w:hAnsi="Symbol" w:hint="default"/>
        </w:rPr>
      </w:lvl>
    </w:lvlOverride>
    <w:lvlOverride w:ilvl="4">
      <w:lvl w:ilvl="4">
        <w:start w:val="1"/>
        <w:numFmt w:val="bullet"/>
        <w:lvlText w:val="o"/>
        <w:lvlJc w:val="left"/>
        <w:pPr>
          <w:ind w:left="4176" w:hanging="360"/>
        </w:pPr>
        <w:rPr>
          <w:rFonts w:ascii="Courier New" w:hAnsi="Courier New" w:cs="Courier New" w:hint="default"/>
        </w:rPr>
      </w:lvl>
    </w:lvlOverride>
    <w:lvlOverride w:ilvl="5">
      <w:lvl w:ilvl="5">
        <w:start w:val="1"/>
        <w:numFmt w:val="bullet"/>
        <w:lvlText w:val=""/>
        <w:lvlJc w:val="left"/>
        <w:pPr>
          <w:ind w:left="4896" w:hanging="360"/>
        </w:pPr>
        <w:rPr>
          <w:rFonts w:ascii="Wingdings" w:hAnsi="Wingdings" w:hint="default"/>
        </w:rPr>
      </w:lvl>
    </w:lvlOverride>
    <w:lvlOverride w:ilvl="6">
      <w:lvl w:ilvl="6">
        <w:start w:val="1"/>
        <w:numFmt w:val="bullet"/>
        <w:lvlText w:val=""/>
        <w:lvlJc w:val="left"/>
        <w:pPr>
          <w:ind w:left="5616" w:hanging="360"/>
        </w:pPr>
        <w:rPr>
          <w:rFonts w:ascii="Symbol" w:hAnsi="Symbol" w:hint="default"/>
        </w:rPr>
      </w:lvl>
    </w:lvlOverride>
    <w:lvlOverride w:ilvl="7">
      <w:lvl w:ilvl="7">
        <w:start w:val="1"/>
        <w:numFmt w:val="bullet"/>
        <w:lvlText w:val="o"/>
        <w:lvlJc w:val="left"/>
        <w:pPr>
          <w:ind w:left="6336" w:hanging="360"/>
        </w:pPr>
        <w:rPr>
          <w:rFonts w:ascii="Courier New" w:hAnsi="Courier New" w:cs="Courier New" w:hint="default"/>
        </w:rPr>
      </w:lvl>
    </w:lvlOverride>
    <w:lvlOverride w:ilvl="8">
      <w:lvl w:ilvl="8">
        <w:start w:val="1"/>
        <w:numFmt w:val="bullet"/>
        <w:lvlText w:val=""/>
        <w:lvlJc w:val="left"/>
        <w:pPr>
          <w:ind w:left="7056" w:hanging="360"/>
        </w:pPr>
        <w:rPr>
          <w:rFonts w:ascii="Wingdings" w:hAnsi="Wingdings" w:hint="default"/>
        </w:rPr>
      </w:lvl>
    </w:lvlOverride>
  </w:num>
  <w:num w:numId="4">
    <w:abstractNumId w:val="7"/>
    <w:lvlOverride w:ilvl="0">
      <w:lvl w:ilvl="0">
        <w:start w:val="1"/>
        <w:numFmt w:val="bullet"/>
        <w:pStyle w:val="Tablebullet"/>
        <w:lvlText w:val=""/>
        <w:lvlJc w:val="left"/>
        <w:pPr>
          <w:ind w:left="576" w:hanging="360"/>
        </w:pPr>
        <w:rPr>
          <w:rFonts w:ascii="Wingdings" w:hAnsi="Wingdings" w:cs="Times New Roman" w:hint="default"/>
          <w:b w:val="0"/>
          <w:bCs w:val="0"/>
          <w:i w:val="0"/>
          <w:iCs w:val="0"/>
          <w:caps w:val="0"/>
          <w:strike w:val="0"/>
          <w:dstrike w:val="0"/>
          <w:outline w:val="0"/>
          <w:shadow w:val="0"/>
          <w:emboss w:val="0"/>
          <w:imprint w:val="0"/>
          <w:vanish w:val="0"/>
          <w:color w:val="00528A"/>
          <w:spacing w:val="0"/>
          <w:kern w:val="0"/>
          <w:position w:val="0"/>
          <w:sz w:val="22"/>
          <w:u w:val="none"/>
          <w:effect w:val="none"/>
          <w:vertAlign w:val="baseline"/>
          <w:em w:val="none"/>
          <w14:ligatures w14:val="none"/>
          <w14:numForm w14:val="default"/>
          <w14:numSpacing w14:val="default"/>
          <w14:stylisticSets/>
          <w14:cntxtAlts w14:val="0"/>
        </w:rPr>
      </w:lvl>
    </w:lvlOverride>
  </w:num>
  <w:num w:numId="5">
    <w:abstractNumId w:val="8"/>
  </w:num>
  <w:num w:numId="6">
    <w:abstractNumId w:val="7"/>
    <w:lvlOverride w:ilvl="0">
      <w:lvl w:ilvl="0">
        <w:start w:val="1"/>
        <w:numFmt w:val="bullet"/>
        <w:pStyle w:val="Tablebullet"/>
        <w:lvlText w:val=""/>
        <w:lvlJc w:val="left"/>
        <w:pPr>
          <w:ind w:left="576" w:hanging="360"/>
        </w:pPr>
        <w:rPr>
          <w:rFonts w:ascii="Wingdings" w:hAnsi="Wingdings" w:cs="Times New Roman" w:hint="default"/>
          <w:b w:val="0"/>
          <w:bCs w:val="0"/>
          <w:i w:val="0"/>
          <w:iCs w:val="0"/>
          <w:caps w:val="0"/>
          <w:strike w:val="0"/>
          <w:dstrike w:val="0"/>
          <w:outline w:val="0"/>
          <w:shadow w:val="0"/>
          <w:emboss w:val="0"/>
          <w:imprint w:val="0"/>
          <w:vanish w:val="0"/>
          <w:color w:val="00528A"/>
          <w:spacing w:val="0"/>
          <w:kern w:val="0"/>
          <w:position w:val="0"/>
          <w:sz w:val="22"/>
          <w:u w:val="none"/>
          <w:effect w:val="none"/>
          <w:vertAlign w:val="baseline"/>
          <w:em w:val="none"/>
          <w14:ligatures w14:val="none"/>
          <w14:numForm w14:val="default"/>
          <w14:numSpacing w14:val="default"/>
          <w14:stylisticSets/>
          <w14:cntxtAlts w14:val="0"/>
        </w:rPr>
      </w:lvl>
    </w:lvlOverride>
  </w:num>
  <w:num w:numId="7">
    <w:abstractNumId w:val="7"/>
    <w:lvlOverride w:ilvl="0">
      <w:lvl w:ilvl="0">
        <w:start w:val="1"/>
        <w:numFmt w:val="bullet"/>
        <w:pStyle w:val="Tablebullet"/>
        <w:lvlText w:val=""/>
        <w:lvlJc w:val="left"/>
        <w:pPr>
          <w:ind w:left="576" w:hanging="360"/>
        </w:pPr>
        <w:rPr>
          <w:rFonts w:ascii="Wingdings" w:hAnsi="Wingdings" w:cs="Times New Roman" w:hint="default"/>
          <w:b w:val="0"/>
          <w:bCs w:val="0"/>
          <w:i w:val="0"/>
          <w:iCs w:val="0"/>
          <w:caps w:val="0"/>
          <w:strike w:val="0"/>
          <w:dstrike w:val="0"/>
          <w:outline w:val="0"/>
          <w:shadow w:val="0"/>
          <w:emboss w:val="0"/>
          <w:imprint w:val="0"/>
          <w:vanish w:val="0"/>
          <w:color w:val="00528A"/>
          <w:spacing w:val="0"/>
          <w:kern w:val="0"/>
          <w:position w:val="0"/>
          <w:sz w:val="22"/>
          <w:u w:val="none"/>
          <w:effect w:val="none"/>
          <w:vertAlign w:val="baseline"/>
          <w:em w:val="none"/>
          <w14:ligatures w14:val="none"/>
          <w14:numForm w14:val="default"/>
          <w14:numSpacing w14:val="default"/>
          <w14:stylisticSets/>
          <w14:cntxtAlts w14:val="0"/>
        </w:rPr>
      </w:lvl>
    </w:lvlOverride>
  </w:num>
  <w:num w:numId="8">
    <w:abstractNumId w:val="7"/>
    <w:lvlOverride w:ilvl="0">
      <w:lvl w:ilvl="0">
        <w:start w:val="1"/>
        <w:numFmt w:val="bullet"/>
        <w:pStyle w:val="Tablebullet"/>
        <w:lvlText w:val=""/>
        <w:lvlJc w:val="left"/>
        <w:pPr>
          <w:ind w:left="576" w:hanging="360"/>
        </w:pPr>
        <w:rPr>
          <w:rFonts w:ascii="Wingdings" w:hAnsi="Wingdings" w:cs="Times New Roman" w:hint="default"/>
          <w:b w:val="0"/>
          <w:bCs w:val="0"/>
          <w:i w:val="0"/>
          <w:iCs w:val="0"/>
          <w:caps w:val="0"/>
          <w:strike w:val="0"/>
          <w:dstrike w:val="0"/>
          <w:outline w:val="0"/>
          <w:shadow w:val="0"/>
          <w:emboss w:val="0"/>
          <w:imprint w:val="0"/>
          <w:vanish w:val="0"/>
          <w:color w:val="00528A"/>
          <w:spacing w:val="0"/>
          <w:kern w:val="0"/>
          <w:position w:val="0"/>
          <w:sz w:val="22"/>
          <w:u w:val="none"/>
          <w:effect w:val="none"/>
          <w:vertAlign w:val="baseline"/>
          <w:em w:val="none"/>
          <w14:ligatures w14:val="none"/>
          <w14:numForm w14:val="default"/>
          <w14:numSpacing w14:val="default"/>
          <w14:stylisticSets/>
          <w14:cntxtAlts w14:val="0"/>
        </w:rPr>
      </w:lvl>
    </w:lvlOverride>
  </w:num>
  <w:num w:numId="9">
    <w:abstractNumId w:val="1"/>
  </w:num>
  <w:num w:numId="10">
    <w:abstractNumId w:val="7"/>
    <w:lvlOverride w:ilvl="0">
      <w:lvl w:ilvl="0">
        <w:start w:val="1"/>
        <w:numFmt w:val="bullet"/>
        <w:pStyle w:val="Tablebullet"/>
        <w:lvlText w:val=""/>
        <w:lvlJc w:val="left"/>
        <w:pPr>
          <w:ind w:left="576" w:hanging="360"/>
        </w:pPr>
        <w:rPr>
          <w:rFonts w:ascii="Wingdings" w:hAnsi="Wingdings" w:cs="Times New Roman" w:hint="default"/>
          <w:b w:val="0"/>
          <w:bCs w:val="0"/>
          <w:i w:val="0"/>
          <w:iCs w:val="0"/>
          <w:caps w:val="0"/>
          <w:strike w:val="0"/>
          <w:dstrike w:val="0"/>
          <w:outline w:val="0"/>
          <w:shadow w:val="0"/>
          <w:emboss w:val="0"/>
          <w:imprint w:val="0"/>
          <w:vanish w:val="0"/>
          <w:color w:val="00528A"/>
          <w:spacing w:val="0"/>
          <w:kern w:val="0"/>
          <w:position w:val="0"/>
          <w:sz w:val="22"/>
          <w:u w:val="none"/>
          <w:effect w:val="none"/>
          <w:vertAlign w:val="baseline"/>
          <w:em w:val="none"/>
          <w14:ligatures w14:val="none"/>
          <w14:numForm w14:val="default"/>
          <w14:numSpacing w14:val="default"/>
          <w14:stylisticSets/>
          <w14:cntxtAlts w14:val="0"/>
        </w:rPr>
      </w:lvl>
    </w:lvlOverride>
    <w:lvlOverride w:ilvl="1">
      <w:lvl w:ilvl="1">
        <w:start w:val="1"/>
        <w:numFmt w:val="bullet"/>
        <w:lvlText w:val="o"/>
        <w:lvlJc w:val="left"/>
        <w:pPr>
          <w:ind w:left="1296" w:hanging="360"/>
        </w:pPr>
        <w:rPr>
          <w:rFonts w:ascii="Courier New" w:hAnsi="Courier New" w:cs="Courier New" w:hint="default"/>
        </w:rPr>
      </w:lvl>
    </w:lvlOverride>
    <w:lvlOverride w:ilvl="2">
      <w:lvl w:ilvl="2">
        <w:start w:val="1"/>
        <w:numFmt w:val="bullet"/>
        <w:lvlText w:val=""/>
        <w:lvlJc w:val="left"/>
        <w:pPr>
          <w:ind w:left="2016" w:hanging="360"/>
        </w:pPr>
        <w:rPr>
          <w:rFonts w:ascii="Wingdings" w:hAnsi="Wingdings" w:hint="default"/>
        </w:rPr>
      </w:lvl>
    </w:lvlOverride>
    <w:lvlOverride w:ilvl="3">
      <w:lvl w:ilvl="3">
        <w:start w:val="1"/>
        <w:numFmt w:val="bullet"/>
        <w:lvlText w:val=""/>
        <w:lvlJc w:val="left"/>
        <w:pPr>
          <w:ind w:left="2736" w:hanging="360"/>
        </w:pPr>
        <w:rPr>
          <w:rFonts w:ascii="Symbol" w:hAnsi="Symbol" w:hint="default"/>
        </w:rPr>
      </w:lvl>
    </w:lvlOverride>
    <w:lvlOverride w:ilvl="4">
      <w:lvl w:ilvl="4">
        <w:start w:val="1"/>
        <w:numFmt w:val="bullet"/>
        <w:lvlText w:val="o"/>
        <w:lvlJc w:val="left"/>
        <w:pPr>
          <w:ind w:left="3456" w:hanging="360"/>
        </w:pPr>
        <w:rPr>
          <w:rFonts w:ascii="Courier New" w:hAnsi="Courier New" w:cs="Courier New" w:hint="default"/>
        </w:rPr>
      </w:lvl>
    </w:lvlOverride>
    <w:lvlOverride w:ilvl="5">
      <w:lvl w:ilvl="5">
        <w:start w:val="1"/>
        <w:numFmt w:val="bullet"/>
        <w:lvlText w:val=""/>
        <w:lvlJc w:val="left"/>
        <w:pPr>
          <w:ind w:left="4176" w:hanging="360"/>
        </w:pPr>
        <w:rPr>
          <w:rFonts w:ascii="Wingdings" w:hAnsi="Wingdings" w:hint="default"/>
        </w:rPr>
      </w:lvl>
    </w:lvlOverride>
    <w:lvlOverride w:ilvl="6">
      <w:lvl w:ilvl="6">
        <w:start w:val="1"/>
        <w:numFmt w:val="bullet"/>
        <w:lvlText w:val=""/>
        <w:lvlJc w:val="left"/>
        <w:pPr>
          <w:ind w:left="4896" w:hanging="360"/>
        </w:pPr>
        <w:rPr>
          <w:rFonts w:ascii="Symbol" w:hAnsi="Symbol" w:hint="default"/>
        </w:rPr>
      </w:lvl>
    </w:lvlOverride>
    <w:lvlOverride w:ilvl="7">
      <w:lvl w:ilvl="7">
        <w:start w:val="1"/>
        <w:numFmt w:val="bullet"/>
        <w:lvlText w:val="o"/>
        <w:lvlJc w:val="left"/>
        <w:pPr>
          <w:ind w:left="5616" w:hanging="360"/>
        </w:pPr>
        <w:rPr>
          <w:rFonts w:ascii="Courier New" w:hAnsi="Courier New" w:cs="Courier New" w:hint="default"/>
        </w:rPr>
      </w:lvl>
    </w:lvlOverride>
    <w:lvlOverride w:ilvl="8">
      <w:lvl w:ilvl="8">
        <w:start w:val="1"/>
        <w:numFmt w:val="bullet"/>
        <w:lvlText w:val=""/>
        <w:lvlJc w:val="left"/>
        <w:pPr>
          <w:ind w:left="6336" w:hanging="360"/>
        </w:pPr>
        <w:rPr>
          <w:rFonts w:ascii="Wingdings" w:hAnsi="Wingdings" w:hint="default"/>
        </w:rPr>
      </w:lvl>
    </w:lvlOverride>
  </w:num>
  <w:num w:numId="11">
    <w:abstractNumId w:val="7"/>
    <w:lvlOverride w:ilvl="0">
      <w:lvl w:ilvl="0">
        <w:start w:val="1"/>
        <w:numFmt w:val="bullet"/>
        <w:pStyle w:val="Tablebullet"/>
        <w:lvlText w:val=""/>
        <w:lvlJc w:val="left"/>
        <w:pPr>
          <w:ind w:left="576" w:hanging="360"/>
        </w:pPr>
        <w:rPr>
          <w:rFonts w:ascii="Wingdings" w:hAnsi="Wingdings" w:cs="Times New Roman" w:hint="default"/>
          <w:b w:val="0"/>
          <w:bCs w:val="0"/>
          <w:i w:val="0"/>
          <w:iCs w:val="0"/>
          <w:caps w:val="0"/>
          <w:strike w:val="0"/>
          <w:dstrike w:val="0"/>
          <w:outline w:val="0"/>
          <w:shadow w:val="0"/>
          <w:emboss w:val="0"/>
          <w:imprint w:val="0"/>
          <w:vanish w:val="0"/>
          <w:color w:val="00528A"/>
          <w:spacing w:val="0"/>
          <w:kern w:val="0"/>
          <w:position w:val="0"/>
          <w:sz w:val="22"/>
          <w:u w:val="none"/>
          <w:effect w:val="none"/>
          <w:vertAlign w:val="baseline"/>
          <w:em w:val="none"/>
          <w14:ligatures w14:val="none"/>
          <w14:numForm w14:val="default"/>
          <w14:numSpacing w14:val="default"/>
          <w14:stylisticSets/>
          <w14:cntxtAlts w14:val="0"/>
        </w:rPr>
      </w:lvl>
    </w:lvlOverride>
    <w:lvlOverride w:ilvl="1">
      <w:lvl w:ilvl="1">
        <w:start w:val="1"/>
        <w:numFmt w:val="bullet"/>
        <w:lvlText w:val="o"/>
        <w:lvlJc w:val="left"/>
        <w:pPr>
          <w:ind w:left="1296" w:hanging="360"/>
        </w:pPr>
        <w:rPr>
          <w:rFonts w:ascii="Courier New" w:hAnsi="Courier New" w:cs="Courier New" w:hint="default"/>
        </w:rPr>
      </w:lvl>
    </w:lvlOverride>
    <w:lvlOverride w:ilvl="2">
      <w:lvl w:ilvl="2">
        <w:start w:val="1"/>
        <w:numFmt w:val="bullet"/>
        <w:lvlText w:val=""/>
        <w:lvlJc w:val="left"/>
        <w:pPr>
          <w:ind w:left="2016" w:hanging="360"/>
        </w:pPr>
        <w:rPr>
          <w:rFonts w:ascii="Wingdings" w:hAnsi="Wingdings" w:hint="default"/>
        </w:rPr>
      </w:lvl>
    </w:lvlOverride>
    <w:lvlOverride w:ilvl="3">
      <w:lvl w:ilvl="3">
        <w:start w:val="1"/>
        <w:numFmt w:val="bullet"/>
        <w:lvlText w:val=""/>
        <w:lvlJc w:val="left"/>
        <w:pPr>
          <w:ind w:left="2736" w:hanging="360"/>
        </w:pPr>
        <w:rPr>
          <w:rFonts w:ascii="Symbol" w:hAnsi="Symbol" w:hint="default"/>
        </w:rPr>
      </w:lvl>
    </w:lvlOverride>
    <w:lvlOverride w:ilvl="4">
      <w:lvl w:ilvl="4">
        <w:start w:val="1"/>
        <w:numFmt w:val="bullet"/>
        <w:lvlText w:val="o"/>
        <w:lvlJc w:val="left"/>
        <w:pPr>
          <w:ind w:left="3456" w:hanging="360"/>
        </w:pPr>
        <w:rPr>
          <w:rFonts w:ascii="Courier New" w:hAnsi="Courier New" w:cs="Courier New" w:hint="default"/>
        </w:rPr>
      </w:lvl>
    </w:lvlOverride>
    <w:lvlOverride w:ilvl="5">
      <w:lvl w:ilvl="5">
        <w:start w:val="1"/>
        <w:numFmt w:val="bullet"/>
        <w:lvlText w:val=""/>
        <w:lvlJc w:val="left"/>
        <w:pPr>
          <w:ind w:left="4176" w:hanging="360"/>
        </w:pPr>
        <w:rPr>
          <w:rFonts w:ascii="Wingdings" w:hAnsi="Wingdings" w:hint="default"/>
        </w:rPr>
      </w:lvl>
    </w:lvlOverride>
    <w:lvlOverride w:ilvl="6">
      <w:lvl w:ilvl="6">
        <w:start w:val="1"/>
        <w:numFmt w:val="bullet"/>
        <w:lvlText w:val=""/>
        <w:lvlJc w:val="left"/>
        <w:pPr>
          <w:ind w:left="4896" w:hanging="360"/>
        </w:pPr>
        <w:rPr>
          <w:rFonts w:ascii="Symbol" w:hAnsi="Symbol" w:hint="default"/>
        </w:rPr>
      </w:lvl>
    </w:lvlOverride>
    <w:lvlOverride w:ilvl="7">
      <w:lvl w:ilvl="7">
        <w:start w:val="1"/>
        <w:numFmt w:val="bullet"/>
        <w:lvlText w:val="o"/>
        <w:lvlJc w:val="left"/>
        <w:pPr>
          <w:ind w:left="5616" w:hanging="360"/>
        </w:pPr>
        <w:rPr>
          <w:rFonts w:ascii="Courier New" w:hAnsi="Courier New" w:cs="Courier New" w:hint="default"/>
        </w:rPr>
      </w:lvl>
    </w:lvlOverride>
    <w:lvlOverride w:ilvl="8">
      <w:lvl w:ilvl="8">
        <w:start w:val="1"/>
        <w:numFmt w:val="bullet"/>
        <w:lvlText w:val=""/>
        <w:lvlJc w:val="left"/>
        <w:pPr>
          <w:ind w:left="6336" w:hanging="360"/>
        </w:pPr>
        <w:rPr>
          <w:rFonts w:ascii="Wingdings" w:hAnsi="Wingdings" w:hint="default"/>
        </w:rPr>
      </w:lvl>
    </w:lvlOverride>
  </w:num>
  <w:num w:numId="12">
    <w:abstractNumId w:val="7"/>
    <w:lvlOverride w:ilvl="0">
      <w:lvl w:ilvl="0">
        <w:start w:val="1"/>
        <w:numFmt w:val="bullet"/>
        <w:pStyle w:val="Tablebullet"/>
        <w:lvlText w:val=""/>
        <w:lvlJc w:val="left"/>
        <w:pPr>
          <w:ind w:left="1296" w:hanging="360"/>
        </w:pPr>
        <w:rPr>
          <w:rFonts w:ascii="Wingdings" w:hAnsi="Wingdings" w:cs="Times New Roman" w:hint="default"/>
          <w:b w:val="0"/>
          <w:bCs w:val="0"/>
          <w:i w:val="0"/>
          <w:iCs w:val="0"/>
          <w:caps w:val="0"/>
          <w:strike w:val="0"/>
          <w:dstrike w:val="0"/>
          <w:outline w:val="0"/>
          <w:shadow w:val="0"/>
          <w:emboss w:val="0"/>
          <w:imprint w:val="0"/>
          <w:vanish w:val="0"/>
          <w:color w:val="00528A"/>
          <w:spacing w:val="0"/>
          <w:kern w:val="0"/>
          <w:position w:val="0"/>
          <w:sz w:val="22"/>
          <w:u w:val="none"/>
          <w:effect w:val="none"/>
          <w:vertAlign w:val="baseline"/>
          <w:em w:val="none"/>
          <w14:ligatures w14:val="none"/>
          <w14:numForm w14:val="default"/>
          <w14:numSpacing w14:val="default"/>
          <w14:stylisticSets/>
          <w14:cntxtAlts w14:val="0"/>
        </w:rPr>
      </w:lvl>
    </w:lvlOverride>
    <w:lvlOverride w:ilvl="1">
      <w:lvl w:ilvl="1">
        <w:start w:val="1"/>
        <w:numFmt w:val="bullet"/>
        <w:lvlText w:val="o"/>
        <w:lvlJc w:val="left"/>
        <w:pPr>
          <w:ind w:left="2016" w:hanging="360"/>
        </w:pPr>
        <w:rPr>
          <w:rFonts w:ascii="Courier New" w:hAnsi="Courier New" w:cs="Courier New" w:hint="default"/>
        </w:rPr>
      </w:lvl>
    </w:lvlOverride>
    <w:lvlOverride w:ilvl="2">
      <w:lvl w:ilvl="2">
        <w:start w:val="1"/>
        <w:numFmt w:val="bullet"/>
        <w:lvlText w:val=""/>
        <w:lvlJc w:val="left"/>
        <w:pPr>
          <w:ind w:left="2736" w:hanging="360"/>
        </w:pPr>
        <w:rPr>
          <w:rFonts w:ascii="Wingdings" w:hAnsi="Wingdings" w:hint="default"/>
        </w:rPr>
      </w:lvl>
    </w:lvlOverride>
    <w:lvlOverride w:ilvl="3">
      <w:lvl w:ilvl="3">
        <w:start w:val="1"/>
        <w:numFmt w:val="bullet"/>
        <w:lvlText w:val=""/>
        <w:lvlJc w:val="left"/>
        <w:pPr>
          <w:ind w:left="3456" w:hanging="360"/>
        </w:pPr>
        <w:rPr>
          <w:rFonts w:ascii="Symbol" w:hAnsi="Symbol" w:hint="default"/>
        </w:rPr>
      </w:lvl>
    </w:lvlOverride>
    <w:lvlOverride w:ilvl="4">
      <w:lvl w:ilvl="4">
        <w:start w:val="1"/>
        <w:numFmt w:val="bullet"/>
        <w:lvlText w:val="o"/>
        <w:lvlJc w:val="left"/>
        <w:pPr>
          <w:ind w:left="4176" w:hanging="360"/>
        </w:pPr>
        <w:rPr>
          <w:rFonts w:ascii="Courier New" w:hAnsi="Courier New" w:cs="Courier New" w:hint="default"/>
        </w:rPr>
      </w:lvl>
    </w:lvlOverride>
    <w:lvlOverride w:ilvl="5">
      <w:lvl w:ilvl="5">
        <w:start w:val="1"/>
        <w:numFmt w:val="bullet"/>
        <w:lvlText w:val=""/>
        <w:lvlJc w:val="left"/>
        <w:pPr>
          <w:ind w:left="4896" w:hanging="360"/>
        </w:pPr>
        <w:rPr>
          <w:rFonts w:ascii="Wingdings" w:hAnsi="Wingdings" w:hint="default"/>
        </w:rPr>
      </w:lvl>
    </w:lvlOverride>
    <w:lvlOverride w:ilvl="6">
      <w:lvl w:ilvl="6">
        <w:start w:val="1"/>
        <w:numFmt w:val="bullet"/>
        <w:lvlText w:val=""/>
        <w:lvlJc w:val="left"/>
        <w:pPr>
          <w:ind w:left="5616" w:hanging="360"/>
        </w:pPr>
        <w:rPr>
          <w:rFonts w:ascii="Symbol" w:hAnsi="Symbol" w:hint="default"/>
        </w:rPr>
      </w:lvl>
    </w:lvlOverride>
    <w:lvlOverride w:ilvl="7">
      <w:lvl w:ilvl="7">
        <w:start w:val="1"/>
        <w:numFmt w:val="bullet"/>
        <w:lvlText w:val="o"/>
        <w:lvlJc w:val="left"/>
        <w:pPr>
          <w:ind w:left="6336" w:hanging="360"/>
        </w:pPr>
        <w:rPr>
          <w:rFonts w:ascii="Courier New" w:hAnsi="Courier New" w:cs="Courier New" w:hint="default"/>
        </w:rPr>
      </w:lvl>
    </w:lvlOverride>
    <w:lvlOverride w:ilvl="8">
      <w:lvl w:ilvl="8">
        <w:start w:val="1"/>
        <w:numFmt w:val="bullet"/>
        <w:lvlText w:val=""/>
        <w:lvlJc w:val="left"/>
        <w:pPr>
          <w:ind w:left="7056" w:hanging="360"/>
        </w:pPr>
        <w:rPr>
          <w:rFonts w:ascii="Wingdings" w:hAnsi="Wingdings" w:hint="default"/>
        </w:rPr>
      </w:lvl>
    </w:lvlOverride>
  </w:num>
  <w:num w:numId="13">
    <w:abstractNumId w:val="7"/>
    <w:lvlOverride w:ilvl="0">
      <w:lvl w:ilvl="0">
        <w:start w:val="1"/>
        <w:numFmt w:val="bullet"/>
        <w:pStyle w:val="Tablebullet"/>
        <w:lvlText w:val=""/>
        <w:lvlJc w:val="left"/>
        <w:pPr>
          <w:ind w:left="1296" w:hanging="360"/>
        </w:pPr>
        <w:rPr>
          <w:rFonts w:ascii="Wingdings" w:hAnsi="Wingdings" w:cs="Times New Roman" w:hint="default"/>
          <w:b w:val="0"/>
          <w:bCs w:val="0"/>
          <w:i w:val="0"/>
          <w:iCs w:val="0"/>
          <w:caps w:val="0"/>
          <w:strike w:val="0"/>
          <w:dstrike w:val="0"/>
          <w:outline w:val="0"/>
          <w:shadow w:val="0"/>
          <w:emboss w:val="0"/>
          <w:imprint w:val="0"/>
          <w:vanish w:val="0"/>
          <w:color w:val="00528A"/>
          <w:spacing w:val="0"/>
          <w:kern w:val="0"/>
          <w:position w:val="0"/>
          <w:sz w:val="22"/>
          <w:u w:val="none"/>
          <w:effect w:val="none"/>
          <w:vertAlign w:val="baseline"/>
          <w:em w:val="none"/>
          <w14:ligatures w14:val="none"/>
          <w14:numForm w14:val="default"/>
          <w14:numSpacing w14:val="default"/>
          <w14:stylisticSets/>
          <w14:cntxtAlts w14:val="0"/>
        </w:rPr>
      </w:lvl>
    </w:lvlOverride>
    <w:lvlOverride w:ilvl="1">
      <w:lvl w:ilvl="1">
        <w:start w:val="1"/>
        <w:numFmt w:val="bullet"/>
        <w:lvlText w:val="o"/>
        <w:lvlJc w:val="left"/>
        <w:pPr>
          <w:ind w:left="2016" w:hanging="360"/>
        </w:pPr>
        <w:rPr>
          <w:rFonts w:ascii="Courier New" w:hAnsi="Courier New" w:cs="Courier New" w:hint="default"/>
        </w:rPr>
      </w:lvl>
    </w:lvlOverride>
    <w:lvlOverride w:ilvl="2">
      <w:lvl w:ilvl="2">
        <w:start w:val="1"/>
        <w:numFmt w:val="bullet"/>
        <w:lvlText w:val=""/>
        <w:lvlJc w:val="left"/>
        <w:pPr>
          <w:ind w:left="2736" w:hanging="360"/>
        </w:pPr>
        <w:rPr>
          <w:rFonts w:ascii="Wingdings" w:hAnsi="Wingdings" w:hint="default"/>
        </w:rPr>
      </w:lvl>
    </w:lvlOverride>
    <w:lvlOverride w:ilvl="3">
      <w:lvl w:ilvl="3">
        <w:start w:val="1"/>
        <w:numFmt w:val="bullet"/>
        <w:lvlText w:val=""/>
        <w:lvlJc w:val="left"/>
        <w:pPr>
          <w:ind w:left="3456" w:hanging="360"/>
        </w:pPr>
        <w:rPr>
          <w:rFonts w:ascii="Symbol" w:hAnsi="Symbol" w:hint="default"/>
        </w:rPr>
      </w:lvl>
    </w:lvlOverride>
    <w:lvlOverride w:ilvl="4">
      <w:lvl w:ilvl="4">
        <w:start w:val="1"/>
        <w:numFmt w:val="bullet"/>
        <w:lvlText w:val="o"/>
        <w:lvlJc w:val="left"/>
        <w:pPr>
          <w:ind w:left="4176" w:hanging="360"/>
        </w:pPr>
        <w:rPr>
          <w:rFonts w:ascii="Courier New" w:hAnsi="Courier New" w:cs="Courier New" w:hint="default"/>
        </w:rPr>
      </w:lvl>
    </w:lvlOverride>
    <w:lvlOverride w:ilvl="5">
      <w:lvl w:ilvl="5">
        <w:start w:val="1"/>
        <w:numFmt w:val="bullet"/>
        <w:lvlText w:val=""/>
        <w:lvlJc w:val="left"/>
        <w:pPr>
          <w:ind w:left="4896" w:hanging="360"/>
        </w:pPr>
        <w:rPr>
          <w:rFonts w:ascii="Wingdings" w:hAnsi="Wingdings" w:hint="default"/>
        </w:rPr>
      </w:lvl>
    </w:lvlOverride>
    <w:lvlOverride w:ilvl="6">
      <w:lvl w:ilvl="6">
        <w:start w:val="1"/>
        <w:numFmt w:val="bullet"/>
        <w:lvlText w:val=""/>
        <w:lvlJc w:val="left"/>
        <w:pPr>
          <w:ind w:left="5616" w:hanging="360"/>
        </w:pPr>
        <w:rPr>
          <w:rFonts w:ascii="Symbol" w:hAnsi="Symbol" w:hint="default"/>
        </w:rPr>
      </w:lvl>
    </w:lvlOverride>
    <w:lvlOverride w:ilvl="7">
      <w:lvl w:ilvl="7">
        <w:start w:val="1"/>
        <w:numFmt w:val="bullet"/>
        <w:lvlText w:val="o"/>
        <w:lvlJc w:val="left"/>
        <w:pPr>
          <w:ind w:left="6336" w:hanging="360"/>
        </w:pPr>
        <w:rPr>
          <w:rFonts w:ascii="Courier New" w:hAnsi="Courier New" w:cs="Courier New" w:hint="default"/>
        </w:rPr>
      </w:lvl>
    </w:lvlOverride>
    <w:lvlOverride w:ilvl="8">
      <w:lvl w:ilvl="8">
        <w:start w:val="1"/>
        <w:numFmt w:val="bullet"/>
        <w:lvlText w:val=""/>
        <w:lvlJc w:val="left"/>
        <w:pPr>
          <w:ind w:left="7056" w:hanging="360"/>
        </w:pPr>
        <w:rPr>
          <w:rFonts w:ascii="Wingdings" w:hAnsi="Wingdings" w:hint="default"/>
        </w:rPr>
      </w:lvl>
    </w:lvlOverride>
  </w:num>
  <w:num w:numId="14">
    <w:abstractNumId w:val="7"/>
    <w:lvlOverride w:ilvl="0">
      <w:lvl w:ilvl="0">
        <w:start w:val="1"/>
        <w:numFmt w:val="bullet"/>
        <w:pStyle w:val="Tablebullet"/>
        <w:lvlText w:val=""/>
        <w:lvlJc w:val="left"/>
        <w:pPr>
          <w:ind w:left="1296" w:hanging="360"/>
        </w:pPr>
        <w:rPr>
          <w:rFonts w:ascii="Wingdings" w:hAnsi="Wingdings" w:cs="Times New Roman" w:hint="default"/>
          <w:b w:val="0"/>
          <w:bCs w:val="0"/>
          <w:i w:val="0"/>
          <w:iCs w:val="0"/>
          <w:caps w:val="0"/>
          <w:strike w:val="0"/>
          <w:dstrike w:val="0"/>
          <w:outline w:val="0"/>
          <w:shadow w:val="0"/>
          <w:emboss w:val="0"/>
          <w:imprint w:val="0"/>
          <w:vanish w:val="0"/>
          <w:color w:val="00528A"/>
          <w:spacing w:val="0"/>
          <w:kern w:val="0"/>
          <w:position w:val="0"/>
          <w:sz w:val="22"/>
          <w:u w:val="none"/>
          <w:effect w:val="none"/>
          <w:vertAlign w:val="baseline"/>
          <w:em w:val="none"/>
          <w14:ligatures w14:val="none"/>
          <w14:numForm w14:val="default"/>
          <w14:numSpacing w14:val="default"/>
          <w14:stylisticSets/>
          <w14:cntxtAlts w14:val="0"/>
        </w:rPr>
      </w:lvl>
    </w:lvlOverride>
    <w:lvlOverride w:ilvl="1">
      <w:lvl w:ilvl="1">
        <w:start w:val="1"/>
        <w:numFmt w:val="bullet"/>
        <w:lvlText w:val="o"/>
        <w:lvlJc w:val="left"/>
        <w:pPr>
          <w:ind w:left="2016" w:hanging="360"/>
        </w:pPr>
        <w:rPr>
          <w:rFonts w:ascii="Courier New" w:hAnsi="Courier New" w:cs="Courier New" w:hint="default"/>
        </w:rPr>
      </w:lvl>
    </w:lvlOverride>
    <w:lvlOverride w:ilvl="2">
      <w:lvl w:ilvl="2">
        <w:start w:val="1"/>
        <w:numFmt w:val="bullet"/>
        <w:lvlText w:val=""/>
        <w:lvlJc w:val="left"/>
        <w:pPr>
          <w:ind w:left="2736" w:hanging="360"/>
        </w:pPr>
        <w:rPr>
          <w:rFonts w:ascii="Wingdings" w:hAnsi="Wingdings" w:hint="default"/>
        </w:rPr>
      </w:lvl>
    </w:lvlOverride>
    <w:lvlOverride w:ilvl="3">
      <w:lvl w:ilvl="3">
        <w:start w:val="1"/>
        <w:numFmt w:val="bullet"/>
        <w:lvlText w:val=""/>
        <w:lvlJc w:val="left"/>
        <w:pPr>
          <w:ind w:left="3456" w:hanging="360"/>
        </w:pPr>
        <w:rPr>
          <w:rFonts w:ascii="Symbol" w:hAnsi="Symbol" w:hint="default"/>
        </w:rPr>
      </w:lvl>
    </w:lvlOverride>
    <w:lvlOverride w:ilvl="4">
      <w:lvl w:ilvl="4">
        <w:start w:val="1"/>
        <w:numFmt w:val="bullet"/>
        <w:lvlText w:val="o"/>
        <w:lvlJc w:val="left"/>
        <w:pPr>
          <w:ind w:left="4176" w:hanging="360"/>
        </w:pPr>
        <w:rPr>
          <w:rFonts w:ascii="Courier New" w:hAnsi="Courier New" w:cs="Courier New" w:hint="default"/>
        </w:rPr>
      </w:lvl>
    </w:lvlOverride>
    <w:lvlOverride w:ilvl="5">
      <w:lvl w:ilvl="5">
        <w:start w:val="1"/>
        <w:numFmt w:val="bullet"/>
        <w:lvlText w:val=""/>
        <w:lvlJc w:val="left"/>
        <w:pPr>
          <w:ind w:left="4896" w:hanging="360"/>
        </w:pPr>
        <w:rPr>
          <w:rFonts w:ascii="Wingdings" w:hAnsi="Wingdings" w:hint="default"/>
        </w:rPr>
      </w:lvl>
    </w:lvlOverride>
    <w:lvlOverride w:ilvl="6">
      <w:lvl w:ilvl="6">
        <w:start w:val="1"/>
        <w:numFmt w:val="bullet"/>
        <w:lvlText w:val=""/>
        <w:lvlJc w:val="left"/>
        <w:pPr>
          <w:ind w:left="5616" w:hanging="360"/>
        </w:pPr>
        <w:rPr>
          <w:rFonts w:ascii="Symbol" w:hAnsi="Symbol" w:hint="default"/>
        </w:rPr>
      </w:lvl>
    </w:lvlOverride>
    <w:lvlOverride w:ilvl="7">
      <w:lvl w:ilvl="7">
        <w:start w:val="1"/>
        <w:numFmt w:val="bullet"/>
        <w:lvlText w:val="o"/>
        <w:lvlJc w:val="left"/>
        <w:pPr>
          <w:ind w:left="6336" w:hanging="360"/>
        </w:pPr>
        <w:rPr>
          <w:rFonts w:ascii="Courier New" w:hAnsi="Courier New" w:cs="Courier New" w:hint="default"/>
        </w:rPr>
      </w:lvl>
    </w:lvlOverride>
    <w:lvlOverride w:ilvl="8">
      <w:lvl w:ilvl="8">
        <w:start w:val="1"/>
        <w:numFmt w:val="bullet"/>
        <w:lvlText w:val=""/>
        <w:lvlJc w:val="left"/>
        <w:pPr>
          <w:ind w:left="7056" w:hanging="360"/>
        </w:pPr>
        <w:rPr>
          <w:rFonts w:ascii="Wingdings" w:hAnsi="Wingdings" w:hint="default"/>
        </w:rPr>
      </w:lvl>
    </w:lvlOverride>
  </w:num>
  <w:num w:numId="15">
    <w:abstractNumId w:val="7"/>
    <w:lvlOverride w:ilvl="0">
      <w:lvl w:ilvl="0">
        <w:start w:val="1"/>
        <w:numFmt w:val="bullet"/>
        <w:pStyle w:val="Tablebullet"/>
        <w:lvlText w:val=""/>
        <w:lvlJc w:val="left"/>
        <w:pPr>
          <w:ind w:left="1296" w:hanging="360"/>
        </w:pPr>
        <w:rPr>
          <w:rFonts w:ascii="Wingdings" w:hAnsi="Wingdings" w:cs="Times New Roman" w:hint="default"/>
          <w:b w:val="0"/>
          <w:bCs w:val="0"/>
          <w:i w:val="0"/>
          <w:iCs w:val="0"/>
          <w:caps w:val="0"/>
          <w:strike w:val="0"/>
          <w:dstrike w:val="0"/>
          <w:outline w:val="0"/>
          <w:shadow w:val="0"/>
          <w:emboss w:val="0"/>
          <w:imprint w:val="0"/>
          <w:vanish w:val="0"/>
          <w:color w:val="00528A"/>
          <w:spacing w:val="0"/>
          <w:kern w:val="0"/>
          <w:position w:val="0"/>
          <w:sz w:val="22"/>
          <w:u w:val="none"/>
          <w:effect w:val="none"/>
          <w:vertAlign w:val="baseline"/>
          <w:em w:val="none"/>
          <w14:ligatures w14:val="none"/>
          <w14:numForm w14:val="default"/>
          <w14:numSpacing w14:val="default"/>
          <w14:stylisticSets/>
          <w14:cntxtAlts w14:val="0"/>
        </w:rPr>
      </w:lvl>
    </w:lvlOverride>
    <w:lvlOverride w:ilvl="1">
      <w:lvl w:ilvl="1">
        <w:start w:val="1"/>
        <w:numFmt w:val="bullet"/>
        <w:lvlText w:val="o"/>
        <w:lvlJc w:val="left"/>
        <w:pPr>
          <w:ind w:left="2016" w:hanging="360"/>
        </w:pPr>
        <w:rPr>
          <w:rFonts w:ascii="Courier New" w:hAnsi="Courier New" w:cs="Courier New" w:hint="default"/>
        </w:rPr>
      </w:lvl>
    </w:lvlOverride>
    <w:lvlOverride w:ilvl="2">
      <w:lvl w:ilvl="2">
        <w:start w:val="1"/>
        <w:numFmt w:val="bullet"/>
        <w:lvlText w:val=""/>
        <w:lvlJc w:val="left"/>
        <w:pPr>
          <w:ind w:left="2736" w:hanging="360"/>
        </w:pPr>
        <w:rPr>
          <w:rFonts w:ascii="Wingdings" w:hAnsi="Wingdings" w:hint="default"/>
        </w:rPr>
      </w:lvl>
    </w:lvlOverride>
    <w:lvlOverride w:ilvl="3">
      <w:lvl w:ilvl="3">
        <w:start w:val="1"/>
        <w:numFmt w:val="bullet"/>
        <w:lvlText w:val=""/>
        <w:lvlJc w:val="left"/>
        <w:pPr>
          <w:ind w:left="3456" w:hanging="360"/>
        </w:pPr>
        <w:rPr>
          <w:rFonts w:ascii="Symbol" w:hAnsi="Symbol" w:hint="default"/>
        </w:rPr>
      </w:lvl>
    </w:lvlOverride>
    <w:lvlOverride w:ilvl="4">
      <w:lvl w:ilvl="4">
        <w:start w:val="1"/>
        <w:numFmt w:val="bullet"/>
        <w:lvlText w:val="o"/>
        <w:lvlJc w:val="left"/>
        <w:pPr>
          <w:ind w:left="4176" w:hanging="360"/>
        </w:pPr>
        <w:rPr>
          <w:rFonts w:ascii="Courier New" w:hAnsi="Courier New" w:cs="Courier New" w:hint="default"/>
        </w:rPr>
      </w:lvl>
    </w:lvlOverride>
    <w:lvlOverride w:ilvl="5">
      <w:lvl w:ilvl="5">
        <w:start w:val="1"/>
        <w:numFmt w:val="bullet"/>
        <w:lvlText w:val=""/>
        <w:lvlJc w:val="left"/>
        <w:pPr>
          <w:ind w:left="4896" w:hanging="360"/>
        </w:pPr>
        <w:rPr>
          <w:rFonts w:ascii="Wingdings" w:hAnsi="Wingdings" w:hint="default"/>
        </w:rPr>
      </w:lvl>
    </w:lvlOverride>
    <w:lvlOverride w:ilvl="6">
      <w:lvl w:ilvl="6">
        <w:start w:val="1"/>
        <w:numFmt w:val="bullet"/>
        <w:lvlText w:val=""/>
        <w:lvlJc w:val="left"/>
        <w:pPr>
          <w:ind w:left="5616" w:hanging="360"/>
        </w:pPr>
        <w:rPr>
          <w:rFonts w:ascii="Symbol" w:hAnsi="Symbol" w:hint="default"/>
        </w:rPr>
      </w:lvl>
    </w:lvlOverride>
    <w:lvlOverride w:ilvl="7">
      <w:lvl w:ilvl="7">
        <w:start w:val="1"/>
        <w:numFmt w:val="bullet"/>
        <w:lvlText w:val="o"/>
        <w:lvlJc w:val="left"/>
        <w:pPr>
          <w:ind w:left="6336" w:hanging="360"/>
        </w:pPr>
        <w:rPr>
          <w:rFonts w:ascii="Courier New" w:hAnsi="Courier New" w:cs="Courier New" w:hint="default"/>
        </w:rPr>
      </w:lvl>
    </w:lvlOverride>
    <w:lvlOverride w:ilvl="8">
      <w:lvl w:ilvl="8">
        <w:start w:val="1"/>
        <w:numFmt w:val="bullet"/>
        <w:lvlText w:val=""/>
        <w:lvlJc w:val="left"/>
        <w:pPr>
          <w:ind w:left="7056" w:hanging="360"/>
        </w:pPr>
        <w:rPr>
          <w:rFonts w:ascii="Wingdings" w:hAnsi="Wingdings" w:hint="default"/>
        </w:rPr>
      </w:lvl>
    </w:lvlOverride>
  </w:num>
  <w:num w:numId="16">
    <w:abstractNumId w:val="7"/>
    <w:lvlOverride w:ilvl="0">
      <w:lvl w:ilvl="0">
        <w:start w:val="1"/>
        <w:numFmt w:val="bullet"/>
        <w:pStyle w:val="Tablebullet"/>
        <w:lvlText w:val=""/>
        <w:lvlJc w:val="left"/>
        <w:pPr>
          <w:ind w:left="1296" w:hanging="360"/>
        </w:pPr>
        <w:rPr>
          <w:rFonts w:ascii="Wingdings" w:hAnsi="Wingdings" w:cs="Times New Roman" w:hint="default"/>
          <w:b w:val="0"/>
          <w:bCs w:val="0"/>
          <w:i w:val="0"/>
          <w:iCs w:val="0"/>
          <w:caps w:val="0"/>
          <w:strike w:val="0"/>
          <w:dstrike w:val="0"/>
          <w:outline w:val="0"/>
          <w:shadow w:val="0"/>
          <w:emboss w:val="0"/>
          <w:imprint w:val="0"/>
          <w:vanish w:val="0"/>
          <w:color w:val="00528A"/>
          <w:spacing w:val="0"/>
          <w:kern w:val="0"/>
          <w:position w:val="0"/>
          <w:sz w:val="22"/>
          <w:u w:val="none"/>
          <w:effect w:val="none"/>
          <w:vertAlign w:val="baseline"/>
          <w:em w:val="none"/>
          <w14:ligatures w14:val="none"/>
          <w14:numForm w14:val="default"/>
          <w14:numSpacing w14:val="default"/>
          <w14:stylisticSets/>
          <w14:cntxtAlts w14:val="0"/>
        </w:rPr>
      </w:lvl>
    </w:lvlOverride>
    <w:lvlOverride w:ilvl="1">
      <w:lvl w:ilvl="1">
        <w:start w:val="1"/>
        <w:numFmt w:val="bullet"/>
        <w:lvlText w:val="o"/>
        <w:lvlJc w:val="left"/>
        <w:pPr>
          <w:ind w:left="2016" w:hanging="360"/>
        </w:pPr>
        <w:rPr>
          <w:rFonts w:ascii="Courier New" w:hAnsi="Courier New" w:cs="Courier New" w:hint="default"/>
        </w:rPr>
      </w:lvl>
    </w:lvlOverride>
    <w:lvlOverride w:ilvl="2">
      <w:lvl w:ilvl="2">
        <w:start w:val="1"/>
        <w:numFmt w:val="bullet"/>
        <w:lvlText w:val=""/>
        <w:lvlJc w:val="left"/>
        <w:pPr>
          <w:ind w:left="2736" w:hanging="360"/>
        </w:pPr>
        <w:rPr>
          <w:rFonts w:ascii="Wingdings" w:hAnsi="Wingdings" w:hint="default"/>
        </w:rPr>
      </w:lvl>
    </w:lvlOverride>
    <w:lvlOverride w:ilvl="3">
      <w:lvl w:ilvl="3">
        <w:start w:val="1"/>
        <w:numFmt w:val="bullet"/>
        <w:lvlText w:val=""/>
        <w:lvlJc w:val="left"/>
        <w:pPr>
          <w:ind w:left="3456" w:hanging="360"/>
        </w:pPr>
        <w:rPr>
          <w:rFonts w:ascii="Symbol" w:hAnsi="Symbol" w:hint="default"/>
        </w:rPr>
      </w:lvl>
    </w:lvlOverride>
    <w:lvlOverride w:ilvl="4">
      <w:lvl w:ilvl="4">
        <w:start w:val="1"/>
        <w:numFmt w:val="bullet"/>
        <w:lvlText w:val="o"/>
        <w:lvlJc w:val="left"/>
        <w:pPr>
          <w:ind w:left="4176" w:hanging="360"/>
        </w:pPr>
        <w:rPr>
          <w:rFonts w:ascii="Courier New" w:hAnsi="Courier New" w:cs="Courier New" w:hint="default"/>
        </w:rPr>
      </w:lvl>
    </w:lvlOverride>
    <w:lvlOverride w:ilvl="5">
      <w:lvl w:ilvl="5">
        <w:start w:val="1"/>
        <w:numFmt w:val="bullet"/>
        <w:lvlText w:val=""/>
        <w:lvlJc w:val="left"/>
        <w:pPr>
          <w:ind w:left="4896" w:hanging="360"/>
        </w:pPr>
        <w:rPr>
          <w:rFonts w:ascii="Wingdings" w:hAnsi="Wingdings" w:hint="default"/>
        </w:rPr>
      </w:lvl>
    </w:lvlOverride>
    <w:lvlOverride w:ilvl="6">
      <w:lvl w:ilvl="6">
        <w:start w:val="1"/>
        <w:numFmt w:val="bullet"/>
        <w:lvlText w:val=""/>
        <w:lvlJc w:val="left"/>
        <w:pPr>
          <w:ind w:left="5616" w:hanging="360"/>
        </w:pPr>
        <w:rPr>
          <w:rFonts w:ascii="Symbol" w:hAnsi="Symbol" w:hint="default"/>
        </w:rPr>
      </w:lvl>
    </w:lvlOverride>
    <w:lvlOverride w:ilvl="7">
      <w:lvl w:ilvl="7">
        <w:start w:val="1"/>
        <w:numFmt w:val="bullet"/>
        <w:lvlText w:val="o"/>
        <w:lvlJc w:val="left"/>
        <w:pPr>
          <w:ind w:left="6336" w:hanging="360"/>
        </w:pPr>
        <w:rPr>
          <w:rFonts w:ascii="Courier New" w:hAnsi="Courier New" w:cs="Courier New" w:hint="default"/>
        </w:rPr>
      </w:lvl>
    </w:lvlOverride>
    <w:lvlOverride w:ilvl="8">
      <w:lvl w:ilvl="8">
        <w:start w:val="1"/>
        <w:numFmt w:val="bullet"/>
        <w:lvlText w:val=""/>
        <w:lvlJc w:val="left"/>
        <w:pPr>
          <w:ind w:left="7056" w:hanging="360"/>
        </w:pPr>
        <w:rPr>
          <w:rFonts w:ascii="Wingdings" w:hAnsi="Wingdings" w:hint="default"/>
        </w:rPr>
      </w:lvl>
    </w:lvlOverride>
  </w:num>
  <w:num w:numId="17">
    <w:abstractNumId w:val="7"/>
    <w:lvlOverride w:ilvl="0">
      <w:lvl w:ilvl="0">
        <w:start w:val="1"/>
        <w:numFmt w:val="bullet"/>
        <w:pStyle w:val="Tablebullet"/>
        <w:lvlText w:val=""/>
        <w:lvlJc w:val="left"/>
        <w:pPr>
          <w:ind w:left="1296" w:hanging="360"/>
        </w:pPr>
        <w:rPr>
          <w:rFonts w:ascii="Wingdings" w:hAnsi="Wingdings" w:cs="Times New Roman" w:hint="default"/>
          <w:b w:val="0"/>
          <w:bCs w:val="0"/>
          <w:i w:val="0"/>
          <w:iCs w:val="0"/>
          <w:caps w:val="0"/>
          <w:strike w:val="0"/>
          <w:dstrike w:val="0"/>
          <w:outline w:val="0"/>
          <w:shadow w:val="0"/>
          <w:emboss w:val="0"/>
          <w:imprint w:val="0"/>
          <w:vanish w:val="0"/>
          <w:color w:val="00528A"/>
          <w:spacing w:val="0"/>
          <w:kern w:val="0"/>
          <w:position w:val="0"/>
          <w:sz w:val="22"/>
          <w:u w:val="none"/>
          <w:effect w:val="none"/>
          <w:vertAlign w:val="baseline"/>
          <w:em w:val="none"/>
          <w14:ligatures w14:val="none"/>
          <w14:numForm w14:val="default"/>
          <w14:numSpacing w14:val="default"/>
          <w14:stylisticSets/>
          <w14:cntxtAlts w14:val="0"/>
        </w:rPr>
      </w:lvl>
    </w:lvlOverride>
    <w:lvlOverride w:ilvl="1">
      <w:lvl w:ilvl="1">
        <w:start w:val="1"/>
        <w:numFmt w:val="bullet"/>
        <w:lvlText w:val="o"/>
        <w:lvlJc w:val="left"/>
        <w:pPr>
          <w:ind w:left="2016" w:hanging="360"/>
        </w:pPr>
        <w:rPr>
          <w:rFonts w:ascii="Courier New" w:hAnsi="Courier New" w:cs="Courier New" w:hint="default"/>
        </w:rPr>
      </w:lvl>
    </w:lvlOverride>
    <w:lvlOverride w:ilvl="2">
      <w:lvl w:ilvl="2">
        <w:start w:val="1"/>
        <w:numFmt w:val="bullet"/>
        <w:lvlText w:val=""/>
        <w:lvlJc w:val="left"/>
        <w:pPr>
          <w:ind w:left="2736" w:hanging="360"/>
        </w:pPr>
        <w:rPr>
          <w:rFonts w:ascii="Wingdings" w:hAnsi="Wingdings" w:hint="default"/>
        </w:rPr>
      </w:lvl>
    </w:lvlOverride>
    <w:lvlOverride w:ilvl="3">
      <w:lvl w:ilvl="3">
        <w:start w:val="1"/>
        <w:numFmt w:val="bullet"/>
        <w:lvlText w:val=""/>
        <w:lvlJc w:val="left"/>
        <w:pPr>
          <w:ind w:left="3456" w:hanging="360"/>
        </w:pPr>
        <w:rPr>
          <w:rFonts w:ascii="Symbol" w:hAnsi="Symbol" w:hint="default"/>
        </w:rPr>
      </w:lvl>
    </w:lvlOverride>
    <w:lvlOverride w:ilvl="4">
      <w:lvl w:ilvl="4">
        <w:start w:val="1"/>
        <w:numFmt w:val="bullet"/>
        <w:lvlText w:val="o"/>
        <w:lvlJc w:val="left"/>
        <w:pPr>
          <w:ind w:left="4176" w:hanging="360"/>
        </w:pPr>
        <w:rPr>
          <w:rFonts w:ascii="Courier New" w:hAnsi="Courier New" w:cs="Courier New" w:hint="default"/>
        </w:rPr>
      </w:lvl>
    </w:lvlOverride>
    <w:lvlOverride w:ilvl="5">
      <w:lvl w:ilvl="5">
        <w:start w:val="1"/>
        <w:numFmt w:val="bullet"/>
        <w:lvlText w:val=""/>
        <w:lvlJc w:val="left"/>
        <w:pPr>
          <w:ind w:left="4896" w:hanging="360"/>
        </w:pPr>
        <w:rPr>
          <w:rFonts w:ascii="Wingdings" w:hAnsi="Wingdings" w:hint="default"/>
        </w:rPr>
      </w:lvl>
    </w:lvlOverride>
    <w:lvlOverride w:ilvl="6">
      <w:lvl w:ilvl="6">
        <w:start w:val="1"/>
        <w:numFmt w:val="bullet"/>
        <w:lvlText w:val=""/>
        <w:lvlJc w:val="left"/>
        <w:pPr>
          <w:ind w:left="5616" w:hanging="360"/>
        </w:pPr>
        <w:rPr>
          <w:rFonts w:ascii="Symbol" w:hAnsi="Symbol" w:hint="default"/>
        </w:rPr>
      </w:lvl>
    </w:lvlOverride>
    <w:lvlOverride w:ilvl="7">
      <w:lvl w:ilvl="7">
        <w:start w:val="1"/>
        <w:numFmt w:val="bullet"/>
        <w:lvlText w:val="o"/>
        <w:lvlJc w:val="left"/>
        <w:pPr>
          <w:ind w:left="6336" w:hanging="360"/>
        </w:pPr>
        <w:rPr>
          <w:rFonts w:ascii="Courier New" w:hAnsi="Courier New" w:cs="Courier New" w:hint="default"/>
        </w:rPr>
      </w:lvl>
    </w:lvlOverride>
    <w:lvlOverride w:ilvl="8">
      <w:lvl w:ilvl="8">
        <w:start w:val="1"/>
        <w:numFmt w:val="bullet"/>
        <w:lvlText w:val=""/>
        <w:lvlJc w:val="left"/>
        <w:pPr>
          <w:ind w:left="7056" w:hanging="360"/>
        </w:pPr>
        <w:rPr>
          <w:rFonts w:ascii="Wingdings" w:hAnsi="Wingdings" w:hint="default"/>
        </w:rPr>
      </w:lvl>
    </w:lvlOverride>
  </w:num>
  <w:num w:numId="18">
    <w:abstractNumId w:val="7"/>
    <w:lvlOverride w:ilvl="0">
      <w:lvl w:ilvl="0">
        <w:start w:val="1"/>
        <w:numFmt w:val="bullet"/>
        <w:pStyle w:val="Tablebullet"/>
        <w:lvlText w:val=""/>
        <w:lvlJc w:val="left"/>
        <w:pPr>
          <w:ind w:left="1296" w:hanging="360"/>
        </w:pPr>
        <w:rPr>
          <w:rFonts w:ascii="Wingdings" w:hAnsi="Wingdings" w:cs="Times New Roman" w:hint="default"/>
          <w:b w:val="0"/>
          <w:bCs w:val="0"/>
          <w:i w:val="0"/>
          <w:iCs w:val="0"/>
          <w:caps w:val="0"/>
          <w:strike w:val="0"/>
          <w:dstrike w:val="0"/>
          <w:outline w:val="0"/>
          <w:shadow w:val="0"/>
          <w:emboss w:val="0"/>
          <w:imprint w:val="0"/>
          <w:vanish w:val="0"/>
          <w:color w:val="00528A"/>
          <w:spacing w:val="0"/>
          <w:kern w:val="0"/>
          <w:position w:val="0"/>
          <w:sz w:val="22"/>
          <w:u w:val="none"/>
          <w:effect w:val="none"/>
          <w:vertAlign w:val="baseline"/>
          <w:em w:val="none"/>
          <w14:ligatures w14:val="none"/>
          <w14:numForm w14:val="default"/>
          <w14:numSpacing w14:val="default"/>
          <w14:stylisticSets/>
          <w14:cntxtAlts w14:val="0"/>
        </w:rPr>
      </w:lvl>
    </w:lvlOverride>
    <w:lvlOverride w:ilvl="1">
      <w:lvl w:ilvl="1">
        <w:start w:val="1"/>
        <w:numFmt w:val="bullet"/>
        <w:lvlText w:val="o"/>
        <w:lvlJc w:val="left"/>
        <w:pPr>
          <w:ind w:left="2016" w:hanging="360"/>
        </w:pPr>
        <w:rPr>
          <w:rFonts w:ascii="Courier New" w:hAnsi="Courier New" w:cs="Courier New" w:hint="default"/>
        </w:rPr>
      </w:lvl>
    </w:lvlOverride>
    <w:lvlOverride w:ilvl="2">
      <w:lvl w:ilvl="2">
        <w:start w:val="1"/>
        <w:numFmt w:val="bullet"/>
        <w:lvlText w:val=""/>
        <w:lvlJc w:val="left"/>
        <w:pPr>
          <w:ind w:left="2736" w:hanging="360"/>
        </w:pPr>
        <w:rPr>
          <w:rFonts w:ascii="Wingdings" w:hAnsi="Wingdings" w:hint="default"/>
        </w:rPr>
      </w:lvl>
    </w:lvlOverride>
    <w:lvlOverride w:ilvl="3">
      <w:lvl w:ilvl="3">
        <w:start w:val="1"/>
        <w:numFmt w:val="bullet"/>
        <w:lvlText w:val=""/>
        <w:lvlJc w:val="left"/>
        <w:pPr>
          <w:ind w:left="3456" w:hanging="360"/>
        </w:pPr>
        <w:rPr>
          <w:rFonts w:ascii="Symbol" w:hAnsi="Symbol" w:hint="default"/>
        </w:rPr>
      </w:lvl>
    </w:lvlOverride>
    <w:lvlOverride w:ilvl="4">
      <w:lvl w:ilvl="4">
        <w:start w:val="1"/>
        <w:numFmt w:val="bullet"/>
        <w:lvlText w:val="o"/>
        <w:lvlJc w:val="left"/>
        <w:pPr>
          <w:ind w:left="4176" w:hanging="360"/>
        </w:pPr>
        <w:rPr>
          <w:rFonts w:ascii="Courier New" w:hAnsi="Courier New" w:cs="Courier New" w:hint="default"/>
        </w:rPr>
      </w:lvl>
    </w:lvlOverride>
    <w:lvlOverride w:ilvl="5">
      <w:lvl w:ilvl="5">
        <w:start w:val="1"/>
        <w:numFmt w:val="bullet"/>
        <w:lvlText w:val=""/>
        <w:lvlJc w:val="left"/>
        <w:pPr>
          <w:ind w:left="4896" w:hanging="360"/>
        </w:pPr>
        <w:rPr>
          <w:rFonts w:ascii="Wingdings" w:hAnsi="Wingdings" w:hint="default"/>
        </w:rPr>
      </w:lvl>
    </w:lvlOverride>
    <w:lvlOverride w:ilvl="6">
      <w:lvl w:ilvl="6">
        <w:start w:val="1"/>
        <w:numFmt w:val="bullet"/>
        <w:lvlText w:val=""/>
        <w:lvlJc w:val="left"/>
        <w:pPr>
          <w:ind w:left="5616" w:hanging="360"/>
        </w:pPr>
        <w:rPr>
          <w:rFonts w:ascii="Symbol" w:hAnsi="Symbol" w:hint="default"/>
        </w:rPr>
      </w:lvl>
    </w:lvlOverride>
    <w:lvlOverride w:ilvl="7">
      <w:lvl w:ilvl="7">
        <w:start w:val="1"/>
        <w:numFmt w:val="bullet"/>
        <w:lvlText w:val="o"/>
        <w:lvlJc w:val="left"/>
        <w:pPr>
          <w:ind w:left="6336" w:hanging="360"/>
        </w:pPr>
        <w:rPr>
          <w:rFonts w:ascii="Courier New" w:hAnsi="Courier New" w:cs="Courier New" w:hint="default"/>
        </w:rPr>
      </w:lvl>
    </w:lvlOverride>
    <w:lvlOverride w:ilvl="8">
      <w:lvl w:ilvl="8">
        <w:start w:val="1"/>
        <w:numFmt w:val="bullet"/>
        <w:lvlText w:val=""/>
        <w:lvlJc w:val="left"/>
        <w:pPr>
          <w:ind w:left="7056" w:hanging="360"/>
        </w:pPr>
        <w:rPr>
          <w:rFonts w:ascii="Wingdings" w:hAnsi="Wingdings" w:hint="default"/>
        </w:rPr>
      </w:lvl>
    </w:lvlOverride>
  </w:num>
  <w:num w:numId="19">
    <w:abstractNumId w:val="7"/>
    <w:lvlOverride w:ilvl="0">
      <w:lvl w:ilvl="0">
        <w:start w:val="1"/>
        <w:numFmt w:val="bullet"/>
        <w:pStyle w:val="Tablebullet"/>
        <w:lvlText w:val=""/>
        <w:lvlJc w:val="left"/>
        <w:pPr>
          <w:ind w:left="1296" w:hanging="360"/>
        </w:pPr>
        <w:rPr>
          <w:rFonts w:ascii="Wingdings" w:hAnsi="Wingdings" w:cs="Times New Roman" w:hint="default"/>
          <w:b w:val="0"/>
          <w:bCs w:val="0"/>
          <w:i w:val="0"/>
          <w:iCs w:val="0"/>
          <w:caps w:val="0"/>
          <w:strike w:val="0"/>
          <w:dstrike w:val="0"/>
          <w:outline w:val="0"/>
          <w:shadow w:val="0"/>
          <w:emboss w:val="0"/>
          <w:imprint w:val="0"/>
          <w:vanish w:val="0"/>
          <w:color w:val="00528A"/>
          <w:spacing w:val="0"/>
          <w:kern w:val="0"/>
          <w:position w:val="0"/>
          <w:sz w:val="22"/>
          <w:u w:val="none"/>
          <w:effect w:val="none"/>
          <w:vertAlign w:val="baseline"/>
          <w:em w:val="none"/>
          <w14:ligatures w14:val="none"/>
          <w14:numForm w14:val="default"/>
          <w14:numSpacing w14:val="default"/>
          <w14:stylisticSets/>
          <w14:cntxtAlts w14:val="0"/>
        </w:rPr>
      </w:lvl>
    </w:lvlOverride>
    <w:lvlOverride w:ilvl="1">
      <w:lvl w:ilvl="1">
        <w:start w:val="1"/>
        <w:numFmt w:val="bullet"/>
        <w:lvlText w:val="o"/>
        <w:lvlJc w:val="left"/>
        <w:pPr>
          <w:ind w:left="2016" w:hanging="360"/>
        </w:pPr>
        <w:rPr>
          <w:rFonts w:ascii="Courier New" w:hAnsi="Courier New" w:cs="Courier New" w:hint="default"/>
        </w:rPr>
      </w:lvl>
    </w:lvlOverride>
    <w:lvlOverride w:ilvl="2">
      <w:lvl w:ilvl="2">
        <w:start w:val="1"/>
        <w:numFmt w:val="bullet"/>
        <w:lvlText w:val=""/>
        <w:lvlJc w:val="left"/>
        <w:pPr>
          <w:ind w:left="2736" w:hanging="360"/>
        </w:pPr>
        <w:rPr>
          <w:rFonts w:ascii="Wingdings" w:hAnsi="Wingdings" w:hint="default"/>
        </w:rPr>
      </w:lvl>
    </w:lvlOverride>
    <w:lvlOverride w:ilvl="3">
      <w:lvl w:ilvl="3">
        <w:start w:val="1"/>
        <w:numFmt w:val="bullet"/>
        <w:lvlText w:val=""/>
        <w:lvlJc w:val="left"/>
        <w:pPr>
          <w:ind w:left="3456" w:hanging="360"/>
        </w:pPr>
        <w:rPr>
          <w:rFonts w:ascii="Symbol" w:hAnsi="Symbol" w:hint="default"/>
        </w:rPr>
      </w:lvl>
    </w:lvlOverride>
    <w:lvlOverride w:ilvl="4">
      <w:lvl w:ilvl="4">
        <w:start w:val="1"/>
        <w:numFmt w:val="bullet"/>
        <w:lvlText w:val="o"/>
        <w:lvlJc w:val="left"/>
        <w:pPr>
          <w:ind w:left="4176" w:hanging="360"/>
        </w:pPr>
        <w:rPr>
          <w:rFonts w:ascii="Courier New" w:hAnsi="Courier New" w:cs="Courier New" w:hint="default"/>
        </w:rPr>
      </w:lvl>
    </w:lvlOverride>
    <w:lvlOverride w:ilvl="5">
      <w:lvl w:ilvl="5">
        <w:start w:val="1"/>
        <w:numFmt w:val="bullet"/>
        <w:lvlText w:val=""/>
        <w:lvlJc w:val="left"/>
        <w:pPr>
          <w:ind w:left="4896" w:hanging="360"/>
        </w:pPr>
        <w:rPr>
          <w:rFonts w:ascii="Wingdings" w:hAnsi="Wingdings" w:hint="default"/>
        </w:rPr>
      </w:lvl>
    </w:lvlOverride>
    <w:lvlOverride w:ilvl="6">
      <w:lvl w:ilvl="6">
        <w:start w:val="1"/>
        <w:numFmt w:val="bullet"/>
        <w:lvlText w:val=""/>
        <w:lvlJc w:val="left"/>
        <w:pPr>
          <w:ind w:left="5616" w:hanging="360"/>
        </w:pPr>
        <w:rPr>
          <w:rFonts w:ascii="Symbol" w:hAnsi="Symbol" w:hint="default"/>
        </w:rPr>
      </w:lvl>
    </w:lvlOverride>
    <w:lvlOverride w:ilvl="7">
      <w:lvl w:ilvl="7">
        <w:start w:val="1"/>
        <w:numFmt w:val="bullet"/>
        <w:lvlText w:val="o"/>
        <w:lvlJc w:val="left"/>
        <w:pPr>
          <w:ind w:left="6336" w:hanging="360"/>
        </w:pPr>
        <w:rPr>
          <w:rFonts w:ascii="Courier New" w:hAnsi="Courier New" w:cs="Courier New" w:hint="default"/>
        </w:rPr>
      </w:lvl>
    </w:lvlOverride>
    <w:lvlOverride w:ilvl="8">
      <w:lvl w:ilvl="8">
        <w:start w:val="1"/>
        <w:numFmt w:val="bullet"/>
        <w:lvlText w:val=""/>
        <w:lvlJc w:val="left"/>
        <w:pPr>
          <w:ind w:left="7056" w:hanging="360"/>
        </w:pPr>
        <w:rPr>
          <w:rFonts w:ascii="Wingdings" w:hAnsi="Wingdings" w:hint="default"/>
        </w:rPr>
      </w:lvl>
    </w:lvlOverride>
  </w:num>
  <w:num w:numId="20">
    <w:abstractNumId w:val="7"/>
    <w:lvlOverride w:ilvl="0">
      <w:lvl w:ilvl="0">
        <w:start w:val="1"/>
        <w:numFmt w:val="bullet"/>
        <w:pStyle w:val="Tablebullet"/>
        <w:lvlText w:val=""/>
        <w:lvlJc w:val="left"/>
        <w:pPr>
          <w:ind w:left="1296" w:hanging="360"/>
        </w:pPr>
        <w:rPr>
          <w:rFonts w:ascii="Wingdings" w:hAnsi="Wingdings" w:cs="Times New Roman" w:hint="default"/>
          <w:b w:val="0"/>
          <w:bCs w:val="0"/>
          <w:i w:val="0"/>
          <w:iCs w:val="0"/>
          <w:caps w:val="0"/>
          <w:strike w:val="0"/>
          <w:dstrike w:val="0"/>
          <w:outline w:val="0"/>
          <w:shadow w:val="0"/>
          <w:emboss w:val="0"/>
          <w:imprint w:val="0"/>
          <w:vanish w:val="0"/>
          <w:color w:val="00528A"/>
          <w:spacing w:val="0"/>
          <w:kern w:val="0"/>
          <w:position w:val="0"/>
          <w:sz w:val="22"/>
          <w:u w:val="none"/>
          <w:effect w:val="none"/>
          <w:vertAlign w:val="baseline"/>
          <w:em w:val="none"/>
          <w14:ligatures w14:val="none"/>
          <w14:numForm w14:val="default"/>
          <w14:numSpacing w14:val="default"/>
          <w14:stylisticSets/>
          <w14:cntxtAlts w14:val="0"/>
        </w:rPr>
      </w:lvl>
    </w:lvlOverride>
    <w:lvlOverride w:ilvl="1">
      <w:lvl w:ilvl="1">
        <w:start w:val="1"/>
        <w:numFmt w:val="bullet"/>
        <w:lvlText w:val="o"/>
        <w:lvlJc w:val="left"/>
        <w:pPr>
          <w:ind w:left="2016" w:hanging="360"/>
        </w:pPr>
        <w:rPr>
          <w:rFonts w:ascii="Courier New" w:hAnsi="Courier New" w:cs="Courier New" w:hint="default"/>
        </w:rPr>
      </w:lvl>
    </w:lvlOverride>
    <w:lvlOverride w:ilvl="2">
      <w:lvl w:ilvl="2">
        <w:start w:val="1"/>
        <w:numFmt w:val="bullet"/>
        <w:lvlText w:val=""/>
        <w:lvlJc w:val="left"/>
        <w:pPr>
          <w:ind w:left="2736" w:hanging="360"/>
        </w:pPr>
        <w:rPr>
          <w:rFonts w:ascii="Wingdings" w:hAnsi="Wingdings" w:hint="default"/>
        </w:rPr>
      </w:lvl>
    </w:lvlOverride>
    <w:lvlOverride w:ilvl="3">
      <w:lvl w:ilvl="3">
        <w:start w:val="1"/>
        <w:numFmt w:val="bullet"/>
        <w:lvlText w:val=""/>
        <w:lvlJc w:val="left"/>
        <w:pPr>
          <w:ind w:left="3456" w:hanging="360"/>
        </w:pPr>
        <w:rPr>
          <w:rFonts w:ascii="Symbol" w:hAnsi="Symbol" w:hint="default"/>
        </w:rPr>
      </w:lvl>
    </w:lvlOverride>
    <w:lvlOverride w:ilvl="4">
      <w:lvl w:ilvl="4">
        <w:start w:val="1"/>
        <w:numFmt w:val="bullet"/>
        <w:lvlText w:val="o"/>
        <w:lvlJc w:val="left"/>
        <w:pPr>
          <w:ind w:left="4176" w:hanging="360"/>
        </w:pPr>
        <w:rPr>
          <w:rFonts w:ascii="Courier New" w:hAnsi="Courier New" w:cs="Courier New" w:hint="default"/>
        </w:rPr>
      </w:lvl>
    </w:lvlOverride>
    <w:lvlOverride w:ilvl="5">
      <w:lvl w:ilvl="5">
        <w:start w:val="1"/>
        <w:numFmt w:val="bullet"/>
        <w:lvlText w:val=""/>
        <w:lvlJc w:val="left"/>
        <w:pPr>
          <w:ind w:left="4896" w:hanging="360"/>
        </w:pPr>
        <w:rPr>
          <w:rFonts w:ascii="Wingdings" w:hAnsi="Wingdings" w:hint="default"/>
        </w:rPr>
      </w:lvl>
    </w:lvlOverride>
    <w:lvlOverride w:ilvl="6">
      <w:lvl w:ilvl="6">
        <w:start w:val="1"/>
        <w:numFmt w:val="bullet"/>
        <w:lvlText w:val=""/>
        <w:lvlJc w:val="left"/>
        <w:pPr>
          <w:ind w:left="5616" w:hanging="360"/>
        </w:pPr>
        <w:rPr>
          <w:rFonts w:ascii="Symbol" w:hAnsi="Symbol" w:hint="default"/>
        </w:rPr>
      </w:lvl>
    </w:lvlOverride>
    <w:lvlOverride w:ilvl="7">
      <w:lvl w:ilvl="7">
        <w:start w:val="1"/>
        <w:numFmt w:val="bullet"/>
        <w:lvlText w:val="o"/>
        <w:lvlJc w:val="left"/>
        <w:pPr>
          <w:ind w:left="6336" w:hanging="360"/>
        </w:pPr>
        <w:rPr>
          <w:rFonts w:ascii="Courier New" w:hAnsi="Courier New" w:cs="Courier New" w:hint="default"/>
        </w:rPr>
      </w:lvl>
    </w:lvlOverride>
    <w:lvlOverride w:ilvl="8">
      <w:lvl w:ilvl="8">
        <w:start w:val="1"/>
        <w:numFmt w:val="bullet"/>
        <w:lvlText w:val=""/>
        <w:lvlJc w:val="left"/>
        <w:pPr>
          <w:ind w:left="7056" w:hanging="360"/>
        </w:pPr>
        <w:rPr>
          <w:rFonts w:ascii="Wingdings" w:hAnsi="Wingdings" w:hint="default"/>
        </w:rPr>
      </w:lvl>
    </w:lvlOverride>
  </w:num>
  <w:num w:numId="21">
    <w:abstractNumId w:val="5"/>
  </w:num>
  <w:num w:numId="22">
    <w:abstractNumId w:val="4"/>
  </w:num>
  <w:num w:numId="23">
    <w:abstractNumId w:val="2"/>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70C2"/>
    <w:rsid w:val="00000EAC"/>
    <w:rsid w:val="000033F6"/>
    <w:rsid w:val="00013D12"/>
    <w:rsid w:val="00025433"/>
    <w:rsid w:val="0004249C"/>
    <w:rsid w:val="00044C49"/>
    <w:rsid w:val="00066866"/>
    <w:rsid w:val="000768A7"/>
    <w:rsid w:val="000A3B75"/>
    <w:rsid w:val="000D2F3F"/>
    <w:rsid w:val="000D5051"/>
    <w:rsid w:val="000D5227"/>
    <w:rsid w:val="000E0A6F"/>
    <w:rsid w:val="000E51BB"/>
    <w:rsid w:val="001010E4"/>
    <w:rsid w:val="00117349"/>
    <w:rsid w:val="00120CC3"/>
    <w:rsid w:val="001837E9"/>
    <w:rsid w:val="001A7C3D"/>
    <w:rsid w:val="001B58A2"/>
    <w:rsid w:val="001D2E43"/>
    <w:rsid w:val="001E2292"/>
    <w:rsid w:val="001E38A6"/>
    <w:rsid w:val="001E6544"/>
    <w:rsid w:val="001F2AF3"/>
    <w:rsid w:val="001F5176"/>
    <w:rsid w:val="0021360A"/>
    <w:rsid w:val="00244718"/>
    <w:rsid w:val="00263F62"/>
    <w:rsid w:val="00276409"/>
    <w:rsid w:val="002C7D3C"/>
    <w:rsid w:val="002F51A4"/>
    <w:rsid w:val="002F5A73"/>
    <w:rsid w:val="003177C7"/>
    <w:rsid w:val="00331FC9"/>
    <w:rsid w:val="00333FCC"/>
    <w:rsid w:val="00345832"/>
    <w:rsid w:val="00345C1F"/>
    <w:rsid w:val="00365922"/>
    <w:rsid w:val="003660B6"/>
    <w:rsid w:val="00375861"/>
    <w:rsid w:val="003A18B1"/>
    <w:rsid w:val="003B44B0"/>
    <w:rsid w:val="003D2F86"/>
    <w:rsid w:val="004004B3"/>
    <w:rsid w:val="00423741"/>
    <w:rsid w:val="004324B5"/>
    <w:rsid w:val="0043784B"/>
    <w:rsid w:val="00464B62"/>
    <w:rsid w:val="00485016"/>
    <w:rsid w:val="00487732"/>
    <w:rsid w:val="00491A01"/>
    <w:rsid w:val="00494FE0"/>
    <w:rsid w:val="004954EC"/>
    <w:rsid w:val="004C238D"/>
    <w:rsid w:val="004C70C2"/>
    <w:rsid w:val="004D2F82"/>
    <w:rsid w:val="00510F71"/>
    <w:rsid w:val="00551E46"/>
    <w:rsid w:val="00553DAD"/>
    <w:rsid w:val="0058277E"/>
    <w:rsid w:val="005C2FC9"/>
    <w:rsid w:val="005C652D"/>
    <w:rsid w:val="005F5C29"/>
    <w:rsid w:val="006460A9"/>
    <w:rsid w:val="00647187"/>
    <w:rsid w:val="006505A7"/>
    <w:rsid w:val="00657068"/>
    <w:rsid w:val="006841FB"/>
    <w:rsid w:val="00693564"/>
    <w:rsid w:val="00707252"/>
    <w:rsid w:val="00746995"/>
    <w:rsid w:val="0075223C"/>
    <w:rsid w:val="007809EE"/>
    <w:rsid w:val="007812E1"/>
    <w:rsid w:val="00794C6E"/>
    <w:rsid w:val="00796F64"/>
    <w:rsid w:val="007B7361"/>
    <w:rsid w:val="007E0868"/>
    <w:rsid w:val="007F4526"/>
    <w:rsid w:val="008154CC"/>
    <w:rsid w:val="00820DA2"/>
    <w:rsid w:val="00861A09"/>
    <w:rsid w:val="00864290"/>
    <w:rsid w:val="00884851"/>
    <w:rsid w:val="00886869"/>
    <w:rsid w:val="008A2B19"/>
    <w:rsid w:val="008E19B2"/>
    <w:rsid w:val="00953709"/>
    <w:rsid w:val="00954C74"/>
    <w:rsid w:val="009A73CD"/>
    <w:rsid w:val="009C0621"/>
    <w:rsid w:val="009E4FCC"/>
    <w:rsid w:val="009F5B75"/>
    <w:rsid w:val="00A005BA"/>
    <w:rsid w:val="00A24E07"/>
    <w:rsid w:val="00A5398E"/>
    <w:rsid w:val="00A917BC"/>
    <w:rsid w:val="00AB18E6"/>
    <w:rsid w:val="00AB5E14"/>
    <w:rsid w:val="00AD0B8F"/>
    <w:rsid w:val="00AE4E66"/>
    <w:rsid w:val="00B001D4"/>
    <w:rsid w:val="00B111FB"/>
    <w:rsid w:val="00B3117F"/>
    <w:rsid w:val="00B67133"/>
    <w:rsid w:val="00BA61DA"/>
    <w:rsid w:val="00BB2823"/>
    <w:rsid w:val="00BE4358"/>
    <w:rsid w:val="00BE7549"/>
    <w:rsid w:val="00C1727F"/>
    <w:rsid w:val="00C24AFA"/>
    <w:rsid w:val="00CC6300"/>
    <w:rsid w:val="00CE1817"/>
    <w:rsid w:val="00D70035"/>
    <w:rsid w:val="00D91836"/>
    <w:rsid w:val="00D94AB6"/>
    <w:rsid w:val="00DC7166"/>
    <w:rsid w:val="00DE2E83"/>
    <w:rsid w:val="00DF541A"/>
    <w:rsid w:val="00E16EA5"/>
    <w:rsid w:val="00E25673"/>
    <w:rsid w:val="00E538DE"/>
    <w:rsid w:val="00EA5E03"/>
    <w:rsid w:val="00EC07BF"/>
    <w:rsid w:val="00EC22B3"/>
    <w:rsid w:val="00ED2ED8"/>
    <w:rsid w:val="00EE5548"/>
    <w:rsid w:val="00F07C6A"/>
    <w:rsid w:val="00F30158"/>
    <w:rsid w:val="00FB14CA"/>
    <w:rsid w:val="00FD033A"/>
    <w:rsid w:val="00FE725B"/>
    <w:rsid w:val="00FF06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1388A5"/>
  <w15:chartTrackingRefBased/>
  <w15:docId w15:val="{62033F01-51F0-4AB1-8F7B-83A769B14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C70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Level 2"/>
    <w:basedOn w:val="Normal"/>
    <w:link w:val="ListParagraphChar"/>
    <w:uiPriority w:val="34"/>
    <w:qFormat/>
    <w:rsid w:val="007B7361"/>
    <w:pPr>
      <w:ind w:left="720"/>
      <w:contextualSpacing/>
    </w:pPr>
  </w:style>
  <w:style w:type="paragraph" w:customStyle="1" w:styleId="ICFBodyText">
    <w:name w:val="ICF Body Text"/>
    <w:basedOn w:val="Normal"/>
    <w:qFormat/>
    <w:rsid w:val="007B7361"/>
    <w:pPr>
      <w:spacing w:before="40" w:line="276" w:lineRule="auto"/>
      <w:jc w:val="both"/>
    </w:pPr>
    <w:rPr>
      <w:rFonts w:ascii="Times New Roman" w:eastAsiaTheme="minorEastAsia" w:hAnsi="Times New Roman" w:cs="Times New Roman"/>
      <w:sz w:val="24"/>
      <w:szCs w:val="24"/>
    </w:rPr>
  </w:style>
  <w:style w:type="paragraph" w:customStyle="1" w:styleId="TableHeading1">
    <w:name w:val="Table Heading 1"/>
    <w:rsid w:val="007B7361"/>
    <w:pPr>
      <w:spacing w:after="0" w:line="240" w:lineRule="auto"/>
    </w:pPr>
    <w:rPr>
      <w:rFonts w:ascii="Times New Roman" w:hAnsi="Times New Roman" w:cs="Arial"/>
      <w:bCs/>
      <w:color w:val="FFFFFF" w:themeColor="background1"/>
      <w:szCs w:val="20"/>
    </w:rPr>
  </w:style>
  <w:style w:type="numbering" w:customStyle="1" w:styleId="Tablebullet1">
    <w:name w:val="Table bullet 1"/>
    <w:basedOn w:val="NoList"/>
    <w:uiPriority w:val="99"/>
    <w:rsid w:val="007B7361"/>
    <w:pPr>
      <w:numPr>
        <w:numId w:val="2"/>
      </w:numPr>
    </w:pPr>
  </w:style>
  <w:style w:type="character" w:styleId="CommentReference">
    <w:name w:val="annotation reference"/>
    <w:basedOn w:val="DefaultParagraphFont"/>
    <w:uiPriority w:val="99"/>
    <w:unhideWhenUsed/>
    <w:rsid w:val="007B7361"/>
    <w:rPr>
      <w:sz w:val="16"/>
      <w:szCs w:val="16"/>
    </w:rPr>
  </w:style>
  <w:style w:type="paragraph" w:styleId="CommentText">
    <w:name w:val="annotation text"/>
    <w:basedOn w:val="Normal"/>
    <w:link w:val="CommentTextChar"/>
    <w:uiPriority w:val="99"/>
    <w:unhideWhenUsed/>
    <w:rsid w:val="007B7361"/>
    <w:pPr>
      <w:spacing w:before="40" w:line="240" w:lineRule="auto"/>
      <w:jc w:val="both"/>
    </w:pPr>
    <w:rPr>
      <w:rFonts w:ascii="Times New Roman" w:eastAsiaTheme="minorEastAsia" w:hAnsi="Times New Roman" w:cs="Times New Roman"/>
      <w:sz w:val="20"/>
      <w:szCs w:val="20"/>
    </w:rPr>
  </w:style>
  <w:style w:type="character" w:customStyle="1" w:styleId="CommentTextChar">
    <w:name w:val="Comment Text Char"/>
    <w:basedOn w:val="DefaultParagraphFont"/>
    <w:link w:val="CommentText"/>
    <w:uiPriority w:val="99"/>
    <w:rsid w:val="007B7361"/>
    <w:rPr>
      <w:rFonts w:ascii="Times New Roman" w:eastAsiaTheme="minorEastAsia" w:hAnsi="Times New Roman" w:cs="Times New Roman"/>
      <w:sz w:val="20"/>
      <w:szCs w:val="20"/>
    </w:rPr>
  </w:style>
  <w:style w:type="paragraph" w:customStyle="1" w:styleId="StyleTableHeading3">
    <w:name w:val="Style Table Heading 3 +"/>
    <w:basedOn w:val="Normal"/>
    <w:rsid w:val="007B7361"/>
    <w:pPr>
      <w:spacing w:after="0" w:line="252" w:lineRule="auto"/>
    </w:pPr>
    <w:rPr>
      <w:rFonts w:ascii="Times New Roman" w:hAnsi="Times New Roman" w:cs="Times New Roman"/>
      <w:b/>
      <w:bCs/>
    </w:rPr>
  </w:style>
  <w:style w:type="table" w:styleId="ListTable4-Accent1">
    <w:name w:val="List Table 4 Accent 1"/>
    <w:basedOn w:val="TableNormal"/>
    <w:uiPriority w:val="49"/>
    <w:rsid w:val="007B7361"/>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Tablebullet">
    <w:name w:val="Table bullet"/>
    <w:basedOn w:val="NoSpacing"/>
    <w:link w:val="TablebulletChar"/>
    <w:qFormat/>
    <w:rsid w:val="007B7361"/>
    <w:pPr>
      <w:numPr>
        <w:numId w:val="3"/>
      </w:numPr>
      <w:spacing w:after="40"/>
    </w:pPr>
    <w:rPr>
      <w:rFonts w:ascii="Times New Roman" w:hAnsi="Times New Roman"/>
      <w:bCs/>
    </w:rPr>
  </w:style>
  <w:style w:type="character" w:customStyle="1" w:styleId="TablebulletChar">
    <w:name w:val="Table bullet Char"/>
    <w:basedOn w:val="DefaultParagraphFont"/>
    <w:link w:val="Tablebullet"/>
    <w:rsid w:val="007B7361"/>
    <w:rPr>
      <w:rFonts w:ascii="Times New Roman" w:hAnsi="Times New Roman"/>
      <w:bCs/>
    </w:rPr>
  </w:style>
  <w:style w:type="paragraph" w:styleId="NoSpacing">
    <w:name w:val="No Spacing"/>
    <w:uiPriority w:val="1"/>
    <w:qFormat/>
    <w:rsid w:val="007B7361"/>
    <w:pPr>
      <w:spacing w:after="0" w:line="240" w:lineRule="auto"/>
    </w:pPr>
  </w:style>
  <w:style w:type="paragraph" w:customStyle="1" w:styleId="Heading3noTOC">
    <w:name w:val="Heading 3.noTOC"/>
    <w:link w:val="Heading3noTOCChar"/>
    <w:qFormat/>
    <w:rsid w:val="007B7361"/>
    <w:pPr>
      <w:spacing w:before="200" w:after="40" w:line="240" w:lineRule="auto"/>
    </w:pPr>
    <w:rPr>
      <w:rFonts w:asciiTheme="majorHAnsi" w:eastAsiaTheme="majorEastAsia" w:hAnsiTheme="majorHAnsi" w:cstheme="majorBidi"/>
      <w:b/>
      <w:bCs/>
      <w:color w:val="44546A" w:themeColor="text2"/>
      <w:sz w:val="26"/>
      <w:szCs w:val="26"/>
    </w:rPr>
  </w:style>
  <w:style w:type="character" w:customStyle="1" w:styleId="Heading3noTOCChar">
    <w:name w:val="Heading 3.noTOC Char"/>
    <w:basedOn w:val="DefaultParagraphFont"/>
    <w:link w:val="Heading3noTOC"/>
    <w:rsid w:val="007B7361"/>
    <w:rPr>
      <w:rFonts w:asciiTheme="majorHAnsi" w:eastAsiaTheme="majorEastAsia" w:hAnsiTheme="majorHAnsi" w:cstheme="majorBidi"/>
      <w:b/>
      <w:bCs/>
      <w:color w:val="44546A" w:themeColor="text2"/>
      <w:sz w:val="26"/>
      <w:szCs w:val="26"/>
    </w:rPr>
  </w:style>
  <w:style w:type="paragraph" w:customStyle="1" w:styleId="Default">
    <w:name w:val="Default"/>
    <w:rsid w:val="00CE1817"/>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464B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4B62"/>
    <w:rPr>
      <w:rFonts w:ascii="Segoe UI" w:hAnsi="Segoe UI" w:cs="Segoe UI"/>
      <w:sz w:val="18"/>
      <w:szCs w:val="18"/>
    </w:rPr>
  </w:style>
  <w:style w:type="paragraph" w:styleId="Header">
    <w:name w:val="header"/>
    <w:basedOn w:val="Normal"/>
    <w:link w:val="HeaderChar"/>
    <w:uiPriority w:val="99"/>
    <w:unhideWhenUsed/>
    <w:rsid w:val="00331F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1FC9"/>
  </w:style>
  <w:style w:type="paragraph" w:styleId="Footer">
    <w:name w:val="footer"/>
    <w:basedOn w:val="Normal"/>
    <w:link w:val="FooterChar"/>
    <w:uiPriority w:val="99"/>
    <w:unhideWhenUsed/>
    <w:rsid w:val="00331F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1FC9"/>
  </w:style>
  <w:style w:type="table" w:styleId="GridTable4">
    <w:name w:val="Grid Table 4"/>
    <w:basedOn w:val="TableNormal"/>
    <w:uiPriority w:val="49"/>
    <w:rsid w:val="00331FC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CommentSubject">
    <w:name w:val="annotation subject"/>
    <w:basedOn w:val="CommentText"/>
    <w:next w:val="CommentText"/>
    <w:link w:val="CommentSubjectChar"/>
    <w:uiPriority w:val="99"/>
    <w:semiHidden/>
    <w:unhideWhenUsed/>
    <w:rsid w:val="00E538DE"/>
    <w:pPr>
      <w:spacing w:before="0"/>
      <w:jc w:val="left"/>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E538DE"/>
    <w:rPr>
      <w:rFonts w:ascii="Times New Roman" w:eastAsiaTheme="minorEastAsia" w:hAnsi="Times New Roman" w:cs="Times New Roman"/>
      <w:b/>
      <w:bCs/>
      <w:sz w:val="20"/>
      <w:szCs w:val="20"/>
    </w:rPr>
  </w:style>
  <w:style w:type="paragraph" w:customStyle="1" w:styleId="bodytextpsg">
    <w:name w:val="body text_psg"/>
    <w:basedOn w:val="Normal"/>
    <w:link w:val="bodytextpsgCharChar"/>
    <w:rsid w:val="006460A9"/>
    <w:pPr>
      <w:spacing w:line="240" w:lineRule="auto"/>
      <w:ind w:firstLine="547"/>
    </w:pPr>
    <w:rPr>
      <w:rFonts w:ascii="Times New Roman" w:eastAsia="Times New Roman" w:hAnsi="Times New Roman" w:cs="Times New Roman"/>
      <w:szCs w:val="20"/>
    </w:rPr>
  </w:style>
  <w:style w:type="character" w:customStyle="1" w:styleId="bodytextpsgCharChar">
    <w:name w:val="body text_psg Char Char"/>
    <w:link w:val="bodytextpsg"/>
    <w:rsid w:val="006460A9"/>
    <w:rPr>
      <w:rFonts w:ascii="Times New Roman" w:eastAsia="Times New Roman" w:hAnsi="Times New Roman" w:cs="Times New Roman"/>
      <w:szCs w:val="20"/>
    </w:rPr>
  </w:style>
  <w:style w:type="paragraph" w:styleId="BodyText2">
    <w:name w:val="Body Text 2"/>
    <w:basedOn w:val="Normal"/>
    <w:link w:val="BodyText2Char"/>
    <w:semiHidden/>
    <w:rsid w:val="00487732"/>
    <w:pPr>
      <w:spacing w:after="0" w:line="240" w:lineRule="auto"/>
      <w:jc w:val="both"/>
    </w:pPr>
    <w:rPr>
      <w:rFonts w:ascii="Times New Roman" w:eastAsia="Times New Roman" w:hAnsi="Times New Roman" w:cs="Times New Roman"/>
      <w:sz w:val="24"/>
      <w:szCs w:val="20"/>
    </w:rPr>
  </w:style>
  <w:style w:type="character" w:customStyle="1" w:styleId="BodyText2Char">
    <w:name w:val="Body Text 2 Char"/>
    <w:basedOn w:val="DefaultParagraphFont"/>
    <w:link w:val="BodyText2"/>
    <w:semiHidden/>
    <w:rsid w:val="00487732"/>
    <w:rPr>
      <w:rFonts w:ascii="Times New Roman" w:eastAsia="Times New Roman" w:hAnsi="Times New Roman" w:cs="Times New Roman"/>
      <w:sz w:val="24"/>
      <w:szCs w:val="20"/>
    </w:rPr>
  </w:style>
  <w:style w:type="paragraph" w:customStyle="1" w:styleId="Style3">
    <w:name w:val="Style3"/>
    <w:rsid w:val="001E2292"/>
    <w:pPr>
      <w:spacing w:after="0" w:line="240" w:lineRule="auto"/>
    </w:pPr>
    <w:rPr>
      <w:rFonts w:ascii="Times New Roman" w:eastAsia="Times New Roman" w:hAnsi="Times New Roman" w:cs="Times New Roman"/>
      <w:sz w:val="24"/>
      <w:szCs w:val="20"/>
    </w:rPr>
  </w:style>
  <w:style w:type="character" w:customStyle="1" w:styleId="ListParagraphChar">
    <w:name w:val="List Paragraph Char"/>
    <w:aliases w:val="Bullet Level 2 Char"/>
    <w:link w:val="ListParagraph"/>
    <w:uiPriority w:val="34"/>
    <w:locked/>
    <w:rsid w:val="00C24A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516910">
      <w:bodyDiv w:val="1"/>
      <w:marLeft w:val="0"/>
      <w:marRight w:val="0"/>
      <w:marTop w:val="0"/>
      <w:marBottom w:val="0"/>
      <w:divBdr>
        <w:top w:val="none" w:sz="0" w:space="0" w:color="auto"/>
        <w:left w:val="none" w:sz="0" w:space="0" w:color="auto"/>
        <w:bottom w:val="none" w:sz="0" w:space="0" w:color="auto"/>
        <w:right w:val="none" w:sz="0" w:space="0" w:color="auto"/>
      </w:divBdr>
    </w:div>
    <w:div w:id="89591324">
      <w:bodyDiv w:val="1"/>
      <w:marLeft w:val="0"/>
      <w:marRight w:val="0"/>
      <w:marTop w:val="0"/>
      <w:marBottom w:val="0"/>
      <w:divBdr>
        <w:top w:val="none" w:sz="0" w:space="0" w:color="auto"/>
        <w:left w:val="none" w:sz="0" w:space="0" w:color="auto"/>
        <w:bottom w:val="none" w:sz="0" w:space="0" w:color="auto"/>
        <w:right w:val="none" w:sz="0" w:space="0" w:color="auto"/>
      </w:divBdr>
    </w:div>
    <w:div w:id="313267154">
      <w:bodyDiv w:val="1"/>
      <w:marLeft w:val="0"/>
      <w:marRight w:val="0"/>
      <w:marTop w:val="0"/>
      <w:marBottom w:val="0"/>
      <w:divBdr>
        <w:top w:val="none" w:sz="0" w:space="0" w:color="auto"/>
        <w:left w:val="none" w:sz="0" w:space="0" w:color="auto"/>
        <w:bottom w:val="none" w:sz="0" w:space="0" w:color="auto"/>
        <w:right w:val="none" w:sz="0" w:space="0" w:color="auto"/>
      </w:divBdr>
    </w:div>
    <w:div w:id="722218389">
      <w:bodyDiv w:val="1"/>
      <w:marLeft w:val="0"/>
      <w:marRight w:val="0"/>
      <w:marTop w:val="0"/>
      <w:marBottom w:val="0"/>
      <w:divBdr>
        <w:top w:val="none" w:sz="0" w:space="0" w:color="auto"/>
        <w:left w:val="none" w:sz="0" w:space="0" w:color="auto"/>
        <w:bottom w:val="none" w:sz="0" w:space="0" w:color="auto"/>
        <w:right w:val="none" w:sz="0" w:space="0" w:color="auto"/>
      </w:divBdr>
    </w:div>
    <w:div w:id="1497915651">
      <w:bodyDiv w:val="1"/>
      <w:marLeft w:val="0"/>
      <w:marRight w:val="0"/>
      <w:marTop w:val="0"/>
      <w:marBottom w:val="0"/>
      <w:divBdr>
        <w:top w:val="none" w:sz="0" w:space="0" w:color="auto"/>
        <w:left w:val="none" w:sz="0" w:space="0" w:color="auto"/>
        <w:bottom w:val="none" w:sz="0" w:space="0" w:color="auto"/>
        <w:right w:val="none" w:sz="0" w:space="0" w:color="auto"/>
      </w:divBdr>
    </w:div>
    <w:div w:id="1570505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17" Type="http://schemas.microsoft.com/office/2016/09/relationships/commentsIds" Target="commentsId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98BFE2DE4728D43AFFD76B2F67BEFD4" ma:contentTypeVersion="11" ma:contentTypeDescription="Create a new document." ma:contentTypeScope="" ma:versionID="49891181ddcff870a6e89f38f98c28c8">
  <xsd:schema xmlns:xsd="http://www.w3.org/2001/XMLSchema" xmlns:xs="http://www.w3.org/2001/XMLSchema" xmlns:p="http://schemas.microsoft.com/office/2006/metadata/properties" xmlns:ns2="210fdf79-61bb-4898-a451-e04c747aa722" xmlns:ns3="7cbfcd47-330a-402d-acf6-02884608f543" targetNamespace="http://schemas.microsoft.com/office/2006/metadata/properties" ma:root="true" ma:fieldsID="4f2332eee494154f0ece5a34c088041d" ns2:_="" ns3:_="">
    <xsd:import namespace="210fdf79-61bb-4898-a451-e04c747aa722"/>
    <xsd:import namespace="7cbfcd47-330a-402d-acf6-02884608f54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Location" minOccurs="0"/>
                <xsd:element ref="ns2:_Flow_SignoffStatu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0fdf79-61bb-4898-a451-e04c747aa7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_Flow_SignoffStatus" ma:index="16" nillable="true" ma:displayName="Sign-off status" ma:internalName="Sign_x002d_off_x0020_status">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cbfcd47-330a-402d-acf6-02884608f5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10fdf79-61bb-4898-a451-e04c747aa722" xsi:nil="true"/>
  </documentManagement>
</p:properties>
</file>

<file path=customXml/itemProps1.xml><?xml version="1.0" encoding="utf-8"?>
<ds:datastoreItem xmlns:ds="http://schemas.openxmlformats.org/officeDocument/2006/customXml" ds:itemID="{49C94BA5-DF9B-42FE-AED5-2EC33CE19A56}">
  <ds:schemaRefs>
    <ds:schemaRef ds:uri="http://schemas.microsoft.com/sharepoint/v3/contenttype/forms"/>
  </ds:schemaRefs>
</ds:datastoreItem>
</file>

<file path=customXml/itemProps2.xml><?xml version="1.0" encoding="utf-8"?>
<ds:datastoreItem xmlns:ds="http://schemas.openxmlformats.org/officeDocument/2006/customXml" ds:itemID="{36FD7612-ABA3-42F3-9732-49D43D4149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0fdf79-61bb-4898-a451-e04c747aa722"/>
    <ds:schemaRef ds:uri="7cbfcd47-330a-402d-acf6-02884608f5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C4548D-D921-49A6-AF3C-D5F56511D924}">
  <ds:schemaRefs>
    <ds:schemaRef ds:uri="http://schemas.microsoft.com/office/2006/metadata/properties"/>
    <ds:schemaRef ds:uri="http://schemas.microsoft.com/office/infopath/2007/PartnerControls"/>
    <ds:schemaRef ds:uri="210fdf79-61bb-4898-a451-e04c747aa722"/>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805</Words>
  <Characters>4593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ICFI</Company>
  <LinksUpToDate>false</LinksUpToDate>
  <CharactersWithSpaces>5388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Bhalakia, Amee</dc:creator>
  <cp:keywords/>
  <dc:description/>
  <cp:lastModifiedBy>Cincotta, Kristen</cp:lastModifiedBy>
  <cp:revision>6</cp:revision>
  <dcterms:created xsi:type="dcterms:W3CDTF">2020-01-02T18:31:00Z</dcterms:created>
  <dcterms:modified xsi:type="dcterms:W3CDTF">2020-01-24T20:59:00Z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0x010100E98BFE2DE4728D43AFFD76B2F67BEFD4</vt:lpwstr>
  </property>
</Properties>
</file>