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47CC4" w14:textId="144867EB" w:rsidR="000768A7" w:rsidRPr="00331FC9" w:rsidRDefault="000768A7" w:rsidP="000768A7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331FC9">
        <w:rPr>
          <w:rFonts w:ascii="Times New Roman" w:hAnsi="Times New Roman" w:cs="Times New Roman"/>
          <w:b/>
          <w:sz w:val="28"/>
        </w:rPr>
        <w:t>Attachment A</w:t>
      </w:r>
      <w:r w:rsidR="0043784B" w:rsidRPr="00331FC9">
        <w:rPr>
          <w:rFonts w:ascii="Times New Roman" w:hAnsi="Times New Roman" w:cs="Times New Roman"/>
          <w:b/>
          <w:sz w:val="28"/>
        </w:rPr>
        <w:t>.</w:t>
      </w:r>
      <w:r w:rsidR="007B7361" w:rsidRPr="00331FC9">
        <w:rPr>
          <w:rFonts w:ascii="Times New Roman" w:hAnsi="Times New Roman" w:cs="Times New Roman"/>
          <w:b/>
          <w:sz w:val="28"/>
        </w:rPr>
        <w:t xml:space="preserve"> Study Population</w:t>
      </w:r>
    </w:p>
    <w:p w14:paraId="66D13F5D" w14:textId="1809D8A4" w:rsidR="00EE5548" w:rsidRPr="00623D14" w:rsidRDefault="00341D4E">
      <w:pPr>
        <w:pStyle w:val="TableHeading1"/>
        <w:tabs>
          <w:tab w:val="left" w:pos="2725"/>
        </w:tabs>
        <w:rPr>
          <w:rFonts w:cs="Times New Roman"/>
          <w:color w:val="auto"/>
        </w:rPr>
      </w:pPr>
      <w:r w:rsidRPr="00623D14">
        <w:rPr>
          <w:rFonts w:cs="Times New Roman"/>
          <w:color w:val="auto"/>
        </w:rPr>
        <w:t xml:space="preserve">Based on previous </w:t>
      </w:r>
      <w:r w:rsidR="0005664E" w:rsidRPr="00623D14">
        <w:rPr>
          <w:rFonts w:cs="Times New Roman"/>
          <w:color w:val="auto"/>
        </w:rPr>
        <w:t xml:space="preserve">formative </w:t>
      </w:r>
      <w:r w:rsidRPr="00623D14">
        <w:rPr>
          <w:rFonts w:cs="Times New Roman"/>
          <w:color w:val="auto"/>
        </w:rPr>
        <w:t xml:space="preserve">research related to </w:t>
      </w:r>
      <w:r w:rsidR="0005664E" w:rsidRPr="00623D14">
        <w:rPr>
          <w:rFonts w:cs="Times New Roman"/>
          <w:color w:val="auto"/>
        </w:rPr>
        <w:t xml:space="preserve">the </w:t>
      </w:r>
      <w:r w:rsidR="0005664E" w:rsidRPr="00623D14">
        <w:rPr>
          <w:rFonts w:cs="Times New Roman"/>
          <w:i/>
          <w:iCs/>
          <w:color w:val="auto"/>
        </w:rPr>
        <w:t xml:space="preserve">Get Ahead of Sepsis </w:t>
      </w:r>
      <w:r w:rsidR="0005664E" w:rsidRPr="00623D14">
        <w:rPr>
          <w:rFonts w:cs="Times New Roman"/>
          <w:color w:val="auto"/>
        </w:rPr>
        <w:t xml:space="preserve">(GAOS) </w:t>
      </w:r>
      <w:r w:rsidRPr="00623D14">
        <w:rPr>
          <w:rFonts w:cs="Times New Roman"/>
          <w:color w:val="auto"/>
        </w:rPr>
        <w:t>educational effort</w:t>
      </w:r>
      <w:r w:rsidR="0005664E" w:rsidRPr="00623D14">
        <w:rPr>
          <w:rFonts w:cs="Times New Roman"/>
          <w:color w:val="auto"/>
        </w:rPr>
        <w:t xml:space="preserve"> and CDC subject matter expert guidance</w:t>
      </w:r>
      <w:r w:rsidRPr="00623D14">
        <w:rPr>
          <w:rFonts w:cs="Times New Roman"/>
          <w:color w:val="auto"/>
        </w:rPr>
        <w:t xml:space="preserve">, CDC </w:t>
      </w:r>
      <w:r w:rsidR="0005664E" w:rsidRPr="00623D14">
        <w:rPr>
          <w:rFonts w:cs="Times New Roman"/>
          <w:color w:val="auto"/>
        </w:rPr>
        <w:t xml:space="preserve">has </w:t>
      </w:r>
      <w:r w:rsidR="008B0CE8" w:rsidRPr="00623D14">
        <w:rPr>
          <w:rFonts w:cs="Times New Roman"/>
          <w:color w:val="auto"/>
        </w:rPr>
        <w:t xml:space="preserve">developed </w:t>
      </w:r>
      <w:r w:rsidR="00EE5548" w:rsidRPr="00623D14">
        <w:rPr>
          <w:rFonts w:cs="Times New Roman"/>
          <w:color w:val="auto"/>
        </w:rPr>
        <w:t>new</w:t>
      </w:r>
      <w:r w:rsidR="0005664E" w:rsidRPr="00623D14">
        <w:rPr>
          <w:rFonts w:cs="Times New Roman"/>
          <w:color w:val="auto"/>
        </w:rPr>
        <w:t xml:space="preserve"> or revised educational effort materials and</w:t>
      </w:r>
      <w:r w:rsidR="00EE5548" w:rsidRPr="00623D14">
        <w:rPr>
          <w:rFonts w:cs="Times New Roman"/>
          <w:color w:val="auto"/>
        </w:rPr>
        <w:t xml:space="preserve"> </w:t>
      </w:r>
      <w:r w:rsidR="00936654" w:rsidRPr="00623D14">
        <w:rPr>
          <w:rFonts w:cs="Times New Roman"/>
          <w:color w:val="auto"/>
        </w:rPr>
        <w:t xml:space="preserve">is planning to develop </w:t>
      </w:r>
      <w:r w:rsidR="0005664E" w:rsidRPr="00623D14">
        <w:rPr>
          <w:rFonts w:cs="Times New Roman"/>
          <w:color w:val="auto"/>
        </w:rPr>
        <w:t xml:space="preserve">additional </w:t>
      </w:r>
      <w:r w:rsidR="008B0CE8" w:rsidRPr="00623D14">
        <w:rPr>
          <w:rFonts w:cs="Times New Roman"/>
          <w:color w:val="auto"/>
        </w:rPr>
        <w:t xml:space="preserve">educational effort </w:t>
      </w:r>
      <w:r w:rsidR="00EE5548" w:rsidRPr="00623D14">
        <w:rPr>
          <w:rFonts w:cs="Times New Roman"/>
          <w:color w:val="auto"/>
        </w:rPr>
        <w:t>material</w:t>
      </w:r>
      <w:r w:rsidR="00DC6D07" w:rsidRPr="00623D14">
        <w:rPr>
          <w:rFonts w:cs="Times New Roman"/>
          <w:color w:val="auto"/>
        </w:rPr>
        <w:t>s</w:t>
      </w:r>
      <w:r w:rsidR="00EE5548" w:rsidRPr="00623D14">
        <w:rPr>
          <w:rFonts w:cs="Times New Roman"/>
          <w:color w:val="auto"/>
        </w:rPr>
        <w:t xml:space="preserve"> </w:t>
      </w:r>
      <w:r w:rsidR="008B0CE8" w:rsidRPr="00623D14">
        <w:rPr>
          <w:rFonts w:cs="Times New Roman"/>
          <w:color w:val="auto"/>
        </w:rPr>
        <w:t>for</w:t>
      </w:r>
      <w:r w:rsidR="00EE5548" w:rsidRPr="00623D14">
        <w:rPr>
          <w:rFonts w:cs="Times New Roman"/>
          <w:color w:val="auto"/>
        </w:rPr>
        <w:t xml:space="preserve"> </w:t>
      </w:r>
      <w:r w:rsidR="00936654" w:rsidRPr="00623D14">
        <w:rPr>
          <w:rFonts w:cs="Times New Roman"/>
          <w:color w:val="auto"/>
        </w:rPr>
        <w:t xml:space="preserve">three </w:t>
      </w:r>
      <w:r w:rsidR="008B0CE8" w:rsidRPr="00623D14">
        <w:rPr>
          <w:rFonts w:cs="Times New Roman"/>
          <w:color w:val="auto"/>
        </w:rPr>
        <w:t xml:space="preserve">new </w:t>
      </w:r>
      <w:r w:rsidR="0005664E" w:rsidRPr="00623D14">
        <w:rPr>
          <w:rFonts w:cs="Times New Roman"/>
          <w:color w:val="auto"/>
        </w:rPr>
        <w:t>healthcare professional (</w:t>
      </w:r>
      <w:r w:rsidR="0092749D" w:rsidRPr="00623D14">
        <w:rPr>
          <w:rFonts w:cs="Times New Roman"/>
          <w:color w:val="auto"/>
        </w:rPr>
        <w:t>HCP</w:t>
      </w:r>
      <w:r w:rsidR="0005664E" w:rsidRPr="00623D14">
        <w:rPr>
          <w:rFonts w:cs="Times New Roman"/>
          <w:color w:val="auto"/>
        </w:rPr>
        <w:t>)</w:t>
      </w:r>
      <w:r w:rsidR="00EE5548" w:rsidRPr="00623D14">
        <w:rPr>
          <w:rFonts w:cs="Times New Roman"/>
          <w:color w:val="auto"/>
        </w:rPr>
        <w:t xml:space="preserve"> audiences</w:t>
      </w:r>
      <w:r w:rsidR="0005664E" w:rsidRPr="00623D14">
        <w:rPr>
          <w:rFonts w:cs="Times New Roman"/>
          <w:color w:val="auto"/>
        </w:rPr>
        <w:t xml:space="preserve"> described in the table below</w:t>
      </w:r>
      <w:r w:rsidR="00EE5548" w:rsidRPr="00623D14">
        <w:rPr>
          <w:rFonts w:cs="Times New Roman"/>
          <w:color w:val="auto"/>
        </w:rPr>
        <w:t>.</w:t>
      </w:r>
    </w:p>
    <w:p w14:paraId="0B430863" w14:textId="077242AA" w:rsidR="007B7361" w:rsidRPr="000E0A6F" w:rsidRDefault="007B7361" w:rsidP="00A5398E">
      <w:pPr>
        <w:pStyle w:val="TableHeading1"/>
        <w:tabs>
          <w:tab w:val="left" w:pos="2725"/>
        </w:tabs>
        <w:rPr>
          <w:rFonts w:cs="Times New Roman"/>
          <w:b/>
          <w:color w:val="auto"/>
          <w:szCs w:val="22"/>
        </w:rPr>
      </w:pPr>
    </w:p>
    <w:tbl>
      <w:tblPr>
        <w:tblStyle w:val="GridTable4"/>
        <w:tblW w:w="5000" w:type="pct"/>
        <w:tblLayout w:type="fixed"/>
        <w:tblLook w:val="0420" w:firstRow="1" w:lastRow="0" w:firstColumn="0" w:lastColumn="0" w:noHBand="0" w:noVBand="1"/>
      </w:tblPr>
      <w:tblGrid>
        <w:gridCol w:w="1561"/>
        <w:gridCol w:w="4007"/>
        <w:gridCol w:w="4008"/>
      </w:tblGrid>
      <w:tr w:rsidR="00345C1F" w:rsidRPr="00CE1817" w14:paraId="657471EC" w14:textId="77777777" w:rsidTr="00623D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0"/>
          <w:tblHeader/>
        </w:trPr>
        <w:tc>
          <w:tcPr>
            <w:tcW w:w="1525" w:type="dxa"/>
            <w:hideMark/>
          </w:tcPr>
          <w:p w14:paraId="7B2BAFB1" w14:textId="35C2266F" w:rsidR="00345C1F" w:rsidRPr="00CE1817" w:rsidRDefault="008B0CE8" w:rsidP="00345C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HCP </w:t>
            </w:r>
            <w:r w:rsidR="00345C1F" w:rsidRPr="00CE1817">
              <w:rPr>
                <w:rFonts w:ascii="Times New Roman" w:hAnsi="Times New Roman" w:cs="Times New Roman"/>
              </w:rPr>
              <w:t>Audience</w:t>
            </w:r>
          </w:p>
        </w:tc>
        <w:tc>
          <w:tcPr>
            <w:tcW w:w="3912" w:type="dxa"/>
          </w:tcPr>
          <w:p w14:paraId="4E6C64B7" w14:textId="29BFDD0F" w:rsidR="00345C1F" w:rsidRDefault="00345C1F" w:rsidP="00345C1F">
            <w:pPr>
              <w:rPr>
                <w:rFonts w:ascii="Times New Roman" w:hAnsi="Times New Roman" w:cs="Times New Roman"/>
              </w:rPr>
            </w:pPr>
            <w:r w:rsidRPr="00CE1817">
              <w:rPr>
                <w:rFonts w:ascii="Times New Roman" w:hAnsi="Times New Roman" w:cs="Times New Roman"/>
              </w:rPr>
              <w:t xml:space="preserve">The </w:t>
            </w:r>
            <w:r w:rsidR="00D000E8">
              <w:rPr>
                <w:rFonts w:ascii="Times New Roman" w:hAnsi="Times New Roman" w:cs="Times New Roman"/>
              </w:rPr>
              <w:t>“</w:t>
            </w:r>
            <w:r w:rsidRPr="00CE1817">
              <w:rPr>
                <w:rFonts w:ascii="Times New Roman" w:hAnsi="Times New Roman" w:cs="Times New Roman"/>
              </w:rPr>
              <w:t>Why</w:t>
            </w:r>
            <w:r w:rsidR="00D000E8">
              <w:rPr>
                <w:rFonts w:ascii="Times New Roman" w:hAnsi="Times New Roman" w:cs="Times New Roman"/>
              </w:rPr>
              <w:t>”</w:t>
            </w:r>
            <w:r w:rsidRPr="00CE181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13" w:type="dxa"/>
            <w:hideMark/>
          </w:tcPr>
          <w:p w14:paraId="5600142F" w14:textId="3A840DFD" w:rsidR="00345C1F" w:rsidRPr="00CE1817" w:rsidRDefault="00345C1F" w:rsidP="00345C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Criteria</w:t>
            </w:r>
            <w:r w:rsidR="00D000E8">
              <w:rPr>
                <w:rFonts w:ascii="Times New Roman" w:hAnsi="Times New Roman" w:cs="Times New Roman"/>
              </w:rPr>
              <w:t xml:space="preserve"> for eligibility</w:t>
            </w:r>
          </w:p>
        </w:tc>
      </w:tr>
      <w:tr w:rsidR="00936654" w:rsidRPr="00CE1817" w14:paraId="4F3123EE" w14:textId="77777777" w:rsidTr="00623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525" w:type="dxa"/>
          </w:tcPr>
          <w:p w14:paraId="574F14E9" w14:textId="6959D8D5" w:rsidR="00936654" w:rsidRPr="009E1E01" w:rsidRDefault="00936654" w:rsidP="00936654">
            <w:pPr>
              <w:pStyle w:val="Tablebullet"/>
              <w:numPr>
                <w:ilvl w:val="0"/>
                <w:numId w:val="0"/>
              </w:num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Emergency medical services (EMS) personnel</w:t>
            </w:r>
          </w:p>
        </w:tc>
        <w:tc>
          <w:tcPr>
            <w:tcW w:w="3912" w:type="dxa"/>
          </w:tcPr>
          <w:p w14:paraId="0FE217C6" w14:textId="5DCBE02C" w:rsidR="00936654" w:rsidRPr="0092749D" w:rsidRDefault="00807664" w:rsidP="00B02402">
            <w:pPr>
              <w:pStyle w:val="Tablebullet"/>
              <w:numPr>
                <w:ilvl w:val="0"/>
                <w:numId w:val="0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Sepsis </w:t>
            </w:r>
            <w:r w:rsidR="00270E8D">
              <w:rPr>
                <w:rFonts w:cs="Times New Roman"/>
              </w:rPr>
              <w:t xml:space="preserve">signs and </w:t>
            </w:r>
            <w:r w:rsidR="0005664E">
              <w:rPr>
                <w:rFonts w:cs="Times New Roman"/>
              </w:rPr>
              <w:t xml:space="preserve">symptoms </w:t>
            </w:r>
            <w:r>
              <w:rPr>
                <w:rFonts w:cs="Times New Roman"/>
              </w:rPr>
              <w:t xml:space="preserve">start outside the hospital in 80% of cases. EMS personnel are uniquely positioned to be the first </w:t>
            </w:r>
            <w:r w:rsidR="00B02402">
              <w:rPr>
                <w:rFonts w:cs="Times New Roman"/>
              </w:rPr>
              <w:t>healthcare professionals</w:t>
            </w:r>
            <w:r>
              <w:rPr>
                <w:rFonts w:cs="Times New Roman"/>
              </w:rPr>
              <w:t xml:space="preserve"> </w:t>
            </w:r>
            <w:r w:rsidR="00B02402">
              <w:rPr>
                <w:rFonts w:cs="Times New Roman"/>
              </w:rPr>
              <w:t xml:space="preserve">to encounter patients with possible </w:t>
            </w:r>
            <w:r>
              <w:rPr>
                <w:rFonts w:cs="Times New Roman"/>
              </w:rPr>
              <w:t>sepsis</w:t>
            </w:r>
            <w:r w:rsidR="003613DC">
              <w:rPr>
                <w:rFonts w:cs="Times New Roman"/>
              </w:rPr>
              <w:t xml:space="preserve">. </w:t>
            </w:r>
          </w:p>
        </w:tc>
        <w:tc>
          <w:tcPr>
            <w:tcW w:w="3913" w:type="dxa"/>
          </w:tcPr>
          <w:p w14:paraId="6FB6B455" w14:textId="4E115299" w:rsidR="00936654" w:rsidRPr="0088247E" w:rsidRDefault="00936654" w:rsidP="00936654">
            <w:pPr>
              <w:pStyle w:val="Tablebullet"/>
              <w:ind w:left="360"/>
              <w:rPr>
                <w:rFonts w:cs="Times New Roman"/>
              </w:rPr>
            </w:pPr>
            <w:r>
              <w:rPr>
                <w:rFonts w:cs="Times New Roman"/>
              </w:rPr>
              <w:t>Certified as an Emergency Medical Responder (EMR), Emergency Medical Technician (EMT), or paramedic</w:t>
            </w:r>
          </w:p>
        </w:tc>
      </w:tr>
      <w:tr w:rsidR="00936654" w:rsidRPr="00CE1817" w14:paraId="52AE1604" w14:textId="77777777" w:rsidTr="00623D14">
        <w:trPr>
          <w:trHeight w:val="20"/>
        </w:trPr>
        <w:tc>
          <w:tcPr>
            <w:tcW w:w="1525" w:type="dxa"/>
          </w:tcPr>
          <w:p w14:paraId="0DE74017" w14:textId="318C421A" w:rsidR="00936654" w:rsidRPr="009E1E01" w:rsidRDefault="00936654" w:rsidP="00577D88">
            <w:pPr>
              <w:pStyle w:val="Tablebullet"/>
              <w:numPr>
                <w:ilvl w:val="0"/>
                <w:numId w:val="0"/>
              </w:num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Long-term care (LTC) medical technicians and sitters</w:t>
            </w:r>
          </w:p>
        </w:tc>
        <w:tc>
          <w:tcPr>
            <w:tcW w:w="3912" w:type="dxa"/>
          </w:tcPr>
          <w:p w14:paraId="7B926E38" w14:textId="7D889151" w:rsidR="00936654" w:rsidRPr="0092749D" w:rsidRDefault="003613DC" w:rsidP="0078149C">
            <w:pPr>
              <w:pStyle w:val="Tablebullet"/>
              <w:numPr>
                <w:ilvl w:val="0"/>
                <w:numId w:val="0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LTC medical technicians and sitters are often the medical personnel that have the most frequent contact and interaction with older adults who are at an increased risk for sepsis. </w:t>
            </w:r>
            <w:r w:rsidR="0005664E">
              <w:rPr>
                <w:rFonts w:cs="Times New Roman"/>
              </w:rPr>
              <w:t xml:space="preserve">As a result, they are uniquely positioned to help residents/patients prevent infections that can lead to sepsis and to alert other HCPs who can initiate sepsis treatment when sepsis </w:t>
            </w:r>
            <w:r w:rsidR="00EA0C4A">
              <w:rPr>
                <w:rFonts w:cs="Times New Roman"/>
              </w:rPr>
              <w:t xml:space="preserve">signs and </w:t>
            </w:r>
            <w:r w:rsidR="0005664E">
              <w:rPr>
                <w:rFonts w:cs="Times New Roman"/>
              </w:rPr>
              <w:t>symptoms are first detected.</w:t>
            </w:r>
          </w:p>
        </w:tc>
        <w:tc>
          <w:tcPr>
            <w:tcW w:w="3913" w:type="dxa"/>
          </w:tcPr>
          <w:p w14:paraId="494E2C80" w14:textId="77777777" w:rsidR="0005664E" w:rsidRDefault="0005664E" w:rsidP="00C03ED6">
            <w:pPr>
              <w:pStyle w:val="Tablebullet"/>
              <w:ind w:left="360"/>
              <w:rPr>
                <w:rFonts w:cs="Times New Roman"/>
              </w:rPr>
            </w:pPr>
            <w:r>
              <w:rPr>
                <w:rFonts w:cs="Times New Roman"/>
              </w:rPr>
              <w:t>Works at a long-term care facility (e.g., nursing home, LTC acute care center, adult day care center, dementia facility)</w:t>
            </w:r>
          </w:p>
          <w:p w14:paraId="3B9B5F91" w14:textId="44756FB8" w:rsidR="00807664" w:rsidRPr="0005664E" w:rsidRDefault="00807664">
            <w:pPr>
              <w:pStyle w:val="Tablebullet"/>
              <w:ind w:left="360"/>
              <w:rPr>
                <w:rFonts w:cs="Times New Roman"/>
              </w:rPr>
            </w:pPr>
            <w:r w:rsidRPr="00807664">
              <w:rPr>
                <w:rFonts w:cs="Times New Roman"/>
              </w:rPr>
              <w:t xml:space="preserve">Currently employed as </w:t>
            </w:r>
            <w:r w:rsidR="0005664E">
              <w:t>an HCP</w:t>
            </w:r>
            <w:r w:rsidRPr="00623D14">
              <w:rPr>
                <w:bCs w:val="0"/>
              </w:rPr>
              <w:t xml:space="preserve"> assisting residents/patients with one or more of the following types of care: bathing, dressing, toileting, walking, transferring in and out of bed, assisting with meals, obtaining vital signs, monitoring behaviors and habits, and/or assisting nurses in distributing medication(s)</w:t>
            </w:r>
          </w:p>
        </w:tc>
      </w:tr>
      <w:tr w:rsidR="00936654" w:rsidRPr="00CE1817" w14:paraId="541A21DB" w14:textId="77777777" w:rsidTr="00623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525" w:type="dxa"/>
          </w:tcPr>
          <w:p w14:paraId="0D147A0D" w14:textId="6BB34465" w:rsidR="00936654" w:rsidRPr="009E1E01" w:rsidRDefault="00936654" w:rsidP="00577D88">
            <w:pPr>
              <w:pStyle w:val="Tablebullet"/>
              <w:numPr>
                <w:ilvl w:val="0"/>
                <w:numId w:val="0"/>
              </w:num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Long-term care (LTC) nurses</w:t>
            </w:r>
          </w:p>
        </w:tc>
        <w:tc>
          <w:tcPr>
            <w:tcW w:w="3912" w:type="dxa"/>
          </w:tcPr>
          <w:p w14:paraId="659AFF17" w14:textId="3C1BCCB1" w:rsidR="00936654" w:rsidRPr="0092749D" w:rsidRDefault="003613DC" w:rsidP="0078149C">
            <w:pPr>
              <w:pStyle w:val="Tablebullet"/>
              <w:numPr>
                <w:ilvl w:val="0"/>
                <w:numId w:val="0"/>
              </w:numPr>
              <w:rPr>
                <w:rFonts w:cs="Times New Roman"/>
              </w:rPr>
            </w:pPr>
            <w:r>
              <w:rPr>
                <w:rFonts w:cs="Times New Roman"/>
              </w:rPr>
              <w:t>LTC nurses provide advanced care for older adults who are at risk for sepsis and are frequently involved in patient education</w:t>
            </w:r>
            <w:r w:rsidR="0005664E">
              <w:rPr>
                <w:rFonts w:cs="Times New Roman"/>
              </w:rPr>
              <w:t xml:space="preserve">. As a result, they are uniquely positioned to help residents/patients prevent infections that can lead to sepsis and to alert other HCPs who can initiate sepsis treatment (or initiate it themselves) when sepsis </w:t>
            </w:r>
            <w:r w:rsidR="00EA0C4A">
              <w:rPr>
                <w:rFonts w:cs="Times New Roman"/>
              </w:rPr>
              <w:t xml:space="preserve">signs and </w:t>
            </w:r>
            <w:r w:rsidR="0005664E">
              <w:rPr>
                <w:rFonts w:cs="Times New Roman"/>
              </w:rPr>
              <w:t>symptoms are first detected.</w:t>
            </w:r>
          </w:p>
        </w:tc>
        <w:tc>
          <w:tcPr>
            <w:tcW w:w="3913" w:type="dxa"/>
          </w:tcPr>
          <w:p w14:paraId="13672EA9" w14:textId="77777777" w:rsidR="00936654" w:rsidRDefault="00807664" w:rsidP="00C03ED6">
            <w:pPr>
              <w:pStyle w:val="Tablebullet"/>
              <w:ind w:left="360"/>
              <w:rPr>
                <w:rFonts w:cs="Times New Roman"/>
              </w:rPr>
            </w:pPr>
            <w:r>
              <w:rPr>
                <w:rFonts w:cs="Times New Roman"/>
              </w:rPr>
              <w:t>Licensed Registered Nurse (RN), Licensed Practical Nurse (LPN), or Licensed Vocational Nurse (LVN)</w:t>
            </w:r>
          </w:p>
          <w:p w14:paraId="0639024E" w14:textId="1604CC5C" w:rsidR="00807664" w:rsidRPr="0088247E" w:rsidRDefault="00807664" w:rsidP="00C03ED6">
            <w:pPr>
              <w:pStyle w:val="Tablebullet"/>
              <w:ind w:left="360"/>
              <w:rPr>
                <w:rFonts w:cs="Times New Roman"/>
              </w:rPr>
            </w:pPr>
            <w:r>
              <w:rPr>
                <w:rFonts w:cs="Times New Roman"/>
              </w:rPr>
              <w:t>Works at a long-term care facility (e.g., nursing home, LTC acute care center, adult day care center, dementia facility)</w:t>
            </w:r>
          </w:p>
        </w:tc>
      </w:tr>
    </w:tbl>
    <w:p w14:paraId="116D57A9" w14:textId="5200F644" w:rsidR="00E538DE" w:rsidRDefault="00E538DE" w:rsidP="00E538DE">
      <w:pPr>
        <w:rPr>
          <w:rFonts w:ascii="Times New Roman" w:hAnsi="Times New Roman" w:cs="Times New Roman"/>
        </w:rPr>
      </w:pPr>
    </w:p>
    <w:p w14:paraId="2B2641A1" w14:textId="3795F8BD" w:rsidR="0005664E" w:rsidRDefault="0005664E" w:rsidP="00623D14">
      <w:pPr>
        <w:pStyle w:val="TableHeading1"/>
        <w:tabs>
          <w:tab w:val="left" w:pos="2725"/>
        </w:tabs>
        <w:rPr>
          <w:rFonts w:cs="Times New Roman"/>
          <w:color w:val="auto"/>
        </w:rPr>
      </w:pPr>
      <w:r w:rsidRPr="00341D4E">
        <w:rPr>
          <w:rFonts w:cs="Times New Roman"/>
          <w:color w:val="auto"/>
        </w:rPr>
        <w:t xml:space="preserve">The </w:t>
      </w:r>
      <w:r w:rsidRPr="3282B94A">
        <w:rPr>
          <w:rFonts w:cs="Times New Roman"/>
          <w:i/>
          <w:iCs/>
          <w:color w:val="auto"/>
        </w:rPr>
        <w:t xml:space="preserve">Get Ahead of Sepsis </w:t>
      </w:r>
      <w:r>
        <w:rPr>
          <w:rFonts w:cs="Times New Roman"/>
          <w:color w:val="auto"/>
        </w:rPr>
        <w:t>educational effort</w:t>
      </w:r>
      <w:r w:rsidRPr="00341D4E">
        <w:rPr>
          <w:rFonts w:cs="Times New Roman"/>
          <w:color w:val="auto"/>
        </w:rPr>
        <w:t xml:space="preserve"> targets </w:t>
      </w:r>
      <w:r>
        <w:rPr>
          <w:rFonts w:cs="Times New Roman"/>
          <w:color w:val="auto"/>
        </w:rPr>
        <w:t xml:space="preserve">HCPs and consumers in </w:t>
      </w:r>
      <w:r w:rsidRPr="00341D4E">
        <w:rPr>
          <w:rFonts w:cs="Times New Roman"/>
          <w:color w:val="auto"/>
        </w:rPr>
        <w:t xml:space="preserve">the </w:t>
      </w:r>
      <w:r>
        <w:rPr>
          <w:rFonts w:cs="Times New Roman"/>
          <w:color w:val="auto"/>
        </w:rPr>
        <w:t xml:space="preserve">following </w:t>
      </w:r>
      <w:r w:rsidR="00EA0C4A">
        <w:rPr>
          <w:rFonts w:cs="Times New Roman"/>
          <w:color w:val="auto"/>
        </w:rPr>
        <w:t xml:space="preserve">states: </w:t>
      </w:r>
      <w:r>
        <w:rPr>
          <w:rFonts w:cs="Times New Roman"/>
          <w:color w:val="auto"/>
        </w:rPr>
        <w:t>Illinois, Louisiana, Mississippi, New Jersey, New York, Ohio, Pennsylvania, Tennessee, and West Virginia</w:t>
      </w:r>
      <w:r w:rsidRPr="00341D4E">
        <w:rPr>
          <w:rFonts w:cs="Times New Roman"/>
          <w:color w:val="auto"/>
        </w:rPr>
        <w:t xml:space="preserve">. </w:t>
      </w:r>
      <w:r>
        <w:rPr>
          <w:rFonts w:cs="Times New Roman"/>
          <w:color w:val="auto"/>
        </w:rPr>
        <w:t>The proposed materials testing research will be conducted with the three above described target audiences recruited from these nine target states.</w:t>
      </w:r>
    </w:p>
    <w:p w14:paraId="0F742A0E" w14:textId="484B1D88" w:rsidR="00EA0C4A" w:rsidRDefault="00EA0C4A" w:rsidP="00623D14">
      <w:pPr>
        <w:pStyle w:val="TableHeading1"/>
        <w:tabs>
          <w:tab w:val="left" w:pos="2725"/>
        </w:tabs>
        <w:rPr>
          <w:rFonts w:cs="Times New Roman"/>
          <w:color w:val="auto"/>
        </w:rPr>
      </w:pPr>
    </w:p>
    <w:p w14:paraId="58082737" w14:textId="75956E46" w:rsidR="00BF2078" w:rsidRDefault="00EA0C4A" w:rsidP="00623D14">
      <w:pPr>
        <w:pStyle w:val="TableHeading1"/>
        <w:tabs>
          <w:tab w:val="left" w:pos="2725"/>
        </w:tabs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 xml:space="preserve">This proposed research is being done in parallel with similar materials testing research with corresponding consumer audiences for the </w:t>
      </w:r>
      <w:r>
        <w:rPr>
          <w:rFonts w:cs="Times New Roman"/>
          <w:i/>
          <w:color w:val="auto"/>
          <w:szCs w:val="22"/>
        </w:rPr>
        <w:t>Get Ahead of Sepsis</w:t>
      </w:r>
      <w:r>
        <w:rPr>
          <w:rFonts w:cs="Times New Roman"/>
          <w:color w:val="auto"/>
          <w:szCs w:val="22"/>
        </w:rPr>
        <w:t xml:space="preserve"> educational effort (OMB package under review). The study population for the work proposed here was selected to align with the geographic sampling frame for the consumer research.</w:t>
      </w:r>
    </w:p>
    <w:p w14:paraId="00B470DD" w14:textId="77777777" w:rsidR="00EA0C4A" w:rsidRPr="00EA0C4A" w:rsidRDefault="00EA0C4A" w:rsidP="00623D14">
      <w:pPr>
        <w:pStyle w:val="TableHeading1"/>
        <w:tabs>
          <w:tab w:val="left" w:pos="2725"/>
        </w:tabs>
        <w:rPr>
          <w:rFonts w:cs="Times New Roman"/>
          <w:color w:val="auto"/>
          <w:szCs w:val="22"/>
        </w:rPr>
      </w:pPr>
    </w:p>
    <w:p w14:paraId="32A8F832" w14:textId="4FEC45F6" w:rsidR="007B7361" w:rsidRPr="00D91836" w:rsidRDefault="00EE5548" w:rsidP="00331FC9">
      <w:pPr>
        <w:pStyle w:val="Tablebullet"/>
        <w:numPr>
          <w:ilvl w:val="0"/>
          <w:numId w:val="0"/>
        </w:numPr>
        <w:rPr>
          <w:rFonts w:cs="Times New Roman"/>
        </w:rPr>
      </w:pPr>
      <w:r w:rsidRPr="11FEDECE">
        <w:rPr>
          <w:rFonts w:cs="Times New Roman"/>
          <w:b/>
        </w:rPr>
        <w:lastRenderedPageBreak/>
        <w:t>Screening and recruitment</w:t>
      </w:r>
      <w:r>
        <w:rPr>
          <w:rFonts w:cs="Times New Roman"/>
        </w:rPr>
        <w:t xml:space="preserve">. </w:t>
      </w:r>
      <w:r w:rsidR="0005664E">
        <w:rPr>
          <w:rFonts w:cs="Times New Roman"/>
        </w:rPr>
        <w:t xml:space="preserve">CDC, and their contractor </w:t>
      </w:r>
      <w:r w:rsidR="00CE1817" w:rsidRPr="00CE1817">
        <w:rPr>
          <w:rFonts w:cs="Times New Roman"/>
        </w:rPr>
        <w:t>ICF</w:t>
      </w:r>
      <w:r w:rsidR="0005664E">
        <w:rPr>
          <w:rFonts w:cs="Times New Roman"/>
        </w:rPr>
        <w:t>,</w:t>
      </w:r>
      <w:r w:rsidR="00CE1817" w:rsidRPr="00CE1817">
        <w:rPr>
          <w:rFonts w:cs="Times New Roman"/>
        </w:rPr>
        <w:t xml:space="preserve"> will partner with </w:t>
      </w:r>
      <w:r w:rsidR="0005664E">
        <w:rPr>
          <w:rFonts w:cs="Times New Roman"/>
        </w:rPr>
        <w:t xml:space="preserve">a </w:t>
      </w:r>
      <w:r w:rsidR="00CE1817" w:rsidRPr="00CE1817">
        <w:rPr>
          <w:rFonts w:cs="Times New Roman"/>
        </w:rPr>
        <w:t>professional recruitm</w:t>
      </w:r>
      <w:r w:rsidR="00D91836">
        <w:rPr>
          <w:rFonts w:cs="Times New Roman"/>
        </w:rPr>
        <w:t>ent firm to c</w:t>
      </w:r>
      <w:r w:rsidR="00D91836" w:rsidRPr="00D91836">
        <w:rPr>
          <w:rFonts w:cs="Times New Roman"/>
        </w:rPr>
        <w:t>ontact the potential participants by phone, and with their permission, use the screener to determine eligibility</w:t>
      </w:r>
      <w:r w:rsidR="00E25673">
        <w:rPr>
          <w:rFonts w:cs="Times New Roman"/>
        </w:rPr>
        <w:t>, interest</w:t>
      </w:r>
      <w:r w:rsidR="00333FCC">
        <w:rPr>
          <w:rFonts w:cs="Times New Roman"/>
        </w:rPr>
        <w:t xml:space="preserve">, and availability </w:t>
      </w:r>
      <w:r w:rsidR="00D91836">
        <w:rPr>
          <w:rFonts w:cs="Times New Roman"/>
        </w:rPr>
        <w:t xml:space="preserve">for each </w:t>
      </w:r>
      <w:r w:rsidR="00F35E43">
        <w:rPr>
          <w:rFonts w:cs="Times New Roman"/>
        </w:rPr>
        <w:t>interview</w:t>
      </w:r>
      <w:r w:rsidR="00D91836">
        <w:rPr>
          <w:rFonts w:cs="Times New Roman"/>
        </w:rPr>
        <w:t xml:space="preserve">. </w:t>
      </w:r>
      <w:r w:rsidR="0005664E">
        <w:rPr>
          <w:rFonts w:cs="Times New Roman"/>
        </w:rPr>
        <w:t>The recruitment f</w:t>
      </w:r>
      <w:r w:rsidR="00D91836">
        <w:rPr>
          <w:rFonts w:cs="Times New Roman"/>
        </w:rPr>
        <w:t>irm will</w:t>
      </w:r>
      <w:r w:rsidR="00CE1817" w:rsidRPr="00D91836">
        <w:rPr>
          <w:rFonts w:cs="Times New Roman"/>
        </w:rPr>
        <w:t xml:space="preserve"> recruit </w:t>
      </w:r>
      <w:r w:rsidR="00C1F112" w:rsidRPr="00D91836">
        <w:rPr>
          <w:rFonts w:cs="Times New Roman"/>
        </w:rPr>
        <w:t xml:space="preserve">HCPs </w:t>
      </w:r>
      <w:r w:rsidR="00F35E43">
        <w:rPr>
          <w:rFonts w:cs="Times New Roman"/>
        </w:rPr>
        <w:t xml:space="preserve">on a rolling basis </w:t>
      </w:r>
      <w:r w:rsidR="5090C249">
        <w:rPr>
          <w:rFonts w:cs="Times New Roman"/>
        </w:rPr>
        <w:t>f</w:t>
      </w:r>
      <w:r w:rsidR="3282B94A">
        <w:rPr>
          <w:rFonts w:cs="Times New Roman"/>
        </w:rPr>
        <w:t>or</w:t>
      </w:r>
      <w:r w:rsidR="5090C249">
        <w:rPr>
          <w:rFonts w:cs="Times New Roman"/>
        </w:rPr>
        <w:t xml:space="preserve"> </w:t>
      </w:r>
      <w:r w:rsidR="3282B94A">
        <w:rPr>
          <w:rFonts w:cs="Times New Roman"/>
        </w:rPr>
        <w:t>up to nine</w:t>
      </w:r>
      <w:r w:rsidR="00F35E43">
        <w:rPr>
          <w:rFonts w:cs="Times New Roman"/>
        </w:rPr>
        <w:t xml:space="preserve"> interviews per audience segment</w:t>
      </w:r>
      <w:r w:rsidR="00CE1817" w:rsidRPr="00D91836">
        <w:rPr>
          <w:rFonts w:cs="Times New Roman"/>
        </w:rPr>
        <w:t>.​</w:t>
      </w:r>
      <w:r w:rsidR="00D91836">
        <w:rPr>
          <w:rFonts w:cs="Times New Roman"/>
        </w:rPr>
        <w:t xml:space="preserve"> </w:t>
      </w:r>
      <w:r w:rsidR="00EC22B3">
        <w:rPr>
          <w:rFonts w:cs="Times New Roman"/>
        </w:rPr>
        <w:t xml:space="preserve">After completing the screener and </w:t>
      </w:r>
      <w:r w:rsidR="00EC007D">
        <w:rPr>
          <w:rFonts w:cs="Times New Roman"/>
        </w:rPr>
        <w:t xml:space="preserve">confirming </w:t>
      </w:r>
      <w:r w:rsidR="00EC22B3">
        <w:rPr>
          <w:rFonts w:cs="Times New Roman"/>
        </w:rPr>
        <w:t>the individual agree</w:t>
      </w:r>
      <w:r w:rsidR="00EC007D">
        <w:rPr>
          <w:rFonts w:cs="Times New Roman"/>
        </w:rPr>
        <w:t>s</w:t>
      </w:r>
      <w:r w:rsidR="00EC22B3">
        <w:rPr>
          <w:rFonts w:cs="Times New Roman"/>
        </w:rPr>
        <w:t xml:space="preserve"> to participate, t</w:t>
      </w:r>
      <w:r w:rsidR="00D91836" w:rsidRPr="00D91836">
        <w:rPr>
          <w:rFonts w:cs="Times New Roman"/>
        </w:rPr>
        <w:t>he recruitment firm will s</w:t>
      </w:r>
      <w:r w:rsidR="00CE1817" w:rsidRPr="00D91836">
        <w:rPr>
          <w:rFonts w:cs="Times New Roman"/>
        </w:rPr>
        <w:t xml:space="preserve">end </w:t>
      </w:r>
      <w:r w:rsidR="00EC22B3">
        <w:rPr>
          <w:rFonts w:cs="Times New Roman"/>
        </w:rPr>
        <w:t xml:space="preserve">a confirmation letter to the </w:t>
      </w:r>
      <w:r w:rsidR="00693564">
        <w:rPr>
          <w:rFonts w:cs="Times New Roman"/>
        </w:rPr>
        <w:t xml:space="preserve">email address provided by the participant. The </w:t>
      </w:r>
      <w:r w:rsidR="00D91836" w:rsidRPr="00D91836">
        <w:rPr>
          <w:rFonts w:cs="Times New Roman"/>
        </w:rPr>
        <w:t xml:space="preserve">day before the </w:t>
      </w:r>
      <w:r w:rsidR="0043728F">
        <w:rPr>
          <w:rFonts w:cs="Times New Roman"/>
        </w:rPr>
        <w:t>interview</w:t>
      </w:r>
      <w:r w:rsidR="00693564">
        <w:rPr>
          <w:rFonts w:cs="Times New Roman"/>
        </w:rPr>
        <w:t xml:space="preserve">, the recruitment firm will </w:t>
      </w:r>
      <w:r w:rsidR="009A73CD">
        <w:rPr>
          <w:rFonts w:cs="Times New Roman"/>
        </w:rPr>
        <w:t>contact the participant</w:t>
      </w:r>
      <w:r w:rsidR="00EA5E03">
        <w:rPr>
          <w:rFonts w:cs="Times New Roman"/>
        </w:rPr>
        <w:t xml:space="preserve"> via phone call and/or text</w:t>
      </w:r>
      <w:r w:rsidR="009A73CD">
        <w:rPr>
          <w:rFonts w:cs="Times New Roman"/>
        </w:rPr>
        <w:t xml:space="preserve"> to remind them about the </w:t>
      </w:r>
      <w:r w:rsidR="00EC007D">
        <w:rPr>
          <w:rFonts w:cs="Times New Roman"/>
        </w:rPr>
        <w:t>interview</w:t>
      </w:r>
      <w:r w:rsidR="009A73CD">
        <w:rPr>
          <w:rFonts w:cs="Times New Roman"/>
        </w:rPr>
        <w:t xml:space="preserve">. </w:t>
      </w:r>
      <w:r w:rsidR="00331FC9">
        <w:rPr>
          <w:rFonts w:cs="Times New Roman"/>
        </w:rPr>
        <w:t>The recruitment firm wi</w:t>
      </w:r>
      <w:r w:rsidR="00F35E43">
        <w:rPr>
          <w:rFonts w:cs="Times New Roman"/>
        </w:rPr>
        <w:t>ll also send the participant the informed consent form to review, sign, and return prior to the interview; provide the web conferencing platform for the online interview; manage the r</w:t>
      </w:r>
      <w:r w:rsidR="007809EE">
        <w:rPr>
          <w:rFonts w:cs="Times New Roman"/>
        </w:rPr>
        <w:t>ecording</w:t>
      </w:r>
      <w:r w:rsidR="00F35E43">
        <w:rPr>
          <w:rFonts w:cs="Times New Roman"/>
        </w:rPr>
        <w:t>s</w:t>
      </w:r>
      <w:r w:rsidR="00EC007D">
        <w:rPr>
          <w:rFonts w:cs="Times New Roman"/>
        </w:rPr>
        <w:t>;</w:t>
      </w:r>
      <w:r w:rsidR="00D91836" w:rsidRPr="00D91836">
        <w:rPr>
          <w:rFonts w:cs="Times New Roman"/>
        </w:rPr>
        <w:t xml:space="preserve"> and </w:t>
      </w:r>
      <w:r w:rsidR="00331FC9">
        <w:rPr>
          <w:rFonts w:cs="Times New Roman"/>
        </w:rPr>
        <w:t>manage the distribution of</w:t>
      </w:r>
      <w:r w:rsidR="00CE1817" w:rsidRPr="00D91836">
        <w:rPr>
          <w:rFonts w:cs="Times New Roman"/>
        </w:rPr>
        <w:t xml:space="preserve"> participant incentives. </w:t>
      </w:r>
      <w:r w:rsidR="00D91836">
        <w:rPr>
          <w:rFonts w:cs="Times New Roman"/>
        </w:rPr>
        <w:t>Lastly, the firm will</w:t>
      </w:r>
      <w:r w:rsidR="00D91836" w:rsidRPr="00D91836">
        <w:rPr>
          <w:rFonts w:cs="Times New Roman"/>
        </w:rPr>
        <w:t xml:space="preserve"> </w:t>
      </w:r>
      <w:r w:rsidR="007809EE">
        <w:rPr>
          <w:rFonts w:cs="Times New Roman"/>
        </w:rPr>
        <w:t xml:space="preserve">update ICF and the CDC </w:t>
      </w:r>
      <w:r w:rsidR="00D91836" w:rsidRPr="00D91836">
        <w:rPr>
          <w:rFonts w:cs="Times New Roman"/>
        </w:rPr>
        <w:t>on the number and demographics of individuals recruited</w:t>
      </w:r>
      <w:r w:rsidR="00EC007D">
        <w:rPr>
          <w:rFonts w:cs="Times New Roman"/>
        </w:rPr>
        <w:t xml:space="preserve"> </w:t>
      </w:r>
      <w:r w:rsidR="00AE4E66">
        <w:rPr>
          <w:rFonts w:cs="Times New Roman"/>
        </w:rPr>
        <w:t>using unique identifiers</w:t>
      </w:r>
      <w:r w:rsidR="00EC007D">
        <w:rPr>
          <w:rFonts w:cs="Times New Roman"/>
        </w:rPr>
        <w:t xml:space="preserve"> to protect the confidentiality of potential participants</w:t>
      </w:r>
      <w:r w:rsidR="0043728F">
        <w:rPr>
          <w:rFonts w:cs="Times New Roman"/>
        </w:rPr>
        <w:t>. This is to guide decision-making related to future recruiting in order to ensure a mix of demographics (age, gender, race/ethnicity, etc</w:t>
      </w:r>
      <w:r w:rsidR="00207B27">
        <w:rPr>
          <w:rFonts w:cs="Times New Roman"/>
        </w:rPr>
        <w:t>.</w:t>
      </w:r>
      <w:r w:rsidR="0043728F">
        <w:rPr>
          <w:rFonts w:cs="Times New Roman"/>
        </w:rPr>
        <w:t>) across all participants</w:t>
      </w:r>
      <w:r w:rsidR="00D91836" w:rsidRPr="00D91836">
        <w:rPr>
          <w:rFonts w:cs="Times New Roman"/>
        </w:rPr>
        <w:t>.​</w:t>
      </w:r>
      <w:r w:rsidR="00D91836">
        <w:rPr>
          <w:rFonts w:cs="Times New Roman"/>
        </w:rPr>
        <w:t xml:space="preserve"> </w:t>
      </w:r>
    </w:p>
    <w:p w14:paraId="17465302" w14:textId="77777777" w:rsidR="007B7361" w:rsidRPr="00CE1817" w:rsidRDefault="007B7361">
      <w:pPr>
        <w:rPr>
          <w:rFonts w:ascii="Times New Roman" w:hAnsi="Times New Roman" w:cs="Times New Roman"/>
        </w:rPr>
      </w:pPr>
    </w:p>
    <w:sectPr w:rsidR="007B7361" w:rsidRPr="00CE1817" w:rsidSect="00623D14">
      <w:headerReference w:type="default" r:id="rId12"/>
      <w:footerReference w:type="default" r:id="rId13"/>
      <w:pgSz w:w="12240" w:h="15840"/>
      <w:pgMar w:top="1440" w:right="1440" w:bottom="1440" w:left="1440" w:header="432" w:footer="576" w:gutter="0"/>
      <w:cols w:space="720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13B790D" w16cid:durableId="20BDC910"/>
  <w16cid:commentId w16cid:paraId="01D0E766" w16cid:durableId="20B6208C"/>
  <w16cid:commentId w16cid:paraId="45A1ACAB" w16cid:durableId="1AB5EFF4"/>
  <w16cid:commentId w16cid:paraId="176DAEEF" w16cid:durableId="731FF69D"/>
  <w16cid:commentId w16cid:paraId="4681A305" w16cid:durableId="47AC07DA"/>
  <w16cid:commentId w16cid:paraId="64E4EF45" w16cid:durableId="0CA09494"/>
  <w16cid:commentId w16cid:paraId="66A083BC" w16cid:durableId="2C3BC246"/>
  <w16cid:commentId w16cid:paraId="2C48FA12" w16cid:durableId="3A62CAEB"/>
  <w16cid:commentId w16cid:paraId="3E8AD3D2" w16cid:durableId="0FDD59B3"/>
  <w16cid:commentId w16cid:paraId="6E823377" w16cid:durableId="5DF5BAB7"/>
  <w16cid:commentId w16cid:paraId="60765B00" w16cid:durableId="3DBD1D8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A7D0B0" w14:textId="77777777" w:rsidR="0066046B" w:rsidRDefault="0066046B" w:rsidP="00331FC9">
      <w:pPr>
        <w:spacing w:after="0" w:line="240" w:lineRule="auto"/>
      </w:pPr>
      <w:r>
        <w:separator/>
      </w:r>
    </w:p>
  </w:endnote>
  <w:endnote w:type="continuationSeparator" w:id="0">
    <w:p w14:paraId="2688E516" w14:textId="77777777" w:rsidR="0066046B" w:rsidRDefault="0066046B" w:rsidP="00331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A37C6" w14:textId="7EBC1BBF" w:rsidR="00117349" w:rsidRPr="00345832" w:rsidRDefault="00345832" w:rsidP="00345832">
    <w:pPr>
      <w:pStyle w:val="Footer"/>
      <w:jc w:val="right"/>
      <w:rPr>
        <w:rFonts w:ascii="Times New Roman" w:hAnsi="Times New Roman" w:cs="Times New Roman"/>
        <w:sz w:val="20"/>
      </w:rPr>
    </w:pPr>
    <w:r w:rsidRPr="00345832">
      <w:rPr>
        <w:rFonts w:ascii="Times New Roman" w:hAnsi="Times New Roman" w:cs="Times New Roman"/>
        <w:sz w:val="20"/>
      </w:rPr>
      <w:t>Attachment A</w:t>
    </w:r>
    <w:r w:rsidRPr="00345832">
      <w:rPr>
        <w:rFonts w:ascii="Times New Roman" w:hAnsi="Times New Roman" w:cs="Times New Roman"/>
        <w:sz w:val="20"/>
      </w:rPr>
      <w:tab/>
    </w:r>
    <w:r w:rsidRPr="00345832">
      <w:rPr>
        <w:rFonts w:ascii="Times New Roman" w:hAnsi="Times New Roman" w:cs="Times New Roman"/>
        <w:sz w:val="20"/>
      </w:rPr>
      <w:tab/>
    </w:r>
    <w:sdt>
      <w:sdtPr>
        <w:rPr>
          <w:rFonts w:ascii="Times New Roman" w:hAnsi="Times New Roman" w:cs="Times New Roman"/>
          <w:sz w:val="20"/>
        </w:rPr>
        <w:id w:val="103361004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345832">
          <w:rPr>
            <w:rFonts w:ascii="Times New Roman" w:hAnsi="Times New Roman" w:cs="Times New Roman"/>
            <w:sz w:val="20"/>
          </w:rPr>
          <w:fldChar w:fldCharType="begin"/>
        </w:r>
        <w:r w:rsidRPr="00345832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345832">
          <w:rPr>
            <w:rFonts w:ascii="Times New Roman" w:hAnsi="Times New Roman" w:cs="Times New Roman"/>
            <w:sz w:val="20"/>
          </w:rPr>
          <w:fldChar w:fldCharType="separate"/>
        </w:r>
        <w:r w:rsidR="00A06743">
          <w:rPr>
            <w:rFonts w:ascii="Times New Roman" w:hAnsi="Times New Roman" w:cs="Times New Roman"/>
            <w:noProof/>
            <w:sz w:val="20"/>
          </w:rPr>
          <w:t>1</w:t>
        </w:r>
        <w:r w:rsidRPr="00345832">
          <w:rPr>
            <w:rFonts w:ascii="Times New Roman" w:hAnsi="Times New Roman" w:cs="Times New Roman"/>
            <w:noProof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00D305" w14:textId="77777777" w:rsidR="0066046B" w:rsidRDefault="0066046B" w:rsidP="00331FC9">
      <w:pPr>
        <w:spacing w:after="0" w:line="240" w:lineRule="auto"/>
      </w:pPr>
      <w:r>
        <w:separator/>
      </w:r>
    </w:p>
  </w:footnote>
  <w:footnote w:type="continuationSeparator" w:id="0">
    <w:p w14:paraId="067007C2" w14:textId="77777777" w:rsidR="0066046B" w:rsidRDefault="0066046B" w:rsidP="00331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16413" w14:textId="77777777" w:rsidR="00331FC9" w:rsidRPr="00CE1817" w:rsidRDefault="00331FC9" w:rsidP="00331FC9">
    <w:pPr>
      <w:spacing w:after="0"/>
      <w:rPr>
        <w:rFonts w:ascii="Times New Roman" w:hAnsi="Times New Roman" w:cs="Times New Roman"/>
        <w:b/>
        <w:sz w:val="28"/>
      </w:rPr>
    </w:pPr>
    <w:r w:rsidRPr="00CE1817">
      <w:rPr>
        <w:rFonts w:ascii="Times New Roman" w:hAnsi="Times New Roman" w:cs="Times New Roman"/>
        <w:b/>
        <w:sz w:val="28"/>
      </w:rPr>
      <w:t>Health Message Testing System Expedited Review Form</w:t>
    </w:r>
  </w:p>
  <w:p w14:paraId="566EA46C" w14:textId="0DBCE72D" w:rsidR="00331FC9" w:rsidRPr="00331FC9" w:rsidRDefault="005D67A6" w:rsidP="00331FC9">
    <w:pPr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i/>
        <w:sz w:val="24"/>
      </w:rPr>
      <w:t xml:space="preserve">Get Ahead of Sepsis </w:t>
    </w:r>
    <w:r w:rsidR="00341D4E">
      <w:rPr>
        <w:rFonts w:ascii="Times New Roman" w:hAnsi="Times New Roman" w:cs="Times New Roman"/>
        <w:b/>
        <w:sz w:val="24"/>
      </w:rPr>
      <w:t>Educational Effort</w:t>
    </w:r>
    <w:r w:rsidR="00341D4E" w:rsidRPr="00CE1817">
      <w:rPr>
        <w:rFonts w:ascii="Times New Roman" w:hAnsi="Times New Roman" w:cs="Times New Roman"/>
        <w:b/>
        <w:sz w:val="24"/>
      </w:rPr>
      <w:t xml:space="preserve"> </w:t>
    </w:r>
    <w:r w:rsidR="00331FC9" w:rsidRPr="00CE1817">
      <w:rPr>
        <w:rFonts w:ascii="Times New Roman" w:hAnsi="Times New Roman" w:cs="Times New Roman"/>
        <w:b/>
        <w:sz w:val="24"/>
      </w:rPr>
      <w:t xml:space="preserve">– </w:t>
    </w:r>
    <w:r w:rsidR="00270E8D">
      <w:rPr>
        <w:rFonts w:ascii="Times New Roman" w:hAnsi="Times New Roman" w:cs="Times New Roman"/>
        <w:b/>
        <w:sz w:val="24"/>
      </w:rPr>
      <w:t>Healthc</w:t>
    </w:r>
    <w:r w:rsidR="0051219B">
      <w:rPr>
        <w:rFonts w:ascii="Times New Roman" w:hAnsi="Times New Roman" w:cs="Times New Roman"/>
        <w:b/>
        <w:sz w:val="24"/>
      </w:rPr>
      <w:t xml:space="preserve">are </w:t>
    </w:r>
    <w:r w:rsidR="0005664E">
      <w:rPr>
        <w:rFonts w:ascii="Times New Roman" w:hAnsi="Times New Roman" w:cs="Times New Roman"/>
        <w:b/>
        <w:sz w:val="24"/>
      </w:rPr>
      <w:t xml:space="preserve">Professional </w:t>
    </w:r>
    <w:r w:rsidR="0051219B">
      <w:rPr>
        <w:rFonts w:ascii="Times New Roman" w:hAnsi="Times New Roman" w:cs="Times New Roman"/>
        <w:b/>
        <w:sz w:val="24"/>
      </w:rPr>
      <w:t>(HCP)</w:t>
    </w:r>
    <w:r w:rsidR="00331FC9" w:rsidRPr="00CE1817">
      <w:rPr>
        <w:rFonts w:ascii="Times New Roman" w:hAnsi="Times New Roman" w:cs="Times New Roman"/>
        <w:b/>
        <w:sz w:val="24"/>
      </w:rPr>
      <w:t xml:space="preserve"> Audiences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B5D9A"/>
    <w:multiLevelType w:val="hybridMultilevel"/>
    <w:tmpl w:val="4A90F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5E2119"/>
    <w:multiLevelType w:val="hybridMultilevel"/>
    <w:tmpl w:val="EE7CC2D2"/>
    <w:lvl w:ilvl="0" w:tplc="C9EC11D6">
      <w:start w:val="1"/>
      <w:numFmt w:val="bullet"/>
      <w:lvlText w:val="­"/>
      <w:lvlJc w:val="left"/>
      <w:pPr>
        <w:ind w:left="1296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>
    <w:nsid w:val="3DC55DD7"/>
    <w:multiLevelType w:val="multilevel"/>
    <w:tmpl w:val="DBAE22E0"/>
    <w:styleLink w:val="Tablebullet1"/>
    <w:lvl w:ilvl="0">
      <w:start w:val="1"/>
      <w:numFmt w:val="bullet"/>
      <w:pStyle w:val="Tablebullet"/>
      <w:lvlText w:val=""/>
      <w:lvlJc w:val="left"/>
      <w:pPr>
        <w:ind w:left="576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528A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3">
    <w:nsid w:val="5B325A09"/>
    <w:multiLevelType w:val="multilevel"/>
    <w:tmpl w:val="DBAE22E0"/>
    <w:numStyleLink w:val="Tablebullet1"/>
  </w:abstractNum>
  <w:abstractNum w:abstractNumId="4">
    <w:nsid w:val="5BC01ED9"/>
    <w:multiLevelType w:val="hybridMultilevel"/>
    <w:tmpl w:val="574ED0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lvl w:ilvl="0">
        <w:start w:val="1"/>
        <w:numFmt w:val="bullet"/>
        <w:pStyle w:val="Tablebullet"/>
        <w:lvlText w:val=""/>
        <w:lvlJc w:val="left"/>
        <w:pPr>
          <w:ind w:left="-72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648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368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088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2808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528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248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4968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5688" w:hanging="360"/>
        </w:pPr>
        <w:rPr>
          <w:rFonts w:ascii="Wingdings" w:hAnsi="Wingdings" w:hint="default"/>
        </w:rPr>
      </w:lvl>
    </w:lvlOverride>
  </w:num>
  <w:num w:numId="4">
    <w:abstractNumId w:val="3"/>
    <w:lvlOverride w:ilvl="0">
      <w:lvl w:ilvl="0">
        <w:start w:val="1"/>
        <w:numFmt w:val="bullet"/>
        <w:pStyle w:val="Tablebullet"/>
        <w:lvlText w:val=""/>
        <w:lvlJc w:val="left"/>
        <w:pPr>
          <w:ind w:left="57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5">
    <w:abstractNumId w:val="4"/>
  </w:num>
  <w:num w:numId="6">
    <w:abstractNumId w:val="3"/>
    <w:lvlOverride w:ilvl="0">
      <w:lvl w:ilvl="0">
        <w:start w:val="1"/>
        <w:numFmt w:val="bullet"/>
        <w:pStyle w:val="Tablebullet"/>
        <w:lvlText w:val=""/>
        <w:lvlJc w:val="left"/>
        <w:pPr>
          <w:ind w:left="57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7">
    <w:abstractNumId w:val="3"/>
    <w:lvlOverride w:ilvl="0">
      <w:lvl w:ilvl="0">
        <w:start w:val="1"/>
        <w:numFmt w:val="bullet"/>
        <w:pStyle w:val="Tablebullet"/>
        <w:lvlText w:val=""/>
        <w:lvlJc w:val="left"/>
        <w:pPr>
          <w:ind w:left="57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8">
    <w:abstractNumId w:val="3"/>
    <w:lvlOverride w:ilvl="0">
      <w:lvl w:ilvl="0">
        <w:start w:val="1"/>
        <w:numFmt w:val="bullet"/>
        <w:pStyle w:val="Tablebullet"/>
        <w:lvlText w:val=""/>
        <w:lvlJc w:val="left"/>
        <w:pPr>
          <w:ind w:left="57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9">
    <w:abstractNumId w:val="1"/>
  </w:num>
  <w:num w:numId="10">
    <w:abstractNumId w:val="3"/>
    <w:lvlOverride w:ilvl="0">
      <w:lvl w:ilvl="0">
        <w:start w:val="1"/>
        <w:numFmt w:val="bullet"/>
        <w:pStyle w:val="Tablebullet"/>
        <w:lvlText w:val=""/>
        <w:lvlJc w:val="left"/>
        <w:pPr>
          <w:ind w:left="57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29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01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73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45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17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89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61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336" w:hanging="360"/>
        </w:pPr>
        <w:rPr>
          <w:rFonts w:ascii="Wingdings" w:hAnsi="Wingdings" w:hint="default"/>
        </w:rPr>
      </w:lvl>
    </w:lvlOverride>
  </w:num>
  <w:num w:numId="11">
    <w:abstractNumId w:val="3"/>
    <w:lvlOverride w:ilvl="0">
      <w:lvl w:ilvl="0">
        <w:start w:val="1"/>
        <w:numFmt w:val="bullet"/>
        <w:pStyle w:val="Tablebullet"/>
        <w:lvlText w:val=""/>
        <w:lvlJc w:val="left"/>
        <w:pPr>
          <w:ind w:left="57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29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01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73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45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17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89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61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336" w:hanging="360"/>
        </w:pPr>
        <w:rPr>
          <w:rFonts w:ascii="Wingdings" w:hAnsi="Wingdings" w:hint="default"/>
        </w:rPr>
      </w:lvl>
    </w:lvlOverride>
  </w:num>
  <w:num w:numId="12">
    <w:abstractNumId w:val="3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13">
    <w:abstractNumId w:val="3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14">
    <w:abstractNumId w:val="3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15">
    <w:abstractNumId w:val="3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16">
    <w:abstractNumId w:val="3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17">
    <w:abstractNumId w:val="3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18">
    <w:abstractNumId w:val="3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19">
    <w:abstractNumId w:val="3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20">
    <w:abstractNumId w:val="3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21">
    <w:abstractNumId w:val="3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22">
    <w:abstractNumId w:val="3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23">
    <w:abstractNumId w:val="3"/>
    <w:lvlOverride w:ilvl="0">
      <w:lvl w:ilvl="0">
        <w:start w:val="1"/>
        <w:numFmt w:val="bullet"/>
        <w:pStyle w:val="Tablebullet"/>
        <w:lvlText w:val=""/>
        <w:lvlJc w:val="left"/>
        <w:pPr>
          <w:ind w:left="-72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648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368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088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2808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528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248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4968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5688" w:hanging="360"/>
        </w:pPr>
        <w:rPr>
          <w:rFonts w:ascii="Wingdings" w:hAnsi="Wingdings" w:hint="default"/>
        </w:rPr>
      </w:lvl>
    </w:lvlOverride>
  </w:num>
  <w:num w:numId="24">
    <w:abstractNumId w:val="3"/>
    <w:lvlOverride w:ilvl="0">
      <w:lvl w:ilvl="0">
        <w:start w:val="1"/>
        <w:numFmt w:val="bullet"/>
        <w:pStyle w:val="Tablebullet"/>
        <w:lvlText w:val=""/>
        <w:lvlJc w:val="left"/>
        <w:pPr>
          <w:ind w:left="-72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648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368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088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2808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528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248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4968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5688" w:hanging="360"/>
        </w:pPr>
        <w:rPr>
          <w:rFonts w:ascii="Wingdings" w:hAnsi="Wingdings" w:hint="default"/>
        </w:rPr>
      </w:lvl>
    </w:lvlOverride>
  </w:num>
  <w:num w:numId="25">
    <w:abstractNumId w:val="3"/>
    <w:lvlOverride w:ilvl="0">
      <w:lvl w:ilvl="0">
        <w:start w:val="1"/>
        <w:numFmt w:val="bullet"/>
        <w:pStyle w:val="Tablebullet"/>
        <w:lvlText w:val=""/>
        <w:lvlJc w:val="left"/>
        <w:pPr>
          <w:ind w:left="-72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648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368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088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2808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528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248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4968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5688" w:hanging="36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0C2"/>
    <w:rsid w:val="00013D12"/>
    <w:rsid w:val="0004249C"/>
    <w:rsid w:val="0005664E"/>
    <w:rsid w:val="00066866"/>
    <w:rsid w:val="00075A1F"/>
    <w:rsid w:val="000768A7"/>
    <w:rsid w:val="000D5227"/>
    <w:rsid w:val="000E0A6F"/>
    <w:rsid w:val="00117349"/>
    <w:rsid w:val="001A7C3D"/>
    <w:rsid w:val="001B58A2"/>
    <w:rsid w:val="001C1B77"/>
    <w:rsid w:val="001E55E5"/>
    <w:rsid w:val="001F2AF3"/>
    <w:rsid w:val="001F5176"/>
    <w:rsid w:val="00207B27"/>
    <w:rsid w:val="00270E8D"/>
    <w:rsid w:val="00276409"/>
    <w:rsid w:val="003060FF"/>
    <w:rsid w:val="00331FC9"/>
    <w:rsid w:val="00333FCC"/>
    <w:rsid w:val="00341D4E"/>
    <w:rsid w:val="00345832"/>
    <w:rsid w:val="00345C1F"/>
    <w:rsid w:val="003613DC"/>
    <w:rsid w:val="00375861"/>
    <w:rsid w:val="0043728F"/>
    <w:rsid w:val="0043784B"/>
    <w:rsid w:val="00464B62"/>
    <w:rsid w:val="00485016"/>
    <w:rsid w:val="004954EC"/>
    <w:rsid w:val="004A2644"/>
    <w:rsid w:val="004A346A"/>
    <w:rsid w:val="004C70C2"/>
    <w:rsid w:val="004F3E88"/>
    <w:rsid w:val="0051219B"/>
    <w:rsid w:val="00515051"/>
    <w:rsid w:val="00527207"/>
    <w:rsid w:val="00577D88"/>
    <w:rsid w:val="0058277E"/>
    <w:rsid w:val="005D67A6"/>
    <w:rsid w:val="005F1771"/>
    <w:rsid w:val="006132B0"/>
    <w:rsid w:val="00623D14"/>
    <w:rsid w:val="0066046B"/>
    <w:rsid w:val="00693564"/>
    <w:rsid w:val="006F1F8A"/>
    <w:rsid w:val="00746995"/>
    <w:rsid w:val="007809EE"/>
    <w:rsid w:val="0078149C"/>
    <w:rsid w:val="00794C6E"/>
    <w:rsid w:val="00796F64"/>
    <w:rsid w:val="007A2668"/>
    <w:rsid w:val="007B7361"/>
    <w:rsid w:val="00804424"/>
    <w:rsid w:val="00807664"/>
    <w:rsid w:val="008154CC"/>
    <w:rsid w:val="0088247E"/>
    <w:rsid w:val="008A626D"/>
    <w:rsid w:val="008B0CE8"/>
    <w:rsid w:val="008D74DC"/>
    <w:rsid w:val="008E792A"/>
    <w:rsid w:val="0092749D"/>
    <w:rsid w:val="00936654"/>
    <w:rsid w:val="00954C74"/>
    <w:rsid w:val="00964022"/>
    <w:rsid w:val="00980003"/>
    <w:rsid w:val="009A201B"/>
    <w:rsid w:val="009A73CD"/>
    <w:rsid w:val="009C213F"/>
    <w:rsid w:val="009D4F55"/>
    <w:rsid w:val="009E1E01"/>
    <w:rsid w:val="009F5B75"/>
    <w:rsid w:val="00A06743"/>
    <w:rsid w:val="00A24E07"/>
    <w:rsid w:val="00A5398E"/>
    <w:rsid w:val="00A900A0"/>
    <w:rsid w:val="00A917BC"/>
    <w:rsid w:val="00AA4C78"/>
    <w:rsid w:val="00AA4D7F"/>
    <w:rsid w:val="00AB5E14"/>
    <w:rsid w:val="00AD0B8F"/>
    <w:rsid w:val="00AE4E66"/>
    <w:rsid w:val="00B02402"/>
    <w:rsid w:val="00B329A8"/>
    <w:rsid w:val="00B82F83"/>
    <w:rsid w:val="00BA61DA"/>
    <w:rsid w:val="00BA6A0D"/>
    <w:rsid w:val="00BF2078"/>
    <w:rsid w:val="00C03ED6"/>
    <w:rsid w:val="00C1F112"/>
    <w:rsid w:val="00C44447"/>
    <w:rsid w:val="00CE1817"/>
    <w:rsid w:val="00D000E8"/>
    <w:rsid w:val="00D038CB"/>
    <w:rsid w:val="00D91836"/>
    <w:rsid w:val="00DC6D07"/>
    <w:rsid w:val="00E25673"/>
    <w:rsid w:val="00E32ACE"/>
    <w:rsid w:val="00E538DE"/>
    <w:rsid w:val="00E7319A"/>
    <w:rsid w:val="00EA0C4A"/>
    <w:rsid w:val="00EA5E03"/>
    <w:rsid w:val="00EC007D"/>
    <w:rsid w:val="00EC07BF"/>
    <w:rsid w:val="00EC22B3"/>
    <w:rsid w:val="00ED2DAD"/>
    <w:rsid w:val="00EE5548"/>
    <w:rsid w:val="00F177C0"/>
    <w:rsid w:val="00F35E43"/>
    <w:rsid w:val="00F87190"/>
    <w:rsid w:val="00F94C7D"/>
    <w:rsid w:val="00FE13D4"/>
    <w:rsid w:val="100D2D54"/>
    <w:rsid w:val="11FEDECE"/>
    <w:rsid w:val="1584F713"/>
    <w:rsid w:val="1B009D6B"/>
    <w:rsid w:val="3282B94A"/>
    <w:rsid w:val="3CC475C9"/>
    <w:rsid w:val="47AD49B6"/>
    <w:rsid w:val="5090C249"/>
    <w:rsid w:val="7A79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1388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7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7361"/>
    <w:pPr>
      <w:ind w:left="720"/>
      <w:contextualSpacing/>
    </w:pPr>
  </w:style>
  <w:style w:type="paragraph" w:customStyle="1" w:styleId="ICFBodyText">
    <w:name w:val="ICF Body Text"/>
    <w:basedOn w:val="Normal"/>
    <w:qFormat/>
    <w:rsid w:val="007B7361"/>
    <w:pPr>
      <w:spacing w:before="40" w:line="276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Heading1">
    <w:name w:val="Table Heading 1"/>
    <w:rsid w:val="007B7361"/>
    <w:pPr>
      <w:spacing w:after="0" w:line="240" w:lineRule="auto"/>
    </w:pPr>
    <w:rPr>
      <w:rFonts w:ascii="Times New Roman" w:hAnsi="Times New Roman" w:cs="Arial"/>
      <w:bCs/>
      <w:color w:val="FFFFFF" w:themeColor="background1"/>
      <w:szCs w:val="20"/>
    </w:rPr>
  </w:style>
  <w:style w:type="numbering" w:customStyle="1" w:styleId="Tablebullet1">
    <w:name w:val="Table bullet 1"/>
    <w:basedOn w:val="NoList"/>
    <w:uiPriority w:val="99"/>
    <w:rsid w:val="007B7361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unhideWhenUsed/>
    <w:rsid w:val="007B73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7361"/>
    <w:pPr>
      <w:spacing w:before="4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7361"/>
    <w:rPr>
      <w:rFonts w:ascii="Times New Roman" w:eastAsiaTheme="minorEastAsia" w:hAnsi="Times New Roman" w:cs="Times New Roman"/>
      <w:sz w:val="20"/>
      <w:szCs w:val="20"/>
    </w:rPr>
  </w:style>
  <w:style w:type="paragraph" w:customStyle="1" w:styleId="StyleTableHeading3">
    <w:name w:val="Style Table Heading 3 +"/>
    <w:basedOn w:val="Normal"/>
    <w:rsid w:val="007B7361"/>
    <w:pPr>
      <w:spacing w:after="0" w:line="252" w:lineRule="auto"/>
    </w:pPr>
    <w:rPr>
      <w:rFonts w:ascii="Times New Roman" w:hAnsi="Times New Roman" w:cs="Times New Roman"/>
      <w:b/>
      <w:bCs/>
    </w:rPr>
  </w:style>
  <w:style w:type="table" w:customStyle="1" w:styleId="ListTable4Accent1">
    <w:name w:val="List Table 4 Accent 1"/>
    <w:basedOn w:val="TableNormal"/>
    <w:uiPriority w:val="49"/>
    <w:rsid w:val="007B736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Tablebullet">
    <w:name w:val="Table bullet"/>
    <w:basedOn w:val="NoSpacing"/>
    <w:link w:val="TablebulletChar"/>
    <w:qFormat/>
    <w:rsid w:val="007B7361"/>
    <w:pPr>
      <w:numPr>
        <w:numId w:val="3"/>
      </w:numPr>
      <w:spacing w:after="40"/>
    </w:pPr>
    <w:rPr>
      <w:rFonts w:ascii="Times New Roman" w:hAnsi="Times New Roman"/>
      <w:bCs/>
    </w:rPr>
  </w:style>
  <w:style w:type="character" w:customStyle="1" w:styleId="TablebulletChar">
    <w:name w:val="Table bullet Char"/>
    <w:basedOn w:val="DefaultParagraphFont"/>
    <w:link w:val="Tablebullet"/>
    <w:rsid w:val="007B7361"/>
    <w:rPr>
      <w:rFonts w:ascii="Times New Roman" w:hAnsi="Times New Roman"/>
      <w:bCs/>
    </w:rPr>
  </w:style>
  <w:style w:type="paragraph" w:styleId="NoSpacing">
    <w:name w:val="No Spacing"/>
    <w:uiPriority w:val="1"/>
    <w:qFormat/>
    <w:rsid w:val="007B7361"/>
    <w:pPr>
      <w:spacing w:after="0" w:line="240" w:lineRule="auto"/>
    </w:pPr>
  </w:style>
  <w:style w:type="paragraph" w:customStyle="1" w:styleId="Heading3noTOC">
    <w:name w:val="Heading 3.noTOC"/>
    <w:link w:val="Heading3noTOCChar"/>
    <w:qFormat/>
    <w:rsid w:val="007B7361"/>
    <w:pPr>
      <w:spacing w:before="200" w:after="40" w:line="240" w:lineRule="auto"/>
    </w:pPr>
    <w:rPr>
      <w:rFonts w:asciiTheme="majorHAnsi" w:eastAsiaTheme="majorEastAsia" w:hAnsiTheme="majorHAnsi" w:cstheme="majorBidi"/>
      <w:b/>
      <w:bCs/>
      <w:color w:val="44546A" w:themeColor="text2"/>
      <w:sz w:val="26"/>
      <w:szCs w:val="26"/>
    </w:rPr>
  </w:style>
  <w:style w:type="character" w:customStyle="1" w:styleId="Heading3noTOCChar">
    <w:name w:val="Heading 3.noTOC Char"/>
    <w:basedOn w:val="DefaultParagraphFont"/>
    <w:link w:val="Heading3noTOC"/>
    <w:rsid w:val="007B7361"/>
    <w:rPr>
      <w:rFonts w:asciiTheme="majorHAnsi" w:eastAsiaTheme="majorEastAsia" w:hAnsiTheme="majorHAnsi" w:cstheme="majorBidi"/>
      <w:b/>
      <w:bCs/>
      <w:color w:val="44546A" w:themeColor="text2"/>
      <w:sz w:val="26"/>
      <w:szCs w:val="26"/>
    </w:rPr>
  </w:style>
  <w:style w:type="paragraph" w:customStyle="1" w:styleId="Default">
    <w:name w:val="Default"/>
    <w:rsid w:val="00CE18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B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1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FC9"/>
  </w:style>
  <w:style w:type="paragraph" w:styleId="Footer">
    <w:name w:val="footer"/>
    <w:basedOn w:val="Normal"/>
    <w:link w:val="FooterChar"/>
    <w:uiPriority w:val="99"/>
    <w:unhideWhenUsed/>
    <w:rsid w:val="00331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FC9"/>
  </w:style>
  <w:style w:type="table" w:customStyle="1" w:styleId="GridTable4">
    <w:name w:val="Grid Table 4"/>
    <w:basedOn w:val="TableNormal"/>
    <w:uiPriority w:val="49"/>
    <w:rsid w:val="00331F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8DE"/>
    <w:pPr>
      <w:spacing w:befor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8DE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40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40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402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7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7361"/>
    <w:pPr>
      <w:ind w:left="720"/>
      <w:contextualSpacing/>
    </w:pPr>
  </w:style>
  <w:style w:type="paragraph" w:customStyle="1" w:styleId="ICFBodyText">
    <w:name w:val="ICF Body Text"/>
    <w:basedOn w:val="Normal"/>
    <w:qFormat/>
    <w:rsid w:val="007B7361"/>
    <w:pPr>
      <w:spacing w:before="40" w:line="276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Heading1">
    <w:name w:val="Table Heading 1"/>
    <w:rsid w:val="007B7361"/>
    <w:pPr>
      <w:spacing w:after="0" w:line="240" w:lineRule="auto"/>
    </w:pPr>
    <w:rPr>
      <w:rFonts w:ascii="Times New Roman" w:hAnsi="Times New Roman" w:cs="Arial"/>
      <w:bCs/>
      <w:color w:val="FFFFFF" w:themeColor="background1"/>
      <w:szCs w:val="20"/>
    </w:rPr>
  </w:style>
  <w:style w:type="numbering" w:customStyle="1" w:styleId="Tablebullet1">
    <w:name w:val="Table bullet 1"/>
    <w:basedOn w:val="NoList"/>
    <w:uiPriority w:val="99"/>
    <w:rsid w:val="007B7361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unhideWhenUsed/>
    <w:rsid w:val="007B73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7361"/>
    <w:pPr>
      <w:spacing w:before="4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7361"/>
    <w:rPr>
      <w:rFonts w:ascii="Times New Roman" w:eastAsiaTheme="minorEastAsia" w:hAnsi="Times New Roman" w:cs="Times New Roman"/>
      <w:sz w:val="20"/>
      <w:szCs w:val="20"/>
    </w:rPr>
  </w:style>
  <w:style w:type="paragraph" w:customStyle="1" w:styleId="StyleTableHeading3">
    <w:name w:val="Style Table Heading 3 +"/>
    <w:basedOn w:val="Normal"/>
    <w:rsid w:val="007B7361"/>
    <w:pPr>
      <w:spacing w:after="0" w:line="252" w:lineRule="auto"/>
    </w:pPr>
    <w:rPr>
      <w:rFonts w:ascii="Times New Roman" w:hAnsi="Times New Roman" w:cs="Times New Roman"/>
      <w:b/>
      <w:bCs/>
    </w:rPr>
  </w:style>
  <w:style w:type="table" w:customStyle="1" w:styleId="ListTable4Accent1">
    <w:name w:val="List Table 4 Accent 1"/>
    <w:basedOn w:val="TableNormal"/>
    <w:uiPriority w:val="49"/>
    <w:rsid w:val="007B736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Tablebullet">
    <w:name w:val="Table bullet"/>
    <w:basedOn w:val="NoSpacing"/>
    <w:link w:val="TablebulletChar"/>
    <w:qFormat/>
    <w:rsid w:val="007B7361"/>
    <w:pPr>
      <w:numPr>
        <w:numId w:val="3"/>
      </w:numPr>
      <w:spacing w:after="40"/>
    </w:pPr>
    <w:rPr>
      <w:rFonts w:ascii="Times New Roman" w:hAnsi="Times New Roman"/>
      <w:bCs/>
    </w:rPr>
  </w:style>
  <w:style w:type="character" w:customStyle="1" w:styleId="TablebulletChar">
    <w:name w:val="Table bullet Char"/>
    <w:basedOn w:val="DefaultParagraphFont"/>
    <w:link w:val="Tablebullet"/>
    <w:rsid w:val="007B7361"/>
    <w:rPr>
      <w:rFonts w:ascii="Times New Roman" w:hAnsi="Times New Roman"/>
      <w:bCs/>
    </w:rPr>
  </w:style>
  <w:style w:type="paragraph" w:styleId="NoSpacing">
    <w:name w:val="No Spacing"/>
    <w:uiPriority w:val="1"/>
    <w:qFormat/>
    <w:rsid w:val="007B7361"/>
    <w:pPr>
      <w:spacing w:after="0" w:line="240" w:lineRule="auto"/>
    </w:pPr>
  </w:style>
  <w:style w:type="paragraph" w:customStyle="1" w:styleId="Heading3noTOC">
    <w:name w:val="Heading 3.noTOC"/>
    <w:link w:val="Heading3noTOCChar"/>
    <w:qFormat/>
    <w:rsid w:val="007B7361"/>
    <w:pPr>
      <w:spacing w:before="200" w:after="40" w:line="240" w:lineRule="auto"/>
    </w:pPr>
    <w:rPr>
      <w:rFonts w:asciiTheme="majorHAnsi" w:eastAsiaTheme="majorEastAsia" w:hAnsiTheme="majorHAnsi" w:cstheme="majorBidi"/>
      <w:b/>
      <w:bCs/>
      <w:color w:val="44546A" w:themeColor="text2"/>
      <w:sz w:val="26"/>
      <w:szCs w:val="26"/>
    </w:rPr>
  </w:style>
  <w:style w:type="character" w:customStyle="1" w:styleId="Heading3noTOCChar">
    <w:name w:val="Heading 3.noTOC Char"/>
    <w:basedOn w:val="DefaultParagraphFont"/>
    <w:link w:val="Heading3noTOC"/>
    <w:rsid w:val="007B7361"/>
    <w:rPr>
      <w:rFonts w:asciiTheme="majorHAnsi" w:eastAsiaTheme="majorEastAsia" w:hAnsiTheme="majorHAnsi" w:cstheme="majorBidi"/>
      <w:b/>
      <w:bCs/>
      <w:color w:val="44546A" w:themeColor="text2"/>
      <w:sz w:val="26"/>
      <w:szCs w:val="26"/>
    </w:rPr>
  </w:style>
  <w:style w:type="paragraph" w:customStyle="1" w:styleId="Default">
    <w:name w:val="Default"/>
    <w:rsid w:val="00CE18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B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1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FC9"/>
  </w:style>
  <w:style w:type="paragraph" w:styleId="Footer">
    <w:name w:val="footer"/>
    <w:basedOn w:val="Normal"/>
    <w:link w:val="FooterChar"/>
    <w:uiPriority w:val="99"/>
    <w:unhideWhenUsed/>
    <w:rsid w:val="00331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FC9"/>
  </w:style>
  <w:style w:type="table" w:customStyle="1" w:styleId="GridTable4">
    <w:name w:val="Grid Table 4"/>
    <w:basedOn w:val="TableNormal"/>
    <w:uiPriority w:val="49"/>
    <w:rsid w:val="00331F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8DE"/>
    <w:pPr>
      <w:spacing w:befor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8DE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40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40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40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8BFE2DE4728D43AFFD76B2F67BEFD4" ma:contentTypeVersion="11" ma:contentTypeDescription="Create a new document." ma:contentTypeScope="" ma:versionID="49891181ddcff870a6e89f38f98c28c8">
  <xsd:schema xmlns:xsd="http://www.w3.org/2001/XMLSchema" xmlns:xs="http://www.w3.org/2001/XMLSchema" xmlns:p="http://schemas.microsoft.com/office/2006/metadata/properties" xmlns:ns2="210fdf79-61bb-4898-a451-e04c747aa722" xmlns:ns3="7cbfcd47-330a-402d-acf6-02884608f543" targetNamespace="http://schemas.microsoft.com/office/2006/metadata/properties" ma:root="true" ma:fieldsID="4f2332eee494154f0ece5a34c088041d" ns2:_="" ns3:_="">
    <xsd:import namespace="210fdf79-61bb-4898-a451-e04c747aa722"/>
    <xsd:import namespace="7cbfcd47-330a-402d-acf6-02884608f5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fdf79-61bb-4898-a451-e04c747aa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fcd47-330a-402d-acf6-02884608f5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10fdf79-61bb-4898-a451-e04c747aa7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D2344-2F4B-4B6D-824D-50FFC793C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fdf79-61bb-4898-a451-e04c747aa722"/>
    <ds:schemaRef ds:uri="7cbfcd47-330a-402d-acf6-02884608f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D9AE1C-A683-460A-9E01-9006DCDC9A2D}">
  <ds:schemaRefs>
    <ds:schemaRef ds:uri="http://schemas.microsoft.com/office/2006/metadata/properties"/>
    <ds:schemaRef ds:uri="http://schemas.microsoft.com/office/infopath/2007/PartnerControls"/>
    <ds:schemaRef ds:uri="210fdf79-61bb-4898-a451-e04c747aa722"/>
  </ds:schemaRefs>
</ds:datastoreItem>
</file>

<file path=customXml/itemProps3.xml><?xml version="1.0" encoding="utf-8"?>
<ds:datastoreItem xmlns:ds="http://schemas.openxmlformats.org/officeDocument/2006/customXml" ds:itemID="{42237D4C-74C1-43BB-9CBF-D5C6FA0E18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E66A23-5FDA-4276-846D-F19CC7D39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Bhalakia, Amee</dc:creator>
  <cp:keywords/>
  <dc:description/>
  <cp:lastModifiedBy>SYSTEM</cp:lastModifiedBy>
  <cp:revision>2</cp:revision>
  <dcterms:created xsi:type="dcterms:W3CDTF">2019-09-24T14:56:00Z</dcterms:created>
  <dcterms:modified xsi:type="dcterms:W3CDTF">2019-09-24T14:56:00Z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0x010100E98BFE2DE4728D43AFFD76B2F67BEFD4</vt:lpwstr>
  </property>
</Properties>
</file>