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5CEF" w:rsidR="00E12084" w:rsidP="00E12084" w:rsidRDefault="00CD799B" w14:paraId="7F9AD27F" w14:textId="110CC9DD">
      <w:pPr>
        <w:spacing w:line="276" w:lineRule="auto"/>
        <w:jc w:val="center"/>
        <w:rPr>
          <w:b/>
        </w:rPr>
      </w:pPr>
      <w:r>
        <w:rPr>
          <w:b/>
        </w:rPr>
        <w:t xml:space="preserve">Attachment </w:t>
      </w:r>
      <w:r w:rsidR="00C47E82">
        <w:rPr>
          <w:b/>
        </w:rPr>
        <w:t>C</w:t>
      </w:r>
      <w:r w:rsidR="00354BC7">
        <w:rPr>
          <w:b/>
        </w:rPr>
        <w:t xml:space="preserve"> </w:t>
      </w:r>
      <w:r w:rsidR="00E12084">
        <w:rPr>
          <w:b/>
        </w:rPr>
        <w:t>–</w:t>
      </w:r>
      <w:r w:rsidR="00354BC7">
        <w:rPr>
          <w:b/>
        </w:rPr>
        <w:t xml:space="preserve"> </w:t>
      </w:r>
      <w:r w:rsidRPr="00B53AF4" w:rsidR="00E12084">
        <w:rPr>
          <w:b/>
        </w:rPr>
        <w:t xml:space="preserve">Project </w:t>
      </w:r>
      <w:r w:rsidR="00E12084">
        <w:rPr>
          <w:b/>
        </w:rPr>
        <w:t>Description</w:t>
      </w:r>
    </w:p>
    <w:p w:rsidR="00E12084" w:rsidP="00354BC7" w:rsidRDefault="00E12084" w14:paraId="718A4872" w14:textId="77777777">
      <w:pPr>
        <w:jc w:val="center"/>
        <w:rPr>
          <w:b/>
        </w:rPr>
      </w:pPr>
    </w:p>
    <w:p w:rsidRPr="00280CD3" w:rsidR="00354BC7" w:rsidP="00354BC7" w:rsidRDefault="00C1668C" w14:paraId="610A366C" w14:textId="77777777">
      <w:pPr>
        <w:jc w:val="center"/>
        <w:rPr>
          <w:b/>
        </w:rPr>
      </w:pPr>
      <w:r>
        <w:rPr>
          <w:b/>
        </w:rPr>
        <w:t xml:space="preserve">Message Testing for Parents </w:t>
      </w:r>
      <w:r w:rsidRPr="00280CD3" w:rsidR="00280CD3">
        <w:rPr>
          <w:b/>
        </w:rPr>
        <w:t>Regarding Bullying</w:t>
      </w:r>
    </w:p>
    <w:p w:rsidRPr="00354BC7" w:rsidR="00280CD3" w:rsidP="00354BC7" w:rsidRDefault="00280CD3" w14:paraId="5FD6B48F" w14:textId="77777777">
      <w:pPr>
        <w:jc w:val="center"/>
        <w:rPr>
          <w:b/>
        </w:rPr>
      </w:pPr>
    </w:p>
    <w:p w:rsidRPr="00302906" w:rsidR="00B46F2C" w:rsidP="00840FCA" w:rsidRDefault="00354BC7" w14:paraId="4AD9BE4C" w14:textId="77777777">
      <w:pPr>
        <w:rPr>
          <w:b/>
        </w:rPr>
      </w:pPr>
      <w:r w:rsidRPr="00A70864">
        <w:rPr>
          <w:b/>
        </w:rPr>
        <w:t>Project Description</w:t>
      </w:r>
      <w:r w:rsidRPr="00A70864" w:rsidR="00B46F2C">
        <w:rPr>
          <w:b/>
        </w:rPr>
        <w:t>:</w:t>
      </w:r>
    </w:p>
    <w:p w:rsidRPr="007B1C51" w:rsidR="007B1C51" w:rsidP="007B1C51" w:rsidRDefault="007B1C51" w14:paraId="1E66361D" w14:textId="15C35943">
      <w:r w:rsidRPr="00D40134">
        <w:t>Bullying is a widespread form of youth violence in the United States.  In a 201</w:t>
      </w:r>
      <w:r>
        <w:t>7</w:t>
      </w:r>
      <w:r w:rsidRPr="00D40134">
        <w:t xml:space="preserve"> nationwide survey, </w:t>
      </w:r>
      <w:r>
        <w:t>19</w:t>
      </w:r>
      <w:r w:rsidRPr="00D40134">
        <w:t xml:space="preserve">% of high school students reported being bullied on school property and in the 12 months before the survey. And while the prevalence is highest among white </w:t>
      </w:r>
      <w:r>
        <w:t xml:space="preserve">(21.5%) and AI/AN </w:t>
      </w:r>
      <w:r w:rsidRPr="00D40134">
        <w:t>students (</w:t>
      </w:r>
      <w:r>
        <w:t>21.7</w:t>
      </w:r>
      <w:r w:rsidRPr="00D40134">
        <w:t>%), Hispanic students (</w:t>
      </w:r>
      <w:r>
        <w:t>16.3</w:t>
      </w:r>
      <w:r w:rsidRPr="00D40134">
        <w:t>%) report the second highest prevalence of being bullied on school property – higher than for black students (13</w:t>
      </w:r>
      <w:r>
        <w:t>.2</w:t>
      </w:r>
      <w:r w:rsidRPr="00D40134">
        <w:t xml:space="preserve">%). Additionally, an estimated </w:t>
      </w:r>
      <w:r>
        <w:t>14.9</w:t>
      </w:r>
      <w:r w:rsidRPr="00D40134">
        <w:t>% reported being bullied electronically in the 12 months before the survey – including 12</w:t>
      </w:r>
      <w:r>
        <w:t>.3</w:t>
      </w:r>
      <w:r w:rsidRPr="00D40134">
        <w:t>% of Hispanic students</w:t>
      </w:r>
      <w:r w:rsidR="00BE400E">
        <w:t>.</w:t>
      </w:r>
      <w:r w:rsidR="000D5AA0">
        <w:rPr>
          <w:rStyle w:val="FootnoteReference"/>
        </w:rPr>
        <w:footnoteReference w:id="2"/>
      </w:r>
    </w:p>
    <w:p w:rsidRPr="00D40134" w:rsidR="007B1C51" w:rsidP="007B1C51" w:rsidRDefault="007B1C51" w14:paraId="0397A0C2" w14:textId="77777777"/>
    <w:p w:rsidRPr="00D40134" w:rsidR="007B1C51" w:rsidP="007B1C51" w:rsidRDefault="007B1C51" w14:paraId="6AFEE4E7" w14:textId="081FB2C6">
      <w:r w:rsidRPr="00D40134">
        <w:t>Parents can play a key role in preventing youth’s involvement in violence. However, data on parents’ knowledge, skills</w:t>
      </w:r>
      <w:r>
        <w:t>,</w:t>
      </w:r>
      <w:r w:rsidRPr="00D40134">
        <w:t xml:space="preserve"> attitudes</w:t>
      </w:r>
      <w:r>
        <w:t xml:space="preserve"> and beliefs</w:t>
      </w:r>
      <w:r w:rsidRPr="00D40134">
        <w:t xml:space="preserve"> regarding children’s bullying prevention i</w:t>
      </w:r>
      <w:r>
        <w:t>s</w:t>
      </w:r>
      <w:r w:rsidRPr="00D40134">
        <w:t xml:space="preserve"> limited.  Such information is essential to develop appropriate prevention strategies, including among Hispanics – the largest racial or ethnic minority in the US, accounting for about 1</w:t>
      </w:r>
      <w:r>
        <w:t>8.3</w:t>
      </w:r>
      <w:r w:rsidRPr="00D40134">
        <w:t>% of the US population</w:t>
      </w:r>
      <w:r w:rsidR="00BE400E">
        <w:t>.</w:t>
      </w:r>
      <w:r w:rsidR="000D5AA0">
        <w:rPr>
          <w:rStyle w:val="FootnoteReference"/>
        </w:rPr>
        <w:footnoteReference w:id="3"/>
      </w:r>
    </w:p>
    <w:p w:rsidRPr="007B1C51" w:rsidR="0059705B" w:rsidP="003271C3" w:rsidRDefault="0059705B" w14:paraId="54EE72FB" w14:textId="77777777">
      <w:pPr>
        <w:pStyle w:val="Header"/>
      </w:pPr>
    </w:p>
    <w:p w:rsidRPr="007B1C51" w:rsidR="002279F2" w:rsidP="001772D6" w:rsidRDefault="001772D6" w14:paraId="5ABDF687" w14:textId="6C23E7CD">
      <w:pPr>
        <w:spacing w:after="120"/>
      </w:pPr>
      <w:r w:rsidRPr="001772D6">
        <w:t xml:space="preserve">The purpose of this research is to test refined and culturally-sensitive English and Spanish message concepts among target audiences for use to inform multiple parent-focused bullying prevention materials. </w:t>
      </w:r>
      <w:r w:rsidR="00671FD3">
        <w:t>This information will be c</w:t>
      </w:r>
      <w:r w:rsidR="00280CD3">
        <w:t>ollected through a series of four</w:t>
      </w:r>
      <w:r w:rsidR="00671FD3">
        <w:t xml:space="preserve"> focus groups</w:t>
      </w:r>
      <w:r w:rsidR="00280CD3">
        <w:t>.</w:t>
      </w:r>
      <w:r w:rsidR="00F96352">
        <w:t xml:space="preserve"> </w:t>
      </w:r>
      <w:r w:rsidR="000D5AA0">
        <w:t xml:space="preserve">Two focus groups will be conducted in English and two will be conducted in Spanish, with the messages also translated </w:t>
      </w:r>
      <w:r w:rsidR="00A70864">
        <w:t>in</w:t>
      </w:r>
      <w:r w:rsidR="000D5AA0">
        <w:t xml:space="preserve">to Spanish. </w:t>
      </w:r>
      <w:r w:rsidR="00422EE9">
        <w:t xml:space="preserve">We are expecting to collect data in </w:t>
      </w:r>
      <w:r w:rsidR="00816B24">
        <w:t>June and</w:t>
      </w:r>
      <w:r w:rsidR="00626EA9">
        <w:t xml:space="preserve"> </w:t>
      </w:r>
      <w:r w:rsidR="00422EE9">
        <w:t xml:space="preserve">hoping to conduct the focus groups in-person. However, given the current situation and public health needs from the COVID-19 pandemic, it may be necessary to move the focus groups to an online format. Online focus groups would allow us to collect the data, while maintaining the best interests of the respondents and public health in accordance with </w:t>
      </w:r>
      <w:r w:rsidR="00626EA9">
        <w:t xml:space="preserve">CDC’s Office of Science guidance for human research issued on March 26, 2020. </w:t>
      </w:r>
      <w:r w:rsidR="00B00E7F">
        <w:t xml:space="preserve">CDC will use </w:t>
      </w:r>
      <w:r w:rsidR="000A757F">
        <w:t xml:space="preserve">findings </w:t>
      </w:r>
      <w:r w:rsidR="00B00E7F">
        <w:t xml:space="preserve">from the </w:t>
      </w:r>
      <w:r w:rsidR="006956FB">
        <w:t xml:space="preserve">data collected </w:t>
      </w:r>
      <w:r w:rsidR="000A757F">
        <w:t xml:space="preserve">to refine the </w:t>
      </w:r>
      <w:r w:rsidRPr="00400B1E" w:rsidR="00400B1E">
        <w:t xml:space="preserve">effectiveness of messages for </w:t>
      </w:r>
      <w:r w:rsidR="00E47EEA">
        <w:t xml:space="preserve">the </w:t>
      </w:r>
      <w:r w:rsidRPr="00400B1E" w:rsidR="00400B1E">
        <w:t>intended audiences</w:t>
      </w:r>
      <w:r w:rsidR="00280CD3">
        <w:t xml:space="preserve"> for parent-focused prevention materials. </w:t>
      </w:r>
      <w:r w:rsidR="00D17E04">
        <w:t xml:space="preserve">Feedback gathered, including </w:t>
      </w:r>
      <w:r w:rsidR="00400B1E">
        <w:t>message</w:t>
      </w:r>
      <w:r w:rsidR="00D17E04">
        <w:t xml:space="preserve"> delivery and content, </w:t>
      </w:r>
      <w:r w:rsidR="00280CD3">
        <w:t>dissemination strategies</w:t>
      </w:r>
      <w:r w:rsidR="006C075A">
        <w:t xml:space="preserve">, and dissemination channels </w:t>
      </w:r>
      <w:r w:rsidR="006956FB">
        <w:t xml:space="preserve">will help </w:t>
      </w:r>
      <w:r w:rsidRPr="009D5E2A" w:rsidR="00D17E04">
        <w:t xml:space="preserve">ensure </w:t>
      </w:r>
      <w:r w:rsidR="00D17E04">
        <w:t>NCIPC</w:t>
      </w:r>
      <w:r w:rsidRPr="009D5E2A" w:rsidR="00D17E04">
        <w:t xml:space="preserve"> is pr</w:t>
      </w:r>
      <w:r w:rsidR="00400B1E">
        <w:t xml:space="preserve">oviding </w:t>
      </w:r>
      <w:r w:rsidRPr="00400B1E" w:rsidR="00400B1E">
        <w:t xml:space="preserve">quality </w:t>
      </w:r>
      <w:r w:rsidR="00400B1E">
        <w:t xml:space="preserve">messages </w:t>
      </w:r>
      <w:r w:rsidRPr="00400B1E" w:rsidR="00400B1E">
        <w:t>and prevent waste in the dissemination of health information by CDC to the public</w:t>
      </w:r>
      <w:r w:rsidR="00400B1E">
        <w:t>.</w:t>
      </w:r>
    </w:p>
    <w:p w:rsidR="00400B1E" w:rsidP="003271C3" w:rsidRDefault="00400B1E" w14:paraId="44A76FBC" w14:textId="77777777">
      <w:pPr>
        <w:pStyle w:val="Header"/>
      </w:pPr>
    </w:p>
    <w:p w:rsidR="00E12084" w:rsidP="00E12084" w:rsidRDefault="00E12084" w14:paraId="66765F34" w14:textId="77777777">
      <w:pPr>
        <w:rPr>
          <w:b/>
        </w:rPr>
      </w:pPr>
      <w:r w:rsidRPr="00FE0243">
        <w:rPr>
          <w:b/>
        </w:rPr>
        <w:t>Who are we trying to influence?</w:t>
      </w:r>
    </w:p>
    <w:p w:rsidRPr="00584D7B" w:rsidR="00E12084" w:rsidP="00E12084" w:rsidRDefault="00E12084" w14:paraId="662F3AE9" w14:textId="77777777">
      <w:pPr>
        <w:rPr>
          <w:b/>
        </w:rPr>
      </w:pPr>
    </w:p>
    <w:p w:rsidRPr="00A70864" w:rsidR="00E12084" w:rsidP="00E12084" w:rsidRDefault="00E12084" w14:paraId="3CF3E180" w14:textId="55555BD4">
      <w:pPr>
        <w:pStyle w:val="Default"/>
        <w:spacing w:before="8"/>
        <w:rPr>
          <w:rFonts w:ascii="Times New Roman" w:hAnsi="Times New Roman" w:cs="Times New Roman"/>
          <w:color w:val="auto"/>
        </w:rPr>
      </w:pPr>
      <w:r w:rsidRPr="00A70864">
        <w:rPr>
          <w:rFonts w:ascii="Times New Roman" w:hAnsi="Times New Roman" w:cs="Times New Roman"/>
          <w:b/>
          <w:color w:val="auto"/>
        </w:rPr>
        <w:t>Primary Audience:</w:t>
      </w:r>
      <w:r w:rsidRPr="00A70864">
        <w:rPr>
          <w:rFonts w:ascii="Times New Roman" w:hAnsi="Times New Roman" w:cs="Times New Roman"/>
          <w:color w:val="auto"/>
        </w:rPr>
        <w:t xml:space="preserve"> Respondents will be </w:t>
      </w:r>
      <w:r w:rsidRPr="00A70864" w:rsidR="00280CD3">
        <w:rPr>
          <w:rFonts w:ascii="Times New Roman" w:hAnsi="Times New Roman" w:cs="Times New Roman"/>
          <w:color w:val="auto"/>
        </w:rPr>
        <w:t xml:space="preserve">parents and caregivers, </w:t>
      </w:r>
      <w:r w:rsidRPr="00A70864">
        <w:rPr>
          <w:rFonts w:ascii="Times New Roman" w:hAnsi="Times New Roman" w:cs="Times New Roman"/>
          <w:color w:val="auto"/>
        </w:rPr>
        <w:t xml:space="preserve">U.S. residents </w:t>
      </w:r>
      <w:r w:rsidRPr="00A70864" w:rsidR="00280CD3">
        <w:rPr>
          <w:rFonts w:ascii="Times New Roman" w:hAnsi="Times New Roman" w:cs="Times New Roman"/>
          <w:color w:val="auto"/>
        </w:rPr>
        <w:t xml:space="preserve">who are responsible for the daily care and rearing of one </w:t>
      </w:r>
      <w:r w:rsidR="00C77AE7">
        <w:rPr>
          <w:rFonts w:ascii="Times New Roman" w:hAnsi="Times New Roman" w:cs="Times New Roman"/>
          <w:color w:val="auto"/>
        </w:rPr>
        <w:t xml:space="preserve">or </w:t>
      </w:r>
      <w:r w:rsidRPr="00A70864" w:rsidR="00280CD3">
        <w:rPr>
          <w:rFonts w:ascii="Times New Roman" w:hAnsi="Times New Roman" w:cs="Times New Roman"/>
          <w:color w:val="auto"/>
        </w:rPr>
        <w:t>more children age</w:t>
      </w:r>
      <w:r w:rsidR="00C77AE7">
        <w:rPr>
          <w:rFonts w:ascii="Times New Roman" w:hAnsi="Times New Roman" w:cs="Times New Roman"/>
          <w:color w:val="auto"/>
        </w:rPr>
        <w:t>s</w:t>
      </w:r>
      <w:r w:rsidRPr="00A70864" w:rsidR="00280CD3">
        <w:rPr>
          <w:rFonts w:ascii="Times New Roman" w:hAnsi="Times New Roman" w:cs="Times New Roman"/>
          <w:color w:val="auto"/>
        </w:rPr>
        <w:t xml:space="preserve"> 10-17. At least half of the respondents will speak fluent Spanish and identify as Hispanic.  </w:t>
      </w:r>
    </w:p>
    <w:p w:rsidRPr="00A70864" w:rsidR="00E12084" w:rsidP="00E12084" w:rsidRDefault="00E12084" w14:paraId="731EB1B4" w14:textId="77777777">
      <w:pPr>
        <w:pStyle w:val="Default"/>
        <w:spacing w:before="8"/>
        <w:ind w:right="1637"/>
        <w:rPr>
          <w:spacing w:val="-2"/>
        </w:rPr>
      </w:pPr>
    </w:p>
    <w:p w:rsidRPr="00A70864" w:rsidR="00E12084" w:rsidP="00E12084" w:rsidRDefault="00E12084" w14:paraId="7B944E28" w14:textId="77777777">
      <w:pPr>
        <w:rPr>
          <w:b/>
        </w:rPr>
      </w:pPr>
      <w:r w:rsidRPr="00A70864">
        <w:rPr>
          <w:b/>
        </w:rPr>
        <w:t xml:space="preserve">What do we want them to DO as a result of this communication? </w:t>
      </w:r>
    </w:p>
    <w:p w:rsidRPr="00A70864" w:rsidR="00A43543" w:rsidP="00A43543" w:rsidRDefault="00E12084" w14:paraId="038759D5" w14:textId="77777777">
      <w:pPr>
        <w:pStyle w:val="Header"/>
      </w:pPr>
      <w:r w:rsidRPr="00A70864">
        <w:t>We will use what we learn from focus gro</w:t>
      </w:r>
      <w:r w:rsidRPr="00A70864" w:rsidR="007851F6">
        <w:t>up discussions to adapt</w:t>
      </w:r>
      <w:r w:rsidRPr="00A70864">
        <w:t xml:space="preserve"> messages or </w:t>
      </w:r>
      <w:r w:rsidRPr="00A70864" w:rsidR="007851F6">
        <w:t xml:space="preserve">refine the messages and improve the materials offered to parents and caregivers about bullying. </w:t>
      </w:r>
    </w:p>
    <w:p w:rsidRPr="00A70864" w:rsidR="00E12084" w:rsidP="00E12084" w:rsidRDefault="00E12084" w14:paraId="7A8DF93F" w14:textId="77777777">
      <w:pPr>
        <w:spacing w:line="276" w:lineRule="auto"/>
      </w:pPr>
    </w:p>
    <w:p w:rsidRPr="00FE0243" w:rsidR="00E12084" w:rsidP="00E12084" w:rsidRDefault="00E12084" w14:paraId="339FE0EC" w14:textId="77777777">
      <w:pPr>
        <w:rPr>
          <w:b/>
        </w:rPr>
      </w:pPr>
      <w:r w:rsidRPr="00A70864">
        <w:rPr>
          <w:b/>
        </w:rPr>
        <w:lastRenderedPageBreak/>
        <w:t>How do we expect communications to work towards achieving this?</w:t>
      </w:r>
      <w:r w:rsidRPr="00FE0243">
        <w:rPr>
          <w:b/>
        </w:rPr>
        <w:t xml:space="preserve"> </w:t>
      </w:r>
    </w:p>
    <w:p w:rsidRPr="00A43543" w:rsidR="00E12084" w:rsidP="00E12084" w:rsidRDefault="00E12084" w14:paraId="17847B1A" w14:textId="77777777">
      <w:pPr>
        <w:pStyle w:val="BodyText"/>
        <w:rPr>
          <w:i w:val="0"/>
          <w:iCs w:val="0"/>
          <w:sz w:val="24"/>
          <w:szCs w:val="24"/>
        </w:rPr>
      </w:pPr>
      <w:r w:rsidRPr="00A43543">
        <w:rPr>
          <w:i w:val="0"/>
          <w:iCs w:val="0"/>
          <w:sz w:val="24"/>
          <w:szCs w:val="24"/>
        </w:rPr>
        <w:t>Content strategy will include:</w:t>
      </w:r>
    </w:p>
    <w:p w:rsidRPr="00A43543" w:rsidR="00E12084" w:rsidP="00E12084" w:rsidRDefault="00E12084" w14:paraId="50736538" w14:textId="77777777">
      <w:pPr>
        <w:pStyle w:val="BodyText"/>
        <w:numPr>
          <w:ilvl w:val="0"/>
          <w:numId w:val="32"/>
        </w:numPr>
        <w:tabs>
          <w:tab w:val="left" w:pos="340"/>
        </w:tabs>
        <w:suppressAutoHyphens/>
        <w:autoSpaceDE w:val="0"/>
        <w:autoSpaceDN w:val="0"/>
        <w:adjustRightInd w:val="0"/>
        <w:spacing w:line="276" w:lineRule="auto"/>
        <w:textAlignment w:val="center"/>
        <w:rPr>
          <w:i w:val="0"/>
          <w:iCs w:val="0"/>
          <w:sz w:val="24"/>
          <w:szCs w:val="24"/>
        </w:rPr>
      </w:pPr>
      <w:r w:rsidRPr="00A43543">
        <w:rPr>
          <w:i w:val="0"/>
          <w:iCs w:val="0"/>
          <w:sz w:val="24"/>
          <w:szCs w:val="24"/>
        </w:rPr>
        <w:t xml:space="preserve">Time-saving — focus on </w:t>
      </w:r>
      <w:r w:rsidR="00DA3485">
        <w:rPr>
          <w:i w:val="0"/>
          <w:iCs w:val="0"/>
          <w:sz w:val="24"/>
          <w:szCs w:val="24"/>
        </w:rPr>
        <w:t>the</w:t>
      </w:r>
      <w:r w:rsidRPr="00A43543">
        <w:rPr>
          <w:i w:val="0"/>
          <w:iCs w:val="0"/>
          <w:sz w:val="24"/>
          <w:szCs w:val="24"/>
        </w:rPr>
        <w:t xml:space="preserve"> messages and useful tips / tools / facts that are easy to absorb given our </w:t>
      </w:r>
      <w:r w:rsidR="00DA3485">
        <w:rPr>
          <w:i w:val="0"/>
          <w:iCs w:val="0"/>
          <w:sz w:val="24"/>
          <w:szCs w:val="24"/>
        </w:rPr>
        <w:t>audience</w:t>
      </w:r>
      <w:r w:rsidR="00946E15">
        <w:rPr>
          <w:i w:val="0"/>
          <w:iCs w:val="0"/>
          <w:sz w:val="24"/>
          <w:szCs w:val="24"/>
        </w:rPr>
        <w:t>.</w:t>
      </w:r>
    </w:p>
    <w:p w:rsidRPr="00A43543" w:rsidR="00E12084" w:rsidP="00E12084" w:rsidRDefault="00E12084" w14:paraId="75FEE7D6" w14:textId="77777777">
      <w:pPr>
        <w:pStyle w:val="BodyText"/>
        <w:numPr>
          <w:ilvl w:val="0"/>
          <w:numId w:val="32"/>
        </w:numPr>
        <w:tabs>
          <w:tab w:val="left" w:pos="340"/>
        </w:tabs>
        <w:suppressAutoHyphens/>
        <w:autoSpaceDE w:val="0"/>
        <w:autoSpaceDN w:val="0"/>
        <w:adjustRightInd w:val="0"/>
        <w:spacing w:line="276" w:lineRule="auto"/>
        <w:textAlignment w:val="center"/>
        <w:rPr>
          <w:i w:val="0"/>
          <w:iCs w:val="0"/>
          <w:sz w:val="24"/>
          <w:szCs w:val="24"/>
        </w:rPr>
      </w:pPr>
      <w:r w:rsidRPr="00A43543">
        <w:rPr>
          <w:i w:val="0"/>
          <w:iCs w:val="0"/>
          <w:sz w:val="24"/>
          <w:szCs w:val="24"/>
        </w:rPr>
        <w:t>Relevance — ensure new or revised materials meet our audiences’ current needs</w:t>
      </w:r>
      <w:r w:rsidR="007851F6">
        <w:rPr>
          <w:i w:val="0"/>
          <w:iCs w:val="0"/>
          <w:sz w:val="24"/>
          <w:szCs w:val="24"/>
        </w:rPr>
        <w:t xml:space="preserve">, with a particular focus on culturally sensitive materials. </w:t>
      </w:r>
    </w:p>
    <w:p w:rsidRPr="00A43543" w:rsidR="00E12084" w:rsidP="00E12084" w:rsidRDefault="00E12084" w14:paraId="4F10FC6B" w14:textId="77777777">
      <w:pPr>
        <w:pStyle w:val="BodyText"/>
        <w:numPr>
          <w:ilvl w:val="0"/>
          <w:numId w:val="32"/>
        </w:numPr>
        <w:tabs>
          <w:tab w:val="left" w:pos="340"/>
        </w:tabs>
        <w:suppressAutoHyphens/>
        <w:autoSpaceDE w:val="0"/>
        <w:autoSpaceDN w:val="0"/>
        <w:adjustRightInd w:val="0"/>
        <w:spacing w:line="276" w:lineRule="auto"/>
        <w:textAlignment w:val="center"/>
        <w:rPr>
          <w:i w:val="0"/>
          <w:iCs w:val="0"/>
          <w:sz w:val="24"/>
          <w:szCs w:val="24"/>
        </w:rPr>
      </w:pPr>
      <w:r w:rsidRPr="00A43543">
        <w:rPr>
          <w:i w:val="0"/>
          <w:iCs w:val="0"/>
          <w:sz w:val="24"/>
          <w:szCs w:val="24"/>
        </w:rPr>
        <w:t>Accessible — ensure the tone is direct, clear, real and salient with our audiences.</w:t>
      </w:r>
    </w:p>
    <w:p w:rsidRPr="00A43543" w:rsidR="00E12084" w:rsidP="00E12084" w:rsidRDefault="00E12084" w14:paraId="59B0827D" w14:textId="77777777">
      <w:pPr>
        <w:pStyle w:val="BodyText"/>
        <w:spacing w:line="276" w:lineRule="auto"/>
        <w:ind w:left="720"/>
        <w:rPr>
          <w:i w:val="0"/>
          <w:iCs w:val="0"/>
          <w:sz w:val="24"/>
          <w:szCs w:val="24"/>
        </w:rPr>
      </w:pPr>
    </w:p>
    <w:p w:rsidRPr="00FE0243" w:rsidR="00E12084" w:rsidP="00E12084" w:rsidRDefault="00E12084" w14:paraId="638AEBA5" w14:textId="77777777">
      <w:pPr>
        <w:rPr>
          <w:b/>
        </w:rPr>
      </w:pPr>
      <w:r w:rsidRPr="00FE0243">
        <w:rPr>
          <w:b/>
        </w:rPr>
        <w:t>What are we trying to convey?</w:t>
      </w:r>
    </w:p>
    <w:p w:rsidRPr="00302906" w:rsidR="00A43543" w:rsidP="00A43543" w:rsidRDefault="00A43543" w14:paraId="637F0AE8" w14:textId="77777777">
      <w:r>
        <w:t>In our planned focus groups, our goal is to</w:t>
      </w:r>
      <w:r w:rsidR="00A70864">
        <w:t xml:space="preserve"> learn opinions about the bullying prevention messages developed for this project. </w:t>
      </w:r>
      <w:r w:rsidR="00E47EEA">
        <w:t>We</w:t>
      </w:r>
      <w:r>
        <w:t xml:space="preserve"> want to get subj</w:t>
      </w:r>
      <w:r w:rsidR="000D5AA0">
        <w:t>ects’ reactions to the messages</w:t>
      </w:r>
      <w:r>
        <w:t xml:space="preserve"> and to determine if they are receiving and understanding these messages.</w:t>
      </w:r>
      <w:r w:rsidR="00A70864">
        <w:t xml:space="preserve"> </w:t>
      </w:r>
      <w:r>
        <w:t xml:space="preserve">We also want to determine the best channels for dissemination of </w:t>
      </w:r>
      <w:r w:rsidR="000D5AA0">
        <w:t xml:space="preserve">prevention materials to parents and caregivers. </w:t>
      </w:r>
      <w:r>
        <w:t xml:space="preserve">We will use what we learn from focus groups </w:t>
      </w:r>
      <w:r w:rsidR="00A70864">
        <w:t xml:space="preserve">to refine the messaging and use that messaging in bullying prevention materials for both English and Spanish-speaking U.S. residents. </w:t>
      </w:r>
      <w:r>
        <w:t xml:space="preserve"> </w:t>
      </w:r>
    </w:p>
    <w:p w:rsidR="00E12084" w:rsidP="003271C3" w:rsidRDefault="00E12084" w14:paraId="1BD24AB0" w14:textId="77777777">
      <w:pPr>
        <w:pStyle w:val="Header"/>
      </w:pPr>
    </w:p>
    <w:p w:rsidR="003644A0" w:rsidP="0023773D" w:rsidRDefault="003644A0" w14:paraId="6D8804B2" w14:textId="77777777">
      <w:pPr>
        <w:pStyle w:val="ListParagraph"/>
        <w:ind w:left="0"/>
        <w:rPr>
          <w:b/>
        </w:rPr>
      </w:pPr>
      <w:r w:rsidRPr="00A70864">
        <w:rPr>
          <w:b/>
        </w:rPr>
        <w:t>Recruitment of Participants</w:t>
      </w:r>
    </w:p>
    <w:p w:rsidRPr="00302906" w:rsidR="00A22B03" w:rsidP="0023773D" w:rsidRDefault="00C54F2E" w14:paraId="16291ACD" w14:textId="50B4E9E1">
      <w:pPr>
        <w:pStyle w:val="ListParagraph"/>
        <w:ind w:left="0"/>
      </w:pPr>
      <w:r>
        <w:t>A CDC contracting company</w:t>
      </w:r>
      <w:r w:rsidR="00EA043B">
        <w:t xml:space="preserve"> works with third-party vendors</w:t>
      </w:r>
      <w:r w:rsidR="002B1D93">
        <w:t xml:space="preserve"> specialized in recruiting and</w:t>
      </w:r>
      <w:r w:rsidR="00EA043B">
        <w:t xml:space="preserve"> vetted for quality</w:t>
      </w:r>
      <w:r w:rsidR="002B1D93">
        <w:t xml:space="preserve">. </w:t>
      </w:r>
      <w:r>
        <w:t>The contracting company</w:t>
      </w:r>
      <w:r w:rsidR="002B1D93">
        <w:t xml:space="preserve"> has identified</w:t>
      </w:r>
      <w:r w:rsidR="001310A7">
        <w:t xml:space="preserve"> </w:t>
      </w:r>
      <w:r w:rsidR="002B1D93">
        <w:t xml:space="preserve">local </w:t>
      </w:r>
      <w:r w:rsidR="001310A7">
        <w:t xml:space="preserve">third-party </w:t>
      </w:r>
      <w:r w:rsidR="002B1D93">
        <w:t xml:space="preserve">focus group facility </w:t>
      </w:r>
      <w:r w:rsidR="001310A7">
        <w:t>vendor</w:t>
      </w:r>
      <w:r w:rsidR="002B1D93">
        <w:t>s who</w:t>
      </w:r>
      <w:r w:rsidR="00671FD3">
        <w:t xml:space="preserve"> </w:t>
      </w:r>
      <w:r w:rsidR="001310A7">
        <w:t>will us</w:t>
      </w:r>
      <w:r w:rsidR="006C165C">
        <w:t>e</w:t>
      </w:r>
      <w:r w:rsidR="001310A7">
        <w:t xml:space="preserve"> their database of individuals who have expressed an interest in participating in </w:t>
      </w:r>
      <w:r w:rsidR="006C165C">
        <w:t>research projects to identify prospective respondents meeting the inclusion criteria</w:t>
      </w:r>
      <w:r w:rsidR="001310A7">
        <w:t>. Contact information including name</w:t>
      </w:r>
      <w:r w:rsidR="007E204C">
        <w:t>, and</w:t>
      </w:r>
      <w:r w:rsidR="001310A7">
        <w:t xml:space="preserve"> address </w:t>
      </w:r>
      <w:r w:rsidRPr="00691454" w:rsidR="001310A7">
        <w:t xml:space="preserve">of those respondents who wish to </w:t>
      </w:r>
      <w:r w:rsidR="001310A7">
        <w:t xml:space="preserve">participate will be used to communicate location of the </w:t>
      </w:r>
      <w:r w:rsidR="005455A6">
        <w:t>focus group</w:t>
      </w:r>
      <w:r w:rsidR="00AA2408">
        <w:t xml:space="preserve">. </w:t>
      </w:r>
      <w:r w:rsidR="001310A7">
        <w:t>Also, s</w:t>
      </w:r>
      <w:r w:rsidRPr="00302906" w:rsidR="00C9674F">
        <w:t>igned consent forms</w:t>
      </w:r>
      <w:r w:rsidR="000048E8">
        <w:t xml:space="preserve"> from </w:t>
      </w:r>
      <w:r w:rsidR="00671FD3">
        <w:t xml:space="preserve">focus group </w:t>
      </w:r>
      <w:r w:rsidRPr="0087560F" w:rsidR="000048E8">
        <w:t>participants</w:t>
      </w:r>
      <w:r w:rsidRPr="0087560F" w:rsidR="00E745C9">
        <w:t xml:space="preserve"> (A</w:t>
      </w:r>
      <w:r w:rsidRPr="0087560F" w:rsidR="00734B71">
        <w:t>tt.</w:t>
      </w:r>
      <w:r w:rsidRPr="0087560F" w:rsidR="00E745C9">
        <w:t xml:space="preserve"> </w:t>
      </w:r>
      <w:r w:rsidRPr="0087560F" w:rsidR="0087560F">
        <w:t>E</w:t>
      </w:r>
      <w:r w:rsidRPr="0087560F" w:rsidR="00E745C9">
        <w:t>)</w:t>
      </w:r>
      <w:r w:rsidRPr="0087560F" w:rsidR="00CD3849">
        <w:t xml:space="preserve"> will be collected</w:t>
      </w:r>
      <w:r w:rsidRPr="0087560F" w:rsidR="00C9674F">
        <w:t xml:space="preserve">. </w:t>
      </w:r>
      <w:r w:rsidRPr="0087560F" w:rsidR="00A22B03">
        <w:t xml:space="preserve">Signed consent forms will be kept by the </w:t>
      </w:r>
      <w:r w:rsidRPr="0087560F" w:rsidR="00716A0C">
        <w:t>interviewer</w:t>
      </w:r>
      <w:r w:rsidRPr="0087560F" w:rsidR="00A22B03">
        <w:t xml:space="preserve"> and stored in locked fil</w:t>
      </w:r>
      <w:r w:rsidRPr="0087560F" w:rsidR="00716A0C">
        <w:t>ing</w:t>
      </w:r>
      <w:r w:rsidRPr="0087560F" w:rsidR="008E0CDC">
        <w:t xml:space="preserve"> cabinets at </w:t>
      </w:r>
      <w:r w:rsidRPr="0087560F" w:rsidR="000B6277">
        <w:t xml:space="preserve">the contractor </w:t>
      </w:r>
      <w:r w:rsidRPr="0087560F" w:rsidR="00A22B03">
        <w:t xml:space="preserve">offices. These forms will be stored separately from other </w:t>
      </w:r>
      <w:r w:rsidRPr="0087560F" w:rsidR="00671FD3">
        <w:t xml:space="preserve">project </w:t>
      </w:r>
      <w:r w:rsidRPr="0087560F" w:rsidR="00A22B03">
        <w:t xml:space="preserve">records so that names are not stored in the same folders. </w:t>
      </w:r>
      <w:r w:rsidRPr="0087560F" w:rsidR="003D74C6">
        <w:t>During the focus groups</w:t>
      </w:r>
      <w:r w:rsidRPr="0087560F" w:rsidR="00FB5EE7">
        <w:t xml:space="preserve"> (Att. </w:t>
      </w:r>
      <w:r w:rsidR="00EC5EE5">
        <w:t>E</w:t>
      </w:r>
      <w:r w:rsidRPr="0087560F" w:rsidR="00AA2408">
        <w:t xml:space="preserve"> &amp; </w:t>
      </w:r>
      <w:r w:rsidR="00EC5EE5">
        <w:t>F</w:t>
      </w:r>
      <w:r w:rsidRPr="0087560F" w:rsidR="00FB5EE7">
        <w:t>)</w:t>
      </w:r>
      <w:r w:rsidRPr="0087560F" w:rsidR="003D74C6">
        <w:t>,</w:t>
      </w:r>
      <w:r w:rsidR="003D74C6">
        <w:t xml:space="preserve"> respondents will be referred to only by first name. Focus group recordings will be transcribed. </w:t>
      </w:r>
      <w:r w:rsidR="00B25451">
        <w:t xml:space="preserve">All identifiers will be stripped from the recordings and transcripts.  </w:t>
      </w:r>
      <w:r w:rsidRPr="00BD0DCB" w:rsidR="00A22B03">
        <w:t xml:space="preserve">At no time will personal information be linked or linkable to </w:t>
      </w:r>
      <w:r w:rsidR="00FD10F2">
        <w:t>focus group</w:t>
      </w:r>
      <w:r w:rsidRPr="00BD0DCB" w:rsidR="00FD10F2">
        <w:t xml:space="preserve"> </w:t>
      </w:r>
      <w:r w:rsidRPr="00BD0DCB" w:rsidR="00A22B03">
        <w:t xml:space="preserve">data. </w:t>
      </w:r>
      <w:r w:rsidRPr="00691454" w:rsidR="0023773D">
        <w:t xml:space="preserve">At </w:t>
      </w:r>
      <w:r w:rsidR="0023773D">
        <w:t xml:space="preserve">no time does CDC have access to, </w:t>
      </w:r>
      <w:r w:rsidRPr="00691454" w:rsidR="0023773D">
        <w:t xml:space="preserve">or </w:t>
      </w:r>
      <w:r w:rsidR="0023773D">
        <w:t xml:space="preserve">will </w:t>
      </w:r>
      <w:r w:rsidRPr="00691454" w:rsidR="0023773D">
        <w:t>receive</w:t>
      </w:r>
      <w:r w:rsidR="0023773D">
        <w:t>,</w:t>
      </w:r>
      <w:r w:rsidRPr="00691454" w:rsidR="0023773D">
        <w:t xml:space="preserve"> potentially identifiable information. At no time </w:t>
      </w:r>
      <w:r w:rsidR="0023773D">
        <w:t>is</w:t>
      </w:r>
      <w:r w:rsidRPr="00691454" w:rsidR="0023773D">
        <w:t xml:space="preserve"> this information linked or linkable to </w:t>
      </w:r>
      <w:r w:rsidR="00FD10F2">
        <w:t>focus group</w:t>
      </w:r>
      <w:r w:rsidRPr="00691454" w:rsidR="00FD10F2">
        <w:t xml:space="preserve"> </w:t>
      </w:r>
      <w:r w:rsidRPr="00691454" w:rsidR="0023773D">
        <w:t>information.</w:t>
      </w:r>
      <w:r w:rsidR="0023773D">
        <w:t xml:space="preserve"> </w:t>
      </w:r>
    </w:p>
    <w:p w:rsidRPr="00302906" w:rsidR="0052566E" w:rsidP="00C86E91" w:rsidRDefault="0052566E" w14:paraId="41F5E0F2" w14:textId="77777777">
      <w:pPr>
        <w:pStyle w:val="ListParagraph"/>
        <w:ind w:left="0"/>
        <w:rPr>
          <w:b/>
        </w:rPr>
      </w:pPr>
    </w:p>
    <w:p w:rsidRPr="00302906" w:rsidR="00B46F2C" w:rsidP="00C86E91" w:rsidRDefault="003644A0" w14:paraId="10C37FC8" w14:textId="77777777">
      <w:pPr>
        <w:pStyle w:val="ListParagraph"/>
        <w:ind w:left="0"/>
        <w:rPr>
          <w:b/>
        </w:rPr>
      </w:pPr>
      <w:r w:rsidRPr="00A70864">
        <w:rPr>
          <w:b/>
        </w:rPr>
        <w:t>Incentives</w:t>
      </w:r>
    </w:p>
    <w:p w:rsidRPr="00302906" w:rsidR="001D0776" w:rsidRDefault="00B46F2C" w14:paraId="3709C34B" w14:textId="77777777">
      <w:r w:rsidRPr="00302906">
        <w:t xml:space="preserve">Is an incentive (e.g., money or reimbursement of expenses, token of appreciation) provided to participants?  [ </w:t>
      </w:r>
      <w:r w:rsidRPr="00302906" w:rsidR="0052566E">
        <w:t>X</w:t>
      </w:r>
      <w:r w:rsidRPr="00302906">
        <w:t xml:space="preserve"> ] Yes [  ] No</w:t>
      </w:r>
    </w:p>
    <w:p w:rsidRPr="00302906" w:rsidR="0052566E" w:rsidRDefault="0052566E" w14:paraId="0C95F176" w14:textId="77777777"/>
    <w:p w:rsidRPr="00C431CF" w:rsidR="00C431CF" w:rsidP="00C431CF" w:rsidRDefault="005455A6" w14:paraId="6F5CEDD8" w14:textId="305A02E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Each focus group </w:t>
      </w:r>
      <w:r w:rsidRPr="00302906">
        <w:t>participant will receive $</w:t>
      </w:r>
      <w:r>
        <w:t>75</w:t>
      </w:r>
      <w:r w:rsidR="00626EA9">
        <w:t xml:space="preserve"> incentive</w:t>
      </w:r>
      <w:r>
        <w:t>.</w:t>
      </w:r>
      <w:r w:rsidRPr="00302906">
        <w:t xml:space="preserve"> The amount of th</w:t>
      </w:r>
      <w:r>
        <w:t>is</w:t>
      </w:r>
      <w:r w:rsidRPr="00302906">
        <w:t xml:space="preserve"> </w:t>
      </w:r>
      <w:r>
        <w:t>incentive</w:t>
      </w:r>
      <w:r w:rsidRPr="00302906">
        <w:t xml:space="preserve"> align</w:t>
      </w:r>
      <w:r>
        <w:t>s</w:t>
      </w:r>
      <w:r w:rsidRPr="00302906">
        <w:t xml:space="preserve"> with the general limitations of the o</w:t>
      </w:r>
      <w:r w:rsidR="00C431CF">
        <w:t>verarching Generic ICR</w:t>
      </w:r>
      <w:r w:rsidRPr="00302906">
        <w:t xml:space="preserve">. Providing incentives to respondents is necessary to successfully recruit individuals for qualitative </w:t>
      </w:r>
      <w:r w:rsidR="00671FD3">
        <w:t>projects</w:t>
      </w:r>
      <w:r w:rsidRPr="00302906">
        <w:t xml:space="preserve"> conducted in person</w:t>
      </w:r>
      <w:r w:rsidR="00AC2A8C">
        <w:t>.</w:t>
      </w:r>
      <w:r>
        <w:rPr>
          <w:rStyle w:val="FootnoteReference"/>
        </w:rPr>
        <w:footnoteReference w:id="4"/>
      </w:r>
      <w:r w:rsidRPr="00302906">
        <w:t xml:space="preserve"> </w:t>
      </w:r>
      <w:r w:rsidR="005A1670">
        <w:t>L</w:t>
      </w:r>
      <w:r w:rsidRPr="00C431CF" w:rsidR="00C431CF">
        <w:t xml:space="preserve">iterature </w:t>
      </w:r>
      <w:r w:rsidR="00C431CF">
        <w:t xml:space="preserve">reveals </w:t>
      </w:r>
      <w:r w:rsidR="00E47EEA">
        <w:t>that</w:t>
      </w:r>
      <w:r w:rsidRPr="00C431CF" w:rsidR="00C431CF">
        <w:t xml:space="preserve"> the payment of incentives can provide significant advantages to the government in terms of direct cost savings and improved data quality.  It also should be noted that message testing is a marketing technique, and it is standard practice among commercial market researchers to offer incentives as part of respondent recruitment. </w:t>
      </w:r>
      <w:r w:rsidR="00626EA9">
        <w:t xml:space="preserve">In the event that the focus groups have to be conducted online due to the COVID-19 pandemic, we would still offer the $75 incentive. Since we are recruiting parents, who are facing increased challenges and </w:t>
      </w:r>
      <w:r w:rsidR="00626EA9">
        <w:lastRenderedPageBreak/>
        <w:t>demands for time and resources due to the pandemic, we feel that the incentive is warranted and necessary.</w:t>
      </w:r>
    </w:p>
    <w:p w:rsidR="003644A0" w:rsidP="00C86E91" w:rsidRDefault="003644A0" w14:paraId="41922401" w14:textId="77777777"/>
    <w:p w:rsidRPr="003644A0" w:rsidR="003644A0" w:rsidP="003644A0" w:rsidRDefault="003644A0" w14:paraId="1E7C1DF2" w14:textId="77777777">
      <w:pPr>
        <w:rPr>
          <w:b/>
        </w:rPr>
      </w:pPr>
      <w:r w:rsidRPr="00A70864">
        <w:rPr>
          <w:b/>
        </w:rPr>
        <w:t>Protection of the Privacy and Confidentiality of Information Provided by Respondents</w:t>
      </w:r>
    </w:p>
    <w:p w:rsidRPr="00302906" w:rsidR="00BB6003" w:rsidP="00BB6003" w:rsidRDefault="003644A0" w14:paraId="1A958FC1" w14:textId="77777777">
      <w:pPr>
        <w:pStyle w:val="ListParagraph"/>
        <w:ind w:left="0"/>
      </w:pPr>
      <w:r>
        <w:t>The NCIPC-CIO has determined that the Privacy</w:t>
      </w:r>
      <w:r w:rsidR="00BB6003">
        <w:t xml:space="preserve"> </w:t>
      </w:r>
      <w:r w:rsidR="00347B54">
        <w:t xml:space="preserve">Act does </w:t>
      </w:r>
      <w:r w:rsidR="00C431CF">
        <w:t xml:space="preserve">not </w:t>
      </w:r>
      <w:r w:rsidR="00347B54">
        <w:t>apply</w:t>
      </w:r>
      <w:r w:rsidR="00C431CF">
        <w:t>.</w:t>
      </w:r>
      <w:r w:rsidR="00347B54">
        <w:t xml:space="preserve"> </w:t>
      </w:r>
      <w:r w:rsidR="00BB6003">
        <w:t xml:space="preserve">Contact information including name, and address </w:t>
      </w:r>
      <w:r w:rsidRPr="00691454" w:rsidR="00BB6003">
        <w:t xml:space="preserve">of those respondents who wish to </w:t>
      </w:r>
      <w:r w:rsidR="00BB6003">
        <w:t xml:space="preserve">participate is secondary data already collected by a third-party vendor. </w:t>
      </w:r>
      <w:r w:rsidRPr="00BD0DCB" w:rsidR="00BB6003">
        <w:t xml:space="preserve">At no time will personal information be linked or linkable to </w:t>
      </w:r>
      <w:r w:rsidR="00BB6003">
        <w:t>focus group</w:t>
      </w:r>
      <w:r w:rsidRPr="00BD0DCB" w:rsidR="00BB6003">
        <w:t xml:space="preserve"> data. </w:t>
      </w:r>
      <w:r w:rsidR="00BB6003">
        <w:t xml:space="preserve">All identifiers will be stripped from the recordings and transcripts. </w:t>
      </w:r>
      <w:r w:rsidRPr="00691454" w:rsidR="00BB6003">
        <w:t xml:space="preserve">At </w:t>
      </w:r>
      <w:r w:rsidR="00BB6003">
        <w:t xml:space="preserve">no time does CDC have access to, </w:t>
      </w:r>
      <w:r w:rsidRPr="00691454" w:rsidR="00BB6003">
        <w:t xml:space="preserve">or </w:t>
      </w:r>
      <w:r w:rsidR="00BB6003">
        <w:t xml:space="preserve">will </w:t>
      </w:r>
      <w:r w:rsidRPr="00691454" w:rsidR="00BB6003">
        <w:t>receive</w:t>
      </w:r>
      <w:r w:rsidR="00BB6003">
        <w:t>,</w:t>
      </w:r>
      <w:r w:rsidRPr="00691454" w:rsidR="00BB6003">
        <w:t xml:space="preserve"> potentially identifiable information. At no time </w:t>
      </w:r>
      <w:r w:rsidR="00BB6003">
        <w:t>is</w:t>
      </w:r>
      <w:r w:rsidRPr="00691454" w:rsidR="00BB6003">
        <w:t xml:space="preserve"> this information linked or linkable to </w:t>
      </w:r>
      <w:r w:rsidR="00BB6003">
        <w:t>focus group</w:t>
      </w:r>
      <w:r w:rsidRPr="00691454" w:rsidR="00BB6003">
        <w:t xml:space="preserve"> information.</w:t>
      </w:r>
      <w:r w:rsidR="00BB6003">
        <w:t xml:space="preserve"> </w:t>
      </w:r>
    </w:p>
    <w:p w:rsidRPr="00302906" w:rsidR="00BB6003" w:rsidP="00BB6003" w:rsidRDefault="00BB6003" w14:paraId="76B8937C" w14:textId="77777777">
      <w:pPr>
        <w:pStyle w:val="ListParagraph"/>
        <w:ind w:left="0"/>
        <w:rPr>
          <w:b/>
        </w:rPr>
      </w:pPr>
    </w:p>
    <w:p w:rsidR="005455A6" w:rsidP="00C86E91" w:rsidRDefault="00347B54" w14:paraId="21FEFAFA" w14:textId="77777777">
      <w:r w:rsidRPr="001A4EAB">
        <w:t xml:space="preserve">All data will be reported in aggregate </w:t>
      </w:r>
      <w:r>
        <w:t>un</w:t>
      </w:r>
      <w:r w:rsidRPr="001A4EAB">
        <w:t>linked form. All procedures have been developed, in accordance with federal, state, and local guidelines, to ensure that the rights and privacy of respondents will be protected and maintained</w:t>
      </w:r>
      <w:r w:rsidR="00946E15">
        <w:t>.</w:t>
      </w:r>
    </w:p>
    <w:p w:rsidR="00B46F2C" w:rsidRDefault="00B46F2C" w14:paraId="4DEF1745" w14:textId="77777777">
      <w:pPr>
        <w:rPr>
          <w:b/>
          <w:bCs/>
          <w:u w:val="single"/>
        </w:rPr>
      </w:pPr>
    </w:p>
    <w:p w:rsidRPr="00302906" w:rsidR="00E12084" w:rsidP="00E12084" w:rsidRDefault="00E12084" w14:paraId="685C92B9" w14:textId="77777777">
      <w:pPr>
        <w:rPr>
          <w:i/>
        </w:rPr>
      </w:pPr>
      <w:r w:rsidRPr="00A70864">
        <w:rPr>
          <w:b/>
        </w:rPr>
        <w:t>BURDEN HOURS</w:t>
      </w:r>
      <w:r w:rsidRPr="00302906">
        <w:t xml:space="preserve"> </w:t>
      </w:r>
    </w:p>
    <w:p w:rsidRPr="00302906" w:rsidR="00E12084" w:rsidP="00E12084" w:rsidRDefault="00E12084" w14:paraId="4275A92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302906" w:rsidR="00E12084" w:rsidTr="00A2483C" w14:paraId="5E717FF5" w14:textId="77777777">
        <w:trPr>
          <w:trHeight w:val="274"/>
        </w:trPr>
        <w:tc>
          <w:tcPr>
            <w:tcW w:w="5418" w:type="dxa"/>
          </w:tcPr>
          <w:p w:rsidRPr="00302906" w:rsidR="00E12084" w:rsidP="00A2483C" w:rsidRDefault="00E12084" w14:paraId="36E85215" w14:textId="77777777">
            <w:pPr>
              <w:rPr>
                <w:b/>
              </w:rPr>
            </w:pPr>
            <w:r w:rsidRPr="00302906">
              <w:rPr>
                <w:b/>
              </w:rPr>
              <w:t xml:space="preserve">Category of Respondent </w:t>
            </w:r>
          </w:p>
        </w:tc>
        <w:tc>
          <w:tcPr>
            <w:tcW w:w="1530" w:type="dxa"/>
          </w:tcPr>
          <w:p w:rsidRPr="00302906" w:rsidR="00E12084" w:rsidP="00A2483C" w:rsidRDefault="00E12084" w14:paraId="09A1B996" w14:textId="77777777">
            <w:pPr>
              <w:rPr>
                <w:b/>
              </w:rPr>
            </w:pPr>
            <w:r w:rsidRPr="00302906">
              <w:rPr>
                <w:b/>
              </w:rPr>
              <w:t>No. of Respondents</w:t>
            </w:r>
          </w:p>
        </w:tc>
        <w:tc>
          <w:tcPr>
            <w:tcW w:w="1710" w:type="dxa"/>
          </w:tcPr>
          <w:p w:rsidRPr="00302906" w:rsidR="00E12084" w:rsidP="00A2483C" w:rsidRDefault="00E12084" w14:paraId="1C596DAF" w14:textId="77777777">
            <w:pPr>
              <w:rPr>
                <w:b/>
              </w:rPr>
            </w:pPr>
            <w:r w:rsidRPr="00302906">
              <w:rPr>
                <w:b/>
              </w:rPr>
              <w:t>Participation Time</w:t>
            </w:r>
            <w:r>
              <w:rPr>
                <w:b/>
              </w:rPr>
              <w:t xml:space="preserve"> (Hours)</w:t>
            </w:r>
          </w:p>
        </w:tc>
        <w:tc>
          <w:tcPr>
            <w:tcW w:w="1003" w:type="dxa"/>
          </w:tcPr>
          <w:p w:rsidRPr="00302906" w:rsidR="00E12084" w:rsidP="00A2483C" w:rsidRDefault="00E12084" w14:paraId="2DD1A346" w14:textId="77777777">
            <w:pPr>
              <w:rPr>
                <w:b/>
              </w:rPr>
            </w:pPr>
            <w:r w:rsidRPr="00302906">
              <w:rPr>
                <w:b/>
              </w:rPr>
              <w:t>Burden</w:t>
            </w:r>
          </w:p>
        </w:tc>
      </w:tr>
      <w:tr w:rsidRPr="00302906" w:rsidR="00E12084" w:rsidTr="00A2483C" w14:paraId="64916BC0" w14:textId="77777777">
        <w:trPr>
          <w:trHeight w:val="274"/>
        </w:trPr>
        <w:tc>
          <w:tcPr>
            <w:tcW w:w="5418" w:type="dxa"/>
          </w:tcPr>
          <w:p w:rsidRPr="00AA2408" w:rsidR="00E12084" w:rsidP="00A2483C" w:rsidRDefault="00E12084" w14:paraId="4346B771" w14:textId="3017F310">
            <w:r w:rsidRPr="00AA2408">
              <w:t xml:space="preserve">Individuals - Recruitment/Screening Phone Call </w:t>
            </w:r>
            <w:r w:rsidR="00AA2408">
              <w:br/>
            </w:r>
            <w:r w:rsidRPr="00AA2408">
              <w:t xml:space="preserve">(Att. </w:t>
            </w:r>
            <w:r w:rsidR="0087560F">
              <w:t>D</w:t>
            </w:r>
            <w:r w:rsidRPr="00AA2408">
              <w:t xml:space="preserve"> - Participant Screener)</w:t>
            </w:r>
          </w:p>
        </w:tc>
        <w:tc>
          <w:tcPr>
            <w:tcW w:w="1530" w:type="dxa"/>
          </w:tcPr>
          <w:p w:rsidRPr="00302906" w:rsidR="00E12084" w:rsidP="00A2483C" w:rsidRDefault="00E12084" w14:paraId="0AF830F0" w14:textId="77777777">
            <w:r>
              <w:t>300</w:t>
            </w:r>
          </w:p>
        </w:tc>
        <w:tc>
          <w:tcPr>
            <w:tcW w:w="1710" w:type="dxa"/>
          </w:tcPr>
          <w:p w:rsidRPr="00302906" w:rsidR="00E12084" w:rsidP="00A2483C" w:rsidRDefault="00E12084" w14:paraId="6E7A1438" w14:textId="77777777">
            <w:r>
              <w:t>5/60</w:t>
            </w:r>
          </w:p>
        </w:tc>
        <w:tc>
          <w:tcPr>
            <w:tcW w:w="1003" w:type="dxa"/>
          </w:tcPr>
          <w:p w:rsidRPr="00302906" w:rsidR="00E12084" w:rsidP="00A2483C" w:rsidRDefault="00E12084" w14:paraId="5C66888D" w14:textId="77777777">
            <w:r>
              <w:t>25</w:t>
            </w:r>
          </w:p>
        </w:tc>
      </w:tr>
      <w:tr w:rsidRPr="00302906" w:rsidR="00E12084" w:rsidTr="00A2483C" w14:paraId="255DC151" w14:textId="77777777">
        <w:trPr>
          <w:trHeight w:val="274"/>
        </w:trPr>
        <w:tc>
          <w:tcPr>
            <w:tcW w:w="5418" w:type="dxa"/>
          </w:tcPr>
          <w:p w:rsidRPr="00AA2408" w:rsidR="00E12084" w:rsidP="00A2483C" w:rsidRDefault="00E12084" w14:paraId="1B39C6BA" w14:textId="2BA02AFF">
            <w:r w:rsidRPr="00AA2408">
              <w:t xml:space="preserve">Individuals – Focus Group Moderator Guide </w:t>
            </w:r>
            <w:r w:rsidR="00886C36">
              <w:t>and Consent Form</w:t>
            </w:r>
            <w:r w:rsidR="00AA2408">
              <w:br/>
            </w:r>
            <w:r w:rsidRPr="00AA2408">
              <w:t xml:space="preserve">(Att. </w:t>
            </w:r>
            <w:r w:rsidR="00886C36">
              <w:t xml:space="preserve">E, </w:t>
            </w:r>
            <w:r w:rsidR="0087560F">
              <w:t>F</w:t>
            </w:r>
            <w:bookmarkStart w:name="_GoBack" w:id="0"/>
            <w:bookmarkEnd w:id="0"/>
            <w:r w:rsidRPr="00AA2408">
              <w:t>)</w:t>
            </w:r>
          </w:p>
        </w:tc>
        <w:tc>
          <w:tcPr>
            <w:tcW w:w="1530" w:type="dxa"/>
          </w:tcPr>
          <w:p w:rsidRPr="00302906" w:rsidR="00E12084" w:rsidP="00A2483C" w:rsidRDefault="00E12084" w14:paraId="128998E0" w14:textId="77777777">
            <w:r>
              <w:t>36</w:t>
            </w:r>
          </w:p>
        </w:tc>
        <w:tc>
          <w:tcPr>
            <w:tcW w:w="1710" w:type="dxa"/>
          </w:tcPr>
          <w:p w:rsidRPr="00302906" w:rsidR="00E12084" w:rsidP="00A2483C" w:rsidRDefault="00886C36" w14:paraId="43BA91E8" w14:textId="136457CF">
            <w:r>
              <w:t>2.25 ho</w:t>
            </w:r>
            <w:r w:rsidR="00CC6F61">
              <w:t>urs</w:t>
            </w:r>
          </w:p>
        </w:tc>
        <w:tc>
          <w:tcPr>
            <w:tcW w:w="1003" w:type="dxa"/>
          </w:tcPr>
          <w:p w:rsidRPr="00302906" w:rsidR="00E12084" w:rsidP="00A2483C" w:rsidRDefault="00A84914" w14:paraId="677C4486" w14:textId="4BE1B0D1">
            <w:r>
              <w:t>81</w:t>
            </w:r>
          </w:p>
        </w:tc>
      </w:tr>
      <w:tr w:rsidRPr="00302906" w:rsidR="00E12084" w:rsidTr="00A2483C" w14:paraId="2FF880AF" w14:textId="77777777">
        <w:trPr>
          <w:trHeight w:val="289"/>
        </w:trPr>
        <w:tc>
          <w:tcPr>
            <w:tcW w:w="5418" w:type="dxa"/>
          </w:tcPr>
          <w:p w:rsidRPr="00AA2408" w:rsidR="00E12084" w:rsidP="00A2483C" w:rsidRDefault="00E12084" w14:paraId="18CE04D7" w14:textId="77777777">
            <w:pPr>
              <w:rPr>
                <w:b/>
              </w:rPr>
            </w:pPr>
            <w:r w:rsidRPr="00AA2408">
              <w:rPr>
                <w:b/>
              </w:rPr>
              <w:t>Totals</w:t>
            </w:r>
          </w:p>
        </w:tc>
        <w:tc>
          <w:tcPr>
            <w:tcW w:w="1530" w:type="dxa"/>
          </w:tcPr>
          <w:p w:rsidRPr="00302906" w:rsidR="00E12084" w:rsidP="00A2483C" w:rsidRDefault="00CC6F61" w14:paraId="329C595D" w14:textId="0F42760B">
            <w:pPr>
              <w:rPr>
                <w:b/>
              </w:rPr>
            </w:pPr>
            <w:r>
              <w:rPr>
                <w:b/>
              </w:rPr>
              <w:t>3</w:t>
            </w:r>
            <w:r w:rsidR="000B1F47">
              <w:rPr>
                <w:b/>
              </w:rPr>
              <w:t>36</w:t>
            </w:r>
          </w:p>
        </w:tc>
        <w:tc>
          <w:tcPr>
            <w:tcW w:w="1710" w:type="dxa"/>
          </w:tcPr>
          <w:p w:rsidRPr="00302906" w:rsidR="00E12084" w:rsidP="00A2483C" w:rsidRDefault="00E12084" w14:paraId="331D1389" w14:textId="208F3F65"/>
        </w:tc>
        <w:tc>
          <w:tcPr>
            <w:tcW w:w="1003" w:type="dxa"/>
          </w:tcPr>
          <w:p w:rsidRPr="00302906" w:rsidR="00E12084" w:rsidP="00A2483C" w:rsidRDefault="00CC6F61" w14:paraId="7D8344EF" w14:textId="134AC0D0">
            <w:pPr>
              <w:rPr>
                <w:b/>
              </w:rPr>
            </w:pPr>
            <w:r>
              <w:rPr>
                <w:b/>
              </w:rPr>
              <w:t>106</w:t>
            </w:r>
          </w:p>
        </w:tc>
      </w:tr>
    </w:tbl>
    <w:p w:rsidRPr="00302906" w:rsidR="00E12084" w:rsidP="00E12084" w:rsidRDefault="00E12084" w14:paraId="6B6D76CA" w14:textId="77777777"/>
    <w:p w:rsidRPr="00302906" w:rsidR="00DF6E36" w:rsidRDefault="00DF6E36" w14:paraId="455D3586" w14:textId="5796F580">
      <w:pPr>
        <w:rPr>
          <w:b/>
          <w:bCs/>
          <w:u w:val="single"/>
        </w:rPr>
      </w:pPr>
    </w:p>
    <w:sectPr w:rsidRPr="00302906" w:rsidR="00DF6E36"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5F93B" w14:textId="77777777" w:rsidR="003944B4" w:rsidRDefault="003944B4">
      <w:r>
        <w:separator/>
      </w:r>
    </w:p>
  </w:endnote>
  <w:endnote w:type="continuationSeparator" w:id="0">
    <w:p w14:paraId="02EA998A" w14:textId="77777777" w:rsidR="003944B4" w:rsidRDefault="003944B4">
      <w:r>
        <w:continuationSeparator/>
      </w:r>
    </w:p>
  </w:endnote>
  <w:endnote w:type="continuationNotice" w:id="1">
    <w:p w14:paraId="1166B29B" w14:textId="77777777" w:rsidR="003944B4" w:rsidRDefault="00394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A3F37" w14:textId="77777777" w:rsidR="00F11C9A" w:rsidRDefault="00F11C9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4565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7ACBA" w14:textId="77777777" w:rsidR="003944B4" w:rsidRDefault="003944B4">
      <w:r>
        <w:separator/>
      </w:r>
    </w:p>
  </w:footnote>
  <w:footnote w:type="continuationSeparator" w:id="0">
    <w:p w14:paraId="6EDDB60A" w14:textId="77777777" w:rsidR="003944B4" w:rsidRDefault="003944B4">
      <w:r>
        <w:continuationSeparator/>
      </w:r>
    </w:p>
  </w:footnote>
  <w:footnote w:type="continuationNotice" w:id="1">
    <w:p w14:paraId="1AC5B79D" w14:textId="77777777" w:rsidR="003944B4" w:rsidRDefault="003944B4"/>
  </w:footnote>
  <w:footnote w:id="2">
    <w:p w14:paraId="2F3921D4" w14:textId="77777777" w:rsidR="000D5AA0" w:rsidRDefault="000D5AA0">
      <w:pPr>
        <w:pStyle w:val="FootnoteText"/>
      </w:pPr>
      <w:r>
        <w:rPr>
          <w:rStyle w:val="FootnoteReference"/>
        </w:rPr>
        <w:footnoteRef/>
      </w:r>
      <w:r>
        <w:t xml:space="preserve"> </w:t>
      </w:r>
      <w:r w:rsidRPr="006F071F">
        <w:rPr>
          <w:rStyle w:val="A5"/>
          <w:sz w:val="16"/>
          <w:szCs w:val="16"/>
        </w:rPr>
        <w:t xml:space="preserve">Centers for Disease Control and Prevention. Youth risk behavior surveillance—United States, 2017. MMWR, Surveillance Summaries 2018;67(8). Available from </w:t>
      </w:r>
      <w:hyperlink r:id="rId1" w:history="1">
        <w:r w:rsidRPr="00AD19AA">
          <w:rPr>
            <w:rStyle w:val="Hyperlink"/>
            <w:rFonts w:ascii="Calibri" w:eastAsiaTheme="majorEastAsia" w:hAnsi="Calibri"/>
            <w:sz w:val="16"/>
            <w:szCs w:val="16"/>
          </w:rPr>
          <w:t>https://www.cdc.gov/healthyyouth/data/yrbs/pdf/2017/ss6708.pdf</w:t>
        </w:r>
      </w:hyperlink>
      <w:r>
        <w:rPr>
          <w:rStyle w:val="A5"/>
          <w:sz w:val="16"/>
          <w:szCs w:val="16"/>
        </w:rPr>
        <w:t xml:space="preserve"> </w:t>
      </w:r>
      <w:r w:rsidRPr="006C603F">
        <w:rPr>
          <w:rStyle w:val="A5"/>
          <w:sz w:val="16"/>
          <w:szCs w:val="16"/>
        </w:rPr>
        <w:t xml:space="preserve">. </w:t>
      </w:r>
      <w:r>
        <w:rPr>
          <w:rStyle w:val="A5"/>
          <w:sz w:val="16"/>
          <w:szCs w:val="16"/>
        </w:rPr>
        <w:t xml:space="preserve"> </w:t>
      </w:r>
    </w:p>
  </w:footnote>
  <w:footnote w:id="3">
    <w:p w14:paraId="3DD38EF8" w14:textId="77777777" w:rsidR="000D5AA0" w:rsidRDefault="000D5AA0">
      <w:pPr>
        <w:pStyle w:val="FootnoteText"/>
      </w:pPr>
      <w:r>
        <w:rPr>
          <w:rStyle w:val="FootnoteReference"/>
        </w:rPr>
        <w:footnoteRef/>
      </w:r>
      <w:r>
        <w:t xml:space="preserve"> </w:t>
      </w:r>
      <w:r w:rsidRPr="006F071F">
        <w:rPr>
          <w:sz w:val="16"/>
          <w:szCs w:val="16"/>
        </w:rPr>
        <w:t xml:space="preserve">U.S. Census Bureau. (2019 Aug 20). Facts for Features: Hispanic Heritage Month 2019 (Release Number CB19-FF.07). Available from </w:t>
      </w:r>
      <w:hyperlink r:id="rId2" w:history="1">
        <w:r w:rsidRPr="006F071F">
          <w:rPr>
            <w:rStyle w:val="Hyperlink"/>
            <w:rFonts w:ascii="Calibri" w:eastAsiaTheme="majorEastAsia" w:hAnsi="Calibri" w:cs="Calibri"/>
            <w:sz w:val="16"/>
            <w:szCs w:val="16"/>
          </w:rPr>
          <w:t>https://www.census.gov/newsroom/facts-for-features/2019/hispanic-heritage-month.html</w:t>
        </w:r>
      </w:hyperlink>
      <w:r w:rsidRPr="006F071F">
        <w:rPr>
          <w:sz w:val="16"/>
          <w:szCs w:val="16"/>
        </w:rPr>
        <w:t>.</w:t>
      </w:r>
    </w:p>
  </w:footnote>
  <w:footnote w:id="4">
    <w:p w14:paraId="78208879" w14:textId="539464A4" w:rsidR="005455A6" w:rsidRPr="00C1668C" w:rsidRDefault="005455A6" w:rsidP="005455A6">
      <w:pPr>
        <w:pStyle w:val="FootnoteText"/>
        <w:rPr>
          <w:sz w:val="16"/>
          <w:szCs w:val="16"/>
        </w:rPr>
      </w:pPr>
      <w:r w:rsidRPr="00C1668C">
        <w:rPr>
          <w:rStyle w:val="FootnoteReference"/>
          <w:sz w:val="16"/>
          <w:szCs w:val="16"/>
        </w:rPr>
        <w:footnoteRef/>
      </w:r>
      <w:r w:rsidRPr="00C1668C">
        <w:rPr>
          <w:sz w:val="16"/>
          <w:szCs w:val="16"/>
        </w:rPr>
        <w:t xml:space="preserve"> National Cancer Institute. (2001)</w:t>
      </w:r>
      <w:r w:rsidRPr="00C1668C">
        <w:rPr>
          <w:i/>
          <w:iCs/>
          <w:sz w:val="16"/>
          <w:szCs w:val="16"/>
        </w:rPr>
        <w:t xml:space="preserve"> Making Health Communication Programs Work</w:t>
      </w:r>
      <w:r w:rsidRPr="00C1668C">
        <w:rPr>
          <w:sz w:val="16"/>
          <w:szCs w:val="16"/>
        </w:rPr>
        <w:t xml:space="preserve">, </w:t>
      </w:r>
      <w:hyperlink r:id="rId3" w:history="1">
        <w:r w:rsidRPr="00C1668C">
          <w:rPr>
            <w:rStyle w:val="Hyperlink"/>
            <w:sz w:val="16"/>
            <w:szCs w:val="16"/>
          </w:rPr>
          <w:t>http://www.cancer.gov/cancertopics/cancerlibrary/pinkbook/Pink_Book.pdf</w:t>
        </w:r>
      </w:hyperlink>
      <w:r w:rsidR="005A1670">
        <w:rPr>
          <w:rStyle w:val="Hyperlink"/>
          <w:sz w:val="16"/>
          <w:szCs w:val="16"/>
        </w:rPr>
        <w:t xml:space="preserve">; and </w:t>
      </w:r>
      <w:r w:rsidR="005A1670" w:rsidRPr="00C1668C">
        <w:rPr>
          <w:sz w:val="16"/>
          <w:szCs w:val="16"/>
        </w:rPr>
        <w:t>Krueger, RA and Casey, MA. (2008). </w:t>
      </w:r>
      <w:r w:rsidR="005A1670" w:rsidRPr="00C1668C">
        <w:rPr>
          <w:i/>
          <w:iCs/>
          <w:sz w:val="16"/>
          <w:szCs w:val="16"/>
        </w:rPr>
        <w:t>Focus Groups: A Practical Guide for Applied Research, 4</w:t>
      </w:r>
      <w:r w:rsidR="005A1670" w:rsidRPr="00C1668C">
        <w:rPr>
          <w:i/>
          <w:iCs/>
          <w:sz w:val="16"/>
          <w:szCs w:val="16"/>
          <w:vertAlign w:val="superscript"/>
        </w:rPr>
        <w:t>th</w:t>
      </w:r>
      <w:r w:rsidR="005A1670" w:rsidRPr="00C1668C">
        <w:rPr>
          <w:i/>
          <w:iCs/>
          <w:sz w:val="16"/>
          <w:szCs w:val="16"/>
        </w:rPr>
        <w:t xml:space="preserve"> ed</w:t>
      </w:r>
      <w:r w:rsidR="005A1670" w:rsidRPr="00C1668C">
        <w:rPr>
          <w:sz w:val="16"/>
          <w:szCs w:val="16"/>
        </w:rPr>
        <w:t>.  Sage Publications, Inc., Thousand Oaks, 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547ECB"/>
    <w:multiLevelType w:val="hybridMultilevel"/>
    <w:tmpl w:val="EAB25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73086"/>
    <w:multiLevelType w:val="hybridMultilevel"/>
    <w:tmpl w:val="E134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54ED3"/>
    <w:multiLevelType w:val="hybridMultilevel"/>
    <w:tmpl w:val="8C58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A846A62"/>
    <w:multiLevelType w:val="hybridMultilevel"/>
    <w:tmpl w:val="B19C60F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E286E"/>
    <w:multiLevelType w:val="hybridMultilevel"/>
    <w:tmpl w:val="785E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B055F4"/>
    <w:multiLevelType w:val="hybridMultilevel"/>
    <w:tmpl w:val="DEE8EECA"/>
    <w:lvl w:ilvl="0" w:tplc="BC963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D48FA"/>
    <w:multiLevelType w:val="hybridMultilevel"/>
    <w:tmpl w:val="E800D500"/>
    <w:lvl w:ilvl="0" w:tplc="896A20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1D4AFB"/>
    <w:multiLevelType w:val="hybridMultilevel"/>
    <w:tmpl w:val="353484A2"/>
    <w:lvl w:ilvl="0" w:tplc="E0360D3A">
      <w:start w:val="1"/>
      <w:numFmt w:val="upperLetter"/>
      <w:pStyle w:val="TOC1"/>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36B3F8B"/>
    <w:multiLevelType w:val="hybridMultilevel"/>
    <w:tmpl w:val="1BB40BD8"/>
    <w:lvl w:ilvl="0" w:tplc="7C80B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90535D"/>
    <w:multiLevelType w:val="hybridMultilevel"/>
    <w:tmpl w:val="9114142C"/>
    <w:lvl w:ilvl="0" w:tplc="69985064">
      <w:start w:val="10"/>
      <w:numFmt w:val="bullet"/>
      <w:lvlText w:val="•"/>
      <w:lvlJc w:val="left"/>
      <w:pPr>
        <w:ind w:left="3405" w:hanging="3045"/>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15:restartNumberingAfterBreak="0">
    <w:nsid w:val="6E201BB1"/>
    <w:multiLevelType w:val="hybridMultilevel"/>
    <w:tmpl w:val="20E0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5656FF4"/>
    <w:multiLevelType w:val="hybridMultilevel"/>
    <w:tmpl w:val="D5C2FD14"/>
    <w:lvl w:ilvl="0" w:tplc="5FA00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DE7373"/>
    <w:multiLevelType w:val="hybridMultilevel"/>
    <w:tmpl w:val="87E84890"/>
    <w:lvl w:ilvl="0" w:tplc="70FE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9"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B15EA"/>
    <w:multiLevelType w:val="hybridMultilevel"/>
    <w:tmpl w:val="C10ED538"/>
    <w:lvl w:ilvl="0" w:tplc="205E0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9"/>
  </w:num>
  <w:num w:numId="3">
    <w:abstractNumId w:val="28"/>
  </w:num>
  <w:num w:numId="4">
    <w:abstractNumId w:val="30"/>
  </w:num>
  <w:num w:numId="5">
    <w:abstractNumId w:val="6"/>
  </w:num>
  <w:num w:numId="6">
    <w:abstractNumId w:val="2"/>
  </w:num>
  <w:num w:numId="7">
    <w:abstractNumId w:val="15"/>
  </w:num>
  <w:num w:numId="8">
    <w:abstractNumId w:val="23"/>
  </w:num>
  <w:num w:numId="9">
    <w:abstractNumId w:val="16"/>
  </w:num>
  <w:num w:numId="10">
    <w:abstractNumId w:val="3"/>
  </w:num>
  <w:num w:numId="11">
    <w:abstractNumId w:val="10"/>
  </w:num>
  <w:num w:numId="12">
    <w:abstractNumId w:val="12"/>
  </w:num>
  <w:num w:numId="13">
    <w:abstractNumId w:val="0"/>
  </w:num>
  <w:num w:numId="14">
    <w:abstractNumId w:val="25"/>
  </w:num>
  <w:num w:numId="15">
    <w:abstractNumId w:val="22"/>
  </w:num>
  <w:num w:numId="16">
    <w:abstractNumId w:val="19"/>
  </w:num>
  <w:num w:numId="17">
    <w:abstractNumId w:val="7"/>
  </w:num>
  <w:num w:numId="18">
    <w:abstractNumId w:val="8"/>
  </w:num>
  <w:num w:numId="19">
    <w:abstractNumId w:val="11"/>
  </w:num>
  <w:num w:numId="20">
    <w:abstractNumId w:val="21"/>
  </w:num>
  <w:num w:numId="21">
    <w:abstractNumId w:val="31"/>
  </w:num>
  <w:num w:numId="22">
    <w:abstractNumId w:val="27"/>
  </w:num>
  <w:num w:numId="23">
    <w:abstractNumId w:val="20"/>
  </w:num>
  <w:num w:numId="24">
    <w:abstractNumId w:val="13"/>
  </w:num>
  <w:num w:numId="25">
    <w:abstractNumId w:val="26"/>
  </w:num>
  <w:num w:numId="26">
    <w:abstractNumId w:val="5"/>
  </w:num>
  <w:num w:numId="27">
    <w:abstractNumId w:val="14"/>
  </w:num>
  <w:num w:numId="28">
    <w:abstractNumId w:val="18"/>
  </w:num>
  <w:num w:numId="29">
    <w:abstractNumId w:val="9"/>
  </w:num>
  <w:num w:numId="30">
    <w:abstractNumId w:val="1"/>
  </w:num>
  <w:num w:numId="31">
    <w:abstractNumId w:val="2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BFA"/>
    <w:rsid w:val="000048E8"/>
    <w:rsid w:val="00007D70"/>
    <w:rsid w:val="00023A57"/>
    <w:rsid w:val="0002797D"/>
    <w:rsid w:val="00040DA6"/>
    <w:rsid w:val="00047A64"/>
    <w:rsid w:val="00053D2C"/>
    <w:rsid w:val="00067329"/>
    <w:rsid w:val="00095214"/>
    <w:rsid w:val="00097CA2"/>
    <w:rsid w:val="000A3CA6"/>
    <w:rsid w:val="000A757F"/>
    <w:rsid w:val="000B00AF"/>
    <w:rsid w:val="000B1F47"/>
    <w:rsid w:val="000B2838"/>
    <w:rsid w:val="000B3B9D"/>
    <w:rsid w:val="000B4C75"/>
    <w:rsid w:val="000B6277"/>
    <w:rsid w:val="000D44CA"/>
    <w:rsid w:val="000D5AA0"/>
    <w:rsid w:val="000E200B"/>
    <w:rsid w:val="000F68BE"/>
    <w:rsid w:val="000F7BAB"/>
    <w:rsid w:val="00120229"/>
    <w:rsid w:val="001310A7"/>
    <w:rsid w:val="00132DD4"/>
    <w:rsid w:val="00154469"/>
    <w:rsid w:val="001772D6"/>
    <w:rsid w:val="001927A4"/>
    <w:rsid w:val="00194AC6"/>
    <w:rsid w:val="001A23B0"/>
    <w:rsid w:val="001A25CC"/>
    <w:rsid w:val="001B0AAA"/>
    <w:rsid w:val="001B1CC7"/>
    <w:rsid w:val="001B451B"/>
    <w:rsid w:val="001C31D9"/>
    <w:rsid w:val="001C39F7"/>
    <w:rsid w:val="001C3E6E"/>
    <w:rsid w:val="001D0776"/>
    <w:rsid w:val="001D62AE"/>
    <w:rsid w:val="001F042B"/>
    <w:rsid w:val="002046F7"/>
    <w:rsid w:val="00214928"/>
    <w:rsid w:val="002279F2"/>
    <w:rsid w:val="0023773D"/>
    <w:rsid w:val="00237B48"/>
    <w:rsid w:val="0024521E"/>
    <w:rsid w:val="00263C3D"/>
    <w:rsid w:val="00264772"/>
    <w:rsid w:val="00267DB1"/>
    <w:rsid w:val="00274D0B"/>
    <w:rsid w:val="00280CD3"/>
    <w:rsid w:val="002821FF"/>
    <w:rsid w:val="00293B77"/>
    <w:rsid w:val="002A227A"/>
    <w:rsid w:val="002B1D93"/>
    <w:rsid w:val="002B3C95"/>
    <w:rsid w:val="002C41AB"/>
    <w:rsid w:val="002C4727"/>
    <w:rsid w:val="002D0B92"/>
    <w:rsid w:val="002D7D9B"/>
    <w:rsid w:val="00302906"/>
    <w:rsid w:val="003271C3"/>
    <w:rsid w:val="00345D4B"/>
    <w:rsid w:val="00347B54"/>
    <w:rsid w:val="00354BC7"/>
    <w:rsid w:val="00357144"/>
    <w:rsid w:val="00363AB0"/>
    <w:rsid w:val="003644A0"/>
    <w:rsid w:val="003675DB"/>
    <w:rsid w:val="0037393B"/>
    <w:rsid w:val="00390C18"/>
    <w:rsid w:val="003944B4"/>
    <w:rsid w:val="003C2579"/>
    <w:rsid w:val="003D3775"/>
    <w:rsid w:val="003D5BBE"/>
    <w:rsid w:val="003D7257"/>
    <w:rsid w:val="003D74C6"/>
    <w:rsid w:val="003E3C61"/>
    <w:rsid w:val="003F1C5B"/>
    <w:rsid w:val="00400B1E"/>
    <w:rsid w:val="0041337D"/>
    <w:rsid w:val="00422EE9"/>
    <w:rsid w:val="00434E33"/>
    <w:rsid w:val="00441434"/>
    <w:rsid w:val="004439ED"/>
    <w:rsid w:val="0045264C"/>
    <w:rsid w:val="004572EE"/>
    <w:rsid w:val="00464535"/>
    <w:rsid w:val="00472252"/>
    <w:rsid w:val="004876EC"/>
    <w:rsid w:val="004B337A"/>
    <w:rsid w:val="004B7FF0"/>
    <w:rsid w:val="004C4AF7"/>
    <w:rsid w:val="004D6E14"/>
    <w:rsid w:val="004F3461"/>
    <w:rsid w:val="005009B0"/>
    <w:rsid w:val="00512CA7"/>
    <w:rsid w:val="0052566E"/>
    <w:rsid w:val="0052601B"/>
    <w:rsid w:val="005278BE"/>
    <w:rsid w:val="005311EC"/>
    <w:rsid w:val="00532B89"/>
    <w:rsid w:val="005455A6"/>
    <w:rsid w:val="005515E9"/>
    <w:rsid w:val="00552524"/>
    <w:rsid w:val="005634CA"/>
    <w:rsid w:val="0059705B"/>
    <w:rsid w:val="005A1006"/>
    <w:rsid w:val="005A1670"/>
    <w:rsid w:val="005C35E0"/>
    <w:rsid w:val="005D3296"/>
    <w:rsid w:val="005D71FF"/>
    <w:rsid w:val="005D7737"/>
    <w:rsid w:val="005E067E"/>
    <w:rsid w:val="005E714A"/>
    <w:rsid w:val="00602CF7"/>
    <w:rsid w:val="006140A0"/>
    <w:rsid w:val="00626EA9"/>
    <w:rsid w:val="00636621"/>
    <w:rsid w:val="00642B49"/>
    <w:rsid w:val="00642B7F"/>
    <w:rsid w:val="00650BCB"/>
    <w:rsid w:val="00671CC1"/>
    <w:rsid w:val="00671FD3"/>
    <w:rsid w:val="006774B8"/>
    <w:rsid w:val="006832D9"/>
    <w:rsid w:val="0069403B"/>
    <w:rsid w:val="006956FB"/>
    <w:rsid w:val="006B7F59"/>
    <w:rsid w:val="006C075A"/>
    <w:rsid w:val="006C165C"/>
    <w:rsid w:val="006C6212"/>
    <w:rsid w:val="006D5FAC"/>
    <w:rsid w:val="006E12B5"/>
    <w:rsid w:val="006F3DDE"/>
    <w:rsid w:val="006F73F1"/>
    <w:rsid w:val="00704678"/>
    <w:rsid w:val="00716A0C"/>
    <w:rsid w:val="00720517"/>
    <w:rsid w:val="00725940"/>
    <w:rsid w:val="00734B71"/>
    <w:rsid w:val="00735905"/>
    <w:rsid w:val="00735CD4"/>
    <w:rsid w:val="007407A2"/>
    <w:rsid w:val="007425E7"/>
    <w:rsid w:val="0074684C"/>
    <w:rsid w:val="0075154F"/>
    <w:rsid w:val="007526BB"/>
    <w:rsid w:val="007537F5"/>
    <w:rsid w:val="007608A0"/>
    <w:rsid w:val="007672F5"/>
    <w:rsid w:val="007851F6"/>
    <w:rsid w:val="007A00C3"/>
    <w:rsid w:val="007A4766"/>
    <w:rsid w:val="007A7B57"/>
    <w:rsid w:val="007B1C51"/>
    <w:rsid w:val="007C1A3A"/>
    <w:rsid w:val="007D022D"/>
    <w:rsid w:val="007D5494"/>
    <w:rsid w:val="007E204C"/>
    <w:rsid w:val="007F2DE3"/>
    <w:rsid w:val="00800EB1"/>
    <w:rsid w:val="00802607"/>
    <w:rsid w:val="008101A5"/>
    <w:rsid w:val="00816B24"/>
    <w:rsid w:val="00821533"/>
    <w:rsid w:val="00822664"/>
    <w:rsid w:val="00840FCA"/>
    <w:rsid w:val="00843796"/>
    <w:rsid w:val="00854037"/>
    <w:rsid w:val="00857D96"/>
    <w:rsid w:val="0087560F"/>
    <w:rsid w:val="00886C36"/>
    <w:rsid w:val="00895229"/>
    <w:rsid w:val="008B0F2F"/>
    <w:rsid w:val="008C28D7"/>
    <w:rsid w:val="008D5371"/>
    <w:rsid w:val="008E0CDC"/>
    <w:rsid w:val="008E45F3"/>
    <w:rsid w:val="008E4BA3"/>
    <w:rsid w:val="008E57E6"/>
    <w:rsid w:val="008F0203"/>
    <w:rsid w:val="008F50D4"/>
    <w:rsid w:val="009034EB"/>
    <w:rsid w:val="00914711"/>
    <w:rsid w:val="00922EE3"/>
    <w:rsid w:val="009239AA"/>
    <w:rsid w:val="00935ADA"/>
    <w:rsid w:val="00946B6C"/>
    <w:rsid w:val="00946E15"/>
    <w:rsid w:val="009470E7"/>
    <w:rsid w:val="00955A71"/>
    <w:rsid w:val="00957123"/>
    <w:rsid w:val="0096108F"/>
    <w:rsid w:val="00976D62"/>
    <w:rsid w:val="00997E86"/>
    <w:rsid w:val="009B4ECB"/>
    <w:rsid w:val="009C13B9"/>
    <w:rsid w:val="009D01A2"/>
    <w:rsid w:val="009E5D74"/>
    <w:rsid w:val="009F40D8"/>
    <w:rsid w:val="009F4DDF"/>
    <w:rsid w:val="009F5923"/>
    <w:rsid w:val="009F66BB"/>
    <w:rsid w:val="00A0569F"/>
    <w:rsid w:val="00A071AD"/>
    <w:rsid w:val="00A11BD0"/>
    <w:rsid w:val="00A15183"/>
    <w:rsid w:val="00A214FA"/>
    <w:rsid w:val="00A22825"/>
    <w:rsid w:val="00A22B03"/>
    <w:rsid w:val="00A403BB"/>
    <w:rsid w:val="00A41A7B"/>
    <w:rsid w:val="00A43543"/>
    <w:rsid w:val="00A5348A"/>
    <w:rsid w:val="00A56487"/>
    <w:rsid w:val="00A57A61"/>
    <w:rsid w:val="00A674DF"/>
    <w:rsid w:val="00A70864"/>
    <w:rsid w:val="00A83879"/>
    <w:rsid w:val="00A83AA6"/>
    <w:rsid w:val="00A84914"/>
    <w:rsid w:val="00A86A3C"/>
    <w:rsid w:val="00A95188"/>
    <w:rsid w:val="00A96C15"/>
    <w:rsid w:val="00AA0718"/>
    <w:rsid w:val="00AA2408"/>
    <w:rsid w:val="00AA2E67"/>
    <w:rsid w:val="00AA70D6"/>
    <w:rsid w:val="00AB7305"/>
    <w:rsid w:val="00AC2A8C"/>
    <w:rsid w:val="00AD0641"/>
    <w:rsid w:val="00AE1809"/>
    <w:rsid w:val="00AE6FDF"/>
    <w:rsid w:val="00B00E7F"/>
    <w:rsid w:val="00B21E1C"/>
    <w:rsid w:val="00B25451"/>
    <w:rsid w:val="00B4565F"/>
    <w:rsid w:val="00B46F2C"/>
    <w:rsid w:val="00B51C38"/>
    <w:rsid w:val="00B54A22"/>
    <w:rsid w:val="00B55002"/>
    <w:rsid w:val="00B80D76"/>
    <w:rsid w:val="00BA0886"/>
    <w:rsid w:val="00BA2105"/>
    <w:rsid w:val="00BA7E06"/>
    <w:rsid w:val="00BA7EE5"/>
    <w:rsid w:val="00BB43B5"/>
    <w:rsid w:val="00BB6003"/>
    <w:rsid w:val="00BB6219"/>
    <w:rsid w:val="00BB6DB1"/>
    <w:rsid w:val="00BC2711"/>
    <w:rsid w:val="00BD290F"/>
    <w:rsid w:val="00BE3495"/>
    <w:rsid w:val="00BE400E"/>
    <w:rsid w:val="00C14CC4"/>
    <w:rsid w:val="00C1668C"/>
    <w:rsid w:val="00C33C52"/>
    <w:rsid w:val="00C40D8B"/>
    <w:rsid w:val="00C431CF"/>
    <w:rsid w:val="00C47E82"/>
    <w:rsid w:val="00C5017B"/>
    <w:rsid w:val="00C54F2E"/>
    <w:rsid w:val="00C625D6"/>
    <w:rsid w:val="00C7484C"/>
    <w:rsid w:val="00C76CA6"/>
    <w:rsid w:val="00C776F1"/>
    <w:rsid w:val="00C77AE7"/>
    <w:rsid w:val="00C80AD9"/>
    <w:rsid w:val="00C811A6"/>
    <w:rsid w:val="00C82967"/>
    <w:rsid w:val="00C8407A"/>
    <w:rsid w:val="00C8488C"/>
    <w:rsid w:val="00C85EE5"/>
    <w:rsid w:val="00C86319"/>
    <w:rsid w:val="00C86E91"/>
    <w:rsid w:val="00C87D82"/>
    <w:rsid w:val="00C916B2"/>
    <w:rsid w:val="00C956E6"/>
    <w:rsid w:val="00C9674F"/>
    <w:rsid w:val="00CA2650"/>
    <w:rsid w:val="00CB1078"/>
    <w:rsid w:val="00CC0BFD"/>
    <w:rsid w:val="00CC6F61"/>
    <w:rsid w:val="00CC6FAF"/>
    <w:rsid w:val="00CD3849"/>
    <w:rsid w:val="00CD799B"/>
    <w:rsid w:val="00CF70AA"/>
    <w:rsid w:val="00D17E04"/>
    <w:rsid w:val="00D24698"/>
    <w:rsid w:val="00D60F0D"/>
    <w:rsid w:val="00D6383F"/>
    <w:rsid w:val="00D71221"/>
    <w:rsid w:val="00D71B43"/>
    <w:rsid w:val="00D7229A"/>
    <w:rsid w:val="00D80847"/>
    <w:rsid w:val="00DA3485"/>
    <w:rsid w:val="00DB59D0"/>
    <w:rsid w:val="00DC0663"/>
    <w:rsid w:val="00DC33D3"/>
    <w:rsid w:val="00DF1317"/>
    <w:rsid w:val="00DF6E36"/>
    <w:rsid w:val="00E00A82"/>
    <w:rsid w:val="00E12084"/>
    <w:rsid w:val="00E1661C"/>
    <w:rsid w:val="00E2594A"/>
    <w:rsid w:val="00E26329"/>
    <w:rsid w:val="00E40B50"/>
    <w:rsid w:val="00E47EEA"/>
    <w:rsid w:val="00E50293"/>
    <w:rsid w:val="00E65142"/>
    <w:rsid w:val="00E65FFC"/>
    <w:rsid w:val="00E745C9"/>
    <w:rsid w:val="00E76B1C"/>
    <w:rsid w:val="00E80951"/>
    <w:rsid w:val="00E83D1C"/>
    <w:rsid w:val="00E854FE"/>
    <w:rsid w:val="00E86CC6"/>
    <w:rsid w:val="00E96ED2"/>
    <w:rsid w:val="00EA043B"/>
    <w:rsid w:val="00EA4141"/>
    <w:rsid w:val="00EB56B3"/>
    <w:rsid w:val="00EC5EE5"/>
    <w:rsid w:val="00ED6492"/>
    <w:rsid w:val="00ED64D6"/>
    <w:rsid w:val="00EF2095"/>
    <w:rsid w:val="00F06866"/>
    <w:rsid w:val="00F11C9A"/>
    <w:rsid w:val="00F1254F"/>
    <w:rsid w:val="00F15956"/>
    <w:rsid w:val="00F169BC"/>
    <w:rsid w:val="00F24CFC"/>
    <w:rsid w:val="00F3170F"/>
    <w:rsid w:val="00F4017B"/>
    <w:rsid w:val="00F50E91"/>
    <w:rsid w:val="00F62152"/>
    <w:rsid w:val="00F8281D"/>
    <w:rsid w:val="00F875F9"/>
    <w:rsid w:val="00F96352"/>
    <w:rsid w:val="00F96C8E"/>
    <w:rsid w:val="00F976B0"/>
    <w:rsid w:val="00FA5289"/>
    <w:rsid w:val="00FA6DE7"/>
    <w:rsid w:val="00FB5EE7"/>
    <w:rsid w:val="00FC0A8E"/>
    <w:rsid w:val="00FC2CA7"/>
    <w:rsid w:val="00FD10F2"/>
    <w:rsid w:val="00FD40A2"/>
    <w:rsid w:val="00FE0E6D"/>
    <w:rsid w:val="00FE2FA6"/>
    <w:rsid w:val="00FE3DF2"/>
    <w:rsid w:val="00FE6B82"/>
    <w:rsid w:val="00FE7F8B"/>
    <w:rsid w:val="00FF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5EA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paragraph" w:styleId="BodyTextIndent2">
    <w:name w:val="Body Text Indent 2"/>
    <w:basedOn w:val="Normal"/>
    <w:link w:val="BodyTextIndent2Char"/>
    <w:uiPriority w:val="99"/>
    <w:semiHidden/>
    <w:unhideWhenUsed/>
    <w:rsid w:val="003271C3"/>
    <w:pPr>
      <w:spacing w:after="120" w:line="480" w:lineRule="auto"/>
      <w:ind w:left="360"/>
    </w:pPr>
  </w:style>
  <w:style w:type="character" w:customStyle="1" w:styleId="BodyTextIndent2Char">
    <w:name w:val="Body Text Indent 2 Char"/>
    <w:basedOn w:val="DefaultParagraphFont"/>
    <w:link w:val="BodyTextIndent2"/>
    <w:uiPriority w:val="99"/>
    <w:semiHidden/>
    <w:rsid w:val="003271C3"/>
    <w:rPr>
      <w:sz w:val="24"/>
      <w:szCs w:val="24"/>
    </w:rPr>
  </w:style>
  <w:style w:type="paragraph" w:styleId="FootnoteText">
    <w:name w:val="footnote text"/>
    <w:basedOn w:val="Normal"/>
    <w:link w:val="FootnoteTextChar"/>
    <w:uiPriority w:val="99"/>
    <w:semiHidden/>
    <w:unhideWhenUsed/>
    <w:rsid w:val="00264772"/>
    <w:rPr>
      <w:sz w:val="20"/>
      <w:szCs w:val="20"/>
    </w:rPr>
  </w:style>
  <w:style w:type="character" w:customStyle="1" w:styleId="FootnoteTextChar">
    <w:name w:val="Footnote Text Char"/>
    <w:basedOn w:val="DefaultParagraphFont"/>
    <w:link w:val="FootnoteText"/>
    <w:uiPriority w:val="99"/>
    <w:semiHidden/>
    <w:rsid w:val="00264772"/>
    <w:rPr>
      <w:sz w:val="20"/>
      <w:szCs w:val="20"/>
    </w:rPr>
  </w:style>
  <w:style w:type="character" w:styleId="FootnoteReference">
    <w:name w:val="footnote reference"/>
    <w:basedOn w:val="DefaultParagraphFont"/>
    <w:uiPriority w:val="99"/>
    <w:semiHidden/>
    <w:unhideWhenUsed/>
    <w:rsid w:val="00264772"/>
    <w:rPr>
      <w:vertAlign w:val="superscript"/>
    </w:rPr>
  </w:style>
  <w:style w:type="character" w:styleId="Hyperlink">
    <w:name w:val="Hyperlink"/>
    <w:basedOn w:val="DefaultParagraphFont"/>
    <w:uiPriority w:val="99"/>
    <w:unhideWhenUsed/>
    <w:rsid w:val="003C2579"/>
    <w:rPr>
      <w:color w:val="0000FF" w:themeColor="hyperlink"/>
      <w:u w:val="single"/>
    </w:rPr>
  </w:style>
  <w:style w:type="character" w:customStyle="1" w:styleId="ListParagraphChar">
    <w:name w:val="List Paragraph Char"/>
    <w:basedOn w:val="DefaultParagraphFont"/>
    <w:link w:val="ListParagraph"/>
    <w:uiPriority w:val="34"/>
    <w:rsid w:val="00E745C9"/>
    <w:rPr>
      <w:sz w:val="24"/>
      <w:szCs w:val="24"/>
    </w:rPr>
  </w:style>
  <w:style w:type="paragraph" w:styleId="TOCHeading">
    <w:name w:val="TOC Heading"/>
    <w:basedOn w:val="Heading1"/>
    <w:next w:val="Normal"/>
    <w:uiPriority w:val="39"/>
    <w:unhideWhenUsed/>
    <w:qFormat/>
    <w:rsid w:val="00E745C9"/>
    <w:pPr>
      <w:keepLines/>
      <w:spacing w:before="240" w:line="259" w:lineRule="auto"/>
      <w:ind w:righ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745C9"/>
    <w:pPr>
      <w:numPr>
        <w:numId w:val="28"/>
      </w:numPr>
      <w:spacing w:after="100"/>
      <w:outlineLvl w:val="0"/>
    </w:pPr>
    <w:rPr>
      <w:rFonts w:ascii="Arial" w:hAnsi="Arial"/>
      <w:b/>
      <w:szCs w:val="20"/>
    </w:rPr>
  </w:style>
  <w:style w:type="paragraph" w:styleId="TOC3">
    <w:name w:val="toc 3"/>
    <w:basedOn w:val="Normal"/>
    <w:next w:val="Normal"/>
    <w:autoRedefine/>
    <w:uiPriority w:val="39"/>
    <w:unhideWhenUsed/>
    <w:rsid w:val="00E745C9"/>
    <w:pPr>
      <w:spacing w:after="100"/>
      <w:ind w:left="480"/>
    </w:pPr>
    <w:rPr>
      <w:rFonts w:ascii="Arial" w:hAnsi="Arial"/>
      <w:szCs w:val="20"/>
    </w:rPr>
  </w:style>
  <w:style w:type="paragraph" w:styleId="Revision">
    <w:name w:val="Revision"/>
    <w:hidden/>
    <w:uiPriority w:val="99"/>
    <w:semiHidden/>
    <w:rsid w:val="00CC0BFD"/>
    <w:rPr>
      <w:sz w:val="24"/>
      <w:szCs w:val="24"/>
    </w:rPr>
  </w:style>
  <w:style w:type="paragraph" w:styleId="BodyText2">
    <w:name w:val="Body Text 2"/>
    <w:basedOn w:val="Normal"/>
    <w:link w:val="BodyText2Char"/>
    <w:uiPriority w:val="99"/>
    <w:semiHidden/>
    <w:unhideWhenUsed/>
    <w:rsid w:val="00C82967"/>
    <w:pPr>
      <w:spacing w:after="120" w:line="480" w:lineRule="auto"/>
    </w:pPr>
  </w:style>
  <w:style w:type="character" w:customStyle="1" w:styleId="BodyText2Char">
    <w:name w:val="Body Text 2 Char"/>
    <w:basedOn w:val="DefaultParagraphFont"/>
    <w:link w:val="BodyText2"/>
    <w:uiPriority w:val="99"/>
    <w:semiHidden/>
    <w:rsid w:val="00C82967"/>
    <w:rPr>
      <w:sz w:val="24"/>
      <w:szCs w:val="24"/>
    </w:rPr>
  </w:style>
  <w:style w:type="paragraph" w:customStyle="1" w:styleId="SL-FlLftSgl">
    <w:name w:val="SL-Fl Lft Sgl"/>
    <w:rsid w:val="00C82967"/>
    <w:pPr>
      <w:spacing w:line="240" w:lineRule="atLeast"/>
    </w:pPr>
    <w:rPr>
      <w:sz w:val="24"/>
      <w:szCs w:val="24"/>
    </w:rPr>
  </w:style>
  <w:style w:type="paragraph" w:customStyle="1" w:styleId="Default">
    <w:name w:val="Default"/>
    <w:rsid w:val="00E12084"/>
    <w:pPr>
      <w:autoSpaceDE w:val="0"/>
      <w:autoSpaceDN w:val="0"/>
      <w:adjustRightInd w:val="0"/>
    </w:pPr>
    <w:rPr>
      <w:rFonts w:ascii="Verdana" w:hAnsi="Verdana" w:cs="Verdana"/>
      <w:color w:val="000000"/>
      <w:sz w:val="24"/>
      <w:szCs w:val="24"/>
    </w:rPr>
  </w:style>
  <w:style w:type="paragraph" w:styleId="EndnoteText">
    <w:name w:val="endnote text"/>
    <w:basedOn w:val="Normal"/>
    <w:link w:val="EndnoteTextChar"/>
    <w:uiPriority w:val="99"/>
    <w:semiHidden/>
    <w:unhideWhenUsed/>
    <w:rsid w:val="000D5AA0"/>
    <w:rPr>
      <w:sz w:val="20"/>
      <w:szCs w:val="20"/>
    </w:rPr>
  </w:style>
  <w:style w:type="character" w:customStyle="1" w:styleId="EndnoteTextChar">
    <w:name w:val="Endnote Text Char"/>
    <w:basedOn w:val="DefaultParagraphFont"/>
    <w:link w:val="EndnoteText"/>
    <w:uiPriority w:val="99"/>
    <w:semiHidden/>
    <w:rsid w:val="000D5AA0"/>
    <w:rPr>
      <w:sz w:val="20"/>
      <w:szCs w:val="20"/>
    </w:rPr>
  </w:style>
  <w:style w:type="character" w:styleId="EndnoteReference">
    <w:name w:val="endnote reference"/>
    <w:basedOn w:val="DefaultParagraphFont"/>
    <w:uiPriority w:val="99"/>
    <w:semiHidden/>
    <w:unhideWhenUsed/>
    <w:rsid w:val="000D5AA0"/>
    <w:rPr>
      <w:vertAlign w:val="superscript"/>
    </w:rPr>
  </w:style>
  <w:style w:type="character" w:customStyle="1" w:styleId="A5">
    <w:name w:val="A5"/>
    <w:uiPriority w:val="99"/>
    <w:rsid w:val="000D5AA0"/>
    <w:rPr>
      <w:rFonts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ancer.gov/cancertopics/cancerlibrary/pinkbook/Pink_Book.pdf" TargetMode="External"/><Relationship Id="rId2" Type="http://schemas.openxmlformats.org/officeDocument/2006/relationships/hyperlink" Target="https://www.census.gov/newsroom/facts-for-features/2019/hispanic-heritage-month.html" TargetMode="External"/><Relationship Id="rId1" Type="http://schemas.openxmlformats.org/officeDocument/2006/relationships/hyperlink" Target="https://www.cdc.gov/healthyyouth/data/yrbs/pdf/2017/ss67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4C7D1-BEC8-49B2-A1AC-10EA1FB5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2020-04-07T15:01:00Z</dcterms:created>
  <dcterms:modified xsi:type="dcterms:W3CDTF">2020-04-07T16:16:00Z</dcterms:modified>
</cp:coreProperties>
</file>