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7B46" w:rsidR="002B5421" w:rsidP="00955EA0" w:rsidRDefault="00E21CAF" w14:paraId="7491E729" w14:textId="313F0F87">
      <w:pPr>
        <w:pStyle w:val="NoSpacing"/>
        <w:rPr>
          <w:rFonts w:ascii="Arial" w:hAnsi="Arial" w:cs="Arial"/>
          <w:b/>
          <w:sz w:val="20"/>
        </w:rPr>
      </w:pPr>
      <w:r>
        <w:rPr>
          <w:rFonts w:ascii="Arial" w:hAnsi="Arial" w:cs="Arial"/>
          <w:b/>
          <w:sz w:val="20"/>
        </w:rPr>
        <w:t xml:space="preserve">COMMUNICATION SUPPORT FOR </w:t>
      </w:r>
      <w:r w:rsidR="003C5A1D">
        <w:rPr>
          <w:rFonts w:ascii="Arial" w:hAnsi="Arial" w:cs="Arial"/>
          <w:b/>
          <w:sz w:val="20"/>
        </w:rPr>
        <w:t>THE NATIONAL CENTER FOR EMERGING AND ZOONOTIC</w:t>
      </w:r>
      <w:r w:rsidR="00922D9B">
        <w:rPr>
          <w:rFonts w:ascii="Arial" w:hAnsi="Arial" w:cs="Arial"/>
          <w:b/>
          <w:sz w:val="20"/>
        </w:rPr>
        <w:t xml:space="preserve"> INFECTIOUS</w:t>
      </w:r>
      <w:r w:rsidR="003C5A1D">
        <w:rPr>
          <w:rFonts w:ascii="Arial" w:hAnsi="Arial" w:cs="Arial"/>
          <w:b/>
          <w:sz w:val="20"/>
        </w:rPr>
        <w:t xml:space="preserve"> DISEASES</w:t>
      </w:r>
    </w:p>
    <w:p w:rsidR="00715F2B" w:rsidP="00955EA0" w:rsidRDefault="00715F2B" w14:paraId="5E4D8952" w14:textId="77429467">
      <w:pPr>
        <w:pStyle w:val="NoSpacing"/>
        <w:rPr>
          <w:rFonts w:ascii="Arial" w:hAnsi="Arial" w:cs="Arial"/>
          <w:b/>
          <w:sz w:val="20"/>
          <w:u w:val="single"/>
        </w:rPr>
      </w:pPr>
    </w:p>
    <w:p w:rsidRPr="00E77B46" w:rsidR="009730C3" w:rsidP="00955EA0" w:rsidRDefault="009730C3" w14:paraId="50443245" w14:textId="32B0DBFD">
      <w:pPr>
        <w:pStyle w:val="NoSpacing"/>
        <w:rPr>
          <w:rFonts w:ascii="Arial" w:hAnsi="Arial" w:cs="Arial"/>
          <w:b/>
          <w:sz w:val="20"/>
          <w:u w:val="single"/>
        </w:rPr>
      </w:pPr>
      <w:r>
        <w:rPr>
          <w:rFonts w:ascii="Arial" w:hAnsi="Arial" w:cs="Arial"/>
          <w:b/>
          <w:sz w:val="20"/>
          <w:u w:val="single"/>
        </w:rPr>
        <w:t>Lead Investigator</w:t>
      </w:r>
      <w:r w:rsidRPr="00E21CAF">
        <w:rPr>
          <w:rFonts w:ascii="Arial" w:hAnsi="Arial" w:cs="Arial"/>
          <w:b/>
          <w:sz w:val="20"/>
        </w:rPr>
        <w:t xml:space="preserve">: </w:t>
      </w:r>
      <w:r w:rsidR="003C5A1D">
        <w:rPr>
          <w:rFonts w:ascii="Arial" w:hAnsi="Arial" w:cs="Arial"/>
          <w:bCs/>
          <w:sz w:val="20"/>
        </w:rPr>
        <w:t xml:space="preserve">Laura </w:t>
      </w:r>
      <w:r w:rsidR="006F14F1">
        <w:rPr>
          <w:rFonts w:ascii="Arial" w:hAnsi="Arial" w:cs="Arial"/>
          <w:bCs/>
          <w:sz w:val="20"/>
        </w:rPr>
        <w:t xml:space="preserve">Smith </w:t>
      </w:r>
      <w:r w:rsidR="003C5A1D">
        <w:rPr>
          <w:rFonts w:ascii="Arial" w:hAnsi="Arial" w:cs="Arial"/>
          <w:bCs/>
          <w:sz w:val="20"/>
        </w:rPr>
        <w:t xml:space="preserve">Murrell, </w:t>
      </w:r>
      <w:r w:rsidR="00BE4C22">
        <w:rPr>
          <w:rFonts w:ascii="Arial" w:hAnsi="Arial" w:cs="Arial"/>
          <w:bCs/>
          <w:sz w:val="20"/>
        </w:rPr>
        <w:t>Communications Team Lead</w:t>
      </w:r>
      <w:r w:rsidR="003C5A1D">
        <w:rPr>
          <w:rFonts w:ascii="Arial" w:hAnsi="Arial" w:cs="Arial"/>
          <w:bCs/>
          <w:sz w:val="20"/>
        </w:rPr>
        <w:t>, CDC</w:t>
      </w:r>
      <w:r w:rsidR="00E21CAF">
        <w:rPr>
          <w:rFonts w:ascii="Arial" w:hAnsi="Arial" w:cs="Arial"/>
          <w:sz w:val="20"/>
        </w:rPr>
        <w:t>,</w:t>
      </w:r>
      <w:r w:rsidR="00C22F66">
        <w:rPr>
          <w:rFonts w:ascii="Arial" w:hAnsi="Arial" w:cs="Arial"/>
          <w:sz w:val="20"/>
        </w:rPr>
        <w:t xml:space="preserve"> </w:t>
      </w:r>
      <w:r w:rsidR="00E43C98">
        <w:rPr>
          <w:rFonts w:ascii="Arial" w:hAnsi="Arial" w:cs="Arial"/>
          <w:sz w:val="20"/>
        </w:rPr>
        <w:t xml:space="preserve">National Center for Emerging and Zoonotic </w:t>
      </w:r>
      <w:r w:rsidR="00922D9B">
        <w:rPr>
          <w:rFonts w:ascii="Arial" w:hAnsi="Arial" w:cs="Arial"/>
          <w:sz w:val="20"/>
        </w:rPr>
        <w:t xml:space="preserve">Infectious </w:t>
      </w:r>
      <w:r w:rsidR="00E43C98">
        <w:rPr>
          <w:rFonts w:ascii="Arial" w:hAnsi="Arial" w:cs="Arial"/>
          <w:sz w:val="20"/>
        </w:rPr>
        <w:t>Diseases (</w:t>
      </w:r>
      <w:r w:rsidR="00C22F66">
        <w:rPr>
          <w:rFonts w:ascii="Arial" w:hAnsi="Arial" w:cs="Arial"/>
          <w:sz w:val="20"/>
        </w:rPr>
        <w:t>NCEZID</w:t>
      </w:r>
      <w:r w:rsidR="00E43C98">
        <w:rPr>
          <w:rFonts w:ascii="Arial" w:hAnsi="Arial" w:cs="Arial"/>
          <w:sz w:val="20"/>
        </w:rPr>
        <w:t>)</w:t>
      </w:r>
      <w:r w:rsidR="00987E50">
        <w:rPr>
          <w:rFonts w:ascii="Arial" w:hAnsi="Arial" w:cs="Arial"/>
          <w:sz w:val="20"/>
        </w:rPr>
        <w:t xml:space="preserve">, </w:t>
      </w:r>
      <w:r w:rsidR="00E43C98">
        <w:rPr>
          <w:rFonts w:ascii="Arial" w:hAnsi="Arial" w:cs="Arial"/>
          <w:sz w:val="20"/>
        </w:rPr>
        <w:t>Health Communication Science Office (</w:t>
      </w:r>
      <w:r w:rsidR="009C0FF7">
        <w:rPr>
          <w:rFonts w:ascii="Arial" w:hAnsi="Arial" w:cs="Arial"/>
          <w:sz w:val="20"/>
        </w:rPr>
        <w:t>HCSO</w:t>
      </w:r>
      <w:r w:rsidR="00E43C98">
        <w:rPr>
          <w:rFonts w:ascii="Arial" w:hAnsi="Arial" w:cs="Arial"/>
          <w:sz w:val="20"/>
        </w:rPr>
        <w:t>)</w:t>
      </w:r>
    </w:p>
    <w:p w:rsidRPr="00E77B46" w:rsidR="00E30109" w:rsidP="00EE3B3E" w:rsidRDefault="00E77B46" w14:paraId="20CE7775" w14:textId="2D6AD2AD">
      <w:pPr>
        <w:pStyle w:val="NoSpacing"/>
        <w:rPr>
          <w:rFonts w:ascii="Arial" w:hAnsi="Arial" w:cs="Arial"/>
          <w:sz w:val="20"/>
        </w:rPr>
      </w:pPr>
      <w:r>
        <w:rPr>
          <w:rFonts w:ascii="Arial" w:hAnsi="Arial" w:cs="Arial"/>
          <w:b/>
          <w:sz w:val="20"/>
        </w:rPr>
        <w:t>Co-</w:t>
      </w:r>
      <w:r w:rsidRPr="00E77B46" w:rsidR="00EE3B3E">
        <w:rPr>
          <w:rFonts w:ascii="Arial" w:hAnsi="Arial" w:cs="Arial"/>
          <w:b/>
          <w:sz w:val="20"/>
        </w:rPr>
        <w:t>Investigator</w:t>
      </w:r>
      <w:r>
        <w:rPr>
          <w:rFonts w:ascii="Arial" w:hAnsi="Arial" w:cs="Arial"/>
          <w:b/>
          <w:sz w:val="20"/>
        </w:rPr>
        <w:t>s</w:t>
      </w:r>
      <w:r w:rsidRPr="00E77B46" w:rsidR="00822166">
        <w:rPr>
          <w:rFonts w:ascii="Arial" w:hAnsi="Arial" w:cs="Arial"/>
          <w:b/>
          <w:sz w:val="20"/>
        </w:rPr>
        <w:t>:</w:t>
      </w:r>
      <w:r w:rsidRPr="00E77B46" w:rsidR="00822166">
        <w:rPr>
          <w:rFonts w:ascii="Arial" w:hAnsi="Arial" w:cs="Arial"/>
          <w:sz w:val="20"/>
        </w:rPr>
        <w:t xml:space="preserve"> </w:t>
      </w:r>
      <w:r w:rsidR="00FB2FF5">
        <w:rPr>
          <w:rFonts w:ascii="Arial" w:hAnsi="Arial" w:cs="Arial"/>
          <w:sz w:val="20"/>
        </w:rPr>
        <w:t xml:space="preserve">Elizabeth Allen, Health Communicator, CDC, NCEZID, </w:t>
      </w:r>
      <w:r w:rsidR="00922D9B">
        <w:rPr>
          <w:rFonts w:ascii="Arial" w:hAnsi="Arial" w:cs="Arial"/>
          <w:sz w:val="20"/>
        </w:rPr>
        <w:t>Division of Prep</w:t>
      </w:r>
      <w:r w:rsidR="0027594E">
        <w:rPr>
          <w:rFonts w:ascii="Arial" w:hAnsi="Arial" w:cs="Arial"/>
          <w:sz w:val="20"/>
        </w:rPr>
        <w:t>aredness and Emerging Infections (</w:t>
      </w:r>
      <w:r w:rsidR="00FB2FF5">
        <w:rPr>
          <w:rFonts w:ascii="Arial" w:hAnsi="Arial" w:cs="Arial"/>
          <w:sz w:val="20"/>
        </w:rPr>
        <w:t>DPEI</w:t>
      </w:r>
      <w:r w:rsidR="0027594E">
        <w:rPr>
          <w:rFonts w:ascii="Arial" w:hAnsi="Arial" w:cs="Arial"/>
          <w:sz w:val="20"/>
        </w:rPr>
        <w:t>)</w:t>
      </w:r>
      <w:r w:rsidR="00FB2FF5">
        <w:rPr>
          <w:rFonts w:ascii="Arial" w:hAnsi="Arial" w:cs="Arial"/>
          <w:sz w:val="20"/>
        </w:rPr>
        <w:t xml:space="preserve">; </w:t>
      </w:r>
      <w:r w:rsidR="003C5A1D">
        <w:rPr>
          <w:rFonts w:ascii="Arial" w:hAnsi="Arial" w:cs="Arial"/>
          <w:sz w:val="20"/>
        </w:rPr>
        <w:t xml:space="preserve">Christopher Naylor, </w:t>
      </w:r>
      <w:r w:rsidR="00BE4C22">
        <w:rPr>
          <w:rFonts w:ascii="Arial" w:hAnsi="Arial" w:cs="Arial"/>
          <w:sz w:val="20"/>
        </w:rPr>
        <w:t>Health Communicator</w:t>
      </w:r>
      <w:r w:rsidR="003C5A1D">
        <w:rPr>
          <w:rFonts w:ascii="Arial" w:hAnsi="Arial" w:cs="Arial"/>
          <w:sz w:val="20"/>
        </w:rPr>
        <w:t>, CDC, NCEZID, HCSO</w:t>
      </w:r>
      <w:r w:rsidR="00B3164D">
        <w:rPr>
          <w:rFonts w:ascii="Arial" w:hAnsi="Arial" w:cs="Arial"/>
          <w:sz w:val="20"/>
        </w:rPr>
        <w:t xml:space="preserve"> (Contractor, </w:t>
      </w:r>
      <w:proofErr w:type="spellStart"/>
      <w:r w:rsidR="00B3164D">
        <w:rPr>
          <w:rFonts w:ascii="Arial" w:hAnsi="Arial" w:cs="Arial"/>
          <w:sz w:val="20"/>
        </w:rPr>
        <w:t>Chenega</w:t>
      </w:r>
      <w:proofErr w:type="spellEnd"/>
      <w:r w:rsidR="00B3164D">
        <w:rPr>
          <w:rFonts w:ascii="Arial" w:hAnsi="Arial" w:cs="Arial"/>
          <w:sz w:val="20"/>
        </w:rPr>
        <w:t xml:space="preserve"> Government Consulting)</w:t>
      </w:r>
      <w:r w:rsidR="00FB2FF5">
        <w:rPr>
          <w:rFonts w:ascii="Arial" w:hAnsi="Arial" w:cs="Arial"/>
          <w:sz w:val="20"/>
        </w:rPr>
        <w:t xml:space="preserve"> </w:t>
      </w:r>
    </w:p>
    <w:p w:rsidRPr="00E77B46" w:rsidR="00955EA0" w:rsidP="00955EA0" w:rsidRDefault="00955EA0" w14:paraId="5DB3B6D0" w14:textId="77777777">
      <w:pPr>
        <w:pStyle w:val="NoSpacing"/>
        <w:rPr>
          <w:rFonts w:ascii="Arial" w:hAnsi="Arial" w:cs="Arial"/>
          <w:sz w:val="20"/>
        </w:rPr>
      </w:pPr>
    </w:p>
    <w:p w:rsidRPr="00EE1F8D" w:rsidR="008F56BB" w:rsidP="00EE1F8D" w:rsidRDefault="00262D7B" w14:paraId="35431B0D" w14:textId="4653B05A">
      <w:pPr>
        <w:pStyle w:val="NoSpacing"/>
        <w:rPr>
          <w:rFonts w:ascii="Arial" w:hAnsi="Arial" w:cs="Arial"/>
          <w:b/>
          <w:sz w:val="20"/>
        </w:rPr>
      </w:pPr>
      <w:r w:rsidRPr="00E77B46">
        <w:rPr>
          <w:rFonts w:ascii="Arial" w:hAnsi="Arial" w:cs="Arial"/>
          <w:b/>
          <w:sz w:val="20"/>
        </w:rPr>
        <w:t>Collaborators</w:t>
      </w:r>
      <w:r w:rsidRPr="00E77B46" w:rsidR="008F56BB">
        <w:rPr>
          <w:rFonts w:ascii="Arial" w:hAnsi="Arial" w:cs="Arial"/>
          <w:sz w:val="20"/>
        </w:rPr>
        <w:t xml:space="preserve"> </w:t>
      </w:r>
    </w:p>
    <w:tbl>
      <w:tblPr>
        <w:tblStyle w:val="TableGrid"/>
        <w:tblW w:w="0" w:type="auto"/>
        <w:tblInd w:w="-5" w:type="dxa"/>
        <w:tblLook w:val="04A0" w:firstRow="1" w:lastRow="0" w:firstColumn="1" w:lastColumn="0" w:noHBand="0" w:noVBand="1"/>
      </w:tblPr>
      <w:tblGrid>
        <w:gridCol w:w="6930"/>
        <w:gridCol w:w="3330"/>
      </w:tblGrid>
      <w:tr w:rsidRPr="00362769" w:rsidR="00EE1F8D" w:rsidTr="00EE1F8D" w14:paraId="6D23531B" w14:textId="77777777">
        <w:tc>
          <w:tcPr>
            <w:tcW w:w="6930" w:type="dxa"/>
          </w:tcPr>
          <w:p w:rsidRPr="00362769" w:rsidR="00EE1F8D" w:rsidP="00A41340" w:rsidRDefault="00EE1F8D" w14:paraId="6A71830F" w14:textId="77777777">
            <w:pPr>
              <w:pStyle w:val="NoSpacing"/>
              <w:tabs>
                <w:tab w:val="left" w:pos="360"/>
              </w:tabs>
              <w:rPr>
                <w:rFonts w:ascii="Arial" w:hAnsi="Arial" w:cs="Arial"/>
                <w:b/>
                <w:sz w:val="20"/>
              </w:rPr>
            </w:pPr>
            <w:r w:rsidRPr="00362769">
              <w:rPr>
                <w:rFonts w:ascii="Arial" w:hAnsi="Arial" w:cs="Arial"/>
                <w:b/>
                <w:sz w:val="20"/>
              </w:rPr>
              <w:t>Name</w:t>
            </w:r>
          </w:p>
        </w:tc>
        <w:tc>
          <w:tcPr>
            <w:tcW w:w="3330" w:type="dxa"/>
          </w:tcPr>
          <w:p w:rsidRPr="00362769" w:rsidR="00EE1F8D" w:rsidP="00A41340" w:rsidRDefault="00EE1F8D" w14:paraId="1FBDBF47" w14:textId="77777777">
            <w:pPr>
              <w:pStyle w:val="NoSpacing"/>
              <w:tabs>
                <w:tab w:val="left" w:pos="360"/>
              </w:tabs>
              <w:rPr>
                <w:rFonts w:ascii="Arial" w:hAnsi="Arial" w:cs="Arial"/>
                <w:b/>
                <w:sz w:val="20"/>
              </w:rPr>
            </w:pPr>
            <w:r w:rsidRPr="00362769">
              <w:rPr>
                <w:rFonts w:ascii="Arial" w:hAnsi="Arial" w:cs="Arial"/>
                <w:b/>
                <w:sz w:val="20"/>
              </w:rPr>
              <w:t>Organizational Unit</w:t>
            </w:r>
          </w:p>
        </w:tc>
      </w:tr>
      <w:tr w:rsidRPr="00E77B46" w:rsidR="00EE1F8D" w:rsidTr="00EE1F8D" w14:paraId="1B405E3D" w14:textId="77777777">
        <w:tc>
          <w:tcPr>
            <w:tcW w:w="6930" w:type="dxa"/>
          </w:tcPr>
          <w:p w:rsidRPr="00E77B46" w:rsidR="00EE1F8D" w:rsidP="00A41340" w:rsidRDefault="00EE1F8D" w14:paraId="7F382598" w14:textId="5E17F4E0">
            <w:pPr>
              <w:pStyle w:val="NoSpacing"/>
              <w:tabs>
                <w:tab w:val="left" w:pos="360"/>
              </w:tabs>
              <w:rPr>
                <w:rFonts w:ascii="Arial" w:hAnsi="Arial" w:cs="Arial"/>
                <w:sz w:val="20"/>
              </w:rPr>
            </w:pPr>
            <w:r w:rsidRPr="00E77B46">
              <w:rPr>
                <w:rFonts w:ascii="Arial" w:hAnsi="Arial" w:cs="Arial"/>
                <w:sz w:val="20"/>
              </w:rPr>
              <w:t>R</w:t>
            </w:r>
            <w:r>
              <w:rPr>
                <w:rFonts w:ascii="Arial" w:hAnsi="Arial" w:cs="Arial"/>
                <w:sz w:val="20"/>
              </w:rPr>
              <w:t>o</w:t>
            </w:r>
            <w:r w:rsidRPr="00E77B46">
              <w:rPr>
                <w:rFonts w:ascii="Arial" w:hAnsi="Arial" w:cs="Arial"/>
                <w:sz w:val="20"/>
              </w:rPr>
              <w:t xml:space="preserve">shni Devchand, </w:t>
            </w:r>
            <w:r>
              <w:rPr>
                <w:rFonts w:ascii="Arial" w:hAnsi="Arial" w:cs="Arial"/>
                <w:sz w:val="20"/>
              </w:rPr>
              <w:t xml:space="preserve">MPH, MCHES, </w:t>
            </w:r>
            <w:r w:rsidRPr="00E77B46">
              <w:rPr>
                <w:rFonts w:ascii="Arial" w:hAnsi="Arial" w:cs="Arial"/>
                <w:sz w:val="20"/>
              </w:rPr>
              <w:t xml:space="preserve">Project </w:t>
            </w:r>
            <w:r>
              <w:rPr>
                <w:rFonts w:ascii="Arial" w:hAnsi="Arial" w:cs="Arial"/>
                <w:sz w:val="20"/>
              </w:rPr>
              <w:t xml:space="preserve">Manager and </w:t>
            </w:r>
            <w:r w:rsidR="007748E6">
              <w:rPr>
                <w:rFonts w:ascii="Arial" w:hAnsi="Arial" w:cs="Arial"/>
                <w:sz w:val="20"/>
              </w:rPr>
              <w:t xml:space="preserve">Evaluation </w:t>
            </w:r>
            <w:r>
              <w:rPr>
                <w:rFonts w:ascii="Arial" w:hAnsi="Arial" w:cs="Arial"/>
                <w:sz w:val="20"/>
              </w:rPr>
              <w:t>Lead</w:t>
            </w:r>
          </w:p>
        </w:tc>
        <w:tc>
          <w:tcPr>
            <w:tcW w:w="3330" w:type="dxa"/>
          </w:tcPr>
          <w:p w:rsidRPr="00E77B46" w:rsidR="00EE1F8D" w:rsidP="00A41340" w:rsidRDefault="00EE1F8D" w14:paraId="280742EA" w14:textId="4340A142">
            <w:pPr>
              <w:pStyle w:val="NoSpacing"/>
              <w:tabs>
                <w:tab w:val="left" w:pos="360"/>
              </w:tabs>
              <w:rPr>
                <w:rFonts w:ascii="Arial" w:hAnsi="Arial" w:cs="Arial"/>
                <w:sz w:val="20"/>
              </w:rPr>
            </w:pPr>
            <w:r w:rsidRPr="00E77B46">
              <w:rPr>
                <w:rFonts w:ascii="Arial" w:hAnsi="Arial" w:cs="Arial"/>
                <w:sz w:val="20"/>
              </w:rPr>
              <w:t>Hager Sharp, Inc. (</w:t>
            </w:r>
            <w:r>
              <w:rPr>
                <w:rFonts w:ascii="Arial" w:hAnsi="Arial" w:cs="Arial"/>
                <w:sz w:val="20"/>
              </w:rPr>
              <w:t>contractor</w:t>
            </w:r>
            <w:r w:rsidRPr="00E77B46">
              <w:rPr>
                <w:rFonts w:ascii="Arial" w:hAnsi="Arial" w:cs="Arial"/>
                <w:sz w:val="20"/>
              </w:rPr>
              <w:t>)</w:t>
            </w:r>
          </w:p>
        </w:tc>
      </w:tr>
      <w:tr w:rsidRPr="00E77B46" w:rsidR="00EE1F8D" w:rsidTr="00EE1F8D" w14:paraId="6A3AA352" w14:textId="77777777">
        <w:tc>
          <w:tcPr>
            <w:tcW w:w="6930" w:type="dxa"/>
          </w:tcPr>
          <w:p w:rsidRPr="00E77B46" w:rsidR="00EE1F8D" w:rsidP="00A41340" w:rsidRDefault="00EE1F8D" w14:paraId="0F6BFBFE" w14:textId="581A0BEB">
            <w:pPr>
              <w:pStyle w:val="NoSpacing"/>
              <w:tabs>
                <w:tab w:val="left" w:pos="360"/>
              </w:tabs>
              <w:rPr>
                <w:rFonts w:ascii="Arial" w:hAnsi="Arial" w:cs="Arial"/>
                <w:sz w:val="20"/>
              </w:rPr>
            </w:pPr>
            <w:r>
              <w:rPr>
                <w:rFonts w:ascii="Arial" w:hAnsi="Arial" w:cs="Arial"/>
                <w:sz w:val="20"/>
              </w:rPr>
              <w:t xml:space="preserve">Laura Koehler, MPH, CHES, </w:t>
            </w:r>
            <w:r w:rsidR="007748E6">
              <w:rPr>
                <w:rFonts w:ascii="Arial" w:hAnsi="Arial" w:cs="Arial"/>
                <w:sz w:val="20"/>
              </w:rPr>
              <w:t xml:space="preserve">Evaluation </w:t>
            </w:r>
            <w:r>
              <w:rPr>
                <w:rFonts w:ascii="Arial" w:hAnsi="Arial" w:cs="Arial"/>
                <w:sz w:val="20"/>
              </w:rPr>
              <w:t>and Testing Associate</w:t>
            </w:r>
          </w:p>
        </w:tc>
        <w:tc>
          <w:tcPr>
            <w:tcW w:w="3330" w:type="dxa"/>
          </w:tcPr>
          <w:p w:rsidRPr="00E77B46" w:rsidR="00EE1F8D" w:rsidP="00A41340" w:rsidRDefault="00EE1F8D" w14:paraId="3CAEEABB" w14:textId="50A265E0">
            <w:pPr>
              <w:pStyle w:val="NoSpacing"/>
              <w:tabs>
                <w:tab w:val="left" w:pos="360"/>
              </w:tabs>
              <w:rPr>
                <w:rFonts w:ascii="Arial" w:hAnsi="Arial" w:cs="Arial"/>
                <w:sz w:val="20"/>
              </w:rPr>
            </w:pPr>
            <w:r w:rsidRPr="00E77B46">
              <w:rPr>
                <w:rFonts w:ascii="Arial" w:hAnsi="Arial" w:cs="Arial"/>
                <w:sz w:val="20"/>
              </w:rPr>
              <w:t>Hager Sharp, Inc. (</w:t>
            </w:r>
            <w:r>
              <w:rPr>
                <w:rFonts w:ascii="Arial" w:hAnsi="Arial" w:cs="Arial"/>
                <w:sz w:val="20"/>
              </w:rPr>
              <w:t>contractor</w:t>
            </w:r>
            <w:r w:rsidRPr="00E77B46">
              <w:rPr>
                <w:rFonts w:ascii="Arial" w:hAnsi="Arial" w:cs="Arial"/>
                <w:sz w:val="20"/>
              </w:rPr>
              <w:t>)</w:t>
            </w:r>
          </w:p>
        </w:tc>
      </w:tr>
    </w:tbl>
    <w:p w:rsidRPr="00E77B46" w:rsidR="00EE3B3E" w:rsidP="00EE3B3E" w:rsidRDefault="00EE3B3E" w14:paraId="2C8887FE" w14:textId="77777777">
      <w:pPr>
        <w:pStyle w:val="NoSpacing"/>
        <w:tabs>
          <w:tab w:val="left" w:pos="360"/>
        </w:tabs>
        <w:ind w:left="360"/>
        <w:rPr>
          <w:rFonts w:ascii="Arial" w:hAnsi="Arial" w:cs="Arial"/>
          <w:sz w:val="20"/>
        </w:rPr>
      </w:pPr>
    </w:p>
    <w:p w:rsidRPr="00E77B46" w:rsidR="004A438B" w:rsidP="00EE3B3E" w:rsidRDefault="00EE3B3E" w14:paraId="034F3792" w14:textId="77777777">
      <w:pPr>
        <w:pStyle w:val="NoSpacing"/>
        <w:rPr>
          <w:rFonts w:ascii="Arial" w:hAnsi="Arial" w:cs="Arial"/>
          <w:b/>
          <w:sz w:val="20"/>
        </w:rPr>
      </w:pPr>
      <w:r w:rsidRPr="00E77B46">
        <w:rPr>
          <w:rFonts w:ascii="Arial" w:hAnsi="Arial" w:cs="Arial"/>
          <w:b/>
          <w:sz w:val="20"/>
        </w:rPr>
        <w:t xml:space="preserve">Background </w:t>
      </w:r>
    </w:p>
    <w:p w:rsidR="00E87D52" w:rsidP="00E43C98" w:rsidRDefault="00E43C98" w14:paraId="4A906E64" w14:textId="3E4166D4">
      <w:pPr>
        <w:rPr>
          <w:rFonts w:ascii="Arial" w:hAnsi="Arial" w:cs="Arial"/>
          <w:sz w:val="20"/>
        </w:rPr>
      </w:pPr>
      <w:r>
        <w:rPr>
          <w:rFonts w:ascii="Arial" w:hAnsi="Arial" w:cs="Arial"/>
          <w:sz w:val="20"/>
        </w:rPr>
        <w:t>NCEZID</w:t>
      </w:r>
      <w:r w:rsidRPr="00E43C98">
        <w:rPr>
          <w:rFonts w:ascii="Arial" w:hAnsi="Arial" w:cs="Arial"/>
          <w:sz w:val="20"/>
        </w:rPr>
        <w:t xml:space="preserve"> is responsible for the prevention and control of a wide range of infectious diseases</w:t>
      </w:r>
      <w:r w:rsidR="00E87D52">
        <w:rPr>
          <w:rFonts w:ascii="Arial" w:hAnsi="Arial" w:cs="Arial"/>
          <w:sz w:val="20"/>
        </w:rPr>
        <w:t>, including rare but deadly diseases like anthrax and Ebola, and more common illnesses like foodborne diseases and healthcare-associated infections. Its seven divisions work closely with other Centers to prevent illness, disability, and death causes by infectious diseases, including</w:t>
      </w:r>
      <w:r w:rsidR="00F839F2">
        <w:rPr>
          <w:rFonts w:ascii="Arial" w:hAnsi="Arial" w:cs="Arial"/>
          <w:sz w:val="20"/>
        </w:rPr>
        <w:t xml:space="preserve"> bioterror threats like anthrax.</w:t>
      </w:r>
    </w:p>
    <w:p w:rsidR="00E87D52" w:rsidP="00E87D52" w:rsidRDefault="00E87D52" w14:paraId="0117E7C2" w14:textId="28A1B6B9">
      <w:pPr>
        <w:rPr>
          <w:rFonts w:ascii="Arial" w:hAnsi="Arial" w:cs="Arial"/>
          <w:sz w:val="20"/>
        </w:rPr>
      </w:pPr>
    </w:p>
    <w:p w:rsidRPr="00E87D52" w:rsidR="00E87D52" w:rsidP="00E87D52" w:rsidRDefault="00E87D52" w14:paraId="5EEBA043" w14:textId="505A26F3">
      <w:pPr>
        <w:rPr>
          <w:rFonts w:ascii="Arial" w:hAnsi="Arial" w:cs="Arial"/>
          <w:sz w:val="20"/>
        </w:rPr>
      </w:pPr>
      <w:r>
        <w:rPr>
          <w:rFonts w:ascii="Arial" w:hAnsi="Arial" w:cs="Arial"/>
          <w:sz w:val="20"/>
        </w:rPr>
        <w:t>The Center has developed anthrax-specific information, a toolkit, and customizable materials</w:t>
      </w:r>
      <w:r w:rsidR="00FA5407">
        <w:rPr>
          <w:rFonts w:ascii="Arial" w:hAnsi="Arial" w:cs="Arial"/>
          <w:sz w:val="20"/>
        </w:rPr>
        <w:t>.</w:t>
      </w:r>
      <w:r>
        <w:rPr>
          <w:rFonts w:ascii="Arial" w:hAnsi="Arial" w:cs="Arial"/>
          <w:sz w:val="20"/>
        </w:rPr>
        <w:t xml:space="preserve"> </w:t>
      </w:r>
      <w:r w:rsidR="00FA5407">
        <w:rPr>
          <w:rFonts w:ascii="Arial" w:hAnsi="Arial" w:cs="Arial"/>
          <w:sz w:val="20"/>
        </w:rPr>
        <w:t>In addition, the Center has developed a</w:t>
      </w:r>
      <w:r w:rsidRPr="00E87D52">
        <w:rPr>
          <w:rFonts w:ascii="Arial" w:hAnsi="Arial" w:cs="Arial"/>
          <w:sz w:val="20"/>
        </w:rPr>
        <w:t xml:space="preserve"> website and other emergency preparedness and response pages containing information that would be used in the event of an anthrax release or other urgent public health situation. The anthrax toolkit will include pre-designed materials to be tested that CDC and state/local public health departments will need within the first few hours and days of an anthrax event, as well as for the duration of a response. These materials require message testing</w:t>
      </w:r>
      <w:r w:rsidR="00716577">
        <w:rPr>
          <w:rFonts w:ascii="Arial" w:hAnsi="Arial" w:cs="Arial"/>
          <w:sz w:val="20"/>
        </w:rPr>
        <w:t xml:space="preserve"> </w:t>
      </w:r>
      <w:r w:rsidRPr="00E87D52">
        <w:rPr>
          <w:rFonts w:ascii="Arial" w:hAnsi="Arial" w:cs="Arial"/>
          <w:sz w:val="20"/>
        </w:rPr>
        <w:t xml:space="preserve">to ensure the efficacy of these products.  </w:t>
      </w:r>
    </w:p>
    <w:p w:rsidR="00E87D52" w:rsidP="00E43C98" w:rsidRDefault="00E87D52" w14:paraId="540385A1" w14:textId="77777777">
      <w:pPr>
        <w:rPr>
          <w:rFonts w:ascii="Arial" w:hAnsi="Arial" w:cs="Arial"/>
          <w:sz w:val="20"/>
        </w:rPr>
      </w:pPr>
    </w:p>
    <w:p w:rsidRPr="00E77B46" w:rsidR="004F23A6" w:rsidP="004F23A6" w:rsidRDefault="00822166" w14:paraId="6F5F431C" w14:textId="089DD567">
      <w:pPr>
        <w:pStyle w:val="NoSpacing"/>
        <w:rPr>
          <w:rFonts w:ascii="Arial" w:hAnsi="Arial" w:cs="Arial"/>
          <w:b/>
          <w:sz w:val="20"/>
        </w:rPr>
      </w:pPr>
      <w:bookmarkStart w:name="_Hlk24016656" w:id="0"/>
      <w:r w:rsidRPr="00E77B46">
        <w:rPr>
          <w:rFonts w:ascii="Arial" w:hAnsi="Arial" w:cs="Arial"/>
          <w:b/>
          <w:sz w:val="20"/>
        </w:rPr>
        <w:t>Project Goals</w:t>
      </w:r>
      <w:r w:rsidRPr="00E77B46" w:rsidR="004F23A6">
        <w:rPr>
          <w:rFonts w:ascii="Arial" w:hAnsi="Arial" w:cs="Arial"/>
          <w:b/>
          <w:sz w:val="20"/>
        </w:rPr>
        <w:t xml:space="preserve"> &amp; Objectives</w:t>
      </w:r>
    </w:p>
    <w:p w:rsidR="00043329" w:rsidP="00F91EF9" w:rsidRDefault="00F91EF9" w14:paraId="2DDE2385" w14:textId="56D35025">
      <w:pPr>
        <w:rPr>
          <w:rFonts w:ascii="Arial" w:hAnsi="Arial" w:cs="Arial"/>
          <w:sz w:val="20"/>
        </w:rPr>
      </w:pPr>
      <w:r>
        <w:rPr>
          <w:rFonts w:ascii="Arial" w:hAnsi="Arial" w:cs="Arial"/>
          <w:sz w:val="20"/>
        </w:rPr>
        <w:t xml:space="preserve">The purpose of the </w:t>
      </w:r>
      <w:r w:rsidR="00F839F2">
        <w:rPr>
          <w:rFonts w:ascii="Arial" w:hAnsi="Arial" w:cs="Arial"/>
          <w:sz w:val="20"/>
        </w:rPr>
        <w:t xml:space="preserve">web-assisted telephone in-depth interviews (IDIs) </w:t>
      </w:r>
      <w:r>
        <w:rPr>
          <w:rFonts w:ascii="Arial" w:hAnsi="Arial" w:cs="Arial"/>
          <w:sz w:val="20"/>
        </w:rPr>
        <w:t>is to</w:t>
      </w:r>
      <w:r w:rsidR="00F839F2">
        <w:rPr>
          <w:rFonts w:ascii="Arial" w:hAnsi="Arial" w:cs="Arial"/>
          <w:sz w:val="20"/>
        </w:rPr>
        <w:t xml:space="preserve"> </w:t>
      </w:r>
      <w:r w:rsidR="00043329">
        <w:rPr>
          <w:rFonts w:ascii="Arial" w:hAnsi="Arial" w:cs="Arial"/>
          <w:sz w:val="20"/>
        </w:rPr>
        <w:t xml:space="preserve">collect feedback from </w:t>
      </w:r>
      <w:r w:rsidR="00EE05C6">
        <w:rPr>
          <w:rFonts w:ascii="Arial" w:hAnsi="Arial" w:cs="Arial"/>
          <w:sz w:val="20"/>
        </w:rPr>
        <w:t>adults age 65+</w:t>
      </w:r>
      <w:r w:rsidR="001813B1">
        <w:rPr>
          <w:rFonts w:ascii="Arial" w:hAnsi="Arial" w:cs="Arial"/>
          <w:sz w:val="20"/>
        </w:rPr>
        <w:t>, parents/general consumers, and</w:t>
      </w:r>
      <w:r w:rsidR="00480B46">
        <w:rPr>
          <w:rFonts w:ascii="Arial" w:hAnsi="Arial" w:cs="Arial"/>
          <w:sz w:val="20"/>
        </w:rPr>
        <w:t xml:space="preserve"> adults whose English is a second language (ESL adults)</w:t>
      </w:r>
      <w:r w:rsidR="00043329">
        <w:rPr>
          <w:rFonts w:ascii="Arial" w:hAnsi="Arial" w:cs="Arial"/>
          <w:sz w:val="20"/>
        </w:rPr>
        <w:t xml:space="preserve"> about NCEZID’s </w:t>
      </w:r>
      <w:r w:rsidR="00E9329D">
        <w:rPr>
          <w:rFonts w:ascii="Arial" w:hAnsi="Arial" w:cs="Arial"/>
          <w:sz w:val="20"/>
        </w:rPr>
        <w:t>materials</w:t>
      </w:r>
      <w:r w:rsidR="00043329">
        <w:rPr>
          <w:rFonts w:ascii="Arial" w:hAnsi="Arial" w:cs="Arial"/>
          <w:sz w:val="20"/>
        </w:rPr>
        <w:t xml:space="preserve"> under development</w:t>
      </w:r>
      <w:r w:rsidR="00E9329D">
        <w:rPr>
          <w:rFonts w:ascii="Arial" w:hAnsi="Arial" w:cs="Arial"/>
          <w:sz w:val="20"/>
        </w:rPr>
        <w:t xml:space="preserve"> that address the topic of anthrax</w:t>
      </w:r>
      <w:r w:rsidR="00BE4C22">
        <w:rPr>
          <w:rFonts w:ascii="Arial" w:hAnsi="Arial" w:cs="Arial"/>
          <w:sz w:val="20"/>
        </w:rPr>
        <w:t xml:space="preserve"> emergency</w:t>
      </w:r>
      <w:r w:rsidR="00E9329D">
        <w:rPr>
          <w:rFonts w:ascii="Arial" w:hAnsi="Arial" w:cs="Arial"/>
          <w:sz w:val="20"/>
        </w:rPr>
        <w:t xml:space="preserve"> </w:t>
      </w:r>
      <w:r w:rsidR="005C599A">
        <w:rPr>
          <w:rFonts w:ascii="Arial" w:hAnsi="Arial" w:cs="Arial"/>
          <w:sz w:val="20"/>
        </w:rPr>
        <w:t>preparedness</w:t>
      </w:r>
      <w:r w:rsidR="00043329">
        <w:rPr>
          <w:rFonts w:ascii="Arial" w:hAnsi="Arial" w:cs="Arial"/>
          <w:sz w:val="20"/>
        </w:rPr>
        <w:t xml:space="preserve">. Information on the resonance of messaging, acceptability to the target audience, potential influence on behavior change, appropriateness for the media proposed, cultural </w:t>
      </w:r>
      <w:r w:rsidR="00C91D62">
        <w:rPr>
          <w:rFonts w:ascii="Arial" w:hAnsi="Arial" w:cs="Arial"/>
          <w:sz w:val="20"/>
        </w:rPr>
        <w:t>relevance</w:t>
      </w:r>
      <w:r w:rsidR="00043329">
        <w:rPr>
          <w:rFonts w:ascii="Arial" w:hAnsi="Arial" w:cs="Arial"/>
          <w:sz w:val="20"/>
        </w:rPr>
        <w:t>, and consistency with health literacy and plain language principles is needed to guide the refinement of these materials. The interviews will have the following objectives:</w:t>
      </w:r>
    </w:p>
    <w:p w:rsidR="00F839F2" w:rsidP="00043329" w:rsidRDefault="00784F92" w14:paraId="478AC189" w14:textId="4B475C57">
      <w:pPr>
        <w:pStyle w:val="ListParagraph"/>
        <w:numPr>
          <w:ilvl w:val="0"/>
          <w:numId w:val="45"/>
        </w:numPr>
        <w:rPr>
          <w:rFonts w:ascii="Arial" w:hAnsi="Arial" w:cs="Arial"/>
          <w:sz w:val="20"/>
        </w:rPr>
      </w:pPr>
      <w:r>
        <w:rPr>
          <w:rFonts w:ascii="Arial" w:hAnsi="Arial" w:cs="Arial"/>
          <w:sz w:val="20"/>
        </w:rPr>
        <w:t xml:space="preserve">Describe </w:t>
      </w:r>
      <w:r w:rsidR="00DD4AE4">
        <w:rPr>
          <w:rFonts w:ascii="Arial" w:hAnsi="Arial" w:cs="Arial"/>
          <w:sz w:val="20"/>
        </w:rPr>
        <w:t>participants’</w:t>
      </w:r>
      <w:r w:rsidR="00043329">
        <w:rPr>
          <w:rFonts w:ascii="Arial" w:hAnsi="Arial" w:cs="Arial"/>
          <w:sz w:val="20"/>
        </w:rPr>
        <w:t xml:space="preserve"> knowledge, attitudes, and beliefs regarding anthrax, including their knowledge of mechanisms of exposure, symptoms, and severity;</w:t>
      </w:r>
    </w:p>
    <w:p w:rsidR="00043329" w:rsidP="00043329" w:rsidRDefault="00784F92" w14:paraId="01F6C0DF" w14:textId="0BAE4B8D">
      <w:pPr>
        <w:pStyle w:val="ListParagraph"/>
        <w:numPr>
          <w:ilvl w:val="0"/>
          <w:numId w:val="45"/>
        </w:numPr>
        <w:rPr>
          <w:rFonts w:ascii="Arial" w:hAnsi="Arial" w:cs="Arial"/>
          <w:sz w:val="20"/>
        </w:rPr>
      </w:pPr>
      <w:r>
        <w:rPr>
          <w:rFonts w:ascii="Arial" w:hAnsi="Arial" w:cs="Arial"/>
          <w:sz w:val="20"/>
        </w:rPr>
        <w:t xml:space="preserve">Describe </w:t>
      </w:r>
      <w:r w:rsidR="00DD4AE4">
        <w:rPr>
          <w:rFonts w:ascii="Arial" w:hAnsi="Arial" w:cs="Arial"/>
          <w:sz w:val="20"/>
        </w:rPr>
        <w:t xml:space="preserve">participants’ </w:t>
      </w:r>
      <w:r w:rsidR="00CC310D">
        <w:rPr>
          <w:rFonts w:ascii="Arial" w:hAnsi="Arial" w:cs="Arial"/>
          <w:sz w:val="20"/>
        </w:rPr>
        <w:t>perceptions</w:t>
      </w:r>
      <w:r w:rsidR="00DD4AE4">
        <w:rPr>
          <w:rFonts w:ascii="Arial" w:hAnsi="Arial" w:cs="Arial"/>
          <w:sz w:val="20"/>
        </w:rPr>
        <w:t xml:space="preserve"> and knowledge of </w:t>
      </w:r>
      <w:r w:rsidR="00CC310D">
        <w:rPr>
          <w:rFonts w:ascii="Arial" w:hAnsi="Arial" w:cs="Arial"/>
          <w:sz w:val="20"/>
        </w:rPr>
        <w:t>bioterror</w:t>
      </w:r>
      <w:r w:rsidR="00DD4AE4">
        <w:rPr>
          <w:rFonts w:ascii="Arial" w:hAnsi="Arial" w:cs="Arial"/>
          <w:sz w:val="20"/>
        </w:rPr>
        <w:t xml:space="preserve"> emergencies, including their willingness to engage in behaviors related to </w:t>
      </w:r>
      <w:r w:rsidR="001505DC">
        <w:rPr>
          <w:rFonts w:ascii="Arial" w:hAnsi="Arial" w:cs="Arial"/>
          <w:sz w:val="20"/>
        </w:rPr>
        <w:t>anthrax preparedness and response</w:t>
      </w:r>
      <w:r w:rsidR="00DD4AE4">
        <w:rPr>
          <w:rFonts w:ascii="Arial" w:hAnsi="Arial" w:cs="Arial"/>
          <w:sz w:val="20"/>
        </w:rPr>
        <w:t xml:space="preserve">; </w:t>
      </w:r>
    </w:p>
    <w:p w:rsidR="00DD4AE4" w:rsidP="00F91EF9" w:rsidRDefault="00DD4AE4" w14:paraId="62C3A7EE" w14:textId="591FEBC6">
      <w:pPr>
        <w:pStyle w:val="ListParagraph"/>
        <w:numPr>
          <w:ilvl w:val="0"/>
          <w:numId w:val="45"/>
        </w:numPr>
        <w:rPr>
          <w:rFonts w:ascii="Arial" w:hAnsi="Arial" w:cs="Arial"/>
          <w:sz w:val="20"/>
        </w:rPr>
      </w:pPr>
      <w:r>
        <w:rPr>
          <w:rFonts w:ascii="Arial" w:hAnsi="Arial" w:cs="Arial"/>
          <w:sz w:val="20"/>
        </w:rPr>
        <w:t xml:space="preserve">Assess </w:t>
      </w:r>
      <w:r w:rsidRPr="00D35D4C" w:rsidR="00D35D4C">
        <w:rPr>
          <w:rFonts w:ascii="Arial" w:hAnsi="Arial" w:cs="Arial"/>
          <w:sz w:val="20"/>
        </w:rPr>
        <w:t xml:space="preserve">clarity, resonance, acceptability, </w:t>
      </w:r>
      <w:r w:rsidR="00D35D4C">
        <w:rPr>
          <w:rFonts w:ascii="Arial" w:hAnsi="Arial" w:cs="Arial"/>
          <w:sz w:val="20"/>
        </w:rPr>
        <w:t xml:space="preserve">and </w:t>
      </w:r>
      <w:r w:rsidRPr="00D35D4C" w:rsidR="00D35D4C">
        <w:rPr>
          <w:rFonts w:ascii="Arial" w:hAnsi="Arial" w:cs="Arial"/>
          <w:sz w:val="20"/>
        </w:rPr>
        <w:t>appropriateness</w:t>
      </w:r>
      <w:r w:rsidR="00D35D4C">
        <w:rPr>
          <w:rFonts w:ascii="Arial" w:hAnsi="Arial" w:cs="Arial"/>
          <w:sz w:val="20"/>
        </w:rPr>
        <w:t xml:space="preserve"> of messages and materials</w:t>
      </w:r>
      <w:r w:rsidRPr="00D35D4C" w:rsidR="00D35D4C">
        <w:rPr>
          <w:rFonts w:ascii="Arial" w:hAnsi="Arial" w:cs="Arial"/>
          <w:sz w:val="20"/>
        </w:rPr>
        <w:t xml:space="preserve"> and </w:t>
      </w:r>
      <w:r>
        <w:rPr>
          <w:rFonts w:ascii="Arial" w:hAnsi="Arial" w:cs="Arial"/>
          <w:sz w:val="20"/>
        </w:rPr>
        <w:t>how tested materials can be improved to better meet consumers’ needs</w:t>
      </w:r>
      <w:r w:rsidR="001813B1">
        <w:rPr>
          <w:rFonts w:ascii="Arial" w:hAnsi="Arial" w:cs="Arial"/>
          <w:sz w:val="20"/>
        </w:rPr>
        <w:t>;</w:t>
      </w:r>
    </w:p>
    <w:p w:rsidR="00F839F2" w:rsidP="00F91EF9" w:rsidRDefault="00DD4AE4" w14:paraId="05E53AAD" w14:textId="5F3E8B99">
      <w:pPr>
        <w:pStyle w:val="ListParagraph"/>
        <w:numPr>
          <w:ilvl w:val="0"/>
          <w:numId w:val="45"/>
        </w:numPr>
        <w:rPr>
          <w:rFonts w:ascii="Arial" w:hAnsi="Arial" w:cs="Arial"/>
          <w:sz w:val="20"/>
        </w:rPr>
      </w:pPr>
      <w:r w:rsidRPr="005905DF">
        <w:rPr>
          <w:rFonts w:ascii="Arial" w:hAnsi="Arial" w:cs="Arial"/>
          <w:sz w:val="20"/>
        </w:rPr>
        <w:t>Identify what message tactics and material content are most likely to persuade specific target audiences to take action</w:t>
      </w:r>
      <w:r w:rsidR="001505DC">
        <w:rPr>
          <w:rFonts w:ascii="Arial" w:hAnsi="Arial" w:cs="Arial"/>
          <w:sz w:val="20"/>
        </w:rPr>
        <w:t xml:space="preserve"> related to anthrax preparedness and response</w:t>
      </w:r>
      <w:r w:rsidR="001813B1">
        <w:rPr>
          <w:rFonts w:ascii="Arial" w:hAnsi="Arial" w:cs="Arial"/>
          <w:sz w:val="20"/>
        </w:rPr>
        <w:t>; and</w:t>
      </w:r>
    </w:p>
    <w:p w:rsidRPr="00F97F16" w:rsidR="00DD4AE4" w:rsidP="00F97F16" w:rsidRDefault="001505DC" w14:paraId="4A38C09B" w14:textId="796D299C">
      <w:pPr>
        <w:pStyle w:val="ListParagraph"/>
        <w:numPr>
          <w:ilvl w:val="0"/>
          <w:numId w:val="45"/>
        </w:numPr>
        <w:rPr>
          <w:rFonts w:ascii="Arial" w:hAnsi="Arial" w:cs="Arial"/>
          <w:sz w:val="20"/>
        </w:rPr>
      </w:pPr>
      <w:r>
        <w:rPr>
          <w:rFonts w:ascii="Arial" w:hAnsi="Arial" w:cs="Arial"/>
          <w:sz w:val="20"/>
        </w:rPr>
        <w:t xml:space="preserve">Determine what </w:t>
      </w:r>
      <w:r w:rsidR="000C1ECD">
        <w:rPr>
          <w:rFonts w:ascii="Arial" w:hAnsi="Arial" w:cs="Arial"/>
          <w:sz w:val="20"/>
        </w:rPr>
        <w:t xml:space="preserve">additional </w:t>
      </w:r>
      <w:r>
        <w:rPr>
          <w:rFonts w:ascii="Arial" w:hAnsi="Arial" w:cs="Arial"/>
          <w:sz w:val="20"/>
        </w:rPr>
        <w:t>resources</w:t>
      </w:r>
      <w:r w:rsidR="000C1ECD">
        <w:rPr>
          <w:rFonts w:ascii="Arial" w:hAnsi="Arial" w:cs="Arial"/>
          <w:sz w:val="20"/>
        </w:rPr>
        <w:t xml:space="preserve"> and sources of information</w:t>
      </w:r>
      <w:r>
        <w:rPr>
          <w:rFonts w:ascii="Arial" w:hAnsi="Arial" w:cs="Arial"/>
          <w:sz w:val="20"/>
        </w:rPr>
        <w:t xml:space="preserve"> consumers would find helpful </w:t>
      </w:r>
      <w:r w:rsidR="00D35D4C">
        <w:rPr>
          <w:rFonts w:ascii="Arial" w:hAnsi="Arial" w:cs="Arial"/>
          <w:sz w:val="20"/>
        </w:rPr>
        <w:t>for</w:t>
      </w:r>
      <w:r>
        <w:rPr>
          <w:rFonts w:ascii="Arial" w:hAnsi="Arial" w:cs="Arial"/>
          <w:sz w:val="20"/>
        </w:rPr>
        <w:t xml:space="preserve"> anthrax preparedness and response.</w:t>
      </w:r>
      <w:bookmarkEnd w:id="0"/>
    </w:p>
    <w:p w:rsidR="004E6971" w:rsidP="004F23A6" w:rsidRDefault="004E6971" w14:paraId="4D04945D" w14:textId="77777777">
      <w:pPr>
        <w:pStyle w:val="NoSpacing"/>
        <w:rPr>
          <w:rFonts w:ascii="Arial" w:hAnsi="Arial" w:cs="Arial"/>
          <w:b/>
          <w:sz w:val="20"/>
        </w:rPr>
      </w:pPr>
    </w:p>
    <w:p w:rsidR="00955EA0" w:rsidP="004F23A6" w:rsidRDefault="004F23A6" w14:paraId="348BC657" w14:textId="5321A6B0">
      <w:pPr>
        <w:pStyle w:val="NoSpacing"/>
        <w:rPr>
          <w:rFonts w:ascii="Arial" w:hAnsi="Arial" w:cs="Arial"/>
          <w:b/>
          <w:sz w:val="20"/>
        </w:rPr>
      </w:pPr>
      <w:r w:rsidRPr="00E77B46">
        <w:rPr>
          <w:rFonts w:ascii="Arial" w:hAnsi="Arial" w:cs="Arial"/>
          <w:b/>
          <w:sz w:val="20"/>
        </w:rPr>
        <w:t>Methods</w:t>
      </w:r>
    </w:p>
    <w:p w:rsidR="00E9329D" w:rsidP="0036480A" w:rsidRDefault="00F1162C" w14:paraId="30A906AA" w14:textId="566581F5">
      <w:pPr>
        <w:pStyle w:val="NoSpacing"/>
        <w:rPr>
          <w:rFonts w:ascii="Arial" w:hAnsi="Arial" w:cs="Arial"/>
          <w:sz w:val="20"/>
        </w:rPr>
      </w:pPr>
      <w:r>
        <w:rPr>
          <w:rFonts w:ascii="Arial" w:hAnsi="Arial" w:cs="Arial"/>
          <w:b/>
          <w:sz w:val="20"/>
        </w:rPr>
        <w:t xml:space="preserve">Overview </w:t>
      </w:r>
      <w:r w:rsidR="001148F3">
        <w:rPr>
          <w:rFonts w:ascii="Arial" w:hAnsi="Arial" w:cs="Arial"/>
          <w:b/>
          <w:sz w:val="20"/>
        </w:rPr>
        <w:t>–</w:t>
      </w:r>
      <w:r>
        <w:rPr>
          <w:rFonts w:ascii="Arial" w:hAnsi="Arial" w:cs="Arial"/>
          <w:b/>
          <w:sz w:val="20"/>
        </w:rPr>
        <w:t xml:space="preserve"> </w:t>
      </w:r>
      <w:r w:rsidRPr="00E77B46" w:rsidR="008A493E">
        <w:rPr>
          <w:rFonts w:ascii="Arial" w:hAnsi="Arial" w:cs="Arial"/>
          <w:sz w:val="20"/>
        </w:rPr>
        <w:t>C</w:t>
      </w:r>
      <w:r w:rsidR="001148F3">
        <w:rPr>
          <w:rFonts w:ascii="Arial" w:hAnsi="Arial" w:cs="Arial"/>
          <w:sz w:val="20"/>
        </w:rPr>
        <w:t>on</w:t>
      </w:r>
      <w:r w:rsidR="00773E8B">
        <w:rPr>
          <w:rFonts w:ascii="Arial" w:hAnsi="Arial" w:cs="Arial"/>
          <w:sz w:val="20"/>
        </w:rPr>
        <w:t>tractor</w:t>
      </w:r>
      <w:r w:rsidR="001148F3">
        <w:rPr>
          <w:rFonts w:ascii="Arial" w:hAnsi="Arial" w:cs="Arial"/>
          <w:sz w:val="20"/>
        </w:rPr>
        <w:t xml:space="preserve"> will conduct</w:t>
      </w:r>
      <w:r w:rsidR="00054B76">
        <w:rPr>
          <w:rFonts w:ascii="Arial" w:hAnsi="Arial" w:cs="Arial"/>
          <w:sz w:val="20"/>
        </w:rPr>
        <w:t xml:space="preserve"> </w:t>
      </w:r>
      <w:r w:rsidR="00E9329D">
        <w:rPr>
          <w:rFonts w:ascii="Arial" w:hAnsi="Arial" w:cs="Arial"/>
          <w:sz w:val="20"/>
        </w:rPr>
        <w:t xml:space="preserve">16 web-assisted </w:t>
      </w:r>
      <w:r w:rsidR="00EE05C6">
        <w:rPr>
          <w:rFonts w:ascii="Arial" w:hAnsi="Arial" w:cs="Arial"/>
          <w:sz w:val="20"/>
        </w:rPr>
        <w:t xml:space="preserve">telephone </w:t>
      </w:r>
      <w:r w:rsidR="00E9329D">
        <w:rPr>
          <w:rFonts w:ascii="Arial" w:hAnsi="Arial" w:cs="Arial"/>
          <w:sz w:val="20"/>
        </w:rPr>
        <w:t xml:space="preserve">IDIs with </w:t>
      </w:r>
      <w:r w:rsidR="009E60F9">
        <w:rPr>
          <w:rFonts w:ascii="Arial" w:hAnsi="Arial" w:cs="Arial"/>
          <w:sz w:val="20"/>
        </w:rPr>
        <w:t>adults</w:t>
      </w:r>
      <w:r w:rsidR="00400A7D">
        <w:rPr>
          <w:rFonts w:ascii="Arial" w:hAnsi="Arial" w:cs="Arial"/>
          <w:sz w:val="20"/>
        </w:rPr>
        <w:t xml:space="preserve"> </w:t>
      </w:r>
      <w:r w:rsidR="00E9329D">
        <w:rPr>
          <w:rFonts w:ascii="Arial" w:hAnsi="Arial" w:cs="Arial"/>
          <w:sz w:val="20"/>
        </w:rPr>
        <w:t xml:space="preserve">to collect feedback on NCEZID materials that address </w:t>
      </w:r>
      <w:r w:rsidR="00FA643E">
        <w:rPr>
          <w:rFonts w:ascii="Arial" w:hAnsi="Arial" w:cs="Arial"/>
          <w:sz w:val="20"/>
        </w:rPr>
        <w:t>topics around</w:t>
      </w:r>
      <w:r w:rsidR="00E9329D">
        <w:rPr>
          <w:rFonts w:ascii="Arial" w:hAnsi="Arial" w:cs="Arial"/>
          <w:sz w:val="20"/>
        </w:rPr>
        <w:t xml:space="preserve"> anthrax preparedness.</w:t>
      </w:r>
      <w:r w:rsidR="00345ED1">
        <w:rPr>
          <w:rFonts w:ascii="Arial" w:hAnsi="Arial" w:cs="Arial"/>
          <w:sz w:val="20"/>
        </w:rPr>
        <w:t xml:space="preserve"> Materials were developed in conjunction with experts from NCEZID’s Division of High Consequence Pathogens and Pathology, as well as other relevant CDC programs.</w:t>
      </w:r>
      <w:r w:rsidR="00E9329D">
        <w:rPr>
          <w:rFonts w:ascii="Arial" w:hAnsi="Arial" w:cs="Arial"/>
          <w:sz w:val="20"/>
        </w:rPr>
        <w:t xml:space="preserve"> CDC staff will observe discussions. The primary audience for the IDIs is</w:t>
      </w:r>
      <w:r w:rsidR="00400A7D">
        <w:rPr>
          <w:rFonts w:ascii="Arial" w:hAnsi="Arial" w:cs="Arial"/>
          <w:sz w:val="20"/>
        </w:rPr>
        <w:t xml:space="preserve"> adults age 65+, parents of children 0–17</w:t>
      </w:r>
      <w:r w:rsidR="009E60F9">
        <w:rPr>
          <w:rFonts w:ascii="Arial" w:hAnsi="Arial" w:cs="Arial"/>
          <w:sz w:val="20"/>
        </w:rPr>
        <w:t xml:space="preserve"> years old</w:t>
      </w:r>
      <w:r w:rsidRPr="00F97F16" w:rsidR="00F97F16">
        <w:rPr>
          <w:rStyle w:val="FootnoteReference"/>
          <w:rFonts w:ascii="Arial" w:hAnsi="Arial" w:cs="Arial"/>
          <w:sz w:val="20"/>
          <w:vertAlign w:val="superscript"/>
        </w:rPr>
        <w:footnoteReference w:id="1"/>
      </w:r>
      <w:r w:rsidR="00400A7D">
        <w:rPr>
          <w:rFonts w:ascii="Arial" w:hAnsi="Arial" w:cs="Arial"/>
          <w:sz w:val="20"/>
        </w:rPr>
        <w:t xml:space="preserve">, and </w:t>
      </w:r>
      <w:r w:rsidR="00480B46">
        <w:rPr>
          <w:rFonts w:ascii="Arial" w:hAnsi="Arial" w:cs="Arial"/>
          <w:sz w:val="20"/>
        </w:rPr>
        <w:t>ESL</w:t>
      </w:r>
      <w:r w:rsidR="00400A7D">
        <w:rPr>
          <w:rFonts w:ascii="Arial" w:hAnsi="Arial" w:cs="Arial"/>
          <w:sz w:val="20"/>
        </w:rPr>
        <w:t xml:space="preserve"> adults (at least two of which will be parents of children 0–17</w:t>
      </w:r>
      <w:r w:rsidR="009E60F9">
        <w:rPr>
          <w:rFonts w:ascii="Arial" w:hAnsi="Arial" w:cs="Arial"/>
          <w:sz w:val="20"/>
        </w:rPr>
        <w:t xml:space="preserve"> years old</w:t>
      </w:r>
      <w:r w:rsidR="00400A7D">
        <w:rPr>
          <w:rFonts w:ascii="Arial" w:hAnsi="Arial" w:cs="Arial"/>
          <w:sz w:val="20"/>
        </w:rPr>
        <w:t>)</w:t>
      </w:r>
      <w:r w:rsidR="00E9329D">
        <w:rPr>
          <w:rFonts w:ascii="Arial" w:hAnsi="Arial" w:cs="Arial"/>
          <w:sz w:val="20"/>
        </w:rPr>
        <w:t xml:space="preserve">. Participants will come from </w:t>
      </w:r>
      <w:r w:rsidR="00400A7D">
        <w:rPr>
          <w:rFonts w:ascii="Arial" w:hAnsi="Arial" w:cs="Arial"/>
          <w:sz w:val="20"/>
        </w:rPr>
        <w:t>four U.S. Census</w:t>
      </w:r>
      <w:r w:rsidR="00E9329D">
        <w:rPr>
          <w:rFonts w:ascii="Arial" w:hAnsi="Arial" w:cs="Arial"/>
          <w:sz w:val="20"/>
        </w:rPr>
        <w:t xml:space="preserve"> regions</w:t>
      </w:r>
      <w:r w:rsidR="00400A7D">
        <w:rPr>
          <w:rFonts w:ascii="Arial" w:hAnsi="Arial" w:cs="Arial"/>
          <w:sz w:val="20"/>
        </w:rPr>
        <w:t xml:space="preserve"> (Northeast, South, Midwest, West) to capture insights from consumers across the United States</w:t>
      </w:r>
      <w:r w:rsidR="00E9329D">
        <w:rPr>
          <w:rFonts w:ascii="Arial" w:hAnsi="Arial" w:cs="Arial"/>
          <w:sz w:val="20"/>
        </w:rPr>
        <w:t xml:space="preserve">. This inquiry will be undertaken with </w:t>
      </w:r>
      <w:r w:rsidR="00D601C2">
        <w:rPr>
          <w:rFonts w:ascii="Arial" w:hAnsi="Arial" w:cs="Arial"/>
          <w:sz w:val="20"/>
        </w:rPr>
        <w:t>three</w:t>
      </w:r>
      <w:r w:rsidR="00E9329D">
        <w:rPr>
          <w:rFonts w:ascii="Arial" w:hAnsi="Arial" w:cs="Arial"/>
          <w:sz w:val="20"/>
        </w:rPr>
        <w:t xml:space="preserve"> main steps, detailed below: </w:t>
      </w:r>
    </w:p>
    <w:p w:rsidR="00E9329D" w:rsidP="00E9329D" w:rsidRDefault="00E9329D" w14:paraId="6AB14BB2" w14:textId="3EB14DE2">
      <w:pPr>
        <w:pStyle w:val="NoSpacing"/>
        <w:numPr>
          <w:ilvl w:val="0"/>
          <w:numId w:val="46"/>
        </w:numPr>
        <w:rPr>
          <w:rFonts w:ascii="Arial" w:hAnsi="Arial" w:cs="Arial"/>
          <w:sz w:val="20"/>
        </w:rPr>
      </w:pPr>
      <w:r>
        <w:rPr>
          <w:rFonts w:ascii="Arial" w:hAnsi="Arial" w:cs="Arial"/>
          <w:sz w:val="20"/>
        </w:rPr>
        <w:t>IDI recruitment</w:t>
      </w:r>
    </w:p>
    <w:p w:rsidR="00E9329D" w:rsidP="00E9329D" w:rsidRDefault="00E9329D" w14:paraId="09AC2854" w14:textId="33D5E219">
      <w:pPr>
        <w:pStyle w:val="NoSpacing"/>
        <w:numPr>
          <w:ilvl w:val="0"/>
          <w:numId w:val="46"/>
        </w:numPr>
        <w:rPr>
          <w:rFonts w:ascii="Arial" w:hAnsi="Arial" w:cs="Arial"/>
          <w:sz w:val="20"/>
        </w:rPr>
      </w:pPr>
      <w:r>
        <w:rPr>
          <w:rFonts w:ascii="Arial" w:hAnsi="Arial" w:cs="Arial"/>
          <w:sz w:val="20"/>
        </w:rPr>
        <w:t>IDI implementation</w:t>
      </w:r>
    </w:p>
    <w:p w:rsidRPr="00E9329D" w:rsidR="00E9329D" w:rsidP="00E9329D" w:rsidRDefault="00E9329D" w14:paraId="1C200140" w14:textId="1CD838B5">
      <w:pPr>
        <w:pStyle w:val="NoSpacing"/>
        <w:numPr>
          <w:ilvl w:val="0"/>
          <w:numId w:val="46"/>
        </w:numPr>
        <w:rPr>
          <w:rFonts w:ascii="Arial" w:hAnsi="Arial" w:cs="Arial"/>
          <w:sz w:val="20"/>
        </w:rPr>
      </w:pPr>
      <w:r>
        <w:rPr>
          <w:rFonts w:ascii="Arial" w:hAnsi="Arial" w:cs="Arial"/>
          <w:sz w:val="20"/>
        </w:rPr>
        <w:t>IDI analysis and reporting</w:t>
      </w:r>
    </w:p>
    <w:p w:rsidRPr="00E77B46" w:rsidR="008A493E" w:rsidP="004F23A6" w:rsidRDefault="008A493E" w14:paraId="5768C40C" w14:textId="77777777">
      <w:pPr>
        <w:pStyle w:val="NoSpacing"/>
        <w:ind w:left="360"/>
        <w:rPr>
          <w:rFonts w:ascii="Arial" w:hAnsi="Arial" w:cs="Arial"/>
          <w:sz w:val="20"/>
        </w:rPr>
      </w:pPr>
    </w:p>
    <w:p w:rsidRPr="00E77B46" w:rsidR="00205F38" w:rsidP="00205F38" w:rsidRDefault="00205F38" w14:paraId="303DC2AB" w14:textId="3292F4B5">
      <w:pPr>
        <w:widowControl/>
        <w:contextualSpacing/>
        <w:rPr>
          <w:rFonts w:ascii="Arial" w:hAnsi="Arial" w:cs="Arial"/>
          <w:sz w:val="20"/>
          <w:u w:val="single"/>
        </w:rPr>
      </w:pPr>
      <w:r w:rsidRPr="00E77B46">
        <w:rPr>
          <w:rFonts w:ascii="Arial" w:hAnsi="Arial" w:cs="Arial"/>
          <w:sz w:val="20"/>
          <w:u w:val="single"/>
        </w:rPr>
        <w:lastRenderedPageBreak/>
        <w:t xml:space="preserve">Step </w:t>
      </w:r>
      <w:r w:rsidR="004E6971">
        <w:rPr>
          <w:rFonts w:ascii="Arial" w:hAnsi="Arial" w:cs="Arial"/>
          <w:sz w:val="20"/>
          <w:u w:val="single"/>
        </w:rPr>
        <w:t>1</w:t>
      </w:r>
      <w:r w:rsidRPr="00E77B46">
        <w:rPr>
          <w:rFonts w:ascii="Arial" w:hAnsi="Arial" w:cs="Arial"/>
          <w:sz w:val="20"/>
          <w:u w:val="single"/>
        </w:rPr>
        <w:t xml:space="preserve">. </w:t>
      </w:r>
      <w:r w:rsidR="007E459F">
        <w:rPr>
          <w:rFonts w:ascii="Arial" w:hAnsi="Arial" w:cs="Arial"/>
          <w:sz w:val="20"/>
          <w:u w:val="single"/>
        </w:rPr>
        <w:t>In-depth interview</w:t>
      </w:r>
      <w:r w:rsidRPr="00E77B46">
        <w:rPr>
          <w:rFonts w:ascii="Arial" w:hAnsi="Arial" w:cs="Arial"/>
          <w:sz w:val="20"/>
          <w:u w:val="single"/>
        </w:rPr>
        <w:t xml:space="preserve"> </w:t>
      </w:r>
      <w:r w:rsidR="00911788">
        <w:rPr>
          <w:rFonts w:ascii="Arial" w:hAnsi="Arial" w:cs="Arial"/>
          <w:sz w:val="20"/>
          <w:u w:val="single"/>
        </w:rPr>
        <w:t>recruitment</w:t>
      </w:r>
      <w:r w:rsidRPr="00E77B46">
        <w:rPr>
          <w:rFonts w:ascii="Arial" w:hAnsi="Arial" w:cs="Arial"/>
          <w:sz w:val="20"/>
          <w:u w:val="single"/>
        </w:rPr>
        <w:t xml:space="preserve"> </w:t>
      </w:r>
    </w:p>
    <w:p w:rsidRPr="00C95F12" w:rsidR="00001283" w:rsidP="00D601C2" w:rsidRDefault="00AD6CA8" w14:paraId="75A8FE9B" w14:textId="71AEC201">
      <w:pPr>
        <w:rPr>
          <w:rFonts w:ascii="Arial" w:hAnsi="Arial" w:cs="Arial"/>
          <w:sz w:val="20"/>
        </w:rPr>
      </w:pPr>
      <w:r w:rsidRPr="00816389">
        <w:rPr>
          <w:rFonts w:ascii="Arial" w:hAnsi="Arial" w:cs="Arial"/>
          <w:sz w:val="20"/>
        </w:rPr>
        <w:t>The con</w:t>
      </w:r>
      <w:r w:rsidRPr="00816389" w:rsidR="00223456">
        <w:rPr>
          <w:rFonts w:ascii="Arial" w:hAnsi="Arial" w:cs="Arial"/>
          <w:sz w:val="20"/>
        </w:rPr>
        <w:t>tractor</w:t>
      </w:r>
      <w:r w:rsidRPr="00816389">
        <w:rPr>
          <w:rFonts w:ascii="Arial" w:hAnsi="Arial" w:cs="Arial"/>
          <w:sz w:val="20"/>
        </w:rPr>
        <w:t xml:space="preserve"> </w:t>
      </w:r>
      <w:r w:rsidRPr="00816389" w:rsidR="00001283">
        <w:rPr>
          <w:rFonts w:ascii="Arial" w:hAnsi="Arial" w:cs="Arial"/>
          <w:sz w:val="20"/>
        </w:rPr>
        <w:t xml:space="preserve">will recruit a total of </w:t>
      </w:r>
      <w:r w:rsidR="007E459F">
        <w:rPr>
          <w:rFonts w:ascii="Arial" w:hAnsi="Arial" w:cs="Arial"/>
          <w:sz w:val="20"/>
        </w:rPr>
        <w:t xml:space="preserve">16 participants in </w:t>
      </w:r>
      <w:r w:rsidR="009E60F9">
        <w:rPr>
          <w:rFonts w:ascii="Arial" w:hAnsi="Arial" w:cs="Arial"/>
          <w:sz w:val="20"/>
        </w:rPr>
        <w:t xml:space="preserve">three </w:t>
      </w:r>
      <w:r w:rsidR="007E459F">
        <w:rPr>
          <w:rFonts w:ascii="Arial" w:hAnsi="Arial" w:cs="Arial"/>
          <w:sz w:val="20"/>
        </w:rPr>
        <w:t>categories (</w:t>
      </w:r>
      <w:r w:rsidR="009E60F9">
        <w:rPr>
          <w:rFonts w:ascii="Arial" w:hAnsi="Arial" w:cs="Arial"/>
          <w:sz w:val="20"/>
        </w:rPr>
        <w:t xml:space="preserve">adults age 65+, parents of children 0–17 years old, and </w:t>
      </w:r>
      <w:r w:rsidR="00480B46">
        <w:rPr>
          <w:rFonts w:ascii="Arial" w:hAnsi="Arial" w:cs="Arial"/>
          <w:sz w:val="20"/>
        </w:rPr>
        <w:t>ESL</w:t>
      </w:r>
      <w:r w:rsidR="009E60F9">
        <w:rPr>
          <w:rFonts w:ascii="Arial" w:hAnsi="Arial" w:cs="Arial"/>
          <w:sz w:val="20"/>
        </w:rPr>
        <w:t xml:space="preserve"> adults</w:t>
      </w:r>
      <w:r w:rsidR="007E459F">
        <w:rPr>
          <w:rFonts w:ascii="Arial" w:hAnsi="Arial" w:cs="Arial"/>
          <w:sz w:val="20"/>
        </w:rPr>
        <w:t>)</w:t>
      </w:r>
      <w:r w:rsidRPr="00816389" w:rsidR="00A642B4">
        <w:rPr>
          <w:rFonts w:ascii="Arial" w:hAnsi="Arial" w:cs="Arial"/>
          <w:sz w:val="20"/>
        </w:rPr>
        <w:t xml:space="preserve"> </w:t>
      </w:r>
      <w:r w:rsidRPr="00816389" w:rsidR="00001283">
        <w:rPr>
          <w:rFonts w:ascii="Arial" w:hAnsi="Arial" w:cs="Arial"/>
          <w:sz w:val="20"/>
        </w:rPr>
        <w:t xml:space="preserve">to participate in a total of </w:t>
      </w:r>
      <w:r w:rsidR="007E459F">
        <w:rPr>
          <w:rFonts w:ascii="Arial" w:hAnsi="Arial" w:cs="Arial"/>
          <w:sz w:val="20"/>
        </w:rPr>
        <w:t>16</w:t>
      </w:r>
      <w:r w:rsidRPr="00816389" w:rsidR="00001283">
        <w:rPr>
          <w:rFonts w:ascii="Arial" w:hAnsi="Arial" w:cs="Arial"/>
          <w:sz w:val="20"/>
        </w:rPr>
        <w:t xml:space="preserve"> </w:t>
      </w:r>
      <w:r w:rsidR="007E459F">
        <w:rPr>
          <w:rFonts w:ascii="Arial" w:hAnsi="Arial" w:cs="Arial"/>
          <w:sz w:val="20"/>
        </w:rPr>
        <w:t xml:space="preserve">IDIs via teleconference. </w:t>
      </w:r>
      <w:r w:rsidRPr="00816389" w:rsidR="007F1729">
        <w:rPr>
          <w:rFonts w:ascii="Arial" w:hAnsi="Arial" w:cs="Arial"/>
          <w:sz w:val="20"/>
        </w:rPr>
        <w:t xml:space="preserve">Potential participants will be screened to exclude people who have recently and/or frequently participated in </w:t>
      </w:r>
      <w:r w:rsidR="007E459F">
        <w:rPr>
          <w:rFonts w:ascii="Arial" w:hAnsi="Arial" w:cs="Arial"/>
          <w:sz w:val="20"/>
        </w:rPr>
        <w:t>IDIs</w:t>
      </w:r>
      <w:r w:rsidRPr="00816389" w:rsidR="007F1729">
        <w:rPr>
          <w:rFonts w:ascii="Arial" w:hAnsi="Arial" w:cs="Arial"/>
          <w:sz w:val="20"/>
        </w:rPr>
        <w:t xml:space="preserve">, </w:t>
      </w:r>
      <w:r w:rsidRPr="00816389" w:rsidR="002D53BA">
        <w:rPr>
          <w:rFonts w:ascii="Arial" w:hAnsi="Arial" w:cs="Arial"/>
          <w:sz w:val="20"/>
        </w:rPr>
        <w:t>f</w:t>
      </w:r>
      <w:r w:rsidRPr="00816389" w:rsidR="007F1729">
        <w:rPr>
          <w:rFonts w:ascii="Arial" w:hAnsi="Arial" w:cs="Arial"/>
          <w:sz w:val="20"/>
        </w:rPr>
        <w:t xml:space="preserve">ederal employees, </w:t>
      </w:r>
      <w:r w:rsidRPr="00816389" w:rsidR="00223456">
        <w:rPr>
          <w:rFonts w:ascii="Arial" w:hAnsi="Arial" w:cs="Arial"/>
          <w:sz w:val="20"/>
        </w:rPr>
        <w:t>health professionals</w:t>
      </w:r>
      <w:r w:rsidRPr="00816389" w:rsidR="007F1729">
        <w:rPr>
          <w:rFonts w:ascii="Arial" w:hAnsi="Arial" w:cs="Arial"/>
          <w:sz w:val="20"/>
        </w:rPr>
        <w:t xml:space="preserve">, </w:t>
      </w:r>
      <w:r w:rsidRPr="00816389" w:rsidR="002349F3">
        <w:rPr>
          <w:rFonts w:ascii="Arial" w:hAnsi="Arial" w:cs="Arial"/>
          <w:sz w:val="20"/>
        </w:rPr>
        <w:t xml:space="preserve">and </w:t>
      </w:r>
      <w:r w:rsidRPr="00816389" w:rsidR="007F1729">
        <w:rPr>
          <w:rFonts w:ascii="Arial" w:hAnsi="Arial" w:cs="Arial"/>
          <w:sz w:val="20"/>
        </w:rPr>
        <w:t>communications and marketing professionals</w:t>
      </w:r>
      <w:r w:rsidRPr="00816389" w:rsidR="00223456">
        <w:rPr>
          <w:rFonts w:ascii="Arial" w:hAnsi="Arial" w:cs="Arial"/>
          <w:sz w:val="20"/>
        </w:rPr>
        <w:t>,</w:t>
      </w:r>
      <w:r w:rsidRPr="00816389" w:rsidR="007F1729">
        <w:rPr>
          <w:rFonts w:ascii="Arial" w:hAnsi="Arial" w:cs="Arial"/>
          <w:sz w:val="20"/>
        </w:rPr>
        <w:t xml:space="preserve"> as these types of part</w:t>
      </w:r>
      <w:r w:rsidRPr="00816389" w:rsidR="00C94F85">
        <w:rPr>
          <w:rFonts w:ascii="Arial" w:hAnsi="Arial" w:cs="Arial"/>
          <w:sz w:val="20"/>
        </w:rPr>
        <w:t xml:space="preserve">icipants may bias the </w:t>
      </w:r>
      <w:r w:rsidR="009E60F9">
        <w:rPr>
          <w:rFonts w:ascii="Arial" w:hAnsi="Arial" w:cs="Arial"/>
          <w:sz w:val="20"/>
        </w:rPr>
        <w:t>interview</w:t>
      </w:r>
      <w:r w:rsidRPr="00816389" w:rsidR="00C94F85">
        <w:rPr>
          <w:rFonts w:ascii="Arial" w:hAnsi="Arial" w:cs="Arial"/>
          <w:sz w:val="20"/>
        </w:rPr>
        <w:t>.</w:t>
      </w:r>
    </w:p>
    <w:p w:rsidRPr="00E77B46" w:rsidR="00001283" w:rsidP="00205F38" w:rsidRDefault="00001283" w14:paraId="008D3C50" w14:textId="77777777">
      <w:pPr>
        <w:rPr>
          <w:rFonts w:ascii="Arial" w:hAnsi="Arial" w:cs="Arial"/>
          <w:sz w:val="20"/>
        </w:rPr>
      </w:pPr>
    </w:p>
    <w:p w:rsidR="00816389" w:rsidP="00816389" w:rsidRDefault="006E7DEE" w14:paraId="7A9BF425" w14:textId="25F9AF58">
      <w:pPr>
        <w:rPr>
          <w:rFonts w:ascii="Arial" w:hAnsi="Arial" w:cs="Arial"/>
          <w:sz w:val="20"/>
        </w:rPr>
      </w:pPr>
      <w:r w:rsidRPr="00E77B46">
        <w:rPr>
          <w:rFonts w:ascii="Arial" w:hAnsi="Arial" w:cs="Arial"/>
          <w:sz w:val="20"/>
          <w:u w:val="single"/>
        </w:rPr>
        <w:t>Step</w:t>
      </w:r>
      <w:r w:rsidRPr="00E77B46" w:rsidR="008A493E">
        <w:rPr>
          <w:rFonts w:ascii="Arial" w:hAnsi="Arial" w:cs="Arial"/>
          <w:sz w:val="20"/>
          <w:u w:val="single"/>
        </w:rPr>
        <w:t xml:space="preserve"> </w:t>
      </w:r>
      <w:r w:rsidR="004E6971">
        <w:rPr>
          <w:rFonts w:ascii="Arial" w:hAnsi="Arial" w:cs="Arial"/>
          <w:sz w:val="20"/>
          <w:u w:val="single"/>
        </w:rPr>
        <w:t>2</w:t>
      </w:r>
      <w:r w:rsidRPr="00E77B46" w:rsidR="008A493E">
        <w:rPr>
          <w:rFonts w:ascii="Arial" w:hAnsi="Arial" w:cs="Arial"/>
          <w:sz w:val="20"/>
          <w:u w:val="single"/>
        </w:rPr>
        <w:t xml:space="preserve">. </w:t>
      </w:r>
      <w:r w:rsidR="005161D8">
        <w:rPr>
          <w:rFonts w:ascii="Arial" w:hAnsi="Arial" w:cs="Arial"/>
          <w:sz w:val="20"/>
          <w:u w:val="single"/>
        </w:rPr>
        <w:t>IDI</w:t>
      </w:r>
      <w:r w:rsidRPr="00E77B46" w:rsidR="008A493E">
        <w:rPr>
          <w:rFonts w:ascii="Arial" w:hAnsi="Arial" w:cs="Arial"/>
          <w:sz w:val="20"/>
          <w:u w:val="single"/>
        </w:rPr>
        <w:t xml:space="preserve"> Implementation</w:t>
      </w:r>
    </w:p>
    <w:p w:rsidRPr="00816389" w:rsidR="003C1CAB" w:rsidP="00816389" w:rsidRDefault="007F1729" w14:paraId="1451E774" w14:textId="0DEE6399">
      <w:pPr>
        <w:rPr>
          <w:rFonts w:ascii="Arial" w:hAnsi="Arial" w:cs="Arial"/>
          <w:sz w:val="20"/>
        </w:rPr>
      </w:pPr>
      <w:r w:rsidRPr="00816389">
        <w:rPr>
          <w:rFonts w:ascii="Arial" w:hAnsi="Arial" w:cs="Arial" w:eastAsiaTheme="minorHAnsi"/>
          <w:snapToGrid/>
          <w:sz w:val="20"/>
        </w:rPr>
        <w:t xml:space="preserve">The </w:t>
      </w:r>
      <w:r w:rsidRPr="00816389" w:rsidR="006B7466">
        <w:rPr>
          <w:rFonts w:ascii="Arial" w:hAnsi="Arial" w:cs="Arial" w:eastAsiaTheme="minorHAnsi"/>
          <w:snapToGrid/>
          <w:sz w:val="20"/>
        </w:rPr>
        <w:t>contractor</w:t>
      </w:r>
      <w:r w:rsidRPr="00816389" w:rsidR="00AD6CA8">
        <w:rPr>
          <w:rFonts w:ascii="Arial" w:hAnsi="Arial" w:cs="Arial" w:eastAsiaTheme="minorHAnsi"/>
          <w:snapToGrid/>
          <w:sz w:val="20"/>
        </w:rPr>
        <w:t xml:space="preserve"> </w:t>
      </w:r>
      <w:r w:rsidRPr="00816389" w:rsidR="00D46509">
        <w:rPr>
          <w:rFonts w:ascii="Arial" w:hAnsi="Arial" w:cs="Arial" w:eastAsiaTheme="minorHAnsi"/>
          <w:snapToGrid/>
          <w:sz w:val="20"/>
        </w:rPr>
        <w:t xml:space="preserve">will conduct the </w:t>
      </w:r>
      <w:r w:rsidR="005161D8">
        <w:rPr>
          <w:rFonts w:ascii="Arial" w:hAnsi="Arial" w:cs="Arial" w:eastAsiaTheme="minorHAnsi"/>
          <w:snapToGrid/>
          <w:sz w:val="20"/>
        </w:rPr>
        <w:t>IDIs</w:t>
      </w:r>
      <w:r w:rsidRPr="00816389" w:rsidR="009E6A92">
        <w:rPr>
          <w:rFonts w:ascii="Arial" w:hAnsi="Arial" w:cs="Arial" w:eastAsiaTheme="minorHAnsi"/>
          <w:snapToGrid/>
          <w:sz w:val="20"/>
        </w:rPr>
        <w:t xml:space="preserve"> </w:t>
      </w:r>
      <w:r w:rsidR="004457F7">
        <w:rPr>
          <w:rFonts w:ascii="Arial" w:hAnsi="Arial" w:cs="Arial" w:eastAsiaTheme="minorHAnsi"/>
          <w:snapToGrid/>
          <w:sz w:val="20"/>
        </w:rPr>
        <w:t xml:space="preserve">using the online platform GoToMeeting and </w:t>
      </w:r>
      <w:r w:rsidR="005161D8">
        <w:rPr>
          <w:rFonts w:ascii="Arial" w:hAnsi="Arial" w:cs="Arial" w:eastAsiaTheme="minorHAnsi"/>
          <w:snapToGrid/>
          <w:sz w:val="20"/>
        </w:rPr>
        <w:t xml:space="preserve">a dedicated conference line. </w:t>
      </w:r>
      <w:r w:rsidR="004457F7">
        <w:rPr>
          <w:rFonts w:ascii="Arial" w:hAnsi="Arial" w:cs="Arial" w:eastAsiaTheme="minorHAnsi"/>
          <w:snapToGrid/>
          <w:sz w:val="20"/>
        </w:rPr>
        <w:t>CDC will log</w:t>
      </w:r>
      <w:r w:rsidR="00470FA9">
        <w:rPr>
          <w:rFonts w:ascii="Arial" w:hAnsi="Arial" w:cs="Arial" w:eastAsiaTheme="minorHAnsi"/>
          <w:snapToGrid/>
          <w:sz w:val="20"/>
        </w:rPr>
        <w:t xml:space="preserve"> in</w:t>
      </w:r>
      <w:r w:rsidR="004457F7">
        <w:rPr>
          <w:rFonts w:ascii="Arial" w:hAnsi="Arial" w:cs="Arial" w:eastAsiaTheme="minorHAnsi"/>
          <w:snapToGrid/>
          <w:sz w:val="20"/>
        </w:rPr>
        <w:t xml:space="preserve"> to the </w:t>
      </w:r>
      <w:r w:rsidR="00716577">
        <w:rPr>
          <w:rFonts w:ascii="Arial" w:hAnsi="Arial" w:cs="Arial" w:eastAsiaTheme="minorHAnsi"/>
          <w:snapToGrid/>
          <w:sz w:val="20"/>
        </w:rPr>
        <w:t>interviews</w:t>
      </w:r>
      <w:r w:rsidR="004457F7">
        <w:rPr>
          <w:rFonts w:ascii="Arial" w:hAnsi="Arial" w:cs="Arial" w:eastAsiaTheme="minorHAnsi"/>
          <w:snapToGrid/>
          <w:sz w:val="20"/>
        </w:rPr>
        <w:t xml:space="preserve"> to listen to the participants. </w:t>
      </w:r>
      <w:r w:rsidRPr="00816389" w:rsidR="00D46509">
        <w:rPr>
          <w:rFonts w:ascii="Arial" w:hAnsi="Arial" w:cs="Arial" w:eastAsiaTheme="minorHAnsi"/>
          <w:snapToGrid/>
          <w:sz w:val="20"/>
        </w:rPr>
        <w:t xml:space="preserve">Experienced </w:t>
      </w:r>
      <w:r w:rsidRPr="00816389" w:rsidR="006B7466">
        <w:rPr>
          <w:rFonts w:ascii="Arial" w:hAnsi="Arial" w:cs="Arial" w:eastAsiaTheme="minorHAnsi"/>
          <w:snapToGrid/>
          <w:sz w:val="20"/>
        </w:rPr>
        <w:t>contractor</w:t>
      </w:r>
      <w:r w:rsidRPr="00816389" w:rsidR="00EE6093">
        <w:rPr>
          <w:rFonts w:ascii="Arial" w:hAnsi="Arial" w:cs="Arial" w:eastAsiaTheme="minorHAnsi"/>
          <w:snapToGrid/>
          <w:sz w:val="20"/>
        </w:rPr>
        <w:t xml:space="preserve"> </w:t>
      </w:r>
      <w:r w:rsidR="0032134C">
        <w:rPr>
          <w:rFonts w:ascii="Arial" w:hAnsi="Arial" w:cs="Arial" w:eastAsiaTheme="minorHAnsi"/>
          <w:snapToGrid/>
          <w:sz w:val="20"/>
        </w:rPr>
        <w:t>interviewers</w:t>
      </w:r>
      <w:r w:rsidRPr="00816389" w:rsidR="0032134C">
        <w:rPr>
          <w:rFonts w:ascii="Arial" w:hAnsi="Arial" w:cs="Arial" w:eastAsiaTheme="minorHAnsi"/>
          <w:snapToGrid/>
          <w:sz w:val="20"/>
        </w:rPr>
        <w:t xml:space="preserve"> </w:t>
      </w:r>
      <w:r w:rsidRPr="00816389" w:rsidR="00D46509">
        <w:rPr>
          <w:rFonts w:ascii="Arial" w:hAnsi="Arial" w:cs="Arial" w:eastAsiaTheme="minorHAnsi"/>
          <w:snapToGrid/>
          <w:sz w:val="20"/>
        </w:rPr>
        <w:t xml:space="preserve">will facilitate </w:t>
      </w:r>
      <w:r w:rsidR="005161D8">
        <w:rPr>
          <w:rFonts w:ascii="Arial" w:hAnsi="Arial" w:cs="Arial" w:eastAsiaTheme="minorHAnsi"/>
          <w:snapToGrid/>
          <w:sz w:val="20"/>
        </w:rPr>
        <w:t>IDIs</w:t>
      </w:r>
      <w:r w:rsidR="00CA3FEF">
        <w:rPr>
          <w:rFonts w:ascii="Arial" w:hAnsi="Arial" w:cs="Arial" w:eastAsiaTheme="minorHAnsi"/>
          <w:snapToGrid/>
          <w:sz w:val="20"/>
        </w:rPr>
        <w:t>,</w:t>
      </w:r>
      <w:r w:rsidRPr="00CA3FEF" w:rsidR="00CA3FEF">
        <w:rPr>
          <w:rFonts w:ascii="Arial" w:hAnsi="Arial" w:cs="Arial" w:eastAsiaTheme="minorHAnsi"/>
          <w:snapToGrid/>
          <w:sz w:val="20"/>
        </w:rPr>
        <w:t xml:space="preserve"> </w:t>
      </w:r>
      <w:r w:rsidRPr="00816389" w:rsidR="00CA3FEF">
        <w:rPr>
          <w:rFonts w:ascii="Arial" w:hAnsi="Arial" w:cs="Arial" w:eastAsiaTheme="minorHAnsi"/>
          <w:snapToGrid/>
          <w:sz w:val="20"/>
        </w:rPr>
        <w:t xml:space="preserve">following the </w:t>
      </w:r>
      <w:r w:rsidR="0032134C">
        <w:rPr>
          <w:rFonts w:ascii="Arial" w:hAnsi="Arial" w:cs="Arial" w:eastAsiaTheme="minorHAnsi"/>
          <w:snapToGrid/>
          <w:sz w:val="20"/>
        </w:rPr>
        <w:t>interview</w:t>
      </w:r>
      <w:r w:rsidRPr="00816389" w:rsidR="0032134C">
        <w:rPr>
          <w:rFonts w:ascii="Arial" w:hAnsi="Arial" w:cs="Arial" w:eastAsiaTheme="minorHAnsi"/>
          <w:snapToGrid/>
          <w:sz w:val="20"/>
        </w:rPr>
        <w:t xml:space="preserve"> </w:t>
      </w:r>
      <w:r w:rsidRPr="00816389" w:rsidR="00CA3FEF">
        <w:rPr>
          <w:rFonts w:ascii="Arial" w:hAnsi="Arial" w:cs="Arial" w:eastAsiaTheme="minorHAnsi"/>
          <w:snapToGrid/>
          <w:sz w:val="20"/>
        </w:rPr>
        <w:t>guide</w:t>
      </w:r>
      <w:r w:rsidRPr="00816389" w:rsidR="00D46509">
        <w:rPr>
          <w:rFonts w:ascii="Arial" w:hAnsi="Arial" w:cs="Arial" w:eastAsiaTheme="minorHAnsi"/>
          <w:snapToGrid/>
          <w:sz w:val="20"/>
        </w:rPr>
        <w:t xml:space="preserve">. </w:t>
      </w:r>
      <w:r w:rsidR="004457F7">
        <w:rPr>
          <w:rFonts w:ascii="Arial" w:hAnsi="Arial" w:cs="Arial" w:eastAsiaTheme="minorHAnsi"/>
          <w:snapToGrid/>
          <w:sz w:val="20"/>
        </w:rPr>
        <w:t xml:space="preserve">Technical support will also be available. </w:t>
      </w:r>
      <w:r w:rsidRPr="00816389" w:rsidR="00BE75E7">
        <w:rPr>
          <w:rFonts w:ascii="Arial" w:hAnsi="Arial" w:cs="Arial" w:eastAsiaTheme="minorHAnsi"/>
          <w:snapToGrid/>
          <w:sz w:val="20"/>
        </w:rPr>
        <w:t xml:space="preserve">The </w:t>
      </w:r>
      <w:r w:rsidRPr="00816389" w:rsidR="006B7466">
        <w:rPr>
          <w:rFonts w:ascii="Arial" w:hAnsi="Arial" w:cs="Arial" w:eastAsiaTheme="minorHAnsi"/>
          <w:snapToGrid/>
          <w:sz w:val="20"/>
        </w:rPr>
        <w:t>contractor</w:t>
      </w:r>
      <w:r w:rsidRPr="00816389" w:rsidR="00D46509">
        <w:rPr>
          <w:rFonts w:ascii="Arial" w:hAnsi="Arial" w:cs="Arial" w:eastAsiaTheme="minorHAnsi"/>
          <w:snapToGrid/>
          <w:sz w:val="20"/>
        </w:rPr>
        <w:t xml:space="preserve"> will audio record all </w:t>
      </w:r>
      <w:r w:rsidR="005161D8">
        <w:rPr>
          <w:rFonts w:ascii="Arial" w:hAnsi="Arial" w:cs="Arial" w:eastAsiaTheme="minorHAnsi"/>
          <w:snapToGrid/>
          <w:sz w:val="20"/>
        </w:rPr>
        <w:t>IDI</w:t>
      </w:r>
      <w:r w:rsidRPr="00816389" w:rsidR="00D46509">
        <w:rPr>
          <w:rFonts w:ascii="Arial" w:hAnsi="Arial" w:cs="Arial" w:eastAsiaTheme="minorHAnsi"/>
          <w:snapToGrid/>
          <w:sz w:val="20"/>
        </w:rPr>
        <w:t xml:space="preserve"> sessions and have the recordings transcribed to facilitate analysis</w:t>
      </w:r>
      <w:r w:rsidRPr="00816389" w:rsidR="00EE5A5B">
        <w:rPr>
          <w:rFonts w:ascii="Arial" w:hAnsi="Arial" w:cs="Arial" w:eastAsiaTheme="minorHAnsi"/>
          <w:snapToGrid/>
          <w:sz w:val="20"/>
        </w:rPr>
        <w:t xml:space="preserve"> and reporting</w:t>
      </w:r>
      <w:r w:rsidRPr="00816389" w:rsidR="00D46509">
        <w:rPr>
          <w:rFonts w:ascii="Arial" w:hAnsi="Arial" w:cs="Arial" w:eastAsiaTheme="minorHAnsi"/>
          <w:snapToGrid/>
          <w:sz w:val="20"/>
        </w:rPr>
        <w:t>. Upon completion of the project, all recordings</w:t>
      </w:r>
      <w:r w:rsidRPr="00816389" w:rsidR="00BE75E7">
        <w:rPr>
          <w:rFonts w:ascii="Arial" w:hAnsi="Arial" w:cs="Arial" w:eastAsiaTheme="minorHAnsi"/>
          <w:snapToGrid/>
          <w:sz w:val="20"/>
        </w:rPr>
        <w:t xml:space="preserve"> will be destroyed. </w:t>
      </w:r>
      <w:r w:rsidRPr="00816389" w:rsidR="00D46509">
        <w:rPr>
          <w:rFonts w:ascii="Arial" w:hAnsi="Arial" w:cs="Arial" w:eastAsiaTheme="minorHAnsi"/>
          <w:snapToGrid/>
          <w:sz w:val="20"/>
        </w:rPr>
        <w:t>To protect personally identifiable information of consumer participants, we will not include the names of individuals</w:t>
      </w:r>
      <w:r w:rsidR="003D5D87">
        <w:rPr>
          <w:rFonts w:ascii="Arial" w:hAnsi="Arial" w:cs="Arial" w:eastAsiaTheme="minorHAnsi"/>
          <w:snapToGrid/>
          <w:sz w:val="20"/>
        </w:rPr>
        <w:t xml:space="preserve"> or any </w:t>
      </w:r>
      <w:r w:rsidR="008B72E8">
        <w:rPr>
          <w:rFonts w:ascii="Arial" w:hAnsi="Arial" w:cs="Arial" w:eastAsiaTheme="minorHAnsi"/>
          <w:snapToGrid/>
          <w:sz w:val="20"/>
        </w:rPr>
        <w:t>other</w:t>
      </w:r>
      <w:r w:rsidR="003D5D87">
        <w:rPr>
          <w:rFonts w:ascii="Arial" w:hAnsi="Arial" w:cs="Arial" w:eastAsiaTheme="minorHAnsi"/>
          <w:snapToGrid/>
          <w:sz w:val="20"/>
        </w:rPr>
        <w:t xml:space="preserve"> </w:t>
      </w:r>
      <w:r w:rsidR="008B72E8">
        <w:rPr>
          <w:rFonts w:ascii="Arial" w:hAnsi="Arial" w:cs="Arial" w:eastAsiaTheme="minorHAnsi"/>
          <w:snapToGrid/>
          <w:sz w:val="20"/>
        </w:rPr>
        <w:t>identifying</w:t>
      </w:r>
      <w:r w:rsidR="003D5D87">
        <w:rPr>
          <w:rFonts w:ascii="Arial" w:hAnsi="Arial" w:cs="Arial" w:eastAsiaTheme="minorHAnsi"/>
          <w:snapToGrid/>
          <w:sz w:val="20"/>
        </w:rPr>
        <w:t xml:space="preserve"> information (</w:t>
      </w:r>
      <w:r w:rsidR="0027594E">
        <w:rPr>
          <w:rFonts w:ascii="Arial" w:hAnsi="Arial" w:cs="Arial" w:eastAsiaTheme="minorHAnsi"/>
          <w:snapToGrid/>
          <w:sz w:val="20"/>
        </w:rPr>
        <w:t xml:space="preserve">e.g., </w:t>
      </w:r>
      <w:r w:rsidR="003D5D87">
        <w:rPr>
          <w:rFonts w:ascii="Arial" w:hAnsi="Arial" w:cs="Arial" w:eastAsiaTheme="minorHAnsi"/>
          <w:snapToGrid/>
          <w:sz w:val="20"/>
        </w:rPr>
        <w:t>places of employment, children’s names)</w:t>
      </w:r>
      <w:r w:rsidRPr="00816389" w:rsidR="00D46509">
        <w:rPr>
          <w:rFonts w:ascii="Arial" w:hAnsi="Arial" w:cs="Arial" w:eastAsiaTheme="minorHAnsi"/>
          <w:snapToGrid/>
          <w:sz w:val="20"/>
        </w:rPr>
        <w:t xml:space="preserve"> in any transcripts or reports. Further, to ensure security, </w:t>
      </w:r>
      <w:r w:rsidRPr="00816389" w:rsidR="006E22D3">
        <w:rPr>
          <w:rFonts w:ascii="Arial" w:hAnsi="Arial" w:cs="Arial" w:eastAsiaTheme="minorHAnsi"/>
          <w:snapToGrid/>
          <w:sz w:val="20"/>
        </w:rPr>
        <w:t xml:space="preserve">the </w:t>
      </w:r>
      <w:r w:rsidRPr="00816389" w:rsidR="006B7466">
        <w:rPr>
          <w:rFonts w:ascii="Arial" w:hAnsi="Arial" w:cs="Arial" w:eastAsiaTheme="minorHAnsi"/>
          <w:snapToGrid/>
          <w:sz w:val="20"/>
        </w:rPr>
        <w:t>contractor</w:t>
      </w:r>
      <w:r w:rsidRPr="00816389" w:rsidR="006E22D3">
        <w:rPr>
          <w:rFonts w:ascii="Arial" w:hAnsi="Arial" w:cs="Arial" w:eastAsiaTheme="minorHAnsi"/>
          <w:snapToGrid/>
          <w:sz w:val="20"/>
        </w:rPr>
        <w:t xml:space="preserve"> </w:t>
      </w:r>
      <w:r w:rsidRPr="00816389" w:rsidR="00D46509">
        <w:rPr>
          <w:rFonts w:ascii="Arial" w:hAnsi="Arial" w:cs="Arial" w:eastAsiaTheme="minorHAnsi"/>
          <w:snapToGrid/>
          <w:sz w:val="20"/>
        </w:rPr>
        <w:t>will provide CDC with password-protected files of the transcripts.</w:t>
      </w:r>
    </w:p>
    <w:p w:rsidRPr="00BC567A" w:rsidR="008A493E" w:rsidP="00BC567A" w:rsidRDefault="000213C7" w14:paraId="325B2DAC" w14:textId="38696DE7">
      <w:pPr>
        <w:widowControl/>
        <w:autoSpaceDE w:val="0"/>
        <w:autoSpaceDN w:val="0"/>
        <w:adjustRightInd w:val="0"/>
        <w:rPr>
          <w:rFonts w:ascii="Arial" w:hAnsi="Arial" w:cs="Arial"/>
          <w:sz w:val="20"/>
        </w:rPr>
      </w:pPr>
      <w:r w:rsidRPr="00E77B46">
        <w:rPr>
          <w:rFonts w:ascii="Arial" w:hAnsi="Arial" w:cs="Arial" w:eastAsiaTheme="minorHAnsi"/>
          <w:snapToGrid/>
          <w:color w:val="000000"/>
          <w:szCs w:val="24"/>
        </w:rPr>
        <w:tab/>
      </w:r>
    </w:p>
    <w:p w:rsidRPr="00E77B46" w:rsidR="00115E4E" w:rsidP="00115E4E" w:rsidRDefault="00115E4E" w14:paraId="77FD809B" w14:textId="04607A7C">
      <w:pPr>
        <w:rPr>
          <w:rFonts w:ascii="Arial" w:hAnsi="Arial" w:cs="Arial"/>
          <w:sz w:val="20"/>
          <w:u w:val="single"/>
        </w:rPr>
      </w:pPr>
      <w:r w:rsidRPr="00E77B46">
        <w:rPr>
          <w:rFonts w:ascii="Arial" w:hAnsi="Arial" w:cs="Arial"/>
          <w:sz w:val="20"/>
          <w:u w:val="single"/>
        </w:rPr>
        <w:t xml:space="preserve">Step </w:t>
      </w:r>
      <w:r w:rsidR="004E6971">
        <w:rPr>
          <w:rFonts w:ascii="Arial" w:hAnsi="Arial" w:cs="Arial"/>
          <w:sz w:val="20"/>
          <w:u w:val="single"/>
        </w:rPr>
        <w:t>3</w:t>
      </w:r>
      <w:r w:rsidRPr="00E77B46">
        <w:rPr>
          <w:rFonts w:ascii="Arial" w:hAnsi="Arial" w:cs="Arial"/>
          <w:sz w:val="20"/>
          <w:u w:val="single"/>
        </w:rPr>
        <w:t xml:space="preserve">. </w:t>
      </w:r>
      <w:r w:rsidR="005161D8">
        <w:rPr>
          <w:rFonts w:ascii="Arial" w:hAnsi="Arial" w:cs="Arial"/>
          <w:sz w:val="20"/>
          <w:u w:val="single"/>
        </w:rPr>
        <w:t>IDI</w:t>
      </w:r>
      <w:r w:rsidRPr="00E77B46">
        <w:rPr>
          <w:rFonts w:ascii="Arial" w:hAnsi="Arial" w:cs="Arial"/>
          <w:sz w:val="20"/>
          <w:u w:val="single"/>
        </w:rPr>
        <w:t xml:space="preserve"> reporting</w:t>
      </w:r>
    </w:p>
    <w:p w:rsidRPr="007E4040" w:rsidR="00F1162C" w:rsidP="00F1162C" w:rsidRDefault="00964FCD" w14:paraId="7EB42D8B" w14:textId="11D82CA2">
      <w:pPr>
        <w:widowControl/>
        <w:autoSpaceDE w:val="0"/>
        <w:autoSpaceDN w:val="0"/>
        <w:adjustRightInd w:val="0"/>
        <w:rPr>
          <w:rFonts w:ascii="Arial" w:hAnsi="Arial" w:cs="Arial" w:eastAsiaTheme="minorHAnsi"/>
          <w:snapToGrid/>
          <w:color w:val="000000"/>
          <w:sz w:val="20"/>
        </w:rPr>
      </w:pPr>
      <w:r>
        <w:rPr>
          <w:rFonts w:ascii="Arial" w:hAnsi="Arial" w:cs="Arial" w:eastAsiaTheme="minorHAnsi"/>
          <w:snapToGrid/>
          <w:color w:val="000000"/>
          <w:sz w:val="20"/>
        </w:rPr>
        <w:t xml:space="preserve">The contractor will prepare a </w:t>
      </w:r>
      <w:r w:rsidR="000C489E">
        <w:rPr>
          <w:rFonts w:ascii="Arial" w:hAnsi="Arial" w:cs="Arial" w:eastAsiaTheme="minorHAnsi"/>
          <w:snapToGrid/>
          <w:color w:val="000000"/>
          <w:sz w:val="20"/>
        </w:rPr>
        <w:t xml:space="preserve">summary report </w:t>
      </w:r>
      <w:r>
        <w:rPr>
          <w:rFonts w:ascii="Arial" w:hAnsi="Arial" w:cs="Arial" w:eastAsiaTheme="minorHAnsi"/>
          <w:snapToGrid/>
          <w:color w:val="000000"/>
          <w:sz w:val="20"/>
        </w:rPr>
        <w:t xml:space="preserve">that </w:t>
      </w:r>
      <w:r w:rsidRPr="00964FCD">
        <w:rPr>
          <w:rFonts w:ascii="Arial" w:hAnsi="Arial" w:cs="Arial" w:eastAsiaTheme="minorHAnsi"/>
          <w:snapToGrid/>
          <w:color w:val="000000"/>
          <w:sz w:val="20"/>
        </w:rPr>
        <w:t xml:space="preserve">presents analyses of </w:t>
      </w:r>
      <w:r w:rsidR="00470FA9">
        <w:rPr>
          <w:rFonts w:ascii="Arial" w:hAnsi="Arial" w:cs="Arial" w:eastAsiaTheme="minorHAnsi"/>
          <w:snapToGrid/>
          <w:color w:val="000000"/>
          <w:sz w:val="20"/>
        </w:rPr>
        <w:t>the interviews</w:t>
      </w:r>
      <w:r w:rsidRPr="00964FCD">
        <w:rPr>
          <w:rFonts w:ascii="Arial" w:hAnsi="Arial" w:cs="Arial" w:eastAsiaTheme="minorHAnsi"/>
          <w:snapToGrid/>
          <w:color w:val="000000"/>
          <w:sz w:val="20"/>
        </w:rPr>
        <w:t xml:space="preserve">, in addition to conclusions and recommendations for </w:t>
      </w:r>
      <w:r w:rsidR="00663C74">
        <w:rPr>
          <w:rFonts w:ascii="Arial" w:hAnsi="Arial" w:cs="Arial" w:eastAsiaTheme="minorHAnsi"/>
          <w:snapToGrid/>
          <w:color w:val="000000"/>
          <w:sz w:val="20"/>
        </w:rPr>
        <w:t>message and material revisions</w:t>
      </w:r>
      <w:r>
        <w:rPr>
          <w:rFonts w:ascii="Arial" w:hAnsi="Arial" w:cs="Arial" w:eastAsiaTheme="minorHAnsi"/>
          <w:snapToGrid/>
          <w:color w:val="000000"/>
          <w:sz w:val="20"/>
        </w:rPr>
        <w:t>.</w:t>
      </w:r>
      <w:r w:rsidR="006B7466">
        <w:rPr>
          <w:rFonts w:ascii="Arial" w:hAnsi="Arial" w:cs="Arial" w:eastAsiaTheme="minorHAnsi"/>
          <w:snapToGrid/>
          <w:color w:val="000000"/>
          <w:sz w:val="20"/>
        </w:rPr>
        <w:t xml:space="preserve"> This report </w:t>
      </w:r>
      <w:r w:rsidRPr="00E77B46" w:rsidR="006B7466">
        <w:rPr>
          <w:rFonts w:ascii="Arial" w:hAnsi="Arial" w:cs="Arial" w:eastAsiaTheme="minorHAnsi"/>
          <w:snapToGrid/>
          <w:color w:val="000000"/>
          <w:sz w:val="20"/>
        </w:rPr>
        <w:t xml:space="preserve">will capture highlights of </w:t>
      </w:r>
      <w:r w:rsidR="00470FA9">
        <w:rPr>
          <w:rFonts w:ascii="Arial" w:hAnsi="Arial" w:cs="Arial" w:eastAsiaTheme="minorHAnsi"/>
          <w:snapToGrid/>
          <w:color w:val="000000"/>
          <w:sz w:val="20"/>
        </w:rPr>
        <w:t>the interviews</w:t>
      </w:r>
      <w:r w:rsidRPr="00E77B46" w:rsidR="006B7466">
        <w:rPr>
          <w:rFonts w:ascii="Arial" w:hAnsi="Arial" w:cs="Arial" w:eastAsiaTheme="minorHAnsi"/>
          <w:snapToGrid/>
          <w:color w:val="000000"/>
          <w:sz w:val="20"/>
        </w:rPr>
        <w:t xml:space="preserve"> and will be organized in order of the topics covered in the </w:t>
      </w:r>
      <w:r w:rsidR="002F1FEC">
        <w:rPr>
          <w:rFonts w:ascii="Arial" w:hAnsi="Arial" w:cs="Arial" w:eastAsiaTheme="minorHAnsi"/>
          <w:snapToGrid/>
          <w:color w:val="000000"/>
          <w:sz w:val="20"/>
        </w:rPr>
        <w:t>interview</w:t>
      </w:r>
      <w:r w:rsidRPr="00E77B46" w:rsidR="002F1FEC">
        <w:rPr>
          <w:rFonts w:ascii="Arial" w:hAnsi="Arial" w:cs="Arial" w:eastAsiaTheme="minorHAnsi"/>
          <w:snapToGrid/>
          <w:color w:val="000000"/>
          <w:sz w:val="20"/>
        </w:rPr>
        <w:t xml:space="preserve"> </w:t>
      </w:r>
      <w:r w:rsidRPr="007E4040" w:rsidR="006B7466">
        <w:rPr>
          <w:rFonts w:ascii="Arial" w:hAnsi="Arial" w:cs="Arial" w:eastAsiaTheme="minorHAnsi"/>
          <w:snapToGrid/>
          <w:color w:val="000000"/>
          <w:sz w:val="20"/>
        </w:rPr>
        <w:t>guide.</w:t>
      </w:r>
      <w:r w:rsidRPr="007E4040">
        <w:rPr>
          <w:rFonts w:ascii="Arial" w:hAnsi="Arial" w:cs="Arial" w:eastAsiaTheme="minorHAnsi"/>
          <w:snapToGrid/>
          <w:color w:val="000000"/>
          <w:sz w:val="20"/>
        </w:rPr>
        <w:t xml:space="preserve"> </w:t>
      </w:r>
      <w:r w:rsidRPr="007E4040" w:rsidR="00F1162C">
        <w:rPr>
          <w:rFonts w:ascii="Arial" w:hAnsi="Arial" w:cs="Arial" w:eastAsiaTheme="minorHAnsi"/>
          <w:snapToGrid/>
          <w:color w:val="000000"/>
          <w:sz w:val="20"/>
        </w:rPr>
        <w:t xml:space="preserve">The report </w:t>
      </w:r>
      <w:r w:rsidRPr="007E4040" w:rsidR="007E4040">
        <w:rPr>
          <w:rFonts w:ascii="Arial" w:hAnsi="Arial" w:cs="Arial" w:eastAsiaTheme="minorHAnsi"/>
          <w:snapToGrid/>
          <w:color w:val="000000"/>
          <w:sz w:val="20"/>
        </w:rPr>
        <w:t>may also</w:t>
      </w:r>
      <w:r w:rsidRPr="007E4040" w:rsidR="00F1162C">
        <w:rPr>
          <w:rFonts w:ascii="Arial" w:hAnsi="Arial" w:cs="Arial" w:eastAsiaTheme="minorHAnsi"/>
          <w:snapToGrid/>
          <w:color w:val="000000"/>
          <w:sz w:val="20"/>
        </w:rPr>
        <w:t xml:space="preserve"> include verbatim quotes from participants to illustrate themes and topics.</w:t>
      </w:r>
    </w:p>
    <w:p w:rsidRPr="00E77B46" w:rsidR="006C46FF" w:rsidP="007E4040" w:rsidRDefault="006C46FF" w14:paraId="6705688D" w14:textId="77777777">
      <w:pPr>
        <w:pStyle w:val="NoSpacing"/>
        <w:rPr>
          <w:rFonts w:ascii="Arial" w:hAnsi="Arial" w:cs="Arial"/>
          <w:sz w:val="20"/>
        </w:rPr>
      </w:pPr>
    </w:p>
    <w:p w:rsidRPr="00E77B46" w:rsidR="004F23A6" w:rsidP="004F23A6" w:rsidRDefault="007748E6" w14:paraId="4B5291D9" w14:textId="7A480857">
      <w:pPr>
        <w:pStyle w:val="NoSpacing"/>
        <w:rPr>
          <w:rFonts w:ascii="Arial" w:hAnsi="Arial" w:cs="Arial"/>
          <w:b/>
          <w:sz w:val="20"/>
        </w:rPr>
      </w:pPr>
      <w:r>
        <w:rPr>
          <w:rFonts w:ascii="Arial" w:hAnsi="Arial" w:cs="Arial"/>
          <w:b/>
          <w:sz w:val="20"/>
        </w:rPr>
        <w:t xml:space="preserve">Evaluation </w:t>
      </w:r>
      <w:r w:rsidR="00F7118F">
        <w:rPr>
          <w:rFonts w:ascii="Arial" w:hAnsi="Arial" w:cs="Arial"/>
          <w:b/>
          <w:sz w:val="20"/>
        </w:rPr>
        <w:t>Population</w:t>
      </w:r>
    </w:p>
    <w:p w:rsidR="006B2CB8" w:rsidP="006B2CB8" w:rsidRDefault="00FC4E56" w14:paraId="3C35A44A" w14:textId="2ABFB55E">
      <w:pPr>
        <w:rPr>
          <w:rFonts w:ascii="Arial" w:hAnsi="Arial" w:cs="Arial"/>
          <w:sz w:val="20"/>
        </w:rPr>
      </w:pPr>
      <w:r w:rsidRPr="00E77B46">
        <w:rPr>
          <w:rFonts w:ascii="Arial" w:hAnsi="Arial" w:cs="Arial"/>
          <w:sz w:val="20"/>
        </w:rPr>
        <w:t xml:space="preserve">A total </w:t>
      </w:r>
      <w:r w:rsidR="006B2CB8">
        <w:rPr>
          <w:rFonts w:ascii="Arial" w:hAnsi="Arial" w:cs="Arial"/>
          <w:sz w:val="20"/>
        </w:rPr>
        <w:t xml:space="preserve">of </w:t>
      </w:r>
      <w:r w:rsidR="00B1799A">
        <w:rPr>
          <w:rFonts w:ascii="Arial" w:hAnsi="Arial" w:cs="Arial"/>
          <w:sz w:val="20"/>
        </w:rPr>
        <w:t>16 IDIs will be held,</w:t>
      </w:r>
      <w:r w:rsidR="00374399">
        <w:rPr>
          <w:rFonts w:ascii="Arial" w:hAnsi="Arial" w:cs="Arial"/>
          <w:sz w:val="20"/>
        </w:rPr>
        <w:t xml:space="preserve"> four with adults age 65+, </w:t>
      </w:r>
      <w:r w:rsidR="007E7898">
        <w:rPr>
          <w:rFonts w:ascii="Arial" w:hAnsi="Arial" w:cs="Arial"/>
          <w:sz w:val="20"/>
        </w:rPr>
        <w:t>eight</w:t>
      </w:r>
      <w:r w:rsidR="00374399">
        <w:rPr>
          <w:rFonts w:ascii="Arial" w:hAnsi="Arial" w:cs="Arial"/>
          <w:sz w:val="20"/>
        </w:rPr>
        <w:t xml:space="preserve"> with parents of children ages 0–1</w:t>
      </w:r>
      <w:r w:rsidR="00470FA9">
        <w:rPr>
          <w:rFonts w:ascii="Arial" w:hAnsi="Arial" w:cs="Arial"/>
          <w:sz w:val="20"/>
        </w:rPr>
        <w:t>7</w:t>
      </w:r>
      <w:r w:rsidR="00374399">
        <w:rPr>
          <w:rFonts w:ascii="Arial" w:hAnsi="Arial" w:cs="Arial"/>
          <w:sz w:val="20"/>
        </w:rPr>
        <w:t xml:space="preserve">, and </w:t>
      </w:r>
      <w:r w:rsidR="007E7898">
        <w:rPr>
          <w:rFonts w:ascii="Arial" w:hAnsi="Arial" w:cs="Arial"/>
          <w:sz w:val="20"/>
        </w:rPr>
        <w:t>four</w:t>
      </w:r>
      <w:r w:rsidR="00374399">
        <w:rPr>
          <w:rFonts w:ascii="Arial" w:hAnsi="Arial" w:cs="Arial"/>
          <w:sz w:val="20"/>
        </w:rPr>
        <w:t xml:space="preserve"> with adult </w:t>
      </w:r>
      <w:r w:rsidR="00480B46">
        <w:rPr>
          <w:rFonts w:ascii="Arial" w:hAnsi="Arial" w:cs="Arial"/>
          <w:sz w:val="20"/>
        </w:rPr>
        <w:t>ESL</w:t>
      </w:r>
      <w:r w:rsidR="00470FA9">
        <w:rPr>
          <w:rFonts w:ascii="Arial" w:hAnsi="Arial" w:cs="Arial"/>
          <w:sz w:val="20"/>
        </w:rPr>
        <w:t xml:space="preserve"> adults</w:t>
      </w:r>
      <w:r w:rsidR="00B1799A">
        <w:rPr>
          <w:rFonts w:ascii="Arial" w:hAnsi="Arial" w:cs="Arial"/>
          <w:sz w:val="20"/>
        </w:rPr>
        <w:t xml:space="preserve">, as shown in the table below.  </w:t>
      </w:r>
    </w:p>
    <w:p w:rsidRPr="00E77B46" w:rsidR="00B1799A" w:rsidP="006B2CB8" w:rsidRDefault="00B1799A" w14:paraId="3B73C24D" w14:textId="77777777">
      <w:pPr>
        <w:rPr>
          <w:rFonts w:ascii="Arial" w:hAnsi="Arial" w:cs="Arial"/>
          <w:sz w:val="20"/>
        </w:rPr>
      </w:pPr>
    </w:p>
    <w:p w:rsidRPr="000E6E79" w:rsidR="00B80F08" w:rsidP="00B80F08" w:rsidRDefault="00B80F08" w14:paraId="60048F1C" w14:textId="06353DA7">
      <w:pPr>
        <w:rPr>
          <w:rFonts w:ascii="Arial" w:hAnsi="Arial" w:cs="Arial"/>
          <w:sz w:val="20"/>
        </w:rPr>
      </w:pPr>
      <w:r w:rsidRPr="000E6E79">
        <w:rPr>
          <w:rFonts w:ascii="Arial" w:hAnsi="Arial" w:cs="Arial"/>
          <w:sz w:val="20"/>
        </w:rPr>
        <w:t xml:space="preserve">Table 1. </w:t>
      </w:r>
      <w:r w:rsidR="00B1799A">
        <w:rPr>
          <w:rFonts w:ascii="Arial" w:hAnsi="Arial" w:cs="Arial"/>
          <w:sz w:val="20"/>
        </w:rPr>
        <w:t>IDI</w:t>
      </w:r>
      <w:r w:rsidRPr="000E6E79" w:rsidR="00BC567A">
        <w:rPr>
          <w:rFonts w:ascii="Arial" w:hAnsi="Arial" w:cs="Arial"/>
          <w:sz w:val="20"/>
        </w:rPr>
        <w:t xml:space="preserve"> participant</w:t>
      </w:r>
      <w:r w:rsidRPr="000E6E79">
        <w:rPr>
          <w:rFonts w:ascii="Arial" w:hAnsi="Arial" w:cs="Arial"/>
          <w:sz w:val="20"/>
        </w:rPr>
        <w:t xml:space="preserve"> criteria</w:t>
      </w:r>
    </w:p>
    <w:tbl>
      <w:tblPr>
        <w:tblW w:w="496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5"/>
        <w:gridCol w:w="1081"/>
        <w:gridCol w:w="809"/>
        <w:gridCol w:w="989"/>
        <w:gridCol w:w="722"/>
        <w:gridCol w:w="2972"/>
        <w:gridCol w:w="2338"/>
      </w:tblGrid>
      <w:tr w:rsidRPr="00B1799A" w:rsidR="00663C74" w:rsidTr="00EA6BE8" w14:paraId="2A1B8FDA" w14:textId="684BDA7F">
        <w:trPr>
          <w:trHeight w:val="206"/>
        </w:trPr>
        <w:tc>
          <w:tcPr>
            <w:tcW w:w="838" w:type="pct"/>
            <w:shd w:val="clear" w:color="auto" w:fill="auto"/>
          </w:tcPr>
          <w:p w:rsidRPr="00E77B46" w:rsidR="00663C74" w:rsidP="00A41340" w:rsidRDefault="00663C74" w14:paraId="313876DC" w14:textId="77777777">
            <w:pPr>
              <w:rPr>
                <w:rFonts w:ascii="Arial" w:hAnsi="Arial" w:cs="Arial"/>
                <w:b/>
                <w:sz w:val="18"/>
                <w:szCs w:val="18"/>
              </w:rPr>
            </w:pPr>
          </w:p>
        </w:tc>
        <w:tc>
          <w:tcPr>
            <w:tcW w:w="1681" w:type="pct"/>
            <w:gridSpan w:val="4"/>
            <w:shd w:val="clear" w:color="auto" w:fill="auto"/>
          </w:tcPr>
          <w:p w:rsidRPr="007B70EC" w:rsidR="00663C74" w:rsidP="00A41340" w:rsidRDefault="00663C74" w14:paraId="12F2FB5A" w14:textId="5449AF34">
            <w:pPr>
              <w:jc w:val="center"/>
              <w:rPr>
                <w:rFonts w:ascii="Arial" w:hAnsi="Arial" w:cs="Arial"/>
                <w:b/>
                <w:bCs/>
                <w:sz w:val="18"/>
                <w:szCs w:val="18"/>
              </w:rPr>
            </w:pPr>
            <w:r w:rsidRPr="007B70EC">
              <w:rPr>
                <w:rFonts w:ascii="Arial" w:hAnsi="Arial" w:cs="Arial"/>
                <w:b/>
                <w:bCs/>
                <w:sz w:val="18"/>
                <w:szCs w:val="18"/>
              </w:rPr>
              <w:t>Region in U.S.</w:t>
            </w:r>
          </w:p>
        </w:tc>
        <w:tc>
          <w:tcPr>
            <w:tcW w:w="1388" w:type="pct"/>
          </w:tcPr>
          <w:p w:rsidRPr="007B70EC" w:rsidR="00663C74" w:rsidP="00A41340" w:rsidRDefault="00663C74" w14:paraId="00042125" w14:textId="77777777">
            <w:pPr>
              <w:jc w:val="center"/>
              <w:rPr>
                <w:rFonts w:ascii="Arial" w:hAnsi="Arial" w:cs="Arial"/>
                <w:b/>
                <w:bCs/>
                <w:sz w:val="18"/>
                <w:szCs w:val="18"/>
              </w:rPr>
            </w:pPr>
          </w:p>
        </w:tc>
        <w:tc>
          <w:tcPr>
            <w:tcW w:w="1092" w:type="pct"/>
          </w:tcPr>
          <w:p w:rsidRPr="007B70EC" w:rsidR="00663C74" w:rsidP="00A41340" w:rsidRDefault="00663C74" w14:paraId="410A2E0D" w14:textId="77777777">
            <w:pPr>
              <w:jc w:val="center"/>
              <w:rPr>
                <w:rFonts w:ascii="Arial" w:hAnsi="Arial" w:cs="Arial"/>
                <w:b/>
                <w:bCs/>
                <w:sz w:val="18"/>
                <w:szCs w:val="18"/>
              </w:rPr>
            </w:pPr>
          </w:p>
        </w:tc>
      </w:tr>
      <w:tr w:rsidRPr="00B1799A" w:rsidR="00663C74" w:rsidTr="00EA6BE8" w14:paraId="5601B6A2" w14:textId="3E95827D">
        <w:trPr>
          <w:trHeight w:val="58"/>
        </w:trPr>
        <w:tc>
          <w:tcPr>
            <w:tcW w:w="838" w:type="pct"/>
            <w:shd w:val="clear" w:color="auto" w:fill="auto"/>
          </w:tcPr>
          <w:p w:rsidRPr="00374399" w:rsidR="00663C74" w:rsidP="00663C74" w:rsidRDefault="00663C74" w14:paraId="57E71C54" w14:textId="77777777">
            <w:pPr>
              <w:rPr>
                <w:rFonts w:ascii="Arial" w:hAnsi="Arial" w:cs="Arial"/>
                <w:sz w:val="18"/>
                <w:szCs w:val="18"/>
              </w:rPr>
            </w:pPr>
            <w:r w:rsidRPr="00374399">
              <w:rPr>
                <w:rFonts w:ascii="Arial" w:hAnsi="Arial" w:cs="Arial"/>
                <w:b/>
                <w:sz w:val="18"/>
                <w:szCs w:val="18"/>
              </w:rPr>
              <w:t xml:space="preserve">Audience  </w:t>
            </w:r>
            <w:r w:rsidRPr="00374399">
              <w:rPr>
                <w:rFonts w:ascii="Arial" w:hAnsi="Arial" w:cs="Arial"/>
                <w:sz w:val="18"/>
                <w:szCs w:val="18"/>
              </w:rPr>
              <w:t xml:space="preserve">                   </w:t>
            </w:r>
          </w:p>
        </w:tc>
        <w:tc>
          <w:tcPr>
            <w:tcW w:w="505" w:type="pct"/>
            <w:shd w:val="clear" w:color="auto" w:fill="auto"/>
          </w:tcPr>
          <w:p w:rsidRPr="007E7898" w:rsidR="00663C74" w:rsidP="00663C74" w:rsidRDefault="00663C74" w14:paraId="424CDE67" w14:textId="57320E51">
            <w:pPr>
              <w:jc w:val="center"/>
              <w:rPr>
                <w:rFonts w:ascii="Arial" w:hAnsi="Arial" w:cs="Arial"/>
                <w:b/>
                <w:sz w:val="18"/>
                <w:szCs w:val="18"/>
              </w:rPr>
            </w:pPr>
            <w:r w:rsidRPr="007E7898">
              <w:rPr>
                <w:rFonts w:ascii="Arial" w:hAnsi="Arial" w:cs="Arial"/>
                <w:b/>
                <w:sz w:val="18"/>
                <w:szCs w:val="18"/>
              </w:rPr>
              <w:t>Northeast</w:t>
            </w:r>
          </w:p>
        </w:tc>
        <w:tc>
          <w:tcPr>
            <w:tcW w:w="378" w:type="pct"/>
            <w:shd w:val="clear" w:color="auto" w:fill="auto"/>
          </w:tcPr>
          <w:p w:rsidRPr="007E7898" w:rsidR="00663C74" w:rsidP="00663C74" w:rsidRDefault="00663C74" w14:paraId="19FCF15C" w14:textId="28DF7796">
            <w:pPr>
              <w:jc w:val="center"/>
              <w:rPr>
                <w:rFonts w:ascii="Arial" w:hAnsi="Arial" w:cs="Arial"/>
                <w:b/>
                <w:sz w:val="18"/>
                <w:szCs w:val="18"/>
              </w:rPr>
            </w:pPr>
            <w:r w:rsidRPr="007E7898">
              <w:rPr>
                <w:rFonts w:ascii="Arial" w:hAnsi="Arial" w:cs="Arial"/>
                <w:b/>
                <w:sz w:val="18"/>
                <w:szCs w:val="18"/>
              </w:rPr>
              <w:t>South</w:t>
            </w:r>
          </w:p>
        </w:tc>
        <w:tc>
          <w:tcPr>
            <w:tcW w:w="462" w:type="pct"/>
          </w:tcPr>
          <w:p w:rsidRPr="007E7898" w:rsidR="00663C74" w:rsidP="00663C74" w:rsidRDefault="00663C74" w14:paraId="6A42137C" w14:textId="0911425B">
            <w:pPr>
              <w:jc w:val="center"/>
              <w:rPr>
                <w:rFonts w:ascii="Arial" w:hAnsi="Arial" w:cs="Arial"/>
                <w:b/>
                <w:sz w:val="18"/>
                <w:szCs w:val="18"/>
              </w:rPr>
            </w:pPr>
            <w:r w:rsidRPr="007E7898">
              <w:rPr>
                <w:rFonts w:ascii="Arial" w:hAnsi="Arial" w:cs="Arial"/>
                <w:b/>
                <w:sz w:val="18"/>
                <w:szCs w:val="18"/>
              </w:rPr>
              <w:t>Midwest</w:t>
            </w:r>
          </w:p>
        </w:tc>
        <w:tc>
          <w:tcPr>
            <w:tcW w:w="337" w:type="pct"/>
          </w:tcPr>
          <w:p w:rsidRPr="007E7898" w:rsidR="00663C74" w:rsidP="00663C74" w:rsidRDefault="00663C74" w14:paraId="5FD2AC65" w14:textId="5CD6AFF8">
            <w:pPr>
              <w:jc w:val="center"/>
              <w:rPr>
                <w:rFonts w:ascii="Arial" w:hAnsi="Arial" w:cs="Arial"/>
                <w:b/>
                <w:sz w:val="18"/>
                <w:szCs w:val="18"/>
              </w:rPr>
            </w:pPr>
            <w:r w:rsidRPr="007E7898">
              <w:rPr>
                <w:rFonts w:ascii="Arial" w:hAnsi="Arial" w:cs="Arial"/>
                <w:b/>
                <w:sz w:val="18"/>
                <w:szCs w:val="18"/>
              </w:rPr>
              <w:t>West</w:t>
            </w:r>
          </w:p>
        </w:tc>
        <w:tc>
          <w:tcPr>
            <w:tcW w:w="1388" w:type="pct"/>
          </w:tcPr>
          <w:p w:rsidRPr="007E7898" w:rsidR="00663C74" w:rsidP="00663C74" w:rsidRDefault="00663C74" w14:paraId="523E1376" w14:textId="447C38FF">
            <w:pPr>
              <w:jc w:val="center"/>
              <w:rPr>
                <w:rFonts w:ascii="Arial" w:hAnsi="Arial" w:cs="Arial"/>
                <w:b/>
                <w:sz w:val="18"/>
                <w:szCs w:val="18"/>
              </w:rPr>
            </w:pPr>
            <w:r w:rsidRPr="00470FA9">
              <w:rPr>
                <w:rFonts w:ascii="Arial" w:hAnsi="Arial" w:cs="Arial"/>
                <w:b/>
                <w:sz w:val="18"/>
                <w:szCs w:val="18"/>
              </w:rPr>
              <w:t>Exclusion criteria</w:t>
            </w:r>
          </w:p>
        </w:tc>
        <w:tc>
          <w:tcPr>
            <w:tcW w:w="1092" w:type="pct"/>
          </w:tcPr>
          <w:p w:rsidRPr="007E7898" w:rsidR="00663C74" w:rsidP="00663C74" w:rsidRDefault="00663C74" w14:paraId="08BBC01E" w14:textId="563367BD">
            <w:pPr>
              <w:jc w:val="center"/>
              <w:rPr>
                <w:rFonts w:ascii="Arial" w:hAnsi="Arial" w:cs="Arial"/>
                <w:b/>
                <w:sz w:val="18"/>
                <w:szCs w:val="18"/>
              </w:rPr>
            </w:pPr>
            <w:r w:rsidRPr="00470FA9">
              <w:rPr>
                <w:rFonts w:ascii="Arial" w:hAnsi="Arial" w:cs="Arial"/>
                <w:b/>
                <w:sz w:val="18"/>
                <w:szCs w:val="18"/>
              </w:rPr>
              <w:t>Further screening for diversity of perspectives within IDIs</w:t>
            </w:r>
          </w:p>
        </w:tc>
      </w:tr>
      <w:tr w:rsidRPr="00B1799A" w:rsidR="00663C74" w:rsidTr="00EA6BE8" w14:paraId="061AEF25" w14:textId="25C5F60C">
        <w:trPr>
          <w:trHeight w:val="287"/>
        </w:trPr>
        <w:tc>
          <w:tcPr>
            <w:tcW w:w="838" w:type="pct"/>
            <w:shd w:val="clear" w:color="auto" w:fill="auto"/>
          </w:tcPr>
          <w:p w:rsidRPr="00374399" w:rsidR="00663C74" w:rsidP="00663C74" w:rsidRDefault="00663C74" w14:paraId="1AC83D92" w14:textId="541AD31C">
            <w:pPr>
              <w:rPr>
                <w:rFonts w:ascii="Arial" w:hAnsi="Arial" w:cs="Arial"/>
                <w:sz w:val="18"/>
                <w:szCs w:val="18"/>
              </w:rPr>
            </w:pPr>
            <w:r w:rsidRPr="00374399">
              <w:rPr>
                <w:rFonts w:ascii="Arial" w:hAnsi="Arial" w:cs="Arial"/>
                <w:sz w:val="18"/>
                <w:szCs w:val="18"/>
              </w:rPr>
              <w:t>Adults age 65+</w:t>
            </w:r>
          </w:p>
        </w:tc>
        <w:tc>
          <w:tcPr>
            <w:tcW w:w="505" w:type="pct"/>
            <w:shd w:val="clear" w:color="auto" w:fill="auto"/>
          </w:tcPr>
          <w:p w:rsidRPr="007E7898" w:rsidR="00663C74" w:rsidP="00663C74" w:rsidRDefault="00663C74" w14:paraId="78453E7C" w14:textId="48C30894">
            <w:pPr>
              <w:jc w:val="center"/>
              <w:rPr>
                <w:rFonts w:ascii="Arial" w:hAnsi="Arial" w:cs="Arial"/>
                <w:sz w:val="18"/>
                <w:szCs w:val="18"/>
              </w:rPr>
            </w:pPr>
            <w:r w:rsidRPr="007E7898">
              <w:rPr>
                <w:rFonts w:ascii="Arial" w:hAnsi="Arial" w:cs="Arial"/>
                <w:sz w:val="18"/>
                <w:szCs w:val="18"/>
              </w:rPr>
              <w:t>1 IDI</w:t>
            </w:r>
          </w:p>
        </w:tc>
        <w:tc>
          <w:tcPr>
            <w:tcW w:w="378" w:type="pct"/>
            <w:shd w:val="clear" w:color="auto" w:fill="auto"/>
          </w:tcPr>
          <w:p w:rsidRPr="007E7898" w:rsidR="00663C74" w:rsidP="00663C74" w:rsidRDefault="00663C74" w14:paraId="137B0A05" w14:textId="7D2CF91E">
            <w:pPr>
              <w:jc w:val="center"/>
              <w:rPr>
                <w:rFonts w:ascii="Arial" w:hAnsi="Arial" w:cs="Arial"/>
                <w:sz w:val="18"/>
                <w:szCs w:val="18"/>
              </w:rPr>
            </w:pPr>
            <w:r w:rsidRPr="007E7898">
              <w:rPr>
                <w:rFonts w:ascii="Arial" w:hAnsi="Arial" w:cs="Arial"/>
                <w:sz w:val="18"/>
                <w:szCs w:val="18"/>
              </w:rPr>
              <w:t>1 IDI</w:t>
            </w:r>
          </w:p>
        </w:tc>
        <w:tc>
          <w:tcPr>
            <w:tcW w:w="462" w:type="pct"/>
          </w:tcPr>
          <w:p w:rsidRPr="007E7898" w:rsidR="00663C74" w:rsidP="00663C74" w:rsidRDefault="00663C74" w14:paraId="073B148C" w14:textId="415DEE8E">
            <w:pPr>
              <w:jc w:val="center"/>
              <w:rPr>
                <w:rFonts w:ascii="Arial" w:hAnsi="Arial" w:cs="Arial"/>
                <w:sz w:val="18"/>
                <w:szCs w:val="18"/>
              </w:rPr>
            </w:pPr>
            <w:r w:rsidRPr="007E7898">
              <w:rPr>
                <w:rFonts w:ascii="Arial" w:hAnsi="Arial" w:cs="Arial"/>
                <w:sz w:val="18"/>
                <w:szCs w:val="18"/>
              </w:rPr>
              <w:t>1 IDI</w:t>
            </w:r>
          </w:p>
        </w:tc>
        <w:tc>
          <w:tcPr>
            <w:tcW w:w="337" w:type="pct"/>
          </w:tcPr>
          <w:p w:rsidRPr="007E7898" w:rsidR="00663C74" w:rsidP="00663C74" w:rsidRDefault="00663C74" w14:paraId="398B17DE" w14:textId="4B95A4C3">
            <w:pPr>
              <w:jc w:val="center"/>
              <w:rPr>
                <w:rFonts w:ascii="Arial" w:hAnsi="Arial" w:cs="Arial"/>
                <w:sz w:val="18"/>
                <w:szCs w:val="18"/>
              </w:rPr>
            </w:pPr>
            <w:r w:rsidRPr="007E7898">
              <w:rPr>
                <w:rFonts w:ascii="Arial" w:hAnsi="Arial" w:cs="Arial"/>
                <w:sz w:val="18"/>
                <w:szCs w:val="18"/>
              </w:rPr>
              <w:t>1 IDI</w:t>
            </w:r>
          </w:p>
        </w:tc>
        <w:tc>
          <w:tcPr>
            <w:tcW w:w="1388" w:type="pct"/>
            <w:vMerge w:val="restart"/>
          </w:tcPr>
          <w:p w:rsidRPr="007E7898" w:rsidR="00663C74" w:rsidP="00663C74" w:rsidRDefault="00663C74" w14:paraId="11E85C48" w14:textId="7A9C0F6B">
            <w:pPr>
              <w:jc w:val="center"/>
              <w:rPr>
                <w:rFonts w:ascii="Arial" w:hAnsi="Arial" w:cs="Arial"/>
                <w:sz w:val="18"/>
                <w:szCs w:val="18"/>
              </w:rPr>
            </w:pPr>
            <w:r w:rsidRPr="00470FA9">
              <w:rPr>
                <w:rFonts w:ascii="Arial" w:hAnsi="Arial" w:cs="Arial"/>
                <w:sz w:val="18"/>
                <w:szCs w:val="18"/>
              </w:rPr>
              <w:t xml:space="preserve">People who have recently and/or frequently participated in IDIs, federal employees, health professionals, communications and marketing professionals, </w:t>
            </w:r>
            <w:r w:rsidR="004E6971">
              <w:rPr>
                <w:rFonts w:ascii="Arial" w:hAnsi="Arial" w:cs="Arial"/>
                <w:sz w:val="18"/>
                <w:szCs w:val="18"/>
              </w:rPr>
              <w:t xml:space="preserve">non-English speakers, </w:t>
            </w:r>
            <w:r w:rsidRPr="00470FA9">
              <w:rPr>
                <w:rFonts w:ascii="Arial" w:hAnsi="Arial" w:cs="Arial"/>
                <w:sz w:val="18"/>
                <w:szCs w:val="18"/>
              </w:rPr>
              <w:t>and, for parent segments, parents who are not the primary decision makers for child’s health.</w:t>
            </w:r>
          </w:p>
        </w:tc>
        <w:tc>
          <w:tcPr>
            <w:tcW w:w="1092" w:type="pct"/>
            <w:vMerge w:val="restart"/>
          </w:tcPr>
          <w:p w:rsidRPr="00470FA9" w:rsidR="00663C74" w:rsidP="00663C74" w:rsidRDefault="00663C74" w14:paraId="11120F05" w14:textId="77777777">
            <w:pPr>
              <w:rPr>
                <w:rFonts w:ascii="Arial" w:hAnsi="Arial" w:cs="Arial"/>
                <w:sz w:val="18"/>
                <w:szCs w:val="18"/>
              </w:rPr>
            </w:pPr>
            <w:r w:rsidRPr="00470FA9">
              <w:rPr>
                <w:rFonts w:ascii="Arial" w:hAnsi="Arial" w:cs="Arial"/>
                <w:sz w:val="18"/>
                <w:szCs w:val="18"/>
              </w:rPr>
              <w:t xml:space="preserve">Health literacy </w:t>
            </w:r>
          </w:p>
          <w:p w:rsidRPr="007E7898" w:rsidR="00663C74" w:rsidP="00663C74" w:rsidRDefault="00663C74" w14:paraId="367CF836" w14:textId="77777777">
            <w:pPr>
              <w:jc w:val="center"/>
              <w:rPr>
                <w:rFonts w:ascii="Arial" w:hAnsi="Arial" w:cs="Arial"/>
                <w:sz w:val="18"/>
                <w:szCs w:val="18"/>
              </w:rPr>
            </w:pPr>
          </w:p>
        </w:tc>
      </w:tr>
      <w:tr w:rsidRPr="00B1799A" w:rsidR="00663C74" w:rsidTr="00EA6BE8" w14:paraId="2E4E1F2C" w14:textId="734AFEE3">
        <w:trPr>
          <w:trHeight w:val="548"/>
        </w:trPr>
        <w:tc>
          <w:tcPr>
            <w:tcW w:w="838" w:type="pct"/>
            <w:shd w:val="clear" w:color="auto" w:fill="auto"/>
          </w:tcPr>
          <w:p w:rsidRPr="00374399" w:rsidR="00663C74" w:rsidP="00663C74" w:rsidRDefault="00663C74" w14:paraId="52551F1B" w14:textId="2285260C">
            <w:pPr>
              <w:rPr>
                <w:rFonts w:ascii="Arial" w:hAnsi="Arial" w:cs="Arial"/>
                <w:sz w:val="18"/>
                <w:szCs w:val="18"/>
              </w:rPr>
            </w:pPr>
            <w:r w:rsidRPr="00374399">
              <w:rPr>
                <w:rFonts w:ascii="Arial" w:hAnsi="Arial" w:cs="Arial"/>
                <w:sz w:val="18"/>
                <w:szCs w:val="18"/>
              </w:rPr>
              <w:t>Parents of children ages 0–1</w:t>
            </w:r>
            <w:r w:rsidR="00E029DF">
              <w:rPr>
                <w:rFonts w:ascii="Arial" w:hAnsi="Arial" w:cs="Arial"/>
                <w:sz w:val="18"/>
                <w:szCs w:val="18"/>
              </w:rPr>
              <w:t>7</w:t>
            </w:r>
            <w:r w:rsidRPr="00374399">
              <w:rPr>
                <w:rFonts w:ascii="Arial" w:hAnsi="Arial" w:cs="Arial"/>
                <w:sz w:val="18"/>
                <w:szCs w:val="18"/>
              </w:rPr>
              <w:t xml:space="preserve"> </w:t>
            </w:r>
          </w:p>
        </w:tc>
        <w:tc>
          <w:tcPr>
            <w:tcW w:w="505" w:type="pct"/>
            <w:shd w:val="clear" w:color="auto" w:fill="auto"/>
          </w:tcPr>
          <w:p w:rsidRPr="007E7898" w:rsidR="00663C74" w:rsidP="00663C74" w:rsidRDefault="00663C74" w14:paraId="0E97EA25" w14:textId="610F321D">
            <w:pPr>
              <w:jc w:val="center"/>
              <w:rPr>
                <w:rFonts w:ascii="Arial" w:hAnsi="Arial" w:cs="Arial"/>
                <w:sz w:val="18"/>
                <w:szCs w:val="18"/>
              </w:rPr>
            </w:pPr>
            <w:r w:rsidRPr="007E7898">
              <w:rPr>
                <w:rFonts w:ascii="Arial" w:hAnsi="Arial" w:cs="Arial"/>
                <w:sz w:val="18"/>
                <w:szCs w:val="18"/>
              </w:rPr>
              <w:t>2 IDIs</w:t>
            </w:r>
          </w:p>
        </w:tc>
        <w:tc>
          <w:tcPr>
            <w:tcW w:w="378" w:type="pct"/>
            <w:shd w:val="clear" w:color="auto" w:fill="auto"/>
          </w:tcPr>
          <w:p w:rsidRPr="007E7898" w:rsidR="00663C74" w:rsidP="00663C74" w:rsidRDefault="00663C74" w14:paraId="74FE50E0" w14:textId="5994F1C6">
            <w:pPr>
              <w:jc w:val="center"/>
              <w:rPr>
                <w:rFonts w:ascii="Arial" w:hAnsi="Arial" w:cs="Arial"/>
                <w:sz w:val="18"/>
                <w:szCs w:val="18"/>
              </w:rPr>
            </w:pPr>
            <w:r w:rsidRPr="007E7898">
              <w:rPr>
                <w:rFonts w:ascii="Arial" w:hAnsi="Arial" w:cs="Arial"/>
                <w:sz w:val="18"/>
                <w:szCs w:val="18"/>
              </w:rPr>
              <w:t>2 IDIs</w:t>
            </w:r>
          </w:p>
        </w:tc>
        <w:tc>
          <w:tcPr>
            <w:tcW w:w="462" w:type="pct"/>
          </w:tcPr>
          <w:p w:rsidRPr="007E7898" w:rsidR="00663C74" w:rsidP="00663C74" w:rsidRDefault="00663C74" w14:paraId="2D731D5D" w14:textId="420C262D">
            <w:pPr>
              <w:jc w:val="center"/>
              <w:rPr>
                <w:rFonts w:ascii="Arial" w:hAnsi="Arial" w:cs="Arial"/>
                <w:sz w:val="18"/>
                <w:szCs w:val="18"/>
              </w:rPr>
            </w:pPr>
            <w:r w:rsidRPr="007E7898">
              <w:rPr>
                <w:rFonts w:ascii="Arial" w:hAnsi="Arial" w:cs="Arial"/>
                <w:sz w:val="18"/>
                <w:szCs w:val="18"/>
              </w:rPr>
              <w:t>2 IDIs</w:t>
            </w:r>
          </w:p>
        </w:tc>
        <w:tc>
          <w:tcPr>
            <w:tcW w:w="337" w:type="pct"/>
          </w:tcPr>
          <w:p w:rsidRPr="007E7898" w:rsidR="00663C74" w:rsidP="00663C74" w:rsidRDefault="00663C74" w14:paraId="5759E68D" w14:textId="67215FBE">
            <w:pPr>
              <w:jc w:val="center"/>
              <w:rPr>
                <w:rFonts w:ascii="Arial" w:hAnsi="Arial" w:cs="Arial"/>
                <w:sz w:val="18"/>
                <w:szCs w:val="18"/>
              </w:rPr>
            </w:pPr>
            <w:r w:rsidRPr="007E7898">
              <w:rPr>
                <w:rFonts w:ascii="Arial" w:hAnsi="Arial" w:cs="Arial"/>
                <w:sz w:val="18"/>
                <w:szCs w:val="18"/>
              </w:rPr>
              <w:t>2 IDIs</w:t>
            </w:r>
          </w:p>
        </w:tc>
        <w:tc>
          <w:tcPr>
            <w:tcW w:w="1388" w:type="pct"/>
            <w:vMerge/>
          </w:tcPr>
          <w:p w:rsidRPr="007E7898" w:rsidR="00663C74" w:rsidP="00663C74" w:rsidRDefault="00663C74" w14:paraId="2FDC8EE9" w14:textId="77777777">
            <w:pPr>
              <w:jc w:val="center"/>
              <w:rPr>
                <w:rFonts w:ascii="Arial" w:hAnsi="Arial" w:cs="Arial"/>
                <w:sz w:val="18"/>
                <w:szCs w:val="18"/>
              </w:rPr>
            </w:pPr>
          </w:p>
        </w:tc>
        <w:tc>
          <w:tcPr>
            <w:tcW w:w="1092" w:type="pct"/>
            <w:vMerge/>
          </w:tcPr>
          <w:p w:rsidRPr="007E7898" w:rsidR="00663C74" w:rsidP="00663C74" w:rsidRDefault="00663C74" w14:paraId="1F21516A" w14:textId="77777777">
            <w:pPr>
              <w:jc w:val="center"/>
              <w:rPr>
                <w:rFonts w:ascii="Arial" w:hAnsi="Arial" w:cs="Arial"/>
                <w:sz w:val="18"/>
                <w:szCs w:val="18"/>
              </w:rPr>
            </w:pPr>
          </w:p>
        </w:tc>
      </w:tr>
      <w:tr w:rsidRPr="00E77B46" w:rsidR="00663C74" w:rsidTr="00EA6BE8" w14:paraId="4FCDB32E" w14:textId="5C3D083A">
        <w:trPr>
          <w:trHeight w:val="548"/>
        </w:trPr>
        <w:tc>
          <w:tcPr>
            <w:tcW w:w="838" w:type="pct"/>
            <w:shd w:val="clear" w:color="auto" w:fill="auto"/>
          </w:tcPr>
          <w:p w:rsidRPr="00374399" w:rsidR="00663C74" w:rsidP="00663C74" w:rsidRDefault="00480B46" w14:paraId="060EB341" w14:textId="503D23E5">
            <w:pPr>
              <w:rPr>
                <w:rFonts w:ascii="Arial" w:hAnsi="Arial" w:cs="Arial"/>
                <w:sz w:val="18"/>
                <w:szCs w:val="18"/>
              </w:rPr>
            </w:pPr>
            <w:r>
              <w:rPr>
                <w:rFonts w:ascii="Arial" w:hAnsi="Arial" w:cs="Arial"/>
                <w:sz w:val="18"/>
                <w:szCs w:val="18"/>
              </w:rPr>
              <w:t>ESL adults</w:t>
            </w:r>
            <w:r w:rsidR="00E029DF">
              <w:rPr>
                <w:rFonts w:ascii="Arial" w:hAnsi="Arial" w:cs="Arial"/>
                <w:sz w:val="18"/>
                <w:szCs w:val="18"/>
              </w:rPr>
              <w:t xml:space="preserve"> (2 of 4 also parents of children ages 0-17)</w:t>
            </w:r>
          </w:p>
        </w:tc>
        <w:tc>
          <w:tcPr>
            <w:tcW w:w="505" w:type="pct"/>
            <w:shd w:val="clear" w:color="auto" w:fill="auto"/>
          </w:tcPr>
          <w:p w:rsidRPr="007E7898" w:rsidR="00663C74" w:rsidP="00663C74" w:rsidRDefault="00663C74" w14:paraId="6F869DD6" w14:textId="3C628462">
            <w:pPr>
              <w:jc w:val="center"/>
              <w:rPr>
                <w:rFonts w:ascii="Arial" w:hAnsi="Arial" w:cs="Arial"/>
                <w:sz w:val="18"/>
                <w:szCs w:val="18"/>
              </w:rPr>
            </w:pPr>
            <w:r w:rsidRPr="007E7898">
              <w:rPr>
                <w:rFonts w:ascii="Arial" w:hAnsi="Arial" w:cs="Arial"/>
                <w:sz w:val="18"/>
                <w:szCs w:val="18"/>
              </w:rPr>
              <w:t>1 IDI</w:t>
            </w:r>
          </w:p>
        </w:tc>
        <w:tc>
          <w:tcPr>
            <w:tcW w:w="378" w:type="pct"/>
            <w:shd w:val="clear" w:color="auto" w:fill="auto"/>
          </w:tcPr>
          <w:p w:rsidRPr="007E7898" w:rsidR="00663C74" w:rsidP="00663C74" w:rsidRDefault="00663C74" w14:paraId="1A620777" w14:textId="2A7D7367">
            <w:pPr>
              <w:jc w:val="center"/>
              <w:rPr>
                <w:rFonts w:ascii="Arial" w:hAnsi="Arial" w:cs="Arial"/>
                <w:sz w:val="18"/>
                <w:szCs w:val="18"/>
              </w:rPr>
            </w:pPr>
            <w:r w:rsidRPr="007E7898">
              <w:rPr>
                <w:rFonts w:ascii="Arial" w:hAnsi="Arial" w:cs="Arial"/>
                <w:sz w:val="18"/>
                <w:szCs w:val="18"/>
              </w:rPr>
              <w:t>1 IDI</w:t>
            </w:r>
          </w:p>
        </w:tc>
        <w:tc>
          <w:tcPr>
            <w:tcW w:w="462" w:type="pct"/>
          </w:tcPr>
          <w:p w:rsidRPr="007E7898" w:rsidR="00663C74" w:rsidP="00663C74" w:rsidRDefault="00663C74" w14:paraId="3AC5F537" w14:textId="29C0FB0E">
            <w:pPr>
              <w:jc w:val="center"/>
              <w:rPr>
                <w:rFonts w:ascii="Arial" w:hAnsi="Arial" w:cs="Arial"/>
                <w:sz w:val="18"/>
                <w:szCs w:val="18"/>
              </w:rPr>
            </w:pPr>
            <w:r w:rsidRPr="007E7898">
              <w:rPr>
                <w:rFonts w:ascii="Arial" w:hAnsi="Arial" w:cs="Arial"/>
                <w:sz w:val="18"/>
                <w:szCs w:val="18"/>
              </w:rPr>
              <w:t>1 IDI</w:t>
            </w:r>
          </w:p>
        </w:tc>
        <w:tc>
          <w:tcPr>
            <w:tcW w:w="337" w:type="pct"/>
          </w:tcPr>
          <w:p w:rsidRPr="007E7898" w:rsidR="00663C74" w:rsidP="00663C74" w:rsidRDefault="00663C74" w14:paraId="11AAE9DD" w14:textId="6B6C0A3F">
            <w:pPr>
              <w:jc w:val="center"/>
              <w:rPr>
                <w:rFonts w:ascii="Arial" w:hAnsi="Arial" w:cs="Arial"/>
                <w:sz w:val="18"/>
                <w:szCs w:val="18"/>
              </w:rPr>
            </w:pPr>
            <w:r w:rsidRPr="007E7898">
              <w:rPr>
                <w:rFonts w:ascii="Arial" w:hAnsi="Arial" w:cs="Arial"/>
                <w:sz w:val="18"/>
                <w:szCs w:val="18"/>
              </w:rPr>
              <w:t>1 IDI</w:t>
            </w:r>
          </w:p>
        </w:tc>
        <w:tc>
          <w:tcPr>
            <w:tcW w:w="1388" w:type="pct"/>
            <w:vMerge/>
          </w:tcPr>
          <w:p w:rsidRPr="007E7898" w:rsidR="00663C74" w:rsidP="00663C74" w:rsidRDefault="00663C74" w14:paraId="6CB5C2AD" w14:textId="77777777">
            <w:pPr>
              <w:jc w:val="center"/>
              <w:rPr>
                <w:rFonts w:ascii="Arial" w:hAnsi="Arial" w:cs="Arial"/>
                <w:sz w:val="18"/>
                <w:szCs w:val="18"/>
              </w:rPr>
            </w:pPr>
          </w:p>
        </w:tc>
        <w:tc>
          <w:tcPr>
            <w:tcW w:w="1092" w:type="pct"/>
            <w:vMerge/>
          </w:tcPr>
          <w:p w:rsidRPr="007E7898" w:rsidR="00663C74" w:rsidP="00663C74" w:rsidRDefault="00663C74" w14:paraId="2C71862B" w14:textId="77777777">
            <w:pPr>
              <w:jc w:val="center"/>
              <w:rPr>
                <w:rFonts w:ascii="Arial" w:hAnsi="Arial" w:cs="Arial"/>
                <w:sz w:val="18"/>
                <w:szCs w:val="18"/>
              </w:rPr>
            </w:pPr>
          </w:p>
        </w:tc>
      </w:tr>
    </w:tbl>
    <w:p w:rsidRPr="00E77B46" w:rsidR="007E15E8" w:rsidP="00B80F08" w:rsidRDefault="007E15E8" w14:paraId="73A58E99" w14:textId="77777777">
      <w:pPr>
        <w:rPr>
          <w:rFonts w:ascii="Arial" w:hAnsi="Arial" w:cs="Arial"/>
          <w:sz w:val="20"/>
        </w:rPr>
      </w:pPr>
    </w:p>
    <w:p w:rsidRPr="00534EAE" w:rsidR="00F7118F" w:rsidP="004F23A6" w:rsidRDefault="00F7118F" w14:paraId="48FC43EE" w14:textId="0FA6FFA4">
      <w:pPr>
        <w:pStyle w:val="NoSpacing"/>
        <w:rPr>
          <w:rFonts w:ascii="Arial" w:hAnsi="Arial" w:cs="Arial"/>
          <w:b/>
          <w:sz w:val="20"/>
        </w:rPr>
      </w:pPr>
      <w:r>
        <w:rPr>
          <w:rFonts w:ascii="Arial" w:hAnsi="Arial" w:cs="Arial"/>
          <w:b/>
          <w:sz w:val="20"/>
        </w:rPr>
        <w:t>Data Collection</w:t>
      </w:r>
    </w:p>
    <w:p w:rsidR="00B80F08" w:rsidP="004F23A6" w:rsidRDefault="00B80F08" w14:paraId="6E53FD07" w14:textId="0D6F8BEC">
      <w:pPr>
        <w:pStyle w:val="NoSpacing"/>
        <w:rPr>
          <w:rFonts w:ascii="Arial" w:hAnsi="Arial" w:cs="Arial"/>
          <w:sz w:val="20"/>
        </w:rPr>
      </w:pPr>
      <w:r w:rsidRPr="00E77B46">
        <w:rPr>
          <w:rFonts w:ascii="Arial" w:hAnsi="Arial" w:cs="Arial"/>
          <w:sz w:val="20"/>
        </w:rPr>
        <w:t>The data will be de-identified by the co</w:t>
      </w:r>
      <w:r w:rsidRPr="00E77B46" w:rsidR="007E15E8">
        <w:rPr>
          <w:rFonts w:ascii="Arial" w:hAnsi="Arial" w:cs="Arial"/>
          <w:sz w:val="20"/>
        </w:rPr>
        <w:t xml:space="preserve">ntractor after the </w:t>
      </w:r>
      <w:r w:rsidR="009036A8">
        <w:rPr>
          <w:rFonts w:ascii="Arial" w:hAnsi="Arial" w:cs="Arial"/>
          <w:sz w:val="20"/>
        </w:rPr>
        <w:t>IDIs</w:t>
      </w:r>
      <w:r w:rsidRPr="00E77B46" w:rsidR="007E15E8">
        <w:rPr>
          <w:rFonts w:ascii="Arial" w:hAnsi="Arial" w:cs="Arial"/>
          <w:sz w:val="20"/>
        </w:rPr>
        <w:t xml:space="preserve"> </w:t>
      </w:r>
      <w:r w:rsidRPr="00E77B46">
        <w:rPr>
          <w:rFonts w:ascii="Arial" w:hAnsi="Arial" w:cs="Arial"/>
          <w:sz w:val="20"/>
        </w:rPr>
        <w:t xml:space="preserve">are complete. Once each </w:t>
      </w:r>
      <w:r w:rsidR="009036A8">
        <w:rPr>
          <w:rFonts w:ascii="Arial" w:hAnsi="Arial" w:cs="Arial"/>
          <w:sz w:val="20"/>
        </w:rPr>
        <w:t>IDI</w:t>
      </w:r>
      <w:r w:rsidRPr="00E77B46">
        <w:rPr>
          <w:rFonts w:ascii="Arial" w:hAnsi="Arial" w:cs="Arial"/>
          <w:sz w:val="20"/>
        </w:rPr>
        <w:t xml:space="preserve"> has been fully transcribed, and audio re</w:t>
      </w:r>
      <w:r w:rsidR="00683C5C">
        <w:rPr>
          <w:rFonts w:ascii="Arial" w:hAnsi="Arial" w:cs="Arial"/>
          <w:sz w:val="20"/>
        </w:rPr>
        <w:t xml:space="preserve">cordings listened to as needed, the </w:t>
      </w:r>
      <w:r w:rsidR="003351DC">
        <w:rPr>
          <w:rFonts w:ascii="Arial" w:hAnsi="Arial" w:cs="Arial"/>
          <w:sz w:val="20"/>
        </w:rPr>
        <w:t>contractor’s</w:t>
      </w:r>
      <w:r w:rsidR="00683C5C">
        <w:rPr>
          <w:rFonts w:ascii="Arial" w:hAnsi="Arial" w:cs="Arial"/>
          <w:sz w:val="20"/>
        </w:rPr>
        <w:t xml:space="preserve"> project leader </w:t>
      </w:r>
      <w:r w:rsidRPr="00E77B46">
        <w:rPr>
          <w:rFonts w:ascii="Arial" w:hAnsi="Arial" w:cs="Arial"/>
          <w:sz w:val="20"/>
        </w:rPr>
        <w:t xml:space="preserve">will be responsible for </w:t>
      </w:r>
      <w:r w:rsidR="0027594E">
        <w:rPr>
          <w:rFonts w:ascii="Arial" w:hAnsi="Arial" w:cs="Arial"/>
          <w:sz w:val="20"/>
        </w:rPr>
        <w:t>en</w:t>
      </w:r>
      <w:r w:rsidRPr="00E77B46">
        <w:rPr>
          <w:rFonts w:ascii="Arial" w:hAnsi="Arial" w:cs="Arial"/>
          <w:sz w:val="20"/>
        </w:rPr>
        <w:t>suring that any identifying information is destroyed. This includes</w:t>
      </w:r>
      <w:r w:rsidR="003D5D87">
        <w:rPr>
          <w:rFonts w:ascii="Arial" w:hAnsi="Arial" w:cs="Arial"/>
          <w:sz w:val="20"/>
        </w:rPr>
        <w:t xml:space="preserve"> information collected during recruitment, including a participant’s</w:t>
      </w:r>
      <w:r w:rsidRPr="00E77B46">
        <w:rPr>
          <w:rFonts w:ascii="Arial" w:hAnsi="Arial" w:cs="Arial"/>
          <w:sz w:val="20"/>
        </w:rPr>
        <w:t xml:space="preserve"> name, address, telephone number, email address, home address, </w:t>
      </w:r>
      <w:r w:rsidR="00683C5C">
        <w:rPr>
          <w:rFonts w:ascii="Arial" w:hAnsi="Arial" w:cs="Arial"/>
          <w:sz w:val="20"/>
        </w:rPr>
        <w:t xml:space="preserve">and </w:t>
      </w:r>
      <w:r w:rsidRPr="00E77B46">
        <w:rPr>
          <w:rFonts w:ascii="Arial" w:hAnsi="Arial" w:cs="Arial"/>
          <w:sz w:val="20"/>
        </w:rPr>
        <w:t xml:space="preserve">date of birth. This information will not be provided to CDC at any time. </w:t>
      </w:r>
    </w:p>
    <w:p w:rsidR="004E6971" w:rsidP="004F23A6" w:rsidRDefault="004E6971" w14:paraId="045364C8" w14:textId="0E4DF738">
      <w:pPr>
        <w:pStyle w:val="NoSpacing"/>
        <w:rPr>
          <w:rFonts w:ascii="Arial" w:hAnsi="Arial" w:cs="Arial"/>
          <w:sz w:val="20"/>
        </w:rPr>
      </w:pPr>
    </w:p>
    <w:p w:rsidRPr="00E77B46" w:rsidR="004E6971" w:rsidP="004F23A6" w:rsidRDefault="004E6971" w14:paraId="6011D969" w14:textId="6207511C">
      <w:pPr>
        <w:pStyle w:val="NoSpacing"/>
        <w:rPr>
          <w:rFonts w:ascii="Arial" w:hAnsi="Arial" w:cs="Arial"/>
          <w:sz w:val="20"/>
        </w:rPr>
      </w:pPr>
      <w:r>
        <w:rPr>
          <w:rFonts w:ascii="Arial" w:hAnsi="Arial" w:cs="Arial"/>
          <w:sz w:val="20"/>
        </w:rPr>
        <w:t xml:space="preserve">CDC will maintain all transcripts and project reports </w:t>
      </w:r>
      <w:r w:rsidR="00345ED1">
        <w:rPr>
          <w:rFonts w:ascii="Arial" w:hAnsi="Arial" w:cs="Arial"/>
          <w:sz w:val="20"/>
        </w:rPr>
        <w:t xml:space="preserve">for at least three years </w:t>
      </w:r>
      <w:r>
        <w:rPr>
          <w:rFonts w:ascii="Arial" w:hAnsi="Arial" w:cs="Arial"/>
          <w:sz w:val="20"/>
        </w:rPr>
        <w:t>after the contract concludes.</w:t>
      </w:r>
    </w:p>
    <w:p w:rsidRPr="00E77B46" w:rsidR="004A1624" w:rsidP="00D734F8" w:rsidRDefault="004A1624" w14:paraId="681FE511" w14:textId="77777777">
      <w:pPr>
        <w:pStyle w:val="NoSpacing"/>
        <w:ind w:left="360"/>
        <w:rPr>
          <w:rFonts w:ascii="Arial" w:hAnsi="Arial" w:cs="Arial"/>
          <w:sz w:val="20"/>
        </w:rPr>
      </w:pPr>
    </w:p>
    <w:p w:rsidRPr="00534EAE" w:rsidR="00C8528B" w:rsidP="00C8528B" w:rsidRDefault="00F7118F" w14:paraId="3AEB8544" w14:textId="3874E6DE">
      <w:pPr>
        <w:pStyle w:val="NoSpacing"/>
        <w:rPr>
          <w:rFonts w:ascii="Arial" w:hAnsi="Arial" w:cs="Arial"/>
          <w:b/>
          <w:sz w:val="20"/>
          <w:u w:val="single"/>
        </w:rPr>
      </w:pPr>
      <w:r w:rsidRPr="00534EAE">
        <w:rPr>
          <w:rFonts w:ascii="Arial" w:hAnsi="Arial" w:cs="Arial"/>
          <w:b/>
          <w:sz w:val="20"/>
          <w:u w:val="single"/>
        </w:rPr>
        <w:t xml:space="preserve">Ethics and </w:t>
      </w:r>
      <w:r w:rsidR="007748E6">
        <w:rPr>
          <w:rFonts w:ascii="Arial" w:hAnsi="Arial" w:cs="Arial"/>
          <w:b/>
          <w:sz w:val="20"/>
          <w:u w:val="single"/>
        </w:rPr>
        <w:t>Evaluation</w:t>
      </w:r>
      <w:r w:rsidRPr="00534EAE" w:rsidR="007748E6">
        <w:rPr>
          <w:rFonts w:ascii="Arial" w:hAnsi="Arial" w:cs="Arial"/>
          <w:b/>
          <w:sz w:val="20"/>
          <w:u w:val="single"/>
        </w:rPr>
        <w:t xml:space="preserve"> </w:t>
      </w:r>
      <w:r w:rsidRPr="00534EAE">
        <w:rPr>
          <w:rFonts w:ascii="Arial" w:hAnsi="Arial" w:cs="Arial"/>
          <w:b/>
          <w:sz w:val="20"/>
          <w:u w:val="single"/>
        </w:rPr>
        <w:t xml:space="preserve">Integrity </w:t>
      </w:r>
    </w:p>
    <w:p w:rsidRPr="00E77B46" w:rsidR="00FF6ADB" w:rsidP="00C8528B" w:rsidRDefault="00D90F39" w14:paraId="3B864746" w14:textId="1077B73D">
      <w:pPr>
        <w:pStyle w:val="NoSpacing"/>
        <w:rPr>
          <w:rFonts w:ascii="Arial" w:hAnsi="Arial" w:cs="Arial"/>
          <w:sz w:val="20"/>
        </w:rPr>
      </w:pPr>
      <w:r w:rsidRPr="00E77B46">
        <w:rPr>
          <w:rFonts w:ascii="Arial" w:hAnsi="Arial" w:cs="Arial"/>
          <w:b/>
          <w:sz w:val="20"/>
        </w:rPr>
        <w:t xml:space="preserve">Description of Risks: </w:t>
      </w:r>
      <w:r w:rsidRPr="00E77B46">
        <w:rPr>
          <w:rFonts w:ascii="Arial" w:hAnsi="Arial" w:cs="Arial"/>
          <w:sz w:val="20"/>
        </w:rPr>
        <w:t>There are no physical, social</w:t>
      </w:r>
      <w:r w:rsidR="001905E8">
        <w:rPr>
          <w:rFonts w:ascii="Arial" w:hAnsi="Arial" w:cs="Arial"/>
          <w:sz w:val="20"/>
        </w:rPr>
        <w:t>,</w:t>
      </w:r>
      <w:r w:rsidRPr="00E77B46">
        <w:rPr>
          <w:rFonts w:ascii="Arial" w:hAnsi="Arial" w:cs="Arial"/>
          <w:sz w:val="20"/>
        </w:rPr>
        <w:t xml:space="preserve"> or psychological risks anticipated due to participation in this </w:t>
      </w:r>
      <w:r w:rsidR="00683C5C">
        <w:rPr>
          <w:rFonts w:ascii="Arial" w:hAnsi="Arial" w:cs="Arial"/>
          <w:sz w:val="20"/>
        </w:rPr>
        <w:t xml:space="preserve">project. </w:t>
      </w:r>
      <w:r w:rsidRPr="00E77B46">
        <w:rPr>
          <w:rFonts w:ascii="Arial" w:hAnsi="Arial" w:cs="Arial"/>
          <w:sz w:val="20"/>
        </w:rPr>
        <w:t xml:space="preserve"> </w:t>
      </w:r>
      <w:r w:rsidR="008F00D7">
        <w:rPr>
          <w:rFonts w:ascii="Arial" w:hAnsi="Arial" w:cs="Arial"/>
          <w:sz w:val="20"/>
        </w:rPr>
        <w:t>Interview</w:t>
      </w:r>
      <w:r w:rsidR="004032B6">
        <w:rPr>
          <w:rFonts w:ascii="Arial" w:hAnsi="Arial" w:cs="Arial"/>
          <w:sz w:val="20"/>
        </w:rPr>
        <w:t xml:space="preserve">s </w:t>
      </w:r>
      <w:r w:rsidRPr="00E77B46" w:rsidR="00FF6ADB">
        <w:rPr>
          <w:rFonts w:ascii="Arial" w:hAnsi="Arial" w:cs="Arial"/>
          <w:sz w:val="20"/>
        </w:rPr>
        <w:t xml:space="preserve">will be </w:t>
      </w:r>
      <w:r w:rsidR="001B220C">
        <w:rPr>
          <w:rFonts w:ascii="Arial" w:hAnsi="Arial" w:cs="Arial"/>
          <w:sz w:val="20"/>
        </w:rPr>
        <w:t>private</w:t>
      </w:r>
      <w:r w:rsidRPr="00E77B46" w:rsidR="00FF6ADB">
        <w:rPr>
          <w:rFonts w:ascii="Arial" w:hAnsi="Arial" w:cs="Arial"/>
          <w:sz w:val="20"/>
        </w:rPr>
        <w:t xml:space="preserve"> and confidential. </w:t>
      </w:r>
      <w:r w:rsidRPr="00F60BA9" w:rsidR="00F60BA9">
        <w:rPr>
          <w:rFonts w:ascii="Arial" w:hAnsi="Arial" w:cs="Arial"/>
          <w:sz w:val="20"/>
        </w:rPr>
        <w:t>The possibility exists that respondents may find ce</w:t>
      </w:r>
      <w:r w:rsidR="003C6C55">
        <w:rPr>
          <w:rFonts w:ascii="Arial" w:hAnsi="Arial" w:cs="Arial"/>
          <w:sz w:val="20"/>
        </w:rPr>
        <w:t xml:space="preserve">rtain questions objectionable. </w:t>
      </w:r>
      <w:r w:rsidRPr="00F60BA9" w:rsidR="00F60BA9">
        <w:rPr>
          <w:rFonts w:ascii="Arial" w:hAnsi="Arial" w:cs="Arial"/>
          <w:sz w:val="20"/>
        </w:rPr>
        <w:t xml:space="preserve">However, topics covered in the </w:t>
      </w:r>
      <w:r w:rsidR="008F00D7">
        <w:rPr>
          <w:rFonts w:ascii="Arial" w:hAnsi="Arial" w:cs="Arial"/>
          <w:sz w:val="20"/>
        </w:rPr>
        <w:t>IDIs</w:t>
      </w:r>
      <w:r w:rsidR="00F60BA9">
        <w:rPr>
          <w:rFonts w:ascii="Arial" w:hAnsi="Arial" w:cs="Arial"/>
          <w:sz w:val="20"/>
        </w:rPr>
        <w:t xml:space="preserve"> </w:t>
      </w:r>
      <w:r w:rsidRPr="00F60BA9" w:rsidR="00F60BA9">
        <w:rPr>
          <w:rFonts w:ascii="Arial" w:hAnsi="Arial" w:cs="Arial"/>
          <w:sz w:val="20"/>
        </w:rPr>
        <w:t>shoul</w:t>
      </w:r>
      <w:r w:rsidR="003C6C55">
        <w:rPr>
          <w:rFonts w:ascii="Arial" w:hAnsi="Arial" w:cs="Arial"/>
          <w:sz w:val="20"/>
        </w:rPr>
        <w:t xml:space="preserve">d not be considered sensitive. </w:t>
      </w:r>
      <w:r w:rsidRPr="00F60BA9" w:rsidR="00F60BA9">
        <w:rPr>
          <w:rFonts w:ascii="Arial" w:hAnsi="Arial" w:cs="Arial"/>
          <w:sz w:val="20"/>
        </w:rPr>
        <w:t>Questions regarding</w:t>
      </w:r>
      <w:r w:rsidR="003C6C55">
        <w:rPr>
          <w:rFonts w:ascii="Arial" w:hAnsi="Arial" w:cs="Arial"/>
          <w:sz w:val="20"/>
        </w:rPr>
        <w:t xml:space="preserve"> attitudes about </w:t>
      </w:r>
      <w:r w:rsidR="008F00D7">
        <w:rPr>
          <w:rFonts w:ascii="Arial" w:hAnsi="Arial" w:cs="Arial"/>
          <w:sz w:val="20"/>
        </w:rPr>
        <w:t>anthrax and emergency response</w:t>
      </w:r>
      <w:r w:rsidRPr="00F60BA9" w:rsidR="00F60BA9">
        <w:rPr>
          <w:rFonts w:ascii="Arial" w:hAnsi="Arial" w:cs="Arial"/>
          <w:sz w:val="20"/>
        </w:rPr>
        <w:t xml:space="preserve"> woul</w:t>
      </w:r>
      <w:r w:rsidR="003C6C55">
        <w:rPr>
          <w:rFonts w:ascii="Arial" w:hAnsi="Arial" w:cs="Arial"/>
          <w:sz w:val="20"/>
        </w:rPr>
        <w:t xml:space="preserve">d not be considered sensitive. </w:t>
      </w:r>
      <w:r w:rsidR="007748E6">
        <w:rPr>
          <w:rFonts w:ascii="Arial" w:hAnsi="Arial" w:cs="Arial"/>
          <w:sz w:val="20"/>
        </w:rPr>
        <w:t>Participants</w:t>
      </w:r>
      <w:r w:rsidRPr="00F60BA9" w:rsidR="007748E6">
        <w:rPr>
          <w:rFonts w:ascii="Arial" w:hAnsi="Arial" w:cs="Arial"/>
          <w:sz w:val="20"/>
        </w:rPr>
        <w:t xml:space="preserve"> </w:t>
      </w:r>
      <w:r w:rsidRPr="00F60BA9" w:rsidR="00F60BA9">
        <w:rPr>
          <w:rFonts w:ascii="Arial" w:hAnsi="Arial" w:cs="Arial"/>
          <w:sz w:val="20"/>
        </w:rPr>
        <w:t>will be told that they may choose to skip any question they wish (aside from eligibility questio</w:t>
      </w:r>
      <w:r w:rsidR="003C6C55">
        <w:rPr>
          <w:rFonts w:ascii="Arial" w:hAnsi="Arial" w:cs="Arial"/>
          <w:sz w:val="20"/>
        </w:rPr>
        <w:t xml:space="preserve">ns), for any reason. </w:t>
      </w:r>
      <w:r w:rsidRPr="00F60BA9" w:rsidR="00F60BA9">
        <w:rPr>
          <w:rFonts w:ascii="Arial" w:hAnsi="Arial" w:cs="Arial"/>
          <w:sz w:val="20"/>
        </w:rPr>
        <w:t xml:space="preserve">They will also be told that they may terminate participation at any time. If a subject asks to be withdrawn, the subject’s name and the </w:t>
      </w:r>
      <w:r w:rsidR="007748E6">
        <w:rPr>
          <w:rFonts w:ascii="Arial" w:hAnsi="Arial" w:cs="Arial"/>
          <w:sz w:val="20"/>
        </w:rPr>
        <w:t>evaluation</w:t>
      </w:r>
      <w:r w:rsidRPr="00F60BA9" w:rsidR="007748E6">
        <w:rPr>
          <w:rFonts w:ascii="Arial" w:hAnsi="Arial" w:cs="Arial"/>
          <w:sz w:val="20"/>
        </w:rPr>
        <w:t xml:space="preserve"> </w:t>
      </w:r>
      <w:r w:rsidRPr="00F60BA9" w:rsidR="00F60BA9">
        <w:rPr>
          <w:rFonts w:ascii="Arial" w:hAnsi="Arial" w:cs="Arial"/>
          <w:sz w:val="20"/>
        </w:rPr>
        <w:t xml:space="preserve">data will be destroyed. </w:t>
      </w:r>
      <w:r w:rsidRPr="00E77B46" w:rsidR="00FF6ADB">
        <w:rPr>
          <w:rFonts w:ascii="Arial" w:hAnsi="Arial" w:cs="Arial"/>
          <w:sz w:val="20"/>
        </w:rPr>
        <w:t xml:space="preserve"> </w:t>
      </w:r>
    </w:p>
    <w:p w:rsidRPr="00E77B46" w:rsidR="00FF6ADB" w:rsidP="00C8528B" w:rsidRDefault="00FF6ADB" w14:paraId="29692378" w14:textId="77777777">
      <w:pPr>
        <w:pStyle w:val="NoSpacing"/>
        <w:rPr>
          <w:rFonts w:ascii="Arial" w:hAnsi="Arial" w:cs="Arial"/>
          <w:sz w:val="20"/>
        </w:rPr>
      </w:pPr>
    </w:p>
    <w:p w:rsidRPr="00E77B46" w:rsidR="00FF6ADB" w:rsidP="00C8528B" w:rsidRDefault="00D90F39" w14:paraId="418280AB" w14:textId="0B579E13">
      <w:pPr>
        <w:pStyle w:val="NoSpacing"/>
        <w:rPr>
          <w:rFonts w:ascii="Arial" w:hAnsi="Arial" w:cs="Arial"/>
          <w:sz w:val="20"/>
        </w:rPr>
      </w:pPr>
      <w:r w:rsidRPr="00E77B46">
        <w:rPr>
          <w:rFonts w:ascii="Arial" w:hAnsi="Arial" w:cs="Arial"/>
          <w:b/>
          <w:sz w:val="20"/>
        </w:rPr>
        <w:t xml:space="preserve">Anticipated Benefits: </w:t>
      </w:r>
      <w:r w:rsidRPr="004032B6" w:rsidR="00EB16E4">
        <w:rPr>
          <w:rFonts w:ascii="Arial" w:hAnsi="Arial" w:cs="Arial"/>
          <w:sz w:val="20"/>
        </w:rPr>
        <w:t>There will be no direct benefit to individual participants.</w:t>
      </w:r>
      <w:r w:rsidRPr="004032B6" w:rsidR="00EB16E4">
        <w:rPr>
          <w:rFonts w:ascii="Arial" w:hAnsi="Arial" w:cs="Arial"/>
          <w:b/>
          <w:sz w:val="20"/>
        </w:rPr>
        <w:t xml:space="preserve"> </w:t>
      </w:r>
      <w:r w:rsidRPr="004032B6" w:rsidR="00FF6ADB">
        <w:rPr>
          <w:rFonts w:ascii="Arial" w:hAnsi="Arial" w:cs="Arial"/>
          <w:sz w:val="20"/>
        </w:rPr>
        <w:t xml:space="preserve">The benefits to the public are that </w:t>
      </w:r>
      <w:r w:rsidRPr="004032B6" w:rsidR="00FA30FB">
        <w:rPr>
          <w:rFonts w:ascii="Arial" w:hAnsi="Arial" w:cs="Arial"/>
          <w:sz w:val="20"/>
        </w:rPr>
        <w:t xml:space="preserve">CDC will gain </w:t>
      </w:r>
      <w:r w:rsidRPr="004032B6" w:rsidR="00FF6ADB">
        <w:rPr>
          <w:rFonts w:ascii="Arial" w:hAnsi="Arial" w:cs="Arial"/>
          <w:sz w:val="20"/>
        </w:rPr>
        <w:t xml:space="preserve">a better understanding of what people know about </w:t>
      </w:r>
      <w:r w:rsidRPr="004032B6" w:rsidR="00FA30FB">
        <w:rPr>
          <w:rFonts w:ascii="Arial" w:hAnsi="Arial" w:cs="Arial"/>
          <w:sz w:val="20"/>
        </w:rPr>
        <w:t xml:space="preserve">and </w:t>
      </w:r>
      <w:r w:rsidRPr="004032B6" w:rsidR="00FF6ADB">
        <w:rPr>
          <w:rFonts w:ascii="Arial" w:hAnsi="Arial" w:cs="Arial"/>
          <w:sz w:val="20"/>
        </w:rPr>
        <w:t xml:space="preserve">how they feel about </w:t>
      </w:r>
      <w:r w:rsidRPr="004032B6" w:rsidR="008F00D7">
        <w:rPr>
          <w:rFonts w:ascii="Arial" w:hAnsi="Arial" w:cs="Arial"/>
          <w:sz w:val="20"/>
        </w:rPr>
        <w:t>anthrax and emergency response during an anthrax bioterror threat</w:t>
      </w:r>
      <w:r w:rsidRPr="004032B6" w:rsidR="003C6C55">
        <w:rPr>
          <w:rFonts w:ascii="Arial" w:hAnsi="Arial" w:cs="Arial"/>
          <w:sz w:val="20"/>
        </w:rPr>
        <w:t>.</w:t>
      </w:r>
      <w:r w:rsidRPr="004032B6" w:rsidR="00BC567A">
        <w:rPr>
          <w:rFonts w:ascii="Arial" w:hAnsi="Arial" w:cs="Arial"/>
          <w:sz w:val="20"/>
        </w:rPr>
        <w:t xml:space="preserve"> </w:t>
      </w:r>
      <w:r w:rsidRPr="004032B6" w:rsidR="00FA30FB">
        <w:rPr>
          <w:rFonts w:ascii="Arial" w:hAnsi="Arial" w:cs="Arial"/>
          <w:sz w:val="20"/>
        </w:rPr>
        <w:t xml:space="preserve">CDC will also </w:t>
      </w:r>
      <w:r w:rsidR="004148C7">
        <w:rPr>
          <w:rFonts w:ascii="Arial" w:hAnsi="Arial" w:cs="Arial"/>
          <w:sz w:val="20"/>
        </w:rPr>
        <w:t>gain insights into</w:t>
      </w:r>
      <w:r w:rsidRPr="004032B6" w:rsidR="004032B6">
        <w:rPr>
          <w:rFonts w:ascii="Arial" w:hAnsi="Arial" w:cs="Arial"/>
          <w:sz w:val="20"/>
        </w:rPr>
        <w:t xml:space="preserve"> what messages and materials will most effectively inform audiences and encourage them to act appropriately during an anthrax bioterror emergency. </w:t>
      </w:r>
    </w:p>
    <w:p w:rsidRPr="00E77B46" w:rsidR="00D90F39" w:rsidP="00C8528B" w:rsidRDefault="00D90F39" w14:paraId="468F044D" w14:textId="77777777">
      <w:pPr>
        <w:pStyle w:val="NoSpacing"/>
        <w:rPr>
          <w:rFonts w:ascii="Arial" w:hAnsi="Arial" w:cs="Arial"/>
          <w:sz w:val="20"/>
        </w:rPr>
      </w:pPr>
    </w:p>
    <w:p w:rsidRPr="00E77B46" w:rsidR="00D90F39" w:rsidP="00D90F39" w:rsidRDefault="00EB16E4" w14:paraId="77A4D230" w14:textId="643925BA">
      <w:pPr>
        <w:pStyle w:val="NoSpacing"/>
        <w:rPr>
          <w:rFonts w:ascii="Arial" w:hAnsi="Arial" w:cs="Arial"/>
          <w:sz w:val="20"/>
        </w:rPr>
      </w:pPr>
      <w:r>
        <w:rPr>
          <w:rFonts w:ascii="Arial" w:hAnsi="Arial" w:cs="Arial"/>
          <w:b/>
          <w:sz w:val="20"/>
        </w:rPr>
        <w:t>Financial Remuneration</w:t>
      </w:r>
      <w:r w:rsidR="000746FA">
        <w:rPr>
          <w:rFonts w:ascii="Arial" w:hAnsi="Arial" w:cs="Arial"/>
          <w:b/>
          <w:sz w:val="20"/>
        </w:rPr>
        <w:t xml:space="preserve">: </w:t>
      </w:r>
      <w:r w:rsidR="00F54C41">
        <w:rPr>
          <w:rFonts w:ascii="Arial" w:hAnsi="Arial" w:cs="Arial"/>
          <w:sz w:val="20"/>
        </w:rPr>
        <w:t>IDI p</w:t>
      </w:r>
      <w:r w:rsidRPr="00C04219" w:rsidR="00D90F39">
        <w:rPr>
          <w:rFonts w:ascii="Arial" w:hAnsi="Arial" w:cs="Arial"/>
          <w:sz w:val="20"/>
        </w:rPr>
        <w:t>articipants will receive a</w:t>
      </w:r>
      <w:r w:rsidR="00716577">
        <w:rPr>
          <w:rFonts w:ascii="Arial" w:hAnsi="Arial" w:cs="Arial"/>
          <w:sz w:val="20"/>
        </w:rPr>
        <w:t xml:space="preserve"> token of appreciation</w:t>
      </w:r>
      <w:r w:rsidR="003D5D87">
        <w:rPr>
          <w:rFonts w:ascii="Arial" w:hAnsi="Arial" w:cs="Arial"/>
          <w:sz w:val="20"/>
        </w:rPr>
        <w:t xml:space="preserve"> in the amount of $</w:t>
      </w:r>
      <w:r w:rsidR="00077F42">
        <w:rPr>
          <w:rFonts w:ascii="Arial" w:hAnsi="Arial" w:cs="Arial"/>
          <w:sz w:val="20"/>
        </w:rPr>
        <w:t>50</w:t>
      </w:r>
      <w:r w:rsidRPr="00C04219" w:rsidR="00FA30FB">
        <w:rPr>
          <w:rFonts w:ascii="Arial" w:hAnsi="Arial" w:cs="Arial"/>
          <w:sz w:val="20"/>
        </w:rPr>
        <w:t>.</w:t>
      </w:r>
      <w:r w:rsidR="00FA30FB">
        <w:rPr>
          <w:rFonts w:ascii="Arial" w:hAnsi="Arial" w:cs="Arial"/>
          <w:sz w:val="20"/>
        </w:rPr>
        <w:t xml:space="preserve"> </w:t>
      </w:r>
      <w:r w:rsidRPr="00E77B46" w:rsidR="00D90F39">
        <w:rPr>
          <w:rFonts w:ascii="Arial" w:hAnsi="Arial" w:cs="Arial"/>
          <w:sz w:val="20"/>
        </w:rPr>
        <w:t xml:space="preserve"> </w:t>
      </w:r>
    </w:p>
    <w:p w:rsidRPr="00E77B46" w:rsidR="00D90F39" w:rsidP="00C8528B" w:rsidRDefault="00D90F39" w14:paraId="092081F0" w14:textId="77777777">
      <w:pPr>
        <w:pStyle w:val="NoSpacing"/>
        <w:rPr>
          <w:rFonts w:ascii="Arial" w:hAnsi="Arial" w:cs="Arial"/>
          <w:sz w:val="20"/>
        </w:rPr>
      </w:pPr>
    </w:p>
    <w:p w:rsidR="002B2AB5" w:rsidP="00C8528B" w:rsidRDefault="00D90F39" w14:paraId="567909AE" w14:textId="6543E625">
      <w:pPr>
        <w:pStyle w:val="NoSpacing"/>
        <w:rPr>
          <w:rFonts w:ascii="Arial" w:hAnsi="Arial" w:cs="Arial"/>
          <w:sz w:val="20"/>
        </w:rPr>
      </w:pPr>
      <w:r w:rsidRPr="00E77B46">
        <w:rPr>
          <w:rFonts w:ascii="Arial" w:hAnsi="Arial" w:cs="Arial"/>
          <w:b/>
          <w:sz w:val="20"/>
        </w:rPr>
        <w:t>Consent</w:t>
      </w:r>
      <w:r w:rsidR="000746FA">
        <w:rPr>
          <w:rFonts w:ascii="Arial" w:hAnsi="Arial" w:cs="Arial"/>
          <w:b/>
          <w:sz w:val="20"/>
        </w:rPr>
        <w:t xml:space="preserve">: </w:t>
      </w:r>
      <w:r w:rsidRPr="00E77B46" w:rsidR="002B2AB5">
        <w:rPr>
          <w:rFonts w:ascii="Arial" w:hAnsi="Arial" w:cs="Arial"/>
          <w:sz w:val="20"/>
        </w:rPr>
        <w:t xml:space="preserve">Participants will </w:t>
      </w:r>
      <w:r w:rsidR="00F60BA9">
        <w:rPr>
          <w:rFonts w:ascii="Arial" w:hAnsi="Arial" w:cs="Arial"/>
          <w:sz w:val="20"/>
        </w:rPr>
        <w:t xml:space="preserve">be read </w:t>
      </w:r>
      <w:r w:rsidR="004D6294">
        <w:rPr>
          <w:rFonts w:ascii="Arial" w:hAnsi="Arial" w:cs="Arial"/>
          <w:sz w:val="20"/>
        </w:rPr>
        <w:t>an</w:t>
      </w:r>
      <w:r w:rsidR="002B2AB5">
        <w:rPr>
          <w:rFonts w:ascii="Arial" w:hAnsi="Arial" w:cs="Arial"/>
          <w:sz w:val="20"/>
        </w:rPr>
        <w:t xml:space="preserve"> explanation of the project’s </w:t>
      </w:r>
      <w:r w:rsidRPr="00E77B46" w:rsidR="002B2AB5">
        <w:rPr>
          <w:rFonts w:ascii="Arial" w:hAnsi="Arial" w:cs="Arial"/>
          <w:sz w:val="20"/>
        </w:rPr>
        <w:t>purpose and format</w:t>
      </w:r>
      <w:r w:rsidR="002B2AB5">
        <w:rPr>
          <w:rFonts w:ascii="Arial" w:hAnsi="Arial" w:cs="Arial"/>
          <w:sz w:val="20"/>
        </w:rPr>
        <w:t xml:space="preserve">, including that the discussion will be recorded. </w:t>
      </w:r>
      <w:r w:rsidR="00647590">
        <w:rPr>
          <w:rFonts w:ascii="Arial" w:hAnsi="Arial" w:cs="Arial"/>
          <w:sz w:val="20"/>
        </w:rPr>
        <w:t>Participation in the assessment is voluntary. Participants will be informed they are free to skip questions they do not wish to answer, respond “I don’t know”, or end participation at any</w:t>
      </w:r>
      <w:r w:rsidR="002B2AB5">
        <w:rPr>
          <w:rFonts w:ascii="Arial" w:hAnsi="Arial" w:cs="Arial"/>
          <w:sz w:val="20"/>
        </w:rPr>
        <w:t xml:space="preserve"> time for any reason. </w:t>
      </w:r>
      <w:r w:rsidRPr="00E77B46" w:rsidR="002B2AB5">
        <w:rPr>
          <w:rFonts w:ascii="Arial" w:hAnsi="Arial" w:cs="Arial"/>
          <w:sz w:val="20"/>
        </w:rPr>
        <w:t xml:space="preserve">Once they have received this orientation, they will be asked for a verbal consent to participate and to have the </w:t>
      </w:r>
      <w:r w:rsidR="008F00D7">
        <w:rPr>
          <w:rFonts w:ascii="Arial" w:hAnsi="Arial" w:cs="Arial"/>
          <w:sz w:val="20"/>
        </w:rPr>
        <w:t>IDI</w:t>
      </w:r>
      <w:r w:rsidR="00434545">
        <w:rPr>
          <w:rFonts w:ascii="Arial" w:hAnsi="Arial" w:cs="Arial"/>
          <w:sz w:val="20"/>
        </w:rPr>
        <w:t xml:space="preserve"> </w:t>
      </w:r>
      <w:r w:rsidRPr="00E77B46" w:rsidR="002B2AB5">
        <w:rPr>
          <w:rFonts w:ascii="Arial" w:hAnsi="Arial" w:cs="Arial"/>
          <w:sz w:val="20"/>
        </w:rPr>
        <w:t>recorded</w:t>
      </w:r>
      <w:r w:rsidR="000B1C95">
        <w:rPr>
          <w:rFonts w:ascii="Arial" w:hAnsi="Arial" w:cs="Arial"/>
          <w:sz w:val="20"/>
        </w:rPr>
        <w:t xml:space="preserve">. </w:t>
      </w:r>
      <w:r w:rsidR="008F00D7">
        <w:rPr>
          <w:rFonts w:ascii="Arial" w:hAnsi="Arial" w:cs="Arial"/>
          <w:sz w:val="20"/>
        </w:rPr>
        <w:t>IDIs</w:t>
      </w:r>
      <w:r w:rsidR="00647590">
        <w:rPr>
          <w:rFonts w:ascii="Arial" w:hAnsi="Arial" w:cs="Arial"/>
          <w:sz w:val="20"/>
        </w:rPr>
        <w:t xml:space="preserve"> will be conducted only with those who agree to participate. </w:t>
      </w:r>
    </w:p>
    <w:p w:rsidR="00F60BA9" w:rsidP="00F60BA9" w:rsidRDefault="00F60BA9" w14:paraId="0AAF0104" w14:textId="77777777">
      <w:pPr>
        <w:pStyle w:val="NoSpacing"/>
        <w:rPr>
          <w:rFonts w:ascii="Arial" w:hAnsi="Arial" w:cs="Arial"/>
          <w:sz w:val="20"/>
        </w:rPr>
      </w:pPr>
    </w:p>
    <w:p w:rsidRPr="00E77B46" w:rsidR="00FF6ADB" w:rsidP="00C8528B" w:rsidRDefault="00D90F39" w14:paraId="7FE480B9" w14:textId="3B58015D">
      <w:pPr>
        <w:pStyle w:val="NoSpacing"/>
        <w:rPr>
          <w:rFonts w:ascii="Arial" w:hAnsi="Arial" w:cs="Arial"/>
          <w:sz w:val="20"/>
        </w:rPr>
      </w:pPr>
      <w:r w:rsidRPr="00E77B46">
        <w:rPr>
          <w:rFonts w:ascii="Arial" w:hAnsi="Arial" w:cs="Arial"/>
          <w:b/>
          <w:sz w:val="20"/>
        </w:rPr>
        <w:t>Vulnerable populations</w:t>
      </w:r>
      <w:r w:rsidR="000746FA">
        <w:rPr>
          <w:rFonts w:ascii="Arial" w:hAnsi="Arial" w:cs="Arial"/>
          <w:b/>
          <w:sz w:val="20"/>
        </w:rPr>
        <w:t xml:space="preserve">: </w:t>
      </w:r>
      <w:r w:rsidRPr="00E77B46" w:rsidR="00FF6ADB">
        <w:rPr>
          <w:rFonts w:ascii="Arial" w:hAnsi="Arial" w:cs="Arial"/>
          <w:sz w:val="20"/>
        </w:rPr>
        <w:t>There is no specific plan to target special populations</w:t>
      </w:r>
      <w:r w:rsidR="004B0A2A">
        <w:rPr>
          <w:rFonts w:ascii="Arial" w:hAnsi="Arial" w:cs="Arial"/>
          <w:sz w:val="20"/>
        </w:rPr>
        <w:t>,</w:t>
      </w:r>
      <w:r w:rsidRPr="00E77B46" w:rsidR="00FF6ADB">
        <w:rPr>
          <w:rFonts w:ascii="Arial" w:hAnsi="Arial" w:cs="Arial"/>
          <w:sz w:val="20"/>
        </w:rPr>
        <w:t xml:space="preserve"> such as pregnant women</w:t>
      </w:r>
      <w:r w:rsidR="002A47F0">
        <w:rPr>
          <w:rFonts w:ascii="Arial" w:hAnsi="Arial" w:cs="Arial"/>
          <w:sz w:val="20"/>
        </w:rPr>
        <w:t xml:space="preserve"> </w:t>
      </w:r>
      <w:r w:rsidR="003463D1">
        <w:rPr>
          <w:rFonts w:ascii="Arial" w:hAnsi="Arial" w:cs="Arial"/>
          <w:sz w:val="20"/>
        </w:rPr>
        <w:t>or refugees;</w:t>
      </w:r>
      <w:r w:rsidRPr="00E77B46" w:rsidR="00FF6ADB">
        <w:rPr>
          <w:rFonts w:ascii="Arial" w:hAnsi="Arial" w:cs="Arial"/>
          <w:sz w:val="20"/>
        </w:rPr>
        <w:t xml:space="preserve"> however, there </w:t>
      </w:r>
      <w:r w:rsidR="004148C7">
        <w:rPr>
          <w:rFonts w:ascii="Arial" w:hAnsi="Arial" w:cs="Arial"/>
          <w:sz w:val="20"/>
        </w:rPr>
        <w:t>are</w:t>
      </w:r>
      <w:r w:rsidRPr="00E77B46" w:rsidR="00FF6ADB">
        <w:rPr>
          <w:rFonts w:ascii="Arial" w:hAnsi="Arial" w:cs="Arial"/>
          <w:sz w:val="20"/>
        </w:rPr>
        <w:t xml:space="preserve"> no exclusion criteria for these populations. Participants must be 18 years of age or older, so children will not be included. </w:t>
      </w:r>
      <w:bookmarkStart w:name="_GoBack" w:id="1"/>
      <w:bookmarkEnd w:id="1"/>
    </w:p>
    <w:p w:rsidRPr="004E5E35" w:rsidR="007E15E8" w:rsidP="00C8528B" w:rsidRDefault="007E15E8" w14:paraId="13F8E46B" w14:textId="77777777">
      <w:pPr>
        <w:pStyle w:val="NoSpacing"/>
        <w:rPr>
          <w:rFonts w:ascii="Arial" w:hAnsi="Arial" w:cs="Arial"/>
          <w:b/>
          <w:sz w:val="20"/>
        </w:rPr>
      </w:pPr>
    </w:p>
    <w:p w:rsidRPr="00E77B46" w:rsidR="00C8528B" w:rsidP="00D90F39" w:rsidRDefault="00C8528B" w14:paraId="51FE4B6D" w14:textId="07467F57">
      <w:pPr>
        <w:pStyle w:val="NoSpacing"/>
        <w:rPr>
          <w:rFonts w:ascii="Arial" w:hAnsi="Arial" w:cs="Arial"/>
          <w:sz w:val="20"/>
        </w:rPr>
      </w:pPr>
      <w:r w:rsidRPr="004B0A2A">
        <w:rPr>
          <w:rFonts w:ascii="Arial" w:hAnsi="Arial" w:cs="Arial"/>
          <w:b/>
          <w:sz w:val="20"/>
        </w:rPr>
        <w:t>Dissemination of results</w:t>
      </w:r>
      <w:r w:rsidRPr="004B0A2A" w:rsidR="000746FA">
        <w:rPr>
          <w:rFonts w:ascii="Arial" w:hAnsi="Arial" w:cs="Arial"/>
          <w:b/>
          <w:sz w:val="20"/>
        </w:rPr>
        <w:t xml:space="preserve">: </w:t>
      </w:r>
      <w:r w:rsidRPr="004B0A2A" w:rsidR="00FF6ADB">
        <w:rPr>
          <w:rFonts w:ascii="Arial" w:hAnsi="Arial" w:cs="Arial"/>
          <w:sz w:val="20"/>
        </w:rPr>
        <w:t>The primary use of the report is</w:t>
      </w:r>
      <w:r w:rsidRPr="004B0A2A" w:rsidR="00C24951">
        <w:rPr>
          <w:rFonts w:ascii="Arial" w:hAnsi="Arial" w:cs="Arial"/>
          <w:sz w:val="20"/>
        </w:rPr>
        <w:t xml:space="preserve"> </w:t>
      </w:r>
      <w:r w:rsidRPr="004B0A2A" w:rsidR="006B7466">
        <w:rPr>
          <w:rFonts w:ascii="Arial" w:hAnsi="Arial" w:cs="Arial"/>
          <w:sz w:val="20"/>
        </w:rPr>
        <w:t>t</w:t>
      </w:r>
      <w:r w:rsidRPr="004B0A2A" w:rsidR="00C24951">
        <w:rPr>
          <w:rFonts w:ascii="Arial" w:hAnsi="Arial" w:cs="Arial"/>
          <w:sz w:val="20"/>
        </w:rPr>
        <w:t xml:space="preserve">o help CDC communication professionals prepare to communicate </w:t>
      </w:r>
      <w:r w:rsidR="00687F80">
        <w:rPr>
          <w:rFonts w:ascii="Arial" w:hAnsi="Arial" w:cs="Arial"/>
          <w:sz w:val="20"/>
        </w:rPr>
        <w:t>about emergency response</w:t>
      </w:r>
      <w:r w:rsidRPr="004B0A2A" w:rsidR="006B7466">
        <w:rPr>
          <w:rFonts w:ascii="Arial" w:hAnsi="Arial" w:cs="Arial"/>
          <w:sz w:val="20"/>
        </w:rPr>
        <w:t xml:space="preserve"> in the case of an </w:t>
      </w:r>
      <w:r w:rsidRPr="004B0A2A" w:rsidR="00C04219">
        <w:rPr>
          <w:rFonts w:ascii="Arial" w:hAnsi="Arial" w:cs="Arial"/>
          <w:sz w:val="20"/>
        </w:rPr>
        <w:t>anthrax</w:t>
      </w:r>
      <w:r w:rsidRPr="004B0A2A" w:rsidR="006B7466">
        <w:rPr>
          <w:rFonts w:ascii="Arial" w:hAnsi="Arial" w:cs="Arial"/>
          <w:sz w:val="20"/>
        </w:rPr>
        <w:t xml:space="preserve"> </w:t>
      </w:r>
      <w:r w:rsidRPr="004B0A2A" w:rsidR="004B0A2A">
        <w:rPr>
          <w:rFonts w:ascii="Arial" w:hAnsi="Arial" w:cs="Arial"/>
          <w:sz w:val="20"/>
        </w:rPr>
        <w:t>event</w:t>
      </w:r>
      <w:r w:rsidRPr="004B0A2A" w:rsidR="00C24951">
        <w:rPr>
          <w:rFonts w:ascii="Arial" w:hAnsi="Arial" w:cs="Arial"/>
          <w:sz w:val="20"/>
        </w:rPr>
        <w:t>.</w:t>
      </w:r>
      <w:r w:rsidRPr="004B0A2A" w:rsidR="0058730C">
        <w:rPr>
          <w:rFonts w:ascii="Arial" w:hAnsi="Arial" w:cs="Arial"/>
          <w:sz w:val="20"/>
        </w:rPr>
        <w:t xml:space="preserve"> </w:t>
      </w:r>
      <w:r w:rsidR="00B208DA">
        <w:rPr>
          <w:rFonts w:ascii="Arial" w:hAnsi="Arial" w:cs="Arial"/>
          <w:sz w:val="20"/>
        </w:rPr>
        <w:t xml:space="preserve">All </w:t>
      </w:r>
      <w:r w:rsidR="008A4F39">
        <w:rPr>
          <w:rFonts w:ascii="Arial" w:hAnsi="Arial" w:cs="Arial"/>
          <w:sz w:val="20"/>
        </w:rPr>
        <w:t>findings</w:t>
      </w:r>
      <w:r w:rsidR="00B208DA">
        <w:rPr>
          <w:rFonts w:ascii="Arial" w:hAnsi="Arial" w:cs="Arial"/>
          <w:sz w:val="20"/>
        </w:rPr>
        <w:t xml:space="preserve"> will be kept internal</w:t>
      </w:r>
      <w:r w:rsidR="008A4F39">
        <w:rPr>
          <w:rFonts w:ascii="Arial" w:hAnsi="Arial" w:cs="Arial"/>
          <w:sz w:val="20"/>
        </w:rPr>
        <w:t xml:space="preserve"> to CDC and not distributed publicly</w:t>
      </w:r>
      <w:r w:rsidRPr="004B0A2A" w:rsidR="00971452">
        <w:rPr>
          <w:rFonts w:ascii="Arial" w:hAnsi="Arial" w:cs="Arial"/>
          <w:sz w:val="20"/>
        </w:rPr>
        <w:t>.</w:t>
      </w:r>
      <w:r w:rsidRPr="00E77B46" w:rsidR="00971452">
        <w:rPr>
          <w:rFonts w:ascii="Arial" w:hAnsi="Arial" w:cs="Arial"/>
          <w:sz w:val="20"/>
        </w:rPr>
        <w:t xml:space="preserve"> </w:t>
      </w:r>
    </w:p>
    <w:p w:rsidRPr="00E77B46" w:rsidR="00E20AE0" w:rsidP="00D90F39" w:rsidRDefault="00E20AE0" w14:paraId="23A06466" w14:textId="77777777">
      <w:pPr>
        <w:pStyle w:val="NoSpacing"/>
        <w:rPr>
          <w:rFonts w:ascii="Arial" w:hAnsi="Arial" w:cs="Arial"/>
          <w:sz w:val="20"/>
        </w:rPr>
      </w:pPr>
    </w:p>
    <w:p w:rsidRPr="00E77B46" w:rsidR="00E20AE0" w:rsidP="00D90F39" w:rsidRDefault="00E20AE0" w14:paraId="5B3861B0" w14:textId="3A408875">
      <w:pPr>
        <w:pStyle w:val="NoSpacing"/>
        <w:rPr>
          <w:rFonts w:ascii="Arial" w:hAnsi="Arial" w:cs="Arial"/>
          <w:sz w:val="20"/>
        </w:rPr>
      </w:pPr>
      <w:r w:rsidRPr="00E77B46">
        <w:rPr>
          <w:rFonts w:ascii="Arial" w:hAnsi="Arial" w:cs="Arial"/>
          <w:sz w:val="20"/>
        </w:rPr>
        <w:t>In some cases, direct quotes from interviews may be used to illustrate a point of view. (This is commonly done in qualitative data analysis and reporting</w:t>
      </w:r>
      <w:r w:rsidR="001F2146">
        <w:rPr>
          <w:rFonts w:ascii="Arial" w:hAnsi="Arial" w:cs="Arial"/>
          <w:sz w:val="20"/>
        </w:rPr>
        <w:t>.</w:t>
      </w:r>
      <w:r w:rsidRPr="00E77B46">
        <w:rPr>
          <w:rFonts w:ascii="Arial" w:hAnsi="Arial" w:cs="Arial"/>
          <w:sz w:val="20"/>
        </w:rPr>
        <w:t>) In th</w:t>
      </w:r>
      <w:r w:rsidR="00A11F75">
        <w:rPr>
          <w:rFonts w:ascii="Arial" w:hAnsi="Arial" w:cs="Arial"/>
          <w:sz w:val="20"/>
        </w:rPr>
        <w:t>ese cases, t</w:t>
      </w:r>
      <w:r w:rsidRPr="00E77B46">
        <w:rPr>
          <w:rFonts w:ascii="Arial" w:hAnsi="Arial" w:cs="Arial"/>
          <w:sz w:val="20"/>
        </w:rPr>
        <w:t xml:space="preserve">he </w:t>
      </w:r>
      <w:r w:rsidR="006B7466">
        <w:rPr>
          <w:rFonts w:ascii="Arial" w:hAnsi="Arial" w:cs="Arial"/>
          <w:sz w:val="20"/>
        </w:rPr>
        <w:t>contractor</w:t>
      </w:r>
      <w:r w:rsidR="0058730C">
        <w:rPr>
          <w:rFonts w:ascii="Arial" w:hAnsi="Arial" w:cs="Arial"/>
          <w:sz w:val="20"/>
        </w:rPr>
        <w:t>s and the CDC team</w:t>
      </w:r>
      <w:r w:rsidRPr="00E77B46">
        <w:rPr>
          <w:rFonts w:ascii="Arial" w:hAnsi="Arial" w:cs="Arial"/>
          <w:sz w:val="20"/>
        </w:rPr>
        <w:t xml:space="preserve"> will be jointly responsible for assuring (unanimously), that nothing revealed in a direct quotation identifies the participant, either partially or wholly. </w:t>
      </w:r>
    </w:p>
    <w:p w:rsidRPr="00E77B46" w:rsidR="00BB58C5" w:rsidP="00955EA0" w:rsidRDefault="00BB58C5" w14:paraId="738A57A9" w14:textId="77777777">
      <w:pPr>
        <w:pStyle w:val="NoSpacing"/>
        <w:rPr>
          <w:rFonts w:ascii="Arial" w:hAnsi="Arial" w:cs="Arial"/>
          <w:sz w:val="20"/>
        </w:rPr>
      </w:pPr>
    </w:p>
    <w:p w:rsidRPr="005015A1" w:rsidR="00411010" w:rsidP="002120D7" w:rsidRDefault="005015A1" w14:paraId="6ABAC027" w14:textId="67E44A7F">
      <w:pPr>
        <w:pStyle w:val="NoSpacing"/>
        <w:rPr>
          <w:rFonts w:ascii="Arial" w:hAnsi="Arial" w:cs="Arial"/>
          <w:b/>
          <w:sz w:val="20"/>
        </w:rPr>
      </w:pPr>
      <w:r w:rsidRPr="005015A1">
        <w:rPr>
          <w:rFonts w:ascii="Arial" w:hAnsi="Arial" w:cs="Arial"/>
          <w:b/>
          <w:sz w:val="20"/>
        </w:rPr>
        <w:t>Attachments</w:t>
      </w:r>
    </w:p>
    <w:p w:rsidRPr="005015A1" w:rsidR="00EB16E4" w:rsidP="00EB16E4" w:rsidRDefault="005015A1" w14:paraId="0FEDB5E4" w14:textId="2858946E">
      <w:pPr>
        <w:pStyle w:val="NoSpacing"/>
        <w:numPr>
          <w:ilvl w:val="0"/>
          <w:numId w:val="25"/>
        </w:numPr>
        <w:rPr>
          <w:rFonts w:ascii="Arial" w:hAnsi="Arial" w:cs="Arial"/>
          <w:sz w:val="20"/>
        </w:rPr>
      </w:pPr>
      <w:r w:rsidRPr="005015A1">
        <w:rPr>
          <w:rFonts w:ascii="Arial" w:hAnsi="Arial" w:cs="Arial"/>
          <w:sz w:val="20"/>
        </w:rPr>
        <w:t>Attachment 1</w:t>
      </w:r>
      <w:r w:rsidRPr="005015A1" w:rsidR="00EB16E4">
        <w:rPr>
          <w:rFonts w:ascii="Arial" w:hAnsi="Arial" w:cs="Arial"/>
          <w:sz w:val="20"/>
        </w:rPr>
        <w:t>: Eligibility/</w:t>
      </w:r>
      <w:r>
        <w:rPr>
          <w:rFonts w:ascii="Arial" w:hAnsi="Arial" w:cs="Arial"/>
          <w:sz w:val="20"/>
        </w:rPr>
        <w:t>s</w:t>
      </w:r>
      <w:r w:rsidRPr="005015A1" w:rsidR="00EB16E4">
        <w:rPr>
          <w:rFonts w:ascii="Arial" w:hAnsi="Arial" w:cs="Arial"/>
          <w:sz w:val="20"/>
        </w:rPr>
        <w:t xml:space="preserve">creening questions and informed consent for </w:t>
      </w:r>
      <w:r w:rsidR="00687F80">
        <w:rPr>
          <w:rFonts w:ascii="Arial" w:hAnsi="Arial" w:cs="Arial"/>
          <w:sz w:val="20"/>
        </w:rPr>
        <w:t>in-depth interview</w:t>
      </w:r>
      <w:r w:rsidRPr="005015A1" w:rsidR="00EB16E4">
        <w:rPr>
          <w:rFonts w:ascii="Arial" w:hAnsi="Arial" w:cs="Arial"/>
          <w:sz w:val="20"/>
        </w:rPr>
        <w:t xml:space="preserve"> participants</w:t>
      </w:r>
    </w:p>
    <w:p w:rsidR="00EB16E4" w:rsidP="00184D43" w:rsidRDefault="005015A1" w14:paraId="3593E98E" w14:textId="684B3908">
      <w:pPr>
        <w:pStyle w:val="NoSpacing"/>
        <w:numPr>
          <w:ilvl w:val="0"/>
          <w:numId w:val="25"/>
        </w:numPr>
        <w:rPr>
          <w:rFonts w:ascii="Arial" w:hAnsi="Arial" w:cs="Arial"/>
          <w:sz w:val="20"/>
        </w:rPr>
      </w:pPr>
      <w:r w:rsidRPr="005015A1">
        <w:rPr>
          <w:rFonts w:ascii="Arial" w:hAnsi="Arial" w:cs="Arial"/>
          <w:sz w:val="20"/>
        </w:rPr>
        <w:t>Attachment 2</w:t>
      </w:r>
      <w:r w:rsidRPr="005015A1" w:rsidR="00EB16E4">
        <w:rPr>
          <w:rFonts w:ascii="Arial" w:hAnsi="Arial" w:cs="Arial"/>
          <w:sz w:val="20"/>
        </w:rPr>
        <w:t xml:space="preserve">: </w:t>
      </w:r>
      <w:r w:rsidR="008C5635">
        <w:rPr>
          <w:rFonts w:ascii="Arial" w:hAnsi="Arial" w:cs="Arial"/>
          <w:sz w:val="20"/>
        </w:rPr>
        <w:t xml:space="preserve">In-depth interview </w:t>
      </w:r>
      <w:r w:rsidRPr="005015A1" w:rsidR="008C5635">
        <w:rPr>
          <w:rFonts w:ascii="Arial" w:hAnsi="Arial" w:cs="Arial"/>
          <w:sz w:val="20"/>
        </w:rPr>
        <w:t xml:space="preserve">guide </w:t>
      </w:r>
      <w:r w:rsidR="008C5635">
        <w:rPr>
          <w:rFonts w:ascii="Arial" w:hAnsi="Arial" w:cs="Arial"/>
          <w:sz w:val="20"/>
        </w:rPr>
        <w:t xml:space="preserve">for </w:t>
      </w:r>
      <w:r w:rsidR="009B07CC">
        <w:rPr>
          <w:rFonts w:ascii="Arial" w:hAnsi="Arial" w:cs="Arial"/>
          <w:sz w:val="20"/>
        </w:rPr>
        <w:t>adults 65+</w:t>
      </w:r>
    </w:p>
    <w:p w:rsidR="009B07CC" w:rsidP="00184D43" w:rsidRDefault="009B07CC" w14:paraId="60A7315F" w14:textId="28D7D42E">
      <w:pPr>
        <w:pStyle w:val="NoSpacing"/>
        <w:numPr>
          <w:ilvl w:val="0"/>
          <w:numId w:val="25"/>
        </w:numPr>
        <w:rPr>
          <w:rFonts w:ascii="Arial" w:hAnsi="Arial" w:cs="Arial"/>
          <w:sz w:val="20"/>
        </w:rPr>
      </w:pPr>
      <w:r>
        <w:rPr>
          <w:rFonts w:ascii="Arial" w:hAnsi="Arial" w:cs="Arial"/>
          <w:sz w:val="20"/>
        </w:rPr>
        <w:t xml:space="preserve">Attachment 3: </w:t>
      </w:r>
      <w:r w:rsidR="008C5635">
        <w:rPr>
          <w:rFonts w:ascii="Arial" w:hAnsi="Arial" w:cs="Arial"/>
          <w:sz w:val="20"/>
        </w:rPr>
        <w:t xml:space="preserve">In-depth interview </w:t>
      </w:r>
      <w:r w:rsidRPr="005015A1" w:rsidR="008C5635">
        <w:rPr>
          <w:rFonts w:ascii="Arial" w:hAnsi="Arial" w:cs="Arial"/>
          <w:sz w:val="20"/>
        </w:rPr>
        <w:t xml:space="preserve">guide </w:t>
      </w:r>
      <w:r w:rsidR="008C5635">
        <w:rPr>
          <w:rFonts w:ascii="Arial" w:hAnsi="Arial" w:cs="Arial"/>
          <w:sz w:val="20"/>
        </w:rPr>
        <w:t xml:space="preserve">for </w:t>
      </w:r>
      <w:r>
        <w:rPr>
          <w:rFonts w:ascii="Arial" w:hAnsi="Arial" w:cs="Arial"/>
          <w:sz w:val="20"/>
        </w:rPr>
        <w:t>parents of children 0–17 years</w:t>
      </w:r>
    </w:p>
    <w:p w:rsidR="009B07CC" w:rsidP="00184D43" w:rsidRDefault="009B07CC" w14:paraId="18CE3EDE" w14:textId="44542F0D">
      <w:pPr>
        <w:pStyle w:val="NoSpacing"/>
        <w:numPr>
          <w:ilvl w:val="0"/>
          <w:numId w:val="25"/>
        </w:numPr>
        <w:rPr>
          <w:rFonts w:ascii="Arial" w:hAnsi="Arial" w:cs="Arial"/>
          <w:sz w:val="20"/>
        </w:rPr>
      </w:pPr>
      <w:r>
        <w:rPr>
          <w:rFonts w:ascii="Arial" w:hAnsi="Arial" w:cs="Arial"/>
          <w:sz w:val="20"/>
        </w:rPr>
        <w:t xml:space="preserve">Attachment 4: </w:t>
      </w:r>
      <w:r w:rsidR="008C5635">
        <w:rPr>
          <w:rFonts w:ascii="Arial" w:hAnsi="Arial" w:cs="Arial"/>
          <w:sz w:val="20"/>
        </w:rPr>
        <w:t xml:space="preserve">In-depth interview </w:t>
      </w:r>
      <w:r w:rsidRPr="005015A1" w:rsidR="008C5635">
        <w:rPr>
          <w:rFonts w:ascii="Arial" w:hAnsi="Arial" w:cs="Arial"/>
          <w:sz w:val="20"/>
        </w:rPr>
        <w:t xml:space="preserve">guide </w:t>
      </w:r>
      <w:r w:rsidR="008C5635">
        <w:rPr>
          <w:rFonts w:ascii="Arial" w:hAnsi="Arial" w:cs="Arial"/>
          <w:sz w:val="20"/>
        </w:rPr>
        <w:t xml:space="preserve">for </w:t>
      </w:r>
      <w:r w:rsidR="00C10735">
        <w:rPr>
          <w:rFonts w:ascii="Arial" w:hAnsi="Arial" w:cs="Arial"/>
          <w:sz w:val="20"/>
        </w:rPr>
        <w:t>ESL</w:t>
      </w:r>
      <w:r>
        <w:rPr>
          <w:rFonts w:ascii="Arial" w:hAnsi="Arial" w:cs="Arial"/>
          <w:sz w:val="20"/>
        </w:rPr>
        <w:t xml:space="preserve"> adults</w:t>
      </w:r>
    </w:p>
    <w:p w:rsidR="001F776C" w:rsidP="00184D43" w:rsidRDefault="001F776C" w14:paraId="2F4F5916" w14:textId="02C4CC97">
      <w:pPr>
        <w:pStyle w:val="NoSpacing"/>
        <w:numPr>
          <w:ilvl w:val="0"/>
          <w:numId w:val="25"/>
        </w:numPr>
        <w:rPr>
          <w:rFonts w:ascii="Arial" w:hAnsi="Arial" w:cs="Arial"/>
          <w:sz w:val="20"/>
        </w:rPr>
      </w:pPr>
      <w:r>
        <w:rPr>
          <w:rFonts w:ascii="Arial" w:hAnsi="Arial" w:cs="Arial"/>
          <w:sz w:val="20"/>
        </w:rPr>
        <w:t>Attachment 5: Anthrax Antibiotics and Children Fact Sheet</w:t>
      </w:r>
    </w:p>
    <w:p w:rsidR="001F776C" w:rsidP="00184D43" w:rsidRDefault="001F776C" w14:paraId="04070258" w14:textId="5D8C4055">
      <w:pPr>
        <w:pStyle w:val="NoSpacing"/>
        <w:numPr>
          <w:ilvl w:val="0"/>
          <w:numId w:val="25"/>
        </w:numPr>
        <w:rPr>
          <w:rFonts w:ascii="Arial" w:hAnsi="Arial" w:cs="Arial"/>
          <w:sz w:val="20"/>
        </w:rPr>
      </w:pPr>
      <w:r>
        <w:rPr>
          <w:rFonts w:ascii="Arial" w:hAnsi="Arial" w:cs="Arial"/>
          <w:sz w:val="20"/>
        </w:rPr>
        <w:t>Attachment 6: Anthrax Get Vaccinated Fact Sheet</w:t>
      </w:r>
    </w:p>
    <w:p w:rsidR="001F776C" w:rsidP="00184D43" w:rsidRDefault="001F776C" w14:paraId="330173EE" w14:textId="2A95C27C">
      <w:pPr>
        <w:pStyle w:val="NoSpacing"/>
        <w:numPr>
          <w:ilvl w:val="0"/>
          <w:numId w:val="25"/>
        </w:numPr>
        <w:rPr>
          <w:rFonts w:ascii="Arial" w:hAnsi="Arial" w:cs="Arial"/>
          <w:sz w:val="20"/>
        </w:rPr>
      </w:pPr>
      <w:r>
        <w:rPr>
          <w:rFonts w:ascii="Arial" w:hAnsi="Arial" w:cs="Arial"/>
          <w:sz w:val="20"/>
        </w:rPr>
        <w:t>Attachment 7: Anthrax Pregnancy Fact Sheet</w:t>
      </w:r>
    </w:p>
    <w:p w:rsidR="001F776C" w:rsidP="00184D43" w:rsidRDefault="001F776C" w14:paraId="726763CE" w14:textId="08406879">
      <w:pPr>
        <w:pStyle w:val="NoSpacing"/>
        <w:numPr>
          <w:ilvl w:val="0"/>
          <w:numId w:val="25"/>
        </w:numPr>
        <w:rPr>
          <w:rFonts w:ascii="Arial" w:hAnsi="Arial" w:cs="Arial"/>
          <w:sz w:val="20"/>
        </w:rPr>
      </w:pPr>
      <w:r>
        <w:rPr>
          <w:rFonts w:ascii="Arial" w:hAnsi="Arial" w:cs="Arial"/>
          <w:sz w:val="20"/>
        </w:rPr>
        <w:t>Attachment 8: Anthrax General Fact Sheet</w:t>
      </w:r>
    </w:p>
    <w:p w:rsidRPr="005015A1" w:rsidR="001F776C" w:rsidP="00184D43" w:rsidRDefault="001F776C" w14:paraId="0A81184E" w14:textId="766CCA8C">
      <w:pPr>
        <w:pStyle w:val="NoSpacing"/>
        <w:numPr>
          <w:ilvl w:val="0"/>
          <w:numId w:val="25"/>
        </w:numPr>
        <w:rPr>
          <w:rFonts w:ascii="Arial" w:hAnsi="Arial" w:cs="Arial"/>
          <w:sz w:val="20"/>
        </w:rPr>
      </w:pPr>
      <w:r>
        <w:rPr>
          <w:rFonts w:ascii="Arial" w:hAnsi="Arial" w:cs="Arial"/>
          <w:sz w:val="20"/>
        </w:rPr>
        <w:t>Attachment 9: Anthrax POD Fact Sheet</w:t>
      </w:r>
    </w:p>
    <w:sectPr w:rsidRPr="005015A1" w:rsidR="001F776C" w:rsidSect="00997CDB">
      <w:footerReference w:type="default" r:id="rId11"/>
      <w:footnotePr>
        <w:numFmt w:val="lowerRoman"/>
      </w:footnotePr>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355B3" w14:textId="77777777" w:rsidR="00625FAB" w:rsidRDefault="00625FAB" w:rsidP="004A1624">
      <w:r>
        <w:separator/>
      </w:r>
    </w:p>
  </w:endnote>
  <w:endnote w:type="continuationSeparator" w:id="0">
    <w:p w14:paraId="50BEECCE" w14:textId="77777777" w:rsidR="00625FAB" w:rsidRDefault="00625FAB" w:rsidP="004A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7447"/>
      <w:docPartObj>
        <w:docPartGallery w:val="Page Numbers (Bottom of Page)"/>
        <w:docPartUnique/>
      </w:docPartObj>
    </w:sdtPr>
    <w:sdtEndPr>
      <w:rPr>
        <w:rFonts w:ascii="Arial" w:hAnsi="Arial" w:cs="Arial"/>
        <w:noProof/>
        <w:sz w:val="18"/>
        <w:szCs w:val="18"/>
      </w:rPr>
    </w:sdtEndPr>
    <w:sdtContent>
      <w:p w14:paraId="03FBBA18" w14:textId="4D4A16AD" w:rsidR="00184D43" w:rsidRPr="00F01F52" w:rsidRDefault="00184D43">
        <w:pPr>
          <w:pStyle w:val="Footer"/>
          <w:jc w:val="right"/>
          <w:rPr>
            <w:rFonts w:ascii="Arial" w:hAnsi="Arial" w:cs="Arial"/>
            <w:sz w:val="18"/>
            <w:szCs w:val="18"/>
          </w:rPr>
        </w:pPr>
        <w:r w:rsidRPr="00F01F52">
          <w:rPr>
            <w:rFonts w:ascii="Arial" w:hAnsi="Arial" w:cs="Arial"/>
            <w:sz w:val="18"/>
            <w:szCs w:val="18"/>
          </w:rPr>
          <w:fldChar w:fldCharType="begin"/>
        </w:r>
        <w:r w:rsidRPr="00F01F52">
          <w:rPr>
            <w:rFonts w:ascii="Arial" w:hAnsi="Arial" w:cs="Arial"/>
            <w:sz w:val="18"/>
            <w:szCs w:val="18"/>
          </w:rPr>
          <w:instrText xml:space="preserve"> PAGE   \* MERGEFORMAT </w:instrText>
        </w:r>
        <w:r w:rsidRPr="00F01F52">
          <w:rPr>
            <w:rFonts w:ascii="Arial" w:hAnsi="Arial" w:cs="Arial"/>
            <w:sz w:val="18"/>
            <w:szCs w:val="18"/>
          </w:rPr>
          <w:fldChar w:fldCharType="separate"/>
        </w:r>
        <w:r w:rsidR="00A72A75">
          <w:rPr>
            <w:rFonts w:ascii="Arial" w:hAnsi="Arial" w:cs="Arial"/>
            <w:noProof/>
            <w:sz w:val="18"/>
            <w:szCs w:val="18"/>
          </w:rPr>
          <w:t>6</w:t>
        </w:r>
        <w:r w:rsidRPr="00F01F52">
          <w:rPr>
            <w:rFonts w:ascii="Arial" w:hAnsi="Arial" w:cs="Arial"/>
            <w:noProof/>
            <w:sz w:val="18"/>
            <w:szCs w:val="18"/>
          </w:rPr>
          <w:fldChar w:fldCharType="end"/>
        </w:r>
      </w:p>
    </w:sdtContent>
  </w:sdt>
  <w:p w14:paraId="39411F15" w14:textId="77777777" w:rsidR="00184D43" w:rsidRDefault="00184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E0238" w14:textId="77777777" w:rsidR="00625FAB" w:rsidRDefault="00625FAB" w:rsidP="004A1624">
      <w:r>
        <w:separator/>
      </w:r>
    </w:p>
  </w:footnote>
  <w:footnote w:type="continuationSeparator" w:id="0">
    <w:p w14:paraId="221A1904" w14:textId="77777777" w:rsidR="00625FAB" w:rsidRDefault="00625FAB" w:rsidP="004A1624">
      <w:r>
        <w:continuationSeparator/>
      </w:r>
    </w:p>
  </w:footnote>
  <w:footnote w:id="1">
    <w:p w14:paraId="3251BA94" w14:textId="55C318C3" w:rsidR="00F97F16" w:rsidRDefault="00F97F16">
      <w:pPr>
        <w:pStyle w:val="FootnoteText"/>
      </w:pPr>
      <w:r>
        <w:rPr>
          <w:rStyle w:val="FootnoteReference"/>
        </w:rPr>
        <w:footnoteRef/>
      </w:r>
      <w:r>
        <w:t xml:space="preserve"> </w:t>
      </w:r>
      <w:r w:rsidRPr="00F97F16">
        <w:rPr>
          <w:rFonts w:ascii="Arial" w:hAnsi="Arial" w:cs="Arial"/>
          <w:snapToGrid w:val="0"/>
          <w:sz w:val="16"/>
          <w:szCs w:val="16"/>
        </w:rPr>
        <w:t>Parents may include mothers or fathers who are responsible for children’s medical visits and decision-making.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61DA"/>
    <w:multiLevelType w:val="hybridMultilevel"/>
    <w:tmpl w:val="7F52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75BC9"/>
    <w:multiLevelType w:val="hybridMultilevel"/>
    <w:tmpl w:val="D6AAC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D2419"/>
    <w:multiLevelType w:val="hybridMultilevel"/>
    <w:tmpl w:val="54C6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3489"/>
    <w:multiLevelType w:val="hybridMultilevel"/>
    <w:tmpl w:val="4DD2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22EFD"/>
    <w:multiLevelType w:val="hybridMultilevel"/>
    <w:tmpl w:val="D68C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6035FF"/>
    <w:multiLevelType w:val="hybridMultilevel"/>
    <w:tmpl w:val="720E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3E8"/>
    <w:multiLevelType w:val="hybridMultilevel"/>
    <w:tmpl w:val="A920A4F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8232E2"/>
    <w:multiLevelType w:val="hybridMultilevel"/>
    <w:tmpl w:val="6902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55CA0"/>
    <w:multiLevelType w:val="hybridMultilevel"/>
    <w:tmpl w:val="7D7694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1B522B"/>
    <w:multiLevelType w:val="hybridMultilevel"/>
    <w:tmpl w:val="18E08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C549F2"/>
    <w:multiLevelType w:val="hybridMultilevel"/>
    <w:tmpl w:val="16A416BA"/>
    <w:lvl w:ilvl="0" w:tplc="5688F15C">
      <w:start w:val="1"/>
      <w:numFmt w:val="lowerLetter"/>
      <w:lvlText w:val="%1."/>
      <w:lvlJc w:val="left"/>
      <w:pPr>
        <w:tabs>
          <w:tab w:val="num" w:pos="720"/>
        </w:tabs>
        <w:ind w:left="720" w:hanging="360"/>
      </w:pPr>
      <w:rPr>
        <w:rFonts w:ascii="Times New Roman TUR" w:eastAsia="Times New Roman" w:hAnsi="Times New Roman TUR" w:cs="Times New Roman TUR"/>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82502"/>
    <w:multiLevelType w:val="hybridMultilevel"/>
    <w:tmpl w:val="3EA83362"/>
    <w:lvl w:ilvl="0" w:tplc="0EAC4FE4">
      <w:start w:val="1"/>
      <w:numFmt w:val="lowerLetter"/>
      <w:lvlText w:val="%1."/>
      <w:lvlJc w:val="left"/>
      <w:pPr>
        <w:tabs>
          <w:tab w:val="num" w:pos="720"/>
        </w:tabs>
        <w:ind w:left="720" w:hanging="360"/>
      </w:pPr>
      <w:rPr>
        <w:rFonts w:ascii="Times New Roman TUR" w:eastAsia="Times New Roman" w:hAnsi="Times New Roman TUR" w:cs="Times New Roman TUR"/>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27169"/>
    <w:multiLevelType w:val="hybridMultilevel"/>
    <w:tmpl w:val="4B0E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67A4A"/>
    <w:multiLevelType w:val="hybridMultilevel"/>
    <w:tmpl w:val="2C6ED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00C10"/>
    <w:multiLevelType w:val="hybridMultilevel"/>
    <w:tmpl w:val="86B8B3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360CC"/>
    <w:multiLevelType w:val="hybridMultilevel"/>
    <w:tmpl w:val="737271F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B1155"/>
    <w:multiLevelType w:val="hybridMultilevel"/>
    <w:tmpl w:val="50C058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D14C6"/>
    <w:multiLevelType w:val="hybridMultilevel"/>
    <w:tmpl w:val="E1BC656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FC62CD"/>
    <w:multiLevelType w:val="hybridMultilevel"/>
    <w:tmpl w:val="45FE8726"/>
    <w:lvl w:ilvl="0" w:tplc="396AE32A">
      <w:start w:val="1"/>
      <w:numFmt w:val="decimal"/>
      <w:lvlText w:val="C.4.%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06840"/>
    <w:multiLevelType w:val="hybridMultilevel"/>
    <w:tmpl w:val="5DA87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047150"/>
    <w:multiLevelType w:val="hybridMultilevel"/>
    <w:tmpl w:val="9C1A10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2F60C32"/>
    <w:multiLevelType w:val="hybridMultilevel"/>
    <w:tmpl w:val="FCC0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021F4"/>
    <w:multiLevelType w:val="hybridMultilevel"/>
    <w:tmpl w:val="53D0C39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77165"/>
    <w:multiLevelType w:val="hybridMultilevel"/>
    <w:tmpl w:val="42425BFA"/>
    <w:lvl w:ilvl="0" w:tplc="30C0A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377E7"/>
    <w:multiLevelType w:val="hybridMultilevel"/>
    <w:tmpl w:val="073E3FF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4C9C3797"/>
    <w:multiLevelType w:val="hybridMultilevel"/>
    <w:tmpl w:val="AEE2B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92195"/>
    <w:multiLevelType w:val="hybridMultilevel"/>
    <w:tmpl w:val="DBCA70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E09DB"/>
    <w:multiLevelType w:val="hybridMultilevel"/>
    <w:tmpl w:val="C7DCDF78"/>
    <w:lvl w:ilvl="0" w:tplc="04090019">
      <w:start w:val="1"/>
      <w:numFmt w:val="lowerLetter"/>
      <w:lvlText w:val="%1."/>
      <w:lvlJc w:val="left"/>
      <w:pPr>
        <w:ind w:left="786" w:hanging="360"/>
      </w:pPr>
      <w:rPr>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32917AE"/>
    <w:multiLevelType w:val="hybridMultilevel"/>
    <w:tmpl w:val="53C0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16ACB"/>
    <w:multiLevelType w:val="hybridMultilevel"/>
    <w:tmpl w:val="70944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723247"/>
    <w:multiLevelType w:val="hybridMultilevel"/>
    <w:tmpl w:val="3A4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45612D"/>
    <w:multiLevelType w:val="hybridMultilevel"/>
    <w:tmpl w:val="A45E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C7716"/>
    <w:multiLevelType w:val="hybridMultilevel"/>
    <w:tmpl w:val="CAC6A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673A1B"/>
    <w:multiLevelType w:val="hybridMultilevel"/>
    <w:tmpl w:val="D1C6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66C2A"/>
    <w:multiLevelType w:val="hybridMultilevel"/>
    <w:tmpl w:val="10224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C4270"/>
    <w:multiLevelType w:val="hybridMultilevel"/>
    <w:tmpl w:val="9A3A2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180640"/>
    <w:multiLevelType w:val="hybridMultilevel"/>
    <w:tmpl w:val="E9808382"/>
    <w:lvl w:ilvl="0" w:tplc="0409001B">
      <w:start w:val="1"/>
      <w:numFmt w:val="lowerRoman"/>
      <w:lvlText w:val="%1."/>
      <w:lvlJc w:val="right"/>
      <w:pPr>
        <w:tabs>
          <w:tab w:val="num" w:pos="1350"/>
        </w:tabs>
        <w:ind w:left="1350" w:hanging="360"/>
      </w:p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7" w15:restartNumberingAfterBreak="0">
    <w:nsid w:val="62F10B22"/>
    <w:multiLevelType w:val="hybridMultilevel"/>
    <w:tmpl w:val="7D7C9A0E"/>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E285E"/>
    <w:multiLevelType w:val="hybridMultilevel"/>
    <w:tmpl w:val="945644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5401F8C"/>
    <w:multiLevelType w:val="hybridMultilevel"/>
    <w:tmpl w:val="06BC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8F1147"/>
    <w:multiLevelType w:val="hybridMultilevel"/>
    <w:tmpl w:val="238643E4"/>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0375A"/>
    <w:multiLevelType w:val="hybridMultilevel"/>
    <w:tmpl w:val="4C4A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CA04C9"/>
    <w:multiLevelType w:val="hybridMultilevel"/>
    <w:tmpl w:val="98044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DB2D85"/>
    <w:multiLevelType w:val="hybridMultilevel"/>
    <w:tmpl w:val="DED06142"/>
    <w:lvl w:ilvl="0" w:tplc="545EFE64">
      <w:start w:val="3"/>
      <w:numFmt w:val="lowerLetter"/>
      <w:lvlText w:val="%1."/>
      <w:lvlJc w:val="left"/>
      <w:pPr>
        <w:tabs>
          <w:tab w:val="num" w:pos="720"/>
        </w:tabs>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03A46"/>
    <w:multiLevelType w:val="hybridMultilevel"/>
    <w:tmpl w:val="448C01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4F3157"/>
    <w:multiLevelType w:val="hybridMultilevel"/>
    <w:tmpl w:val="3228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5"/>
  </w:num>
  <w:num w:numId="3">
    <w:abstractNumId w:val="8"/>
  </w:num>
  <w:num w:numId="4">
    <w:abstractNumId w:val="45"/>
  </w:num>
  <w:num w:numId="5">
    <w:abstractNumId w:val="2"/>
  </w:num>
  <w:num w:numId="6">
    <w:abstractNumId w:val="31"/>
  </w:num>
  <w:num w:numId="7">
    <w:abstractNumId w:val="12"/>
  </w:num>
  <w:num w:numId="8">
    <w:abstractNumId w:val="7"/>
  </w:num>
  <w:num w:numId="9">
    <w:abstractNumId w:val="0"/>
  </w:num>
  <w:num w:numId="10">
    <w:abstractNumId w:val="21"/>
  </w:num>
  <w:num w:numId="11">
    <w:abstractNumId w:val="41"/>
  </w:num>
  <w:num w:numId="12">
    <w:abstractNumId w:val="33"/>
  </w:num>
  <w:num w:numId="13">
    <w:abstractNumId w:val="5"/>
  </w:num>
  <w:num w:numId="14">
    <w:abstractNumId w:val="30"/>
  </w:num>
  <w:num w:numId="15">
    <w:abstractNumId w:val="24"/>
  </w:num>
  <w:num w:numId="16">
    <w:abstractNumId w:val="38"/>
  </w:num>
  <w:num w:numId="17">
    <w:abstractNumId w:val="18"/>
  </w:num>
  <w:num w:numId="18">
    <w:abstractNumId w:val="16"/>
  </w:num>
  <w:num w:numId="19">
    <w:abstractNumId w:val="40"/>
  </w:num>
  <w:num w:numId="20">
    <w:abstractNumId w:val="11"/>
  </w:num>
  <w:num w:numId="21">
    <w:abstractNumId w:val="10"/>
  </w:num>
  <w:num w:numId="22">
    <w:abstractNumId w:val="36"/>
  </w:num>
  <w:num w:numId="23">
    <w:abstractNumId w:val="43"/>
  </w:num>
  <w:num w:numId="24">
    <w:abstractNumId w:val="13"/>
  </w:num>
  <w:num w:numId="25">
    <w:abstractNumId w:val="29"/>
  </w:num>
  <w:num w:numId="26">
    <w:abstractNumId w:val="22"/>
  </w:num>
  <w:num w:numId="27">
    <w:abstractNumId w:val="34"/>
  </w:num>
  <w:num w:numId="28">
    <w:abstractNumId w:val="26"/>
  </w:num>
  <w:num w:numId="29">
    <w:abstractNumId w:val="17"/>
  </w:num>
  <w:num w:numId="30">
    <w:abstractNumId w:val="27"/>
  </w:num>
  <w:num w:numId="31">
    <w:abstractNumId w:val="6"/>
  </w:num>
  <w:num w:numId="32">
    <w:abstractNumId w:val="15"/>
  </w:num>
  <w:num w:numId="33">
    <w:abstractNumId w:val="35"/>
  </w:num>
  <w:num w:numId="34">
    <w:abstractNumId w:val="42"/>
  </w:num>
  <w:num w:numId="35">
    <w:abstractNumId w:val="19"/>
  </w:num>
  <w:num w:numId="36">
    <w:abstractNumId w:val="32"/>
  </w:num>
  <w:num w:numId="37">
    <w:abstractNumId w:val="4"/>
  </w:num>
  <w:num w:numId="38">
    <w:abstractNumId w:val="39"/>
  </w:num>
  <w:num w:numId="39">
    <w:abstractNumId w:val="3"/>
  </w:num>
  <w:num w:numId="40">
    <w:abstractNumId w:val="9"/>
  </w:num>
  <w:num w:numId="41">
    <w:abstractNumId w:val="37"/>
  </w:num>
  <w:num w:numId="42">
    <w:abstractNumId w:val="1"/>
  </w:num>
  <w:num w:numId="43">
    <w:abstractNumId w:val="23"/>
  </w:num>
  <w:num w:numId="44">
    <w:abstractNumId w:val="28"/>
  </w:num>
  <w:num w:numId="45">
    <w:abstractNumId w:val="2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166"/>
    <w:rsid w:val="00001283"/>
    <w:rsid w:val="00004381"/>
    <w:rsid w:val="000054FC"/>
    <w:rsid w:val="000213C7"/>
    <w:rsid w:val="000240B5"/>
    <w:rsid w:val="000243AF"/>
    <w:rsid w:val="000313F3"/>
    <w:rsid w:val="00033CBE"/>
    <w:rsid w:val="00036DF1"/>
    <w:rsid w:val="00042ADE"/>
    <w:rsid w:val="00043329"/>
    <w:rsid w:val="00046EE0"/>
    <w:rsid w:val="00051932"/>
    <w:rsid w:val="00054B76"/>
    <w:rsid w:val="00074262"/>
    <w:rsid w:val="000746FA"/>
    <w:rsid w:val="00077F42"/>
    <w:rsid w:val="00081A21"/>
    <w:rsid w:val="0009490A"/>
    <w:rsid w:val="000B1C95"/>
    <w:rsid w:val="000C1ECD"/>
    <w:rsid w:val="000C489E"/>
    <w:rsid w:val="000E5009"/>
    <w:rsid w:val="000E52AF"/>
    <w:rsid w:val="000E6BA2"/>
    <w:rsid w:val="000E6E79"/>
    <w:rsid w:val="000F0DCE"/>
    <w:rsid w:val="000F1104"/>
    <w:rsid w:val="000F4043"/>
    <w:rsid w:val="001118B6"/>
    <w:rsid w:val="001148F3"/>
    <w:rsid w:val="00115E4E"/>
    <w:rsid w:val="00131621"/>
    <w:rsid w:val="00145C67"/>
    <w:rsid w:val="001505DC"/>
    <w:rsid w:val="00152A1B"/>
    <w:rsid w:val="00157DB3"/>
    <w:rsid w:val="00164CDB"/>
    <w:rsid w:val="001670D7"/>
    <w:rsid w:val="00167B3B"/>
    <w:rsid w:val="00172EA1"/>
    <w:rsid w:val="001812E9"/>
    <w:rsid w:val="001813B1"/>
    <w:rsid w:val="0018331A"/>
    <w:rsid w:val="00184D43"/>
    <w:rsid w:val="00185957"/>
    <w:rsid w:val="001905E8"/>
    <w:rsid w:val="001A3DA0"/>
    <w:rsid w:val="001A561C"/>
    <w:rsid w:val="001B220C"/>
    <w:rsid w:val="001B5919"/>
    <w:rsid w:val="001B6AA0"/>
    <w:rsid w:val="001D75C0"/>
    <w:rsid w:val="001F2146"/>
    <w:rsid w:val="001F258D"/>
    <w:rsid w:val="001F776C"/>
    <w:rsid w:val="002018BB"/>
    <w:rsid w:val="00203E6D"/>
    <w:rsid w:val="00205F38"/>
    <w:rsid w:val="00211D1E"/>
    <w:rsid w:val="002120D7"/>
    <w:rsid w:val="00220C08"/>
    <w:rsid w:val="00223456"/>
    <w:rsid w:val="002339D8"/>
    <w:rsid w:val="002349F3"/>
    <w:rsid w:val="00237587"/>
    <w:rsid w:val="00262D7B"/>
    <w:rsid w:val="00271D5A"/>
    <w:rsid w:val="0027594E"/>
    <w:rsid w:val="00276CAC"/>
    <w:rsid w:val="002952F1"/>
    <w:rsid w:val="002A47F0"/>
    <w:rsid w:val="002B132B"/>
    <w:rsid w:val="002B2AB5"/>
    <w:rsid w:val="002B5421"/>
    <w:rsid w:val="002C1DD0"/>
    <w:rsid w:val="002D53BA"/>
    <w:rsid w:val="002E617F"/>
    <w:rsid w:val="002F1FEC"/>
    <w:rsid w:val="002F39B1"/>
    <w:rsid w:val="003058E7"/>
    <w:rsid w:val="00313F0C"/>
    <w:rsid w:val="0032134C"/>
    <w:rsid w:val="0033385C"/>
    <w:rsid w:val="003351DC"/>
    <w:rsid w:val="00341890"/>
    <w:rsid w:val="00342701"/>
    <w:rsid w:val="00345ED1"/>
    <w:rsid w:val="003463D1"/>
    <w:rsid w:val="00346420"/>
    <w:rsid w:val="00346746"/>
    <w:rsid w:val="00347A62"/>
    <w:rsid w:val="0035496C"/>
    <w:rsid w:val="00360101"/>
    <w:rsid w:val="003624A3"/>
    <w:rsid w:val="00362769"/>
    <w:rsid w:val="0036480A"/>
    <w:rsid w:val="00365417"/>
    <w:rsid w:val="00374399"/>
    <w:rsid w:val="003750D8"/>
    <w:rsid w:val="00391542"/>
    <w:rsid w:val="003A5D7E"/>
    <w:rsid w:val="003B2D8C"/>
    <w:rsid w:val="003B3505"/>
    <w:rsid w:val="003C1CAB"/>
    <w:rsid w:val="003C5A1D"/>
    <w:rsid w:val="003C6C55"/>
    <w:rsid w:val="003D5D87"/>
    <w:rsid w:val="003E7739"/>
    <w:rsid w:val="003F6F16"/>
    <w:rsid w:val="003F6F4D"/>
    <w:rsid w:val="00400A7D"/>
    <w:rsid w:val="004032B6"/>
    <w:rsid w:val="00411010"/>
    <w:rsid w:val="004148C7"/>
    <w:rsid w:val="00434545"/>
    <w:rsid w:val="004457F7"/>
    <w:rsid w:val="00452125"/>
    <w:rsid w:val="00463FE9"/>
    <w:rsid w:val="00470FA9"/>
    <w:rsid w:val="00474F07"/>
    <w:rsid w:val="00480B46"/>
    <w:rsid w:val="0048131D"/>
    <w:rsid w:val="0048488B"/>
    <w:rsid w:val="00484FE7"/>
    <w:rsid w:val="0048626A"/>
    <w:rsid w:val="00487432"/>
    <w:rsid w:val="004911F5"/>
    <w:rsid w:val="004919C1"/>
    <w:rsid w:val="004937B9"/>
    <w:rsid w:val="004A1624"/>
    <w:rsid w:val="004A438B"/>
    <w:rsid w:val="004B0A2A"/>
    <w:rsid w:val="004B4E67"/>
    <w:rsid w:val="004B6F24"/>
    <w:rsid w:val="004D6294"/>
    <w:rsid w:val="004E5E35"/>
    <w:rsid w:val="004E6971"/>
    <w:rsid w:val="004F23A6"/>
    <w:rsid w:val="005015A1"/>
    <w:rsid w:val="00504CDE"/>
    <w:rsid w:val="005161D8"/>
    <w:rsid w:val="00534EAE"/>
    <w:rsid w:val="00541318"/>
    <w:rsid w:val="005445A5"/>
    <w:rsid w:val="00551588"/>
    <w:rsid w:val="0057239C"/>
    <w:rsid w:val="00582FD7"/>
    <w:rsid w:val="0058730C"/>
    <w:rsid w:val="005905DF"/>
    <w:rsid w:val="005915D6"/>
    <w:rsid w:val="0059238A"/>
    <w:rsid w:val="005936B0"/>
    <w:rsid w:val="00595258"/>
    <w:rsid w:val="005C599A"/>
    <w:rsid w:val="005D01FE"/>
    <w:rsid w:val="005D56D9"/>
    <w:rsid w:val="005E0A65"/>
    <w:rsid w:val="005E60B0"/>
    <w:rsid w:val="006008E8"/>
    <w:rsid w:val="00601E3F"/>
    <w:rsid w:val="00625FAB"/>
    <w:rsid w:val="00642597"/>
    <w:rsid w:val="00647590"/>
    <w:rsid w:val="00652EB9"/>
    <w:rsid w:val="006577BD"/>
    <w:rsid w:val="00663C74"/>
    <w:rsid w:val="00671715"/>
    <w:rsid w:val="00673E41"/>
    <w:rsid w:val="006743A7"/>
    <w:rsid w:val="006820F8"/>
    <w:rsid w:val="00683C5C"/>
    <w:rsid w:val="00687F80"/>
    <w:rsid w:val="00695995"/>
    <w:rsid w:val="00696E69"/>
    <w:rsid w:val="006A5AB8"/>
    <w:rsid w:val="006B2CB8"/>
    <w:rsid w:val="006B7466"/>
    <w:rsid w:val="006C46FF"/>
    <w:rsid w:val="006D654C"/>
    <w:rsid w:val="006D6A18"/>
    <w:rsid w:val="006E22D3"/>
    <w:rsid w:val="006E7DEE"/>
    <w:rsid w:val="006F14F1"/>
    <w:rsid w:val="006F66EB"/>
    <w:rsid w:val="00705FD9"/>
    <w:rsid w:val="00715F2B"/>
    <w:rsid w:val="00716577"/>
    <w:rsid w:val="00732063"/>
    <w:rsid w:val="007570FD"/>
    <w:rsid w:val="00773E8B"/>
    <w:rsid w:val="007748E6"/>
    <w:rsid w:val="00784F92"/>
    <w:rsid w:val="007976C2"/>
    <w:rsid w:val="007A17A6"/>
    <w:rsid w:val="007A392F"/>
    <w:rsid w:val="007A6BC3"/>
    <w:rsid w:val="007A7C32"/>
    <w:rsid w:val="007B0156"/>
    <w:rsid w:val="007B016A"/>
    <w:rsid w:val="007B70EC"/>
    <w:rsid w:val="007C47A3"/>
    <w:rsid w:val="007D46D5"/>
    <w:rsid w:val="007E15E8"/>
    <w:rsid w:val="007E31CE"/>
    <w:rsid w:val="007E4040"/>
    <w:rsid w:val="007E459F"/>
    <w:rsid w:val="007E7898"/>
    <w:rsid w:val="007F1729"/>
    <w:rsid w:val="00812A37"/>
    <w:rsid w:val="00816389"/>
    <w:rsid w:val="00817803"/>
    <w:rsid w:val="00817AF3"/>
    <w:rsid w:val="00822166"/>
    <w:rsid w:val="008243E2"/>
    <w:rsid w:val="00826122"/>
    <w:rsid w:val="00844467"/>
    <w:rsid w:val="00854AFB"/>
    <w:rsid w:val="0086429D"/>
    <w:rsid w:val="00877E68"/>
    <w:rsid w:val="00877F68"/>
    <w:rsid w:val="008A3C97"/>
    <w:rsid w:val="008A493E"/>
    <w:rsid w:val="008A4F39"/>
    <w:rsid w:val="008B1E66"/>
    <w:rsid w:val="008B48A4"/>
    <w:rsid w:val="008B72E8"/>
    <w:rsid w:val="008C527E"/>
    <w:rsid w:val="008C5635"/>
    <w:rsid w:val="008C6758"/>
    <w:rsid w:val="008F00AC"/>
    <w:rsid w:val="008F00D7"/>
    <w:rsid w:val="008F56BB"/>
    <w:rsid w:val="0090257C"/>
    <w:rsid w:val="009036A8"/>
    <w:rsid w:val="00911788"/>
    <w:rsid w:val="0091535E"/>
    <w:rsid w:val="00922D9B"/>
    <w:rsid w:val="00953DA7"/>
    <w:rsid w:val="00955EA0"/>
    <w:rsid w:val="00964FCD"/>
    <w:rsid w:val="00971452"/>
    <w:rsid w:val="009730C3"/>
    <w:rsid w:val="00975817"/>
    <w:rsid w:val="00987E50"/>
    <w:rsid w:val="00995C0F"/>
    <w:rsid w:val="00997CDB"/>
    <w:rsid w:val="009B07CC"/>
    <w:rsid w:val="009B6003"/>
    <w:rsid w:val="009C0FF7"/>
    <w:rsid w:val="009C1A3C"/>
    <w:rsid w:val="009C5CEA"/>
    <w:rsid w:val="009C79F8"/>
    <w:rsid w:val="009D176D"/>
    <w:rsid w:val="009E60F9"/>
    <w:rsid w:val="009E6A92"/>
    <w:rsid w:val="009F4900"/>
    <w:rsid w:val="009F6B97"/>
    <w:rsid w:val="00A11F75"/>
    <w:rsid w:val="00A239B2"/>
    <w:rsid w:val="00A274E6"/>
    <w:rsid w:val="00A31CD6"/>
    <w:rsid w:val="00A371AC"/>
    <w:rsid w:val="00A411E6"/>
    <w:rsid w:val="00A41340"/>
    <w:rsid w:val="00A4329B"/>
    <w:rsid w:val="00A558F7"/>
    <w:rsid w:val="00A642B4"/>
    <w:rsid w:val="00A72A75"/>
    <w:rsid w:val="00A81C0A"/>
    <w:rsid w:val="00A83A91"/>
    <w:rsid w:val="00A8506C"/>
    <w:rsid w:val="00A85B6B"/>
    <w:rsid w:val="00A86567"/>
    <w:rsid w:val="00A86F47"/>
    <w:rsid w:val="00A87153"/>
    <w:rsid w:val="00A87983"/>
    <w:rsid w:val="00AA32A4"/>
    <w:rsid w:val="00AB06F3"/>
    <w:rsid w:val="00AB38A5"/>
    <w:rsid w:val="00AB7A8E"/>
    <w:rsid w:val="00AC09A8"/>
    <w:rsid w:val="00AD0445"/>
    <w:rsid w:val="00AD6CA8"/>
    <w:rsid w:val="00AF3ADF"/>
    <w:rsid w:val="00B06A75"/>
    <w:rsid w:val="00B07777"/>
    <w:rsid w:val="00B11B98"/>
    <w:rsid w:val="00B1799A"/>
    <w:rsid w:val="00B208DA"/>
    <w:rsid w:val="00B3164D"/>
    <w:rsid w:val="00B80F08"/>
    <w:rsid w:val="00BB28F1"/>
    <w:rsid w:val="00BB58C5"/>
    <w:rsid w:val="00BB6759"/>
    <w:rsid w:val="00BC567A"/>
    <w:rsid w:val="00BC64BD"/>
    <w:rsid w:val="00BD7E74"/>
    <w:rsid w:val="00BE0FEB"/>
    <w:rsid w:val="00BE4C22"/>
    <w:rsid w:val="00BE75E7"/>
    <w:rsid w:val="00BF446B"/>
    <w:rsid w:val="00C04219"/>
    <w:rsid w:val="00C10735"/>
    <w:rsid w:val="00C128FC"/>
    <w:rsid w:val="00C22F66"/>
    <w:rsid w:val="00C24951"/>
    <w:rsid w:val="00C276AC"/>
    <w:rsid w:val="00C360F9"/>
    <w:rsid w:val="00C36C89"/>
    <w:rsid w:val="00C45323"/>
    <w:rsid w:val="00C4640A"/>
    <w:rsid w:val="00C51D8D"/>
    <w:rsid w:val="00C52661"/>
    <w:rsid w:val="00C57E59"/>
    <w:rsid w:val="00C8400E"/>
    <w:rsid w:val="00C8528B"/>
    <w:rsid w:val="00C907D0"/>
    <w:rsid w:val="00C91D62"/>
    <w:rsid w:val="00C94F85"/>
    <w:rsid w:val="00C95F12"/>
    <w:rsid w:val="00CA3FEF"/>
    <w:rsid w:val="00CA7048"/>
    <w:rsid w:val="00CC310D"/>
    <w:rsid w:val="00CD57DB"/>
    <w:rsid w:val="00D015FF"/>
    <w:rsid w:val="00D26157"/>
    <w:rsid w:val="00D3357A"/>
    <w:rsid w:val="00D348B6"/>
    <w:rsid w:val="00D35D4C"/>
    <w:rsid w:val="00D45265"/>
    <w:rsid w:val="00D46509"/>
    <w:rsid w:val="00D56712"/>
    <w:rsid w:val="00D5764A"/>
    <w:rsid w:val="00D601C2"/>
    <w:rsid w:val="00D609BC"/>
    <w:rsid w:val="00D60DBA"/>
    <w:rsid w:val="00D6114D"/>
    <w:rsid w:val="00D734F8"/>
    <w:rsid w:val="00D76B56"/>
    <w:rsid w:val="00D87267"/>
    <w:rsid w:val="00D90F39"/>
    <w:rsid w:val="00D92D8A"/>
    <w:rsid w:val="00D978BA"/>
    <w:rsid w:val="00DB1721"/>
    <w:rsid w:val="00DC3052"/>
    <w:rsid w:val="00DD4AE4"/>
    <w:rsid w:val="00E029DF"/>
    <w:rsid w:val="00E20AE0"/>
    <w:rsid w:val="00E21CAF"/>
    <w:rsid w:val="00E21F05"/>
    <w:rsid w:val="00E22E84"/>
    <w:rsid w:val="00E30109"/>
    <w:rsid w:val="00E30764"/>
    <w:rsid w:val="00E43C98"/>
    <w:rsid w:val="00E46D53"/>
    <w:rsid w:val="00E532AB"/>
    <w:rsid w:val="00E56BBE"/>
    <w:rsid w:val="00E7763C"/>
    <w:rsid w:val="00E77B46"/>
    <w:rsid w:val="00E833C3"/>
    <w:rsid w:val="00E87D52"/>
    <w:rsid w:val="00E9329D"/>
    <w:rsid w:val="00E93B68"/>
    <w:rsid w:val="00EA6BE8"/>
    <w:rsid w:val="00EB16E4"/>
    <w:rsid w:val="00EB3823"/>
    <w:rsid w:val="00EC4172"/>
    <w:rsid w:val="00EC5CB4"/>
    <w:rsid w:val="00EC60DE"/>
    <w:rsid w:val="00EE05C6"/>
    <w:rsid w:val="00EE09F3"/>
    <w:rsid w:val="00EE1F8D"/>
    <w:rsid w:val="00EE3B3E"/>
    <w:rsid w:val="00EE5A5B"/>
    <w:rsid w:val="00EE6093"/>
    <w:rsid w:val="00EF2C6E"/>
    <w:rsid w:val="00F0090D"/>
    <w:rsid w:val="00F01F52"/>
    <w:rsid w:val="00F01FB9"/>
    <w:rsid w:val="00F0756F"/>
    <w:rsid w:val="00F1162C"/>
    <w:rsid w:val="00F13014"/>
    <w:rsid w:val="00F215B6"/>
    <w:rsid w:val="00F2458A"/>
    <w:rsid w:val="00F26F8E"/>
    <w:rsid w:val="00F379C1"/>
    <w:rsid w:val="00F451A6"/>
    <w:rsid w:val="00F47ADD"/>
    <w:rsid w:val="00F54C41"/>
    <w:rsid w:val="00F60BA9"/>
    <w:rsid w:val="00F6294C"/>
    <w:rsid w:val="00F632BE"/>
    <w:rsid w:val="00F65B7B"/>
    <w:rsid w:val="00F6733D"/>
    <w:rsid w:val="00F7118F"/>
    <w:rsid w:val="00F82FEF"/>
    <w:rsid w:val="00F839F2"/>
    <w:rsid w:val="00F87580"/>
    <w:rsid w:val="00F878E5"/>
    <w:rsid w:val="00F91EF9"/>
    <w:rsid w:val="00F97F16"/>
    <w:rsid w:val="00FA30FB"/>
    <w:rsid w:val="00FA31F8"/>
    <w:rsid w:val="00FA5407"/>
    <w:rsid w:val="00FA643E"/>
    <w:rsid w:val="00FB250C"/>
    <w:rsid w:val="00FB2FF5"/>
    <w:rsid w:val="00FB5F03"/>
    <w:rsid w:val="00FC33AB"/>
    <w:rsid w:val="00FC4E56"/>
    <w:rsid w:val="00FD7253"/>
    <w:rsid w:val="00FE2120"/>
    <w:rsid w:val="00FE7381"/>
    <w:rsid w:val="00FE79DD"/>
    <w:rsid w:val="00FF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8AE"/>
  <w15:docId w15:val="{B49A0499-D03A-4242-9CA9-5581B246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166"/>
    <w:pPr>
      <w:widowControl w:val="0"/>
      <w:spacing w:after="0" w:line="240" w:lineRule="auto"/>
    </w:pPr>
    <w:rPr>
      <w:rFonts w:ascii="Times New Roman" w:eastAsia="Times New Roman" w:hAnsi="Times New Roman" w:cs="Times New Roman"/>
      <w:snapToGrid w:val="0"/>
      <w:sz w:val="24"/>
      <w:szCs w:val="20"/>
    </w:rPr>
  </w:style>
  <w:style w:type="paragraph" w:styleId="Heading5">
    <w:name w:val="heading 5"/>
    <w:basedOn w:val="Normal"/>
    <w:next w:val="Normal"/>
    <w:link w:val="Heading5Char"/>
    <w:qFormat/>
    <w:rsid w:val="00822166"/>
    <w:pPr>
      <w:keepNext/>
      <w:tabs>
        <w:tab w:val="left" w:pos="7200"/>
      </w:tabs>
      <w:snapToGrid w:val="0"/>
      <w:ind w:right="1440"/>
      <w:outlineLvl w:val="4"/>
    </w:pPr>
    <w:rPr>
      <w:b/>
      <w:snapToGrid/>
    </w:rPr>
  </w:style>
  <w:style w:type="paragraph" w:styleId="Heading6">
    <w:name w:val="heading 6"/>
    <w:basedOn w:val="Normal"/>
    <w:next w:val="Normal"/>
    <w:link w:val="Heading6Char"/>
    <w:qFormat/>
    <w:rsid w:val="0082216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2166"/>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822166"/>
    <w:rPr>
      <w:rFonts w:ascii="Times New Roman" w:eastAsia="Times New Roman" w:hAnsi="Times New Roman" w:cs="Times New Roman"/>
      <w:b/>
      <w:bCs/>
      <w:snapToGrid w:val="0"/>
    </w:rPr>
  </w:style>
  <w:style w:type="paragraph" w:styleId="BlockText">
    <w:name w:val="Block Text"/>
    <w:basedOn w:val="Normal"/>
    <w:rsid w:val="00822166"/>
    <w:pPr>
      <w:widowControl/>
      <w:ind w:left="360" w:right="1080" w:hanging="360"/>
    </w:pPr>
    <w:rPr>
      <w:snapToGrid/>
      <w:sz w:val="20"/>
    </w:rPr>
  </w:style>
  <w:style w:type="paragraph" w:styleId="List2">
    <w:name w:val="List 2"/>
    <w:basedOn w:val="Normal"/>
    <w:rsid w:val="00822166"/>
    <w:pPr>
      <w:ind w:left="720" w:hanging="360"/>
    </w:pPr>
  </w:style>
  <w:style w:type="paragraph" w:styleId="List3">
    <w:name w:val="List 3"/>
    <w:basedOn w:val="Normal"/>
    <w:rsid w:val="00822166"/>
    <w:pPr>
      <w:ind w:left="1080" w:hanging="360"/>
    </w:pPr>
  </w:style>
  <w:style w:type="paragraph" w:styleId="ListParagraph">
    <w:name w:val="List Paragraph"/>
    <w:aliases w:val="Bullet Level 2"/>
    <w:basedOn w:val="Normal"/>
    <w:link w:val="ListParagraphChar"/>
    <w:uiPriority w:val="34"/>
    <w:qFormat/>
    <w:rsid w:val="00262D7B"/>
    <w:pPr>
      <w:ind w:left="720"/>
      <w:contextualSpacing/>
    </w:pPr>
  </w:style>
  <w:style w:type="paragraph" w:styleId="NoSpacing">
    <w:name w:val="No Spacing"/>
    <w:uiPriority w:val="1"/>
    <w:qFormat/>
    <w:rsid w:val="00955EA0"/>
    <w:pPr>
      <w:widowControl w:val="0"/>
      <w:spacing w:after="0" w:line="240" w:lineRule="auto"/>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11010"/>
    <w:rPr>
      <w:rFonts w:ascii="Tahoma" w:hAnsi="Tahoma" w:cs="Tahoma"/>
      <w:sz w:val="16"/>
      <w:szCs w:val="16"/>
    </w:rPr>
  </w:style>
  <w:style w:type="character" w:customStyle="1" w:styleId="BalloonTextChar">
    <w:name w:val="Balloon Text Char"/>
    <w:basedOn w:val="DefaultParagraphFont"/>
    <w:link w:val="BalloonText"/>
    <w:uiPriority w:val="99"/>
    <w:semiHidden/>
    <w:rsid w:val="00411010"/>
    <w:rPr>
      <w:rFonts w:ascii="Tahoma" w:eastAsia="Times New Roman" w:hAnsi="Tahoma" w:cs="Tahoma"/>
      <w:snapToGrid w:val="0"/>
      <w:sz w:val="16"/>
      <w:szCs w:val="16"/>
    </w:rPr>
  </w:style>
  <w:style w:type="table" w:styleId="TableGrid">
    <w:name w:val="Table Grid"/>
    <w:basedOn w:val="TableNormal"/>
    <w:uiPriority w:val="59"/>
    <w:rsid w:val="0020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1624"/>
    <w:rPr>
      <w:color w:val="0000FF"/>
      <w:u w:val="single"/>
    </w:rPr>
  </w:style>
  <w:style w:type="paragraph" w:styleId="EndnoteText">
    <w:name w:val="endnote text"/>
    <w:basedOn w:val="Normal"/>
    <w:link w:val="EndnoteTextChar"/>
    <w:uiPriority w:val="99"/>
    <w:unhideWhenUsed/>
    <w:rsid w:val="004A1624"/>
    <w:pPr>
      <w:autoSpaceDE w:val="0"/>
      <w:autoSpaceDN w:val="0"/>
      <w:adjustRightInd w:val="0"/>
    </w:pPr>
    <w:rPr>
      <w:snapToGrid/>
      <w:sz w:val="20"/>
    </w:rPr>
  </w:style>
  <w:style w:type="character" w:customStyle="1" w:styleId="EndnoteTextChar">
    <w:name w:val="Endnote Text Char"/>
    <w:basedOn w:val="DefaultParagraphFont"/>
    <w:link w:val="EndnoteText"/>
    <w:uiPriority w:val="99"/>
    <w:rsid w:val="004A1624"/>
    <w:rPr>
      <w:rFonts w:ascii="Times New Roman" w:eastAsia="Times New Roman" w:hAnsi="Times New Roman" w:cs="Times New Roman"/>
      <w:sz w:val="20"/>
      <w:szCs w:val="20"/>
    </w:rPr>
  </w:style>
  <w:style w:type="character" w:styleId="EndnoteReference">
    <w:name w:val="endnote reference"/>
    <w:uiPriority w:val="99"/>
    <w:semiHidden/>
    <w:unhideWhenUsed/>
    <w:rsid w:val="004A1624"/>
    <w:rPr>
      <w:vertAlign w:val="superscript"/>
    </w:rPr>
  </w:style>
  <w:style w:type="character" w:styleId="FootnoteReference">
    <w:name w:val="footnote reference"/>
    <w:uiPriority w:val="99"/>
    <w:semiHidden/>
    <w:rsid w:val="008A493E"/>
  </w:style>
  <w:style w:type="paragraph" w:styleId="FootnoteText">
    <w:name w:val="footnote text"/>
    <w:basedOn w:val="Normal"/>
    <w:link w:val="FootnoteTextChar"/>
    <w:uiPriority w:val="99"/>
    <w:semiHidden/>
    <w:rsid w:val="008A493E"/>
    <w:pPr>
      <w:autoSpaceDE w:val="0"/>
      <w:autoSpaceDN w:val="0"/>
      <w:adjustRightInd w:val="0"/>
    </w:pPr>
    <w:rPr>
      <w:snapToGrid/>
      <w:sz w:val="20"/>
    </w:rPr>
  </w:style>
  <w:style w:type="character" w:customStyle="1" w:styleId="FootnoteTextChar">
    <w:name w:val="Footnote Text Char"/>
    <w:basedOn w:val="DefaultParagraphFont"/>
    <w:link w:val="FootnoteText"/>
    <w:uiPriority w:val="99"/>
    <w:semiHidden/>
    <w:rsid w:val="008A493E"/>
    <w:rPr>
      <w:rFonts w:ascii="Times New Roman" w:eastAsia="Times New Roman" w:hAnsi="Times New Roman" w:cs="Times New Roman"/>
      <w:sz w:val="20"/>
      <w:szCs w:val="20"/>
    </w:rPr>
  </w:style>
  <w:style w:type="character" w:customStyle="1" w:styleId="ListParagraphChar">
    <w:name w:val="List Paragraph Char"/>
    <w:aliases w:val="Bullet Level 2 Char"/>
    <w:link w:val="ListParagraph"/>
    <w:uiPriority w:val="34"/>
    <w:rsid w:val="008A493E"/>
    <w:rPr>
      <w:rFonts w:ascii="Times New Roman" w:eastAsia="Times New Roman" w:hAnsi="Times New Roman" w:cs="Times New Roman"/>
      <w:snapToGrid w:val="0"/>
      <w:sz w:val="24"/>
      <w:szCs w:val="20"/>
    </w:rPr>
  </w:style>
  <w:style w:type="character" w:customStyle="1" w:styleId="spelle">
    <w:name w:val="spelle"/>
    <w:basedOn w:val="DefaultParagraphFont"/>
    <w:rsid w:val="00971452"/>
  </w:style>
  <w:style w:type="character" w:styleId="CommentReference">
    <w:name w:val="annotation reference"/>
    <w:basedOn w:val="DefaultParagraphFont"/>
    <w:uiPriority w:val="99"/>
    <w:semiHidden/>
    <w:unhideWhenUsed/>
    <w:rsid w:val="00D90F39"/>
    <w:rPr>
      <w:sz w:val="16"/>
      <w:szCs w:val="16"/>
    </w:rPr>
  </w:style>
  <w:style w:type="paragraph" w:styleId="CommentText">
    <w:name w:val="annotation text"/>
    <w:basedOn w:val="Normal"/>
    <w:link w:val="CommentTextChar"/>
    <w:uiPriority w:val="99"/>
    <w:semiHidden/>
    <w:unhideWhenUsed/>
    <w:rsid w:val="00D90F39"/>
    <w:rPr>
      <w:sz w:val="20"/>
    </w:rPr>
  </w:style>
  <w:style w:type="character" w:customStyle="1" w:styleId="CommentTextChar">
    <w:name w:val="Comment Text Char"/>
    <w:basedOn w:val="DefaultParagraphFont"/>
    <w:link w:val="CommentText"/>
    <w:uiPriority w:val="99"/>
    <w:semiHidden/>
    <w:rsid w:val="00D90F39"/>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90F39"/>
    <w:rPr>
      <w:b/>
      <w:bCs/>
    </w:rPr>
  </w:style>
  <w:style w:type="character" w:customStyle="1" w:styleId="CommentSubjectChar">
    <w:name w:val="Comment Subject Char"/>
    <w:basedOn w:val="CommentTextChar"/>
    <w:link w:val="CommentSubject"/>
    <w:uiPriority w:val="99"/>
    <w:semiHidden/>
    <w:rsid w:val="00D90F39"/>
    <w:rPr>
      <w:rFonts w:ascii="Times New Roman" w:eastAsia="Times New Roman" w:hAnsi="Times New Roman" w:cs="Times New Roman"/>
      <w:b/>
      <w:bCs/>
      <w:snapToGrid w:val="0"/>
      <w:sz w:val="20"/>
      <w:szCs w:val="20"/>
    </w:rPr>
  </w:style>
  <w:style w:type="paragraph" w:styleId="Header">
    <w:name w:val="header"/>
    <w:basedOn w:val="Normal"/>
    <w:link w:val="HeaderChar"/>
    <w:uiPriority w:val="99"/>
    <w:unhideWhenUsed/>
    <w:rsid w:val="00F01FB9"/>
    <w:pPr>
      <w:tabs>
        <w:tab w:val="center" w:pos="4680"/>
        <w:tab w:val="right" w:pos="9360"/>
      </w:tabs>
    </w:pPr>
  </w:style>
  <w:style w:type="character" w:customStyle="1" w:styleId="HeaderChar">
    <w:name w:val="Header Char"/>
    <w:basedOn w:val="DefaultParagraphFont"/>
    <w:link w:val="Header"/>
    <w:uiPriority w:val="99"/>
    <w:rsid w:val="00F01FB9"/>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01FB9"/>
    <w:pPr>
      <w:tabs>
        <w:tab w:val="center" w:pos="4680"/>
        <w:tab w:val="right" w:pos="9360"/>
      </w:tabs>
    </w:pPr>
  </w:style>
  <w:style w:type="character" w:customStyle="1" w:styleId="FooterChar">
    <w:name w:val="Footer Char"/>
    <w:basedOn w:val="DefaultParagraphFont"/>
    <w:link w:val="Footer"/>
    <w:uiPriority w:val="99"/>
    <w:rsid w:val="00F01FB9"/>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347A62"/>
    <w:rPr>
      <w:color w:val="800080" w:themeColor="followedHyperlink"/>
      <w:u w:val="single"/>
    </w:rPr>
  </w:style>
  <w:style w:type="character" w:styleId="UnresolvedMention">
    <w:name w:val="Unresolved Mention"/>
    <w:basedOn w:val="DefaultParagraphFont"/>
    <w:uiPriority w:val="99"/>
    <w:semiHidden/>
    <w:unhideWhenUsed/>
    <w:rsid w:val="00E43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388957">
      <w:bodyDiv w:val="1"/>
      <w:marLeft w:val="0"/>
      <w:marRight w:val="0"/>
      <w:marTop w:val="0"/>
      <w:marBottom w:val="0"/>
      <w:divBdr>
        <w:top w:val="none" w:sz="0" w:space="0" w:color="auto"/>
        <w:left w:val="none" w:sz="0" w:space="0" w:color="auto"/>
        <w:bottom w:val="none" w:sz="0" w:space="0" w:color="auto"/>
        <w:right w:val="none" w:sz="0" w:space="0" w:color="auto"/>
      </w:divBdr>
      <w:divsChild>
        <w:div w:id="360325597">
          <w:marLeft w:val="0"/>
          <w:marRight w:val="0"/>
          <w:marTop w:val="0"/>
          <w:marBottom w:val="0"/>
          <w:divBdr>
            <w:top w:val="none" w:sz="0" w:space="0" w:color="auto"/>
            <w:left w:val="none" w:sz="0" w:space="0" w:color="auto"/>
            <w:bottom w:val="none" w:sz="0" w:space="0" w:color="auto"/>
            <w:right w:val="none" w:sz="0" w:space="0" w:color="auto"/>
          </w:divBdr>
        </w:div>
      </w:divsChild>
    </w:div>
    <w:div w:id="181502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5" ma:contentTypeDescription="Create a new document." ma:contentTypeScope="" ma:versionID="a3022a042734f1ce7e8062301b6bc156">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7a3cf5470564fd82e39d9407d53828cd"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8E795-7195-4F46-9E02-85C2BBAB7966}">
  <ds:schemaRefs>
    <ds:schemaRef ds:uri="e3b77f1f-da53-454b-89e0-50f1aaf16bdf"/>
    <ds:schemaRef ds:uri="http://schemas.microsoft.com/office/2006/metadata/properties"/>
    <ds:schemaRef ds:uri="http://purl.org/dc/dcmitype/"/>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0c96800b-b425-4f1f-a293-d10a6021442d"/>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7CAF8DD0-76BC-4E86-8ABA-BE32308BD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C8207-BE12-4916-B177-72AE893FF34C}">
  <ds:schemaRefs>
    <ds:schemaRef ds:uri="http://schemas.microsoft.com/sharepoint/v3/contenttype/forms"/>
  </ds:schemaRefs>
</ds:datastoreItem>
</file>

<file path=customXml/itemProps4.xml><?xml version="1.0" encoding="utf-8"?>
<ds:datastoreItem xmlns:ds="http://schemas.openxmlformats.org/officeDocument/2006/customXml" ds:itemID="{F0EB884D-B6C6-4372-B979-BCFAAB9A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 Wendy (CDC/OID/NCEZID)</dc:creator>
  <cp:lastModifiedBy>Murrell, Laura (CDC/DDID/NCEZID/OD)</cp:lastModifiedBy>
  <cp:revision>3</cp:revision>
  <dcterms:created xsi:type="dcterms:W3CDTF">2020-01-02T14:28:00Z</dcterms:created>
  <dcterms:modified xsi:type="dcterms:W3CDTF">2020-01-02T14:33:00Z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ies>
</file>