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9DD7C" w14:textId="77777777" w:rsidR="004F26E9" w:rsidRPr="00DB5657" w:rsidRDefault="004F26E9">
      <w:pPr>
        <w:jc w:val="center"/>
        <w:rPr>
          <w:b/>
          <w:bCs/>
          <w:sz w:val="24"/>
          <w:szCs w:val="24"/>
        </w:rPr>
      </w:pPr>
      <w:bookmarkStart w:id="0" w:name="_GoBack"/>
      <w:bookmarkEnd w:id="0"/>
      <w:r w:rsidRPr="00DB5657">
        <w:rPr>
          <w:b/>
          <w:bCs/>
          <w:sz w:val="24"/>
          <w:szCs w:val="24"/>
        </w:rPr>
        <w:t>SUPPORTING STATEMENT</w:t>
      </w:r>
    </w:p>
    <w:p w14:paraId="6AC2C8E4" w14:textId="77777777" w:rsidR="004F26E9" w:rsidRPr="00DB5657" w:rsidRDefault="001D3A82">
      <w:pPr>
        <w:jc w:val="center"/>
        <w:rPr>
          <w:b/>
          <w:bCs/>
          <w:sz w:val="24"/>
          <w:szCs w:val="24"/>
        </w:rPr>
      </w:pPr>
      <w:r w:rsidRPr="00DB5657">
        <w:rPr>
          <w:b/>
          <w:bCs/>
          <w:sz w:val="24"/>
          <w:szCs w:val="24"/>
        </w:rPr>
        <w:t>W</w:t>
      </w:r>
      <w:r>
        <w:rPr>
          <w:b/>
          <w:bCs/>
          <w:sz w:val="24"/>
          <w:szCs w:val="24"/>
        </w:rPr>
        <w:t xml:space="preserve">ashington and Oregon Charter Vessel </w:t>
      </w:r>
      <w:r w:rsidR="00301840" w:rsidRPr="00DB5657">
        <w:rPr>
          <w:b/>
          <w:bCs/>
          <w:sz w:val="24"/>
          <w:szCs w:val="24"/>
        </w:rPr>
        <w:t>Survey</w:t>
      </w:r>
    </w:p>
    <w:p w14:paraId="4DA1D3C7" w14:textId="77777777" w:rsidR="004F26E9" w:rsidRPr="00DB5657" w:rsidRDefault="004F26E9">
      <w:pPr>
        <w:jc w:val="center"/>
        <w:rPr>
          <w:sz w:val="24"/>
          <w:szCs w:val="24"/>
        </w:rPr>
      </w:pPr>
      <w:r w:rsidRPr="00DB5657">
        <w:rPr>
          <w:b/>
          <w:bCs/>
          <w:sz w:val="24"/>
          <w:szCs w:val="24"/>
        </w:rPr>
        <w:t>OMB CONTROL NO. 0648-xxxx</w:t>
      </w:r>
    </w:p>
    <w:p w14:paraId="54466A49" w14:textId="77777777" w:rsidR="004F26E9" w:rsidRPr="00DB5657" w:rsidRDefault="004F26E9">
      <w:pPr>
        <w:rPr>
          <w:sz w:val="24"/>
          <w:szCs w:val="24"/>
        </w:rPr>
      </w:pPr>
    </w:p>
    <w:p w14:paraId="2C684910" w14:textId="77777777" w:rsidR="004F26E9" w:rsidRPr="00DB5657" w:rsidRDefault="004F26E9">
      <w:pPr>
        <w:rPr>
          <w:sz w:val="24"/>
          <w:szCs w:val="24"/>
        </w:rPr>
      </w:pPr>
    </w:p>
    <w:p w14:paraId="37C7BCC9" w14:textId="77777777" w:rsidR="004F26E9" w:rsidRPr="00DB5657" w:rsidRDefault="004F26E9">
      <w:pPr>
        <w:tabs>
          <w:tab w:val="left" w:pos="720"/>
        </w:tabs>
        <w:ind w:left="720" w:hanging="720"/>
        <w:rPr>
          <w:sz w:val="24"/>
          <w:szCs w:val="24"/>
        </w:rPr>
      </w:pPr>
      <w:r w:rsidRPr="00DB5657">
        <w:rPr>
          <w:b/>
          <w:bCs/>
          <w:sz w:val="24"/>
          <w:szCs w:val="24"/>
        </w:rPr>
        <w:t xml:space="preserve">A. </w:t>
      </w:r>
      <w:r w:rsidRPr="00DB5657">
        <w:rPr>
          <w:b/>
          <w:bCs/>
          <w:sz w:val="24"/>
          <w:szCs w:val="24"/>
        </w:rPr>
        <w:tab/>
        <w:t>JUSTIFICATION</w:t>
      </w:r>
    </w:p>
    <w:p w14:paraId="04A239EC" w14:textId="77777777" w:rsidR="004F26E9" w:rsidRPr="00DB5657" w:rsidRDefault="004F26E9">
      <w:pPr>
        <w:rPr>
          <w:sz w:val="24"/>
          <w:szCs w:val="24"/>
        </w:rPr>
      </w:pPr>
    </w:p>
    <w:p w14:paraId="5E94D079" w14:textId="77777777" w:rsidR="004F26E9" w:rsidRPr="00DB5657" w:rsidRDefault="004F26E9">
      <w:pPr>
        <w:rPr>
          <w:sz w:val="24"/>
          <w:szCs w:val="24"/>
        </w:rPr>
        <w:sectPr w:rsidR="004F26E9" w:rsidRPr="00DB5657">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2240" w:h="15840"/>
          <w:pgMar w:top="1440" w:right="1440" w:bottom="1080" w:left="1440" w:header="720" w:footer="720" w:gutter="0"/>
          <w:cols w:space="720"/>
        </w:sectPr>
      </w:pPr>
    </w:p>
    <w:p w14:paraId="0E0EA593" w14:textId="77777777" w:rsidR="004F26E9" w:rsidRPr="00DB5657" w:rsidRDefault="004F26E9">
      <w:pPr>
        <w:rPr>
          <w:sz w:val="24"/>
          <w:szCs w:val="24"/>
        </w:rPr>
      </w:pPr>
      <w:r w:rsidRPr="00DB5657">
        <w:rPr>
          <w:b/>
          <w:bCs/>
          <w:sz w:val="24"/>
          <w:szCs w:val="24"/>
        </w:rPr>
        <w:lastRenderedPageBreak/>
        <w:t xml:space="preserve">1.  </w:t>
      </w:r>
      <w:r w:rsidRPr="00DB5657">
        <w:rPr>
          <w:b/>
          <w:bCs/>
          <w:sz w:val="24"/>
          <w:szCs w:val="24"/>
          <w:u w:val="single"/>
        </w:rPr>
        <w:t>Explain the circumstances that make the collection of information necessary.</w:t>
      </w:r>
    </w:p>
    <w:p w14:paraId="62F2B64B" w14:textId="77777777" w:rsidR="004F26E9" w:rsidRPr="00DB5657" w:rsidRDefault="004F26E9">
      <w:pPr>
        <w:rPr>
          <w:sz w:val="24"/>
          <w:szCs w:val="24"/>
        </w:rPr>
      </w:pPr>
    </w:p>
    <w:p w14:paraId="14483670" w14:textId="77777777" w:rsidR="00F13C4A" w:rsidRPr="00DB5657" w:rsidRDefault="00F13C4A" w:rsidP="00F13C4A">
      <w:pPr>
        <w:rPr>
          <w:sz w:val="24"/>
          <w:szCs w:val="24"/>
        </w:rPr>
      </w:pPr>
      <w:r w:rsidRPr="00DB5657">
        <w:rPr>
          <w:sz w:val="24"/>
          <w:szCs w:val="24"/>
        </w:rPr>
        <w:t xml:space="preserve">Fisheries economic data collection programs implemented by National Marine Fisheries Service (NMFS) address statutory and regulatory mandates to determine the quantity and distribution of net benefits derived from living marine resources as well as predict the economic impacts from proposed management options on fishing vessels, shore side industries, and fishing communities. In particular, these economic data collection programs contribute to legally mandated analyses required under the </w:t>
      </w:r>
      <w:hyperlink r:id="rId15" w:history="1">
        <w:r w:rsidRPr="00307879">
          <w:rPr>
            <w:rStyle w:val="Hyperlink"/>
            <w:sz w:val="24"/>
            <w:szCs w:val="24"/>
          </w:rPr>
          <w:t>Magnuson-Stevens Fishery Conservation and Management Act</w:t>
        </w:r>
      </w:hyperlink>
      <w:r w:rsidRPr="00DB5657">
        <w:rPr>
          <w:sz w:val="24"/>
          <w:szCs w:val="24"/>
        </w:rPr>
        <w:t xml:space="preserve"> (MFCMS), the </w:t>
      </w:r>
      <w:hyperlink r:id="rId16" w:history="1">
        <w:r w:rsidRPr="00307879">
          <w:rPr>
            <w:rStyle w:val="Hyperlink"/>
            <w:sz w:val="24"/>
            <w:szCs w:val="24"/>
          </w:rPr>
          <w:t>National Environmental Policy Act</w:t>
        </w:r>
      </w:hyperlink>
      <w:r w:rsidRPr="00DB5657">
        <w:rPr>
          <w:sz w:val="24"/>
          <w:szCs w:val="24"/>
        </w:rPr>
        <w:t xml:space="preserve"> (NEPA), the </w:t>
      </w:r>
      <w:hyperlink r:id="rId17" w:history="1">
        <w:r w:rsidRPr="00307879">
          <w:rPr>
            <w:rStyle w:val="Hyperlink"/>
            <w:sz w:val="24"/>
            <w:szCs w:val="24"/>
          </w:rPr>
          <w:t>Regulatory Flexibility Act</w:t>
        </w:r>
      </w:hyperlink>
      <w:r w:rsidRPr="00DB5657">
        <w:rPr>
          <w:sz w:val="24"/>
          <w:szCs w:val="24"/>
        </w:rPr>
        <w:t xml:space="preserve"> (RFA), and </w:t>
      </w:r>
      <w:hyperlink r:id="rId18" w:history="1">
        <w:r w:rsidRPr="00307879">
          <w:rPr>
            <w:rStyle w:val="Hyperlink"/>
            <w:sz w:val="24"/>
            <w:szCs w:val="24"/>
          </w:rPr>
          <w:t xml:space="preserve">Executive Order 12866 </w:t>
        </w:r>
      </w:hyperlink>
      <w:r w:rsidRPr="00DB5657">
        <w:rPr>
          <w:sz w:val="24"/>
          <w:szCs w:val="24"/>
        </w:rPr>
        <w:t>(E.O. 12866).</w:t>
      </w:r>
    </w:p>
    <w:p w14:paraId="315D1C56" w14:textId="77777777" w:rsidR="00F13C4A" w:rsidRPr="00DB5657" w:rsidRDefault="00F13C4A" w:rsidP="00F13C4A">
      <w:pPr>
        <w:rPr>
          <w:sz w:val="24"/>
          <w:szCs w:val="24"/>
        </w:rPr>
      </w:pPr>
    </w:p>
    <w:p w14:paraId="5C14EB2E" w14:textId="77777777" w:rsidR="00F13C4A" w:rsidRPr="00DB5657" w:rsidRDefault="00F13C4A" w:rsidP="00F13C4A">
      <w:pPr>
        <w:rPr>
          <w:sz w:val="24"/>
          <w:szCs w:val="24"/>
        </w:rPr>
      </w:pPr>
      <w:r w:rsidRPr="00DB5657">
        <w:rPr>
          <w:sz w:val="24"/>
          <w:szCs w:val="24"/>
        </w:rPr>
        <w:t>The charter fishing industry has a long history in Washington and Oregon, as residents and tourists have come to experience a myriad of fishing opportunities, from salmon fishing in the Puget Sound and the Columbia River area to tuna fishing and rockfish fishing opportunities throughout both states. Charter fishing is a notable component of tourism along the Washington and Oregon coasts. In 20</w:t>
      </w:r>
      <w:r w:rsidR="002811A7" w:rsidRPr="00DB5657">
        <w:rPr>
          <w:sz w:val="24"/>
          <w:szCs w:val="24"/>
        </w:rPr>
        <w:t>15</w:t>
      </w:r>
      <w:r w:rsidRPr="00DB5657">
        <w:rPr>
          <w:sz w:val="24"/>
          <w:szCs w:val="24"/>
        </w:rPr>
        <w:t>, charter patrons in Washington and Oregon generated sales impacts of approximately $</w:t>
      </w:r>
      <w:r w:rsidR="001F33D6" w:rsidRPr="00DB5657">
        <w:rPr>
          <w:sz w:val="24"/>
          <w:szCs w:val="24"/>
        </w:rPr>
        <w:t>83</w:t>
      </w:r>
      <w:r w:rsidRPr="00DB5657">
        <w:rPr>
          <w:sz w:val="24"/>
          <w:szCs w:val="24"/>
        </w:rPr>
        <w:t xml:space="preserve"> million and value-added impacts in the form of wages, salaries, and profits of $</w:t>
      </w:r>
      <w:r w:rsidR="001F33D6" w:rsidRPr="00DB5657">
        <w:rPr>
          <w:sz w:val="24"/>
          <w:szCs w:val="24"/>
        </w:rPr>
        <w:t>46</w:t>
      </w:r>
      <w:r w:rsidRPr="00DB5657">
        <w:rPr>
          <w:sz w:val="24"/>
          <w:szCs w:val="24"/>
        </w:rPr>
        <w:t xml:space="preserve"> million</w:t>
      </w:r>
      <w:r w:rsidRPr="00DB5657">
        <w:rPr>
          <w:rStyle w:val="FootnoteReference"/>
          <w:sz w:val="24"/>
          <w:szCs w:val="24"/>
        </w:rPr>
        <w:footnoteReference w:id="1"/>
      </w:r>
      <w:r w:rsidRPr="00DB5657">
        <w:rPr>
          <w:sz w:val="24"/>
          <w:szCs w:val="24"/>
        </w:rPr>
        <w:t xml:space="preserve">. </w:t>
      </w:r>
    </w:p>
    <w:p w14:paraId="298F18AE" w14:textId="77777777" w:rsidR="00F13C4A" w:rsidRPr="00DB5657" w:rsidRDefault="00F13C4A" w:rsidP="00F13C4A">
      <w:pPr>
        <w:rPr>
          <w:sz w:val="24"/>
          <w:szCs w:val="24"/>
        </w:rPr>
      </w:pPr>
      <w:r w:rsidRPr="00DB5657">
        <w:rPr>
          <w:sz w:val="24"/>
          <w:szCs w:val="24"/>
        </w:rPr>
        <w:t xml:space="preserve"> </w:t>
      </w:r>
    </w:p>
    <w:p w14:paraId="71B2A44C" w14:textId="2A7748FF" w:rsidR="0030218D" w:rsidRPr="00DB5657" w:rsidRDefault="0030218D" w:rsidP="001B79C3">
      <w:pPr>
        <w:rPr>
          <w:sz w:val="24"/>
          <w:szCs w:val="24"/>
        </w:rPr>
      </w:pPr>
      <w:r w:rsidRPr="00DB5657">
        <w:rPr>
          <w:sz w:val="24"/>
          <w:szCs w:val="24"/>
        </w:rPr>
        <w:t>A prior study of the Washington and Oregon charter fleet</w:t>
      </w:r>
      <w:r w:rsidR="0032783F">
        <w:rPr>
          <w:sz w:val="24"/>
          <w:szCs w:val="24"/>
        </w:rPr>
        <w:t xml:space="preserve"> (approved under the then existing 0648-0369 generic clearance)</w:t>
      </w:r>
      <w:r w:rsidRPr="00DB5657">
        <w:rPr>
          <w:sz w:val="24"/>
          <w:szCs w:val="24"/>
        </w:rPr>
        <w:t xml:space="preserve">, with </w:t>
      </w:r>
      <w:r w:rsidR="009C490E">
        <w:rPr>
          <w:sz w:val="24"/>
          <w:szCs w:val="24"/>
        </w:rPr>
        <w:t xml:space="preserve">the same </w:t>
      </w:r>
      <w:r w:rsidRPr="00DB5657">
        <w:rPr>
          <w:sz w:val="24"/>
          <w:szCs w:val="24"/>
        </w:rPr>
        <w:t>survey ins</w:t>
      </w:r>
      <w:r w:rsidR="002811A7" w:rsidRPr="00DB5657">
        <w:rPr>
          <w:sz w:val="24"/>
          <w:szCs w:val="24"/>
        </w:rPr>
        <w:t>trument,</w:t>
      </w:r>
      <w:r w:rsidR="001B79C3" w:rsidRPr="00DB5657">
        <w:rPr>
          <w:sz w:val="24"/>
          <w:szCs w:val="24"/>
        </w:rPr>
        <w:t xml:space="preserve"> was completed in 2014</w:t>
      </w:r>
      <w:r w:rsidRPr="00DB5657">
        <w:rPr>
          <w:sz w:val="24"/>
          <w:szCs w:val="24"/>
        </w:rPr>
        <w:t xml:space="preserve"> and collected cost earnings data pertaining to </w:t>
      </w:r>
      <w:r w:rsidR="001B79C3" w:rsidRPr="00DB5657">
        <w:rPr>
          <w:sz w:val="24"/>
          <w:szCs w:val="24"/>
        </w:rPr>
        <w:t>2012</w:t>
      </w:r>
      <w:r w:rsidR="00E56205">
        <w:rPr>
          <w:sz w:val="24"/>
          <w:szCs w:val="24"/>
        </w:rPr>
        <w:t xml:space="preserve"> (Leonard 2016)</w:t>
      </w:r>
      <w:r w:rsidRPr="00DB5657">
        <w:rPr>
          <w:sz w:val="24"/>
          <w:szCs w:val="24"/>
        </w:rPr>
        <w:t>.  Since then, the industry has faced a variety of difficult circumstances.</w:t>
      </w:r>
      <w:r w:rsidR="001B79C3" w:rsidRPr="00DB5657">
        <w:rPr>
          <w:sz w:val="24"/>
          <w:szCs w:val="24"/>
        </w:rPr>
        <w:t xml:space="preserve">  Several salmon</w:t>
      </w:r>
      <w:r w:rsidR="00C72D0F" w:rsidRPr="00DB5657">
        <w:rPr>
          <w:sz w:val="24"/>
          <w:szCs w:val="24"/>
        </w:rPr>
        <w:t xml:space="preserve"> fisheries were found to meet the definition of disasters </w:t>
      </w:r>
      <w:r w:rsidR="001B79C3" w:rsidRPr="00DB5657">
        <w:rPr>
          <w:sz w:val="24"/>
          <w:szCs w:val="24"/>
        </w:rPr>
        <w:t>under Section 312(a) of the Magnuson-Stevens</w:t>
      </w:r>
      <w:r w:rsidR="00C72D0F" w:rsidRPr="00DB5657">
        <w:rPr>
          <w:sz w:val="24"/>
          <w:szCs w:val="24"/>
        </w:rPr>
        <w:t xml:space="preserve"> Fishery Conservatio</w:t>
      </w:r>
      <w:r w:rsidR="001B79C3" w:rsidRPr="00DB5657">
        <w:rPr>
          <w:sz w:val="24"/>
          <w:szCs w:val="24"/>
        </w:rPr>
        <w:t>n and Management Act (MSA)</w:t>
      </w:r>
      <w:r w:rsidR="00C72D0F" w:rsidRPr="00DB5657">
        <w:rPr>
          <w:sz w:val="24"/>
          <w:szCs w:val="24"/>
        </w:rPr>
        <w:t xml:space="preserve">, including the </w:t>
      </w:r>
      <w:r w:rsidR="009D1C73" w:rsidRPr="00DB5657">
        <w:rPr>
          <w:sz w:val="24"/>
          <w:szCs w:val="24"/>
        </w:rPr>
        <w:t xml:space="preserve">2016 </w:t>
      </w:r>
      <w:r w:rsidR="00C72D0F" w:rsidRPr="00DB5657">
        <w:rPr>
          <w:sz w:val="24"/>
          <w:szCs w:val="24"/>
        </w:rPr>
        <w:t>Washington State coho troll fishery, 2016 Klamath River Yurok Tribe fishery, 2015 South Puget Sound Chinook, coho, and chum salmon Nisqually Indian Tribe fishery.</w:t>
      </w:r>
      <w:r w:rsidR="009D1C73" w:rsidRPr="00DB5657">
        <w:rPr>
          <w:sz w:val="24"/>
          <w:szCs w:val="24"/>
        </w:rPr>
        <w:t xml:space="preserve"> </w:t>
      </w:r>
      <w:r w:rsidRPr="00DB5657">
        <w:rPr>
          <w:sz w:val="24"/>
          <w:szCs w:val="24"/>
        </w:rPr>
        <w:t xml:space="preserve"> </w:t>
      </w:r>
      <w:r w:rsidR="009C490E">
        <w:rPr>
          <w:sz w:val="24"/>
          <w:szCs w:val="24"/>
        </w:rPr>
        <w:t>The prior survey, which collected data from 2012, revealed that with respect to business revenue, salmon remains the primary target of marine charter businesses in Washington and Oregon.  Additionally, i</w:t>
      </w:r>
      <w:r w:rsidRPr="00DB5657">
        <w:rPr>
          <w:sz w:val="24"/>
          <w:szCs w:val="24"/>
        </w:rPr>
        <w:t xml:space="preserve">n Washington, where salmon charter licenses are distinguishable from non-salmon licenses, there are </w:t>
      </w:r>
      <w:r w:rsidR="009D1C73" w:rsidRPr="00DB5657">
        <w:rPr>
          <w:sz w:val="24"/>
          <w:szCs w:val="24"/>
        </w:rPr>
        <w:t xml:space="preserve">twice as many </w:t>
      </w:r>
      <w:r w:rsidRPr="00DB5657">
        <w:rPr>
          <w:sz w:val="24"/>
          <w:szCs w:val="24"/>
        </w:rPr>
        <w:t xml:space="preserve">salmon licenses as non-salmon licenses.  Given the macroeconomic changes in the past </w:t>
      </w:r>
      <w:r w:rsidR="006E2E8A" w:rsidRPr="00DB5657">
        <w:rPr>
          <w:sz w:val="24"/>
          <w:szCs w:val="24"/>
        </w:rPr>
        <w:t>5</w:t>
      </w:r>
      <w:r w:rsidRPr="00DB5657">
        <w:rPr>
          <w:sz w:val="24"/>
          <w:szCs w:val="24"/>
        </w:rPr>
        <w:t xml:space="preserve"> years and the regulatory changes, particularly for salmon, there is a need for a collection of economic cost and earnings data and related social data on the Washington and Oregon charter fleet to support the fishery management process.</w:t>
      </w:r>
    </w:p>
    <w:p w14:paraId="6D55F6AF" w14:textId="77777777" w:rsidR="00B34B83" w:rsidRPr="00DB5657" w:rsidRDefault="00B34B83" w:rsidP="00631643">
      <w:pPr>
        <w:rPr>
          <w:sz w:val="24"/>
          <w:szCs w:val="24"/>
        </w:rPr>
      </w:pPr>
    </w:p>
    <w:p w14:paraId="15E59A2D" w14:textId="77777777" w:rsidR="0035461F" w:rsidRDefault="00E4782C">
      <w:pPr>
        <w:rPr>
          <w:sz w:val="24"/>
          <w:szCs w:val="24"/>
        </w:rPr>
      </w:pPr>
      <w:r w:rsidRPr="00DB5657">
        <w:rPr>
          <w:sz w:val="24"/>
          <w:szCs w:val="24"/>
        </w:rPr>
        <w:t>Timely costs and earnings data are needed in order to estimate the fishery’s contribution to the state</w:t>
      </w:r>
      <w:r w:rsidR="00E25A11">
        <w:rPr>
          <w:sz w:val="24"/>
          <w:szCs w:val="24"/>
        </w:rPr>
        <w:t xml:space="preserve"> and local economies</w:t>
      </w:r>
      <w:r w:rsidRPr="00DB5657">
        <w:rPr>
          <w:sz w:val="24"/>
          <w:szCs w:val="24"/>
        </w:rPr>
        <w:t xml:space="preserve">. IMPLAN sector (cost and earnings) data from Washington and Oregon charter vessels are required in the estimation of the Input Output Model for Pacific Coast Fisheries (IO-PAC), which is used to provide statutorily required estimates to the Pacific Fishery </w:t>
      </w:r>
    </w:p>
    <w:p w14:paraId="24587AE7" w14:textId="77777777" w:rsidR="0035461F" w:rsidRDefault="0035461F">
      <w:pPr>
        <w:rPr>
          <w:sz w:val="24"/>
          <w:szCs w:val="24"/>
        </w:rPr>
      </w:pPr>
    </w:p>
    <w:p w14:paraId="716FBF7D" w14:textId="77777777" w:rsidR="00E00018" w:rsidRPr="00DB5657" w:rsidRDefault="00E4782C">
      <w:pPr>
        <w:rPr>
          <w:sz w:val="24"/>
          <w:szCs w:val="24"/>
        </w:rPr>
      </w:pPr>
      <w:r w:rsidRPr="00DB5657">
        <w:rPr>
          <w:sz w:val="24"/>
          <w:szCs w:val="24"/>
        </w:rPr>
        <w:t>Management Council (PFMC) for fisheries under Fishery Management Plans (FMPs) administered on the West Coast.</w:t>
      </w:r>
    </w:p>
    <w:p w14:paraId="67121ADD" w14:textId="77777777" w:rsidR="008E34FA" w:rsidRPr="00DB5657" w:rsidRDefault="008E34FA">
      <w:pPr>
        <w:rPr>
          <w:sz w:val="24"/>
          <w:szCs w:val="24"/>
        </w:rPr>
      </w:pPr>
    </w:p>
    <w:p w14:paraId="3C9D8540" w14:textId="77777777" w:rsidR="004F26E9" w:rsidRPr="00DB5657" w:rsidRDefault="004F26E9">
      <w:pPr>
        <w:rPr>
          <w:sz w:val="24"/>
          <w:szCs w:val="24"/>
        </w:rPr>
      </w:pPr>
      <w:r w:rsidRPr="00DB5657">
        <w:rPr>
          <w:b/>
          <w:bCs/>
          <w:sz w:val="24"/>
          <w:szCs w:val="24"/>
        </w:rPr>
        <w:t xml:space="preserve">2.  </w:t>
      </w:r>
      <w:r w:rsidRPr="00DB5657">
        <w:rPr>
          <w:sz w:val="24"/>
          <w:szCs w:val="24"/>
          <w:lang w:val="en-CA"/>
        </w:rPr>
        <w:fldChar w:fldCharType="begin"/>
      </w:r>
      <w:r w:rsidRPr="00DB5657">
        <w:rPr>
          <w:sz w:val="24"/>
          <w:szCs w:val="24"/>
          <w:lang w:val="en-CA"/>
        </w:rPr>
        <w:instrText xml:space="preserve"> SEQ CHAPTER \h \r 1</w:instrText>
      </w:r>
      <w:r w:rsidRPr="00DB5657">
        <w:rPr>
          <w:sz w:val="24"/>
          <w:szCs w:val="24"/>
          <w:lang w:val="en-CA"/>
        </w:rPr>
        <w:fldChar w:fldCharType="end"/>
      </w:r>
      <w:r w:rsidRPr="00DB5657">
        <w:rPr>
          <w:b/>
          <w:bCs/>
          <w:sz w:val="24"/>
          <w:szCs w:val="24"/>
          <w:u w:val="single"/>
        </w:rPr>
        <w:t xml:space="preserve">Explain how, by whom, how frequently, and for what purpose the information will be used.  </w:t>
      </w:r>
      <w:r w:rsidRPr="00DB5657">
        <w:rPr>
          <w:sz w:val="24"/>
          <w:szCs w:val="24"/>
          <w:lang w:val="en-CA"/>
        </w:rPr>
        <w:fldChar w:fldCharType="begin"/>
      </w:r>
      <w:r w:rsidRPr="00DB5657">
        <w:rPr>
          <w:sz w:val="24"/>
          <w:szCs w:val="24"/>
          <w:lang w:val="en-CA"/>
        </w:rPr>
        <w:instrText xml:space="preserve"> SEQ CHAPTER \h \r 1</w:instrText>
      </w:r>
      <w:r w:rsidRPr="00DB5657">
        <w:rPr>
          <w:sz w:val="24"/>
          <w:szCs w:val="24"/>
          <w:lang w:val="en-CA"/>
        </w:rPr>
        <w:fldChar w:fldCharType="end"/>
      </w:r>
      <w:r w:rsidRPr="00DB5657">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B5657">
        <w:rPr>
          <w:b/>
          <w:bCs/>
          <w:sz w:val="24"/>
          <w:szCs w:val="24"/>
        </w:rPr>
        <w:t xml:space="preserve">. </w:t>
      </w:r>
    </w:p>
    <w:p w14:paraId="020DB07C" w14:textId="77777777" w:rsidR="006D1C32" w:rsidRPr="00DB5657" w:rsidRDefault="006D1C32">
      <w:pPr>
        <w:rPr>
          <w:sz w:val="24"/>
          <w:szCs w:val="24"/>
        </w:rPr>
      </w:pPr>
    </w:p>
    <w:p w14:paraId="62383C6B" w14:textId="77777777" w:rsidR="00225899" w:rsidRPr="00DB5657" w:rsidRDefault="00F41F80" w:rsidP="00F41F80">
      <w:pPr>
        <w:rPr>
          <w:sz w:val="24"/>
          <w:szCs w:val="24"/>
        </w:rPr>
      </w:pPr>
      <w:r w:rsidRPr="00DB5657">
        <w:rPr>
          <w:sz w:val="24"/>
          <w:szCs w:val="24"/>
        </w:rPr>
        <w:t xml:space="preserve">NMFS needs to measure the economic performance of Washington and Oregon charter operations in order to meet legal and regulatory requirements, support fisheries management decision making, and pursue more detailed economic research. Currently, the cost earnings data used to meet these needs are six years old. This study will collect data that is needed to construct key economic performance measures related to profitability, productivity, economic impacts, and social aspects of the fishery. </w:t>
      </w:r>
    </w:p>
    <w:p w14:paraId="2272B7A2" w14:textId="77777777" w:rsidR="00225899" w:rsidRPr="00DB5657" w:rsidRDefault="00225899" w:rsidP="00F41F80">
      <w:pPr>
        <w:rPr>
          <w:sz w:val="24"/>
          <w:szCs w:val="24"/>
        </w:rPr>
      </w:pPr>
    </w:p>
    <w:p w14:paraId="25FB7567" w14:textId="16A95840" w:rsidR="00F41F80" w:rsidRPr="00DB5657" w:rsidRDefault="00F41F80" w:rsidP="00F41F80">
      <w:pPr>
        <w:rPr>
          <w:sz w:val="24"/>
          <w:szCs w:val="24"/>
        </w:rPr>
      </w:pPr>
      <w:r w:rsidRPr="00DB5657">
        <w:rPr>
          <w:sz w:val="24"/>
          <w:szCs w:val="24"/>
        </w:rPr>
        <w:t xml:space="preserve">The data gathered and performance measures constructed will be used to address a wide range of issues important to the </w:t>
      </w:r>
      <w:r w:rsidR="00E4782C" w:rsidRPr="00DB5657">
        <w:rPr>
          <w:sz w:val="24"/>
          <w:szCs w:val="24"/>
        </w:rPr>
        <w:t xml:space="preserve">West Coast </w:t>
      </w:r>
      <w:r w:rsidRPr="00DB5657">
        <w:rPr>
          <w:sz w:val="24"/>
          <w:szCs w:val="24"/>
        </w:rPr>
        <w:t>Regional Office, Pacific Fishery Management Council, and the Washington and Oregon charter fleet</w:t>
      </w:r>
      <w:r w:rsidR="009C490E">
        <w:rPr>
          <w:sz w:val="24"/>
          <w:szCs w:val="24"/>
        </w:rPr>
        <w:t xml:space="preserve">.  More specifically, these data will be used to </w:t>
      </w:r>
      <w:r w:rsidRPr="00DB5657">
        <w:rPr>
          <w:sz w:val="24"/>
          <w:szCs w:val="24"/>
        </w:rPr>
        <w:t>estimat</w:t>
      </w:r>
      <w:r w:rsidR="009C490E">
        <w:rPr>
          <w:sz w:val="24"/>
          <w:szCs w:val="24"/>
        </w:rPr>
        <w:t>e</w:t>
      </w:r>
      <w:r w:rsidRPr="00DB5657">
        <w:rPr>
          <w:sz w:val="24"/>
          <w:szCs w:val="24"/>
        </w:rPr>
        <w:t xml:space="preserve"> the economic contribution of the Washington and Oregon fleet and the </w:t>
      </w:r>
      <w:r w:rsidR="009C490E">
        <w:rPr>
          <w:sz w:val="24"/>
          <w:szCs w:val="24"/>
        </w:rPr>
        <w:t xml:space="preserve">income and employment </w:t>
      </w:r>
      <w:r w:rsidRPr="00DB5657">
        <w:rPr>
          <w:sz w:val="24"/>
          <w:szCs w:val="24"/>
        </w:rPr>
        <w:t>impact of changes in environmental, economic, or management conditions on the on the Washington and Oregon charter fishery.</w:t>
      </w:r>
      <w:r w:rsidR="00225899" w:rsidRPr="00DB5657">
        <w:rPr>
          <w:sz w:val="24"/>
          <w:szCs w:val="24"/>
        </w:rPr>
        <w:t xml:space="preserve">  At a minimum the IO-PAC model, which utilizes th</w:t>
      </w:r>
      <w:r w:rsidR="00E4782C" w:rsidRPr="00DB5657">
        <w:rPr>
          <w:sz w:val="24"/>
          <w:szCs w:val="24"/>
        </w:rPr>
        <w:t>ese</w:t>
      </w:r>
      <w:r w:rsidR="00225899" w:rsidRPr="00DB5657">
        <w:rPr>
          <w:sz w:val="24"/>
          <w:szCs w:val="24"/>
        </w:rPr>
        <w:t xml:space="preserve"> data, is used </w:t>
      </w:r>
      <w:r w:rsidR="002C3B46" w:rsidRPr="00DB5657">
        <w:rPr>
          <w:sz w:val="24"/>
          <w:szCs w:val="24"/>
        </w:rPr>
        <w:t xml:space="preserve">by the PFMC </w:t>
      </w:r>
      <w:r w:rsidR="00225899" w:rsidRPr="00DB5657">
        <w:rPr>
          <w:sz w:val="24"/>
          <w:szCs w:val="24"/>
        </w:rPr>
        <w:t>to estimate the economic impact</w:t>
      </w:r>
      <w:r w:rsidR="002C3B46" w:rsidRPr="00DB5657">
        <w:rPr>
          <w:sz w:val="24"/>
          <w:szCs w:val="24"/>
        </w:rPr>
        <w:t>s</w:t>
      </w:r>
      <w:r w:rsidR="00225899" w:rsidRPr="00DB5657">
        <w:rPr>
          <w:sz w:val="24"/>
          <w:szCs w:val="24"/>
        </w:rPr>
        <w:t xml:space="preserve"> of alternative management proposals </w:t>
      </w:r>
      <w:r w:rsidR="00DC193F" w:rsidRPr="00DB5657">
        <w:rPr>
          <w:sz w:val="24"/>
          <w:szCs w:val="24"/>
        </w:rPr>
        <w:t xml:space="preserve">biannually </w:t>
      </w:r>
      <w:r w:rsidR="002C3B46" w:rsidRPr="00DB5657">
        <w:rPr>
          <w:sz w:val="24"/>
          <w:szCs w:val="24"/>
        </w:rPr>
        <w:t>for the Pacific Coast Ground</w:t>
      </w:r>
      <w:r w:rsidR="00225899" w:rsidRPr="00DB5657">
        <w:rPr>
          <w:sz w:val="24"/>
          <w:szCs w:val="24"/>
        </w:rPr>
        <w:t>fish Harvest Specifications</w:t>
      </w:r>
      <w:r w:rsidR="00DC193F" w:rsidRPr="00DB5657">
        <w:rPr>
          <w:sz w:val="24"/>
          <w:szCs w:val="24"/>
        </w:rPr>
        <w:t xml:space="preserve"> and annually for the Stock Assessment and Fishery Evaluation</w:t>
      </w:r>
      <w:r w:rsidR="00225899" w:rsidRPr="00DB5657">
        <w:rPr>
          <w:sz w:val="24"/>
          <w:szCs w:val="24"/>
        </w:rPr>
        <w:t xml:space="preserve"> </w:t>
      </w:r>
      <w:r w:rsidR="00DC193F" w:rsidRPr="00DB5657">
        <w:rPr>
          <w:sz w:val="24"/>
          <w:szCs w:val="24"/>
        </w:rPr>
        <w:t xml:space="preserve">report for ocean salmon </w:t>
      </w:r>
      <w:r w:rsidR="002C3B46" w:rsidRPr="00DB5657">
        <w:rPr>
          <w:sz w:val="24"/>
          <w:szCs w:val="24"/>
        </w:rPr>
        <w:t>fisheries</w:t>
      </w:r>
      <w:r w:rsidR="00AE4CE3">
        <w:rPr>
          <w:sz w:val="24"/>
          <w:szCs w:val="24"/>
        </w:rPr>
        <w:t xml:space="preserve"> (Leonard and Watson 2011)</w:t>
      </w:r>
      <w:r w:rsidR="00DC193F" w:rsidRPr="00DB5657">
        <w:rPr>
          <w:sz w:val="24"/>
          <w:szCs w:val="24"/>
        </w:rPr>
        <w:t>.</w:t>
      </w:r>
      <w:r w:rsidR="002C3B46" w:rsidRPr="00DB5657">
        <w:rPr>
          <w:sz w:val="24"/>
          <w:szCs w:val="24"/>
        </w:rPr>
        <w:t xml:space="preserve">  However, the IO-PAC model is also used by the PFMC in numerous other prospective management changes that are expected to change recreational fishing effort.  </w:t>
      </w:r>
      <w:r w:rsidR="00DC193F" w:rsidRPr="00DB5657">
        <w:rPr>
          <w:sz w:val="24"/>
          <w:szCs w:val="24"/>
        </w:rPr>
        <w:t xml:space="preserve"> </w:t>
      </w:r>
    </w:p>
    <w:p w14:paraId="3AD3C90F" w14:textId="77777777" w:rsidR="00F41F80" w:rsidRPr="00DB5657" w:rsidRDefault="00F41F80" w:rsidP="00F41F80">
      <w:pPr>
        <w:rPr>
          <w:sz w:val="24"/>
          <w:szCs w:val="24"/>
        </w:rPr>
      </w:pPr>
    </w:p>
    <w:p w14:paraId="69D519B7" w14:textId="77777777" w:rsidR="00F41F80" w:rsidRPr="00DB5657" w:rsidRDefault="00F41F80" w:rsidP="00F41F80">
      <w:pPr>
        <w:outlineLvl w:val="0"/>
        <w:rPr>
          <w:sz w:val="24"/>
          <w:szCs w:val="24"/>
          <w:u w:val="single"/>
        </w:rPr>
      </w:pPr>
    </w:p>
    <w:p w14:paraId="2F487672" w14:textId="77777777" w:rsidR="00F41F80" w:rsidRPr="00DB5657" w:rsidRDefault="00F41F80" w:rsidP="00F41F80">
      <w:pPr>
        <w:outlineLvl w:val="0"/>
        <w:rPr>
          <w:sz w:val="24"/>
          <w:szCs w:val="24"/>
          <w:u w:val="single"/>
        </w:rPr>
      </w:pPr>
      <w:r w:rsidRPr="00DB5657">
        <w:rPr>
          <w:sz w:val="24"/>
          <w:szCs w:val="24"/>
          <w:u w:val="single"/>
        </w:rPr>
        <w:t>Reporting of Survey Results</w:t>
      </w:r>
    </w:p>
    <w:p w14:paraId="09F4BBA6" w14:textId="77777777" w:rsidR="00F41F80" w:rsidRPr="00DB5657" w:rsidRDefault="00F41F80" w:rsidP="00F41F80">
      <w:pPr>
        <w:rPr>
          <w:sz w:val="24"/>
          <w:szCs w:val="24"/>
        </w:rPr>
      </w:pPr>
    </w:p>
    <w:p w14:paraId="0CCF86AE" w14:textId="77777777" w:rsidR="00F41F80" w:rsidRPr="00DB5657" w:rsidRDefault="00F41F80" w:rsidP="00F41F80">
      <w:pPr>
        <w:rPr>
          <w:sz w:val="24"/>
          <w:szCs w:val="24"/>
        </w:rPr>
      </w:pPr>
      <w:r w:rsidRPr="00DB5657">
        <w:rPr>
          <w:sz w:val="24"/>
          <w:szCs w:val="24"/>
        </w:rPr>
        <w:t>Survey results will be reported through a series of reports and project summaries prepared for the survey respondents, general fishing public, fisheries managers, and academics. It is anticipated that results will also be reported in the form of a technical memorandum of the Northwest Fisheries Science Center, academic publications, presentations at conferences, and public meetings. All reporting of survey results will conform to data confidentiality requirements. Qualified researchers with data access and confidentiality agreements will have access to raw data for performing future analyses, if requested.</w:t>
      </w:r>
    </w:p>
    <w:p w14:paraId="106E7D9B" w14:textId="77777777" w:rsidR="00F41F80" w:rsidRPr="00DB5657" w:rsidRDefault="00F41F80" w:rsidP="00F41F80">
      <w:pPr>
        <w:rPr>
          <w:sz w:val="24"/>
          <w:szCs w:val="24"/>
        </w:rPr>
      </w:pPr>
    </w:p>
    <w:p w14:paraId="79D56637" w14:textId="77777777" w:rsidR="00F41F80" w:rsidRPr="00DB5657" w:rsidRDefault="00F41F80" w:rsidP="00F41F80">
      <w:pPr>
        <w:outlineLvl w:val="0"/>
        <w:rPr>
          <w:sz w:val="24"/>
          <w:szCs w:val="24"/>
          <w:u w:val="single"/>
        </w:rPr>
      </w:pPr>
      <w:r w:rsidRPr="00DB5657">
        <w:rPr>
          <w:sz w:val="24"/>
          <w:szCs w:val="24"/>
          <w:u w:val="single"/>
        </w:rPr>
        <w:t>Information Quality Guidelines and Confidentiality</w:t>
      </w:r>
    </w:p>
    <w:p w14:paraId="0ABF540E" w14:textId="77777777" w:rsidR="00F41F80" w:rsidRPr="00DB5657" w:rsidRDefault="00F41F80" w:rsidP="00F41F80">
      <w:pPr>
        <w:rPr>
          <w:sz w:val="24"/>
          <w:szCs w:val="24"/>
        </w:rPr>
      </w:pPr>
    </w:p>
    <w:p w14:paraId="69084B2A" w14:textId="77777777" w:rsidR="0035461F" w:rsidRDefault="00F41F80" w:rsidP="00F41F80">
      <w:pPr>
        <w:rPr>
          <w:sz w:val="24"/>
          <w:szCs w:val="24"/>
        </w:rPr>
      </w:pPr>
      <w:r w:rsidRPr="00DB5657">
        <w:rPr>
          <w:sz w:val="24"/>
          <w:szCs w:val="24"/>
        </w:rPr>
        <w:t>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w:t>
      </w:r>
      <w:r w:rsidR="00525CB1">
        <w:rPr>
          <w:sz w:val="24"/>
          <w:szCs w:val="24"/>
        </w:rPr>
        <w:t xml:space="preserve">tronic information.  NFMS </w:t>
      </w:r>
      <w:r w:rsidR="00525CB1" w:rsidRPr="00525CB1">
        <w:rPr>
          <w:sz w:val="24"/>
          <w:szCs w:val="24"/>
        </w:rPr>
        <w:t xml:space="preserve">will maintain the confidentiality of the information consistent with legal authorities available, including but not limited to the Privacy Act (5 U.S.C. Section 552a) and the Trade Secrets Act (18 U.S.C. Section 1905).  In the event that the NWFSC receives a formal request for the information pursuant to </w:t>
      </w:r>
    </w:p>
    <w:p w14:paraId="7E387F4B" w14:textId="77777777" w:rsidR="0035461F" w:rsidRDefault="0035461F" w:rsidP="00F41F80">
      <w:pPr>
        <w:rPr>
          <w:sz w:val="24"/>
          <w:szCs w:val="24"/>
        </w:rPr>
      </w:pPr>
    </w:p>
    <w:p w14:paraId="587855CF" w14:textId="77777777" w:rsidR="00F41F80" w:rsidRDefault="00525CB1" w:rsidP="00F41F80">
      <w:pPr>
        <w:rPr>
          <w:sz w:val="24"/>
          <w:szCs w:val="24"/>
        </w:rPr>
      </w:pPr>
      <w:r w:rsidRPr="00525CB1">
        <w:rPr>
          <w:sz w:val="24"/>
          <w:szCs w:val="24"/>
        </w:rPr>
        <w:t>the Freedom of Information Act (FOIA) (5 U.S.C. Section 552) the NWFSC will protect confidentiality to the extent possible under the Exemption 4 of the FOIA.</w:t>
      </w:r>
    </w:p>
    <w:p w14:paraId="1B80BFE4" w14:textId="77777777" w:rsidR="00525CB1" w:rsidRPr="00DB5657" w:rsidRDefault="00525CB1" w:rsidP="00F41F80">
      <w:pPr>
        <w:rPr>
          <w:sz w:val="24"/>
          <w:szCs w:val="24"/>
        </w:rPr>
      </w:pPr>
    </w:p>
    <w:p w14:paraId="354E5190" w14:textId="77777777" w:rsidR="008A0CAE" w:rsidRPr="00DB5657" w:rsidRDefault="00F41F80" w:rsidP="008A0CAE">
      <w:pPr>
        <w:rPr>
          <w:sz w:val="24"/>
          <w:szCs w:val="24"/>
        </w:rPr>
      </w:pPr>
      <w:r w:rsidRPr="00DB5657">
        <w:rPr>
          <w:sz w:val="24"/>
          <w:szCs w:val="24"/>
        </w:rPr>
        <w:t>The information collection is designed to yield data that meet all applicable information quality guidelines.  Prior to dissemination, the information will be subjected to quality control measures and a pre-dissemination review pursuant to Section 515 of Public Law 106-554.</w:t>
      </w:r>
      <w:r w:rsidR="008A0CAE" w:rsidRPr="00DB5657">
        <w:rPr>
          <w:sz w:val="24"/>
          <w:szCs w:val="24"/>
        </w:rPr>
        <w:t xml:space="preserve"> </w:t>
      </w:r>
    </w:p>
    <w:p w14:paraId="189BE2F2" w14:textId="77777777" w:rsidR="008A0CAE" w:rsidRPr="00DB5657" w:rsidRDefault="008A0CAE" w:rsidP="008A0CAE">
      <w:pPr>
        <w:rPr>
          <w:sz w:val="24"/>
          <w:szCs w:val="24"/>
        </w:rPr>
      </w:pPr>
    </w:p>
    <w:p w14:paraId="2F5E2B64" w14:textId="77777777" w:rsidR="00C24E0A" w:rsidRPr="00DB5657" w:rsidRDefault="008A0CAE" w:rsidP="008A0CAE">
      <w:pPr>
        <w:rPr>
          <w:sz w:val="24"/>
          <w:szCs w:val="24"/>
        </w:rPr>
      </w:pPr>
      <w:r w:rsidRPr="00DB5657">
        <w:rPr>
          <w:sz w:val="24"/>
          <w:szCs w:val="24"/>
        </w:rPr>
        <w:t xml:space="preserve">Before the IO-PAC model is used in the fishery management process, it (together with the data collected through the collection of information described herein), will be reviewed by the Scientific and Statistical Committee of the PFMC.  </w:t>
      </w:r>
    </w:p>
    <w:p w14:paraId="4AB36E20" w14:textId="77777777" w:rsidR="00E00018" w:rsidRPr="00DB5657" w:rsidRDefault="00E00018">
      <w:pPr>
        <w:rPr>
          <w:sz w:val="24"/>
          <w:szCs w:val="24"/>
        </w:rPr>
      </w:pPr>
    </w:p>
    <w:p w14:paraId="60949073" w14:textId="77777777" w:rsidR="004F26E9" w:rsidRPr="00DB5657" w:rsidRDefault="004F26E9">
      <w:pPr>
        <w:rPr>
          <w:sz w:val="24"/>
          <w:szCs w:val="24"/>
        </w:rPr>
      </w:pPr>
      <w:r w:rsidRPr="00DB5657">
        <w:rPr>
          <w:b/>
          <w:bCs/>
          <w:sz w:val="24"/>
          <w:szCs w:val="24"/>
        </w:rPr>
        <w:t xml:space="preserve">3.  </w:t>
      </w:r>
      <w:r w:rsidRPr="00DB5657">
        <w:rPr>
          <w:b/>
          <w:bCs/>
          <w:sz w:val="24"/>
          <w:szCs w:val="24"/>
          <w:u w:val="single"/>
        </w:rPr>
        <w:t>Describe whether, and to what extent, the collection of information involves the use of automated, electronic, mechanical, or other technological techniques or other forms of information technology</w:t>
      </w:r>
      <w:r w:rsidRPr="00DB5657">
        <w:rPr>
          <w:b/>
          <w:bCs/>
          <w:sz w:val="24"/>
          <w:szCs w:val="24"/>
        </w:rPr>
        <w:t>.</w:t>
      </w:r>
    </w:p>
    <w:p w14:paraId="3E7668EA" w14:textId="77777777" w:rsidR="004F26E9" w:rsidRPr="00DB5657" w:rsidRDefault="004F26E9">
      <w:pPr>
        <w:rPr>
          <w:sz w:val="24"/>
          <w:szCs w:val="24"/>
        </w:rPr>
      </w:pPr>
    </w:p>
    <w:p w14:paraId="5FA3AA61" w14:textId="77777777" w:rsidR="00F7112B" w:rsidRPr="00DB5657" w:rsidRDefault="00F7112B">
      <w:pPr>
        <w:rPr>
          <w:sz w:val="24"/>
          <w:szCs w:val="24"/>
        </w:rPr>
      </w:pPr>
      <w:r w:rsidRPr="00DB5657">
        <w:rPr>
          <w:sz w:val="24"/>
          <w:szCs w:val="24"/>
        </w:rPr>
        <w:t>The data collection does not involve the use of automated, mechanical or other technological techniques.</w:t>
      </w:r>
    </w:p>
    <w:p w14:paraId="24CC2F1F" w14:textId="77777777" w:rsidR="00F7112B" w:rsidRPr="00DB5657" w:rsidRDefault="00F7112B">
      <w:pPr>
        <w:rPr>
          <w:b/>
          <w:bCs/>
          <w:sz w:val="24"/>
          <w:szCs w:val="24"/>
        </w:rPr>
      </w:pPr>
    </w:p>
    <w:p w14:paraId="4838709C" w14:textId="77777777" w:rsidR="004F26E9" w:rsidRPr="00DB5657" w:rsidRDefault="004F26E9">
      <w:pPr>
        <w:rPr>
          <w:sz w:val="24"/>
          <w:szCs w:val="24"/>
        </w:rPr>
      </w:pPr>
      <w:r w:rsidRPr="00DB5657">
        <w:rPr>
          <w:b/>
          <w:bCs/>
          <w:sz w:val="24"/>
          <w:szCs w:val="24"/>
        </w:rPr>
        <w:t xml:space="preserve">4.  </w:t>
      </w:r>
      <w:r w:rsidRPr="00DB5657">
        <w:rPr>
          <w:b/>
          <w:bCs/>
          <w:sz w:val="24"/>
          <w:szCs w:val="24"/>
          <w:u w:val="single"/>
        </w:rPr>
        <w:t>Describe efforts to identify duplication</w:t>
      </w:r>
      <w:r w:rsidRPr="00DB5657">
        <w:rPr>
          <w:b/>
          <w:bCs/>
          <w:sz w:val="24"/>
          <w:szCs w:val="24"/>
        </w:rPr>
        <w:t>.</w:t>
      </w:r>
    </w:p>
    <w:p w14:paraId="3844DAED" w14:textId="77777777" w:rsidR="004F26E9" w:rsidRPr="00DB5657" w:rsidRDefault="004F26E9">
      <w:pPr>
        <w:rPr>
          <w:sz w:val="24"/>
          <w:szCs w:val="24"/>
        </w:rPr>
      </w:pPr>
    </w:p>
    <w:p w14:paraId="448F9029" w14:textId="77777777" w:rsidR="00FD24EF" w:rsidRPr="00DB5657" w:rsidRDefault="00FD24EF" w:rsidP="00FD24EF">
      <w:pPr>
        <w:spacing w:line="276" w:lineRule="auto"/>
        <w:rPr>
          <w:sz w:val="24"/>
          <w:szCs w:val="24"/>
        </w:rPr>
      </w:pPr>
      <w:r w:rsidRPr="00DB5657">
        <w:rPr>
          <w:sz w:val="24"/>
          <w:szCs w:val="24"/>
        </w:rPr>
        <w:t xml:space="preserve">We reviewed the existing literature on recreational activities in the region and could not find any studies that </w:t>
      </w:r>
      <w:r w:rsidR="00C52AE7" w:rsidRPr="00DB5657">
        <w:rPr>
          <w:sz w:val="24"/>
          <w:szCs w:val="24"/>
        </w:rPr>
        <w:t xml:space="preserve">imply </w:t>
      </w:r>
      <w:r w:rsidRPr="00DB5657">
        <w:rPr>
          <w:sz w:val="24"/>
          <w:szCs w:val="24"/>
        </w:rPr>
        <w:t>our effort</w:t>
      </w:r>
      <w:r w:rsidR="00C52AE7" w:rsidRPr="00DB5657">
        <w:rPr>
          <w:sz w:val="24"/>
          <w:szCs w:val="24"/>
        </w:rPr>
        <w:t xml:space="preserve"> is duplicative of any work conducted</w:t>
      </w:r>
      <w:r w:rsidRPr="00DB5657">
        <w:rPr>
          <w:sz w:val="24"/>
          <w:szCs w:val="24"/>
        </w:rPr>
        <w:t xml:space="preserve"> within the </w:t>
      </w:r>
      <w:r w:rsidR="008A0CAE" w:rsidRPr="00DB5657">
        <w:rPr>
          <w:sz w:val="24"/>
          <w:szCs w:val="24"/>
        </w:rPr>
        <w:t>six years</w:t>
      </w:r>
      <w:r w:rsidR="00E4782C" w:rsidRPr="00DB5657">
        <w:rPr>
          <w:sz w:val="24"/>
          <w:szCs w:val="24"/>
        </w:rPr>
        <w:t xml:space="preserve"> since the last survey conducted by NWFSC</w:t>
      </w:r>
      <w:r w:rsidRPr="00DB5657">
        <w:rPr>
          <w:sz w:val="24"/>
          <w:szCs w:val="24"/>
        </w:rPr>
        <w:t>.  We also conferred wit</w:t>
      </w:r>
      <w:r w:rsidR="009C490E">
        <w:rPr>
          <w:sz w:val="24"/>
          <w:szCs w:val="24"/>
        </w:rPr>
        <w:t>h state officials in Washington and</w:t>
      </w:r>
      <w:r w:rsidRPr="00DB5657">
        <w:rPr>
          <w:sz w:val="24"/>
          <w:szCs w:val="24"/>
        </w:rPr>
        <w:t xml:space="preserve"> Oregon with responsibilities for managing recreational saltwater fishing</w:t>
      </w:r>
      <w:r w:rsidR="009C490E">
        <w:rPr>
          <w:sz w:val="24"/>
          <w:szCs w:val="24"/>
        </w:rPr>
        <w:t>,</w:t>
      </w:r>
      <w:r w:rsidRPr="00DB5657">
        <w:rPr>
          <w:sz w:val="24"/>
          <w:szCs w:val="24"/>
        </w:rPr>
        <w:t xml:space="preserve"> and they could not identify any existing or planned duplicative efforts.  </w:t>
      </w:r>
    </w:p>
    <w:p w14:paraId="529A5B78" w14:textId="77777777" w:rsidR="004F26E9" w:rsidRPr="00DB5657" w:rsidRDefault="004F26E9">
      <w:pPr>
        <w:rPr>
          <w:sz w:val="24"/>
          <w:szCs w:val="24"/>
        </w:rPr>
      </w:pPr>
    </w:p>
    <w:p w14:paraId="06B3FDFD" w14:textId="77777777" w:rsidR="004F26E9" w:rsidRPr="00DB5657" w:rsidRDefault="004F26E9">
      <w:pPr>
        <w:rPr>
          <w:sz w:val="24"/>
          <w:szCs w:val="24"/>
        </w:rPr>
      </w:pPr>
      <w:r w:rsidRPr="00DB5657">
        <w:rPr>
          <w:b/>
          <w:bCs/>
          <w:sz w:val="24"/>
          <w:szCs w:val="24"/>
        </w:rPr>
        <w:t xml:space="preserve">5.  </w:t>
      </w:r>
      <w:r w:rsidRPr="00DB5657">
        <w:rPr>
          <w:b/>
          <w:bCs/>
          <w:sz w:val="24"/>
          <w:szCs w:val="24"/>
          <w:u w:val="single"/>
        </w:rPr>
        <w:t>If the collection of information involves small businesses or other small entities, describe the methods used to minimize burden</w:t>
      </w:r>
      <w:r w:rsidRPr="00DB5657">
        <w:rPr>
          <w:b/>
          <w:bCs/>
          <w:sz w:val="24"/>
          <w:szCs w:val="24"/>
        </w:rPr>
        <w:t>.</w:t>
      </w:r>
      <w:r w:rsidRPr="00DB5657">
        <w:rPr>
          <w:sz w:val="24"/>
          <w:szCs w:val="24"/>
        </w:rPr>
        <w:t xml:space="preserve"> </w:t>
      </w:r>
    </w:p>
    <w:p w14:paraId="42237BE5" w14:textId="77777777" w:rsidR="004F26E9" w:rsidRPr="00DB5657" w:rsidRDefault="004F26E9">
      <w:pPr>
        <w:rPr>
          <w:sz w:val="24"/>
          <w:szCs w:val="24"/>
        </w:rPr>
      </w:pPr>
    </w:p>
    <w:p w14:paraId="6654E7BE" w14:textId="77777777" w:rsidR="004F26E9" w:rsidRPr="00DB5657" w:rsidRDefault="00804B8E" w:rsidP="00C265FB">
      <w:pPr>
        <w:rPr>
          <w:sz w:val="24"/>
          <w:szCs w:val="24"/>
        </w:rPr>
      </w:pPr>
      <w:r w:rsidRPr="00DB5657">
        <w:rPr>
          <w:sz w:val="24"/>
          <w:szCs w:val="24"/>
        </w:rPr>
        <w:t>Most of the business entities in this information collection request can be classified as small</w:t>
      </w:r>
      <w:r w:rsidR="00BB5AC3" w:rsidRPr="00DB5657">
        <w:rPr>
          <w:sz w:val="24"/>
          <w:szCs w:val="24"/>
        </w:rPr>
        <w:t xml:space="preserve"> </w:t>
      </w:r>
      <w:r w:rsidRPr="00DB5657">
        <w:rPr>
          <w:sz w:val="24"/>
          <w:szCs w:val="24"/>
        </w:rPr>
        <w:t>businesses. Our approach is not to send out questionnaires to be filled out by respondents.</w:t>
      </w:r>
      <w:r w:rsidR="00BB5AC3" w:rsidRPr="00DB5657">
        <w:rPr>
          <w:sz w:val="24"/>
          <w:szCs w:val="24"/>
        </w:rPr>
        <w:t xml:space="preserve">  </w:t>
      </w:r>
      <w:r w:rsidRPr="00DB5657">
        <w:rPr>
          <w:sz w:val="24"/>
          <w:szCs w:val="24"/>
        </w:rPr>
        <w:t>Rather, to increase efficiency and reduce the respondent’s burden, we send out an information</w:t>
      </w:r>
      <w:r w:rsidR="00BB5AC3" w:rsidRPr="00DB5657">
        <w:rPr>
          <w:sz w:val="24"/>
          <w:szCs w:val="24"/>
        </w:rPr>
        <w:t xml:space="preserve"> collection interviewer</w:t>
      </w:r>
      <w:r w:rsidRPr="00DB5657">
        <w:rPr>
          <w:sz w:val="24"/>
          <w:szCs w:val="24"/>
        </w:rPr>
        <w:t xml:space="preserve"> to the home or office of the business </w:t>
      </w:r>
      <w:r w:rsidR="00BB5AC3" w:rsidRPr="00DB5657">
        <w:rPr>
          <w:sz w:val="24"/>
          <w:szCs w:val="24"/>
        </w:rPr>
        <w:t xml:space="preserve">owner/operator. The information </w:t>
      </w:r>
      <w:r w:rsidRPr="00DB5657">
        <w:rPr>
          <w:sz w:val="24"/>
          <w:szCs w:val="24"/>
        </w:rPr>
        <w:t>collection</w:t>
      </w:r>
      <w:r w:rsidR="00BB5AC3" w:rsidRPr="00DB5657">
        <w:rPr>
          <w:sz w:val="24"/>
          <w:szCs w:val="24"/>
        </w:rPr>
        <w:t xml:space="preserve"> </w:t>
      </w:r>
      <w:r w:rsidRPr="00DB5657">
        <w:rPr>
          <w:sz w:val="24"/>
          <w:szCs w:val="24"/>
        </w:rPr>
        <w:t>team works with the respondent to complete t</w:t>
      </w:r>
      <w:r w:rsidR="00BB5AC3" w:rsidRPr="00DB5657">
        <w:rPr>
          <w:sz w:val="24"/>
          <w:szCs w:val="24"/>
        </w:rPr>
        <w:t xml:space="preserve">he information collection. When </w:t>
      </w:r>
      <w:r w:rsidRPr="00DB5657">
        <w:rPr>
          <w:sz w:val="24"/>
          <w:szCs w:val="24"/>
        </w:rPr>
        <w:t>arranging</w:t>
      </w:r>
      <w:r w:rsidR="00BB5AC3" w:rsidRPr="00DB5657">
        <w:rPr>
          <w:sz w:val="24"/>
          <w:szCs w:val="24"/>
        </w:rPr>
        <w:t xml:space="preserve"> </w:t>
      </w:r>
      <w:r w:rsidRPr="00DB5657">
        <w:rPr>
          <w:sz w:val="24"/>
          <w:szCs w:val="24"/>
        </w:rPr>
        <w:t>information collection interviews, our approach is to d</w:t>
      </w:r>
      <w:r w:rsidR="00BB5AC3" w:rsidRPr="00DB5657">
        <w:rPr>
          <w:sz w:val="24"/>
          <w:szCs w:val="24"/>
        </w:rPr>
        <w:t xml:space="preserve">iscuss the types of information </w:t>
      </w:r>
      <w:r w:rsidRPr="00DB5657">
        <w:rPr>
          <w:sz w:val="24"/>
          <w:szCs w:val="24"/>
        </w:rPr>
        <w:t>we will be</w:t>
      </w:r>
      <w:r w:rsidR="00BB5AC3" w:rsidRPr="00DB5657">
        <w:rPr>
          <w:sz w:val="24"/>
          <w:szCs w:val="24"/>
        </w:rPr>
        <w:t xml:space="preserve"> </w:t>
      </w:r>
      <w:r w:rsidRPr="00DB5657">
        <w:rPr>
          <w:sz w:val="24"/>
          <w:szCs w:val="24"/>
        </w:rPr>
        <w:t>asking for during the interview. This enables the respondent to prepare befor</w:t>
      </w:r>
      <w:r w:rsidR="00BB5AC3" w:rsidRPr="00DB5657">
        <w:rPr>
          <w:sz w:val="24"/>
          <w:szCs w:val="24"/>
        </w:rPr>
        <w:t xml:space="preserve">e the </w:t>
      </w:r>
      <w:r w:rsidRPr="00DB5657">
        <w:rPr>
          <w:sz w:val="24"/>
          <w:szCs w:val="24"/>
        </w:rPr>
        <w:t>interview,</w:t>
      </w:r>
      <w:r w:rsidR="00BB5AC3" w:rsidRPr="00DB5657">
        <w:rPr>
          <w:sz w:val="24"/>
          <w:szCs w:val="24"/>
        </w:rPr>
        <w:t xml:space="preserve"> </w:t>
      </w:r>
      <w:r w:rsidRPr="00DB5657">
        <w:rPr>
          <w:sz w:val="24"/>
          <w:szCs w:val="24"/>
        </w:rPr>
        <w:t>gathering any important records or documents that m</w:t>
      </w:r>
      <w:r w:rsidR="00BB5AC3" w:rsidRPr="00DB5657">
        <w:rPr>
          <w:sz w:val="24"/>
          <w:szCs w:val="24"/>
        </w:rPr>
        <w:t xml:space="preserve">ight be needed by the team. For </w:t>
      </w:r>
      <w:r w:rsidRPr="00DB5657">
        <w:rPr>
          <w:sz w:val="24"/>
          <w:szCs w:val="24"/>
        </w:rPr>
        <w:t>example,</w:t>
      </w:r>
      <w:r w:rsidR="00BB5AC3" w:rsidRPr="00DB5657">
        <w:rPr>
          <w:sz w:val="24"/>
          <w:szCs w:val="24"/>
        </w:rPr>
        <w:t xml:space="preserve"> </w:t>
      </w:r>
      <w:r w:rsidRPr="00DB5657">
        <w:rPr>
          <w:sz w:val="24"/>
          <w:szCs w:val="24"/>
        </w:rPr>
        <w:t xml:space="preserve">for the cost-and-earnings questions, financial records are needed. </w:t>
      </w:r>
    </w:p>
    <w:p w14:paraId="624B3EE9" w14:textId="77777777" w:rsidR="00804B8E" w:rsidRPr="00DB5657" w:rsidRDefault="00804B8E" w:rsidP="00804B8E">
      <w:pPr>
        <w:rPr>
          <w:sz w:val="24"/>
          <w:szCs w:val="24"/>
        </w:rPr>
      </w:pPr>
    </w:p>
    <w:p w14:paraId="7BB95725" w14:textId="77777777" w:rsidR="004F26E9" w:rsidRPr="00DB5657" w:rsidRDefault="004F26E9">
      <w:pPr>
        <w:rPr>
          <w:sz w:val="24"/>
          <w:szCs w:val="24"/>
        </w:rPr>
      </w:pPr>
      <w:r w:rsidRPr="00DB5657">
        <w:rPr>
          <w:b/>
          <w:bCs/>
          <w:sz w:val="24"/>
          <w:szCs w:val="24"/>
        </w:rPr>
        <w:t xml:space="preserve">6.  </w:t>
      </w:r>
      <w:r w:rsidRPr="00DB5657">
        <w:rPr>
          <w:b/>
          <w:bCs/>
          <w:sz w:val="24"/>
          <w:szCs w:val="24"/>
          <w:u w:val="single"/>
        </w:rPr>
        <w:t>Describe the consequences to the Federal program or policy activities if the collection is not conducted or is conducted less frequently</w:t>
      </w:r>
      <w:r w:rsidRPr="00DB5657">
        <w:rPr>
          <w:b/>
          <w:bCs/>
          <w:sz w:val="24"/>
          <w:szCs w:val="24"/>
        </w:rPr>
        <w:t>.</w:t>
      </w:r>
      <w:r w:rsidRPr="00DB5657">
        <w:rPr>
          <w:sz w:val="24"/>
          <w:szCs w:val="24"/>
        </w:rPr>
        <w:t xml:space="preserve"> </w:t>
      </w:r>
    </w:p>
    <w:p w14:paraId="105112DE" w14:textId="77777777" w:rsidR="004F26E9" w:rsidRPr="00DB5657" w:rsidRDefault="004F26E9">
      <w:pPr>
        <w:rPr>
          <w:sz w:val="24"/>
          <w:szCs w:val="24"/>
        </w:rPr>
      </w:pPr>
    </w:p>
    <w:p w14:paraId="114D7BD5" w14:textId="77777777" w:rsidR="00710F9E" w:rsidRPr="00DB5657" w:rsidRDefault="00710F9E" w:rsidP="00710F9E">
      <w:pPr>
        <w:spacing w:line="276" w:lineRule="auto"/>
        <w:rPr>
          <w:sz w:val="24"/>
          <w:szCs w:val="24"/>
        </w:rPr>
      </w:pPr>
      <w:r w:rsidRPr="00DB5657">
        <w:rPr>
          <w:sz w:val="24"/>
          <w:szCs w:val="24"/>
        </w:rPr>
        <w:t>As noted before, the survey will collect information needed to develop economic models of recreational saltwater fishing in Washington</w:t>
      </w:r>
      <w:r w:rsidR="00BB5AC3" w:rsidRPr="00DB5657">
        <w:rPr>
          <w:sz w:val="24"/>
          <w:szCs w:val="24"/>
        </w:rPr>
        <w:t xml:space="preserve"> and</w:t>
      </w:r>
      <w:r w:rsidRPr="00DB5657">
        <w:rPr>
          <w:sz w:val="24"/>
          <w:szCs w:val="24"/>
        </w:rPr>
        <w:t xml:space="preserve"> Oregon.  This research will provide scientific support for management agencies such</w:t>
      </w:r>
      <w:r w:rsidR="001A169C" w:rsidRPr="00DB5657">
        <w:rPr>
          <w:sz w:val="24"/>
          <w:szCs w:val="24"/>
        </w:rPr>
        <w:t xml:space="preserve"> as</w:t>
      </w:r>
      <w:r w:rsidRPr="00DB5657">
        <w:rPr>
          <w:sz w:val="24"/>
          <w:szCs w:val="24"/>
        </w:rPr>
        <w:t xml:space="preserve"> the Pacific Fisheries Management Council, as well as the Washington Department of Fish and Wildlife, </w:t>
      </w:r>
      <w:r w:rsidR="00BB5AC3" w:rsidRPr="00DB5657">
        <w:rPr>
          <w:sz w:val="24"/>
          <w:szCs w:val="24"/>
        </w:rPr>
        <w:t xml:space="preserve">and </w:t>
      </w:r>
      <w:r w:rsidRPr="00DB5657">
        <w:rPr>
          <w:sz w:val="24"/>
          <w:szCs w:val="24"/>
        </w:rPr>
        <w:t xml:space="preserve">the Oregon </w:t>
      </w:r>
      <w:r w:rsidR="00BB5AC3" w:rsidRPr="00DB5657">
        <w:rPr>
          <w:sz w:val="24"/>
          <w:szCs w:val="24"/>
        </w:rPr>
        <w:t>Department of Fish and Wildlife</w:t>
      </w:r>
      <w:r w:rsidRPr="00DB5657">
        <w:rPr>
          <w:sz w:val="24"/>
          <w:szCs w:val="24"/>
        </w:rPr>
        <w:t xml:space="preserve">.  Not conducting the information collection will undercut the ability </w:t>
      </w:r>
      <w:r w:rsidR="00DC5B74" w:rsidRPr="00DB5657">
        <w:rPr>
          <w:sz w:val="24"/>
          <w:szCs w:val="24"/>
        </w:rPr>
        <w:t xml:space="preserve">to </w:t>
      </w:r>
      <w:r w:rsidR="00BB5AC3" w:rsidRPr="00DB5657">
        <w:rPr>
          <w:sz w:val="24"/>
          <w:szCs w:val="24"/>
        </w:rPr>
        <w:t>estimate the economic impact</w:t>
      </w:r>
      <w:r w:rsidR="009C490E">
        <w:rPr>
          <w:sz w:val="24"/>
          <w:szCs w:val="24"/>
        </w:rPr>
        <w:t xml:space="preserve">s and contributions </w:t>
      </w:r>
      <w:r w:rsidR="00DC5B74" w:rsidRPr="00DB5657">
        <w:rPr>
          <w:sz w:val="24"/>
          <w:szCs w:val="24"/>
        </w:rPr>
        <w:t xml:space="preserve">of recreational fishing, thus limiting the ability of </w:t>
      </w:r>
      <w:r w:rsidRPr="00DB5657">
        <w:rPr>
          <w:sz w:val="24"/>
          <w:szCs w:val="24"/>
        </w:rPr>
        <w:t xml:space="preserve">agencies </w:t>
      </w:r>
      <w:r w:rsidR="00A63653" w:rsidRPr="00DB5657">
        <w:rPr>
          <w:sz w:val="24"/>
          <w:szCs w:val="24"/>
        </w:rPr>
        <w:t xml:space="preserve">to manage fisheries consistent with federal and state law. </w:t>
      </w:r>
    </w:p>
    <w:p w14:paraId="64946229" w14:textId="77777777" w:rsidR="004F26E9" w:rsidRPr="00DB5657" w:rsidRDefault="004F26E9">
      <w:pPr>
        <w:rPr>
          <w:sz w:val="24"/>
          <w:szCs w:val="24"/>
        </w:rPr>
      </w:pPr>
    </w:p>
    <w:p w14:paraId="2B86992F" w14:textId="77777777" w:rsidR="004F26E9" w:rsidRPr="00DB5657" w:rsidRDefault="004F26E9">
      <w:pPr>
        <w:rPr>
          <w:sz w:val="24"/>
          <w:szCs w:val="24"/>
        </w:rPr>
      </w:pPr>
      <w:r w:rsidRPr="00DB5657">
        <w:rPr>
          <w:b/>
          <w:bCs/>
          <w:sz w:val="24"/>
          <w:szCs w:val="24"/>
        </w:rPr>
        <w:t xml:space="preserve">7.  </w:t>
      </w:r>
      <w:r w:rsidRPr="00DB5657">
        <w:rPr>
          <w:b/>
          <w:bCs/>
          <w:sz w:val="24"/>
          <w:szCs w:val="24"/>
          <w:u w:val="single"/>
        </w:rPr>
        <w:t>Explain any special circumstances that require the collection to be conducted in a manner inconsistent with OMB guidelines</w:t>
      </w:r>
      <w:r w:rsidRPr="00DB5657">
        <w:rPr>
          <w:b/>
          <w:bCs/>
          <w:sz w:val="24"/>
          <w:szCs w:val="24"/>
        </w:rPr>
        <w:t xml:space="preserve">. </w:t>
      </w:r>
    </w:p>
    <w:p w14:paraId="65AF7531" w14:textId="77777777" w:rsidR="004F26E9" w:rsidRPr="00DB5657" w:rsidRDefault="004F26E9">
      <w:pPr>
        <w:rPr>
          <w:sz w:val="24"/>
          <w:szCs w:val="24"/>
        </w:rPr>
      </w:pPr>
    </w:p>
    <w:p w14:paraId="172FBFD4" w14:textId="77777777" w:rsidR="002C09AE" w:rsidRPr="00DB5657" w:rsidRDefault="00530A83" w:rsidP="002C09AE">
      <w:pPr>
        <w:spacing w:line="276" w:lineRule="auto"/>
        <w:rPr>
          <w:sz w:val="24"/>
          <w:szCs w:val="24"/>
        </w:rPr>
      </w:pPr>
      <w:r w:rsidRPr="00DB5657">
        <w:rPr>
          <w:sz w:val="24"/>
          <w:szCs w:val="24"/>
        </w:rPr>
        <w:t>This is not a</w:t>
      </w:r>
      <w:r w:rsidR="002C09AE" w:rsidRPr="00DB5657">
        <w:rPr>
          <w:sz w:val="24"/>
          <w:szCs w:val="24"/>
        </w:rPr>
        <w:t>pplicable.</w:t>
      </w:r>
    </w:p>
    <w:p w14:paraId="1DDEF87E" w14:textId="77777777" w:rsidR="00725C5C" w:rsidRPr="00DB5657" w:rsidRDefault="00725C5C">
      <w:pPr>
        <w:rPr>
          <w:b/>
          <w:bCs/>
          <w:sz w:val="24"/>
          <w:szCs w:val="24"/>
        </w:rPr>
      </w:pPr>
    </w:p>
    <w:p w14:paraId="0DEFB066" w14:textId="77777777" w:rsidR="004F26E9" w:rsidRPr="00DB5657" w:rsidRDefault="004F26E9">
      <w:pPr>
        <w:rPr>
          <w:sz w:val="24"/>
          <w:szCs w:val="24"/>
        </w:rPr>
      </w:pPr>
      <w:r w:rsidRPr="00DB5657">
        <w:rPr>
          <w:b/>
          <w:bCs/>
          <w:sz w:val="24"/>
          <w:szCs w:val="24"/>
        </w:rPr>
        <w:t xml:space="preserve">8.  </w:t>
      </w:r>
      <w:r w:rsidRPr="00DB5657">
        <w:rPr>
          <w:b/>
          <w:bCs/>
          <w:sz w:val="24"/>
          <w:szCs w:val="24"/>
          <w:u w:val="single"/>
        </w:rPr>
        <w:t xml:space="preserve">Provide </w:t>
      </w:r>
      <w:r w:rsidR="00107F5D" w:rsidRPr="00DB5657">
        <w:rPr>
          <w:b/>
          <w:bCs/>
          <w:sz w:val="24"/>
          <w:szCs w:val="24"/>
          <w:u w:val="single"/>
        </w:rPr>
        <w:t>information on</w:t>
      </w:r>
      <w:r w:rsidRPr="00DB5657">
        <w:rPr>
          <w:b/>
          <w:bCs/>
          <w:sz w:val="24"/>
          <w:szCs w:val="24"/>
          <w:u w:val="single"/>
        </w:rPr>
        <w:t xml:space="preserve"> the PRA Federal Register </w:t>
      </w:r>
      <w:r w:rsidR="001E6F72" w:rsidRPr="00DB5657">
        <w:rPr>
          <w:b/>
          <w:bCs/>
          <w:sz w:val="24"/>
          <w:szCs w:val="24"/>
          <w:u w:val="single"/>
        </w:rPr>
        <w:t>N</w:t>
      </w:r>
      <w:r w:rsidRPr="00DB5657">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DB5657">
        <w:rPr>
          <w:b/>
          <w:bCs/>
          <w:sz w:val="24"/>
          <w:szCs w:val="24"/>
        </w:rPr>
        <w:t>.</w:t>
      </w:r>
      <w:r w:rsidRPr="00DB5657">
        <w:rPr>
          <w:sz w:val="24"/>
          <w:szCs w:val="24"/>
        </w:rPr>
        <w:t xml:space="preserve">  </w:t>
      </w:r>
      <w:r w:rsidRPr="00DB565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B5657">
        <w:rPr>
          <w:b/>
          <w:bCs/>
          <w:sz w:val="24"/>
          <w:szCs w:val="24"/>
        </w:rPr>
        <w:t>.</w:t>
      </w:r>
    </w:p>
    <w:p w14:paraId="3F4EFC7E" w14:textId="77777777" w:rsidR="004F26E9" w:rsidRPr="00DB5657" w:rsidRDefault="004F26E9">
      <w:pPr>
        <w:rPr>
          <w:sz w:val="24"/>
          <w:szCs w:val="24"/>
        </w:rPr>
      </w:pPr>
    </w:p>
    <w:p w14:paraId="54393388" w14:textId="77777777" w:rsidR="002C09AE" w:rsidRPr="003C1959" w:rsidRDefault="002C09AE" w:rsidP="002C09AE">
      <w:pPr>
        <w:spacing w:line="276" w:lineRule="auto"/>
        <w:rPr>
          <w:sz w:val="24"/>
          <w:szCs w:val="24"/>
        </w:rPr>
      </w:pPr>
      <w:r w:rsidRPr="00DB5657">
        <w:rPr>
          <w:sz w:val="24"/>
          <w:szCs w:val="24"/>
        </w:rPr>
        <w:t xml:space="preserve">A Federal Register Notice published on </w:t>
      </w:r>
      <w:r w:rsidR="0032783F">
        <w:rPr>
          <w:sz w:val="24"/>
          <w:szCs w:val="24"/>
        </w:rPr>
        <w:t>April 10, 2018</w:t>
      </w:r>
      <w:r w:rsidRPr="0032783F">
        <w:rPr>
          <w:sz w:val="24"/>
          <w:szCs w:val="24"/>
        </w:rPr>
        <w:t xml:space="preserve"> (8</w:t>
      </w:r>
      <w:r w:rsidR="0032783F">
        <w:rPr>
          <w:sz w:val="24"/>
          <w:szCs w:val="24"/>
        </w:rPr>
        <w:t>3</w:t>
      </w:r>
      <w:r w:rsidRPr="0032783F">
        <w:rPr>
          <w:sz w:val="24"/>
          <w:szCs w:val="24"/>
        </w:rPr>
        <w:t xml:space="preserve"> FR </w:t>
      </w:r>
      <w:r w:rsidR="0032783F">
        <w:rPr>
          <w:sz w:val="24"/>
          <w:szCs w:val="24"/>
        </w:rPr>
        <w:t>15373</w:t>
      </w:r>
      <w:r w:rsidRPr="0032783F">
        <w:rPr>
          <w:sz w:val="24"/>
          <w:szCs w:val="24"/>
        </w:rPr>
        <w:t>)</w:t>
      </w:r>
      <w:r w:rsidRPr="00DB5657">
        <w:rPr>
          <w:sz w:val="24"/>
          <w:szCs w:val="24"/>
        </w:rPr>
        <w:t xml:space="preserve"> solicited public comments. No comments were received.  We have</w:t>
      </w:r>
      <w:r w:rsidR="00604CDC" w:rsidRPr="00DB5657">
        <w:rPr>
          <w:sz w:val="24"/>
          <w:szCs w:val="24"/>
        </w:rPr>
        <w:t xml:space="preserve"> also</w:t>
      </w:r>
      <w:r w:rsidRPr="00DB5657">
        <w:rPr>
          <w:sz w:val="24"/>
          <w:szCs w:val="24"/>
        </w:rPr>
        <w:t xml:space="preserve"> consulted with personnel at the Departments of </w:t>
      </w:r>
      <w:r w:rsidR="007203EF" w:rsidRPr="00DB5657">
        <w:rPr>
          <w:sz w:val="24"/>
          <w:szCs w:val="24"/>
        </w:rPr>
        <w:t>Fish and Wildlife in Washington and</w:t>
      </w:r>
      <w:r w:rsidRPr="00DB5657">
        <w:rPr>
          <w:sz w:val="24"/>
          <w:szCs w:val="24"/>
        </w:rPr>
        <w:t xml:space="preserve"> Oregon regardi</w:t>
      </w:r>
      <w:r w:rsidR="003C1959">
        <w:rPr>
          <w:sz w:val="24"/>
          <w:szCs w:val="24"/>
        </w:rPr>
        <w:t xml:space="preserve">ng the data we are collecting. </w:t>
      </w:r>
      <w:r w:rsidR="003C1959" w:rsidRPr="003C1959">
        <w:rPr>
          <w:color w:val="222222"/>
          <w:sz w:val="24"/>
          <w:szCs w:val="24"/>
          <w:shd w:val="clear" w:color="auto" w:fill="FFFFFF"/>
        </w:rPr>
        <w:t>Personnel were given copies of the survey, a description of the purpose and intended use of the data, and copies of the report derived from the nearly identical 2012 charter data collection.  Both agencies supported the data collection, supplied the confidential charter-owner contact information that the states maintain, and did not suggest any changes to the survey.</w:t>
      </w:r>
    </w:p>
    <w:p w14:paraId="317AC65E" w14:textId="77777777" w:rsidR="004F26E9" w:rsidRPr="00DB5657" w:rsidRDefault="004F26E9">
      <w:pPr>
        <w:rPr>
          <w:sz w:val="24"/>
          <w:szCs w:val="24"/>
        </w:rPr>
      </w:pPr>
    </w:p>
    <w:p w14:paraId="4E18D572" w14:textId="77777777" w:rsidR="004F26E9" w:rsidRPr="00DB5657" w:rsidRDefault="004F26E9">
      <w:pPr>
        <w:rPr>
          <w:sz w:val="24"/>
          <w:szCs w:val="24"/>
        </w:rPr>
      </w:pPr>
      <w:r w:rsidRPr="00DB5657">
        <w:rPr>
          <w:b/>
          <w:bCs/>
          <w:sz w:val="24"/>
          <w:szCs w:val="24"/>
        </w:rPr>
        <w:t xml:space="preserve">9.  </w:t>
      </w:r>
      <w:r w:rsidRPr="00DB5657">
        <w:rPr>
          <w:b/>
          <w:bCs/>
          <w:sz w:val="24"/>
          <w:szCs w:val="24"/>
          <w:u w:val="single"/>
        </w:rPr>
        <w:t>Explain any decisions to provide payments or gifts to respondents, other than remuneration of contractors or grantees</w:t>
      </w:r>
      <w:r w:rsidRPr="00DB5657">
        <w:rPr>
          <w:b/>
          <w:bCs/>
          <w:sz w:val="24"/>
          <w:szCs w:val="24"/>
        </w:rPr>
        <w:t>.</w:t>
      </w:r>
    </w:p>
    <w:p w14:paraId="29C15354" w14:textId="77777777" w:rsidR="004F26E9" w:rsidRPr="00DB5657" w:rsidRDefault="004F26E9">
      <w:pPr>
        <w:rPr>
          <w:sz w:val="24"/>
          <w:szCs w:val="24"/>
        </w:rPr>
      </w:pPr>
    </w:p>
    <w:p w14:paraId="78A679FB" w14:textId="77777777" w:rsidR="00DC5B74" w:rsidRPr="00DB5657" w:rsidRDefault="003D485B">
      <w:pPr>
        <w:rPr>
          <w:sz w:val="24"/>
          <w:szCs w:val="24"/>
        </w:rPr>
      </w:pPr>
      <w:r w:rsidRPr="00DB5657">
        <w:rPr>
          <w:sz w:val="24"/>
          <w:szCs w:val="24"/>
        </w:rPr>
        <w:t xml:space="preserve">There will not be any payment or gift to respondents. </w:t>
      </w:r>
    </w:p>
    <w:p w14:paraId="25A2826E" w14:textId="77777777" w:rsidR="00DC5B74" w:rsidRPr="00DB5657" w:rsidRDefault="00DC5B74">
      <w:pPr>
        <w:rPr>
          <w:sz w:val="24"/>
          <w:szCs w:val="24"/>
        </w:rPr>
      </w:pPr>
    </w:p>
    <w:p w14:paraId="66726D55" w14:textId="77777777" w:rsidR="004F26E9" w:rsidRPr="00DB5657" w:rsidRDefault="004F26E9">
      <w:pPr>
        <w:rPr>
          <w:sz w:val="24"/>
          <w:szCs w:val="24"/>
        </w:rPr>
      </w:pPr>
      <w:r w:rsidRPr="00DB5657">
        <w:rPr>
          <w:b/>
          <w:bCs/>
          <w:sz w:val="24"/>
          <w:szCs w:val="24"/>
        </w:rPr>
        <w:t xml:space="preserve">10.  </w:t>
      </w:r>
      <w:r w:rsidRPr="00DB5657">
        <w:rPr>
          <w:b/>
          <w:bCs/>
          <w:sz w:val="24"/>
          <w:szCs w:val="24"/>
          <w:u w:val="single"/>
        </w:rPr>
        <w:t>Describe any assurance of confidentiality provided to respondents and the basis for assurance in statute, regulation, or agency policy</w:t>
      </w:r>
      <w:r w:rsidRPr="00DB5657">
        <w:rPr>
          <w:b/>
          <w:bCs/>
          <w:sz w:val="24"/>
          <w:szCs w:val="24"/>
        </w:rPr>
        <w:t>.</w:t>
      </w:r>
    </w:p>
    <w:p w14:paraId="4ED938A2" w14:textId="77777777" w:rsidR="004F26E9" w:rsidRPr="00DB5657" w:rsidRDefault="004F26E9">
      <w:pPr>
        <w:rPr>
          <w:sz w:val="24"/>
          <w:szCs w:val="24"/>
        </w:rPr>
      </w:pPr>
    </w:p>
    <w:p w14:paraId="7E5E881F" w14:textId="77777777" w:rsidR="00F85710" w:rsidRDefault="00521A1C" w:rsidP="00871F30">
      <w:pPr>
        <w:widowControl/>
        <w:rPr>
          <w:sz w:val="24"/>
          <w:szCs w:val="24"/>
        </w:rPr>
      </w:pPr>
      <w:r w:rsidRPr="00DB5657">
        <w:rPr>
          <w:sz w:val="24"/>
          <w:szCs w:val="24"/>
        </w:rPr>
        <w:t xml:space="preserve">The </w:t>
      </w:r>
      <w:r w:rsidR="00525CB1">
        <w:rPr>
          <w:sz w:val="24"/>
          <w:szCs w:val="24"/>
        </w:rPr>
        <w:t xml:space="preserve">survey </w:t>
      </w:r>
      <w:r w:rsidRPr="00DB5657">
        <w:rPr>
          <w:sz w:val="24"/>
          <w:szCs w:val="24"/>
        </w:rPr>
        <w:t xml:space="preserve">states that </w:t>
      </w:r>
      <w:r w:rsidR="00525CB1">
        <w:rPr>
          <w:sz w:val="24"/>
          <w:szCs w:val="24"/>
        </w:rPr>
        <w:t>t</w:t>
      </w:r>
      <w:r w:rsidR="00525CB1" w:rsidRPr="00525CB1">
        <w:rPr>
          <w:sz w:val="24"/>
          <w:szCs w:val="24"/>
        </w:rPr>
        <w: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to the extent possible under the Exemption 4 of the FOIA.</w:t>
      </w:r>
    </w:p>
    <w:p w14:paraId="0B991556" w14:textId="77777777" w:rsidR="00525CB1" w:rsidRDefault="00525CB1" w:rsidP="00871F30">
      <w:pPr>
        <w:widowControl/>
        <w:rPr>
          <w:sz w:val="24"/>
          <w:szCs w:val="24"/>
        </w:rPr>
      </w:pPr>
    </w:p>
    <w:p w14:paraId="44302864" w14:textId="77777777" w:rsidR="000351F7" w:rsidRDefault="00F85710" w:rsidP="000351F7">
      <w:pPr>
        <w:widowControl/>
        <w:rPr>
          <w:sz w:val="24"/>
          <w:szCs w:val="24"/>
        </w:rPr>
      </w:pPr>
      <w:r>
        <w:rPr>
          <w:sz w:val="24"/>
          <w:szCs w:val="24"/>
        </w:rPr>
        <w:t xml:space="preserve">The information to be collected is covered by </w:t>
      </w:r>
      <w:r w:rsidRPr="000351F7">
        <w:rPr>
          <w:rStyle w:val="Hyperlink"/>
          <w:sz w:val="24"/>
          <w:szCs w:val="24"/>
        </w:rPr>
        <w:t>COMMERCE</w:t>
      </w:r>
      <w:r w:rsidR="000351F7">
        <w:rPr>
          <w:rStyle w:val="Hyperlink"/>
          <w:sz w:val="24"/>
          <w:szCs w:val="24"/>
        </w:rPr>
        <w:t>/NOAA-6</w:t>
      </w:r>
      <w:r>
        <w:rPr>
          <w:sz w:val="24"/>
          <w:szCs w:val="24"/>
        </w:rPr>
        <w:t xml:space="preserve">, </w:t>
      </w:r>
      <w:r w:rsidR="000351F7">
        <w:rPr>
          <w:sz w:val="24"/>
          <w:szCs w:val="24"/>
        </w:rPr>
        <w:t>Fishermen’s Statistical Data.</w:t>
      </w:r>
    </w:p>
    <w:p w14:paraId="144FEA9C" w14:textId="77777777" w:rsidR="000351F7" w:rsidRDefault="000351F7" w:rsidP="000351F7">
      <w:pPr>
        <w:widowControl/>
        <w:rPr>
          <w:sz w:val="24"/>
          <w:szCs w:val="24"/>
        </w:rPr>
      </w:pPr>
    </w:p>
    <w:p w14:paraId="2A6E068A" w14:textId="77777777" w:rsidR="000351F7" w:rsidRDefault="000351F7" w:rsidP="000351F7">
      <w:pPr>
        <w:widowControl/>
        <w:rPr>
          <w:sz w:val="24"/>
          <w:szCs w:val="24"/>
        </w:rPr>
      </w:pPr>
    </w:p>
    <w:p w14:paraId="099B68D5" w14:textId="0B6E516D" w:rsidR="004F26E9" w:rsidRPr="00DB5657" w:rsidRDefault="000351F7" w:rsidP="000351F7">
      <w:pPr>
        <w:widowControl/>
        <w:rPr>
          <w:sz w:val="24"/>
          <w:szCs w:val="24"/>
        </w:rPr>
      </w:pPr>
      <w:r>
        <w:rPr>
          <w:b/>
          <w:bCs/>
          <w:sz w:val="24"/>
          <w:szCs w:val="24"/>
        </w:rPr>
        <w:t>11</w:t>
      </w:r>
      <w:r w:rsidR="004F26E9" w:rsidRPr="00DB5657">
        <w:rPr>
          <w:b/>
          <w:bCs/>
          <w:sz w:val="24"/>
          <w:szCs w:val="24"/>
        </w:rPr>
        <w:t xml:space="preserve">.  </w:t>
      </w:r>
      <w:r w:rsidR="004F26E9" w:rsidRPr="00DB5657">
        <w:rPr>
          <w:b/>
          <w:bCs/>
          <w:sz w:val="24"/>
          <w:szCs w:val="24"/>
          <w:u w:val="single"/>
        </w:rPr>
        <w:t>Provide additional justification for any questions of a sensitive nature, such as sexual behavior and attitudes, religious beliefs, and other matters that are commonly considered private</w:t>
      </w:r>
      <w:r w:rsidR="004F26E9" w:rsidRPr="00DB5657">
        <w:rPr>
          <w:b/>
          <w:bCs/>
          <w:sz w:val="24"/>
          <w:szCs w:val="24"/>
        </w:rPr>
        <w:t>.</w:t>
      </w:r>
    </w:p>
    <w:p w14:paraId="2A115C37" w14:textId="77777777" w:rsidR="004F26E9" w:rsidRPr="00DB5657" w:rsidRDefault="004F26E9">
      <w:pPr>
        <w:rPr>
          <w:sz w:val="24"/>
          <w:szCs w:val="24"/>
        </w:rPr>
      </w:pPr>
    </w:p>
    <w:p w14:paraId="770B8397" w14:textId="77777777" w:rsidR="004F26E9" w:rsidRPr="00DB5657" w:rsidRDefault="00237A4A" w:rsidP="00237A4A">
      <w:pPr>
        <w:widowControl/>
        <w:rPr>
          <w:sz w:val="24"/>
          <w:szCs w:val="24"/>
        </w:rPr>
      </w:pPr>
      <w:r w:rsidRPr="00DB5657">
        <w:rPr>
          <w:sz w:val="24"/>
          <w:szCs w:val="24"/>
        </w:rPr>
        <w:t>No questions will be asked of survey participants about sexual behavior and attitudes, religious beliefs, or other matters that are commonly considered private.</w:t>
      </w:r>
    </w:p>
    <w:p w14:paraId="0FC4415A" w14:textId="77777777" w:rsidR="00237A4A" w:rsidRPr="00DB5657" w:rsidRDefault="00237A4A" w:rsidP="00237A4A">
      <w:pPr>
        <w:rPr>
          <w:sz w:val="24"/>
          <w:szCs w:val="24"/>
        </w:rPr>
      </w:pPr>
    </w:p>
    <w:p w14:paraId="770BD928" w14:textId="77777777" w:rsidR="004F26E9" w:rsidRPr="00DB5657" w:rsidRDefault="004F26E9">
      <w:pPr>
        <w:rPr>
          <w:sz w:val="24"/>
          <w:szCs w:val="24"/>
        </w:rPr>
      </w:pPr>
      <w:r w:rsidRPr="00DB5657">
        <w:rPr>
          <w:b/>
          <w:bCs/>
          <w:sz w:val="24"/>
          <w:szCs w:val="24"/>
        </w:rPr>
        <w:t xml:space="preserve">12.  </w:t>
      </w:r>
      <w:r w:rsidRPr="00DB5657">
        <w:rPr>
          <w:b/>
          <w:bCs/>
          <w:sz w:val="24"/>
          <w:szCs w:val="24"/>
          <w:u w:val="single"/>
        </w:rPr>
        <w:t>Provide an estimate in hours of the burden of the collection of information</w:t>
      </w:r>
      <w:r w:rsidRPr="00DB5657">
        <w:rPr>
          <w:b/>
          <w:bCs/>
          <w:sz w:val="24"/>
          <w:szCs w:val="24"/>
        </w:rPr>
        <w:t>.</w:t>
      </w:r>
    </w:p>
    <w:p w14:paraId="1C96CDF7" w14:textId="77777777" w:rsidR="004F26E9" w:rsidRPr="00DB5657" w:rsidRDefault="004F26E9">
      <w:pPr>
        <w:rPr>
          <w:sz w:val="24"/>
          <w:szCs w:val="24"/>
        </w:rPr>
      </w:pPr>
    </w:p>
    <w:p w14:paraId="60684F13" w14:textId="77777777" w:rsidR="00FD7226" w:rsidRPr="00DB5657" w:rsidRDefault="00EE5F78">
      <w:pPr>
        <w:rPr>
          <w:sz w:val="24"/>
          <w:szCs w:val="24"/>
        </w:rPr>
      </w:pPr>
      <w:r w:rsidRPr="00DB5657">
        <w:rPr>
          <w:sz w:val="24"/>
          <w:szCs w:val="24"/>
        </w:rPr>
        <w:t xml:space="preserve">We estimate the </w:t>
      </w:r>
      <w:r w:rsidR="009C490E">
        <w:rPr>
          <w:sz w:val="24"/>
          <w:szCs w:val="24"/>
        </w:rPr>
        <w:t xml:space="preserve">total </w:t>
      </w:r>
      <w:r w:rsidRPr="00DB5657">
        <w:rPr>
          <w:sz w:val="24"/>
          <w:szCs w:val="24"/>
        </w:rPr>
        <w:t xml:space="preserve">burden of this data collection to be </w:t>
      </w:r>
      <w:r w:rsidR="000F28D0" w:rsidRPr="00DB5657">
        <w:rPr>
          <w:sz w:val="24"/>
          <w:szCs w:val="24"/>
        </w:rPr>
        <w:t>179</w:t>
      </w:r>
      <w:r w:rsidR="00F67DF9" w:rsidRPr="00DB5657">
        <w:rPr>
          <w:sz w:val="24"/>
          <w:szCs w:val="24"/>
        </w:rPr>
        <w:t xml:space="preserve"> </w:t>
      </w:r>
      <w:r w:rsidR="00BC67E1" w:rsidRPr="00DB5657">
        <w:rPr>
          <w:sz w:val="24"/>
          <w:szCs w:val="24"/>
        </w:rPr>
        <w:t>hours</w:t>
      </w:r>
      <w:r w:rsidR="000F28D0" w:rsidRPr="00DB5657">
        <w:rPr>
          <w:sz w:val="24"/>
          <w:szCs w:val="24"/>
        </w:rPr>
        <w:t>.  The survey will be conducted in two phases: an initial telephone screen of all license holders, and a follow-up full sur</w:t>
      </w:r>
      <w:r w:rsidR="00A57624" w:rsidRPr="00DB5657">
        <w:rPr>
          <w:sz w:val="24"/>
          <w:szCs w:val="24"/>
        </w:rPr>
        <w:t>v</w:t>
      </w:r>
      <w:r w:rsidR="000F28D0" w:rsidRPr="00DB5657">
        <w:rPr>
          <w:sz w:val="24"/>
          <w:szCs w:val="24"/>
        </w:rPr>
        <w:t xml:space="preserve">ey for those license holders who indicated that they actively engaged in charter fishing in saltwater in 2017.  Burden estimates were calculated by multiplying the estimated time to complete each contact by the number of estimated contacts of each type.  Specifically, we estimate that it will require 5 minutes to complete the initial telephone screen and an additional 60 minutes for those who complete the full survey for active saltwater charters. We expect </w:t>
      </w:r>
      <w:r w:rsidR="00866B09" w:rsidRPr="00DB5657">
        <w:rPr>
          <w:sz w:val="24"/>
          <w:szCs w:val="24"/>
        </w:rPr>
        <w:t xml:space="preserve">320 responses to the initial telephone screen and 152 full survey respondents. </w:t>
      </w:r>
    </w:p>
    <w:p w14:paraId="1CAE7DA5" w14:textId="77777777" w:rsidR="000F28D0" w:rsidRPr="00DB5657" w:rsidRDefault="000F28D0">
      <w:pPr>
        <w:rPr>
          <w:sz w:val="24"/>
          <w:szCs w:val="24"/>
        </w:rPr>
      </w:pPr>
    </w:p>
    <w:p w14:paraId="6D16F270" w14:textId="77777777" w:rsidR="000F28D0" w:rsidRPr="00DB5657" w:rsidRDefault="000F28D0" w:rsidP="000F28D0">
      <w:pPr>
        <w:rPr>
          <w:sz w:val="24"/>
          <w:szCs w:val="24"/>
        </w:rPr>
      </w:pPr>
      <w:r w:rsidRPr="00DB5657">
        <w:rPr>
          <w:sz w:val="24"/>
          <w:szCs w:val="24"/>
        </w:rPr>
        <w:t>We estimate an overall 55% response rate.  For more detail, see the response to B1.</w:t>
      </w:r>
    </w:p>
    <w:p w14:paraId="245FA82D" w14:textId="77777777" w:rsidR="004F26E9" w:rsidRPr="00DB5657" w:rsidRDefault="00DB4B3D">
      <w:pPr>
        <w:rPr>
          <w:sz w:val="24"/>
          <w:szCs w:val="24"/>
        </w:rPr>
      </w:pPr>
      <w:r w:rsidRPr="00DB5657">
        <w:rPr>
          <w:sz w:val="24"/>
          <w:szCs w:val="24"/>
        </w:rPr>
        <w:t xml:space="preserve"> </w:t>
      </w:r>
    </w:p>
    <w:p w14:paraId="04C398FF" w14:textId="77777777" w:rsidR="004F26E9" w:rsidRPr="00DB5657" w:rsidRDefault="004F26E9">
      <w:pPr>
        <w:rPr>
          <w:sz w:val="24"/>
          <w:szCs w:val="24"/>
        </w:rPr>
      </w:pPr>
      <w:r w:rsidRPr="00DB5657">
        <w:rPr>
          <w:b/>
          <w:bCs/>
          <w:sz w:val="24"/>
          <w:szCs w:val="24"/>
        </w:rPr>
        <w:t xml:space="preserve">13.  </w:t>
      </w:r>
      <w:r w:rsidRPr="00DB5657">
        <w:rPr>
          <w:b/>
          <w:bCs/>
          <w:sz w:val="24"/>
          <w:szCs w:val="24"/>
          <w:u w:val="single"/>
        </w:rPr>
        <w:t xml:space="preserve">Provide an estimate of the total annual cost burden to the respondents or record-keepers resulting from the collection (excluding the value of the burden hours in </w:t>
      </w:r>
      <w:r w:rsidR="00725C5C" w:rsidRPr="00DB5657">
        <w:rPr>
          <w:b/>
          <w:bCs/>
          <w:sz w:val="24"/>
          <w:szCs w:val="24"/>
          <w:u w:val="single"/>
        </w:rPr>
        <w:t xml:space="preserve">Question </w:t>
      </w:r>
      <w:r w:rsidRPr="00DB5657">
        <w:rPr>
          <w:b/>
          <w:bCs/>
          <w:sz w:val="24"/>
          <w:szCs w:val="24"/>
          <w:u w:val="single"/>
        </w:rPr>
        <w:t>12 above)</w:t>
      </w:r>
      <w:r w:rsidRPr="00DB5657">
        <w:rPr>
          <w:b/>
          <w:bCs/>
          <w:sz w:val="24"/>
          <w:szCs w:val="24"/>
        </w:rPr>
        <w:t>.</w:t>
      </w:r>
    </w:p>
    <w:p w14:paraId="5ED12F86" w14:textId="77777777" w:rsidR="004F26E9" w:rsidRPr="00DB5657" w:rsidRDefault="004F26E9">
      <w:pPr>
        <w:rPr>
          <w:sz w:val="24"/>
          <w:szCs w:val="24"/>
        </w:rPr>
      </w:pPr>
    </w:p>
    <w:p w14:paraId="1A190D0F" w14:textId="77777777" w:rsidR="002C09AE" w:rsidRPr="00DB5657" w:rsidRDefault="00530A83" w:rsidP="002C09AE">
      <w:pPr>
        <w:spacing w:line="276" w:lineRule="auto"/>
        <w:rPr>
          <w:sz w:val="24"/>
          <w:szCs w:val="24"/>
        </w:rPr>
      </w:pPr>
      <w:r w:rsidRPr="00DB5657">
        <w:rPr>
          <w:sz w:val="24"/>
          <w:szCs w:val="24"/>
        </w:rPr>
        <w:t xml:space="preserve">There are no </w:t>
      </w:r>
      <w:r w:rsidR="002C09AE" w:rsidRPr="00DB5657">
        <w:rPr>
          <w:sz w:val="24"/>
          <w:szCs w:val="24"/>
        </w:rPr>
        <w:t>cost</w:t>
      </w:r>
      <w:r w:rsidRPr="00DB5657">
        <w:rPr>
          <w:sz w:val="24"/>
          <w:szCs w:val="24"/>
        </w:rPr>
        <w:t>s</w:t>
      </w:r>
      <w:r w:rsidR="002C09AE" w:rsidRPr="00DB5657">
        <w:rPr>
          <w:sz w:val="24"/>
          <w:szCs w:val="24"/>
        </w:rPr>
        <w:t xml:space="preserve"> </w:t>
      </w:r>
      <w:r w:rsidR="003D485B" w:rsidRPr="00DB5657">
        <w:rPr>
          <w:sz w:val="24"/>
          <w:szCs w:val="24"/>
        </w:rPr>
        <w:t>excluding the value of the burden hours in Question 12.</w:t>
      </w:r>
      <w:r w:rsidR="00BB338B" w:rsidRPr="00DB5657">
        <w:rPr>
          <w:sz w:val="24"/>
          <w:szCs w:val="24"/>
        </w:rPr>
        <w:t xml:space="preserve"> </w:t>
      </w:r>
    </w:p>
    <w:p w14:paraId="4E16C912" w14:textId="77777777" w:rsidR="004F26E9" w:rsidRPr="00DB5657" w:rsidRDefault="00F67DF9">
      <w:pPr>
        <w:rPr>
          <w:sz w:val="24"/>
          <w:szCs w:val="24"/>
        </w:rPr>
      </w:pPr>
      <w:r w:rsidRPr="00DB5657">
        <w:rPr>
          <w:b/>
          <w:bCs/>
          <w:sz w:val="24"/>
          <w:szCs w:val="24"/>
        </w:rPr>
        <w:br/>
      </w:r>
      <w:r w:rsidR="004F26E9" w:rsidRPr="00DB5657">
        <w:rPr>
          <w:b/>
          <w:bCs/>
          <w:sz w:val="24"/>
          <w:szCs w:val="24"/>
        </w:rPr>
        <w:t xml:space="preserve">14.  </w:t>
      </w:r>
      <w:r w:rsidR="004F26E9" w:rsidRPr="00DB5657">
        <w:rPr>
          <w:b/>
          <w:bCs/>
          <w:sz w:val="24"/>
          <w:szCs w:val="24"/>
          <w:u w:val="single"/>
        </w:rPr>
        <w:t>Provide estimates of annualized cost to the Federal government</w:t>
      </w:r>
      <w:r w:rsidR="004F26E9" w:rsidRPr="00DB5657">
        <w:rPr>
          <w:b/>
          <w:bCs/>
          <w:sz w:val="24"/>
          <w:szCs w:val="24"/>
        </w:rPr>
        <w:t>.</w:t>
      </w:r>
    </w:p>
    <w:p w14:paraId="5B2CA276" w14:textId="77777777" w:rsidR="004F26E9" w:rsidRPr="00DB5657" w:rsidRDefault="004F26E9">
      <w:pPr>
        <w:rPr>
          <w:sz w:val="24"/>
          <w:szCs w:val="24"/>
        </w:rPr>
      </w:pPr>
    </w:p>
    <w:p w14:paraId="5A616A6C" w14:textId="77777777" w:rsidR="007C7243" w:rsidRPr="00DB5657" w:rsidRDefault="002C09AE" w:rsidP="002C09AE">
      <w:pPr>
        <w:spacing w:line="276" w:lineRule="auto"/>
        <w:rPr>
          <w:sz w:val="24"/>
          <w:szCs w:val="24"/>
        </w:rPr>
      </w:pPr>
      <w:r w:rsidRPr="00DB5657">
        <w:rPr>
          <w:sz w:val="24"/>
          <w:szCs w:val="24"/>
        </w:rPr>
        <w:t xml:space="preserve">The survey is being administered by an outside contractor.  The costs to the federal government are limited to the cost of the contract, which </w:t>
      </w:r>
      <w:r w:rsidR="009B61DB" w:rsidRPr="00DB5657">
        <w:rPr>
          <w:sz w:val="24"/>
          <w:szCs w:val="24"/>
        </w:rPr>
        <w:t xml:space="preserve">is estimated to total </w:t>
      </w:r>
      <w:r w:rsidRPr="00DB5657">
        <w:rPr>
          <w:sz w:val="24"/>
          <w:szCs w:val="24"/>
        </w:rPr>
        <w:t>$</w:t>
      </w:r>
      <w:r w:rsidR="00692BD0" w:rsidRPr="00DB5657">
        <w:rPr>
          <w:sz w:val="24"/>
          <w:szCs w:val="24"/>
        </w:rPr>
        <w:t>50,000</w:t>
      </w:r>
      <w:r w:rsidR="00D75FE9" w:rsidRPr="00DB5657">
        <w:rPr>
          <w:sz w:val="24"/>
          <w:szCs w:val="24"/>
        </w:rPr>
        <w:t xml:space="preserve">, plus an estimated </w:t>
      </w:r>
      <w:r w:rsidR="00E97B28" w:rsidRPr="00DB5657">
        <w:rPr>
          <w:sz w:val="24"/>
          <w:szCs w:val="24"/>
        </w:rPr>
        <w:t>6</w:t>
      </w:r>
      <w:r w:rsidR="00D44115" w:rsidRPr="00DB5657">
        <w:rPr>
          <w:sz w:val="24"/>
          <w:szCs w:val="24"/>
        </w:rPr>
        <w:t>0</w:t>
      </w:r>
      <w:r w:rsidR="00D75FE9" w:rsidRPr="00DB5657">
        <w:rPr>
          <w:sz w:val="24"/>
          <w:szCs w:val="24"/>
        </w:rPr>
        <w:t xml:space="preserve"> hours from </w:t>
      </w:r>
      <w:r w:rsidR="00E97B28" w:rsidRPr="00DB5657">
        <w:rPr>
          <w:sz w:val="24"/>
          <w:szCs w:val="24"/>
        </w:rPr>
        <w:t xml:space="preserve">one </w:t>
      </w:r>
      <w:r w:rsidR="00D75FE9" w:rsidRPr="00DB5657">
        <w:rPr>
          <w:sz w:val="24"/>
          <w:szCs w:val="24"/>
        </w:rPr>
        <w:t>NOAA economist</w:t>
      </w:r>
      <w:r w:rsidR="00A57624" w:rsidRPr="00DB5657">
        <w:rPr>
          <w:sz w:val="24"/>
          <w:szCs w:val="24"/>
        </w:rPr>
        <w:t>.</w:t>
      </w:r>
      <w:r w:rsidR="007C7243" w:rsidRPr="00DB5657">
        <w:rPr>
          <w:sz w:val="24"/>
          <w:szCs w:val="24"/>
        </w:rPr>
        <w:t xml:space="preserve"> Although the economist </w:t>
      </w:r>
      <w:r w:rsidR="00727038" w:rsidRPr="00DB5657">
        <w:rPr>
          <w:sz w:val="24"/>
          <w:szCs w:val="24"/>
        </w:rPr>
        <w:t>will be</w:t>
      </w:r>
      <w:r w:rsidR="007C7243" w:rsidRPr="00DB5657">
        <w:rPr>
          <w:sz w:val="24"/>
          <w:szCs w:val="24"/>
        </w:rPr>
        <w:t xml:space="preserve"> </w:t>
      </w:r>
      <w:r w:rsidR="00727038" w:rsidRPr="00DB5657">
        <w:rPr>
          <w:sz w:val="24"/>
          <w:szCs w:val="24"/>
        </w:rPr>
        <w:t>employed full time by the federal government with or without this project, th</w:t>
      </w:r>
      <w:r w:rsidR="001355DB" w:rsidRPr="00DB5657">
        <w:rPr>
          <w:sz w:val="24"/>
          <w:szCs w:val="24"/>
        </w:rPr>
        <w:t>ese hours</w:t>
      </w:r>
      <w:r w:rsidR="00727038" w:rsidRPr="00DB5657">
        <w:rPr>
          <w:sz w:val="24"/>
          <w:szCs w:val="24"/>
        </w:rPr>
        <w:t xml:space="preserve"> </w:t>
      </w:r>
      <w:r w:rsidR="001355DB" w:rsidRPr="00DB5657">
        <w:rPr>
          <w:sz w:val="24"/>
          <w:szCs w:val="24"/>
        </w:rPr>
        <w:t>w</w:t>
      </w:r>
      <w:r w:rsidR="00727038" w:rsidRPr="00DB5657">
        <w:rPr>
          <w:sz w:val="24"/>
          <w:szCs w:val="24"/>
        </w:rPr>
        <w:t>ould be diverted to other valuable tasks</w:t>
      </w:r>
      <w:r w:rsidR="001355DB" w:rsidRPr="00DB5657">
        <w:rPr>
          <w:sz w:val="24"/>
          <w:szCs w:val="24"/>
        </w:rPr>
        <w:t xml:space="preserve"> in the absence of this data collection</w:t>
      </w:r>
      <w:r w:rsidR="00727038" w:rsidRPr="00DB5657">
        <w:rPr>
          <w:sz w:val="24"/>
          <w:szCs w:val="24"/>
        </w:rPr>
        <w:t>.  We use hourly loaded wage rates</w:t>
      </w:r>
      <w:r w:rsidR="00E97B28" w:rsidRPr="00DB5657">
        <w:rPr>
          <w:sz w:val="24"/>
          <w:szCs w:val="24"/>
        </w:rPr>
        <w:t xml:space="preserve">, including salary and benefits, </w:t>
      </w:r>
      <w:r w:rsidR="00727038" w:rsidRPr="00DB5657">
        <w:rPr>
          <w:sz w:val="24"/>
          <w:szCs w:val="24"/>
        </w:rPr>
        <w:t>to estimate th</w:t>
      </w:r>
      <w:r w:rsidR="00E97B28" w:rsidRPr="00DB5657">
        <w:rPr>
          <w:sz w:val="24"/>
          <w:szCs w:val="24"/>
        </w:rPr>
        <w:t>is</w:t>
      </w:r>
      <w:r w:rsidR="00727038" w:rsidRPr="00DB5657">
        <w:rPr>
          <w:sz w:val="24"/>
          <w:szCs w:val="24"/>
        </w:rPr>
        <w:t xml:space="preserve"> </w:t>
      </w:r>
      <w:r w:rsidR="00E223B8" w:rsidRPr="00DB5657">
        <w:rPr>
          <w:sz w:val="24"/>
          <w:szCs w:val="24"/>
        </w:rPr>
        <w:t xml:space="preserve">opportunity </w:t>
      </w:r>
      <w:r w:rsidR="00727038" w:rsidRPr="00DB5657">
        <w:rPr>
          <w:sz w:val="24"/>
          <w:szCs w:val="24"/>
        </w:rPr>
        <w:t>cost</w:t>
      </w:r>
      <w:r w:rsidR="00D44115" w:rsidRPr="00DB5657">
        <w:rPr>
          <w:sz w:val="24"/>
          <w:szCs w:val="24"/>
        </w:rPr>
        <w:t xml:space="preserve">, </w:t>
      </w:r>
      <w:r w:rsidR="007C7243" w:rsidRPr="00DB5657">
        <w:rPr>
          <w:sz w:val="24"/>
          <w:szCs w:val="24"/>
        </w:rPr>
        <w:t>these hours amount to $</w:t>
      </w:r>
      <w:r w:rsidR="00D44115" w:rsidRPr="00DB5657">
        <w:rPr>
          <w:sz w:val="24"/>
          <w:szCs w:val="24"/>
        </w:rPr>
        <w:t>5</w:t>
      </w:r>
      <w:r w:rsidR="00B55B23" w:rsidRPr="00DB5657">
        <w:rPr>
          <w:sz w:val="24"/>
          <w:szCs w:val="24"/>
        </w:rPr>
        <w:t>,</w:t>
      </w:r>
      <w:r w:rsidR="00D44115" w:rsidRPr="00DB5657">
        <w:rPr>
          <w:sz w:val="24"/>
          <w:szCs w:val="24"/>
        </w:rPr>
        <w:t>292</w:t>
      </w:r>
      <w:r w:rsidR="00B55B23" w:rsidRPr="00DB5657">
        <w:rPr>
          <w:sz w:val="24"/>
          <w:szCs w:val="24"/>
        </w:rPr>
        <w:t xml:space="preserve"> related to this data collection</w:t>
      </w:r>
      <w:r w:rsidR="007C7243" w:rsidRPr="00DB5657">
        <w:rPr>
          <w:sz w:val="24"/>
          <w:szCs w:val="24"/>
        </w:rPr>
        <w:t xml:space="preserve">.  </w:t>
      </w:r>
    </w:p>
    <w:p w14:paraId="663C9E1A" w14:textId="77777777" w:rsidR="007C7243" w:rsidRPr="00DB5657" w:rsidRDefault="007C7243" w:rsidP="002C09AE">
      <w:pPr>
        <w:spacing w:line="276" w:lineRule="auto"/>
        <w:rPr>
          <w:sz w:val="24"/>
          <w:szCs w:val="24"/>
        </w:rPr>
      </w:pPr>
    </w:p>
    <w:p w14:paraId="3E8A48BA" w14:textId="77777777" w:rsidR="007C7243" w:rsidRPr="00DB5657" w:rsidRDefault="00E223B8" w:rsidP="002C09AE">
      <w:pPr>
        <w:spacing w:line="276" w:lineRule="auto"/>
        <w:rPr>
          <w:sz w:val="24"/>
          <w:szCs w:val="24"/>
        </w:rPr>
      </w:pPr>
      <w:r w:rsidRPr="00DB5657">
        <w:rPr>
          <w:sz w:val="24"/>
          <w:szCs w:val="24"/>
        </w:rPr>
        <w:t>Therefore, t</w:t>
      </w:r>
      <w:r w:rsidR="007C7243" w:rsidRPr="00DB5657">
        <w:rPr>
          <w:sz w:val="24"/>
          <w:szCs w:val="24"/>
        </w:rPr>
        <w:t xml:space="preserve">he total </w:t>
      </w:r>
      <w:r w:rsidRPr="00DB5657">
        <w:rPr>
          <w:sz w:val="24"/>
          <w:szCs w:val="24"/>
        </w:rPr>
        <w:t xml:space="preserve">estimated </w:t>
      </w:r>
      <w:r w:rsidR="007C7243" w:rsidRPr="00DB5657">
        <w:rPr>
          <w:sz w:val="24"/>
          <w:szCs w:val="24"/>
        </w:rPr>
        <w:t>annual costs incurred by the federal government as a result of implementing this survey are $</w:t>
      </w:r>
      <w:r w:rsidR="00B55B23" w:rsidRPr="00DB5657">
        <w:rPr>
          <w:sz w:val="24"/>
          <w:szCs w:val="24"/>
        </w:rPr>
        <w:t>5</w:t>
      </w:r>
      <w:r w:rsidR="00D44115" w:rsidRPr="00DB5657">
        <w:rPr>
          <w:sz w:val="24"/>
          <w:szCs w:val="24"/>
        </w:rPr>
        <w:t>5</w:t>
      </w:r>
      <w:r w:rsidR="007C7243" w:rsidRPr="00DB5657">
        <w:rPr>
          <w:sz w:val="24"/>
          <w:szCs w:val="24"/>
        </w:rPr>
        <w:t>,</w:t>
      </w:r>
      <w:r w:rsidR="00D44115" w:rsidRPr="00DB5657">
        <w:rPr>
          <w:sz w:val="24"/>
          <w:szCs w:val="24"/>
        </w:rPr>
        <w:t>292</w:t>
      </w:r>
      <w:r w:rsidR="007C7243" w:rsidRPr="00DB5657">
        <w:rPr>
          <w:sz w:val="24"/>
          <w:szCs w:val="24"/>
        </w:rPr>
        <w:t xml:space="preserve">.  </w:t>
      </w:r>
    </w:p>
    <w:p w14:paraId="5A14D605" w14:textId="77777777" w:rsidR="007C7243" w:rsidRPr="00DB5657" w:rsidRDefault="007C7243" w:rsidP="002C09AE">
      <w:pPr>
        <w:spacing w:line="276" w:lineRule="auto"/>
        <w:rPr>
          <w:sz w:val="24"/>
          <w:szCs w:val="24"/>
        </w:rPr>
      </w:pPr>
    </w:p>
    <w:p w14:paraId="6C635E79" w14:textId="77777777" w:rsidR="004F26E9" w:rsidRPr="00DB5657" w:rsidRDefault="004F26E9">
      <w:pPr>
        <w:rPr>
          <w:sz w:val="24"/>
          <w:szCs w:val="24"/>
        </w:rPr>
      </w:pPr>
      <w:r w:rsidRPr="00DB5657">
        <w:rPr>
          <w:b/>
          <w:bCs/>
          <w:sz w:val="24"/>
          <w:szCs w:val="24"/>
        </w:rPr>
        <w:t xml:space="preserve">15.  </w:t>
      </w:r>
      <w:r w:rsidRPr="00DB5657">
        <w:rPr>
          <w:b/>
          <w:bCs/>
          <w:sz w:val="24"/>
          <w:szCs w:val="24"/>
          <w:u w:val="single"/>
        </w:rPr>
        <w:t>Explain the reasons for any program changes or adjustments</w:t>
      </w:r>
      <w:r w:rsidRPr="00DB5657">
        <w:rPr>
          <w:b/>
          <w:bCs/>
          <w:sz w:val="24"/>
          <w:szCs w:val="24"/>
        </w:rPr>
        <w:t>.</w:t>
      </w:r>
    </w:p>
    <w:p w14:paraId="3B2C2DEF" w14:textId="77777777" w:rsidR="004F26E9" w:rsidRPr="00DB5657" w:rsidRDefault="004F26E9">
      <w:pPr>
        <w:rPr>
          <w:sz w:val="24"/>
          <w:szCs w:val="24"/>
        </w:rPr>
      </w:pPr>
    </w:p>
    <w:p w14:paraId="28EB0BE8" w14:textId="77777777" w:rsidR="002C09AE" w:rsidRPr="00DB5657" w:rsidRDefault="002C09AE" w:rsidP="002C09AE">
      <w:pPr>
        <w:spacing w:line="276" w:lineRule="auto"/>
        <w:rPr>
          <w:sz w:val="24"/>
          <w:szCs w:val="24"/>
        </w:rPr>
      </w:pPr>
      <w:r w:rsidRPr="00DB5657">
        <w:rPr>
          <w:sz w:val="24"/>
          <w:szCs w:val="24"/>
        </w:rPr>
        <w:t>This is a new program.</w:t>
      </w:r>
    </w:p>
    <w:p w14:paraId="5C349434" w14:textId="77777777" w:rsidR="004F26E9" w:rsidRPr="00DB5657" w:rsidRDefault="004F26E9">
      <w:pPr>
        <w:rPr>
          <w:sz w:val="24"/>
          <w:szCs w:val="24"/>
        </w:rPr>
      </w:pPr>
    </w:p>
    <w:p w14:paraId="68266F52" w14:textId="77777777" w:rsidR="004F26E9" w:rsidRPr="00DB5657" w:rsidRDefault="004F26E9">
      <w:pPr>
        <w:rPr>
          <w:sz w:val="24"/>
          <w:szCs w:val="24"/>
        </w:rPr>
      </w:pPr>
      <w:r w:rsidRPr="00DB5657">
        <w:rPr>
          <w:b/>
          <w:bCs/>
          <w:sz w:val="24"/>
          <w:szCs w:val="24"/>
        </w:rPr>
        <w:t xml:space="preserve">16.  </w:t>
      </w:r>
      <w:r w:rsidRPr="00DB5657">
        <w:rPr>
          <w:b/>
          <w:bCs/>
          <w:sz w:val="24"/>
          <w:szCs w:val="24"/>
          <w:u w:val="single"/>
        </w:rPr>
        <w:t>For collections whose results will be published, outline the plans for tabulation and publication</w:t>
      </w:r>
      <w:r w:rsidRPr="00DB5657">
        <w:rPr>
          <w:b/>
          <w:bCs/>
          <w:sz w:val="24"/>
          <w:szCs w:val="24"/>
        </w:rPr>
        <w:t>.</w:t>
      </w:r>
    </w:p>
    <w:p w14:paraId="2589943A" w14:textId="77777777" w:rsidR="004F26E9" w:rsidRPr="00DB5657" w:rsidRDefault="004F26E9">
      <w:pPr>
        <w:rPr>
          <w:sz w:val="24"/>
          <w:szCs w:val="24"/>
        </w:rPr>
      </w:pPr>
    </w:p>
    <w:p w14:paraId="2A083D14" w14:textId="77777777" w:rsidR="004F26E9" w:rsidRPr="00DB5657" w:rsidRDefault="00D44115">
      <w:pPr>
        <w:rPr>
          <w:sz w:val="24"/>
          <w:szCs w:val="24"/>
        </w:rPr>
      </w:pPr>
      <w:r w:rsidRPr="00DB5657">
        <w:rPr>
          <w:sz w:val="24"/>
          <w:szCs w:val="24"/>
        </w:rPr>
        <w:t>The most significant result of this collection will be providing needed data for use in other economic models as described in question 1 above.  However, it is anticipated that t</w:t>
      </w:r>
      <w:r w:rsidR="00CA4617" w:rsidRPr="00DB5657">
        <w:rPr>
          <w:sz w:val="24"/>
          <w:szCs w:val="24"/>
        </w:rPr>
        <w:t>he methodology and results of the data collection will be published in a NOAA technical memorandum.</w:t>
      </w:r>
      <w:r w:rsidR="00C721E9" w:rsidRPr="00DB5657">
        <w:rPr>
          <w:sz w:val="24"/>
          <w:szCs w:val="24"/>
        </w:rPr>
        <w:t xml:space="preserve">  Tabulations of responses will be aggregated in order to maintain sufficient confidentiality, as described in the answer to </w:t>
      </w:r>
      <w:r w:rsidR="00EE5F78" w:rsidRPr="00DB5657">
        <w:rPr>
          <w:sz w:val="24"/>
          <w:szCs w:val="24"/>
        </w:rPr>
        <w:t xml:space="preserve">question </w:t>
      </w:r>
      <w:r w:rsidR="009C490E">
        <w:rPr>
          <w:sz w:val="24"/>
          <w:szCs w:val="24"/>
        </w:rPr>
        <w:t>A2</w:t>
      </w:r>
      <w:r w:rsidR="00C721E9" w:rsidRPr="00DB5657">
        <w:rPr>
          <w:sz w:val="24"/>
          <w:szCs w:val="24"/>
        </w:rPr>
        <w:t>, above.</w:t>
      </w:r>
      <w:r w:rsidR="00CA4617" w:rsidRPr="00DB5657">
        <w:rPr>
          <w:sz w:val="24"/>
          <w:szCs w:val="24"/>
        </w:rPr>
        <w:t xml:space="preserve"> </w:t>
      </w:r>
    </w:p>
    <w:p w14:paraId="191BF119" w14:textId="77777777" w:rsidR="0035461F" w:rsidRDefault="0035461F">
      <w:pPr>
        <w:rPr>
          <w:sz w:val="24"/>
          <w:szCs w:val="24"/>
        </w:rPr>
      </w:pPr>
    </w:p>
    <w:p w14:paraId="5FFD14D6" w14:textId="77777777" w:rsidR="004F26E9" w:rsidRPr="00DB5657" w:rsidRDefault="004F26E9">
      <w:pPr>
        <w:rPr>
          <w:sz w:val="24"/>
          <w:szCs w:val="24"/>
        </w:rPr>
      </w:pPr>
      <w:r w:rsidRPr="00DB5657">
        <w:rPr>
          <w:b/>
          <w:bCs/>
          <w:sz w:val="24"/>
          <w:szCs w:val="24"/>
        </w:rPr>
        <w:t xml:space="preserve">17.  </w:t>
      </w:r>
      <w:r w:rsidRPr="00DB5657">
        <w:rPr>
          <w:b/>
          <w:bCs/>
          <w:sz w:val="24"/>
          <w:szCs w:val="24"/>
          <w:u w:val="single"/>
        </w:rPr>
        <w:t>If seeking approval to not display the expiration date for OMB approval of the information collection, explain the reasons why display would be inappropriate</w:t>
      </w:r>
      <w:r w:rsidRPr="00DB5657">
        <w:rPr>
          <w:b/>
          <w:bCs/>
          <w:sz w:val="24"/>
          <w:szCs w:val="24"/>
        </w:rPr>
        <w:t>.</w:t>
      </w:r>
    </w:p>
    <w:p w14:paraId="0B153DE5" w14:textId="77777777" w:rsidR="004F26E9" w:rsidRPr="00DB5657" w:rsidRDefault="004F26E9">
      <w:pPr>
        <w:rPr>
          <w:sz w:val="24"/>
          <w:szCs w:val="24"/>
        </w:rPr>
      </w:pPr>
    </w:p>
    <w:p w14:paraId="48F44019" w14:textId="77777777" w:rsidR="002C09AE" w:rsidRPr="00DB5657" w:rsidRDefault="006C25C0" w:rsidP="002C09AE">
      <w:pPr>
        <w:spacing w:line="276" w:lineRule="auto"/>
        <w:rPr>
          <w:sz w:val="24"/>
          <w:szCs w:val="24"/>
        </w:rPr>
      </w:pPr>
      <w:r w:rsidRPr="00DB5657">
        <w:rPr>
          <w:sz w:val="24"/>
          <w:szCs w:val="24"/>
        </w:rPr>
        <w:t>This is n</w:t>
      </w:r>
      <w:r w:rsidR="002C09AE" w:rsidRPr="00DB5657">
        <w:rPr>
          <w:sz w:val="24"/>
          <w:szCs w:val="24"/>
        </w:rPr>
        <w:t>ot applicable, as we are not seeking such an approval.</w:t>
      </w:r>
    </w:p>
    <w:p w14:paraId="5D4BEAFA" w14:textId="77777777" w:rsidR="004F26E9" w:rsidRPr="00DB5657" w:rsidRDefault="004F26E9">
      <w:pPr>
        <w:rPr>
          <w:sz w:val="24"/>
          <w:szCs w:val="24"/>
        </w:rPr>
      </w:pPr>
    </w:p>
    <w:p w14:paraId="4482683D" w14:textId="77777777" w:rsidR="004F26E9" w:rsidRPr="00DB5657" w:rsidRDefault="004F26E9">
      <w:pPr>
        <w:rPr>
          <w:b/>
          <w:bCs/>
          <w:sz w:val="24"/>
          <w:szCs w:val="24"/>
        </w:rPr>
      </w:pPr>
      <w:r w:rsidRPr="00DB5657">
        <w:rPr>
          <w:b/>
          <w:bCs/>
          <w:sz w:val="24"/>
          <w:szCs w:val="24"/>
        </w:rPr>
        <w:t xml:space="preserve">18.  </w:t>
      </w:r>
      <w:r w:rsidRPr="00DB5657">
        <w:rPr>
          <w:b/>
          <w:bCs/>
          <w:sz w:val="24"/>
          <w:szCs w:val="24"/>
          <w:u w:val="single"/>
        </w:rPr>
        <w:t>Explain each</w:t>
      </w:r>
      <w:r w:rsidR="00A52249" w:rsidRPr="00DB5657">
        <w:rPr>
          <w:b/>
          <w:bCs/>
          <w:sz w:val="24"/>
          <w:szCs w:val="24"/>
          <w:u w:val="single"/>
        </w:rPr>
        <w:t xml:space="preserve"> exception to the certification </w:t>
      </w:r>
      <w:r w:rsidRPr="00DB5657">
        <w:rPr>
          <w:b/>
          <w:bCs/>
          <w:sz w:val="24"/>
          <w:szCs w:val="24"/>
          <w:u w:val="single"/>
        </w:rPr>
        <w:t>statement</w:t>
      </w:r>
      <w:r w:rsidRPr="00DB5657">
        <w:rPr>
          <w:b/>
          <w:bCs/>
          <w:sz w:val="24"/>
          <w:szCs w:val="24"/>
        </w:rPr>
        <w:t>.</w:t>
      </w:r>
    </w:p>
    <w:p w14:paraId="59E5C9D2" w14:textId="77777777" w:rsidR="00323D5E" w:rsidRPr="00DB5657" w:rsidRDefault="00323D5E" w:rsidP="002C09AE">
      <w:pPr>
        <w:spacing w:line="276" w:lineRule="auto"/>
        <w:rPr>
          <w:sz w:val="24"/>
          <w:szCs w:val="24"/>
        </w:rPr>
      </w:pPr>
    </w:p>
    <w:p w14:paraId="5F7C5913" w14:textId="77777777" w:rsidR="002C09AE" w:rsidRPr="00DB5657" w:rsidRDefault="006C25C0" w:rsidP="002C09AE">
      <w:pPr>
        <w:spacing w:line="276" w:lineRule="auto"/>
        <w:rPr>
          <w:sz w:val="24"/>
          <w:szCs w:val="24"/>
        </w:rPr>
      </w:pPr>
      <w:r w:rsidRPr="00DB5657">
        <w:rPr>
          <w:sz w:val="24"/>
          <w:szCs w:val="24"/>
        </w:rPr>
        <w:t>This is n</w:t>
      </w:r>
      <w:r w:rsidR="002C09AE" w:rsidRPr="00DB5657">
        <w:rPr>
          <w:sz w:val="24"/>
          <w:szCs w:val="24"/>
        </w:rPr>
        <w:t>ot applicable, as we are not seeking such an exception.</w:t>
      </w:r>
    </w:p>
    <w:p w14:paraId="40721B4C" w14:textId="77777777" w:rsidR="004F26E9" w:rsidRPr="00DB5657" w:rsidRDefault="004F26E9">
      <w:pPr>
        <w:rPr>
          <w:sz w:val="24"/>
          <w:szCs w:val="24"/>
        </w:rPr>
      </w:pPr>
    </w:p>
    <w:p w14:paraId="748E13F0" w14:textId="77777777" w:rsidR="004F26E9" w:rsidRPr="00DB5657" w:rsidRDefault="004F26E9">
      <w:pPr>
        <w:rPr>
          <w:sz w:val="24"/>
          <w:szCs w:val="24"/>
        </w:rPr>
      </w:pPr>
    </w:p>
    <w:sectPr w:rsidR="004F26E9" w:rsidRPr="00DB5657" w:rsidSect="00DB5657">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AC6F2" w14:textId="77777777" w:rsidR="00FB0A64" w:rsidRDefault="00FB0A64">
      <w:r>
        <w:separator/>
      </w:r>
    </w:p>
  </w:endnote>
  <w:endnote w:type="continuationSeparator" w:id="0">
    <w:p w14:paraId="6F8747B4" w14:textId="77777777" w:rsidR="00FB0A64" w:rsidRDefault="00FB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A5289" w14:textId="77777777" w:rsidR="00672181" w:rsidRDefault="00672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CB062" w14:textId="180D3367" w:rsidR="00B2297D" w:rsidRDefault="00B2297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C7715">
      <w:rPr>
        <w:rStyle w:val="PageNumber"/>
        <w:noProof/>
        <w:sz w:val="24"/>
        <w:szCs w:val="24"/>
      </w:rPr>
      <w:t>1</w:t>
    </w:r>
    <w:r>
      <w:rPr>
        <w:rStyle w:val="PageNumber"/>
        <w:sz w:val="24"/>
        <w:szCs w:val="24"/>
      </w:rPr>
      <w:fldChar w:fldCharType="end"/>
    </w:r>
  </w:p>
  <w:p w14:paraId="3F879773" w14:textId="77777777" w:rsidR="00B2297D" w:rsidRDefault="00B22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63BB" w14:textId="77777777" w:rsidR="00672181" w:rsidRDefault="00672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6343E" w14:textId="77777777" w:rsidR="00FB0A64" w:rsidRDefault="00FB0A64">
      <w:r>
        <w:separator/>
      </w:r>
    </w:p>
  </w:footnote>
  <w:footnote w:type="continuationSeparator" w:id="0">
    <w:p w14:paraId="7567C360" w14:textId="77777777" w:rsidR="00FB0A64" w:rsidRDefault="00FB0A64">
      <w:r>
        <w:continuationSeparator/>
      </w:r>
    </w:p>
  </w:footnote>
  <w:footnote w:id="1">
    <w:p w14:paraId="6EDC90F5" w14:textId="77777777" w:rsidR="00F13C4A" w:rsidRDefault="00F13C4A" w:rsidP="00F13C4A">
      <w:pPr>
        <w:pStyle w:val="FootnoteText"/>
      </w:pPr>
      <w:r>
        <w:rPr>
          <w:rStyle w:val="FootnoteReference"/>
        </w:rPr>
        <w:footnoteRef/>
      </w:r>
      <w:r>
        <w:t xml:space="preserve"> NOAA – Fisheries Economics of the United States 20</w:t>
      </w:r>
      <w:r w:rsidR="00D50F32">
        <w:t>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086BB" w14:textId="77777777" w:rsidR="00672181" w:rsidRDefault="00672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7A0E0" w14:textId="77777777" w:rsidR="00672181" w:rsidRDefault="006721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8597" w14:textId="77777777" w:rsidR="00672181" w:rsidRDefault="00672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565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E9"/>
    <w:rsid w:val="00024A03"/>
    <w:rsid w:val="00032D11"/>
    <w:rsid w:val="000351F7"/>
    <w:rsid w:val="00054AEB"/>
    <w:rsid w:val="00060979"/>
    <w:rsid w:val="00067951"/>
    <w:rsid w:val="00072FAF"/>
    <w:rsid w:val="000B4383"/>
    <w:rsid w:val="000B4A7C"/>
    <w:rsid w:val="000B5636"/>
    <w:rsid w:val="000B63E1"/>
    <w:rsid w:val="000E291F"/>
    <w:rsid w:val="000E5F09"/>
    <w:rsid w:val="000F060A"/>
    <w:rsid w:val="000F2030"/>
    <w:rsid w:val="000F28D0"/>
    <w:rsid w:val="000F319B"/>
    <w:rsid w:val="00102DAB"/>
    <w:rsid w:val="00107F5D"/>
    <w:rsid w:val="00113262"/>
    <w:rsid w:val="00114B64"/>
    <w:rsid w:val="001203E9"/>
    <w:rsid w:val="00131DA0"/>
    <w:rsid w:val="001355DB"/>
    <w:rsid w:val="00150B84"/>
    <w:rsid w:val="00154F44"/>
    <w:rsid w:val="001630F1"/>
    <w:rsid w:val="00164425"/>
    <w:rsid w:val="001733C4"/>
    <w:rsid w:val="00174410"/>
    <w:rsid w:val="0018403D"/>
    <w:rsid w:val="00187099"/>
    <w:rsid w:val="0019657C"/>
    <w:rsid w:val="001A169C"/>
    <w:rsid w:val="001A1C31"/>
    <w:rsid w:val="001A678D"/>
    <w:rsid w:val="001A68BE"/>
    <w:rsid w:val="001B79C3"/>
    <w:rsid w:val="001C00CB"/>
    <w:rsid w:val="001C171D"/>
    <w:rsid w:val="001D036D"/>
    <w:rsid w:val="001D3A82"/>
    <w:rsid w:val="001D3B9B"/>
    <w:rsid w:val="001E5099"/>
    <w:rsid w:val="001E6F72"/>
    <w:rsid w:val="001F0AE8"/>
    <w:rsid w:val="001F33D6"/>
    <w:rsid w:val="00203922"/>
    <w:rsid w:val="002160B2"/>
    <w:rsid w:val="002227CA"/>
    <w:rsid w:val="00225899"/>
    <w:rsid w:val="00237A4A"/>
    <w:rsid w:val="002477B9"/>
    <w:rsid w:val="0025140C"/>
    <w:rsid w:val="00260CBC"/>
    <w:rsid w:val="00264B30"/>
    <w:rsid w:val="002811A7"/>
    <w:rsid w:val="00284459"/>
    <w:rsid w:val="002A1762"/>
    <w:rsid w:val="002B3644"/>
    <w:rsid w:val="002B49FA"/>
    <w:rsid w:val="002B6698"/>
    <w:rsid w:val="002B670A"/>
    <w:rsid w:val="002C016B"/>
    <w:rsid w:val="002C09AE"/>
    <w:rsid w:val="002C0A97"/>
    <w:rsid w:val="002C3B46"/>
    <w:rsid w:val="002D63FF"/>
    <w:rsid w:val="002E1466"/>
    <w:rsid w:val="002E3EBF"/>
    <w:rsid w:val="002E6140"/>
    <w:rsid w:val="002F1861"/>
    <w:rsid w:val="00301257"/>
    <w:rsid w:val="00301840"/>
    <w:rsid w:val="0030218D"/>
    <w:rsid w:val="00307879"/>
    <w:rsid w:val="00323D5E"/>
    <w:rsid w:val="00326B8A"/>
    <w:rsid w:val="0032783F"/>
    <w:rsid w:val="003377B5"/>
    <w:rsid w:val="00346520"/>
    <w:rsid w:val="00347070"/>
    <w:rsid w:val="00347EE2"/>
    <w:rsid w:val="0035461F"/>
    <w:rsid w:val="00354631"/>
    <w:rsid w:val="00356270"/>
    <w:rsid w:val="00373720"/>
    <w:rsid w:val="003B3727"/>
    <w:rsid w:val="003C1959"/>
    <w:rsid w:val="003D485B"/>
    <w:rsid w:val="003E19BC"/>
    <w:rsid w:val="003E72C2"/>
    <w:rsid w:val="00400C1E"/>
    <w:rsid w:val="00402976"/>
    <w:rsid w:val="0040583C"/>
    <w:rsid w:val="00405C15"/>
    <w:rsid w:val="004061EF"/>
    <w:rsid w:val="00407D23"/>
    <w:rsid w:val="00454A26"/>
    <w:rsid w:val="004847A6"/>
    <w:rsid w:val="004961AE"/>
    <w:rsid w:val="004B1661"/>
    <w:rsid w:val="004D5600"/>
    <w:rsid w:val="004D5978"/>
    <w:rsid w:val="004E6C50"/>
    <w:rsid w:val="004F1A20"/>
    <w:rsid w:val="004F26E9"/>
    <w:rsid w:val="005004EA"/>
    <w:rsid w:val="00503182"/>
    <w:rsid w:val="00503389"/>
    <w:rsid w:val="00521A1C"/>
    <w:rsid w:val="005235D6"/>
    <w:rsid w:val="00525CB1"/>
    <w:rsid w:val="00530A83"/>
    <w:rsid w:val="005312E0"/>
    <w:rsid w:val="00532DD5"/>
    <w:rsid w:val="005336E3"/>
    <w:rsid w:val="00554D82"/>
    <w:rsid w:val="00566174"/>
    <w:rsid w:val="0056659F"/>
    <w:rsid w:val="005712C8"/>
    <w:rsid w:val="00592C26"/>
    <w:rsid w:val="00594596"/>
    <w:rsid w:val="0059648A"/>
    <w:rsid w:val="005B0209"/>
    <w:rsid w:val="005C7715"/>
    <w:rsid w:val="005E65E3"/>
    <w:rsid w:val="00604CDC"/>
    <w:rsid w:val="00605F85"/>
    <w:rsid w:val="0061532E"/>
    <w:rsid w:val="00617692"/>
    <w:rsid w:val="00631643"/>
    <w:rsid w:val="0063293B"/>
    <w:rsid w:val="006434D1"/>
    <w:rsid w:val="00656FC3"/>
    <w:rsid w:val="006576BA"/>
    <w:rsid w:val="00667B4D"/>
    <w:rsid w:val="00672181"/>
    <w:rsid w:val="006832A3"/>
    <w:rsid w:val="0068395F"/>
    <w:rsid w:val="00692BD0"/>
    <w:rsid w:val="006A5988"/>
    <w:rsid w:val="006B23F3"/>
    <w:rsid w:val="006B3B1A"/>
    <w:rsid w:val="006B6F46"/>
    <w:rsid w:val="006C25C0"/>
    <w:rsid w:val="006D1C32"/>
    <w:rsid w:val="006D3108"/>
    <w:rsid w:val="006E2E8A"/>
    <w:rsid w:val="006E44A4"/>
    <w:rsid w:val="006F16FA"/>
    <w:rsid w:val="00700CEC"/>
    <w:rsid w:val="00710F9E"/>
    <w:rsid w:val="00712520"/>
    <w:rsid w:val="00717992"/>
    <w:rsid w:val="007203EF"/>
    <w:rsid w:val="00724655"/>
    <w:rsid w:val="00725C5C"/>
    <w:rsid w:val="00727038"/>
    <w:rsid w:val="00735745"/>
    <w:rsid w:val="00747A12"/>
    <w:rsid w:val="007568CD"/>
    <w:rsid w:val="00756AE8"/>
    <w:rsid w:val="007805E7"/>
    <w:rsid w:val="007913E7"/>
    <w:rsid w:val="00797DC7"/>
    <w:rsid w:val="007C1C3C"/>
    <w:rsid w:val="007C7243"/>
    <w:rsid w:val="007E062B"/>
    <w:rsid w:val="007F325B"/>
    <w:rsid w:val="00803787"/>
    <w:rsid w:val="00804B8E"/>
    <w:rsid w:val="00806790"/>
    <w:rsid w:val="00827FD8"/>
    <w:rsid w:val="0083054B"/>
    <w:rsid w:val="0085229A"/>
    <w:rsid w:val="00855C74"/>
    <w:rsid w:val="008643EB"/>
    <w:rsid w:val="0086441E"/>
    <w:rsid w:val="00866B09"/>
    <w:rsid w:val="00871F30"/>
    <w:rsid w:val="00880E32"/>
    <w:rsid w:val="00884067"/>
    <w:rsid w:val="0089452A"/>
    <w:rsid w:val="00895948"/>
    <w:rsid w:val="008A0CAE"/>
    <w:rsid w:val="008A5E0E"/>
    <w:rsid w:val="008B6714"/>
    <w:rsid w:val="008D7188"/>
    <w:rsid w:val="008E34FA"/>
    <w:rsid w:val="008E41C0"/>
    <w:rsid w:val="008E4E4B"/>
    <w:rsid w:val="008F05E7"/>
    <w:rsid w:val="008F7694"/>
    <w:rsid w:val="0090684A"/>
    <w:rsid w:val="00910214"/>
    <w:rsid w:val="00912399"/>
    <w:rsid w:val="00922B0A"/>
    <w:rsid w:val="00931066"/>
    <w:rsid w:val="00932D5D"/>
    <w:rsid w:val="009375D8"/>
    <w:rsid w:val="0094146A"/>
    <w:rsid w:val="0094200F"/>
    <w:rsid w:val="00944CD9"/>
    <w:rsid w:val="00947A4A"/>
    <w:rsid w:val="009509B5"/>
    <w:rsid w:val="0095239B"/>
    <w:rsid w:val="00957B76"/>
    <w:rsid w:val="00960907"/>
    <w:rsid w:val="0096538C"/>
    <w:rsid w:val="00972644"/>
    <w:rsid w:val="00982368"/>
    <w:rsid w:val="00990050"/>
    <w:rsid w:val="009B61DB"/>
    <w:rsid w:val="009C0ED5"/>
    <w:rsid w:val="009C490E"/>
    <w:rsid w:val="009D1C73"/>
    <w:rsid w:val="009D428B"/>
    <w:rsid w:val="009D6992"/>
    <w:rsid w:val="009D7FE0"/>
    <w:rsid w:val="009F17CD"/>
    <w:rsid w:val="009F2524"/>
    <w:rsid w:val="009F6944"/>
    <w:rsid w:val="009F6C4B"/>
    <w:rsid w:val="00A05264"/>
    <w:rsid w:val="00A119F6"/>
    <w:rsid w:val="00A16755"/>
    <w:rsid w:val="00A27B1D"/>
    <w:rsid w:val="00A36BCB"/>
    <w:rsid w:val="00A514D5"/>
    <w:rsid w:val="00A51B8B"/>
    <w:rsid w:val="00A52249"/>
    <w:rsid w:val="00A57624"/>
    <w:rsid w:val="00A63653"/>
    <w:rsid w:val="00A64D8A"/>
    <w:rsid w:val="00A66A68"/>
    <w:rsid w:val="00A71718"/>
    <w:rsid w:val="00A76354"/>
    <w:rsid w:val="00A82F50"/>
    <w:rsid w:val="00A83CDF"/>
    <w:rsid w:val="00A85CDF"/>
    <w:rsid w:val="00A8642F"/>
    <w:rsid w:val="00A9401A"/>
    <w:rsid w:val="00AA0866"/>
    <w:rsid w:val="00AA5696"/>
    <w:rsid w:val="00AB3028"/>
    <w:rsid w:val="00AB36E0"/>
    <w:rsid w:val="00AE4CE3"/>
    <w:rsid w:val="00AE5FB1"/>
    <w:rsid w:val="00AE621C"/>
    <w:rsid w:val="00B10DA1"/>
    <w:rsid w:val="00B2297D"/>
    <w:rsid w:val="00B34464"/>
    <w:rsid w:val="00B34B83"/>
    <w:rsid w:val="00B42E8D"/>
    <w:rsid w:val="00B552B7"/>
    <w:rsid w:val="00B55B23"/>
    <w:rsid w:val="00B5668E"/>
    <w:rsid w:val="00B67416"/>
    <w:rsid w:val="00B674A4"/>
    <w:rsid w:val="00B7090C"/>
    <w:rsid w:val="00B75966"/>
    <w:rsid w:val="00B96282"/>
    <w:rsid w:val="00BB0387"/>
    <w:rsid w:val="00BB338B"/>
    <w:rsid w:val="00BB5AC3"/>
    <w:rsid w:val="00BB7436"/>
    <w:rsid w:val="00BC2847"/>
    <w:rsid w:val="00BC67E1"/>
    <w:rsid w:val="00BD6635"/>
    <w:rsid w:val="00C102E1"/>
    <w:rsid w:val="00C1615F"/>
    <w:rsid w:val="00C23C66"/>
    <w:rsid w:val="00C24220"/>
    <w:rsid w:val="00C245EA"/>
    <w:rsid w:val="00C24E0A"/>
    <w:rsid w:val="00C24F8D"/>
    <w:rsid w:val="00C265FB"/>
    <w:rsid w:val="00C2680B"/>
    <w:rsid w:val="00C323DE"/>
    <w:rsid w:val="00C3585D"/>
    <w:rsid w:val="00C366E5"/>
    <w:rsid w:val="00C47319"/>
    <w:rsid w:val="00C52AE7"/>
    <w:rsid w:val="00C721E9"/>
    <w:rsid w:val="00C72D0F"/>
    <w:rsid w:val="00C76086"/>
    <w:rsid w:val="00C9526D"/>
    <w:rsid w:val="00C95530"/>
    <w:rsid w:val="00C9771F"/>
    <w:rsid w:val="00CA080F"/>
    <w:rsid w:val="00CA4617"/>
    <w:rsid w:val="00CB1740"/>
    <w:rsid w:val="00CD2837"/>
    <w:rsid w:val="00CD5E65"/>
    <w:rsid w:val="00CE0907"/>
    <w:rsid w:val="00CE1E61"/>
    <w:rsid w:val="00CE6672"/>
    <w:rsid w:val="00CE6C3E"/>
    <w:rsid w:val="00CF155F"/>
    <w:rsid w:val="00D01A73"/>
    <w:rsid w:val="00D37021"/>
    <w:rsid w:val="00D44115"/>
    <w:rsid w:val="00D50F32"/>
    <w:rsid w:val="00D54486"/>
    <w:rsid w:val="00D75FE9"/>
    <w:rsid w:val="00D7613C"/>
    <w:rsid w:val="00D82130"/>
    <w:rsid w:val="00DB43D9"/>
    <w:rsid w:val="00DB4B3D"/>
    <w:rsid w:val="00DB5657"/>
    <w:rsid w:val="00DB6DFB"/>
    <w:rsid w:val="00DB710C"/>
    <w:rsid w:val="00DB77F6"/>
    <w:rsid w:val="00DC193F"/>
    <w:rsid w:val="00DC5B74"/>
    <w:rsid w:val="00DC631D"/>
    <w:rsid w:val="00DD3AE2"/>
    <w:rsid w:val="00DD4562"/>
    <w:rsid w:val="00DD4BA7"/>
    <w:rsid w:val="00DD6017"/>
    <w:rsid w:val="00DE1AA0"/>
    <w:rsid w:val="00DE5946"/>
    <w:rsid w:val="00DF7A14"/>
    <w:rsid w:val="00E00018"/>
    <w:rsid w:val="00E014D9"/>
    <w:rsid w:val="00E05489"/>
    <w:rsid w:val="00E057CE"/>
    <w:rsid w:val="00E166E6"/>
    <w:rsid w:val="00E20B89"/>
    <w:rsid w:val="00E223B8"/>
    <w:rsid w:val="00E22AC0"/>
    <w:rsid w:val="00E25A11"/>
    <w:rsid w:val="00E31BFC"/>
    <w:rsid w:val="00E35772"/>
    <w:rsid w:val="00E4272B"/>
    <w:rsid w:val="00E4782C"/>
    <w:rsid w:val="00E47BA8"/>
    <w:rsid w:val="00E528C8"/>
    <w:rsid w:val="00E56205"/>
    <w:rsid w:val="00E75643"/>
    <w:rsid w:val="00E76985"/>
    <w:rsid w:val="00E81964"/>
    <w:rsid w:val="00E94F0E"/>
    <w:rsid w:val="00E97B28"/>
    <w:rsid w:val="00EA43FD"/>
    <w:rsid w:val="00EB5FFE"/>
    <w:rsid w:val="00EC36EF"/>
    <w:rsid w:val="00EC7761"/>
    <w:rsid w:val="00EE21C8"/>
    <w:rsid w:val="00EE5825"/>
    <w:rsid w:val="00EE5F78"/>
    <w:rsid w:val="00F13C4A"/>
    <w:rsid w:val="00F16BFA"/>
    <w:rsid w:val="00F257D3"/>
    <w:rsid w:val="00F35A8A"/>
    <w:rsid w:val="00F41F80"/>
    <w:rsid w:val="00F44409"/>
    <w:rsid w:val="00F4716B"/>
    <w:rsid w:val="00F60B07"/>
    <w:rsid w:val="00F66242"/>
    <w:rsid w:val="00F67DF9"/>
    <w:rsid w:val="00F70EEE"/>
    <w:rsid w:val="00F7112B"/>
    <w:rsid w:val="00F71C56"/>
    <w:rsid w:val="00F85710"/>
    <w:rsid w:val="00F929DC"/>
    <w:rsid w:val="00F951B5"/>
    <w:rsid w:val="00F97EC9"/>
    <w:rsid w:val="00FB0A64"/>
    <w:rsid w:val="00FC0F82"/>
    <w:rsid w:val="00FC22CA"/>
    <w:rsid w:val="00FC3882"/>
    <w:rsid w:val="00FD1AC8"/>
    <w:rsid w:val="00FD22E6"/>
    <w:rsid w:val="00FD24EF"/>
    <w:rsid w:val="00FD7226"/>
    <w:rsid w:val="00FE5E74"/>
    <w:rsid w:val="00FF1B83"/>
    <w:rsid w:val="00F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9E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C09AE"/>
    <w:rPr>
      <w:color w:val="0000FF"/>
      <w:u w:val="single"/>
    </w:rPr>
  </w:style>
  <w:style w:type="character" w:styleId="CommentReference">
    <w:name w:val="annotation reference"/>
    <w:rsid w:val="00710F9E"/>
    <w:rPr>
      <w:sz w:val="16"/>
      <w:szCs w:val="16"/>
    </w:rPr>
  </w:style>
  <w:style w:type="paragraph" w:styleId="CommentText">
    <w:name w:val="annotation text"/>
    <w:basedOn w:val="Normal"/>
    <w:link w:val="CommentTextChar"/>
    <w:rsid w:val="00710F9E"/>
  </w:style>
  <w:style w:type="character" w:customStyle="1" w:styleId="CommentTextChar">
    <w:name w:val="Comment Text Char"/>
    <w:basedOn w:val="DefaultParagraphFont"/>
    <w:link w:val="CommentText"/>
    <w:rsid w:val="00710F9E"/>
  </w:style>
  <w:style w:type="paragraph" w:styleId="BalloonText">
    <w:name w:val="Balloon Text"/>
    <w:basedOn w:val="Normal"/>
    <w:link w:val="BalloonTextChar"/>
    <w:rsid w:val="00710F9E"/>
    <w:rPr>
      <w:rFonts w:ascii="Tahoma" w:hAnsi="Tahoma" w:cs="Tahoma"/>
      <w:sz w:val="16"/>
      <w:szCs w:val="16"/>
    </w:rPr>
  </w:style>
  <w:style w:type="character" w:customStyle="1" w:styleId="BalloonTextChar">
    <w:name w:val="Balloon Text Char"/>
    <w:link w:val="BalloonText"/>
    <w:rsid w:val="00710F9E"/>
    <w:rPr>
      <w:rFonts w:ascii="Tahoma" w:hAnsi="Tahoma" w:cs="Tahoma"/>
      <w:sz w:val="16"/>
      <w:szCs w:val="16"/>
    </w:rPr>
  </w:style>
  <w:style w:type="paragraph" w:styleId="CommentSubject">
    <w:name w:val="annotation subject"/>
    <w:basedOn w:val="CommentText"/>
    <w:next w:val="CommentText"/>
    <w:link w:val="CommentSubjectChar"/>
    <w:rsid w:val="00F929DC"/>
    <w:rPr>
      <w:b/>
      <w:bCs/>
    </w:rPr>
  </w:style>
  <w:style w:type="character" w:customStyle="1" w:styleId="CommentSubjectChar">
    <w:name w:val="Comment Subject Char"/>
    <w:link w:val="CommentSubject"/>
    <w:rsid w:val="00F929DC"/>
    <w:rPr>
      <w:b/>
      <w:bCs/>
    </w:rPr>
  </w:style>
  <w:style w:type="table" w:styleId="TableGrid">
    <w:name w:val="Table Grid"/>
    <w:basedOn w:val="TableNormal"/>
    <w:rsid w:val="0016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85D"/>
  </w:style>
  <w:style w:type="paragraph" w:styleId="FootnoteText">
    <w:name w:val="footnote text"/>
    <w:basedOn w:val="Normal"/>
    <w:link w:val="FootnoteTextChar"/>
    <w:rsid w:val="00F13C4A"/>
    <w:pPr>
      <w:widowControl/>
      <w:autoSpaceDE/>
      <w:autoSpaceDN/>
      <w:adjustRightInd/>
    </w:pPr>
  </w:style>
  <w:style w:type="character" w:customStyle="1" w:styleId="FootnoteTextChar">
    <w:name w:val="Footnote Text Char"/>
    <w:basedOn w:val="DefaultParagraphFont"/>
    <w:link w:val="FootnoteText"/>
    <w:rsid w:val="00F13C4A"/>
  </w:style>
  <w:style w:type="character" w:styleId="FootnoteReference">
    <w:name w:val="footnote reference"/>
    <w:rsid w:val="00F13C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536">
      <w:bodyDiv w:val="1"/>
      <w:marLeft w:val="0"/>
      <w:marRight w:val="0"/>
      <w:marTop w:val="0"/>
      <w:marBottom w:val="0"/>
      <w:divBdr>
        <w:top w:val="none" w:sz="0" w:space="0" w:color="auto"/>
        <w:left w:val="none" w:sz="0" w:space="0" w:color="auto"/>
        <w:bottom w:val="none" w:sz="0" w:space="0" w:color="auto"/>
        <w:right w:val="none" w:sz="0" w:space="0" w:color="auto"/>
      </w:divBdr>
      <w:divsChild>
        <w:div w:id="670256430">
          <w:marLeft w:val="0"/>
          <w:marRight w:val="0"/>
          <w:marTop w:val="0"/>
          <w:marBottom w:val="0"/>
          <w:divBdr>
            <w:top w:val="none" w:sz="0" w:space="0" w:color="auto"/>
            <w:left w:val="none" w:sz="0" w:space="0" w:color="auto"/>
            <w:bottom w:val="none" w:sz="0" w:space="0" w:color="auto"/>
            <w:right w:val="none" w:sz="0" w:space="0" w:color="auto"/>
          </w:divBdr>
        </w:div>
        <w:div w:id="1523284064">
          <w:marLeft w:val="0"/>
          <w:marRight w:val="0"/>
          <w:marTop w:val="0"/>
          <w:marBottom w:val="0"/>
          <w:divBdr>
            <w:top w:val="none" w:sz="0" w:space="0" w:color="auto"/>
            <w:left w:val="none" w:sz="0" w:space="0" w:color="auto"/>
            <w:bottom w:val="none" w:sz="0" w:space="0" w:color="auto"/>
            <w:right w:val="none" w:sz="0" w:space="0" w:color="auto"/>
          </w:divBdr>
        </w:div>
      </w:divsChild>
    </w:div>
    <w:div w:id="624315861">
      <w:bodyDiv w:val="1"/>
      <w:marLeft w:val="0"/>
      <w:marRight w:val="0"/>
      <w:marTop w:val="0"/>
      <w:marBottom w:val="0"/>
      <w:divBdr>
        <w:top w:val="none" w:sz="0" w:space="0" w:color="auto"/>
        <w:left w:val="none" w:sz="0" w:space="0" w:color="auto"/>
        <w:bottom w:val="none" w:sz="0" w:space="0" w:color="auto"/>
        <w:right w:val="none" w:sz="0" w:space="0" w:color="auto"/>
      </w:divBdr>
    </w:div>
    <w:div w:id="638413421">
      <w:bodyDiv w:val="1"/>
      <w:marLeft w:val="0"/>
      <w:marRight w:val="0"/>
      <w:marTop w:val="0"/>
      <w:marBottom w:val="0"/>
      <w:divBdr>
        <w:top w:val="none" w:sz="0" w:space="0" w:color="auto"/>
        <w:left w:val="none" w:sz="0" w:space="0" w:color="auto"/>
        <w:bottom w:val="none" w:sz="0" w:space="0" w:color="auto"/>
        <w:right w:val="none" w:sz="0" w:space="0" w:color="auto"/>
      </w:divBdr>
      <w:divsChild>
        <w:div w:id="334038851">
          <w:marLeft w:val="0"/>
          <w:marRight w:val="0"/>
          <w:marTop w:val="0"/>
          <w:marBottom w:val="0"/>
          <w:divBdr>
            <w:top w:val="none" w:sz="0" w:space="0" w:color="auto"/>
            <w:left w:val="none" w:sz="0" w:space="0" w:color="auto"/>
            <w:bottom w:val="none" w:sz="0" w:space="0" w:color="auto"/>
            <w:right w:val="none" w:sz="0" w:space="0" w:color="auto"/>
          </w:divBdr>
        </w:div>
        <w:div w:id="515076702">
          <w:marLeft w:val="0"/>
          <w:marRight w:val="0"/>
          <w:marTop w:val="0"/>
          <w:marBottom w:val="0"/>
          <w:divBdr>
            <w:top w:val="none" w:sz="0" w:space="0" w:color="auto"/>
            <w:left w:val="none" w:sz="0" w:space="0" w:color="auto"/>
            <w:bottom w:val="none" w:sz="0" w:space="0" w:color="auto"/>
            <w:right w:val="none" w:sz="0" w:space="0" w:color="auto"/>
          </w:divBdr>
        </w:div>
      </w:divsChild>
    </w:div>
    <w:div w:id="823354065">
      <w:bodyDiv w:val="1"/>
      <w:marLeft w:val="0"/>
      <w:marRight w:val="0"/>
      <w:marTop w:val="0"/>
      <w:marBottom w:val="0"/>
      <w:divBdr>
        <w:top w:val="none" w:sz="0" w:space="0" w:color="auto"/>
        <w:left w:val="none" w:sz="0" w:space="0" w:color="auto"/>
        <w:bottom w:val="none" w:sz="0" w:space="0" w:color="auto"/>
        <w:right w:val="none" w:sz="0" w:space="0" w:color="auto"/>
      </w:divBdr>
    </w:div>
    <w:div w:id="9995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reginfo.gov/public/jsp/Utilities/EO_12866.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ba.gov/advocacy/regulatory-flexibility-act" TargetMode="External"/><Relationship Id="rId2" Type="http://schemas.openxmlformats.org/officeDocument/2006/relationships/numbering" Target="numbering.xml"/><Relationship Id="rId16" Type="http://schemas.openxmlformats.org/officeDocument/2006/relationships/hyperlink" Target="https://www.energy.gov/nepa/downloads/national-environmental-policy-act-19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leonardje\Downloads\Magnuson-Stevens%20Fishery%20Conservation%20and%20Management%20Act"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AADC-800E-4069-AF64-40C15254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2018-11-19T20:10:00Z</dcterms:created>
  <dcterms:modified xsi:type="dcterms:W3CDTF">2018-11-19T20:10:00Z</dcterms:modified>
</cp:coreProperties>
</file>