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0B2" w:rsidRPr="00821E15" w:rsidRDefault="007070B2" w:rsidP="0047054B">
      <w:pPr>
        <w:jc w:val="center"/>
        <w:rPr>
          <w:b/>
          <w:bCs/>
          <w:caps/>
          <w:szCs w:val="24"/>
        </w:rPr>
      </w:pPr>
      <w:bookmarkStart w:id="0" w:name="_GoBack"/>
      <w:bookmarkEnd w:id="0"/>
      <w:r w:rsidRPr="00821E15">
        <w:rPr>
          <w:b/>
          <w:bCs/>
          <w:caps/>
          <w:szCs w:val="24"/>
        </w:rPr>
        <w:t>SUPPORTING STATEMENT</w:t>
      </w:r>
    </w:p>
    <w:p w:rsidR="007070B2" w:rsidRPr="0017232B" w:rsidRDefault="007070B2" w:rsidP="0047054B">
      <w:pPr>
        <w:widowControl/>
        <w:jc w:val="center"/>
        <w:rPr>
          <w:b/>
          <w:caps/>
          <w:szCs w:val="24"/>
        </w:rPr>
      </w:pPr>
      <w:r>
        <w:rPr>
          <w:b/>
        </w:rPr>
        <w:t>U.S. CARIBBEAN</w:t>
      </w:r>
      <w:r w:rsidRPr="0017232B">
        <w:rPr>
          <w:b/>
        </w:rPr>
        <w:t xml:space="preserve"> </w:t>
      </w:r>
      <w:r>
        <w:rPr>
          <w:b/>
        </w:rPr>
        <w:t>COMMERCIAL FISHERMEN CENSUS</w:t>
      </w:r>
    </w:p>
    <w:p w:rsidR="007070B2" w:rsidRPr="000A221E" w:rsidRDefault="007070B2" w:rsidP="0047054B">
      <w:pPr>
        <w:jc w:val="center"/>
        <w:rPr>
          <w:szCs w:val="24"/>
          <w:lang w:val="pt-BR"/>
        </w:rPr>
      </w:pPr>
      <w:r>
        <w:rPr>
          <w:b/>
          <w:bCs/>
          <w:szCs w:val="24"/>
          <w:lang w:val="pt-BR"/>
        </w:rPr>
        <w:t>OMB CONTROL NO. 0648-XXXX</w:t>
      </w:r>
    </w:p>
    <w:p w:rsidR="007070B2" w:rsidRDefault="007070B2" w:rsidP="00D62F15">
      <w:pPr>
        <w:rPr>
          <w:b/>
          <w:bCs/>
          <w:szCs w:val="24"/>
        </w:rPr>
      </w:pPr>
    </w:p>
    <w:p w:rsidR="007070B2" w:rsidRDefault="007070B2" w:rsidP="00D62F15">
      <w:pPr>
        <w:rPr>
          <w:b/>
          <w:bCs/>
          <w:szCs w:val="24"/>
        </w:rPr>
      </w:pPr>
    </w:p>
    <w:p w:rsidR="007070B2" w:rsidRPr="00A248DC" w:rsidRDefault="007070B2" w:rsidP="00D62F15">
      <w:pPr>
        <w:rPr>
          <w:szCs w:val="24"/>
        </w:rPr>
      </w:pPr>
      <w:r>
        <w:rPr>
          <w:b/>
          <w:bCs/>
          <w:szCs w:val="24"/>
        </w:rPr>
        <w:t>B.</w:t>
      </w:r>
      <w:r>
        <w:rPr>
          <w:b/>
          <w:bCs/>
          <w:szCs w:val="24"/>
        </w:rPr>
        <w:tab/>
      </w:r>
      <w:r w:rsidRPr="00A248DC">
        <w:rPr>
          <w:b/>
          <w:bCs/>
          <w:szCs w:val="24"/>
        </w:rPr>
        <w:t>COLLECTIONS OF INFORMATION EMPLOYING STATISTICAL METHODS</w:t>
      </w:r>
    </w:p>
    <w:p w:rsidR="007070B2" w:rsidRPr="00A248DC" w:rsidRDefault="007070B2" w:rsidP="00D62F15">
      <w:pPr>
        <w:rPr>
          <w:szCs w:val="24"/>
        </w:rPr>
      </w:pPr>
    </w:p>
    <w:p w:rsidR="007070B2" w:rsidRPr="00A248DC" w:rsidRDefault="007070B2" w:rsidP="00D62F1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bCs/>
          <w:szCs w:val="24"/>
        </w:rPr>
      </w:pPr>
      <w:r>
        <w:rPr>
          <w:b/>
          <w:bCs/>
          <w:szCs w:val="24"/>
        </w:rPr>
        <w:t xml:space="preserve">1.  </w:t>
      </w:r>
      <w:r w:rsidRPr="00A248DC">
        <w:rPr>
          <w:b/>
          <w:bCs/>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r w:rsidRPr="00A248DC">
        <w:rPr>
          <w:bCs/>
          <w:szCs w:val="24"/>
        </w:rPr>
        <w:t xml:space="preserve">The proposed data collection intends to sample commercial fishermen in </w:t>
      </w:r>
      <w:r w:rsidR="00C316F3">
        <w:rPr>
          <w:bCs/>
          <w:szCs w:val="24"/>
        </w:rPr>
        <w:t xml:space="preserve">the Commonwealth of </w:t>
      </w:r>
      <w:r w:rsidRPr="00A248DC">
        <w:rPr>
          <w:bCs/>
          <w:szCs w:val="24"/>
        </w:rPr>
        <w:t>Puerto Rico. In total, we plan to complete 1,5</w:t>
      </w:r>
      <w:r w:rsidR="002F6CB2">
        <w:rPr>
          <w:bCs/>
          <w:szCs w:val="24"/>
        </w:rPr>
        <w:t>00</w:t>
      </w:r>
      <w:r w:rsidRPr="00A248DC">
        <w:rPr>
          <w:bCs/>
          <w:szCs w:val="24"/>
        </w:rPr>
        <w:t xml:space="preserve"> surveys with commercial fishermen </w:t>
      </w:r>
      <w:r w:rsidR="00F8656B">
        <w:rPr>
          <w:szCs w:val="24"/>
        </w:rPr>
        <w:t>(Table</w:t>
      </w:r>
      <w:r w:rsidRPr="00A248DC">
        <w:rPr>
          <w:szCs w:val="24"/>
        </w:rPr>
        <w:t xml:space="preserve"> 1)</w:t>
      </w:r>
      <w:r w:rsidRPr="00A248DC">
        <w:rPr>
          <w:bCs/>
          <w:szCs w:val="24"/>
        </w:rPr>
        <w:t>.</w:t>
      </w: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szCs w:val="24"/>
          <w:u w:val="single"/>
        </w:rPr>
      </w:pPr>
      <w:r w:rsidRPr="00A248DC">
        <w:rPr>
          <w:bCs/>
          <w:i/>
          <w:szCs w:val="24"/>
          <w:u w:val="single"/>
        </w:rPr>
        <w:t>Puerto Rico:</w:t>
      </w:r>
    </w:p>
    <w:p w:rsidR="007070B2" w:rsidRPr="00A248DC" w:rsidRDefault="007070B2" w:rsidP="00D62F15">
      <w:pPr>
        <w:rPr>
          <w:i/>
          <w:color w:val="000000"/>
          <w:sz w:val="22"/>
          <w:szCs w:val="22"/>
        </w:rPr>
      </w:pPr>
    </w:p>
    <w:p w:rsidR="007070B2" w:rsidRPr="00A248DC" w:rsidRDefault="007070B2" w:rsidP="00D62F15">
      <w:pPr>
        <w:rPr>
          <w:color w:val="222222"/>
          <w:szCs w:val="24"/>
        </w:rPr>
      </w:pPr>
      <w:r w:rsidRPr="00A248DC">
        <w:rPr>
          <w:color w:val="000000"/>
          <w:szCs w:val="24"/>
        </w:rPr>
        <w:t xml:space="preserve">The Puerto Rican data collection will be structured in two phases. The first phase will </w:t>
      </w:r>
      <w:r w:rsidRPr="00A248DC">
        <w:rPr>
          <w:rFonts w:eastAsia="Times-Roman"/>
          <w:szCs w:val="24"/>
        </w:rPr>
        <w:t>replicate the method used in earlier censuses of active commercial fishermen dating back to 1988 when commercial licenses were optional.</w:t>
      </w:r>
      <w:r w:rsidRPr="00A248DC">
        <w:rPr>
          <w:color w:val="222222"/>
          <w:szCs w:val="24"/>
        </w:rPr>
        <w:t xml:space="preserve"> </w:t>
      </w:r>
      <w:r w:rsidRPr="00A248DC">
        <w:rPr>
          <w:rFonts w:eastAsia="Times-Roman"/>
          <w:szCs w:val="24"/>
        </w:rPr>
        <w:t xml:space="preserve">Briefly, personnel from PR DNER’s Commercial Fisheries Statistics Program, mainly port agents, will organize meetings in every fishing center (locally known as ‘villa pesquera’) to discuss the need for the census and to canvas commercial fishermen in attendance. Fishermen who do not attend these meetings will be identified with the assistance of the presidents of the fishing centers and other fishermen present at the meetings. Port agents will attempt to reach these elusive fishermen at the dock and/or at their homes. We anticipate interviewing about </w:t>
      </w:r>
      <w:r w:rsidR="00F8656B">
        <w:rPr>
          <w:rFonts w:eastAsia="Times-Roman"/>
          <w:szCs w:val="24"/>
        </w:rPr>
        <w:t xml:space="preserve">1,236 </w:t>
      </w:r>
      <w:r w:rsidRPr="00A248DC">
        <w:rPr>
          <w:rFonts w:eastAsia="Times-Roman"/>
          <w:szCs w:val="24"/>
        </w:rPr>
        <w:t>fishermen in this fashion. This group represents mainly those “active” fishermen</w:t>
      </w:r>
      <w:r w:rsidR="00D62F15">
        <w:rPr>
          <w:rFonts w:eastAsia="Times-Roman"/>
          <w:szCs w:val="24"/>
        </w:rPr>
        <w:t xml:space="preserve"> --</w:t>
      </w:r>
      <w:r w:rsidRPr="00A248DC">
        <w:rPr>
          <w:rFonts w:eastAsia="Times-Roman"/>
          <w:szCs w:val="24"/>
        </w:rPr>
        <w:t xml:space="preserve"> those who report landings statistics.</w:t>
      </w:r>
      <w:r w:rsidRPr="00A248DC">
        <w:rPr>
          <w:color w:val="222222"/>
          <w:szCs w:val="24"/>
        </w:rPr>
        <w:t xml:space="preserve"> This would likely sample most of the “active” fishers in the community which would be comparable to the population sampled in previous (“fishermen census</w:t>
      </w:r>
      <w:r w:rsidRPr="00A248DC">
        <w:rPr>
          <w:rStyle w:val="FootnoteReference"/>
          <w:color w:val="222222"/>
          <w:szCs w:val="24"/>
        </w:rPr>
        <w:footnoteReference w:id="1"/>
      </w:r>
      <w:r w:rsidRPr="00A248DC">
        <w:rPr>
          <w:color w:val="222222"/>
          <w:szCs w:val="24"/>
        </w:rPr>
        <w:t>”) efforts.</w:t>
      </w:r>
    </w:p>
    <w:p w:rsidR="007070B2" w:rsidRPr="00A248DC" w:rsidRDefault="007070B2" w:rsidP="00D62F15">
      <w:pPr>
        <w:rPr>
          <w:color w:val="000000"/>
          <w:szCs w:val="24"/>
        </w:rPr>
      </w:pPr>
    </w:p>
    <w:p w:rsidR="007070B2" w:rsidRDefault="007070B2" w:rsidP="00D62F15">
      <w:pPr>
        <w:shd w:val="clear" w:color="auto" w:fill="FFFFFF"/>
        <w:rPr>
          <w:rFonts w:eastAsia="Times-Roman"/>
          <w:szCs w:val="24"/>
        </w:rPr>
      </w:pPr>
      <w:r w:rsidRPr="0043486F">
        <w:rPr>
          <w:rFonts w:eastAsia="Times-Roman"/>
          <w:szCs w:val="24"/>
        </w:rPr>
        <w:t>In the second phase, we would sample the “other” fishermen from the license database that were not sampled in the first phase. These “other” fishermen have a valid fishing license but do not report landings.</w:t>
      </w:r>
      <w:r w:rsidR="002C48DF" w:rsidRPr="0043486F">
        <w:rPr>
          <w:rFonts w:eastAsia="Times-Roman"/>
          <w:szCs w:val="24"/>
        </w:rPr>
        <w:t xml:space="preserve"> Many of these “other” licenses holders are probably </w:t>
      </w:r>
      <w:r w:rsidR="0043486F" w:rsidRPr="0043486F">
        <w:t>recreational fishermen</w:t>
      </w:r>
      <w:r w:rsidR="002C48DF" w:rsidRPr="0043486F">
        <w:t xml:space="preserve"> who have them just to keep their options open (so that they can sell their catch to local restaurants) and occasional commercial fishermen who may fish sporadically to supplement their income from a full-time job. Given the part-time nature of their fishing activities it is likely that many do not bother filling out catch forms. Also, there may be a group of license holders who intend to become active fishermen but do not for various reasons (e.g., lack of time</w:t>
      </w:r>
      <w:r w:rsidR="00C316F3">
        <w:t xml:space="preserve">, damaged vessels </w:t>
      </w:r>
      <w:r w:rsidR="00C316F3">
        <w:lastRenderedPageBreak/>
        <w:t>and/or equipment after the hurricanes</w:t>
      </w:r>
      <w:r w:rsidR="002C48DF" w:rsidRPr="0043486F">
        <w:t xml:space="preserve">). </w:t>
      </w:r>
      <w:r w:rsidRPr="00A248DC">
        <w:rPr>
          <w:rFonts w:eastAsia="Times-Roman"/>
          <w:szCs w:val="24"/>
        </w:rPr>
        <w:t xml:space="preserve">Currently, there is a total of </w:t>
      </w:r>
      <w:r w:rsidR="00F8656B">
        <w:rPr>
          <w:rFonts w:eastAsia="Times-Roman"/>
          <w:szCs w:val="24"/>
        </w:rPr>
        <w:t>2,000</w:t>
      </w:r>
      <w:r w:rsidRPr="00A248DC">
        <w:rPr>
          <w:rFonts w:eastAsia="Times-Roman"/>
          <w:szCs w:val="24"/>
        </w:rPr>
        <w:t xml:space="preserve"> fishermen of which 1,</w:t>
      </w:r>
      <w:r w:rsidR="00F8656B">
        <w:rPr>
          <w:rFonts w:eastAsia="Times-Roman"/>
          <w:szCs w:val="24"/>
        </w:rPr>
        <w:t>236</w:t>
      </w:r>
      <w:r w:rsidRPr="00A248DC">
        <w:rPr>
          <w:rFonts w:eastAsia="Times-Roman"/>
          <w:szCs w:val="24"/>
        </w:rPr>
        <w:t xml:space="preserve"> report landings statistics (i.e., above cited active fishermen) so if we want a representative sample of the remaining </w:t>
      </w:r>
      <w:r w:rsidR="00F8656B">
        <w:rPr>
          <w:rFonts w:eastAsia="Times-Roman"/>
          <w:szCs w:val="24"/>
        </w:rPr>
        <w:t>764</w:t>
      </w:r>
      <w:r w:rsidRPr="00A248DC">
        <w:rPr>
          <w:rFonts w:eastAsia="Times-Roman"/>
          <w:szCs w:val="24"/>
        </w:rPr>
        <w:t xml:space="preserve"> licensed fishermen (who do not report landings) we need to </w:t>
      </w:r>
      <w:r w:rsidR="000E3188">
        <w:rPr>
          <w:rFonts w:eastAsia="Times-Roman"/>
          <w:szCs w:val="24"/>
        </w:rPr>
        <w:t>449</w:t>
      </w:r>
      <w:r w:rsidRPr="00A248DC">
        <w:rPr>
          <w:rFonts w:eastAsia="Times-Roman"/>
          <w:szCs w:val="24"/>
        </w:rPr>
        <w:t xml:space="preserve"> completed surveys.</w:t>
      </w:r>
      <w:r>
        <w:rPr>
          <w:rFonts w:eastAsia="Times-Roman"/>
          <w:szCs w:val="24"/>
        </w:rPr>
        <w:t xml:space="preserve"> </w:t>
      </w:r>
    </w:p>
    <w:p w:rsidR="007070B2" w:rsidRDefault="007070B2" w:rsidP="00D62F15">
      <w:pPr>
        <w:shd w:val="clear" w:color="auto" w:fill="FFFFFF"/>
        <w:rPr>
          <w:rFonts w:eastAsia="Times-Roman"/>
          <w:szCs w:val="24"/>
        </w:rPr>
      </w:pPr>
    </w:p>
    <w:p w:rsidR="008640F4" w:rsidRPr="00A248DC" w:rsidRDefault="00C316F3" w:rsidP="008640F4">
      <w:pPr>
        <w:shd w:val="clear" w:color="auto" w:fill="FFFFFF"/>
        <w:rPr>
          <w:rFonts w:eastAsia="Times-Roman"/>
          <w:szCs w:val="24"/>
        </w:rPr>
      </w:pPr>
      <w:r>
        <w:rPr>
          <w:rFonts w:eastAsia="Times-Roman"/>
          <w:szCs w:val="24"/>
        </w:rPr>
        <w:t>Because</w:t>
      </w:r>
      <w:r w:rsidR="00A00418">
        <w:rPr>
          <w:rFonts w:eastAsia="Times-Roman"/>
          <w:szCs w:val="24"/>
        </w:rPr>
        <w:t xml:space="preserve"> the last commercial fishermen census in </w:t>
      </w:r>
      <w:r w:rsidR="002E16AD">
        <w:rPr>
          <w:rFonts w:eastAsia="Times-Roman"/>
          <w:szCs w:val="24"/>
        </w:rPr>
        <w:t>the Commonwealth of Puerto Rico</w:t>
      </w:r>
      <w:r w:rsidR="00A00418">
        <w:rPr>
          <w:rFonts w:eastAsia="Times-Roman"/>
          <w:szCs w:val="24"/>
        </w:rPr>
        <w:t xml:space="preserve"> took place about 10 years ago</w:t>
      </w:r>
      <w:r w:rsidR="002E16AD">
        <w:rPr>
          <w:rFonts w:eastAsia="Times-Roman"/>
          <w:szCs w:val="24"/>
        </w:rPr>
        <w:t>, we</w:t>
      </w:r>
      <w:r w:rsidR="00A00418">
        <w:rPr>
          <w:rFonts w:eastAsia="Times-Roman"/>
          <w:szCs w:val="24"/>
        </w:rPr>
        <w:t xml:space="preserve"> used a slightly more conservative response rate</w:t>
      </w:r>
      <w:r w:rsidR="003B39A5">
        <w:rPr>
          <w:rFonts w:eastAsia="Times-Roman"/>
          <w:szCs w:val="24"/>
        </w:rPr>
        <w:t xml:space="preserve"> </w:t>
      </w:r>
      <w:r w:rsidR="00A00418">
        <w:rPr>
          <w:rFonts w:eastAsia="Times-Roman"/>
          <w:szCs w:val="24"/>
        </w:rPr>
        <w:t xml:space="preserve">than the one reported by Kojis, Quinn and Agar (2016) when they </w:t>
      </w:r>
      <w:r w:rsidR="004E7A5E">
        <w:rPr>
          <w:rFonts w:eastAsia="Times-Roman"/>
          <w:szCs w:val="24"/>
        </w:rPr>
        <w:t xml:space="preserve">fielded </w:t>
      </w:r>
      <w:r w:rsidR="003B39A5">
        <w:rPr>
          <w:rFonts w:eastAsia="Times-Roman"/>
          <w:szCs w:val="24"/>
        </w:rPr>
        <w:t>an almost identical</w:t>
      </w:r>
      <w:r w:rsidR="004E7A5E">
        <w:rPr>
          <w:rFonts w:eastAsia="Times-Roman"/>
          <w:szCs w:val="24"/>
        </w:rPr>
        <w:t xml:space="preserve"> </w:t>
      </w:r>
      <w:r w:rsidR="003B39A5">
        <w:rPr>
          <w:rFonts w:eastAsia="Times-Roman"/>
          <w:szCs w:val="24"/>
        </w:rPr>
        <w:t xml:space="preserve">census form </w:t>
      </w:r>
      <w:r w:rsidR="00A00418">
        <w:rPr>
          <w:rFonts w:eastAsia="Times-Roman"/>
          <w:szCs w:val="24"/>
        </w:rPr>
        <w:t>in St. Croix</w:t>
      </w:r>
      <w:r w:rsidR="003B39A5">
        <w:rPr>
          <w:rFonts w:eastAsia="Times-Roman"/>
          <w:szCs w:val="24"/>
        </w:rPr>
        <w:t xml:space="preserve"> in 2016  (85% vs 87%)</w:t>
      </w:r>
      <w:r w:rsidR="00A00418">
        <w:rPr>
          <w:rFonts w:eastAsia="Times-Roman"/>
          <w:szCs w:val="24"/>
        </w:rPr>
        <w:t>.</w:t>
      </w:r>
      <w:r w:rsidR="004E7A5E">
        <w:rPr>
          <w:rStyle w:val="FootnoteReference"/>
          <w:rFonts w:eastAsia="Times-Roman"/>
          <w:szCs w:val="24"/>
        </w:rPr>
        <w:footnoteReference w:id="2"/>
      </w:r>
      <w:r w:rsidR="00A00418">
        <w:rPr>
          <w:rFonts w:eastAsia="Times-Roman"/>
          <w:szCs w:val="24"/>
        </w:rPr>
        <w:t xml:space="preserve"> </w:t>
      </w:r>
      <w:r w:rsidR="003B39A5">
        <w:rPr>
          <w:rFonts w:eastAsia="Times-Roman"/>
          <w:szCs w:val="24"/>
        </w:rPr>
        <w:t xml:space="preserve"> </w:t>
      </w:r>
      <w:r w:rsidR="00A00418">
        <w:rPr>
          <w:rFonts w:eastAsia="Times-Roman"/>
          <w:szCs w:val="24"/>
        </w:rPr>
        <w:t>St. Croix has a large percentage of fishermen of Puerto Rican descent.</w:t>
      </w:r>
      <w:r w:rsidR="003B39A5">
        <w:rPr>
          <w:rFonts w:eastAsia="Times-Roman"/>
          <w:szCs w:val="24"/>
        </w:rPr>
        <w:t xml:space="preserve"> </w:t>
      </w:r>
      <w:r w:rsidR="008640F4">
        <w:rPr>
          <w:rFonts w:eastAsia="Times-Roman"/>
          <w:szCs w:val="24"/>
        </w:rPr>
        <w:t>We used a 85% response rate for ‘active’ fishermen and</w:t>
      </w:r>
      <w:r w:rsidR="00D122FE">
        <w:rPr>
          <w:rFonts w:eastAsia="Times-Roman"/>
          <w:szCs w:val="24"/>
        </w:rPr>
        <w:t xml:space="preserve"> a</w:t>
      </w:r>
      <w:r w:rsidR="008640F4">
        <w:rPr>
          <w:rFonts w:eastAsia="Times-Roman"/>
          <w:szCs w:val="24"/>
        </w:rPr>
        <w:t xml:space="preserve"> slightly lower response rate (80%) for the ‘other’ fishermen to reflect the greater uncertainty or anticipated greater difficulty in contacting members of this population</w:t>
      </w:r>
      <w:r w:rsidR="008640F4" w:rsidRPr="008640F4">
        <w:rPr>
          <w:rFonts w:eastAsia="Times-Roman"/>
          <w:szCs w:val="24"/>
        </w:rPr>
        <w:t xml:space="preserve"> </w:t>
      </w:r>
      <w:r w:rsidR="008640F4">
        <w:rPr>
          <w:rFonts w:eastAsia="Times-Roman"/>
          <w:szCs w:val="24"/>
        </w:rPr>
        <w:t>since they are usually not found in ‘villas pesqueras’.</w:t>
      </w:r>
    </w:p>
    <w:p w:rsidR="007070B2" w:rsidRPr="00A248DC" w:rsidRDefault="007070B2" w:rsidP="00D62F15">
      <w:pPr>
        <w:shd w:val="clear" w:color="auto" w:fill="FFFFFF"/>
        <w:rPr>
          <w:rFonts w:eastAsia="Times-Roman"/>
          <w:szCs w:val="24"/>
        </w:rPr>
      </w:pPr>
    </w:p>
    <w:p w:rsidR="007070B2" w:rsidRPr="00E94E69" w:rsidRDefault="007070B2" w:rsidP="00D62F15">
      <w:pPr>
        <w:pStyle w:val="BodyText3"/>
        <w:spacing w:after="0"/>
        <w:rPr>
          <w:b/>
          <w:sz w:val="20"/>
          <w:szCs w:val="20"/>
        </w:rPr>
      </w:pPr>
      <w:r w:rsidRPr="00E94E69">
        <w:rPr>
          <w:b/>
          <w:sz w:val="20"/>
          <w:szCs w:val="20"/>
        </w:rPr>
        <w:t>Table 1: Sampling design for the Commonwealth of Puerto Rico.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260"/>
        <w:gridCol w:w="1530"/>
        <w:gridCol w:w="1440"/>
        <w:gridCol w:w="1998"/>
      </w:tblGrid>
      <w:tr w:rsidR="007070B2" w:rsidRPr="00A248DC">
        <w:tc>
          <w:tcPr>
            <w:tcW w:w="3240" w:type="dxa"/>
            <w:shd w:val="clear" w:color="auto" w:fill="D9D9D9" w:themeFill="background1" w:themeFillShade="D9"/>
            <w:vAlign w:val="center"/>
          </w:tcPr>
          <w:p w:rsidR="007070B2" w:rsidRPr="00E94E69" w:rsidRDefault="007070B2" w:rsidP="00D62F15">
            <w:pPr>
              <w:rPr>
                <w:b/>
                <w:szCs w:val="22"/>
              </w:rPr>
            </w:pPr>
            <w:r w:rsidRPr="00E94E69">
              <w:rPr>
                <w:b/>
                <w:sz w:val="22"/>
                <w:szCs w:val="22"/>
              </w:rPr>
              <w:t>Strata</w:t>
            </w:r>
          </w:p>
        </w:tc>
        <w:tc>
          <w:tcPr>
            <w:tcW w:w="1260" w:type="dxa"/>
            <w:shd w:val="clear" w:color="auto" w:fill="D9D9D9" w:themeFill="background1" w:themeFillShade="D9"/>
            <w:vAlign w:val="center"/>
          </w:tcPr>
          <w:p w:rsidR="007070B2" w:rsidRPr="00E94E69" w:rsidRDefault="007070B2" w:rsidP="00D62F15">
            <w:pPr>
              <w:rPr>
                <w:b/>
                <w:szCs w:val="22"/>
              </w:rPr>
            </w:pPr>
            <w:r w:rsidRPr="00E94E69">
              <w:rPr>
                <w:b/>
                <w:sz w:val="22"/>
                <w:szCs w:val="22"/>
              </w:rPr>
              <w:t>Population Size</w:t>
            </w:r>
          </w:p>
        </w:tc>
        <w:tc>
          <w:tcPr>
            <w:tcW w:w="1530" w:type="dxa"/>
            <w:shd w:val="clear" w:color="auto" w:fill="D9D9D9" w:themeFill="background1" w:themeFillShade="D9"/>
            <w:vAlign w:val="center"/>
          </w:tcPr>
          <w:p w:rsidR="007070B2" w:rsidRPr="00E94E69" w:rsidRDefault="007070B2" w:rsidP="00D62F15">
            <w:pPr>
              <w:rPr>
                <w:b/>
                <w:szCs w:val="22"/>
              </w:rPr>
            </w:pPr>
            <w:r w:rsidRPr="00E94E69">
              <w:rPr>
                <w:b/>
                <w:sz w:val="22"/>
                <w:szCs w:val="22"/>
              </w:rPr>
              <w:t>Survey Sample</w:t>
            </w:r>
          </w:p>
        </w:tc>
        <w:tc>
          <w:tcPr>
            <w:tcW w:w="1440" w:type="dxa"/>
            <w:shd w:val="clear" w:color="auto" w:fill="D9D9D9" w:themeFill="background1" w:themeFillShade="D9"/>
            <w:vAlign w:val="center"/>
          </w:tcPr>
          <w:p w:rsidR="007070B2" w:rsidRPr="00E94E69" w:rsidRDefault="007070B2" w:rsidP="00D62F15">
            <w:pPr>
              <w:rPr>
                <w:b/>
                <w:szCs w:val="22"/>
              </w:rPr>
            </w:pPr>
            <w:r w:rsidRPr="00E94E69">
              <w:rPr>
                <w:b/>
                <w:sz w:val="22"/>
                <w:szCs w:val="22"/>
              </w:rPr>
              <w:t>Expected Response Rate</w:t>
            </w:r>
          </w:p>
        </w:tc>
        <w:tc>
          <w:tcPr>
            <w:tcW w:w="1998" w:type="dxa"/>
            <w:shd w:val="clear" w:color="auto" w:fill="D9D9D9" w:themeFill="background1" w:themeFillShade="D9"/>
            <w:vAlign w:val="center"/>
          </w:tcPr>
          <w:p w:rsidR="007070B2" w:rsidRPr="00E94E69" w:rsidRDefault="007070B2" w:rsidP="00D62F15">
            <w:pPr>
              <w:rPr>
                <w:b/>
                <w:szCs w:val="22"/>
              </w:rPr>
            </w:pPr>
            <w:r w:rsidRPr="00E94E69">
              <w:rPr>
                <w:b/>
                <w:sz w:val="22"/>
                <w:szCs w:val="22"/>
              </w:rPr>
              <w:t>Expected  Number of Completed Surveys per Strata</w:t>
            </w:r>
          </w:p>
        </w:tc>
      </w:tr>
      <w:tr w:rsidR="007070B2" w:rsidRPr="00A248DC">
        <w:tc>
          <w:tcPr>
            <w:tcW w:w="3240" w:type="dxa"/>
            <w:shd w:val="clear" w:color="auto" w:fill="D9D9D9" w:themeFill="background1" w:themeFillShade="D9"/>
            <w:vAlign w:val="center"/>
          </w:tcPr>
          <w:p w:rsidR="007070B2" w:rsidRPr="00A248DC" w:rsidRDefault="007070B2" w:rsidP="00D62F15">
            <w:pPr>
              <w:pStyle w:val="BodyText3"/>
              <w:spacing w:after="0"/>
              <w:rPr>
                <w:sz w:val="22"/>
                <w:szCs w:val="22"/>
              </w:rPr>
            </w:pPr>
          </w:p>
        </w:tc>
        <w:tc>
          <w:tcPr>
            <w:tcW w:w="1260" w:type="dxa"/>
            <w:shd w:val="clear" w:color="auto" w:fill="auto"/>
            <w:vAlign w:val="center"/>
          </w:tcPr>
          <w:p w:rsidR="007070B2" w:rsidRPr="00A248DC" w:rsidRDefault="007070B2" w:rsidP="00D62F15">
            <w:pPr>
              <w:rPr>
                <w:szCs w:val="22"/>
              </w:rPr>
            </w:pPr>
          </w:p>
        </w:tc>
        <w:tc>
          <w:tcPr>
            <w:tcW w:w="1530" w:type="dxa"/>
            <w:shd w:val="clear" w:color="auto" w:fill="auto"/>
            <w:vAlign w:val="center"/>
          </w:tcPr>
          <w:p w:rsidR="007070B2" w:rsidRPr="00A248DC" w:rsidRDefault="007070B2" w:rsidP="00D62F15">
            <w:pPr>
              <w:rPr>
                <w:szCs w:val="22"/>
              </w:rPr>
            </w:pPr>
          </w:p>
        </w:tc>
        <w:tc>
          <w:tcPr>
            <w:tcW w:w="1440" w:type="dxa"/>
            <w:shd w:val="clear" w:color="auto" w:fill="auto"/>
            <w:vAlign w:val="center"/>
          </w:tcPr>
          <w:p w:rsidR="007070B2" w:rsidRPr="00A248DC" w:rsidRDefault="007070B2" w:rsidP="00D62F15">
            <w:pPr>
              <w:rPr>
                <w:szCs w:val="22"/>
              </w:rPr>
            </w:pPr>
          </w:p>
        </w:tc>
        <w:tc>
          <w:tcPr>
            <w:tcW w:w="1998" w:type="dxa"/>
            <w:shd w:val="clear" w:color="auto" w:fill="auto"/>
            <w:vAlign w:val="center"/>
          </w:tcPr>
          <w:p w:rsidR="007070B2" w:rsidRPr="00A248DC" w:rsidRDefault="007070B2" w:rsidP="00D62F15">
            <w:pPr>
              <w:rPr>
                <w:szCs w:val="22"/>
              </w:rPr>
            </w:pPr>
          </w:p>
        </w:tc>
      </w:tr>
      <w:tr w:rsidR="007070B2" w:rsidRPr="00A248DC">
        <w:tc>
          <w:tcPr>
            <w:tcW w:w="3240" w:type="dxa"/>
            <w:shd w:val="clear" w:color="auto" w:fill="D9D9D9" w:themeFill="background1" w:themeFillShade="D9"/>
            <w:vAlign w:val="center"/>
          </w:tcPr>
          <w:p w:rsidR="007070B2" w:rsidRPr="00A248DC" w:rsidRDefault="007070B2" w:rsidP="00D62F15">
            <w:pPr>
              <w:rPr>
                <w:szCs w:val="22"/>
              </w:rPr>
            </w:pPr>
            <w:r w:rsidRPr="00A248DC">
              <w:rPr>
                <w:sz w:val="22"/>
                <w:szCs w:val="22"/>
              </w:rPr>
              <w:t>“Active” licensed fishermen (reporting landing statistics)</w:t>
            </w:r>
          </w:p>
        </w:tc>
        <w:tc>
          <w:tcPr>
            <w:tcW w:w="1260" w:type="dxa"/>
            <w:shd w:val="clear" w:color="auto" w:fill="auto"/>
            <w:vAlign w:val="center"/>
          </w:tcPr>
          <w:p w:rsidR="007070B2" w:rsidRPr="00A248DC" w:rsidRDefault="002F6CB2" w:rsidP="00DB2B5D">
            <w:pPr>
              <w:ind w:left="-18"/>
              <w:jc w:val="center"/>
              <w:rPr>
                <w:szCs w:val="22"/>
              </w:rPr>
            </w:pPr>
            <w:r>
              <w:rPr>
                <w:sz w:val="22"/>
                <w:szCs w:val="22"/>
              </w:rPr>
              <w:t>1,236</w:t>
            </w:r>
          </w:p>
        </w:tc>
        <w:tc>
          <w:tcPr>
            <w:tcW w:w="1530" w:type="dxa"/>
            <w:shd w:val="clear" w:color="auto" w:fill="auto"/>
            <w:vAlign w:val="center"/>
          </w:tcPr>
          <w:p w:rsidR="007070B2" w:rsidRPr="00A248DC" w:rsidRDefault="002F6CB2" w:rsidP="00DB2B5D">
            <w:pPr>
              <w:ind w:left="-18"/>
              <w:jc w:val="center"/>
              <w:rPr>
                <w:color w:val="000000"/>
                <w:szCs w:val="22"/>
              </w:rPr>
            </w:pPr>
            <w:r>
              <w:rPr>
                <w:color w:val="000000"/>
                <w:sz w:val="22"/>
                <w:szCs w:val="22"/>
              </w:rPr>
              <w:t>1,236</w:t>
            </w:r>
          </w:p>
        </w:tc>
        <w:tc>
          <w:tcPr>
            <w:tcW w:w="1440" w:type="dxa"/>
            <w:shd w:val="clear" w:color="auto" w:fill="auto"/>
            <w:vAlign w:val="center"/>
          </w:tcPr>
          <w:p w:rsidR="007070B2" w:rsidRPr="00A248DC" w:rsidRDefault="007070B2" w:rsidP="00DB2B5D">
            <w:pPr>
              <w:ind w:left="-18"/>
              <w:jc w:val="center"/>
              <w:rPr>
                <w:szCs w:val="22"/>
              </w:rPr>
            </w:pPr>
            <w:r w:rsidRPr="00A248DC">
              <w:rPr>
                <w:sz w:val="22"/>
                <w:szCs w:val="22"/>
              </w:rPr>
              <w:t>0.85</w:t>
            </w:r>
          </w:p>
        </w:tc>
        <w:tc>
          <w:tcPr>
            <w:tcW w:w="1998" w:type="dxa"/>
            <w:shd w:val="clear" w:color="auto" w:fill="auto"/>
            <w:vAlign w:val="center"/>
          </w:tcPr>
          <w:p w:rsidR="007070B2" w:rsidRPr="00A248DC" w:rsidRDefault="002F6CB2" w:rsidP="00DB2B5D">
            <w:pPr>
              <w:ind w:left="-18"/>
              <w:jc w:val="center"/>
              <w:rPr>
                <w:color w:val="000000"/>
                <w:szCs w:val="22"/>
              </w:rPr>
            </w:pPr>
            <w:r>
              <w:rPr>
                <w:color w:val="000000"/>
                <w:sz w:val="22"/>
                <w:szCs w:val="22"/>
              </w:rPr>
              <w:t>1051</w:t>
            </w:r>
          </w:p>
        </w:tc>
      </w:tr>
      <w:tr w:rsidR="007070B2" w:rsidRPr="00A248DC">
        <w:tc>
          <w:tcPr>
            <w:tcW w:w="3240" w:type="dxa"/>
            <w:shd w:val="clear" w:color="auto" w:fill="D9D9D9" w:themeFill="background1" w:themeFillShade="D9"/>
            <w:vAlign w:val="center"/>
          </w:tcPr>
          <w:p w:rsidR="007070B2" w:rsidRPr="00A248DC" w:rsidRDefault="007070B2" w:rsidP="00D62F15">
            <w:pPr>
              <w:rPr>
                <w:szCs w:val="22"/>
              </w:rPr>
            </w:pPr>
            <w:r w:rsidRPr="00A248DC">
              <w:rPr>
                <w:sz w:val="22"/>
                <w:szCs w:val="22"/>
              </w:rPr>
              <w:t>“Other” licensed fishermen (not reporting landing statistics)</w:t>
            </w:r>
          </w:p>
        </w:tc>
        <w:tc>
          <w:tcPr>
            <w:tcW w:w="1260" w:type="dxa"/>
            <w:shd w:val="clear" w:color="auto" w:fill="auto"/>
            <w:vAlign w:val="center"/>
          </w:tcPr>
          <w:p w:rsidR="007070B2" w:rsidRPr="00A248DC" w:rsidRDefault="002F6CB2" w:rsidP="00DB2B5D">
            <w:pPr>
              <w:ind w:left="-18"/>
              <w:jc w:val="center"/>
              <w:rPr>
                <w:szCs w:val="22"/>
              </w:rPr>
            </w:pPr>
            <w:r>
              <w:rPr>
                <w:sz w:val="22"/>
                <w:szCs w:val="22"/>
              </w:rPr>
              <w:t>764</w:t>
            </w:r>
          </w:p>
        </w:tc>
        <w:tc>
          <w:tcPr>
            <w:tcW w:w="1530" w:type="dxa"/>
            <w:shd w:val="clear" w:color="auto" w:fill="auto"/>
            <w:vAlign w:val="center"/>
          </w:tcPr>
          <w:p w:rsidR="007070B2" w:rsidRPr="00A248DC" w:rsidRDefault="002F6CB2" w:rsidP="00DB2B5D">
            <w:pPr>
              <w:ind w:left="-18"/>
              <w:jc w:val="center"/>
              <w:rPr>
                <w:color w:val="000000"/>
                <w:szCs w:val="22"/>
              </w:rPr>
            </w:pPr>
            <w:r>
              <w:rPr>
                <w:color w:val="000000"/>
                <w:sz w:val="22"/>
                <w:szCs w:val="22"/>
              </w:rPr>
              <w:t>561</w:t>
            </w:r>
          </w:p>
        </w:tc>
        <w:tc>
          <w:tcPr>
            <w:tcW w:w="1440" w:type="dxa"/>
            <w:shd w:val="clear" w:color="auto" w:fill="auto"/>
            <w:vAlign w:val="center"/>
          </w:tcPr>
          <w:p w:rsidR="007070B2" w:rsidRPr="00A248DC" w:rsidRDefault="007070B2" w:rsidP="00DB2B5D">
            <w:pPr>
              <w:ind w:left="-18"/>
              <w:jc w:val="center"/>
              <w:rPr>
                <w:szCs w:val="22"/>
              </w:rPr>
            </w:pPr>
            <w:r w:rsidRPr="00A248DC">
              <w:rPr>
                <w:sz w:val="22"/>
                <w:szCs w:val="22"/>
              </w:rPr>
              <w:t>0.80</w:t>
            </w:r>
          </w:p>
        </w:tc>
        <w:tc>
          <w:tcPr>
            <w:tcW w:w="1998" w:type="dxa"/>
            <w:shd w:val="clear" w:color="auto" w:fill="auto"/>
            <w:vAlign w:val="center"/>
          </w:tcPr>
          <w:p w:rsidR="007070B2" w:rsidRPr="00A248DC" w:rsidRDefault="002F6CB2" w:rsidP="00DB2B5D">
            <w:pPr>
              <w:ind w:left="-18"/>
              <w:jc w:val="center"/>
              <w:rPr>
                <w:color w:val="000000"/>
                <w:szCs w:val="22"/>
              </w:rPr>
            </w:pPr>
            <w:r>
              <w:rPr>
                <w:color w:val="000000"/>
                <w:szCs w:val="22"/>
              </w:rPr>
              <w:t>449</w:t>
            </w:r>
          </w:p>
        </w:tc>
      </w:tr>
      <w:tr w:rsidR="007070B2" w:rsidRPr="00A248DC">
        <w:tc>
          <w:tcPr>
            <w:tcW w:w="3240" w:type="dxa"/>
            <w:shd w:val="clear" w:color="auto" w:fill="D9D9D9" w:themeFill="background1" w:themeFillShade="D9"/>
            <w:vAlign w:val="center"/>
          </w:tcPr>
          <w:p w:rsidR="007070B2" w:rsidRPr="00A248DC" w:rsidRDefault="007070B2" w:rsidP="00D62F15">
            <w:pPr>
              <w:rPr>
                <w:szCs w:val="22"/>
              </w:rPr>
            </w:pPr>
          </w:p>
        </w:tc>
        <w:tc>
          <w:tcPr>
            <w:tcW w:w="1260" w:type="dxa"/>
            <w:shd w:val="clear" w:color="auto" w:fill="auto"/>
            <w:vAlign w:val="center"/>
          </w:tcPr>
          <w:p w:rsidR="007070B2" w:rsidRPr="00A248DC" w:rsidRDefault="007070B2" w:rsidP="00DB2B5D">
            <w:pPr>
              <w:ind w:left="-18"/>
              <w:jc w:val="center"/>
              <w:rPr>
                <w:szCs w:val="22"/>
              </w:rPr>
            </w:pPr>
          </w:p>
        </w:tc>
        <w:tc>
          <w:tcPr>
            <w:tcW w:w="1530" w:type="dxa"/>
            <w:shd w:val="clear" w:color="auto" w:fill="auto"/>
            <w:vAlign w:val="center"/>
          </w:tcPr>
          <w:p w:rsidR="007070B2" w:rsidRPr="00A248DC" w:rsidRDefault="007070B2" w:rsidP="00DB2B5D">
            <w:pPr>
              <w:ind w:left="-18" w:firstLineChars="200" w:firstLine="480"/>
              <w:jc w:val="center"/>
              <w:rPr>
                <w:color w:val="000000"/>
                <w:szCs w:val="22"/>
              </w:rPr>
            </w:pPr>
          </w:p>
        </w:tc>
        <w:tc>
          <w:tcPr>
            <w:tcW w:w="1440" w:type="dxa"/>
            <w:shd w:val="clear" w:color="auto" w:fill="auto"/>
            <w:vAlign w:val="center"/>
          </w:tcPr>
          <w:p w:rsidR="007070B2" w:rsidRPr="00A248DC" w:rsidRDefault="007070B2" w:rsidP="00DB2B5D">
            <w:pPr>
              <w:ind w:left="-18"/>
              <w:jc w:val="center"/>
              <w:rPr>
                <w:szCs w:val="22"/>
              </w:rPr>
            </w:pPr>
          </w:p>
        </w:tc>
        <w:tc>
          <w:tcPr>
            <w:tcW w:w="1998" w:type="dxa"/>
            <w:shd w:val="clear" w:color="auto" w:fill="auto"/>
            <w:vAlign w:val="center"/>
          </w:tcPr>
          <w:p w:rsidR="007070B2" w:rsidRPr="00A248DC" w:rsidRDefault="007070B2" w:rsidP="00DB2B5D">
            <w:pPr>
              <w:ind w:left="-18"/>
              <w:jc w:val="center"/>
              <w:rPr>
                <w:color w:val="000000"/>
                <w:szCs w:val="22"/>
              </w:rPr>
            </w:pPr>
          </w:p>
        </w:tc>
      </w:tr>
      <w:tr w:rsidR="007070B2" w:rsidRPr="00A248DC">
        <w:tc>
          <w:tcPr>
            <w:tcW w:w="3240" w:type="dxa"/>
            <w:shd w:val="clear" w:color="auto" w:fill="D9D9D9" w:themeFill="background1" w:themeFillShade="D9"/>
            <w:vAlign w:val="center"/>
          </w:tcPr>
          <w:p w:rsidR="007070B2" w:rsidRPr="00A248DC" w:rsidRDefault="007070B2" w:rsidP="00D62F15">
            <w:pPr>
              <w:rPr>
                <w:b/>
                <w:szCs w:val="22"/>
              </w:rPr>
            </w:pPr>
            <w:r w:rsidRPr="00A248DC">
              <w:rPr>
                <w:b/>
                <w:sz w:val="22"/>
                <w:szCs w:val="22"/>
              </w:rPr>
              <w:t>Total</w:t>
            </w:r>
          </w:p>
        </w:tc>
        <w:tc>
          <w:tcPr>
            <w:tcW w:w="1260" w:type="dxa"/>
            <w:shd w:val="clear" w:color="auto" w:fill="auto"/>
            <w:vAlign w:val="center"/>
          </w:tcPr>
          <w:p w:rsidR="007070B2" w:rsidRPr="00A248DC" w:rsidRDefault="002F6CB2" w:rsidP="00DB2B5D">
            <w:pPr>
              <w:ind w:left="-18"/>
              <w:jc w:val="center"/>
              <w:rPr>
                <w:b/>
                <w:szCs w:val="22"/>
              </w:rPr>
            </w:pPr>
            <w:r>
              <w:rPr>
                <w:b/>
                <w:sz w:val="22"/>
                <w:szCs w:val="22"/>
              </w:rPr>
              <w:t>2,000</w:t>
            </w:r>
          </w:p>
        </w:tc>
        <w:tc>
          <w:tcPr>
            <w:tcW w:w="1530" w:type="dxa"/>
            <w:shd w:val="clear" w:color="auto" w:fill="auto"/>
            <w:vAlign w:val="center"/>
          </w:tcPr>
          <w:p w:rsidR="007070B2" w:rsidRPr="00A248DC" w:rsidRDefault="00F358BD" w:rsidP="00DB2B5D">
            <w:pPr>
              <w:ind w:left="-18"/>
              <w:jc w:val="center"/>
              <w:rPr>
                <w:b/>
                <w:szCs w:val="22"/>
              </w:rPr>
            </w:pPr>
            <w:r>
              <w:rPr>
                <w:b/>
                <w:sz w:val="22"/>
                <w:szCs w:val="22"/>
              </w:rPr>
              <w:t>1,797</w:t>
            </w:r>
          </w:p>
        </w:tc>
        <w:tc>
          <w:tcPr>
            <w:tcW w:w="1440" w:type="dxa"/>
            <w:shd w:val="clear" w:color="auto" w:fill="auto"/>
            <w:vAlign w:val="center"/>
          </w:tcPr>
          <w:p w:rsidR="007070B2" w:rsidRPr="00A248DC" w:rsidRDefault="007070B2" w:rsidP="00DB2B5D">
            <w:pPr>
              <w:ind w:left="-18"/>
              <w:jc w:val="center"/>
              <w:rPr>
                <w:b/>
                <w:szCs w:val="22"/>
              </w:rPr>
            </w:pPr>
            <w:r w:rsidRPr="00A248DC">
              <w:rPr>
                <w:b/>
                <w:sz w:val="22"/>
                <w:szCs w:val="22"/>
              </w:rPr>
              <w:t>-</w:t>
            </w:r>
          </w:p>
        </w:tc>
        <w:tc>
          <w:tcPr>
            <w:tcW w:w="1998" w:type="dxa"/>
            <w:shd w:val="clear" w:color="auto" w:fill="auto"/>
            <w:vAlign w:val="center"/>
          </w:tcPr>
          <w:p w:rsidR="007070B2" w:rsidRPr="00A248DC" w:rsidRDefault="007070B2" w:rsidP="00DB2B5D">
            <w:pPr>
              <w:ind w:left="-18"/>
              <w:jc w:val="center"/>
              <w:rPr>
                <w:b/>
                <w:szCs w:val="22"/>
              </w:rPr>
            </w:pPr>
            <w:r w:rsidRPr="00A248DC">
              <w:rPr>
                <w:b/>
                <w:sz w:val="22"/>
                <w:szCs w:val="22"/>
              </w:rPr>
              <w:t>1,</w:t>
            </w:r>
            <w:r w:rsidR="002F6CB2">
              <w:rPr>
                <w:b/>
                <w:sz w:val="22"/>
                <w:szCs w:val="22"/>
              </w:rPr>
              <w:t>500</w:t>
            </w:r>
          </w:p>
        </w:tc>
      </w:tr>
    </w:tbl>
    <w:p w:rsidR="007070B2" w:rsidRPr="00A248DC" w:rsidRDefault="007070B2" w:rsidP="00D62F15">
      <w:pPr>
        <w:shd w:val="clear" w:color="auto" w:fill="FFFFFF"/>
        <w:rPr>
          <w:rFonts w:eastAsia="Times-Roman"/>
          <w:szCs w:val="24"/>
        </w:rPr>
      </w:pPr>
    </w:p>
    <w:p w:rsidR="007070B2" w:rsidRPr="00A248DC" w:rsidRDefault="007070B2" w:rsidP="00D62F15">
      <w:pPr>
        <w:pStyle w:val="BodyText3"/>
        <w:spacing w:after="0"/>
        <w:rPr>
          <w:b/>
          <w:sz w:val="24"/>
        </w:rPr>
      </w:pP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48DC">
        <w:rPr>
          <w:b/>
          <w:bCs/>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070B2" w:rsidRDefault="007070B2" w:rsidP="00D62F15">
      <w:pPr>
        <w:rPr>
          <w:szCs w:val="24"/>
        </w:rPr>
      </w:pPr>
    </w:p>
    <w:p w:rsidR="00A50F17" w:rsidRDefault="007070B2" w:rsidP="00D62F15">
      <w:pPr>
        <w:rPr>
          <w:color w:val="222222"/>
          <w:szCs w:val="24"/>
        </w:rPr>
      </w:pPr>
      <w:r w:rsidRPr="00A248DC">
        <w:rPr>
          <w:szCs w:val="24"/>
        </w:rPr>
        <w:t xml:space="preserve">One time, voluntary surveys will be used to elicit information on demographics, fishing and marketing practices, vessel and fishing equipment, and miscellaneous attitudinal questions. </w:t>
      </w:r>
      <w:r w:rsidRPr="00A248DC">
        <w:rPr>
          <w:color w:val="000000"/>
          <w:szCs w:val="24"/>
        </w:rPr>
        <w:t xml:space="preserve">The Puerto Rican data collection will be structured in two phases. The first phase will </w:t>
      </w:r>
      <w:r w:rsidRPr="00A248DC">
        <w:rPr>
          <w:rFonts w:eastAsia="Times-Roman"/>
          <w:szCs w:val="24"/>
        </w:rPr>
        <w:t>attempt to capture the entire population of active commercial fishermen (those who report landings statistics) to</w:t>
      </w:r>
      <w:r w:rsidRPr="00A248DC">
        <w:rPr>
          <w:color w:val="000000"/>
          <w:szCs w:val="24"/>
        </w:rPr>
        <w:t xml:space="preserve"> </w:t>
      </w:r>
      <w:r w:rsidRPr="00A248DC">
        <w:rPr>
          <w:rFonts w:eastAsia="Times-Roman"/>
          <w:szCs w:val="24"/>
        </w:rPr>
        <w:t xml:space="preserve">replicate the method used in earlier censuses of active commercial fishermen dating back to 1988 when commercial licenses were optional. In the second phase, we would sample the “other” licensed fishermen from the license database that were not sampled in the first phase. These “other” fishermen have a valid fishing license but do not report landings. </w:t>
      </w:r>
      <w:r w:rsidRPr="00A248DC">
        <w:rPr>
          <w:color w:val="222222"/>
          <w:szCs w:val="24"/>
        </w:rPr>
        <w:t>For this “other” fishermen population, we anticipate using a stratified sampling, with the strata likely based on geographical region (and maybe municipality as well), license type (full-time, part-time, etc.), and/or age. </w:t>
      </w:r>
    </w:p>
    <w:p w:rsidR="007070B2" w:rsidRPr="00A248DC" w:rsidRDefault="00A50F17" w:rsidP="00D62F15">
      <w:pPr>
        <w:rPr>
          <w:szCs w:val="24"/>
        </w:rPr>
      </w:pPr>
      <w:r w:rsidRPr="00A248DC">
        <w:rPr>
          <w:szCs w:val="24"/>
        </w:rPr>
        <w:t xml:space="preserve"> </w:t>
      </w:r>
    </w:p>
    <w:p w:rsidR="007070B2" w:rsidRPr="00A248DC" w:rsidRDefault="007070B2" w:rsidP="00D62F15">
      <w:pPr>
        <w:rPr>
          <w:szCs w:val="24"/>
        </w:rPr>
      </w:pPr>
      <w:r w:rsidRPr="00A248DC">
        <w:rPr>
          <w:szCs w:val="24"/>
        </w:rPr>
        <w:lastRenderedPageBreak/>
        <w:t xml:space="preserve">To minimize the burden on fishermen, an updated list of licensed of fishermen for each </w:t>
      </w:r>
      <w:r w:rsidR="00A50F17">
        <w:rPr>
          <w:szCs w:val="24"/>
        </w:rPr>
        <w:t xml:space="preserve">municipality </w:t>
      </w:r>
      <w:r w:rsidRPr="00A248DC">
        <w:rPr>
          <w:szCs w:val="24"/>
        </w:rPr>
        <w:t>will be provided to the contractor (to be selected). The list will contain the following information: fisherman name, address, and phone number.   PR DNER agreed to provide the most recent list of licensed fishermen for this data collection effort.</w:t>
      </w:r>
    </w:p>
    <w:p w:rsidR="007070B2" w:rsidRPr="00A248DC" w:rsidRDefault="007070B2" w:rsidP="00D62F15">
      <w:pPr>
        <w:rPr>
          <w:szCs w:val="24"/>
        </w:rPr>
      </w:pPr>
    </w:p>
    <w:p w:rsidR="007070B2" w:rsidRPr="00A248DC" w:rsidRDefault="007070B2" w:rsidP="00D62F15">
      <w:pPr>
        <w:rPr>
          <w:szCs w:val="24"/>
        </w:rPr>
      </w:pPr>
      <w:r w:rsidRPr="00A248DC">
        <w:rPr>
          <w:szCs w:val="24"/>
        </w:rPr>
        <w:t>The data collected will be used for descriptive and analytical purposes. Descriptive uses include the estimation of average harvesting costs per trip and total harvesting costs for the fleet. The procedures for estimating harvesting costs in the sampling universe will be based on the standard equations available in various statistical texts such as Thompson (1992).</w:t>
      </w:r>
      <w:r w:rsidRPr="00A248DC">
        <w:rPr>
          <w:rStyle w:val="FootnoteReference"/>
          <w:szCs w:val="24"/>
        </w:rPr>
        <w:footnoteReference w:id="3"/>
      </w:r>
      <w:r w:rsidRPr="00A248DC">
        <w:rPr>
          <w:szCs w:val="24"/>
        </w:rPr>
        <w:t xml:space="preserve"> For a description of analytical purposes the reader is directed to section Part A, Question 2.</w:t>
      </w: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sidRPr="00A248DC">
        <w:rPr>
          <w:b/>
          <w:bCs/>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7070B2" w:rsidRPr="00A248DC" w:rsidRDefault="007070B2" w:rsidP="00D62F15">
      <w:r w:rsidRPr="00A248DC">
        <w:t>Several steps have been taken to maximize response rates and to deal with non-response. First, we are working with the port agents of the local fisheries agencies which have extensive experience with local fishing communities and practices. They have reviewed the survey instrument and made suggestions to improve its clarity. We anticipate that many of the port agents will be either facilitating or surveying themselves once a contract is put in place</w:t>
      </w:r>
      <w:r>
        <w:t>,</w:t>
      </w:r>
      <w:r w:rsidRPr="00A248DC">
        <w:t xml:space="preserve"> given their familiarity with fishermen. Second, the in-person interviews will be conducted at times and places convenient to fishermen. This will minimize any potential disruption to their fishing practices. Third, </w:t>
      </w:r>
      <w:r w:rsidRPr="00A248DC">
        <w:rPr>
          <w:szCs w:val="24"/>
        </w:rPr>
        <w:t>respondents will be asked to provide easily conveyed information about demographics, fishing p</w:t>
      </w:r>
      <w:r>
        <w:rPr>
          <w:szCs w:val="24"/>
        </w:rPr>
        <w:t>ractices and capital investment,</w:t>
      </w:r>
      <w:r w:rsidRPr="00A248DC">
        <w:rPr>
          <w:szCs w:val="24"/>
        </w:rPr>
        <w:t xml:space="preserve"> thus</w:t>
      </w:r>
      <w:r>
        <w:rPr>
          <w:szCs w:val="24"/>
        </w:rPr>
        <w:t xml:space="preserve"> </w:t>
      </w:r>
      <w:r w:rsidRPr="00A248DC">
        <w:rPr>
          <w:szCs w:val="24"/>
        </w:rPr>
        <w:t xml:space="preserve">avoiding what respondents often perceive as unnecessary detail. </w:t>
      </w:r>
      <w:r w:rsidRPr="00A248DC">
        <w:t>In addition, surveys will be available in English and Spanish to further reduce any burden to non-English speaking fishermen. We also will require the contractor to hire surveyors that are fluent in both English and Spanish. To deal with non-response we will use call-backs and two-phase sampling procedures as described in textbooks such as Lohr’s</w:t>
      </w:r>
      <w:r w:rsidR="00961325">
        <w:t xml:space="preserve"> (see</w:t>
      </w:r>
      <w:r w:rsidRPr="00A248DC">
        <w:t xml:space="preserve"> Lohr’s, S., 1998. Sampling: design and analysis). A sample size of </w:t>
      </w:r>
      <w:r w:rsidR="00EF1CEC">
        <w:rPr>
          <w:bCs/>
          <w:szCs w:val="24"/>
        </w:rPr>
        <w:t>1,500</w:t>
      </w:r>
      <w:r w:rsidRPr="00A248DC">
        <w:rPr>
          <w:bCs/>
          <w:szCs w:val="24"/>
        </w:rPr>
        <w:t xml:space="preserve"> </w:t>
      </w:r>
      <w:r w:rsidRPr="00A248DC">
        <w:t>will provide reliable estimates of key demographic and socio-economic characteristics of the industry.</w:t>
      </w: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48DC">
        <w:rPr>
          <w:b/>
          <w:bCs/>
          <w:szCs w:val="24"/>
        </w:rPr>
        <w:t>4.  Describe any tests of procedures or methods to be undertaken. Tests are encouraged as effective means to refine collections, but if ten or more test respondents are involved OMB must give prior approval.</w:t>
      </w: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33"/>
          <w:szCs w:val="24"/>
        </w:rPr>
      </w:pPr>
      <w:r w:rsidRPr="00A248DC">
        <w:rPr>
          <w:szCs w:val="24"/>
        </w:rPr>
        <w:t xml:space="preserve">To refine the data collection, we initially shared our straw man survey with NMFS, CFMC, and local fisheries staff to seek feedback on its content and clarity.  After detailed discussions, we incorporated their main suggestions and pre-tested the revised survey instrument with 9 fishermen to ensure that the </w:t>
      </w:r>
      <w:r w:rsidRPr="00A248DC">
        <w:rPr>
          <w:color w:val="333333"/>
          <w:szCs w:val="24"/>
        </w:rPr>
        <w:t>questionnaire was succinct and easily understood.</w:t>
      </w:r>
      <w:r w:rsidR="00D62F15">
        <w:rPr>
          <w:color w:val="333333"/>
          <w:szCs w:val="24"/>
        </w:rPr>
        <w:t xml:space="preserve"> </w:t>
      </w:r>
      <w:r w:rsidR="00A50F17">
        <w:rPr>
          <w:color w:val="333333"/>
          <w:szCs w:val="24"/>
        </w:rPr>
        <w:t>An almost identical survey form</w:t>
      </w:r>
      <w:r w:rsidR="00D62F15">
        <w:rPr>
          <w:color w:val="333333"/>
          <w:szCs w:val="24"/>
        </w:rPr>
        <w:t xml:space="preserve"> </w:t>
      </w:r>
      <w:r w:rsidR="00A50F17">
        <w:rPr>
          <w:color w:val="333333"/>
          <w:szCs w:val="24"/>
        </w:rPr>
        <w:t>was successfully</w:t>
      </w:r>
      <w:r w:rsidR="00D62F15">
        <w:rPr>
          <w:color w:val="333333"/>
          <w:szCs w:val="24"/>
        </w:rPr>
        <w:t xml:space="preserve"> fielded in the USVI</w:t>
      </w:r>
      <w:r w:rsidR="00A50F17">
        <w:rPr>
          <w:color w:val="333333"/>
          <w:szCs w:val="24"/>
        </w:rPr>
        <w:t xml:space="preserve"> in 2016.</w:t>
      </w: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7054B" w:rsidRDefault="0047054B"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7054B" w:rsidRDefault="0047054B"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48DC">
        <w:rPr>
          <w:b/>
          <w:bCs/>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070B2" w:rsidRPr="00A248DC" w:rsidRDefault="007070B2" w:rsidP="00D62F15">
      <w:pPr>
        <w:rPr>
          <w:szCs w:val="24"/>
        </w:rPr>
      </w:pP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48DC">
        <w:rPr>
          <w:szCs w:val="24"/>
        </w:rPr>
        <w:t>Dr. Juan Agar from the NMFS was consulted on the statistical aspects of the study design. NMFS social scientists and CFMC staff will use the data collected for regulatory analysis. Dr. Juan Agar can be reached at 305-361-4218.</w:t>
      </w:r>
    </w:p>
    <w:p w:rsidR="007070B2" w:rsidRPr="00A248DC" w:rsidRDefault="007070B2" w:rsidP="00D6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70B2" w:rsidRPr="00181B5D" w:rsidRDefault="007070B2" w:rsidP="00D62F15">
      <w:pPr>
        <w:rPr>
          <w:szCs w:val="24"/>
        </w:rPr>
      </w:pPr>
      <w:r w:rsidRPr="00A248DC">
        <w:rPr>
          <w:szCs w:val="24"/>
        </w:rPr>
        <w:t xml:space="preserve">Contractors to collect the proposed data have not yet being selected. However, Mr. Daniel Matos from PR DNER </w:t>
      </w:r>
      <w:r w:rsidR="00F8656B">
        <w:rPr>
          <w:szCs w:val="24"/>
        </w:rPr>
        <w:t>has</w:t>
      </w:r>
      <w:r w:rsidRPr="00A248DC">
        <w:rPr>
          <w:szCs w:val="24"/>
        </w:rPr>
        <w:t xml:space="preserve"> </w:t>
      </w:r>
      <w:r w:rsidR="00334486">
        <w:rPr>
          <w:szCs w:val="24"/>
        </w:rPr>
        <w:t>graciously</w:t>
      </w:r>
      <w:r w:rsidRPr="00A248DC">
        <w:rPr>
          <w:szCs w:val="24"/>
        </w:rPr>
        <w:t xml:space="preserve"> agreed to assist with this data collection effort.</w:t>
      </w:r>
      <w:r>
        <w:rPr>
          <w:szCs w:val="24"/>
        </w:rPr>
        <w:t xml:space="preserve"> </w:t>
      </w:r>
    </w:p>
    <w:p w:rsidR="005725F8" w:rsidRDefault="00475601" w:rsidP="00D62F15"/>
    <w:sectPr w:rsidR="005725F8" w:rsidSect="006832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513" w:rsidRDefault="00301513" w:rsidP="007070B2">
      <w:r>
        <w:separator/>
      </w:r>
    </w:p>
  </w:endnote>
  <w:endnote w:type="continuationSeparator" w:id="0">
    <w:p w:rsidR="00301513" w:rsidRDefault="00301513" w:rsidP="0070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roman"/>
    <w:notTrueType/>
    <w:pitch w:val="default"/>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03409"/>
      <w:docPartObj>
        <w:docPartGallery w:val="Page Numbers (Bottom of Page)"/>
        <w:docPartUnique/>
      </w:docPartObj>
    </w:sdtPr>
    <w:sdtEndPr>
      <w:rPr>
        <w:noProof/>
      </w:rPr>
    </w:sdtEndPr>
    <w:sdtContent>
      <w:p w:rsidR="0038704E" w:rsidRDefault="00C92E2C">
        <w:pPr>
          <w:pStyle w:val="Footer"/>
          <w:jc w:val="center"/>
        </w:pPr>
        <w:r>
          <w:fldChar w:fldCharType="begin"/>
        </w:r>
        <w:r>
          <w:instrText xml:space="preserve"> PAGE   \* MERGEFORMAT </w:instrText>
        </w:r>
        <w:r>
          <w:fldChar w:fldCharType="separate"/>
        </w:r>
        <w:r w:rsidR="00475601">
          <w:rPr>
            <w:noProof/>
          </w:rPr>
          <w:t>1</w:t>
        </w:r>
        <w:r>
          <w:rPr>
            <w:noProof/>
          </w:rPr>
          <w:fldChar w:fldCharType="end"/>
        </w:r>
      </w:p>
    </w:sdtContent>
  </w:sdt>
  <w:p w:rsidR="00325471" w:rsidRDefault="00475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513" w:rsidRDefault="00301513" w:rsidP="007070B2">
      <w:r>
        <w:separator/>
      </w:r>
    </w:p>
  </w:footnote>
  <w:footnote w:type="continuationSeparator" w:id="0">
    <w:p w:rsidR="00301513" w:rsidRDefault="00301513" w:rsidP="007070B2">
      <w:r>
        <w:continuationSeparator/>
      </w:r>
    </w:p>
  </w:footnote>
  <w:footnote w:id="1">
    <w:p w:rsidR="007070B2" w:rsidRPr="001E4062" w:rsidRDefault="007070B2" w:rsidP="007070B2">
      <w:pPr>
        <w:jc w:val="both"/>
        <w:rPr>
          <w:sz w:val="22"/>
          <w:szCs w:val="22"/>
        </w:rPr>
      </w:pPr>
      <w:r w:rsidRPr="001E4062">
        <w:rPr>
          <w:rStyle w:val="FootnoteReference"/>
          <w:sz w:val="22"/>
          <w:szCs w:val="22"/>
        </w:rPr>
        <w:footnoteRef/>
      </w:r>
      <w:r w:rsidRPr="001E4062">
        <w:rPr>
          <w:sz w:val="22"/>
          <w:szCs w:val="22"/>
          <w:lang w:val="es-PR"/>
        </w:rPr>
        <w:t xml:space="preserve"> Matos-Caraballo, D. and Z. Torres-Rosado. </w:t>
      </w:r>
      <w:r w:rsidRPr="001E4062">
        <w:rPr>
          <w:sz w:val="22"/>
          <w:szCs w:val="22"/>
        </w:rPr>
        <w:t>1989. Comprehensive census of the fishery of Puerto Rico,</w:t>
      </w:r>
    </w:p>
    <w:p w:rsidR="007070B2" w:rsidRPr="001E4062" w:rsidRDefault="007070B2" w:rsidP="007070B2">
      <w:pPr>
        <w:jc w:val="both"/>
        <w:rPr>
          <w:sz w:val="22"/>
          <w:szCs w:val="22"/>
        </w:rPr>
      </w:pPr>
      <w:r w:rsidRPr="001E4062">
        <w:rPr>
          <w:sz w:val="22"/>
          <w:szCs w:val="22"/>
          <w:lang w:val="es-PR"/>
        </w:rPr>
        <w:t>1988. CODREMAR Tech. Rep. 1(3):1–55; Matos-Caraballo, D. 1998. Puerto Rico Fishery Census.</w:t>
      </w:r>
      <w:r w:rsidRPr="001E4062">
        <w:rPr>
          <w:i/>
          <w:color w:val="000000"/>
          <w:sz w:val="22"/>
          <w:szCs w:val="22"/>
          <w:lang w:val="es-PR"/>
        </w:rPr>
        <w:t xml:space="preserve"> </w:t>
      </w:r>
      <w:r w:rsidRPr="001E4062">
        <w:rPr>
          <w:i/>
          <w:color w:val="000000"/>
          <w:sz w:val="22"/>
          <w:szCs w:val="22"/>
        </w:rPr>
        <w:t>Proceedings of the Gulf and Caribbean Fisheries Institute</w:t>
      </w:r>
      <w:r w:rsidRPr="001E4062">
        <w:rPr>
          <w:sz w:val="22"/>
          <w:szCs w:val="22"/>
        </w:rPr>
        <w:t>, 51:258–270; Matos-Caraballo, D., M. Cartagena-Haddock, and N. Peña-Alvarado. 2005. Comprehensive census of the marine fishery of Puerto Rico in 2002.</w:t>
      </w:r>
      <w:r w:rsidRPr="001E4062">
        <w:rPr>
          <w:i/>
          <w:color w:val="000000"/>
          <w:sz w:val="22"/>
          <w:szCs w:val="22"/>
        </w:rPr>
        <w:t xml:space="preserve"> Proceedings of the Gulf and Caribbean Fisheries Institute</w:t>
      </w:r>
      <w:r w:rsidRPr="001E4062">
        <w:rPr>
          <w:sz w:val="22"/>
          <w:szCs w:val="22"/>
        </w:rPr>
        <w:t>, 56:97–110.</w:t>
      </w:r>
    </w:p>
    <w:p w:rsidR="007070B2" w:rsidRDefault="007070B2" w:rsidP="007070B2">
      <w:pPr>
        <w:pStyle w:val="FootnoteText"/>
      </w:pPr>
    </w:p>
  </w:footnote>
  <w:footnote w:id="2">
    <w:p w:rsidR="004E7A5E" w:rsidRPr="004E7A5E" w:rsidRDefault="004E7A5E">
      <w:pPr>
        <w:pStyle w:val="FootnoteText"/>
        <w:rPr>
          <w:sz w:val="22"/>
          <w:szCs w:val="22"/>
        </w:rPr>
      </w:pPr>
      <w:r w:rsidRPr="004E7A5E">
        <w:rPr>
          <w:rStyle w:val="FootnoteReference"/>
          <w:sz w:val="22"/>
          <w:szCs w:val="22"/>
        </w:rPr>
        <w:footnoteRef/>
      </w:r>
      <w:r w:rsidRPr="004E7A5E">
        <w:rPr>
          <w:sz w:val="22"/>
          <w:szCs w:val="22"/>
        </w:rPr>
        <w:t xml:space="preserve"> </w:t>
      </w:r>
      <w:r w:rsidRPr="004E7A5E">
        <w:rPr>
          <w:rStyle w:val="Emphasis"/>
          <w:bCs/>
          <w:i w:val="0"/>
          <w:iCs w:val="0"/>
          <w:sz w:val="22"/>
          <w:szCs w:val="22"/>
          <w:shd w:val="clear" w:color="auto" w:fill="FFFFFF"/>
        </w:rPr>
        <w:t>Kojis</w:t>
      </w:r>
      <w:r w:rsidRPr="004E7A5E">
        <w:rPr>
          <w:sz w:val="22"/>
          <w:szCs w:val="22"/>
          <w:shd w:val="clear" w:color="auto" w:fill="FFFFFF"/>
        </w:rPr>
        <w:t>, B., N. </w:t>
      </w:r>
      <w:r w:rsidRPr="004E7A5E">
        <w:rPr>
          <w:rStyle w:val="Emphasis"/>
          <w:bCs/>
          <w:i w:val="0"/>
          <w:iCs w:val="0"/>
          <w:sz w:val="22"/>
          <w:szCs w:val="22"/>
          <w:shd w:val="clear" w:color="auto" w:fill="FFFFFF"/>
        </w:rPr>
        <w:t>Quinn</w:t>
      </w:r>
      <w:r w:rsidRPr="004E7A5E">
        <w:rPr>
          <w:sz w:val="22"/>
          <w:szCs w:val="22"/>
          <w:shd w:val="clear" w:color="auto" w:fill="FFFFFF"/>
        </w:rPr>
        <w:t>, and J. </w:t>
      </w:r>
      <w:r w:rsidRPr="004E7A5E">
        <w:rPr>
          <w:rStyle w:val="Emphasis"/>
          <w:bCs/>
          <w:i w:val="0"/>
          <w:iCs w:val="0"/>
          <w:sz w:val="22"/>
          <w:szCs w:val="22"/>
          <w:shd w:val="clear" w:color="auto" w:fill="FFFFFF"/>
        </w:rPr>
        <w:t>Agar</w:t>
      </w:r>
      <w:r w:rsidRPr="004E7A5E">
        <w:rPr>
          <w:sz w:val="22"/>
          <w:szCs w:val="22"/>
          <w:shd w:val="clear" w:color="auto" w:fill="FFFFFF"/>
        </w:rPr>
        <w:t> 2017. Census of licensed fishers of the U.S. Virgin Islands (2016). NOAA Technical Memorandum NMFS-SEFSC-715, 160 p.</w:t>
      </w:r>
    </w:p>
  </w:footnote>
  <w:footnote w:id="3">
    <w:p w:rsidR="007070B2" w:rsidRPr="001E4062" w:rsidRDefault="007070B2" w:rsidP="007070B2">
      <w:pPr>
        <w:pStyle w:val="FootnoteText"/>
        <w:jc w:val="both"/>
        <w:rPr>
          <w:sz w:val="22"/>
          <w:szCs w:val="22"/>
        </w:rPr>
      </w:pPr>
      <w:r w:rsidRPr="001E4062">
        <w:rPr>
          <w:rStyle w:val="FootnoteReference"/>
          <w:sz w:val="22"/>
          <w:szCs w:val="22"/>
        </w:rPr>
        <w:footnoteRef/>
      </w:r>
      <w:r w:rsidRPr="001E4062">
        <w:rPr>
          <w:sz w:val="22"/>
          <w:szCs w:val="22"/>
        </w:rPr>
        <w:t xml:space="preserve"> Thompson, Steven K., 1992. Sampling. John Wiley and Sons, Inc., New York, 343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422710"/>
      <w:docPartObj>
        <w:docPartGallery w:val="Page Numbers (Top of Page)"/>
        <w:docPartUnique/>
      </w:docPartObj>
    </w:sdtPr>
    <w:sdtEndPr>
      <w:rPr>
        <w:noProof/>
      </w:rPr>
    </w:sdtEndPr>
    <w:sdtContent>
      <w:p w:rsidR="00325471" w:rsidRDefault="00475601">
        <w:pPr>
          <w:pStyle w:val="Header"/>
          <w:jc w:val="center"/>
        </w:pPr>
      </w:p>
    </w:sdtContent>
  </w:sdt>
  <w:p w:rsidR="00325471" w:rsidRDefault="004756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0B2"/>
    <w:rsid w:val="000E3188"/>
    <w:rsid w:val="0012350E"/>
    <w:rsid w:val="002666F4"/>
    <w:rsid w:val="002C48DF"/>
    <w:rsid w:val="002D781A"/>
    <w:rsid w:val="002E16AD"/>
    <w:rsid w:val="002F6CB2"/>
    <w:rsid w:val="00301513"/>
    <w:rsid w:val="00334486"/>
    <w:rsid w:val="0034754F"/>
    <w:rsid w:val="003B39A5"/>
    <w:rsid w:val="00407B3C"/>
    <w:rsid w:val="0043486F"/>
    <w:rsid w:val="0047054B"/>
    <w:rsid w:val="00475601"/>
    <w:rsid w:val="004E7A5E"/>
    <w:rsid w:val="005A689D"/>
    <w:rsid w:val="00683248"/>
    <w:rsid w:val="007070B2"/>
    <w:rsid w:val="0075598E"/>
    <w:rsid w:val="007C6674"/>
    <w:rsid w:val="008640F4"/>
    <w:rsid w:val="00961325"/>
    <w:rsid w:val="00A00418"/>
    <w:rsid w:val="00A50F17"/>
    <w:rsid w:val="00B53BAF"/>
    <w:rsid w:val="00BE2E70"/>
    <w:rsid w:val="00C316F3"/>
    <w:rsid w:val="00C92E2C"/>
    <w:rsid w:val="00D122FE"/>
    <w:rsid w:val="00D62F15"/>
    <w:rsid w:val="00DB2B5D"/>
    <w:rsid w:val="00EF1CEC"/>
    <w:rsid w:val="00F358BD"/>
    <w:rsid w:val="00F8656B"/>
    <w:rsid w:val="00FD0759"/>
    <w:rsid w:val="00FF2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B2"/>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070B2"/>
    <w:pPr>
      <w:widowControl/>
      <w:autoSpaceDE/>
      <w:autoSpaceDN/>
      <w:adjustRightInd/>
    </w:pPr>
  </w:style>
  <w:style w:type="character" w:customStyle="1" w:styleId="FootnoteTextChar">
    <w:name w:val="Footnote Text Char"/>
    <w:basedOn w:val="DefaultParagraphFont"/>
    <w:link w:val="FootnoteText"/>
    <w:semiHidden/>
    <w:rsid w:val="007070B2"/>
    <w:rPr>
      <w:rFonts w:ascii="Times New Roman" w:eastAsia="Times New Roman" w:hAnsi="Times New Roman" w:cs="Times New Roman"/>
      <w:sz w:val="24"/>
      <w:szCs w:val="16"/>
    </w:rPr>
  </w:style>
  <w:style w:type="character" w:styleId="FootnoteReference">
    <w:name w:val="footnote reference"/>
    <w:semiHidden/>
    <w:rsid w:val="007070B2"/>
    <w:rPr>
      <w:vertAlign w:val="superscript"/>
    </w:rPr>
  </w:style>
  <w:style w:type="paragraph" w:styleId="BodyText3">
    <w:name w:val="Body Text 3"/>
    <w:basedOn w:val="Normal"/>
    <w:link w:val="BodyText3Char"/>
    <w:rsid w:val="007070B2"/>
    <w:pPr>
      <w:spacing w:after="120"/>
    </w:pPr>
    <w:rPr>
      <w:sz w:val="16"/>
    </w:rPr>
  </w:style>
  <w:style w:type="character" w:customStyle="1" w:styleId="BodyText3Char">
    <w:name w:val="Body Text 3 Char"/>
    <w:basedOn w:val="DefaultParagraphFont"/>
    <w:link w:val="BodyText3"/>
    <w:rsid w:val="007070B2"/>
    <w:rPr>
      <w:rFonts w:ascii="Times New Roman" w:eastAsia="Times New Roman" w:hAnsi="Times New Roman" w:cs="Times New Roman"/>
      <w:sz w:val="16"/>
      <w:szCs w:val="16"/>
    </w:rPr>
  </w:style>
  <w:style w:type="paragraph" w:styleId="ListParagraph">
    <w:name w:val="List Paragraph"/>
    <w:basedOn w:val="Normal"/>
    <w:uiPriority w:val="34"/>
    <w:qFormat/>
    <w:rsid w:val="007070B2"/>
    <w:pPr>
      <w:ind w:left="720"/>
      <w:contextualSpacing/>
    </w:pPr>
  </w:style>
  <w:style w:type="paragraph" w:customStyle="1" w:styleId="Default">
    <w:name w:val="Default"/>
    <w:rsid w:val="007070B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070B2"/>
    <w:pPr>
      <w:tabs>
        <w:tab w:val="center" w:pos="4680"/>
        <w:tab w:val="right" w:pos="9360"/>
      </w:tabs>
    </w:pPr>
  </w:style>
  <w:style w:type="character" w:customStyle="1" w:styleId="HeaderChar">
    <w:name w:val="Header Char"/>
    <w:basedOn w:val="DefaultParagraphFont"/>
    <w:link w:val="Header"/>
    <w:uiPriority w:val="99"/>
    <w:rsid w:val="007070B2"/>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7070B2"/>
    <w:pPr>
      <w:tabs>
        <w:tab w:val="center" w:pos="4680"/>
        <w:tab w:val="right" w:pos="9360"/>
      </w:tabs>
    </w:pPr>
  </w:style>
  <w:style w:type="character" w:customStyle="1" w:styleId="FooterChar">
    <w:name w:val="Footer Char"/>
    <w:basedOn w:val="DefaultParagraphFont"/>
    <w:link w:val="Footer"/>
    <w:uiPriority w:val="99"/>
    <w:rsid w:val="007070B2"/>
    <w:rPr>
      <w:rFonts w:ascii="Times New Roman" w:eastAsia="Times New Roman" w:hAnsi="Times New Roman" w:cs="Times New Roman"/>
      <w:sz w:val="24"/>
      <w:szCs w:val="16"/>
    </w:rPr>
  </w:style>
  <w:style w:type="character" w:styleId="CommentReference">
    <w:name w:val="annotation reference"/>
    <w:basedOn w:val="DefaultParagraphFont"/>
    <w:uiPriority w:val="99"/>
    <w:semiHidden/>
    <w:unhideWhenUsed/>
    <w:rsid w:val="0075598E"/>
    <w:rPr>
      <w:sz w:val="18"/>
      <w:szCs w:val="18"/>
    </w:rPr>
  </w:style>
  <w:style w:type="paragraph" w:styleId="CommentText">
    <w:name w:val="annotation text"/>
    <w:basedOn w:val="Normal"/>
    <w:link w:val="CommentTextChar"/>
    <w:uiPriority w:val="99"/>
    <w:semiHidden/>
    <w:unhideWhenUsed/>
    <w:rsid w:val="0075598E"/>
    <w:rPr>
      <w:szCs w:val="24"/>
    </w:rPr>
  </w:style>
  <w:style w:type="character" w:customStyle="1" w:styleId="CommentTextChar">
    <w:name w:val="Comment Text Char"/>
    <w:basedOn w:val="DefaultParagraphFont"/>
    <w:link w:val="CommentText"/>
    <w:uiPriority w:val="99"/>
    <w:semiHidden/>
    <w:rsid w:val="0075598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5598E"/>
    <w:rPr>
      <w:b/>
      <w:bCs/>
      <w:sz w:val="20"/>
      <w:szCs w:val="20"/>
    </w:rPr>
  </w:style>
  <w:style w:type="character" w:customStyle="1" w:styleId="CommentSubjectChar">
    <w:name w:val="Comment Subject Char"/>
    <w:basedOn w:val="CommentTextChar"/>
    <w:link w:val="CommentSubject"/>
    <w:uiPriority w:val="99"/>
    <w:semiHidden/>
    <w:rsid w:val="007559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598E"/>
    <w:rPr>
      <w:rFonts w:ascii="Lucida Grande" w:hAnsi="Lucida Grande"/>
      <w:sz w:val="18"/>
      <w:szCs w:val="18"/>
    </w:rPr>
  </w:style>
  <w:style w:type="character" w:customStyle="1" w:styleId="BalloonTextChar">
    <w:name w:val="Balloon Text Char"/>
    <w:basedOn w:val="DefaultParagraphFont"/>
    <w:link w:val="BalloonText"/>
    <w:uiPriority w:val="99"/>
    <w:semiHidden/>
    <w:rsid w:val="0075598E"/>
    <w:rPr>
      <w:rFonts w:ascii="Lucida Grande" w:eastAsia="Times New Roman" w:hAnsi="Lucida Grande" w:cs="Times New Roman"/>
      <w:sz w:val="18"/>
      <w:szCs w:val="18"/>
    </w:rPr>
  </w:style>
  <w:style w:type="character" w:styleId="Emphasis">
    <w:name w:val="Emphasis"/>
    <w:basedOn w:val="DefaultParagraphFont"/>
    <w:uiPriority w:val="20"/>
    <w:qFormat/>
    <w:rsid w:val="004E7A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B2"/>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070B2"/>
    <w:pPr>
      <w:widowControl/>
      <w:autoSpaceDE/>
      <w:autoSpaceDN/>
      <w:adjustRightInd/>
    </w:pPr>
  </w:style>
  <w:style w:type="character" w:customStyle="1" w:styleId="FootnoteTextChar">
    <w:name w:val="Footnote Text Char"/>
    <w:basedOn w:val="DefaultParagraphFont"/>
    <w:link w:val="FootnoteText"/>
    <w:semiHidden/>
    <w:rsid w:val="007070B2"/>
    <w:rPr>
      <w:rFonts w:ascii="Times New Roman" w:eastAsia="Times New Roman" w:hAnsi="Times New Roman" w:cs="Times New Roman"/>
      <w:sz w:val="24"/>
      <w:szCs w:val="16"/>
    </w:rPr>
  </w:style>
  <w:style w:type="character" w:styleId="FootnoteReference">
    <w:name w:val="footnote reference"/>
    <w:semiHidden/>
    <w:rsid w:val="007070B2"/>
    <w:rPr>
      <w:vertAlign w:val="superscript"/>
    </w:rPr>
  </w:style>
  <w:style w:type="paragraph" w:styleId="BodyText3">
    <w:name w:val="Body Text 3"/>
    <w:basedOn w:val="Normal"/>
    <w:link w:val="BodyText3Char"/>
    <w:rsid w:val="007070B2"/>
    <w:pPr>
      <w:spacing w:after="120"/>
    </w:pPr>
    <w:rPr>
      <w:sz w:val="16"/>
    </w:rPr>
  </w:style>
  <w:style w:type="character" w:customStyle="1" w:styleId="BodyText3Char">
    <w:name w:val="Body Text 3 Char"/>
    <w:basedOn w:val="DefaultParagraphFont"/>
    <w:link w:val="BodyText3"/>
    <w:rsid w:val="007070B2"/>
    <w:rPr>
      <w:rFonts w:ascii="Times New Roman" w:eastAsia="Times New Roman" w:hAnsi="Times New Roman" w:cs="Times New Roman"/>
      <w:sz w:val="16"/>
      <w:szCs w:val="16"/>
    </w:rPr>
  </w:style>
  <w:style w:type="paragraph" w:styleId="ListParagraph">
    <w:name w:val="List Paragraph"/>
    <w:basedOn w:val="Normal"/>
    <w:uiPriority w:val="34"/>
    <w:qFormat/>
    <w:rsid w:val="007070B2"/>
    <w:pPr>
      <w:ind w:left="720"/>
      <w:contextualSpacing/>
    </w:pPr>
  </w:style>
  <w:style w:type="paragraph" w:customStyle="1" w:styleId="Default">
    <w:name w:val="Default"/>
    <w:rsid w:val="007070B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070B2"/>
    <w:pPr>
      <w:tabs>
        <w:tab w:val="center" w:pos="4680"/>
        <w:tab w:val="right" w:pos="9360"/>
      </w:tabs>
    </w:pPr>
  </w:style>
  <w:style w:type="character" w:customStyle="1" w:styleId="HeaderChar">
    <w:name w:val="Header Char"/>
    <w:basedOn w:val="DefaultParagraphFont"/>
    <w:link w:val="Header"/>
    <w:uiPriority w:val="99"/>
    <w:rsid w:val="007070B2"/>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7070B2"/>
    <w:pPr>
      <w:tabs>
        <w:tab w:val="center" w:pos="4680"/>
        <w:tab w:val="right" w:pos="9360"/>
      </w:tabs>
    </w:pPr>
  </w:style>
  <w:style w:type="character" w:customStyle="1" w:styleId="FooterChar">
    <w:name w:val="Footer Char"/>
    <w:basedOn w:val="DefaultParagraphFont"/>
    <w:link w:val="Footer"/>
    <w:uiPriority w:val="99"/>
    <w:rsid w:val="007070B2"/>
    <w:rPr>
      <w:rFonts w:ascii="Times New Roman" w:eastAsia="Times New Roman" w:hAnsi="Times New Roman" w:cs="Times New Roman"/>
      <w:sz w:val="24"/>
      <w:szCs w:val="16"/>
    </w:rPr>
  </w:style>
  <w:style w:type="character" w:styleId="CommentReference">
    <w:name w:val="annotation reference"/>
    <w:basedOn w:val="DefaultParagraphFont"/>
    <w:uiPriority w:val="99"/>
    <w:semiHidden/>
    <w:unhideWhenUsed/>
    <w:rsid w:val="0075598E"/>
    <w:rPr>
      <w:sz w:val="18"/>
      <w:szCs w:val="18"/>
    </w:rPr>
  </w:style>
  <w:style w:type="paragraph" w:styleId="CommentText">
    <w:name w:val="annotation text"/>
    <w:basedOn w:val="Normal"/>
    <w:link w:val="CommentTextChar"/>
    <w:uiPriority w:val="99"/>
    <w:semiHidden/>
    <w:unhideWhenUsed/>
    <w:rsid w:val="0075598E"/>
    <w:rPr>
      <w:szCs w:val="24"/>
    </w:rPr>
  </w:style>
  <w:style w:type="character" w:customStyle="1" w:styleId="CommentTextChar">
    <w:name w:val="Comment Text Char"/>
    <w:basedOn w:val="DefaultParagraphFont"/>
    <w:link w:val="CommentText"/>
    <w:uiPriority w:val="99"/>
    <w:semiHidden/>
    <w:rsid w:val="0075598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5598E"/>
    <w:rPr>
      <w:b/>
      <w:bCs/>
      <w:sz w:val="20"/>
      <w:szCs w:val="20"/>
    </w:rPr>
  </w:style>
  <w:style w:type="character" w:customStyle="1" w:styleId="CommentSubjectChar">
    <w:name w:val="Comment Subject Char"/>
    <w:basedOn w:val="CommentTextChar"/>
    <w:link w:val="CommentSubject"/>
    <w:uiPriority w:val="99"/>
    <w:semiHidden/>
    <w:rsid w:val="007559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598E"/>
    <w:rPr>
      <w:rFonts w:ascii="Lucida Grande" w:hAnsi="Lucida Grande"/>
      <w:sz w:val="18"/>
      <w:szCs w:val="18"/>
    </w:rPr>
  </w:style>
  <w:style w:type="character" w:customStyle="1" w:styleId="BalloonTextChar">
    <w:name w:val="Balloon Text Char"/>
    <w:basedOn w:val="DefaultParagraphFont"/>
    <w:link w:val="BalloonText"/>
    <w:uiPriority w:val="99"/>
    <w:semiHidden/>
    <w:rsid w:val="0075598E"/>
    <w:rPr>
      <w:rFonts w:ascii="Lucida Grande" w:eastAsia="Times New Roman" w:hAnsi="Lucida Grande" w:cs="Times New Roman"/>
      <w:sz w:val="18"/>
      <w:szCs w:val="18"/>
    </w:rPr>
  </w:style>
  <w:style w:type="character" w:styleId="Emphasis">
    <w:name w:val="Emphasis"/>
    <w:basedOn w:val="DefaultParagraphFont"/>
    <w:uiPriority w:val="20"/>
    <w:qFormat/>
    <w:rsid w:val="004E7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E62BB-0AA2-49CA-BEC2-712101EA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cp:lastPrinted>2018-05-31T16:26:00Z</cp:lastPrinted>
  <dcterms:created xsi:type="dcterms:W3CDTF">2018-08-31T19:44:00Z</dcterms:created>
  <dcterms:modified xsi:type="dcterms:W3CDTF">2018-08-31T19:44:00Z</dcterms:modified>
</cp:coreProperties>
</file>