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C27F5" w14:textId="3C667697" w:rsidR="001C792A" w:rsidRPr="001019CD" w:rsidRDefault="004D7A14" w:rsidP="001019CD">
      <w:pPr>
        <w:spacing w:after="0" w:line="240" w:lineRule="auto"/>
        <w:jc w:val="right"/>
        <w:rPr>
          <w:rFonts w:cs="Tahoma"/>
          <w:b/>
          <w:bCs/>
          <w:sz w:val="24"/>
          <w:szCs w:val="24"/>
        </w:rPr>
      </w:pPr>
      <w:bookmarkStart w:id="0" w:name="_GoBack"/>
      <w:bookmarkEnd w:id="0"/>
      <w:r>
        <w:rPr>
          <w:rFonts w:cs="Tahoma"/>
          <w:b/>
          <w:bCs/>
          <w:sz w:val="24"/>
          <w:szCs w:val="24"/>
        </w:rPr>
        <w:t>June 1</w:t>
      </w:r>
      <w:r w:rsidR="002D3567">
        <w:rPr>
          <w:rFonts w:cs="Tahoma"/>
          <w:b/>
          <w:bCs/>
          <w:sz w:val="24"/>
          <w:szCs w:val="24"/>
        </w:rPr>
        <w:t>, 2018</w:t>
      </w:r>
    </w:p>
    <w:p w14:paraId="5635D3BE" w14:textId="77777777" w:rsidR="001C792A" w:rsidRDefault="001C792A" w:rsidP="001019CD">
      <w:pPr>
        <w:spacing w:after="0" w:line="240" w:lineRule="auto"/>
        <w:jc w:val="center"/>
        <w:rPr>
          <w:rFonts w:cs="Tahoma"/>
          <w:b/>
          <w:bCs/>
          <w:sz w:val="28"/>
          <w:szCs w:val="28"/>
          <w:u w:val="single"/>
        </w:rPr>
      </w:pPr>
    </w:p>
    <w:p w14:paraId="4C2D16A5" w14:textId="690FFAFB" w:rsidR="00C37CD8" w:rsidRPr="001C792A" w:rsidRDefault="00C37CD8" w:rsidP="001019CD">
      <w:pPr>
        <w:spacing w:after="0" w:line="240" w:lineRule="auto"/>
        <w:jc w:val="center"/>
        <w:rPr>
          <w:rFonts w:cs="Tahoma"/>
          <w:color w:val="3366FF"/>
          <w:sz w:val="28"/>
          <w:szCs w:val="28"/>
          <w:u w:val="single"/>
        </w:rPr>
      </w:pPr>
      <w:r w:rsidRPr="001C792A">
        <w:rPr>
          <w:rFonts w:cs="Tahoma"/>
          <w:b/>
          <w:bCs/>
          <w:sz w:val="28"/>
          <w:szCs w:val="28"/>
          <w:u w:val="single"/>
        </w:rPr>
        <w:t xml:space="preserve">Supporting Statement </w:t>
      </w:r>
      <w:r w:rsidR="001C792A">
        <w:rPr>
          <w:rFonts w:cs="Tahoma"/>
          <w:b/>
          <w:bCs/>
          <w:sz w:val="28"/>
          <w:szCs w:val="28"/>
          <w:u w:val="single"/>
        </w:rPr>
        <w:t xml:space="preserve">A - </w:t>
      </w:r>
      <w:r w:rsidRPr="001C792A">
        <w:rPr>
          <w:rFonts w:cs="Tahoma"/>
          <w:b/>
          <w:bCs/>
          <w:sz w:val="28"/>
          <w:szCs w:val="28"/>
          <w:u w:val="single"/>
        </w:rPr>
        <w:t xml:space="preserve">OMB </w:t>
      </w:r>
      <w:r w:rsidR="001C792A" w:rsidRPr="001C792A">
        <w:rPr>
          <w:rFonts w:cs="Tahoma"/>
          <w:b/>
          <w:bCs/>
          <w:sz w:val="28"/>
          <w:szCs w:val="28"/>
          <w:u w:val="single"/>
        </w:rPr>
        <w:t xml:space="preserve">No. </w:t>
      </w:r>
      <w:r w:rsidRPr="001C792A">
        <w:rPr>
          <w:rFonts w:cs="Tahoma"/>
          <w:b/>
          <w:bCs/>
          <w:sz w:val="28"/>
          <w:szCs w:val="28"/>
          <w:u w:val="single"/>
        </w:rPr>
        <w:t>0596-</w:t>
      </w:r>
      <w:r w:rsidR="001C792A" w:rsidRPr="001C792A">
        <w:rPr>
          <w:rFonts w:cs="Tahoma"/>
          <w:b/>
          <w:bCs/>
          <w:sz w:val="28"/>
          <w:szCs w:val="28"/>
          <w:u w:val="single"/>
        </w:rPr>
        <w:t>XXXX</w:t>
      </w:r>
    </w:p>
    <w:p w14:paraId="5C3646C4" w14:textId="77777777" w:rsidR="002B77A5" w:rsidRDefault="002B77A5" w:rsidP="002B77A5">
      <w:pPr>
        <w:spacing w:after="0" w:line="240" w:lineRule="auto"/>
        <w:jc w:val="center"/>
        <w:rPr>
          <w:rFonts w:cs="Tahoma"/>
          <w:b/>
          <w:sz w:val="28"/>
          <w:szCs w:val="28"/>
        </w:rPr>
      </w:pPr>
    </w:p>
    <w:p w14:paraId="6DB5FE4E" w14:textId="1B7C0849" w:rsidR="001C792A" w:rsidRPr="003860F5" w:rsidRDefault="001019CD" w:rsidP="002B77A5">
      <w:pPr>
        <w:spacing w:after="0" w:line="240" w:lineRule="auto"/>
        <w:jc w:val="center"/>
        <w:rPr>
          <w:rFonts w:cs="Tahoma"/>
          <w:b/>
          <w:sz w:val="28"/>
          <w:szCs w:val="28"/>
        </w:rPr>
      </w:pPr>
      <w:r w:rsidRPr="003860F5">
        <w:rPr>
          <w:rFonts w:cs="Tahoma"/>
          <w:b/>
          <w:sz w:val="28"/>
          <w:szCs w:val="28"/>
        </w:rPr>
        <w:t>US</w:t>
      </w:r>
      <w:r w:rsidR="002B77A5">
        <w:rPr>
          <w:rFonts w:cs="Tahoma"/>
          <w:b/>
          <w:sz w:val="28"/>
          <w:szCs w:val="28"/>
        </w:rPr>
        <w:t xml:space="preserve"> </w:t>
      </w:r>
      <w:r w:rsidRPr="003860F5">
        <w:rPr>
          <w:rFonts w:cs="Tahoma"/>
          <w:b/>
          <w:sz w:val="28"/>
          <w:szCs w:val="28"/>
        </w:rPr>
        <w:t>D</w:t>
      </w:r>
      <w:r w:rsidR="002B77A5">
        <w:rPr>
          <w:rFonts w:cs="Tahoma"/>
          <w:b/>
          <w:sz w:val="28"/>
          <w:szCs w:val="28"/>
        </w:rPr>
        <w:t xml:space="preserve">epartment of </w:t>
      </w:r>
      <w:r w:rsidRPr="003860F5">
        <w:rPr>
          <w:rFonts w:cs="Tahoma"/>
          <w:b/>
          <w:sz w:val="28"/>
          <w:szCs w:val="28"/>
        </w:rPr>
        <w:t>A</w:t>
      </w:r>
      <w:r w:rsidR="002B77A5">
        <w:rPr>
          <w:rFonts w:cs="Tahoma"/>
          <w:b/>
          <w:sz w:val="28"/>
          <w:szCs w:val="28"/>
        </w:rPr>
        <w:t>griculture</w:t>
      </w:r>
    </w:p>
    <w:p w14:paraId="00685561" w14:textId="6BC799FB" w:rsidR="0053596A" w:rsidRDefault="00470B10" w:rsidP="002B77A5">
      <w:pPr>
        <w:spacing w:after="0" w:line="240" w:lineRule="auto"/>
        <w:jc w:val="center"/>
        <w:rPr>
          <w:rFonts w:cs="Tahoma"/>
          <w:b/>
          <w:sz w:val="26"/>
          <w:szCs w:val="26"/>
        </w:rPr>
      </w:pPr>
      <w:r>
        <w:rPr>
          <w:rFonts w:cs="Tahoma"/>
          <w:b/>
          <w:sz w:val="26"/>
          <w:szCs w:val="26"/>
        </w:rPr>
        <w:t xml:space="preserve">Forest Service and </w:t>
      </w:r>
      <w:r w:rsidR="002B77A5">
        <w:rPr>
          <w:rFonts w:cs="Tahoma"/>
          <w:b/>
          <w:sz w:val="26"/>
          <w:szCs w:val="26"/>
        </w:rPr>
        <w:t>Caribbean Climate Hub</w:t>
      </w:r>
    </w:p>
    <w:p w14:paraId="2945A6D2" w14:textId="77777777" w:rsidR="002B77A5" w:rsidRDefault="002B77A5" w:rsidP="002B77A5">
      <w:pPr>
        <w:spacing w:after="0" w:line="240" w:lineRule="auto"/>
        <w:jc w:val="center"/>
        <w:rPr>
          <w:rFonts w:cs="Tahoma"/>
          <w:b/>
          <w:sz w:val="24"/>
          <w:szCs w:val="24"/>
        </w:rPr>
      </w:pPr>
    </w:p>
    <w:p w14:paraId="49892131" w14:textId="77777777" w:rsidR="00DD577D" w:rsidRDefault="00DD577D" w:rsidP="002B77A5">
      <w:pPr>
        <w:spacing w:after="0" w:line="240" w:lineRule="auto"/>
        <w:jc w:val="center"/>
        <w:rPr>
          <w:rFonts w:cs="Tahoma"/>
          <w:b/>
          <w:sz w:val="24"/>
          <w:szCs w:val="24"/>
        </w:rPr>
      </w:pPr>
      <w:r w:rsidRPr="00DD577D">
        <w:rPr>
          <w:rFonts w:cs="Tahoma"/>
          <w:b/>
          <w:sz w:val="24"/>
          <w:szCs w:val="24"/>
        </w:rPr>
        <w:t xml:space="preserve">Post-Hurricane Research and Assessment of Agriculture, Forestry, and Rural Communities </w:t>
      </w:r>
    </w:p>
    <w:p w14:paraId="78CA8FE7" w14:textId="2CCB37EF" w:rsidR="008C325F" w:rsidRPr="003860F5" w:rsidRDefault="00DD577D" w:rsidP="002B77A5">
      <w:pPr>
        <w:spacing w:after="0" w:line="240" w:lineRule="auto"/>
        <w:jc w:val="center"/>
        <w:rPr>
          <w:rFonts w:cs="Tahoma"/>
          <w:b/>
          <w:sz w:val="24"/>
          <w:szCs w:val="24"/>
        </w:rPr>
      </w:pPr>
      <w:r w:rsidRPr="00DD577D">
        <w:rPr>
          <w:rFonts w:cs="Tahoma"/>
          <w:b/>
          <w:sz w:val="24"/>
          <w:szCs w:val="24"/>
        </w:rPr>
        <w:t>in the U.S. Caribbean</w:t>
      </w:r>
    </w:p>
    <w:p w14:paraId="10BB0BCA" w14:textId="77777777" w:rsidR="001019CD" w:rsidRDefault="001019CD" w:rsidP="001019CD">
      <w:pPr>
        <w:spacing w:after="0" w:line="240" w:lineRule="auto"/>
        <w:jc w:val="center"/>
        <w:rPr>
          <w:rFonts w:cs="Tahoma"/>
          <w:sz w:val="28"/>
          <w:szCs w:val="28"/>
        </w:rPr>
      </w:pPr>
    </w:p>
    <w:p w14:paraId="63EE2CA5" w14:textId="77777777" w:rsidR="00C37CD8" w:rsidRPr="001C792A" w:rsidRDefault="00EC10FF" w:rsidP="004159BA">
      <w:pPr>
        <w:pStyle w:val="ListParagraph"/>
        <w:numPr>
          <w:ilvl w:val="0"/>
          <w:numId w:val="40"/>
        </w:numPr>
        <w:spacing w:after="0" w:line="240" w:lineRule="auto"/>
        <w:ind w:left="360" w:hanging="360"/>
        <w:rPr>
          <w:rFonts w:cs="Tahoma"/>
          <w:b/>
          <w:bCs/>
          <w:sz w:val="28"/>
          <w:szCs w:val="28"/>
        </w:rPr>
      </w:pPr>
      <w:r w:rsidRPr="001C792A">
        <w:rPr>
          <w:rFonts w:cs="Tahoma"/>
          <w:b/>
          <w:bCs/>
          <w:sz w:val="28"/>
          <w:szCs w:val="28"/>
        </w:rPr>
        <w:t>Justification</w:t>
      </w:r>
    </w:p>
    <w:p w14:paraId="433392B4" w14:textId="77777777" w:rsidR="00D64145" w:rsidRPr="001C792A" w:rsidRDefault="00D64145" w:rsidP="001019CD">
      <w:pPr>
        <w:pStyle w:val="ListParagraph"/>
        <w:spacing w:after="0" w:line="240" w:lineRule="auto"/>
        <w:ind w:left="0"/>
        <w:rPr>
          <w:rFonts w:cs="Tahoma"/>
          <w:b/>
          <w:bCs/>
          <w:sz w:val="28"/>
          <w:szCs w:val="28"/>
        </w:rPr>
      </w:pPr>
    </w:p>
    <w:p w14:paraId="2C8FD849" w14:textId="5BC50868" w:rsidR="00C03E9F" w:rsidRPr="001C792A" w:rsidRDefault="001C792A" w:rsidP="003860F5">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rPr>
          <w:rFonts w:cs="Tahoma"/>
        </w:rPr>
      </w:pPr>
      <w:r>
        <w:rPr>
          <w:rFonts w:cs="Tahoma"/>
        </w:rPr>
        <w:t xml:space="preserve">1. </w:t>
      </w:r>
      <w:r>
        <w:rPr>
          <w:rFonts w:cs="Tahoma"/>
        </w:rPr>
        <w:tab/>
        <w:t>C</w:t>
      </w:r>
      <w:r w:rsidR="00C37CD8" w:rsidRPr="001C792A">
        <w:rPr>
          <w:rFonts w:cs="Tahoma"/>
        </w:rPr>
        <w:t>ircumstances that make the col</w:t>
      </w:r>
      <w:r w:rsidR="00C37CD8" w:rsidRPr="001C792A">
        <w:rPr>
          <w:rFonts w:cs="Tahoma"/>
        </w:rPr>
        <w:softHyphen/>
        <w:t>lection of information necessary. Iden</w:t>
      </w:r>
      <w:r w:rsidR="00C37CD8" w:rsidRPr="001C792A">
        <w:rPr>
          <w:rFonts w:cs="Tahoma"/>
        </w:rPr>
        <w:softHyphen/>
        <w:t>tify any legal or administrative require</w:t>
      </w:r>
      <w:r w:rsidR="00C37CD8" w:rsidRPr="001C792A">
        <w:rPr>
          <w:rFonts w:cs="Tahoma"/>
        </w:rPr>
        <w:softHyphen/>
        <w:t>ments that necessitate the collection. Attach a copy of the appropriate section of each statute and regulation mandating or authorizing the col</w:t>
      </w:r>
      <w:r w:rsidR="00C37CD8" w:rsidRPr="001C792A">
        <w:rPr>
          <w:rFonts w:cs="Tahoma"/>
        </w:rPr>
        <w:softHyphen/>
        <w:t>lection of information.</w:t>
      </w:r>
    </w:p>
    <w:p w14:paraId="0747D67F" w14:textId="77777777" w:rsidR="001019CD" w:rsidRPr="001019CD" w:rsidRDefault="001019CD" w:rsidP="001019CD">
      <w:pPr>
        <w:spacing w:after="0" w:line="240" w:lineRule="auto"/>
        <w:rPr>
          <w:rFonts w:cs="Tahoma"/>
        </w:rPr>
      </w:pPr>
    </w:p>
    <w:p w14:paraId="306C90AA" w14:textId="75CD6114" w:rsidR="003860F5" w:rsidRDefault="001019CD" w:rsidP="001019CD">
      <w:pPr>
        <w:spacing w:after="0" w:line="240" w:lineRule="auto"/>
        <w:rPr>
          <w:rFonts w:cs="Tahoma"/>
        </w:rPr>
      </w:pPr>
      <w:r w:rsidRPr="001019CD">
        <w:rPr>
          <w:rFonts w:cs="Tahoma"/>
        </w:rPr>
        <w:t>In September 2017, two major hurricanes passed through the Caribbean, causing catastrophic damage to communities, infrastructure, farms, and forests across Puerto Rico, the U.S. Virgin Islands, and many other island nations throughout the region.</w:t>
      </w:r>
      <w:r w:rsidR="00374BAE">
        <w:rPr>
          <w:rFonts w:cs="Tahoma"/>
        </w:rPr>
        <w:t xml:space="preserve">  To date, there is limited data on the </w:t>
      </w:r>
      <w:r w:rsidR="00374BAE" w:rsidRPr="00374BAE">
        <w:rPr>
          <w:rFonts w:cs="Tahoma"/>
        </w:rPr>
        <w:t>effects of Hurricanes Irma and Maria on agricultural and forestry systems and the people who depend on them</w:t>
      </w:r>
      <w:r w:rsidR="00374BAE">
        <w:rPr>
          <w:rFonts w:cs="Tahoma"/>
        </w:rPr>
        <w:t xml:space="preserve">.  </w:t>
      </w:r>
      <w:r w:rsidR="002B77A5">
        <w:rPr>
          <w:rFonts w:cs="Tahoma"/>
        </w:rPr>
        <w:t>Moreover</w:t>
      </w:r>
      <w:r w:rsidR="00374BAE">
        <w:rPr>
          <w:rFonts w:cs="Tahoma"/>
        </w:rPr>
        <w:t xml:space="preserve">, </w:t>
      </w:r>
      <w:r w:rsidR="008E2E7B">
        <w:rPr>
          <w:rFonts w:cs="Tahoma"/>
        </w:rPr>
        <w:t xml:space="preserve">very </w:t>
      </w:r>
      <w:r w:rsidR="003411E4">
        <w:rPr>
          <w:rFonts w:cs="Tahoma"/>
        </w:rPr>
        <w:t>little is known about</w:t>
      </w:r>
      <w:r w:rsidR="00374BAE">
        <w:rPr>
          <w:rFonts w:cs="Tahoma"/>
        </w:rPr>
        <w:t xml:space="preserve"> </w:t>
      </w:r>
      <w:r w:rsidR="00374BAE" w:rsidRPr="00374BAE">
        <w:rPr>
          <w:rFonts w:cs="Tahoma"/>
        </w:rPr>
        <w:t>the effectiveness of conservation practices</w:t>
      </w:r>
      <w:r w:rsidR="002D3567">
        <w:rPr>
          <w:rFonts w:cs="Tahoma"/>
        </w:rPr>
        <w:t xml:space="preserve"> and programs</w:t>
      </w:r>
      <w:r w:rsidR="00374BAE" w:rsidRPr="00374BAE">
        <w:rPr>
          <w:rFonts w:cs="Tahoma"/>
        </w:rPr>
        <w:t xml:space="preserve">, </w:t>
      </w:r>
      <w:r w:rsidR="002B77A5" w:rsidRPr="00374BAE">
        <w:rPr>
          <w:rFonts w:cs="Tahoma"/>
        </w:rPr>
        <w:t>mitigation and adaptation strategies</w:t>
      </w:r>
      <w:r w:rsidR="002B77A5">
        <w:rPr>
          <w:rFonts w:cs="Tahoma"/>
        </w:rPr>
        <w:t>, and</w:t>
      </w:r>
      <w:r w:rsidR="002B77A5" w:rsidRPr="00374BAE">
        <w:rPr>
          <w:rFonts w:cs="Tahoma"/>
        </w:rPr>
        <w:t xml:space="preserve"> </w:t>
      </w:r>
      <w:r w:rsidR="00374BAE" w:rsidRPr="00374BAE">
        <w:rPr>
          <w:rFonts w:cs="Tahoma"/>
        </w:rPr>
        <w:t>economic and policy measures</w:t>
      </w:r>
      <w:r w:rsidR="002B77A5">
        <w:rPr>
          <w:rFonts w:cs="Tahoma"/>
        </w:rPr>
        <w:t xml:space="preserve"> supported by US Department of Agriculture and other Federal agencies, local government, civil society, and the private sector.  </w:t>
      </w:r>
    </w:p>
    <w:p w14:paraId="42C9C372" w14:textId="77777777" w:rsidR="003860F5" w:rsidRDefault="003860F5" w:rsidP="001019CD">
      <w:pPr>
        <w:spacing w:after="0" w:line="240" w:lineRule="auto"/>
        <w:rPr>
          <w:rFonts w:cs="Tahoma"/>
        </w:rPr>
      </w:pPr>
    </w:p>
    <w:p w14:paraId="2B616E58" w14:textId="5C3C8C72" w:rsidR="00374BAE" w:rsidRDefault="00374BAE" w:rsidP="001019CD">
      <w:pPr>
        <w:spacing w:after="0" w:line="240" w:lineRule="auto"/>
        <w:rPr>
          <w:rFonts w:cs="Tahoma"/>
        </w:rPr>
      </w:pPr>
      <w:r>
        <w:rPr>
          <w:rFonts w:cs="Tahoma"/>
        </w:rPr>
        <w:t xml:space="preserve">To better understand the </w:t>
      </w:r>
      <w:r w:rsidR="002D3567">
        <w:rPr>
          <w:rFonts w:cs="Tahoma"/>
        </w:rPr>
        <w:t xml:space="preserve">effects of Hurricanes Irma and Maria on </w:t>
      </w:r>
      <w:r>
        <w:rPr>
          <w:rFonts w:cs="Tahoma"/>
        </w:rPr>
        <w:t xml:space="preserve">agriculture, forestry, and rural communities in </w:t>
      </w:r>
      <w:r w:rsidR="002B77A5">
        <w:rPr>
          <w:rFonts w:cs="Tahoma"/>
        </w:rPr>
        <w:t>the U.S. Caribbean</w:t>
      </w:r>
      <w:r w:rsidR="0009625E">
        <w:rPr>
          <w:rFonts w:cs="Tahoma"/>
        </w:rPr>
        <w:t xml:space="preserve"> and</w:t>
      </w:r>
      <w:r w:rsidR="003411E4">
        <w:rPr>
          <w:rFonts w:cs="Tahoma"/>
        </w:rPr>
        <w:t xml:space="preserve"> </w:t>
      </w:r>
      <w:r w:rsidR="002D3567">
        <w:rPr>
          <w:rFonts w:cs="Tahoma"/>
        </w:rPr>
        <w:t xml:space="preserve">the internal and external factors that </w:t>
      </w:r>
      <w:r w:rsidR="00777754">
        <w:rPr>
          <w:rFonts w:cs="Tahoma"/>
        </w:rPr>
        <w:t>affected</w:t>
      </w:r>
      <w:r w:rsidR="002D3567">
        <w:rPr>
          <w:rFonts w:cs="Tahoma"/>
        </w:rPr>
        <w:t xml:space="preserve"> their vulnerabilities</w:t>
      </w:r>
      <w:r w:rsidR="00777754">
        <w:rPr>
          <w:rFonts w:cs="Tahoma"/>
        </w:rPr>
        <w:t xml:space="preserve"> or resilience, </w:t>
      </w:r>
      <w:r w:rsidR="008E2E7B">
        <w:rPr>
          <w:rFonts w:cs="Tahoma"/>
        </w:rPr>
        <w:t>US Department of Agriculture</w:t>
      </w:r>
      <w:r>
        <w:rPr>
          <w:rFonts w:cs="Tahoma"/>
        </w:rPr>
        <w:t xml:space="preserve"> </w:t>
      </w:r>
      <w:r w:rsidR="00777754">
        <w:rPr>
          <w:rFonts w:cs="Tahoma"/>
        </w:rPr>
        <w:t>(USDA)</w:t>
      </w:r>
      <w:r w:rsidR="00470B10">
        <w:rPr>
          <w:rFonts w:cs="Tahoma"/>
        </w:rPr>
        <w:t xml:space="preserve"> – Forest Service and Caribbean Climate Hub (CCH), </w:t>
      </w:r>
      <w:r>
        <w:rPr>
          <w:rFonts w:cs="Tahoma"/>
        </w:rPr>
        <w:t>request permission to conduct focus groups</w:t>
      </w:r>
      <w:r w:rsidR="003860F5">
        <w:rPr>
          <w:rFonts w:cs="Tahoma"/>
        </w:rPr>
        <w:t xml:space="preserve"> and in-depth </w:t>
      </w:r>
      <w:r>
        <w:rPr>
          <w:rFonts w:cs="Tahoma"/>
        </w:rPr>
        <w:t>interviews</w:t>
      </w:r>
      <w:r w:rsidR="003860F5">
        <w:rPr>
          <w:rFonts w:cs="Tahoma"/>
        </w:rPr>
        <w:t xml:space="preserve"> </w:t>
      </w:r>
      <w:r>
        <w:rPr>
          <w:rFonts w:cs="Tahoma"/>
        </w:rPr>
        <w:t>to collect information from farmers, forest owners, and other agriculture and forestry community members</w:t>
      </w:r>
      <w:r w:rsidR="0053596A">
        <w:rPr>
          <w:rFonts w:cs="Tahoma"/>
        </w:rPr>
        <w:t xml:space="preserve"> </w:t>
      </w:r>
      <w:r w:rsidR="008E2E7B">
        <w:rPr>
          <w:rFonts w:cs="Tahoma"/>
        </w:rPr>
        <w:t>about</w:t>
      </w:r>
      <w:r w:rsidR="003411E4">
        <w:rPr>
          <w:rFonts w:cs="Tahoma"/>
        </w:rPr>
        <w:t xml:space="preserve"> </w:t>
      </w:r>
      <w:r w:rsidR="008E2E7B">
        <w:rPr>
          <w:rFonts w:cs="Tahoma"/>
        </w:rPr>
        <w:t>their experiences with, preparations for, responses to, and recovery from these storms</w:t>
      </w:r>
      <w:r w:rsidR="003411E4">
        <w:rPr>
          <w:rFonts w:cs="Tahoma"/>
        </w:rPr>
        <w:t xml:space="preserve">.  </w:t>
      </w:r>
      <w:r>
        <w:rPr>
          <w:rFonts w:cs="Tahoma"/>
        </w:rPr>
        <w:t>This collection provide</w:t>
      </w:r>
      <w:r w:rsidR="003411E4">
        <w:rPr>
          <w:rFonts w:cs="Tahoma"/>
        </w:rPr>
        <w:t>s</w:t>
      </w:r>
      <w:r>
        <w:rPr>
          <w:rFonts w:cs="Tahoma"/>
        </w:rPr>
        <w:t xml:space="preserve"> </w:t>
      </w:r>
      <w:r w:rsidRPr="00374BAE">
        <w:rPr>
          <w:rFonts w:cs="Tahoma"/>
        </w:rPr>
        <w:t>vital</w:t>
      </w:r>
      <w:r w:rsidR="003860F5">
        <w:rPr>
          <w:rFonts w:cs="Tahoma"/>
        </w:rPr>
        <w:t xml:space="preserve"> real-time</w:t>
      </w:r>
      <w:r w:rsidRPr="00374BAE">
        <w:rPr>
          <w:rFonts w:cs="Tahoma"/>
        </w:rPr>
        <w:t xml:space="preserve"> </w:t>
      </w:r>
      <w:r>
        <w:rPr>
          <w:rFonts w:cs="Tahoma"/>
        </w:rPr>
        <w:t xml:space="preserve">information for </w:t>
      </w:r>
      <w:r w:rsidR="008E2E7B">
        <w:rPr>
          <w:rFonts w:cs="Tahoma"/>
        </w:rPr>
        <w:t xml:space="preserve">ongoing response efforts by USDA and other </w:t>
      </w:r>
      <w:r w:rsidR="002B77A5">
        <w:rPr>
          <w:rFonts w:cs="Tahoma"/>
        </w:rPr>
        <w:t>entities working in Puerto Rico and the U.S. Virgin Islands</w:t>
      </w:r>
      <w:r>
        <w:rPr>
          <w:rFonts w:cs="Tahoma"/>
        </w:rPr>
        <w:t xml:space="preserve">, as well as </w:t>
      </w:r>
      <w:r w:rsidRPr="00374BAE">
        <w:rPr>
          <w:rFonts w:cs="Tahoma"/>
        </w:rPr>
        <w:t xml:space="preserve">valuable lessons learned for other disasters and regions. </w:t>
      </w:r>
    </w:p>
    <w:p w14:paraId="5FD7C371" w14:textId="77777777" w:rsidR="00374BAE" w:rsidRDefault="00374BAE" w:rsidP="001019CD">
      <w:pPr>
        <w:spacing w:after="0" w:line="240" w:lineRule="auto"/>
        <w:rPr>
          <w:rFonts w:cs="Tahoma"/>
        </w:rPr>
      </w:pPr>
    </w:p>
    <w:p w14:paraId="33DB0418" w14:textId="023B097A" w:rsidR="003860F5" w:rsidRDefault="00EC733D" w:rsidP="001019CD">
      <w:pPr>
        <w:spacing w:after="0" w:line="240" w:lineRule="auto"/>
        <w:rPr>
          <w:rFonts w:cs="Tahoma"/>
          <w:bCs/>
        </w:rPr>
      </w:pPr>
      <w:r>
        <w:rPr>
          <w:rFonts w:cs="Tahoma"/>
        </w:rPr>
        <w:t>The primary authorities for this collection are</w:t>
      </w:r>
      <w:r w:rsidR="00374BAE">
        <w:rPr>
          <w:rFonts w:cs="Tahoma"/>
        </w:rPr>
        <w:t xml:space="preserve"> the </w:t>
      </w:r>
      <w:r w:rsidRPr="00EC733D">
        <w:rPr>
          <w:rFonts w:cs="Tahoma"/>
        </w:rPr>
        <w:t>National Agricultural Research, Extension, and Teaching</w:t>
      </w:r>
      <w:r>
        <w:rPr>
          <w:rFonts w:cs="Tahoma"/>
        </w:rPr>
        <w:t xml:space="preserve"> </w:t>
      </w:r>
      <w:r w:rsidRPr="00EC733D">
        <w:rPr>
          <w:rFonts w:cs="Tahoma"/>
        </w:rPr>
        <w:t>Policy Act of 1977</w:t>
      </w:r>
      <w:r>
        <w:rPr>
          <w:rFonts w:cs="Tahoma"/>
        </w:rPr>
        <w:t xml:space="preserve">, as amended, which authorizes </w:t>
      </w:r>
      <w:r w:rsidR="00DF505C">
        <w:rPr>
          <w:rFonts w:cs="Tahoma"/>
        </w:rPr>
        <w:t xml:space="preserve">USDA </w:t>
      </w:r>
      <w:r w:rsidRPr="00EC733D">
        <w:rPr>
          <w:rFonts w:cs="Tahoma"/>
        </w:rPr>
        <w:t>agricultural research, education, and extension programs</w:t>
      </w:r>
      <w:r w:rsidR="00DF505C">
        <w:rPr>
          <w:rFonts w:cs="Tahoma"/>
        </w:rPr>
        <w:t>,</w:t>
      </w:r>
      <w:r>
        <w:rPr>
          <w:rFonts w:cs="Tahoma"/>
        </w:rPr>
        <w:t xml:space="preserve"> and the</w:t>
      </w:r>
      <w:r w:rsidRPr="00EC733D">
        <w:rPr>
          <w:rFonts w:cs="Tahoma"/>
        </w:rPr>
        <w:t xml:space="preserve"> </w:t>
      </w:r>
      <w:r w:rsidR="001019CD" w:rsidRPr="001019CD">
        <w:rPr>
          <w:rFonts w:cs="Tahoma"/>
        </w:rPr>
        <w:t>Forest and Rangeland Renewable</w:t>
      </w:r>
      <w:r w:rsidR="001019CD">
        <w:rPr>
          <w:rFonts w:cs="Tahoma"/>
        </w:rPr>
        <w:t xml:space="preserve"> Resources Research Act of 1978, which </w:t>
      </w:r>
      <w:r w:rsidR="001019CD" w:rsidRPr="001019CD">
        <w:rPr>
          <w:rFonts w:cs="Tahoma"/>
        </w:rPr>
        <w:t>authorizes US</w:t>
      </w:r>
      <w:r w:rsidR="001019CD">
        <w:rPr>
          <w:rFonts w:cs="Tahoma"/>
        </w:rPr>
        <w:t>DA</w:t>
      </w:r>
      <w:r w:rsidR="001019CD" w:rsidRPr="001019CD">
        <w:rPr>
          <w:rFonts w:cs="Tahoma"/>
        </w:rPr>
        <w:t xml:space="preserve"> Forest Service “investigations, experiments, tests, and other activities… to obtain, analyze, develop, demonstrate, and disseminate scientific information about protecting, managing, and utilizing forest and rangeland renewable resources in rural, suburban, and urban areas”</w:t>
      </w:r>
      <w:r w:rsidR="00374BAE">
        <w:rPr>
          <w:rFonts w:cs="Tahoma"/>
        </w:rPr>
        <w:t xml:space="preserve"> (Pub. L. 95-307 Sec. 3).  </w:t>
      </w:r>
      <w:r w:rsidR="001019CD" w:rsidRPr="001019CD">
        <w:rPr>
          <w:rFonts w:cs="Tahoma"/>
        </w:rPr>
        <w:t xml:space="preserve"> </w:t>
      </w:r>
      <w:r w:rsidR="003860F5" w:rsidRPr="003860F5">
        <w:rPr>
          <w:rFonts w:cs="Tahoma"/>
          <w:bCs/>
        </w:rPr>
        <w:t xml:space="preserve">Additional authorities that direct </w:t>
      </w:r>
      <w:r w:rsidR="00EA3700">
        <w:rPr>
          <w:rFonts w:cs="Tahoma"/>
          <w:bCs/>
        </w:rPr>
        <w:t>USDA</w:t>
      </w:r>
      <w:r w:rsidR="003860F5" w:rsidRPr="003860F5">
        <w:rPr>
          <w:rFonts w:cs="Tahoma"/>
          <w:bCs/>
        </w:rPr>
        <w:t xml:space="preserve"> to </w:t>
      </w:r>
      <w:r w:rsidR="00EA3700">
        <w:rPr>
          <w:rFonts w:cs="Tahoma"/>
          <w:bCs/>
        </w:rPr>
        <w:t xml:space="preserve">support agriculture and </w:t>
      </w:r>
      <w:r w:rsidR="003860F5" w:rsidRPr="003860F5">
        <w:rPr>
          <w:rFonts w:cs="Tahoma"/>
          <w:bCs/>
        </w:rPr>
        <w:t xml:space="preserve">natural resources </w:t>
      </w:r>
      <w:r w:rsidR="00EA3700">
        <w:rPr>
          <w:rFonts w:cs="Tahoma"/>
          <w:bCs/>
        </w:rPr>
        <w:t xml:space="preserve">that are productive, sustainable, and provide benefits </w:t>
      </w:r>
      <w:r w:rsidR="003860F5" w:rsidRPr="003860F5">
        <w:rPr>
          <w:rFonts w:cs="Tahoma"/>
          <w:bCs/>
        </w:rPr>
        <w:t xml:space="preserve">for the American public </w:t>
      </w:r>
      <w:r w:rsidR="00EA3700">
        <w:rPr>
          <w:rFonts w:cs="Tahoma"/>
          <w:bCs/>
        </w:rPr>
        <w:t>include</w:t>
      </w:r>
      <w:r w:rsidR="00DF505C">
        <w:rPr>
          <w:rFonts w:cs="Tahoma"/>
          <w:bCs/>
        </w:rPr>
        <w:t xml:space="preserve"> the</w:t>
      </w:r>
      <w:r w:rsidR="00EA3700">
        <w:rPr>
          <w:rFonts w:cs="Tahoma"/>
          <w:bCs/>
        </w:rPr>
        <w:t xml:space="preserve"> </w:t>
      </w:r>
      <w:r w:rsidR="00DF505C" w:rsidRPr="00DF505C">
        <w:rPr>
          <w:rFonts w:cs="Tahoma"/>
          <w:bCs/>
        </w:rPr>
        <w:t xml:space="preserve">Rural </w:t>
      </w:r>
      <w:r w:rsidR="00DF505C">
        <w:rPr>
          <w:rFonts w:cs="Tahoma"/>
          <w:bCs/>
        </w:rPr>
        <w:t xml:space="preserve">Development Policy Act of 1980, which </w:t>
      </w:r>
      <w:r w:rsidR="00DF505C" w:rsidRPr="00DF505C">
        <w:rPr>
          <w:rFonts w:cs="Tahoma"/>
          <w:bCs/>
        </w:rPr>
        <w:t>affirm</w:t>
      </w:r>
      <w:r w:rsidR="00DF505C">
        <w:rPr>
          <w:rFonts w:cs="Tahoma"/>
          <w:bCs/>
        </w:rPr>
        <w:t>s</w:t>
      </w:r>
      <w:r w:rsidR="00DF505C" w:rsidRPr="00DF505C">
        <w:rPr>
          <w:rFonts w:cs="Tahoma"/>
          <w:bCs/>
        </w:rPr>
        <w:t xml:space="preserve"> USDA as the lead agency for rural development</w:t>
      </w:r>
      <w:r w:rsidR="00DF505C">
        <w:rPr>
          <w:rFonts w:cs="Tahoma"/>
          <w:bCs/>
        </w:rPr>
        <w:t xml:space="preserve"> in the U.S. and </w:t>
      </w:r>
      <w:r w:rsidR="00DF505C" w:rsidRPr="00DF505C">
        <w:rPr>
          <w:rFonts w:cs="Tahoma"/>
          <w:bCs/>
        </w:rPr>
        <w:t>expand</w:t>
      </w:r>
      <w:r w:rsidR="00DF505C">
        <w:rPr>
          <w:rFonts w:cs="Tahoma"/>
          <w:bCs/>
        </w:rPr>
        <w:t>s</w:t>
      </w:r>
      <w:r w:rsidR="00DF505C" w:rsidRPr="00DF505C">
        <w:rPr>
          <w:rFonts w:cs="Tahoma"/>
          <w:bCs/>
        </w:rPr>
        <w:t xml:space="preserve"> the department’s leadership role through which multi-state, state, sub-state, and local rural development needs, plans, and recommendations </w:t>
      </w:r>
      <w:r w:rsidR="00DF505C">
        <w:rPr>
          <w:rFonts w:cs="Tahoma"/>
          <w:bCs/>
        </w:rPr>
        <w:t>are assessed and</w:t>
      </w:r>
      <w:r w:rsidR="00DF505C" w:rsidRPr="00DF505C">
        <w:rPr>
          <w:rFonts w:cs="Tahoma"/>
          <w:bCs/>
        </w:rPr>
        <w:t xml:space="preserve"> received on a continuing basis.</w:t>
      </w:r>
      <w:r w:rsidR="00DF505C">
        <w:rPr>
          <w:rFonts w:cs="Tahoma"/>
          <w:bCs/>
        </w:rPr>
        <w:t xml:space="preserve">  </w:t>
      </w:r>
      <w:r w:rsidR="0091265B">
        <w:rPr>
          <w:rFonts w:cs="Tahoma"/>
          <w:bCs/>
        </w:rPr>
        <w:lastRenderedPageBreak/>
        <w:t>Additionally, t</w:t>
      </w:r>
      <w:r w:rsidR="003860F5" w:rsidRPr="003860F5">
        <w:rPr>
          <w:rFonts w:cs="Tahoma"/>
          <w:bCs/>
        </w:rPr>
        <w:t>he Cooperative Forestry Assistance Act of 1978</w:t>
      </w:r>
      <w:r w:rsidR="00DF505C">
        <w:rPr>
          <w:rFonts w:cs="Tahoma"/>
          <w:bCs/>
        </w:rPr>
        <w:t xml:space="preserve"> </w:t>
      </w:r>
      <w:r w:rsidR="003860F5" w:rsidRPr="003860F5">
        <w:rPr>
          <w:rFonts w:cs="Tahoma"/>
          <w:bCs/>
        </w:rPr>
        <w:t xml:space="preserve">specifically authorizes the Forest Service to conduct research and provide expert advice on the management of forests that are outside of the National Forest system.   </w:t>
      </w:r>
      <w:r w:rsidR="00DF505C" w:rsidRPr="003860F5">
        <w:rPr>
          <w:rFonts w:cs="Tahoma"/>
          <w:bCs/>
        </w:rPr>
        <w:t xml:space="preserve">Executive Order 12898 Federal Actions to Address Environmental Justice in Minority Populations and Low-Income Populations </w:t>
      </w:r>
      <w:r w:rsidR="00DF505C">
        <w:rPr>
          <w:rFonts w:cs="Tahoma"/>
          <w:bCs/>
        </w:rPr>
        <w:t>(</w:t>
      </w:r>
      <w:r w:rsidR="00DF505C" w:rsidRPr="003860F5">
        <w:rPr>
          <w:rFonts w:cs="Tahoma"/>
          <w:bCs/>
        </w:rPr>
        <w:t>59 FR 7629</w:t>
      </w:r>
      <w:r w:rsidR="00DF505C">
        <w:rPr>
          <w:rFonts w:cs="Tahoma"/>
          <w:bCs/>
        </w:rPr>
        <w:t>,</w:t>
      </w:r>
      <w:r w:rsidR="00DF505C" w:rsidRPr="003860F5">
        <w:rPr>
          <w:rFonts w:cs="Tahoma"/>
          <w:bCs/>
        </w:rPr>
        <w:t xml:space="preserve"> February 16, 1994</w:t>
      </w:r>
      <w:r w:rsidR="00DF505C">
        <w:rPr>
          <w:rFonts w:cs="Tahoma"/>
          <w:bCs/>
        </w:rPr>
        <w:t>),</w:t>
      </w:r>
      <w:r w:rsidR="00DF505C" w:rsidRPr="003860F5">
        <w:rPr>
          <w:rFonts w:cs="Tahoma"/>
          <w:bCs/>
        </w:rPr>
        <w:t xml:space="preserve"> which directs federal agencies to identify and address the disproportionately high and adverse human health or environmental effects of their actions on minority and low-income populations, to the greatest extent practicable and permitted by law</w:t>
      </w:r>
      <w:r w:rsidR="00DF505C">
        <w:rPr>
          <w:rFonts w:cs="Tahoma"/>
          <w:bCs/>
        </w:rPr>
        <w:t xml:space="preserve">.  </w:t>
      </w:r>
    </w:p>
    <w:p w14:paraId="37B8562D" w14:textId="77777777" w:rsidR="00DF505C" w:rsidRDefault="00DF505C" w:rsidP="001019CD">
      <w:pPr>
        <w:spacing w:after="0" w:line="240" w:lineRule="auto"/>
        <w:rPr>
          <w:rFonts w:cs="Tahoma"/>
          <w:bCs/>
        </w:rPr>
      </w:pPr>
    </w:p>
    <w:p w14:paraId="588EDD0B" w14:textId="66B434F3" w:rsidR="00DF505C" w:rsidRDefault="00DF505C" w:rsidP="00DF505C">
      <w:pPr>
        <w:spacing w:after="0" w:line="240" w:lineRule="auto"/>
        <w:rPr>
          <w:rFonts w:cs="Tahoma"/>
        </w:rPr>
      </w:pPr>
      <w:r>
        <w:rPr>
          <w:rFonts w:cs="Tahoma"/>
        </w:rPr>
        <w:t>Information collected through this research contribute to USDA Strategic Goals, including ensuring</w:t>
      </w:r>
      <w:r w:rsidRPr="00EA3700">
        <w:rPr>
          <w:rFonts w:cs="Tahoma"/>
        </w:rPr>
        <w:t xml:space="preserve"> USDA programs are delivered efficiently, effectively, and with integrity</w:t>
      </w:r>
      <w:r>
        <w:rPr>
          <w:rFonts w:cs="Tahoma"/>
        </w:rPr>
        <w:t>,</w:t>
      </w:r>
      <w:r w:rsidRPr="00EA3700">
        <w:rPr>
          <w:rFonts w:cs="Tahoma"/>
        </w:rPr>
        <w:t xml:space="preserve"> and </w:t>
      </w:r>
      <w:r>
        <w:rPr>
          <w:rFonts w:cs="Tahoma"/>
        </w:rPr>
        <w:t>facilitating</w:t>
      </w:r>
      <w:r w:rsidRPr="00EA3700">
        <w:rPr>
          <w:rFonts w:cs="Tahoma"/>
        </w:rPr>
        <w:t xml:space="preserve"> rural prosperity and economic development</w:t>
      </w:r>
      <w:r>
        <w:rPr>
          <w:rFonts w:cs="Tahoma"/>
        </w:rPr>
        <w:t xml:space="preserve">.  </w:t>
      </w:r>
      <w:r w:rsidR="009F053A">
        <w:rPr>
          <w:rFonts w:cs="Tahoma"/>
        </w:rPr>
        <w:t>It</w:t>
      </w:r>
      <w:r>
        <w:rPr>
          <w:rFonts w:cs="Tahoma"/>
        </w:rPr>
        <w:t xml:space="preserve"> also contributes to Forest Service Strategic Goals of sustaining our nation’s forests and delivering benefits to the public.  </w:t>
      </w:r>
    </w:p>
    <w:p w14:paraId="45175773" w14:textId="77777777" w:rsidR="003860F5" w:rsidRDefault="003860F5" w:rsidP="001019CD">
      <w:pPr>
        <w:spacing w:after="0" w:line="240" w:lineRule="auto"/>
        <w:rPr>
          <w:rFonts w:cs="Tahoma"/>
          <w:bCs/>
        </w:rPr>
      </w:pPr>
    </w:p>
    <w:p w14:paraId="6F2C4BEA" w14:textId="3F6B0243" w:rsidR="003860F5" w:rsidRDefault="00DF505C" w:rsidP="001019CD">
      <w:pPr>
        <w:spacing w:after="0" w:line="240" w:lineRule="auto"/>
        <w:rPr>
          <w:rFonts w:cs="Tahoma"/>
          <w:bCs/>
        </w:rPr>
      </w:pPr>
      <w:r w:rsidRPr="00DF505C">
        <w:rPr>
          <w:rFonts w:cs="Tahoma"/>
          <w:bCs/>
        </w:rPr>
        <w:t>USDA Caribbean Climate Hub (CCH),</w:t>
      </w:r>
      <w:r w:rsidR="00470B10">
        <w:rPr>
          <w:rFonts w:cs="Tahoma"/>
          <w:bCs/>
        </w:rPr>
        <w:t xml:space="preserve"> located</w:t>
      </w:r>
      <w:r w:rsidRPr="00DF505C">
        <w:rPr>
          <w:rFonts w:cs="Tahoma"/>
          <w:bCs/>
        </w:rPr>
        <w:t xml:space="preserve"> </w:t>
      </w:r>
      <w:r w:rsidR="00470B10">
        <w:rPr>
          <w:rFonts w:cs="Tahoma"/>
          <w:bCs/>
        </w:rPr>
        <w:t xml:space="preserve">at and </w:t>
      </w:r>
      <w:r w:rsidR="00052F12">
        <w:rPr>
          <w:rFonts w:cs="Tahoma"/>
          <w:bCs/>
        </w:rPr>
        <w:t>led by</w:t>
      </w:r>
      <w:r w:rsidRPr="00DF505C">
        <w:rPr>
          <w:rFonts w:cs="Tahoma"/>
          <w:bCs/>
        </w:rPr>
        <w:t xml:space="preserve"> the US Forest Service International Institute of Tropical Forestry </w:t>
      </w:r>
      <w:r w:rsidR="00052F12">
        <w:rPr>
          <w:rFonts w:cs="Tahoma"/>
          <w:bCs/>
        </w:rPr>
        <w:t xml:space="preserve">(IITF) </w:t>
      </w:r>
      <w:r w:rsidRPr="00DF505C">
        <w:rPr>
          <w:rFonts w:cs="Tahoma"/>
          <w:bCs/>
        </w:rPr>
        <w:t xml:space="preserve">in Río Piedras, Puerto Rico, is uniquely positioned to design, develop, and carry out this information collection.  CCH is one of ten regional USDA Climate Hubs whose mission is to develop and deliver science-based, region-specific information and technologies by USDA agencies and partners, to agricultural and natural resource managers.  </w:t>
      </w:r>
      <w:r w:rsidR="00052F12">
        <w:rPr>
          <w:rFonts w:cs="Tahoma"/>
          <w:bCs/>
        </w:rPr>
        <w:t xml:space="preserve">The CCH mission is complemented by the IITF </w:t>
      </w:r>
      <w:r w:rsidRPr="003860F5">
        <w:rPr>
          <w:rFonts w:cs="Tahoma"/>
          <w:bCs/>
        </w:rPr>
        <w:t>mission to develop and disseminate scientifically-based knowledge that contributes to the conservation of forests, wildlife, and watersheds of the American tropics in the context of environmental change</w:t>
      </w:r>
      <w:r w:rsidR="00052F12">
        <w:rPr>
          <w:rFonts w:cs="Tahoma"/>
          <w:bCs/>
        </w:rPr>
        <w:t xml:space="preserve">.  </w:t>
      </w:r>
      <w:r>
        <w:rPr>
          <w:rFonts w:cs="Tahoma"/>
          <w:bCs/>
        </w:rPr>
        <w:t>Results and l</w:t>
      </w:r>
      <w:r w:rsidRPr="00DF505C">
        <w:rPr>
          <w:rFonts w:cs="Tahoma"/>
          <w:bCs/>
        </w:rPr>
        <w:t xml:space="preserve">essons learned </w:t>
      </w:r>
      <w:r>
        <w:rPr>
          <w:rFonts w:cs="Tahoma"/>
          <w:bCs/>
        </w:rPr>
        <w:t>from</w:t>
      </w:r>
      <w:r w:rsidRPr="00DF505C">
        <w:rPr>
          <w:rFonts w:cs="Tahoma"/>
          <w:bCs/>
        </w:rPr>
        <w:t xml:space="preserve"> this information collection not only will benefit USDA and its partners in the U.S. Caribbean, </w:t>
      </w:r>
      <w:r w:rsidR="00470B10" w:rsidRPr="00DF505C">
        <w:rPr>
          <w:rFonts w:cs="Tahoma"/>
          <w:bCs/>
        </w:rPr>
        <w:t xml:space="preserve"> </w:t>
      </w:r>
      <w:r w:rsidR="00470B10">
        <w:rPr>
          <w:rFonts w:cs="Tahoma"/>
          <w:bCs/>
        </w:rPr>
        <w:t xml:space="preserve">and </w:t>
      </w:r>
      <w:r w:rsidRPr="00DF505C">
        <w:rPr>
          <w:rFonts w:cs="Tahoma"/>
          <w:bCs/>
        </w:rPr>
        <w:t>also will benefit</w:t>
      </w:r>
      <w:r w:rsidR="00470B10">
        <w:rPr>
          <w:rFonts w:cs="Tahoma"/>
          <w:bCs/>
        </w:rPr>
        <w:t xml:space="preserve"> the broader hub network and</w:t>
      </w:r>
      <w:r w:rsidRPr="00DF505C">
        <w:rPr>
          <w:rFonts w:cs="Tahoma"/>
          <w:bCs/>
        </w:rPr>
        <w:t xml:space="preserve"> other </w:t>
      </w:r>
      <w:r w:rsidR="00470B10">
        <w:rPr>
          <w:rFonts w:cs="Tahoma"/>
          <w:bCs/>
        </w:rPr>
        <w:t>efforts</w:t>
      </w:r>
      <w:r w:rsidRPr="00DF505C">
        <w:rPr>
          <w:rFonts w:cs="Tahoma"/>
          <w:bCs/>
        </w:rPr>
        <w:t xml:space="preserve"> </w:t>
      </w:r>
      <w:r w:rsidR="00052F12">
        <w:rPr>
          <w:rFonts w:cs="Tahoma"/>
          <w:bCs/>
        </w:rPr>
        <w:t xml:space="preserve">across the country </w:t>
      </w:r>
      <w:r w:rsidRPr="00DF505C">
        <w:rPr>
          <w:rFonts w:cs="Tahoma"/>
          <w:bCs/>
        </w:rPr>
        <w:t>and their partners preparing for, responding to, and recovering from natural disasters and disturbances.</w:t>
      </w:r>
      <w:r>
        <w:rPr>
          <w:rFonts w:cs="Tahoma"/>
          <w:bCs/>
        </w:rPr>
        <w:t xml:space="preserve">  </w:t>
      </w:r>
      <w:r w:rsidR="00052F12">
        <w:rPr>
          <w:rFonts w:cs="Tahoma"/>
          <w:bCs/>
        </w:rPr>
        <w:t>CCH</w:t>
      </w:r>
      <w:r w:rsidR="00470B10">
        <w:rPr>
          <w:rFonts w:cs="Tahoma"/>
          <w:bCs/>
        </w:rPr>
        <w:t>/IITF</w:t>
      </w:r>
      <w:r w:rsidR="003860F5" w:rsidRPr="003860F5">
        <w:rPr>
          <w:rFonts w:cs="Tahoma"/>
          <w:bCs/>
        </w:rPr>
        <w:t xml:space="preserve"> researchers will coordinate all components of the information collection, working </w:t>
      </w:r>
      <w:r w:rsidR="00052F12">
        <w:rPr>
          <w:rFonts w:cs="Tahoma"/>
          <w:bCs/>
        </w:rPr>
        <w:t>across USDA and other Federal</w:t>
      </w:r>
      <w:r w:rsidR="003860F5" w:rsidRPr="003860F5">
        <w:rPr>
          <w:rFonts w:cs="Tahoma"/>
          <w:bCs/>
        </w:rPr>
        <w:t xml:space="preserve"> agencies, as well as </w:t>
      </w:r>
      <w:r w:rsidR="00052F12">
        <w:rPr>
          <w:rFonts w:cs="Tahoma"/>
          <w:bCs/>
        </w:rPr>
        <w:t xml:space="preserve">with </w:t>
      </w:r>
      <w:r w:rsidR="003860F5" w:rsidRPr="003860F5">
        <w:rPr>
          <w:rFonts w:cs="Tahoma"/>
          <w:bCs/>
        </w:rPr>
        <w:t>local government, university partners</w:t>
      </w:r>
      <w:r w:rsidR="00052F12">
        <w:rPr>
          <w:rFonts w:cs="Tahoma"/>
          <w:bCs/>
        </w:rPr>
        <w:t>,</w:t>
      </w:r>
      <w:r w:rsidR="003860F5" w:rsidRPr="003860F5">
        <w:rPr>
          <w:rFonts w:cs="Tahoma"/>
          <w:bCs/>
        </w:rPr>
        <w:t xml:space="preserve"> and research collaborators, among others, to carry out the research and </w:t>
      </w:r>
      <w:r w:rsidR="00052F12">
        <w:rPr>
          <w:rFonts w:cs="Tahoma"/>
          <w:bCs/>
        </w:rPr>
        <w:t>its dissemination</w:t>
      </w:r>
      <w:r w:rsidR="003860F5">
        <w:rPr>
          <w:rFonts w:cs="Tahoma"/>
          <w:bCs/>
        </w:rPr>
        <w:t>.</w:t>
      </w:r>
    </w:p>
    <w:p w14:paraId="1169505D" w14:textId="77777777" w:rsidR="003860F5" w:rsidRDefault="003860F5" w:rsidP="001019CD">
      <w:pPr>
        <w:spacing w:after="0" w:line="240" w:lineRule="auto"/>
        <w:rPr>
          <w:rFonts w:cs="Tahoma"/>
          <w:bCs/>
        </w:rPr>
      </w:pPr>
    </w:p>
    <w:p w14:paraId="06184CF6" w14:textId="209029D6" w:rsidR="0009625E" w:rsidRPr="003860F5" w:rsidRDefault="004638CE" w:rsidP="003860F5">
      <w:pPr>
        <w:spacing w:after="0" w:line="240" w:lineRule="auto"/>
        <w:rPr>
          <w:rFonts w:cs="Tahoma"/>
        </w:rPr>
      </w:pPr>
      <w:r w:rsidRPr="001C792A">
        <w:rPr>
          <w:rFonts w:cs="Tahoma"/>
        </w:rPr>
        <w:t xml:space="preserve">Results from the proposed research </w:t>
      </w:r>
      <w:r w:rsidR="003860F5">
        <w:rPr>
          <w:rFonts w:cs="Tahoma"/>
        </w:rPr>
        <w:t>will</w:t>
      </w:r>
      <w:r w:rsidRPr="001C792A">
        <w:rPr>
          <w:rFonts w:cs="Tahoma"/>
        </w:rPr>
        <w:t xml:space="preserve"> inform </w:t>
      </w:r>
      <w:r w:rsidR="00D12C23">
        <w:rPr>
          <w:rFonts w:cs="Tahoma"/>
        </w:rPr>
        <w:t xml:space="preserve">natural disaster and disturbance </w:t>
      </w:r>
      <w:r w:rsidR="005A4998" w:rsidRPr="001C792A">
        <w:rPr>
          <w:rFonts w:cs="Tahoma"/>
        </w:rPr>
        <w:t xml:space="preserve">prediction, </w:t>
      </w:r>
      <w:r w:rsidR="00B31626">
        <w:rPr>
          <w:rFonts w:cs="Tahoma"/>
        </w:rPr>
        <w:t>preparedness</w:t>
      </w:r>
      <w:r w:rsidRPr="001C792A">
        <w:rPr>
          <w:rFonts w:cs="Tahoma"/>
        </w:rPr>
        <w:t xml:space="preserve">, response, and recovery efforts by </w:t>
      </w:r>
      <w:r w:rsidR="00D55776">
        <w:rPr>
          <w:rFonts w:cs="Tahoma"/>
        </w:rPr>
        <w:t>USDA</w:t>
      </w:r>
      <w:r w:rsidR="00470B10">
        <w:rPr>
          <w:rFonts w:cs="Tahoma"/>
        </w:rPr>
        <w:t>, Forest Service,</w:t>
      </w:r>
      <w:r w:rsidRPr="001C792A">
        <w:rPr>
          <w:rFonts w:cs="Tahoma"/>
        </w:rPr>
        <w:t xml:space="preserve"> and other Federal agencies, as well as related local government, civil society, </w:t>
      </w:r>
      <w:r w:rsidR="003860F5">
        <w:rPr>
          <w:rFonts w:cs="Tahoma"/>
        </w:rPr>
        <w:t xml:space="preserve">private sector, </w:t>
      </w:r>
      <w:r w:rsidRPr="001C792A">
        <w:rPr>
          <w:rFonts w:cs="Tahoma"/>
        </w:rPr>
        <w:t xml:space="preserve">and community efforts.  </w:t>
      </w:r>
      <w:r w:rsidR="003860F5">
        <w:rPr>
          <w:rFonts w:cs="Tahoma"/>
        </w:rPr>
        <w:t>In the short term, r</w:t>
      </w:r>
      <w:r w:rsidR="003860F5" w:rsidRPr="003860F5">
        <w:rPr>
          <w:rFonts w:cs="Tahoma"/>
        </w:rPr>
        <w:t xml:space="preserve">esults from </w:t>
      </w:r>
      <w:r w:rsidR="00052F12">
        <w:rPr>
          <w:rFonts w:cs="Tahoma"/>
        </w:rPr>
        <w:t xml:space="preserve">this information collection will be critical in informing </w:t>
      </w:r>
      <w:r w:rsidR="003860F5" w:rsidRPr="003860F5">
        <w:rPr>
          <w:rFonts w:cs="Tahoma"/>
        </w:rPr>
        <w:t xml:space="preserve">ongoing post-hurricane </w:t>
      </w:r>
      <w:r w:rsidR="002D3567">
        <w:rPr>
          <w:rFonts w:cs="Tahoma"/>
        </w:rPr>
        <w:t xml:space="preserve">response and recovery </w:t>
      </w:r>
      <w:r w:rsidR="003860F5" w:rsidRPr="003860F5">
        <w:rPr>
          <w:rFonts w:cs="Tahoma"/>
        </w:rPr>
        <w:t>efforts</w:t>
      </w:r>
      <w:r w:rsidR="00052F12">
        <w:rPr>
          <w:rFonts w:cs="Tahoma"/>
        </w:rPr>
        <w:t xml:space="preserve"> by USDA and its partners</w:t>
      </w:r>
      <w:r w:rsidR="003860F5" w:rsidRPr="003860F5">
        <w:rPr>
          <w:rFonts w:cs="Tahoma"/>
        </w:rPr>
        <w:t xml:space="preserve">. </w:t>
      </w:r>
      <w:r w:rsidR="005A4998" w:rsidRPr="001C792A">
        <w:rPr>
          <w:rFonts w:cs="Tahoma"/>
        </w:rPr>
        <w:t>In the long term</w:t>
      </w:r>
      <w:r w:rsidR="00294F6C" w:rsidRPr="001C792A">
        <w:rPr>
          <w:rFonts w:cs="Tahoma"/>
        </w:rPr>
        <w:t xml:space="preserve">, </w:t>
      </w:r>
      <w:r w:rsidR="003860F5">
        <w:rPr>
          <w:rFonts w:cs="Tahoma"/>
        </w:rPr>
        <w:t>knowledge generated will</w:t>
      </w:r>
      <w:r w:rsidR="00294F6C" w:rsidRPr="001C792A">
        <w:rPr>
          <w:rFonts w:cs="Tahoma"/>
        </w:rPr>
        <w:t xml:space="preserve"> contribute</w:t>
      </w:r>
      <w:r w:rsidR="005A4998" w:rsidRPr="001C792A">
        <w:rPr>
          <w:rFonts w:cs="Tahoma"/>
          <w:bCs/>
        </w:rPr>
        <w:t xml:space="preserve"> to </w:t>
      </w:r>
      <w:r w:rsidR="003860F5">
        <w:rPr>
          <w:rFonts w:cs="Tahoma"/>
        </w:rPr>
        <w:t>reducing</w:t>
      </w:r>
      <w:r w:rsidR="005A4998" w:rsidRPr="001C792A">
        <w:rPr>
          <w:rFonts w:cs="Tahoma"/>
        </w:rPr>
        <w:t xml:space="preserve"> societal costs from disturbance processes, </w:t>
      </w:r>
      <w:r w:rsidR="003860F5">
        <w:rPr>
          <w:rFonts w:cs="Tahoma"/>
        </w:rPr>
        <w:t>increasing</w:t>
      </w:r>
      <w:r w:rsidR="002D3567">
        <w:rPr>
          <w:rFonts w:cs="Tahoma"/>
        </w:rPr>
        <w:t xml:space="preserve"> cost-effective management, mitigation, and adaptation </w:t>
      </w:r>
      <w:r w:rsidR="005A4998" w:rsidRPr="001C792A">
        <w:rPr>
          <w:rFonts w:cs="Tahoma"/>
        </w:rPr>
        <w:t xml:space="preserve">efforts, and </w:t>
      </w:r>
      <w:r w:rsidR="003860F5">
        <w:rPr>
          <w:rFonts w:cs="Tahoma"/>
        </w:rPr>
        <w:t>supporting more</w:t>
      </w:r>
      <w:r w:rsidR="005A4998" w:rsidRPr="001C792A">
        <w:rPr>
          <w:rFonts w:cs="Tahoma"/>
        </w:rPr>
        <w:t xml:space="preserve"> resilient communities and economies</w:t>
      </w:r>
      <w:r w:rsidR="00052F12">
        <w:rPr>
          <w:rFonts w:cs="Tahoma"/>
        </w:rPr>
        <w:t xml:space="preserve"> in the U.S. Caribbean and broader contexts</w:t>
      </w:r>
      <w:r w:rsidR="005A4998" w:rsidRPr="001C792A">
        <w:rPr>
          <w:rFonts w:cs="Tahoma"/>
        </w:rPr>
        <w:t>.</w:t>
      </w:r>
    </w:p>
    <w:p w14:paraId="466A78DF" w14:textId="77777777" w:rsidR="0009625E" w:rsidRDefault="0009625E" w:rsidP="0009625E">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b w:val="0"/>
          <w:bCs w:val="0"/>
        </w:rPr>
      </w:pPr>
    </w:p>
    <w:p w14:paraId="0841832F" w14:textId="77777777" w:rsidR="00430DC3" w:rsidRPr="00430DC3" w:rsidRDefault="0009625E" w:rsidP="003860F5">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rPr>
          <w:rFonts w:cs="Tahoma"/>
        </w:rPr>
      </w:pPr>
      <w:r w:rsidRPr="00430DC3">
        <w:rPr>
          <w:rFonts w:cs="Tahoma"/>
          <w:bCs w:val="0"/>
        </w:rPr>
        <w:t>2.</w:t>
      </w:r>
      <w:r w:rsidRPr="00430DC3">
        <w:rPr>
          <w:rFonts w:cs="Tahoma"/>
          <w:bCs w:val="0"/>
        </w:rPr>
        <w:tab/>
      </w:r>
      <w:r w:rsidR="00C37CD8" w:rsidRPr="00430DC3">
        <w:rPr>
          <w:rFonts w:cs="Tahoma"/>
        </w:rPr>
        <w:t>Indicate how, by whom, and for what pur</w:t>
      </w:r>
      <w:r w:rsidR="00C37CD8" w:rsidRPr="00430DC3">
        <w:rPr>
          <w:rFonts w:cs="Tahoma"/>
        </w:rPr>
        <w:softHyphen/>
        <w:t xml:space="preserve">pose the information is to be used. </w:t>
      </w:r>
    </w:p>
    <w:p w14:paraId="750D9AE0" w14:textId="77777777" w:rsidR="00430DC3" w:rsidRDefault="00430DC3" w:rsidP="00430DC3">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14:paraId="330340FD" w14:textId="3BBD247B" w:rsidR="00C37CD8" w:rsidRPr="001C792A" w:rsidRDefault="00C37CD8" w:rsidP="004159BA">
      <w:pPr>
        <w:pStyle w:val="BodyTextIndent2"/>
        <w:numPr>
          <w:ilvl w:val="0"/>
          <w:numId w:val="53"/>
        </w:numPr>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rPr>
          <w:rFonts w:cs="Tahoma"/>
          <w:b w:val="0"/>
          <w:bCs w:val="0"/>
        </w:rPr>
      </w:pPr>
      <w:r w:rsidRPr="001C792A">
        <w:rPr>
          <w:rFonts w:cs="Tahoma"/>
        </w:rPr>
        <w:t>What information will be collected - reported o</w:t>
      </w:r>
      <w:r w:rsidR="00A505F8" w:rsidRPr="001C792A">
        <w:rPr>
          <w:rFonts w:cs="Tahoma"/>
        </w:rPr>
        <w:t>r recorded?</w:t>
      </w:r>
      <w:r w:rsidRPr="001C792A">
        <w:rPr>
          <w:rFonts w:cs="Tahoma"/>
        </w:rPr>
        <w:t xml:space="preserve"> (If there are pieces of information that are especially burdensome in the collection, a specific explanation should be provided.)</w:t>
      </w:r>
    </w:p>
    <w:p w14:paraId="34C3FE5A" w14:textId="77777777" w:rsidR="00430DC3" w:rsidRDefault="00430DC3" w:rsidP="001019CD">
      <w:pPr>
        <w:pStyle w:val="Level2"/>
        <w:spacing w:after="0" w:line="240" w:lineRule="auto"/>
        <w:ind w:left="0" w:firstLine="0"/>
        <w:rPr>
          <w:rFonts w:cs="Tahoma"/>
          <w:bCs/>
        </w:rPr>
      </w:pPr>
    </w:p>
    <w:p w14:paraId="71CA461C" w14:textId="3F4EAD8F" w:rsidR="00B3645F" w:rsidRDefault="00470B10" w:rsidP="00A14896">
      <w:pPr>
        <w:shd w:val="clear" w:color="auto" w:fill="FFFFFF"/>
        <w:spacing w:after="240"/>
        <w:rPr>
          <w:rFonts w:cs="Tahoma"/>
          <w:bCs/>
        </w:rPr>
      </w:pPr>
      <w:r>
        <w:rPr>
          <w:rFonts w:cs="Tahoma"/>
          <w:bCs/>
        </w:rPr>
        <w:t xml:space="preserve">We </w:t>
      </w:r>
      <w:r w:rsidR="006E7F02">
        <w:rPr>
          <w:rFonts w:cs="Tahoma"/>
          <w:bCs/>
        </w:rPr>
        <w:t>proposes the use of focus groups</w:t>
      </w:r>
      <w:r w:rsidR="00A2397C">
        <w:rPr>
          <w:rFonts w:cs="Tahoma"/>
          <w:bCs/>
        </w:rPr>
        <w:t xml:space="preserve"> and </w:t>
      </w:r>
      <w:r w:rsidR="006E7F02">
        <w:rPr>
          <w:rFonts w:cs="Tahoma"/>
          <w:bCs/>
        </w:rPr>
        <w:t>interviews to collect information on</w:t>
      </w:r>
      <w:r w:rsidR="003E2D87">
        <w:rPr>
          <w:rFonts w:cs="Tahoma"/>
          <w:bCs/>
        </w:rPr>
        <w:t xml:space="preserve"> the current state of </w:t>
      </w:r>
      <w:r w:rsidR="002D3567">
        <w:rPr>
          <w:rFonts w:cs="Tahoma"/>
          <w:bCs/>
        </w:rPr>
        <w:t xml:space="preserve">agriculture, forestry, and rural communities </w:t>
      </w:r>
      <w:r w:rsidR="003E2D87">
        <w:rPr>
          <w:rFonts w:cs="Tahoma"/>
          <w:bCs/>
        </w:rPr>
        <w:t>and</w:t>
      </w:r>
      <w:r w:rsidR="002D3567">
        <w:rPr>
          <w:rFonts w:cs="Tahoma"/>
          <w:bCs/>
        </w:rPr>
        <w:t xml:space="preserve"> people</w:t>
      </w:r>
      <w:r w:rsidR="003860F5">
        <w:rPr>
          <w:rFonts w:cs="Tahoma"/>
          <w:bCs/>
        </w:rPr>
        <w:t>’</w:t>
      </w:r>
      <w:r w:rsidR="002D3567">
        <w:rPr>
          <w:rFonts w:cs="Tahoma"/>
          <w:bCs/>
        </w:rPr>
        <w:t>s</w:t>
      </w:r>
      <w:r w:rsidR="003860F5">
        <w:rPr>
          <w:rFonts w:cs="Tahoma"/>
          <w:bCs/>
        </w:rPr>
        <w:t xml:space="preserve"> </w:t>
      </w:r>
      <w:r w:rsidR="006E7F02">
        <w:rPr>
          <w:rFonts w:cs="Tahoma"/>
          <w:bCs/>
        </w:rPr>
        <w:t>experiences, perceptions, practices, plans</w:t>
      </w:r>
      <w:r w:rsidR="0072647D" w:rsidRPr="001C792A">
        <w:rPr>
          <w:rFonts w:cs="Tahoma"/>
          <w:bCs/>
        </w:rPr>
        <w:t xml:space="preserve"> </w:t>
      </w:r>
      <w:r w:rsidR="002D3567">
        <w:rPr>
          <w:rFonts w:cs="Tahoma"/>
          <w:bCs/>
        </w:rPr>
        <w:t xml:space="preserve">and motivations </w:t>
      </w:r>
      <w:r w:rsidR="006E7F02">
        <w:rPr>
          <w:rFonts w:cs="Tahoma"/>
          <w:bCs/>
        </w:rPr>
        <w:t>associated with the</w:t>
      </w:r>
      <w:r w:rsidR="0072647D" w:rsidRPr="001C792A">
        <w:rPr>
          <w:rFonts w:cs="Tahoma"/>
          <w:bCs/>
        </w:rPr>
        <w:t xml:space="preserve"> </w:t>
      </w:r>
      <w:r w:rsidR="00A2397C">
        <w:rPr>
          <w:rFonts w:cs="Tahoma"/>
          <w:bCs/>
        </w:rPr>
        <w:t>preparedness</w:t>
      </w:r>
      <w:r w:rsidR="00A2397C" w:rsidRPr="001C792A">
        <w:rPr>
          <w:rFonts w:cs="Tahoma"/>
          <w:bCs/>
        </w:rPr>
        <w:t xml:space="preserve"> </w:t>
      </w:r>
      <w:r w:rsidR="0072647D" w:rsidRPr="001C792A">
        <w:rPr>
          <w:rFonts w:cs="Tahoma"/>
          <w:bCs/>
        </w:rPr>
        <w:t xml:space="preserve">for, response to, and recovery from </w:t>
      </w:r>
      <w:r w:rsidR="003860F5">
        <w:rPr>
          <w:rFonts w:cs="Tahoma"/>
          <w:bCs/>
        </w:rPr>
        <w:t>these storms</w:t>
      </w:r>
      <w:r w:rsidR="006E7F02">
        <w:rPr>
          <w:rFonts w:cs="Tahoma"/>
          <w:bCs/>
        </w:rPr>
        <w:t xml:space="preserve">.  </w:t>
      </w:r>
      <w:r w:rsidR="003E2D87">
        <w:rPr>
          <w:rFonts w:cs="Tahoma"/>
          <w:bCs/>
        </w:rPr>
        <w:t xml:space="preserve">Through these methods, data will be collected on </w:t>
      </w:r>
      <w:r w:rsidR="00B3645F">
        <w:rPr>
          <w:rFonts w:cs="Tahoma"/>
          <w:bCs/>
        </w:rPr>
        <w:t>the following critical elements (specific questions</w:t>
      </w:r>
      <w:r w:rsidR="003860F5">
        <w:rPr>
          <w:rFonts w:cs="Tahoma"/>
          <w:bCs/>
        </w:rPr>
        <w:t>/inquiries</w:t>
      </w:r>
      <w:r w:rsidR="00B3645F">
        <w:rPr>
          <w:rFonts w:cs="Tahoma"/>
          <w:bCs/>
        </w:rPr>
        <w:t xml:space="preserve"> are included in the attached </w:t>
      </w:r>
      <w:r w:rsidR="008914A7">
        <w:rPr>
          <w:rFonts w:cs="Tahoma"/>
          <w:bCs/>
        </w:rPr>
        <w:t>appendices</w:t>
      </w:r>
      <w:r w:rsidR="00B3645F">
        <w:rPr>
          <w:rFonts w:cs="Tahoma"/>
          <w:bCs/>
        </w:rPr>
        <w:t xml:space="preserve">): </w:t>
      </w:r>
    </w:p>
    <w:p w14:paraId="7B461C02" w14:textId="5E634598" w:rsidR="00B3645F" w:rsidRPr="00B3645F" w:rsidRDefault="00B3645F" w:rsidP="00B3645F">
      <w:pPr>
        <w:pStyle w:val="ListParagraph"/>
        <w:numPr>
          <w:ilvl w:val="0"/>
          <w:numId w:val="54"/>
        </w:numPr>
        <w:shd w:val="clear" w:color="auto" w:fill="FFFFFF"/>
        <w:spacing w:after="240"/>
        <w:rPr>
          <w:rFonts w:cs="Tahoma"/>
          <w:bCs/>
        </w:rPr>
      </w:pPr>
      <w:r w:rsidRPr="00B3645F">
        <w:rPr>
          <w:rFonts w:cs="Tahoma"/>
          <w:bCs/>
        </w:rPr>
        <w:lastRenderedPageBreak/>
        <w:t>F</w:t>
      </w:r>
      <w:r w:rsidR="003E2D87" w:rsidRPr="00B3645F">
        <w:rPr>
          <w:rFonts w:cs="Tahoma"/>
          <w:bCs/>
        </w:rPr>
        <w:t xml:space="preserve">arming and forestry systems (e.g., size and number of landholdings; </w:t>
      </w:r>
      <w:r w:rsidR="002D3567">
        <w:rPr>
          <w:rFonts w:cs="Tahoma"/>
          <w:bCs/>
        </w:rPr>
        <w:t xml:space="preserve">ownership </w:t>
      </w:r>
      <w:r w:rsidR="003E2D87" w:rsidRPr="00B3645F">
        <w:rPr>
          <w:rFonts w:cs="Tahoma"/>
          <w:bCs/>
        </w:rPr>
        <w:t xml:space="preserve">type; </w:t>
      </w:r>
      <w:r w:rsidRPr="00B3645F">
        <w:rPr>
          <w:rFonts w:cs="Tahoma"/>
          <w:bCs/>
        </w:rPr>
        <w:t>products produced</w:t>
      </w:r>
      <w:r w:rsidR="003E2D87" w:rsidRPr="00B3645F">
        <w:rPr>
          <w:rFonts w:cs="Tahoma"/>
          <w:bCs/>
        </w:rPr>
        <w:t xml:space="preserve">; </w:t>
      </w:r>
      <w:r w:rsidRPr="00B3645F">
        <w:rPr>
          <w:rFonts w:cs="Tahoma"/>
          <w:bCs/>
        </w:rPr>
        <w:t xml:space="preserve">management practices; </w:t>
      </w:r>
      <w:r w:rsidR="002D3567">
        <w:rPr>
          <w:rFonts w:cs="Tahoma"/>
          <w:bCs/>
        </w:rPr>
        <w:t>program participation</w:t>
      </w:r>
      <w:r w:rsidR="00151D0C">
        <w:rPr>
          <w:rFonts w:cs="Tahoma"/>
          <w:bCs/>
        </w:rPr>
        <w:t xml:space="preserve">, </w:t>
      </w:r>
      <w:r w:rsidRPr="00B3645F">
        <w:rPr>
          <w:rFonts w:cs="Tahoma"/>
          <w:bCs/>
        </w:rPr>
        <w:t>etc.)</w:t>
      </w:r>
    </w:p>
    <w:p w14:paraId="29DC4EF4" w14:textId="7D4536BB" w:rsidR="00A14896" w:rsidRDefault="00B3645F" w:rsidP="00B3645F">
      <w:pPr>
        <w:pStyle w:val="ListParagraph"/>
        <w:numPr>
          <w:ilvl w:val="0"/>
          <w:numId w:val="54"/>
        </w:numPr>
        <w:shd w:val="clear" w:color="auto" w:fill="FFFFFF"/>
        <w:spacing w:after="240"/>
        <w:rPr>
          <w:rFonts w:cs="Tahoma"/>
          <w:bCs/>
        </w:rPr>
      </w:pPr>
      <w:r w:rsidRPr="00B3645F">
        <w:rPr>
          <w:rFonts w:cs="Tahoma"/>
          <w:bCs/>
        </w:rPr>
        <w:t>Hurricane effects</w:t>
      </w:r>
      <w:r w:rsidR="00151D0C">
        <w:rPr>
          <w:rFonts w:cs="Tahoma"/>
          <w:bCs/>
        </w:rPr>
        <w:t xml:space="preserve"> </w:t>
      </w:r>
      <w:r w:rsidRPr="00B3645F">
        <w:rPr>
          <w:rFonts w:cs="Tahoma"/>
          <w:bCs/>
        </w:rPr>
        <w:t>on crops, livestock, forests, infrastructure, health/human life, etc.</w:t>
      </w:r>
    </w:p>
    <w:p w14:paraId="5B6F19A5" w14:textId="462845CF" w:rsidR="00B3645F" w:rsidRDefault="00151D0C" w:rsidP="00B3645F">
      <w:pPr>
        <w:pStyle w:val="ListParagraph"/>
        <w:numPr>
          <w:ilvl w:val="0"/>
          <w:numId w:val="54"/>
        </w:numPr>
        <w:shd w:val="clear" w:color="auto" w:fill="FFFFFF"/>
        <w:spacing w:after="240"/>
        <w:rPr>
          <w:rFonts w:cs="Tahoma"/>
          <w:bCs/>
        </w:rPr>
      </w:pPr>
      <w:r>
        <w:rPr>
          <w:rFonts w:cs="Tahoma"/>
          <w:bCs/>
        </w:rPr>
        <w:t xml:space="preserve">Hurricane </w:t>
      </w:r>
      <w:r w:rsidR="00B31626">
        <w:rPr>
          <w:rFonts w:cs="Tahoma"/>
          <w:bCs/>
        </w:rPr>
        <w:t>preparedness</w:t>
      </w:r>
      <w:r w:rsidR="002D3567">
        <w:rPr>
          <w:rFonts w:cs="Tahoma"/>
          <w:bCs/>
        </w:rPr>
        <w:t xml:space="preserve">; </w:t>
      </w:r>
      <w:r w:rsidR="00B3645F">
        <w:rPr>
          <w:rFonts w:cs="Tahoma"/>
          <w:bCs/>
        </w:rPr>
        <w:t>perceived effectiveness</w:t>
      </w:r>
      <w:r w:rsidR="003860F5">
        <w:rPr>
          <w:rFonts w:cs="Tahoma"/>
          <w:bCs/>
        </w:rPr>
        <w:t>; sources of related assistance or information</w:t>
      </w:r>
    </w:p>
    <w:p w14:paraId="726984BE" w14:textId="41673B3D" w:rsidR="00AB7525" w:rsidRDefault="00AB7525" w:rsidP="00AB7525">
      <w:pPr>
        <w:pStyle w:val="ListParagraph"/>
        <w:numPr>
          <w:ilvl w:val="0"/>
          <w:numId w:val="54"/>
        </w:numPr>
        <w:shd w:val="clear" w:color="auto" w:fill="FFFFFF"/>
        <w:spacing w:after="240"/>
        <w:rPr>
          <w:rFonts w:cs="Tahoma"/>
          <w:bCs/>
        </w:rPr>
      </w:pPr>
      <w:r>
        <w:rPr>
          <w:rFonts w:cs="Tahoma"/>
          <w:bCs/>
        </w:rPr>
        <w:t>Activities/practices carried out in the past five years in agricultural / forestry systems to reduce risks or vulnerabilities to changes in disturbances and climate; perceived effectiveness in general and in relation to the recent hurricanes</w:t>
      </w:r>
    </w:p>
    <w:p w14:paraId="22288079" w14:textId="2D5DBA87" w:rsidR="00B31626" w:rsidRDefault="00AB7525" w:rsidP="00B31626">
      <w:pPr>
        <w:pStyle w:val="ListParagraph"/>
        <w:numPr>
          <w:ilvl w:val="0"/>
          <w:numId w:val="54"/>
        </w:numPr>
        <w:shd w:val="clear" w:color="auto" w:fill="FFFFFF"/>
        <w:spacing w:after="240"/>
        <w:rPr>
          <w:rFonts w:cs="Tahoma"/>
          <w:bCs/>
        </w:rPr>
      </w:pPr>
      <w:r>
        <w:rPr>
          <w:rFonts w:cs="Tahoma"/>
          <w:bCs/>
        </w:rPr>
        <w:t>Immediate-early (first days-24 weeks) r</w:t>
      </w:r>
      <w:r w:rsidR="004159BA">
        <w:rPr>
          <w:rFonts w:cs="Tahoma"/>
          <w:bCs/>
        </w:rPr>
        <w:t>esponses/c</w:t>
      </w:r>
      <w:r w:rsidR="00151D0C">
        <w:rPr>
          <w:rFonts w:cs="Tahoma"/>
          <w:bCs/>
        </w:rPr>
        <w:t>oping measures</w:t>
      </w:r>
      <w:r w:rsidR="004159BA">
        <w:rPr>
          <w:rFonts w:cs="Tahoma"/>
          <w:bCs/>
        </w:rPr>
        <w:t xml:space="preserve"> </w:t>
      </w:r>
      <w:r w:rsidR="00B31626">
        <w:rPr>
          <w:rFonts w:cs="Tahoma"/>
          <w:bCs/>
        </w:rPr>
        <w:t xml:space="preserve">or strategies </w:t>
      </w:r>
      <w:r>
        <w:rPr>
          <w:rFonts w:cs="Tahoma"/>
          <w:bCs/>
        </w:rPr>
        <w:t xml:space="preserve">implemented </w:t>
      </w:r>
      <w:r w:rsidR="004159BA">
        <w:rPr>
          <w:rFonts w:cs="Tahoma"/>
          <w:bCs/>
        </w:rPr>
        <w:t>to</w:t>
      </w:r>
      <w:r w:rsidR="00151D0C">
        <w:rPr>
          <w:rFonts w:cs="Tahoma"/>
          <w:bCs/>
        </w:rPr>
        <w:t xml:space="preserve"> address hurricane effects</w:t>
      </w:r>
      <w:r>
        <w:rPr>
          <w:rFonts w:cs="Tahoma"/>
          <w:bCs/>
        </w:rPr>
        <w:t xml:space="preserve">; </w:t>
      </w:r>
      <w:r w:rsidR="00151D0C">
        <w:rPr>
          <w:rFonts w:cs="Tahoma"/>
          <w:bCs/>
        </w:rPr>
        <w:t>perceived effectiveness</w:t>
      </w:r>
      <w:r w:rsidR="00B31626">
        <w:rPr>
          <w:rFonts w:cs="Tahoma"/>
          <w:bCs/>
        </w:rPr>
        <w:t>; sources of related assistance or information</w:t>
      </w:r>
    </w:p>
    <w:p w14:paraId="050A4D10" w14:textId="557C8F44" w:rsidR="00151D0C" w:rsidRDefault="00AB7525" w:rsidP="00151D0C">
      <w:pPr>
        <w:pStyle w:val="ListParagraph"/>
        <w:numPr>
          <w:ilvl w:val="0"/>
          <w:numId w:val="54"/>
        </w:numPr>
        <w:shd w:val="clear" w:color="auto" w:fill="FFFFFF"/>
        <w:spacing w:after="240"/>
        <w:rPr>
          <w:rFonts w:cs="Tahoma"/>
          <w:bCs/>
        </w:rPr>
      </w:pPr>
      <w:r>
        <w:rPr>
          <w:rFonts w:cs="Tahoma"/>
          <w:bCs/>
        </w:rPr>
        <w:t xml:space="preserve">Mid- and long- term (6 months – 3 years) post-disturbance </w:t>
      </w:r>
      <w:r w:rsidR="00151D0C">
        <w:rPr>
          <w:rFonts w:cs="Tahoma"/>
          <w:bCs/>
        </w:rPr>
        <w:t xml:space="preserve">plans for agriculture, forestry, rural </w:t>
      </w:r>
      <w:r>
        <w:rPr>
          <w:rFonts w:cs="Tahoma"/>
          <w:bCs/>
        </w:rPr>
        <w:t>community systems; changes in plans in response to recent hurricanes</w:t>
      </w:r>
    </w:p>
    <w:p w14:paraId="7FB494EC" w14:textId="32A6FA77" w:rsidR="00504B59" w:rsidRPr="001C792A" w:rsidRDefault="00C37CD8" w:rsidP="004159BA">
      <w:pPr>
        <w:pStyle w:val="Level2"/>
        <w:numPr>
          <w:ilvl w:val="0"/>
          <w:numId w:val="53"/>
        </w:numPr>
        <w:spacing w:after="0" w:line="240" w:lineRule="auto"/>
        <w:rPr>
          <w:rFonts w:cs="Tahoma"/>
          <w:b/>
          <w:bCs/>
        </w:rPr>
      </w:pPr>
      <w:r w:rsidRPr="001C792A">
        <w:rPr>
          <w:rFonts w:cs="Tahoma"/>
          <w:b/>
          <w:bCs/>
        </w:rPr>
        <w:t xml:space="preserve">From whom will the information be collected?  If there are different respondent categories (e.g., loan applicant versus a bank versus an appraiser), each should be described along with the type of collection activity that applies. </w:t>
      </w:r>
    </w:p>
    <w:p w14:paraId="4AE3759B" w14:textId="77777777" w:rsidR="004159BA" w:rsidRDefault="004159BA" w:rsidP="001019CD">
      <w:pPr>
        <w:pStyle w:val="Level2"/>
        <w:spacing w:after="0" w:line="240" w:lineRule="auto"/>
        <w:ind w:left="0" w:firstLine="0"/>
        <w:rPr>
          <w:rFonts w:cs="Tahoma"/>
          <w:bCs/>
        </w:rPr>
      </w:pPr>
    </w:p>
    <w:p w14:paraId="321E34F0" w14:textId="6ED3268E" w:rsidR="004159BA" w:rsidRDefault="00A2397C" w:rsidP="004159BA">
      <w:pPr>
        <w:pStyle w:val="Level2"/>
        <w:spacing w:after="0" w:line="240" w:lineRule="auto"/>
        <w:ind w:left="0" w:firstLine="0"/>
        <w:rPr>
          <w:rFonts w:cs="Tahoma"/>
          <w:bCs/>
        </w:rPr>
      </w:pPr>
      <w:r>
        <w:rPr>
          <w:rFonts w:cs="Tahoma"/>
          <w:bCs/>
        </w:rPr>
        <w:t xml:space="preserve">Focus groups and interviews will be conducted with a </w:t>
      </w:r>
      <w:r w:rsidR="004159BA">
        <w:rPr>
          <w:rFonts w:cs="Tahoma"/>
          <w:bCs/>
        </w:rPr>
        <w:t>non-probabilistic</w:t>
      </w:r>
      <w:r>
        <w:rPr>
          <w:rFonts w:cs="Tahoma"/>
          <w:bCs/>
        </w:rPr>
        <w:t>, purposive</w:t>
      </w:r>
      <w:r w:rsidR="004159BA">
        <w:rPr>
          <w:rFonts w:cs="Tahoma"/>
          <w:bCs/>
        </w:rPr>
        <w:t xml:space="preserve"> sample of individuals</w:t>
      </w:r>
      <w:r>
        <w:rPr>
          <w:rFonts w:cs="Tahoma"/>
          <w:bCs/>
        </w:rPr>
        <w:t>, families, and</w:t>
      </w:r>
      <w:r w:rsidR="004159BA">
        <w:rPr>
          <w:rFonts w:cs="Tahoma"/>
          <w:bCs/>
        </w:rPr>
        <w:t xml:space="preserve"> organizations</w:t>
      </w:r>
      <w:r>
        <w:rPr>
          <w:rFonts w:cs="Tahoma"/>
          <w:bCs/>
        </w:rPr>
        <w:t xml:space="preserve"> </w:t>
      </w:r>
      <w:r w:rsidR="00DE037E">
        <w:rPr>
          <w:rFonts w:cs="Tahoma"/>
          <w:bCs/>
        </w:rPr>
        <w:t xml:space="preserve">involved in or </w:t>
      </w:r>
      <w:r w:rsidR="004159BA">
        <w:rPr>
          <w:rFonts w:cs="Tahoma"/>
          <w:bCs/>
        </w:rPr>
        <w:t>associated with agriculture, forestry, and rural communities affected by Hurricanes Irma and Maria in the U.S. Caribbean</w:t>
      </w:r>
      <w:r w:rsidR="00A52C2F">
        <w:rPr>
          <w:rFonts w:cs="Tahoma"/>
          <w:bCs/>
        </w:rPr>
        <w:t xml:space="preserve">.  </w:t>
      </w:r>
      <w:r w:rsidR="00FA2BFF" w:rsidRPr="00FA2BFF">
        <w:rPr>
          <w:rFonts w:cs="Tahoma"/>
          <w:bCs/>
        </w:rPr>
        <w:t>Given the ongoing post-hurricane state of telecommunications and transportation systems in Puerto Rico and the U.S. Virgin Islands, a probabilistic sample</w:t>
      </w:r>
      <w:r w:rsidR="00FA2BFF">
        <w:rPr>
          <w:rFonts w:cs="Tahoma"/>
          <w:bCs/>
        </w:rPr>
        <w:t xml:space="preserve"> of the population of interest</w:t>
      </w:r>
      <w:r w:rsidR="00FA2BFF" w:rsidRPr="00FA2BFF">
        <w:rPr>
          <w:rFonts w:cs="Tahoma"/>
          <w:bCs/>
        </w:rPr>
        <w:t xml:space="preserve"> </w:t>
      </w:r>
      <w:r w:rsidR="0046479A">
        <w:rPr>
          <w:rFonts w:cs="Tahoma"/>
          <w:bCs/>
        </w:rPr>
        <w:t>is not</w:t>
      </w:r>
      <w:r w:rsidR="00FA2BFF" w:rsidRPr="00FA2BFF">
        <w:rPr>
          <w:rFonts w:cs="Tahoma"/>
          <w:bCs/>
        </w:rPr>
        <w:t xml:space="preserve"> feasible in the time frame deemed necessary for this research. Although data from focus groups and in-person interviews cannot be used to make statistical generalizations about the larger population of interest with a known degree of accuracy, the variation planned across groups and individual respondents is intended to capture a broad range of perspectives and characteristics approximating </w:t>
      </w:r>
      <w:r w:rsidR="00AB7525">
        <w:rPr>
          <w:rFonts w:cs="Tahoma"/>
          <w:bCs/>
        </w:rPr>
        <w:t>the</w:t>
      </w:r>
      <w:r w:rsidR="0046479A" w:rsidRPr="00FA2BFF">
        <w:rPr>
          <w:rFonts w:cs="Tahoma"/>
          <w:bCs/>
        </w:rPr>
        <w:t xml:space="preserve"> </w:t>
      </w:r>
      <w:r w:rsidR="00FA2BFF" w:rsidRPr="00FA2BFF">
        <w:rPr>
          <w:rFonts w:cs="Tahoma"/>
          <w:bCs/>
        </w:rPr>
        <w:t>population of interest.</w:t>
      </w:r>
    </w:p>
    <w:p w14:paraId="3C91BDB9" w14:textId="77777777" w:rsidR="001A274C" w:rsidRDefault="001A274C" w:rsidP="004159BA">
      <w:pPr>
        <w:pStyle w:val="Level2"/>
        <w:spacing w:after="0" w:line="240" w:lineRule="auto"/>
        <w:ind w:left="0" w:firstLine="0"/>
        <w:rPr>
          <w:rFonts w:cs="Tahoma"/>
          <w:bCs/>
        </w:rPr>
      </w:pPr>
    </w:p>
    <w:p w14:paraId="3C499919" w14:textId="4B7EB4E5" w:rsidR="001A274C" w:rsidRDefault="001A274C" w:rsidP="00A52C2F">
      <w:pPr>
        <w:pStyle w:val="Level2"/>
        <w:spacing w:after="0" w:line="240" w:lineRule="auto"/>
        <w:ind w:left="0" w:firstLine="0"/>
        <w:rPr>
          <w:rFonts w:cs="Tahoma"/>
          <w:bCs/>
        </w:rPr>
      </w:pPr>
      <w:r w:rsidRPr="00A52C2F">
        <w:rPr>
          <w:rFonts w:cs="Tahoma"/>
          <w:bCs/>
          <w:i/>
        </w:rPr>
        <w:t>Focus Groups</w:t>
      </w:r>
      <w:r w:rsidRPr="001A274C">
        <w:rPr>
          <w:rFonts w:cs="Tahoma"/>
          <w:bCs/>
          <w:i/>
        </w:rPr>
        <w:t xml:space="preserve"> -</w:t>
      </w:r>
      <w:r w:rsidRPr="00A52C2F">
        <w:rPr>
          <w:rFonts w:cs="Tahoma"/>
          <w:bCs/>
        </w:rPr>
        <w:t xml:space="preserve"> Focus group participants will be chosen purposively (i.e., non-probabilistic sample) in line with the research objectives seeking a representative cross-section of the population of interest, rather than drawn from a probabilistic</w:t>
      </w:r>
      <w:r w:rsidR="00176390">
        <w:rPr>
          <w:rFonts w:cs="Tahoma"/>
          <w:bCs/>
        </w:rPr>
        <w:t>, random</w:t>
      </w:r>
      <w:r w:rsidRPr="00A52C2F">
        <w:rPr>
          <w:rFonts w:cs="Tahoma"/>
          <w:bCs/>
        </w:rPr>
        <w:t xml:space="preserve"> sample of the population.  Researchers will use </w:t>
      </w:r>
      <w:r w:rsidR="00A52C2F">
        <w:rPr>
          <w:rFonts w:cs="Tahoma"/>
          <w:bCs/>
        </w:rPr>
        <w:t>farm</w:t>
      </w:r>
      <w:r w:rsidR="00A52C2F" w:rsidRPr="00A52C2F">
        <w:rPr>
          <w:rFonts w:cs="Tahoma"/>
          <w:bCs/>
        </w:rPr>
        <w:t xml:space="preserve"> </w:t>
      </w:r>
      <w:r w:rsidRPr="00A52C2F">
        <w:rPr>
          <w:rFonts w:cs="Tahoma"/>
          <w:bCs/>
        </w:rPr>
        <w:t>and forest landowner lists maintained by USDA and F</w:t>
      </w:r>
      <w:r w:rsidR="00AB7525">
        <w:rPr>
          <w:rFonts w:cs="Tahoma"/>
          <w:bCs/>
        </w:rPr>
        <w:t xml:space="preserve">orest </w:t>
      </w:r>
      <w:r w:rsidRPr="00A52C2F">
        <w:rPr>
          <w:rFonts w:cs="Tahoma"/>
          <w:bCs/>
        </w:rPr>
        <w:t>S</w:t>
      </w:r>
      <w:r w:rsidR="00AB7525">
        <w:rPr>
          <w:rFonts w:cs="Tahoma"/>
          <w:bCs/>
        </w:rPr>
        <w:t>ervice</w:t>
      </w:r>
      <w:r w:rsidRPr="00A52C2F">
        <w:rPr>
          <w:rFonts w:cs="Tahoma"/>
          <w:bCs/>
        </w:rPr>
        <w:t xml:space="preserve"> programs, Puerto Rico Department of Agriculture and Department of Natural and Environmental Resources, and other sources to select focus group participants.  Researchers will aim </w:t>
      </w:r>
      <w:r w:rsidR="00176390">
        <w:rPr>
          <w:rFonts w:cs="Tahoma"/>
          <w:bCs/>
        </w:rPr>
        <w:t>for 8-12</w:t>
      </w:r>
      <w:r w:rsidRPr="00A52C2F">
        <w:rPr>
          <w:rFonts w:cs="Tahoma"/>
          <w:bCs/>
        </w:rPr>
        <w:t xml:space="preserve"> participants per focus group and a total of 6-10 focus groups across Puerto Rico and U.S. Virgin Islands</w:t>
      </w:r>
      <w:r w:rsidR="00176390">
        <w:rPr>
          <w:rFonts w:cs="Tahoma"/>
          <w:bCs/>
        </w:rPr>
        <w:t xml:space="preserve"> for a maximum total of 120 participants</w:t>
      </w:r>
      <w:r w:rsidRPr="00A52C2F">
        <w:rPr>
          <w:rFonts w:cs="Tahoma"/>
          <w:bCs/>
        </w:rPr>
        <w:t xml:space="preserve">.  </w:t>
      </w:r>
    </w:p>
    <w:p w14:paraId="2A5D0D33" w14:textId="77777777" w:rsidR="00A52C2F" w:rsidRDefault="00A52C2F" w:rsidP="00A52C2F">
      <w:pPr>
        <w:pStyle w:val="Level2"/>
        <w:spacing w:after="0" w:line="240" w:lineRule="auto"/>
        <w:ind w:left="0" w:firstLine="0"/>
        <w:rPr>
          <w:rFonts w:cs="Tahoma"/>
          <w:bCs/>
        </w:rPr>
      </w:pPr>
    </w:p>
    <w:p w14:paraId="4ED01B6B" w14:textId="427F644A" w:rsidR="00A52C2F" w:rsidRDefault="00A52C2F" w:rsidP="00A52C2F">
      <w:pPr>
        <w:pStyle w:val="Level2"/>
        <w:spacing w:after="0" w:line="240" w:lineRule="auto"/>
        <w:ind w:left="0" w:firstLine="0"/>
        <w:rPr>
          <w:rFonts w:cs="Tahoma"/>
          <w:bCs/>
        </w:rPr>
      </w:pPr>
      <w:r w:rsidRPr="00A52C2F">
        <w:rPr>
          <w:rFonts w:cs="Tahoma"/>
          <w:bCs/>
          <w:i/>
        </w:rPr>
        <w:t xml:space="preserve">Interviews - </w:t>
      </w:r>
      <w:r w:rsidR="0046479A">
        <w:rPr>
          <w:rFonts w:cs="Tahoma"/>
          <w:bCs/>
        </w:rPr>
        <w:t>I</w:t>
      </w:r>
      <w:r w:rsidRPr="00A52C2F">
        <w:rPr>
          <w:rFonts w:cs="Tahoma"/>
          <w:bCs/>
        </w:rPr>
        <w:t xml:space="preserve">n-depth interviews </w:t>
      </w:r>
      <w:r w:rsidR="0046479A">
        <w:rPr>
          <w:rFonts w:cs="Tahoma"/>
          <w:bCs/>
        </w:rPr>
        <w:t xml:space="preserve">also are planned </w:t>
      </w:r>
      <w:r w:rsidRPr="00A52C2F">
        <w:rPr>
          <w:rFonts w:cs="Tahoma"/>
          <w:bCs/>
        </w:rPr>
        <w:t xml:space="preserve">to further understand individual and community-level experiences </w:t>
      </w:r>
      <w:r>
        <w:rPr>
          <w:rFonts w:cs="Tahoma"/>
          <w:bCs/>
        </w:rPr>
        <w:t xml:space="preserve">associated with Hurricanes Irma and Maria </w:t>
      </w:r>
      <w:r w:rsidRPr="00A52C2F">
        <w:rPr>
          <w:rFonts w:cs="Tahoma"/>
          <w:bCs/>
        </w:rPr>
        <w:t xml:space="preserve">on the ground. </w:t>
      </w:r>
      <w:r w:rsidR="0046479A">
        <w:rPr>
          <w:rFonts w:cs="Tahoma"/>
          <w:bCs/>
        </w:rPr>
        <w:t>These i</w:t>
      </w:r>
      <w:r w:rsidRPr="00A52C2F">
        <w:rPr>
          <w:rFonts w:cs="Tahoma"/>
          <w:bCs/>
        </w:rPr>
        <w:t xml:space="preserve">nterviews will be conducted with a purposive sample of individuals associated with agriculture, forestry, </w:t>
      </w:r>
      <w:r>
        <w:rPr>
          <w:rFonts w:cs="Tahoma"/>
          <w:bCs/>
        </w:rPr>
        <w:t>and</w:t>
      </w:r>
      <w:r w:rsidRPr="00A52C2F">
        <w:rPr>
          <w:rFonts w:cs="Tahoma"/>
          <w:bCs/>
        </w:rPr>
        <w:t xml:space="preserve"> rural communities in disaster designated areas drawn from </w:t>
      </w:r>
      <w:r>
        <w:rPr>
          <w:rFonts w:cs="Tahoma"/>
          <w:bCs/>
        </w:rPr>
        <w:t xml:space="preserve">the </w:t>
      </w:r>
      <w:r w:rsidRPr="00A52C2F">
        <w:rPr>
          <w:rFonts w:cs="Tahoma"/>
          <w:bCs/>
        </w:rPr>
        <w:t xml:space="preserve">lists and other sources used to generate the focus groups described </w:t>
      </w:r>
      <w:r w:rsidRPr="0046479A">
        <w:rPr>
          <w:rFonts w:cs="Tahoma"/>
          <w:bCs/>
        </w:rPr>
        <w:t xml:space="preserve">above.  </w:t>
      </w:r>
      <w:r w:rsidR="00FA2BFF" w:rsidRPr="0046479A">
        <w:rPr>
          <w:rFonts w:cs="Tahoma"/>
          <w:bCs/>
        </w:rPr>
        <w:t xml:space="preserve">Researchers will aim for </w:t>
      </w:r>
      <w:r w:rsidR="0046479A" w:rsidRPr="0046479A">
        <w:rPr>
          <w:rFonts w:cs="Tahoma"/>
          <w:bCs/>
        </w:rPr>
        <w:t xml:space="preserve">75-100 in-depth interviews.  Research participants may choose to participate </w:t>
      </w:r>
      <w:r w:rsidR="00AB7525">
        <w:rPr>
          <w:rFonts w:cs="Tahoma"/>
          <w:bCs/>
        </w:rPr>
        <w:t xml:space="preserve">voluntarily </w:t>
      </w:r>
      <w:r w:rsidR="0046479A" w:rsidRPr="0046479A">
        <w:rPr>
          <w:rFonts w:cs="Tahoma"/>
          <w:bCs/>
        </w:rPr>
        <w:t>in both methods of information collection</w:t>
      </w:r>
      <w:r w:rsidR="0046479A">
        <w:rPr>
          <w:rFonts w:cs="Tahoma"/>
          <w:bCs/>
        </w:rPr>
        <w:t xml:space="preserve"> </w:t>
      </w:r>
      <w:r w:rsidR="00176390">
        <w:rPr>
          <w:rFonts w:cs="Tahoma"/>
          <w:bCs/>
        </w:rPr>
        <w:t>and when</w:t>
      </w:r>
      <w:r w:rsidR="0046479A">
        <w:rPr>
          <w:rFonts w:cs="Tahoma"/>
          <w:bCs/>
        </w:rPr>
        <w:t xml:space="preserve"> deemed appropriate within the research objectives and parameters (e.g., a focus group participant volunteers to provide more information about his/her experiences through an in-depth interview).</w:t>
      </w:r>
    </w:p>
    <w:p w14:paraId="2BDC6B5F" w14:textId="77777777" w:rsidR="004159BA" w:rsidRDefault="004159BA" w:rsidP="004159BA">
      <w:pPr>
        <w:pStyle w:val="Level2"/>
        <w:spacing w:after="0" w:line="240" w:lineRule="auto"/>
        <w:ind w:left="0" w:firstLine="0"/>
        <w:rPr>
          <w:rFonts w:cs="Tahoma"/>
          <w:bCs/>
        </w:rPr>
      </w:pPr>
    </w:p>
    <w:p w14:paraId="3C3F84E7" w14:textId="79C2C9AC" w:rsidR="00504B59" w:rsidRDefault="00C37CD8" w:rsidP="004159BA">
      <w:pPr>
        <w:pStyle w:val="Level2"/>
        <w:numPr>
          <w:ilvl w:val="0"/>
          <w:numId w:val="53"/>
        </w:numPr>
        <w:spacing w:after="0" w:line="240" w:lineRule="auto"/>
        <w:rPr>
          <w:rFonts w:cs="Tahoma"/>
          <w:b/>
          <w:bCs/>
        </w:rPr>
      </w:pPr>
      <w:r w:rsidRPr="001C792A">
        <w:rPr>
          <w:rFonts w:cs="Tahoma"/>
          <w:b/>
          <w:bCs/>
        </w:rPr>
        <w:t>What will this information be used for - provide ALL uses?</w:t>
      </w:r>
    </w:p>
    <w:p w14:paraId="66FAB747" w14:textId="77777777" w:rsidR="004159BA" w:rsidRPr="001C792A" w:rsidRDefault="004159BA" w:rsidP="004159BA">
      <w:pPr>
        <w:pStyle w:val="Level2"/>
        <w:spacing w:after="0" w:line="240" w:lineRule="auto"/>
        <w:ind w:left="0" w:firstLine="0"/>
        <w:rPr>
          <w:rFonts w:cs="Tahoma"/>
          <w:b/>
          <w:bCs/>
        </w:rPr>
      </w:pPr>
    </w:p>
    <w:p w14:paraId="32E3BFFD" w14:textId="5D0CB921" w:rsidR="00852124" w:rsidRDefault="00D838AE" w:rsidP="001019CD">
      <w:pPr>
        <w:pStyle w:val="Level2"/>
        <w:spacing w:after="0" w:line="240" w:lineRule="auto"/>
        <w:ind w:left="0" w:firstLine="0"/>
        <w:rPr>
          <w:rFonts w:cs="Tahoma"/>
          <w:bCs/>
        </w:rPr>
      </w:pPr>
      <w:r w:rsidRPr="001C792A">
        <w:rPr>
          <w:rFonts w:cs="Tahoma"/>
          <w:bCs/>
        </w:rPr>
        <w:t xml:space="preserve">The </w:t>
      </w:r>
      <w:r w:rsidR="00561063">
        <w:rPr>
          <w:rFonts w:cs="Tahoma"/>
          <w:bCs/>
        </w:rPr>
        <w:t xml:space="preserve">data and related analyses produced from this </w:t>
      </w:r>
      <w:r w:rsidR="005D078A">
        <w:rPr>
          <w:rFonts w:cs="Tahoma"/>
          <w:bCs/>
        </w:rPr>
        <w:t xml:space="preserve">information </w:t>
      </w:r>
      <w:r w:rsidR="00561063">
        <w:rPr>
          <w:rFonts w:cs="Tahoma"/>
          <w:bCs/>
        </w:rPr>
        <w:t xml:space="preserve">collection will be used by </w:t>
      </w:r>
      <w:r w:rsidR="00622F88">
        <w:rPr>
          <w:rFonts w:cs="Tahoma"/>
          <w:bCs/>
        </w:rPr>
        <w:t xml:space="preserve">federal, commonwealth, and local forestry, agriculture, and other agencies; land owners and managers; academics; nongovernmental organizations; and other </w:t>
      </w:r>
      <w:r w:rsidR="00561063">
        <w:rPr>
          <w:rFonts w:cs="Tahoma"/>
          <w:bCs/>
        </w:rPr>
        <w:t xml:space="preserve">individuals </w:t>
      </w:r>
      <w:r w:rsidR="003860F5">
        <w:rPr>
          <w:rFonts w:cs="Tahoma"/>
          <w:bCs/>
        </w:rPr>
        <w:t xml:space="preserve">and groups </w:t>
      </w:r>
      <w:r w:rsidR="00622F88">
        <w:rPr>
          <w:rFonts w:cs="Tahoma"/>
          <w:bCs/>
        </w:rPr>
        <w:t>interested in understanding</w:t>
      </w:r>
      <w:r w:rsidR="00561063">
        <w:rPr>
          <w:rFonts w:cs="Tahoma"/>
          <w:bCs/>
        </w:rPr>
        <w:t xml:space="preserve"> the effects of Hurricanes Irma and Maria on agriculture, forestry, and rural communities and factors that affect</w:t>
      </w:r>
      <w:r w:rsidR="005D078A">
        <w:rPr>
          <w:rFonts w:cs="Tahoma"/>
          <w:bCs/>
        </w:rPr>
        <w:t xml:space="preserve"> and advance</w:t>
      </w:r>
      <w:r w:rsidR="00561063">
        <w:rPr>
          <w:rFonts w:cs="Tahoma"/>
          <w:bCs/>
        </w:rPr>
        <w:t xml:space="preserve"> </w:t>
      </w:r>
      <w:r w:rsidR="003860F5">
        <w:rPr>
          <w:rFonts w:cs="Tahoma"/>
          <w:bCs/>
        </w:rPr>
        <w:t>community</w:t>
      </w:r>
      <w:r w:rsidR="00561063">
        <w:rPr>
          <w:rFonts w:cs="Tahoma"/>
          <w:bCs/>
        </w:rPr>
        <w:t xml:space="preserve"> recovery and resilience</w:t>
      </w:r>
      <w:r w:rsidR="00AB7525">
        <w:rPr>
          <w:rFonts w:cs="Tahoma"/>
          <w:bCs/>
        </w:rPr>
        <w:t xml:space="preserve"> across the range of sectors and scales of operation</w:t>
      </w:r>
      <w:r w:rsidR="003860F5" w:rsidRPr="003860F5">
        <w:rPr>
          <w:rFonts w:cs="Tahoma"/>
          <w:bCs/>
        </w:rPr>
        <w:t xml:space="preserve"> </w:t>
      </w:r>
      <w:r w:rsidR="003860F5">
        <w:rPr>
          <w:rFonts w:cs="Tahoma"/>
          <w:bCs/>
        </w:rPr>
        <w:t>in the U.S. Caribbean</w:t>
      </w:r>
      <w:r w:rsidR="00561063">
        <w:rPr>
          <w:rFonts w:cs="Tahoma"/>
          <w:bCs/>
        </w:rPr>
        <w:t>.  In particular, information from this collection will be used by</w:t>
      </w:r>
      <w:r w:rsidR="002F6CE4" w:rsidRPr="001C792A">
        <w:rPr>
          <w:rFonts w:cs="Tahoma"/>
          <w:bCs/>
        </w:rPr>
        <w:t>:</w:t>
      </w:r>
      <w:r w:rsidR="00422D03" w:rsidRPr="001C792A">
        <w:rPr>
          <w:rFonts w:cs="Tahoma"/>
          <w:bCs/>
        </w:rPr>
        <w:t xml:space="preserve"> </w:t>
      </w:r>
    </w:p>
    <w:p w14:paraId="53895494" w14:textId="77777777" w:rsidR="00561063" w:rsidRPr="001C792A" w:rsidRDefault="00561063" w:rsidP="001019CD">
      <w:pPr>
        <w:pStyle w:val="Level2"/>
        <w:spacing w:after="0" w:line="240" w:lineRule="auto"/>
        <w:ind w:left="0" w:firstLine="0"/>
        <w:rPr>
          <w:rFonts w:cs="Tahoma"/>
          <w:bCs/>
        </w:rPr>
      </w:pPr>
    </w:p>
    <w:p w14:paraId="74E6CE67" w14:textId="138B67D9" w:rsidR="00EB2B88" w:rsidRPr="001C792A" w:rsidRDefault="00EB2B88" w:rsidP="00561063">
      <w:pPr>
        <w:pStyle w:val="ListParagraph"/>
        <w:numPr>
          <w:ilvl w:val="0"/>
          <w:numId w:val="54"/>
        </w:numPr>
        <w:shd w:val="clear" w:color="auto" w:fill="FFFFFF"/>
        <w:spacing w:after="240"/>
        <w:rPr>
          <w:rFonts w:cs="Tahoma"/>
          <w:bCs/>
        </w:rPr>
      </w:pPr>
      <w:r w:rsidRPr="001C792A">
        <w:rPr>
          <w:rFonts w:cs="Tahoma"/>
          <w:bCs/>
        </w:rPr>
        <w:t>Pri</w:t>
      </w:r>
      <w:r w:rsidR="00561063">
        <w:rPr>
          <w:rFonts w:cs="Tahoma"/>
          <w:bCs/>
        </w:rPr>
        <w:t xml:space="preserve">vate landowners seeking </w:t>
      </w:r>
      <w:r w:rsidRPr="001C792A">
        <w:rPr>
          <w:rFonts w:cs="Tahoma"/>
          <w:bCs/>
        </w:rPr>
        <w:t xml:space="preserve">effective </w:t>
      </w:r>
      <w:r w:rsidR="00561063">
        <w:rPr>
          <w:rFonts w:cs="Tahoma"/>
          <w:bCs/>
        </w:rPr>
        <w:t>risk mitigation/</w:t>
      </w:r>
      <w:r w:rsidRPr="001C792A">
        <w:rPr>
          <w:rFonts w:cs="Tahoma"/>
          <w:bCs/>
        </w:rPr>
        <w:t>conservation</w:t>
      </w:r>
      <w:r w:rsidR="00561063">
        <w:rPr>
          <w:rFonts w:cs="Tahoma"/>
          <w:bCs/>
        </w:rPr>
        <w:t xml:space="preserve"> practices</w:t>
      </w:r>
      <w:r w:rsidRPr="001C792A">
        <w:rPr>
          <w:rFonts w:cs="Tahoma"/>
          <w:bCs/>
        </w:rPr>
        <w:t xml:space="preserve"> </w:t>
      </w:r>
      <w:r w:rsidR="00AD669C" w:rsidRPr="001C792A">
        <w:rPr>
          <w:rFonts w:cs="Tahoma"/>
          <w:bCs/>
        </w:rPr>
        <w:t xml:space="preserve">(e.g., </w:t>
      </w:r>
      <w:r w:rsidR="004159BA">
        <w:rPr>
          <w:rFonts w:cs="Tahoma"/>
          <w:bCs/>
        </w:rPr>
        <w:t>intercrop</w:t>
      </w:r>
      <w:r w:rsidR="00561063">
        <w:rPr>
          <w:rFonts w:cs="Tahoma"/>
          <w:bCs/>
        </w:rPr>
        <w:t>ping, agroforestry</w:t>
      </w:r>
      <w:r w:rsidR="004159BA">
        <w:rPr>
          <w:rFonts w:cs="Tahoma"/>
          <w:bCs/>
        </w:rPr>
        <w:t xml:space="preserve">, </w:t>
      </w:r>
      <w:r w:rsidR="00561063">
        <w:rPr>
          <w:rFonts w:cs="Tahoma"/>
          <w:bCs/>
        </w:rPr>
        <w:t xml:space="preserve">soil conservation techniques, </w:t>
      </w:r>
      <w:r w:rsidR="004159BA">
        <w:rPr>
          <w:rFonts w:cs="Tahoma"/>
          <w:bCs/>
        </w:rPr>
        <w:t>etc.</w:t>
      </w:r>
      <w:r w:rsidR="00AD669C" w:rsidRPr="001C792A">
        <w:rPr>
          <w:rFonts w:cs="Tahoma"/>
          <w:bCs/>
        </w:rPr>
        <w:t>)</w:t>
      </w:r>
      <w:r w:rsidRPr="001C792A">
        <w:rPr>
          <w:rFonts w:cs="Tahoma"/>
          <w:bCs/>
        </w:rPr>
        <w:t>;</w:t>
      </w:r>
    </w:p>
    <w:p w14:paraId="6D370EF0" w14:textId="0C26E266" w:rsidR="00EB2B88" w:rsidRPr="001C792A" w:rsidRDefault="00EB2B88" w:rsidP="00561063">
      <w:pPr>
        <w:pStyle w:val="ListParagraph"/>
        <w:numPr>
          <w:ilvl w:val="0"/>
          <w:numId w:val="54"/>
        </w:numPr>
        <w:shd w:val="clear" w:color="auto" w:fill="FFFFFF"/>
        <w:spacing w:after="240"/>
        <w:rPr>
          <w:rFonts w:cs="Tahoma"/>
          <w:bCs/>
        </w:rPr>
      </w:pPr>
      <w:r w:rsidRPr="001C792A">
        <w:rPr>
          <w:rFonts w:cs="Tahoma"/>
          <w:bCs/>
        </w:rPr>
        <w:t xml:space="preserve">Public policy makers seeking to understand </w:t>
      </w:r>
      <w:r w:rsidR="005D078A">
        <w:rPr>
          <w:rFonts w:cs="Tahoma"/>
          <w:bCs/>
        </w:rPr>
        <w:t xml:space="preserve">experiences with and </w:t>
      </w:r>
      <w:r w:rsidRPr="001C792A">
        <w:rPr>
          <w:rFonts w:cs="Tahoma"/>
          <w:bCs/>
        </w:rPr>
        <w:t xml:space="preserve">attitudes toward </w:t>
      </w:r>
      <w:r w:rsidR="00671114" w:rsidRPr="001C792A">
        <w:rPr>
          <w:rFonts w:cs="Tahoma"/>
          <w:bCs/>
        </w:rPr>
        <w:t>natural disaster strategies and practices</w:t>
      </w:r>
      <w:r w:rsidRPr="001C792A">
        <w:rPr>
          <w:rFonts w:cs="Tahoma"/>
          <w:bCs/>
        </w:rPr>
        <w:t>;</w:t>
      </w:r>
    </w:p>
    <w:p w14:paraId="406C24B0" w14:textId="660A8C19" w:rsidR="00852124" w:rsidRPr="001C792A" w:rsidRDefault="00C5467F" w:rsidP="00561063">
      <w:pPr>
        <w:pStyle w:val="ListParagraph"/>
        <w:numPr>
          <w:ilvl w:val="0"/>
          <w:numId w:val="54"/>
        </w:numPr>
        <w:shd w:val="clear" w:color="auto" w:fill="FFFFFF"/>
        <w:spacing w:after="240"/>
        <w:rPr>
          <w:rFonts w:cs="Tahoma"/>
          <w:bCs/>
        </w:rPr>
      </w:pPr>
      <w:r w:rsidRPr="001C792A">
        <w:rPr>
          <w:rFonts w:cs="Tahoma"/>
          <w:bCs/>
        </w:rPr>
        <w:t>P</w:t>
      </w:r>
      <w:r w:rsidR="00671114" w:rsidRPr="001C792A">
        <w:rPr>
          <w:rFonts w:cs="Tahoma"/>
          <w:bCs/>
        </w:rPr>
        <w:t xml:space="preserve">ublic </w:t>
      </w:r>
      <w:r w:rsidR="00422D03" w:rsidRPr="001C792A">
        <w:rPr>
          <w:rFonts w:cs="Tahoma"/>
          <w:bCs/>
        </w:rPr>
        <w:t xml:space="preserve">officials interested in </w:t>
      </w:r>
      <w:r w:rsidR="00671114" w:rsidRPr="001C792A">
        <w:rPr>
          <w:rFonts w:cs="Tahoma"/>
          <w:bCs/>
        </w:rPr>
        <w:t>understanding community organization, resilience, and recovery related to natural disasters and disturbances</w:t>
      </w:r>
    </w:p>
    <w:p w14:paraId="5198DFBB" w14:textId="77777777" w:rsidR="00622F88" w:rsidRPr="001C792A" w:rsidRDefault="00622F88" w:rsidP="00561063">
      <w:pPr>
        <w:pStyle w:val="ListParagraph"/>
        <w:numPr>
          <w:ilvl w:val="0"/>
          <w:numId w:val="54"/>
        </w:numPr>
        <w:shd w:val="clear" w:color="auto" w:fill="FFFFFF"/>
        <w:spacing w:after="240"/>
        <w:rPr>
          <w:rFonts w:cs="Tahoma"/>
          <w:bCs/>
        </w:rPr>
      </w:pPr>
      <w:r w:rsidRPr="001C792A">
        <w:rPr>
          <w:rFonts w:cs="Tahoma"/>
          <w:bCs/>
        </w:rPr>
        <w:t>Public land managers seeking to comply with legal mandates, develop new policies, and/or design mitigation and adaptation practices related to natural disasters on forests, other public lands, and other natural resources;</w:t>
      </w:r>
    </w:p>
    <w:p w14:paraId="0FC837AD" w14:textId="055AE217" w:rsidR="00852124" w:rsidRPr="001C792A" w:rsidRDefault="00C5467F" w:rsidP="00561063">
      <w:pPr>
        <w:pStyle w:val="ListParagraph"/>
        <w:numPr>
          <w:ilvl w:val="0"/>
          <w:numId w:val="54"/>
        </w:numPr>
        <w:shd w:val="clear" w:color="auto" w:fill="FFFFFF"/>
        <w:spacing w:after="240"/>
        <w:rPr>
          <w:rFonts w:cs="Tahoma"/>
          <w:bCs/>
        </w:rPr>
      </w:pPr>
      <w:r w:rsidRPr="001C792A">
        <w:rPr>
          <w:rFonts w:cs="Tahoma"/>
          <w:bCs/>
        </w:rPr>
        <w:t xml:space="preserve">Green </w:t>
      </w:r>
      <w:r w:rsidR="00422D03" w:rsidRPr="001C792A">
        <w:rPr>
          <w:rFonts w:cs="Tahoma"/>
          <w:bCs/>
        </w:rPr>
        <w:t xml:space="preserve">infrastructure engineers </w:t>
      </w:r>
      <w:r w:rsidR="00561063">
        <w:rPr>
          <w:rFonts w:cs="Tahoma"/>
          <w:bCs/>
        </w:rPr>
        <w:t>interested in developing</w:t>
      </w:r>
      <w:r w:rsidR="00422D03" w:rsidRPr="001C792A">
        <w:rPr>
          <w:rFonts w:cs="Tahoma"/>
          <w:bCs/>
        </w:rPr>
        <w:t xml:space="preserve"> multi-functional landscapes that </w:t>
      </w:r>
      <w:r w:rsidR="00671114" w:rsidRPr="001C792A">
        <w:rPr>
          <w:rFonts w:cs="Tahoma"/>
          <w:bCs/>
        </w:rPr>
        <w:t>mitigate risks, provide resilience in the face of changing conditions, and are sustainable</w:t>
      </w:r>
      <w:r w:rsidR="00852124" w:rsidRPr="001C792A">
        <w:rPr>
          <w:rFonts w:cs="Tahoma"/>
          <w:bCs/>
        </w:rPr>
        <w:t>;</w:t>
      </w:r>
    </w:p>
    <w:p w14:paraId="72DA835F" w14:textId="603DCF1B" w:rsidR="00E3023E" w:rsidRPr="00622F88" w:rsidRDefault="00C5467F" w:rsidP="00561063">
      <w:pPr>
        <w:pStyle w:val="ListParagraph"/>
        <w:numPr>
          <w:ilvl w:val="0"/>
          <w:numId w:val="54"/>
        </w:numPr>
        <w:shd w:val="clear" w:color="auto" w:fill="FFFFFF"/>
        <w:spacing w:after="240"/>
        <w:rPr>
          <w:rFonts w:cs="Tahoma"/>
          <w:bCs/>
        </w:rPr>
      </w:pPr>
      <w:r w:rsidRPr="001C792A">
        <w:rPr>
          <w:rFonts w:cs="Tahoma"/>
          <w:bCs/>
        </w:rPr>
        <w:t xml:space="preserve">Federal </w:t>
      </w:r>
      <w:r w:rsidR="00A505F8" w:rsidRPr="001C792A">
        <w:rPr>
          <w:rFonts w:cs="Tahoma"/>
          <w:bCs/>
        </w:rPr>
        <w:t xml:space="preserve">officials who </w:t>
      </w:r>
      <w:r w:rsidR="00561063">
        <w:rPr>
          <w:rFonts w:cs="Tahoma"/>
          <w:bCs/>
        </w:rPr>
        <w:t>produce</w:t>
      </w:r>
      <w:r w:rsidR="00E81A31" w:rsidRPr="001C792A">
        <w:rPr>
          <w:rFonts w:cs="Tahoma"/>
          <w:bCs/>
        </w:rPr>
        <w:t xml:space="preserve"> periodic reports </w:t>
      </w:r>
      <w:r w:rsidR="00561063">
        <w:rPr>
          <w:rFonts w:cs="Tahoma"/>
          <w:bCs/>
        </w:rPr>
        <w:t>to meet</w:t>
      </w:r>
      <w:r w:rsidR="00A505F8" w:rsidRPr="001C792A">
        <w:rPr>
          <w:rFonts w:cs="Tahoma"/>
          <w:bCs/>
        </w:rPr>
        <w:t xml:space="preserve"> </w:t>
      </w:r>
      <w:r w:rsidR="00671114" w:rsidRPr="001C792A">
        <w:rPr>
          <w:rFonts w:cs="Tahoma"/>
          <w:bCs/>
        </w:rPr>
        <w:t>national and international obligations related to disaster preparedness</w:t>
      </w:r>
      <w:r w:rsidR="009C4C3C">
        <w:rPr>
          <w:rFonts w:cs="Tahoma"/>
          <w:bCs/>
        </w:rPr>
        <w:t xml:space="preserve"> and response</w:t>
      </w:r>
      <w:r w:rsidR="00671114" w:rsidRPr="001C792A">
        <w:rPr>
          <w:rFonts w:cs="Tahoma"/>
          <w:bCs/>
        </w:rPr>
        <w:t>;</w:t>
      </w:r>
      <w:r w:rsidR="00622F88">
        <w:rPr>
          <w:rFonts w:cs="Tahoma"/>
          <w:bCs/>
        </w:rPr>
        <w:t xml:space="preserve"> </w:t>
      </w:r>
      <w:r w:rsidR="007A3C34" w:rsidRPr="00622F88">
        <w:rPr>
          <w:rFonts w:cs="Tahoma"/>
          <w:bCs/>
        </w:rPr>
        <w:t>and</w:t>
      </w:r>
    </w:p>
    <w:p w14:paraId="3B2EB162" w14:textId="23111D03" w:rsidR="00474BDC" w:rsidRPr="001C792A" w:rsidRDefault="00561063" w:rsidP="00561063">
      <w:pPr>
        <w:pStyle w:val="ListParagraph"/>
        <w:numPr>
          <w:ilvl w:val="0"/>
          <w:numId w:val="54"/>
        </w:numPr>
        <w:shd w:val="clear" w:color="auto" w:fill="FFFFFF"/>
        <w:spacing w:after="240"/>
        <w:rPr>
          <w:rFonts w:cs="Tahoma"/>
          <w:bCs/>
        </w:rPr>
      </w:pPr>
      <w:r>
        <w:rPr>
          <w:rFonts w:cs="Tahoma"/>
          <w:bCs/>
        </w:rPr>
        <w:t>Academics</w:t>
      </w:r>
      <w:r w:rsidR="004B0C64" w:rsidRPr="001C792A">
        <w:rPr>
          <w:rFonts w:cs="Tahoma"/>
          <w:bCs/>
        </w:rPr>
        <w:t xml:space="preserve"> interested in </w:t>
      </w:r>
      <w:r w:rsidR="009C0BDF" w:rsidRPr="001C792A">
        <w:rPr>
          <w:rFonts w:cs="Tahoma"/>
          <w:bCs/>
        </w:rPr>
        <w:t>advancing</w:t>
      </w:r>
      <w:r w:rsidR="00671114" w:rsidRPr="001C792A">
        <w:rPr>
          <w:rFonts w:cs="Tahoma"/>
          <w:bCs/>
        </w:rPr>
        <w:t xml:space="preserve"> scholarly work in the field of natural disaster risk reduction, preparedness, and adaptation, among others. </w:t>
      </w:r>
    </w:p>
    <w:p w14:paraId="08A45DD1" w14:textId="659FDEF7" w:rsidR="00671114" w:rsidRDefault="00671114" w:rsidP="001019CD">
      <w:pPr>
        <w:pStyle w:val="Level2"/>
        <w:spacing w:after="0" w:line="240" w:lineRule="auto"/>
        <w:ind w:left="0" w:firstLine="0"/>
        <w:rPr>
          <w:rFonts w:cs="Tahoma"/>
          <w:bCs/>
        </w:rPr>
      </w:pPr>
      <w:r w:rsidRPr="001C792A">
        <w:rPr>
          <w:rFonts w:cs="Tahoma"/>
          <w:bCs/>
        </w:rPr>
        <w:t xml:space="preserve">Findings from this research will be published in professional and academic literature to reach </w:t>
      </w:r>
      <w:r w:rsidR="00D636A2">
        <w:rPr>
          <w:rFonts w:cs="Tahoma"/>
          <w:bCs/>
        </w:rPr>
        <w:t xml:space="preserve">a broad range of </w:t>
      </w:r>
      <w:r w:rsidRPr="001C792A">
        <w:rPr>
          <w:rFonts w:cs="Tahoma"/>
          <w:bCs/>
        </w:rPr>
        <w:t xml:space="preserve">stakeholders and interested parties. Data and findings also </w:t>
      </w:r>
      <w:r w:rsidR="00D636A2">
        <w:rPr>
          <w:rFonts w:cs="Tahoma"/>
          <w:bCs/>
        </w:rPr>
        <w:t xml:space="preserve">will </w:t>
      </w:r>
      <w:r w:rsidRPr="001C792A">
        <w:rPr>
          <w:rFonts w:cs="Tahoma"/>
          <w:bCs/>
        </w:rPr>
        <w:t xml:space="preserve">be presented to </w:t>
      </w:r>
      <w:r w:rsidR="00D636A2">
        <w:rPr>
          <w:rFonts w:cs="Tahoma"/>
          <w:bCs/>
        </w:rPr>
        <w:t>government, private sector, and civil society organizations and actors through public meetings, academic conferences, and other venue</w:t>
      </w:r>
      <w:r w:rsidR="005D078A">
        <w:rPr>
          <w:rFonts w:cs="Tahoma"/>
          <w:bCs/>
        </w:rPr>
        <w:t>s</w:t>
      </w:r>
      <w:r w:rsidR="00D636A2">
        <w:rPr>
          <w:rFonts w:cs="Tahoma"/>
          <w:bCs/>
        </w:rPr>
        <w:t xml:space="preserve">.  </w:t>
      </w:r>
      <w:r w:rsidR="005D078A">
        <w:rPr>
          <w:rFonts w:cs="Tahoma"/>
          <w:bCs/>
        </w:rPr>
        <w:t>Additionally, d</w:t>
      </w:r>
      <w:r w:rsidRPr="001C792A">
        <w:rPr>
          <w:rFonts w:cs="Tahoma"/>
          <w:bCs/>
        </w:rPr>
        <w:t>ata and findings will be presented to research participants (if interested</w:t>
      </w:r>
      <w:r w:rsidR="005D078A">
        <w:rPr>
          <w:rFonts w:cs="Tahoma"/>
          <w:bCs/>
        </w:rPr>
        <w:t xml:space="preserve"> or upon </w:t>
      </w:r>
      <w:r w:rsidR="00D636A2">
        <w:rPr>
          <w:rFonts w:cs="Tahoma"/>
          <w:bCs/>
        </w:rPr>
        <w:t>request</w:t>
      </w:r>
      <w:r w:rsidRPr="001C792A">
        <w:rPr>
          <w:rFonts w:cs="Tahoma"/>
          <w:bCs/>
        </w:rPr>
        <w:t>) and other stakeholders in the community as appropriate.</w:t>
      </w:r>
    </w:p>
    <w:p w14:paraId="1EFDDA34" w14:textId="77777777" w:rsidR="00D636A2" w:rsidRPr="001C792A" w:rsidRDefault="00D636A2" w:rsidP="001019CD">
      <w:pPr>
        <w:pStyle w:val="Level2"/>
        <w:spacing w:after="0" w:line="240" w:lineRule="auto"/>
        <w:ind w:left="0" w:firstLine="0"/>
        <w:rPr>
          <w:rFonts w:cs="Tahoma"/>
          <w:bCs/>
        </w:rPr>
      </w:pPr>
    </w:p>
    <w:p w14:paraId="3C1B039E" w14:textId="77777777" w:rsidR="00C37CD8" w:rsidRPr="001C792A" w:rsidRDefault="00C37CD8" w:rsidP="003860F5">
      <w:pPr>
        <w:pStyle w:val="Level2"/>
        <w:numPr>
          <w:ilvl w:val="0"/>
          <w:numId w:val="53"/>
        </w:numPr>
        <w:spacing w:after="0" w:line="240" w:lineRule="auto"/>
        <w:rPr>
          <w:rFonts w:cs="Tahoma"/>
          <w:b/>
          <w:bCs/>
        </w:rPr>
      </w:pPr>
      <w:r w:rsidRPr="001C792A">
        <w:rPr>
          <w:rFonts w:cs="Tahoma"/>
          <w:b/>
          <w:bCs/>
        </w:rPr>
        <w:t>How will the information be collected (e.g., forms, non-forms, electronically, face-to-face, over the phone, over the Internet)?  Does the respondent have multiple options for providing the information?  If so, what are they?</w:t>
      </w:r>
    </w:p>
    <w:p w14:paraId="231A2095" w14:textId="77777777" w:rsidR="003860F5" w:rsidRDefault="003860F5" w:rsidP="001019CD">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14:paraId="0A824592" w14:textId="5023E1B5" w:rsidR="00FA2BFF" w:rsidRDefault="003860F5" w:rsidP="003860F5">
      <w:pPr>
        <w:pStyle w:val="Level2"/>
        <w:spacing w:after="0" w:line="240" w:lineRule="auto"/>
        <w:ind w:left="0" w:firstLine="0"/>
        <w:rPr>
          <w:rFonts w:cs="Tahoma"/>
          <w:bCs/>
        </w:rPr>
      </w:pPr>
      <w:r>
        <w:rPr>
          <w:rFonts w:cs="Tahoma"/>
          <w:bCs/>
        </w:rPr>
        <w:t>I</w:t>
      </w:r>
      <w:r w:rsidRPr="003860F5">
        <w:rPr>
          <w:rFonts w:cs="Tahoma"/>
          <w:bCs/>
        </w:rPr>
        <w:t xml:space="preserve">nformation will be collected </w:t>
      </w:r>
      <w:r>
        <w:rPr>
          <w:rFonts w:cs="Tahoma"/>
          <w:bCs/>
        </w:rPr>
        <w:t>primarily through focus groups and in-depth interviews</w:t>
      </w:r>
      <w:r w:rsidR="001A274C">
        <w:rPr>
          <w:rFonts w:cs="Tahoma"/>
          <w:bCs/>
        </w:rPr>
        <w:t xml:space="preserve">, following </w:t>
      </w:r>
      <w:r>
        <w:rPr>
          <w:rFonts w:cs="Tahoma"/>
          <w:bCs/>
        </w:rPr>
        <w:t xml:space="preserve">standard accepted practices, </w:t>
      </w:r>
      <w:r w:rsidR="004D6CC5">
        <w:rPr>
          <w:rFonts w:cs="Tahoma"/>
          <w:bCs/>
        </w:rPr>
        <w:t xml:space="preserve">such as </w:t>
      </w:r>
      <w:r>
        <w:rPr>
          <w:rFonts w:cs="Tahoma"/>
          <w:bCs/>
        </w:rPr>
        <w:t xml:space="preserve">those established by </w:t>
      </w:r>
      <w:r w:rsidRPr="003860F5">
        <w:rPr>
          <w:rFonts w:cs="Tahoma"/>
          <w:bCs/>
        </w:rPr>
        <w:t xml:space="preserve">Krueger and Casey </w:t>
      </w:r>
      <w:r>
        <w:rPr>
          <w:rFonts w:cs="Tahoma"/>
          <w:bCs/>
        </w:rPr>
        <w:t>(</w:t>
      </w:r>
      <w:r w:rsidRPr="003860F5">
        <w:rPr>
          <w:rFonts w:cs="Tahoma"/>
          <w:bCs/>
        </w:rPr>
        <w:t>2009)</w:t>
      </w:r>
      <w:r w:rsidR="001A274C">
        <w:rPr>
          <w:rFonts w:cs="Tahoma"/>
          <w:bCs/>
        </w:rPr>
        <w:t xml:space="preserve"> and </w:t>
      </w:r>
      <w:r w:rsidR="0046479A">
        <w:rPr>
          <w:rFonts w:cs="Tahoma"/>
          <w:bCs/>
        </w:rPr>
        <w:t>Patton (2002)</w:t>
      </w:r>
      <w:r w:rsidR="001A274C">
        <w:rPr>
          <w:rFonts w:cs="Tahoma"/>
          <w:bCs/>
        </w:rPr>
        <w:t>, respectively</w:t>
      </w:r>
      <w:r>
        <w:rPr>
          <w:rFonts w:cs="Tahoma"/>
          <w:bCs/>
        </w:rPr>
        <w:t xml:space="preserve">.  </w:t>
      </w:r>
    </w:p>
    <w:p w14:paraId="031D90E5" w14:textId="77777777" w:rsidR="00FA2BFF" w:rsidRDefault="00FA2BFF" w:rsidP="003860F5">
      <w:pPr>
        <w:pStyle w:val="Level2"/>
        <w:spacing w:after="0" w:line="240" w:lineRule="auto"/>
        <w:ind w:left="0" w:firstLine="0"/>
        <w:rPr>
          <w:rFonts w:cs="Tahoma"/>
          <w:bCs/>
        </w:rPr>
      </w:pPr>
    </w:p>
    <w:p w14:paraId="162E59CB" w14:textId="04838616" w:rsidR="003860F5" w:rsidRDefault="00FA2BFF" w:rsidP="003860F5">
      <w:pPr>
        <w:pStyle w:val="Level2"/>
        <w:spacing w:after="0" w:line="240" w:lineRule="auto"/>
        <w:ind w:left="0" w:firstLine="0"/>
        <w:rPr>
          <w:rFonts w:cs="Tahoma"/>
          <w:bCs/>
        </w:rPr>
      </w:pPr>
      <w:r w:rsidRPr="00FA2BFF">
        <w:rPr>
          <w:rFonts w:cs="Tahoma"/>
          <w:bCs/>
          <w:i/>
        </w:rPr>
        <w:t xml:space="preserve">Focus groups - </w:t>
      </w:r>
      <w:r w:rsidR="001A274C">
        <w:rPr>
          <w:rFonts w:cs="Tahoma"/>
          <w:bCs/>
        </w:rPr>
        <w:t>F</w:t>
      </w:r>
      <w:r w:rsidR="003860F5">
        <w:rPr>
          <w:rFonts w:cs="Tahoma"/>
          <w:bCs/>
        </w:rPr>
        <w:t>ocus groups</w:t>
      </w:r>
      <w:r w:rsidR="001A274C">
        <w:rPr>
          <w:rFonts w:cs="Tahoma"/>
          <w:bCs/>
        </w:rPr>
        <w:t xml:space="preserve"> </w:t>
      </w:r>
      <w:r w:rsidR="003860F5" w:rsidRPr="003860F5">
        <w:rPr>
          <w:rFonts w:cs="Tahoma"/>
          <w:bCs/>
        </w:rPr>
        <w:t xml:space="preserve">involve semi-structured group </w:t>
      </w:r>
      <w:r w:rsidR="003860F5">
        <w:rPr>
          <w:rFonts w:cs="Tahoma"/>
          <w:bCs/>
        </w:rPr>
        <w:t>discussions</w:t>
      </w:r>
      <w:r w:rsidR="003860F5" w:rsidRPr="003860F5">
        <w:rPr>
          <w:rFonts w:cs="Tahoma"/>
          <w:bCs/>
        </w:rPr>
        <w:t xml:space="preserve"> with a relatively small </w:t>
      </w:r>
      <w:r w:rsidR="003860F5">
        <w:rPr>
          <w:rFonts w:cs="Tahoma"/>
          <w:bCs/>
        </w:rPr>
        <w:t>number of participants (6 - 12)</w:t>
      </w:r>
      <w:r w:rsidR="001A274C">
        <w:rPr>
          <w:rFonts w:cs="Tahoma"/>
          <w:bCs/>
        </w:rPr>
        <w:t>.  In this case, they</w:t>
      </w:r>
      <w:r w:rsidR="003860F5">
        <w:rPr>
          <w:rFonts w:cs="Tahoma"/>
          <w:bCs/>
        </w:rPr>
        <w:t xml:space="preserve"> </w:t>
      </w:r>
      <w:r w:rsidR="004D6CC5">
        <w:rPr>
          <w:rFonts w:cs="Tahoma"/>
          <w:bCs/>
        </w:rPr>
        <w:t xml:space="preserve">will be designed and conducted to stimulate in-depth conversations </w:t>
      </w:r>
      <w:r w:rsidR="001A274C">
        <w:rPr>
          <w:rFonts w:cs="Tahoma"/>
          <w:bCs/>
        </w:rPr>
        <w:t>about</w:t>
      </w:r>
      <w:r w:rsidR="001A274C" w:rsidRPr="003860F5">
        <w:rPr>
          <w:rFonts w:cs="Tahoma"/>
          <w:bCs/>
        </w:rPr>
        <w:t xml:space="preserve"> </w:t>
      </w:r>
      <w:r w:rsidR="001A274C">
        <w:rPr>
          <w:rFonts w:cs="Tahoma"/>
          <w:bCs/>
        </w:rPr>
        <w:t>people’s</w:t>
      </w:r>
      <w:r w:rsidR="001A274C" w:rsidRPr="003860F5">
        <w:rPr>
          <w:rFonts w:cs="Tahoma"/>
          <w:bCs/>
        </w:rPr>
        <w:t xml:space="preserve"> experiences, perceptions, practices, and plans prior to, during, and after the </w:t>
      </w:r>
      <w:r w:rsidR="001A274C">
        <w:rPr>
          <w:rFonts w:cs="Tahoma"/>
          <w:bCs/>
        </w:rPr>
        <w:t xml:space="preserve">recent hurricanes in the U.S. Caribbean.  Through discovery and exploration, the focus group results </w:t>
      </w:r>
      <w:r w:rsidR="00A52C2F">
        <w:rPr>
          <w:rFonts w:cs="Tahoma"/>
          <w:bCs/>
        </w:rPr>
        <w:t xml:space="preserve">will </w:t>
      </w:r>
      <w:r w:rsidR="001A274C">
        <w:rPr>
          <w:rFonts w:cs="Tahoma"/>
          <w:bCs/>
        </w:rPr>
        <w:t xml:space="preserve">be used to </w:t>
      </w:r>
      <w:r w:rsidR="003860F5">
        <w:rPr>
          <w:rFonts w:cs="Tahoma"/>
          <w:bCs/>
        </w:rPr>
        <w:t xml:space="preserve">generate theories and explanations about </w:t>
      </w:r>
      <w:r w:rsidR="00A52C2F">
        <w:rPr>
          <w:rFonts w:cs="Tahoma"/>
          <w:bCs/>
        </w:rPr>
        <w:t xml:space="preserve">the </w:t>
      </w:r>
      <w:r w:rsidR="003860F5">
        <w:rPr>
          <w:rFonts w:cs="Tahoma"/>
          <w:bCs/>
        </w:rPr>
        <w:t>population and subject</w:t>
      </w:r>
      <w:r w:rsidR="00A52C2F">
        <w:rPr>
          <w:rFonts w:cs="Tahoma"/>
          <w:bCs/>
        </w:rPr>
        <w:t>s</w:t>
      </w:r>
      <w:r w:rsidR="003860F5">
        <w:rPr>
          <w:rFonts w:cs="Tahoma"/>
          <w:bCs/>
        </w:rPr>
        <w:t xml:space="preserve"> of interest</w:t>
      </w:r>
      <w:r w:rsidR="003860F5" w:rsidRPr="003860F5">
        <w:rPr>
          <w:rFonts w:cs="Tahoma"/>
          <w:bCs/>
        </w:rPr>
        <w:t xml:space="preserve">. </w:t>
      </w:r>
    </w:p>
    <w:p w14:paraId="2478B405" w14:textId="77777777" w:rsidR="003860F5" w:rsidRDefault="003860F5" w:rsidP="003860F5">
      <w:pPr>
        <w:pStyle w:val="Level2"/>
        <w:spacing w:after="0" w:line="240" w:lineRule="auto"/>
        <w:ind w:left="0" w:firstLine="0"/>
        <w:rPr>
          <w:rFonts w:cs="Tahoma"/>
          <w:bCs/>
        </w:rPr>
      </w:pPr>
    </w:p>
    <w:p w14:paraId="291CEF88" w14:textId="6ADA049C" w:rsidR="00FA2BFF" w:rsidRDefault="00FA2BFF" w:rsidP="003860F5">
      <w:pPr>
        <w:pStyle w:val="Level2"/>
        <w:spacing w:after="0" w:line="240" w:lineRule="auto"/>
        <w:ind w:left="0" w:firstLine="0"/>
        <w:rPr>
          <w:rFonts w:cs="Tahoma"/>
          <w:bCs/>
        </w:rPr>
      </w:pPr>
      <w:r w:rsidRPr="00FA2BFF">
        <w:rPr>
          <w:rFonts w:cs="Tahoma"/>
          <w:bCs/>
        </w:rPr>
        <w:t>Individual focus groups will be selected for similarities on key factors (e.g., socioeconomic level, sector of production, degree of impact(s) experienced) to provide a non-threatening environment and encourage open discussion.  Focus groups will be large enough to yield diversit</w:t>
      </w:r>
      <w:r w:rsidR="00052F12">
        <w:rPr>
          <w:rFonts w:cs="Tahoma"/>
          <w:bCs/>
        </w:rPr>
        <w:t xml:space="preserve">y in information provided, yet </w:t>
      </w:r>
      <w:r w:rsidRPr="00FA2BFF">
        <w:rPr>
          <w:rFonts w:cs="Tahoma"/>
          <w:bCs/>
        </w:rPr>
        <w:t>small enough to create an environment where participants feel comfortable sharing their thoughts, opinions, beliefs, and experiences</w:t>
      </w:r>
      <w:r w:rsidR="00052F12">
        <w:rPr>
          <w:rFonts w:cs="Tahoma"/>
          <w:bCs/>
        </w:rPr>
        <w:t xml:space="preserve">, as promoted by </w:t>
      </w:r>
      <w:r w:rsidRPr="00FA2BFF">
        <w:rPr>
          <w:rFonts w:cs="Tahoma"/>
          <w:bCs/>
        </w:rPr>
        <w:t xml:space="preserve">Onwuegbuzie et al. </w:t>
      </w:r>
      <w:r w:rsidR="00052F12">
        <w:rPr>
          <w:rFonts w:cs="Tahoma"/>
          <w:bCs/>
        </w:rPr>
        <w:t>(</w:t>
      </w:r>
      <w:r w:rsidRPr="00FA2BFF">
        <w:rPr>
          <w:rFonts w:cs="Tahoma"/>
          <w:bCs/>
        </w:rPr>
        <w:t>2009</w:t>
      </w:r>
      <w:r w:rsidR="00052F12">
        <w:rPr>
          <w:rFonts w:cs="Tahoma"/>
          <w:bCs/>
        </w:rPr>
        <w:t>) and others.</w:t>
      </w:r>
      <w:r w:rsidRPr="00FA2BFF">
        <w:rPr>
          <w:rFonts w:cs="Tahoma"/>
          <w:bCs/>
        </w:rPr>
        <w:t xml:space="preserve"> </w:t>
      </w:r>
    </w:p>
    <w:p w14:paraId="561E0CE5" w14:textId="77777777" w:rsidR="00FA2BFF" w:rsidRDefault="00FA2BFF" w:rsidP="003860F5">
      <w:pPr>
        <w:pStyle w:val="Level2"/>
        <w:spacing w:after="0" w:line="240" w:lineRule="auto"/>
        <w:ind w:left="0" w:firstLine="0"/>
        <w:rPr>
          <w:rFonts w:cs="Tahoma"/>
          <w:bCs/>
        </w:rPr>
      </w:pPr>
    </w:p>
    <w:p w14:paraId="0BA55FD7" w14:textId="77777777" w:rsidR="0045055E" w:rsidRDefault="00FA2BFF" w:rsidP="003860F5">
      <w:pPr>
        <w:pStyle w:val="Level2"/>
        <w:spacing w:after="0" w:line="240" w:lineRule="auto"/>
        <w:ind w:left="0" w:firstLine="0"/>
        <w:rPr>
          <w:rFonts w:cs="Tahoma"/>
          <w:bCs/>
        </w:rPr>
      </w:pPr>
      <w:r>
        <w:rPr>
          <w:rFonts w:cs="Tahoma"/>
          <w:bCs/>
        </w:rPr>
        <w:t>F</w:t>
      </w:r>
      <w:r w:rsidR="003860F5" w:rsidRPr="003860F5">
        <w:rPr>
          <w:rFonts w:cs="Tahoma"/>
          <w:bCs/>
        </w:rPr>
        <w:t>ocus groups will be led by a facilitator who uses a ‘questioning route’ or topic guide that serves as a roadmap for the focused discussion (Krueger and Casey 2009).  The topic guide for</w:t>
      </w:r>
      <w:r w:rsidR="003860F5">
        <w:rPr>
          <w:rFonts w:cs="Tahoma"/>
          <w:bCs/>
        </w:rPr>
        <w:t xml:space="preserve"> this information collection </w:t>
      </w:r>
      <w:r w:rsidR="003860F5" w:rsidRPr="003860F5">
        <w:rPr>
          <w:rFonts w:cs="Tahoma"/>
          <w:bCs/>
        </w:rPr>
        <w:t xml:space="preserve">addresses the </w:t>
      </w:r>
      <w:r w:rsidR="003860F5">
        <w:rPr>
          <w:rFonts w:cs="Tahoma"/>
          <w:bCs/>
        </w:rPr>
        <w:t>research</w:t>
      </w:r>
      <w:r w:rsidR="003860F5" w:rsidRPr="003860F5">
        <w:rPr>
          <w:rFonts w:cs="Tahoma"/>
          <w:bCs/>
        </w:rPr>
        <w:t xml:space="preserve"> purpose and objectives</w:t>
      </w:r>
      <w:r w:rsidR="0042765B">
        <w:rPr>
          <w:rFonts w:cs="Tahoma"/>
          <w:bCs/>
        </w:rPr>
        <w:t xml:space="preserve"> and aligns with relevant bodies of literature and expert kn</w:t>
      </w:r>
      <w:r w:rsidR="0042765B" w:rsidRPr="008914A7">
        <w:rPr>
          <w:rFonts w:cs="Tahoma"/>
          <w:bCs/>
        </w:rPr>
        <w:t>owledge (Appendix I).  It is designed</w:t>
      </w:r>
      <w:r w:rsidR="003860F5" w:rsidRPr="008914A7">
        <w:rPr>
          <w:rFonts w:cs="Tahoma"/>
          <w:bCs/>
        </w:rPr>
        <w:t xml:space="preserve"> so that the questions and statements are clear,</w:t>
      </w:r>
      <w:r w:rsidR="003860F5" w:rsidRPr="003860F5">
        <w:rPr>
          <w:rFonts w:cs="Tahoma"/>
          <w:bCs/>
        </w:rPr>
        <w:t xml:space="preserve"> sound, and conversational in nature and flow in a logical orde</w:t>
      </w:r>
      <w:r w:rsidR="0042765B">
        <w:rPr>
          <w:rFonts w:cs="Tahoma"/>
          <w:bCs/>
        </w:rPr>
        <w:t>r.  This guide</w:t>
      </w:r>
      <w:r w:rsidR="003860F5" w:rsidRPr="003860F5">
        <w:rPr>
          <w:rFonts w:cs="Tahoma"/>
          <w:bCs/>
        </w:rPr>
        <w:t xml:space="preserve"> </w:t>
      </w:r>
      <w:r w:rsidR="00A52C2F">
        <w:rPr>
          <w:rFonts w:cs="Tahoma"/>
          <w:bCs/>
        </w:rPr>
        <w:t>is intended</w:t>
      </w:r>
      <w:r w:rsidR="00A52C2F" w:rsidRPr="003860F5">
        <w:rPr>
          <w:rFonts w:cs="Tahoma"/>
          <w:bCs/>
        </w:rPr>
        <w:t xml:space="preserve"> </w:t>
      </w:r>
      <w:r w:rsidR="003860F5" w:rsidRPr="003860F5">
        <w:rPr>
          <w:rFonts w:cs="Tahoma"/>
          <w:bCs/>
        </w:rPr>
        <w:t xml:space="preserve">to engage participants in multiple ways and to make the most of the time available in each group interview.  </w:t>
      </w:r>
      <w:r w:rsidR="003860F5">
        <w:rPr>
          <w:rFonts w:cs="Tahoma"/>
          <w:bCs/>
        </w:rPr>
        <w:t xml:space="preserve">The </w:t>
      </w:r>
      <w:r w:rsidR="0042765B">
        <w:rPr>
          <w:rFonts w:cs="Tahoma"/>
          <w:bCs/>
        </w:rPr>
        <w:t xml:space="preserve">focus group </w:t>
      </w:r>
      <w:r w:rsidR="003860F5">
        <w:rPr>
          <w:rFonts w:cs="Tahoma"/>
          <w:bCs/>
        </w:rPr>
        <w:t>topic guide will be</w:t>
      </w:r>
      <w:r w:rsidR="003860F5" w:rsidRPr="003860F5">
        <w:rPr>
          <w:rFonts w:cs="Tahoma"/>
          <w:bCs/>
        </w:rPr>
        <w:t xml:space="preserve"> translated to Spanish for the focus groups in Puerto Rico, which will be conducted in Spanish.</w:t>
      </w:r>
      <w:r w:rsidR="003860F5">
        <w:rPr>
          <w:rFonts w:cs="Tahoma"/>
          <w:bCs/>
        </w:rPr>
        <w:t xml:space="preserve">  </w:t>
      </w:r>
    </w:p>
    <w:p w14:paraId="45509945" w14:textId="77777777" w:rsidR="0045055E" w:rsidRDefault="0045055E" w:rsidP="003860F5">
      <w:pPr>
        <w:pStyle w:val="Level2"/>
        <w:spacing w:after="0" w:line="240" w:lineRule="auto"/>
        <w:ind w:left="0" w:firstLine="0"/>
        <w:rPr>
          <w:rFonts w:cs="Tahoma"/>
          <w:bCs/>
        </w:rPr>
      </w:pPr>
    </w:p>
    <w:p w14:paraId="25C2DF80" w14:textId="42B154AA" w:rsidR="003860F5" w:rsidRPr="003860F5" w:rsidRDefault="003860F5" w:rsidP="003860F5">
      <w:pPr>
        <w:pStyle w:val="Level2"/>
        <w:spacing w:after="0" w:line="240" w:lineRule="auto"/>
        <w:ind w:left="0" w:firstLine="0"/>
        <w:rPr>
          <w:rFonts w:cs="Tahoma"/>
          <w:bCs/>
        </w:rPr>
      </w:pPr>
      <w:r>
        <w:rPr>
          <w:rFonts w:cs="Tahoma"/>
          <w:bCs/>
        </w:rPr>
        <w:t>Focus group discussions will be audio recorded</w:t>
      </w:r>
      <w:r w:rsidR="0045055E">
        <w:rPr>
          <w:rFonts w:cs="Tahoma"/>
          <w:bCs/>
        </w:rPr>
        <w:t xml:space="preserve"> to ease the burden of response on the participants.  Additionally, researchers will take notes of the discussion and of any non-verbal communication that may occur.  </w:t>
      </w:r>
      <w:r w:rsidR="0046479A">
        <w:rPr>
          <w:rFonts w:cs="Tahoma"/>
          <w:bCs/>
        </w:rPr>
        <w:t xml:space="preserve">Participants will be provided a confidentiality statement </w:t>
      </w:r>
      <w:r w:rsidR="0045055E">
        <w:rPr>
          <w:rFonts w:cs="Tahoma"/>
          <w:bCs/>
        </w:rPr>
        <w:t>indicating that</w:t>
      </w:r>
      <w:r w:rsidR="00176390">
        <w:rPr>
          <w:rFonts w:cs="Tahoma"/>
          <w:bCs/>
        </w:rPr>
        <w:t xml:space="preserve"> n</w:t>
      </w:r>
      <w:r>
        <w:rPr>
          <w:rFonts w:cs="Tahoma"/>
          <w:bCs/>
        </w:rPr>
        <w:t>o personally identifiable information will be used in the reporting of results</w:t>
      </w:r>
      <w:r w:rsidR="0045055E">
        <w:rPr>
          <w:rFonts w:cs="Tahoma"/>
          <w:bCs/>
        </w:rPr>
        <w:t xml:space="preserve"> and they will be informed of the recording and sign a consent form.</w:t>
      </w:r>
    </w:p>
    <w:p w14:paraId="4004F65C" w14:textId="77777777" w:rsidR="003860F5" w:rsidRPr="003860F5" w:rsidRDefault="003860F5" w:rsidP="003860F5">
      <w:pPr>
        <w:pStyle w:val="Level2"/>
        <w:spacing w:after="0" w:line="240" w:lineRule="auto"/>
        <w:ind w:left="0" w:firstLine="0"/>
        <w:rPr>
          <w:rFonts w:cs="Tahoma"/>
          <w:bCs/>
        </w:rPr>
      </w:pPr>
    </w:p>
    <w:p w14:paraId="697B07B8" w14:textId="04655A7C" w:rsidR="003860F5" w:rsidRDefault="00FA2BFF" w:rsidP="003860F5">
      <w:pPr>
        <w:pStyle w:val="Level2"/>
        <w:spacing w:after="0" w:line="240" w:lineRule="auto"/>
        <w:ind w:left="0" w:firstLine="0"/>
        <w:rPr>
          <w:rFonts w:cs="Tahoma"/>
          <w:bCs/>
        </w:rPr>
      </w:pPr>
      <w:r w:rsidRPr="0046479A">
        <w:rPr>
          <w:rFonts w:cs="Tahoma"/>
          <w:bCs/>
          <w:i/>
        </w:rPr>
        <w:t xml:space="preserve">Interviews - </w:t>
      </w:r>
      <w:r w:rsidR="003860F5">
        <w:rPr>
          <w:rFonts w:cs="Tahoma"/>
          <w:bCs/>
        </w:rPr>
        <w:t xml:space="preserve">Interviews will be conducted in person, </w:t>
      </w:r>
      <w:r w:rsidR="003860F5" w:rsidRPr="003860F5">
        <w:rPr>
          <w:rFonts w:cs="Tahoma"/>
          <w:bCs/>
        </w:rPr>
        <w:t xml:space="preserve">on properties and in households of communities affected by the </w:t>
      </w:r>
      <w:r w:rsidR="0045055E">
        <w:rPr>
          <w:rFonts w:cs="Tahoma"/>
          <w:bCs/>
        </w:rPr>
        <w:t>hurricanes</w:t>
      </w:r>
      <w:r w:rsidR="003860F5" w:rsidRPr="003860F5">
        <w:rPr>
          <w:rFonts w:cs="Tahoma"/>
          <w:bCs/>
        </w:rPr>
        <w:t xml:space="preserve">, as well as in other locations where </w:t>
      </w:r>
      <w:r w:rsidR="00AB7525">
        <w:rPr>
          <w:rFonts w:cs="Tahoma"/>
          <w:bCs/>
        </w:rPr>
        <w:t>members of the population</w:t>
      </w:r>
      <w:r w:rsidR="00DE037E">
        <w:rPr>
          <w:rFonts w:cs="Tahoma"/>
          <w:bCs/>
        </w:rPr>
        <w:t xml:space="preserve"> of interest </w:t>
      </w:r>
      <w:r w:rsidR="003860F5" w:rsidRPr="003860F5">
        <w:rPr>
          <w:rFonts w:cs="Tahoma"/>
          <w:bCs/>
        </w:rPr>
        <w:t>meet or gather (e.g., public meetings, farmers markets)</w:t>
      </w:r>
      <w:r w:rsidR="003860F5">
        <w:rPr>
          <w:rFonts w:cs="Tahoma"/>
          <w:bCs/>
        </w:rPr>
        <w:t xml:space="preserve">.  </w:t>
      </w:r>
      <w:r w:rsidR="003860F5" w:rsidRPr="003860F5">
        <w:rPr>
          <w:rFonts w:cs="Tahoma"/>
          <w:bCs/>
        </w:rPr>
        <w:t xml:space="preserve">The </w:t>
      </w:r>
      <w:r w:rsidR="003860F5">
        <w:rPr>
          <w:rFonts w:cs="Tahoma"/>
          <w:bCs/>
        </w:rPr>
        <w:t>I</w:t>
      </w:r>
      <w:r w:rsidR="003860F5" w:rsidRPr="003860F5">
        <w:rPr>
          <w:rFonts w:cs="Tahoma"/>
          <w:bCs/>
        </w:rPr>
        <w:t>nterviews</w:t>
      </w:r>
      <w:r w:rsidR="003860F5">
        <w:rPr>
          <w:rFonts w:cs="Tahoma"/>
          <w:bCs/>
        </w:rPr>
        <w:t xml:space="preserve"> </w:t>
      </w:r>
      <w:r w:rsidR="003860F5" w:rsidRPr="003860F5">
        <w:rPr>
          <w:rFonts w:cs="Tahoma"/>
          <w:bCs/>
        </w:rPr>
        <w:t>will be</w:t>
      </w:r>
      <w:r w:rsidR="003860F5">
        <w:rPr>
          <w:rFonts w:cs="Tahoma"/>
          <w:bCs/>
        </w:rPr>
        <w:t xml:space="preserve"> conducted by a two-person team of researchers following an </w:t>
      </w:r>
      <w:r w:rsidR="003860F5" w:rsidRPr="003860F5">
        <w:rPr>
          <w:rFonts w:cs="Tahoma"/>
          <w:bCs/>
        </w:rPr>
        <w:t xml:space="preserve">interview </w:t>
      </w:r>
      <w:r>
        <w:rPr>
          <w:rFonts w:cs="Tahoma"/>
          <w:bCs/>
        </w:rPr>
        <w:t>guide</w:t>
      </w:r>
      <w:r w:rsidR="0042765B">
        <w:rPr>
          <w:rFonts w:cs="Tahoma"/>
          <w:bCs/>
        </w:rPr>
        <w:t>, which will be translated to Spanish for interviews in Puerto Ric</w:t>
      </w:r>
      <w:r w:rsidR="0042765B" w:rsidRPr="008914A7">
        <w:rPr>
          <w:rFonts w:cs="Tahoma"/>
          <w:bCs/>
        </w:rPr>
        <w:t>o (Appendix II</w:t>
      </w:r>
      <w:r w:rsidR="0045055E" w:rsidRPr="008914A7">
        <w:rPr>
          <w:rFonts w:cs="Tahoma"/>
          <w:bCs/>
        </w:rPr>
        <w:t>)</w:t>
      </w:r>
      <w:r w:rsidR="0042765B" w:rsidRPr="008914A7">
        <w:rPr>
          <w:rFonts w:cs="Tahoma"/>
          <w:bCs/>
        </w:rPr>
        <w:t>.  The interview</w:t>
      </w:r>
      <w:r w:rsidRPr="008914A7">
        <w:rPr>
          <w:rFonts w:cs="Tahoma"/>
          <w:bCs/>
        </w:rPr>
        <w:t xml:space="preserve"> guide</w:t>
      </w:r>
      <w:r w:rsidR="003860F5" w:rsidRPr="008914A7">
        <w:rPr>
          <w:rFonts w:cs="Tahoma"/>
          <w:bCs/>
        </w:rPr>
        <w:t xml:space="preserve"> </w:t>
      </w:r>
      <w:r w:rsidR="0042765B" w:rsidRPr="008914A7">
        <w:rPr>
          <w:rFonts w:cs="Tahoma"/>
          <w:bCs/>
        </w:rPr>
        <w:t>is similar to the focus group guide, aligning</w:t>
      </w:r>
      <w:r w:rsidR="003860F5" w:rsidRPr="008914A7">
        <w:rPr>
          <w:rFonts w:cs="Tahoma"/>
          <w:bCs/>
        </w:rPr>
        <w:t xml:space="preserve"> with </w:t>
      </w:r>
      <w:r w:rsidRPr="008914A7">
        <w:rPr>
          <w:rFonts w:cs="Tahoma"/>
          <w:bCs/>
        </w:rPr>
        <w:t xml:space="preserve">relevant </w:t>
      </w:r>
      <w:r w:rsidR="003860F5" w:rsidRPr="008914A7">
        <w:rPr>
          <w:rFonts w:cs="Tahoma"/>
          <w:bCs/>
        </w:rPr>
        <w:t>bodies</w:t>
      </w:r>
      <w:r w:rsidR="003860F5" w:rsidRPr="003860F5">
        <w:rPr>
          <w:rFonts w:cs="Tahoma"/>
          <w:bCs/>
        </w:rPr>
        <w:t xml:space="preserve"> of lit</w:t>
      </w:r>
      <w:r w:rsidR="003860F5">
        <w:rPr>
          <w:rFonts w:cs="Tahoma"/>
          <w:bCs/>
        </w:rPr>
        <w:t>erature and expert knowledge</w:t>
      </w:r>
      <w:r>
        <w:rPr>
          <w:rFonts w:cs="Tahoma"/>
          <w:bCs/>
        </w:rPr>
        <w:t xml:space="preserve"> and</w:t>
      </w:r>
      <w:r w:rsidR="0045055E">
        <w:rPr>
          <w:rFonts w:cs="Tahoma"/>
          <w:bCs/>
        </w:rPr>
        <w:t xml:space="preserve"> consists of</w:t>
      </w:r>
      <w:r w:rsidR="0042765B">
        <w:rPr>
          <w:rFonts w:cs="Tahoma"/>
          <w:bCs/>
        </w:rPr>
        <w:t xml:space="preserve"> questions and statements that are </w:t>
      </w:r>
      <w:r>
        <w:rPr>
          <w:rFonts w:cs="Tahoma"/>
          <w:bCs/>
        </w:rPr>
        <w:t xml:space="preserve">clear, conversational, </w:t>
      </w:r>
      <w:r w:rsidR="0042765B">
        <w:rPr>
          <w:rFonts w:cs="Tahoma"/>
          <w:bCs/>
        </w:rPr>
        <w:t xml:space="preserve">and progress in a </w:t>
      </w:r>
      <w:r>
        <w:rPr>
          <w:rFonts w:cs="Tahoma"/>
          <w:bCs/>
        </w:rPr>
        <w:t xml:space="preserve">logical </w:t>
      </w:r>
      <w:r w:rsidR="0042765B">
        <w:rPr>
          <w:rFonts w:cs="Tahoma"/>
          <w:bCs/>
        </w:rPr>
        <w:t>order</w:t>
      </w:r>
      <w:r>
        <w:rPr>
          <w:rFonts w:cs="Tahoma"/>
          <w:bCs/>
        </w:rPr>
        <w:t xml:space="preserve">.  </w:t>
      </w:r>
      <w:r w:rsidR="003860F5" w:rsidRPr="003860F5">
        <w:rPr>
          <w:rFonts w:cs="Tahoma"/>
        </w:rPr>
        <w:t>Interviews will audio-recorded</w:t>
      </w:r>
      <w:r w:rsidR="0045055E">
        <w:rPr>
          <w:rFonts w:cs="Tahoma"/>
        </w:rPr>
        <w:t xml:space="preserve"> to reduce the burden of response of participants</w:t>
      </w:r>
      <w:r w:rsidR="003860F5" w:rsidRPr="003860F5">
        <w:rPr>
          <w:rFonts w:cs="Tahoma"/>
        </w:rPr>
        <w:t xml:space="preserve">, with </w:t>
      </w:r>
      <w:r w:rsidR="0045055E">
        <w:rPr>
          <w:rFonts w:cs="Tahoma"/>
        </w:rPr>
        <w:t>their</w:t>
      </w:r>
      <w:r w:rsidR="003860F5" w:rsidRPr="003860F5">
        <w:rPr>
          <w:rFonts w:cs="Tahoma"/>
        </w:rPr>
        <w:t xml:space="preserve"> permission</w:t>
      </w:r>
      <w:r w:rsidR="0045055E">
        <w:rPr>
          <w:rFonts w:cs="Tahoma"/>
        </w:rPr>
        <w:t>.  I</w:t>
      </w:r>
      <w:r w:rsidR="00176390">
        <w:rPr>
          <w:rFonts w:cs="Tahoma"/>
        </w:rPr>
        <w:t>nterviewees will be provided a statement</w:t>
      </w:r>
      <w:r w:rsidR="0042765B" w:rsidRPr="0042765B">
        <w:rPr>
          <w:rFonts w:cs="Tahoma"/>
        </w:rPr>
        <w:t xml:space="preserve"> </w:t>
      </w:r>
      <w:r w:rsidR="0042765B">
        <w:rPr>
          <w:rFonts w:cs="Tahoma"/>
        </w:rPr>
        <w:t>of confidentiality protecting their anonymity in any reported results</w:t>
      </w:r>
      <w:r w:rsidR="00176390">
        <w:rPr>
          <w:rFonts w:cs="Tahoma"/>
        </w:rPr>
        <w:t xml:space="preserve">.  Recorded interviews will be transcribed and digitized </w:t>
      </w:r>
      <w:r w:rsidR="003860F5" w:rsidRPr="003860F5">
        <w:rPr>
          <w:rFonts w:cs="Tahoma"/>
        </w:rPr>
        <w:t xml:space="preserve">for analysis.  </w:t>
      </w:r>
      <w:r w:rsidR="003860F5">
        <w:rPr>
          <w:rFonts w:cs="Tahoma"/>
          <w:bCs/>
        </w:rPr>
        <w:t>A</w:t>
      </w:r>
      <w:r w:rsidR="003860F5" w:rsidRPr="003860F5">
        <w:rPr>
          <w:rFonts w:cs="Tahoma"/>
          <w:bCs/>
        </w:rPr>
        <w:t>pproximately 75</w:t>
      </w:r>
      <w:r w:rsidR="003860F5">
        <w:rPr>
          <w:rFonts w:cs="Tahoma"/>
          <w:bCs/>
        </w:rPr>
        <w:t>-100</w:t>
      </w:r>
      <w:r w:rsidR="0042765B">
        <w:rPr>
          <w:rFonts w:cs="Tahoma"/>
          <w:bCs/>
        </w:rPr>
        <w:t xml:space="preserve"> people from the</w:t>
      </w:r>
      <w:r w:rsidR="003860F5" w:rsidRPr="003860F5">
        <w:rPr>
          <w:rFonts w:cs="Tahoma"/>
          <w:bCs/>
        </w:rPr>
        <w:t xml:space="preserve"> population </w:t>
      </w:r>
      <w:r w:rsidR="003860F5">
        <w:rPr>
          <w:rFonts w:cs="Tahoma"/>
          <w:bCs/>
        </w:rPr>
        <w:t>of interest will be interviewed</w:t>
      </w:r>
      <w:r w:rsidR="003860F5" w:rsidRPr="003860F5">
        <w:rPr>
          <w:rFonts w:cs="Tahoma"/>
          <w:bCs/>
        </w:rPr>
        <w:t xml:space="preserve">. </w:t>
      </w:r>
    </w:p>
    <w:p w14:paraId="27D05F11" w14:textId="77777777" w:rsidR="003860F5" w:rsidRPr="003860F5" w:rsidRDefault="003860F5" w:rsidP="003860F5">
      <w:pPr>
        <w:pStyle w:val="Level2"/>
        <w:spacing w:after="0" w:line="240" w:lineRule="auto"/>
        <w:ind w:left="0" w:firstLine="0"/>
        <w:rPr>
          <w:rFonts w:cs="Tahoma"/>
          <w:bCs/>
        </w:rPr>
      </w:pPr>
    </w:p>
    <w:p w14:paraId="33D4E926" w14:textId="77777777" w:rsidR="00C37CD8" w:rsidRDefault="00C37CD8" w:rsidP="003860F5">
      <w:pPr>
        <w:pStyle w:val="Level2"/>
        <w:numPr>
          <w:ilvl w:val="0"/>
          <w:numId w:val="53"/>
        </w:numPr>
        <w:spacing w:after="0" w:line="240" w:lineRule="auto"/>
        <w:rPr>
          <w:rFonts w:cs="Tahoma"/>
          <w:b/>
          <w:bCs/>
        </w:rPr>
      </w:pPr>
      <w:r w:rsidRPr="001C792A">
        <w:rPr>
          <w:rFonts w:cs="Tahoma"/>
          <w:b/>
          <w:bCs/>
        </w:rPr>
        <w:t>How frequently will the information be collected?</w:t>
      </w:r>
    </w:p>
    <w:p w14:paraId="601A420F" w14:textId="77777777" w:rsidR="003860F5" w:rsidRPr="001C792A" w:rsidRDefault="003860F5" w:rsidP="003860F5">
      <w:pPr>
        <w:pStyle w:val="Level2"/>
        <w:spacing w:after="0" w:line="240" w:lineRule="auto"/>
        <w:ind w:left="0" w:firstLine="0"/>
        <w:rPr>
          <w:rFonts w:cs="Tahoma"/>
          <w:b/>
          <w:bCs/>
        </w:rPr>
      </w:pPr>
    </w:p>
    <w:p w14:paraId="3D28A0E1" w14:textId="07A0F371" w:rsidR="00ED4A0F" w:rsidRDefault="003860F5" w:rsidP="003860F5">
      <w:pPr>
        <w:pStyle w:val="Level2"/>
        <w:spacing w:after="0" w:line="240" w:lineRule="auto"/>
        <w:ind w:left="0" w:firstLine="0"/>
        <w:rPr>
          <w:rFonts w:cs="Tahoma"/>
          <w:bCs/>
        </w:rPr>
      </w:pPr>
      <w:r w:rsidRPr="003860F5">
        <w:rPr>
          <w:rFonts w:cs="Tahoma"/>
          <w:bCs/>
        </w:rPr>
        <w:t xml:space="preserve">The information will be collected </w:t>
      </w:r>
      <w:r w:rsidR="009C0BDF" w:rsidRPr="003860F5">
        <w:rPr>
          <w:rFonts w:cs="Tahoma"/>
          <w:bCs/>
        </w:rPr>
        <w:t>one time from each research participant unless follow-up contacts are needed for clarification</w:t>
      </w:r>
      <w:r w:rsidR="00AB7525">
        <w:rPr>
          <w:rFonts w:cs="Tahoma"/>
          <w:bCs/>
        </w:rPr>
        <w:t xml:space="preserve"> or requested by the participant</w:t>
      </w:r>
      <w:r w:rsidR="00E81A31" w:rsidRPr="003860F5">
        <w:rPr>
          <w:rFonts w:cs="Tahoma"/>
          <w:bCs/>
        </w:rPr>
        <w:t xml:space="preserve">. </w:t>
      </w:r>
    </w:p>
    <w:p w14:paraId="6713CA09" w14:textId="77777777" w:rsidR="003860F5" w:rsidRPr="003860F5" w:rsidRDefault="003860F5" w:rsidP="003860F5">
      <w:pPr>
        <w:pStyle w:val="Level2"/>
        <w:spacing w:after="0" w:line="240" w:lineRule="auto"/>
        <w:ind w:left="0" w:firstLine="0"/>
        <w:rPr>
          <w:rFonts w:cs="Tahoma"/>
          <w:bCs/>
        </w:rPr>
      </w:pPr>
    </w:p>
    <w:p w14:paraId="46239D40" w14:textId="79B2B59C" w:rsidR="008B54D1" w:rsidRDefault="00C37CD8" w:rsidP="003860F5">
      <w:pPr>
        <w:pStyle w:val="Level2"/>
        <w:numPr>
          <w:ilvl w:val="0"/>
          <w:numId w:val="53"/>
        </w:numPr>
        <w:spacing w:after="0" w:line="240" w:lineRule="auto"/>
        <w:rPr>
          <w:rFonts w:cs="Tahoma"/>
          <w:b/>
          <w:bCs/>
        </w:rPr>
      </w:pPr>
      <w:r w:rsidRPr="001C792A">
        <w:rPr>
          <w:rFonts w:cs="Tahoma"/>
          <w:b/>
          <w:bCs/>
        </w:rPr>
        <w:t>Will the information be shared with any other organizations inside or outside USDA or the government?</w:t>
      </w:r>
    </w:p>
    <w:p w14:paraId="7D3A9AA6" w14:textId="77777777" w:rsidR="003860F5" w:rsidRPr="001C792A" w:rsidRDefault="003860F5" w:rsidP="003860F5">
      <w:pPr>
        <w:pStyle w:val="Level2"/>
        <w:spacing w:after="0" w:line="240" w:lineRule="auto"/>
        <w:ind w:left="0" w:firstLine="0"/>
        <w:rPr>
          <w:rFonts w:cs="Tahoma"/>
          <w:b/>
          <w:bCs/>
        </w:rPr>
      </w:pPr>
    </w:p>
    <w:p w14:paraId="08DB8077" w14:textId="6927AFD2" w:rsidR="003860F5" w:rsidRPr="003860F5" w:rsidRDefault="003860F5" w:rsidP="003860F5">
      <w:pPr>
        <w:pStyle w:val="Level2"/>
        <w:spacing w:after="0" w:line="240" w:lineRule="auto"/>
        <w:ind w:left="0" w:firstLine="0"/>
        <w:rPr>
          <w:rFonts w:cs="Tahoma"/>
          <w:bCs/>
        </w:rPr>
      </w:pPr>
      <w:r>
        <w:rPr>
          <w:rFonts w:cs="Tahoma"/>
          <w:bCs/>
        </w:rPr>
        <w:t>Re</w:t>
      </w:r>
      <w:r w:rsidRPr="003860F5">
        <w:rPr>
          <w:rFonts w:cs="Tahoma"/>
          <w:bCs/>
        </w:rPr>
        <w:t>cord-level (raw) data will not be available outside the research team and no statistical summaries will be released that could potentially be used to identif</w:t>
      </w:r>
      <w:r>
        <w:rPr>
          <w:rFonts w:cs="Tahoma"/>
          <w:bCs/>
        </w:rPr>
        <w:t>y individual respondents.  S</w:t>
      </w:r>
      <w:r w:rsidRPr="003860F5">
        <w:rPr>
          <w:rFonts w:cs="Tahoma"/>
          <w:bCs/>
        </w:rPr>
        <w:t xml:space="preserve">tatistical </w:t>
      </w:r>
      <w:r>
        <w:rPr>
          <w:rFonts w:cs="Tahoma"/>
          <w:bCs/>
        </w:rPr>
        <w:t xml:space="preserve">and qualitative </w:t>
      </w:r>
      <w:r w:rsidRPr="003860F5">
        <w:rPr>
          <w:rFonts w:cs="Tahoma"/>
          <w:bCs/>
        </w:rPr>
        <w:t xml:space="preserve">summaries will be widely distributed through publications, on-line </w:t>
      </w:r>
      <w:r>
        <w:rPr>
          <w:rFonts w:cs="Tahoma"/>
          <w:bCs/>
        </w:rPr>
        <w:t>information</w:t>
      </w:r>
      <w:r w:rsidRPr="003860F5">
        <w:rPr>
          <w:rFonts w:cs="Tahoma"/>
          <w:bCs/>
        </w:rPr>
        <w:t xml:space="preserve"> </w:t>
      </w:r>
      <w:r>
        <w:rPr>
          <w:rFonts w:cs="Tahoma"/>
          <w:bCs/>
        </w:rPr>
        <w:t>sources, academic conferences, and other fora</w:t>
      </w:r>
      <w:r w:rsidRPr="003860F5">
        <w:rPr>
          <w:rFonts w:cs="Tahoma"/>
          <w:bCs/>
        </w:rPr>
        <w:t>.  These products will be available to public agencies, private organizations, and individuals</w:t>
      </w:r>
      <w:r>
        <w:rPr>
          <w:rFonts w:cs="Tahoma"/>
          <w:bCs/>
        </w:rPr>
        <w:t>.</w:t>
      </w:r>
    </w:p>
    <w:p w14:paraId="022C7810" w14:textId="77777777" w:rsidR="003860F5" w:rsidRDefault="003860F5" w:rsidP="003860F5">
      <w:pPr>
        <w:pStyle w:val="ListParagraph"/>
        <w:rPr>
          <w:rFonts w:cs="Tahoma"/>
          <w:b/>
          <w:bCs/>
        </w:rPr>
      </w:pPr>
    </w:p>
    <w:p w14:paraId="48B70B9E" w14:textId="67DC1C09" w:rsidR="00C37CD8" w:rsidRDefault="00C37CD8" w:rsidP="003860F5">
      <w:pPr>
        <w:pStyle w:val="Level2"/>
        <w:numPr>
          <w:ilvl w:val="0"/>
          <w:numId w:val="53"/>
        </w:numPr>
        <w:spacing w:after="0" w:line="240" w:lineRule="auto"/>
        <w:rPr>
          <w:rFonts w:cs="Tahoma"/>
          <w:b/>
          <w:bCs/>
        </w:rPr>
      </w:pPr>
      <w:r w:rsidRPr="001C792A">
        <w:rPr>
          <w:rFonts w:cs="Tahoma"/>
          <w:b/>
          <w:bCs/>
        </w:rPr>
        <w:t>If this is an ongoing collection, how have the collection requirements changed over time?</w:t>
      </w:r>
    </w:p>
    <w:p w14:paraId="79CBD430" w14:textId="77777777" w:rsidR="003860F5" w:rsidRPr="001C792A" w:rsidRDefault="003860F5" w:rsidP="003860F5">
      <w:pPr>
        <w:pStyle w:val="Level2"/>
        <w:spacing w:after="0" w:line="240" w:lineRule="auto"/>
        <w:ind w:left="360" w:firstLine="0"/>
        <w:rPr>
          <w:rFonts w:cs="Tahoma"/>
          <w:b/>
          <w:bCs/>
        </w:rPr>
      </w:pPr>
    </w:p>
    <w:p w14:paraId="5646A0C9" w14:textId="77777777" w:rsidR="008B54D1" w:rsidRPr="001C792A" w:rsidRDefault="001C469C" w:rsidP="001019CD">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r w:rsidRPr="001C792A">
        <w:rPr>
          <w:rFonts w:cs="Tahoma"/>
        </w:rPr>
        <w:t>This is a new</w:t>
      </w:r>
      <w:r w:rsidR="008B54D1" w:rsidRPr="001C792A">
        <w:rPr>
          <w:rFonts w:cs="Tahoma"/>
        </w:rPr>
        <w:t xml:space="preserve"> Information Collection</w:t>
      </w:r>
      <w:r w:rsidR="0077722C" w:rsidRPr="001C792A">
        <w:rPr>
          <w:rFonts w:cs="Tahoma"/>
        </w:rPr>
        <w:t xml:space="preserve">. </w:t>
      </w:r>
    </w:p>
    <w:p w14:paraId="6E931423" w14:textId="77777777" w:rsidR="000C4935" w:rsidRPr="001C792A" w:rsidRDefault="000C4935" w:rsidP="001019CD">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14:paraId="1B7869BE" w14:textId="4A1CDBBC" w:rsidR="00C37CD8" w:rsidRDefault="003860F5" w:rsidP="003860F5">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rPr>
          <w:rFonts w:cs="Tahoma"/>
        </w:rPr>
      </w:pPr>
      <w:r>
        <w:rPr>
          <w:rFonts w:cs="Tahoma"/>
        </w:rPr>
        <w:t xml:space="preserve">3. </w:t>
      </w:r>
      <w:r>
        <w:rPr>
          <w:rFonts w:cs="Tahoma"/>
        </w:rPr>
        <w:tab/>
      </w:r>
      <w:r w:rsidR="00C37CD8" w:rsidRPr="003860F5">
        <w:rPr>
          <w:rFonts w:cs="Tahoma"/>
        </w:rPr>
        <w:t>Describe whether, and to what extent, the collection of information involves the use of auto</w:t>
      </w:r>
      <w:r w:rsidR="00C37CD8" w:rsidRPr="003860F5">
        <w:rPr>
          <w:rFonts w:cs="Tahoma"/>
        </w:rPr>
        <w:softHyphen/>
        <w:t>mat</w:t>
      </w:r>
      <w:r w:rsidR="00C37CD8" w:rsidRPr="003860F5">
        <w:rPr>
          <w:rFonts w:cs="Tahoma"/>
        </w:rPr>
        <w:softHyphen/>
        <w:t>ed, elec</w:t>
      </w:r>
      <w:r w:rsidR="00C37CD8" w:rsidRPr="003860F5">
        <w:rPr>
          <w:rFonts w:cs="Tahoma"/>
        </w:rPr>
        <w:softHyphen/>
        <w:t>tronic, mechani</w:t>
      </w:r>
      <w:r w:rsidR="00C37CD8" w:rsidRPr="003860F5">
        <w:rPr>
          <w:rFonts w:cs="Tahoma"/>
        </w:rPr>
        <w:softHyphen/>
        <w:t>cal, or other techno</w:t>
      </w:r>
      <w:r w:rsidR="00C37CD8" w:rsidRPr="003860F5">
        <w:rPr>
          <w:rFonts w:cs="Tahoma"/>
        </w:rPr>
        <w:softHyphen/>
        <w:t>log</w:t>
      </w:r>
      <w:r w:rsidR="00C37CD8" w:rsidRPr="003860F5">
        <w:rPr>
          <w:rFonts w:cs="Tahoma"/>
        </w:rPr>
        <w:softHyphen/>
        <w:t>ical collection techniques or other forms of information technol</w:t>
      </w:r>
      <w:r w:rsidR="00C37CD8" w:rsidRPr="003860F5">
        <w:rPr>
          <w:rFonts w:cs="Tahoma"/>
        </w:rPr>
        <w:softHyphen/>
        <w:t>o</w:t>
      </w:r>
      <w:r w:rsidR="00C37CD8" w:rsidRPr="003860F5">
        <w:rPr>
          <w:rFonts w:cs="Tahoma"/>
        </w:rPr>
        <w:softHyphen/>
        <w:t>gy, e.g. permit</w:t>
      </w:r>
      <w:r w:rsidR="00C37CD8" w:rsidRPr="003860F5">
        <w:rPr>
          <w:rFonts w:cs="Tahoma"/>
        </w:rPr>
        <w:softHyphen/>
        <w:t>ting elec</w:t>
      </w:r>
      <w:r w:rsidR="00C37CD8" w:rsidRPr="003860F5">
        <w:rPr>
          <w:rFonts w:cs="Tahoma"/>
        </w:rPr>
        <w:softHyphen/>
        <w:t>tronic sub</w:t>
      </w:r>
      <w:r w:rsidR="00C37CD8" w:rsidRPr="003860F5">
        <w:rPr>
          <w:rFonts w:cs="Tahoma"/>
        </w:rPr>
        <w:softHyphen/>
        <w:t>mission of respons</w:t>
      </w:r>
      <w:r w:rsidR="00C37CD8" w:rsidRPr="003860F5">
        <w:rPr>
          <w:rFonts w:cs="Tahoma"/>
        </w:rPr>
        <w:softHyphen/>
        <w:t>es, and the basis for the decision for adopting this means of collection. Also describe any con</w:t>
      </w:r>
      <w:r w:rsidR="00C37CD8" w:rsidRPr="003860F5">
        <w:rPr>
          <w:rFonts w:cs="Tahoma"/>
        </w:rPr>
        <w:softHyphen/>
        <w:t>sideration of using in</w:t>
      </w:r>
      <w:r w:rsidR="00C37CD8" w:rsidRPr="003860F5">
        <w:rPr>
          <w:rFonts w:cs="Tahoma"/>
        </w:rPr>
        <w:softHyphen/>
        <w:t>fo</w:t>
      </w:r>
      <w:r w:rsidR="00C37CD8" w:rsidRPr="003860F5">
        <w:rPr>
          <w:rFonts w:cs="Tahoma"/>
        </w:rPr>
        <w:softHyphen/>
        <w:t>r</w:t>
      </w:r>
      <w:r w:rsidR="00C37CD8" w:rsidRPr="003860F5">
        <w:rPr>
          <w:rFonts w:cs="Tahoma"/>
        </w:rPr>
        <w:softHyphen/>
        <w:t>m</w:t>
      </w:r>
      <w:r w:rsidR="00C37CD8" w:rsidRPr="003860F5">
        <w:rPr>
          <w:rFonts w:cs="Tahoma"/>
        </w:rPr>
        <w:softHyphen/>
        <w:t>a</w:t>
      </w:r>
      <w:r w:rsidR="00C37CD8" w:rsidRPr="003860F5">
        <w:rPr>
          <w:rFonts w:cs="Tahoma"/>
        </w:rPr>
        <w:softHyphen/>
        <w:t>t</w:t>
      </w:r>
      <w:r w:rsidR="00C37CD8" w:rsidRPr="003860F5">
        <w:rPr>
          <w:rFonts w:cs="Tahoma"/>
        </w:rPr>
        <w:softHyphen/>
        <w:t>ion technolo</w:t>
      </w:r>
      <w:r w:rsidR="00C37CD8" w:rsidRPr="003860F5">
        <w:rPr>
          <w:rFonts w:cs="Tahoma"/>
        </w:rPr>
        <w:softHyphen/>
        <w:t>gy to re</w:t>
      </w:r>
      <w:r w:rsidR="00C37CD8" w:rsidRPr="003860F5">
        <w:rPr>
          <w:rFonts w:cs="Tahoma"/>
        </w:rPr>
        <w:softHyphen/>
        <w:t>duce bur</w:t>
      </w:r>
      <w:r w:rsidR="00C37CD8" w:rsidRPr="003860F5">
        <w:rPr>
          <w:rFonts w:cs="Tahoma"/>
        </w:rPr>
        <w:softHyphen/>
        <w:t>den.</w:t>
      </w:r>
    </w:p>
    <w:p w14:paraId="50269A61" w14:textId="77777777" w:rsidR="003860F5" w:rsidRPr="003860F5" w:rsidRDefault="003860F5" w:rsidP="003860F5">
      <w:pPr>
        <w:pStyle w:val="BodyTextIndent2"/>
        <w:tabs>
          <w:tab w:val="clear" w:pos="0"/>
          <w:tab w:val="clear" w:pos="361"/>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rPr>
          <w:rFonts w:cs="Tahoma"/>
        </w:rPr>
      </w:pPr>
    </w:p>
    <w:p w14:paraId="16A05FED" w14:textId="1115B803" w:rsidR="003860F5" w:rsidRDefault="003860F5" w:rsidP="001019CD">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r>
        <w:rPr>
          <w:rFonts w:cs="Tahoma"/>
        </w:rPr>
        <w:t>Focus groups and in-person interviews will be audio-recorded and hand written notes will be kept by the researchers.  Recordings and researcher note taking reduce</w:t>
      </w:r>
      <w:r w:rsidRPr="003860F5">
        <w:rPr>
          <w:rFonts w:cs="Tahoma"/>
        </w:rPr>
        <w:t xml:space="preserve"> burden by eliminating the need for participants to write down their responses, thus shortening the discussion time. This is the standard method of data collection for this type of </w:t>
      </w:r>
      <w:r>
        <w:rPr>
          <w:rFonts w:cs="Tahoma"/>
        </w:rPr>
        <w:t>research</w:t>
      </w:r>
      <w:r w:rsidRPr="003860F5">
        <w:rPr>
          <w:rFonts w:cs="Tahoma"/>
        </w:rPr>
        <w:t xml:space="preserve"> </w:t>
      </w:r>
      <w:r>
        <w:rPr>
          <w:rFonts w:cs="Tahoma"/>
        </w:rPr>
        <w:t xml:space="preserve">and aids in capturing </w:t>
      </w:r>
      <w:r w:rsidRPr="003860F5">
        <w:rPr>
          <w:rFonts w:cs="Tahoma"/>
        </w:rPr>
        <w:t>every response provided by the respondent.</w:t>
      </w:r>
      <w:r>
        <w:rPr>
          <w:rFonts w:cs="Tahoma"/>
        </w:rPr>
        <w:t xml:space="preserve">  </w:t>
      </w:r>
      <w:r w:rsidRPr="003860F5">
        <w:rPr>
          <w:rFonts w:cs="Tahoma"/>
        </w:rPr>
        <w:t xml:space="preserve">Electronic respondent reporting </w:t>
      </w:r>
      <w:r>
        <w:rPr>
          <w:rFonts w:cs="Tahoma"/>
        </w:rPr>
        <w:t>is deemed inappropriate for this research</w:t>
      </w:r>
      <w:r w:rsidR="00176390">
        <w:rPr>
          <w:rFonts w:cs="Tahoma"/>
        </w:rPr>
        <w:t xml:space="preserve"> at this time</w:t>
      </w:r>
      <w:r>
        <w:rPr>
          <w:rFonts w:cs="Tahoma"/>
        </w:rPr>
        <w:t xml:space="preserve">, </w:t>
      </w:r>
      <w:r w:rsidR="00176390">
        <w:rPr>
          <w:rFonts w:cs="Tahoma"/>
        </w:rPr>
        <w:t xml:space="preserve">largely </w:t>
      </w:r>
      <w:r>
        <w:rPr>
          <w:rFonts w:cs="Tahoma"/>
        </w:rPr>
        <w:t>given</w:t>
      </w:r>
      <w:r w:rsidRPr="003860F5">
        <w:t xml:space="preserve"> </w:t>
      </w:r>
      <w:r>
        <w:rPr>
          <w:rFonts w:cs="Tahoma"/>
        </w:rPr>
        <w:t>persisting</w:t>
      </w:r>
      <w:r w:rsidRPr="003860F5">
        <w:rPr>
          <w:rFonts w:cs="Tahoma"/>
        </w:rPr>
        <w:t xml:space="preserve"> barriers to internet access </w:t>
      </w:r>
      <w:r>
        <w:rPr>
          <w:rFonts w:cs="Tahoma"/>
        </w:rPr>
        <w:t xml:space="preserve">since the storms </w:t>
      </w:r>
      <w:r w:rsidRPr="003860F5">
        <w:rPr>
          <w:rFonts w:cs="Tahoma"/>
        </w:rPr>
        <w:t xml:space="preserve">and </w:t>
      </w:r>
      <w:r>
        <w:rPr>
          <w:rFonts w:cs="Tahoma"/>
        </w:rPr>
        <w:t xml:space="preserve">potentially </w:t>
      </w:r>
      <w:r w:rsidRPr="003860F5">
        <w:rPr>
          <w:rFonts w:cs="Tahoma"/>
        </w:rPr>
        <w:t xml:space="preserve">limited familiarity with </w:t>
      </w:r>
      <w:r>
        <w:rPr>
          <w:rFonts w:cs="Tahoma"/>
        </w:rPr>
        <w:t xml:space="preserve">the </w:t>
      </w:r>
      <w:r w:rsidRPr="003860F5">
        <w:rPr>
          <w:rFonts w:cs="Tahoma"/>
        </w:rPr>
        <w:t xml:space="preserve">technology required for on-line </w:t>
      </w:r>
      <w:r>
        <w:rPr>
          <w:rFonts w:cs="Tahoma"/>
        </w:rPr>
        <w:t>response submissions</w:t>
      </w:r>
      <w:r w:rsidRPr="003860F5">
        <w:rPr>
          <w:rFonts w:cs="Tahoma"/>
        </w:rPr>
        <w:t xml:space="preserve">.  </w:t>
      </w:r>
    </w:p>
    <w:p w14:paraId="6807BAFE" w14:textId="5D197537" w:rsidR="005F019F" w:rsidRPr="001C792A" w:rsidRDefault="005F019F" w:rsidP="001019CD">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14:paraId="0B9D881B" w14:textId="5B9870B3"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Describe efforts to identify duplica</w:t>
      </w:r>
      <w:r w:rsidRPr="003860F5">
        <w:rPr>
          <w:rFonts w:cs="Tahoma"/>
          <w:b/>
          <w:bCs/>
        </w:rPr>
        <w:softHyphen/>
        <w:t>tion. Show specifically why any sim</w:t>
      </w:r>
      <w:r w:rsidRPr="003860F5">
        <w:rPr>
          <w:rFonts w:cs="Tahoma"/>
          <w:b/>
          <w:bCs/>
        </w:rPr>
        <w:softHyphen/>
        <w:t>ilar in</w:t>
      </w:r>
      <w:r w:rsidRPr="003860F5">
        <w:rPr>
          <w:rFonts w:cs="Tahoma"/>
          <w:b/>
          <w:bCs/>
        </w:rPr>
        <w:softHyphen/>
        <w:t>for</w:t>
      </w:r>
      <w:r w:rsidRPr="003860F5">
        <w:rPr>
          <w:rFonts w:cs="Tahoma"/>
          <w:b/>
          <w:bCs/>
        </w:rPr>
        <w:softHyphen/>
        <w:t>mation already avail</w:t>
      </w:r>
      <w:r w:rsidRPr="003860F5">
        <w:rPr>
          <w:rFonts w:cs="Tahoma"/>
          <w:b/>
          <w:bCs/>
        </w:rPr>
        <w:softHyphen/>
        <w:t>able cannot be used or modified for use for the purpos</w:t>
      </w:r>
      <w:r w:rsidRPr="003860F5">
        <w:rPr>
          <w:rFonts w:cs="Tahoma"/>
          <w:b/>
          <w:bCs/>
        </w:rPr>
        <w:softHyphen/>
        <w:t>es de</w:t>
      </w:r>
      <w:r w:rsidRPr="003860F5">
        <w:rPr>
          <w:rFonts w:cs="Tahoma"/>
          <w:b/>
          <w:bCs/>
        </w:rPr>
        <w:softHyphen/>
        <w:t>scri</w:t>
      </w:r>
      <w:r w:rsidRPr="003860F5">
        <w:rPr>
          <w:rFonts w:cs="Tahoma"/>
          <w:b/>
          <w:bCs/>
        </w:rPr>
        <w:softHyphen/>
        <w:t>bed in Item 2 above.</w:t>
      </w:r>
    </w:p>
    <w:p w14:paraId="4E238464" w14:textId="77777777" w:rsidR="003860F5" w:rsidRDefault="003860F5" w:rsidP="001019CD">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14:paraId="1CC9E1BD" w14:textId="1D2BA0E2" w:rsidR="00F34E86" w:rsidRDefault="00052F12" w:rsidP="003860F5">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r>
        <w:rPr>
          <w:rFonts w:cs="Tahoma"/>
        </w:rPr>
        <w:t>CCH</w:t>
      </w:r>
      <w:r w:rsidR="00470B10">
        <w:rPr>
          <w:rFonts w:cs="Tahoma"/>
        </w:rPr>
        <w:t>/IITF</w:t>
      </w:r>
      <w:r w:rsidR="003860F5">
        <w:rPr>
          <w:rFonts w:cs="Tahoma"/>
        </w:rPr>
        <w:t xml:space="preserve"> </w:t>
      </w:r>
      <w:r w:rsidR="005B3C6C">
        <w:rPr>
          <w:rFonts w:cs="Tahoma"/>
        </w:rPr>
        <w:t>staff</w:t>
      </w:r>
      <w:r w:rsidR="003860F5" w:rsidRPr="003860F5">
        <w:rPr>
          <w:rFonts w:cs="Tahoma"/>
        </w:rPr>
        <w:t xml:space="preserve"> </w:t>
      </w:r>
      <w:r w:rsidR="003860F5">
        <w:rPr>
          <w:rFonts w:cs="Tahoma"/>
        </w:rPr>
        <w:t xml:space="preserve">are </w:t>
      </w:r>
      <w:r w:rsidR="003860F5" w:rsidRPr="003860F5">
        <w:rPr>
          <w:rFonts w:cs="Tahoma"/>
        </w:rPr>
        <w:t>work</w:t>
      </w:r>
      <w:r w:rsidR="003860F5">
        <w:rPr>
          <w:rFonts w:cs="Tahoma"/>
        </w:rPr>
        <w:t>ing closely with other federal, commonwealth, and territory</w:t>
      </w:r>
      <w:r w:rsidR="003860F5" w:rsidRPr="003860F5">
        <w:rPr>
          <w:rFonts w:cs="Tahoma"/>
        </w:rPr>
        <w:t xml:space="preserve"> agencies as well as universities </w:t>
      </w:r>
      <w:r w:rsidR="00AB7525">
        <w:rPr>
          <w:rFonts w:cs="Tahoma"/>
        </w:rPr>
        <w:t xml:space="preserve">and civil society organizations </w:t>
      </w:r>
      <w:r w:rsidR="003860F5" w:rsidRPr="003860F5">
        <w:rPr>
          <w:rFonts w:cs="Tahoma"/>
        </w:rPr>
        <w:t xml:space="preserve">to monitor research related to </w:t>
      </w:r>
      <w:r w:rsidR="003860F5">
        <w:rPr>
          <w:rFonts w:cs="Tahoma"/>
        </w:rPr>
        <w:t>Hurricanes Irma and Maria and their effects on agriculture, forestry, and rural communities</w:t>
      </w:r>
      <w:r w:rsidR="003860F5" w:rsidRPr="003860F5">
        <w:rPr>
          <w:rFonts w:cs="Tahoma"/>
        </w:rPr>
        <w:t xml:space="preserve">.  </w:t>
      </w:r>
      <w:r w:rsidR="00AB7525">
        <w:rPr>
          <w:rFonts w:cs="Tahoma"/>
        </w:rPr>
        <w:t xml:space="preserve">Additionally, </w:t>
      </w:r>
      <w:r w:rsidR="0091265B">
        <w:rPr>
          <w:rFonts w:cs="Tahoma"/>
        </w:rPr>
        <w:t>since the hurricanes</w:t>
      </w:r>
      <w:r w:rsidR="00470B10">
        <w:rPr>
          <w:rFonts w:cs="Tahoma"/>
        </w:rPr>
        <w:t xml:space="preserve"> we</w:t>
      </w:r>
      <w:r w:rsidR="00AB7525">
        <w:rPr>
          <w:rFonts w:cs="Tahoma"/>
        </w:rPr>
        <w:t xml:space="preserve"> have held multiple meetings and conducted various other forms of outreach and communication with key partners, including the </w:t>
      </w:r>
      <w:r>
        <w:rPr>
          <w:rFonts w:cs="Tahoma"/>
        </w:rPr>
        <w:t>CCH</w:t>
      </w:r>
      <w:r w:rsidR="00AB7525">
        <w:rPr>
          <w:rFonts w:cs="Tahoma"/>
        </w:rPr>
        <w:t xml:space="preserve"> Steering Committee, to inform them of the proposed assessment and to receive input on the research prospectus and plans.  </w:t>
      </w:r>
      <w:r w:rsidR="003860F5">
        <w:rPr>
          <w:rFonts w:cs="Tahoma"/>
        </w:rPr>
        <w:t>T</w:t>
      </w:r>
      <w:r w:rsidR="00AB7525">
        <w:rPr>
          <w:rFonts w:cs="Tahoma"/>
        </w:rPr>
        <w:t>o date</w:t>
      </w:r>
      <w:r w:rsidR="003860F5">
        <w:rPr>
          <w:rFonts w:cs="Tahoma"/>
        </w:rPr>
        <w:t xml:space="preserve">, </w:t>
      </w:r>
      <w:r w:rsidR="003860F5" w:rsidRPr="003860F5">
        <w:rPr>
          <w:rFonts w:cs="Tahoma"/>
        </w:rPr>
        <w:t>no other studies of similar extent or content</w:t>
      </w:r>
      <w:r w:rsidR="00AB7525">
        <w:rPr>
          <w:rFonts w:cs="Tahoma"/>
        </w:rPr>
        <w:t xml:space="preserve"> are known to be</w:t>
      </w:r>
      <w:r w:rsidR="003860F5">
        <w:rPr>
          <w:rFonts w:cs="Tahoma"/>
        </w:rPr>
        <w:t xml:space="preserve"> in progress or planned for the U.S. Caribbean.  </w:t>
      </w:r>
      <w:r w:rsidR="00470B10">
        <w:rPr>
          <w:rFonts w:cs="Tahoma"/>
        </w:rPr>
        <w:t>We</w:t>
      </w:r>
      <w:r w:rsidR="003860F5">
        <w:rPr>
          <w:rFonts w:cs="Tahoma"/>
        </w:rPr>
        <w:t xml:space="preserve"> </w:t>
      </w:r>
      <w:r w:rsidR="005A79EA">
        <w:rPr>
          <w:rFonts w:cs="Tahoma"/>
        </w:rPr>
        <w:t xml:space="preserve">will </w:t>
      </w:r>
      <w:r w:rsidR="005B3C6C">
        <w:rPr>
          <w:rFonts w:cs="Tahoma"/>
        </w:rPr>
        <w:t>continue to collaborate with key partners on this research and keep them informed about</w:t>
      </w:r>
      <w:r w:rsidR="003860F5">
        <w:rPr>
          <w:rFonts w:cs="Tahoma"/>
        </w:rPr>
        <w:t xml:space="preserve"> its </w:t>
      </w:r>
      <w:r w:rsidR="005B3C6C">
        <w:rPr>
          <w:rFonts w:cs="Tahoma"/>
        </w:rPr>
        <w:t xml:space="preserve">progress.  </w:t>
      </w:r>
    </w:p>
    <w:p w14:paraId="66779D15" w14:textId="77777777" w:rsidR="003860F5" w:rsidRPr="001C792A" w:rsidRDefault="003860F5" w:rsidP="003860F5">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p>
    <w:p w14:paraId="07E5C623" w14:textId="14BF4996"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If the collection of information im</w:t>
      </w:r>
      <w:r w:rsidRPr="003860F5">
        <w:rPr>
          <w:rFonts w:cs="Tahoma"/>
          <w:b/>
          <w:bCs/>
        </w:rPr>
        <w:softHyphen/>
        <w:t>pacts small bus</w:t>
      </w:r>
      <w:r w:rsidR="00862A24" w:rsidRPr="003860F5">
        <w:rPr>
          <w:rFonts w:cs="Tahoma"/>
          <w:b/>
          <w:bCs/>
        </w:rPr>
        <w:t>inesses or other small entities,</w:t>
      </w:r>
      <w:r w:rsidRPr="003860F5">
        <w:rPr>
          <w:rFonts w:cs="Tahoma"/>
          <w:b/>
          <w:bCs/>
        </w:rPr>
        <w:t xml:space="preserve"> describe any methods used to mini</w:t>
      </w:r>
      <w:r w:rsidRPr="003860F5">
        <w:rPr>
          <w:rFonts w:cs="Tahoma"/>
          <w:b/>
          <w:bCs/>
        </w:rPr>
        <w:softHyphen/>
        <w:t>mize burden.</w:t>
      </w:r>
    </w:p>
    <w:p w14:paraId="26837298" w14:textId="77777777" w:rsidR="003860F5" w:rsidRDefault="003860F5" w:rsidP="001019CD">
      <w:pPr>
        <w:spacing w:after="0" w:line="240" w:lineRule="auto"/>
        <w:rPr>
          <w:rFonts w:cs="Tahoma"/>
          <w:bCs/>
        </w:rPr>
      </w:pPr>
    </w:p>
    <w:p w14:paraId="2D910D27" w14:textId="5662FFCD" w:rsidR="00AC1C2C" w:rsidRPr="001C792A" w:rsidRDefault="00B82E78" w:rsidP="001019CD">
      <w:pPr>
        <w:spacing w:after="0" w:line="240" w:lineRule="auto"/>
        <w:rPr>
          <w:rFonts w:cs="Tahoma"/>
        </w:rPr>
      </w:pPr>
      <w:r w:rsidRPr="001C792A">
        <w:rPr>
          <w:rFonts w:cs="Tahoma"/>
          <w:bCs/>
        </w:rPr>
        <w:t>The</w:t>
      </w:r>
      <w:r w:rsidR="003860F5">
        <w:rPr>
          <w:rFonts w:cs="Tahoma"/>
          <w:bCs/>
        </w:rPr>
        <w:t xml:space="preserve"> population of interest for this research </w:t>
      </w:r>
      <w:r w:rsidR="00052F12">
        <w:rPr>
          <w:rFonts w:cs="Tahoma"/>
          <w:bCs/>
        </w:rPr>
        <w:t>encompasses</w:t>
      </w:r>
      <w:r w:rsidR="003860F5">
        <w:rPr>
          <w:rFonts w:cs="Tahoma"/>
          <w:bCs/>
        </w:rPr>
        <w:t xml:space="preserve"> all agriculture, forestry, and rural communities affected by Hurricanes Irma or Maria in the U.S. Caribbean, which includes some small businesses.  </w:t>
      </w:r>
      <w:r w:rsidRPr="001C792A">
        <w:rPr>
          <w:rFonts w:cs="Tahoma"/>
          <w:bCs/>
        </w:rPr>
        <w:t xml:space="preserve"> </w:t>
      </w:r>
      <w:r w:rsidR="003860F5">
        <w:rPr>
          <w:rFonts w:cs="Tahoma"/>
          <w:bCs/>
        </w:rPr>
        <w:t xml:space="preserve">No small business will be asked to participate more than once in this collection, and researchers will limit the number of responses requested, the length of focus groups, and in-person interviews to minimize the burden on small businesses. </w:t>
      </w:r>
      <w:r w:rsidR="00FA2D5C" w:rsidRPr="001C792A">
        <w:rPr>
          <w:rFonts w:cs="Tahoma"/>
        </w:rPr>
        <w:t xml:space="preserve"> </w:t>
      </w:r>
      <w:r w:rsidR="00E9315A" w:rsidRPr="001C792A">
        <w:rPr>
          <w:rFonts w:cs="Tahoma"/>
        </w:rPr>
        <w:t xml:space="preserve">Participation </w:t>
      </w:r>
      <w:r w:rsidR="003860F5">
        <w:rPr>
          <w:rFonts w:cs="Tahoma"/>
        </w:rPr>
        <w:t>is</w:t>
      </w:r>
      <w:r w:rsidR="00E9315A" w:rsidRPr="001C792A">
        <w:rPr>
          <w:rFonts w:cs="Tahoma"/>
        </w:rPr>
        <w:t xml:space="preserve"> voluntary and </w:t>
      </w:r>
      <w:r w:rsidR="003860F5">
        <w:rPr>
          <w:rFonts w:cs="Tahoma"/>
        </w:rPr>
        <w:t>respondents</w:t>
      </w:r>
      <w:r w:rsidR="00E9315A" w:rsidRPr="001C792A">
        <w:rPr>
          <w:rFonts w:cs="Tahoma"/>
        </w:rPr>
        <w:t xml:space="preserve"> will be </w:t>
      </w:r>
      <w:r w:rsidR="003860F5">
        <w:rPr>
          <w:rFonts w:cs="Tahoma"/>
        </w:rPr>
        <w:t>informed</w:t>
      </w:r>
      <w:r w:rsidR="00E9315A" w:rsidRPr="001C792A">
        <w:rPr>
          <w:rFonts w:cs="Tahoma"/>
        </w:rPr>
        <w:t xml:space="preserve"> that they are free to </w:t>
      </w:r>
      <w:r w:rsidR="00C13A13" w:rsidRPr="001C792A">
        <w:rPr>
          <w:rFonts w:cs="Tahoma"/>
        </w:rPr>
        <w:t xml:space="preserve">limit </w:t>
      </w:r>
      <w:r w:rsidR="003860F5">
        <w:rPr>
          <w:rFonts w:cs="Tahoma"/>
        </w:rPr>
        <w:t xml:space="preserve">their </w:t>
      </w:r>
      <w:r w:rsidR="00C13A13" w:rsidRPr="001C792A">
        <w:rPr>
          <w:rFonts w:cs="Tahoma"/>
        </w:rPr>
        <w:t xml:space="preserve">time given to researchers or </w:t>
      </w:r>
      <w:r w:rsidR="00E9315A" w:rsidRPr="001C792A">
        <w:rPr>
          <w:rFonts w:cs="Tahoma"/>
        </w:rPr>
        <w:t>discontinue participation at any time</w:t>
      </w:r>
      <w:r w:rsidR="00AD4FF4" w:rsidRPr="001C792A">
        <w:rPr>
          <w:rFonts w:cs="Tahoma"/>
        </w:rPr>
        <w:t>.</w:t>
      </w:r>
    </w:p>
    <w:p w14:paraId="30B25667" w14:textId="77777777" w:rsidR="00AD4FF4" w:rsidRPr="001C792A" w:rsidRDefault="00AD4FF4" w:rsidP="001019CD">
      <w:pPr>
        <w:spacing w:after="0" w:line="240" w:lineRule="auto"/>
        <w:rPr>
          <w:rFonts w:cs="Tahoma"/>
        </w:rPr>
      </w:pPr>
    </w:p>
    <w:p w14:paraId="44A980F7" w14:textId="153FE445"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Describe the consequence to Federal program or policy activities if the collection is not conducted or is con</w:t>
      </w:r>
      <w:r w:rsidRPr="003860F5">
        <w:rPr>
          <w:rFonts w:cs="Tahoma"/>
          <w:b/>
          <w:bCs/>
        </w:rPr>
        <w:softHyphen/>
        <w:t>ducted less fre</w:t>
      </w:r>
      <w:r w:rsidRPr="003860F5">
        <w:rPr>
          <w:rFonts w:cs="Tahoma"/>
          <w:b/>
          <w:bCs/>
        </w:rPr>
        <w:softHyphen/>
        <w:t>quent</w:t>
      </w:r>
      <w:r w:rsidRPr="003860F5">
        <w:rPr>
          <w:rFonts w:cs="Tahoma"/>
          <w:b/>
          <w:bCs/>
        </w:rPr>
        <w:softHyphen/>
        <w:t>ly, as well as any technical or legal obstacles to reducing burden.</w:t>
      </w:r>
    </w:p>
    <w:p w14:paraId="4958FDCD" w14:textId="77777777" w:rsidR="003860F5" w:rsidRDefault="003860F5" w:rsidP="001019CD">
      <w:pPr>
        <w:spacing w:after="0" w:line="240" w:lineRule="auto"/>
        <w:rPr>
          <w:rFonts w:cs="Tahoma"/>
        </w:rPr>
      </w:pPr>
    </w:p>
    <w:p w14:paraId="3ED0405D" w14:textId="20E2FE34" w:rsidR="003860F5" w:rsidRDefault="0013625B" w:rsidP="001019CD">
      <w:pPr>
        <w:spacing w:after="0" w:line="240" w:lineRule="auto"/>
        <w:rPr>
          <w:rFonts w:cs="Tahoma"/>
        </w:rPr>
      </w:pPr>
      <w:r w:rsidRPr="001C792A">
        <w:rPr>
          <w:rFonts w:cs="Tahoma"/>
        </w:rPr>
        <w:t xml:space="preserve">As discussed above, </w:t>
      </w:r>
      <w:r w:rsidR="003860F5">
        <w:rPr>
          <w:rFonts w:cs="Tahoma"/>
        </w:rPr>
        <w:t xml:space="preserve">data gathered from this information collection are not available from others sources nor planned to be collected from other sources at this time.  However, this information is critically important to </w:t>
      </w:r>
      <w:r w:rsidR="003860F5" w:rsidRPr="003860F5">
        <w:rPr>
          <w:rFonts w:cs="Tahoma"/>
        </w:rPr>
        <w:t xml:space="preserve">ongoing post-hurricane efforts by </w:t>
      </w:r>
      <w:r w:rsidR="00D55776">
        <w:rPr>
          <w:rFonts w:cs="Tahoma"/>
        </w:rPr>
        <w:t>USDA</w:t>
      </w:r>
      <w:r w:rsidR="00052F12">
        <w:rPr>
          <w:rFonts w:cs="Tahoma"/>
        </w:rPr>
        <w:t xml:space="preserve"> </w:t>
      </w:r>
      <w:r w:rsidR="003860F5" w:rsidRPr="003860F5">
        <w:rPr>
          <w:rFonts w:cs="Tahoma"/>
        </w:rPr>
        <w:t>and othe</w:t>
      </w:r>
      <w:r w:rsidR="003860F5">
        <w:rPr>
          <w:rFonts w:cs="Tahoma"/>
        </w:rPr>
        <w:t xml:space="preserve">r Federal agencies, as well as </w:t>
      </w:r>
      <w:r w:rsidR="005B3C6C">
        <w:rPr>
          <w:rFonts w:cs="Tahoma"/>
        </w:rPr>
        <w:t>local government and</w:t>
      </w:r>
      <w:r w:rsidR="003860F5" w:rsidRPr="003860F5">
        <w:rPr>
          <w:rFonts w:cs="Tahoma"/>
        </w:rPr>
        <w:t xml:space="preserve"> civil society</w:t>
      </w:r>
      <w:r w:rsidR="005B3C6C">
        <w:rPr>
          <w:rFonts w:cs="Tahoma"/>
        </w:rPr>
        <w:t xml:space="preserve"> </w:t>
      </w:r>
      <w:r w:rsidR="003860F5" w:rsidRPr="003860F5">
        <w:rPr>
          <w:rFonts w:cs="Tahoma"/>
        </w:rPr>
        <w:t>disaster response and recovery efforts in the region</w:t>
      </w:r>
      <w:r w:rsidR="003860F5">
        <w:rPr>
          <w:rFonts w:cs="Tahoma"/>
        </w:rPr>
        <w:t xml:space="preserve">.  These data also are important to longer-term efforts focused on agriculture, forestry, and rural community sustainability in the U.S. Caribbean and </w:t>
      </w:r>
      <w:r w:rsidR="003860F5" w:rsidRPr="003860F5">
        <w:rPr>
          <w:rFonts w:cs="Tahoma"/>
        </w:rPr>
        <w:t xml:space="preserve">may lead to further research that could result in changes to, or enhancements of, the delivery of </w:t>
      </w:r>
      <w:r w:rsidR="003860F5">
        <w:rPr>
          <w:rFonts w:cs="Tahoma"/>
        </w:rPr>
        <w:t xml:space="preserve">related </w:t>
      </w:r>
      <w:r w:rsidR="005B3C6C">
        <w:rPr>
          <w:rFonts w:cs="Tahoma"/>
        </w:rPr>
        <w:t xml:space="preserve">programs, </w:t>
      </w:r>
      <w:r w:rsidR="003860F5" w:rsidRPr="003860F5">
        <w:rPr>
          <w:rFonts w:cs="Tahoma"/>
        </w:rPr>
        <w:t>products, services, and information</w:t>
      </w:r>
      <w:r w:rsidR="003860F5">
        <w:rPr>
          <w:rFonts w:cs="Tahoma"/>
        </w:rPr>
        <w:t xml:space="preserve">.  </w:t>
      </w:r>
    </w:p>
    <w:p w14:paraId="3CE5A2E7" w14:textId="77777777" w:rsidR="003860F5" w:rsidRDefault="003860F5" w:rsidP="001019CD">
      <w:pPr>
        <w:spacing w:after="0" w:line="240" w:lineRule="auto"/>
        <w:rPr>
          <w:rFonts w:cs="Tahoma"/>
        </w:rPr>
      </w:pPr>
    </w:p>
    <w:p w14:paraId="7DEE66C4" w14:textId="77777777" w:rsidR="0091265B" w:rsidRDefault="003860F5" w:rsidP="001019CD">
      <w:pPr>
        <w:spacing w:after="0" w:line="240" w:lineRule="auto"/>
        <w:rPr>
          <w:rFonts w:cs="Tahoma"/>
        </w:rPr>
      </w:pPr>
      <w:r w:rsidRPr="003860F5">
        <w:rPr>
          <w:rFonts w:cs="Tahoma"/>
        </w:rPr>
        <w:t xml:space="preserve">Given the limited understanding of the effects on agriculture, forestry, and rural communities from </w:t>
      </w:r>
      <w:r>
        <w:rPr>
          <w:rFonts w:cs="Tahoma"/>
        </w:rPr>
        <w:t xml:space="preserve">the </w:t>
      </w:r>
      <w:r w:rsidRPr="003860F5">
        <w:rPr>
          <w:rFonts w:cs="Tahoma"/>
        </w:rPr>
        <w:t xml:space="preserve">recent hurricanes and the potential for the decay of the quality, detail, and accuracy of survivor memories over time, </w:t>
      </w:r>
      <w:r w:rsidR="00052F12">
        <w:rPr>
          <w:rFonts w:cs="Tahoma"/>
        </w:rPr>
        <w:t>USDA</w:t>
      </w:r>
      <w:r w:rsidRPr="003860F5">
        <w:rPr>
          <w:rFonts w:cs="Tahoma"/>
        </w:rPr>
        <w:t xml:space="preserve"> seeks emergency authorization for this </w:t>
      </w:r>
      <w:r>
        <w:rPr>
          <w:rFonts w:cs="Tahoma"/>
        </w:rPr>
        <w:t>information collection</w:t>
      </w:r>
      <w:r w:rsidRPr="003860F5">
        <w:rPr>
          <w:rFonts w:cs="Tahoma"/>
        </w:rPr>
        <w:t xml:space="preserve"> in the U.S. Caribbean.  An emergency authorization by OMB will allow for the immediate collection of information from </w:t>
      </w:r>
      <w:r w:rsidR="00052F12">
        <w:rPr>
          <w:rFonts w:cs="Tahoma"/>
        </w:rPr>
        <w:t>agricultural producers and rural residents in Puerto Rico and the U.S. Virgin Islands</w:t>
      </w:r>
      <w:r w:rsidRPr="003860F5">
        <w:rPr>
          <w:rFonts w:cs="Tahoma"/>
        </w:rPr>
        <w:t xml:space="preserve">, which will help to ensure the precision and scientific validity of </w:t>
      </w:r>
      <w:r>
        <w:rPr>
          <w:rFonts w:cs="Tahoma"/>
        </w:rPr>
        <w:t>critical</w:t>
      </w:r>
      <w:r w:rsidRPr="003860F5">
        <w:rPr>
          <w:rFonts w:cs="Tahoma"/>
        </w:rPr>
        <w:t xml:space="preserve"> data </w:t>
      </w:r>
      <w:r w:rsidR="005B3C6C" w:rsidRPr="003860F5">
        <w:rPr>
          <w:rFonts w:cs="Tahoma"/>
        </w:rPr>
        <w:t xml:space="preserve">from social, economic, and ecological perspectives </w:t>
      </w:r>
      <w:r w:rsidRPr="003860F5">
        <w:rPr>
          <w:rFonts w:cs="Tahoma"/>
        </w:rPr>
        <w:t>on exposure, experiences, preparation for, effects of</w:t>
      </w:r>
      <w:r w:rsidR="005B3C6C">
        <w:rPr>
          <w:rFonts w:cs="Tahoma"/>
        </w:rPr>
        <w:t>, and responses to</w:t>
      </w:r>
      <w:r w:rsidRPr="003860F5">
        <w:rPr>
          <w:rFonts w:cs="Tahoma"/>
        </w:rPr>
        <w:t xml:space="preserve"> the storms. </w:t>
      </w:r>
      <w:r w:rsidR="001D1CBE" w:rsidRPr="001D1CBE">
        <w:rPr>
          <w:rFonts w:cs="Tahoma"/>
        </w:rPr>
        <w:t xml:space="preserve">Moreover, immediate data collection and analysis will provide critical information in near real-time for ongoing recovery and restoration efforts by USDA and other Federal agencies, local government, civil society, and the private sector and will help to ensure the efficiency and effectiveness of USDA and other investments in recovery, restoration, and resilience throughout the region.  </w:t>
      </w:r>
    </w:p>
    <w:p w14:paraId="3F228003" w14:textId="77777777" w:rsidR="0091265B" w:rsidRDefault="0091265B" w:rsidP="001019CD">
      <w:pPr>
        <w:spacing w:after="0" w:line="240" w:lineRule="auto"/>
        <w:rPr>
          <w:rFonts w:cs="Tahoma"/>
        </w:rPr>
      </w:pPr>
    </w:p>
    <w:p w14:paraId="5D4228B2" w14:textId="3DE96DB5" w:rsidR="001D1CBE" w:rsidRDefault="001D1CBE" w:rsidP="001019CD">
      <w:pPr>
        <w:spacing w:after="0" w:line="240" w:lineRule="auto"/>
        <w:rPr>
          <w:rFonts w:cs="Tahoma"/>
        </w:rPr>
      </w:pPr>
      <w:r>
        <w:rPr>
          <w:rFonts w:cs="Tahoma"/>
        </w:rPr>
        <w:t>Conversely, f</w:t>
      </w:r>
      <w:r w:rsidRPr="001D1CBE">
        <w:rPr>
          <w:rFonts w:cs="Tahoma"/>
        </w:rPr>
        <w:t xml:space="preserve">ollowing normal review and approval procedures, including an initial 60 day notice through the federal register, consideration of comments received, and a subsequent 30 day comment period of the final proposed project would significantly hinder post-disaster efforts in progress and reduce our ability to positively influence longer-term resilience initiatives.  </w:t>
      </w:r>
      <w:r w:rsidR="0091265B" w:rsidRPr="0091265B">
        <w:rPr>
          <w:rFonts w:cs="Tahoma"/>
        </w:rPr>
        <w:t xml:space="preserve">While it may seem that we could have initiated this information request through normal procedures, given the emergency situation that persists in much of the U.S. Caribbean (e.g., power sources remain unreliable and limited in many places), obtaining meaningful public engagement from the affected public would not have been possible to date.  Moreover, this is new research that responds to important knowledge needs that have emerged since the hurricanes and it has taken significant time under challenging conditions to develop a robust research proposal, gain the support of partners, and be ready to commence once the proposal is approved.  We welcome and will continue to pursue public comment opportunities and already have received review and feedback from key stakeholders.  In addition, a primary goal of this short-term, responsive, qualitative research project is to gather initial input to inform ongoing recovery efforts and our future research efforts.      </w:t>
      </w:r>
    </w:p>
    <w:p w14:paraId="263D8767" w14:textId="77777777" w:rsidR="001D1CBE" w:rsidRDefault="001D1CBE" w:rsidP="001019CD">
      <w:pPr>
        <w:spacing w:after="0" w:line="240" w:lineRule="auto"/>
        <w:rPr>
          <w:rFonts w:cs="Tahoma"/>
        </w:rPr>
      </w:pPr>
    </w:p>
    <w:p w14:paraId="45CFADE8" w14:textId="495275F4" w:rsidR="003860F5" w:rsidRDefault="003860F5" w:rsidP="001019CD">
      <w:pPr>
        <w:spacing w:after="0" w:line="240" w:lineRule="auto"/>
        <w:rPr>
          <w:rFonts w:cs="Tahoma"/>
        </w:rPr>
      </w:pPr>
      <w:r>
        <w:rPr>
          <w:rFonts w:cs="Tahoma"/>
        </w:rPr>
        <w:t>If the</w:t>
      </w:r>
      <w:r w:rsidR="001D1CBE">
        <w:rPr>
          <w:rFonts w:cs="Tahoma"/>
        </w:rPr>
        <w:t xml:space="preserve"> </w:t>
      </w:r>
      <w:r>
        <w:rPr>
          <w:rFonts w:cs="Tahoma"/>
        </w:rPr>
        <w:t xml:space="preserve">data </w:t>
      </w:r>
      <w:r w:rsidR="001D1CBE">
        <w:rPr>
          <w:rFonts w:cs="Tahoma"/>
        </w:rPr>
        <w:t xml:space="preserve">described in this supporting statement </w:t>
      </w:r>
      <w:r>
        <w:rPr>
          <w:rFonts w:cs="Tahoma"/>
        </w:rPr>
        <w:t xml:space="preserve">are not collected, </w:t>
      </w:r>
      <w:r w:rsidR="00D55776">
        <w:rPr>
          <w:rFonts w:cs="Tahoma"/>
        </w:rPr>
        <w:t>USDA</w:t>
      </w:r>
      <w:r>
        <w:rPr>
          <w:rFonts w:cs="Tahoma"/>
        </w:rPr>
        <w:t xml:space="preserve"> and other </w:t>
      </w:r>
      <w:r w:rsidR="005B3C6C">
        <w:rPr>
          <w:rFonts w:cs="Tahoma"/>
        </w:rPr>
        <w:t>F</w:t>
      </w:r>
      <w:r>
        <w:rPr>
          <w:rFonts w:cs="Tahoma"/>
        </w:rPr>
        <w:t xml:space="preserve">ederal agencies may not be able to meet their legislative requirements under </w:t>
      </w:r>
      <w:r w:rsidR="001D1CBE" w:rsidRPr="001D1CBE">
        <w:rPr>
          <w:rFonts w:cs="Tahoma"/>
        </w:rPr>
        <w:t>the National Agricultural Research, Extension, and Teaching Policy Act of 1977</w:t>
      </w:r>
      <w:r w:rsidR="001D1CBE">
        <w:rPr>
          <w:rFonts w:cs="Tahoma"/>
        </w:rPr>
        <w:t xml:space="preserve"> and </w:t>
      </w:r>
      <w:r>
        <w:rPr>
          <w:rFonts w:cs="Tahoma"/>
        </w:rPr>
        <w:t xml:space="preserve">the </w:t>
      </w:r>
      <w:r w:rsidRPr="003860F5">
        <w:rPr>
          <w:rFonts w:cs="Tahoma"/>
        </w:rPr>
        <w:t>Forest and Rangeland Renewable Resources Research Act of 1978</w:t>
      </w:r>
      <w:r w:rsidR="001D1CBE">
        <w:rPr>
          <w:rFonts w:cs="Tahoma"/>
        </w:rPr>
        <w:t xml:space="preserve">, among several other requirements and goals as noted above.  </w:t>
      </w:r>
      <w:r>
        <w:rPr>
          <w:rFonts w:cs="Tahoma"/>
        </w:rPr>
        <w:t xml:space="preserve">Moreover, if this information is not collected, </w:t>
      </w:r>
      <w:r w:rsidRPr="003860F5">
        <w:rPr>
          <w:rFonts w:cs="Tahoma"/>
        </w:rPr>
        <w:t xml:space="preserve">progress on </w:t>
      </w:r>
      <w:r>
        <w:rPr>
          <w:rFonts w:cs="Tahoma"/>
        </w:rPr>
        <w:t xml:space="preserve">agriculture, forestry, and rural </w:t>
      </w:r>
      <w:r w:rsidRPr="003860F5">
        <w:rPr>
          <w:rFonts w:cs="Tahoma"/>
        </w:rPr>
        <w:t>community sustainability</w:t>
      </w:r>
      <w:r>
        <w:rPr>
          <w:rFonts w:cs="Tahoma"/>
        </w:rPr>
        <w:t>,</w:t>
      </w:r>
      <w:r w:rsidRPr="003860F5">
        <w:rPr>
          <w:rFonts w:cs="Tahoma"/>
        </w:rPr>
        <w:t xml:space="preserve"> resilience, </w:t>
      </w:r>
      <w:r>
        <w:rPr>
          <w:rFonts w:cs="Tahoma"/>
        </w:rPr>
        <w:t xml:space="preserve">and disaster risk </w:t>
      </w:r>
      <w:r w:rsidR="005B3C6C">
        <w:rPr>
          <w:rFonts w:cs="Tahoma"/>
        </w:rPr>
        <w:t xml:space="preserve">and vulnerability </w:t>
      </w:r>
      <w:r>
        <w:rPr>
          <w:rFonts w:cs="Tahoma"/>
        </w:rPr>
        <w:t xml:space="preserve">reduction may be diminished throughout the region.  </w:t>
      </w:r>
      <w:r w:rsidR="001D1CBE">
        <w:rPr>
          <w:rFonts w:cs="Tahoma"/>
        </w:rPr>
        <w:t xml:space="preserve">Upon emergency review of this information collection, </w:t>
      </w:r>
      <w:r w:rsidR="00470B10">
        <w:rPr>
          <w:rFonts w:cs="Tahoma"/>
        </w:rPr>
        <w:t>we</w:t>
      </w:r>
      <w:r w:rsidR="001D1CBE" w:rsidRPr="003860F5">
        <w:rPr>
          <w:rFonts w:cs="Tahoma"/>
        </w:rPr>
        <w:t xml:space="preserve"> to </w:t>
      </w:r>
      <w:r w:rsidR="001D1CBE">
        <w:rPr>
          <w:rFonts w:cs="Tahoma"/>
        </w:rPr>
        <w:t xml:space="preserve">prepare and submit a request </w:t>
      </w:r>
      <w:r w:rsidR="001D1CBE" w:rsidRPr="003860F5">
        <w:rPr>
          <w:rFonts w:cs="Tahoma"/>
        </w:rPr>
        <w:t>for a 3-year approval of</w:t>
      </w:r>
      <w:r w:rsidR="001D1CBE">
        <w:rPr>
          <w:rFonts w:cs="Tahoma"/>
        </w:rPr>
        <w:t xml:space="preserve"> broader</w:t>
      </w:r>
      <w:r w:rsidR="001D1CBE" w:rsidRPr="003860F5">
        <w:rPr>
          <w:rFonts w:cs="Tahoma"/>
        </w:rPr>
        <w:t xml:space="preserve"> information collection on </w:t>
      </w:r>
      <w:r w:rsidR="001D1CBE">
        <w:rPr>
          <w:rFonts w:cs="Tahoma"/>
        </w:rPr>
        <w:t xml:space="preserve">disturbance risks, vulnerabilities, and resilience in agriculture, </w:t>
      </w:r>
      <w:r w:rsidR="001D1CBE" w:rsidRPr="003860F5">
        <w:rPr>
          <w:rFonts w:cs="Tahoma"/>
        </w:rPr>
        <w:t>forest</w:t>
      </w:r>
      <w:r w:rsidR="001D1CBE">
        <w:rPr>
          <w:rFonts w:cs="Tahoma"/>
        </w:rPr>
        <w:t>, and rural</w:t>
      </w:r>
      <w:r w:rsidR="001D1CBE" w:rsidRPr="003860F5">
        <w:rPr>
          <w:rFonts w:cs="Tahoma"/>
        </w:rPr>
        <w:t xml:space="preserve"> communities in the U.S. Caribbean to be processed under </w:t>
      </w:r>
      <w:r w:rsidR="001D1CBE">
        <w:rPr>
          <w:rFonts w:cs="Tahoma"/>
        </w:rPr>
        <w:t>standard</w:t>
      </w:r>
      <w:r w:rsidR="001D1CBE" w:rsidRPr="003860F5">
        <w:rPr>
          <w:rFonts w:cs="Tahoma"/>
        </w:rPr>
        <w:t xml:space="preserve"> </w:t>
      </w:r>
      <w:r w:rsidR="001D1CBE">
        <w:rPr>
          <w:rFonts w:cs="Tahoma"/>
        </w:rPr>
        <w:t xml:space="preserve">information collection </w:t>
      </w:r>
      <w:r w:rsidR="001D1CBE" w:rsidRPr="003860F5">
        <w:rPr>
          <w:rFonts w:cs="Tahoma"/>
        </w:rPr>
        <w:t>clearance procedures</w:t>
      </w:r>
      <w:r w:rsidR="001D1CBE">
        <w:rPr>
          <w:rFonts w:cs="Tahoma"/>
        </w:rPr>
        <w:t xml:space="preserve"> as designated by </w:t>
      </w:r>
      <w:r w:rsidR="00C212D7">
        <w:rPr>
          <w:rFonts w:cs="Tahoma"/>
        </w:rPr>
        <w:t>OMB</w:t>
      </w:r>
      <w:r w:rsidR="001D1CBE" w:rsidRPr="003860F5">
        <w:rPr>
          <w:rFonts w:cs="Tahoma"/>
        </w:rPr>
        <w:t>.</w:t>
      </w:r>
    </w:p>
    <w:p w14:paraId="2A9BA6E0" w14:textId="77777777" w:rsidR="003860F5" w:rsidRDefault="003860F5" w:rsidP="001019CD">
      <w:pPr>
        <w:spacing w:after="0" w:line="240" w:lineRule="auto"/>
        <w:rPr>
          <w:rFonts w:cs="Tahoma"/>
        </w:rPr>
      </w:pPr>
    </w:p>
    <w:p w14:paraId="1D841EDC" w14:textId="77777777" w:rsidR="00E32B32" w:rsidRPr="001C792A" w:rsidRDefault="00E32B32" w:rsidP="001019CD">
      <w:pPr>
        <w:spacing w:after="0" w:line="240" w:lineRule="auto"/>
        <w:rPr>
          <w:rFonts w:cs="Tahoma"/>
        </w:rPr>
      </w:pPr>
    </w:p>
    <w:p w14:paraId="70A09E95" w14:textId="68B11EA7"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 xml:space="preserve">Explain any special circumstances that would cause an </w:t>
      </w:r>
      <w:r w:rsidR="001A3B0B" w:rsidRPr="003860F5">
        <w:rPr>
          <w:rFonts w:cs="Tahoma"/>
          <w:b/>
          <w:bCs/>
        </w:rPr>
        <w:t>Information Collection</w:t>
      </w:r>
      <w:r w:rsidRPr="003860F5">
        <w:rPr>
          <w:rFonts w:cs="Tahoma"/>
          <w:b/>
          <w:bCs/>
        </w:rPr>
        <w:t xml:space="preserve"> to be con</w:t>
      </w:r>
      <w:r w:rsidRPr="003860F5">
        <w:rPr>
          <w:rFonts w:cs="Tahoma"/>
          <w:b/>
          <w:bCs/>
        </w:rPr>
        <w:softHyphen/>
        <w:t>ducted in a manner:</w:t>
      </w:r>
    </w:p>
    <w:p w14:paraId="7BAF13F5" w14:textId="77777777" w:rsidR="003860F5" w:rsidRPr="001C792A" w:rsidRDefault="003860F5" w:rsidP="003860F5">
      <w:pPr>
        <w:spacing w:after="0" w:line="240" w:lineRule="auto"/>
        <w:rPr>
          <w:rFonts w:cs="Tahoma"/>
          <w:b/>
          <w:bCs/>
        </w:rPr>
      </w:pPr>
    </w:p>
    <w:p w14:paraId="5CF0B0F7" w14:textId="77777777" w:rsidR="00C37CD8" w:rsidRPr="003860F5" w:rsidRDefault="00890057" w:rsidP="003860F5">
      <w:pPr>
        <w:pStyle w:val="ListParagraph"/>
        <w:numPr>
          <w:ilvl w:val="0"/>
          <w:numId w:val="54"/>
        </w:numPr>
        <w:shd w:val="clear" w:color="auto" w:fill="FFFFFF"/>
        <w:spacing w:after="240"/>
        <w:rPr>
          <w:rFonts w:cs="Tahoma"/>
          <w:b/>
          <w:bCs/>
        </w:rPr>
      </w:pPr>
      <w:r w:rsidRPr="003860F5">
        <w:rPr>
          <w:rFonts w:cs="Tahoma"/>
          <w:b/>
          <w:bCs/>
        </w:rPr>
        <w:t>R</w:t>
      </w:r>
      <w:r w:rsidR="00C37CD8" w:rsidRPr="003860F5">
        <w:rPr>
          <w:rFonts w:cs="Tahoma"/>
          <w:b/>
          <w:bCs/>
        </w:rPr>
        <w:t>equiring respondents to report informa</w:t>
      </w:r>
      <w:r w:rsidR="00C37CD8" w:rsidRPr="003860F5">
        <w:rPr>
          <w:rFonts w:cs="Tahoma"/>
          <w:b/>
          <w:bCs/>
        </w:rPr>
        <w:softHyphen/>
        <w:t>tion to the agency more often than quarterly;</w:t>
      </w:r>
    </w:p>
    <w:p w14:paraId="5E76A605" w14:textId="52E44CF8" w:rsidR="00876AAB" w:rsidRPr="003860F5" w:rsidRDefault="00890057" w:rsidP="003860F5">
      <w:pPr>
        <w:pStyle w:val="ListParagraph"/>
        <w:numPr>
          <w:ilvl w:val="0"/>
          <w:numId w:val="54"/>
        </w:numPr>
        <w:shd w:val="clear" w:color="auto" w:fill="FFFFFF"/>
        <w:spacing w:after="240"/>
        <w:rPr>
          <w:rFonts w:cs="Tahoma"/>
          <w:b/>
          <w:bCs/>
        </w:rPr>
      </w:pPr>
      <w:r w:rsidRPr="003860F5">
        <w:rPr>
          <w:rFonts w:cs="Tahoma"/>
          <w:b/>
          <w:bCs/>
        </w:rPr>
        <w:t>R</w:t>
      </w:r>
      <w:r w:rsidR="00C37CD8" w:rsidRPr="003860F5">
        <w:rPr>
          <w:rFonts w:cs="Tahoma"/>
          <w:b/>
          <w:bCs/>
        </w:rPr>
        <w:t>equiring respondents to prepare a writ</w:t>
      </w:r>
      <w:r w:rsidR="00C37CD8" w:rsidRPr="003860F5">
        <w:rPr>
          <w:rFonts w:cs="Tahoma"/>
          <w:b/>
          <w:bCs/>
        </w:rPr>
        <w:softHyphen/>
        <w:t>ten response to a collection of infor</w:t>
      </w:r>
      <w:r w:rsidR="00C37CD8" w:rsidRPr="003860F5">
        <w:rPr>
          <w:rFonts w:cs="Tahoma"/>
          <w:b/>
          <w:bCs/>
        </w:rPr>
        <w:softHyphen/>
        <w:t>ma</w:t>
      </w:r>
      <w:r w:rsidR="00C37CD8" w:rsidRPr="003860F5">
        <w:rPr>
          <w:rFonts w:cs="Tahoma"/>
          <w:b/>
          <w:bCs/>
        </w:rPr>
        <w:softHyphen/>
        <w:t>tion in fewer than 30 days after receipt of it;</w:t>
      </w:r>
    </w:p>
    <w:p w14:paraId="08CBF1B3" w14:textId="77777777" w:rsidR="00C37CD8" w:rsidRPr="003860F5" w:rsidRDefault="00890057" w:rsidP="003860F5">
      <w:pPr>
        <w:pStyle w:val="ListParagraph"/>
        <w:numPr>
          <w:ilvl w:val="0"/>
          <w:numId w:val="54"/>
        </w:numPr>
        <w:shd w:val="clear" w:color="auto" w:fill="FFFFFF"/>
        <w:spacing w:after="240"/>
        <w:rPr>
          <w:rFonts w:cs="Tahoma"/>
          <w:b/>
          <w:bCs/>
        </w:rPr>
      </w:pPr>
      <w:r w:rsidRPr="003860F5">
        <w:rPr>
          <w:rFonts w:cs="Tahoma"/>
          <w:b/>
          <w:bCs/>
        </w:rPr>
        <w:t>R</w:t>
      </w:r>
      <w:r w:rsidR="00C37CD8" w:rsidRPr="003860F5">
        <w:rPr>
          <w:rFonts w:cs="Tahoma"/>
          <w:b/>
          <w:bCs/>
        </w:rPr>
        <w:t>equiring respondents to submit more than an original and two copies of any docu</w:t>
      </w:r>
      <w:r w:rsidR="00C37CD8" w:rsidRPr="003860F5">
        <w:rPr>
          <w:rFonts w:cs="Tahoma"/>
          <w:b/>
          <w:bCs/>
        </w:rPr>
        <w:softHyphen/>
        <w:t>ment;</w:t>
      </w:r>
    </w:p>
    <w:p w14:paraId="13041860" w14:textId="77777777" w:rsidR="00C37CD8" w:rsidRPr="003860F5" w:rsidRDefault="00890057" w:rsidP="003860F5">
      <w:pPr>
        <w:pStyle w:val="ListParagraph"/>
        <w:numPr>
          <w:ilvl w:val="0"/>
          <w:numId w:val="54"/>
        </w:numPr>
        <w:shd w:val="clear" w:color="auto" w:fill="FFFFFF"/>
        <w:spacing w:after="240"/>
        <w:rPr>
          <w:rFonts w:cs="Tahoma"/>
          <w:b/>
          <w:bCs/>
        </w:rPr>
      </w:pPr>
      <w:r w:rsidRPr="003860F5">
        <w:rPr>
          <w:rFonts w:cs="Tahoma"/>
          <w:b/>
          <w:bCs/>
        </w:rPr>
        <w:t>R</w:t>
      </w:r>
      <w:r w:rsidR="00C37CD8" w:rsidRPr="003860F5">
        <w:rPr>
          <w:rFonts w:cs="Tahoma"/>
          <w:b/>
          <w:bCs/>
        </w:rPr>
        <w:t>equiring respondents to retain re</w:t>
      </w:r>
      <w:r w:rsidR="00C37CD8" w:rsidRPr="003860F5">
        <w:rPr>
          <w:rFonts w:cs="Tahoma"/>
          <w:b/>
          <w:bCs/>
        </w:rPr>
        <w:softHyphen/>
        <w:t>cords, other than health, medical, governm</w:t>
      </w:r>
      <w:r w:rsidR="00C37CD8" w:rsidRPr="003860F5">
        <w:rPr>
          <w:rFonts w:cs="Tahoma"/>
          <w:b/>
          <w:bCs/>
        </w:rPr>
        <w:softHyphen/>
        <w:t>ent contract, grant-in-aid, or tax records for more than three years;</w:t>
      </w:r>
    </w:p>
    <w:p w14:paraId="1F27E522" w14:textId="77777777" w:rsidR="00C37CD8" w:rsidRPr="003860F5" w:rsidRDefault="00890057" w:rsidP="003860F5">
      <w:pPr>
        <w:pStyle w:val="ListParagraph"/>
        <w:numPr>
          <w:ilvl w:val="0"/>
          <w:numId w:val="54"/>
        </w:numPr>
        <w:shd w:val="clear" w:color="auto" w:fill="FFFFFF"/>
        <w:spacing w:after="240"/>
        <w:rPr>
          <w:rFonts w:cs="Tahoma"/>
          <w:b/>
          <w:bCs/>
        </w:rPr>
      </w:pPr>
      <w:r w:rsidRPr="003860F5">
        <w:rPr>
          <w:rFonts w:cs="Tahoma"/>
          <w:b/>
          <w:bCs/>
        </w:rPr>
        <w:t>I</w:t>
      </w:r>
      <w:r w:rsidR="00C37CD8" w:rsidRPr="003860F5">
        <w:rPr>
          <w:rFonts w:cs="Tahoma"/>
          <w:b/>
          <w:bCs/>
        </w:rPr>
        <w:t>n connection with a statisti</w:t>
      </w:r>
      <w:r w:rsidR="00C37CD8" w:rsidRPr="003860F5">
        <w:rPr>
          <w:rFonts w:cs="Tahoma"/>
          <w:b/>
          <w:bCs/>
        </w:rPr>
        <w:softHyphen/>
        <w:t>cal sur</w:t>
      </w:r>
      <w:r w:rsidR="00C37CD8" w:rsidRPr="003860F5">
        <w:rPr>
          <w:rFonts w:cs="Tahoma"/>
          <w:b/>
          <w:bCs/>
        </w:rPr>
        <w:softHyphen/>
        <w:t>vey, that is not de</w:t>
      </w:r>
      <w:r w:rsidR="00C37CD8" w:rsidRPr="003860F5">
        <w:rPr>
          <w:rFonts w:cs="Tahoma"/>
          <w:b/>
          <w:bCs/>
        </w:rPr>
        <w:softHyphen/>
        <w:t>signed to produce valid and reli</w:t>
      </w:r>
      <w:r w:rsidR="00C37CD8" w:rsidRPr="003860F5">
        <w:rPr>
          <w:rFonts w:cs="Tahoma"/>
          <w:b/>
          <w:bCs/>
        </w:rPr>
        <w:softHyphen/>
        <w:t>able results that can be general</w:t>
      </w:r>
      <w:r w:rsidR="00C37CD8" w:rsidRPr="003860F5">
        <w:rPr>
          <w:rFonts w:cs="Tahoma"/>
          <w:b/>
          <w:bCs/>
        </w:rPr>
        <w:softHyphen/>
        <w:t>ized to the uni</w:t>
      </w:r>
      <w:r w:rsidR="00C37CD8" w:rsidRPr="003860F5">
        <w:rPr>
          <w:rFonts w:cs="Tahoma"/>
          <w:b/>
          <w:bCs/>
        </w:rPr>
        <w:softHyphen/>
        <w:t>verse of study;</w:t>
      </w:r>
    </w:p>
    <w:p w14:paraId="41F7D100" w14:textId="3429E3B3" w:rsidR="00D01037" w:rsidRPr="003860F5" w:rsidRDefault="00890057" w:rsidP="003860F5">
      <w:pPr>
        <w:pStyle w:val="ListParagraph"/>
        <w:numPr>
          <w:ilvl w:val="0"/>
          <w:numId w:val="54"/>
        </w:numPr>
        <w:shd w:val="clear" w:color="auto" w:fill="FFFFFF"/>
        <w:spacing w:after="240"/>
        <w:rPr>
          <w:rFonts w:cs="Tahoma"/>
          <w:b/>
          <w:bCs/>
        </w:rPr>
      </w:pPr>
      <w:r w:rsidRPr="003860F5">
        <w:rPr>
          <w:rFonts w:cs="Tahoma"/>
          <w:b/>
          <w:bCs/>
        </w:rPr>
        <w:t>R</w:t>
      </w:r>
      <w:r w:rsidR="00C37CD8" w:rsidRPr="003860F5">
        <w:rPr>
          <w:rFonts w:cs="Tahoma"/>
          <w:b/>
          <w:bCs/>
        </w:rPr>
        <w:t>equiring the use of a statis</w:t>
      </w:r>
      <w:r w:rsidR="00C37CD8" w:rsidRPr="003860F5">
        <w:rPr>
          <w:rFonts w:cs="Tahoma"/>
          <w:b/>
          <w:bCs/>
        </w:rPr>
        <w:softHyphen/>
        <w:t>tical data classi</w:t>
      </w:r>
      <w:r w:rsidR="00C37CD8" w:rsidRPr="003860F5">
        <w:rPr>
          <w:rFonts w:cs="Tahoma"/>
          <w:b/>
          <w:bCs/>
        </w:rPr>
        <w:softHyphen/>
        <w:t>fication that has not been re</w:t>
      </w:r>
      <w:r w:rsidR="00C37CD8" w:rsidRPr="003860F5">
        <w:rPr>
          <w:rFonts w:cs="Tahoma"/>
          <w:b/>
          <w:bCs/>
        </w:rPr>
        <w:softHyphen/>
        <w:t>vie</w:t>
      </w:r>
      <w:r w:rsidR="00C37CD8" w:rsidRPr="003860F5">
        <w:rPr>
          <w:rFonts w:cs="Tahoma"/>
          <w:b/>
          <w:bCs/>
        </w:rPr>
        <w:softHyphen/>
        <w:t xml:space="preserve">wed and approved by OMB; </w:t>
      </w:r>
    </w:p>
    <w:p w14:paraId="5B19BC59" w14:textId="67CAE976" w:rsidR="00C37CD8" w:rsidRPr="003860F5" w:rsidRDefault="00EC10FF" w:rsidP="003860F5">
      <w:pPr>
        <w:pStyle w:val="ListParagraph"/>
        <w:numPr>
          <w:ilvl w:val="0"/>
          <w:numId w:val="54"/>
        </w:numPr>
        <w:shd w:val="clear" w:color="auto" w:fill="FFFFFF"/>
        <w:spacing w:after="240"/>
        <w:rPr>
          <w:rFonts w:cs="Tahoma"/>
          <w:b/>
          <w:bCs/>
        </w:rPr>
      </w:pPr>
      <w:r w:rsidRPr="003860F5">
        <w:rPr>
          <w:rFonts w:cs="Tahoma"/>
          <w:b/>
          <w:bCs/>
        </w:rPr>
        <w:t>T</w:t>
      </w:r>
      <w:r w:rsidR="00C37CD8" w:rsidRPr="003860F5">
        <w:rPr>
          <w:rFonts w:cs="Tahoma"/>
          <w:b/>
          <w:bCs/>
        </w:rPr>
        <w:t>ha</w:t>
      </w:r>
      <w:r w:rsidRPr="003860F5">
        <w:rPr>
          <w:rFonts w:cs="Tahoma"/>
          <w:b/>
          <w:bCs/>
        </w:rPr>
        <w:t>t includes a pledge of confidentiali</w:t>
      </w:r>
      <w:r w:rsidR="00C37CD8" w:rsidRPr="003860F5">
        <w:rPr>
          <w:rFonts w:cs="Tahoma"/>
          <w:b/>
          <w:bCs/>
        </w:rPr>
        <w:t>ty that is not supported by au</w:t>
      </w:r>
      <w:r w:rsidR="00C37CD8" w:rsidRPr="003860F5">
        <w:rPr>
          <w:rFonts w:cs="Tahoma"/>
          <w:b/>
          <w:bCs/>
        </w:rPr>
        <w:softHyphen/>
        <w:t>thority estab</w:t>
      </w:r>
      <w:r w:rsidR="00C37CD8" w:rsidRPr="003860F5">
        <w:rPr>
          <w:rFonts w:cs="Tahoma"/>
          <w:b/>
          <w:bCs/>
        </w:rPr>
        <w:softHyphen/>
        <w:t>lished in statute or regu</w:t>
      </w:r>
      <w:r w:rsidR="00C37CD8" w:rsidRPr="003860F5">
        <w:rPr>
          <w:rFonts w:cs="Tahoma"/>
          <w:b/>
          <w:bCs/>
        </w:rPr>
        <w:softHyphen/>
        <w:t>la</w:t>
      </w:r>
      <w:r w:rsidR="00C37CD8" w:rsidRPr="003860F5">
        <w:rPr>
          <w:rFonts w:cs="Tahoma"/>
          <w:b/>
          <w:bCs/>
        </w:rPr>
        <w:softHyphen/>
        <w:t>tion, that is not sup</w:t>
      </w:r>
      <w:r w:rsidR="00C37CD8" w:rsidRPr="003860F5">
        <w:rPr>
          <w:rFonts w:cs="Tahoma"/>
          <w:b/>
          <w:bCs/>
        </w:rPr>
        <w:softHyphen/>
        <w:t>ported by dis</w:t>
      </w:r>
      <w:r w:rsidR="00C37CD8" w:rsidRPr="003860F5">
        <w:rPr>
          <w:rFonts w:cs="Tahoma"/>
          <w:b/>
          <w:bCs/>
        </w:rPr>
        <w:softHyphen/>
        <w:t>closure and data security policies that are consistent with the pledge, or which unneces</w:t>
      </w:r>
      <w:r w:rsidR="00C37CD8" w:rsidRPr="003860F5">
        <w:rPr>
          <w:rFonts w:cs="Tahoma"/>
          <w:b/>
          <w:bCs/>
        </w:rPr>
        <w:softHyphen/>
        <w:t>sarily impedes shar</w:t>
      </w:r>
      <w:r w:rsidR="00C37CD8" w:rsidRPr="003860F5">
        <w:rPr>
          <w:rFonts w:cs="Tahoma"/>
          <w:b/>
          <w:bCs/>
        </w:rPr>
        <w:softHyphen/>
        <w:t>ing of data with other agencies for com</w:t>
      </w:r>
      <w:r w:rsidR="00C37CD8" w:rsidRPr="003860F5">
        <w:rPr>
          <w:rFonts w:cs="Tahoma"/>
          <w:b/>
          <w:bCs/>
        </w:rPr>
        <w:softHyphen/>
        <w:t>patible confiden</w:t>
      </w:r>
      <w:r w:rsidR="00C37CD8" w:rsidRPr="003860F5">
        <w:rPr>
          <w:rFonts w:cs="Tahoma"/>
          <w:b/>
          <w:bCs/>
        </w:rPr>
        <w:softHyphen/>
        <w:t>tial use; or</w:t>
      </w:r>
    </w:p>
    <w:p w14:paraId="23C57DFE" w14:textId="61E1CEC3" w:rsidR="00EC5D62" w:rsidRPr="003860F5" w:rsidRDefault="00EC10FF" w:rsidP="003860F5">
      <w:pPr>
        <w:pStyle w:val="ListParagraph"/>
        <w:numPr>
          <w:ilvl w:val="0"/>
          <w:numId w:val="54"/>
        </w:numPr>
        <w:shd w:val="clear" w:color="auto" w:fill="FFFFFF"/>
        <w:spacing w:after="240"/>
        <w:rPr>
          <w:rFonts w:cs="Tahoma"/>
          <w:b/>
        </w:rPr>
      </w:pPr>
      <w:r w:rsidRPr="003860F5">
        <w:rPr>
          <w:rFonts w:cs="Tahoma"/>
          <w:b/>
          <w:bCs/>
        </w:rPr>
        <w:t>R</w:t>
      </w:r>
      <w:r w:rsidR="00C37CD8" w:rsidRPr="003860F5">
        <w:rPr>
          <w:rFonts w:cs="Tahoma"/>
          <w:b/>
          <w:bCs/>
        </w:rPr>
        <w:t>equiring respondents to submit propri</w:t>
      </w:r>
      <w:r w:rsidR="00C37CD8" w:rsidRPr="003860F5">
        <w:rPr>
          <w:rFonts w:cs="Tahoma"/>
          <w:b/>
          <w:bCs/>
        </w:rPr>
        <w:softHyphen/>
        <w:t>etary trade secret, or other confidential information unless the agency can demon</w:t>
      </w:r>
      <w:r w:rsidR="00C37CD8" w:rsidRPr="003860F5">
        <w:rPr>
          <w:rFonts w:cs="Tahoma"/>
          <w:b/>
          <w:bCs/>
        </w:rPr>
        <w:softHyphen/>
        <w:t>strate that it has instituted procedures to protect the information's confidentiality to the extent permit</w:t>
      </w:r>
      <w:r w:rsidR="00C37CD8" w:rsidRPr="003860F5">
        <w:rPr>
          <w:rFonts w:cs="Tahoma"/>
          <w:b/>
          <w:bCs/>
        </w:rPr>
        <w:softHyphen/>
        <w:t>ted by law.</w:t>
      </w:r>
    </w:p>
    <w:p w14:paraId="47745725" w14:textId="523D97A9" w:rsidR="004D4BF5" w:rsidRDefault="003860F5" w:rsidP="001019CD">
      <w:pPr>
        <w:spacing w:after="0" w:line="240" w:lineRule="auto"/>
        <w:rPr>
          <w:rFonts w:cs="Tahoma"/>
          <w:bCs/>
        </w:rPr>
      </w:pPr>
      <w:r w:rsidRPr="003860F5">
        <w:rPr>
          <w:rFonts w:cs="Tahoma"/>
        </w:rPr>
        <w:t>The collection of information is conducted in a manner consistent with the guidelines in 5 CFR 1320.6. There are no special circumstances associated with this information collection.</w:t>
      </w:r>
      <w:r>
        <w:rPr>
          <w:rFonts w:cs="Tahoma"/>
        </w:rPr>
        <w:t xml:space="preserve">  </w:t>
      </w:r>
      <w:r w:rsidR="00395070" w:rsidRPr="001C792A">
        <w:rPr>
          <w:rFonts w:cs="Tahoma"/>
          <w:bCs/>
        </w:rPr>
        <w:t>Although there is no requirement</w:t>
      </w:r>
      <w:r>
        <w:rPr>
          <w:rFonts w:cs="Tahoma"/>
          <w:bCs/>
        </w:rPr>
        <w:t xml:space="preserve"> to respond within 30 days </w:t>
      </w:r>
      <w:r w:rsidR="00395070" w:rsidRPr="001C792A">
        <w:rPr>
          <w:rFonts w:cs="Tahoma"/>
          <w:bCs/>
        </w:rPr>
        <w:t xml:space="preserve">because participation is voluntary, due to the nature of </w:t>
      </w:r>
      <w:r>
        <w:rPr>
          <w:rFonts w:cs="Tahoma"/>
          <w:bCs/>
        </w:rPr>
        <w:t>the proposed research</w:t>
      </w:r>
      <w:r w:rsidR="00395070" w:rsidRPr="001C792A">
        <w:rPr>
          <w:rFonts w:cs="Tahoma"/>
          <w:bCs/>
        </w:rPr>
        <w:t>, respondents will typically respond in fewer than 30 days of receipt of the request to participate.</w:t>
      </w:r>
    </w:p>
    <w:p w14:paraId="50A752CE" w14:textId="77777777" w:rsidR="003860F5" w:rsidRPr="001C792A" w:rsidRDefault="003860F5" w:rsidP="001019CD">
      <w:pPr>
        <w:spacing w:after="0" w:line="240" w:lineRule="auto"/>
        <w:rPr>
          <w:rFonts w:cs="Tahoma"/>
        </w:rPr>
      </w:pPr>
    </w:p>
    <w:p w14:paraId="55400D9E" w14:textId="564D9968"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If applicable, provide a copy and iden</w:t>
      </w:r>
      <w:r w:rsidRPr="003860F5">
        <w:rPr>
          <w:rFonts w:cs="Tahoma"/>
          <w:b/>
          <w:bCs/>
        </w:rPr>
        <w:softHyphen/>
        <w:t>tify the date and page number of publication in the Federal Register of the agency's notice, required by 5 CFR 1320.8 (d), soliciting com</w:t>
      </w:r>
      <w:r w:rsidRPr="003860F5">
        <w:rPr>
          <w:rFonts w:cs="Tahoma"/>
          <w:b/>
          <w:bCs/>
        </w:rPr>
        <w:softHyphen/>
        <w:t xml:space="preserve">ments on the </w:t>
      </w:r>
      <w:r w:rsidR="001A3B0B" w:rsidRPr="003860F5">
        <w:rPr>
          <w:rFonts w:cs="Tahoma"/>
          <w:b/>
          <w:bCs/>
        </w:rPr>
        <w:t>Information Collection</w:t>
      </w:r>
      <w:r w:rsidRPr="003860F5">
        <w:rPr>
          <w:rFonts w:cs="Tahoma"/>
          <w:b/>
          <w:bCs/>
        </w:rPr>
        <w:t xml:space="preserve"> prior to submission to OMB. Summarize public com</w:t>
      </w:r>
      <w:r w:rsidRPr="003860F5">
        <w:rPr>
          <w:rFonts w:cs="Tahoma"/>
          <w:b/>
          <w:bCs/>
        </w:rPr>
        <w:softHyphen/>
        <w:t>ments received in response to that notice and describe actions taken by the agency in response to these comments. Specifically address com</w:t>
      </w:r>
      <w:r w:rsidRPr="003860F5">
        <w:rPr>
          <w:rFonts w:cs="Tahoma"/>
          <w:b/>
          <w:bCs/>
        </w:rPr>
        <w:softHyphen/>
        <w:t xml:space="preserve">ments received on cost and hour burden. </w:t>
      </w:r>
    </w:p>
    <w:p w14:paraId="628C8CAF" w14:textId="77777777" w:rsidR="003860F5" w:rsidRPr="003860F5" w:rsidRDefault="003860F5" w:rsidP="001019CD">
      <w:pPr>
        <w:spacing w:after="0" w:line="240" w:lineRule="auto"/>
        <w:rPr>
          <w:rFonts w:cs="Tahoma"/>
          <w:bCs/>
        </w:rPr>
      </w:pPr>
    </w:p>
    <w:p w14:paraId="4A1652CA" w14:textId="26F95733" w:rsidR="008914A7" w:rsidRPr="008914A7" w:rsidRDefault="00076F7B" w:rsidP="008914A7">
      <w:pPr>
        <w:rPr>
          <w:rFonts w:cs="Tahoma"/>
          <w:bCs/>
        </w:rPr>
      </w:pPr>
      <w:r>
        <w:rPr>
          <w:rFonts w:cs="Tahoma"/>
          <w:bCs/>
        </w:rPr>
        <w:t xml:space="preserve">The Forest Service published a request for comment in the Federal Register (83 FR 19681) on May 4, 2018. This Federal Register Notice notified the public of the Agency’s desire to receive public by-in regarding the Agency’s request for an emergency approval of an information collection. The Forest Service did not receive any comments. </w:t>
      </w:r>
    </w:p>
    <w:p w14:paraId="44FDF28F" w14:textId="77777777" w:rsidR="003860F5" w:rsidRPr="003860F5" w:rsidRDefault="003860F5" w:rsidP="001019CD">
      <w:pPr>
        <w:spacing w:after="0" w:line="240" w:lineRule="auto"/>
        <w:rPr>
          <w:rFonts w:cs="Tahoma"/>
          <w:b/>
          <w:bCs/>
        </w:rPr>
      </w:pPr>
    </w:p>
    <w:p w14:paraId="61CB5684" w14:textId="77777777" w:rsidR="00C941F6" w:rsidRPr="003860F5" w:rsidRDefault="00C37CD8" w:rsidP="003860F5">
      <w:pPr>
        <w:spacing w:after="0" w:line="240" w:lineRule="auto"/>
        <w:ind w:left="720"/>
        <w:rPr>
          <w:rFonts w:cs="Tahoma"/>
          <w:b/>
          <w:bCs/>
        </w:rPr>
      </w:pPr>
      <w:r w:rsidRPr="003860F5">
        <w:rPr>
          <w:rFonts w:cs="Tahoma"/>
          <w:b/>
          <w:bCs/>
        </w:rPr>
        <w:t>Describe efforts to consult with persons out</w:t>
      </w:r>
      <w:r w:rsidRPr="003860F5">
        <w:rPr>
          <w:rFonts w:cs="Tahoma"/>
          <w:b/>
          <w:bCs/>
        </w:rPr>
        <w:softHyphen/>
        <w:t>side the agency to obtain their views on the availability of data, frequency of collection, the clarity of instructions and record</w:t>
      </w:r>
      <w:r w:rsidR="00063823" w:rsidRPr="003860F5">
        <w:rPr>
          <w:rFonts w:cs="Tahoma"/>
          <w:b/>
          <w:bCs/>
        </w:rPr>
        <w:t xml:space="preserve"> </w:t>
      </w:r>
      <w:r w:rsidRPr="003860F5">
        <w:rPr>
          <w:rFonts w:cs="Tahoma"/>
          <w:b/>
          <w:bCs/>
        </w:rPr>
        <w:t>keeping, disclosure, or reporting format (if any), and on the data elements to be recorded, disclosed, or reported.</w:t>
      </w:r>
    </w:p>
    <w:p w14:paraId="0BEC1B2B" w14:textId="77777777" w:rsidR="0042765B" w:rsidRDefault="0042765B" w:rsidP="001019CD">
      <w:pPr>
        <w:spacing w:after="0" w:line="240" w:lineRule="auto"/>
        <w:rPr>
          <w:rFonts w:cs="Tahoma"/>
          <w:color w:val="000000"/>
        </w:rPr>
      </w:pPr>
    </w:p>
    <w:p w14:paraId="5D4F41BF" w14:textId="77777777" w:rsidR="003860F5" w:rsidRPr="003860F5" w:rsidRDefault="003860F5" w:rsidP="001019CD">
      <w:pPr>
        <w:spacing w:after="0" w:line="240" w:lineRule="auto"/>
        <w:rPr>
          <w:rFonts w:cs="Tahoma"/>
          <w:b/>
          <w:bCs/>
        </w:rPr>
      </w:pPr>
    </w:p>
    <w:p w14:paraId="461F6761" w14:textId="77777777" w:rsidR="00C37CD8" w:rsidRPr="003860F5" w:rsidRDefault="00C37CD8" w:rsidP="003860F5">
      <w:pPr>
        <w:spacing w:after="0" w:line="240" w:lineRule="auto"/>
        <w:ind w:left="720"/>
        <w:rPr>
          <w:rFonts w:cs="Tahoma"/>
        </w:rPr>
      </w:pPr>
      <w:r w:rsidRPr="003860F5">
        <w:rPr>
          <w:rFonts w:cs="Tahoma"/>
          <w:b/>
          <w:bCs/>
        </w:rPr>
        <w:t>Consultation with representatives of those from whom information is to be obtained or those who must compile records should occur at least once every 3 years even if the col</w:t>
      </w:r>
      <w:r w:rsidRPr="003860F5">
        <w:rPr>
          <w:rFonts w:cs="Tahoma"/>
          <w:b/>
          <w:bCs/>
        </w:rPr>
        <w:softHyphen/>
        <w:t>lection of information activity is the same as in prior periods. There may be circumstances that may preclude consultation in a specific situation. These circumstances should be explained.</w:t>
      </w:r>
    </w:p>
    <w:p w14:paraId="449A2882" w14:textId="77777777" w:rsidR="003860F5" w:rsidRPr="003860F5" w:rsidRDefault="003860F5" w:rsidP="001019CD">
      <w:pPr>
        <w:spacing w:after="0" w:line="240" w:lineRule="auto"/>
        <w:rPr>
          <w:rFonts w:cs="Tahoma"/>
          <w:bCs/>
        </w:rPr>
      </w:pPr>
    </w:p>
    <w:p w14:paraId="7BF360A4" w14:textId="77777777" w:rsidR="003860F5" w:rsidRPr="001C792A" w:rsidRDefault="003860F5" w:rsidP="001019CD">
      <w:pPr>
        <w:spacing w:after="0" w:line="240" w:lineRule="auto"/>
        <w:rPr>
          <w:rFonts w:cs="Tahoma"/>
          <w:color w:val="000000"/>
        </w:rPr>
      </w:pPr>
    </w:p>
    <w:p w14:paraId="6F7A52E5" w14:textId="543A8276"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Explain any decision to provide any payment or gift to respondents, other than re</w:t>
      </w:r>
      <w:r w:rsidR="00063823" w:rsidRPr="003860F5">
        <w:rPr>
          <w:rFonts w:cs="Tahoma"/>
          <w:b/>
          <w:bCs/>
        </w:rPr>
        <w:t>-</w:t>
      </w:r>
      <w:r w:rsidRPr="003860F5">
        <w:rPr>
          <w:rFonts w:cs="Tahoma"/>
          <w:b/>
          <w:bCs/>
        </w:rPr>
        <w:t>enumeration of contractors or grantees.</w:t>
      </w:r>
    </w:p>
    <w:p w14:paraId="0DA2172F" w14:textId="77777777" w:rsidR="003860F5" w:rsidRDefault="003860F5" w:rsidP="001019CD">
      <w:pPr>
        <w:spacing w:after="0" w:line="240" w:lineRule="auto"/>
        <w:rPr>
          <w:rFonts w:cs="Tahoma"/>
        </w:rPr>
      </w:pPr>
    </w:p>
    <w:p w14:paraId="630D4B3F" w14:textId="45359D60" w:rsidR="00DA6EB5" w:rsidRPr="001C792A" w:rsidRDefault="003860F5" w:rsidP="001019CD">
      <w:pPr>
        <w:spacing w:after="0" w:line="240" w:lineRule="auto"/>
        <w:rPr>
          <w:rFonts w:cs="Tahoma"/>
        </w:rPr>
      </w:pPr>
      <w:r w:rsidRPr="003860F5">
        <w:rPr>
          <w:rFonts w:cs="Tahoma"/>
        </w:rPr>
        <w:t xml:space="preserve">Responses are voluntary, and no payments or gifts </w:t>
      </w:r>
      <w:r w:rsidR="00176390">
        <w:rPr>
          <w:rFonts w:cs="Tahoma"/>
        </w:rPr>
        <w:t>will be</w:t>
      </w:r>
      <w:r w:rsidR="00176390" w:rsidRPr="003860F5">
        <w:rPr>
          <w:rFonts w:cs="Tahoma"/>
        </w:rPr>
        <w:t xml:space="preserve"> </w:t>
      </w:r>
      <w:r w:rsidR="00176390">
        <w:rPr>
          <w:rFonts w:cs="Tahoma"/>
        </w:rPr>
        <w:t>provided</w:t>
      </w:r>
      <w:r w:rsidR="00176390" w:rsidRPr="003860F5">
        <w:rPr>
          <w:rFonts w:cs="Tahoma"/>
        </w:rPr>
        <w:t xml:space="preserve"> </w:t>
      </w:r>
      <w:r w:rsidRPr="003860F5">
        <w:rPr>
          <w:rFonts w:cs="Tahoma"/>
        </w:rPr>
        <w:t xml:space="preserve">to any respondents.  </w:t>
      </w:r>
      <w:r w:rsidR="00B36FF8" w:rsidRPr="001C792A">
        <w:rPr>
          <w:rFonts w:cs="Tahoma"/>
        </w:rPr>
        <w:t xml:space="preserve">A </w:t>
      </w:r>
      <w:r w:rsidR="00D63E64" w:rsidRPr="001C792A">
        <w:rPr>
          <w:rFonts w:cs="Tahoma"/>
        </w:rPr>
        <w:t>modest non-monetary incentive</w:t>
      </w:r>
      <w:r w:rsidR="00B36FF8" w:rsidRPr="001C792A">
        <w:rPr>
          <w:rFonts w:cs="Tahoma"/>
        </w:rPr>
        <w:t xml:space="preserve"> </w:t>
      </w:r>
      <w:r w:rsidR="00D63E64" w:rsidRPr="001C792A">
        <w:rPr>
          <w:rFonts w:cs="Tahoma"/>
        </w:rPr>
        <w:t>(</w:t>
      </w:r>
      <w:r w:rsidR="006951D6" w:rsidRPr="001C792A">
        <w:rPr>
          <w:rFonts w:cs="Tahoma"/>
        </w:rPr>
        <w:t xml:space="preserve">such as local museum passes </w:t>
      </w:r>
      <w:r w:rsidR="00D63E64" w:rsidRPr="001C792A">
        <w:rPr>
          <w:rFonts w:cs="Tahoma"/>
        </w:rPr>
        <w:t xml:space="preserve">or a book) </w:t>
      </w:r>
      <w:r w:rsidR="00B36FF8" w:rsidRPr="001C792A">
        <w:rPr>
          <w:rFonts w:cs="Tahoma"/>
        </w:rPr>
        <w:t xml:space="preserve">may be </w:t>
      </w:r>
      <w:r w:rsidR="00256097" w:rsidRPr="001C792A">
        <w:rPr>
          <w:rFonts w:cs="Tahoma"/>
        </w:rPr>
        <w:t>offered</w:t>
      </w:r>
      <w:r w:rsidR="00B36FF8" w:rsidRPr="001C792A">
        <w:rPr>
          <w:rFonts w:cs="Tahoma"/>
        </w:rPr>
        <w:t xml:space="preserve"> </w:t>
      </w:r>
      <w:r>
        <w:rPr>
          <w:rFonts w:cs="Tahoma"/>
        </w:rPr>
        <w:t>if possible and deemed appropriate</w:t>
      </w:r>
      <w:r w:rsidR="00B36FF8" w:rsidRPr="001C792A">
        <w:rPr>
          <w:rFonts w:cs="Tahoma"/>
        </w:rPr>
        <w:t>.</w:t>
      </w:r>
      <w:r w:rsidR="00911BF7" w:rsidRPr="001C792A">
        <w:rPr>
          <w:rFonts w:cs="Tahoma"/>
        </w:rPr>
        <w:t xml:space="preserve"> Such tokens will be nominal in value, and will be used to increase participation and to signify mutual respect between the researchers and participants.</w:t>
      </w:r>
    </w:p>
    <w:p w14:paraId="65FADC53" w14:textId="77777777" w:rsidR="003860F5" w:rsidRDefault="003860F5" w:rsidP="003860F5">
      <w:pPr>
        <w:spacing w:after="0" w:line="240" w:lineRule="auto"/>
        <w:rPr>
          <w:rFonts w:cs="Tahoma"/>
          <w:b/>
          <w:bCs/>
        </w:rPr>
      </w:pPr>
    </w:p>
    <w:p w14:paraId="100CABBF" w14:textId="24BB15F2" w:rsidR="001358EC" w:rsidRPr="003860F5" w:rsidRDefault="00C37CD8" w:rsidP="003860F5">
      <w:pPr>
        <w:pStyle w:val="ListParagraph"/>
        <w:numPr>
          <w:ilvl w:val="0"/>
          <w:numId w:val="56"/>
        </w:numPr>
        <w:spacing w:after="0" w:line="240" w:lineRule="auto"/>
        <w:rPr>
          <w:rFonts w:cs="Tahoma"/>
          <w:b/>
          <w:bCs/>
        </w:rPr>
      </w:pPr>
      <w:r w:rsidRPr="003860F5">
        <w:rPr>
          <w:rFonts w:cs="Tahoma"/>
          <w:b/>
          <w:bCs/>
        </w:rPr>
        <w:t>Describe any assurance of confidentiality provided to respondents and the basis for the assurance in statute, regulation, or agency policy.</w:t>
      </w:r>
    </w:p>
    <w:p w14:paraId="20946301" w14:textId="77777777" w:rsidR="003860F5" w:rsidRDefault="003860F5" w:rsidP="001019CD">
      <w:pPr>
        <w:spacing w:after="0" w:line="240" w:lineRule="auto"/>
        <w:rPr>
          <w:rFonts w:cs="Tahoma"/>
        </w:rPr>
      </w:pPr>
    </w:p>
    <w:p w14:paraId="4A4DB162" w14:textId="1E48D892" w:rsidR="00176390" w:rsidRDefault="002F3E15" w:rsidP="001019CD">
      <w:pPr>
        <w:spacing w:after="0" w:line="240" w:lineRule="auto"/>
        <w:rPr>
          <w:rFonts w:cs="Tahoma"/>
        </w:rPr>
      </w:pPr>
      <w:r w:rsidRPr="001C792A">
        <w:rPr>
          <w:rFonts w:cs="Tahoma"/>
        </w:rPr>
        <w:t>C</w:t>
      </w:r>
      <w:r w:rsidR="00AD4FF4" w:rsidRPr="001C792A">
        <w:rPr>
          <w:rFonts w:cs="Tahoma"/>
        </w:rPr>
        <w:t>onfidentiality</w:t>
      </w:r>
      <w:r w:rsidRPr="001C792A">
        <w:rPr>
          <w:rFonts w:cs="Tahoma"/>
        </w:rPr>
        <w:t xml:space="preserve"> and/or </w:t>
      </w:r>
      <w:r w:rsidR="00AD4FF4" w:rsidRPr="001C792A">
        <w:rPr>
          <w:rFonts w:cs="Tahoma"/>
        </w:rPr>
        <w:t xml:space="preserve">anonymity of participants and places will be assured by keeping any personal identifying information separate from information provided in </w:t>
      </w:r>
      <w:r w:rsidR="003860F5">
        <w:rPr>
          <w:rFonts w:cs="Tahoma"/>
        </w:rPr>
        <w:t xml:space="preserve">focus groups and </w:t>
      </w:r>
      <w:r w:rsidR="00AD4FF4" w:rsidRPr="001C792A">
        <w:rPr>
          <w:rFonts w:cs="Tahoma"/>
        </w:rPr>
        <w:t>interviews</w:t>
      </w:r>
      <w:r w:rsidR="0072005D" w:rsidRPr="001C792A">
        <w:rPr>
          <w:rFonts w:cs="Tahoma"/>
        </w:rPr>
        <w:t xml:space="preserve"> or observation</w:t>
      </w:r>
      <w:r w:rsidR="00FA2D5C" w:rsidRPr="001C792A">
        <w:rPr>
          <w:rFonts w:cs="Tahoma"/>
        </w:rPr>
        <w:t xml:space="preserve">. </w:t>
      </w:r>
      <w:r w:rsidR="003860F5" w:rsidRPr="003860F5">
        <w:rPr>
          <w:rFonts w:cs="Tahoma"/>
        </w:rPr>
        <w:t xml:space="preserve">A confidentiality statement </w:t>
      </w:r>
      <w:r w:rsidR="003860F5">
        <w:rPr>
          <w:rFonts w:cs="Tahoma"/>
        </w:rPr>
        <w:t>will be provided in focus groups and interviews, indicating t</w:t>
      </w:r>
      <w:r w:rsidR="00D7309F">
        <w:rPr>
          <w:rFonts w:cs="Tahoma"/>
        </w:rPr>
        <w:t xml:space="preserve">he following: </w:t>
      </w:r>
      <w:r w:rsidR="003860F5">
        <w:rPr>
          <w:rFonts w:cs="Tahoma"/>
        </w:rPr>
        <w:t xml:space="preserve"> </w:t>
      </w:r>
      <w:r w:rsidR="003860F5" w:rsidRPr="003860F5">
        <w:rPr>
          <w:rFonts w:cs="Tahoma"/>
        </w:rPr>
        <w:t>“</w:t>
      </w:r>
      <w:r w:rsidR="00D7309F">
        <w:rPr>
          <w:rFonts w:cs="Tahoma"/>
          <w:iCs/>
        </w:rPr>
        <w:t>P</w:t>
      </w:r>
      <w:r w:rsidR="003860F5" w:rsidRPr="003860F5">
        <w:rPr>
          <w:rFonts w:cs="Tahoma"/>
          <w:iCs/>
        </w:rPr>
        <w:t xml:space="preserve">articipation in this </w:t>
      </w:r>
      <w:r w:rsidR="003860F5">
        <w:rPr>
          <w:rFonts w:cs="Tahoma"/>
          <w:iCs/>
        </w:rPr>
        <w:t>research</w:t>
      </w:r>
      <w:r w:rsidR="003860F5" w:rsidRPr="003860F5">
        <w:rPr>
          <w:rFonts w:cs="Tahoma"/>
          <w:iCs/>
        </w:rPr>
        <w:t xml:space="preserve"> is voluntary.  Your </w:t>
      </w:r>
      <w:r w:rsidR="003860F5">
        <w:rPr>
          <w:rFonts w:cs="Tahoma"/>
          <w:iCs/>
        </w:rPr>
        <w:t xml:space="preserve">statements and </w:t>
      </w:r>
      <w:r w:rsidR="003860F5" w:rsidRPr="003860F5">
        <w:rPr>
          <w:rFonts w:cs="Tahoma"/>
          <w:iCs/>
        </w:rPr>
        <w:t>answers to questions will be kept confidential and will be combined with those of others.  The results will only be used to determine patterns and trends.</w:t>
      </w:r>
      <w:r w:rsidR="00176390">
        <w:rPr>
          <w:rFonts w:cs="Tahoma"/>
          <w:iCs/>
        </w:rPr>
        <w:t xml:space="preserve">  No personally identifiable information will be included in the reporting of research results.</w:t>
      </w:r>
      <w:r w:rsidR="003860F5" w:rsidRPr="003860F5">
        <w:rPr>
          <w:rFonts w:cs="Tahoma"/>
          <w:iCs/>
        </w:rPr>
        <w:t>”</w:t>
      </w:r>
      <w:r w:rsidR="003860F5">
        <w:rPr>
          <w:rFonts w:cs="Tahoma"/>
          <w:iCs/>
        </w:rPr>
        <w:t xml:space="preserve">  </w:t>
      </w:r>
      <w:r w:rsidR="00AD4FF4" w:rsidRPr="001C792A">
        <w:rPr>
          <w:rFonts w:cs="Tahoma"/>
        </w:rPr>
        <w:t xml:space="preserve">The exception </w:t>
      </w:r>
      <w:r w:rsidR="00176390">
        <w:rPr>
          <w:rFonts w:cs="Tahoma"/>
        </w:rPr>
        <w:t>would</w:t>
      </w:r>
      <w:r w:rsidR="00176390" w:rsidRPr="001C792A">
        <w:rPr>
          <w:rFonts w:cs="Tahoma"/>
        </w:rPr>
        <w:t xml:space="preserve"> </w:t>
      </w:r>
      <w:r w:rsidR="00AD4FF4" w:rsidRPr="001C792A">
        <w:rPr>
          <w:rFonts w:cs="Tahoma"/>
        </w:rPr>
        <w:t xml:space="preserve">be </w:t>
      </w:r>
      <w:r w:rsidR="00176390">
        <w:rPr>
          <w:rFonts w:cs="Tahoma"/>
        </w:rPr>
        <w:t xml:space="preserve">limited to </w:t>
      </w:r>
      <w:r w:rsidR="00AD4FF4" w:rsidRPr="001C792A">
        <w:rPr>
          <w:rFonts w:cs="Tahoma"/>
        </w:rPr>
        <w:t>instances in which individuals explicitly request to have their names associated with the information they provide</w:t>
      </w:r>
      <w:r w:rsidR="00176390">
        <w:rPr>
          <w:rFonts w:cs="Tahoma"/>
        </w:rPr>
        <w:t xml:space="preserve">. </w:t>
      </w:r>
    </w:p>
    <w:p w14:paraId="240A8C51" w14:textId="77777777" w:rsidR="003860F5" w:rsidRPr="001C792A" w:rsidRDefault="003860F5" w:rsidP="001019CD">
      <w:pPr>
        <w:spacing w:after="0" w:line="240" w:lineRule="auto"/>
        <w:rPr>
          <w:rFonts w:cs="Tahoma"/>
        </w:rPr>
      </w:pPr>
    </w:p>
    <w:p w14:paraId="4E448AC1" w14:textId="4BBE171A" w:rsidR="00AD4FF4" w:rsidRDefault="00E3023E" w:rsidP="001019CD">
      <w:pPr>
        <w:spacing w:after="0" w:line="240" w:lineRule="auto"/>
        <w:rPr>
          <w:rFonts w:cs="Tahoma"/>
        </w:rPr>
      </w:pPr>
      <w:r w:rsidRPr="001C792A">
        <w:rPr>
          <w:rFonts w:cs="Tahoma"/>
        </w:rPr>
        <w:t>In case of FOIA requests for specific information, we will disclose what is required by law. Personal or financial information would be kept confidential under FOIA exemptions 4 (“</w:t>
      </w:r>
      <w:r w:rsidR="00B7538F" w:rsidRPr="001C792A">
        <w:rPr>
          <w:rFonts w:cs="Tahoma"/>
        </w:rPr>
        <w:t>i</w:t>
      </w:r>
      <w:r w:rsidRPr="001C792A">
        <w:rPr>
          <w:rFonts w:cs="Tahoma"/>
        </w:rPr>
        <w:t>nformation that concerns business trade secrets or other confidential commercial or financial information”) and 6 (“</w:t>
      </w:r>
      <w:r w:rsidR="00B7538F" w:rsidRPr="001C792A">
        <w:rPr>
          <w:rFonts w:cs="Tahoma"/>
        </w:rPr>
        <w:t>i</w:t>
      </w:r>
      <w:r w:rsidRPr="001C792A">
        <w:rPr>
          <w:rFonts w:cs="Tahoma"/>
        </w:rPr>
        <w:t>nformation that, if disclosed, would invade another individual's personal privacy”).</w:t>
      </w:r>
    </w:p>
    <w:p w14:paraId="7D8457ED" w14:textId="77777777" w:rsidR="003860F5" w:rsidRPr="001C792A" w:rsidRDefault="003860F5" w:rsidP="001019CD">
      <w:pPr>
        <w:spacing w:after="0" w:line="240" w:lineRule="auto"/>
        <w:rPr>
          <w:rFonts w:cs="Tahoma"/>
        </w:rPr>
      </w:pPr>
    </w:p>
    <w:p w14:paraId="368BDAC4" w14:textId="61A64460"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Provide additional justification for any questions of a sensitive nature, such as sexual behavior or attitudes, religious beliefs, and other matters that are commonly considered private</w:t>
      </w:r>
      <w:r w:rsidR="00FA2D5C" w:rsidRPr="003860F5">
        <w:rPr>
          <w:rFonts w:cs="Tahoma"/>
          <w:b/>
          <w:bCs/>
        </w:rPr>
        <w:t xml:space="preserve">. </w:t>
      </w:r>
      <w:r w:rsidRPr="003860F5">
        <w:rPr>
          <w:rFonts w:cs="Tahoma"/>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92E13AF" w14:textId="77777777" w:rsidR="003860F5" w:rsidRDefault="003860F5" w:rsidP="001019CD">
      <w:pPr>
        <w:spacing w:after="0" w:line="240" w:lineRule="auto"/>
        <w:rPr>
          <w:rFonts w:cs="Tahoma"/>
        </w:rPr>
      </w:pPr>
    </w:p>
    <w:p w14:paraId="769002B1" w14:textId="233F2285" w:rsidR="00A53EA2" w:rsidRDefault="003860F5" w:rsidP="001019CD">
      <w:pPr>
        <w:spacing w:after="0" w:line="240" w:lineRule="auto"/>
        <w:rPr>
          <w:rFonts w:cs="Tahoma"/>
        </w:rPr>
      </w:pPr>
      <w:r>
        <w:rPr>
          <w:rFonts w:cs="Tahoma"/>
        </w:rPr>
        <w:t>No information of a sensitive nature will be collected or asked.  Furthermore, research</w:t>
      </w:r>
      <w:r w:rsidR="00876AAB" w:rsidRPr="001C792A">
        <w:rPr>
          <w:rFonts w:cs="Tahoma"/>
        </w:rPr>
        <w:t xml:space="preserve"> </w:t>
      </w:r>
      <w:r w:rsidR="0020777F" w:rsidRPr="001C792A">
        <w:rPr>
          <w:rFonts w:cs="Tahoma"/>
        </w:rPr>
        <w:t>p</w:t>
      </w:r>
      <w:r w:rsidR="00AD4FF4" w:rsidRPr="001C792A">
        <w:rPr>
          <w:rFonts w:cs="Tahoma"/>
        </w:rPr>
        <w:t xml:space="preserve">articipants </w:t>
      </w:r>
      <w:r w:rsidR="0020777F" w:rsidRPr="001C792A">
        <w:rPr>
          <w:rFonts w:cs="Tahoma"/>
        </w:rPr>
        <w:t xml:space="preserve">will be clearly </w:t>
      </w:r>
      <w:r>
        <w:rPr>
          <w:rFonts w:cs="Tahoma"/>
        </w:rPr>
        <w:t>informed</w:t>
      </w:r>
      <w:r w:rsidR="0020777F" w:rsidRPr="001C792A">
        <w:rPr>
          <w:rFonts w:cs="Tahoma"/>
        </w:rPr>
        <w:t xml:space="preserve"> </w:t>
      </w:r>
      <w:r w:rsidR="00AD4FF4" w:rsidRPr="001C792A">
        <w:rPr>
          <w:rFonts w:cs="Tahoma"/>
        </w:rPr>
        <w:t xml:space="preserve">that they need not </w:t>
      </w:r>
      <w:r>
        <w:rPr>
          <w:rFonts w:cs="Tahoma"/>
        </w:rPr>
        <w:t xml:space="preserve">provide </w:t>
      </w:r>
      <w:r w:rsidR="00AD4FF4" w:rsidRPr="001C792A">
        <w:rPr>
          <w:rFonts w:cs="Tahoma"/>
        </w:rPr>
        <w:t>answer</w:t>
      </w:r>
      <w:r>
        <w:rPr>
          <w:rFonts w:cs="Tahoma"/>
        </w:rPr>
        <w:t xml:space="preserve">s to any questions which they choose not to answer for any reason, that their participation is completely voluntary, and that </w:t>
      </w:r>
      <w:r w:rsidR="004C0F45" w:rsidRPr="001C792A">
        <w:rPr>
          <w:rFonts w:cs="Tahoma"/>
        </w:rPr>
        <w:t>there is no penalty for non-</w:t>
      </w:r>
      <w:r w:rsidR="008218E4" w:rsidRPr="001C792A">
        <w:rPr>
          <w:rFonts w:cs="Tahoma"/>
        </w:rPr>
        <w:t>participation.</w:t>
      </w:r>
    </w:p>
    <w:p w14:paraId="6A18F835" w14:textId="77777777" w:rsidR="003860F5" w:rsidRDefault="003860F5" w:rsidP="003860F5">
      <w:pPr>
        <w:spacing w:after="0" w:line="240" w:lineRule="auto"/>
        <w:rPr>
          <w:rFonts w:cs="Tahoma"/>
          <w:b/>
          <w:bCs/>
        </w:rPr>
      </w:pPr>
    </w:p>
    <w:p w14:paraId="73379E07" w14:textId="4E756A3E"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Provide estimates of the hour burden of the collection of information</w:t>
      </w:r>
      <w:r w:rsidR="00FA2D5C" w:rsidRPr="003860F5">
        <w:rPr>
          <w:rFonts w:cs="Tahoma"/>
          <w:b/>
          <w:bCs/>
        </w:rPr>
        <w:t xml:space="preserve">. </w:t>
      </w:r>
      <w:r w:rsidRPr="003860F5">
        <w:rPr>
          <w:rFonts w:cs="Tahoma"/>
          <w:b/>
          <w:bCs/>
        </w:rPr>
        <w:t>Indicate the number of respondents, frequency of response, annual hour burden, and an explanation of how the burden was estimated.</w:t>
      </w:r>
    </w:p>
    <w:p w14:paraId="6BD02CFA" w14:textId="6C9D73C7" w:rsidR="00C37CD8" w:rsidRPr="001C792A" w:rsidRDefault="00C37CD8" w:rsidP="003860F5">
      <w:pPr>
        <w:pStyle w:val="ListParagraph"/>
        <w:numPr>
          <w:ilvl w:val="1"/>
          <w:numId w:val="54"/>
        </w:numPr>
        <w:shd w:val="clear" w:color="auto" w:fill="FFFFFF"/>
        <w:spacing w:after="240"/>
        <w:rPr>
          <w:rFonts w:cs="Tahoma"/>
          <w:b/>
          <w:bCs/>
        </w:rPr>
      </w:pPr>
      <w:r w:rsidRPr="001C792A">
        <w:rPr>
          <w:rFonts w:cs="Tahoma"/>
          <w:b/>
          <w:bCs/>
        </w:rPr>
        <w:t>Indicate the number of respo</w:t>
      </w:r>
      <w:r w:rsidR="00890057" w:rsidRPr="001C792A">
        <w:rPr>
          <w:rFonts w:cs="Tahoma"/>
          <w:b/>
          <w:bCs/>
        </w:rPr>
        <w:t xml:space="preserve">ndents, frequency of response, </w:t>
      </w:r>
      <w:r w:rsidRPr="001C792A">
        <w:rPr>
          <w:rFonts w:cs="Tahoma"/>
          <w:b/>
          <w:bCs/>
        </w:rPr>
        <w:t>annual hour burden, and an explanation of how the burde</w:t>
      </w:r>
      <w:r w:rsidR="00890057" w:rsidRPr="001C792A">
        <w:rPr>
          <w:rFonts w:cs="Tahoma"/>
          <w:b/>
          <w:bCs/>
        </w:rPr>
        <w:t xml:space="preserve">n was </w:t>
      </w:r>
      <w:r w:rsidRPr="001C792A">
        <w:rPr>
          <w:rFonts w:cs="Tahoma"/>
          <w:b/>
          <w:bCs/>
        </w:rPr>
        <w:t>estimated. If this request for approval covers more than one form, provide separate hour burden estimates for each</w:t>
      </w:r>
      <w:r w:rsidR="00862A24" w:rsidRPr="001C792A">
        <w:rPr>
          <w:rFonts w:cs="Tahoma"/>
          <w:b/>
          <w:bCs/>
        </w:rPr>
        <w:t xml:space="preserve"> form</w:t>
      </w:r>
      <w:r w:rsidRPr="001C792A">
        <w:rPr>
          <w:rFonts w:cs="Tahoma"/>
          <w:b/>
          <w:bCs/>
        </w:rPr>
        <w:t>.</w:t>
      </w:r>
    </w:p>
    <w:p w14:paraId="2C5A72CD" w14:textId="77777777" w:rsidR="00890057" w:rsidRPr="001C792A" w:rsidRDefault="00C37CD8" w:rsidP="003860F5">
      <w:pPr>
        <w:pStyle w:val="ListParagraph"/>
        <w:shd w:val="clear" w:color="auto" w:fill="FFFFFF"/>
        <w:spacing w:after="240"/>
        <w:ind w:firstLine="720"/>
        <w:rPr>
          <w:rFonts w:cs="Tahoma"/>
          <w:b/>
          <w:bCs/>
        </w:rPr>
      </w:pPr>
      <w:r w:rsidRPr="001C792A">
        <w:rPr>
          <w:rFonts w:cs="Tahoma"/>
          <w:b/>
          <w:bCs/>
        </w:rPr>
        <w:t xml:space="preserve">a) </w:t>
      </w:r>
      <w:r w:rsidR="00890057" w:rsidRPr="001C792A">
        <w:rPr>
          <w:rFonts w:cs="Tahoma"/>
          <w:b/>
          <w:bCs/>
        </w:rPr>
        <w:t>D</w:t>
      </w:r>
      <w:r w:rsidRPr="001C792A">
        <w:rPr>
          <w:rFonts w:cs="Tahoma"/>
          <w:b/>
          <w:bCs/>
        </w:rPr>
        <w:t xml:space="preserve">escription of the collection activity </w:t>
      </w:r>
    </w:p>
    <w:p w14:paraId="24F2DF3E" w14:textId="77777777" w:rsidR="00C37CD8" w:rsidRPr="001C792A" w:rsidRDefault="00890057" w:rsidP="003860F5">
      <w:pPr>
        <w:pStyle w:val="ListParagraph"/>
        <w:shd w:val="clear" w:color="auto" w:fill="FFFFFF"/>
        <w:spacing w:after="240"/>
        <w:ind w:left="1440"/>
        <w:rPr>
          <w:rFonts w:cs="Tahoma"/>
          <w:b/>
          <w:bCs/>
        </w:rPr>
      </w:pPr>
      <w:r w:rsidRPr="001C792A">
        <w:rPr>
          <w:rFonts w:cs="Tahoma"/>
          <w:b/>
          <w:bCs/>
        </w:rPr>
        <w:t>b) C</w:t>
      </w:r>
      <w:r w:rsidR="00C37CD8" w:rsidRPr="001C792A">
        <w:rPr>
          <w:rFonts w:cs="Tahoma"/>
          <w:b/>
          <w:bCs/>
        </w:rPr>
        <w:t>orrespondi</w:t>
      </w:r>
      <w:r w:rsidRPr="001C792A">
        <w:rPr>
          <w:rFonts w:cs="Tahoma"/>
          <w:b/>
          <w:bCs/>
        </w:rPr>
        <w:t>ng form number (if applicable)</w:t>
      </w:r>
    </w:p>
    <w:p w14:paraId="146B0CEA" w14:textId="77777777" w:rsidR="00C37CD8" w:rsidRPr="001C792A" w:rsidRDefault="00C37CD8" w:rsidP="003860F5">
      <w:pPr>
        <w:pStyle w:val="ListParagraph"/>
        <w:shd w:val="clear" w:color="auto" w:fill="FFFFFF"/>
        <w:spacing w:after="240"/>
        <w:ind w:left="1440"/>
        <w:rPr>
          <w:rFonts w:cs="Tahoma"/>
          <w:b/>
          <w:bCs/>
        </w:rPr>
      </w:pPr>
      <w:r w:rsidRPr="001C792A">
        <w:rPr>
          <w:rFonts w:cs="Tahoma"/>
          <w:b/>
          <w:bCs/>
        </w:rPr>
        <w:t xml:space="preserve">c) </w:t>
      </w:r>
      <w:r w:rsidR="00890057" w:rsidRPr="001C792A">
        <w:rPr>
          <w:rFonts w:cs="Tahoma"/>
          <w:b/>
          <w:bCs/>
        </w:rPr>
        <w:t>Number of respondents</w:t>
      </w:r>
    </w:p>
    <w:p w14:paraId="69DB3A1B" w14:textId="77777777" w:rsidR="00C37CD8" w:rsidRPr="001C792A" w:rsidRDefault="00890057" w:rsidP="003860F5">
      <w:pPr>
        <w:pStyle w:val="ListParagraph"/>
        <w:shd w:val="clear" w:color="auto" w:fill="FFFFFF"/>
        <w:spacing w:after="240"/>
        <w:ind w:firstLine="720"/>
        <w:rPr>
          <w:rFonts w:cs="Tahoma"/>
          <w:b/>
          <w:bCs/>
        </w:rPr>
      </w:pPr>
      <w:r w:rsidRPr="001C792A">
        <w:rPr>
          <w:rFonts w:cs="Tahoma"/>
          <w:b/>
          <w:bCs/>
        </w:rPr>
        <w:t>d) N</w:t>
      </w:r>
      <w:r w:rsidR="00C37CD8" w:rsidRPr="001C792A">
        <w:rPr>
          <w:rFonts w:cs="Tahoma"/>
          <w:b/>
          <w:bCs/>
        </w:rPr>
        <w:t xml:space="preserve">umber of responses annually per respondent, </w:t>
      </w:r>
    </w:p>
    <w:p w14:paraId="1A511A7E" w14:textId="77777777" w:rsidR="00C37CD8" w:rsidRPr="001C792A" w:rsidRDefault="00890057" w:rsidP="003860F5">
      <w:pPr>
        <w:pStyle w:val="ListParagraph"/>
        <w:shd w:val="clear" w:color="auto" w:fill="FFFFFF"/>
        <w:spacing w:after="240"/>
        <w:ind w:firstLine="720"/>
        <w:rPr>
          <w:rFonts w:cs="Tahoma"/>
          <w:b/>
          <w:bCs/>
        </w:rPr>
      </w:pPr>
      <w:r w:rsidRPr="001C792A">
        <w:rPr>
          <w:rFonts w:cs="Tahoma"/>
          <w:b/>
          <w:bCs/>
        </w:rPr>
        <w:t>e) T</w:t>
      </w:r>
      <w:r w:rsidR="00C37CD8" w:rsidRPr="001C792A">
        <w:rPr>
          <w:rFonts w:cs="Tahoma"/>
          <w:b/>
          <w:bCs/>
        </w:rPr>
        <w:t>otal annual responses (columns c x d)</w:t>
      </w:r>
    </w:p>
    <w:p w14:paraId="347210D7" w14:textId="77777777" w:rsidR="00C37CD8" w:rsidRPr="001C792A" w:rsidRDefault="00890057" w:rsidP="003860F5">
      <w:pPr>
        <w:pStyle w:val="ListParagraph"/>
        <w:shd w:val="clear" w:color="auto" w:fill="FFFFFF"/>
        <w:spacing w:after="240"/>
        <w:ind w:firstLine="720"/>
        <w:rPr>
          <w:rFonts w:cs="Tahoma"/>
          <w:b/>
          <w:bCs/>
        </w:rPr>
      </w:pPr>
      <w:r w:rsidRPr="001C792A">
        <w:rPr>
          <w:rFonts w:cs="Tahoma"/>
          <w:b/>
          <w:bCs/>
        </w:rPr>
        <w:t>f) E</w:t>
      </w:r>
      <w:r w:rsidR="00C37CD8" w:rsidRPr="001C792A">
        <w:rPr>
          <w:rFonts w:cs="Tahoma"/>
          <w:b/>
          <w:bCs/>
        </w:rPr>
        <w:t>stimated hours per response</w:t>
      </w:r>
    </w:p>
    <w:p w14:paraId="16FCE35F" w14:textId="77777777" w:rsidR="006213F3" w:rsidRPr="001C792A" w:rsidRDefault="00890057" w:rsidP="003860F5">
      <w:pPr>
        <w:pStyle w:val="ListParagraph"/>
        <w:shd w:val="clear" w:color="auto" w:fill="FFFFFF"/>
        <w:spacing w:after="240"/>
        <w:ind w:firstLine="720"/>
        <w:rPr>
          <w:rFonts w:cs="Tahoma"/>
          <w:b/>
          <w:bCs/>
        </w:rPr>
      </w:pPr>
      <w:r w:rsidRPr="001C792A">
        <w:rPr>
          <w:rFonts w:cs="Tahoma"/>
          <w:b/>
          <w:bCs/>
        </w:rPr>
        <w:t>g) T</w:t>
      </w:r>
      <w:r w:rsidR="00C37CD8" w:rsidRPr="001C792A">
        <w:rPr>
          <w:rFonts w:cs="Tahoma"/>
          <w:b/>
          <w:bCs/>
        </w:rPr>
        <w:t>otal annual burden hours (columns e x f)</w:t>
      </w:r>
    </w:p>
    <w:p w14:paraId="29EDD7C9" w14:textId="29B9D584" w:rsidR="003860F5" w:rsidRDefault="00176390" w:rsidP="003860F5">
      <w:pPr>
        <w:spacing w:after="0" w:line="240" w:lineRule="auto"/>
        <w:rPr>
          <w:rFonts w:cs="Tahoma"/>
        </w:rPr>
      </w:pPr>
      <w:r>
        <w:rPr>
          <w:rFonts w:cs="Tahoma"/>
        </w:rPr>
        <w:t>An</w:t>
      </w:r>
      <w:r w:rsidR="0000330A" w:rsidRPr="001C792A">
        <w:rPr>
          <w:rFonts w:cs="Tahoma"/>
        </w:rPr>
        <w:t xml:space="preserve"> informed</w:t>
      </w:r>
      <w:r w:rsidR="00A95F6D" w:rsidRPr="001C792A">
        <w:rPr>
          <w:rFonts w:cs="Tahoma"/>
        </w:rPr>
        <w:t xml:space="preserve"> </w:t>
      </w:r>
      <w:r w:rsidR="0000330A" w:rsidRPr="001C792A">
        <w:rPr>
          <w:rFonts w:cs="Tahoma"/>
        </w:rPr>
        <w:t xml:space="preserve">reasonable </w:t>
      </w:r>
      <w:r w:rsidR="00A95F6D" w:rsidRPr="001C792A">
        <w:rPr>
          <w:rFonts w:cs="Tahoma"/>
        </w:rPr>
        <w:t xml:space="preserve">estimate </w:t>
      </w:r>
      <w:r w:rsidR="0000330A" w:rsidRPr="001C792A">
        <w:rPr>
          <w:rFonts w:cs="Tahoma"/>
        </w:rPr>
        <w:t xml:space="preserve">of </w:t>
      </w:r>
      <w:r w:rsidR="00A95F6D" w:rsidRPr="001C792A">
        <w:rPr>
          <w:rFonts w:cs="Tahoma"/>
        </w:rPr>
        <w:t xml:space="preserve">the total number of participants </w:t>
      </w:r>
      <w:r>
        <w:rPr>
          <w:rFonts w:cs="Tahoma"/>
        </w:rPr>
        <w:t xml:space="preserve">and related burden hours </w:t>
      </w:r>
      <w:r w:rsidR="00A95F6D" w:rsidRPr="001C792A">
        <w:rPr>
          <w:rFonts w:cs="Tahoma"/>
        </w:rPr>
        <w:t xml:space="preserve">over </w:t>
      </w:r>
      <w:r w:rsidR="003860F5">
        <w:rPr>
          <w:rFonts w:cs="Tahoma"/>
        </w:rPr>
        <w:t xml:space="preserve">the six month period </w:t>
      </w:r>
      <w:r>
        <w:rPr>
          <w:rFonts w:cs="Tahoma"/>
        </w:rPr>
        <w:t xml:space="preserve">of </w:t>
      </w:r>
      <w:r w:rsidR="003860F5">
        <w:rPr>
          <w:rFonts w:cs="Tahoma"/>
        </w:rPr>
        <w:t>emergency approval requested for this information collection to OMB</w:t>
      </w:r>
      <w:r>
        <w:rPr>
          <w:rFonts w:cs="Tahoma"/>
        </w:rPr>
        <w:t xml:space="preserve"> is provided below (Table 12.1)</w:t>
      </w:r>
      <w:r w:rsidR="003860F5">
        <w:rPr>
          <w:rFonts w:cs="Tahoma"/>
        </w:rPr>
        <w:t xml:space="preserve">.  </w:t>
      </w:r>
      <w:r w:rsidR="00DC3DE1" w:rsidRPr="001C792A">
        <w:rPr>
          <w:rFonts w:cs="Tahoma"/>
        </w:rPr>
        <w:t>Typically, e</w:t>
      </w:r>
      <w:r w:rsidR="00AD4FF4" w:rsidRPr="001C792A">
        <w:rPr>
          <w:rFonts w:cs="Tahoma"/>
        </w:rPr>
        <w:t xml:space="preserve">ach </w:t>
      </w:r>
      <w:r w:rsidR="003860F5">
        <w:rPr>
          <w:rFonts w:cs="Tahoma"/>
        </w:rPr>
        <w:t>respondent</w:t>
      </w:r>
      <w:r w:rsidR="00AD4FF4" w:rsidRPr="001C792A">
        <w:rPr>
          <w:rFonts w:cs="Tahoma"/>
        </w:rPr>
        <w:t xml:space="preserve"> </w:t>
      </w:r>
      <w:r w:rsidR="00A95F6D" w:rsidRPr="001C792A">
        <w:rPr>
          <w:rFonts w:cs="Tahoma"/>
        </w:rPr>
        <w:t>is expected to</w:t>
      </w:r>
      <w:r w:rsidR="00AD4FF4" w:rsidRPr="001C792A">
        <w:rPr>
          <w:rFonts w:cs="Tahoma"/>
        </w:rPr>
        <w:t xml:space="preserve"> participate by </w:t>
      </w:r>
      <w:r w:rsidR="003860F5">
        <w:rPr>
          <w:rFonts w:cs="Tahoma"/>
        </w:rPr>
        <w:t xml:space="preserve">focus group or </w:t>
      </w:r>
      <w:r w:rsidR="00AD4FF4" w:rsidRPr="001C792A">
        <w:rPr>
          <w:rFonts w:cs="Tahoma"/>
        </w:rPr>
        <w:t>inter</w:t>
      </w:r>
      <w:r w:rsidR="007618F2" w:rsidRPr="001C792A">
        <w:rPr>
          <w:rFonts w:cs="Tahoma"/>
        </w:rPr>
        <w:t>view one time</w:t>
      </w:r>
      <w:r w:rsidR="00AD4FF4" w:rsidRPr="001C792A">
        <w:rPr>
          <w:rFonts w:cs="Tahoma"/>
        </w:rPr>
        <w:t xml:space="preserve"> with no follow-up unless requested by the individual</w:t>
      </w:r>
      <w:r w:rsidR="00FA2D5C" w:rsidRPr="001C792A">
        <w:rPr>
          <w:rFonts w:cs="Tahoma"/>
        </w:rPr>
        <w:t>.</w:t>
      </w:r>
      <w:r w:rsidR="00DC3DE1" w:rsidRPr="001C792A">
        <w:rPr>
          <w:rFonts w:cs="Tahoma"/>
        </w:rPr>
        <w:t xml:space="preserve"> </w:t>
      </w:r>
      <w:r w:rsidR="003860F5">
        <w:rPr>
          <w:rFonts w:cs="Tahoma"/>
        </w:rPr>
        <w:t xml:space="preserve">There will be a maximum of 120 focus group participants and a maximum of 100 in-depth interview participants selected through purposive sampling in Puerto Rico and the U.S. Virgin Islands.  </w:t>
      </w:r>
    </w:p>
    <w:p w14:paraId="0DC5A6AB" w14:textId="77777777" w:rsidR="003860F5" w:rsidRDefault="003860F5" w:rsidP="003860F5">
      <w:pPr>
        <w:spacing w:after="0" w:line="240" w:lineRule="auto"/>
        <w:rPr>
          <w:rFonts w:cs="Tahoma"/>
        </w:rPr>
      </w:pPr>
    </w:p>
    <w:p w14:paraId="02A9ADA8" w14:textId="69B658BA" w:rsidR="003860F5" w:rsidRPr="003860F5" w:rsidRDefault="003860F5" w:rsidP="003860F5">
      <w:pPr>
        <w:spacing w:after="0" w:line="240" w:lineRule="auto"/>
        <w:rPr>
          <w:rFonts w:cs="Tahoma"/>
        </w:rPr>
      </w:pPr>
      <w:r>
        <w:rPr>
          <w:rFonts w:cs="Tahoma"/>
        </w:rPr>
        <w:t>Table 12.1  Estimated Annualized Burden Hours for Six Month Emergency Approval Period.</w:t>
      </w:r>
    </w:p>
    <w:tbl>
      <w:tblPr>
        <w:tblW w:w="0" w:type="auto"/>
        <w:tblBorders>
          <w:top w:val="single" w:sz="4" w:space="0" w:color="auto"/>
          <w:bottom w:val="single" w:sz="4" w:space="0" w:color="auto"/>
        </w:tblBorders>
        <w:tblLook w:val="04A0" w:firstRow="1" w:lastRow="0" w:firstColumn="1" w:lastColumn="0" w:noHBand="0" w:noVBand="1"/>
      </w:tblPr>
      <w:tblGrid>
        <w:gridCol w:w="2177"/>
        <w:gridCol w:w="1437"/>
        <w:gridCol w:w="1696"/>
        <w:gridCol w:w="1800"/>
        <w:gridCol w:w="1710"/>
      </w:tblGrid>
      <w:tr w:rsidR="003860F5" w:rsidRPr="00BD3D2E" w14:paraId="4260966A" w14:textId="77777777" w:rsidTr="00A17CDE">
        <w:tc>
          <w:tcPr>
            <w:tcW w:w="2177" w:type="dxa"/>
            <w:tcBorders>
              <w:top w:val="single" w:sz="4" w:space="0" w:color="auto"/>
              <w:bottom w:val="single" w:sz="4" w:space="0" w:color="auto"/>
            </w:tcBorders>
            <w:vAlign w:val="bottom"/>
          </w:tcPr>
          <w:p w14:paraId="4277B22A" w14:textId="77777777" w:rsidR="003860F5" w:rsidRPr="00BD3D2E" w:rsidRDefault="003860F5" w:rsidP="003860F5">
            <w:pPr>
              <w:spacing w:after="0" w:line="240" w:lineRule="auto"/>
            </w:pPr>
            <w:r w:rsidRPr="00BD3D2E">
              <w:t>Type of Respondent</w:t>
            </w:r>
          </w:p>
        </w:tc>
        <w:tc>
          <w:tcPr>
            <w:tcW w:w="1437" w:type="dxa"/>
            <w:tcBorders>
              <w:top w:val="single" w:sz="4" w:space="0" w:color="auto"/>
              <w:bottom w:val="single" w:sz="4" w:space="0" w:color="auto"/>
            </w:tcBorders>
            <w:vAlign w:val="bottom"/>
          </w:tcPr>
          <w:p w14:paraId="24D3BBAA" w14:textId="77777777" w:rsidR="003860F5" w:rsidRPr="00BD3D2E" w:rsidRDefault="003860F5" w:rsidP="003860F5">
            <w:pPr>
              <w:spacing w:after="0" w:line="240" w:lineRule="auto"/>
              <w:jc w:val="center"/>
            </w:pPr>
            <w:r w:rsidRPr="00BD3D2E">
              <w:t>No. of Respondents</w:t>
            </w:r>
          </w:p>
        </w:tc>
        <w:tc>
          <w:tcPr>
            <w:tcW w:w="1696" w:type="dxa"/>
            <w:tcBorders>
              <w:top w:val="single" w:sz="4" w:space="0" w:color="auto"/>
              <w:bottom w:val="single" w:sz="4" w:space="0" w:color="auto"/>
            </w:tcBorders>
            <w:vAlign w:val="bottom"/>
          </w:tcPr>
          <w:p w14:paraId="69D32F90" w14:textId="78ED7845" w:rsidR="003860F5" w:rsidRPr="00BD3D2E" w:rsidRDefault="003860F5" w:rsidP="003860F5">
            <w:pPr>
              <w:spacing w:after="0" w:line="240" w:lineRule="auto"/>
              <w:jc w:val="center"/>
            </w:pPr>
            <w:r w:rsidRPr="00BD3D2E">
              <w:t>No. of Responses</w:t>
            </w:r>
          </w:p>
          <w:p w14:paraId="65D49A1A" w14:textId="77777777" w:rsidR="003860F5" w:rsidRPr="00BD3D2E" w:rsidRDefault="003860F5" w:rsidP="003860F5">
            <w:pPr>
              <w:spacing w:after="0" w:line="240" w:lineRule="auto"/>
              <w:jc w:val="center"/>
            </w:pPr>
            <w:r w:rsidRPr="00BD3D2E">
              <w:t>per Respondent</w:t>
            </w:r>
          </w:p>
        </w:tc>
        <w:tc>
          <w:tcPr>
            <w:tcW w:w="1800" w:type="dxa"/>
            <w:tcBorders>
              <w:top w:val="single" w:sz="4" w:space="0" w:color="auto"/>
              <w:bottom w:val="single" w:sz="4" w:space="0" w:color="auto"/>
            </w:tcBorders>
            <w:vAlign w:val="bottom"/>
          </w:tcPr>
          <w:p w14:paraId="2828BBC7" w14:textId="492BDDE3" w:rsidR="003860F5" w:rsidRPr="00BD3D2E" w:rsidRDefault="003860F5" w:rsidP="003860F5">
            <w:pPr>
              <w:spacing w:after="0" w:line="240" w:lineRule="auto"/>
              <w:jc w:val="center"/>
            </w:pPr>
            <w:r w:rsidRPr="00BD3D2E">
              <w:t>Average Burden Response</w:t>
            </w:r>
          </w:p>
          <w:p w14:paraId="3DB87D16" w14:textId="77777777" w:rsidR="003860F5" w:rsidRPr="00BD3D2E" w:rsidRDefault="003860F5" w:rsidP="003860F5">
            <w:pPr>
              <w:spacing w:after="0" w:line="240" w:lineRule="auto"/>
              <w:jc w:val="center"/>
            </w:pPr>
            <w:r w:rsidRPr="00BD3D2E">
              <w:t>(in hours)</w:t>
            </w:r>
          </w:p>
        </w:tc>
        <w:tc>
          <w:tcPr>
            <w:tcW w:w="1710" w:type="dxa"/>
            <w:tcBorders>
              <w:top w:val="single" w:sz="4" w:space="0" w:color="auto"/>
              <w:bottom w:val="single" w:sz="4" w:space="0" w:color="auto"/>
            </w:tcBorders>
            <w:vAlign w:val="bottom"/>
          </w:tcPr>
          <w:p w14:paraId="69A38CE1" w14:textId="77777777" w:rsidR="003860F5" w:rsidRPr="00BD3D2E" w:rsidRDefault="003860F5" w:rsidP="003860F5">
            <w:pPr>
              <w:spacing w:after="0" w:line="240" w:lineRule="auto"/>
              <w:jc w:val="center"/>
            </w:pPr>
            <w:r w:rsidRPr="00BD3D2E">
              <w:t>Total Burden Hours</w:t>
            </w:r>
          </w:p>
        </w:tc>
      </w:tr>
      <w:tr w:rsidR="003860F5" w:rsidRPr="00BD3D2E" w14:paraId="5808F9A3" w14:textId="77777777" w:rsidTr="00A17CDE">
        <w:tc>
          <w:tcPr>
            <w:tcW w:w="2177" w:type="dxa"/>
            <w:tcBorders>
              <w:top w:val="single" w:sz="4" w:space="0" w:color="auto"/>
            </w:tcBorders>
          </w:tcPr>
          <w:p w14:paraId="0E7731F5" w14:textId="2E2510DF" w:rsidR="003860F5" w:rsidRPr="00BD3D2E" w:rsidRDefault="003860F5" w:rsidP="003860F5">
            <w:pPr>
              <w:spacing w:after="0" w:line="240" w:lineRule="auto"/>
            </w:pPr>
            <w:r>
              <w:t>Focus group</w:t>
            </w:r>
          </w:p>
        </w:tc>
        <w:tc>
          <w:tcPr>
            <w:tcW w:w="1437" w:type="dxa"/>
            <w:tcBorders>
              <w:top w:val="single" w:sz="4" w:space="0" w:color="auto"/>
            </w:tcBorders>
          </w:tcPr>
          <w:p w14:paraId="3E1DBE00" w14:textId="406CC9C9" w:rsidR="003860F5" w:rsidRPr="00BD3D2E" w:rsidRDefault="003860F5" w:rsidP="003860F5">
            <w:pPr>
              <w:spacing w:after="0" w:line="240" w:lineRule="auto"/>
              <w:jc w:val="center"/>
            </w:pPr>
          </w:p>
        </w:tc>
        <w:tc>
          <w:tcPr>
            <w:tcW w:w="1696" w:type="dxa"/>
            <w:tcBorders>
              <w:top w:val="single" w:sz="4" w:space="0" w:color="auto"/>
            </w:tcBorders>
          </w:tcPr>
          <w:p w14:paraId="160ED0A2" w14:textId="0B686EBC" w:rsidR="003860F5" w:rsidRPr="00BD3D2E" w:rsidRDefault="003860F5" w:rsidP="003860F5">
            <w:pPr>
              <w:spacing w:after="0" w:line="240" w:lineRule="auto"/>
              <w:jc w:val="center"/>
            </w:pPr>
          </w:p>
        </w:tc>
        <w:tc>
          <w:tcPr>
            <w:tcW w:w="1800" w:type="dxa"/>
            <w:tcBorders>
              <w:top w:val="single" w:sz="4" w:space="0" w:color="auto"/>
            </w:tcBorders>
          </w:tcPr>
          <w:p w14:paraId="51668708" w14:textId="5E375298" w:rsidR="003860F5" w:rsidRPr="00BD3D2E" w:rsidRDefault="003860F5" w:rsidP="003860F5">
            <w:pPr>
              <w:spacing w:after="0" w:line="240" w:lineRule="auto"/>
              <w:jc w:val="center"/>
            </w:pPr>
          </w:p>
        </w:tc>
        <w:tc>
          <w:tcPr>
            <w:tcW w:w="1710" w:type="dxa"/>
            <w:tcBorders>
              <w:top w:val="single" w:sz="4" w:space="0" w:color="auto"/>
            </w:tcBorders>
          </w:tcPr>
          <w:p w14:paraId="65570FE0" w14:textId="5A67E133" w:rsidR="003860F5" w:rsidRPr="00BD3D2E" w:rsidRDefault="003860F5" w:rsidP="003860F5">
            <w:pPr>
              <w:spacing w:after="0" w:line="240" w:lineRule="auto"/>
              <w:jc w:val="center"/>
            </w:pPr>
          </w:p>
        </w:tc>
      </w:tr>
      <w:tr w:rsidR="00A17CDE" w:rsidRPr="00BD3D2E" w14:paraId="3C8C435B" w14:textId="77777777" w:rsidTr="00A17CDE">
        <w:tc>
          <w:tcPr>
            <w:tcW w:w="2177" w:type="dxa"/>
          </w:tcPr>
          <w:p w14:paraId="67B5AACA" w14:textId="6977329A" w:rsidR="00A17CDE" w:rsidRDefault="00A17CDE" w:rsidP="00A17CDE">
            <w:pPr>
              <w:spacing w:after="0" w:line="240" w:lineRule="auto"/>
            </w:pPr>
            <w:r>
              <w:t xml:space="preserve">  Respondent</w:t>
            </w:r>
          </w:p>
        </w:tc>
        <w:tc>
          <w:tcPr>
            <w:tcW w:w="1437" w:type="dxa"/>
          </w:tcPr>
          <w:p w14:paraId="3F65FEE5" w14:textId="41C57447" w:rsidR="00A17CDE" w:rsidRDefault="00A17CDE" w:rsidP="00A17CDE">
            <w:pPr>
              <w:spacing w:after="0" w:line="240" w:lineRule="auto"/>
              <w:jc w:val="center"/>
            </w:pPr>
            <w:r>
              <w:t>120</w:t>
            </w:r>
          </w:p>
        </w:tc>
        <w:tc>
          <w:tcPr>
            <w:tcW w:w="1696" w:type="dxa"/>
          </w:tcPr>
          <w:p w14:paraId="46F0662A" w14:textId="4F0AAFDE" w:rsidR="00A17CDE" w:rsidRPr="00BD3D2E" w:rsidRDefault="00A17CDE" w:rsidP="00A17CDE">
            <w:pPr>
              <w:spacing w:after="0" w:line="240" w:lineRule="auto"/>
              <w:jc w:val="center"/>
            </w:pPr>
            <w:r w:rsidRPr="00BD3D2E">
              <w:t>1</w:t>
            </w:r>
          </w:p>
        </w:tc>
        <w:tc>
          <w:tcPr>
            <w:tcW w:w="1800" w:type="dxa"/>
          </w:tcPr>
          <w:p w14:paraId="0F8C4455" w14:textId="6809BCF3" w:rsidR="00A17CDE" w:rsidRDefault="00A17CDE" w:rsidP="00A17CDE">
            <w:pPr>
              <w:spacing w:after="0" w:line="240" w:lineRule="auto"/>
              <w:jc w:val="center"/>
            </w:pPr>
            <w:r w:rsidRPr="00BD3D2E">
              <w:t>1</w:t>
            </w:r>
            <w:r>
              <w:t>.5-2.0</w:t>
            </w:r>
          </w:p>
        </w:tc>
        <w:tc>
          <w:tcPr>
            <w:tcW w:w="1710" w:type="dxa"/>
          </w:tcPr>
          <w:p w14:paraId="13263A03" w14:textId="58A2A64B" w:rsidR="00A17CDE" w:rsidRDefault="00A17CDE" w:rsidP="00A17CDE">
            <w:pPr>
              <w:spacing w:after="0" w:line="240" w:lineRule="auto"/>
              <w:jc w:val="center"/>
            </w:pPr>
            <w:r>
              <w:t>180-240</w:t>
            </w:r>
          </w:p>
        </w:tc>
      </w:tr>
      <w:tr w:rsidR="00A17CDE" w:rsidRPr="00BD3D2E" w14:paraId="1F4903B8" w14:textId="77777777" w:rsidTr="00A17CDE">
        <w:tc>
          <w:tcPr>
            <w:tcW w:w="2177" w:type="dxa"/>
          </w:tcPr>
          <w:p w14:paraId="200E2EBE" w14:textId="675D0E53" w:rsidR="00A17CDE" w:rsidRDefault="00A17CDE" w:rsidP="00A17CDE">
            <w:pPr>
              <w:spacing w:after="0" w:line="240" w:lineRule="auto"/>
            </w:pPr>
            <w:r>
              <w:t xml:space="preserve">  Non-respondent</w:t>
            </w:r>
          </w:p>
        </w:tc>
        <w:tc>
          <w:tcPr>
            <w:tcW w:w="1437" w:type="dxa"/>
          </w:tcPr>
          <w:p w14:paraId="5B23FCCC" w14:textId="41610EFA" w:rsidR="00A17CDE" w:rsidRDefault="00207CDB" w:rsidP="00A17CDE">
            <w:pPr>
              <w:spacing w:after="0" w:line="240" w:lineRule="auto"/>
              <w:jc w:val="center"/>
            </w:pPr>
            <w:r>
              <w:t>600</w:t>
            </w:r>
          </w:p>
        </w:tc>
        <w:tc>
          <w:tcPr>
            <w:tcW w:w="1696" w:type="dxa"/>
          </w:tcPr>
          <w:p w14:paraId="0EA60CC8" w14:textId="412F0EB0" w:rsidR="00A17CDE" w:rsidRPr="00BD3D2E" w:rsidRDefault="00A17CDE" w:rsidP="00A17CDE">
            <w:pPr>
              <w:spacing w:after="0" w:line="240" w:lineRule="auto"/>
              <w:jc w:val="center"/>
            </w:pPr>
            <w:r>
              <w:t>1</w:t>
            </w:r>
          </w:p>
        </w:tc>
        <w:tc>
          <w:tcPr>
            <w:tcW w:w="1800" w:type="dxa"/>
          </w:tcPr>
          <w:p w14:paraId="13451300" w14:textId="6048FADD" w:rsidR="00A17CDE" w:rsidRDefault="00A17CDE" w:rsidP="002D0903">
            <w:pPr>
              <w:spacing w:after="0" w:line="240" w:lineRule="auto"/>
              <w:jc w:val="center"/>
            </w:pPr>
            <w:r>
              <w:t>0.03</w:t>
            </w:r>
            <w:r w:rsidR="00BF4B6E">
              <w:t>3</w:t>
            </w:r>
          </w:p>
        </w:tc>
        <w:tc>
          <w:tcPr>
            <w:tcW w:w="1710" w:type="dxa"/>
          </w:tcPr>
          <w:p w14:paraId="5BF69F45" w14:textId="123FA2A2" w:rsidR="00A17CDE" w:rsidRDefault="00BF4B6E" w:rsidP="002D0903">
            <w:pPr>
              <w:spacing w:after="0" w:line="240" w:lineRule="auto"/>
              <w:jc w:val="center"/>
            </w:pPr>
            <w:r>
              <w:t>20</w:t>
            </w:r>
          </w:p>
        </w:tc>
      </w:tr>
      <w:tr w:rsidR="00A17CDE" w:rsidRPr="00BD3D2E" w14:paraId="6D5445EC" w14:textId="77777777" w:rsidTr="00A17CDE">
        <w:tc>
          <w:tcPr>
            <w:tcW w:w="2177" w:type="dxa"/>
          </w:tcPr>
          <w:p w14:paraId="6B5DC651" w14:textId="44D6513E" w:rsidR="00A17CDE" w:rsidRPr="00BD3D2E" w:rsidRDefault="00A17CDE" w:rsidP="00A17CDE">
            <w:pPr>
              <w:spacing w:after="0" w:line="240" w:lineRule="auto"/>
            </w:pPr>
            <w:r>
              <w:t>In-person interview</w:t>
            </w:r>
          </w:p>
        </w:tc>
        <w:tc>
          <w:tcPr>
            <w:tcW w:w="1437" w:type="dxa"/>
          </w:tcPr>
          <w:p w14:paraId="6E6434F6" w14:textId="0451951E" w:rsidR="00A17CDE" w:rsidRPr="00BD3D2E" w:rsidRDefault="00A17CDE" w:rsidP="00A17CDE">
            <w:pPr>
              <w:spacing w:after="0" w:line="240" w:lineRule="auto"/>
              <w:jc w:val="center"/>
            </w:pPr>
          </w:p>
        </w:tc>
        <w:tc>
          <w:tcPr>
            <w:tcW w:w="1696" w:type="dxa"/>
          </w:tcPr>
          <w:p w14:paraId="1550A387" w14:textId="4F261DC9" w:rsidR="00A17CDE" w:rsidRPr="00BD3D2E" w:rsidRDefault="00A17CDE" w:rsidP="00A17CDE">
            <w:pPr>
              <w:spacing w:after="0" w:line="240" w:lineRule="auto"/>
              <w:jc w:val="center"/>
            </w:pPr>
          </w:p>
        </w:tc>
        <w:tc>
          <w:tcPr>
            <w:tcW w:w="1800" w:type="dxa"/>
          </w:tcPr>
          <w:p w14:paraId="519E23B8" w14:textId="1F7E6645" w:rsidR="00A17CDE" w:rsidRPr="00BD3D2E" w:rsidRDefault="00A17CDE" w:rsidP="00A17CDE">
            <w:pPr>
              <w:spacing w:after="0" w:line="240" w:lineRule="auto"/>
              <w:jc w:val="center"/>
            </w:pPr>
          </w:p>
        </w:tc>
        <w:tc>
          <w:tcPr>
            <w:tcW w:w="1710" w:type="dxa"/>
          </w:tcPr>
          <w:p w14:paraId="3ACD3418" w14:textId="7CDC037A" w:rsidR="00A17CDE" w:rsidRPr="00BD3D2E" w:rsidRDefault="00A17CDE" w:rsidP="00A17CDE">
            <w:pPr>
              <w:spacing w:after="0" w:line="240" w:lineRule="auto"/>
              <w:jc w:val="center"/>
            </w:pPr>
          </w:p>
        </w:tc>
      </w:tr>
      <w:tr w:rsidR="00A17CDE" w:rsidRPr="00BD3D2E" w14:paraId="71D091D3" w14:textId="77777777" w:rsidTr="00A17CDE">
        <w:tc>
          <w:tcPr>
            <w:tcW w:w="2177" w:type="dxa"/>
          </w:tcPr>
          <w:p w14:paraId="09C1BA7F" w14:textId="77FB769E" w:rsidR="00A17CDE" w:rsidRDefault="00A17CDE" w:rsidP="00A17CDE">
            <w:pPr>
              <w:spacing w:after="0" w:line="240" w:lineRule="auto"/>
            </w:pPr>
            <w:r>
              <w:t xml:space="preserve">  Respondent</w:t>
            </w:r>
          </w:p>
        </w:tc>
        <w:tc>
          <w:tcPr>
            <w:tcW w:w="1437" w:type="dxa"/>
          </w:tcPr>
          <w:p w14:paraId="681C4E36" w14:textId="065FE8A3" w:rsidR="00A17CDE" w:rsidRDefault="00A17CDE" w:rsidP="00A17CDE">
            <w:pPr>
              <w:spacing w:after="0" w:line="240" w:lineRule="auto"/>
              <w:jc w:val="center"/>
            </w:pPr>
            <w:r>
              <w:t>100</w:t>
            </w:r>
          </w:p>
        </w:tc>
        <w:tc>
          <w:tcPr>
            <w:tcW w:w="1696" w:type="dxa"/>
          </w:tcPr>
          <w:p w14:paraId="20F150AD" w14:textId="286C5E6D" w:rsidR="00A17CDE" w:rsidRPr="00BD3D2E" w:rsidRDefault="00A17CDE" w:rsidP="00A17CDE">
            <w:pPr>
              <w:spacing w:after="0" w:line="240" w:lineRule="auto"/>
              <w:jc w:val="center"/>
            </w:pPr>
            <w:r w:rsidRPr="00BD3D2E">
              <w:t>1</w:t>
            </w:r>
          </w:p>
        </w:tc>
        <w:tc>
          <w:tcPr>
            <w:tcW w:w="1800" w:type="dxa"/>
          </w:tcPr>
          <w:p w14:paraId="64B0B544" w14:textId="606F51B0" w:rsidR="00A17CDE" w:rsidRDefault="00A17CDE" w:rsidP="00A17CDE">
            <w:pPr>
              <w:spacing w:after="0" w:line="240" w:lineRule="auto"/>
              <w:jc w:val="center"/>
            </w:pPr>
            <w:r>
              <w:t>0.75-1.0</w:t>
            </w:r>
          </w:p>
        </w:tc>
        <w:tc>
          <w:tcPr>
            <w:tcW w:w="1710" w:type="dxa"/>
          </w:tcPr>
          <w:p w14:paraId="6A26E949" w14:textId="299DC1D4" w:rsidR="00A17CDE" w:rsidRDefault="00A17CDE" w:rsidP="00A17CDE">
            <w:pPr>
              <w:spacing w:after="0" w:line="240" w:lineRule="auto"/>
              <w:jc w:val="center"/>
            </w:pPr>
            <w:r>
              <w:t>75-100</w:t>
            </w:r>
          </w:p>
        </w:tc>
      </w:tr>
      <w:tr w:rsidR="00A17CDE" w:rsidRPr="00BD3D2E" w14:paraId="53BE421A" w14:textId="77777777" w:rsidTr="00A17CDE">
        <w:tc>
          <w:tcPr>
            <w:tcW w:w="2177" w:type="dxa"/>
          </w:tcPr>
          <w:p w14:paraId="301E6618" w14:textId="05027DE5" w:rsidR="00A17CDE" w:rsidRDefault="00A17CDE" w:rsidP="00A17CDE">
            <w:pPr>
              <w:spacing w:after="0" w:line="240" w:lineRule="auto"/>
            </w:pPr>
            <w:r>
              <w:t xml:space="preserve">  Non-respondent</w:t>
            </w:r>
          </w:p>
        </w:tc>
        <w:tc>
          <w:tcPr>
            <w:tcW w:w="1437" w:type="dxa"/>
          </w:tcPr>
          <w:p w14:paraId="193F7D0A" w14:textId="6296034E" w:rsidR="00A17CDE" w:rsidRDefault="00207CDB" w:rsidP="00A17CDE">
            <w:pPr>
              <w:spacing w:after="0" w:line="240" w:lineRule="auto"/>
              <w:jc w:val="center"/>
            </w:pPr>
            <w:r>
              <w:t>500</w:t>
            </w:r>
          </w:p>
        </w:tc>
        <w:tc>
          <w:tcPr>
            <w:tcW w:w="1696" w:type="dxa"/>
          </w:tcPr>
          <w:p w14:paraId="33ACA5B3" w14:textId="45533C5F" w:rsidR="00A17CDE" w:rsidRPr="00BD3D2E" w:rsidRDefault="00A17CDE" w:rsidP="00A17CDE">
            <w:pPr>
              <w:spacing w:after="0" w:line="240" w:lineRule="auto"/>
              <w:jc w:val="center"/>
            </w:pPr>
            <w:r>
              <w:t>1</w:t>
            </w:r>
          </w:p>
        </w:tc>
        <w:tc>
          <w:tcPr>
            <w:tcW w:w="1800" w:type="dxa"/>
          </w:tcPr>
          <w:p w14:paraId="015D9F4B" w14:textId="6ACCE8FE" w:rsidR="00A17CDE" w:rsidRDefault="00A17CDE" w:rsidP="002D0903">
            <w:pPr>
              <w:spacing w:after="0" w:line="240" w:lineRule="auto"/>
              <w:jc w:val="center"/>
            </w:pPr>
            <w:r>
              <w:t>0.03</w:t>
            </w:r>
            <w:r w:rsidR="00BF4B6E">
              <w:t>3</w:t>
            </w:r>
          </w:p>
        </w:tc>
        <w:tc>
          <w:tcPr>
            <w:tcW w:w="1710" w:type="dxa"/>
          </w:tcPr>
          <w:p w14:paraId="7FB4BCDC" w14:textId="2E4EE27D" w:rsidR="00A17CDE" w:rsidRDefault="00207CDB" w:rsidP="00BF4B6E">
            <w:pPr>
              <w:spacing w:after="0" w:line="240" w:lineRule="auto"/>
              <w:jc w:val="center"/>
            </w:pPr>
            <w:r>
              <w:t>1</w:t>
            </w:r>
            <w:r w:rsidR="00BF4B6E">
              <w:t>6</w:t>
            </w:r>
          </w:p>
        </w:tc>
      </w:tr>
      <w:tr w:rsidR="00A17CDE" w:rsidRPr="003860F5" w14:paraId="593F6879" w14:textId="77777777" w:rsidTr="003860F5">
        <w:tc>
          <w:tcPr>
            <w:tcW w:w="2177" w:type="dxa"/>
          </w:tcPr>
          <w:p w14:paraId="2145953E" w14:textId="77777777" w:rsidR="00A17CDE" w:rsidRPr="003860F5" w:rsidRDefault="00A17CDE" w:rsidP="00A17CDE">
            <w:pPr>
              <w:spacing w:after="0" w:line="240" w:lineRule="auto"/>
              <w:rPr>
                <w:b/>
              </w:rPr>
            </w:pPr>
            <w:r w:rsidRPr="003860F5">
              <w:rPr>
                <w:b/>
              </w:rPr>
              <w:t>Total</w:t>
            </w:r>
          </w:p>
        </w:tc>
        <w:tc>
          <w:tcPr>
            <w:tcW w:w="4933" w:type="dxa"/>
            <w:gridSpan w:val="3"/>
          </w:tcPr>
          <w:p w14:paraId="057B2F0A" w14:textId="77777777" w:rsidR="00A17CDE" w:rsidRPr="003860F5" w:rsidRDefault="00A17CDE" w:rsidP="00A17CDE">
            <w:pPr>
              <w:spacing w:after="0" w:line="240" w:lineRule="auto"/>
              <w:rPr>
                <w:b/>
              </w:rPr>
            </w:pPr>
          </w:p>
        </w:tc>
        <w:tc>
          <w:tcPr>
            <w:tcW w:w="1710" w:type="dxa"/>
          </w:tcPr>
          <w:p w14:paraId="61C838FF" w14:textId="2353B3BF" w:rsidR="00A17CDE" w:rsidRPr="003860F5" w:rsidRDefault="00207CDB" w:rsidP="002D0903">
            <w:pPr>
              <w:spacing w:after="0" w:line="240" w:lineRule="auto"/>
              <w:jc w:val="center"/>
              <w:rPr>
                <w:b/>
              </w:rPr>
            </w:pPr>
            <w:r>
              <w:rPr>
                <w:b/>
              </w:rPr>
              <w:t>291</w:t>
            </w:r>
            <w:r w:rsidR="00A17CDE">
              <w:rPr>
                <w:b/>
              </w:rPr>
              <w:t>-</w:t>
            </w:r>
            <w:r w:rsidR="002D0903">
              <w:rPr>
                <w:b/>
              </w:rPr>
              <w:t>376</w:t>
            </w:r>
          </w:p>
        </w:tc>
      </w:tr>
    </w:tbl>
    <w:p w14:paraId="56F77F3C" w14:textId="77777777" w:rsidR="009F053A" w:rsidRDefault="009F053A" w:rsidP="001019CD">
      <w:pPr>
        <w:spacing w:after="0" w:line="240" w:lineRule="auto"/>
        <w:rPr>
          <w:rFonts w:cs="Tahoma"/>
        </w:rPr>
      </w:pPr>
    </w:p>
    <w:p w14:paraId="6FD8F444" w14:textId="77777777" w:rsidR="009F053A" w:rsidRDefault="009F053A" w:rsidP="001019CD">
      <w:pPr>
        <w:spacing w:after="0" w:line="240" w:lineRule="auto"/>
        <w:rPr>
          <w:rFonts w:cs="Tahoma"/>
        </w:rPr>
      </w:pPr>
    </w:p>
    <w:p w14:paraId="20532AA7" w14:textId="4387434F" w:rsidR="0005737F" w:rsidRDefault="00124FB8" w:rsidP="001019CD">
      <w:pPr>
        <w:spacing w:after="0" w:line="240" w:lineRule="auto"/>
        <w:rPr>
          <w:rFonts w:cs="Tahoma"/>
        </w:rPr>
      </w:pPr>
      <w:r>
        <w:rPr>
          <w:rFonts w:cs="Tahoma"/>
        </w:rPr>
        <w:t>Based on typical response rates, w</w:t>
      </w:r>
      <w:r w:rsidR="0005737F">
        <w:rPr>
          <w:rFonts w:cs="Tahoma"/>
        </w:rPr>
        <w:t xml:space="preserve">e estimate an additional </w:t>
      </w:r>
      <w:r w:rsidR="00207CDB">
        <w:rPr>
          <w:rFonts w:cs="Tahoma"/>
        </w:rPr>
        <w:t>1,100</w:t>
      </w:r>
      <w:r w:rsidR="0005737F">
        <w:rPr>
          <w:rFonts w:cs="Tahoma"/>
        </w:rPr>
        <w:t xml:space="preserve"> individuals will be asked to participate in this information collection</w:t>
      </w:r>
      <w:r w:rsidR="00A17CDE">
        <w:rPr>
          <w:rFonts w:cs="Tahoma"/>
        </w:rPr>
        <w:t xml:space="preserve"> or will read a public announcement about the opportunity to participate</w:t>
      </w:r>
      <w:r w:rsidR="0005737F">
        <w:rPr>
          <w:rFonts w:cs="Tahoma"/>
        </w:rPr>
        <w:t>, but will not wish to be involved.  The estimated burden for non</w:t>
      </w:r>
      <w:r w:rsidR="00A17CDE">
        <w:rPr>
          <w:rFonts w:cs="Tahoma"/>
        </w:rPr>
        <w:t>-</w:t>
      </w:r>
      <w:r w:rsidR="0005737F">
        <w:rPr>
          <w:rFonts w:cs="Tahoma"/>
        </w:rPr>
        <w:t xml:space="preserve">respondents </w:t>
      </w:r>
      <w:r w:rsidR="002D0903">
        <w:rPr>
          <w:rFonts w:cs="Tahoma"/>
        </w:rPr>
        <w:t>is</w:t>
      </w:r>
      <w:r w:rsidR="00A17CDE">
        <w:rPr>
          <w:rFonts w:cs="Tahoma"/>
        </w:rPr>
        <w:t xml:space="preserve"> 2 minutes</w:t>
      </w:r>
      <w:r w:rsidR="0005737F">
        <w:rPr>
          <w:rFonts w:cs="Tahoma"/>
        </w:rPr>
        <w:t xml:space="preserve">.  The estimated total annual burden for non-respondents </w:t>
      </w:r>
      <w:r w:rsidR="009F053A">
        <w:rPr>
          <w:rFonts w:cs="Tahoma"/>
        </w:rPr>
        <w:t xml:space="preserve">ranges </w:t>
      </w:r>
      <w:r w:rsidR="00BF4B6E">
        <w:rPr>
          <w:rFonts w:cs="Tahoma"/>
        </w:rPr>
        <w:t xml:space="preserve">is </w:t>
      </w:r>
      <w:r w:rsidR="00207CDB">
        <w:rPr>
          <w:rFonts w:cs="Tahoma"/>
        </w:rPr>
        <w:t>36</w:t>
      </w:r>
      <w:r w:rsidR="009F053A">
        <w:rPr>
          <w:rFonts w:cs="Tahoma"/>
        </w:rPr>
        <w:t xml:space="preserve"> hours</w:t>
      </w:r>
      <w:r w:rsidR="00A17CDE">
        <w:rPr>
          <w:rFonts w:cs="Tahoma"/>
        </w:rPr>
        <w:t xml:space="preserve">.  The total annual burden estimate for respondents and non-respondents is at most </w:t>
      </w:r>
      <w:r w:rsidR="00BF4B6E">
        <w:rPr>
          <w:rFonts w:cs="Tahoma"/>
        </w:rPr>
        <w:t xml:space="preserve">376 </w:t>
      </w:r>
      <w:r w:rsidR="00A17CDE">
        <w:rPr>
          <w:rFonts w:cs="Tahoma"/>
        </w:rPr>
        <w:t>hours.</w:t>
      </w:r>
    </w:p>
    <w:p w14:paraId="74021B62" w14:textId="77777777" w:rsidR="00A17CDE" w:rsidRDefault="00A17CDE" w:rsidP="001019CD">
      <w:pPr>
        <w:spacing w:after="0" w:line="240" w:lineRule="auto"/>
        <w:rPr>
          <w:rFonts w:cs="Tahoma"/>
        </w:rPr>
      </w:pPr>
    </w:p>
    <w:p w14:paraId="3365FA3A" w14:textId="5A652D72" w:rsidR="005606DB" w:rsidRPr="001C792A" w:rsidRDefault="00E93384" w:rsidP="001019CD">
      <w:pPr>
        <w:spacing w:after="0" w:line="240" w:lineRule="auto"/>
        <w:rPr>
          <w:rFonts w:cs="Tahoma"/>
        </w:rPr>
      </w:pPr>
      <w:r w:rsidRPr="001C792A">
        <w:rPr>
          <w:rFonts w:cs="Tahoma"/>
        </w:rPr>
        <w:t>We estimate the total dollar value of the burden ho</w:t>
      </w:r>
      <w:r w:rsidR="003860F5">
        <w:rPr>
          <w:rFonts w:cs="Tahoma"/>
        </w:rPr>
        <w:t xml:space="preserve">urs for this collection (over an emergency clearance six month </w:t>
      </w:r>
      <w:r w:rsidRPr="001C792A">
        <w:rPr>
          <w:rFonts w:cs="Tahoma"/>
        </w:rPr>
        <w:t xml:space="preserve">period) </w:t>
      </w:r>
      <w:r w:rsidR="00124FB8">
        <w:rPr>
          <w:rFonts w:cs="Tahoma"/>
        </w:rPr>
        <w:t xml:space="preserve">for respondents and non-respondents </w:t>
      </w:r>
      <w:r w:rsidR="00207CDB">
        <w:rPr>
          <w:rFonts w:cs="Tahoma"/>
        </w:rPr>
        <w:t xml:space="preserve">ranges from </w:t>
      </w:r>
      <w:r w:rsidR="009F053A">
        <w:rPr>
          <w:rFonts w:cs="Tahoma"/>
        </w:rPr>
        <w:t>$</w:t>
      </w:r>
      <w:r w:rsidR="00207CDB">
        <w:rPr>
          <w:rFonts w:cs="Tahoma"/>
        </w:rPr>
        <w:t>7,025 to $</w:t>
      </w:r>
      <w:r w:rsidR="00BF4B6E">
        <w:rPr>
          <w:rFonts w:cs="Tahoma"/>
        </w:rPr>
        <w:t>9,076</w:t>
      </w:r>
      <w:r w:rsidRPr="001C792A">
        <w:rPr>
          <w:rFonts w:cs="Tahoma"/>
        </w:rPr>
        <w:t>.  We arrived at this figure by multiplying the estimated burden hours by $</w:t>
      </w:r>
      <w:r w:rsidR="003860F5">
        <w:rPr>
          <w:rFonts w:cs="Tahoma"/>
        </w:rPr>
        <w:t>24.14</w:t>
      </w:r>
      <w:r w:rsidRPr="001C792A">
        <w:rPr>
          <w:rFonts w:cs="Tahoma"/>
        </w:rPr>
        <w:t>, the wage rate (including benefits) based on the Independent Sector national valuation of volunteer time for 201</w:t>
      </w:r>
      <w:r w:rsidR="003860F5">
        <w:rPr>
          <w:rFonts w:cs="Tahoma"/>
        </w:rPr>
        <w:t>6</w:t>
      </w:r>
      <w:r w:rsidRPr="001C792A">
        <w:rPr>
          <w:rFonts w:cs="Tahoma"/>
        </w:rPr>
        <w:t xml:space="preserve">. </w:t>
      </w:r>
      <w:hyperlink r:id="rId9" w:history="1">
        <w:r w:rsidR="008218E4" w:rsidRPr="001C792A">
          <w:rPr>
            <w:rStyle w:val="Hyperlink"/>
            <w:rFonts w:cs="Tahoma"/>
          </w:rPr>
          <w:t>https://www.independentsector.org/volunteer_time</w:t>
        </w:r>
      </w:hyperlink>
      <w:r w:rsidRPr="001C792A">
        <w:rPr>
          <w:rFonts w:cs="Tahoma"/>
        </w:rPr>
        <w:t>. We used this rate because this research is expected to draw people from a wide range of employments, cultural backgrounds, ages, locations, and life circumstances</w:t>
      </w:r>
      <w:r w:rsidR="003860F5">
        <w:rPr>
          <w:rFonts w:cs="Tahoma"/>
        </w:rPr>
        <w:t xml:space="preserve"> in the U.S. Caribbean</w:t>
      </w:r>
      <w:r w:rsidRPr="001C792A">
        <w:rPr>
          <w:rFonts w:cs="Tahoma"/>
        </w:rPr>
        <w:t xml:space="preserve">. </w:t>
      </w:r>
    </w:p>
    <w:p w14:paraId="31AE9ED1" w14:textId="77777777" w:rsidR="003860F5" w:rsidRDefault="003860F5" w:rsidP="001019CD">
      <w:pPr>
        <w:spacing w:after="0" w:line="240" w:lineRule="auto"/>
        <w:rPr>
          <w:rFonts w:cs="Tahoma"/>
          <w:b/>
          <w:bCs/>
        </w:rPr>
      </w:pPr>
    </w:p>
    <w:p w14:paraId="47F46538" w14:textId="77777777" w:rsidR="00C37CD8" w:rsidRPr="001C792A" w:rsidRDefault="00C37CD8" w:rsidP="003860F5">
      <w:pPr>
        <w:spacing w:after="0" w:line="240" w:lineRule="auto"/>
        <w:ind w:left="1440"/>
        <w:rPr>
          <w:rFonts w:cs="Tahoma"/>
          <w:b/>
          <w:bCs/>
        </w:rPr>
      </w:pPr>
      <w:r w:rsidRPr="001C792A">
        <w:rPr>
          <w:rFonts w:cs="Tahoma"/>
          <w:b/>
          <w:bCs/>
        </w:rPr>
        <w:t>Record</w:t>
      </w:r>
      <w:r w:rsidR="00890057" w:rsidRPr="001C792A">
        <w:rPr>
          <w:rFonts w:cs="Tahoma"/>
          <w:b/>
          <w:bCs/>
        </w:rPr>
        <w:t xml:space="preserve"> </w:t>
      </w:r>
      <w:r w:rsidRPr="001C792A">
        <w:rPr>
          <w:rFonts w:cs="Tahoma"/>
          <w:b/>
          <w:bCs/>
        </w:rPr>
        <w:t>keeping burden should be addressed separately an</w:t>
      </w:r>
      <w:r w:rsidR="004D39A0" w:rsidRPr="001C792A">
        <w:rPr>
          <w:rFonts w:cs="Tahoma"/>
          <w:b/>
          <w:bCs/>
        </w:rPr>
        <w:t>d should include columns for:</w:t>
      </w:r>
    </w:p>
    <w:p w14:paraId="05DBF1E2" w14:textId="77777777" w:rsidR="00462D49" w:rsidRPr="001C792A" w:rsidRDefault="00C37CD8" w:rsidP="003860F5">
      <w:pPr>
        <w:spacing w:after="0" w:line="240" w:lineRule="auto"/>
        <w:ind w:left="720" w:firstLine="720"/>
        <w:rPr>
          <w:rFonts w:cs="Tahoma"/>
          <w:b/>
          <w:bCs/>
          <w:color w:val="3366FF"/>
        </w:rPr>
      </w:pPr>
      <w:r w:rsidRPr="001C792A">
        <w:rPr>
          <w:rFonts w:cs="Tahoma"/>
          <w:b/>
          <w:bCs/>
        </w:rPr>
        <w:t xml:space="preserve">a) </w:t>
      </w:r>
      <w:r w:rsidR="00890057" w:rsidRPr="001C792A">
        <w:rPr>
          <w:rFonts w:cs="Tahoma"/>
          <w:b/>
          <w:bCs/>
        </w:rPr>
        <w:t>D</w:t>
      </w:r>
      <w:r w:rsidRPr="001C792A">
        <w:rPr>
          <w:rFonts w:cs="Tahoma"/>
          <w:b/>
          <w:bCs/>
        </w:rPr>
        <w:t>escription of record</w:t>
      </w:r>
      <w:r w:rsidR="00890057" w:rsidRPr="001C792A">
        <w:rPr>
          <w:rFonts w:cs="Tahoma"/>
          <w:b/>
          <w:bCs/>
        </w:rPr>
        <w:t xml:space="preserve"> </w:t>
      </w:r>
      <w:r w:rsidRPr="001C792A">
        <w:rPr>
          <w:rFonts w:cs="Tahoma"/>
          <w:b/>
          <w:bCs/>
        </w:rPr>
        <w:t>keeping activity</w:t>
      </w:r>
      <w:r w:rsidR="00CB0A80" w:rsidRPr="001C792A">
        <w:rPr>
          <w:rFonts w:cs="Tahoma"/>
          <w:b/>
          <w:bCs/>
        </w:rPr>
        <w:t xml:space="preserve">:  </w:t>
      </w:r>
    </w:p>
    <w:p w14:paraId="61DB2B17" w14:textId="77777777" w:rsidR="00462D49" w:rsidRPr="001C792A" w:rsidRDefault="00C37CD8" w:rsidP="003860F5">
      <w:pPr>
        <w:spacing w:after="0" w:line="240" w:lineRule="auto"/>
        <w:ind w:left="720" w:firstLine="720"/>
        <w:rPr>
          <w:rFonts w:cs="Tahoma"/>
          <w:b/>
          <w:bCs/>
          <w:color w:val="3366FF"/>
        </w:rPr>
      </w:pPr>
      <w:r w:rsidRPr="001C792A">
        <w:rPr>
          <w:rFonts w:cs="Tahoma"/>
          <w:b/>
          <w:bCs/>
        </w:rPr>
        <w:t xml:space="preserve">b) </w:t>
      </w:r>
      <w:r w:rsidR="00890057" w:rsidRPr="001C792A">
        <w:rPr>
          <w:rFonts w:cs="Tahoma"/>
          <w:b/>
          <w:bCs/>
        </w:rPr>
        <w:t>N</w:t>
      </w:r>
      <w:r w:rsidRPr="001C792A">
        <w:rPr>
          <w:rFonts w:cs="Tahoma"/>
          <w:b/>
          <w:bCs/>
        </w:rPr>
        <w:t>umber of record</w:t>
      </w:r>
      <w:r w:rsidR="00890057" w:rsidRPr="001C792A">
        <w:rPr>
          <w:rFonts w:cs="Tahoma"/>
          <w:b/>
          <w:bCs/>
        </w:rPr>
        <w:t xml:space="preserve"> </w:t>
      </w:r>
      <w:r w:rsidRPr="001C792A">
        <w:rPr>
          <w:rFonts w:cs="Tahoma"/>
          <w:b/>
          <w:bCs/>
        </w:rPr>
        <w:t>keepers</w:t>
      </w:r>
      <w:r w:rsidR="00CB0A80" w:rsidRPr="001C792A">
        <w:rPr>
          <w:rFonts w:cs="Tahoma"/>
          <w:b/>
          <w:bCs/>
        </w:rPr>
        <w:t xml:space="preserve">:  </w:t>
      </w:r>
    </w:p>
    <w:p w14:paraId="3010EFD7" w14:textId="77777777" w:rsidR="00462D49" w:rsidRPr="001C792A" w:rsidRDefault="00890057" w:rsidP="003860F5">
      <w:pPr>
        <w:spacing w:after="0" w:line="240" w:lineRule="auto"/>
        <w:ind w:left="720" w:firstLine="720"/>
        <w:rPr>
          <w:rFonts w:cs="Tahoma"/>
          <w:b/>
          <w:bCs/>
          <w:color w:val="3366FF"/>
        </w:rPr>
      </w:pPr>
      <w:r w:rsidRPr="001C792A">
        <w:rPr>
          <w:rFonts w:cs="Tahoma"/>
          <w:b/>
          <w:bCs/>
        </w:rPr>
        <w:t>c) A</w:t>
      </w:r>
      <w:r w:rsidR="00C37CD8" w:rsidRPr="001C792A">
        <w:rPr>
          <w:rFonts w:cs="Tahoma"/>
          <w:b/>
          <w:bCs/>
        </w:rPr>
        <w:t>nnual hours per record</w:t>
      </w:r>
      <w:r w:rsidRPr="001C792A">
        <w:rPr>
          <w:rFonts w:cs="Tahoma"/>
          <w:b/>
          <w:bCs/>
        </w:rPr>
        <w:t xml:space="preserve"> </w:t>
      </w:r>
      <w:r w:rsidR="00C37CD8" w:rsidRPr="001C792A">
        <w:rPr>
          <w:rFonts w:cs="Tahoma"/>
          <w:b/>
          <w:bCs/>
        </w:rPr>
        <w:t>keeper</w:t>
      </w:r>
      <w:r w:rsidR="00CB0A80" w:rsidRPr="001C792A">
        <w:rPr>
          <w:rFonts w:cs="Tahoma"/>
          <w:b/>
          <w:bCs/>
        </w:rPr>
        <w:t xml:space="preserve">:  </w:t>
      </w:r>
    </w:p>
    <w:p w14:paraId="14CDE6D2" w14:textId="77777777" w:rsidR="00C37CD8" w:rsidRPr="001C792A" w:rsidRDefault="00890057" w:rsidP="003860F5">
      <w:pPr>
        <w:spacing w:after="0" w:line="240" w:lineRule="auto"/>
        <w:ind w:left="720" w:firstLine="720"/>
        <w:rPr>
          <w:rFonts w:cs="Tahoma"/>
          <w:b/>
          <w:bCs/>
        </w:rPr>
      </w:pPr>
      <w:r w:rsidRPr="001C792A">
        <w:rPr>
          <w:rFonts w:cs="Tahoma"/>
          <w:b/>
          <w:bCs/>
        </w:rPr>
        <w:t>d) T</w:t>
      </w:r>
      <w:r w:rsidR="00C37CD8" w:rsidRPr="001C792A">
        <w:rPr>
          <w:rFonts w:cs="Tahoma"/>
          <w:b/>
          <w:bCs/>
        </w:rPr>
        <w:t>otal annual record</w:t>
      </w:r>
      <w:r w:rsidRPr="001C792A">
        <w:rPr>
          <w:rFonts w:cs="Tahoma"/>
          <w:b/>
          <w:bCs/>
        </w:rPr>
        <w:t xml:space="preserve"> </w:t>
      </w:r>
      <w:r w:rsidR="00C37CD8" w:rsidRPr="001C792A">
        <w:rPr>
          <w:rFonts w:cs="Tahoma"/>
          <w:b/>
          <w:bCs/>
        </w:rPr>
        <w:t>keeping hours (columns b x c)</w:t>
      </w:r>
      <w:r w:rsidR="00CB0A80" w:rsidRPr="001C792A">
        <w:rPr>
          <w:rFonts w:cs="Tahoma"/>
          <w:b/>
          <w:bCs/>
        </w:rPr>
        <w:t xml:space="preserve">:  </w:t>
      </w:r>
    </w:p>
    <w:p w14:paraId="130F91EB" w14:textId="77777777" w:rsidR="003860F5" w:rsidRDefault="003860F5" w:rsidP="001019CD">
      <w:pPr>
        <w:spacing w:after="0" w:line="240" w:lineRule="auto"/>
        <w:rPr>
          <w:rFonts w:cs="Tahoma"/>
          <w:bCs/>
        </w:rPr>
      </w:pPr>
    </w:p>
    <w:p w14:paraId="7CF25025" w14:textId="78AF7561" w:rsidR="006213F3" w:rsidRPr="001C792A" w:rsidRDefault="003860F5" w:rsidP="001019CD">
      <w:pPr>
        <w:spacing w:after="0" w:line="240" w:lineRule="auto"/>
        <w:rPr>
          <w:rFonts w:cs="Tahoma"/>
          <w:bCs/>
        </w:rPr>
      </w:pPr>
      <w:r>
        <w:rPr>
          <w:rFonts w:cs="Tahoma"/>
          <w:bCs/>
        </w:rPr>
        <w:t>No record keeping is required by respondents for this information collection</w:t>
      </w:r>
      <w:r w:rsidR="00FA2D5C" w:rsidRPr="001C792A">
        <w:rPr>
          <w:rFonts w:cs="Tahoma"/>
          <w:bCs/>
        </w:rPr>
        <w:t xml:space="preserve">. </w:t>
      </w:r>
    </w:p>
    <w:p w14:paraId="575D9D9D" w14:textId="77777777" w:rsidR="003860F5" w:rsidRDefault="003860F5" w:rsidP="001019CD">
      <w:pPr>
        <w:spacing w:after="0" w:line="240" w:lineRule="auto"/>
        <w:rPr>
          <w:rFonts w:cs="Tahoma"/>
          <w:b/>
          <w:bCs/>
        </w:rPr>
      </w:pPr>
    </w:p>
    <w:p w14:paraId="607E9E91" w14:textId="77777777" w:rsidR="00890057" w:rsidRPr="001C792A" w:rsidRDefault="00890057" w:rsidP="003860F5">
      <w:pPr>
        <w:spacing w:after="0" w:line="240" w:lineRule="auto"/>
        <w:ind w:left="1440"/>
        <w:rPr>
          <w:rFonts w:cs="Tahoma"/>
          <w:b/>
          <w:bCs/>
        </w:rPr>
      </w:pPr>
      <w:r w:rsidRPr="001C792A">
        <w:rPr>
          <w:rFonts w:cs="Tahoma"/>
          <w:b/>
          <w:bCs/>
        </w:rPr>
        <w:t>Provide estimates of annualized cost to respondents for the hour burdens for collections of information, identifying and using appropriate wage rate categories.</w:t>
      </w:r>
    </w:p>
    <w:p w14:paraId="3D74878C" w14:textId="77777777" w:rsidR="003860F5" w:rsidRDefault="003860F5" w:rsidP="001019CD">
      <w:pPr>
        <w:spacing w:after="0" w:line="240" w:lineRule="auto"/>
        <w:rPr>
          <w:rFonts w:cs="Tahoma"/>
          <w:bCs/>
        </w:rPr>
      </w:pPr>
    </w:p>
    <w:p w14:paraId="3AFD1180" w14:textId="77777777" w:rsidR="00941C7F" w:rsidRPr="001C792A" w:rsidRDefault="00E93384" w:rsidP="001019CD">
      <w:pPr>
        <w:spacing w:after="0" w:line="240" w:lineRule="auto"/>
        <w:rPr>
          <w:rFonts w:cs="Tahoma"/>
          <w:bCs/>
        </w:rPr>
      </w:pPr>
      <w:r w:rsidRPr="001C792A">
        <w:rPr>
          <w:rFonts w:cs="Tahoma"/>
          <w:bCs/>
        </w:rPr>
        <w:t>See above</w:t>
      </w:r>
    </w:p>
    <w:p w14:paraId="3D687A55" w14:textId="77777777" w:rsidR="003860F5" w:rsidRDefault="003860F5" w:rsidP="003860F5">
      <w:pPr>
        <w:spacing w:after="0" w:line="240" w:lineRule="auto"/>
        <w:rPr>
          <w:rFonts w:cs="Tahoma"/>
          <w:b/>
          <w:bCs/>
        </w:rPr>
      </w:pPr>
    </w:p>
    <w:p w14:paraId="0DD58924" w14:textId="1B735351"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Provide estimates of t</w:t>
      </w:r>
      <w:r w:rsidR="00EC10FF" w:rsidRPr="003860F5">
        <w:rPr>
          <w:rFonts w:cs="Tahoma"/>
          <w:b/>
          <w:bCs/>
        </w:rPr>
        <w:t xml:space="preserve">he total annual cost burden to </w:t>
      </w:r>
      <w:r w:rsidRPr="003860F5">
        <w:rPr>
          <w:rFonts w:cs="Tahoma"/>
          <w:b/>
          <w:bCs/>
        </w:rPr>
        <w:t>respondents or record keepers resulting from the collection of information, (do not include the cost of any hour burden shown in items 12 and 14)</w:t>
      </w:r>
      <w:r w:rsidR="00FA2D5C" w:rsidRPr="003860F5">
        <w:rPr>
          <w:rFonts w:cs="Tahoma"/>
          <w:b/>
          <w:bCs/>
        </w:rPr>
        <w:t xml:space="preserve">. </w:t>
      </w:r>
      <w:r w:rsidRPr="003860F5">
        <w:rPr>
          <w:rFonts w:cs="Tahoma"/>
          <w:b/>
          <w:bCs/>
        </w:rPr>
        <w:t>The cost estimates should be split into two components: (a) a total capital and start-up cost component annualized over its expected useful life; and (b) a total operation and maintenance and purchase of services component.</w:t>
      </w:r>
    </w:p>
    <w:p w14:paraId="169EED62" w14:textId="77777777" w:rsidR="003860F5" w:rsidRDefault="003860F5" w:rsidP="001019CD">
      <w:pPr>
        <w:pStyle w:val="Level1"/>
        <w:numPr>
          <w:ilvl w:val="0"/>
          <w:numId w:val="0"/>
        </w:numPr>
        <w:spacing w:after="0" w:line="240" w:lineRule="auto"/>
        <w:outlineLvl w:val="9"/>
        <w:rPr>
          <w:rFonts w:cs="Tahoma"/>
        </w:rPr>
      </w:pPr>
    </w:p>
    <w:p w14:paraId="5A969C4F" w14:textId="0A4C1DCE" w:rsidR="00EC10FF" w:rsidRPr="001C792A" w:rsidRDefault="003860F5" w:rsidP="001019CD">
      <w:pPr>
        <w:pStyle w:val="Level1"/>
        <w:numPr>
          <w:ilvl w:val="0"/>
          <w:numId w:val="0"/>
        </w:numPr>
        <w:spacing w:after="0" w:line="240" w:lineRule="auto"/>
        <w:outlineLvl w:val="9"/>
        <w:rPr>
          <w:rFonts w:cs="Tahoma"/>
        </w:rPr>
      </w:pPr>
      <w:r>
        <w:rPr>
          <w:rFonts w:cs="Tahoma"/>
        </w:rPr>
        <w:t>No</w:t>
      </w:r>
      <w:r w:rsidR="00EC10FF" w:rsidRPr="001C792A">
        <w:rPr>
          <w:rFonts w:cs="Tahoma"/>
        </w:rPr>
        <w:t xml:space="preserve"> capital operation </w:t>
      </w:r>
      <w:r>
        <w:rPr>
          <w:rFonts w:cs="Tahoma"/>
        </w:rPr>
        <w:t>or maintenance costs are needed for this information collection.</w:t>
      </w:r>
    </w:p>
    <w:p w14:paraId="6835D407" w14:textId="77777777" w:rsidR="003860F5" w:rsidRDefault="003860F5" w:rsidP="003860F5">
      <w:pPr>
        <w:spacing w:after="0" w:line="240" w:lineRule="auto"/>
        <w:rPr>
          <w:rFonts w:cs="Tahoma"/>
          <w:b/>
          <w:bCs/>
        </w:rPr>
      </w:pPr>
    </w:p>
    <w:p w14:paraId="52EAE8B3" w14:textId="3FEA6B89"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Provide estimates of annualized cost to the Federal government</w:t>
      </w:r>
      <w:r w:rsidR="00FA2D5C" w:rsidRPr="003860F5">
        <w:rPr>
          <w:rFonts w:cs="Tahoma"/>
          <w:b/>
        </w:rPr>
        <w:t xml:space="preserve">. </w:t>
      </w:r>
      <w:r w:rsidRPr="003860F5">
        <w:rPr>
          <w:rFonts w:cs="Tahoma"/>
          <w:b/>
          <w:bCs/>
        </w:rPr>
        <w:t>Provide a description of the method used to estimate cost and any other expense that would not have been incurred without this collection of information.</w:t>
      </w:r>
    </w:p>
    <w:p w14:paraId="25202907" w14:textId="77777777" w:rsidR="003860F5" w:rsidRDefault="003860F5" w:rsidP="001019CD">
      <w:pPr>
        <w:spacing w:after="0" w:line="240" w:lineRule="auto"/>
        <w:rPr>
          <w:rFonts w:cs="Tahoma"/>
          <w:b/>
        </w:rPr>
      </w:pPr>
    </w:p>
    <w:p w14:paraId="18EE049B" w14:textId="77777777" w:rsidR="00C37CD8" w:rsidRDefault="00C37CD8" w:rsidP="003860F5">
      <w:pPr>
        <w:spacing w:after="0" w:line="240" w:lineRule="auto"/>
        <w:ind w:left="720"/>
        <w:rPr>
          <w:rFonts w:cs="Tahoma"/>
          <w:b/>
        </w:rPr>
      </w:pPr>
      <w:r w:rsidRPr="001C792A">
        <w:rPr>
          <w:rFonts w:cs="Tahoma"/>
          <w:b/>
        </w:rPr>
        <w:t xml:space="preserve">The response to this question covers the </w:t>
      </w:r>
      <w:r w:rsidRPr="001C792A">
        <w:rPr>
          <w:rFonts w:cs="Tahoma"/>
          <w:b/>
          <w:bCs/>
        </w:rPr>
        <w:t>actual</w:t>
      </w:r>
      <w:r w:rsidRPr="001C792A">
        <w:rPr>
          <w:rFonts w:cs="Tahoma"/>
          <w:b/>
        </w:rPr>
        <w:t xml:space="preserve"> costs the agency will incur as a result of implementing the </w:t>
      </w:r>
      <w:r w:rsidR="001A3B0B" w:rsidRPr="001C792A">
        <w:rPr>
          <w:rFonts w:cs="Tahoma"/>
          <w:b/>
        </w:rPr>
        <w:t>Information Collection</w:t>
      </w:r>
      <w:r w:rsidR="00FA2D5C" w:rsidRPr="001C792A">
        <w:rPr>
          <w:rFonts w:cs="Tahoma"/>
          <w:b/>
        </w:rPr>
        <w:t xml:space="preserve">. </w:t>
      </w:r>
      <w:r w:rsidRPr="001C792A">
        <w:rPr>
          <w:rFonts w:cs="Tahoma"/>
          <w:b/>
        </w:rPr>
        <w:t>The estimate should cover the entire life cycle of the collection and include costs, if applicable, for:</w:t>
      </w:r>
    </w:p>
    <w:p w14:paraId="367453CC" w14:textId="77777777" w:rsidR="003860F5" w:rsidRPr="001C792A" w:rsidRDefault="003860F5" w:rsidP="003860F5">
      <w:pPr>
        <w:spacing w:after="0" w:line="240" w:lineRule="auto"/>
        <w:ind w:left="720"/>
        <w:rPr>
          <w:rFonts w:cs="Tahoma"/>
          <w:b/>
        </w:rPr>
      </w:pPr>
    </w:p>
    <w:p w14:paraId="7E335F29" w14:textId="77777777" w:rsidR="00C37CD8" w:rsidRPr="001C792A" w:rsidRDefault="00EC10FF" w:rsidP="003860F5">
      <w:pPr>
        <w:pStyle w:val="Level1"/>
        <w:numPr>
          <w:ilvl w:val="0"/>
          <w:numId w:val="3"/>
        </w:numPr>
        <w:spacing w:after="0" w:line="240" w:lineRule="auto"/>
        <w:ind w:left="720" w:firstLine="0"/>
        <w:outlineLvl w:val="9"/>
        <w:rPr>
          <w:rFonts w:cs="Tahoma"/>
          <w:b/>
        </w:rPr>
      </w:pPr>
      <w:r w:rsidRPr="001C792A">
        <w:rPr>
          <w:rFonts w:cs="Tahoma"/>
          <w:b/>
        </w:rPr>
        <w:t>E</w:t>
      </w:r>
      <w:r w:rsidR="00C37CD8" w:rsidRPr="001C792A">
        <w:rPr>
          <w:rFonts w:cs="Tahoma"/>
          <w:b/>
        </w:rPr>
        <w:t>mployee labor and materials for developing, printing, storing forms</w:t>
      </w:r>
    </w:p>
    <w:p w14:paraId="13D69239" w14:textId="77777777" w:rsidR="00C37CD8" w:rsidRPr="001C792A" w:rsidRDefault="00EC10FF" w:rsidP="003860F5">
      <w:pPr>
        <w:pStyle w:val="Level1"/>
        <w:numPr>
          <w:ilvl w:val="0"/>
          <w:numId w:val="3"/>
        </w:numPr>
        <w:spacing w:after="0" w:line="240" w:lineRule="auto"/>
        <w:ind w:left="1080" w:hanging="360"/>
        <w:outlineLvl w:val="9"/>
        <w:rPr>
          <w:rFonts w:cs="Tahoma"/>
          <w:b/>
        </w:rPr>
      </w:pPr>
      <w:r w:rsidRPr="001C792A">
        <w:rPr>
          <w:rFonts w:cs="Tahoma"/>
          <w:b/>
        </w:rPr>
        <w:t>E</w:t>
      </w:r>
      <w:r w:rsidR="00C37CD8" w:rsidRPr="001C792A">
        <w:rPr>
          <w:rFonts w:cs="Tahoma"/>
          <w:b/>
        </w:rPr>
        <w:t>mployee labor and materials for developing computer systems, screens, or reports to support the collection</w:t>
      </w:r>
    </w:p>
    <w:p w14:paraId="29B43E98" w14:textId="77777777" w:rsidR="00C37CD8" w:rsidRPr="001C792A" w:rsidRDefault="00EC10FF" w:rsidP="003860F5">
      <w:pPr>
        <w:pStyle w:val="Level1"/>
        <w:numPr>
          <w:ilvl w:val="0"/>
          <w:numId w:val="3"/>
        </w:numPr>
        <w:spacing w:after="0" w:line="240" w:lineRule="auto"/>
        <w:ind w:left="720" w:firstLine="0"/>
        <w:outlineLvl w:val="9"/>
        <w:rPr>
          <w:rFonts w:cs="Tahoma"/>
          <w:b/>
        </w:rPr>
      </w:pPr>
      <w:r w:rsidRPr="001C792A">
        <w:rPr>
          <w:rFonts w:cs="Tahoma"/>
          <w:b/>
        </w:rPr>
        <w:t>E</w:t>
      </w:r>
      <w:r w:rsidR="00C37CD8" w:rsidRPr="001C792A">
        <w:rPr>
          <w:rFonts w:cs="Tahoma"/>
          <w:b/>
        </w:rPr>
        <w:t>mployee travel costs</w:t>
      </w:r>
    </w:p>
    <w:p w14:paraId="02D2154E" w14:textId="77777777" w:rsidR="00C37CD8" w:rsidRPr="001C792A" w:rsidRDefault="00EC10FF" w:rsidP="003860F5">
      <w:pPr>
        <w:pStyle w:val="Level1"/>
        <w:numPr>
          <w:ilvl w:val="0"/>
          <w:numId w:val="3"/>
        </w:numPr>
        <w:spacing w:after="0" w:line="240" w:lineRule="auto"/>
        <w:ind w:left="1080" w:hanging="360"/>
        <w:outlineLvl w:val="9"/>
        <w:rPr>
          <w:rFonts w:cs="Tahoma"/>
          <w:b/>
        </w:rPr>
      </w:pPr>
      <w:r w:rsidRPr="001C792A">
        <w:rPr>
          <w:rFonts w:cs="Tahoma"/>
          <w:b/>
        </w:rPr>
        <w:t>C</w:t>
      </w:r>
      <w:r w:rsidR="00C37CD8" w:rsidRPr="001C792A">
        <w:rPr>
          <w:rFonts w:cs="Tahoma"/>
          <w:b/>
        </w:rPr>
        <w:t>ost of contractor services or other reimbursements to individuals or organizations assisting in the collection of information</w:t>
      </w:r>
    </w:p>
    <w:p w14:paraId="5087FAC5" w14:textId="77777777" w:rsidR="00C37CD8" w:rsidRPr="001C792A" w:rsidRDefault="00EC10FF" w:rsidP="003860F5">
      <w:pPr>
        <w:pStyle w:val="Level1"/>
        <w:numPr>
          <w:ilvl w:val="0"/>
          <w:numId w:val="3"/>
        </w:numPr>
        <w:spacing w:after="0" w:line="240" w:lineRule="auto"/>
        <w:ind w:left="720" w:firstLine="0"/>
        <w:outlineLvl w:val="9"/>
        <w:rPr>
          <w:rFonts w:cs="Tahoma"/>
          <w:b/>
        </w:rPr>
      </w:pPr>
      <w:r w:rsidRPr="001C792A">
        <w:rPr>
          <w:rFonts w:cs="Tahoma"/>
          <w:b/>
        </w:rPr>
        <w:t>E</w:t>
      </w:r>
      <w:r w:rsidR="00C37CD8" w:rsidRPr="001C792A">
        <w:rPr>
          <w:rFonts w:cs="Tahoma"/>
          <w:b/>
        </w:rPr>
        <w:t>mployee labor and materials for collecting the information</w:t>
      </w:r>
    </w:p>
    <w:p w14:paraId="0BAC4292" w14:textId="77777777" w:rsidR="00C37CD8" w:rsidRPr="001C792A" w:rsidRDefault="00EC10FF" w:rsidP="003860F5">
      <w:pPr>
        <w:pStyle w:val="Level1"/>
        <w:numPr>
          <w:ilvl w:val="0"/>
          <w:numId w:val="3"/>
        </w:numPr>
        <w:spacing w:after="0" w:line="240" w:lineRule="auto"/>
        <w:ind w:left="1080" w:hanging="360"/>
        <w:outlineLvl w:val="9"/>
        <w:rPr>
          <w:rFonts w:cs="Tahoma"/>
          <w:b/>
        </w:rPr>
      </w:pPr>
      <w:r w:rsidRPr="001C792A">
        <w:rPr>
          <w:rFonts w:cs="Tahoma"/>
          <w:b/>
        </w:rPr>
        <w:t>E</w:t>
      </w:r>
      <w:r w:rsidR="00C37CD8" w:rsidRPr="001C792A">
        <w:rPr>
          <w:rFonts w:cs="Tahoma"/>
          <w:b/>
        </w:rPr>
        <w:t>mployee labor and materials for analyzing, evaluating, summarizing, and/or reporting on the collected information</w:t>
      </w:r>
    </w:p>
    <w:p w14:paraId="6A828DD7" w14:textId="77777777" w:rsidR="00D26F6D" w:rsidRPr="001C792A" w:rsidRDefault="00D26F6D" w:rsidP="001019CD">
      <w:pPr>
        <w:pStyle w:val="Level1"/>
        <w:numPr>
          <w:ilvl w:val="0"/>
          <w:numId w:val="0"/>
        </w:numPr>
        <w:spacing w:after="0" w:line="240" w:lineRule="auto"/>
        <w:outlineLvl w:val="9"/>
        <w:rPr>
          <w:rFonts w:cs="Tahoma"/>
          <w:b/>
        </w:rPr>
      </w:pPr>
    </w:p>
    <w:p w14:paraId="58840857" w14:textId="542432D2" w:rsidR="003860F5" w:rsidRDefault="003860F5" w:rsidP="003860F5">
      <w:pPr>
        <w:tabs>
          <w:tab w:val="left" w:pos="720"/>
        </w:tabs>
        <w:spacing w:after="0"/>
        <w:ind w:left="360"/>
      </w:pPr>
      <w:r>
        <w:t xml:space="preserve">The total cost to the Federal government for implementing this information request will be approximately $82,995 (Table 14.1). </w:t>
      </w:r>
      <w:r w:rsidRPr="003860F5">
        <w:t>Labor costs are based on the estimated number of hours to complete each task, the grade level of the people required to complete it, and the salaries as reported in the Office of Personnel Management – 201</w:t>
      </w:r>
      <w:r>
        <w:t>6</w:t>
      </w:r>
      <w:r w:rsidRPr="003860F5">
        <w:t xml:space="preserve"> Salary Tables.  Other expenses were based on the proposed sample size and the prevailing costs for procuring the necessary materials</w:t>
      </w:r>
      <w:r>
        <w:t xml:space="preserve">, as follows: </w:t>
      </w:r>
    </w:p>
    <w:p w14:paraId="61902D7F" w14:textId="4CA7B2D2" w:rsidR="00D26F6D" w:rsidRPr="001C792A" w:rsidRDefault="00D26F6D" w:rsidP="001019CD">
      <w:pPr>
        <w:pStyle w:val="Level1"/>
        <w:numPr>
          <w:ilvl w:val="0"/>
          <w:numId w:val="0"/>
        </w:numPr>
        <w:spacing w:after="0" w:line="240" w:lineRule="auto"/>
        <w:outlineLvl w:val="9"/>
        <w:rPr>
          <w:rFonts w:cs="Tahoma"/>
          <w:b/>
        </w:rPr>
      </w:pPr>
    </w:p>
    <w:p w14:paraId="2F027B33" w14:textId="4CC141ED" w:rsidR="006818AB" w:rsidRPr="001C792A" w:rsidRDefault="006818AB" w:rsidP="001019CD">
      <w:pPr>
        <w:pStyle w:val="BodyTextIndent"/>
        <w:tabs>
          <w:tab w:val="clear" w:pos="0"/>
          <w:tab w:val="clear" w:pos="361"/>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after="0" w:line="240" w:lineRule="auto"/>
        <w:ind w:left="0"/>
        <w:rPr>
          <w:rFonts w:cs="Tahoma"/>
        </w:rPr>
      </w:pPr>
      <w:r w:rsidRPr="001C792A">
        <w:rPr>
          <w:rFonts w:cs="Tahoma"/>
        </w:rPr>
        <w:t xml:space="preserve">Table </w:t>
      </w:r>
      <w:r w:rsidR="003860F5">
        <w:rPr>
          <w:rFonts w:cs="Tahoma"/>
        </w:rPr>
        <w:t>14.1 Budget Summary</w:t>
      </w:r>
    </w:p>
    <w:tbl>
      <w:tblPr>
        <w:tblW w:w="0" w:type="auto"/>
        <w:tblBorders>
          <w:top w:val="single" w:sz="4" w:space="0" w:color="auto"/>
          <w:bottom w:val="single" w:sz="4" w:space="0" w:color="auto"/>
        </w:tblBorders>
        <w:tblLook w:val="01E0" w:firstRow="1" w:lastRow="1" w:firstColumn="1" w:lastColumn="1" w:noHBand="0" w:noVBand="0"/>
      </w:tblPr>
      <w:tblGrid>
        <w:gridCol w:w="2097"/>
        <w:gridCol w:w="1443"/>
        <w:gridCol w:w="1495"/>
        <w:gridCol w:w="1403"/>
        <w:gridCol w:w="1534"/>
      </w:tblGrid>
      <w:tr w:rsidR="003860F5" w:rsidRPr="001C792A" w14:paraId="2E530EE4" w14:textId="77777777" w:rsidTr="003860F5">
        <w:trPr>
          <w:tblHeader/>
        </w:trPr>
        <w:tc>
          <w:tcPr>
            <w:tcW w:w="2097" w:type="dxa"/>
            <w:tcBorders>
              <w:top w:val="single" w:sz="4" w:space="0" w:color="auto"/>
              <w:bottom w:val="single" w:sz="4" w:space="0" w:color="auto"/>
            </w:tcBorders>
            <w:shd w:val="clear" w:color="auto" w:fill="auto"/>
            <w:vAlign w:val="center"/>
          </w:tcPr>
          <w:p w14:paraId="0D3D317E" w14:textId="77777777" w:rsidR="003860F5" w:rsidRPr="001C792A" w:rsidRDefault="003860F5" w:rsidP="001019CD">
            <w:pPr>
              <w:spacing w:after="0" w:line="240" w:lineRule="auto"/>
              <w:rPr>
                <w:rFonts w:cs="Tahoma"/>
                <w:b/>
                <w:sz w:val="20"/>
                <w:szCs w:val="20"/>
              </w:rPr>
            </w:pPr>
            <w:r w:rsidRPr="001C792A">
              <w:rPr>
                <w:rFonts w:cs="Tahoma"/>
                <w:b/>
                <w:sz w:val="20"/>
                <w:szCs w:val="20"/>
              </w:rPr>
              <w:t>ACTION ITEM</w:t>
            </w:r>
          </w:p>
        </w:tc>
        <w:tc>
          <w:tcPr>
            <w:tcW w:w="1443" w:type="dxa"/>
            <w:tcBorders>
              <w:top w:val="single" w:sz="4" w:space="0" w:color="auto"/>
              <w:bottom w:val="single" w:sz="4" w:space="0" w:color="auto"/>
            </w:tcBorders>
            <w:shd w:val="clear" w:color="auto" w:fill="auto"/>
            <w:vAlign w:val="center"/>
          </w:tcPr>
          <w:p w14:paraId="7FA059B4" w14:textId="77777777" w:rsidR="003860F5" w:rsidRPr="001C792A" w:rsidRDefault="003860F5" w:rsidP="001019CD">
            <w:pPr>
              <w:spacing w:after="0" w:line="240" w:lineRule="auto"/>
              <w:rPr>
                <w:rFonts w:cs="Tahoma"/>
                <w:b/>
                <w:sz w:val="20"/>
                <w:szCs w:val="20"/>
              </w:rPr>
            </w:pPr>
            <w:r w:rsidRPr="001C792A">
              <w:rPr>
                <w:rFonts w:cs="Tahoma"/>
                <w:b/>
                <w:sz w:val="20"/>
                <w:szCs w:val="20"/>
              </w:rPr>
              <w:t>PERSONNEL</w:t>
            </w:r>
          </w:p>
        </w:tc>
        <w:tc>
          <w:tcPr>
            <w:tcW w:w="1495" w:type="dxa"/>
            <w:tcBorders>
              <w:top w:val="single" w:sz="4" w:space="0" w:color="auto"/>
              <w:bottom w:val="single" w:sz="4" w:space="0" w:color="auto"/>
            </w:tcBorders>
            <w:shd w:val="clear" w:color="auto" w:fill="auto"/>
            <w:vAlign w:val="center"/>
          </w:tcPr>
          <w:p w14:paraId="459E51AA" w14:textId="77777777" w:rsidR="003860F5" w:rsidRPr="001C792A" w:rsidRDefault="003860F5" w:rsidP="001019CD">
            <w:pPr>
              <w:spacing w:after="0" w:line="240" w:lineRule="auto"/>
              <w:rPr>
                <w:rFonts w:cs="Tahoma"/>
                <w:b/>
                <w:sz w:val="20"/>
                <w:szCs w:val="20"/>
              </w:rPr>
            </w:pPr>
            <w:r w:rsidRPr="001C792A">
              <w:rPr>
                <w:rFonts w:cs="Tahoma"/>
                <w:b/>
                <w:sz w:val="20"/>
                <w:szCs w:val="20"/>
              </w:rPr>
              <w:t>GS LEVEL</w:t>
            </w:r>
          </w:p>
        </w:tc>
        <w:tc>
          <w:tcPr>
            <w:tcW w:w="1403" w:type="dxa"/>
            <w:tcBorders>
              <w:top w:val="single" w:sz="4" w:space="0" w:color="auto"/>
              <w:bottom w:val="single" w:sz="4" w:space="0" w:color="auto"/>
            </w:tcBorders>
            <w:shd w:val="clear" w:color="auto" w:fill="auto"/>
            <w:vAlign w:val="center"/>
          </w:tcPr>
          <w:p w14:paraId="65AFC996" w14:textId="77777777" w:rsidR="003860F5" w:rsidRPr="001C792A" w:rsidRDefault="003860F5" w:rsidP="001019CD">
            <w:pPr>
              <w:spacing w:after="0" w:line="240" w:lineRule="auto"/>
              <w:rPr>
                <w:rFonts w:cs="Tahoma"/>
                <w:b/>
                <w:sz w:val="20"/>
                <w:szCs w:val="20"/>
              </w:rPr>
            </w:pPr>
            <w:r w:rsidRPr="001C792A">
              <w:rPr>
                <w:rFonts w:cs="Tahoma"/>
                <w:b/>
                <w:sz w:val="20"/>
                <w:szCs w:val="20"/>
              </w:rPr>
              <w:t>ANNUAL SALARY</w:t>
            </w:r>
          </w:p>
        </w:tc>
        <w:tc>
          <w:tcPr>
            <w:tcW w:w="1534" w:type="dxa"/>
            <w:tcBorders>
              <w:top w:val="single" w:sz="4" w:space="0" w:color="auto"/>
              <w:bottom w:val="single" w:sz="4" w:space="0" w:color="auto"/>
            </w:tcBorders>
            <w:shd w:val="clear" w:color="auto" w:fill="auto"/>
            <w:vAlign w:val="center"/>
          </w:tcPr>
          <w:p w14:paraId="23D56FBD" w14:textId="7ECAD510" w:rsidR="003860F5" w:rsidRPr="001C792A" w:rsidRDefault="003860F5" w:rsidP="001019CD">
            <w:pPr>
              <w:spacing w:after="0" w:line="240" w:lineRule="auto"/>
              <w:rPr>
                <w:rFonts w:cs="Tahoma"/>
                <w:b/>
                <w:sz w:val="20"/>
                <w:szCs w:val="20"/>
              </w:rPr>
            </w:pPr>
            <w:r>
              <w:rPr>
                <w:rFonts w:cs="Tahoma"/>
                <w:b/>
                <w:sz w:val="20"/>
                <w:szCs w:val="20"/>
              </w:rPr>
              <w:t>SIX MONTHS</w:t>
            </w:r>
          </w:p>
          <w:p w14:paraId="4E2C5CE2" w14:textId="77777777" w:rsidR="003860F5" w:rsidRPr="001C792A" w:rsidRDefault="003860F5" w:rsidP="001019CD">
            <w:pPr>
              <w:spacing w:after="0" w:line="240" w:lineRule="auto"/>
              <w:rPr>
                <w:rFonts w:cs="Tahoma"/>
                <w:b/>
                <w:sz w:val="20"/>
                <w:szCs w:val="20"/>
              </w:rPr>
            </w:pPr>
            <w:r w:rsidRPr="001C792A">
              <w:rPr>
                <w:rFonts w:cs="Tahoma"/>
                <w:b/>
                <w:sz w:val="20"/>
                <w:szCs w:val="20"/>
              </w:rPr>
              <w:t>TOTAL</w:t>
            </w:r>
          </w:p>
        </w:tc>
      </w:tr>
      <w:tr w:rsidR="003860F5" w:rsidRPr="001C792A" w14:paraId="2961928A" w14:textId="77777777" w:rsidTr="003860F5">
        <w:tc>
          <w:tcPr>
            <w:tcW w:w="2097" w:type="dxa"/>
            <w:tcBorders>
              <w:top w:val="single" w:sz="4" w:space="0" w:color="auto"/>
            </w:tcBorders>
            <w:shd w:val="clear" w:color="auto" w:fill="auto"/>
            <w:vAlign w:val="bottom"/>
          </w:tcPr>
          <w:p w14:paraId="436EFB6C" w14:textId="77777777" w:rsidR="003860F5" w:rsidRPr="001C792A" w:rsidRDefault="003860F5" w:rsidP="003860F5">
            <w:pPr>
              <w:spacing w:after="0" w:line="240" w:lineRule="auto"/>
              <w:rPr>
                <w:rFonts w:cs="Tahoma"/>
                <w:sz w:val="20"/>
                <w:szCs w:val="20"/>
              </w:rPr>
            </w:pPr>
            <w:r w:rsidRPr="001C792A">
              <w:rPr>
                <w:rFonts w:cs="Tahoma"/>
                <w:sz w:val="20"/>
                <w:szCs w:val="20"/>
              </w:rPr>
              <w:t>Project oversight and coordination, data analysis</w:t>
            </w:r>
          </w:p>
        </w:tc>
        <w:tc>
          <w:tcPr>
            <w:tcW w:w="1443" w:type="dxa"/>
            <w:tcBorders>
              <w:top w:val="single" w:sz="4" w:space="0" w:color="auto"/>
            </w:tcBorders>
            <w:shd w:val="clear" w:color="auto" w:fill="auto"/>
            <w:vAlign w:val="center"/>
          </w:tcPr>
          <w:p w14:paraId="13B039BA" w14:textId="77777777" w:rsidR="003860F5" w:rsidRPr="001C792A" w:rsidRDefault="003860F5" w:rsidP="003860F5">
            <w:pPr>
              <w:pStyle w:val="NoSpacing"/>
              <w:jc w:val="center"/>
              <w:rPr>
                <w:rFonts w:cs="Tahoma"/>
                <w:sz w:val="20"/>
                <w:szCs w:val="20"/>
              </w:rPr>
            </w:pPr>
            <w:r w:rsidRPr="001C792A">
              <w:rPr>
                <w:rFonts w:cs="Tahoma"/>
                <w:sz w:val="20"/>
                <w:szCs w:val="20"/>
              </w:rPr>
              <w:t>Project PI</w:t>
            </w:r>
          </w:p>
        </w:tc>
        <w:tc>
          <w:tcPr>
            <w:tcW w:w="1495" w:type="dxa"/>
            <w:tcBorders>
              <w:top w:val="single" w:sz="4" w:space="0" w:color="auto"/>
            </w:tcBorders>
            <w:shd w:val="clear" w:color="auto" w:fill="auto"/>
            <w:vAlign w:val="center"/>
          </w:tcPr>
          <w:p w14:paraId="6AA33FBA" w14:textId="3C2D7114" w:rsidR="003860F5" w:rsidRPr="001C792A" w:rsidRDefault="003860F5" w:rsidP="003860F5">
            <w:pPr>
              <w:spacing w:after="0" w:line="240" w:lineRule="auto"/>
              <w:jc w:val="center"/>
              <w:rPr>
                <w:rFonts w:cs="Tahoma"/>
                <w:sz w:val="20"/>
                <w:szCs w:val="20"/>
              </w:rPr>
            </w:pPr>
            <w:r w:rsidRPr="001C792A">
              <w:rPr>
                <w:rFonts w:cs="Tahoma"/>
                <w:sz w:val="20"/>
                <w:szCs w:val="20"/>
              </w:rPr>
              <w:t>13, step 3 @25% of time</w:t>
            </w:r>
          </w:p>
        </w:tc>
        <w:tc>
          <w:tcPr>
            <w:tcW w:w="1403" w:type="dxa"/>
            <w:tcBorders>
              <w:top w:val="single" w:sz="4" w:space="0" w:color="auto"/>
            </w:tcBorders>
            <w:shd w:val="clear" w:color="auto" w:fill="auto"/>
            <w:vAlign w:val="center"/>
          </w:tcPr>
          <w:p w14:paraId="13D0B464" w14:textId="77777777" w:rsidR="003860F5" w:rsidRPr="001C792A" w:rsidRDefault="003860F5" w:rsidP="003860F5">
            <w:pPr>
              <w:spacing w:after="0" w:line="240" w:lineRule="auto"/>
              <w:jc w:val="center"/>
              <w:rPr>
                <w:rFonts w:cs="Tahoma"/>
                <w:sz w:val="20"/>
                <w:szCs w:val="20"/>
              </w:rPr>
            </w:pPr>
            <w:r w:rsidRPr="001C792A">
              <w:rPr>
                <w:rFonts w:cs="Tahoma"/>
                <w:sz w:val="20"/>
                <w:szCs w:val="20"/>
              </w:rPr>
              <w:t>$96,832</w:t>
            </w:r>
          </w:p>
        </w:tc>
        <w:tc>
          <w:tcPr>
            <w:tcW w:w="1534" w:type="dxa"/>
            <w:tcBorders>
              <w:top w:val="single" w:sz="4" w:space="0" w:color="auto"/>
            </w:tcBorders>
            <w:shd w:val="clear" w:color="auto" w:fill="auto"/>
            <w:vAlign w:val="center"/>
          </w:tcPr>
          <w:p w14:paraId="48A5106F" w14:textId="6ABE3589" w:rsidR="003860F5" w:rsidRPr="001C792A" w:rsidRDefault="003860F5" w:rsidP="003860F5">
            <w:pPr>
              <w:spacing w:after="0" w:line="240" w:lineRule="auto"/>
              <w:jc w:val="center"/>
              <w:rPr>
                <w:rFonts w:cs="Tahoma"/>
                <w:sz w:val="20"/>
                <w:szCs w:val="20"/>
              </w:rPr>
            </w:pPr>
            <w:r w:rsidRPr="001C792A">
              <w:rPr>
                <w:rFonts w:cs="Tahoma"/>
                <w:sz w:val="20"/>
                <w:szCs w:val="20"/>
              </w:rPr>
              <w:t>$</w:t>
            </w:r>
            <w:r>
              <w:rPr>
                <w:rFonts w:cs="Tahoma"/>
                <w:sz w:val="20"/>
                <w:szCs w:val="20"/>
              </w:rPr>
              <w:t>12,104</w:t>
            </w:r>
          </w:p>
        </w:tc>
      </w:tr>
      <w:tr w:rsidR="003860F5" w:rsidRPr="001C792A" w14:paraId="6F325F04" w14:textId="77777777" w:rsidTr="003860F5">
        <w:tc>
          <w:tcPr>
            <w:tcW w:w="2097" w:type="dxa"/>
            <w:shd w:val="clear" w:color="auto" w:fill="auto"/>
            <w:vAlign w:val="bottom"/>
          </w:tcPr>
          <w:p w14:paraId="1F3F7580" w14:textId="4539EB6C" w:rsidR="003860F5" w:rsidRPr="001C792A" w:rsidRDefault="003860F5" w:rsidP="003860F5">
            <w:pPr>
              <w:spacing w:after="0" w:line="240" w:lineRule="auto"/>
              <w:rPr>
                <w:rFonts w:cs="Tahoma"/>
                <w:sz w:val="20"/>
                <w:szCs w:val="20"/>
              </w:rPr>
            </w:pPr>
            <w:r w:rsidRPr="001C792A">
              <w:rPr>
                <w:rFonts w:cs="Tahoma"/>
                <w:sz w:val="20"/>
                <w:szCs w:val="20"/>
              </w:rPr>
              <w:t>Outreach to recruit respondents, conducting interviews</w:t>
            </w:r>
            <w:r>
              <w:rPr>
                <w:rFonts w:cs="Tahoma"/>
                <w:sz w:val="20"/>
                <w:szCs w:val="20"/>
              </w:rPr>
              <w:t xml:space="preserve"> and focus groups</w:t>
            </w:r>
            <w:r w:rsidRPr="001C792A">
              <w:rPr>
                <w:rFonts w:cs="Tahoma"/>
                <w:sz w:val="20"/>
                <w:szCs w:val="20"/>
              </w:rPr>
              <w:t>, data management and analysis</w:t>
            </w:r>
          </w:p>
        </w:tc>
        <w:tc>
          <w:tcPr>
            <w:tcW w:w="1443" w:type="dxa"/>
            <w:shd w:val="clear" w:color="auto" w:fill="auto"/>
            <w:vAlign w:val="center"/>
          </w:tcPr>
          <w:p w14:paraId="608B8045" w14:textId="77777777" w:rsidR="003860F5" w:rsidRPr="001C792A" w:rsidRDefault="003860F5" w:rsidP="003860F5">
            <w:pPr>
              <w:pStyle w:val="NoSpacing"/>
              <w:jc w:val="center"/>
              <w:rPr>
                <w:rFonts w:cs="Tahoma"/>
                <w:sz w:val="20"/>
                <w:szCs w:val="20"/>
              </w:rPr>
            </w:pPr>
            <w:r w:rsidRPr="001C792A">
              <w:rPr>
                <w:rFonts w:cs="Tahoma"/>
                <w:sz w:val="20"/>
                <w:szCs w:val="20"/>
              </w:rPr>
              <w:t>Project technicians (4)</w:t>
            </w:r>
          </w:p>
        </w:tc>
        <w:tc>
          <w:tcPr>
            <w:tcW w:w="1495" w:type="dxa"/>
            <w:shd w:val="clear" w:color="auto" w:fill="auto"/>
            <w:vAlign w:val="center"/>
          </w:tcPr>
          <w:p w14:paraId="62C4CFED" w14:textId="3657CF54" w:rsidR="003860F5" w:rsidRPr="001C792A" w:rsidRDefault="003860F5" w:rsidP="003860F5">
            <w:pPr>
              <w:spacing w:after="0" w:line="240" w:lineRule="auto"/>
              <w:jc w:val="center"/>
              <w:rPr>
                <w:rFonts w:cs="Tahoma"/>
                <w:sz w:val="20"/>
                <w:szCs w:val="20"/>
              </w:rPr>
            </w:pPr>
            <w:r w:rsidRPr="001C792A">
              <w:rPr>
                <w:rFonts w:cs="Tahoma"/>
                <w:sz w:val="20"/>
                <w:szCs w:val="20"/>
              </w:rPr>
              <w:t>9, step 3 @50% of time</w:t>
            </w:r>
          </w:p>
        </w:tc>
        <w:tc>
          <w:tcPr>
            <w:tcW w:w="1403" w:type="dxa"/>
            <w:shd w:val="clear" w:color="auto" w:fill="auto"/>
            <w:vAlign w:val="center"/>
          </w:tcPr>
          <w:p w14:paraId="3369906A" w14:textId="77777777" w:rsidR="003860F5" w:rsidRPr="001C792A" w:rsidRDefault="003860F5" w:rsidP="003860F5">
            <w:pPr>
              <w:spacing w:after="0" w:line="240" w:lineRule="auto"/>
              <w:jc w:val="center"/>
              <w:rPr>
                <w:rFonts w:cs="Tahoma"/>
                <w:sz w:val="20"/>
                <w:szCs w:val="20"/>
              </w:rPr>
            </w:pPr>
            <w:r w:rsidRPr="001C792A">
              <w:rPr>
                <w:rFonts w:cs="Tahoma"/>
                <w:sz w:val="20"/>
                <w:szCs w:val="20"/>
              </w:rPr>
              <w:t>$56,151</w:t>
            </w:r>
          </w:p>
        </w:tc>
        <w:tc>
          <w:tcPr>
            <w:tcW w:w="1534" w:type="dxa"/>
            <w:shd w:val="clear" w:color="auto" w:fill="auto"/>
            <w:vAlign w:val="center"/>
          </w:tcPr>
          <w:p w14:paraId="73D5F9C3" w14:textId="5D3365D8" w:rsidR="003860F5" w:rsidRPr="001C792A" w:rsidRDefault="003860F5" w:rsidP="003860F5">
            <w:pPr>
              <w:spacing w:after="0" w:line="240" w:lineRule="auto"/>
              <w:jc w:val="center"/>
              <w:rPr>
                <w:rFonts w:cs="Tahoma"/>
                <w:sz w:val="20"/>
                <w:szCs w:val="20"/>
              </w:rPr>
            </w:pPr>
            <w:r w:rsidRPr="001C792A">
              <w:rPr>
                <w:rFonts w:cs="Tahoma"/>
                <w:sz w:val="20"/>
                <w:szCs w:val="20"/>
              </w:rPr>
              <w:t>$</w:t>
            </w:r>
            <w:r>
              <w:rPr>
                <w:rFonts w:cs="Tahoma"/>
                <w:sz w:val="20"/>
                <w:szCs w:val="20"/>
              </w:rPr>
              <w:t>56,151</w:t>
            </w:r>
          </w:p>
        </w:tc>
      </w:tr>
      <w:tr w:rsidR="003860F5" w:rsidRPr="001C792A" w14:paraId="60F27775" w14:textId="77777777" w:rsidTr="003860F5">
        <w:tc>
          <w:tcPr>
            <w:tcW w:w="2097" w:type="dxa"/>
            <w:shd w:val="clear" w:color="auto" w:fill="auto"/>
            <w:vAlign w:val="bottom"/>
          </w:tcPr>
          <w:p w14:paraId="353938E3" w14:textId="7152FE93" w:rsidR="003860F5" w:rsidRPr="001C792A" w:rsidRDefault="003860F5" w:rsidP="003860F5">
            <w:pPr>
              <w:spacing w:after="0" w:line="240" w:lineRule="auto"/>
              <w:rPr>
                <w:rFonts w:cs="Tahoma"/>
                <w:sz w:val="20"/>
                <w:szCs w:val="20"/>
              </w:rPr>
            </w:pPr>
            <w:r>
              <w:rPr>
                <w:rFonts w:cs="Tahoma"/>
                <w:sz w:val="20"/>
                <w:szCs w:val="20"/>
              </w:rPr>
              <w:t>Focus groups non-salary expenses (room rental, travel within and across islands)</w:t>
            </w:r>
          </w:p>
        </w:tc>
        <w:tc>
          <w:tcPr>
            <w:tcW w:w="1443" w:type="dxa"/>
            <w:shd w:val="clear" w:color="auto" w:fill="auto"/>
            <w:vAlign w:val="center"/>
          </w:tcPr>
          <w:p w14:paraId="6F481FD3" w14:textId="77777777" w:rsidR="003860F5" w:rsidRPr="001C792A" w:rsidRDefault="003860F5" w:rsidP="003860F5">
            <w:pPr>
              <w:spacing w:after="0" w:line="240" w:lineRule="auto"/>
              <w:jc w:val="center"/>
              <w:rPr>
                <w:rFonts w:cs="Tahoma"/>
                <w:sz w:val="20"/>
                <w:szCs w:val="20"/>
              </w:rPr>
            </w:pPr>
          </w:p>
        </w:tc>
        <w:tc>
          <w:tcPr>
            <w:tcW w:w="1495" w:type="dxa"/>
            <w:shd w:val="clear" w:color="auto" w:fill="auto"/>
            <w:vAlign w:val="center"/>
          </w:tcPr>
          <w:p w14:paraId="3CF9C6CE" w14:textId="77777777" w:rsidR="003860F5" w:rsidRPr="001C792A" w:rsidRDefault="003860F5" w:rsidP="003860F5">
            <w:pPr>
              <w:spacing w:after="0" w:line="240" w:lineRule="auto"/>
              <w:jc w:val="center"/>
              <w:rPr>
                <w:rFonts w:cs="Tahoma"/>
                <w:sz w:val="20"/>
                <w:szCs w:val="20"/>
              </w:rPr>
            </w:pPr>
          </w:p>
        </w:tc>
        <w:tc>
          <w:tcPr>
            <w:tcW w:w="1403" w:type="dxa"/>
            <w:shd w:val="clear" w:color="auto" w:fill="auto"/>
            <w:vAlign w:val="center"/>
          </w:tcPr>
          <w:p w14:paraId="554CAF11" w14:textId="77777777" w:rsidR="003860F5" w:rsidRPr="001C792A" w:rsidRDefault="003860F5" w:rsidP="003860F5">
            <w:pPr>
              <w:spacing w:after="0" w:line="240" w:lineRule="auto"/>
              <w:jc w:val="center"/>
              <w:rPr>
                <w:rFonts w:cs="Tahoma"/>
                <w:sz w:val="20"/>
                <w:szCs w:val="20"/>
              </w:rPr>
            </w:pPr>
          </w:p>
        </w:tc>
        <w:tc>
          <w:tcPr>
            <w:tcW w:w="1534" w:type="dxa"/>
            <w:shd w:val="clear" w:color="auto" w:fill="auto"/>
            <w:vAlign w:val="center"/>
          </w:tcPr>
          <w:p w14:paraId="79E4FE08" w14:textId="7BFF7CCD" w:rsidR="003860F5" w:rsidRPr="001C792A" w:rsidRDefault="003860F5" w:rsidP="003860F5">
            <w:pPr>
              <w:spacing w:after="0" w:line="240" w:lineRule="auto"/>
              <w:jc w:val="center"/>
              <w:rPr>
                <w:rFonts w:cs="Tahoma"/>
                <w:sz w:val="20"/>
                <w:szCs w:val="20"/>
              </w:rPr>
            </w:pPr>
            <w:r>
              <w:rPr>
                <w:rFonts w:cs="Tahoma"/>
                <w:sz w:val="20"/>
                <w:szCs w:val="20"/>
              </w:rPr>
              <w:t>$5,500</w:t>
            </w:r>
          </w:p>
        </w:tc>
      </w:tr>
      <w:tr w:rsidR="003860F5" w:rsidRPr="001C792A" w14:paraId="63365FC1" w14:textId="77777777" w:rsidTr="003860F5">
        <w:tc>
          <w:tcPr>
            <w:tcW w:w="2097" w:type="dxa"/>
            <w:shd w:val="clear" w:color="auto" w:fill="auto"/>
            <w:vAlign w:val="bottom"/>
          </w:tcPr>
          <w:p w14:paraId="72BE0A30" w14:textId="38045E75" w:rsidR="003860F5" w:rsidRPr="001C792A" w:rsidRDefault="003860F5" w:rsidP="003860F5">
            <w:pPr>
              <w:spacing w:after="0" w:line="240" w:lineRule="auto"/>
              <w:rPr>
                <w:rFonts w:cs="Tahoma"/>
                <w:sz w:val="20"/>
                <w:szCs w:val="20"/>
              </w:rPr>
            </w:pPr>
            <w:r>
              <w:rPr>
                <w:rFonts w:cs="Tahoma"/>
                <w:sz w:val="20"/>
                <w:szCs w:val="20"/>
              </w:rPr>
              <w:t>In-person interviews non-salary expenses (travel, printing)</w:t>
            </w:r>
          </w:p>
        </w:tc>
        <w:tc>
          <w:tcPr>
            <w:tcW w:w="1443" w:type="dxa"/>
            <w:shd w:val="clear" w:color="auto" w:fill="auto"/>
            <w:vAlign w:val="center"/>
          </w:tcPr>
          <w:p w14:paraId="7F99CF97" w14:textId="77777777" w:rsidR="003860F5" w:rsidRPr="001C792A" w:rsidRDefault="003860F5" w:rsidP="003860F5">
            <w:pPr>
              <w:spacing w:after="0" w:line="240" w:lineRule="auto"/>
              <w:jc w:val="center"/>
              <w:rPr>
                <w:rFonts w:cs="Tahoma"/>
                <w:sz w:val="20"/>
                <w:szCs w:val="20"/>
              </w:rPr>
            </w:pPr>
          </w:p>
        </w:tc>
        <w:tc>
          <w:tcPr>
            <w:tcW w:w="1495" w:type="dxa"/>
            <w:shd w:val="clear" w:color="auto" w:fill="auto"/>
            <w:vAlign w:val="center"/>
          </w:tcPr>
          <w:p w14:paraId="4ABDD34F" w14:textId="77777777" w:rsidR="003860F5" w:rsidRPr="001C792A" w:rsidRDefault="003860F5" w:rsidP="003860F5">
            <w:pPr>
              <w:spacing w:after="0" w:line="240" w:lineRule="auto"/>
              <w:jc w:val="center"/>
              <w:rPr>
                <w:rFonts w:cs="Tahoma"/>
                <w:sz w:val="20"/>
                <w:szCs w:val="20"/>
              </w:rPr>
            </w:pPr>
          </w:p>
        </w:tc>
        <w:tc>
          <w:tcPr>
            <w:tcW w:w="1403" w:type="dxa"/>
            <w:shd w:val="clear" w:color="auto" w:fill="auto"/>
            <w:vAlign w:val="center"/>
          </w:tcPr>
          <w:p w14:paraId="6F60567D" w14:textId="77777777" w:rsidR="003860F5" w:rsidRPr="001C792A" w:rsidRDefault="003860F5" w:rsidP="003860F5">
            <w:pPr>
              <w:spacing w:after="0" w:line="240" w:lineRule="auto"/>
              <w:jc w:val="center"/>
              <w:rPr>
                <w:rFonts w:cs="Tahoma"/>
                <w:sz w:val="20"/>
                <w:szCs w:val="20"/>
              </w:rPr>
            </w:pPr>
          </w:p>
        </w:tc>
        <w:tc>
          <w:tcPr>
            <w:tcW w:w="1534" w:type="dxa"/>
            <w:shd w:val="clear" w:color="auto" w:fill="auto"/>
            <w:vAlign w:val="center"/>
          </w:tcPr>
          <w:p w14:paraId="5DE2DC9D" w14:textId="1363B10C" w:rsidR="003860F5" w:rsidRPr="001C792A" w:rsidRDefault="003860F5" w:rsidP="003860F5">
            <w:pPr>
              <w:spacing w:after="0" w:line="240" w:lineRule="auto"/>
              <w:jc w:val="center"/>
              <w:rPr>
                <w:rFonts w:cs="Tahoma"/>
                <w:sz w:val="20"/>
                <w:szCs w:val="20"/>
              </w:rPr>
            </w:pPr>
            <w:r>
              <w:rPr>
                <w:rFonts w:cs="Tahoma"/>
                <w:sz w:val="20"/>
                <w:szCs w:val="20"/>
              </w:rPr>
              <w:t>$4,500</w:t>
            </w:r>
          </w:p>
        </w:tc>
      </w:tr>
      <w:tr w:rsidR="003860F5" w:rsidRPr="001C792A" w14:paraId="13DA3261" w14:textId="77777777" w:rsidTr="003860F5">
        <w:tc>
          <w:tcPr>
            <w:tcW w:w="2097" w:type="dxa"/>
            <w:shd w:val="clear" w:color="auto" w:fill="auto"/>
            <w:vAlign w:val="bottom"/>
          </w:tcPr>
          <w:p w14:paraId="7A740EDE" w14:textId="77777777" w:rsidR="003860F5" w:rsidRPr="001C792A" w:rsidRDefault="003860F5" w:rsidP="003860F5">
            <w:pPr>
              <w:spacing w:after="0" w:line="240" w:lineRule="auto"/>
              <w:rPr>
                <w:rFonts w:cs="Tahoma"/>
                <w:sz w:val="20"/>
                <w:szCs w:val="20"/>
              </w:rPr>
            </w:pPr>
            <w:r w:rsidRPr="001C792A">
              <w:rPr>
                <w:rFonts w:cs="Tahoma"/>
                <w:sz w:val="20"/>
                <w:szCs w:val="20"/>
              </w:rPr>
              <w:t>Purchase of data analysis software (SPSS, NVivo)*</w:t>
            </w:r>
          </w:p>
        </w:tc>
        <w:tc>
          <w:tcPr>
            <w:tcW w:w="1443" w:type="dxa"/>
            <w:shd w:val="clear" w:color="auto" w:fill="auto"/>
            <w:vAlign w:val="center"/>
          </w:tcPr>
          <w:p w14:paraId="516B4293" w14:textId="77777777" w:rsidR="003860F5" w:rsidRPr="001C792A" w:rsidRDefault="003860F5" w:rsidP="003860F5">
            <w:pPr>
              <w:spacing w:after="0" w:line="240" w:lineRule="auto"/>
              <w:jc w:val="center"/>
              <w:rPr>
                <w:rFonts w:cs="Tahoma"/>
                <w:sz w:val="20"/>
                <w:szCs w:val="20"/>
              </w:rPr>
            </w:pPr>
          </w:p>
        </w:tc>
        <w:tc>
          <w:tcPr>
            <w:tcW w:w="1495" w:type="dxa"/>
            <w:shd w:val="clear" w:color="auto" w:fill="auto"/>
            <w:vAlign w:val="center"/>
          </w:tcPr>
          <w:p w14:paraId="1AE5D8D9" w14:textId="77777777" w:rsidR="003860F5" w:rsidRPr="001C792A" w:rsidRDefault="003860F5" w:rsidP="003860F5">
            <w:pPr>
              <w:spacing w:after="0" w:line="240" w:lineRule="auto"/>
              <w:jc w:val="center"/>
              <w:rPr>
                <w:rFonts w:cs="Tahoma"/>
                <w:sz w:val="20"/>
                <w:szCs w:val="20"/>
              </w:rPr>
            </w:pPr>
          </w:p>
        </w:tc>
        <w:tc>
          <w:tcPr>
            <w:tcW w:w="1403" w:type="dxa"/>
            <w:shd w:val="clear" w:color="auto" w:fill="auto"/>
            <w:vAlign w:val="center"/>
          </w:tcPr>
          <w:p w14:paraId="7EBCAF55" w14:textId="77777777" w:rsidR="003860F5" w:rsidRPr="001C792A" w:rsidRDefault="003860F5" w:rsidP="003860F5">
            <w:pPr>
              <w:spacing w:after="0" w:line="240" w:lineRule="auto"/>
              <w:jc w:val="center"/>
              <w:rPr>
                <w:rFonts w:cs="Tahoma"/>
                <w:sz w:val="20"/>
                <w:szCs w:val="20"/>
              </w:rPr>
            </w:pPr>
          </w:p>
        </w:tc>
        <w:tc>
          <w:tcPr>
            <w:tcW w:w="1534" w:type="dxa"/>
            <w:shd w:val="clear" w:color="auto" w:fill="auto"/>
            <w:vAlign w:val="center"/>
          </w:tcPr>
          <w:p w14:paraId="279F3A0E" w14:textId="6EF4ED21" w:rsidR="003860F5" w:rsidRPr="001C792A" w:rsidRDefault="003860F5" w:rsidP="003860F5">
            <w:pPr>
              <w:spacing w:after="0" w:line="240" w:lineRule="auto"/>
              <w:jc w:val="center"/>
              <w:rPr>
                <w:rFonts w:cs="Tahoma"/>
                <w:sz w:val="20"/>
                <w:szCs w:val="20"/>
              </w:rPr>
            </w:pPr>
            <w:r w:rsidRPr="001C792A">
              <w:rPr>
                <w:rFonts w:cs="Tahoma"/>
                <w:sz w:val="20"/>
                <w:szCs w:val="20"/>
              </w:rPr>
              <w:t>$4,740</w:t>
            </w:r>
          </w:p>
        </w:tc>
      </w:tr>
      <w:tr w:rsidR="003860F5" w:rsidRPr="001C792A" w14:paraId="3958493C" w14:textId="77777777" w:rsidTr="003860F5">
        <w:trPr>
          <w:trHeight w:val="377"/>
        </w:trPr>
        <w:tc>
          <w:tcPr>
            <w:tcW w:w="2097" w:type="dxa"/>
            <w:shd w:val="clear" w:color="auto" w:fill="auto"/>
            <w:vAlign w:val="bottom"/>
          </w:tcPr>
          <w:p w14:paraId="34CB824A" w14:textId="61B992CB" w:rsidR="003860F5" w:rsidRPr="003860F5" w:rsidRDefault="003860F5" w:rsidP="003860F5">
            <w:pPr>
              <w:spacing w:after="0" w:line="240" w:lineRule="auto"/>
              <w:rPr>
                <w:rFonts w:cs="Tahoma"/>
                <w:b/>
                <w:sz w:val="20"/>
                <w:szCs w:val="20"/>
              </w:rPr>
            </w:pPr>
            <w:r w:rsidRPr="003860F5">
              <w:rPr>
                <w:rFonts w:cs="Tahoma"/>
                <w:b/>
                <w:sz w:val="20"/>
                <w:szCs w:val="20"/>
              </w:rPr>
              <w:t>TOTAL</w:t>
            </w:r>
          </w:p>
        </w:tc>
        <w:tc>
          <w:tcPr>
            <w:tcW w:w="1443" w:type="dxa"/>
            <w:shd w:val="clear" w:color="auto" w:fill="auto"/>
            <w:vAlign w:val="center"/>
          </w:tcPr>
          <w:p w14:paraId="7E521C8F" w14:textId="77777777" w:rsidR="003860F5" w:rsidRPr="001C792A" w:rsidRDefault="003860F5" w:rsidP="003860F5">
            <w:pPr>
              <w:spacing w:after="0" w:line="240" w:lineRule="auto"/>
              <w:jc w:val="center"/>
              <w:rPr>
                <w:rFonts w:cs="Tahoma"/>
                <w:sz w:val="20"/>
                <w:szCs w:val="20"/>
              </w:rPr>
            </w:pPr>
          </w:p>
        </w:tc>
        <w:tc>
          <w:tcPr>
            <w:tcW w:w="1495" w:type="dxa"/>
            <w:shd w:val="clear" w:color="auto" w:fill="auto"/>
            <w:vAlign w:val="center"/>
          </w:tcPr>
          <w:p w14:paraId="2F1E8553" w14:textId="77777777" w:rsidR="003860F5" w:rsidRPr="001C792A" w:rsidRDefault="003860F5" w:rsidP="003860F5">
            <w:pPr>
              <w:spacing w:after="0" w:line="240" w:lineRule="auto"/>
              <w:jc w:val="center"/>
              <w:rPr>
                <w:rFonts w:cs="Tahoma"/>
                <w:sz w:val="20"/>
                <w:szCs w:val="20"/>
              </w:rPr>
            </w:pPr>
          </w:p>
        </w:tc>
        <w:tc>
          <w:tcPr>
            <w:tcW w:w="1403" w:type="dxa"/>
            <w:shd w:val="clear" w:color="auto" w:fill="auto"/>
            <w:vAlign w:val="center"/>
          </w:tcPr>
          <w:p w14:paraId="40ED7FDE" w14:textId="77777777" w:rsidR="003860F5" w:rsidRPr="001C792A" w:rsidRDefault="003860F5" w:rsidP="003860F5">
            <w:pPr>
              <w:spacing w:after="0" w:line="240" w:lineRule="auto"/>
              <w:jc w:val="center"/>
              <w:rPr>
                <w:rFonts w:cs="Tahoma"/>
                <w:sz w:val="20"/>
                <w:szCs w:val="20"/>
              </w:rPr>
            </w:pPr>
          </w:p>
        </w:tc>
        <w:tc>
          <w:tcPr>
            <w:tcW w:w="1534" w:type="dxa"/>
            <w:shd w:val="clear" w:color="auto" w:fill="auto"/>
            <w:vAlign w:val="center"/>
          </w:tcPr>
          <w:p w14:paraId="724F42C2" w14:textId="79633238" w:rsidR="003860F5" w:rsidRPr="001C792A" w:rsidRDefault="003860F5" w:rsidP="003860F5">
            <w:pPr>
              <w:spacing w:after="0" w:line="240" w:lineRule="auto"/>
              <w:jc w:val="center"/>
              <w:rPr>
                <w:rFonts w:cs="Tahoma"/>
                <w:sz w:val="20"/>
                <w:szCs w:val="20"/>
              </w:rPr>
            </w:pPr>
            <w:r w:rsidRPr="001C792A">
              <w:rPr>
                <w:rFonts w:cs="Tahoma"/>
                <w:sz w:val="20"/>
                <w:szCs w:val="20"/>
              </w:rPr>
              <w:t>$</w:t>
            </w:r>
            <w:r>
              <w:rPr>
                <w:rFonts w:cs="Tahoma"/>
                <w:sz w:val="20"/>
                <w:szCs w:val="20"/>
              </w:rPr>
              <w:t>82,995</w:t>
            </w:r>
          </w:p>
        </w:tc>
      </w:tr>
    </w:tbl>
    <w:p w14:paraId="0AFE5E5D" w14:textId="77777777" w:rsidR="00191DE2" w:rsidRPr="001C792A" w:rsidRDefault="00191DE2" w:rsidP="001019CD">
      <w:pPr>
        <w:spacing w:after="0" w:line="240" w:lineRule="auto"/>
        <w:rPr>
          <w:rFonts w:cs="Tahoma"/>
        </w:rPr>
      </w:pPr>
    </w:p>
    <w:p w14:paraId="0FB89773" w14:textId="1B8B6C55" w:rsidR="006B455B" w:rsidRDefault="006B455B" w:rsidP="003860F5">
      <w:pPr>
        <w:pStyle w:val="ListParagraph"/>
        <w:numPr>
          <w:ilvl w:val="0"/>
          <w:numId w:val="56"/>
        </w:numPr>
        <w:spacing w:after="0" w:line="240" w:lineRule="auto"/>
        <w:rPr>
          <w:rFonts w:cs="Tahoma"/>
          <w:b/>
          <w:bCs/>
        </w:rPr>
      </w:pPr>
      <w:r w:rsidRPr="003860F5">
        <w:rPr>
          <w:rFonts w:cs="Tahoma"/>
          <w:b/>
          <w:bCs/>
        </w:rPr>
        <w:t>Explain the reasons for any program changes or adjustments reported in items 13 or 14 of OMB form 83-I.</w:t>
      </w:r>
    </w:p>
    <w:p w14:paraId="55FC7058" w14:textId="77777777" w:rsidR="003860F5" w:rsidRPr="003860F5" w:rsidRDefault="003860F5" w:rsidP="003860F5">
      <w:pPr>
        <w:pStyle w:val="ListParagraph"/>
        <w:spacing w:after="0" w:line="240" w:lineRule="auto"/>
        <w:rPr>
          <w:rFonts w:cs="Tahoma"/>
          <w:b/>
          <w:bCs/>
        </w:rPr>
      </w:pPr>
    </w:p>
    <w:p w14:paraId="31DC4EA1" w14:textId="77777777" w:rsidR="00C37CD8" w:rsidRPr="001C792A" w:rsidRDefault="00C03E9F" w:rsidP="001019CD">
      <w:pPr>
        <w:spacing w:after="0" w:line="240" w:lineRule="auto"/>
        <w:rPr>
          <w:rFonts w:cs="Tahoma"/>
          <w:bCs/>
        </w:rPr>
      </w:pPr>
      <w:r w:rsidRPr="001C792A">
        <w:rPr>
          <w:rFonts w:cs="Tahoma"/>
          <w:bCs/>
        </w:rPr>
        <w:t xml:space="preserve">This is a new </w:t>
      </w:r>
      <w:r w:rsidR="001A3B0B" w:rsidRPr="001C792A">
        <w:rPr>
          <w:rFonts w:cs="Tahoma"/>
          <w:bCs/>
        </w:rPr>
        <w:t>Information Collection</w:t>
      </w:r>
      <w:r w:rsidR="00C37CD8" w:rsidRPr="001C792A">
        <w:rPr>
          <w:rFonts w:cs="Tahoma"/>
          <w:bCs/>
        </w:rPr>
        <w:t>.</w:t>
      </w:r>
    </w:p>
    <w:p w14:paraId="506EBBD5" w14:textId="77777777" w:rsidR="003860F5" w:rsidRDefault="003860F5" w:rsidP="003860F5">
      <w:pPr>
        <w:spacing w:after="0" w:line="240" w:lineRule="auto"/>
        <w:rPr>
          <w:rFonts w:cs="Tahoma"/>
          <w:b/>
          <w:bCs/>
        </w:rPr>
      </w:pPr>
    </w:p>
    <w:p w14:paraId="6D98ED35" w14:textId="09D06E74" w:rsidR="00C37CD8" w:rsidRDefault="00C37CD8" w:rsidP="003860F5">
      <w:pPr>
        <w:pStyle w:val="ListParagraph"/>
        <w:numPr>
          <w:ilvl w:val="0"/>
          <w:numId w:val="56"/>
        </w:numPr>
        <w:spacing w:after="0" w:line="240" w:lineRule="auto"/>
        <w:rPr>
          <w:rFonts w:cs="Tahoma"/>
          <w:b/>
          <w:bCs/>
        </w:rPr>
      </w:pPr>
      <w:r w:rsidRPr="003860F5">
        <w:rPr>
          <w:rFonts w:cs="Tahoma"/>
          <w:b/>
          <w:bCs/>
        </w:rPr>
        <w:t>For collections of information whose results are planned to be published, outline plans for tabulation and publication.</w:t>
      </w:r>
    </w:p>
    <w:p w14:paraId="2C37843A" w14:textId="77777777" w:rsidR="003860F5" w:rsidRPr="003860F5" w:rsidRDefault="003860F5" w:rsidP="003860F5">
      <w:pPr>
        <w:pStyle w:val="ListParagraph"/>
        <w:spacing w:after="0" w:line="240" w:lineRule="auto"/>
        <w:rPr>
          <w:rFonts w:cs="Tahoma"/>
          <w:b/>
          <w:bCs/>
        </w:rPr>
      </w:pPr>
    </w:p>
    <w:p w14:paraId="2E04999B" w14:textId="594103D7" w:rsidR="003860F5" w:rsidRDefault="003860F5" w:rsidP="003860F5">
      <w:pPr>
        <w:spacing w:after="0" w:line="240" w:lineRule="auto"/>
        <w:rPr>
          <w:rFonts w:cs="Tahoma"/>
        </w:rPr>
      </w:pPr>
      <w:r w:rsidRPr="003860F5">
        <w:rPr>
          <w:rFonts w:cs="Tahoma"/>
        </w:rPr>
        <w:t xml:space="preserve">Results from the analysis will be presented in narrative, tabular, graphic, and other formats and presented directly to decision-makers, practitioners, landowners, community members, and other key stakeholders, in public and scientific fora, as </w:t>
      </w:r>
      <w:r>
        <w:rPr>
          <w:rFonts w:cs="Tahoma"/>
        </w:rPr>
        <w:t xml:space="preserve">part of </w:t>
      </w:r>
      <w:r w:rsidRPr="003860F5">
        <w:rPr>
          <w:rFonts w:cs="Tahoma"/>
        </w:rPr>
        <w:t xml:space="preserve">scientific peer-reviewed published papers, and </w:t>
      </w:r>
      <w:r>
        <w:rPr>
          <w:rFonts w:cs="Tahoma"/>
        </w:rPr>
        <w:t xml:space="preserve">in </w:t>
      </w:r>
      <w:r w:rsidRPr="003860F5">
        <w:rPr>
          <w:rFonts w:cs="Tahoma"/>
        </w:rPr>
        <w:t xml:space="preserve">various other forms </w:t>
      </w:r>
      <w:r>
        <w:rPr>
          <w:rFonts w:cs="Tahoma"/>
        </w:rPr>
        <w:t xml:space="preserve">(e.g. Forest Service General Technical Report) </w:t>
      </w:r>
      <w:r w:rsidRPr="003860F5">
        <w:rPr>
          <w:rFonts w:cs="Tahoma"/>
        </w:rPr>
        <w:t>and media</w:t>
      </w:r>
      <w:r>
        <w:rPr>
          <w:rFonts w:cs="Tahoma"/>
        </w:rPr>
        <w:t xml:space="preserve"> (</w:t>
      </w:r>
      <w:r w:rsidR="00D7309F">
        <w:rPr>
          <w:rFonts w:cs="Tahoma"/>
        </w:rPr>
        <w:t>e.g.,</w:t>
      </w:r>
      <w:r>
        <w:rPr>
          <w:rFonts w:cs="Tahoma"/>
        </w:rPr>
        <w:t xml:space="preserve"> agency webpages)</w:t>
      </w:r>
      <w:r w:rsidRPr="003860F5">
        <w:rPr>
          <w:rFonts w:cs="Tahoma"/>
        </w:rPr>
        <w:t>. The presentation and dissemination of research results will aim to maximize the usage and accessibility of the research and its findings.</w:t>
      </w:r>
      <w:r>
        <w:rPr>
          <w:rFonts w:cs="Tahoma"/>
        </w:rPr>
        <w:t xml:space="preserve">  </w:t>
      </w:r>
      <w:r w:rsidR="000A7264" w:rsidRPr="001C792A">
        <w:rPr>
          <w:rFonts w:cs="Tahoma"/>
        </w:rPr>
        <w:t xml:space="preserve">Where </w:t>
      </w:r>
      <w:r>
        <w:rPr>
          <w:rFonts w:cs="Tahoma"/>
        </w:rPr>
        <w:t xml:space="preserve">requested and </w:t>
      </w:r>
      <w:r w:rsidR="000A7264" w:rsidRPr="001C792A">
        <w:rPr>
          <w:rFonts w:cs="Tahoma"/>
        </w:rPr>
        <w:t xml:space="preserve">appropriate, presentations that summarize the data and findings </w:t>
      </w:r>
      <w:r>
        <w:rPr>
          <w:rFonts w:cs="Tahoma"/>
        </w:rPr>
        <w:t xml:space="preserve">will </w:t>
      </w:r>
      <w:r w:rsidR="000A7264" w:rsidRPr="001C792A">
        <w:rPr>
          <w:rFonts w:cs="Tahoma"/>
        </w:rPr>
        <w:t>be shared with research participants and other community stakeholders.</w:t>
      </w:r>
    </w:p>
    <w:p w14:paraId="7C94EC8E" w14:textId="77777777" w:rsidR="003860F5" w:rsidRDefault="003860F5" w:rsidP="003860F5">
      <w:pPr>
        <w:spacing w:after="0" w:line="240" w:lineRule="auto"/>
        <w:rPr>
          <w:rFonts w:cs="Tahoma"/>
        </w:rPr>
      </w:pPr>
    </w:p>
    <w:p w14:paraId="461B9531" w14:textId="26CA47E9" w:rsidR="00C37CD8" w:rsidRPr="003860F5" w:rsidRDefault="00C37CD8" w:rsidP="003860F5">
      <w:pPr>
        <w:pStyle w:val="ListParagraph"/>
        <w:numPr>
          <w:ilvl w:val="0"/>
          <w:numId w:val="56"/>
        </w:numPr>
        <w:spacing w:after="0" w:line="240" w:lineRule="auto"/>
        <w:rPr>
          <w:rFonts w:cs="Tahoma"/>
          <w:b/>
          <w:bCs/>
        </w:rPr>
      </w:pPr>
      <w:r w:rsidRPr="003860F5">
        <w:rPr>
          <w:rFonts w:cs="Tahoma"/>
          <w:b/>
          <w:bCs/>
        </w:rPr>
        <w:t xml:space="preserve">If seeking approval to not display the expiration date for OMB approval of the </w:t>
      </w:r>
      <w:r w:rsidR="001A3B0B" w:rsidRPr="003860F5">
        <w:rPr>
          <w:rFonts w:cs="Tahoma"/>
          <w:b/>
          <w:bCs/>
        </w:rPr>
        <w:t>Information Collection</w:t>
      </w:r>
      <w:r w:rsidRPr="003860F5">
        <w:rPr>
          <w:rFonts w:cs="Tahoma"/>
          <w:b/>
          <w:bCs/>
        </w:rPr>
        <w:t>, explain the reasons that display would be inappropriate.</w:t>
      </w:r>
    </w:p>
    <w:p w14:paraId="78440236" w14:textId="77777777" w:rsidR="003860F5" w:rsidRDefault="003860F5" w:rsidP="001019CD">
      <w:pPr>
        <w:spacing w:after="0" w:line="240" w:lineRule="auto"/>
        <w:rPr>
          <w:rFonts w:cs="Tahoma"/>
        </w:rPr>
      </w:pPr>
    </w:p>
    <w:p w14:paraId="06DFB2EE" w14:textId="14123115" w:rsidR="00225BA2" w:rsidRDefault="005A42BE" w:rsidP="001019CD">
      <w:pPr>
        <w:spacing w:after="0" w:line="240" w:lineRule="auto"/>
        <w:rPr>
          <w:rFonts w:cs="Tahoma"/>
        </w:rPr>
      </w:pPr>
      <w:r w:rsidRPr="001C792A">
        <w:rPr>
          <w:rFonts w:cs="Tahoma"/>
        </w:rPr>
        <w:t xml:space="preserve">The valid OMB control number and expiration date will be displayed on all </w:t>
      </w:r>
      <w:r w:rsidR="001A3B0B" w:rsidRPr="001C792A">
        <w:rPr>
          <w:rFonts w:cs="Tahoma"/>
        </w:rPr>
        <w:t>Information Collection</w:t>
      </w:r>
      <w:r w:rsidRPr="001C792A">
        <w:rPr>
          <w:rFonts w:cs="Tahoma"/>
        </w:rPr>
        <w:t xml:space="preserve"> instruments.</w:t>
      </w:r>
      <w:r w:rsidR="003860F5">
        <w:rPr>
          <w:rFonts w:cs="Tahoma"/>
        </w:rPr>
        <w:t xml:space="preserve"> No exemption is requested.</w:t>
      </w:r>
    </w:p>
    <w:p w14:paraId="6A6271A9" w14:textId="77777777" w:rsidR="003860F5" w:rsidRPr="001C792A" w:rsidRDefault="003860F5" w:rsidP="001019CD">
      <w:pPr>
        <w:spacing w:after="0" w:line="240" w:lineRule="auto"/>
        <w:rPr>
          <w:rFonts w:cs="Tahoma"/>
        </w:rPr>
      </w:pPr>
    </w:p>
    <w:p w14:paraId="06469537" w14:textId="72D05D26" w:rsidR="006B455B" w:rsidRPr="003860F5" w:rsidRDefault="006B455B" w:rsidP="003860F5">
      <w:pPr>
        <w:pStyle w:val="ListParagraph"/>
        <w:numPr>
          <w:ilvl w:val="0"/>
          <w:numId w:val="56"/>
        </w:numPr>
        <w:spacing w:after="0" w:line="240" w:lineRule="auto"/>
        <w:rPr>
          <w:rFonts w:cs="Tahoma"/>
          <w:b/>
          <w:bCs/>
        </w:rPr>
      </w:pPr>
      <w:r w:rsidRPr="003860F5">
        <w:rPr>
          <w:rFonts w:cs="Tahoma"/>
          <w:b/>
          <w:bCs/>
        </w:rPr>
        <w:t>Explain each exception to the certification statement, "Certification Requirement for Paperwork Reduction Act."</w:t>
      </w:r>
    </w:p>
    <w:p w14:paraId="18F1BA90" w14:textId="77777777" w:rsidR="003860F5" w:rsidRPr="001C792A" w:rsidRDefault="003860F5" w:rsidP="003860F5">
      <w:pPr>
        <w:spacing w:after="0" w:line="240" w:lineRule="auto"/>
        <w:rPr>
          <w:rFonts w:cs="Tahoma"/>
          <w:b/>
          <w:bCs/>
        </w:rPr>
      </w:pPr>
    </w:p>
    <w:p w14:paraId="7AC1FB68" w14:textId="57D0E789" w:rsidR="00625232" w:rsidRPr="001C792A" w:rsidRDefault="005A42BE" w:rsidP="001019CD">
      <w:pPr>
        <w:spacing w:after="0" w:line="240" w:lineRule="auto"/>
        <w:rPr>
          <w:rFonts w:cs="Tahoma"/>
          <w:color w:val="000000"/>
        </w:rPr>
      </w:pPr>
      <w:r w:rsidRPr="001C792A">
        <w:rPr>
          <w:rFonts w:cs="Tahoma"/>
          <w:bCs/>
        </w:rPr>
        <w:t>The agency is able to certify compliance with 5 CFR 1320.</w:t>
      </w:r>
    </w:p>
    <w:sectPr w:rsidR="00625232" w:rsidRPr="001C792A" w:rsidSect="003400F4">
      <w:headerReference w:type="default" r:id="rId10"/>
      <w:footerReference w:type="default" r:id="rId11"/>
      <w:footerReference w:type="first" r:id="rId12"/>
      <w:type w:val="continuous"/>
      <w:pgSz w:w="12240" w:h="15840"/>
      <w:pgMar w:top="1440" w:right="1440" w:bottom="1440" w:left="1440" w:header="432"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DAADE6" w14:textId="77777777" w:rsidR="00027D9E" w:rsidRDefault="00027D9E">
      <w:r>
        <w:separator/>
      </w:r>
    </w:p>
  </w:endnote>
  <w:endnote w:type="continuationSeparator" w:id="0">
    <w:p w14:paraId="077B705D" w14:textId="77777777" w:rsidR="00027D9E" w:rsidRDefault="00027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7888425"/>
      <w:docPartObj>
        <w:docPartGallery w:val="Page Numbers (Bottom of Page)"/>
        <w:docPartUnique/>
      </w:docPartObj>
    </w:sdtPr>
    <w:sdtEndPr/>
    <w:sdtContent>
      <w:sdt>
        <w:sdtPr>
          <w:id w:val="98381352"/>
          <w:docPartObj>
            <w:docPartGallery w:val="Page Numbers (Top of Page)"/>
            <w:docPartUnique/>
          </w:docPartObj>
        </w:sdtPr>
        <w:sdtEndPr/>
        <w:sdtContent>
          <w:p w14:paraId="0B13A11B" w14:textId="0602257B" w:rsidR="00D854DB" w:rsidRDefault="00D854DB" w:rsidP="003400F4">
            <w:pPr>
              <w:pStyle w:val="Footer"/>
              <w:jc w:val="center"/>
            </w:pPr>
            <w:r>
              <w:t xml:space="preserve">Page </w:t>
            </w:r>
            <w:r>
              <w:rPr>
                <w:b/>
                <w:bCs/>
              </w:rPr>
              <w:fldChar w:fldCharType="begin"/>
            </w:r>
            <w:r>
              <w:rPr>
                <w:b/>
                <w:bCs/>
              </w:rPr>
              <w:instrText xml:space="preserve"> PAGE </w:instrText>
            </w:r>
            <w:r>
              <w:rPr>
                <w:b/>
                <w:bCs/>
              </w:rPr>
              <w:fldChar w:fldCharType="separate"/>
            </w:r>
            <w:r w:rsidR="00DA69AE">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DA69AE">
              <w:rPr>
                <w:b/>
                <w:bCs/>
                <w:noProof/>
              </w:rPr>
              <w:t>2</w:t>
            </w:r>
            <w:r>
              <w:rPr>
                <w:b/>
                <w:bCs/>
              </w:rPr>
              <w:fldChar w:fldCharType="end"/>
            </w:r>
          </w:p>
        </w:sdtContent>
      </w:sdt>
    </w:sdtContent>
  </w:sdt>
  <w:p w14:paraId="0B184042" w14:textId="77777777" w:rsidR="00D854DB" w:rsidRDefault="00D854D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ahoma" w:hAnsi="Tahoma" w:cs="Tahoma"/>
      </w:rPr>
      <w:id w:val="-862599649"/>
      <w:docPartObj>
        <w:docPartGallery w:val="Page Numbers (Bottom of Page)"/>
        <w:docPartUnique/>
      </w:docPartObj>
    </w:sdtPr>
    <w:sdtEndPr>
      <w:rPr>
        <w:rFonts w:asciiTheme="minorHAnsi" w:hAnsiTheme="minorHAnsi"/>
        <w:sz w:val="20"/>
        <w:szCs w:val="20"/>
      </w:rPr>
    </w:sdtEndPr>
    <w:sdtContent>
      <w:sdt>
        <w:sdtPr>
          <w:rPr>
            <w:rFonts w:ascii="Tahoma" w:hAnsi="Tahoma" w:cs="Tahoma"/>
          </w:rPr>
          <w:id w:val="-1248952607"/>
          <w:docPartObj>
            <w:docPartGallery w:val="Page Numbers (Top of Page)"/>
            <w:docPartUnique/>
          </w:docPartObj>
        </w:sdtPr>
        <w:sdtEndPr>
          <w:rPr>
            <w:rFonts w:asciiTheme="minorHAnsi" w:hAnsiTheme="minorHAnsi"/>
            <w:sz w:val="20"/>
            <w:szCs w:val="20"/>
          </w:rPr>
        </w:sdtEndPr>
        <w:sdtContent>
          <w:p w14:paraId="2C68B366" w14:textId="0E883E2A" w:rsidR="00D854DB" w:rsidRPr="0053596A" w:rsidRDefault="00D854DB" w:rsidP="003400F4">
            <w:pPr>
              <w:pStyle w:val="Footer"/>
              <w:jc w:val="center"/>
              <w:rPr>
                <w:rFonts w:cs="Tahoma"/>
                <w:sz w:val="20"/>
                <w:szCs w:val="20"/>
              </w:rPr>
            </w:pPr>
            <w:r w:rsidRPr="0053596A">
              <w:rPr>
                <w:rFonts w:cs="Tahoma"/>
                <w:sz w:val="20"/>
                <w:szCs w:val="20"/>
              </w:rPr>
              <w:t xml:space="preserve">Page </w:t>
            </w:r>
            <w:r w:rsidRPr="0053596A">
              <w:rPr>
                <w:rFonts w:cs="Tahoma"/>
                <w:bCs/>
                <w:sz w:val="20"/>
                <w:szCs w:val="20"/>
              </w:rPr>
              <w:fldChar w:fldCharType="begin"/>
            </w:r>
            <w:r w:rsidRPr="0053596A">
              <w:rPr>
                <w:rFonts w:cs="Tahoma"/>
                <w:bCs/>
                <w:sz w:val="20"/>
                <w:szCs w:val="20"/>
              </w:rPr>
              <w:instrText xml:space="preserve"> PAGE </w:instrText>
            </w:r>
            <w:r w:rsidRPr="0053596A">
              <w:rPr>
                <w:rFonts w:cs="Tahoma"/>
                <w:bCs/>
                <w:sz w:val="20"/>
                <w:szCs w:val="20"/>
              </w:rPr>
              <w:fldChar w:fldCharType="separate"/>
            </w:r>
            <w:r w:rsidR="00DA69AE">
              <w:rPr>
                <w:rFonts w:cs="Tahoma"/>
                <w:bCs/>
                <w:noProof/>
                <w:sz w:val="20"/>
                <w:szCs w:val="20"/>
              </w:rPr>
              <w:t>1</w:t>
            </w:r>
            <w:r w:rsidRPr="0053596A">
              <w:rPr>
                <w:rFonts w:cs="Tahoma"/>
                <w:bCs/>
                <w:sz w:val="20"/>
                <w:szCs w:val="20"/>
              </w:rPr>
              <w:fldChar w:fldCharType="end"/>
            </w:r>
            <w:r w:rsidRPr="0053596A">
              <w:rPr>
                <w:rFonts w:cs="Tahoma"/>
                <w:sz w:val="20"/>
                <w:szCs w:val="20"/>
              </w:rPr>
              <w:t xml:space="preserve"> of </w:t>
            </w:r>
            <w:r w:rsidRPr="0053596A">
              <w:rPr>
                <w:rFonts w:cs="Tahoma"/>
                <w:bCs/>
                <w:sz w:val="20"/>
                <w:szCs w:val="20"/>
              </w:rPr>
              <w:fldChar w:fldCharType="begin"/>
            </w:r>
            <w:r w:rsidRPr="0053596A">
              <w:rPr>
                <w:rFonts w:cs="Tahoma"/>
                <w:bCs/>
                <w:sz w:val="20"/>
                <w:szCs w:val="20"/>
              </w:rPr>
              <w:instrText xml:space="preserve"> NUMPAGES  </w:instrText>
            </w:r>
            <w:r w:rsidRPr="0053596A">
              <w:rPr>
                <w:rFonts w:cs="Tahoma"/>
                <w:bCs/>
                <w:sz w:val="20"/>
                <w:szCs w:val="20"/>
              </w:rPr>
              <w:fldChar w:fldCharType="separate"/>
            </w:r>
            <w:r w:rsidR="00DA69AE">
              <w:rPr>
                <w:rFonts w:cs="Tahoma"/>
                <w:bCs/>
                <w:noProof/>
                <w:sz w:val="20"/>
                <w:szCs w:val="20"/>
              </w:rPr>
              <w:t>1</w:t>
            </w:r>
            <w:r w:rsidRPr="0053596A">
              <w:rPr>
                <w:rFonts w:cs="Tahoma"/>
                <w:bCs/>
                <w:sz w:val="20"/>
                <w:szCs w:val="20"/>
              </w:rPr>
              <w:fldChar w:fldCharType="end"/>
            </w:r>
          </w:p>
        </w:sdtContent>
      </w:sdt>
    </w:sdtContent>
  </w:sdt>
  <w:p w14:paraId="47B70BC6" w14:textId="77777777" w:rsidR="00D854DB" w:rsidRPr="00E57CF1" w:rsidRDefault="00D854DB">
    <w:pPr>
      <w:pStyle w:val="Footer"/>
      <w:rPr>
        <w:rFonts w:ascii="Tahoma" w:hAnsi="Tahoma" w:cs="Tahom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3E5049" w14:textId="77777777" w:rsidR="00027D9E" w:rsidRDefault="00027D9E">
      <w:r>
        <w:separator/>
      </w:r>
    </w:p>
  </w:footnote>
  <w:footnote w:type="continuationSeparator" w:id="0">
    <w:p w14:paraId="770FB896" w14:textId="77777777" w:rsidR="00027D9E" w:rsidRDefault="00027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E23CA3" w14:textId="71AD5A29" w:rsidR="00D854DB" w:rsidRPr="00DD577D" w:rsidRDefault="00D854DB" w:rsidP="00D95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cs="Tahoma"/>
        <w:b/>
        <w:bCs/>
      </w:rPr>
    </w:pPr>
    <w:r w:rsidRPr="00DD577D">
      <w:rPr>
        <w:rFonts w:cs="Tahoma"/>
        <w:b/>
        <w:bCs/>
      </w:rPr>
      <w:t xml:space="preserve">Supporting Statement </w:t>
    </w:r>
    <w:r w:rsidR="004638CE" w:rsidRPr="00DD577D">
      <w:rPr>
        <w:rFonts w:cs="Tahoma"/>
        <w:b/>
        <w:bCs/>
      </w:rPr>
      <w:t xml:space="preserve">A </w:t>
    </w:r>
    <w:r w:rsidRPr="00DD577D">
      <w:rPr>
        <w:rFonts w:cs="Tahoma"/>
        <w:b/>
        <w:bCs/>
      </w:rPr>
      <w:t>for OMB 0596-</w:t>
    </w:r>
    <w:r w:rsidR="0053596A" w:rsidRPr="00DD577D">
      <w:rPr>
        <w:rFonts w:cs="Tahoma"/>
        <w:b/>
        <w:bCs/>
      </w:rPr>
      <w:t>XXXX</w:t>
    </w:r>
  </w:p>
  <w:p w14:paraId="463CF77B" w14:textId="0B1F553A" w:rsidR="00D854DB" w:rsidRPr="003400F4" w:rsidRDefault="00D854DB" w:rsidP="00DD577D">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0" w:line="240" w:lineRule="auto"/>
      <w:ind w:left="-360" w:right="-360"/>
      <w:jc w:val="center"/>
      <w:rPr>
        <w:rFonts w:ascii="Tahoma" w:hAnsi="Tahoma" w:cs="Tahoma"/>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12E5E10"/>
    <w:multiLevelType w:val="hybridMultilevel"/>
    <w:tmpl w:val="C93C9052"/>
    <w:lvl w:ilvl="0" w:tplc="F42A7278">
      <w:start w:val="1"/>
      <w:numFmt w:val="upperLetter"/>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nsid w:val="022863B2"/>
    <w:multiLevelType w:val="hybridMultilevel"/>
    <w:tmpl w:val="23F8551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0EA57981"/>
    <w:multiLevelType w:val="hybridMultilevel"/>
    <w:tmpl w:val="BF06DAB0"/>
    <w:lvl w:ilvl="0" w:tplc="592A1646">
      <w:start w:val="1"/>
      <w:numFmt w:val="upperLetter"/>
      <w:lvlText w:val="%1."/>
      <w:lvlJc w:val="left"/>
      <w:pPr>
        <w:ind w:left="720" w:hanging="360"/>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199F2E6E"/>
    <w:multiLevelType w:val="hybridMultilevel"/>
    <w:tmpl w:val="CBEE1CB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7">
    <w:nsid w:val="1C970515"/>
    <w:multiLevelType w:val="multilevel"/>
    <w:tmpl w:val="58702D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nsid w:val="22903135"/>
    <w:multiLevelType w:val="hybridMultilevel"/>
    <w:tmpl w:val="1F767B8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4BB6503"/>
    <w:multiLevelType w:val="hybridMultilevel"/>
    <w:tmpl w:val="00284DD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2E7A41FB"/>
    <w:multiLevelType w:val="hybridMultilevel"/>
    <w:tmpl w:val="1764BAB6"/>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4">
    <w:nsid w:val="2FEB0ACF"/>
    <w:multiLevelType w:val="hybridMultilevel"/>
    <w:tmpl w:val="9EAA49EA"/>
    <w:lvl w:ilvl="0" w:tplc="137030BA">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0EE576C"/>
    <w:multiLevelType w:val="hybridMultilevel"/>
    <w:tmpl w:val="423204D0"/>
    <w:lvl w:ilvl="0" w:tplc="E1B0DA8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3A1678B"/>
    <w:multiLevelType w:val="hybridMultilevel"/>
    <w:tmpl w:val="324AAFC2"/>
    <w:lvl w:ilvl="0" w:tplc="28C8CF28">
      <w:start w:val="1"/>
      <w:numFmt w:val="upperLetter"/>
      <w:lvlText w:val="%1."/>
      <w:lvlJc w:val="left"/>
      <w:pPr>
        <w:ind w:left="1080" w:hanging="360"/>
      </w:pPr>
      <w:rPr>
        <w:rFonts w:ascii="Tahoma" w:eastAsia="Times New Roman" w:hAnsi="Tahoma" w:cs="Tahoma"/>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8">
    <w:nsid w:val="3CB53F33"/>
    <w:multiLevelType w:val="hybridMultilevel"/>
    <w:tmpl w:val="9E9894F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9">
    <w:nsid w:val="3D6D2DD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0">
    <w:nsid w:val="3D842F7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1">
    <w:nsid w:val="3DCB5977"/>
    <w:multiLevelType w:val="hybridMultilevel"/>
    <w:tmpl w:val="EDB4C388"/>
    <w:lvl w:ilvl="0" w:tplc="9022F88E">
      <w:start w:val="1"/>
      <w:numFmt w:val="decimal"/>
      <w:lvlText w:val="(%1)"/>
      <w:lvlJc w:val="left"/>
      <w:pPr>
        <w:ind w:left="1794" w:hanging="360"/>
      </w:pPr>
      <w:rPr>
        <w:rFonts w:hint="default"/>
      </w:rPr>
    </w:lvl>
    <w:lvl w:ilvl="1" w:tplc="04090019" w:tentative="1">
      <w:start w:val="1"/>
      <w:numFmt w:val="lowerLetter"/>
      <w:lvlText w:val="%2."/>
      <w:lvlJc w:val="left"/>
      <w:pPr>
        <w:ind w:left="2514" w:hanging="360"/>
      </w:pPr>
    </w:lvl>
    <w:lvl w:ilvl="2" w:tplc="0409001B" w:tentative="1">
      <w:start w:val="1"/>
      <w:numFmt w:val="lowerRoman"/>
      <w:lvlText w:val="%3."/>
      <w:lvlJc w:val="right"/>
      <w:pPr>
        <w:ind w:left="3234" w:hanging="180"/>
      </w:pPr>
    </w:lvl>
    <w:lvl w:ilvl="3" w:tplc="0409000F" w:tentative="1">
      <w:start w:val="1"/>
      <w:numFmt w:val="decimal"/>
      <w:lvlText w:val="%4."/>
      <w:lvlJc w:val="left"/>
      <w:pPr>
        <w:ind w:left="3954" w:hanging="360"/>
      </w:pPr>
    </w:lvl>
    <w:lvl w:ilvl="4" w:tplc="04090019" w:tentative="1">
      <w:start w:val="1"/>
      <w:numFmt w:val="lowerLetter"/>
      <w:lvlText w:val="%5."/>
      <w:lvlJc w:val="left"/>
      <w:pPr>
        <w:ind w:left="4674" w:hanging="360"/>
      </w:pPr>
    </w:lvl>
    <w:lvl w:ilvl="5" w:tplc="0409001B" w:tentative="1">
      <w:start w:val="1"/>
      <w:numFmt w:val="lowerRoman"/>
      <w:lvlText w:val="%6."/>
      <w:lvlJc w:val="right"/>
      <w:pPr>
        <w:ind w:left="5394" w:hanging="180"/>
      </w:pPr>
    </w:lvl>
    <w:lvl w:ilvl="6" w:tplc="0409000F" w:tentative="1">
      <w:start w:val="1"/>
      <w:numFmt w:val="decimal"/>
      <w:lvlText w:val="%7."/>
      <w:lvlJc w:val="left"/>
      <w:pPr>
        <w:ind w:left="6114" w:hanging="360"/>
      </w:pPr>
    </w:lvl>
    <w:lvl w:ilvl="7" w:tplc="04090019" w:tentative="1">
      <w:start w:val="1"/>
      <w:numFmt w:val="lowerLetter"/>
      <w:lvlText w:val="%8."/>
      <w:lvlJc w:val="left"/>
      <w:pPr>
        <w:ind w:left="6834" w:hanging="360"/>
      </w:pPr>
    </w:lvl>
    <w:lvl w:ilvl="8" w:tplc="0409001B" w:tentative="1">
      <w:start w:val="1"/>
      <w:numFmt w:val="lowerRoman"/>
      <w:lvlText w:val="%9."/>
      <w:lvlJc w:val="right"/>
      <w:pPr>
        <w:ind w:left="7554" w:hanging="180"/>
      </w:pPr>
    </w:lvl>
  </w:abstractNum>
  <w:abstractNum w:abstractNumId="42">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43">
    <w:nsid w:val="3F707A80"/>
    <w:multiLevelType w:val="hybridMultilevel"/>
    <w:tmpl w:val="A254E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165064B"/>
    <w:multiLevelType w:val="hybridMultilevel"/>
    <w:tmpl w:val="E4EAAB6C"/>
    <w:lvl w:ilvl="0" w:tplc="4866C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1E652A1"/>
    <w:multiLevelType w:val="hybridMultilevel"/>
    <w:tmpl w:val="48100E18"/>
    <w:lvl w:ilvl="0" w:tplc="0409000F">
      <w:start w:val="1"/>
      <w:numFmt w:val="decimal"/>
      <w:lvlText w:val="%1."/>
      <w:lvlJc w:val="left"/>
      <w:pPr>
        <w:ind w:left="1804" w:hanging="360"/>
      </w:p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6">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7">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8">
    <w:nsid w:val="44454D90"/>
    <w:multiLevelType w:val="hybridMultilevel"/>
    <w:tmpl w:val="BEBE0E4A"/>
    <w:lvl w:ilvl="0" w:tplc="0409000F">
      <w:start w:val="1"/>
      <w:numFmt w:val="decimal"/>
      <w:lvlText w:val="%1."/>
      <w:lvlJc w:val="left"/>
      <w:pPr>
        <w:ind w:left="1804" w:hanging="360"/>
      </w:pPr>
    </w:lvl>
    <w:lvl w:ilvl="1" w:tplc="04090019" w:tentative="1">
      <w:start w:val="1"/>
      <w:numFmt w:val="lowerLetter"/>
      <w:lvlText w:val="%2."/>
      <w:lvlJc w:val="left"/>
      <w:pPr>
        <w:ind w:left="2524" w:hanging="360"/>
      </w:pPr>
    </w:lvl>
    <w:lvl w:ilvl="2" w:tplc="0409001B" w:tentative="1">
      <w:start w:val="1"/>
      <w:numFmt w:val="lowerRoman"/>
      <w:lvlText w:val="%3."/>
      <w:lvlJc w:val="right"/>
      <w:pPr>
        <w:ind w:left="3244" w:hanging="180"/>
      </w:pPr>
    </w:lvl>
    <w:lvl w:ilvl="3" w:tplc="0409000F" w:tentative="1">
      <w:start w:val="1"/>
      <w:numFmt w:val="decimal"/>
      <w:lvlText w:val="%4."/>
      <w:lvlJc w:val="left"/>
      <w:pPr>
        <w:ind w:left="3964" w:hanging="360"/>
      </w:pPr>
    </w:lvl>
    <w:lvl w:ilvl="4" w:tplc="04090019" w:tentative="1">
      <w:start w:val="1"/>
      <w:numFmt w:val="lowerLetter"/>
      <w:lvlText w:val="%5."/>
      <w:lvlJc w:val="left"/>
      <w:pPr>
        <w:ind w:left="4684" w:hanging="360"/>
      </w:pPr>
    </w:lvl>
    <w:lvl w:ilvl="5" w:tplc="0409001B" w:tentative="1">
      <w:start w:val="1"/>
      <w:numFmt w:val="lowerRoman"/>
      <w:lvlText w:val="%6."/>
      <w:lvlJc w:val="right"/>
      <w:pPr>
        <w:ind w:left="5404" w:hanging="180"/>
      </w:pPr>
    </w:lvl>
    <w:lvl w:ilvl="6" w:tplc="0409000F" w:tentative="1">
      <w:start w:val="1"/>
      <w:numFmt w:val="decimal"/>
      <w:lvlText w:val="%7."/>
      <w:lvlJc w:val="left"/>
      <w:pPr>
        <w:ind w:left="6124" w:hanging="360"/>
      </w:pPr>
    </w:lvl>
    <w:lvl w:ilvl="7" w:tplc="04090019" w:tentative="1">
      <w:start w:val="1"/>
      <w:numFmt w:val="lowerLetter"/>
      <w:lvlText w:val="%8."/>
      <w:lvlJc w:val="left"/>
      <w:pPr>
        <w:ind w:left="6844" w:hanging="360"/>
      </w:pPr>
    </w:lvl>
    <w:lvl w:ilvl="8" w:tplc="0409001B" w:tentative="1">
      <w:start w:val="1"/>
      <w:numFmt w:val="lowerRoman"/>
      <w:lvlText w:val="%9."/>
      <w:lvlJc w:val="right"/>
      <w:pPr>
        <w:ind w:left="7564" w:hanging="180"/>
      </w:pPr>
    </w:lvl>
  </w:abstractNum>
  <w:abstractNum w:abstractNumId="49">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0">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1">
    <w:nsid w:val="4D020B1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2">
    <w:nsid w:val="4D4C21D7"/>
    <w:multiLevelType w:val="hybridMultilevel"/>
    <w:tmpl w:val="9D12666A"/>
    <w:lvl w:ilvl="0" w:tplc="C876033E">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4FE13EAF"/>
    <w:multiLevelType w:val="hybridMultilevel"/>
    <w:tmpl w:val="D84C6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55">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6">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7">
    <w:nsid w:val="52B24080"/>
    <w:multiLevelType w:val="multilevel"/>
    <w:tmpl w:val="58702DD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8">
    <w:nsid w:val="57CF60E3"/>
    <w:multiLevelType w:val="hybridMultilevel"/>
    <w:tmpl w:val="410E3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58EE7778"/>
    <w:multiLevelType w:val="hybridMultilevel"/>
    <w:tmpl w:val="AAF0487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12F21E0"/>
    <w:multiLevelType w:val="multilevel"/>
    <w:tmpl w:val="87BE2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1">
    <w:nsid w:val="622C7FF2"/>
    <w:multiLevelType w:val="hybridMultilevel"/>
    <w:tmpl w:val="6D1EA416"/>
    <w:lvl w:ilvl="0" w:tplc="C7A6C74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3">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4">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5">
    <w:nsid w:val="6FFC7946"/>
    <w:multiLevelType w:val="hybridMultilevel"/>
    <w:tmpl w:val="7AE8B91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6">
    <w:nsid w:val="76C942A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7">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68">
    <w:nsid w:val="7F622346"/>
    <w:multiLevelType w:val="hybridMultilevel"/>
    <w:tmpl w:val="3254066E"/>
    <w:lvl w:ilvl="0" w:tplc="F0AEFBA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42"/>
  </w:num>
  <w:num w:numId="6">
    <w:abstractNumId w:val="26"/>
  </w:num>
  <w:num w:numId="7">
    <w:abstractNumId w:val="50"/>
  </w:num>
  <w:num w:numId="8">
    <w:abstractNumId w:val="49"/>
  </w:num>
  <w:num w:numId="9">
    <w:abstractNumId w:val="33"/>
  </w:num>
  <w:num w:numId="10">
    <w:abstractNumId w:val="17"/>
  </w:num>
  <w:num w:numId="11">
    <w:abstractNumId w:val="23"/>
  </w:num>
  <w:num w:numId="12">
    <w:abstractNumId w:val="67"/>
  </w:num>
  <w:num w:numId="13">
    <w:abstractNumId w:val="64"/>
  </w:num>
  <w:num w:numId="14">
    <w:abstractNumId w:val="46"/>
  </w:num>
  <w:num w:numId="15">
    <w:abstractNumId w:val="24"/>
  </w:num>
  <w:num w:numId="16">
    <w:abstractNumId w:val="56"/>
  </w:num>
  <w:num w:numId="17">
    <w:abstractNumId w:val="30"/>
  </w:num>
  <w:num w:numId="18">
    <w:abstractNumId w:val="63"/>
  </w:num>
  <w:num w:numId="19">
    <w:abstractNumId w:val="54"/>
  </w:num>
  <w:num w:numId="20">
    <w:abstractNumId w:val="55"/>
  </w:num>
  <w:num w:numId="21">
    <w:abstractNumId w:val="31"/>
  </w:num>
  <w:num w:numId="22">
    <w:abstractNumId w:val="21"/>
  </w:num>
  <w:num w:numId="23">
    <w:abstractNumId w:val="20"/>
  </w:num>
  <w:num w:numId="24">
    <w:abstractNumId w:val="47"/>
  </w:num>
  <w:num w:numId="25">
    <w:abstractNumId w:val="37"/>
  </w:num>
  <w:num w:numId="26">
    <w:abstractNumId w:val="62"/>
  </w:num>
  <w:num w:numId="27">
    <w:abstractNumId w:val="68"/>
  </w:num>
  <w:num w:numId="28">
    <w:abstractNumId w:val="36"/>
  </w:num>
  <w:num w:numId="29">
    <w:abstractNumId w:val="44"/>
  </w:num>
  <w:num w:numId="30">
    <w:abstractNumId w:val="35"/>
  </w:num>
  <w:num w:numId="31">
    <w:abstractNumId w:val="22"/>
  </w:num>
  <w:num w:numId="32">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3">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4">
    <w:abstractNumId w:val="45"/>
  </w:num>
  <w:num w:numId="35">
    <w:abstractNumId w:val="29"/>
  </w:num>
  <w:num w:numId="36">
    <w:abstractNumId w:val="66"/>
  </w:num>
  <w:num w:numId="37">
    <w:abstractNumId w:val="39"/>
  </w:num>
  <w:num w:numId="38">
    <w:abstractNumId w:val="51"/>
  </w:num>
  <w:num w:numId="39">
    <w:abstractNumId w:val="40"/>
  </w:num>
  <w:num w:numId="40">
    <w:abstractNumId w:val="18"/>
  </w:num>
  <w:num w:numId="41">
    <w:abstractNumId w:val="58"/>
  </w:num>
  <w:num w:numId="42">
    <w:abstractNumId w:val="43"/>
  </w:num>
  <w:num w:numId="43">
    <w:abstractNumId w:val="27"/>
  </w:num>
  <w:num w:numId="44">
    <w:abstractNumId w:val="57"/>
  </w:num>
  <w:num w:numId="45">
    <w:abstractNumId w:val="48"/>
  </w:num>
  <w:num w:numId="46">
    <w:abstractNumId w:val="32"/>
  </w:num>
  <w:num w:numId="47">
    <w:abstractNumId w:val="60"/>
  </w:num>
  <w:num w:numId="48">
    <w:abstractNumId w:val="65"/>
  </w:num>
  <w:num w:numId="49">
    <w:abstractNumId w:val="38"/>
  </w:num>
  <w:num w:numId="50">
    <w:abstractNumId w:val="25"/>
  </w:num>
  <w:num w:numId="51">
    <w:abstractNumId w:val="41"/>
  </w:num>
  <w:num w:numId="52">
    <w:abstractNumId w:val="53"/>
  </w:num>
  <w:num w:numId="53">
    <w:abstractNumId w:val="61"/>
  </w:num>
  <w:num w:numId="54">
    <w:abstractNumId w:val="59"/>
  </w:num>
  <w:num w:numId="55">
    <w:abstractNumId w:val="28"/>
  </w:num>
  <w:num w:numId="56">
    <w:abstractNumId w:val="19"/>
  </w:num>
  <w:num w:numId="57">
    <w:abstractNumId w:val="34"/>
  </w:num>
  <w:num w:numId="58">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00E14"/>
    <w:rsid w:val="00000FE9"/>
    <w:rsid w:val="0000330A"/>
    <w:rsid w:val="00010318"/>
    <w:rsid w:val="0001243D"/>
    <w:rsid w:val="0001425E"/>
    <w:rsid w:val="00017C2B"/>
    <w:rsid w:val="0002184F"/>
    <w:rsid w:val="000221C7"/>
    <w:rsid w:val="000265A9"/>
    <w:rsid w:val="00027D9E"/>
    <w:rsid w:val="000317CE"/>
    <w:rsid w:val="00034854"/>
    <w:rsid w:val="0003740D"/>
    <w:rsid w:val="00040F21"/>
    <w:rsid w:val="00044F4E"/>
    <w:rsid w:val="00045921"/>
    <w:rsid w:val="00045A07"/>
    <w:rsid w:val="00047ECC"/>
    <w:rsid w:val="00052C24"/>
    <w:rsid w:val="00052F12"/>
    <w:rsid w:val="0005737F"/>
    <w:rsid w:val="00063823"/>
    <w:rsid w:val="000638B3"/>
    <w:rsid w:val="00066331"/>
    <w:rsid w:val="0006677B"/>
    <w:rsid w:val="000672BA"/>
    <w:rsid w:val="000701A4"/>
    <w:rsid w:val="00072152"/>
    <w:rsid w:val="00072A4B"/>
    <w:rsid w:val="00076BA1"/>
    <w:rsid w:val="00076E44"/>
    <w:rsid w:val="00076F7B"/>
    <w:rsid w:val="00084236"/>
    <w:rsid w:val="000853B3"/>
    <w:rsid w:val="00086EA8"/>
    <w:rsid w:val="0009057F"/>
    <w:rsid w:val="00090656"/>
    <w:rsid w:val="00090998"/>
    <w:rsid w:val="00092927"/>
    <w:rsid w:val="0009625E"/>
    <w:rsid w:val="00097A3D"/>
    <w:rsid w:val="000A072A"/>
    <w:rsid w:val="000A121B"/>
    <w:rsid w:val="000A1FC0"/>
    <w:rsid w:val="000A7264"/>
    <w:rsid w:val="000B0438"/>
    <w:rsid w:val="000B0506"/>
    <w:rsid w:val="000B05DE"/>
    <w:rsid w:val="000B1934"/>
    <w:rsid w:val="000B2EC7"/>
    <w:rsid w:val="000B421B"/>
    <w:rsid w:val="000B78D5"/>
    <w:rsid w:val="000C12BF"/>
    <w:rsid w:val="000C4935"/>
    <w:rsid w:val="000C52F8"/>
    <w:rsid w:val="000C7C2C"/>
    <w:rsid w:val="000D02C0"/>
    <w:rsid w:val="000D06D0"/>
    <w:rsid w:val="000D483F"/>
    <w:rsid w:val="000D53A4"/>
    <w:rsid w:val="000D6322"/>
    <w:rsid w:val="000E252F"/>
    <w:rsid w:val="000E3F96"/>
    <w:rsid w:val="000E4ACB"/>
    <w:rsid w:val="000E771B"/>
    <w:rsid w:val="000F13D8"/>
    <w:rsid w:val="000F14E6"/>
    <w:rsid w:val="000F180C"/>
    <w:rsid w:val="000F2864"/>
    <w:rsid w:val="000F4DC6"/>
    <w:rsid w:val="000F6841"/>
    <w:rsid w:val="000F7BD0"/>
    <w:rsid w:val="001019CD"/>
    <w:rsid w:val="00101A83"/>
    <w:rsid w:val="00101E69"/>
    <w:rsid w:val="00107563"/>
    <w:rsid w:val="00111565"/>
    <w:rsid w:val="00111970"/>
    <w:rsid w:val="0011284A"/>
    <w:rsid w:val="001140AC"/>
    <w:rsid w:val="0011417E"/>
    <w:rsid w:val="001158B6"/>
    <w:rsid w:val="00117498"/>
    <w:rsid w:val="001213DD"/>
    <w:rsid w:val="001236EA"/>
    <w:rsid w:val="00124FB8"/>
    <w:rsid w:val="00125564"/>
    <w:rsid w:val="00125A09"/>
    <w:rsid w:val="00130439"/>
    <w:rsid w:val="001358EC"/>
    <w:rsid w:val="0013625B"/>
    <w:rsid w:val="001364E6"/>
    <w:rsid w:val="00136E32"/>
    <w:rsid w:val="00136EAB"/>
    <w:rsid w:val="00140499"/>
    <w:rsid w:val="00142744"/>
    <w:rsid w:val="001428C2"/>
    <w:rsid w:val="00144E87"/>
    <w:rsid w:val="00145E6F"/>
    <w:rsid w:val="00147AAF"/>
    <w:rsid w:val="00150F14"/>
    <w:rsid w:val="00151D0C"/>
    <w:rsid w:val="00153179"/>
    <w:rsid w:val="001534DE"/>
    <w:rsid w:val="001542CC"/>
    <w:rsid w:val="00155074"/>
    <w:rsid w:val="001573D3"/>
    <w:rsid w:val="00161999"/>
    <w:rsid w:val="00163BA3"/>
    <w:rsid w:val="00164A55"/>
    <w:rsid w:val="00165E27"/>
    <w:rsid w:val="00171549"/>
    <w:rsid w:val="00174C9C"/>
    <w:rsid w:val="00176390"/>
    <w:rsid w:val="0017727E"/>
    <w:rsid w:val="00186F9B"/>
    <w:rsid w:val="00190E4C"/>
    <w:rsid w:val="00191DE2"/>
    <w:rsid w:val="001928DA"/>
    <w:rsid w:val="00197F9A"/>
    <w:rsid w:val="001A274C"/>
    <w:rsid w:val="001A3B0B"/>
    <w:rsid w:val="001A5D87"/>
    <w:rsid w:val="001A6498"/>
    <w:rsid w:val="001A65FE"/>
    <w:rsid w:val="001A6B86"/>
    <w:rsid w:val="001B3801"/>
    <w:rsid w:val="001C127C"/>
    <w:rsid w:val="001C19E5"/>
    <w:rsid w:val="001C3529"/>
    <w:rsid w:val="001C3AFE"/>
    <w:rsid w:val="001C469C"/>
    <w:rsid w:val="001C5EE7"/>
    <w:rsid w:val="001C6306"/>
    <w:rsid w:val="001C792A"/>
    <w:rsid w:val="001D1CBE"/>
    <w:rsid w:val="001E1B81"/>
    <w:rsid w:val="001E3B7F"/>
    <w:rsid w:val="001E591D"/>
    <w:rsid w:val="001F260B"/>
    <w:rsid w:val="001F3AB3"/>
    <w:rsid w:val="001F707D"/>
    <w:rsid w:val="00200B44"/>
    <w:rsid w:val="00200FF6"/>
    <w:rsid w:val="00201E2F"/>
    <w:rsid w:val="0020777F"/>
    <w:rsid w:val="00207CDB"/>
    <w:rsid w:val="00207D05"/>
    <w:rsid w:val="00210E9C"/>
    <w:rsid w:val="00211325"/>
    <w:rsid w:val="00212CBD"/>
    <w:rsid w:val="002131F2"/>
    <w:rsid w:val="002166F1"/>
    <w:rsid w:val="00225A92"/>
    <w:rsid w:val="00225BA2"/>
    <w:rsid w:val="00244424"/>
    <w:rsid w:val="00244F9B"/>
    <w:rsid w:val="00245B42"/>
    <w:rsid w:val="00245E26"/>
    <w:rsid w:val="0025368D"/>
    <w:rsid w:val="00254343"/>
    <w:rsid w:val="0025480C"/>
    <w:rsid w:val="00256097"/>
    <w:rsid w:val="002608FB"/>
    <w:rsid w:val="00263311"/>
    <w:rsid w:val="0026404A"/>
    <w:rsid w:val="00266983"/>
    <w:rsid w:val="00266AFE"/>
    <w:rsid w:val="0027009B"/>
    <w:rsid w:val="00271B07"/>
    <w:rsid w:val="00272130"/>
    <w:rsid w:val="00272789"/>
    <w:rsid w:val="00272B36"/>
    <w:rsid w:val="002776CD"/>
    <w:rsid w:val="00280EE5"/>
    <w:rsid w:val="00281522"/>
    <w:rsid w:val="00282153"/>
    <w:rsid w:val="00283BBD"/>
    <w:rsid w:val="0028674F"/>
    <w:rsid w:val="00287777"/>
    <w:rsid w:val="002939EC"/>
    <w:rsid w:val="00294F6C"/>
    <w:rsid w:val="002A1AE1"/>
    <w:rsid w:val="002A1C77"/>
    <w:rsid w:val="002A5D60"/>
    <w:rsid w:val="002B0053"/>
    <w:rsid w:val="002B0277"/>
    <w:rsid w:val="002B0F54"/>
    <w:rsid w:val="002B77A5"/>
    <w:rsid w:val="002C0EB7"/>
    <w:rsid w:val="002D07BD"/>
    <w:rsid w:val="002D0903"/>
    <w:rsid w:val="002D277C"/>
    <w:rsid w:val="002D3567"/>
    <w:rsid w:val="002D4536"/>
    <w:rsid w:val="002D66FC"/>
    <w:rsid w:val="002D6937"/>
    <w:rsid w:val="002E090C"/>
    <w:rsid w:val="002E1B91"/>
    <w:rsid w:val="002E21C6"/>
    <w:rsid w:val="002E27E4"/>
    <w:rsid w:val="002E4056"/>
    <w:rsid w:val="002E41E3"/>
    <w:rsid w:val="002E74A2"/>
    <w:rsid w:val="002F3E15"/>
    <w:rsid w:val="002F3E4E"/>
    <w:rsid w:val="002F5540"/>
    <w:rsid w:val="002F6CE4"/>
    <w:rsid w:val="002F782F"/>
    <w:rsid w:val="003052E7"/>
    <w:rsid w:val="00306574"/>
    <w:rsid w:val="003068F6"/>
    <w:rsid w:val="00307E03"/>
    <w:rsid w:val="00312D39"/>
    <w:rsid w:val="00313849"/>
    <w:rsid w:val="00313DBB"/>
    <w:rsid w:val="00314577"/>
    <w:rsid w:val="00320082"/>
    <w:rsid w:val="0032044D"/>
    <w:rsid w:val="003233FC"/>
    <w:rsid w:val="0033383C"/>
    <w:rsid w:val="00333A70"/>
    <w:rsid w:val="00333B0B"/>
    <w:rsid w:val="00335139"/>
    <w:rsid w:val="003400F4"/>
    <w:rsid w:val="003409C2"/>
    <w:rsid w:val="003411E4"/>
    <w:rsid w:val="003412D9"/>
    <w:rsid w:val="003428FE"/>
    <w:rsid w:val="003459A6"/>
    <w:rsid w:val="0034750D"/>
    <w:rsid w:val="00350701"/>
    <w:rsid w:val="0035378A"/>
    <w:rsid w:val="00354334"/>
    <w:rsid w:val="00361971"/>
    <w:rsid w:val="00362910"/>
    <w:rsid w:val="0036355D"/>
    <w:rsid w:val="00363F28"/>
    <w:rsid w:val="00365574"/>
    <w:rsid w:val="003661C6"/>
    <w:rsid w:val="00370F6D"/>
    <w:rsid w:val="00371CB2"/>
    <w:rsid w:val="003745C4"/>
    <w:rsid w:val="00374BAE"/>
    <w:rsid w:val="00374C38"/>
    <w:rsid w:val="00375427"/>
    <w:rsid w:val="003756BE"/>
    <w:rsid w:val="00381786"/>
    <w:rsid w:val="00383303"/>
    <w:rsid w:val="003860F5"/>
    <w:rsid w:val="003874B3"/>
    <w:rsid w:val="00390AF5"/>
    <w:rsid w:val="0039286B"/>
    <w:rsid w:val="003930FF"/>
    <w:rsid w:val="00395070"/>
    <w:rsid w:val="003952C0"/>
    <w:rsid w:val="003970E8"/>
    <w:rsid w:val="00397D25"/>
    <w:rsid w:val="003B01ED"/>
    <w:rsid w:val="003B105F"/>
    <w:rsid w:val="003B384F"/>
    <w:rsid w:val="003B49A3"/>
    <w:rsid w:val="003B501B"/>
    <w:rsid w:val="003B6C59"/>
    <w:rsid w:val="003B7194"/>
    <w:rsid w:val="003C090E"/>
    <w:rsid w:val="003C26E2"/>
    <w:rsid w:val="003C3470"/>
    <w:rsid w:val="003C5515"/>
    <w:rsid w:val="003D0602"/>
    <w:rsid w:val="003D16FC"/>
    <w:rsid w:val="003D1ABD"/>
    <w:rsid w:val="003D249B"/>
    <w:rsid w:val="003D3776"/>
    <w:rsid w:val="003E2D87"/>
    <w:rsid w:val="003E6DA6"/>
    <w:rsid w:val="003F0EA2"/>
    <w:rsid w:val="003F59D6"/>
    <w:rsid w:val="003F654F"/>
    <w:rsid w:val="0040042D"/>
    <w:rsid w:val="00402DDE"/>
    <w:rsid w:val="0040491A"/>
    <w:rsid w:val="00407F44"/>
    <w:rsid w:val="0041286E"/>
    <w:rsid w:val="0041305D"/>
    <w:rsid w:val="004159BA"/>
    <w:rsid w:val="00422D03"/>
    <w:rsid w:val="00425FF6"/>
    <w:rsid w:val="0042765B"/>
    <w:rsid w:val="0042794C"/>
    <w:rsid w:val="00430DC3"/>
    <w:rsid w:val="004321FC"/>
    <w:rsid w:val="004368F2"/>
    <w:rsid w:val="004374F8"/>
    <w:rsid w:val="00437A2B"/>
    <w:rsid w:val="00437E3E"/>
    <w:rsid w:val="00440529"/>
    <w:rsid w:val="004407E3"/>
    <w:rsid w:val="00442BFF"/>
    <w:rsid w:val="00445BB0"/>
    <w:rsid w:val="00446AFC"/>
    <w:rsid w:val="00447050"/>
    <w:rsid w:val="0045055E"/>
    <w:rsid w:val="00450601"/>
    <w:rsid w:val="0045415E"/>
    <w:rsid w:val="004547BD"/>
    <w:rsid w:val="004557F6"/>
    <w:rsid w:val="004558FF"/>
    <w:rsid w:val="004571DC"/>
    <w:rsid w:val="00462D49"/>
    <w:rsid w:val="004638CE"/>
    <w:rsid w:val="00464423"/>
    <w:rsid w:val="0046479A"/>
    <w:rsid w:val="00467040"/>
    <w:rsid w:val="004673A9"/>
    <w:rsid w:val="00470B10"/>
    <w:rsid w:val="00473F03"/>
    <w:rsid w:val="00474BDC"/>
    <w:rsid w:val="00474CCB"/>
    <w:rsid w:val="00474D80"/>
    <w:rsid w:val="004812C1"/>
    <w:rsid w:val="0048372A"/>
    <w:rsid w:val="00483FB0"/>
    <w:rsid w:val="00490432"/>
    <w:rsid w:val="004924FA"/>
    <w:rsid w:val="00495A1B"/>
    <w:rsid w:val="0049668C"/>
    <w:rsid w:val="004A4F39"/>
    <w:rsid w:val="004A53E8"/>
    <w:rsid w:val="004A6D3F"/>
    <w:rsid w:val="004A6FD7"/>
    <w:rsid w:val="004B0C64"/>
    <w:rsid w:val="004B310E"/>
    <w:rsid w:val="004B45C7"/>
    <w:rsid w:val="004B7A03"/>
    <w:rsid w:val="004C0F45"/>
    <w:rsid w:val="004C1F7B"/>
    <w:rsid w:val="004C25D9"/>
    <w:rsid w:val="004C6B9A"/>
    <w:rsid w:val="004D39A0"/>
    <w:rsid w:val="004D4BF5"/>
    <w:rsid w:val="004D4C4B"/>
    <w:rsid w:val="004D6CC5"/>
    <w:rsid w:val="004D7A14"/>
    <w:rsid w:val="004E1F95"/>
    <w:rsid w:val="004E3255"/>
    <w:rsid w:val="004F082D"/>
    <w:rsid w:val="004F084F"/>
    <w:rsid w:val="004F40F1"/>
    <w:rsid w:val="00504B59"/>
    <w:rsid w:val="0051310E"/>
    <w:rsid w:val="00513B76"/>
    <w:rsid w:val="00514A70"/>
    <w:rsid w:val="00521436"/>
    <w:rsid w:val="00521691"/>
    <w:rsid w:val="00521F9B"/>
    <w:rsid w:val="0052363F"/>
    <w:rsid w:val="00527190"/>
    <w:rsid w:val="00527424"/>
    <w:rsid w:val="00530046"/>
    <w:rsid w:val="00531304"/>
    <w:rsid w:val="00531E7F"/>
    <w:rsid w:val="00532340"/>
    <w:rsid w:val="00532C7B"/>
    <w:rsid w:val="005331AF"/>
    <w:rsid w:val="00533975"/>
    <w:rsid w:val="0053596A"/>
    <w:rsid w:val="005366B4"/>
    <w:rsid w:val="005404DA"/>
    <w:rsid w:val="005407D7"/>
    <w:rsid w:val="00542A88"/>
    <w:rsid w:val="00543CE6"/>
    <w:rsid w:val="0054420B"/>
    <w:rsid w:val="00550AFE"/>
    <w:rsid w:val="00557E9E"/>
    <w:rsid w:val="005606DB"/>
    <w:rsid w:val="00561063"/>
    <w:rsid w:val="0056166C"/>
    <w:rsid w:val="00561B09"/>
    <w:rsid w:val="00561B5F"/>
    <w:rsid w:val="0056274A"/>
    <w:rsid w:val="00563C04"/>
    <w:rsid w:val="0056449D"/>
    <w:rsid w:val="005650B7"/>
    <w:rsid w:val="00565B3C"/>
    <w:rsid w:val="00566933"/>
    <w:rsid w:val="00574368"/>
    <w:rsid w:val="005764A7"/>
    <w:rsid w:val="00576D66"/>
    <w:rsid w:val="00577A5E"/>
    <w:rsid w:val="00583FF5"/>
    <w:rsid w:val="005856FA"/>
    <w:rsid w:val="005863BA"/>
    <w:rsid w:val="005864D1"/>
    <w:rsid w:val="00587569"/>
    <w:rsid w:val="005936EC"/>
    <w:rsid w:val="00595002"/>
    <w:rsid w:val="005A028F"/>
    <w:rsid w:val="005A42BE"/>
    <w:rsid w:val="005A437A"/>
    <w:rsid w:val="005A4998"/>
    <w:rsid w:val="005A5DA7"/>
    <w:rsid w:val="005A5FA6"/>
    <w:rsid w:val="005A79EA"/>
    <w:rsid w:val="005B1E95"/>
    <w:rsid w:val="005B2F25"/>
    <w:rsid w:val="005B3C6C"/>
    <w:rsid w:val="005B6A15"/>
    <w:rsid w:val="005B6A3E"/>
    <w:rsid w:val="005C276D"/>
    <w:rsid w:val="005C4E26"/>
    <w:rsid w:val="005C7344"/>
    <w:rsid w:val="005C73E1"/>
    <w:rsid w:val="005D078A"/>
    <w:rsid w:val="005D0F20"/>
    <w:rsid w:val="005D1499"/>
    <w:rsid w:val="005E25E0"/>
    <w:rsid w:val="005E409A"/>
    <w:rsid w:val="005E6F52"/>
    <w:rsid w:val="005F019F"/>
    <w:rsid w:val="005F2A63"/>
    <w:rsid w:val="005F54AD"/>
    <w:rsid w:val="005F6FF6"/>
    <w:rsid w:val="006028ED"/>
    <w:rsid w:val="00604605"/>
    <w:rsid w:val="006053BB"/>
    <w:rsid w:val="006113C0"/>
    <w:rsid w:val="006125A5"/>
    <w:rsid w:val="00615062"/>
    <w:rsid w:val="00617B22"/>
    <w:rsid w:val="006213F3"/>
    <w:rsid w:val="00622F88"/>
    <w:rsid w:val="00623381"/>
    <w:rsid w:val="00624F6A"/>
    <w:rsid w:val="00625232"/>
    <w:rsid w:val="006262FD"/>
    <w:rsid w:val="00626F00"/>
    <w:rsid w:val="0063150E"/>
    <w:rsid w:val="006334A0"/>
    <w:rsid w:val="0063376C"/>
    <w:rsid w:val="006345D7"/>
    <w:rsid w:val="00637FA2"/>
    <w:rsid w:val="006414EB"/>
    <w:rsid w:val="00641660"/>
    <w:rsid w:val="00642219"/>
    <w:rsid w:val="00642EE8"/>
    <w:rsid w:val="00650E08"/>
    <w:rsid w:val="00654D13"/>
    <w:rsid w:val="00656FEC"/>
    <w:rsid w:val="0066002D"/>
    <w:rsid w:val="006615EB"/>
    <w:rsid w:val="006617F4"/>
    <w:rsid w:val="006639E6"/>
    <w:rsid w:val="006667E4"/>
    <w:rsid w:val="00671114"/>
    <w:rsid w:val="00680D9E"/>
    <w:rsid w:val="006818AB"/>
    <w:rsid w:val="00681D56"/>
    <w:rsid w:val="00683722"/>
    <w:rsid w:val="00684418"/>
    <w:rsid w:val="0069062C"/>
    <w:rsid w:val="006908D4"/>
    <w:rsid w:val="00690989"/>
    <w:rsid w:val="00693192"/>
    <w:rsid w:val="00693ADD"/>
    <w:rsid w:val="006951D6"/>
    <w:rsid w:val="00695773"/>
    <w:rsid w:val="006A0E89"/>
    <w:rsid w:val="006A19F7"/>
    <w:rsid w:val="006A5C47"/>
    <w:rsid w:val="006B3D61"/>
    <w:rsid w:val="006B3E00"/>
    <w:rsid w:val="006B455B"/>
    <w:rsid w:val="006B4FE0"/>
    <w:rsid w:val="006C0918"/>
    <w:rsid w:val="006D127C"/>
    <w:rsid w:val="006D310C"/>
    <w:rsid w:val="006D615C"/>
    <w:rsid w:val="006D78DA"/>
    <w:rsid w:val="006E099A"/>
    <w:rsid w:val="006E2FC1"/>
    <w:rsid w:val="006E4449"/>
    <w:rsid w:val="006E696A"/>
    <w:rsid w:val="006E7F02"/>
    <w:rsid w:val="006F2E3F"/>
    <w:rsid w:val="006F61EA"/>
    <w:rsid w:val="006F781A"/>
    <w:rsid w:val="006F7937"/>
    <w:rsid w:val="00701D27"/>
    <w:rsid w:val="007020E0"/>
    <w:rsid w:val="007056CA"/>
    <w:rsid w:val="0071050A"/>
    <w:rsid w:val="007115EA"/>
    <w:rsid w:val="0071377E"/>
    <w:rsid w:val="00716D82"/>
    <w:rsid w:val="0072005D"/>
    <w:rsid w:val="0072032E"/>
    <w:rsid w:val="0072647D"/>
    <w:rsid w:val="0073122E"/>
    <w:rsid w:val="00732674"/>
    <w:rsid w:val="00733E7C"/>
    <w:rsid w:val="0074095F"/>
    <w:rsid w:val="007454C0"/>
    <w:rsid w:val="00745DA1"/>
    <w:rsid w:val="0074686D"/>
    <w:rsid w:val="007515D6"/>
    <w:rsid w:val="00752884"/>
    <w:rsid w:val="007555C9"/>
    <w:rsid w:val="00761379"/>
    <w:rsid w:val="007618F2"/>
    <w:rsid w:val="00763A3B"/>
    <w:rsid w:val="0077017B"/>
    <w:rsid w:val="0077722C"/>
    <w:rsid w:val="00777754"/>
    <w:rsid w:val="0078528A"/>
    <w:rsid w:val="00786E1B"/>
    <w:rsid w:val="00787AAF"/>
    <w:rsid w:val="00787FBD"/>
    <w:rsid w:val="007A2FA4"/>
    <w:rsid w:val="007A3C34"/>
    <w:rsid w:val="007A532B"/>
    <w:rsid w:val="007B0656"/>
    <w:rsid w:val="007B26B4"/>
    <w:rsid w:val="007B3662"/>
    <w:rsid w:val="007B405E"/>
    <w:rsid w:val="007B6103"/>
    <w:rsid w:val="007C13E6"/>
    <w:rsid w:val="007C1D6D"/>
    <w:rsid w:val="007C4C1B"/>
    <w:rsid w:val="007C6BF6"/>
    <w:rsid w:val="007D0D1B"/>
    <w:rsid w:val="007D0EEE"/>
    <w:rsid w:val="007D2A36"/>
    <w:rsid w:val="007D2E81"/>
    <w:rsid w:val="007D46CE"/>
    <w:rsid w:val="007D488E"/>
    <w:rsid w:val="007D740A"/>
    <w:rsid w:val="007E24EC"/>
    <w:rsid w:val="007E3F8C"/>
    <w:rsid w:val="007F0D8F"/>
    <w:rsid w:val="007F443E"/>
    <w:rsid w:val="007F47F4"/>
    <w:rsid w:val="007F59F9"/>
    <w:rsid w:val="00802076"/>
    <w:rsid w:val="0080411D"/>
    <w:rsid w:val="0080442C"/>
    <w:rsid w:val="0080516B"/>
    <w:rsid w:val="008052E7"/>
    <w:rsid w:val="008055BE"/>
    <w:rsid w:val="00810F66"/>
    <w:rsid w:val="00814FF8"/>
    <w:rsid w:val="00815064"/>
    <w:rsid w:val="008151DC"/>
    <w:rsid w:val="00820EB5"/>
    <w:rsid w:val="0082181B"/>
    <w:rsid w:val="008218E4"/>
    <w:rsid w:val="0082435F"/>
    <w:rsid w:val="00825C78"/>
    <w:rsid w:val="008305CE"/>
    <w:rsid w:val="00830624"/>
    <w:rsid w:val="00830C02"/>
    <w:rsid w:val="00833652"/>
    <w:rsid w:val="00834F4C"/>
    <w:rsid w:val="00835CBD"/>
    <w:rsid w:val="00841CCB"/>
    <w:rsid w:val="008440A9"/>
    <w:rsid w:val="00846B18"/>
    <w:rsid w:val="00846B80"/>
    <w:rsid w:val="00847AFD"/>
    <w:rsid w:val="008502A7"/>
    <w:rsid w:val="0085136E"/>
    <w:rsid w:val="00852124"/>
    <w:rsid w:val="008549B2"/>
    <w:rsid w:val="00854DED"/>
    <w:rsid w:val="008575B4"/>
    <w:rsid w:val="00860BD1"/>
    <w:rsid w:val="00861B73"/>
    <w:rsid w:val="00862A24"/>
    <w:rsid w:val="00863160"/>
    <w:rsid w:val="00863F89"/>
    <w:rsid w:val="0086435A"/>
    <w:rsid w:val="00865F83"/>
    <w:rsid w:val="00866E22"/>
    <w:rsid w:val="00867C99"/>
    <w:rsid w:val="00876AAB"/>
    <w:rsid w:val="00887080"/>
    <w:rsid w:val="00887DC3"/>
    <w:rsid w:val="00890057"/>
    <w:rsid w:val="008914A7"/>
    <w:rsid w:val="00892514"/>
    <w:rsid w:val="00893B20"/>
    <w:rsid w:val="00893DA2"/>
    <w:rsid w:val="00894955"/>
    <w:rsid w:val="00895C8D"/>
    <w:rsid w:val="008977D5"/>
    <w:rsid w:val="008A2257"/>
    <w:rsid w:val="008A2DA7"/>
    <w:rsid w:val="008A6178"/>
    <w:rsid w:val="008B30E4"/>
    <w:rsid w:val="008B54D1"/>
    <w:rsid w:val="008B7C7A"/>
    <w:rsid w:val="008C1B3C"/>
    <w:rsid w:val="008C2C9E"/>
    <w:rsid w:val="008C325F"/>
    <w:rsid w:val="008C3CCA"/>
    <w:rsid w:val="008C4055"/>
    <w:rsid w:val="008D0AA3"/>
    <w:rsid w:val="008D3740"/>
    <w:rsid w:val="008E0223"/>
    <w:rsid w:val="008E0760"/>
    <w:rsid w:val="008E1731"/>
    <w:rsid w:val="008E2E7B"/>
    <w:rsid w:val="008E5BC5"/>
    <w:rsid w:val="008E67EC"/>
    <w:rsid w:val="008E6B24"/>
    <w:rsid w:val="008F27F5"/>
    <w:rsid w:val="008F3027"/>
    <w:rsid w:val="008F57A9"/>
    <w:rsid w:val="008F6734"/>
    <w:rsid w:val="00900E23"/>
    <w:rsid w:val="00901813"/>
    <w:rsid w:val="009032B3"/>
    <w:rsid w:val="009034A1"/>
    <w:rsid w:val="00904832"/>
    <w:rsid w:val="00904963"/>
    <w:rsid w:val="00911BF7"/>
    <w:rsid w:val="0091265B"/>
    <w:rsid w:val="0091282B"/>
    <w:rsid w:val="009129EC"/>
    <w:rsid w:val="00914AE9"/>
    <w:rsid w:val="00917427"/>
    <w:rsid w:val="009175E4"/>
    <w:rsid w:val="00921EE7"/>
    <w:rsid w:val="009247D7"/>
    <w:rsid w:val="00924856"/>
    <w:rsid w:val="0092727C"/>
    <w:rsid w:val="009332EC"/>
    <w:rsid w:val="00937F7E"/>
    <w:rsid w:val="009405E5"/>
    <w:rsid w:val="00941C1A"/>
    <w:rsid w:val="00941C7F"/>
    <w:rsid w:val="009424FD"/>
    <w:rsid w:val="009431C4"/>
    <w:rsid w:val="0094530A"/>
    <w:rsid w:val="00947B41"/>
    <w:rsid w:val="009522E3"/>
    <w:rsid w:val="00955E86"/>
    <w:rsid w:val="009560EB"/>
    <w:rsid w:val="00963177"/>
    <w:rsid w:val="0096617A"/>
    <w:rsid w:val="009737D4"/>
    <w:rsid w:val="009768A1"/>
    <w:rsid w:val="00977932"/>
    <w:rsid w:val="00977F88"/>
    <w:rsid w:val="00981A83"/>
    <w:rsid w:val="0098698A"/>
    <w:rsid w:val="00991656"/>
    <w:rsid w:val="0099179B"/>
    <w:rsid w:val="00991A15"/>
    <w:rsid w:val="009926C8"/>
    <w:rsid w:val="009930AC"/>
    <w:rsid w:val="0099728B"/>
    <w:rsid w:val="009A3D1D"/>
    <w:rsid w:val="009A3E23"/>
    <w:rsid w:val="009A6B4A"/>
    <w:rsid w:val="009A769F"/>
    <w:rsid w:val="009B0081"/>
    <w:rsid w:val="009B1104"/>
    <w:rsid w:val="009B5E1C"/>
    <w:rsid w:val="009B7A0C"/>
    <w:rsid w:val="009C0BDF"/>
    <w:rsid w:val="009C2B07"/>
    <w:rsid w:val="009C4203"/>
    <w:rsid w:val="009C4C3C"/>
    <w:rsid w:val="009D11E3"/>
    <w:rsid w:val="009E1CAB"/>
    <w:rsid w:val="009E377A"/>
    <w:rsid w:val="009E6B49"/>
    <w:rsid w:val="009E6D12"/>
    <w:rsid w:val="009E7160"/>
    <w:rsid w:val="009F053A"/>
    <w:rsid w:val="00A00580"/>
    <w:rsid w:val="00A053B6"/>
    <w:rsid w:val="00A056C2"/>
    <w:rsid w:val="00A06527"/>
    <w:rsid w:val="00A116D2"/>
    <w:rsid w:val="00A14784"/>
    <w:rsid w:val="00A14896"/>
    <w:rsid w:val="00A157F9"/>
    <w:rsid w:val="00A160E4"/>
    <w:rsid w:val="00A17CDE"/>
    <w:rsid w:val="00A2217D"/>
    <w:rsid w:val="00A2397C"/>
    <w:rsid w:val="00A3010B"/>
    <w:rsid w:val="00A325A6"/>
    <w:rsid w:val="00A3463C"/>
    <w:rsid w:val="00A41D66"/>
    <w:rsid w:val="00A42D63"/>
    <w:rsid w:val="00A42DDF"/>
    <w:rsid w:val="00A43A08"/>
    <w:rsid w:val="00A4466D"/>
    <w:rsid w:val="00A449F6"/>
    <w:rsid w:val="00A44C4B"/>
    <w:rsid w:val="00A505F8"/>
    <w:rsid w:val="00A51DB0"/>
    <w:rsid w:val="00A520E4"/>
    <w:rsid w:val="00A52C2F"/>
    <w:rsid w:val="00A53EA2"/>
    <w:rsid w:val="00A54BD1"/>
    <w:rsid w:val="00A5675F"/>
    <w:rsid w:val="00A5742E"/>
    <w:rsid w:val="00A63CD0"/>
    <w:rsid w:val="00A6443C"/>
    <w:rsid w:val="00A66619"/>
    <w:rsid w:val="00A66E90"/>
    <w:rsid w:val="00A70C8A"/>
    <w:rsid w:val="00A72ECC"/>
    <w:rsid w:val="00A74E44"/>
    <w:rsid w:val="00A75220"/>
    <w:rsid w:val="00A804C8"/>
    <w:rsid w:val="00A84F2B"/>
    <w:rsid w:val="00A85365"/>
    <w:rsid w:val="00A86FE3"/>
    <w:rsid w:val="00A9177C"/>
    <w:rsid w:val="00A93FFD"/>
    <w:rsid w:val="00A95383"/>
    <w:rsid w:val="00A95F6D"/>
    <w:rsid w:val="00A964F5"/>
    <w:rsid w:val="00A96A21"/>
    <w:rsid w:val="00A970EB"/>
    <w:rsid w:val="00A97242"/>
    <w:rsid w:val="00A9725F"/>
    <w:rsid w:val="00AA3AAC"/>
    <w:rsid w:val="00AA5064"/>
    <w:rsid w:val="00AA7D62"/>
    <w:rsid w:val="00AB60EE"/>
    <w:rsid w:val="00AB7525"/>
    <w:rsid w:val="00AC1C2C"/>
    <w:rsid w:val="00AC7FFE"/>
    <w:rsid w:val="00AD08A5"/>
    <w:rsid w:val="00AD2ACA"/>
    <w:rsid w:val="00AD4F3E"/>
    <w:rsid w:val="00AD4FF4"/>
    <w:rsid w:val="00AD50F1"/>
    <w:rsid w:val="00AD6328"/>
    <w:rsid w:val="00AD669C"/>
    <w:rsid w:val="00AD6989"/>
    <w:rsid w:val="00AD706E"/>
    <w:rsid w:val="00AE4DD8"/>
    <w:rsid w:val="00AF03E0"/>
    <w:rsid w:val="00AF2A2C"/>
    <w:rsid w:val="00AF36E2"/>
    <w:rsid w:val="00AF6A58"/>
    <w:rsid w:val="00B10266"/>
    <w:rsid w:val="00B10E62"/>
    <w:rsid w:val="00B11DBD"/>
    <w:rsid w:val="00B12439"/>
    <w:rsid w:val="00B12A89"/>
    <w:rsid w:val="00B13C11"/>
    <w:rsid w:val="00B16298"/>
    <w:rsid w:val="00B2223F"/>
    <w:rsid w:val="00B22415"/>
    <w:rsid w:val="00B22574"/>
    <w:rsid w:val="00B2559D"/>
    <w:rsid w:val="00B25729"/>
    <w:rsid w:val="00B2678D"/>
    <w:rsid w:val="00B27B76"/>
    <w:rsid w:val="00B31626"/>
    <w:rsid w:val="00B31E45"/>
    <w:rsid w:val="00B32DAE"/>
    <w:rsid w:val="00B3645F"/>
    <w:rsid w:val="00B36FF8"/>
    <w:rsid w:val="00B40FEA"/>
    <w:rsid w:val="00B429B5"/>
    <w:rsid w:val="00B436FF"/>
    <w:rsid w:val="00B44515"/>
    <w:rsid w:val="00B454A4"/>
    <w:rsid w:val="00B46383"/>
    <w:rsid w:val="00B47979"/>
    <w:rsid w:val="00B505D9"/>
    <w:rsid w:val="00B5214C"/>
    <w:rsid w:val="00B53726"/>
    <w:rsid w:val="00B5456D"/>
    <w:rsid w:val="00B60FF9"/>
    <w:rsid w:val="00B627FB"/>
    <w:rsid w:val="00B62AD0"/>
    <w:rsid w:val="00B63116"/>
    <w:rsid w:val="00B640B4"/>
    <w:rsid w:val="00B65370"/>
    <w:rsid w:val="00B653C0"/>
    <w:rsid w:val="00B7240B"/>
    <w:rsid w:val="00B7538F"/>
    <w:rsid w:val="00B75CE7"/>
    <w:rsid w:val="00B82E78"/>
    <w:rsid w:val="00B83EC0"/>
    <w:rsid w:val="00B84F19"/>
    <w:rsid w:val="00B858B9"/>
    <w:rsid w:val="00B86B5D"/>
    <w:rsid w:val="00B87243"/>
    <w:rsid w:val="00B95C5C"/>
    <w:rsid w:val="00B97E05"/>
    <w:rsid w:val="00BA3764"/>
    <w:rsid w:val="00BA59CA"/>
    <w:rsid w:val="00BB06C3"/>
    <w:rsid w:val="00BB11A2"/>
    <w:rsid w:val="00BB6288"/>
    <w:rsid w:val="00BB6CA5"/>
    <w:rsid w:val="00BB7524"/>
    <w:rsid w:val="00BC07B7"/>
    <w:rsid w:val="00BC234F"/>
    <w:rsid w:val="00BC52CF"/>
    <w:rsid w:val="00BC56AD"/>
    <w:rsid w:val="00BC7300"/>
    <w:rsid w:val="00BD3214"/>
    <w:rsid w:val="00BD5F75"/>
    <w:rsid w:val="00BD7A7E"/>
    <w:rsid w:val="00BE2F4A"/>
    <w:rsid w:val="00BF116B"/>
    <w:rsid w:val="00BF370D"/>
    <w:rsid w:val="00BF4B6E"/>
    <w:rsid w:val="00BF5380"/>
    <w:rsid w:val="00C00356"/>
    <w:rsid w:val="00C03E9F"/>
    <w:rsid w:val="00C109E4"/>
    <w:rsid w:val="00C10A37"/>
    <w:rsid w:val="00C1276C"/>
    <w:rsid w:val="00C13A13"/>
    <w:rsid w:val="00C160D4"/>
    <w:rsid w:val="00C16A40"/>
    <w:rsid w:val="00C175AD"/>
    <w:rsid w:val="00C1787B"/>
    <w:rsid w:val="00C212D7"/>
    <w:rsid w:val="00C218DB"/>
    <w:rsid w:val="00C21E0B"/>
    <w:rsid w:val="00C230FB"/>
    <w:rsid w:val="00C24585"/>
    <w:rsid w:val="00C24851"/>
    <w:rsid w:val="00C27ABE"/>
    <w:rsid w:val="00C37CD8"/>
    <w:rsid w:val="00C40670"/>
    <w:rsid w:val="00C42DE8"/>
    <w:rsid w:val="00C438D9"/>
    <w:rsid w:val="00C44120"/>
    <w:rsid w:val="00C46BDE"/>
    <w:rsid w:val="00C514C9"/>
    <w:rsid w:val="00C51809"/>
    <w:rsid w:val="00C52D18"/>
    <w:rsid w:val="00C5467F"/>
    <w:rsid w:val="00C555A4"/>
    <w:rsid w:val="00C60E09"/>
    <w:rsid w:val="00C61DCD"/>
    <w:rsid w:val="00C62098"/>
    <w:rsid w:val="00C72AD2"/>
    <w:rsid w:val="00C754A8"/>
    <w:rsid w:val="00C75FFC"/>
    <w:rsid w:val="00C76560"/>
    <w:rsid w:val="00C77F56"/>
    <w:rsid w:val="00C83F2A"/>
    <w:rsid w:val="00C85D04"/>
    <w:rsid w:val="00C90E2D"/>
    <w:rsid w:val="00C91C24"/>
    <w:rsid w:val="00C935A4"/>
    <w:rsid w:val="00C941F6"/>
    <w:rsid w:val="00CA224C"/>
    <w:rsid w:val="00CA6023"/>
    <w:rsid w:val="00CA6BBC"/>
    <w:rsid w:val="00CB0A80"/>
    <w:rsid w:val="00CB4260"/>
    <w:rsid w:val="00CB4BA8"/>
    <w:rsid w:val="00CB74A8"/>
    <w:rsid w:val="00CC0664"/>
    <w:rsid w:val="00CC0ED1"/>
    <w:rsid w:val="00CC1E17"/>
    <w:rsid w:val="00CC47FD"/>
    <w:rsid w:val="00CC4C8B"/>
    <w:rsid w:val="00CC579B"/>
    <w:rsid w:val="00CC726D"/>
    <w:rsid w:val="00CD0FC2"/>
    <w:rsid w:val="00CD210B"/>
    <w:rsid w:val="00CD4215"/>
    <w:rsid w:val="00CD644C"/>
    <w:rsid w:val="00CD7FE6"/>
    <w:rsid w:val="00CE0F78"/>
    <w:rsid w:val="00CE127F"/>
    <w:rsid w:val="00CE2F87"/>
    <w:rsid w:val="00CE3C1E"/>
    <w:rsid w:val="00CE7754"/>
    <w:rsid w:val="00CF1E09"/>
    <w:rsid w:val="00CF2345"/>
    <w:rsid w:val="00CF54B1"/>
    <w:rsid w:val="00CF6B76"/>
    <w:rsid w:val="00CF7183"/>
    <w:rsid w:val="00CF7728"/>
    <w:rsid w:val="00D01037"/>
    <w:rsid w:val="00D02D80"/>
    <w:rsid w:val="00D033C4"/>
    <w:rsid w:val="00D07BE1"/>
    <w:rsid w:val="00D11190"/>
    <w:rsid w:val="00D12C23"/>
    <w:rsid w:val="00D12D5B"/>
    <w:rsid w:val="00D206BF"/>
    <w:rsid w:val="00D23EF3"/>
    <w:rsid w:val="00D25FB6"/>
    <w:rsid w:val="00D26F6D"/>
    <w:rsid w:val="00D274C0"/>
    <w:rsid w:val="00D339D4"/>
    <w:rsid w:val="00D33D15"/>
    <w:rsid w:val="00D3505A"/>
    <w:rsid w:val="00D35295"/>
    <w:rsid w:val="00D358D9"/>
    <w:rsid w:val="00D35C7D"/>
    <w:rsid w:val="00D371D8"/>
    <w:rsid w:val="00D37B67"/>
    <w:rsid w:val="00D44CA3"/>
    <w:rsid w:val="00D47F92"/>
    <w:rsid w:val="00D54574"/>
    <w:rsid w:val="00D55776"/>
    <w:rsid w:val="00D56C84"/>
    <w:rsid w:val="00D57CA3"/>
    <w:rsid w:val="00D605BE"/>
    <w:rsid w:val="00D61D35"/>
    <w:rsid w:val="00D6237F"/>
    <w:rsid w:val="00D62BA5"/>
    <w:rsid w:val="00D636A2"/>
    <w:rsid w:val="00D63E64"/>
    <w:rsid w:val="00D63EAB"/>
    <w:rsid w:val="00D64145"/>
    <w:rsid w:val="00D64F9E"/>
    <w:rsid w:val="00D657E8"/>
    <w:rsid w:val="00D66974"/>
    <w:rsid w:val="00D66DA7"/>
    <w:rsid w:val="00D720C4"/>
    <w:rsid w:val="00D7309F"/>
    <w:rsid w:val="00D74D09"/>
    <w:rsid w:val="00D761AD"/>
    <w:rsid w:val="00D8039C"/>
    <w:rsid w:val="00D830E0"/>
    <w:rsid w:val="00D838AE"/>
    <w:rsid w:val="00D854DB"/>
    <w:rsid w:val="00D92B7B"/>
    <w:rsid w:val="00D93478"/>
    <w:rsid w:val="00D95777"/>
    <w:rsid w:val="00D96814"/>
    <w:rsid w:val="00DA0FF2"/>
    <w:rsid w:val="00DA69AE"/>
    <w:rsid w:val="00DA6EB5"/>
    <w:rsid w:val="00DA748B"/>
    <w:rsid w:val="00DB1B78"/>
    <w:rsid w:val="00DC157F"/>
    <w:rsid w:val="00DC20D8"/>
    <w:rsid w:val="00DC3DE1"/>
    <w:rsid w:val="00DD18EA"/>
    <w:rsid w:val="00DD2479"/>
    <w:rsid w:val="00DD2496"/>
    <w:rsid w:val="00DD304A"/>
    <w:rsid w:val="00DD3676"/>
    <w:rsid w:val="00DD3A45"/>
    <w:rsid w:val="00DD4836"/>
    <w:rsid w:val="00DD577D"/>
    <w:rsid w:val="00DD5EC5"/>
    <w:rsid w:val="00DE037E"/>
    <w:rsid w:val="00DE0475"/>
    <w:rsid w:val="00DE25F0"/>
    <w:rsid w:val="00DE36ED"/>
    <w:rsid w:val="00DE6EC8"/>
    <w:rsid w:val="00DF0387"/>
    <w:rsid w:val="00DF3F97"/>
    <w:rsid w:val="00DF505C"/>
    <w:rsid w:val="00DF7FBB"/>
    <w:rsid w:val="00E13057"/>
    <w:rsid w:val="00E138D9"/>
    <w:rsid w:val="00E1408F"/>
    <w:rsid w:val="00E154C4"/>
    <w:rsid w:val="00E15A53"/>
    <w:rsid w:val="00E21DED"/>
    <w:rsid w:val="00E2289E"/>
    <w:rsid w:val="00E3023E"/>
    <w:rsid w:val="00E32B32"/>
    <w:rsid w:val="00E34204"/>
    <w:rsid w:val="00E36AB0"/>
    <w:rsid w:val="00E424FB"/>
    <w:rsid w:val="00E42E12"/>
    <w:rsid w:val="00E47C72"/>
    <w:rsid w:val="00E47FC7"/>
    <w:rsid w:val="00E535C4"/>
    <w:rsid w:val="00E54C16"/>
    <w:rsid w:val="00E55664"/>
    <w:rsid w:val="00E57788"/>
    <w:rsid w:val="00E57CF1"/>
    <w:rsid w:val="00E60232"/>
    <w:rsid w:val="00E60546"/>
    <w:rsid w:val="00E61A7B"/>
    <w:rsid w:val="00E61EE6"/>
    <w:rsid w:val="00E63296"/>
    <w:rsid w:val="00E64C7B"/>
    <w:rsid w:val="00E65F0D"/>
    <w:rsid w:val="00E707CD"/>
    <w:rsid w:val="00E71893"/>
    <w:rsid w:val="00E81A31"/>
    <w:rsid w:val="00E82401"/>
    <w:rsid w:val="00E8262B"/>
    <w:rsid w:val="00E8523D"/>
    <w:rsid w:val="00E85647"/>
    <w:rsid w:val="00E91AC1"/>
    <w:rsid w:val="00E9315A"/>
    <w:rsid w:val="00E93384"/>
    <w:rsid w:val="00E94729"/>
    <w:rsid w:val="00E958C5"/>
    <w:rsid w:val="00E95B1E"/>
    <w:rsid w:val="00EA2772"/>
    <w:rsid w:val="00EA28AE"/>
    <w:rsid w:val="00EA2B0E"/>
    <w:rsid w:val="00EA3700"/>
    <w:rsid w:val="00EA62BA"/>
    <w:rsid w:val="00EA713F"/>
    <w:rsid w:val="00EB0889"/>
    <w:rsid w:val="00EB0BD9"/>
    <w:rsid w:val="00EB258E"/>
    <w:rsid w:val="00EB2B88"/>
    <w:rsid w:val="00EB34D3"/>
    <w:rsid w:val="00EB5889"/>
    <w:rsid w:val="00EB64CA"/>
    <w:rsid w:val="00EB7C7E"/>
    <w:rsid w:val="00EC0BF5"/>
    <w:rsid w:val="00EC10FF"/>
    <w:rsid w:val="00EC13D4"/>
    <w:rsid w:val="00EC2896"/>
    <w:rsid w:val="00EC3795"/>
    <w:rsid w:val="00EC55EC"/>
    <w:rsid w:val="00EC5D30"/>
    <w:rsid w:val="00EC5D62"/>
    <w:rsid w:val="00EC733D"/>
    <w:rsid w:val="00EC7E7F"/>
    <w:rsid w:val="00ED324B"/>
    <w:rsid w:val="00ED4A0F"/>
    <w:rsid w:val="00ED6A82"/>
    <w:rsid w:val="00EE58A4"/>
    <w:rsid w:val="00EE5E0D"/>
    <w:rsid w:val="00EE71A8"/>
    <w:rsid w:val="00EF23F7"/>
    <w:rsid w:val="00EF4036"/>
    <w:rsid w:val="00EF485C"/>
    <w:rsid w:val="00EF6B83"/>
    <w:rsid w:val="00EF7B9B"/>
    <w:rsid w:val="00F0275D"/>
    <w:rsid w:val="00F07722"/>
    <w:rsid w:val="00F07D71"/>
    <w:rsid w:val="00F212EA"/>
    <w:rsid w:val="00F21850"/>
    <w:rsid w:val="00F26BAE"/>
    <w:rsid w:val="00F32AE4"/>
    <w:rsid w:val="00F333FE"/>
    <w:rsid w:val="00F34B34"/>
    <w:rsid w:val="00F34E86"/>
    <w:rsid w:val="00F36EAF"/>
    <w:rsid w:val="00F51F63"/>
    <w:rsid w:val="00F52728"/>
    <w:rsid w:val="00F561A3"/>
    <w:rsid w:val="00F56F9B"/>
    <w:rsid w:val="00F579BA"/>
    <w:rsid w:val="00F6043E"/>
    <w:rsid w:val="00F6288C"/>
    <w:rsid w:val="00F63F60"/>
    <w:rsid w:val="00F736E2"/>
    <w:rsid w:val="00F76B83"/>
    <w:rsid w:val="00F810E4"/>
    <w:rsid w:val="00F812C2"/>
    <w:rsid w:val="00F826A4"/>
    <w:rsid w:val="00F82785"/>
    <w:rsid w:val="00F87BF5"/>
    <w:rsid w:val="00F90F2E"/>
    <w:rsid w:val="00F93751"/>
    <w:rsid w:val="00F93AA0"/>
    <w:rsid w:val="00F93B7B"/>
    <w:rsid w:val="00F94911"/>
    <w:rsid w:val="00F95B37"/>
    <w:rsid w:val="00FA2BFF"/>
    <w:rsid w:val="00FA2D51"/>
    <w:rsid w:val="00FA2D5C"/>
    <w:rsid w:val="00FA5A31"/>
    <w:rsid w:val="00FA62B0"/>
    <w:rsid w:val="00FA6943"/>
    <w:rsid w:val="00FB381C"/>
    <w:rsid w:val="00FB56ED"/>
    <w:rsid w:val="00FB7C11"/>
    <w:rsid w:val="00FC12DF"/>
    <w:rsid w:val="00FC41AD"/>
    <w:rsid w:val="00FD1F42"/>
    <w:rsid w:val="00FE269C"/>
    <w:rsid w:val="00FE4A41"/>
    <w:rsid w:val="00FE4FC8"/>
    <w:rsid w:val="00FE7E49"/>
    <w:rsid w:val="00FF0298"/>
    <w:rsid w:val="00FF0B98"/>
    <w:rsid w:val="00FF17CB"/>
    <w:rsid w:val="00FF183F"/>
    <w:rsid w:val="00FF1862"/>
    <w:rsid w:val="00FF37BC"/>
    <w:rsid w:val="00FF7327"/>
    <w:rsid w:val="00FF7F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1D467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266"/>
  </w:style>
  <w:style w:type="paragraph" w:styleId="Heading3">
    <w:name w:val="heading 3"/>
    <w:basedOn w:val="Normal"/>
    <w:next w:val="Normal"/>
    <w:link w:val="Heading3Char"/>
    <w:uiPriority w:val="9"/>
    <w:unhideWhenUsed/>
    <w:qFormat/>
    <w:rsid w:val="003860F5"/>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apple-converted-space">
    <w:name w:val="apple-converted-space"/>
    <w:rsid w:val="001928DA"/>
  </w:style>
  <w:style w:type="character" w:styleId="FollowedHyperlink">
    <w:name w:val="FollowedHyperlink"/>
    <w:uiPriority w:val="99"/>
    <w:semiHidden/>
    <w:unhideWhenUsed/>
    <w:rsid w:val="006213F3"/>
    <w:rPr>
      <w:color w:val="800080"/>
      <w:u w:val="single"/>
    </w:rPr>
  </w:style>
  <w:style w:type="paragraph" w:styleId="NoSpacing">
    <w:name w:val="No Spacing"/>
    <w:uiPriority w:val="1"/>
    <w:qFormat/>
    <w:rsid w:val="006213F3"/>
    <w:pPr>
      <w:spacing w:after="0" w:line="240" w:lineRule="auto"/>
    </w:pPr>
  </w:style>
  <w:style w:type="character" w:customStyle="1" w:styleId="CommentSubjectChar">
    <w:name w:val="Comment Subject Char"/>
    <w:link w:val="CommentSubject"/>
    <w:uiPriority w:val="99"/>
    <w:semiHidden/>
    <w:rsid w:val="006213F3"/>
    <w:rPr>
      <w:b/>
      <w:bCs/>
    </w:rPr>
  </w:style>
  <w:style w:type="paragraph" w:styleId="ListParagraph">
    <w:name w:val="List Paragraph"/>
    <w:basedOn w:val="Normal"/>
    <w:uiPriority w:val="34"/>
    <w:qFormat/>
    <w:rsid w:val="001140AC"/>
    <w:pPr>
      <w:ind w:left="720"/>
      <w:contextualSpacing/>
    </w:pPr>
  </w:style>
  <w:style w:type="character" w:customStyle="1" w:styleId="FooterChar">
    <w:name w:val="Footer Char"/>
    <w:basedOn w:val="DefaultParagraphFont"/>
    <w:link w:val="Footer"/>
    <w:uiPriority w:val="99"/>
    <w:rsid w:val="00D95777"/>
    <w:rPr>
      <w:sz w:val="24"/>
      <w:szCs w:val="24"/>
    </w:rPr>
  </w:style>
  <w:style w:type="paragraph" w:styleId="Revision">
    <w:name w:val="Revision"/>
    <w:hidden/>
    <w:uiPriority w:val="99"/>
    <w:semiHidden/>
    <w:rsid w:val="006667E4"/>
    <w:rPr>
      <w:sz w:val="24"/>
      <w:szCs w:val="24"/>
    </w:rPr>
  </w:style>
  <w:style w:type="paragraph" w:styleId="DocumentMap">
    <w:name w:val="Document Map"/>
    <w:basedOn w:val="Normal"/>
    <w:link w:val="DocumentMapChar"/>
    <w:uiPriority w:val="99"/>
    <w:semiHidden/>
    <w:unhideWhenUsed/>
    <w:rsid w:val="004924FA"/>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4924FA"/>
    <w:rPr>
      <w:rFonts w:ascii="Tahoma" w:eastAsiaTheme="minorEastAsia" w:hAnsi="Tahoma" w:cs="Tahoma"/>
      <w:sz w:val="16"/>
      <w:szCs w:val="16"/>
    </w:rPr>
  </w:style>
  <w:style w:type="character" w:customStyle="1" w:styleId="Heading3Char">
    <w:name w:val="Heading 3 Char"/>
    <w:basedOn w:val="DefaultParagraphFont"/>
    <w:link w:val="Heading3"/>
    <w:uiPriority w:val="9"/>
    <w:rsid w:val="003860F5"/>
    <w:rPr>
      <w:rFonts w:ascii="Cambria" w:eastAsia="Times New Roman" w:hAnsi="Cambria" w:cs="Times New Roman"/>
      <w:b/>
      <w:bCs/>
      <w:sz w:val="26"/>
      <w:szCs w:val="26"/>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0266"/>
  </w:style>
  <w:style w:type="paragraph" w:styleId="Heading3">
    <w:name w:val="heading 3"/>
    <w:basedOn w:val="Normal"/>
    <w:next w:val="Normal"/>
    <w:link w:val="Heading3Char"/>
    <w:uiPriority w:val="9"/>
    <w:unhideWhenUsed/>
    <w:qFormat/>
    <w:rsid w:val="003860F5"/>
    <w:pPr>
      <w:keepNext/>
      <w:spacing w:before="240" w:after="60" w:line="240" w:lineRule="auto"/>
      <w:outlineLvl w:val="2"/>
    </w:pPr>
    <w:rPr>
      <w:rFonts w:ascii="Cambria" w:eastAsia="Times New Roman" w:hAnsi="Cambria" w:cs="Times New Roman"/>
      <w:b/>
      <w:b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link w:val="CommentSubjectChar"/>
    <w:uiPriority w:val="99"/>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apple-converted-space">
    <w:name w:val="apple-converted-space"/>
    <w:rsid w:val="001928DA"/>
  </w:style>
  <w:style w:type="character" w:styleId="FollowedHyperlink">
    <w:name w:val="FollowedHyperlink"/>
    <w:uiPriority w:val="99"/>
    <w:semiHidden/>
    <w:unhideWhenUsed/>
    <w:rsid w:val="006213F3"/>
    <w:rPr>
      <w:color w:val="800080"/>
      <w:u w:val="single"/>
    </w:rPr>
  </w:style>
  <w:style w:type="paragraph" w:styleId="NoSpacing">
    <w:name w:val="No Spacing"/>
    <w:uiPriority w:val="1"/>
    <w:qFormat/>
    <w:rsid w:val="006213F3"/>
    <w:pPr>
      <w:spacing w:after="0" w:line="240" w:lineRule="auto"/>
    </w:pPr>
  </w:style>
  <w:style w:type="character" w:customStyle="1" w:styleId="CommentSubjectChar">
    <w:name w:val="Comment Subject Char"/>
    <w:link w:val="CommentSubject"/>
    <w:uiPriority w:val="99"/>
    <w:semiHidden/>
    <w:rsid w:val="006213F3"/>
    <w:rPr>
      <w:b/>
      <w:bCs/>
    </w:rPr>
  </w:style>
  <w:style w:type="paragraph" w:styleId="ListParagraph">
    <w:name w:val="List Paragraph"/>
    <w:basedOn w:val="Normal"/>
    <w:uiPriority w:val="34"/>
    <w:qFormat/>
    <w:rsid w:val="001140AC"/>
    <w:pPr>
      <w:ind w:left="720"/>
      <w:contextualSpacing/>
    </w:pPr>
  </w:style>
  <w:style w:type="character" w:customStyle="1" w:styleId="FooterChar">
    <w:name w:val="Footer Char"/>
    <w:basedOn w:val="DefaultParagraphFont"/>
    <w:link w:val="Footer"/>
    <w:uiPriority w:val="99"/>
    <w:rsid w:val="00D95777"/>
    <w:rPr>
      <w:sz w:val="24"/>
      <w:szCs w:val="24"/>
    </w:rPr>
  </w:style>
  <w:style w:type="paragraph" w:styleId="Revision">
    <w:name w:val="Revision"/>
    <w:hidden/>
    <w:uiPriority w:val="99"/>
    <w:semiHidden/>
    <w:rsid w:val="006667E4"/>
    <w:rPr>
      <w:sz w:val="24"/>
      <w:szCs w:val="24"/>
    </w:rPr>
  </w:style>
  <w:style w:type="paragraph" w:styleId="DocumentMap">
    <w:name w:val="Document Map"/>
    <w:basedOn w:val="Normal"/>
    <w:link w:val="DocumentMapChar"/>
    <w:uiPriority w:val="99"/>
    <w:semiHidden/>
    <w:unhideWhenUsed/>
    <w:rsid w:val="004924FA"/>
    <w:rPr>
      <w:rFonts w:ascii="Tahoma" w:eastAsiaTheme="minorEastAsia" w:hAnsi="Tahoma" w:cs="Tahoma"/>
      <w:sz w:val="16"/>
      <w:szCs w:val="16"/>
    </w:rPr>
  </w:style>
  <w:style w:type="character" w:customStyle="1" w:styleId="DocumentMapChar">
    <w:name w:val="Document Map Char"/>
    <w:basedOn w:val="DefaultParagraphFont"/>
    <w:link w:val="DocumentMap"/>
    <w:uiPriority w:val="99"/>
    <w:semiHidden/>
    <w:rsid w:val="004924FA"/>
    <w:rPr>
      <w:rFonts w:ascii="Tahoma" w:eastAsiaTheme="minorEastAsia" w:hAnsi="Tahoma" w:cs="Tahoma"/>
      <w:sz w:val="16"/>
      <w:szCs w:val="16"/>
    </w:rPr>
  </w:style>
  <w:style w:type="character" w:customStyle="1" w:styleId="Heading3Char">
    <w:name w:val="Heading 3 Char"/>
    <w:basedOn w:val="DefaultParagraphFont"/>
    <w:link w:val="Heading3"/>
    <w:uiPriority w:val="9"/>
    <w:rsid w:val="003860F5"/>
    <w:rPr>
      <w:rFonts w:ascii="Cambria" w:eastAsia="Times New Roman" w:hAnsi="Cambria" w:cs="Times New Roman"/>
      <w:b/>
      <w:bCs/>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979302">
      <w:bodyDiv w:val="1"/>
      <w:marLeft w:val="0"/>
      <w:marRight w:val="0"/>
      <w:marTop w:val="0"/>
      <w:marBottom w:val="0"/>
      <w:divBdr>
        <w:top w:val="none" w:sz="0" w:space="0" w:color="auto"/>
        <w:left w:val="none" w:sz="0" w:space="0" w:color="auto"/>
        <w:bottom w:val="none" w:sz="0" w:space="0" w:color="auto"/>
        <w:right w:val="none" w:sz="0" w:space="0" w:color="auto"/>
      </w:divBdr>
    </w:div>
    <w:div w:id="455412518">
      <w:bodyDiv w:val="1"/>
      <w:marLeft w:val="0"/>
      <w:marRight w:val="0"/>
      <w:marTop w:val="0"/>
      <w:marBottom w:val="0"/>
      <w:divBdr>
        <w:top w:val="none" w:sz="0" w:space="0" w:color="auto"/>
        <w:left w:val="none" w:sz="0" w:space="0" w:color="auto"/>
        <w:bottom w:val="none" w:sz="0" w:space="0" w:color="auto"/>
        <w:right w:val="none" w:sz="0" w:space="0" w:color="auto"/>
      </w:divBdr>
    </w:div>
    <w:div w:id="503982487">
      <w:bodyDiv w:val="1"/>
      <w:marLeft w:val="0"/>
      <w:marRight w:val="0"/>
      <w:marTop w:val="0"/>
      <w:marBottom w:val="0"/>
      <w:divBdr>
        <w:top w:val="none" w:sz="0" w:space="0" w:color="auto"/>
        <w:left w:val="none" w:sz="0" w:space="0" w:color="auto"/>
        <w:bottom w:val="none" w:sz="0" w:space="0" w:color="auto"/>
        <w:right w:val="none" w:sz="0" w:space="0" w:color="auto"/>
      </w:divBdr>
    </w:div>
    <w:div w:id="518082372">
      <w:bodyDiv w:val="1"/>
      <w:marLeft w:val="0"/>
      <w:marRight w:val="0"/>
      <w:marTop w:val="0"/>
      <w:marBottom w:val="0"/>
      <w:divBdr>
        <w:top w:val="none" w:sz="0" w:space="0" w:color="auto"/>
        <w:left w:val="none" w:sz="0" w:space="0" w:color="auto"/>
        <w:bottom w:val="none" w:sz="0" w:space="0" w:color="auto"/>
        <w:right w:val="none" w:sz="0" w:space="0" w:color="auto"/>
      </w:divBdr>
      <w:divsChild>
        <w:div w:id="723142772">
          <w:marLeft w:val="0"/>
          <w:marRight w:val="0"/>
          <w:marTop w:val="0"/>
          <w:marBottom w:val="360"/>
          <w:divBdr>
            <w:top w:val="none" w:sz="0" w:space="0" w:color="auto"/>
            <w:left w:val="none" w:sz="0" w:space="0" w:color="auto"/>
            <w:bottom w:val="none" w:sz="0" w:space="0" w:color="auto"/>
            <w:right w:val="none" w:sz="0" w:space="0" w:color="auto"/>
          </w:divBdr>
          <w:divsChild>
            <w:div w:id="424493595">
              <w:marLeft w:val="0"/>
              <w:marRight w:val="0"/>
              <w:marTop w:val="0"/>
              <w:marBottom w:val="0"/>
              <w:divBdr>
                <w:top w:val="none" w:sz="0" w:space="0" w:color="auto"/>
                <w:left w:val="none" w:sz="0" w:space="0" w:color="auto"/>
                <w:bottom w:val="none" w:sz="0" w:space="0" w:color="auto"/>
                <w:right w:val="none" w:sz="0" w:space="0" w:color="auto"/>
              </w:divBdr>
              <w:divsChild>
                <w:div w:id="1414820018">
                  <w:marLeft w:val="0"/>
                  <w:marRight w:val="0"/>
                  <w:marTop w:val="0"/>
                  <w:marBottom w:val="0"/>
                  <w:divBdr>
                    <w:top w:val="none" w:sz="0" w:space="0" w:color="auto"/>
                    <w:left w:val="none" w:sz="0" w:space="0" w:color="auto"/>
                    <w:bottom w:val="none" w:sz="0" w:space="0" w:color="auto"/>
                    <w:right w:val="none" w:sz="0" w:space="0" w:color="auto"/>
                  </w:divBdr>
                  <w:divsChild>
                    <w:div w:id="1018577973">
                      <w:marLeft w:val="0"/>
                      <w:marRight w:val="0"/>
                      <w:marTop w:val="0"/>
                      <w:marBottom w:val="360"/>
                      <w:divBdr>
                        <w:top w:val="none" w:sz="0" w:space="0" w:color="auto"/>
                        <w:left w:val="none" w:sz="0" w:space="0" w:color="auto"/>
                        <w:bottom w:val="none" w:sz="0" w:space="0" w:color="auto"/>
                        <w:right w:val="none" w:sz="0" w:space="0" w:color="auto"/>
                      </w:divBdr>
                      <w:divsChild>
                        <w:div w:id="874343903">
                          <w:marLeft w:val="0"/>
                          <w:marRight w:val="0"/>
                          <w:marTop w:val="0"/>
                          <w:marBottom w:val="0"/>
                          <w:divBdr>
                            <w:top w:val="none" w:sz="0" w:space="12" w:color="4D8E4D"/>
                            <w:left w:val="single" w:sz="6" w:space="12" w:color="4D8E4D"/>
                            <w:bottom w:val="single" w:sz="24" w:space="12" w:color="4D8E4D"/>
                            <w:right w:val="single" w:sz="6" w:space="12" w:color="4D8E4D"/>
                          </w:divBdr>
                        </w:div>
                      </w:divsChild>
                    </w:div>
                  </w:divsChild>
                </w:div>
              </w:divsChild>
            </w:div>
          </w:divsChild>
        </w:div>
      </w:divsChild>
    </w:div>
    <w:div w:id="532962784">
      <w:bodyDiv w:val="1"/>
      <w:marLeft w:val="0"/>
      <w:marRight w:val="0"/>
      <w:marTop w:val="0"/>
      <w:marBottom w:val="0"/>
      <w:divBdr>
        <w:top w:val="none" w:sz="0" w:space="0" w:color="auto"/>
        <w:left w:val="none" w:sz="0" w:space="0" w:color="auto"/>
        <w:bottom w:val="none" w:sz="0" w:space="0" w:color="auto"/>
        <w:right w:val="none" w:sz="0" w:space="0" w:color="auto"/>
      </w:divBdr>
    </w:div>
    <w:div w:id="665590495">
      <w:bodyDiv w:val="1"/>
      <w:marLeft w:val="0"/>
      <w:marRight w:val="0"/>
      <w:marTop w:val="0"/>
      <w:marBottom w:val="0"/>
      <w:divBdr>
        <w:top w:val="none" w:sz="0" w:space="0" w:color="auto"/>
        <w:left w:val="none" w:sz="0" w:space="0" w:color="auto"/>
        <w:bottom w:val="none" w:sz="0" w:space="0" w:color="auto"/>
        <w:right w:val="none" w:sz="0" w:space="0" w:color="auto"/>
      </w:divBdr>
    </w:div>
    <w:div w:id="780101900">
      <w:bodyDiv w:val="1"/>
      <w:marLeft w:val="0"/>
      <w:marRight w:val="0"/>
      <w:marTop w:val="0"/>
      <w:marBottom w:val="0"/>
      <w:divBdr>
        <w:top w:val="none" w:sz="0" w:space="0" w:color="auto"/>
        <w:left w:val="none" w:sz="0" w:space="0" w:color="auto"/>
        <w:bottom w:val="none" w:sz="0" w:space="0" w:color="auto"/>
        <w:right w:val="none" w:sz="0" w:space="0" w:color="auto"/>
      </w:divBdr>
      <w:divsChild>
        <w:div w:id="2082016291">
          <w:marLeft w:val="0"/>
          <w:marRight w:val="0"/>
          <w:marTop w:val="0"/>
          <w:marBottom w:val="0"/>
          <w:divBdr>
            <w:top w:val="none" w:sz="0" w:space="0" w:color="auto"/>
            <w:left w:val="none" w:sz="0" w:space="0" w:color="auto"/>
            <w:bottom w:val="none" w:sz="0" w:space="0" w:color="auto"/>
            <w:right w:val="none" w:sz="0" w:space="0" w:color="auto"/>
          </w:divBdr>
        </w:div>
      </w:divsChild>
    </w:div>
    <w:div w:id="817379091">
      <w:bodyDiv w:val="1"/>
      <w:marLeft w:val="0"/>
      <w:marRight w:val="0"/>
      <w:marTop w:val="0"/>
      <w:marBottom w:val="0"/>
      <w:divBdr>
        <w:top w:val="none" w:sz="0" w:space="0" w:color="auto"/>
        <w:left w:val="none" w:sz="0" w:space="0" w:color="auto"/>
        <w:bottom w:val="none" w:sz="0" w:space="0" w:color="auto"/>
        <w:right w:val="none" w:sz="0" w:space="0" w:color="auto"/>
      </w:divBdr>
    </w:div>
    <w:div w:id="834999414">
      <w:bodyDiv w:val="1"/>
      <w:marLeft w:val="0"/>
      <w:marRight w:val="0"/>
      <w:marTop w:val="0"/>
      <w:marBottom w:val="0"/>
      <w:divBdr>
        <w:top w:val="none" w:sz="0" w:space="0" w:color="auto"/>
        <w:left w:val="none" w:sz="0" w:space="0" w:color="auto"/>
        <w:bottom w:val="none" w:sz="0" w:space="0" w:color="auto"/>
        <w:right w:val="none" w:sz="0" w:space="0" w:color="auto"/>
      </w:divBdr>
    </w:div>
    <w:div w:id="845628858">
      <w:bodyDiv w:val="1"/>
      <w:marLeft w:val="0"/>
      <w:marRight w:val="0"/>
      <w:marTop w:val="0"/>
      <w:marBottom w:val="0"/>
      <w:divBdr>
        <w:top w:val="none" w:sz="0" w:space="0" w:color="auto"/>
        <w:left w:val="none" w:sz="0" w:space="0" w:color="auto"/>
        <w:bottom w:val="none" w:sz="0" w:space="0" w:color="auto"/>
        <w:right w:val="none" w:sz="0" w:space="0" w:color="auto"/>
      </w:divBdr>
    </w:div>
    <w:div w:id="868034139">
      <w:bodyDiv w:val="1"/>
      <w:marLeft w:val="0"/>
      <w:marRight w:val="0"/>
      <w:marTop w:val="0"/>
      <w:marBottom w:val="0"/>
      <w:divBdr>
        <w:top w:val="none" w:sz="0" w:space="0" w:color="auto"/>
        <w:left w:val="none" w:sz="0" w:space="0" w:color="auto"/>
        <w:bottom w:val="none" w:sz="0" w:space="0" w:color="auto"/>
        <w:right w:val="none" w:sz="0" w:space="0" w:color="auto"/>
      </w:divBdr>
    </w:div>
    <w:div w:id="912931684">
      <w:bodyDiv w:val="1"/>
      <w:marLeft w:val="0"/>
      <w:marRight w:val="0"/>
      <w:marTop w:val="0"/>
      <w:marBottom w:val="0"/>
      <w:divBdr>
        <w:top w:val="none" w:sz="0" w:space="0" w:color="auto"/>
        <w:left w:val="none" w:sz="0" w:space="0" w:color="auto"/>
        <w:bottom w:val="none" w:sz="0" w:space="0" w:color="auto"/>
        <w:right w:val="none" w:sz="0" w:space="0" w:color="auto"/>
      </w:divBdr>
    </w:div>
    <w:div w:id="945505345">
      <w:bodyDiv w:val="1"/>
      <w:marLeft w:val="0"/>
      <w:marRight w:val="0"/>
      <w:marTop w:val="0"/>
      <w:marBottom w:val="0"/>
      <w:divBdr>
        <w:top w:val="none" w:sz="0" w:space="0" w:color="auto"/>
        <w:left w:val="none" w:sz="0" w:space="0" w:color="auto"/>
        <w:bottom w:val="none" w:sz="0" w:space="0" w:color="auto"/>
        <w:right w:val="none" w:sz="0" w:space="0" w:color="auto"/>
      </w:divBdr>
    </w:div>
    <w:div w:id="957756898">
      <w:bodyDiv w:val="1"/>
      <w:marLeft w:val="0"/>
      <w:marRight w:val="0"/>
      <w:marTop w:val="0"/>
      <w:marBottom w:val="0"/>
      <w:divBdr>
        <w:top w:val="none" w:sz="0" w:space="0" w:color="auto"/>
        <w:left w:val="none" w:sz="0" w:space="0" w:color="auto"/>
        <w:bottom w:val="none" w:sz="0" w:space="0" w:color="auto"/>
        <w:right w:val="none" w:sz="0" w:space="0" w:color="auto"/>
      </w:divBdr>
    </w:div>
    <w:div w:id="1131249028">
      <w:bodyDiv w:val="1"/>
      <w:marLeft w:val="0"/>
      <w:marRight w:val="0"/>
      <w:marTop w:val="0"/>
      <w:marBottom w:val="0"/>
      <w:divBdr>
        <w:top w:val="none" w:sz="0" w:space="0" w:color="auto"/>
        <w:left w:val="none" w:sz="0" w:space="0" w:color="auto"/>
        <w:bottom w:val="none" w:sz="0" w:space="0" w:color="auto"/>
        <w:right w:val="none" w:sz="0" w:space="0" w:color="auto"/>
      </w:divBdr>
      <w:divsChild>
        <w:div w:id="1257521976">
          <w:marLeft w:val="0"/>
          <w:marRight w:val="0"/>
          <w:marTop w:val="0"/>
          <w:marBottom w:val="0"/>
          <w:divBdr>
            <w:top w:val="none" w:sz="0" w:space="0" w:color="auto"/>
            <w:left w:val="none" w:sz="0" w:space="0" w:color="auto"/>
            <w:bottom w:val="none" w:sz="0" w:space="0" w:color="auto"/>
            <w:right w:val="none" w:sz="0" w:space="0" w:color="auto"/>
          </w:divBdr>
        </w:div>
      </w:divsChild>
    </w:div>
    <w:div w:id="1197307337">
      <w:bodyDiv w:val="1"/>
      <w:marLeft w:val="0"/>
      <w:marRight w:val="0"/>
      <w:marTop w:val="0"/>
      <w:marBottom w:val="0"/>
      <w:divBdr>
        <w:top w:val="none" w:sz="0" w:space="0" w:color="auto"/>
        <w:left w:val="none" w:sz="0" w:space="0" w:color="auto"/>
        <w:bottom w:val="none" w:sz="0" w:space="0" w:color="auto"/>
        <w:right w:val="none" w:sz="0" w:space="0" w:color="auto"/>
      </w:divBdr>
    </w:div>
    <w:div w:id="1212156536">
      <w:bodyDiv w:val="1"/>
      <w:marLeft w:val="0"/>
      <w:marRight w:val="0"/>
      <w:marTop w:val="0"/>
      <w:marBottom w:val="0"/>
      <w:divBdr>
        <w:top w:val="none" w:sz="0" w:space="0" w:color="auto"/>
        <w:left w:val="none" w:sz="0" w:space="0" w:color="auto"/>
        <w:bottom w:val="none" w:sz="0" w:space="0" w:color="auto"/>
        <w:right w:val="none" w:sz="0" w:space="0" w:color="auto"/>
      </w:divBdr>
    </w:div>
    <w:div w:id="1254633381">
      <w:bodyDiv w:val="1"/>
      <w:marLeft w:val="0"/>
      <w:marRight w:val="0"/>
      <w:marTop w:val="0"/>
      <w:marBottom w:val="0"/>
      <w:divBdr>
        <w:top w:val="none" w:sz="0" w:space="0" w:color="auto"/>
        <w:left w:val="none" w:sz="0" w:space="0" w:color="auto"/>
        <w:bottom w:val="none" w:sz="0" w:space="0" w:color="auto"/>
        <w:right w:val="none" w:sz="0" w:space="0" w:color="auto"/>
      </w:divBdr>
    </w:div>
    <w:div w:id="1314717752">
      <w:bodyDiv w:val="1"/>
      <w:marLeft w:val="0"/>
      <w:marRight w:val="0"/>
      <w:marTop w:val="0"/>
      <w:marBottom w:val="0"/>
      <w:divBdr>
        <w:top w:val="none" w:sz="0" w:space="0" w:color="auto"/>
        <w:left w:val="none" w:sz="0" w:space="0" w:color="auto"/>
        <w:bottom w:val="none" w:sz="0" w:space="0" w:color="auto"/>
        <w:right w:val="none" w:sz="0" w:space="0" w:color="auto"/>
      </w:divBdr>
    </w:div>
    <w:div w:id="1453935061">
      <w:bodyDiv w:val="1"/>
      <w:marLeft w:val="0"/>
      <w:marRight w:val="0"/>
      <w:marTop w:val="0"/>
      <w:marBottom w:val="0"/>
      <w:divBdr>
        <w:top w:val="none" w:sz="0" w:space="0" w:color="auto"/>
        <w:left w:val="none" w:sz="0" w:space="0" w:color="auto"/>
        <w:bottom w:val="none" w:sz="0" w:space="0" w:color="auto"/>
        <w:right w:val="none" w:sz="0" w:space="0" w:color="auto"/>
      </w:divBdr>
    </w:div>
    <w:div w:id="1461924871">
      <w:bodyDiv w:val="1"/>
      <w:marLeft w:val="0"/>
      <w:marRight w:val="0"/>
      <w:marTop w:val="0"/>
      <w:marBottom w:val="0"/>
      <w:divBdr>
        <w:top w:val="none" w:sz="0" w:space="0" w:color="auto"/>
        <w:left w:val="none" w:sz="0" w:space="0" w:color="auto"/>
        <w:bottom w:val="none" w:sz="0" w:space="0" w:color="auto"/>
        <w:right w:val="none" w:sz="0" w:space="0" w:color="auto"/>
      </w:divBdr>
    </w:div>
    <w:div w:id="1513914352">
      <w:bodyDiv w:val="1"/>
      <w:marLeft w:val="0"/>
      <w:marRight w:val="0"/>
      <w:marTop w:val="0"/>
      <w:marBottom w:val="0"/>
      <w:divBdr>
        <w:top w:val="none" w:sz="0" w:space="0" w:color="auto"/>
        <w:left w:val="none" w:sz="0" w:space="0" w:color="auto"/>
        <w:bottom w:val="none" w:sz="0" w:space="0" w:color="auto"/>
        <w:right w:val="none" w:sz="0" w:space="0" w:color="auto"/>
      </w:divBdr>
    </w:div>
    <w:div w:id="1526409680">
      <w:bodyDiv w:val="1"/>
      <w:marLeft w:val="0"/>
      <w:marRight w:val="0"/>
      <w:marTop w:val="0"/>
      <w:marBottom w:val="0"/>
      <w:divBdr>
        <w:top w:val="none" w:sz="0" w:space="0" w:color="auto"/>
        <w:left w:val="none" w:sz="0" w:space="0" w:color="auto"/>
        <w:bottom w:val="none" w:sz="0" w:space="0" w:color="auto"/>
        <w:right w:val="none" w:sz="0" w:space="0" w:color="auto"/>
      </w:divBdr>
    </w:div>
    <w:div w:id="1609501957">
      <w:bodyDiv w:val="1"/>
      <w:marLeft w:val="0"/>
      <w:marRight w:val="0"/>
      <w:marTop w:val="0"/>
      <w:marBottom w:val="0"/>
      <w:divBdr>
        <w:top w:val="none" w:sz="0" w:space="0" w:color="auto"/>
        <w:left w:val="none" w:sz="0" w:space="0" w:color="auto"/>
        <w:bottom w:val="none" w:sz="0" w:space="0" w:color="auto"/>
        <w:right w:val="none" w:sz="0" w:space="0" w:color="auto"/>
      </w:divBdr>
      <w:divsChild>
        <w:div w:id="772095743">
          <w:marLeft w:val="0"/>
          <w:marRight w:val="0"/>
          <w:marTop w:val="0"/>
          <w:marBottom w:val="0"/>
          <w:divBdr>
            <w:top w:val="none" w:sz="0" w:space="0" w:color="auto"/>
            <w:left w:val="none" w:sz="0" w:space="0" w:color="auto"/>
            <w:bottom w:val="none" w:sz="0" w:space="0" w:color="auto"/>
            <w:right w:val="none" w:sz="0" w:space="0" w:color="auto"/>
          </w:divBdr>
        </w:div>
      </w:divsChild>
    </w:div>
    <w:div w:id="1696345587">
      <w:bodyDiv w:val="1"/>
      <w:marLeft w:val="0"/>
      <w:marRight w:val="0"/>
      <w:marTop w:val="0"/>
      <w:marBottom w:val="0"/>
      <w:divBdr>
        <w:top w:val="none" w:sz="0" w:space="0" w:color="auto"/>
        <w:left w:val="none" w:sz="0" w:space="0" w:color="auto"/>
        <w:bottom w:val="none" w:sz="0" w:space="0" w:color="auto"/>
        <w:right w:val="none" w:sz="0" w:space="0" w:color="auto"/>
      </w:divBdr>
    </w:div>
    <w:div w:id="1719276125">
      <w:bodyDiv w:val="1"/>
      <w:marLeft w:val="0"/>
      <w:marRight w:val="0"/>
      <w:marTop w:val="0"/>
      <w:marBottom w:val="0"/>
      <w:divBdr>
        <w:top w:val="none" w:sz="0" w:space="0" w:color="auto"/>
        <w:left w:val="none" w:sz="0" w:space="0" w:color="auto"/>
        <w:bottom w:val="none" w:sz="0" w:space="0" w:color="auto"/>
        <w:right w:val="none" w:sz="0" w:space="0" w:color="auto"/>
      </w:divBdr>
    </w:div>
    <w:div w:id="1870756883">
      <w:bodyDiv w:val="1"/>
      <w:marLeft w:val="0"/>
      <w:marRight w:val="0"/>
      <w:marTop w:val="0"/>
      <w:marBottom w:val="0"/>
      <w:divBdr>
        <w:top w:val="none" w:sz="0" w:space="0" w:color="auto"/>
        <w:left w:val="none" w:sz="0" w:space="0" w:color="auto"/>
        <w:bottom w:val="none" w:sz="0" w:space="0" w:color="auto"/>
        <w:right w:val="none" w:sz="0" w:space="0" w:color="auto"/>
      </w:divBdr>
      <w:divsChild>
        <w:div w:id="855996621">
          <w:marLeft w:val="0"/>
          <w:marRight w:val="0"/>
          <w:marTop w:val="0"/>
          <w:marBottom w:val="0"/>
          <w:divBdr>
            <w:top w:val="none" w:sz="0" w:space="0" w:color="auto"/>
            <w:left w:val="single" w:sz="2" w:space="0" w:color="2E2E2E"/>
            <w:bottom w:val="single" w:sz="2" w:space="0" w:color="2E2E2E"/>
            <w:right w:val="single" w:sz="2" w:space="0" w:color="2E2E2E"/>
          </w:divBdr>
          <w:divsChild>
            <w:div w:id="117187404">
              <w:marLeft w:val="0"/>
              <w:marRight w:val="0"/>
              <w:marTop w:val="15"/>
              <w:marBottom w:val="0"/>
              <w:divBdr>
                <w:top w:val="none" w:sz="0" w:space="0" w:color="auto"/>
                <w:left w:val="none" w:sz="0" w:space="0" w:color="auto"/>
                <w:bottom w:val="none" w:sz="0" w:space="0" w:color="auto"/>
                <w:right w:val="none" w:sz="0" w:space="0" w:color="auto"/>
              </w:divBdr>
              <w:divsChild>
                <w:div w:id="1862283774">
                  <w:marLeft w:val="0"/>
                  <w:marRight w:val="0"/>
                  <w:marTop w:val="0"/>
                  <w:marBottom w:val="0"/>
                  <w:divBdr>
                    <w:top w:val="none" w:sz="0" w:space="0" w:color="auto"/>
                    <w:left w:val="none" w:sz="0" w:space="0" w:color="auto"/>
                    <w:bottom w:val="none" w:sz="0" w:space="0" w:color="auto"/>
                    <w:right w:val="none" w:sz="0" w:space="0" w:color="auto"/>
                  </w:divBdr>
                  <w:divsChild>
                    <w:div w:id="1888108261">
                      <w:marLeft w:val="0"/>
                      <w:marRight w:val="0"/>
                      <w:marTop w:val="0"/>
                      <w:marBottom w:val="0"/>
                      <w:divBdr>
                        <w:top w:val="none" w:sz="0" w:space="0" w:color="auto"/>
                        <w:left w:val="none" w:sz="0" w:space="0" w:color="auto"/>
                        <w:bottom w:val="none" w:sz="0" w:space="0" w:color="auto"/>
                        <w:right w:val="none" w:sz="0" w:space="0" w:color="auto"/>
                      </w:divBdr>
                      <w:divsChild>
                        <w:div w:id="401949774">
                          <w:marLeft w:val="0"/>
                          <w:marRight w:val="0"/>
                          <w:marTop w:val="0"/>
                          <w:marBottom w:val="315"/>
                          <w:divBdr>
                            <w:top w:val="single" w:sz="6" w:space="0" w:color="D7D7D7"/>
                            <w:left w:val="single" w:sz="2" w:space="0" w:color="D7D7D7"/>
                            <w:bottom w:val="single" w:sz="6" w:space="0" w:color="D7D7D7"/>
                            <w:right w:val="single" w:sz="2" w:space="0" w:color="D7D7D7"/>
                          </w:divBdr>
                          <w:divsChild>
                            <w:div w:id="391318499">
                              <w:marLeft w:val="0"/>
                              <w:marRight w:val="0"/>
                              <w:marTop w:val="0"/>
                              <w:marBottom w:val="0"/>
                              <w:divBdr>
                                <w:top w:val="none" w:sz="0" w:space="0" w:color="auto"/>
                                <w:left w:val="none" w:sz="0" w:space="0" w:color="auto"/>
                                <w:bottom w:val="none" w:sz="0" w:space="0" w:color="auto"/>
                                <w:right w:val="none" w:sz="0" w:space="0" w:color="auto"/>
                              </w:divBdr>
                            </w:div>
                            <w:div w:id="1423523872">
                              <w:marLeft w:val="0"/>
                              <w:marRight w:val="0"/>
                              <w:marTop w:val="0"/>
                              <w:marBottom w:val="0"/>
                              <w:divBdr>
                                <w:top w:val="none" w:sz="0" w:space="0" w:color="auto"/>
                                <w:left w:val="none" w:sz="0" w:space="0" w:color="auto"/>
                                <w:bottom w:val="none" w:sz="0" w:space="0" w:color="auto"/>
                                <w:right w:val="none" w:sz="0" w:space="0" w:color="auto"/>
                              </w:divBdr>
                              <w:divsChild>
                                <w:div w:id="150995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3884319">
      <w:bodyDiv w:val="1"/>
      <w:marLeft w:val="0"/>
      <w:marRight w:val="0"/>
      <w:marTop w:val="0"/>
      <w:marBottom w:val="0"/>
      <w:divBdr>
        <w:top w:val="none" w:sz="0" w:space="0" w:color="auto"/>
        <w:left w:val="none" w:sz="0" w:space="0" w:color="auto"/>
        <w:bottom w:val="none" w:sz="0" w:space="0" w:color="auto"/>
        <w:right w:val="none" w:sz="0" w:space="0" w:color="auto"/>
      </w:divBdr>
      <w:divsChild>
        <w:div w:id="312569108">
          <w:marLeft w:val="0"/>
          <w:marRight w:val="0"/>
          <w:marTop w:val="0"/>
          <w:marBottom w:val="0"/>
          <w:divBdr>
            <w:top w:val="none" w:sz="0" w:space="0" w:color="auto"/>
            <w:left w:val="none" w:sz="0" w:space="0" w:color="auto"/>
            <w:bottom w:val="none" w:sz="0" w:space="0" w:color="auto"/>
            <w:right w:val="none" w:sz="0" w:space="0" w:color="auto"/>
          </w:divBdr>
        </w:div>
      </w:divsChild>
    </w:div>
    <w:div w:id="2083597696">
      <w:bodyDiv w:val="1"/>
      <w:marLeft w:val="0"/>
      <w:marRight w:val="0"/>
      <w:marTop w:val="0"/>
      <w:marBottom w:val="0"/>
      <w:divBdr>
        <w:top w:val="none" w:sz="0" w:space="0" w:color="auto"/>
        <w:left w:val="none" w:sz="0" w:space="0" w:color="auto"/>
        <w:bottom w:val="none" w:sz="0" w:space="0" w:color="auto"/>
        <w:right w:val="none" w:sz="0" w:space="0" w:color="auto"/>
      </w:divBdr>
    </w:div>
    <w:div w:id="213949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independentsector.org/volunteer_ti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BE613-1DA2-430A-9C1C-771EE0646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5613</Words>
  <Characters>31999</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37537</CharactersWithSpaces>
  <SharedDoc>false</SharedDoc>
  <HLinks>
    <vt:vector size="102" baseType="variant">
      <vt:variant>
        <vt:i4>2031708</vt:i4>
      </vt:variant>
      <vt:variant>
        <vt:i4>33</vt:i4>
      </vt:variant>
      <vt:variant>
        <vt:i4>0</vt:i4>
      </vt:variant>
      <vt:variant>
        <vt:i4>5</vt:i4>
      </vt:variant>
      <vt:variant>
        <vt:lpwstr>http://www.bls.gov/oes/current/oes119151.htm</vt:lpwstr>
      </vt:variant>
      <vt:variant>
        <vt:lpwstr/>
      </vt:variant>
      <vt:variant>
        <vt:i4>7536728</vt:i4>
      </vt:variant>
      <vt:variant>
        <vt:i4>30</vt:i4>
      </vt:variant>
      <vt:variant>
        <vt:i4>0</vt:i4>
      </vt:variant>
      <vt:variant>
        <vt:i4>5</vt:i4>
      </vt:variant>
      <vt:variant>
        <vt:lpwstr>mailto:cspielman@gmail.com</vt:lpwstr>
      </vt:variant>
      <vt:variant>
        <vt:lpwstr/>
      </vt:variant>
      <vt:variant>
        <vt:i4>57</vt:i4>
      </vt:variant>
      <vt:variant>
        <vt:i4>27</vt:i4>
      </vt:variant>
      <vt:variant>
        <vt:i4>0</vt:i4>
      </vt:variant>
      <vt:variant>
        <vt:i4>5</vt:i4>
      </vt:variant>
      <vt:variant>
        <vt:lpwstr>mailto:lross@fieldmuseum.org</vt:lpwstr>
      </vt:variant>
      <vt:variant>
        <vt:lpwstr/>
      </vt:variant>
      <vt:variant>
        <vt:i4>1441909</vt:i4>
      </vt:variant>
      <vt:variant>
        <vt:i4>24</vt:i4>
      </vt:variant>
      <vt:variant>
        <vt:i4>0</vt:i4>
      </vt:variant>
      <vt:variant>
        <vt:i4>5</vt:i4>
      </vt:variant>
      <vt:variant>
        <vt:lpwstr>mailto:Michele.romolini@lmu.edu</vt:lpwstr>
      </vt:variant>
      <vt:variant>
        <vt:lpwstr/>
      </vt:variant>
      <vt:variant>
        <vt:i4>2555909</vt:i4>
      </vt:variant>
      <vt:variant>
        <vt:i4>21</vt:i4>
      </vt:variant>
      <vt:variant>
        <vt:i4>0</vt:i4>
      </vt:variant>
      <vt:variant>
        <vt:i4>5</vt:i4>
      </vt:variant>
      <vt:variant>
        <vt:lpwstr>mailto:andrew.newman@parks.nyc.gov</vt:lpwstr>
      </vt:variant>
      <vt:variant>
        <vt:lpwstr/>
      </vt:variant>
      <vt:variant>
        <vt:i4>4063248</vt:i4>
      </vt:variant>
      <vt:variant>
        <vt:i4>18</vt:i4>
      </vt:variant>
      <vt:variant>
        <vt:i4>0</vt:i4>
      </vt:variant>
      <vt:variant>
        <vt:i4>5</vt:i4>
      </vt:variant>
      <vt:variant>
        <vt:lpwstr>mailto:morgan.monaco@parks.nyc.gov</vt:lpwstr>
      </vt:variant>
      <vt:variant>
        <vt:lpwstr/>
      </vt:variant>
      <vt:variant>
        <vt:i4>1114175</vt:i4>
      </vt:variant>
      <vt:variant>
        <vt:i4>15</vt:i4>
      </vt:variant>
      <vt:variant>
        <vt:i4>0</vt:i4>
      </vt:variant>
      <vt:variant>
        <vt:i4>5</vt:i4>
      </vt:variant>
      <vt:variant>
        <vt:lpwstr>mailto:drfisher@umd.edu</vt:lpwstr>
      </vt:variant>
      <vt:variant>
        <vt:lpwstr/>
      </vt:variant>
      <vt:variant>
        <vt:i4>7995392</vt:i4>
      </vt:variant>
      <vt:variant>
        <vt:i4>12</vt:i4>
      </vt:variant>
      <vt:variant>
        <vt:i4>0</vt:i4>
      </vt:variant>
      <vt:variant>
        <vt:i4>5</vt:i4>
      </vt:variant>
      <vt:variant>
        <vt:lpwstr>mailto:jackie.carrera@parksandpeople.org</vt:lpwstr>
      </vt:variant>
      <vt:variant>
        <vt:lpwstr/>
      </vt:variant>
      <vt:variant>
        <vt:i4>6619201</vt:i4>
      </vt:variant>
      <vt:variant>
        <vt:i4>9</vt:i4>
      </vt:variant>
      <vt:variant>
        <vt:i4>0</vt:i4>
      </vt:variant>
      <vt:variant>
        <vt:i4>5</vt:i4>
      </vt:variant>
      <vt:variant>
        <vt:lpwstr>mailto:obazinet@gmail.com</vt:lpwstr>
      </vt:variant>
      <vt:variant>
        <vt:lpwstr/>
      </vt:variant>
      <vt:variant>
        <vt:i4>4653175</vt:i4>
      </vt:variant>
      <vt:variant>
        <vt:i4>6</vt:i4>
      </vt:variant>
      <vt:variant>
        <vt:i4>0</vt:i4>
      </vt:variant>
      <vt:variant>
        <vt:i4>5</vt:i4>
      </vt:variant>
      <vt:variant>
        <vt:lpwstr>mailto:obazinet@uw.edu</vt:lpwstr>
      </vt:variant>
      <vt:variant>
        <vt:lpwstr/>
      </vt:variant>
      <vt:variant>
        <vt:i4>7667781</vt:i4>
      </vt:variant>
      <vt:variant>
        <vt:i4>3</vt:i4>
      </vt:variant>
      <vt:variant>
        <vt:i4>0</vt:i4>
      </vt:variant>
      <vt:variant>
        <vt:i4>5</vt:i4>
      </vt:variant>
      <vt:variant>
        <vt:lpwstr>mailto:miriam@baltimoregreenspace.org</vt:lpwstr>
      </vt:variant>
      <vt:variant>
        <vt:lpwstr/>
      </vt:variant>
      <vt:variant>
        <vt:i4>7733293</vt:i4>
      </vt:variant>
      <vt:variant>
        <vt:i4>0</vt:i4>
      </vt:variant>
      <vt:variant>
        <vt:i4>0</vt:i4>
      </vt:variant>
      <vt:variant>
        <vt:i4>5</vt:i4>
      </vt:variant>
      <vt:variant>
        <vt:lpwstr>http://www.census.gov/prod/2013pubs/p20-569.pdf</vt:lpwstr>
      </vt:variant>
      <vt:variant>
        <vt:lpwstr/>
      </vt:variant>
      <vt:variant>
        <vt:i4>852055</vt:i4>
      </vt:variant>
      <vt:variant>
        <vt:i4>12</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9</vt:i4>
      </vt:variant>
      <vt:variant>
        <vt:i4>0</vt:i4>
      </vt:variant>
      <vt:variant>
        <vt:i4>5</vt:i4>
      </vt:variant>
      <vt:variant>
        <vt:lpwstr>http://uscode.house.gov/uscode-cgi/fastweb.exe?getdoc+uscview+t05t08+71+1++()%20%20AND%20((5)%20ADJ%20USC):CITE%20AND%20(USC%20w/10%20(601)):CITE</vt:lpwstr>
      </vt:variant>
      <vt:variant>
        <vt:lpwstr/>
      </vt:variant>
      <vt:variant>
        <vt:i4>852055</vt:i4>
      </vt:variant>
      <vt:variant>
        <vt:i4>6</vt:i4>
      </vt:variant>
      <vt:variant>
        <vt:i4>0</vt:i4>
      </vt:variant>
      <vt:variant>
        <vt:i4>5</vt:i4>
      </vt:variant>
      <vt:variant>
        <vt:lpwstr>http://uscode.house.gov/uscode-cgi/fastweb.exe?getdoc+uscview+t05t08+71+1++()%20%20AND%20((5)%20ADJ%20USC):CITE%20AND%20(USC%20w/10%20(601)):CITE</vt:lpwstr>
      </vt:variant>
      <vt:variant>
        <vt:lpwstr/>
      </vt:variant>
      <vt:variant>
        <vt:i4>3866669</vt:i4>
      </vt:variant>
      <vt:variant>
        <vt:i4>3</vt:i4>
      </vt:variant>
      <vt:variant>
        <vt:i4>0</vt:i4>
      </vt:variant>
      <vt:variant>
        <vt:i4>5</vt:i4>
      </vt:variant>
      <vt:variant>
        <vt:lpwstr>http://www.sba.gov/size/sizetable2002.html</vt:lpwstr>
      </vt:variant>
      <vt:variant>
        <vt:lpwstr/>
      </vt:variant>
      <vt:variant>
        <vt:i4>720915</vt:i4>
      </vt:variant>
      <vt:variant>
        <vt:i4>0</vt:i4>
      </vt:variant>
      <vt:variant>
        <vt:i4>0</vt:i4>
      </vt:variant>
      <vt:variant>
        <vt:i4>5</vt:i4>
      </vt:variant>
      <vt:variant>
        <vt:lpwstr>http://www.reginfo.gov/public/do/PRAMain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subject/>
  <dc:creator>PCxx</dc:creator>
  <cp:keywords/>
  <dc:description/>
  <cp:lastModifiedBy>SYSTEM</cp:lastModifiedBy>
  <cp:revision>2</cp:revision>
  <cp:lastPrinted>2016-07-07T21:19:00Z</cp:lastPrinted>
  <dcterms:created xsi:type="dcterms:W3CDTF">2018-06-27T20:03:00Z</dcterms:created>
  <dcterms:modified xsi:type="dcterms:W3CDTF">2018-06-27T20:03:00Z</dcterms:modified>
</cp:coreProperties>
</file>