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0FCF"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bookmarkStart w:id="0" w:name="_GoBack"/>
      <w:bookmarkEnd w:id="0"/>
      <w:r w:rsidRPr="002C0D1E">
        <w:rPr>
          <w:rFonts w:ascii="Times New Roman" w:eastAsia="Times New Roman" w:hAnsi="Times New Roman" w:cs="Times New Roman"/>
          <w:sz w:val="26"/>
          <w:szCs w:val="26"/>
        </w:rPr>
        <w:t>UNITED STATES OF AMERICA</w:t>
      </w:r>
    </w:p>
    <w:p w14:paraId="40F80FD0"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FEDERAL ENERGY REGULATORY COMMISSION</w:t>
      </w:r>
    </w:p>
    <w:p w14:paraId="40F80FD1"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2"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[Docket No. IC18-6-000]</w:t>
      </w:r>
    </w:p>
    <w:p w14:paraId="40F80FD3"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4"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COMMISSION INFORMATION COLLECTION ACTIVITIES </w:t>
      </w:r>
    </w:p>
    <w:p w14:paraId="40F80FD5"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(FERC-65, FERC-65A, FERC-65B, FERC-725V)</w:t>
      </w:r>
    </w:p>
    <w:p w14:paraId="40F80FD6"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CONSOLIDATED COMMENT REQUEST; EXTENSION</w:t>
      </w:r>
    </w:p>
    <w:p w14:paraId="40F80FD7"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8" w14:textId="0751B215"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w:t>
      </w:r>
      <w:r w:rsidR="009E020B">
        <w:rPr>
          <w:rFonts w:ascii="Times New Roman" w:eastAsia="Times New Roman" w:hAnsi="Times New Roman" w:cs="Times New Roman"/>
          <w:sz w:val="26"/>
          <w:szCs w:val="26"/>
        </w:rPr>
        <w:t>March 5, 2018</w:t>
      </w:r>
      <w:r w:rsidRPr="002C0D1E">
        <w:rPr>
          <w:rFonts w:ascii="Times New Roman" w:eastAsia="Times New Roman" w:hAnsi="Times New Roman" w:cs="Times New Roman"/>
          <w:sz w:val="26"/>
          <w:szCs w:val="26"/>
        </w:rPr>
        <w:t>)</w:t>
      </w:r>
    </w:p>
    <w:p w14:paraId="40F80FD9" w14:textId="77777777" w:rsidR="00A13DD4" w:rsidRPr="002C0D1E" w:rsidRDefault="00A13DD4" w:rsidP="00A13DD4">
      <w:pPr>
        <w:spacing w:after="0" w:line="240" w:lineRule="auto"/>
        <w:jc w:val="right"/>
        <w:rPr>
          <w:rFonts w:ascii="Times New Roman" w:eastAsia="Times New Roman" w:hAnsi="Times New Roman" w:cs="Times New Roman"/>
          <w:sz w:val="26"/>
          <w:szCs w:val="26"/>
        </w:rPr>
      </w:pPr>
    </w:p>
    <w:p w14:paraId="40F80FDA" w14:textId="77777777" w:rsidR="00A13DD4" w:rsidRPr="002C0D1E" w:rsidRDefault="00A13DD4" w:rsidP="00A13DD4">
      <w:pPr>
        <w:spacing w:after="0" w:line="24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AGENCY:</w:t>
      </w:r>
      <w:r w:rsidRPr="002C0D1E">
        <w:rPr>
          <w:rFonts w:ascii="Times New Roman" w:eastAsia="Times New Roman" w:hAnsi="Times New Roman" w:cs="Times New Roman"/>
          <w:sz w:val="26"/>
          <w:szCs w:val="26"/>
        </w:rPr>
        <w:t xml:space="preserve">  Federal Energy Regulatory Commission, DOE.</w:t>
      </w:r>
    </w:p>
    <w:p w14:paraId="40F80FDB"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ACTION:</w:t>
      </w:r>
      <w:r w:rsidRPr="002C0D1E">
        <w:rPr>
          <w:rFonts w:ascii="Times New Roman" w:eastAsia="Times New Roman" w:hAnsi="Times New Roman" w:cs="Times New Roman"/>
          <w:sz w:val="26"/>
          <w:szCs w:val="26"/>
        </w:rPr>
        <w:t xml:space="preserve">  Notice of information collection and request for comments.</w:t>
      </w:r>
    </w:p>
    <w:p w14:paraId="40F80FD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SUMMARY:</w:t>
      </w:r>
      <w:r w:rsidRPr="002C0D1E">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information collections, FERC-65 (Notice of Holding Company Status), FERC-65A (Exemption Notification of holding Company Status), and FERC-65B (Waiver Notification of Holding Company Status), and FERC-725V (Mandatory Reliability Standards: COM Reliability Standards) which will be submitted to the Office of Management and Budget (OMB) for a review of the information collection requirements. </w:t>
      </w:r>
    </w:p>
    <w:p w14:paraId="40F80FDE"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DATES:</w:t>
      </w:r>
      <w:r w:rsidRPr="002C0D1E">
        <w:rPr>
          <w:rFonts w:ascii="Times New Roman" w:eastAsia="Times New Roman" w:hAnsi="Times New Roman" w:cs="Times New Roman"/>
          <w:sz w:val="26"/>
          <w:szCs w:val="26"/>
        </w:rPr>
        <w:t xml:space="preserve">  Comments on the collection of information are due</w:t>
      </w:r>
      <w:r w:rsidRPr="002C0D1E">
        <w:rPr>
          <w:rFonts w:ascii="Times New Roman" w:eastAsia="Times New Roman" w:hAnsi="Times New Roman" w:cs="Times New Roman"/>
          <w:b/>
          <w:sz w:val="26"/>
          <w:szCs w:val="26"/>
        </w:rPr>
        <w:t xml:space="preserve"> [Insert Date that is 60 days after publication in the Federal Register].</w:t>
      </w:r>
      <w:r w:rsidRPr="002C0D1E">
        <w:rPr>
          <w:rFonts w:ascii="Times New Roman" w:eastAsia="Times New Roman" w:hAnsi="Times New Roman" w:cs="Times New Roman"/>
          <w:sz w:val="26"/>
          <w:szCs w:val="26"/>
        </w:rPr>
        <w:t xml:space="preserve"> </w:t>
      </w:r>
    </w:p>
    <w:p w14:paraId="40F80FDF"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ADDRESSES:</w:t>
      </w:r>
      <w:r w:rsidRPr="002C0D1E">
        <w:rPr>
          <w:rFonts w:ascii="Times New Roman" w:eastAsia="Times New Roman" w:hAnsi="Times New Roman" w:cs="Times New Roman"/>
          <w:sz w:val="26"/>
          <w:szCs w:val="26"/>
        </w:rPr>
        <w:t xml:space="preserve">  You may submit comments (identified by Docket No. IC18-6-000) by either of the following methods:</w:t>
      </w:r>
    </w:p>
    <w:p w14:paraId="40F80FE0" w14:textId="77777777" w:rsidR="00A13DD4" w:rsidRPr="002C0D1E" w:rsidRDefault="00A13DD4" w:rsidP="00A13DD4">
      <w:pPr>
        <w:numPr>
          <w:ilvl w:val="0"/>
          <w:numId w:val="1"/>
        </w:numPr>
        <w:tabs>
          <w:tab w:val="num" w:pos="1080"/>
        </w:tabs>
        <w:spacing w:after="0" w:line="480" w:lineRule="auto"/>
        <w:ind w:left="720"/>
        <w:rPr>
          <w:rFonts w:ascii="Times New Roman" w:eastAsia="Times New Roman" w:hAnsi="Times New Roman" w:cs="Times New Roman"/>
          <w:sz w:val="26"/>
          <w:szCs w:val="26"/>
        </w:rPr>
      </w:pPr>
      <w:bookmarkStart w:id="1" w:name="OLE_LINK1"/>
      <w:r w:rsidRPr="002C0D1E">
        <w:rPr>
          <w:rFonts w:ascii="Times New Roman" w:eastAsia="Times New Roman" w:hAnsi="Times New Roman" w:cs="Times New Roman"/>
          <w:sz w:val="26"/>
          <w:szCs w:val="26"/>
        </w:rPr>
        <w:t xml:space="preserve">eFiling at Commission’s Web Site: </w:t>
      </w:r>
      <w:hyperlink r:id="rId12" w:history="1">
        <w:r w:rsidRPr="002C0D1E">
          <w:rPr>
            <w:rFonts w:ascii="Times New Roman" w:eastAsia="Times New Roman" w:hAnsi="Times New Roman" w:cs="Times New Roman"/>
            <w:color w:val="0000FF"/>
            <w:sz w:val="26"/>
            <w:szCs w:val="26"/>
            <w:u w:val="single"/>
          </w:rPr>
          <w:t>http://www.ferc.gov/docs-filing/efiling.asp</w:t>
        </w:r>
      </w:hyperlink>
    </w:p>
    <w:p w14:paraId="40F80FE1" w14:textId="77777777" w:rsidR="00A13DD4" w:rsidRPr="002C0D1E" w:rsidRDefault="00A13DD4" w:rsidP="00A13DD4">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lastRenderedPageBreak/>
        <w:t>Mail/Hand Delivery/Courier: Federal Energy Regulatory Commission, Secretary of the Commission, 888 First Street, NE, Washington, DC 20426.</w:t>
      </w:r>
    </w:p>
    <w:p w14:paraId="40F80FE2"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Instructions: </w:t>
      </w:r>
      <w:r w:rsidRPr="002C0D1E">
        <w:rPr>
          <w:rFonts w:ascii="Times New Roman" w:eastAsia="Times New Roman" w:hAnsi="Times New Roman" w:cs="Times New Roman"/>
          <w:sz w:val="26"/>
          <w:szCs w:val="26"/>
        </w:rPr>
        <w:t xml:space="preserve">All submissions must be formatted and filed in accordance with submission guidelines at: </w:t>
      </w:r>
      <w:hyperlink r:id="rId13" w:history="1">
        <w:r w:rsidRPr="002C0D1E">
          <w:rPr>
            <w:rFonts w:ascii="Times New Roman" w:eastAsia="Times New Roman" w:hAnsi="Times New Roman" w:cs="Times New Roman"/>
            <w:color w:val="0000FF"/>
            <w:sz w:val="26"/>
            <w:szCs w:val="26"/>
            <w:u w:val="single"/>
          </w:rPr>
          <w:t>http://www.ferc.gov/help/submission-guide.asp</w:t>
        </w:r>
      </w:hyperlink>
      <w:r w:rsidRPr="002C0D1E">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40F80FE3"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Docket:</w:t>
      </w:r>
      <w:r w:rsidRPr="002C0D1E">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4" w:history="1">
        <w:r w:rsidRPr="002C0D1E">
          <w:rPr>
            <w:rFonts w:ascii="Times New Roman" w:eastAsia="Times New Roman" w:hAnsi="Times New Roman" w:cs="Times New Roman"/>
            <w:color w:val="0000FF"/>
            <w:sz w:val="26"/>
            <w:szCs w:val="26"/>
            <w:u w:val="single"/>
          </w:rPr>
          <w:t>http://www.ferc.gov/docs-filing/docs-filing.asp</w:t>
        </w:r>
      </w:hyperlink>
      <w:r w:rsidRPr="002C0D1E">
        <w:rPr>
          <w:rFonts w:ascii="Times New Roman" w:eastAsia="Times New Roman" w:hAnsi="Times New Roman" w:cs="Times New Roman"/>
          <w:sz w:val="26"/>
          <w:szCs w:val="26"/>
        </w:rPr>
        <w:t xml:space="preserve">. </w:t>
      </w:r>
    </w:p>
    <w:bookmarkEnd w:id="1"/>
    <w:p w14:paraId="40F80FE4"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FOR FURTHER INFORMATION:</w:t>
      </w:r>
      <w:r w:rsidRPr="002C0D1E">
        <w:rPr>
          <w:rFonts w:ascii="Times New Roman" w:eastAsia="Times New Roman" w:hAnsi="Times New Roman" w:cs="Times New Roman"/>
          <w:sz w:val="26"/>
          <w:szCs w:val="26"/>
        </w:rPr>
        <w:t xml:space="preserve">  Ellen Brown may be reached by e-mail at </w:t>
      </w:r>
      <w:hyperlink r:id="rId15" w:history="1">
        <w:r w:rsidRPr="002C0D1E">
          <w:rPr>
            <w:rFonts w:ascii="Times New Roman" w:eastAsia="Times New Roman" w:hAnsi="Times New Roman" w:cs="Times New Roman"/>
            <w:color w:val="0000FF"/>
            <w:sz w:val="26"/>
            <w:szCs w:val="26"/>
            <w:u w:val="single"/>
          </w:rPr>
          <w:t>DataClearance@FERC.gov</w:t>
        </w:r>
      </w:hyperlink>
      <w:r w:rsidRPr="002C0D1E">
        <w:rPr>
          <w:rFonts w:ascii="Times New Roman" w:eastAsia="Times New Roman" w:hAnsi="Times New Roman" w:cs="Times New Roman"/>
          <w:sz w:val="26"/>
          <w:szCs w:val="26"/>
        </w:rPr>
        <w:t>, telephone at (202) 502-8663, and fax at (202) 273-0873.</w:t>
      </w:r>
    </w:p>
    <w:p w14:paraId="40F80FE5"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b/>
          <w:sz w:val="26"/>
          <w:szCs w:val="26"/>
        </w:rPr>
        <w:t>SUPPLEMENTARY INFORMATION:</w:t>
      </w:r>
      <w:r w:rsidRPr="002C0D1E">
        <w:rPr>
          <w:rFonts w:ascii="Times New Roman" w:eastAsia="Times New Roman" w:hAnsi="Times New Roman" w:cs="Times New Roman"/>
          <w:sz w:val="26"/>
          <w:szCs w:val="26"/>
        </w:rPr>
        <w:t xml:space="preserve">  </w:t>
      </w:r>
    </w:p>
    <w:p w14:paraId="40F80FE6" w14:textId="77777777" w:rsidR="00A13DD4" w:rsidRPr="002C0D1E" w:rsidRDefault="00A13DD4" w:rsidP="00A13DD4">
      <w:pPr>
        <w:spacing w:after="0"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Calibri" w:hAnsi="Times New Roman" w:cs="Times New Roman"/>
          <w:sz w:val="26"/>
          <w:szCs w:val="26"/>
        </w:rPr>
        <w:t>FERC-65 (Notice of Holding Company Status), FERC-65A (Exemption Notification of Holding Company Status), and FERC-65B (Waiver Notification of Holding Company Status)</w:t>
      </w:r>
    </w:p>
    <w:p w14:paraId="40F80FE7"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1902-0218</w:t>
      </w:r>
    </w:p>
    <w:p w14:paraId="40F80FE8"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FERC-65, FERC-65A and FERC-65B information collection requirements with no changes to the current reporting requirements. </w:t>
      </w:r>
    </w:p>
    <w:p w14:paraId="40F80FE9" w14:textId="77777777" w:rsidR="00A13DD4" w:rsidRPr="002C0D1E" w:rsidRDefault="00A13DD4" w:rsidP="00A13DD4">
      <w:pPr>
        <w:spacing w:line="480" w:lineRule="auto"/>
        <w:rPr>
          <w:rFonts w:ascii="Times New Roman" w:eastAsia="Calibri" w:hAnsi="Times New Roman" w:cs="Times New Roman"/>
          <w:bCs/>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The</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Pursuant to section 366.4 of the Commission’s rules and regulations, persons who meet the definition of a holding company shall provide the Commission notification of holding company status.</w:t>
      </w:r>
    </w:p>
    <w:p w14:paraId="40F80FEA"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lastRenderedPageBreak/>
        <w:t>The FERC-65 is a one-time informational filing outlined in the Commission’s regulations at 18 Code of Federal Regulations (CFR) 366.4. The FERC-65 must be submitted within 30 days of becoming a holding company</w:t>
      </w:r>
      <w:r w:rsidRPr="002C0D1E">
        <w:rPr>
          <w:rFonts w:ascii="Times New Roman" w:eastAsia="Calibri" w:hAnsi="Times New Roman" w:cs="Times New Roman"/>
          <w:b/>
          <w:sz w:val="26"/>
          <w:szCs w:val="26"/>
          <w:vertAlign w:val="superscript"/>
        </w:rPr>
        <w:footnoteReference w:id="1"/>
      </w:r>
      <w:r w:rsidRPr="002C0D1E">
        <w:rPr>
          <w:rFonts w:ascii="Times New Roman" w:eastAsia="Calibri" w:hAnsi="Times New Roman" w:cs="Times New Roman"/>
          <w:sz w:val="26"/>
          <w:szCs w:val="26"/>
        </w:rPr>
        <w:t xml:space="preserve">.  While the Commission does not require the information to be reported in a specific format, the filing needs to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names of all affiliates and subsidiaries (and their corporate interrelationship) to each other.  Filings may be submitted in hardcopy or electronically through the Commission’s eFiling system. </w:t>
      </w:r>
    </w:p>
    <w:p w14:paraId="40F80FEB" w14:textId="77777777" w:rsidR="00A13DD4" w:rsidRPr="002C0D1E" w:rsidRDefault="00A13DD4" w:rsidP="00A13DD4">
      <w:pPr>
        <w:spacing w:line="480" w:lineRule="auto"/>
        <w:rPr>
          <w:rFonts w:ascii="Times New Roman" w:eastAsia="Calibri" w:hAnsi="Times New Roman" w:cs="Times New Roman"/>
          <w:b/>
          <w:sz w:val="26"/>
          <w:szCs w:val="26"/>
          <w:u w:val="single"/>
        </w:rPr>
      </w:pPr>
      <w:r w:rsidRPr="002C0D1E">
        <w:rPr>
          <w:rFonts w:ascii="Times New Roman" w:eastAsia="Calibri" w:hAnsi="Times New Roman" w:cs="Times New Roman"/>
          <w:b/>
          <w:sz w:val="26"/>
          <w:szCs w:val="26"/>
          <w:u w:val="single"/>
        </w:rPr>
        <w:t>FERC-65A (Exemption Notification of Holding Company Status)</w:t>
      </w:r>
    </w:p>
    <w:p w14:paraId="40F80FEC"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While noting the previously outlined requirements of the FERC-65, the Commission has allowed for an exemption from the requirement of providing the 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file the FERC-65A, which must include a form of notice suitable for publication in the Federal Register.  Those who file a FERC-65A in good faith will have a temporary exemption upon filing, after 60 days if the Commission has taken no action, the exemption will be deemed granted.  Commission regulations within 18 CFR 366.3 describe the criteria in more specificity.  </w:t>
      </w:r>
    </w:p>
    <w:p w14:paraId="40F80FED" w14:textId="77777777" w:rsidR="00A13DD4" w:rsidRPr="002C0D1E" w:rsidRDefault="00A13DD4" w:rsidP="00A13DD4">
      <w:pPr>
        <w:numPr>
          <w:ilvl w:val="0"/>
          <w:numId w:val="2"/>
        </w:numPr>
        <w:tabs>
          <w:tab w:val="clear" w:pos="360"/>
        </w:tabs>
        <w:spacing w:before="100" w:beforeAutospacing="1" w:after="100" w:afterAutospacing="1" w:line="480" w:lineRule="auto"/>
        <w:rPr>
          <w:rFonts w:ascii="Times New Roman" w:eastAsia="Times New Roman" w:hAnsi="Times New Roman" w:cs="Times New Roman"/>
          <w:b/>
          <w:color w:val="000000"/>
          <w:sz w:val="26"/>
          <w:szCs w:val="26"/>
          <w:u w:val="single"/>
        </w:rPr>
      </w:pPr>
      <w:r w:rsidRPr="002C0D1E">
        <w:rPr>
          <w:rFonts w:ascii="Times New Roman" w:eastAsia="Times New Roman" w:hAnsi="Times New Roman" w:cs="Times New Roman"/>
          <w:b/>
          <w:color w:val="000000"/>
          <w:sz w:val="26"/>
          <w:szCs w:val="26"/>
          <w:u w:val="single"/>
        </w:rPr>
        <w:t>FERC-65B (Waiver Notification of Holding Company Status)</w:t>
      </w:r>
    </w:p>
    <w:p w14:paraId="40F80FEE"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If an entity meets the requirements in 18 CFR 366.3(c), they may file a FERC-65B waiver notification pursuant to the procedures outlined in 18 CFR 366.4.</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bCs/>
          <w:sz w:val="26"/>
          <w:szCs w:val="26"/>
        </w:rPr>
        <w:t>Specifically, t</w:t>
      </w:r>
      <w:r w:rsidRPr="002C0D1E">
        <w:rPr>
          <w:rFonts w:ascii="Times New Roman" w:eastAsia="Calibri" w:hAnsi="Times New Roman" w:cs="Times New Roman"/>
          <w:sz w:val="26"/>
          <w:szCs w:val="26"/>
        </w:rPr>
        <w:t>he Commission waives the requirement of providing it with a FERC-65 for</w:t>
      </w:r>
      <w:r w:rsidRPr="002C0D1E">
        <w:rPr>
          <w:rFonts w:ascii="Times New Roman" w:eastAsia="Calibri" w:hAnsi="Times New Roman" w:cs="Times New Roman"/>
          <w:bCs/>
          <w:sz w:val="26"/>
          <w:szCs w:val="26"/>
        </w:rPr>
        <w:t xml:space="preserve"> a</w:t>
      </w:r>
      <w:r w:rsidRPr="002C0D1E">
        <w:rPr>
          <w:rFonts w:ascii="Times New Roman" w:eastAsia="Calibri" w:hAnsi="Times New Roman" w:cs="Times New Roman"/>
          <w:sz w:val="26"/>
          <w:szCs w:val="26"/>
        </w:rPr>
        <w:t xml:space="preserve">ny holding company with respect to one or more of the following:  </w:t>
      </w:r>
      <w:r w:rsidRPr="002C0D1E">
        <w:rPr>
          <w:rFonts w:ascii="Times New Roman" w:eastAsia="Calibri" w:hAnsi="Times New Roman" w:cs="Times New Roman"/>
          <w:bCs/>
          <w:sz w:val="26"/>
          <w:szCs w:val="26"/>
        </w:rPr>
        <w:t>(1) s</w:t>
      </w:r>
      <w:r w:rsidRPr="002C0D1E">
        <w:rPr>
          <w:rFonts w:ascii="Times New Roman" w:eastAsia="Calibri" w:hAnsi="Times New Roman" w:cs="Times New Roman"/>
          <w:sz w:val="26"/>
          <w:szCs w:val="26"/>
        </w:rPr>
        <w:t xml:space="preserve">ingle-state holding company systems; </w:t>
      </w:r>
      <w:r w:rsidRPr="002C0D1E">
        <w:rPr>
          <w:rFonts w:ascii="Times New Roman" w:eastAsia="Calibri" w:hAnsi="Times New Roman" w:cs="Times New Roman"/>
          <w:bCs/>
          <w:sz w:val="26"/>
          <w:szCs w:val="26"/>
        </w:rPr>
        <w:t>(2)</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 xml:space="preserve">holding companies that own generating facilities that total 100 MW or less in size and are used fundamentally for their own load or for sales to affiliated end-users; or </w:t>
      </w:r>
      <w:r w:rsidRPr="002C0D1E">
        <w:rPr>
          <w:rFonts w:ascii="Times New Roman" w:eastAsia="Calibri" w:hAnsi="Times New Roman" w:cs="Times New Roman"/>
          <w:bCs/>
          <w:sz w:val="26"/>
          <w:szCs w:val="26"/>
        </w:rPr>
        <w:t>(3)</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investors in independent transmission-only companies.  Filings may be made in §§§hardcopy or electronically through the Commission’s website.</w:t>
      </w:r>
    </w:p>
    <w:p w14:paraId="40F80FEF"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Type of Respondent:</w:t>
      </w:r>
      <w:r w:rsidRPr="002C0D1E">
        <w:rPr>
          <w:rFonts w:ascii="Times New Roman" w:eastAsia="Calibri" w:hAnsi="Times New Roman" w:cs="Times New Roman"/>
          <w:sz w:val="26"/>
          <w:szCs w:val="26"/>
        </w:rPr>
        <w:t xml:space="preserve"> Public utility companies, natural gas companies, electric wholesale generators, foreign utility holding companies.</w:t>
      </w:r>
    </w:p>
    <w:p w14:paraId="40F80FF0"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Estimate of Annual Burden</w:t>
      </w:r>
      <w:r w:rsidRPr="002C0D1E">
        <w:rPr>
          <w:rFonts w:ascii="Times New Roman" w:eastAsia="Calibri" w:hAnsi="Times New Roman" w:cs="Times New Roman"/>
          <w:b/>
          <w:i/>
          <w:sz w:val="26"/>
          <w:szCs w:val="26"/>
          <w:vertAlign w:val="superscript"/>
        </w:rPr>
        <w:footnoteReference w:id="2"/>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0FF4" w14:textId="77777777" w:rsidTr="00313FC9">
        <w:trPr>
          <w:cantSplit/>
        </w:trPr>
        <w:tc>
          <w:tcPr>
            <w:tcW w:w="5000" w:type="pct"/>
            <w:gridSpan w:val="7"/>
            <w:tcBorders>
              <w:bottom w:val="single" w:sz="4" w:space="0" w:color="auto"/>
            </w:tcBorders>
            <w:shd w:val="clear" w:color="auto" w:fill="D9D9D9"/>
          </w:tcPr>
          <w:p w14:paraId="40F80FF1"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 (Notification of Holding Company Status),</w:t>
            </w:r>
          </w:p>
          <w:p w14:paraId="40F80FF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FERC-65A (Exemption Notification of Holding Company Status), and </w:t>
            </w:r>
          </w:p>
          <w:p w14:paraId="40F80FF3"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FERC-65B (Waiver Notification of Holding Company Status)</w:t>
            </w:r>
          </w:p>
        </w:tc>
      </w:tr>
      <w:tr w:rsidR="00A13DD4" w:rsidRPr="002C0D1E" w14:paraId="40F81001" w14:textId="77777777" w:rsidTr="00313FC9">
        <w:trPr>
          <w:cantSplit/>
        </w:trPr>
        <w:tc>
          <w:tcPr>
            <w:tcW w:w="878" w:type="pct"/>
            <w:shd w:val="clear" w:color="auto" w:fill="D9D9D9"/>
          </w:tcPr>
          <w:p w14:paraId="40F80FF5"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0FF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0FF7"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0FF8"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0FF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0FFA"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bookmarkStart w:id="2" w:name="_Ref408578354"/>
            <w:r w:rsidRPr="002C0D1E">
              <w:rPr>
                <w:rFonts w:ascii="Times New Roman" w:eastAsia="Calibri" w:hAnsi="Times New Roman" w:cs="Times New Roman"/>
                <w:b/>
                <w:sz w:val="26"/>
                <w:szCs w:val="26"/>
                <w:vertAlign w:val="superscript"/>
              </w:rPr>
              <w:footnoteReference w:id="3"/>
            </w:r>
            <w:bookmarkEnd w:id="2"/>
          </w:p>
          <w:p w14:paraId="40F80FF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0FFC"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0FF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0FF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0FFF"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00"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(5)÷(1)</w:t>
            </w:r>
          </w:p>
        </w:tc>
      </w:tr>
      <w:tr w:rsidR="00A13DD4" w:rsidRPr="002C0D1E" w14:paraId="40F8100D" w14:textId="77777777" w:rsidTr="00313FC9">
        <w:trPr>
          <w:cantSplit/>
        </w:trPr>
        <w:tc>
          <w:tcPr>
            <w:tcW w:w="878" w:type="pct"/>
          </w:tcPr>
          <w:p w14:paraId="40F81002"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w:t>
            </w:r>
          </w:p>
        </w:tc>
        <w:tc>
          <w:tcPr>
            <w:tcW w:w="746" w:type="pct"/>
          </w:tcPr>
          <w:p w14:paraId="40F8100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p w14:paraId="40F81004"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46" w:type="pct"/>
          </w:tcPr>
          <w:p w14:paraId="40F8100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tcPr>
          <w:p w14:paraId="40F8100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tc>
        <w:tc>
          <w:tcPr>
            <w:tcW w:w="654" w:type="pct"/>
          </w:tcPr>
          <w:p w14:paraId="40F8100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w:t>
            </w:r>
          </w:p>
          <w:p w14:paraId="40F8100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$229.50</w:t>
            </w:r>
          </w:p>
        </w:tc>
        <w:tc>
          <w:tcPr>
            <w:tcW w:w="657" w:type="pct"/>
          </w:tcPr>
          <w:p w14:paraId="40F8100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 36</w:t>
            </w:r>
          </w:p>
          <w:p w14:paraId="40F8100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$2,754 </w:t>
            </w:r>
          </w:p>
        </w:tc>
        <w:tc>
          <w:tcPr>
            <w:tcW w:w="616" w:type="pct"/>
          </w:tcPr>
          <w:p w14:paraId="40F8100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$229.50 </w:t>
            </w:r>
          </w:p>
          <w:p w14:paraId="40F8100C"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r>
      <w:tr w:rsidR="00A13DD4" w:rsidRPr="002C0D1E" w14:paraId="40F81017" w14:textId="77777777" w:rsidTr="00313FC9">
        <w:trPr>
          <w:cantSplit/>
        </w:trPr>
        <w:tc>
          <w:tcPr>
            <w:tcW w:w="878" w:type="pct"/>
          </w:tcPr>
          <w:p w14:paraId="40F8100E"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FERC-65A</w:t>
            </w:r>
          </w:p>
        </w:tc>
        <w:tc>
          <w:tcPr>
            <w:tcW w:w="746" w:type="pct"/>
          </w:tcPr>
          <w:p w14:paraId="40F8100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1.25</w:t>
            </w:r>
          </w:p>
        </w:tc>
        <w:tc>
          <w:tcPr>
            <w:tcW w:w="703" w:type="pct"/>
          </w:tcPr>
          <w:p w14:paraId="40F8101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tc>
        <w:tc>
          <w:tcPr>
            <w:tcW w:w="654" w:type="pct"/>
          </w:tcPr>
          <w:p w14:paraId="40F8101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p w14:paraId="40F8101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$382.50</w:t>
            </w:r>
          </w:p>
        </w:tc>
        <w:tc>
          <w:tcPr>
            <w:tcW w:w="616" w:type="pct"/>
          </w:tcPr>
          <w:p w14:paraId="40F8101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$95.63</w:t>
            </w:r>
          </w:p>
        </w:tc>
      </w:tr>
      <w:tr w:rsidR="00A13DD4" w:rsidRPr="002C0D1E" w14:paraId="40F81021" w14:textId="77777777" w:rsidTr="00313FC9">
        <w:trPr>
          <w:cantSplit/>
        </w:trPr>
        <w:tc>
          <w:tcPr>
            <w:tcW w:w="878" w:type="pct"/>
          </w:tcPr>
          <w:p w14:paraId="40F8101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FERC-65B</w:t>
            </w:r>
          </w:p>
        </w:tc>
        <w:tc>
          <w:tcPr>
            <w:tcW w:w="746" w:type="pct"/>
          </w:tcPr>
          <w:p w14:paraId="40F8101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1.75</w:t>
            </w:r>
          </w:p>
        </w:tc>
        <w:tc>
          <w:tcPr>
            <w:tcW w:w="703" w:type="pct"/>
          </w:tcPr>
          <w:p w14:paraId="40F8101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tc>
        <w:tc>
          <w:tcPr>
            <w:tcW w:w="654" w:type="pct"/>
          </w:tcPr>
          <w:p w14:paraId="40F8101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p w14:paraId="40F8101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$535.50</w:t>
            </w:r>
          </w:p>
        </w:tc>
        <w:tc>
          <w:tcPr>
            <w:tcW w:w="616" w:type="pct"/>
          </w:tcPr>
          <w:p w14:paraId="40F8102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$133.88</w:t>
            </w:r>
          </w:p>
        </w:tc>
      </w:tr>
      <w:tr w:rsidR="00A13DD4" w:rsidRPr="002C0D1E" w14:paraId="40F81029" w14:textId="77777777" w:rsidTr="00313FC9">
        <w:trPr>
          <w:cantSplit/>
          <w:trHeight w:val="395"/>
        </w:trPr>
        <w:tc>
          <w:tcPr>
            <w:tcW w:w="878" w:type="pct"/>
            <w:tcBorders>
              <w:bottom w:val="single" w:sz="4" w:space="0" w:color="auto"/>
            </w:tcBorders>
          </w:tcPr>
          <w:p w14:paraId="40F81022"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023"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024"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24</w:t>
            </w:r>
          </w:p>
        </w:tc>
        <w:tc>
          <w:tcPr>
            <w:tcW w:w="654" w:type="pct"/>
            <w:tcBorders>
              <w:bottom w:val="single" w:sz="4" w:space="0" w:color="auto"/>
            </w:tcBorders>
            <w:shd w:val="clear" w:color="auto" w:fill="D9D9D9"/>
          </w:tcPr>
          <w:p w14:paraId="40F8102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02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48</w:t>
            </w:r>
          </w:p>
          <w:p w14:paraId="40F81027"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$3,672</w:t>
            </w:r>
          </w:p>
        </w:tc>
        <w:tc>
          <w:tcPr>
            <w:tcW w:w="616" w:type="pct"/>
            <w:tcBorders>
              <w:bottom w:val="single" w:sz="4" w:space="0" w:color="auto"/>
            </w:tcBorders>
            <w:shd w:val="clear" w:color="auto" w:fill="D9D9D9"/>
          </w:tcPr>
          <w:p w14:paraId="40F81028"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02A" w14:textId="77777777" w:rsidR="00A13DD4" w:rsidRPr="002C0D1E" w:rsidRDefault="00A13DD4" w:rsidP="00A13DD4">
      <w:pPr>
        <w:spacing w:after="0" w:line="480" w:lineRule="auto"/>
        <w:rPr>
          <w:rFonts w:ascii="Times New Roman" w:eastAsia="Times New Roman" w:hAnsi="Times New Roman" w:cs="Times New Roman"/>
          <w:i/>
          <w:sz w:val="26"/>
          <w:szCs w:val="26"/>
        </w:rPr>
      </w:pPr>
    </w:p>
    <w:p w14:paraId="40F8102B"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Times New Roman" w:hAnsi="Times New Roman" w:cs="Times New Roman"/>
          <w:sz w:val="26"/>
          <w:szCs w:val="26"/>
        </w:rPr>
        <w:t xml:space="preserve">FERC-725V, Mandatory Reliability Standards: COM Reliability Standards </w:t>
      </w:r>
    </w:p>
    <w:p w14:paraId="40F8102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1902-0277</w:t>
      </w:r>
    </w:p>
    <w:p w14:paraId="40F8102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FERC-725V information collection requirements with no changes to the current reporting requirements. </w:t>
      </w:r>
    </w:p>
    <w:p w14:paraId="40F8102E"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On August 15, 2016, the North American Electric Reliability Corporation (NERC) filed a petition for Commission approval, pursuant to section 215(d)(1) of the Federal Power Act (“FPA”)</w:t>
      </w:r>
      <w:r w:rsidRPr="002C0D1E">
        <w:rPr>
          <w:rFonts w:ascii="Times New Roman" w:eastAsia="Times New Roman" w:hAnsi="Times New Roman" w:cs="Times New Roman"/>
          <w:b/>
          <w:sz w:val="26"/>
          <w:szCs w:val="26"/>
          <w:vertAlign w:val="superscript"/>
        </w:rPr>
        <w:footnoteReference w:id="4"/>
      </w:r>
      <w:r w:rsidRPr="002C0D1E">
        <w:rPr>
          <w:rFonts w:ascii="Times New Roman" w:eastAsia="Times New Roman" w:hAnsi="Times New Roman" w:cs="Times New Roman"/>
          <w:sz w:val="26"/>
          <w:szCs w:val="26"/>
        </w:rPr>
        <w:t xml:space="preserve"> and Section 39.5</w:t>
      </w:r>
      <w:r w:rsidRPr="002C0D1E">
        <w:rPr>
          <w:rFonts w:ascii="Times New Roman" w:eastAsia="Times New Roman" w:hAnsi="Times New Roman" w:cs="Times New Roman"/>
          <w:b/>
          <w:sz w:val="26"/>
          <w:szCs w:val="26"/>
          <w:vertAlign w:val="superscript"/>
        </w:rPr>
        <w:footnoteReference w:id="5"/>
      </w:r>
      <w:r w:rsidRPr="002C0D1E">
        <w:rPr>
          <w:rFonts w:ascii="Times New Roman" w:eastAsia="Times New Roman" w:hAnsi="Times New Roman" w:cs="Times New Roman"/>
          <w:sz w:val="26"/>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the reliability opera.</w:t>
      </w:r>
    </w:p>
    <w:p w14:paraId="40F8102F"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color w:val="000000"/>
          <w:sz w:val="26"/>
          <w:szCs w:val="26"/>
        </w:rPr>
        <w:t>Reliability Standards COM-001-2 and COM-002-4 do not require responsible entities to file information with the Commission.  COM-001-2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p>
    <w:p w14:paraId="40F81030"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Type of Respondents: </w:t>
      </w:r>
      <w:r w:rsidRPr="002C0D1E">
        <w:rPr>
          <w:rFonts w:ascii="Times New Roman" w:eastAsia="Times New Roman" w:hAnsi="Times New Roman" w:cs="Times New Roman"/>
          <w:sz w:val="26"/>
          <w:szCs w:val="26"/>
        </w:rPr>
        <w:t>Public utilities.</w:t>
      </w:r>
    </w:p>
    <w:p w14:paraId="40F81031"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Estimate of Annual Burden</w:t>
      </w:r>
      <w:r w:rsidRPr="002C0D1E">
        <w:rPr>
          <w:rFonts w:ascii="Times New Roman" w:eastAsia="Times New Roman" w:hAnsi="Times New Roman" w:cs="Times New Roman"/>
          <w:b/>
          <w:i/>
          <w:sz w:val="26"/>
          <w:szCs w:val="26"/>
          <w:vertAlign w:val="superscript"/>
        </w:rPr>
        <w:footnoteReference w:id="6"/>
      </w:r>
      <w:r w:rsidRPr="002C0D1E">
        <w:rPr>
          <w:rFonts w:ascii="Times New Roman" w:eastAsia="Times New Roman" w:hAnsi="Times New Roman" w:cs="Times New Roman"/>
          <w:i/>
          <w:sz w:val="26"/>
          <w:szCs w:val="26"/>
        </w:rPr>
        <w:t xml:space="preserve">: </w:t>
      </w:r>
      <w:r w:rsidRPr="002C0D1E">
        <w:rPr>
          <w:rFonts w:ascii="Times New Roman" w:eastAsia="Times New Roman" w:hAnsi="Times New Roman" w:cs="Times New Roman"/>
          <w:sz w:val="26"/>
          <w:szCs w:val="26"/>
        </w:rPr>
        <w:t xml:space="preserve">The Commission estimates the annual public reporting burden for the information collection as: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1033" w14:textId="77777777" w:rsidTr="00313FC9">
        <w:trPr>
          <w:cantSplit/>
        </w:trPr>
        <w:tc>
          <w:tcPr>
            <w:tcW w:w="5000" w:type="pct"/>
            <w:gridSpan w:val="7"/>
            <w:tcBorders>
              <w:bottom w:val="single" w:sz="4" w:space="0" w:color="auto"/>
            </w:tcBorders>
            <w:shd w:val="clear" w:color="auto" w:fill="D9D9D9"/>
          </w:tcPr>
          <w:p w14:paraId="40F8103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FERC-725V, </w:t>
            </w:r>
            <w:r w:rsidRPr="002C0D1E">
              <w:rPr>
                <w:rFonts w:ascii="Times New Roman" w:eastAsia="Times New Roman" w:hAnsi="Times New Roman" w:cs="Times New Roman"/>
                <w:b/>
                <w:sz w:val="26"/>
                <w:szCs w:val="26"/>
              </w:rPr>
              <w:t>Mandatory Reliability Standards: COM Reliability Standards</w:t>
            </w:r>
          </w:p>
        </w:tc>
      </w:tr>
      <w:tr w:rsidR="00A13DD4" w:rsidRPr="002C0D1E" w14:paraId="40F81040" w14:textId="77777777" w:rsidTr="00313FC9">
        <w:trPr>
          <w:cantSplit/>
        </w:trPr>
        <w:tc>
          <w:tcPr>
            <w:tcW w:w="878" w:type="pct"/>
            <w:shd w:val="clear" w:color="auto" w:fill="D9D9D9"/>
          </w:tcPr>
          <w:p w14:paraId="40F81034"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1035"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103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1037"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1038"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103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r w:rsidRPr="002C0D1E">
              <w:rPr>
                <w:rFonts w:ascii="Times New Roman" w:eastAsia="Calibri" w:hAnsi="Times New Roman" w:cs="Times New Roman"/>
                <w:b/>
                <w:sz w:val="26"/>
                <w:szCs w:val="26"/>
                <w:vertAlign w:val="superscript"/>
              </w:rPr>
              <w:footnoteReference w:id="7"/>
            </w:r>
          </w:p>
          <w:p w14:paraId="40F8103A"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103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103C"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103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103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3F"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(5)÷(1)</w:t>
            </w:r>
          </w:p>
        </w:tc>
      </w:tr>
      <w:tr w:rsidR="00A13DD4" w:rsidRPr="002C0D1E" w14:paraId="40F8106B" w14:textId="77777777" w:rsidTr="00313FC9">
        <w:trPr>
          <w:cantSplit/>
        </w:trPr>
        <w:tc>
          <w:tcPr>
            <w:tcW w:w="878" w:type="pct"/>
          </w:tcPr>
          <w:p w14:paraId="40F81041"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(One-time)</w:t>
            </w:r>
            <w:r w:rsidRPr="002C0D1E">
              <w:rPr>
                <w:rFonts w:ascii="Times New Roman" w:eastAsia="Calibri" w:hAnsi="Times New Roman" w:cs="Times New Roman"/>
                <w:sz w:val="26"/>
                <w:szCs w:val="26"/>
                <w:vertAlign w:val="superscript"/>
              </w:rPr>
              <w:t xml:space="preserve">8 </w:t>
            </w:r>
            <w:r w:rsidRPr="002C0D1E">
              <w:rPr>
                <w:rFonts w:ascii="Times New Roman" w:eastAsia="Calibri" w:hAnsi="Times New Roman" w:cs="Times New Roman"/>
                <w:sz w:val="26"/>
                <w:szCs w:val="26"/>
              </w:rPr>
              <w:t>Development of Communication Protocols [COM-002-4 R1]</w:t>
            </w:r>
          </w:p>
        </w:tc>
        <w:tc>
          <w:tcPr>
            <w:tcW w:w="746" w:type="pct"/>
            <w:vAlign w:val="bottom"/>
          </w:tcPr>
          <w:p w14:paraId="40F8104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4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4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4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5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 $288</w:t>
            </w:r>
          </w:p>
        </w:tc>
        <w:tc>
          <w:tcPr>
            <w:tcW w:w="657" w:type="pct"/>
            <w:vAlign w:val="bottom"/>
          </w:tcPr>
          <w:p w14:paraId="40F8105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 $57,888</w:t>
            </w:r>
          </w:p>
        </w:tc>
        <w:tc>
          <w:tcPr>
            <w:tcW w:w="616" w:type="pct"/>
            <w:vAlign w:val="bottom"/>
          </w:tcPr>
          <w:p w14:paraId="40F8106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0A7" w14:textId="77777777" w:rsidTr="00A13DD4">
        <w:trPr>
          <w:cantSplit/>
          <w:trHeight w:val="2177"/>
        </w:trPr>
        <w:tc>
          <w:tcPr>
            <w:tcW w:w="878" w:type="pct"/>
          </w:tcPr>
          <w:p w14:paraId="40F8106C"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Times New Roman" w:hAnsi="Times New Roman" w:cs="Times New Roman"/>
                <w:sz w:val="26"/>
                <w:szCs w:val="26"/>
              </w:rPr>
              <w:t>(On-going)</w:t>
            </w:r>
            <w:r w:rsidRPr="002C0D1E">
              <w:rPr>
                <w:rFonts w:ascii="Times New Roman" w:eastAsia="Times New Roman" w:hAnsi="Times New Roman" w:cs="Times New Roman"/>
                <w:sz w:val="26"/>
                <w:szCs w:val="26"/>
                <w:vertAlign w:val="superscript"/>
              </w:rPr>
              <w:t>9</w:t>
            </w:r>
            <w:r w:rsidRPr="002C0D1E">
              <w:rPr>
                <w:rFonts w:ascii="Times New Roman" w:eastAsia="Times New Roman" w:hAnsi="Times New Roman" w:cs="Times New Roman"/>
                <w:sz w:val="26"/>
                <w:szCs w:val="26"/>
              </w:rPr>
              <w:t xml:space="preserve"> Maintain evidence of Interpersonal Communication capability [COM-001-2 R7 and R8]</w:t>
            </w:r>
            <w:r w:rsidRPr="002C0D1E">
              <w:rPr>
                <w:rFonts w:ascii="Times New Roman" w:eastAsia="Calibri" w:hAnsi="Times New Roman" w:cs="Times New Roman"/>
                <w:sz w:val="26"/>
                <w:szCs w:val="26"/>
              </w:rPr>
              <w:t xml:space="preserve"> </w:t>
            </w:r>
          </w:p>
        </w:tc>
        <w:tc>
          <w:tcPr>
            <w:tcW w:w="746" w:type="pct"/>
            <w:vAlign w:val="bottom"/>
          </w:tcPr>
          <w:p w14:paraId="40F8106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1,180 </w:t>
            </w:r>
          </w:p>
          <w:p w14:paraId="40F8107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7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8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8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 hrs. &amp;</w:t>
            </w:r>
          </w:p>
          <w:p w14:paraId="40F8109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$144 </w:t>
            </w:r>
          </w:p>
        </w:tc>
        <w:tc>
          <w:tcPr>
            <w:tcW w:w="657" w:type="pct"/>
            <w:vAlign w:val="bottom"/>
          </w:tcPr>
          <w:p w14:paraId="40F8109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4,720 hrs. &amp;</w:t>
            </w:r>
          </w:p>
          <w:p w14:paraId="40F8109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$169,920 </w:t>
            </w:r>
          </w:p>
        </w:tc>
        <w:tc>
          <w:tcPr>
            <w:tcW w:w="616" w:type="pct"/>
            <w:vAlign w:val="bottom"/>
          </w:tcPr>
          <w:p w14:paraId="40F8109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$144</w:t>
            </w:r>
          </w:p>
        </w:tc>
      </w:tr>
      <w:tr w:rsidR="00A13DD4" w:rsidRPr="002C0D1E" w14:paraId="40F810DF" w14:textId="77777777" w:rsidTr="00313FC9">
        <w:trPr>
          <w:cantSplit/>
        </w:trPr>
        <w:tc>
          <w:tcPr>
            <w:tcW w:w="878" w:type="pct"/>
          </w:tcPr>
          <w:p w14:paraId="40F810A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and assessments [COM-002-4 R2, R4, R5 and R6]</w:t>
            </w:r>
          </w:p>
        </w:tc>
        <w:tc>
          <w:tcPr>
            <w:tcW w:w="746" w:type="pct"/>
            <w:vAlign w:val="bottom"/>
          </w:tcPr>
          <w:p w14:paraId="40F810A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B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B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BA"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B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C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C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C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w:t>
            </w:r>
          </w:p>
          <w:p w14:paraId="40F810D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$57,888</w:t>
            </w:r>
          </w:p>
          <w:p w14:paraId="40F810D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16" w:type="pct"/>
            <w:vAlign w:val="bottom"/>
          </w:tcPr>
          <w:p w14:paraId="40F810D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3" w14:textId="77777777" w:rsidTr="00313FC9">
        <w:trPr>
          <w:cantSplit/>
        </w:trPr>
        <w:tc>
          <w:tcPr>
            <w:tcW w:w="878" w:type="pct"/>
          </w:tcPr>
          <w:p w14:paraId="40F810E0"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[COM-002-4 R3 and R6]</w:t>
            </w:r>
          </w:p>
        </w:tc>
        <w:tc>
          <w:tcPr>
            <w:tcW w:w="746" w:type="pct"/>
            <w:vAlign w:val="bottom"/>
          </w:tcPr>
          <w:p w14:paraId="40F810E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1,880</w:t>
            </w:r>
          </w:p>
          <w:p w14:paraId="40F810E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E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EE"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E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F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F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F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15,040 hrs. &amp; $541,440</w:t>
            </w:r>
          </w:p>
        </w:tc>
        <w:tc>
          <w:tcPr>
            <w:tcW w:w="616" w:type="pct"/>
            <w:vAlign w:val="bottom"/>
          </w:tcPr>
          <w:p w14:paraId="40F8110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B" w14:textId="77777777" w:rsidTr="00313FC9">
        <w:trPr>
          <w:cantSplit/>
          <w:trHeight w:val="485"/>
        </w:trPr>
        <w:tc>
          <w:tcPr>
            <w:tcW w:w="878" w:type="pct"/>
            <w:tcBorders>
              <w:bottom w:val="single" w:sz="4" w:space="0" w:color="auto"/>
            </w:tcBorders>
          </w:tcPr>
          <w:p w14:paraId="40F81104"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10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10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2,762</w:t>
            </w:r>
          </w:p>
        </w:tc>
        <w:tc>
          <w:tcPr>
            <w:tcW w:w="654" w:type="pct"/>
            <w:tcBorders>
              <w:bottom w:val="single" w:sz="4" w:space="0" w:color="auto"/>
            </w:tcBorders>
            <w:shd w:val="clear" w:color="auto" w:fill="D9D9D9"/>
          </w:tcPr>
          <w:p w14:paraId="40F81107"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108"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22,976 hrs. &amp;</w:t>
            </w:r>
          </w:p>
          <w:p w14:paraId="40F81109"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$827,136</w:t>
            </w:r>
          </w:p>
        </w:tc>
        <w:tc>
          <w:tcPr>
            <w:tcW w:w="616" w:type="pct"/>
            <w:tcBorders>
              <w:bottom w:val="single" w:sz="4" w:space="0" w:color="auto"/>
            </w:tcBorders>
            <w:shd w:val="clear" w:color="auto" w:fill="D9D9D9"/>
          </w:tcPr>
          <w:p w14:paraId="40F8110A"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10C"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0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Comments:  </w:t>
      </w:r>
      <w:r w:rsidRPr="002C0D1E">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0F8110E"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0F"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10" w14:textId="77777777" w:rsidR="00A13DD4" w:rsidRPr="002C0D1E" w:rsidRDefault="00A13DD4" w:rsidP="00A13DD4">
      <w:pPr>
        <w:spacing w:after="0" w:line="240" w:lineRule="auto"/>
        <w:ind w:firstLine="2174"/>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Kimberly D. Bose,</w:t>
      </w:r>
    </w:p>
    <w:p w14:paraId="40F81111" w14:textId="77777777" w:rsidR="00A13DD4" w:rsidRPr="002C0D1E" w:rsidRDefault="00A13DD4" w:rsidP="00A13DD4">
      <w:pPr>
        <w:spacing w:after="0" w:line="240" w:lineRule="auto"/>
        <w:ind w:firstLine="2174"/>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Secretary.</w:t>
      </w:r>
    </w:p>
    <w:p w14:paraId="40F81112"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1113" w14:textId="77777777" w:rsidR="004167A5" w:rsidRPr="002C0D1E" w:rsidRDefault="004167A5">
      <w:pPr>
        <w:rPr>
          <w:rFonts w:ascii="Times New Roman" w:hAnsi="Times New Roman" w:cs="Times New Roman"/>
          <w:sz w:val="26"/>
          <w:szCs w:val="26"/>
        </w:rPr>
      </w:pPr>
    </w:p>
    <w:sectPr w:rsidR="004167A5" w:rsidRPr="002C0D1E" w:rsidSect="00B378F8">
      <w:headerReference w:type="even" r:id="rId16"/>
      <w:headerReference w:type="default" r:id="rId1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6075B" w14:textId="77777777" w:rsidR="008847D4" w:rsidRDefault="008847D4" w:rsidP="00A13DD4">
      <w:pPr>
        <w:spacing w:after="0" w:line="240" w:lineRule="auto"/>
      </w:pPr>
      <w:r>
        <w:separator/>
      </w:r>
    </w:p>
  </w:endnote>
  <w:endnote w:type="continuationSeparator" w:id="0">
    <w:p w14:paraId="70359932" w14:textId="77777777" w:rsidR="008847D4" w:rsidRDefault="008847D4" w:rsidP="00A1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0DA2" w14:textId="77777777" w:rsidR="008847D4" w:rsidRDefault="008847D4" w:rsidP="00A13DD4">
      <w:pPr>
        <w:spacing w:after="0" w:line="240" w:lineRule="auto"/>
      </w:pPr>
      <w:r>
        <w:separator/>
      </w:r>
    </w:p>
  </w:footnote>
  <w:footnote w:type="continuationSeparator" w:id="0">
    <w:p w14:paraId="68176C40" w14:textId="77777777" w:rsidR="008847D4" w:rsidRDefault="008847D4" w:rsidP="00A13DD4">
      <w:pPr>
        <w:spacing w:after="0" w:line="240" w:lineRule="auto"/>
      </w:pPr>
      <w:r>
        <w:continuationSeparator/>
      </w:r>
    </w:p>
  </w:footnote>
  <w:footnote w:id="1">
    <w:p w14:paraId="40F8111C"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Persons that meet the definition of a holding company as provided by §366.1 as of February 8, 2006 shall notify the Commission of their status as a holding company no later than June 15, 2006. Holding companies formed after February 8, 2006 shall notify the Commission of their status as a holding company, no later than the latter of June 15, 2006 or 30 days after they become holding companies.</w:t>
      </w:r>
    </w:p>
  </w:footnote>
  <w:footnote w:id="2">
    <w:p w14:paraId="40F8111D"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3">
    <w:p w14:paraId="40F8111E"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estimates for cost per response are derived using the following formula: 2017 Average Burden Hours per Response * $76.50 per Hour = Average Cost per Response.  The hourly cost figure of $76.50 is the average FERC employee wage plus benefits.  We assume for FERC-65, FERC-65A and FERC-65B that respondents earn at a similar rate.  </w:t>
      </w:r>
    </w:p>
  </w:footnote>
  <w:footnote w:id="4">
    <w:p w14:paraId="40F8111F"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16 U.S.C. § 824o (2012).</w:t>
      </w:r>
    </w:p>
  </w:footnote>
  <w:footnote w:id="5">
    <w:p w14:paraId="40F81120"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18 C.F.R. § 39.5 (2015).</w:t>
      </w:r>
    </w:p>
  </w:footnote>
  <w:footnote w:id="6">
    <w:p w14:paraId="40F81121"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14:paraId="40F81122"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loaded hourly wage figure (includes benefits) is based on the occupational categories for 2016 found on the Bureau of Labor Statistics website (</w:t>
      </w:r>
      <w:hyperlink r:id="rId1" w:history="1">
        <w:r w:rsidRPr="002C0D1E">
          <w:rPr>
            <w:rStyle w:val="Hyperlink"/>
            <w:rFonts w:ascii="Times New Roman" w:hAnsi="Times New Roman" w:cs="Times New Roman"/>
            <w:sz w:val="26"/>
            <w:szCs w:val="26"/>
          </w:rPr>
          <w:t>http://www.bls.gov/oes/current/naics2_22.htm</w:t>
        </w:r>
      </w:hyperlink>
      <w:r w:rsidRPr="002C0D1E">
        <w:rPr>
          <w:rFonts w:ascii="Times New Roman" w:hAnsi="Times New Roman" w:cs="Times New Roman"/>
          <w:sz w:val="26"/>
          <w:szCs w:val="26"/>
        </w:rPr>
        <w:t>):</w:t>
      </w:r>
    </w:p>
    <w:p w14:paraId="40F81123"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Electrical Engineer (Occupation Code: 17-2071): $68.12 (review and documentation)</w:t>
      </w:r>
    </w:p>
    <w:p w14:paraId="40F81124"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Office and Administrative Support (Occupation Code: 43-0000): $40.89</w:t>
      </w:r>
    </w:p>
    <w:p w14:paraId="40F81125" w14:textId="77777777" w:rsidR="00A13DD4" w:rsidRPr="002C0D1E" w:rsidRDefault="00A13DD4" w:rsidP="00A13DD4">
      <w:pPr>
        <w:pStyle w:val="FootnoteText"/>
        <w:rPr>
          <w:rFonts w:ascii="Times New Roman" w:hAnsi="Times New Roman" w:cs="Times New Roman"/>
          <w:sz w:val="26"/>
          <w:szCs w:val="26"/>
        </w:rPr>
      </w:pPr>
      <w:r w:rsidRPr="002C0D1E">
        <w:rPr>
          <w:rFonts w:ascii="Times New Roman" w:hAnsi="Times New Roman" w:cs="Times New Roman"/>
          <w:sz w:val="26"/>
          <w:szCs w:val="26"/>
        </w:rPr>
        <w:t>($68.12 + 40.89 = 109.01 ÷ 3 = $36.34.  This figure is rounded to $36.00 for use in collection FERC-725V for calculating wage figures in this renewal calculation.</w:t>
      </w:r>
    </w:p>
    <w:p w14:paraId="40F81126" w14:textId="77777777" w:rsidR="00A13DD4" w:rsidRPr="002C0D1E" w:rsidRDefault="00A13DD4" w:rsidP="00A13DD4">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8" w14:textId="77777777" w:rsidR="004D79AA" w:rsidRDefault="00FD543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81119" w14:textId="77777777" w:rsidR="004D79AA" w:rsidRDefault="009B0365"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A" w14:textId="77777777" w:rsidR="004D79AA" w:rsidRPr="009E020B" w:rsidRDefault="00FD543F" w:rsidP="00920A1C">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9B0365">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14:paraId="40F8111B" w14:textId="77777777" w:rsidR="004D79AA" w:rsidRPr="009E020B" w:rsidRDefault="00FD543F" w:rsidP="005E318F">
    <w:pPr>
      <w:pStyle w:val="Header"/>
      <w:ind w:right="360"/>
      <w:rPr>
        <w:rFonts w:ascii="Times New Roman" w:hAnsi="Times New Roman" w:cs="Times New Roman"/>
        <w:sz w:val="26"/>
        <w:szCs w:val="26"/>
      </w:rPr>
    </w:pPr>
    <w:r w:rsidRPr="009E020B">
      <w:rPr>
        <w:rFonts w:ascii="Times New Roman" w:hAnsi="Times New Roman" w:cs="Times New Roman"/>
        <w:sz w:val="26"/>
        <w:szCs w:val="26"/>
      </w:rPr>
      <w:t>Docket No. IC18-6-000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D4"/>
    <w:rsid w:val="002C0D1E"/>
    <w:rsid w:val="003453A7"/>
    <w:rsid w:val="004167A5"/>
    <w:rsid w:val="008847D4"/>
    <w:rsid w:val="00957E90"/>
    <w:rsid w:val="009B0365"/>
    <w:rsid w:val="009E020B"/>
    <w:rsid w:val="009E6B07"/>
    <w:rsid w:val="00A13DD4"/>
    <w:rsid w:val="00F822B5"/>
    <w:rsid w:val="00FD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FF3FC-ACD3-4865-A18B-AF667F696DDA}">
  <ds:schemaRefs>
    <ds:schemaRef ds:uri="Microsoft.SharePoint.Taxonomy.ContentTypeSync"/>
  </ds:schemaRefs>
</ds:datastoreItem>
</file>

<file path=customXml/itemProps2.xml><?xml version="1.0" encoding="utf-8"?>
<ds:datastoreItem xmlns:ds="http://schemas.openxmlformats.org/officeDocument/2006/customXml" ds:itemID="{403B1BB7-788D-4306-8F5E-0843145F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A3E85-4273-47CE-94E1-E0D641FF21AB}">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1CC10B1B-BEE5-40EF-9117-CA8C931D6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2018-05-10T18:53:00Z</dcterms:created>
  <dcterms:modified xsi:type="dcterms:W3CDTF">2018-05-10T18:53:00Z</dcterms:modified>
  <cp:category/>
  <dc:identifier/>
  <cp:contentStatus/>
  <cp:version/>
</cp:coreProperties>
</file>