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5006"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4917C65A" w14:textId="7777777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FERC-80, FERC-500, and </w:t>
      </w:r>
      <w:r w:rsidR="009C7F55" w:rsidRPr="00F1537F">
        <w:rPr>
          <w:rFonts w:ascii="Times New Roman" w:hAnsi="Times New Roman"/>
          <w:b/>
          <w:sz w:val="24"/>
          <w:szCs w:val="24"/>
        </w:rPr>
        <w:t>FERC-505</w:t>
      </w:r>
      <w:r>
        <w:rPr>
          <w:rFonts w:ascii="Times New Roman" w:hAnsi="Times New Roman"/>
          <w:b/>
          <w:sz w:val="24"/>
          <w:szCs w:val="24"/>
        </w:rPr>
        <w:t>,</w:t>
      </w:r>
      <w:r w:rsidR="00F0627E" w:rsidRPr="00F1537F">
        <w:rPr>
          <w:rStyle w:val="FootnoteReference"/>
          <w:rFonts w:ascii="Times New Roman" w:hAnsi="Times New Roman"/>
          <w:b/>
          <w:sz w:val="24"/>
          <w:szCs w:val="24"/>
          <w:vertAlign w:val="superscript"/>
        </w:rPr>
        <w:footnoteReference w:id="1"/>
      </w:r>
      <w:r w:rsidR="009C7F55" w:rsidRPr="00F1537F">
        <w:rPr>
          <w:rFonts w:ascii="Times New Roman" w:hAnsi="Times New Roman"/>
          <w:b/>
          <w:sz w:val="24"/>
          <w:szCs w:val="24"/>
        </w:rPr>
        <w:t xml:space="preserve"> </w:t>
      </w:r>
    </w:p>
    <w:p w14:paraId="3021522C" w14:textId="77777777" w:rsidR="009C7F55" w:rsidRPr="00F1537F" w:rsidRDefault="00D13613" w:rsidP="007445A8">
      <w:pPr>
        <w:spacing w:after="0" w:line="240" w:lineRule="auto"/>
        <w:jc w:val="center"/>
        <w:rPr>
          <w:rFonts w:ascii="Times New Roman" w:hAnsi="Times New Roman"/>
          <w:sz w:val="24"/>
          <w:szCs w:val="24"/>
        </w:rPr>
      </w:pPr>
      <w:r>
        <w:rPr>
          <w:rFonts w:ascii="Times New Roman" w:hAnsi="Times New Roman"/>
          <w:b/>
          <w:sz w:val="24"/>
          <w:szCs w:val="24"/>
        </w:rPr>
        <w:t>Modifications Proposed in NOPR in Docket No. RM18-14</w:t>
      </w:r>
    </w:p>
    <w:p w14:paraId="095A35E8" w14:textId="77777777" w:rsidR="001263E8" w:rsidRPr="00F1537F" w:rsidRDefault="001263E8" w:rsidP="00D13613">
      <w:pPr>
        <w:spacing w:after="0" w:line="240" w:lineRule="auto"/>
        <w:rPr>
          <w:rFonts w:ascii="Times New Roman" w:hAnsi="Times New Roman"/>
          <w:b/>
          <w:sz w:val="24"/>
          <w:szCs w:val="24"/>
        </w:rPr>
      </w:pPr>
    </w:p>
    <w:p w14:paraId="64D2C98A" w14:textId="0D9A7CBB" w:rsidR="00EB790F" w:rsidRDefault="009C7F55" w:rsidP="007445A8">
      <w:pPr>
        <w:spacing w:line="240" w:lineRule="auto"/>
        <w:rPr>
          <w:rFonts w:ascii="Times New Roman" w:hAnsi="Times New Roman"/>
          <w:sz w:val="24"/>
          <w:szCs w:val="24"/>
        </w:rPr>
      </w:pPr>
      <w:r w:rsidRPr="00F1537F">
        <w:rPr>
          <w:rFonts w:ascii="Times New Roman" w:hAnsi="Times New Roman"/>
          <w:sz w:val="24"/>
          <w:szCs w:val="24"/>
        </w:rPr>
        <w:t>The Federal Energy Regulatory Commission (</w:t>
      </w:r>
      <w:r w:rsidR="00D13613" w:rsidRPr="00F1537F">
        <w:rPr>
          <w:rFonts w:ascii="Times New Roman" w:hAnsi="Times New Roman"/>
          <w:sz w:val="24"/>
          <w:szCs w:val="24"/>
        </w:rPr>
        <w:t xml:space="preserve">Commission </w:t>
      </w:r>
      <w:r w:rsidR="00D13613">
        <w:rPr>
          <w:rFonts w:ascii="Times New Roman" w:hAnsi="Times New Roman"/>
          <w:sz w:val="24"/>
          <w:szCs w:val="24"/>
        </w:rPr>
        <w:t xml:space="preserve">or </w:t>
      </w:r>
      <w:r w:rsidRPr="00F1537F">
        <w:rPr>
          <w:rFonts w:ascii="Times New Roman" w:hAnsi="Times New Roman"/>
          <w:sz w:val="24"/>
          <w:szCs w:val="24"/>
        </w:rPr>
        <w:t>FERC) requests the Office of Management and Budget (OMB) approv</w:t>
      </w:r>
      <w:r w:rsidR="00EB790F">
        <w:rPr>
          <w:rFonts w:ascii="Times New Roman" w:hAnsi="Times New Roman"/>
          <w:sz w:val="24"/>
          <w:szCs w:val="24"/>
        </w:rPr>
        <w:t>e</w:t>
      </w:r>
      <w:r w:rsidRPr="00F1537F">
        <w:rPr>
          <w:rFonts w:ascii="Times New Roman" w:hAnsi="Times New Roman"/>
          <w:sz w:val="24"/>
          <w:szCs w:val="24"/>
        </w:rPr>
        <w:t xml:space="preserve"> </w:t>
      </w:r>
      <w:r w:rsidR="00EB790F">
        <w:rPr>
          <w:rFonts w:ascii="Times New Roman" w:hAnsi="Times New Roman"/>
          <w:sz w:val="24"/>
          <w:szCs w:val="24"/>
        </w:rPr>
        <w:t>the modifications proposed in the Notice of Proposed Rulemaking (NOPR) in Docket No. RM18-14.</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The NOPR proposes changes</w:t>
      </w:r>
      <w:r w:rsidR="006241F8">
        <w:rPr>
          <w:rFonts w:ascii="Times New Roman" w:hAnsi="Times New Roman"/>
          <w:sz w:val="24"/>
          <w:szCs w:val="24"/>
        </w:rPr>
        <w:t>, as follows</w:t>
      </w:r>
      <w:r w:rsidR="00EB790F">
        <w:rPr>
          <w:rFonts w:ascii="Times New Roman" w:hAnsi="Times New Roman"/>
          <w:sz w:val="24"/>
          <w:szCs w:val="24"/>
        </w:rPr>
        <w:t>:</w:t>
      </w:r>
      <w:r w:rsidR="00AB7D6C">
        <w:rPr>
          <w:rFonts w:ascii="Times New Roman" w:hAnsi="Times New Roman"/>
          <w:sz w:val="24"/>
          <w:szCs w:val="24"/>
        </w:rPr>
        <w:t xml:space="preserve"> </w:t>
      </w:r>
    </w:p>
    <w:p w14:paraId="058A9F2F" w14:textId="77777777" w:rsidR="00F2523E" w:rsidRDefault="00F2523E" w:rsidP="002953E1">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proposed for deletion</w:t>
      </w:r>
      <w:r w:rsidRPr="002953E1">
        <w:rPr>
          <w:rFonts w:ascii="Times New Roman" w:hAnsi="Times New Roman"/>
          <w:sz w:val="24"/>
          <w:szCs w:val="24"/>
        </w:rPr>
        <w:t xml:space="preserve"> </w:t>
      </w:r>
    </w:p>
    <w:p w14:paraId="32097EB4" w14:textId="189251BD" w:rsid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 Form 80</w:t>
      </w:r>
      <w:r w:rsidR="00EA483D" w:rsidRPr="001968EA">
        <w:rPr>
          <w:rStyle w:val="FootnoteReference"/>
          <w:rFonts w:ascii="Times New Roman" w:hAnsi="Times New Roman"/>
          <w:sz w:val="24"/>
          <w:szCs w:val="24"/>
          <w:vertAlign w:val="superscript"/>
        </w:rPr>
        <w:footnoteReference w:id="3"/>
      </w:r>
      <w:r w:rsidRPr="002953E1">
        <w:rPr>
          <w:rFonts w:ascii="Times New Roman" w:hAnsi="Times New Roman"/>
          <w:sz w:val="24"/>
          <w:szCs w:val="24"/>
        </w:rPr>
        <w:t>, Licensed Hydropower Development Recreation Report</w:t>
      </w:r>
    </w:p>
    <w:p w14:paraId="314E94CF" w14:textId="77777777" w:rsidR="00F2523E" w:rsidRDefault="00F2523E" w:rsidP="00ED6497">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proposed for modification</w:t>
      </w:r>
    </w:p>
    <w:p w14:paraId="2EAFA5BD" w14:textId="77777777" w:rsidR="002953E1" w:rsidRP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FERC-500, Application for License/Relicense for Water Projects with More than 5 Megawatt Capacity</w:t>
      </w:r>
    </w:p>
    <w:p w14:paraId="237603A7" w14:textId="77777777" w:rsidR="002953E1" w:rsidRDefault="009C7F55"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FERC-505, Small Hydropower Projects and Conduit Facilities including License/Relicense, Exemption, and Qualifying Conduit Facility Determination</w:t>
      </w:r>
      <w:r w:rsidR="00F2523E">
        <w:rPr>
          <w:rFonts w:ascii="Times New Roman" w:hAnsi="Times New Roman"/>
          <w:sz w:val="24"/>
          <w:szCs w:val="24"/>
        </w:rPr>
        <w:t>.</w:t>
      </w:r>
    </w:p>
    <w:p w14:paraId="0176D5CB" w14:textId="77777777" w:rsidR="002953E1" w:rsidRDefault="002953E1" w:rsidP="002953E1">
      <w:pPr>
        <w:pStyle w:val="ListParagraph"/>
        <w:spacing w:line="240" w:lineRule="auto"/>
        <w:ind w:left="0"/>
        <w:rPr>
          <w:rFonts w:ascii="Times New Roman" w:hAnsi="Times New Roman"/>
          <w:sz w:val="24"/>
          <w:szCs w:val="24"/>
        </w:rPr>
      </w:pPr>
    </w:p>
    <w:p w14:paraId="46F48218" w14:textId="77777777" w:rsidR="002953E1" w:rsidRDefault="002953E1" w:rsidP="002953E1">
      <w:pPr>
        <w:pStyle w:val="ListParagraph"/>
        <w:spacing w:line="240" w:lineRule="auto"/>
        <w:ind w:left="0"/>
        <w:rPr>
          <w:rFonts w:ascii="Times New Roman" w:hAnsi="Times New Roman"/>
          <w:sz w:val="24"/>
          <w:szCs w:val="24"/>
        </w:rPr>
      </w:pPr>
      <w:r>
        <w:rPr>
          <w:rFonts w:ascii="Times New Roman" w:hAnsi="Times New Roman"/>
          <w:sz w:val="24"/>
          <w:szCs w:val="24"/>
        </w:rPr>
        <w:t>This consolidated supporting statement addresses th</w:t>
      </w:r>
      <w:r w:rsidR="00F2523E">
        <w:rPr>
          <w:rFonts w:ascii="Times New Roman" w:hAnsi="Times New Roman"/>
          <w:sz w:val="24"/>
          <w:szCs w:val="24"/>
        </w:rPr>
        <w:t>os</w:t>
      </w:r>
      <w:r>
        <w:rPr>
          <w:rFonts w:ascii="Times New Roman" w:hAnsi="Times New Roman"/>
          <w:sz w:val="24"/>
          <w:szCs w:val="24"/>
        </w:rPr>
        <w:t xml:space="preserve">e </w:t>
      </w:r>
      <w:r w:rsidR="00D13613">
        <w:rPr>
          <w:rFonts w:ascii="Times New Roman" w:hAnsi="Times New Roman"/>
          <w:sz w:val="24"/>
          <w:szCs w:val="24"/>
        </w:rPr>
        <w:t xml:space="preserve">proposed </w:t>
      </w:r>
      <w:r w:rsidR="00F2523E">
        <w:rPr>
          <w:rFonts w:ascii="Times New Roman" w:hAnsi="Times New Roman"/>
          <w:sz w:val="24"/>
          <w:szCs w:val="24"/>
        </w:rPr>
        <w:t>changes</w:t>
      </w:r>
      <w:r>
        <w:rPr>
          <w:rFonts w:ascii="Times New Roman" w:hAnsi="Times New Roman"/>
          <w:sz w:val="24"/>
          <w:szCs w:val="24"/>
        </w:rPr>
        <w:t>.</w:t>
      </w:r>
    </w:p>
    <w:p w14:paraId="2D2FB926" w14:textId="77777777" w:rsidR="002953E1" w:rsidRPr="002953E1" w:rsidRDefault="002953E1" w:rsidP="002953E1">
      <w:pPr>
        <w:pStyle w:val="ListParagraph"/>
        <w:spacing w:line="240" w:lineRule="auto"/>
        <w:ind w:left="0"/>
        <w:rPr>
          <w:rFonts w:ascii="Times New Roman" w:hAnsi="Times New Roman"/>
          <w:sz w:val="24"/>
          <w:szCs w:val="24"/>
        </w:rPr>
      </w:pPr>
    </w:p>
    <w:p w14:paraId="1ADEB15C"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C46E5FE" w14:textId="77777777" w:rsidR="002953E1" w:rsidRDefault="002953E1" w:rsidP="007445A8">
      <w:pPr>
        <w:spacing w:after="0" w:line="240" w:lineRule="auto"/>
        <w:rPr>
          <w:rFonts w:ascii="Times New Roman" w:hAnsi="Times New Roman"/>
          <w:sz w:val="24"/>
          <w:szCs w:val="24"/>
        </w:rPr>
      </w:pPr>
    </w:p>
    <w:p w14:paraId="76F23DBA"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636FD89" w14:textId="77777777" w:rsidR="007E0D8A" w:rsidRPr="00F1537F" w:rsidRDefault="007E0D8A" w:rsidP="007445A8">
      <w:pPr>
        <w:spacing w:after="0" w:line="240" w:lineRule="auto"/>
        <w:rPr>
          <w:rFonts w:ascii="Times New Roman" w:hAnsi="Times New Roman"/>
          <w:sz w:val="24"/>
          <w:szCs w:val="24"/>
        </w:rPr>
      </w:pPr>
    </w:p>
    <w:p w14:paraId="46A9391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5"/>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w:t>
      </w:r>
      <w:r w:rsidR="003E6B4D" w:rsidRPr="00F1537F">
        <w:rPr>
          <w:rFonts w:ascii="Times New Roman" w:hAnsi="Times New Roman"/>
          <w:color w:val="000000"/>
          <w:sz w:val="24"/>
          <w:szCs w:val="24"/>
        </w:rPr>
        <w:lastRenderedPageBreak/>
        <w:t xml:space="preserve">spawning grounds and habitat), the protection of recreational opportunities, and the preservation of other aspects of environmental quality.” </w:t>
      </w:r>
    </w:p>
    <w:p w14:paraId="64FF729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6DC82F2" w14:textId="7777777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developed by federal and state resource agencies, including the U.S. Fish and Wildlife Service and National Marine Fisheries Service, and federal land management agencies, (such as the U.S. Forest Service), Bureau of Land Management, National Park Service, U.S. Army Corps of Engineers (depending on location of dam), Indian Tribes, State Departments of Natural Resources, and State Historic Preservation Officers.  The applicants must provide facts in order for the Commission to understand and resolve potential environmental problems associated with the application in the interests of the United States public.</w:t>
      </w:r>
    </w:p>
    <w:p w14:paraId="44984133" w14:textId="77777777" w:rsidR="006E5D79" w:rsidRDefault="006E5D79" w:rsidP="007445A8">
      <w:pPr>
        <w:spacing w:after="0" w:line="240" w:lineRule="auto"/>
        <w:rPr>
          <w:rFonts w:ascii="Times New Roman" w:eastAsia="Times New Roman" w:hAnsi="Times New Roman"/>
          <w:sz w:val="24"/>
          <w:szCs w:val="24"/>
        </w:rPr>
      </w:pPr>
    </w:p>
    <w:p w14:paraId="200A1FB7" w14:textId="2516AF44" w:rsidR="006E5D79" w:rsidRDefault="006E5D79" w:rsidP="007445A8">
      <w:pPr>
        <w:spacing w:after="0" w:line="240" w:lineRule="auto"/>
        <w:rPr>
          <w:rFonts w:ascii="Times New Roman" w:hAnsi="Times New Roman"/>
          <w:sz w:val="24"/>
          <w:szCs w:val="24"/>
        </w:rPr>
      </w:pPr>
      <w:r w:rsidRPr="006E5D79">
        <w:rPr>
          <w:rFonts w:ascii="Times New Roman" w:eastAsia="Times New Roman" w:hAnsi="Times New Roman"/>
          <w:sz w:val="24"/>
          <w:szCs w:val="24"/>
        </w:rPr>
        <w:t>Pursuant to the F</w:t>
      </w:r>
      <w:r w:rsidR="00F63B33">
        <w:rPr>
          <w:rFonts w:ascii="Times New Roman" w:eastAsia="Times New Roman" w:hAnsi="Times New Roman"/>
          <w:sz w:val="24"/>
          <w:szCs w:val="24"/>
        </w:rPr>
        <w:t>PA</w:t>
      </w:r>
      <w:r w:rsidRPr="006E5D79">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3F6F6F52" w14:textId="77777777" w:rsidR="006E5D79" w:rsidRDefault="006E5D79" w:rsidP="006E5D79">
      <w:pPr>
        <w:spacing w:after="0" w:line="240" w:lineRule="auto"/>
        <w:rPr>
          <w:rFonts w:ascii="Times New Roman" w:hAnsi="Times New Roman"/>
          <w:b/>
          <w:sz w:val="24"/>
          <w:szCs w:val="24"/>
        </w:rPr>
      </w:pPr>
    </w:p>
    <w:p w14:paraId="310E6D57" w14:textId="0D89ACB2"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7"/>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sidRPr="006E5D79">
        <w:rPr>
          <w:rFonts w:ascii="Times New Roman" w:eastAsia="Times New Roman" w:hAnsi="Times New Roman"/>
          <w:sz w:val="26"/>
          <w:szCs w:val="26"/>
          <w:vertAlign w:val="superscript"/>
        </w:rPr>
        <w:footnoteReference w:id="8"/>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11856033"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4C843D7" w14:textId="6D09DC56"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r w:rsidRPr="006E5D79">
        <w:rPr>
          <w:rFonts w:ascii="Times New Roman" w:eastAsia="Times New Roman" w:hAnsi="Times New Roman"/>
          <w:b/>
          <w:sz w:val="26"/>
          <w:szCs w:val="26"/>
          <w:vertAlign w:val="superscript"/>
        </w:rPr>
        <w:footnoteReference w:id="9"/>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51DF7B9A" w14:textId="77777777" w:rsidR="006E5D79" w:rsidRPr="006E5D79" w:rsidRDefault="006E5D79" w:rsidP="007445A8">
      <w:pPr>
        <w:spacing w:after="0" w:line="240" w:lineRule="auto"/>
        <w:rPr>
          <w:rFonts w:ascii="Times New Roman" w:hAnsi="Times New Roman"/>
          <w:b/>
          <w:sz w:val="24"/>
          <w:szCs w:val="24"/>
        </w:rPr>
      </w:pPr>
    </w:p>
    <w:p w14:paraId="05959D63" w14:textId="77777777" w:rsidR="006E5D79" w:rsidRDefault="006E5D79" w:rsidP="007445A8">
      <w:pPr>
        <w:spacing w:after="0" w:line="240" w:lineRule="auto"/>
        <w:rPr>
          <w:rFonts w:ascii="Times New Roman" w:hAnsi="Times New Roman"/>
          <w:sz w:val="24"/>
          <w:szCs w:val="24"/>
        </w:rPr>
      </w:pPr>
    </w:p>
    <w:p w14:paraId="57C39BA8" w14:textId="2E56D2BE"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6375AD2" w14:textId="77777777" w:rsidR="00471F97" w:rsidRPr="00F1537F" w:rsidRDefault="00471F97" w:rsidP="007445A8">
      <w:pPr>
        <w:spacing w:after="0" w:line="240" w:lineRule="auto"/>
        <w:rPr>
          <w:rFonts w:ascii="Times New Roman" w:hAnsi="Times New Roman"/>
          <w:sz w:val="24"/>
          <w:szCs w:val="24"/>
        </w:rPr>
      </w:pPr>
    </w:p>
    <w:p w14:paraId="14A3D527" w14:textId="434FAA71"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 License</w:t>
      </w:r>
      <w:r w:rsidR="00D966A1">
        <w:rPr>
          <w:rFonts w:ascii="Times New Roman" w:hAnsi="Times New Roman"/>
          <w:i/>
          <w:sz w:val="24"/>
          <w:szCs w:val="24"/>
        </w:rPr>
        <w:t xml:space="preserve">.  </w:t>
      </w: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10"/>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w:t>
      </w:r>
      <w:r w:rsidR="00F16E26">
        <w:rPr>
          <w:rFonts w:ascii="Times New Roman" w:hAnsi="Times New Roman"/>
          <w:sz w:val="24"/>
          <w:szCs w:val="24"/>
        </w:rPr>
        <w:t xml:space="preserve">§ </w:t>
      </w:r>
      <w:r w:rsidRPr="00F1537F">
        <w:rPr>
          <w:rFonts w:ascii="Times New Roman" w:hAnsi="Times New Roman"/>
          <w:sz w:val="24"/>
          <w:szCs w:val="24"/>
        </w:rPr>
        <w:t xml:space="preserve">4.61.    </w:t>
      </w:r>
    </w:p>
    <w:p w14:paraId="6C34E8BF" w14:textId="77777777" w:rsidR="00471F97" w:rsidRPr="00F1537F" w:rsidRDefault="00471F97" w:rsidP="007445A8">
      <w:pPr>
        <w:spacing w:after="0" w:line="240" w:lineRule="auto"/>
        <w:rPr>
          <w:rFonts w:ascii="Times New Roman" w:hAnsi="Times New Roman"/>
          <w:sz w:val="24"/>
          <w:szCs w:val="24"/>
        </w:rPr>
      </w:pPr>
    </w:p>
    <w:p w14:paraId="44D1CE57" w14:textId="6DC210CB"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3FE5A943" w14:textId="77777777" w:rsidR="00471F97" w:rsidRPr="00F1537F" w:rsidRDefault="00471F97" w:rsidP="007445A8">
      <w:pPr>
        <w:spacing w:after="0" w:line="240" w:lineRule="auto"/>
        <w:rPr>
          <w:rFonts w:ascii="Times New Roman" w:hAnsi="Times New Roman"/>
          <w:sz w:val="24"/>
          <w:szCs w:val="24"/>
        </w:rPr>
      </w:pPr>
    </w:p>
    <w:p w14:paraId="689B3805"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25C0F900" w14:textId="77777777" w:rsidR="00471F97" w:rsidRPr="00F1537F" w:rsidRDefault="00471F97" w:rsidP="007445A8">
      <w:pPr>
        <w:spacing w:after="0" w:line="240" w:lineRule="auto"/>
        <w:rPr>
          <w:rFonts w:ascii="Times New Roman" w:hAnsi="Times New Roman"/>
          <w:sz w:val="24"/>
          <w:szCs w:val="24"/>
        </w:rPr>
      </w:pPr>
    </w:p>
    <w:p w14:paraId="771D3F0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11"/>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3807DB11" w14:textId="77777777" w:rsidR="00471F97" w:rsidRPr="00F1537F" w:rsidRDefault="00471F97" w:rsidP="007445A8">
      <w:pPr>
        <w:spacing w:after="0" w:line="240" w:lineRule="auto"/>
        <w:rPr>
          <w:rFonts w:ascii="Times New Roman" w:hAnsi="Times New Roman"/>
          <w:sz w:val="24"/>
          <w:szCs w:val="24"/>
        </w:rPr>
      </w:pPr>
    </w:p>
    <w:p w14:paraId="206BE7D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12"/>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66A982E2" w14:textId="77777777" w:rsidR="00471F97" w:rsidRPr="00F1537F" w:rsidRDefault="00471F97" w:rsidP="007445A8">
      <w:pPr>
        <w:spacing w:after="0" w:line="240" w:lineRule="auto"/>
        <w:rPr>
          <w:rFonts w:ascii="Times New Roman" w:hAnsi="Times New Roman"/>
          <w:sz w:val="24"/>
          <w:szCs w:val="24"/>
        </w:rPr>
      </w:pPr>
    </w:p>
    <w:p w14:paraId="100F1443"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The Hydropower Efficiency Act created a subset of small conduit exemptions, called “qualifying conduit hydropower facilities,” which are not required to be licensed under Part I of the FPA.  A qualifying conduit hydropower facility is a facility that meets the following qualifying criteria:</w:t>
      </w:r>
    </w:p>
    <w:p w14:paraId="2D8900FE" w14:textId="77777777" w:rsidR="004C3C5F" w:rsidRPr="00F1537F" w:rsidRDefault="004C3C5F" w:rsidP="007445A8">
      <w:pPr>
        <w:spacing w:after="0" w:line="240" w:lineRule="auto"/>
        <w:rPr>
          <w:rFonts w:ascii="Times New Roman" w:hAnsi="Times New Roman"/>
          <w:sz w:val="24"/>
          <w:szCs w:val="24"/>
        </w:rPr>
      </w:pPr>
    </w:p>
    <w:p w14:paraId="7BF7E20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6FA6BA2C"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6A411A99" w14:textId="192FA540"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5EA66015" w14:textId="77777777" w:rsidR="007445A8" w:rsidRPr="00F1537F" w:rsidRDefault="007445A8" w:rsidP="007445A8">
      <w:pPr>
        <w:spacing w:after="0" w:line="240" w:lineRule="auto"/>
        <w:ind w:left="720" w:hanging="360"/>
        <w:rPr>
          <w:rFonts w:ascii="Times New Roman" w:hAnsi="Times New Roman"/>
          <w:sz w:val="24"/>
          <w:szCs w:val="24"/>
        </w:rPr>
      </w:pPr>
    </w:p>
    <w:p w14:paraId="2FC0F32D"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83DCE41" w14:textId="77777777" w:rsidR="00D966A1" w:rsidRDefault="00D966A1" w:rsidP="007445A8">
      <w:pPr>
        <w:spacing w:after="0" w:line="240" w:lineRule="auto"/>
        <w:rPr>
          <w:rFonts w:ascii="Times New Roman" w:hAnsi="Times New Roman"/>
          <w:sz w:val="24"/>
          <w:szCs w:val="24"/>
        </w:rPr>
      </w:pPr>
    </w:p>
    <w:p w14:paraId="161E6357" w14:textId="561F4FBF" w:rsidR="00D966A1" w:rsidRPr="00D966A1" w:rsidRDefault="00D966A1" w:rsidP="00D966A1">
      <w:pPr>
        <w:spacing w:after="0" w:line="240" w:lineRule="auto"/>
        <w:rPr>
          <w:rFonts w:ascii="Times New Roman" w:eastAsia="Times New Roman" w:hAnsi="Times New Roman"/>
          <w:sz w:val="24"/>
          <w:szCs w:val="24"/>
        </w:rPr>
      </w:pPr>
      <w:r>
        <w:rPr>
          <w:rFonts w:ascii="Times New Roman" w:hAnsi="Times New Roman"/>
          <w:b/>
          <w:sz w:val="24"/>
          <w:szCs w:val="24"/>
        </w:rPr>
        <w:t xml:space="preserve">Form 80.  </w:t>
      </w:r>
      <w:r w:rsidRPr="00D966A1">
        <w:rPr>
          <w:rFonts w:ascii="Times New Roman" w:eastAsia="Times New Roman" w:hAnsi="Times New Roman"/>
          <w:sz w:val="24"/>
          <w:szCs w:val="24"/>
        </w:rPr>
        <w:t>The Commission uses the information collected on FERC Form 80 to implement statutory provisions of Sections 4(g), 10, 304, 309, and 311 of the FPA.</w:t>
      </w:r>
      <w:r w:rsidRPr="00D966A1">
        <w:rPr>
          <w:rFonts w:ascii="Times New Roman" w:eastAsia="Times New Roman" w:hAnsi="Times New Roman"/>
          <w:sz w:val="24"/>
          <w:szCs w:val="24"/>
          <w:vertAlign w:val="superscript"/>
        </w:rPr>
        <w:footnoteReference w:id="13"/>
      </w:r>
      <w:r w:rsidRPr="00D966A1">
        <w:rPr>
          <w:rFonts w:ascii="Times New Roman" w:eastAsia="Times New Roman" w:hAnsi="Times New Roman"/>
          <w:sz w:val="24"/>
          <w:szCs w:val="24"/>
        </w:rPr>
        <w:t xml:space="preserve">  The Commission has collected Form 80 data since 1966.  Presently, the Commission collects the data every six years as directed by 18 CFR 8.11 and 141.14. </w:t>
      </w:r>
    </w:p>
    <w:p w14:paraId="26D5BE46"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70F149B6" w14:textId="6097A8B9" w:rsidR="00D966A1" w:rsidRDefault="00D966A1" w:rsidP="00D966A1">
      <w:pPr>
        <w:widowControl w:val="0"/>
        <w:autoSpaceDE w:val="0"/>
        <w:autoSpaceDN w:val="0"/>
        <w:adjustRightInd w:val="0"/>
        <w:spacing w:after="0" w:line="240" w:lineRule="auto"/>
        <w:rPr>
          <w:rFonts w:ascii="Times New Roman" w:eastAsia="Times New Roman" w:hAnsi="Times New Roman"/>
          <w:sz w:val="26"/>
          <w:szCs w:val="26"/>
        </w:rPr>
      </w:pPr>
      <w:r w:rsidRPr="00D966A1">
        <w:rPr>
          <w:rFonts w:ascii="Times New Roman" w:eastAsia="Times New Roman" w:hAnsi="Times New Roman"/>
          <w:sz w:val="24"/>
          <w:szCs w:val="24"/>
        </w:rPr>
        <w:t>The authority for the Commission to collect this information comes from Section 10(a) of the FPA</w:t>
      </w:r>
      <w:r w:rsidR="005D1C9E">
        <w:rPr>
          <w:rFonts w:ascii="Times New Roman" w:eastAsia="Times New Roman" w:hAnsi="Times New Roman"/>
          <w:sz w:val="24"/>
          <w:szCs w:val="24"/>
        </w:rPr>
        <w:t>,</w:t>
      </w:r>
      <w:r w:rsidRPr="00D966A1">
        <w:rPr>
          <w:rFonts w:ascii="Times New Roman" w:eastAsia="Times New Roman" w:hAnsi="Times New Roman"/>
          <w:sz w:val="24"/>
          <w:szCs w:val="24"/>
        </w:rPr>
        <w:t xml:space="preserve"> which requires the Commission to be responsible for ensuring that hydro projects subject to its jurisdiction are consistent with the comprehensive development of the nation’s waterway for recreation and other beneficial public uses.  In the interest of fulfilling these objectives, the Commission expects its licensees, over whom it may exercise direct regulatory control, to recognize the resources affected by their activities and to play a role in the protection of such resources.  18 CFR 8.11 and 141.14 specifies </w:t>
      </w:r>
      <w:r w:rsidR="00F176BF">
        <w:rPr>
          <w:rFonts w:ascii="Times New Roman" w:eastAsia="Times New Roman" w:hAnsi="Times New Roman"/>
          <w:sz w:val="24"/>
          <w:szCs w:val="24"/>
        </w:rPr>
        <w:t xml:space="preserve">a licensee’s obligations related to the filing of Form 80. </w:t>
      </w:r>
      <w:r w:rsidRPr="00D966A1">
        <w:rPr>
          <w:rFonts w:ascii="Times New Roman" w:eastAsia="Times New Roman" w:hAnsi="Times New Roman"/>
          <w:sz w:val="24"/>
          <w:szCs w:val="24"/>
        </w:rPr>
        <w:t xml:space="preserve"> </w:t>
      </w:r>
    </w:p>
    <w:p w14:paraId="73A5B37D"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36E3C3AA" w14:textId="5CCEFFE0" w:rsidR="00D966A1" w:rsidRPr="00F1537F" w:rsidRDefault="00953EDD" w:rsidP="007445A8">
      <w:pPr>
        <w:spacing w:after="0" w:line="240" w:lineRule="auto"/>
        <w:rPr>
          <w:rFonts w:ascii="Times New Roman" w:hAnsi="Times New Roman"/>
          <w:sz w:val="24"/>
          <w:szCs w:val="24"/>
        </w:rPr>
      </w:pPr>
      <w:r>
        <w:rPr>
          <w:rFonts w:ascii="Times New Roman" w:hAnsi="Times New Roman"/>
          <w:b/>
          <w:sz w:val="24"/>
          <w:szCs w:val="24"/>
        </w:rPr>
        <w:t xml:space="preserve">NOPR in Docket RM18-14.  </w:t>
      </w:r>
      <w:r>
        <w:rPr>
          <w:rFonts w:ascii="Times New Roman" w:hAnsi="Times New Roman"/>
          <w:sz w:val="24"/>
          <w:szCs w:val="24"/>
        </w:rPr>
        <w:t>T</w:t>
      </w:r>
      <w:r w:rsidR="00D966A1">
        <w:rPr>
          <w:rFonts w:ascii="Times New Roman" w:hAnsi="Times New Roman"/>
          <w:sz w:val="24"/>
          <w:szCs w:val="24"/>
        </w:rPr>
        <w:t xml:space="preserve">he Commission is proposing to eliminate Form 80 and to update </w:t>
      </w:r>
      <w:r w:rsidR="00F176BF">
        <w:rPr>
          <w:rFonts w:ascii="Times New Roman" w:hAnsi="Times New Roman"/>
          <w:sz w:val="24"/>
          <w:szCs w:val="24"/>
        </w:rPr>
        <w:t>section</w:t>
      </w:r>
      <w:r w:rsidR="0048721A">
        <w:rPr>
          <w:rFonts w:ascii="Times New Roman" w:hAnsi="Times New Roman"/>
          <w:sz w:val="24"/>
          <w:szCs w:val="24"/>
        </w:rPr>
        <w:t>s</w:t>
      </w:r>
      <w:r w:rsidR="00F176BF">
        <w:rPr>
          <w:rFonts w:ascii="Times New Roman" w:hAnsi="Times New Roman"/>
          <w:sz w:val="24"/>
          <w:szCs w:val="24"/>
        </w:rPr>
        <w:t xml:space="preserve"> 8.1 and 8.2 of </w:t>
      </w:r>
      <w:r w:rsidRPr="00953EDD">
        <w:rPr>
          <w:rFonts w:ascii="Times New Roman" w:hAnsi="Times New Roman"/>
          <w:sz w:val="24"/>
          <w:szCs w:val="24"/>
        </w:rPr>
        <w:t xml:space="preserve">its regulations </w:t>
      </w:r>
      <w:r w:rsidR="001360DE">
        <w:rPr>
          <w:rFonts w:ascii="Times New Roman" w:hAnsi="Times New Roman"/>
          <w:sz w:val="24"/>
          <w:szCs w:val="24"/>
        </w:rPr>
        <w:t xml:space="preserve">(affecting FERC-500 and FERC-505) </w:t>
      </w:r>
      <w:r w:rsidRPr="00953EDD">
        <w:rPr>
          <w:rFonts w:ascii="Times New Roman" w:hAnsi="Times New Roman"/>
          <w:sz w:val="24"/>
          <w:szCs w:val="24"/>
        </w:rPr>
        <w:t xml:space="preserve">related to recreational use and development at licensed projects in order to modernize public notice practices, clarify recreational signage requirements, and provide flexibility to assist licensees’ compliance efforts.  </w:t>
      </w:r>
    </w:p>
    <w:p w14:paraId="5AD610F8" w14:textId="77777777" w:rsidR="00471F97" w:rsidRPr="00F1537F" w:rsidRDefault="00471F97" w:rsidP="007445A8">
      <w:pPr>
        <w:spacing w:after="0" w:line="240" w:lineRule="auto"/>
        <w:rPr>
          <w:rFonts w:ascii="Times New Roman" w:hAnsi="Times New Roman"/>
          <w:sz w:val="24"/>
          <w:szCs w:val="24"/>
        </w:rPr>
      </w:pPr>
    </w:p>
    <w:p w14:paraId="6155ED7B"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38847D66" w14:textId="77777777" w:rsidR="007445A8" w:rsidRDefault="007445A8" w:rsidP="007445A8">
      <w:pPr>
        <w:spacing w:after="0" w:line="240" w:lineRule="auto"/>
        <w:rPr>
          <w:rFonts w:ascii="Times New Roman" w:hAnsi="Times New Roman"/>
          <w:sz w:val="24"/>
          <w:szCs w:val="24"/>
        </w:rPr>
      </w:pPr>
    </w:p>
    <w:p w14:paraId="4DCB733E" w14:textId="77777777" w:rsidR="00D66646" w:rsidRDefault="00D66646" w:rsidP="007445A8">
      <w:pPr>
        <w:spacing w:after="0" w:line="240" w:lineRule="auto"/>
        <w:rPr>
          <w:rFonts w:ascii="Times New Roman" w:hAnsi="Times New Roman"/>
          <w:sz w:val="24"/>
          <w:szCs w:val="24"/>
        </w:rPr>
      </w:pPr>
      <w:r>
        <w:rPr>
          <w:rFonts w:ascii="Times New Roman" w:hAnsi="Times New Roman"/>
          <w:b/>
          <w:sz w:val="24"/>
          <w:szCs w:val="24"/>
        </w:rPr>
        <w:t>FERC-80.</w:t>
      </w:r>
      <w:r>
        <w:rPr>
          <w:rFonts w:ascii="Times New Roman" w:hAnsi="Times New Roman"/>
          <w:sz w:val="24"/>
          <w:szCs w:val="24"/>
        </w:rPr>
        <w:t xml:space="preserve">  The Commission is proposing to eliminate the form.</w:t>
      </w:r>
      <w:r w:rsidR="00EC2F1A">
        <w:rPr>
          <w:rFonts w:ascii="Times New Roman" w:hAnsi="Times New Roman"/>
          <w:sz w:val="24"/>
          <w:szCs w:val="24"/>
        </w:rPr>
        <w:t xml:space="preserve"> </w:t>
      </w:r>
    </w:p>
    <w:p w14:paraId="1110EC6A" w14:textId="77777777" w:rsidR="00D66646" w:rsidRDefault="00D66646" w:rsidP="007445A8">
      <w:pPr>
        <w:spacing w:after="0" w:line="240" w:lineRule="auto"/>
        <w:rPr>
          <w:rFonts w:ascii="Times New Roman" w:hAnsi="Times New Roman"/>
          <w:sz w:val="24"/>
          <w:szCs w:val="24"/>
        </w:rPr>
      </w:pPr>
    </w:p>
    <w:p w14:paraId="514A5EA5" w14:textId="2476D002" w:rsidR="00D66646" w:rsidRPr="00D66646" w:rsidRDefault="00D66646" w:rsidP="00D66646">
      <w:pPr>
        <w:spacing w:after="0" w:line="240" w:lineRule="auto"/>
        <w:rPr>
          <w:rFonts w:ascii="Times New Roman" w:eastAsia="Times New Roman" w:hAnsi="Times New Roman"/>
          <w:sz w:val="24"/>
          <w:szCs w:val="24"/>
        </w:rPr>
      </w:pPr>
      <w:r>
        <w:rPr>
          <w:rFonts w:ascii="Times New Roman" w:hAnsi="Times New Roman"/>
          <w:b/>
          <w:sz w:val="24"/>
          <w:szCs w:val="24"/>
        </w:rPr>
        <w:t xml:space="preserve">FERC-500 and FERC-505.  </w:t>
      </w:r>
      <w:r w:rsidRPr="00D66646">
        <w:rPr>
          <w:rFonts w:ascii="Times New Roman" w:eastAsia="Times New Roman" w:hAnsi="Times New Roman"/>
          <w:sz w:val="24"/>
          <w:szCs w:val="24"/>
        </w:rPr>
        <w:t xml:space="preserve">Pursuant to the </w:t>
      </w:r>
      <w:r w:rsidR="00F63B33">
        <w:rPr>
          <w:rFonts w:ascii="Times New Roman" w:eastAsia="Times New Roman" w:hAnsi="Times New Roman"/>
          <w:sz w:val="24"/>
          <w:szCs w:val="24"/>
        </w:rPr>
        <w:t>FPA</w:t>
      </w:r>
      <w:r w:rsidRPr="00D66646">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2D1DCC5D" w14:textId="77777777" w:rsidR="00D66646" w:rsidRDefault="00D66646" w:rsidP="007445A8">
      <w:pPr>
        <w:spacing w:after="0" w:line="240" w:lineRule="auto"/>
        <w:rPr>
          <w:rFonts w:ascii="Times New Roman" w:hAnsi="Times New Roman"/>
          <w:b/>
          <w:sz w:val="24"/>
          <w:szCs w:val="24"/>
        </w:rPr>
      </w:pPr>
    </w:p>
    <w:p w14:paraId="6B35DF41" w14:textId="77777777" w:rsidR="00471F97" w:rsidRPr="00F1537F" w:rsidRDefault="00D66646" w:rsidP="007445A8">
      <w:pPr>
        <w:spacing w:after="0" w:line="240" w:lineRule="auto"/>
        <w:rPr>
          <w:rFonts w:ascii="Times New Roman" w:hAnsi="Times New Roman"/>
          <w:sz w:val="24"/>
          <w:szCs w:val="24"/>
        </w:rPr>
      </w:pPr>
      <w:r>
        <w:rPr>
          <w:rFonts w:ascii="Times New Roman" w:hAnsi="Times New Roman"/>
          <w:sz w:val="24"/>
          <w:szCs w:val="24"/>
        </w:rPr>
        <w:t>A</w:t>
      </w:r>
      <w:r w:rsidR="00471F97" w:rsidRPr="00F1537F">
        <w:rPr>
          <w:rFonts w:ascii="Times New Roman" w:hAnsi="Times New Roman"/>
          <w:sz w:val="24"/>
          <w:szCs w:val="24"/>
        </w:rPr>
        <w:t xml:space="preserve">pplications are used by Commission staff to determine the broad impact of the license/relicense or exemption </w:t>
      </w:r>
      <w:r>
        <w:rPr>
          <w:rFonts w:ascii="Times New Roman" w:hAnsi="Times New Roman"/>
          <w:sz w:val="24"/>
          <w:szCs w:val="24"/>
        </w:rPr>
        <w:t xml:space="preserve">or </w:t>
      </w:r>
      <w:r w:rsidR="00471F97" w:rsidRPr="00F1537F">
        <w:rPr>
          <w:rFonts w:ascii="Times New Roman" w:hAnsi="Times New Roman"/>
          <w:sz w:val="24"/>
          <w:szCs w:val="24"/>
        </w:rPr>
        <w:t>conduit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0CC2A7CB" w14:textId="77777777" w:rsidR="00471F97" w:rsidRPr="00F1537F" w:rsidRDefault="00471F97" w:rsidP="007445A8">
      <w:pPr>
        <w:spacing w:after="0" w:line="240" w:lineRule="auto"/>
        <w:rPr>
          <w:rFonts w:ascii="Times New Roman" w:hAnsi="Times New Roman"/>
          <w:sz w:val="24"/>
          <w:szCs w:val="24"/>
        </w:rPr>
      </w:pPr>
    </w:p>
    <w:p w14:paraId="22ABCEDF" w14:textId="7D16A1CF"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The Commission staff may ask for additional information that it needs for its environmental analysis.  All of this information is considered in the Commission staff's environmental review under the National Energy Policy Act.  </w:t>
      </w:r>
    </w:p>
    <w:p w14:paraId="342BF65D" w14:textId="77777777" w:rsidR="00471F97" w:rsidRPr="00F1537F" w:rsidRDefault="00471F97" w:rsidP="007445A8">
      <w:pPr>
        <w:spacing w:after="0" w:line="240" w:lineRule="auto"/>
        <w:rPr>
          <w:rFonts w:ascii="Times New Roman" w:hAnsi="Times New Roman"/>
          <w:sz w:val="24"/>
          <w:szCs w:val="24"/>
        </w:rPr>
      </w:pPr>
    </w:p>
    <w:p w14:paraId="15970DD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5EFB2349" w14:textId="77777777" w:rsidR="00471F97" w:rsidRPr="00F1537F" w:rsidRDefault="00471F97" w:rsidP="007445A8">
      <w:pPr>
        <w:spacing w:after="0" w:line="240" w:lineRule="auto"/>
        <w:rPr>
          <w:rFonts w:ascii="Times New Roman" w:hAnsi="Times New Roman"/>
          <w:sz w:val="24"/>
          <w:szCs w:val="24"/>
        </w:rPr>
      </w:pPr>
    </w:p>
    <w:p w14:paraId="63857F1C" w14:textId="0A715E16"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 xml:space="preserve">The Commission is proposing to clarify and update the requirements </w:t>
      </w:r>
      <w:r w:rsidR="00397094">
        <w:rPr>
          <w:rFonts w:ascii="Times New Roman" w:hAnsi="Times New Roman"/>
          <w:sz w:val="24"/>
          <w:szCs w:val="24"/>
        </w:rPr>
        <w:t xml:space="preserve">in FERC-500 and FERC-505 </w:t>
      </w:r>
      <w:r>
        <w:rPr>
          <w:rFonts w:ascii="Times New Roman" w:hAnsi="Times New Roman"/>
          <w:sz w:val="24"/>
          <w:szCs w:val="24"/>
        </w:rPr>
        <w:t>related to recreation</w:t>
      </w:r>
      <w:r w:rsidR="00F176BF">
        <w:rPr>
          <w:rFonts w:ascii="Times New Roman" w:hAnsi="Times New Roman"/>
          <w:sz w:val="24"/>
          <w:szCs w:val="24"/>
        </w:rPr>
        <w:t xml:space="preserve"> </w:t>
      </w:r>
      <w:r>
        <w:rPr>
          <w:rFonts w:ascii="Times New Roman" w:hAnsi="Times New Roman"/>
          <w:sz w:val="24"/>
          <w:szCs w:val="24"/>
        </w:rPr>
        <w:t>signage and public notice.</w:t>
      </w:r>
    </w:p>
    <w:p w14:paraId="136A3BFA"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6D8BA163" w14:textId="77777777" w:rsidR="00471F97" w:rsidRPr="00F1537F" w:rsidRDefault="00471F97" w:rsidP="00913164">
      <w:pPr>
        <w:spacing w:after="0" w:line="240" w:lineRule="auto"/>
        <w:ind w:left="360" w:hanging="360"/>
        <w:rPr>
          <w:rFonts w:ascii="Times New Roman" w:hAnsi="Times New Roman"/>
          <w:sz w:val="24"/>
          <w:szCs w:val="24"/>
        </w:rPr>
      </w:pPr>
    </w:p>
    <w:p w14:paraId="20BB3C51" w14:textId="2B3FF2D2" w:rsidR="00F0627E" w:rsidRDefault="00BF189C"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BF189C">
        <w:rPr>
          <w:rFonts w:ascii="Times New Roman" w:hAnsi="Times New Roman"/>
          <w:sz w:val="24"/>
          <w:szCs w:val="24"/>
        </w:rPr>
        <w:t>FERC</w:t>
      </w:r>
      <w:r w:rsidR="00F0627E"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This NOPR is updating requirements related to </w:t>
      </w:r>
      <w:r w:rsidR="00F176BF">
        <w:rPr>
          <w:rFonts w:ascii="Times New Roman" w:hAnsi="Times New Roman"/>
          <w:sz w:val="24"/>
          <w:szCs w:val="24"/>
        </w:rPr>
        <w:t xml:space="preserve">recreation </w:t>
      </w:r>
      <w:r w:rsidR="001360DE">
        <w:rPr>
          <w:rFonts w:ascii="Times New Roman" w:hAnsi="Times New Roman"/>
          <w:sz w:val="24"/>
          <w:szCs w:val="24"/>
        </w:rPr>
        <w:t xml:space="preserve">signage and public notice.  </w:t>
      </w:r>
    </w:p>
    <w:p w14:paraId="4A05B1E3" w14:textId="77777777" w:rsidR="00BF189C" w:rsidRDefault="00BF189C" w:rsidP="007445A8">
      <w:pPr>
        <w:spacing w:after="0" w:line="240" w:lineRule="auto"/>
        <w:rPr>
          <w:rFonts w:ascii="Times New Roman" w:hAnsi="Times New Roman"/>
          <w:sz w:val="24"/>
          <w:szCs w:val="24"/>
        </w:rPr>
      </w:pPr>
    </w:p>
    <w:p w14:paraId="57862FB9" w14:textId="31140D95" w:rsidR="00BF189C" w:rsidRPr="00F1537F" w:rsidRDefault="00BF189C" w:rsidP="007445A8">
      <w:pPr>
        <w:spacing w:after="0" w:line="240" w:lineRule="auto"/>
        <w:rPr>
          <w:rFonts w:ascii="Times New Roman" w:hAnsi="Times New Roman"/>
          <w:sz w:val="24"/>
          <w:szCs w:val="24"/>
        </w:rPr>
      </w:pPr>
      <w:r w:rsidRPr="00BF189C">
        <w:rPr>
          <w:rFonts w:ascii="Times New Roman" w:hAnsi="Times New Roman"/>
          <w:sz w:val="24"/>
          <w:szCs w:val="24"/>
        </w:rPr>
        <w:t xml:space="preserve">With regard to modernized public notice practices, the proposed revisions would require licensees that have a project website to (1) publish notice on its website of license conditions related to recreation; and (2) maintain on its website copies of any approved recreation plan, recreation-related reports, and the license instrument.  If a licensee does not have a project website, the website publication requirements would not apply.  </w:t>
      </w:r>
      <w:r w:rsidR="00F176BF">
        <w:rPr>
          <w:rFonts w:ascii="Times New Roman" w:hAnsi="Times New Roman"/>
          <w:sz w:val="24"/>
          <w:szCs w:val="24"/>
        </w:rPr>
        <w:t xml:space="preserve">These modernized public notice requirements would complement existing requirements, including publishing notice in the local newspaper and providing access to materials in a local office.  </w:t>
      </w:r>
    </w:p>
    <w:p w14:paraId="51E1B960" w14:textId="77777777" w:rsidR="00F0627E" w:rsidRPr="00F1537F" w:rsidRDefault="00F0627E" w:rsidP="007445A8">
      <w:pPr>
        <w:tabs>
          <w:tab w:val="left" w:pos="2508"/>
        </w:tabs>
        <w:spacing w:after="0" w:line="240" w:lineRule="auto"/>
        <w:rPr>
          <w:rFonts w:ascii="Times New Roman" w:hAnsi="Times New Roman"/>
          <w:sz w:val="24"/>
          <w:szCs w:val="24"/>
        </w:rPr>
      </w:pPr>
    </w:p>
    <w:p w14:paraId="5B918AAA"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 xml:space="preserve">eFiling for the FERC-500 and FERC-505 </w:t>
      </w:r>
      <w:r w:rsidR="00F0627E" w:rsidRPr="00F1537F">
        <w:rPr>
          <w:rFonts w:ascii="Times New Roman" w:hAnsi="Times New Roman"/>
          <w:sz w:val="24"/>
          <w:szCs w:val="24"/>
        </w:rPr>
        <w:t>application</w:t>
      </w:r>
      <w:r w:rsidR="00D66646">
        <w:rPr>
          <w:rFonts w:ascii="Times New Roman" w:hAnsi="Times New Roman"/>
          <w:sz w:val="24"/>
          <w:szCs w:val="24"/>
        </w:rPr>
        <w:t>s</w:t>
      </w:r>
      <w:r w:rsidR="00F0627E" w:rsidRPr="00F1537F">
        <w:rPr>
          <w:rFonts w:ascii="Times New Roman" w:hAnsi="Times New Roman"/>
          <w:sz w:val="24"/>
          <w:szCs w:val="24"/>
        </w:rPr>
        <w:t>.</w:t>
      </w:r>
      <w:r>
        <w:rPr>
          <w:rFonts w:ascii="Times New Roman" w:hAnsi="Times New Roman"/>
          <w:sz w:val="24"/>
          <w:szCs w:val="24"/>
        </w:rPr>
        <w:t xml:space="preserve">  </w:t>
      </w:r>
    </w:p>
    <w:p w14:paraId="79818015"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81BAE25" w14:textId="77777777" w:rsidR="00F0627E" w:rsidRPr="00F1537F" w:rsidRDefault="00F0627E" w:rsidP="00913164">
      <w:pPr>
        <w:spacing w:after="0" w:line="240" w:lineRule="auto"/>
        <w:ind w:left="360" w:hanging="360"/>
        <w:rPr>
          <w:rFonts w:ascii="Times New Roman" w:hAnsi="Times New Roman"/>
          <w:sz w:val="24"/>
          <w:szCs w:val="24"/>
        </w:rPr>
      </w:pPr>
    </w:p>
    <w:p w14:paraId="58F4BFD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494814">
        <w:rPr>
          <w:rFonts w:ascii="Times New Roman" w:hAnsi="Times New Roman"/>
          <w:sz w:val="24"/>
          <w:szCs w:val="24"/>
        </w:rPr>
        <w:t>The proposal to eliminate the Form 80 is the result of the Commission’s periodic reviews.</w:t>
      </w:r>
    </w:p>
    <w:p w14:paraId="4070ABCB" w14:textId="77777777" w:rsidR="00494814" w:rsidRDefault="00494814" w:rsidP="007445A8">
      <w:pPr>
        <w:spacing w:after="0" w:line="240" w:lineRule="auto"/>
        <w:rPr>
          <w:rFonts w:ascii="Times New Roman" w:hAnsi="Times New Roman"/>
          <w:sz w:val="24"/>
          <w:szCs w:val="24"/>
        </w:rPr>
      </w:pPr>
    </w:p>
    <w:p w14:paraId="3D7B5AE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405BD0D9" w14:textId="77777777" w:rsidR="00F0627E" w:rsidRPr="00F1537F" w:rsidRDefault="00F0627E" w:rsidP="007445A8">
      <w:pPr>
        <w:spacing w:after="0" w:line="240" w:lineRule="auto"/>
        <w:rPr>
          <w:rFonts w:ascii="Times New Roman" w:hAnsi="Times New Roman"/>
          <w:sz w:val="24"/>
          <w:szCs w:val="24"/>
        </w:rPr>
      </w:pPr>
    </w:p>
    <w:p w14:paraId="1D67E8C1"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3658F860" w14:textId="77777777" w:rsidR="00F0627E" w:rsidRPr="00F1537F" w:rsidRDefault="00F0627E" w:rsidP="007445A8">
      <w:pPr>
        <w:spacing w:after="0" w:line="240" w:lineRule="auto"/>
        <w:rPr>
          <w:rFonts w:ascii="Times New Roman" w:hAnsi="Times New Roman"/>
          <w:sz w:val="24"/>
          <w:szCs w:val="24"/>
        </w:rPr>
      </w:pPr>
    </w:p>
    <w:p w14:paraId="0E3D4090" w14:textId="77777777" w:rsidR="00680C13"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Pr="00680C13">
        <w:rPr>
          <w:rFonts w:ascii="Times New Roman" w:hAnsi="Times New Roman"/>
          <w:sz w:val="24"/>
          <w:szCs w:val="24"/>
        </w:rPr>
        <w:t xml:space="preserve">The </w:t>
      </w:r>
      <w:r>
        <w:rPr>
          <w:rFonts w:ascii="Times New Roman" w:hAnsi="Times New Roman"/>
          <w:sz w:val="24"/>
          <w:szCs w:val="24"/>
        </w:rPr>
        <w:t>proposal to eliminate the Form 80 will reduce burden on applicants of all sizes.</w:t>
      </w:r>
    </w:p>
    <w:p w14:paraId="5EE284F0" w14:textId="77777777" w:rsidR="00680C13" w:rsidRDefault="00680C13" w:rsidP="007445A8">
      <w:pPr>
        <w:spacing w:after="0" w:line="240" w:lineRule="auto"/>
        <w:rPr>
          <w:rFonts w:ascii="Times New Roman" w:hAnsi="Times New Roman"/>
          <w:sz w:val="24"/>
          <w:szCs w:val="24"/>
        </w:rPr>
      </w:pPr>
    </w:p>
    <w:p w14:paraId="3312E6F8" w14:textId="53E33F79" w:rsidR="00680C13" w:rsidRPr="00680C13" w:rsidRDefault="00680C13" w:rsidP="007445A8">
      <w:pPr>
        <w:spacing w:after="0" w:line="240" w:lineRule="auto"/>
        <w:rPr>
          <w:rFonts w:ascii="Times New Roman" w:hAnsi="Times New Roman"/>
          <w:sz w:val="24"/>
          <w:szCs w:val="24"/>
        </w:rPr>
      </w:pPr>
      <w:r>
        <w:rPr>
          <w:rFonts w:ascii="Times New Roman" w:hAnsi="Times New Roman"/>
          <w:b/>
          <w:sz w:val="24"/>
          <w:szCs w:val="24"/>
        </w:rPr>
        <w:t>FERC-500.</w:t>
      </w:r>
      <w:r>
        <w:rPr>
          <w:rFonts w:ascii="Times New Roman" w:hAnsi="Times New Roman"/>
          <w:sz w:val="24"/>
          <w:szCs w:val="24"/>
        </w:rPr>
        <w:t xml:space="preserve"> </w:t>
      </w: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five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five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773394A1" w14:textId="77777777" w:rsidR="00680C13" w:rsidRDefault="00680C13" w:rsidP="007445A8">
      <w:pPr>
        <w:spacing w:after="0" w:line="240" w:lineRule="auto"/>
        <w:rPr>
          <w:rFonts w:ascii="Times New Roman" w:hAnsi="Times New Roman"/>
          <w:b/>
          <w:sz w:val="24"/>
          <w:szCs w:val="24"/>
        </w:rPr>
      </w:pPr>
    </w:p>
    <w:p w14:paraId="10D9CAD8" w14:textId="77777777" w:rsidR="00F0627E" w:rsidRPr="00F1537F"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F0627E"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0E4778BE" w14:textId="36B96F62"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66EFD44F" w14:textId="254F3990"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19B0B8E3" w14:textId="621D41BE"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2BB19C4E" w14:textId="02F2CE0F"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57C62CE2" w14:textId="583638D8"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68B4BE0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78EC04C3" w14:textId="7F03A9CC"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117F9957"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672A52AE" w14:textId="77777777" w:rsidR="00680C13" w:rsidRDefault="00680C13" w:rsidP="00680C13">
      <w:pPr>
        <w:spacing w:after="0" w:line="240" w:lineRule="auto"/>
        <w:rPr>
          <w:rFonts w:ascii="Times New Roman" w:eastAsia="Times New Roman" w:hAnsi="Times New Roman"/>
          <w:sz w:val="24"/>
          <w:szCs w:val="24"/>
        </w:rPr>
      </w:pPr>
    </w:p>
    <w:p w14:paraId="5DB2C044" w14:textId="12AA7665" w:rsidR="00680C13" w:rsidRPr="00680C13" w:rsidRDefault="00680C13" w:rsidP="00680C13">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NOPR in RM18-14 and effect on FERC-500 and FERC-505.</w:t>
      </w:r>
      <w:r>
        <w:rPr>
          <w:rFonts w:ascii="Times New Roman" w:eastAsia="Times New Roman" w:hAnsi="Times New Roman"/>
          <w:sz w:val="24"/>
          <w:szCs w:val="24"/>
        </w:rPr>
        <w:t xml:space="preserve">  This rulemaking is </w:t>
      </w:r>
      <w:r w:rsidR="00BB4271">
        <w:rPr>
          <w:rFonts w:ascii="Times New Roman" w:eastAsia="Times New Roman" w:hAnsi="Times New Roman"/>
          <w:sz w:val="24"/>
          <w:szCs w:val="24"/>
        </w:rPr>
        <w:t xml:space="preserve">updating and </w:t>
      </w:r>
      <w:r>
        <w:rPr>
          <w:rFonts w:ascii="Times New Roman" w:eastAsia="Times New Roman" w:hAnsi="Times New Roman"/>
          <w:sz w:val="24"/>
          <w:szCs w:val="24"/>
        </w:rPr>
        <w:t xml:space="preserve">clarifying </w:t>
      </w:r>
      <w:r w:rsidR="00515869">
        <w:rPr>
          <w:rFonts w:ascii="Times New Roman" w:eastAsia="Times New Roman" w:hAnsi="Times New Roman"/>
          <w:sz w:val="24"/>
          <w:szCs w:val="24"/>
        </w:rPr>
        <w:t xml:space="preserve">recreation signage and public notice </w:t>
      </w:r>
      <w:r>
        <w:rPr>
          <w:rFonts w:ascii="Times New Roman" w:eastAsia="Times New Roman" w:hAnsi="Times New Roman"/>
          <w:sz w:val="24"/>
          <w:szCs w:val="24"/>
        </w:rPr>
        <w:t>requirements</w:t>
      </w:r>
      <w:r w:rsidR="00515869">
        <w:rPr>
          <w:rFonts w:ascii="Times New Roman" w:eastAsia="Times New Roman" w:hAnsi="Times New Roman"/>
          <w:sz w:val="24"/>
          <w:szCs w:val="24"/>
        </w:rPr>
        <w:t>.</w:t>
      </w:r>
      <w:r>
        <w:rPr>
          <w:rFonts w:ascii="Times New Roman" w:eastAsia="Times New Roman" w:hAnsi="Times New Roman"/>
          <w:sz w:val="24"/>
          <w:szCs w:val="24"/>
        </w:rPr>
        <w:t xml:space="preserve"> </w:t>
      </w:r>
      <w:r w:rsidR="00515869">
        <w:rPr>
          <w:rFonts w:ascii="Times New Roman" w:eastAsia="Times New Roman" w:hAnsi="Times New Roman"/>
          <w:sz w:val="24"/>
          <w:szCs w:val="24"/>
        </w:rPr>
        <w:t xml:space="preserve"> The proposed changes streamline </w:t>
      </w:r>
      <w:r w:rsidR="008C4024">
        <w:rPr>
          <w:rFonts w:ascii="Times New Roman" w:eastAsia="Times New Roman" w:hAnsi="Times New Roman"/>
          <w:sz w:val="24"/>
          <w:szCs w:val="24"/>
        </w:rPr>
        <w:t>the information that licensees are required to include on recreational signs at each public access point</w:t>
      </w:r>
      <w:r w:rsidR="008C4024" w:rsidRPr="00C4624A">
        <w:rPr>
          <w:rFonts w:ascii="Times New Roman" w:eastAsia="Times New Roman" w:hAnsi="Times New Roman"/>
          <w:sz w:val="24"/>
          <w:szCs w:val="24"/>
        </w:rPr>
        <w:t xml:space="preserve">, </w:t>
      </w:r>
      <w:r w:rsidRPr="00C4624A">
        <w:rPr>
          <w:rFonts w:ascii="Times New Roman" w:eastAsia="Times New Roman" w:hAnsi="Times New Roman"/>
          <w:sz w:val="24"/>
          <w:szCs w:val="24"/>
        </w:rPr>
        <w:t>providing</w:t>
      </w:r>
      <w:r w:rsidR="00515869" w:rsidRPr="008634BD">
        <w:rPr>
          <w:rFonts w:ascii="Times New Roman" w:eastAsia="Times New Roman" w:hAnsi="Times New Roman"/>
          <w:sz w:val="24"/>
          <w:szCs w:val="24"/>
        </w:rPr>
        <w:t xml:space="preserve"> more</w:t>
      </w:r>
      <w:r w:rsidRPr="00C4624A">
        <w:rPr>
          <w:rFonts w:ascii="Times New Roman" w:eastAsia="Times New Roman" w:hAnsi="Times New Roman"/>
          <w:sz w:val="24"/>
          <w:szCs w:val="24"/>
        </w:rPr>
        <w:t xml:space="preserve"> flexibility to licensees </w:t>
      </w:r>
      <w:r w:rsidR="00515869" w:rsidRPr="008634BD">
        <w:rPr>
          <w:rFonts w:ascii="Times New Roman" w:eastAsia="Times New Roman" w:hAnsi="Times New Roman"/>
          <w:sz w:val="24"/>
          <w:szCs w:val="24"/>
        </w:rPr>
        <w:t>to design effective signage</w:t>
      </w:r>
      <w:r w:rsidR="008C4024" w:rsidRPr="008634BD">
        <w:rPr>
          <w:rFonts w:ascii="Times New Roman" w:eastAsia="Times New Roman" w:hAnsi="Times New Roman"/>
          <w:sz w:val="24"/>
          <w:szCs w:val="24"/>
        </w:rPr>
        <w:t xml:space="preserve"> strategies</w:t>
      </w:r>
      <w:r w:rsidR="00515869" w:rsidRPr="008634BD">
        <w:rPr>
          <w:rFonts w:ascii="Times New Roman" w:eastAsia="Times New Roman" w:hAnsi="Times New Roman"/>
          <w:sz w:val="24"/>
          <w:szCs w:val="24"/>
        </w:rPr>
        <w:t xml:space="preserve"> for their individual projects.  The proposed changes would also require licensees that have project websites </w:t>
      </w:r>
      <w:r w:rsidRPr="00C4624A">
        <w:rPr>
          <w:rFonts w:ascii="Times New Roman" w:eastAsia="Times New Roman" w:hAnsi="Times New Roman"/>
          <w:sz w:val="24"/>
          <w:szCs w:val="24"/>
        </w:rPr>
        <w:t>to post</w:t>
      </w:r>
      <w:r w:rsidR="00515869" w:rsidRPr="008634BD">
        <w:rPr>
          <w:rFonts w:ascii="Times New Roman" w:eastAsia="Times New Roman" w:hAnsi="Times New Roman"/>
          <w:sz w:val="24"/>
          <w:szCs w:val="24"/>
        </w:rPr>
        <w:t xml:space="preserve"> </w:t>
      </w:r>
      <w:r w:rsidR="008C4024" w:rsidRPr="008634BD">
        <w:rPr>
          <w:rFonts w:ascii="Times New Roman" w:eastAsia="Times New Roman" w:hAnsi="Times New Roman"/>
          <w:sz w:val="24"/>
          <w:szCs w:val="24"/>
        </w:rPr>
        <w:t xml:space="preserve">recreational use </w:t>
      </w:r>
      <w:r w:rsidRPr="00C4624A">
        <w:rPr>
          <w:rFonts w:ascii="Times New Roman" w:eastAsia="Times New Roman" w:hAnsi="Times New Roman"/>
          <w:sz w:val="24"/>
          <w:szCs w:val="24"/>
        </w:rPr>
        <w:t>information</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on their websites </w:t>
      </w:r>
      <w:r w:rsidR="00515869" w:rsidRPr="008634BD">
        <w:rPr>
          <w:rFonts w:ascii="Times New Roman" w:eastAsia="Times New Roman" w:hAnsi="Times New Roman"/>
          <w:sz w:val="24"/>
          <w:szCs w:val="24"/>
        </w:rPr>
        <w:t>in addition to</w:t>
      </w:r>
      <w:r w:rsidR="008C4024" w:rsidRPr="008634BD">
        <w:rPr>
          <w:rFonts w:ascii="Times New Roman" w:eastAsia="Times New Roman" w:hAnsi="Times New Roman"/>
          <w:sz w:val="24"/>
          <w:szCs w:val="24"/>
        </w:rPr>
        <w:t xml:space="preserve"> existing requirements to</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publish </w:t>
      </w:r>
      <w:r w:rsidR="00515869" w:rsidRPr="008634BD">
        <w:rPr>
          <w:rFonts w:ascii="Times New Roman" w:eastAsia="Times New Roman" w:hAnsi="Times New Roman"/>
          <w:sz w:val="24"/>
          <w:szCs w:val="24"/>
        </w:rPr>
        <w:t xml:space="preserve">this </w:t>
      </w:r>
      <w:r w:rsidRPr="00C4624A">
        <w:rPr>
          <w:rFonts w:ascii="Times New Roman" w:eastAsia="Times New Roman" w:hAnsi="Times New Roman"/>
          <w:sz w:val="24"/>
          <w:szCs w:val="24"/>
        </w:rPr>
        <w:t xml:space="preserve">information in local newspapers and </w:t>
      </w:r>
      <w:r w:rsidR="008C4024" w:rsidRPr="008634BD">
        <w:rPr>
          <w:rFonts w:ascii="Times New Roman" w:eastAsia="Times New Roman" w:hAnsi="Times New Roman"/>
          <w:sz w:val="24"/>
          <w:szCs w:val="24"/>
        </w:rPr>
        <w:t>to have it</w:t>
      </w:r>
      <w:r w:rsidRPr="00C4624A">
        <w:rPr>
          <w:rFonts w:ascii="Times New Roman" w:eastAsia="Times New Roman" w:hAnsi="Times New Roman"/>
          <w:sz w:val="24"/>
          <w:szCs w:val="24"/>
        </w:rPr>
        <w:t xml:space="preserve"> available for inspection in their local office</w:t>
      </w:r>
      <w:r w:rsidR="008C4024" w:rsidRPr="008634BD">
        <w:rPr>
          <w:rFonts w:ascii="Times New Roman" w:eastAsia="Times New Roman" w:hAnsi="Times New Roman"/>
          <w:sz w:val="24"/>
          <w:szCs w:val="24"/>
        </w:rPr>
        <w:t>s</w:t>
      </w:r>
      <w:r w:rsidRPr="00C4624A">
        <w:rPr>
          <w:rFonts w:ascii="Times New Roman" w:eastAsia="Times New Roman" w:hAnsi="Times New Roman"/>
          <w:sz w:val="24"/>
          <w:szCs w:val="24"/>
        </w:rPr>
        <w:t>.</w:t>
      </w:r>
    </w:p>
    <w:p w14:paraId="2D86CF7D" w14:textId="77777777" w:rsidR="00680C13" w:rsidRPr="00F1537F" w:rsidRDefault="00680C13" w:rsidP="00680C13">
      <w:pPr>
        <w:spacing w:after="0" w:line="240" w:lineRule="auto"/>
        <w:rPr>
          <w:rFonts w:ascii="Times New Roman" w:eastAsia="Times New Roman" w:hAnsi="Times New Roman"/>
          <w:sz w:val="24"/>
          <w:szCs w:val="24"/>
        </w:rPr>
      </w:pPr>
    </w:p>
    <w:p w14:paraId="27D2BFA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5B0E7FCB" w14:textId="77777777" w:rsidR="00F0627E" w:rsidRPr="00F1537F" w:rsidRDefault="00F0627E" w:rsidP="007445A8">
      <w:pPr>
        <w:spacing w:after="0" w:line="240" w:lineRule="auto"/>
        <w:rPr>
          <w:rFonts w:ascii="Times New Roman" w:hAnsi="Times New Roman"/>
          <w:sz w:val="24"/>
          <w:szCs w:val="24"/>
        </w:rPr>
      </w:pPr>
    </w:p>
    <w:p w14:paraId="564975B2" w14:textId="77777777" w:rsidR="00F0627E" w:rsidRPr="00F1537F" w:rsidRDefault="008C00AE"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5B351D88" w14:textId="77777777" w:rsidR="00F0627E" w:rsidRPr="00F1537F" w:rsidRDefault="00F0627E" w:rsidP="007445A8">
      <w:pPr>
        <w:spacing w:after="0" w:line="240" w:lineRule="auto"/>
        <w:rPr>
          <w:rFonts w:ascii="Times New Roman" w:hAnsi="Times New Roman"/>
          <w:sz w:val="24"/>
          <w:szCs w:val="24"/>
        </w:rPr>
      </w:pPr>
    </w:p>
    <w:p w14:paraId="1FBACB84"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5C1E4A03" w14:textId="77777777" w:rsidR="00F0627E" w:rsidRPr="00F1537F" w:rsidRDefault="00F0627E" w:rsidP="007445A8">
      <w:pPr>
        <w:spacing w:after="0" w:line="240" w:lineRule="auto"/>
        <w:rPr>
          <w:rFonts w:ascii="Times New Roman" w:hAnsi="Times New Roman"/>
          <w:sz w:val="24"/>
          <w:szCs w:val="24"/>
        </w:rPr>
      </w:pPr>
    </w:p>
    <w:p w14:paraId="110A44BC"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51FBAC80" w14:textId="77777777" w:rsidR="00F0627E" w:rsidRPr="00F1537F" w:rsidRDefault="00F0627E" w:rsidP="00913164">
      <w:pPr>
        <w:spacing w:after="0" w:line="240" w:lineRule="auto"/>
        <w:ind w:left="360" w:hanging="360"/>
        <w:rPr>
          <w:rFonts w:ascii="Times New Roman" w:hAnsi="Times New Roman"/>
          <w:sz w:val="24"/>
          <w:szCs w:val="24"/>
        </w:rPr>
      </w:pPr>
    </w:p>
    <w:p w14:paraId="3F1579E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35F34141" w14:textId="77777777" w:rsidR="00F0627E" w:rsidRPr="00F1537F" w:rsidRDefault="00F0627E" w:rsidP="007445A8">
      <w:pPr>
        <w:spacing w:after="0" w:line="240" w:lineRule="auto"/>
        <w:rPr>
          <w:rFonts w:ascii="Times New Roman" w:hAnsi="Times New Roman"/>
          <w:sz w:val="24"/>
          <w:szCs w:val="24"/>
        </w:rPr>
      </w:pPr>
    </w:p>
    <w:p w14:paraId="501B3161" w14:textId="4A95E780" w:rsidR="00590632"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6E159B">
        <w:rPr>
          <w:rFonts w:ascii="Times New Roman" w:hAnsi="Times New Roman"/>
          <w:sz w:val="24"/>
          <w:szCs w:val="24"/>
        </w:rPr>
        <w:t xml:space="preserve">(issued 5/17/2018) </w:t>
      </w:r>
      <w:r w:rsidR="006128B2" w:rsidRPr="006128B2">
        <w:rPr>
          <w:rFonts w:ascii="Times New Roman" w:hAnsi="Times New Roman"/>
          <w:sz w:val="24"/>
          <w:szCs w:val="24"/>
        </w:rPr>
        <w:t xml:space="preserve">is being </w:t>
      </w:r>
      <w:r w:rsidRPr="006128B2">
        <w:rPr>
          <w:rFonts w:ascii="Times New Roman" w:hAnsi="Times New Roman"/>
          <w:sz w:val="24"/>
          <w:szCs w:val="24"/>
        </w:rPr>
        <w:t>published in the Federal Register</w:t>
      </w:r>
      <w:r w:rsidR="001C34B8">
        <w:rPr>
          <w:rFonts w:ascii="Times New Roman" w:hAnsi="Times New Roman"/>
          <w:sz w:val="24"/>
          <w:szCs w:val="24"/>
        </w:rPr>
        <w:t xml:space="preserve"> on 5/23/2018</w:t>
      </w:r>
      <w:r w:rsidR="00413357" w:rsidRPr="001968EA">
        <w:rPr>
          <w:rStyle w:val="FootnoteReference"/>
          <w:rFonts w:ascii="Times New Roman" w:hAnsi="Times New Roman"/>
          <w:sz w:val="24"/>
          <w:szCs w:val="24"/>
          <w:vertAlign w:val="superscript"/>
        </w:rPr>
        <w:footnoteReference w:id="14"/>
      </w:r>
      <w:r w:rsidRPr="006128B2">
        <w:rPr>
          <w:rFonts w:ascii="Times New Roman" w:hAnsi="Times New Roman"/>
          <w:sz w:val="24"/>
          <w:szCs w:val="24"/>
        </w:rPr>
        <w:t>.</w:t>
      </w:r>
    </w:p>
    <w:p w14:paraId="3E423D1E"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0E2F6A70"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4C13098D" w14:textId="77777777" w:rsidR="00F0627E" w:rsidRPr="00F1537F" w:rsidRDefault="00F0627E" w:rsidP="007445A8">
      <w:pPr>
        <w:spacing w:after="0" w:line="240" w:lineRule="auto"/>
        <w:rPr>
          <w:rFonts w:ascii="Times New Roman" w:hAnsi="Times New Roman"/>
          <w:sz w:val="24"/>
          <w:szCs w:val="24"/>
        </w:rPr>
      </w:pPr>
    </w:p>
    <w:p w14:paraId="11624F4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0387FD3C" w14:textId="77777777" w:rsidR="00F0627E" w:rsidRPr="00F1537F" w:rsidRDefault="00F0627E" w:rsidP="007445A8">
      <w:pPr>
        <w:spacing w:after="0" w:line="240" w:lineRule="auto"/>
        <w:rPr>
          <w:rFonts w:ascii="Times New Roman" w:hAnsi="Times New Roman"/>
          <w:sz w:val="24"/>
          <w:szCs w:val="24"/>
        </w:rPr>
      </w:pPr>
    </w:p>
    <w:p w14:paraId="130AA13E"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D89514" w14:textId="77777777" w:rsidR="00F0627E" w:rsidRPr="00F1537F" w:rsidRDefault="00F0627E" w:rsidP="007445A8">
      <w:pPr>
        <w:spacing w:after="0" w:line="240" w:lineRule="auto"/>
        <w:rPr>
          <w:rFonts w:ascii="Times New Roman" w:hAnsi="Times New Roman"/>
          <w:sz w:val="24"/>
          <w:szCs w:val="24"/>
        </w:rPr>
      </w:pPr>
    </w:p>
    <w:p w14:paraId="24DBD3AB" w14:textId="5006D9C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05411D4" w14:textId="77777777" w:rsidR="00F0627E" w:rsidRPr="00F1537F" w:rsidRDefault="00F0627E" w:rsidP="007445A8">
      <w:pPr>
        <w:spacing w:after="0" w:line="240" w:lineRule="auto"/>
        <w:rPr>
          <w:rFonts w:ascii="Times New Roman" w:hAnsi="Times New Roman"/>
          <w:sz w:val="24"/>
          <w:szCs w:val="24"/>
        </w:rPr>
      </w:pPr>
    </w:p>
    <w:p w14:paraId="543CA92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6327E1C" w14:textId="77777777" w:rsidR="00F0627E" w:rsidRPr="00F1537F" w:rsidRDefault="00F0627E" w:rsidP="007445A8">
      <w:pPr>
        <w:spacing w:after="0" w:line="240" w:lineRule="auto"/>
        <w:rPr>
          <w:rFonts w:ascii="Times New Roman" w:hAnsi="Times New Roman"/>
          <w:sz w:val="24"/>
          <w:szCs w:val="24"/>
        </w:rPr>
      </w:pPr>
    </w:p>
    <w:p w14:paraId="4A1CC77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D1C40FF" w14:textId="77777777" w:rsidR="00F0627E" w:rsidRPr="00F1537F" w:rsidRDefault="00F0627E" w:rsidP="007445A8">
      <w:pPr>
        <w:spacing w:after="0" w:line="240" w:lineRule="auto"/>
        <w:rPr>
          <w:rFonts w:ascii="Times New Roman" w:hAnsi="Times New Roman"/>
          <w:sz w:val="24"/>
          <w:szCs w:val="24"/>
        </w:rPr>
      </w:pPr>
    </w:p>
    <w:p w14:paraId="4FF655A5"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38408112"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0938AD58" w14:textId="77777777" w:rsidR="00ED6497" w:rsidRDefault="00AD2C01" w:rsidP="00ED649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NOPR follow.  </w:t>
      </w:r>
    </w:p>
    <w:p w14:paraId="7308B7BD" w14:textId="77777777" w:rsidR="00ED6497" w:rsidRDefault="00ED6497" w:rsidP="00ED6497">
      <w:pPr>
        <w:spacing w:after="0" w:line="240" w:lineRule="auto"/>
        <w:rPr>
          <w:rFonts w:ascii="Times New Roman" w:hAnsi="Times New Roman"/>
          <w:sz w:val="24"/>
          <w:szCs w:val="24"/>
        </w:rPr>
      </w:pPr>
    </w:p>
    <w:p w14:paraId="3C5F7885" w14:textId="73302606" w:rsidR="00ED6497" w:rsidRPr="00ED6497" w:rsidRDefault="00ED6497" w:rsidP="00ED6497">
      <w:pPr>
        <w:spacing w:after="0" w:line="240" w:lineRule="auto"/>
        <w:rPr>
          <w:rFonts w:ascii="Times New Roman" w:hAnsi="Times New Roman"/>
          <w:bCs/>
          <w:sz w:val="24"/>
          <w:szCs w:val="24"/>
        </w:rPr>
      </w:pPr>
      <w:r w:rsidRPr="00ED6497">
        <w:rPr>
          <w:rFonts w:ascii="Times New Roman" w:hAnsi="Times New Roman"/>
          <w:b/>
          <w:bCs/>
          <w:i/>
          <w:sz w:val="24"/>
          <w:szCs w:val="24"/>
        </w:rPr>
        <w:t>FERC-80.</w:t>
      </w:r>
      <w:r>
        <w:rPr>
          <w:rFonts w:ascii="Times New Roman" w:hAnsi="Times New Roman"/>
          <w:bCs/>
          <w:i/>
          <w:sz w:val="24"/>
          <w:szCs w:val="24"/>
        </w:rPr>
        <w:t xml:space="preserve">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Pr>
          <w:rFonts w:ascii="Times New Roman" w:hAnsi="Times New Roman"/>
          <w:bCs/>
          <w:i/>
          <w:sz w:val="24"/>
          <w:szCs w:val="24"/>
        </w:rPr>
        <w:t>, as shown in the table below</w:t>
      </w:r>
      <w:r w:rsidRPr="00ED6497">
        <w:rPr>
          <w:rFonts w:ascii="Times New Roman" w:hAnsi="Times New Roman"/>
          <w:bCs/>
          <w:i/>
          <w:sz w:val="24"/>
          <w:szCs w:val="24"/>
        </w:rPr>
        <w:t xml:space="preserve">.  However we are retaining placeholders of 1 response and 1 burden hour in </w:t>
      </w:r>
      <w:r w:rsidR="00D44FCA">
        <w:rPr>
          <w:rFonts w:ascii="Times New Roman" w:hAnsi="Times New Roman"/>
          <w:bCs/>
          <w:i/>
          <w:sz w:val="24"/>
          <w:szCs w:val="24"/>
        </w:rPr>
        <w:t>Question 15 below</w:t>
      </w:r>
      <w:r w:rsidR="00413357">
        <w:rPr>
          <w:rFonts w:ascii="Times New Roman" w:hAnsi="Times New Roman"/>
          <w:bCs/>
          <w:i/>
          <w:sz w:val="24"/>
          <w:szCs w:val="24"/>
        </w:rPr>
        <w:t xml:space="preserve">, </w:t>
      </w:r>
      <w:r w:rsidR="00D44FCA">
        <w:rPr>
          <w:rFonts w:ascii="Times New Roman" w:hAnsi="Times New Roman"/>
          <w:bCs/>
          <w:i/>
          <w:sz w:val="24"/>
          <w:szCs w:val="24"/>
        </w:rPr>
        <w:t xml:space="preserve">in </w:t>
      </w:r>
      <w:r w:rsidRPr="00ED6497">
        <w:rPr>
          <w:rFonts w:ascii="Times New Roman" w:hAnsi="Times New Roman"/>
          <w:bCs/>
          <w:i/>
          <w:sz w:val="24"/>
          <w:szCs w:val="24"/>
        </w:rPr>
        <w:t>ROCIS</w:t>
      </w:r>
      <w:r w:rsidR="00413357">
        <w:rPr>
          <w:rFonts w:ascii="Times New Roman" w:hAnsi="Times New Roman"/>
          <w:bCs/>
          <w:i/>
          <w:sz w:val="24"/>
          <w:szCs w:val="24"/>
        </w:rPr>
        <w:t>,</w:t>
      </w:r>
      <w:r w:rsidRPr="00ED6497">
        <w:rPr>
          <w:rFonts w:ascii="Times New Roman" w:hAnsi="Times New Roman"/>
          <w:bCs/>
          <w:i/>
          <w:sz w:val="24"/>
          <w:szCs w:val="24"/>
        </w:rPr>
        <w:t xml:space="preserve"> and </w:t>
      </w:r>
      <w:r w:rsidR="00413357">
        <w:rPr>
          <w:rFonts w:ascii="Times New Roman" w:hAnsi="Times New Roman"/>
          <w:bCs/>
          <w:i/>
          <w:sz w:val="24"/>
          <w:szCs w:val="24"/>
        </w:rPr>
        <w:t xml:space="preserve">at </w:t>
      </w:r>
      <w:hyperlink r:id="rId14" w:history="1">
        <w:r w:rsidR="00413357" w:rsidRPr="00413357">
          <w:rPr>
            <w:rStyle w:val="Hyperlink"/>
            <w:rFonts w:ascii="Times New Roman" w:hAnsi="Times New Roman"/>
            <w:bCs/>
            <w:i/>
            <w:sz w:val="24"/>
            <w:szCs w:val="24"/>
          </w:rPr>
          <w:t>www.</w:t>
        </w:r>
        <w:r w:rsidRPr="00413357">
          <w:rPr>
            <w:rStyle w:val="Hyperlink"/>
            <w:rFonts w:ascii="Times New Roman" w:hAnsi="Times New Roman"/>
            <w:bCs/>
            <w:i/>
            <w:sz w:val="24"/>
            <w:szCs w:val="24"/>
          </w:rPr>
          <w:t>reginfo.gov</w:t>
        </w:r>
      </w:hyperlink>
      <w:r>
        <w:rPr>
          <w:rFonts w:ascii="Times New Roman" w:hAnsi="Times New Roman"/>
          <w:bCs/>
          <w:i/>
          <w:sz w:val="24"/>
          <w:szCs w:val="24"/>
        </w:rPr>
        <w:t xml:space="preserve"> at this proposed rulemaking stage.  If</w:t>
      </w:r>
      <w:r w:rsidR="00413357">
        <w:rPr>
          <w:rFonts w:ascii="Times New Roman" w:hAnsi="Times New Roman"/>
          <w:bCs/>
          <w:i/>
          <w:sz w:val="24"/>
          <w:szCs w:val="24"/>
        </w:rPr>
        <w:t>,</w:t>
      </w:r>
      <w:r>
        <w:rPr>
          <w:rFonts w:ascii="Times New Roman" w:hAnsi="Times New Roman"/>
          <w:bCs/>
          <w:i/>
          <w:sz w:val="24"/>
          <w:szCs w:val="24"/>
        </w:rPr>
        <w:t xml:space="preserve"> and when</w:t>
      </w:r>
      <w:r w:rsidR="00413357">
        <w:rPr>
          <w:rFonts w:ascii="Times New Roman" w:hAnsi="Times New Roman"/>
          <w:bCs/>
          <w:i/>
          <w:sz w:val="24"/>
          <w:szCs w:val="24"/>
        </w:rPr>
        <w:t>,</w:t>
      </w:r>
      <w:r>
        <w:rPr>
          <w:rFonts w:ascii="Times New Roman" w:hAnsi="Times New Roman"/>
          <w:bCs/>
          <w:i/>
          <w:sz w:val="24"/>
          <w:szCs w:val="24"/>
        </w:rPr>
        <w:t xml:space="preserve"> the related Final Rule </w:t>
      </w:r>
      <w:r w:rsidR="00413357">
        <w:rPr>
          <w:rFonts w:ascii="Times New Roman" w:hAnsi="Times New Roman"/>
          <w:bCs/>
          <w:i/>
          <w:sz w:val="24"/>
          <w:szCs w:val="24"/>
        </w:rPr>
        <w:t>approves the</w:t>
      </w:r>
      <w:r>
        <w:rPr>
          <w:rFonts w:ascii="Times New Roman" w:hAnsi="Times New Roman"/>
          <w:bCs/>
          <w:i/>
          <w:sz w:val="24"/>
          <w:szCs w:val="24"/>
        </w:rPr>
        <w:t xml:space="preserve"> deleti</w:t>
      </w:r>
      <w:r w:rsidR="00413357">
        <w:rPr>
          <w:rFonts w:ascii="Times New Roman" w:hAnsi="Times New Roman"/>
          <w:bCs/>
          <w:i/>
          <w:sz w:val="24"/>
          <w:szCs w:val="24"/>
        </w:rPr>
        <w:t>on</w:t>
      </w:r>
      <w:r>
        <w:rPr>
          <w:rFonts w:ascii="Times New Roman" w:hAnsi="Times New Roman"/>
          <w:bCs/>
          <w:i/>
          <w:sz w:val="24"/>
          <w:szCs w:val="24"/>
        </w:rPr>
        <w:t xml:space="preserve"> </w:t>
      </w:r>
      <w:r w:rsidR="00CC52A8">
        <w:rPr>
          <w:rFonts w:ascii="Times New Roman" w:hAnsi="Times New Roman"/>
          <w:bCs/>
          <w:i/>
          <w:sz w:val="24"/>
          <w:szCs w:val="24"/>
        </w:rPr>
        <w:t xml:space="preserve">of </w:t>
      </w:r>
      <w:r>
        <w:rPr>
          <w:rFonts w:ascii="Times New Roman" w:hAnsi="Times New Roman"/>
          <w:bCs/>
          <w:i/>
          <w:sz w:val="24"/>
          <w:szCs w:val="24"/>
        </w:rPr>
        <w:t xml:space="preserve">the Form 80, the </w:t>
      </w:r>
      <w:r w:rsidR="001968EA">
        <w:rPr>
          <w:rFonts w:ascii="Times New Roman" w:hAnsi="Times New Roman"/>
          <w:bCs/>
          <w:i/>
          <w:sz w:val="24"/>
          <w:szCs w:val="24"/>
        </w:rPr>
        <w:t xml:space="preserve">PRA </w:t>
      </w:r>
      <w:r>
        <w:rPr>
          <w:rFonts w:ascii="Times New Roman" w:hAnsi="Times New Roman"/>
          <w:bCs/>
          <w:i/>
          <w:sz w:val="24"/>
          <w:szCs w:val="24"/>
        </w:rPr>
        <w:t xml:space="preserve">submittal </w:t>
      </w:r>
      <w:r w:rsidR="001968EA">
        <w:rPr>
          <w:rFonts w:ascii="Times New Roman" w:hAnsi="Times New Roman"/>
          <w:bCs/>
          <w:i/>
          <w:sz w:val="24"/>
          <w:szCs w:val="24"/>
        </w:rPr>
        <w:t xml:space="preserve">to OMB </w:t>
      </w:r>
      <w:r>
        <w:rPr>
          <w:rFonts w:ascii="Times New Roman" w:hAnsi="Times New Roman"/>
          <w:bCs/>
          <w:i/>
          <w:sz w:val="24"/>
          <w:szCs w:val="24"/>
        </w:rPr>
        <w:t xml:space="preserve">will </w:t>
      </w:r>
      <w:r w:rsidR="00413357">
        <w:rPr>
          <w:rFonts w:ascii="Times New Roman" w:hAnsi="Times New Roman"/>
          <w:bCs/>
          <w:i/>
          <w:sz w:val="24"/>
          <w:szCs w:val="24"/>
        </w:rPr>
        <w:t>remove</w:t>
      </w:r>
      <w:r>
        <w:rPr>
          <w:rFonts w:ascii="Times New Roman" w:hAnsi="Times New Roman"/>
          <w:bCs/>
          <w:i/>
          <w:sz w:val="24"/>
          <w:szCs w:val="24"/>
        </w:rPr>
        <w:t xml:space="preserve"> the entire burden (of 201 annual hours) for the </w:t>
      </w:r>
      <w:r w:rsidR="00F84151">
        <w:rPr>
          <w:rFonts w:ascii="Times New Roman" w:hAnsi="Times New Roman"/>
          <w:bCs/>
          <w:i/>
          <w:sz w:val="24"/>
          <w:szCs w:val="24"/>
        </w:rPr>
        <w:t>Form 80</w:t>
      </w:r>
      <w:r w:rsidR="002F3E65">
        <w:rPr>
          <w:rFonts w:ascii="Times New Roman" w:hAnsi="Times New Roman"/>
          <w:bCs/>
          <w:i/>
          <w:sz w:val="24"/>
          <w:szCs w:val="24"/>
        </w:rPr>
        <w:t>, as shown in the following table</w:t>
      </w:r>
      <w:r>
        <w:rPr>
          <w:rFonts w:ascii="Times New Roman" w:hAnsi="Times New Roman"/>
          <w:bCs/>
          <w:i/>
          <w:sz w:val="24"/>
          <w:szCs w:val="24"/>
        </w:rPr>
        <w:t>.</w:t>
      </w:r>
    </w:p>
    <w:p w14:paraId="1DA4591F" w14:textId="77777777" w:rsidR="00AD2C01" w:rsidRDefault="00AD2C01" w:rsidP="007445A8">
      <w:pPr>
        <w:spacing w:after="0" w:line="240" w:lineRule="auto"/>
        <w:rPr>
          <w:rFonts w:ascii="Times New Roman" w:hAnsi="Times New Roman"/>
          <w:sz w:val="24"/>
          <w:szCs w:val="24"/>
        </w:rPr>
      </w:pPr>
    </w:p>
    <w:p w14:paraId="44FBBBF9" w14:textId="77777777" w:rsidR="00AD2C01" w:rsidRDefault="00AD2C01" w:rsidP="007445A8">
      <w:pPr>
        <w:spacing w:after="0" w:line="240" w:lineRule="auto"/>
        <w:rPr>
          <w:rFonts w:ascii="Times New Roman" w:hAnsi="Times New Roman"/>
          <w:sz w:val="24"/>
          <w:szCs w:val="24"/>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106"/>
        <w:gridCol w:w="1198"/>
        <w:gridCol w:w="1291"/>
        <w:gridCol w:w="1566"/>
        <w:gridCol w:w="1659"/>
        <w:gridCol w:w="1474"/>
      </w:tblGrid>
      <w:tr w:rsidR="00AD2C01" w:rsidRPr="00AD2C01" w14:paraId="77FA167E" w14:textId="77777777" w:rsidTr="00ED6497">
        <w:trPr>
          <w:cantSplit/>
          <w:trHeight w:val="241"/>
          <w:tblHeader/>
          <w:jc w:val="right"/>
        </w:trPr>
        <w:tc>
          <w:tcPr>
            <w:tcW w:w="5000" w:type="pct"/>
            <w:gridSpan w:val="7"/>
            <w:tcBorders>
              <w:bottom w:val="single" w:sz="4" w:space="0" w:color="auto"/>
            </w:tcBorders>
            <w:shd w:val="clear" w:color="auto" w:fill="D9D9D9"/>
          </w:tcPr>
          <w:p w14:paraId="086724C4" w14:textId="77777777" w:rsidR="00AD2C01" w:rsidRPr="00AD2C01" w:rsidRDefault="00AD2C01" w:rsidP="00AD2C01">
            <w:pPr>
              <w:autoSpaceDE w:val="0"/>
              <w:autoSpaceDN w:val="0"/>
              <w:adjustRightInd w:val="0"/>
              <w:spacing w:after="0" w:line="240" w:lineRule="auto"/>
              <w:jc w:val="center"/>
              <w:rPr>
                <w:rFonts w:ascii="Times New Roman" w:hAnsi="Times New Roman"/>
                <w:b/>
                <w:sz w:val="26"/>
                <w:szCs w:val="20"/>
              </w:rPr>
            </w:pPr>
            <w:r w:rsidRPr="00AD2C01">
              <w:rPr>
                <w:rFonts w:ascii="Times New Roman" w:eastAsia="Times New Roman" w:hAnsi="Times New Roman"/>
                <w:b/>
                <w:sz w:val="26"/>
                <w:szCs w:val="24"/>
              </w:rPr>
              <w:t>Annual Changes Proposed by the NOPR in Docket No. RM18-14-000</w:t>
            </w:r>
            <w:r w:rsidRPr="00AD2C01">
              <w:rPr>
                <w:rFonts w:ascii="Times New Roman" w:eastAsia="Times New Roman" w:hAnsi="Times New Roman"/>
                <w:sz w:val="26"/>
                <w:szCs w:val="26"/>
                <w:vertAlign w:val="superscript"/>
              </w:rPr>
              <w:footnoteReference w:id="16"/>
            </w:r>
          </w:p>
        </w:tc>
      </w:tr>
      <w:tr w:rsidR="00AD2C01" w:rsidRPr="00AD2C01" w14:paraId="17A07B8C" w14:textId="77777777" w:rsidTr="00ED6497">
        <w:trPr>
          <w:cantSplit/>
          <w:trHeight w:val="1259"/>
          <w:tblHeader/>
          <w:jc w:val="right"/>
        </w:trPr>
        <w:tc>
          <w:tcPr>
            <w:tcW w:w="831" w:type="pct"/>
            <w:shd w:val="clear" w:color="auto" w:fill="D9D9D9"/>
          </w:tcPr>
          <w:p w14:paraId="503DCED1" w14:textId="77777777" w:rsidR="00AD2C01" w:rsidRPr="00AD2C01" w:rsidRDefault="00AD2C01" w:rsidP="00AD2C01">
            <w:pPr>
              <w:spacing w:after="0" w:line="240" w:lineRule="auto"/>
              <w:jc w:val="center"/>
              <w:rPr>
                <w:rFonts w:ascii="Times New Roman" w:hAnsi="Times New Roman"/>
                <w:b/>
                <w:sz w:val="26"/>
                <w:szCs w:val="20"/>
              </w:rPr>
            </w:pPr>
          </w:p>
        </w:tc>
        <w:tc>
          <w:tcPr>
            <w:tcW w:w="556" w:type="pct"/>
            <w:shd w:val="clear" w:color="auto" w:fill="D9D9D9"/>
            <w:vAlign w:val="bottom"/>
          </w:tcPr>
          <w:p w14:paraId="6E34094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Respondents</w:t>
            </w:r>
          </w:p>
          <w:p w14:paraId="5D5400F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w:t>
            </w:r>
          </w:p>
        </w:tc>
        <w:tc>
          <w:tcPr>
            <w:tcW w:w="602" w:type="pct"/>
            <w:shd w:val="clear" w:color="auto" w:fill="D9D9D9"/>
            <w:vAlign w:val="bottom"/>
          </w:tcPr>
          <w:p w14:paraId="7AB500FA"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Responses per Respondent</w:t>
            </w:r>
          </w:p>
          <w:p w14:paraId="0CF37873"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(2)</w:t>
            </w:r>
          </w:p>
        </w:tc>
        <w:tc>
          <w:tcPr>
            <w:tcW w:w="649" w:type="pct"/>
            <w:shd w:val="clear" w:color="auto" w:fill="D9D9D9"/>
            <w:vAlign w:val="bottom"/>
          </w:tcPr>
          <w:p w14:paraId="7360908B"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Total No. of Responses</w:t>
            </w:r>
          </w:p>
          <w:p w14:paraId="5A960A3F"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(1)X(2)=(3)</w:t>
            </w:r>
          </w:p>
        </w:tc>
        <w:tc>
          <w:tcPr>
            <w:tcW w:w="787" w:type="pct"/>
            <w:shd w:val="clear" w:color="auto" w:fill="D9D9D9"/>
            <w:vAlign w:val="bottom"/>
          </w:tcPr>
          <w:p w14:paraId="49140680"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Avg. Burden Hrs. &amp; Cost Per Response</w:t>
            </w:r>
          </w:p>
          <w:p w14:paraId="204A40C2"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(4)</w:t>
            </w:r>
          </w:p>
        </w:tc>
        <w:tc>
          <w:tcPr>
            <w:tcW w:w="834" w:type="pct"/>
            <w:shd w:val="clear" w:color="auto" w:fill="D9D9D9"/>
            <w:vAlign w:val="bottom"/>
          </w:tcPr>
          <w:p w14:paraId="5BA3074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 xml:space="preserve">Total Annual Burden Hours &amp; Total Annual Cost </w:t>
            </w:r>
          </w:p>
          <w:p w14:paraId="185BF0F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(3)X(4)=5</w:t>
            </w:r>
          </w:p>
        </w:tc>
        <w:tc>
          <w:tcPr>
            <w:tcW w:w="741" w:type="pct"/>
            <w:shd w:val="clear" w:color="auto" w:fill="D9D9D9"/>
            <w:vAlign w:val="bottom"/>
          </w:tcPr>
          <w:p w14:paraId="1A38CF7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Cost per Respondent ($)</w:t>
            </w:r>
          </w:p>
          <w:p w14:paraId="107C9D05"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(5)/(1)</w:t>
            </w:r>
          </w:p>
        </w:tc>
      </w:tr>
      <w:tr w:rsidR="00AD2C01" w:rsidRPr="00AD2C01" w14:paraId="3B9D8054" w14:textId="77777777" w:rsidTr="00ED6497">
        <w:trPr>
          <w:cantSplit/>
          <w:trHeight w:val="509"/>
          <w:jc w:val="right"/>
        </w:trPr>
        <w:tc>
          <w:tcPr>
            <w:tcW w:w="831" w:type="pct"/>
            <w:vAlign w:val="bottom"/>
          </w:tcPr>
          <w:p w14:paraId="02B05C37"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FERC-80 (reduction)</w:t>
            </w:r>
            <w:r w:rsidRPr="00AD2C01">
              <w:rPr>
                <w:rFonts w:ascii="Times New Roman" w:hAnsi="Times New Roman"/>
                <w:b/>
                <w:sz w:val="26"/>
                <w:szCs w:val="26"/>
                <w:vertAlign w:val="superscript"/>
              </w:rPr>
              <w:footnoteReference w:id="17"/>
            </w:r>
          </w:p>
        </w:tc>
        <w:tc>
          <w:tcPr>
            <w:tcW w:w="556" w:type="pct"/>
            <w:vAlign w:val="bottom"/>
          </w:tcPr>
          <w:p w14:paraId="42CE5FD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400</w:t>
            </w:r>
          </w:p>
        </w:tc>
        <w:tc>
          <w:tcPr>
            <w:tcW w:w="602" w:type="pct"/>
            <w:vAlign w:val="bottom"/>
          </w:tcPr>
          <w:p w14:paraId="02401F0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0.167</w:t>
            </w:r>
            <w:r w:rsidRPr="00AD2C01">
              <w:rPr>
                <w:rFonts w:ascii="Times New Roman" w:hAnsi="Times New Roman"/>
                <w:b/>
                <w:sz w:val="26"/>
                <w:szCs w:val="26"/>
                <w:vertAlign w:val="superscript"/>
              </w:rPr>
              <w:footnoteReference w:id="18"/>
            </w:r>
          </w:p>
        </w:tc>
        <w:tc>
          <w:tcPr>
            <w:tcW w:w="649" w:type="pct"/>
            <w:vAlign w:val="bottom"/>
          </w:tcPr>
          <w:p w14:paraId="70F3A2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67 (rounded)</w:t>
            </w:r>
          </w:p>
        </w:tc>
        <w:tc>
          <w:tcPr>
            <w:tcW w:w="787" w:type="pct"/>
            <w:vAlign w:val="bottom"/>
          </w:tcPr>
          <w:p w14:paraId="4DA3F5A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3 hrs.; $224 (rounded); (reduction)</w:t>
            </w:r>
          </w:p>
        </w:tc>
        <w:tc>
          <w:tcPr>
            <w:tcW w:w="834" w:type="pct"/>
            <w:vAlign w:val="bottom"/>
          </w:tcPr>
          <w:p w14:paraId="2614AD7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201 hrs.; $14,974.50 (rounded); (reduction)</w:t>
            </w:r>
          </w:p>
        </w:tc>
        <w:tc>
          <w:tcPr>
            <w:tcW w:w="741" w:type="pct"/>
            <w:vAlign w:val="bottom"/>
          </w:tcPr>
          <w:p w14:paraId="024F69E1"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$224 (reduction)</w:t>
            </w:r>
          </w:p>
        </w:tc>
      </w:tr>
      <w:tr w:rsidR="00AD2C01" w:rsidRPr="00AD2C01" w14:paraId="16E4014C" w14:textId="77777777" w:rsidTr="00BF189C">
        <w:trPr>
          <w:cantSplit/>
          <w:trHeight w:val="241"/>
          <w:jc w:val="right"/>
        </w:trPr>
        <w:tc>
          <w:tcPr>
            <w:tcW w:w="831" w:type="pct"/>
            <w:vAlign w:val="bottom"/>
          </w:tcPr>
          <w:p w14:paraId="2450FB13"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FERC-500 </w:t>
            </w:r>
          </w:p>
        </w:tc>
        <w:tc>
          <w:tcPr>
            <w:tcW w:w="556" w:type="pct"/>
            <w:vAlign w:val="bottom"/>
          </w:tcPr>
          <w:p w14:paraId="51BCC9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r w:rsidRPr="00AD2C01">
              <w:rPr>
                <w:rFonts w:ascii="Times New Roman" w:hAnsi="Times New Roman"/>
                <w:b/>
                <w:sz w:val="26"/>
                <w:szCs w:val="26"/>
                <w:vertAlign w:val="superscript"/>
              </w:rPr>
              <w:footnoteReference w:id="19"/>
            </w:r>
          </w:p>
        </w:tc>
        <w:tc>
          <w:tcPr>
            <w:tcW w:w="602" w:type="pct"/>
            <w:vAlign w:val="bottom"/>
          </w:tcPr>
          <w:p w14:paraId="528111F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3C9BCEC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p>
        </w:tc>
        <w:tc>
          <w:tcPr>
            <w:tcW w:w="787" w:type="pct"/>
            <w:vAlign w:val="bottom"/>
          </w:tcPr>
          <w:p w14:paraId="4059A20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49A8F32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215 hrs.; $11,484 (rounded)</w:t>
            </w:r>
          </w:p>
        </w:tc>
        <w:tc>
          <w:tcPr>
            <w:tcW w:w="741" w:type="pct"/>
            <w:vAlign w:val="bottom"/>
          </w:tcPr>
          <w:p w14:paraId="7185037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r w:rsidR="00AD2C01" w:rsidRPr="00AD2C01" w14:paraId="1714B0F3" w14:textId="77777777" w:rsidTr="00BF189C">
        <w:trPr>
          <w:cantSplit/>
          <w:trHeight w:val="482"/>
          <w:jc w:val="right"/>
        </w:trPr>
        <w:tc>
          <w:tcPr>
            <w:tcW w:w="831" w:type="pct"/>
            <w:vAlign w:val="bottom"/>
          </w:tcPr>
          <w:p w14:paraId="44127249"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FERC-505 </w:t>
            </w:r>
          </w:p>
        </w:tc>
        <w:tc>
          <w:tcPr>
            <w:tcW w:w="556" w:type="pct"/>
            <w:vAlign w:val="bottom"/>
          </w:tcPr>
          <w:p w14:paraId="12B744C5"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r w:rsidRPr="00AD2C01">
              <w:rPr>
                <w:rFonts w:ascii="Times New Roman" w:hAnsi="Times New Roman"/>
                <w:b/>
                <w:sz w:val="26"/>
                <w:szCs w:val="26"/>
                <w:vertAlign w:val="superscript"/>
              </w:rPr>
              <w:footnoteReference w:id="20"/>
            </w:r>
          </w:p>
        </w:tc>
        <w:tc>
          <w:tcPr>
            <w:tcW w:w="602" w:type="pct"/>
            <w:vAlign w:val="bottom"/>
          </w:tcPr>
          <w:p w14:paraId="1BD602C6"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7C352B29"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p>
        </w:tc>
        <w:tc>
          <w:tcPr>
            <w:tcW w:w="787" w:type="pct"/>
            <w:vAlign w:val="bottom"/>
          </w:tcPr>
          <w:p w14:paraId="1EC5BDCE"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230F4FB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143 hrs.; $7,656 (rounded)</w:t>
            </w:r>
          </w:p>
        </w:tc>
        <w:tc>
          <w:tcPr>
            <w:tcW w:w="741" w:type="pct"/>
            <w:vAlign w:val="bottom"/>
          </w:tcPr>
          <w:p w14:paraId="1D711A8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bl>
    <w:p w14:paraId="0FD51B52" w14:textId="77777777" w:rsidR="00F0627E" w:rsidRPr="00F1537F" w:rsidRDefault="00F0627E" w:rsidP="007445A8">
      <w:pPr>
        <w:spacing w:after="0" w:line="240" w:lineRule="auto"/>
        <w:rPr>
          <w:rFonts w:ascii="Times New Roman" w:hAnsi="Times New Roman"/>
          <w:sz w:val="24"/>
          <w:szCs w:val="24"/>
        </w:rPr>
      </w:pPr>
    </w:p>
    <w:p w14:paraId="7D85BF60"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0F0BB49F" w14:textId="77777777" w:rsidR="00974AFC" w:rsidRPr="00F1537F" w:rsidRDefault="00974AFC" w:rsidP="007445A8">
      <w:pPr>
        <w:spacing w:after="0" w:line="240" w:lineRule="auto"/>
        <w:rPr>
          <w:rFonts w:ascii="Times New Roman" w:hAnsi="Times New Roman"/>
          <w:sz w:val="24"/>
          <w:szCs w:val="24"/>
        </w:rPr>
      </w:pPr>
    </w:p>
    <w:p w14:paraId="4F1CFD38"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62B35CC" w14:textId="77777777" w:rsidR="004A36E5" w:rsidRPr="00F1537F" w:rsidRDefault="004A36E5" w:rsidP="007445A8">
      <w:pPr>
        <w:spacing w:after="0" w:line="240" w:lineRule="auto"/>
        <w:rPr>
          <w:rFonts w:ascii="Times New Roman" w:hAnsi="Times New Roman"/>
          <w:sz w:val="24"/>
          <w:szCs w:val="24"/>
        </w:rPr>
      </w:pPr>
    </w:p>
    <w:p w14:paraId="62BB8E87"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5057AC74"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4E7FCF0F" w14:textId="77777777" w:rsidR="004A36E5" w:rsidRPr="00F1537F" w:rsidRDefault="004A36E5" w:rsidP="007445A8">
      <w:pPr>
        <w:spacing w:after="0" w:line="240" w:lineRule="auto"/>
        <w:rPr>
          <w:rFonts w:ascii="Times New Roman" w:hAnsi="Times New Roman"/>
          <w:sz w:val="24"/>
          <w:szCs w:val="24"/>
        </w:rPr>
      </w:pPr>
    </w:p>
    <w:p w14:paraId="18374207"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1AECB646" w14:textId="77777777" w:rsidR="00F0627E" w:rsidRPr="00F1537F" w:rsidRDefault="00F0627E" w:rsidP="007445A8">
      <w:pPr>
        <w:spacing w:after="0" w:line="240" w:lineRule="auto"/>
        <w:rPr>
          <w:rFonts w:ascii="Times New Roman" w:hAnsi="Times New Roman"/>
          <w:sz w:val="24"/>
          <w:szCs w:val="24"/>
        </w:rPr>
      </w:pPr>
    </w:p>
    <w:p w14:paraId="061969F5"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8029D45" w14:textId="77777777" w:rsidR="00BF3095" w:rsidRPr="00F1537F" w:rsidRDefault="00BF3095" w:rsidP="007445A8">
      <w:pPr>
        <w:pStyle w:val="ListParagraph"/>
        <w:spacing w:after="0" w:line="240" w:lineRule="auto"/>
        <w:ind w:left="0"/>
        <w:rPr>
          <w:rFonts w:ascii="Times New Roman" w:hAnsi="Times New Roman"/>
          <w:sz w:val="24"/>
          <w:szCs w:val="24"/>
        </w:rPr>
      </w:pPr>
    </w:p>
    <w:p w14:paraId="37581B8F" w14:textId="063FD31D" w:rsidR="00244BC9" w:rsidRPr="00244BC9" w:rsidRDefault="00247EBC" w:rsidP="00244BC9">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244BC9" w:rsidRPr="00247EBC">
        <w:rPr>
          <w:rFonts w:ascii="Times New Roman" w:hAnsi="Times New Roman"/>
          <w:sz w:val="24"/>
          <w:szCs w:val="24"/>
        </w:rPr>
        <w:t xml:space="preserve">The </w:t>
      </w:r>
      <w:r w:rsidR="00244BC9" w:rsidRPr="00244BC9">
        <w:rPr>
          <w:rFonts w:ascii="Times New Roman" w:hAnsi="Times New Roman"/>
          <w:sz w:val="24"/>
          <w:szCs w:val="24"/>
        </w:rPr>
        <w:t xml:space="preserve">estimate of the cost for </w:t>
      </w:r>
      <w:r w:rsidR="00DB684E">
        <w:rPr>
          <w:rFonts w:ascii="Times New Roman" w:hAnsi="Times New Roman"/>
          <w:sz w:val="24"/>
          <w:szCs w:val="24"/>
        </w:rPr>
        <w:t>‘</w:t>
      </w:r>
      <w:r w:rsidR="00244BC9" w:rsidRPr="00244BC9">
        <w:rPr>
          <w:rFonts w:ascii="Times New Roman" w:hAnsi="Times New Roman"/>
          <w:sz w:val="24"/>
          <w:szCs w:val="24"/>
        </w:rPr>
        <w:t>analysis and processing of filings</w:t>
      </w:r>
      <w:r w:rsidR="00DB684E">
        <w:rPr>
          <w:rFonts w:ascii="Times New Roman" w:hAnsi="Times New Roman"/>
          <w:sz w:val="24"/>
          <w:szCs w:val="24"/>
        </w:rPr>
        <w:t>’</w:t>
      </w:r>
      <w:r w:rsidRPr="00247EBC">
        <w:rPr>
          <w:rStyle w:val="FootnoteReference"/>
          <w:rFonts w:ascii="Times New Roman" w:hAnsi="Times New Roman"/>
          <w:sz w:val="24"/>
          <w:szCs w:val="24"/>
          <w:vertAlign w:val="superscript"/>
        </w:rPr>
        <w:footnoteReference w:id="21"/>
      </w:r>
      <w:r w:rsidR="00244BC9" w:rsidRPr="00247EBC">
        <w:rPr>
          <w:rFonts w:ascii="Times New Roman" w:hAnsi="Times New Roman"/>
          <w:sz w:val="24"/>
          <w:szCs w:val="24"/>
          <w:vertAlign w:val="superscript"/>
        </w:rPr>
        <w:t xml:space="preserve"> </w:t>
      </w:r>
      <w:r w:rsidR="00244BC9"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FERC-500 and FERC-505, not simply for the areas affected by</w:t>
      </w:r>
      <w:r w:rsidR="001968EA">
        <w:rPr>
          <w:rFonts w:ascii="Times New Roman" w:hAnsi="Times New Roman"/>
          <w:sz w:val="24"/>
          <w:szCs w:val="24"/>
        </w:rPr>
        <w:t>,</w:t>
      </w:r>
      <w:r>
        <w:rPr>
          <w:rFonts w:ascii="Times New Roman" w:hAnsi="Times New Roman"/>
          <w:sz w:val="24"/>
          <w:szCs w:val="24"/>
        </w:rPr>
        <w:t xml:space="preserve"> or additions due to</w:t>
      </w:r>
      <w:r w:rsidR="001968EA">
        <w:rPr>
          <w:rFonts w:ascii="Times New Roman" w:hAnsi="Times New Roman"/>
          <w:sz w:val="24"/>
          <w:szCs w:val="24"/>
        </w:rPr>
        <w:t>,</w:t>
      </w:r>
      <w:r>
        <w:rPr>
          <w:rFonts w:ascii="Times New Roman" w:hAnsi="Times New Roman"/>
          <w:sz w:val="24"/>
          <w:szCs w:val="24"/>
        </w:rPr>
        <w:t xml:space="preserve"> the NOPR in RM18-14.</w:t>
      </w:r>
    </w:p>
    <w:p w14:paraId="4A261F54" w14:textId="77777777" w:rsidR="00244BC9" w:rsidRPr="00244BC9" w:rsidRDefault="00244BC9" w:rsidP="00244BC9">
      <w:pPr>
        <w:spacing w:after="0" w:line="240" w:lineRule="auto"/>
        <w:rPr>
          <w:rFonts w:ascii="Times New Roman" w:hAnsi="Times New Roman"/>
          <w:sz w:val="24"/>
          <w:szCs w:val="24"/>
        </w:rPr>
      </w:pPr>
    </w:p>
    <w:p w14:paraId="338CC650" w14:textId="0F32AF50"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2"/>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AA0BB03" w14:textId="77777777" w:rsidR="00244BC9" w:rsidRDefault="00244BC9" w:rsidP="007445A8">
      <w:pPr>
        <w:spacing w:after="0" w:line="240" w:lineRule="auto"/>
        <w:rPr>
          <w:rFonts w:ascii="Times New Roman" w:hAnsi="Times New Roman"/>
          <w:sz w:val="24"/>
          <w:szCs w:val="24"/>
        </w:rPr>
      </w:pPr>
    </w:p>
    <w:p w14:paraId="433334A9"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1E7817AE"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ED1ECCD" w14:textId="77777777" w:rsidTr="00247EBC">
        <w:tc>
          <w:tcPr>
            <w:tcW w:w="2938" w:type="dxa"/>
            <w:shd w:val="clear" w:color="auto" w:fill="CCCCCC"/>
            <w:vAlign w:val="bottom"/>
          </w:tcPr>
          <w:p w14:paraId="0031315A"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A3EF394"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5C136336"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FCAF49E" w14:textId="77777777" w:rsidTr="00E20CEF">
        <w:tc>
          <w:tcPr>
            <w:tcW w:w="2938" w:type="dxa"/>
            <w:shd w:val="clear" w:color="auto" w:fill="auto"/>
          </w:tcPr>
          <w:p w14:paraId="06765AA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05816F6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519B59A5" w14:textId="6D5CCD8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3CE9BE6E" w14:textId="77777777" w:rsidTr="00E20CEF">
        <w:tc>
          <w:tcPr>
            <w:tcW w:w="2938" w:type="dxa"/>
            <w:shd w:val="clear" w:color="auto" w:fill="auto"/>
          </w:tcPr>
          <w:p w14:paraId="38173DE5"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6EAE54A1"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30F1878B" w14:textId="7B979C66"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0D324CF3" w14:textId="77777777" w:rsidTr="00E20CEF">
        <w:tc>
          <w:tcPr>
            <w:tcW w:w="2938" w:type="dxa"/>
            <w:shd w:val="clear" w:color="auto" w:fill="auto"/>
          </w:tcPr>
          <w:p w14:paraId="6E3B611E"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709AFF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9B05825" w14:textId="1083164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5DBEC105"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195DF6CD" w14:textId="77777777" w:rsidTr="00247EBC">
        <w:tc>
          <w:tcPr>
            <w:tcW w:w="2965" w:type="dxa"/>
            <w:shd w:val="clear" w:color="auto" w:fill="D9D9D9" w:themeFill="background1" w:themeFillShade="D9"/>
            <w:vAlign w:val="bottom"/>
          </w:tcPr>
          <w:p w14:paraId="79FFC63D"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646501CD"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030831"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0ED10702" w14:textId="77777777" w:rsidTr="00E20CEF">
        <w:tc>
          <w:tcPr>
            <w:tcW w:w="2965" w:type="dxa"/>
            <w:shd w:val="clear" w:color="auto" w:fill="FFFFFF"/>
            <w:vAlign w:val="bottom"/>
          </w:tcPr>
          <w:p w14:paraId="44D1D663"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411A6B7B" w14:textId="77777777" w:rsidR="00F60F4E" w:rsidRPr="00030D70" w:rsidRDefault="006B48FF" w:rsidP="007445A8">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2D9A2D85" w14:textId="3B9EE1E7" w:rsidR="00F60F4E" w:rsidRPr="00030D70" w:rsidRDefault="00F60F4E" w:rsidP="00D53FDE">
            <w:pPr>
              <w:spacing w:after="0" w:line="240" w:lineRule="auto"/>
              <w:jc w:val="right"/>
              <w:rPr>
                <w:rFonts w:ascii="Times New Roman" w:hAnsi="Times New Roman"/>
                <w:sz w:val="24"/>
                <w:szCs w:val="24"/>
              </w:rPr>
            </w:pPr>
            <w:r w:rsidRPr="00030D70">
              <w:rPr>
                <w:rFonts w:ascii="Times New Roman" w:hAnsi="Times New Roman"/>
                <w:sz w:val="24"/>
                <w:szCs w:val="24"/>
              </w:rPr>
              <w:t>$</w:t>
            </w:r>
            <w:r w:rsidR="006B48FF" w:rsidRPr="00030D70">
              <w:rPr>
                <w:rFonts w:ascii="Times New Roman" w:hAnsi="Times New Roman"/>
                <w:sz w:val="24"/>
                <w:szCs w:val="24"/>
              </w:rPr>
              <w:t>1,</w:t>
            </w:r>
            <w:r w:rsidR="00D53FDE">
              <w:rPr>
                <w:rFonts w:ascii="Times New Roman" w:hAnsi="Times New Roman"/>
                <w:sz w:val="24"/>
                <w:szCs w:val="24"/>
              </w:rPr>
              <w:t>400,970</w:t>
            </w:r>
          </w:p>
        </w:tc>
      </w:tr>
      <w:tr w:rsidR="00F60F4E" w:rsidRPr="00D53FDE" w14:paraId="4D21DC93" w14:textId="77777777" w:rsidTr="00D53FDE">
        <w:tc>
          <w:tcPr>
            <w:tcW w:w="2965" w:type="dxa"/>
            <w:shd w:val="clear" w:color="auto" w:fill="FFFFFF"/>
            <w:vAlign w:val="bottom"/>
          </w:tcPr>
          <w:p w14:paraId="04069A58"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C5BC17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718CA9E" w14:textId="28A35EA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BCD1723" w14:textId="77777777" w:rsidTr="00D53FDE">
        <w:tc>
          <w:tcPr>
            <w:tcW w:w="2965" w:type="dxa"/>
            <w:shd w:val="clear" w:color="auto" w:fill="FFFFFF"/>
            <w:vAlign w:val="bottom"/>
          </w:tcPr>
          <w:p w14:paraId="2717D0B1"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F60F4E" w:rsidRPr="00030D70">
              <w:rPr>
                <w:rFonts w:ascii="Times New Roman" w:hAnsi="Times New Roman"/>
                <w:b/>
                <w:sz w:val="24"/>
                <w:szCs w:val="24"/>
              </w:rPr>
              <w:t xml:space="preserve">FERC-505 </w:t>
            </w:r>
          </w:p>
        </w:tc>
        <w:tc>
          <w:tcPr>
            <w:tcW w:w="2880" w:type="dxa"/>
            <w:shd w:val="clear" w:color="auto" w:fill="FFFFFF"/>
            <w:vAlign w:val="center"/>
          </w:tcPr>
          <w:p w14:paraId="57ADCF3F"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41F47F86" w14:textId="33453E02" w:rsidR="00F60F4E" w:rsidRPr="00D53FDE" w:rsidRDefault="00F60F4E" w:rsidP="00D53FDE">
            <w:pPr>
              <w:spacing w:after="0" w:line="240" w:lineRule="auto"/>
              <w:jc w:val="right"/>
              <w:rPr>
                <w:rFonts w:ascii="Times New Roman" w:hAnsi="Times New Roman"/>
                <w:sz w:val="24"/>
                <w:szCs w:val="24"/>
              </w:rPr>
            </w:pPr>
            <w:r w:rsidRPr="00D53FDE">
              <w:rPr>
                <w:rFonts w:ascii="Times New Roman" w:hAnsi="Times New Roman"/>
                <w:sz w:val="24"/>
                <w:szCs w:val="24"/>
              </w:rPr>
              <w:t>$</w:t>
            </w:r>
            <w:r w:rsidR="006B48FF" w:rsidRPr="00D53FDE">
              <w:rPr>
                <w:rFonts w:ascii="Times New Roman" w:hAnsi="Times New Roman"/>
                <w:sz w:val="24"/>
                <w:szCs w:val="24"/>
              </w:rPr>
              <w:t>1,</w:t>
            </w:r>
            <w:r w:rsidR="00D53FDE" w:rsidRPr="00D53FDE">
              <w:rPr>
                <w:rFonts w:ascii="Times New Roman" w:hAnsi="Times New Roman"/>
                <w:sz w:val="24"/>
                <w:szCs w:val="24"/>
              </w:rPr>
              <w:t>405,901</w:t>
            </w:r>
          </w:p>
        </w:tc>
      </w:tr>
    </w:tbl>
    <w:p w14:paraId="65FD8349" w14:textId="77777777" w:rsidR="00F20B97" w:rsidRDefault="00F20B97" w:rsidP="007445A8">
      <w:pPr>
        <w:spacing w:after="0" w:line="240" w:lineRule="auto"/>
        <w:rPr>
          <w:rFonts w:ascii="Times New Roman" w:hAnsi="Times New Roman"/>
          <w:sz w:val="24"/>
          <w:szCs w:val="24"/>
        </w:rPr>
      </w:pPr>
    </w:p>
    <w:p w14:paraId="12A318BE" w14:textId="64FA7CB0" w:rsidR="002A725B" w:rsidRDefault="00E837F5"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002A725B" w:rsidRPr="00E837F5">
        <w:rPr>
          <w:rFonts w:ascii="Times New Roman" w:hAnsi="Times New Roman"/>
          <w:sz w:val="24"/>
          <w:szCs w:val="24"/>
        </w:rPr>
        <w:t>Because th</w:t>
      </w:r>
      <w:r w:rsidR="002A725B">
        <w:rPr>
          <w:rFonts w:ascii="Times New Roman" w:hAnsi="Times New Roman"/>
          <w:sz w:val="24"/>
          <w:szCs w:val="24"/>
        </w:rPr>
        <w:t>e Form 80 is being proposed for elimination, on approval and implementation of a final rule</w:t>
      </w:r>
      <w:r>
        <w:rPr>
          <w:rFonts w:ascii="Times New Roman" w:hAnsi="Times New Roman"/>
          <w:sz w:val="24"/>
          <w:szCs w:val="24"/>
        </w:rPr>
        <w:t xml:space="preserve"> in this docket</w:t>
      </w:r>
      <w:r w:rsidR="002A725B">
        <w:rPr>
          <w:rFonts w:ascii="Times New Roman" w:hAnsi="Times New Roman"/>
          <w:sz w:val="24"/>
          <w:szCs w:val="24"/>
        </w:rPr>
        <w:t>, the estimated annual federal cost will be revised to $0 (from the estimate of $31,30</w:t>
      </w:r>
      <w:r>
        <w:rPr>
          <w:rFonts w:ascii="Times New Roman" w:hAnsi="Times New Roman"/>
          <w:sz w:val="24"/>
          <w:szCs w:val="24"/>
        </w:rPr>
        <w:t>7</w:t>
      </w:r>
      <w:r w:rsidR="002A725B">
        <w:rPr>
          <w:rFonts w:ascii="Times New Roman" w:hAnsi="Times New Roman"/>
          <w:sz w:val="24"/>
          <w:szCs w:val="24"/>
        </w:rPr>
        <w:t xml:space="preserve"> currently in the OMB-approved inventory).</w:t>
      </w:r>
      <w:r w:rsidR="00236DFB">
        <w:rPr>
          <w:rFonts w:ascii="Times New Roman" w:hAnsi="Times New Roman"/>
          <w:sz w:val="24"/>
          <w:szCs w:val="24"/>
        </w:rPr>
        <w:t xml:space="preserve">  However, the Form 80 is still an active collection (and will remain so until </w:t>
      </w:r>
      <w:r w:rsidR="001968EA">
        <w:rPr>
          <w:rFonts w:ascii="Times New Roman" w:hAnsi="Times New Roman"/>
          <w:sz w:val="24"/>
          <w:szCs w:val="24"/>
        </w:rPr>
        <w:t>a</w:t>
      </w:r>
      <w:r w:rsidR="00236DFB">
        <w:rPr>
          <w:rFonts w:ascii="Times New Roman" w:hAnsi="Times New Roman"/>
          <w:sz w:val="24"/>
          <w:szCs w:val="24"/>
        </w:rPr>
        <w:t xml:space="preserve"> </w:t>
      </w:r>
      <w:r w:rsidR="001968EA">
        <w:rPr>
          <w:rFonts w:ascii="Times New Roman" w:hAnsi="Times New Roman"/>
          <w:sz w:val="24"/>
          <w:szCs w:val="24"/>
        </w:rPr>
        <w:t xml:space="preserve">related </w:t>
      </w:r>
      <w:r w:rsidR="00236DFB">
        <w:rPr>
          <w:rFonts w:ascii="Times New Roman" w:hAnsi="Times New Roman"/>
          <w:sz w:val="24"/>
          <w:szCs w:val="24"/>
        </w:rPr>
        <w:t>final rule</w:t>
      </w:r>
      <w:r w:rsidR="001968EA">
        <w:rPr>
          <w:rFonts w:ascii="Times New Roman" w:hAnsi="Times New Roman"/>
          <w:sz w:val="24"/>
          <w:szCs w:val="24"/>
        </w:rPr>
        <w:t xml:space="preserve"> is approved and implemented</w:t>
      </w:r>
      <w:r w:rsidR="00236DFB">
        <w:rPr>
          <w:rFonts w:ascii="Times New Roman" w:hAnsi="Times New Roman"/>
          <w:sz w:val="24"/>
          <w:szCs w:val="24"/>
        </w:rPr>
        <w:t>) and its estimated annual cost must be counted.  Thus, t</w:t>
      </w:r>
      <w:r w:rsidR="00C5088F">
        <w:rPr>
          <w:rFonts w:ascii="Times New Roman" w:hAnsi="Times New Roman"/>
          <w:sz w:val="24"/>
          <w:szCs w:val="24"/>
        </w:rPr>
        <w:t>he $31,307 in the current OMB inventory plus the PRA cost of $4,931, gives a total of $36,238, shown in reginfo.gov and ROCIS.</w:t>
      </w:r>
    </w:p>
    <w:p w14:paraId="376D123D" w14:textId="77777777" w:rsidR="002A725B" w:rsidRPr="00030D70" w:rsidRDefault="002A725B" w:rsidP="007445A8">
      <w:pPr>
        <w:spacing w:after="0" w:line="240" w:lineRule="auto"/>
        <w:rPr>
          <w:rFonts w:ascii="Times New Roman" w:hAnsi="Times New Roman"/>
          <w:sz w:val="24"/>
          <w:szCs w:val="24"/>
        </w:rPr>
      </w:pPr>
    </w:p>
    <w:p w14:paraId="49A28519"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7AD8FA67" w14:textId="77777777" w:rsidR="00F20B97" w:rsidRDefault="00F20B97" w:rsidP="007445A8">
      <w:pPr>
        <w:spacing w:after="0" w:line="240" w:lineRule="auto"/>
        <w:rPr>
          <w:rFonts w:ascii="Times New Roman" w:hAnsi="Times New Roman"/>
          <w:sz w:val="24"/>
          <w:szCs w:val="24"/>
        </w:rPr>
      </w:pPr>
    </w:p>
    <w:p w14:paraId="710B37F4" w14:textId="77777777" w:rsidR="00450F57" w:rsidRPr="00450F57" w:rsidRDefault="00450F57" w:rsidP="00450F57">
      <w:pPr>
        <w:spacing w:after="0" w:line="240" w:lineRule="auto"/>
        <w:rPr>
          <w:rFonts w:ascii="Times New Roman" w:hAnsi="Times New Roman"/>
          <w:sz w:val="24"/>
          <w:szCs w:val="24"/>
        </w:rPr>
      </w:pPr>
      <w:r>
        <w:rPr>
          <w:rFonts w:ascii="Times New Roman" w:hAnsi="Times New Roman"/>
          <w:sz w:val="24"/>
          <w:szCs w:val="24"/>
        </w:rPr>
        <w:t xml:space="preserve">The </w:t>
      </w:r>
      <w:r w:rsidRPr="00450F57">
        <w:rPr>
          <w:rFonts w:ascii="Times New Roman" w:hAnsi="Times New Roman"/>
          <w:sz w:val="24"/>
          <w:szCs w:val="24"/>
        </w:rPr>
        <w:t>Commission proposes to eliminat</w:t>
      </w:r>
      <w:r w:rsidR="00AE6820">
        <w:rPr>
          <w:rFonts w:ascii="Times New Roman" w:hAnsi="Times New Roman"/>
          <w:sz w:val="24"/>
          <w:szCs w:val="24"/>
        </w:rPr>
        <w:t>e</w:t>
      </w:r>
      <w:r w:rsidRPr="00450F57">
        <w:rPr>
          <w:rFonts w:ascii="Times New Roman" w:hAnsi="Times New Roman"/>
          <w:sz w:val="24"/>
          <w:szCs w:val="24"/>
        </w:rPr>
        <w:t xml:space="preserve"> the requirement for licensees to file Form 80.  In addition, the Commission proposes to revise its regulations </w:t>
      </w:r>
      <w:r>
        <w:rPr>
          <w:rFonts w:ascii="Times New Roman" w:hAnsi="Times New Roman"/>
          <w:sz w:val="24"/>
          <w:szCs w:val="24"/>
        </w:rPr>
        <w:t xml:space="preserve">(affecting FERC-500 and FERC-505) </w:t>
      </w:r>
      <w:r w:rsidRPr="00450F57">
        <w:rPr>
          <w:rFonts w:ascii="Times New Roman" w:hAnsi="Times New Roman"/>
          <w:sz w:val="24"/>
          <w:szCs w:val="24"/>
        </w:rPr>
        <w:t xml:space="preserve">to modernize public notice practices, clarify recreational signage requirements, and provide flexibility to assist licensees’ compliance efforts.  </w:t>
      </w:r>
    </w:p>
    <w:p w14:paraId="566E7344" w14:textId="77777777" w:rsidR="00450F57" w:rsidRDefault="00450F57" w:rsidP="00450F57">
      <w:pPr>
        <w:spacing w:after="0" w:line="240" w:lineRule="auto"/>
        <w:rPr>
          <w:rFonts w:ascii="Times New Roman" w:hAnsi="Times New Roman"/>
          <w:b/>
          <w:bCs/>
          <w:sz w:val="24"/>
          <w:szCs w:val="24"/>
          <w:u w:val="single"/>
        </w:rPr>
      </w:pPr>
      <w:bookmarkStart w:id="1" w:name="_bmk1"/>
    </w:p>
    <w:p w14:paraId="6648D9A2" w14:textId="222D5DAB" w:rsidR="006955A3" w:rsidRPr="00C731FD" w:rsidRDefault="006955A3" w:rsidP="00450F5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p>
    <w:p w14:paraId="13D20534" w14:textId="77777777" w:rsidR="006955A3" w:rsidRDefault="006955A3" w:rsidP="00450F57">
      <w:pPr>
        <w:spacing w:after="0" w:line="240" w:lineRule="auto"/>
        <w:rPr>
          <w:rFonts w:ascii="Times New Roman" w:hAnsi="Times New Roman"/>
          <w:b/>
          <w:bCs/>
          <w:sz w:val="24"/>
          <w:szCs w:val="24"/>
          <w:u w:val="single"/>
        </w:rPr>
      </w:pPr>
    </w:p>
    <w:p w14:paraId="36F6A437" w14:textId="775DF074" w:rsidR="00ED6497" w:rsidRPr="00ED6497" w:rsidRDefault="00ED6497" w:rsidP="00450F57">
      <w:pPr>
        <w:spacing w:after="0" w:line="240" w:lineRule="auto"/>
        <w:rPr>
          <w:rFonts w:ascii="Times New Roman" w:hAnsi="Times New Roman"/>
          <w:bCs/>
          <w:sz w:val="24"/>
          <w:szCs w:val="24"/>
        </w:rPr>
      </w:pPr>
      <w:r>
        <w:rPr>
          <w:rFonts w:ascii="Times New Roman" w:hAnsi="Times New Roman"/>
          <w:b/>
          <w:bCs/>
          <w:sz w:val="24"/>
          <w:szCs w:val="24"/>
        </w:rPr>
        <w:t xml:space="preserve">Form 80.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sidR="00D44FCA">
        <w:rPr>
          <w:rFonts w:ascii="Times New Roman" w:hAnsi="Times New Roman"/>
          <w:bCs/>
          <w:i/>
          <w:sz w:val="24"/>
          <w:szCs w:val="24"/>
        </w:rPr>
        <w:t xml:space="preserve"> (as shown in the table in Question 12, above)</w:t>
      </w:r>
      <w:r w:rsidRPr="00ED6497">
        <w:rPr>
          <w:rFonts w:ascii="Times New Roman" w:hAnsi="Times New Roman"/>
          <w:bCs/>
          <w:i/>
          <w:sz w:val="24"/>
          <w:szCs w:val="24"/>
        </w:rPr>
        <w:t>.  However we are retaining placeholder</w:t>
      </w:r>
      <w:r w:rsidR="00236DFB">
        <w:rPr>
          <w:rFonts w:ascii="Times New Roman" w:hAnsi="Times New Roman"/>
          <w:bCs/>
          <w:i/>
          <w:sz w:val="24"/>
          <w:szCs w:val="24"/>
        </w:rPr>
        <w:t xml:space="preserve"> figures</w:t>
      </w:r>
      <w:r w:rsidRPr="00ED6497">
        <w:rPr>
          <w:rFonts w:ascii="Times New Roman" w:hAnsi="Times New Roman"/>
          <w:bCs/>
          <w:i/>
          <w:sz w:val="24"/>
          <w:szCs w:val="24"/>
        </w:rPr>
        <w:t xml:space="preserve"> of 1 response and 1 burden hour in </w:t>
      </w:r>
      <w:r w:rsidR="00D44FCA">
        <w:rPr>
          <w:rFonts w:ascii="Times New Roman" w:hAnsi="Times New Roman"/>
          <w:bCs/>
          <w:i/>
          <w:sz w:val="24"/>
          <w:szCs w:val="24"/>
        </w:rPr>
        <w:t xml:space="preserve">Question 15 here, </w:t>
      </w:r>
      <w:r w:rsidRPr="00ED6497">
        <w:rPr>
          <w:rFonts w:ascii="Times New Roman" w:hAnsi="Times New Roman"/>
          <w:bCs/>
          <w:i/>
          <w:sz w:val="24"/>
          <w:szCs w:val="24"/>
        </w:rPr>
        <w:t>ROCIS</w:t>
      </w:r>
      <w:r w:rsidR="009B513C">
        <w:rPr>
          <w:rFonts w:ascii="Times New Roman" w:hAnsi="Times New Roman"/>
          <w:bCs/>
          <w:i/>
          <w:sz w:val="24"/>
          <w:szCs w:val="24"/>
        </w:rPr>
        <w:t>,</w:t>
      </w:r>
      <w:r w:rsidRPr="00ED6497">
        <w:rPr>
          <w:rFonts w:ascii="Times New Roman" w:hAnsi="Times New Roman"/>
          <w:bCs/>
          <w:i/>
          <w:sz w:val="24"/>
          <w:szCs w:val="24"/>
        </w:rPr>
        <w:t xml:space="preserve"> and reginfo.gov</w:t>
      </w:r>
      <w:r>
        <w:rPr>
          <w:rFonts w:ascii="Times New Roman" w:hAnsi="Times New Roman"/>
          <w:bCs/>
          <w:i/>
          <w:sz w:val="24"/>
          <w:szCs w:val="24"/>
        </w:rPr>
        <w:t xml:space="preserve"> at this proposed rulemaking stage.  If and when the related Final Rule is approved deleting the Form 80, the submittal will delete the en</w:t>
      </w:r>
      <w:r w:rsidR="00D44FCA">
        <w:rPr>
          <w:rFonts w:ascii="Times New Roman" w:hAnsi="Times New Roman"/>
          <w:bCs/>
          <w:i/>
          <w:sz w:val="24"/>
          <w:szCs w:val="24"/>
        </w:rPr>
        <w:t>tire burden for the collection (</w:t>
      </w:r>
      <w:r>
        <w:rPr>
          <w:rFonts w:ascii="Times New Roman" w:hAnsi="Times New Roman"/>
          <w:bCs/>
          <w:i/>
          <w:sz w:val="24"/>
          <w:szCs w:val="24"/>
        </w:rPr>
        <w:t>OMB Control No.)</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69B03680" w14:textId="77777777" w:rsidTr="00ED6497">
        <w:trPr>
          <w:trHeight w:val="870"/>
        </w:trPr>
        <w:tc>
          <w:tcPr>
            <w:tcW w:w="2679" w:type="dxa"/>
            <w:shd w:val="clear" w:color="auto" w:fill="D9D9D9"/>
            <w:vAlign w:val="bottom"/>
          </w:tcPr>
          <w:bookmarkEnd w:id="1"/>
          <w:p w14:paraId="7B1E5E33" w14:textId="77777777" w:rsidR="00587AD0" w:rsidRPr="00F1537F" w:rsidRDefault="00587AD0" w:rsidP="00587AD0">
            <w:pPr>
              <w:spacing w:after="0" w:line="240" w:lineRule="auto"/>
              <w:jc w:val="center"/>
              <w:rPr>
                <w:rFonts w:ascii="Times New Roman" w:hAnsi="Times New Roman"/>
                <w:b/>
                <w:sz w:val="24"/>
                <w:szCs w:val="24"/>
              </w:rPr>
            </w:pPr>
            <w:r w:rsidRPr="00F1537F">
              <w:rPr>
                <w:rFonts w:ascii="Times New Roman" w:hAnsi="Times New Roman"/>
                <w:b/>
                <w:sz w:val="24"/>
                <w:szCs w:val="24"/>
              </w:rPr>
              <w:t>FERC-</w:t>
            </w:r>
            <w:r>
              <w:rPr>
                <w:rFonts w:ascii="Times New Roman" w:hAnsi="Times New Roman"/>
                <w:b/>
                <w:sz w:val="24"/>
                <w:szCs w:val="24"/>
              </w:rPr>
              <w:t>80</w:t>
            </w:r>
            <w:r w:rsidR="00EA13DC" w:rsidRPr="001C2A53">
              <w:rPr>
                <w:rStyle w:val="FootnoteReference"/>
                <w:rFonts w:ascii="Times New Roman" w:hAnsi="Times New Roman"/>
                <w:b/>
                <w:sz w:val="24"/>
                <w:szCs w:val="24"/>
                <w:vertAlign w:val="superscript"/>
              </w:rPr>
              <w:footnoteReference w:id="23"/>
            </w:r>
          </w:p>
        </w:tc>
        <w:tc>
          <w:tcPr>
            <w:tcW w:w="1461" w:type="dxa"/>
            <w:shd w:val="clear" w:color="auto" w:fill="D9D9D9"/>
            <w:vAlign w:val="bottom"/>
          </w:tcPr>
          <w:p w14:paraId="5710C136"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38D12A08"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4B464095"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61287F80"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1C84CAC2" w14:textId="77777777" w:rsidTr="001C2A53">
        <w:trPr>
          <w:trHeight w:val="521"/>
        </w:trPr>
        <w:tc>
          <w:tcPr>
            <w:tcW w:w="2679" w:type="dxa"/>
            <w:shd w:val="clear" w:color="auto" w:fill="auto"/>
            <w:vAlign w:val="bottom"/>
          </w:tcPr>
          <w:p w14:paraId="2827C702"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190A70E5" w14:textId="71A86764"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4099BA83" w14:textId="77777777" w:rsidR="00587AD0" w:rsidRPr="007445A8"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67</w:t>
            </w:r>
          </w:p>
        </w:tc>
        <w:tc>
          <w:tcPr>
            <w:tcW w:w="1800" w:type="dxa"/>
            <w:shd w:val="clear" w:color="auto" w:fill="auto"/>
            <w:vAlign w:val="bottom"/>
          </w:tcPr>
          <w:p w14:paraId="64950BB4"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44EEE99B" w14:textId="293291A0"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w:t>
            </w:r>
            <w:r w:rsidR="00ED6497">
              <w:rPr>
                <w:rFonts w:ascii="Times New Roman" w:hAnsi="Times New Roman"/>
                <w:sz w:val="24"/>
                <w:szCs w:val="24"/>
              </w:rPr>
              <w:t>6</w:t>
            </w:r>
          </w:p>
        </w:tc>
      </w:tr>
      <w:tr w:rsidR="00587AD0" w:rsidRPr="00F1537F" w14:paraId="400820FF" w14:textId="77777777" w:rsidTr="00ED6497">
        <w:trPr>
          <w:trHeight w:val="602"/>
        </w:trPr>
        <w:tc>
          <w:tcPr>
            <w:tcW w:w="2679" w:type="dxa"/>
            <w:shd w:val="clear" w:color="auto" w:fill="auto"/>
            <w:vAlign w:val="bottom"/>
          </w:tcPr>
          <w:p w14:paraId="2D633A16"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52B82E04" w14:textId="4525A705"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7ECA28FD" w14:textId="77777777" w:rsidR="00587AD0" w:rsidRPr="00EA13DC" w:rsidRDefault="00EA13DC" w:rsidP="00ED6497">
            <w:pPr>
              <w:spacing w:after="0" w:line="240" w:lineRule="auto"/>
              <w:jc w:val="right"/>
              <w:rPr>
                <w:rFonts w:ascii="Times New Roman" w:hAnsi="Times New Roman"/>
                <w:sz w:val="24"/>
                <w:szCs w:val="24"/>
              </w:rPr>
            </w:pPr>
            <w:r w:rsidRPr="00EA13DC">
              <w:rPr>
                <w:rFonts w:ascii="Times New Roman" w:hAnsi="Times New Roman"/>
                <w:sz w:val="24"/>
                <w:szCs w:val="24"/>
              </w:rPr>
              <w:t>201</w:t>
            </w:r>
          </w:p>
        </w:tc>
        <w:tc>
          <w:tcPr>
            <w:tcW w:w="1800" w:type="dxa"/>
            <w:shd w:val="clear" w:color="auto" w:fill="auto"/>
            <w:vAlign w:val="bottom"/>
          </w:tcPr>
          <w:p w14:paraId="2C937470" w14:textId="77777777" w:rsidR="00587AD0" w:rsidRPr="00EA13DC"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2FE6B059" w14:textId="0AEB646C"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-20</w:t>
            </w:r>
            <w:r w:rsidR="00ED6497">
              <w:rPr>
                <w:rFonts w:ascii="Times New Roman" w:hAnsi="Times New Roman"/>
                <w:sz w:val="24"/>
                <w:szCs w:val="24"/>
              </w:rPr>
              <w:t>0</w:t>
            </w:r>
          </w:p>
        </w:tc>
      </w:tr>
      <w:tr w:rsidR="00587AD0" w:rsidRPr="00F1537F" w14:paraId="17822E3F" w14:textId="77777777" w:rsidTr="00ED6497">
        <w:trPr>
          <w:trHeight w:val="467"/>
        </w:trPr>
        <w:tc>
          <w:tcPr>
            <w:tcW w:w="2679" w:type="dxa"/>
            <w:shd w:val="clear" w:color="auto" w:fill="auto"/>
            <w:vAlign w:val="bottom"/>
          </w:tcPr>
          <w:p w14:paraId="12E6A83D"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35D0D838"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2803AEB1"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305187AE"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42CEEDB6"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7834D32B" w14:textId="77777777" w:rsidR="00587AD0" w:rsidRDefault="00587AD0" w:rsidP="00ED6497">
      <w:pPr>
        <w:spacing w:after="0" w:line="240" w:lineRule="auto"/>
        <w:rPr>
          <w:rFonts w:ascii="Times New Roman" w:hAnsi="Times New Roman"/>
          <w:sz w:val="24"/>
          <w:szCs w:val="24"/>
        </w:rPr>
      </w:pPr>
    </w:p>
    <w:p w14:paraId="416F2ECF" w14:textId="2CC9B4E5" w:rsidR="00ED6497"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FERC-500.</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4E328B3D" w14:textId="77777777" w:rsidTr="00ED6497">
        <w:trPr>
          <w:trHeight w:val="870"/>
        </w:trPr>
        <w:tc>
          <w:tcPr>
            <w:tcW w:w="2679" w:type="dxa"/>
            <w:shd w:val="clear" w:color="auto" w:fill="D9D9D9"/>
            <w:vAlign w:val="bottom"/>
          </w:tcPr>
          <w:p w14:paraId="1D95FFE0" w14:textId="77777777" w:rsidR="00587AD0" w:rsidRPr="00F1537F" w:rsidRDefault="00587AD0"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461" w:type="dxa"/>
            <w:shd w:val="clear" w:color="auto" w:fill="D9D9D9"/>
            <w:vAlign w:val="bottom"/>
          </w:tcPr>
          <w:p w14:paraId="1E85F38B"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13DCD3B2"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9B20FFC"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5F1BF27D"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5F5D8E5B" w14:textId="77777777" w:rsidTr="00ED6497">
        <w:trPr>
          <w:trHeight w:val="746"/>
        </w:trPr>
        <w:tc>
          <w:tcPr>
            <w:tcW w:w="2679" w:type="dxa"/>
            <w:shd w:val="clear" w:color="auto" w:fill="auto"/>
            <w:vAlign w:val="bottom"/>
          </w:tcPr>
          <w:p w14:paraId="0414773C"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202EE4A2"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512</w:t>
            </w:r>
          </w:p>
        </w:tc>
        <w:tc>
          <w:tcPr>
            <w:tcW w:w="1620" w:type="dxa"/>
            <w:shd w:val="clear" w:color="auto" w:fill="auto"/>
            <w:vAlign w:val="bottom"/>
          </w:tcPr>
          <w:p w14:paraId="4205D84B" w14:textId="77777777" w:rsidR="00587AD0" w:rsidRPr="007445A8" w:rsidRDefault="00B75FEE" w:rsidP="00ED6497">
            <w:pPr>
              <w:spacing w:after="0" w:line="240" w:lineRule="auto"/>
              <w:jc w:val="right"/>
              <w:rPr>
                <w:rFonts w:ascii="Times New Roman" w:hAnsi="Times New Roman"/>
                <w:sz w:val="24"/>
                <w:szCs w:val="24"/>
              </w:rPr>
            </w:pPr>
            <w:r>
              <w:rPr>
                <w:rFonts w:ascii="Times New Roman" w:hAnsi="Times New Roman"/>
                <w:sz w:val="24"/>
                <w:szCs w:val="24"/>
              </w:rPr>
              <w:t>83</w:t>
            </w:r>
          </w:p>
        </w:tc>
        <w:tc>
          <w:tcPr>
            <w:tcW w:w="1800" w:type="dxa"/>
            <w:shd w:val="clear" w:color="auto" w:fill="auto"/>
            <w:vAlign w:val="bottom"/>
          </w:tcPr>
          <w:p w14:paraId="75478CFC"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54F89449" w14:textId="77777777" w:rsidR="00587AD0" w:rsidRPr="00F1537F" w:rsidRDefault="006F5CD1" w:rsidP="006F5CD1">
            <w:pPr>
              <w:spacing w:after="0" w:line="240" w:lineRule="auto"/>
              <w:jc w:val="right"/>
              <w:rPr>
                <w:rFonts w:ascii="Times New Roman" w:hAnsi="Times New Roman"/>
                <w:sz w:val="24"/>
                <w:szCs w:val="24"/>
              </w:rPr>
            </w:pPr>
            <w:r>
              <w:rPr>
                <w:rFonts w:ascii="Times New Roman" w:hAnsi="Times New Roman"/>
                <w:sz w:val="24"/>
                <w:szCs w:val="24"/>
              </w:rPr>
              <w:t>+</w:t>
            </w:r>
            <w:r w:rsidRPr="006F5CD1">
              <w:rPr>
                <w:rFonts w:ascii="Times New Roman" w:hAnsi="Times New Roman"/>
                <w:sz w:val="24"/>
                <w:szCs w:val="24"/>
              </w:rPr>
              <w:t>429</w:t>
            </w:r>
            <w:r w:rsidRPr="006F5CD1">
              <w:rPr>
                <w:rFonts w:ascii="Times New Roman" w:hAnsi="Times New Roman"/>
                <w:b/>
                <w:sz w:val="24"/>
                <w:szCs w:val="24"/>
                <w:vertAlign w:val="superscript"/>
              </w:rPr>
              <w:footnoteReference w:id="24"/>
            </w:r>
            <w:r w:rsidRPr="006F5CD1">
              <w:rPr>
                <w:rFonts w:ascii="Times New Roman" w:hAnsi="Times New Roman"/>
                <w:sz w:val="24"/>
                <w:szCs w:val="24"/>
              </w:rPr>
              <w:t xml:space="preserve"> </w:t>
            </w:r>
          </w:p>
        </w:tc>
      </w:tr>
      <w:tr w:rsidR="00587AD0" w:rsidRPr="00F1537F" w14:paraId="456F8F1A" w14:textId="77777777" w:rsidTr="00587AD0">
        <w:trPr>
          <w:trHeight w:val="539"/>
        </w:trPr>
        <w:tc>
          <w:tcPr>
            <w:tcW w:w="2679" w:type="dxa"/>
            <w:shd w:val="clear" w:color="auto" w:fill="auto"/>
            <w:vAlign w:val="bottom"/>
          </w:tcPr>
          <w:p w14:paraId="232B3119"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4B073F1C"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321,721</w:t>
            </w:r>
          </w:p>
        </w:tc>
        <w:tc>
          <w:tcPr>
            <w:tcW w:w="1620" w:type="dxa"/>
            <w:shd w:val="clear" w:color="auto" w:fill="auto"/>
            <w:vAlign w:val="bottom"/>
          </w:tcPr>
          <w:p w14:paraId="700CE365" w14:textId="77777777" w:rsidR="00587AD0" w:rsidRPr="00B75FEE" w:rsidRDefault="00B75FEE" w:rsidP="00ED6497">
            <w:pPr>
              <w:spacing w:after="0" w:line="240" w:lineRule="auto"/>
              <w:jc w:val="right"/>
              <w:rPr>
                <w:rFonts w:ascii="Times New Roman" w:hAnsi="Times New Roman"/>
                <w:sz w:val="24"/>
                <w:szCs w:val="24"/>
              </w:rPr>
            </w:pPr>
            <w:r w:rsidRPr="00B75FEE">
              <w:rPr>
                <w:rFonts w:ascii="Times New Roman" w:hAnsi="Times New Roman"/>
                <w:sz w:val="24"/>
                <w:szCs w:val="24"/>
              </w:rPr>
              <w:t xml:space="preserve">321,506  </w:t>
            </w:r>
          </w:p>
        </w:tc>
        <w:tc>
          <w:tcPr>
            <w:tcW w:w="1800" w:type="dxa"/>
            <w:shd w:val="clear" w:color="auto" w:fill="auto"/>
            <w:vAlign w:val="bottom"/>
          </w:tcPr>
          <w:p w14:paraId="397C8BCF" w14:textId="77777777" w:rsidR="00587AD0" w:rsidRPr="00B75FEE"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7A0C5040" w14:textId="77777777" w:rsidR="00587AD0" w:rsidRPr="00F1537F" w:rsidRDefault="006F5CD1" w:rsidP="00ED6497">
            <w:pPr>
              <w:spacing w:after="0" w:line="240" w:lineRule="auto"/>
              <w:jc w:val="right"/>
              <w:rPr>
                <w:rFonts w:ascii="Times New Roman" w:hAnsi="Times New Roman"/>
                <w:sz w:val="24"/>
                <w:szCs w:val="24"/>
              </w:rPr>
            </w:pPr>
            <w:r>
              <w:rPr>
                <w:rFonts w:ascii="Times New Roman" w:hAnsi="Times New Roman"/>
                <w:sz w:val="24"/>
                <w:szCs w:val="24"/>
              </w:rPr>
              <w:t>+215</w:t>
            </w:r>
          </w:p>
        </w:tc>
      </w:tr>
      <w:tr w:rsidR="00587AD0" w:rsidRPr="00F1537F" w14:paraId="58C7A014" w14:textId="77777777" w:rsidTr="00ED6497">
        <w:trPr>
          <w:trHeight w:val="467"/>
        </w:trPr>
        <w:tc>
          <w:tcPr>
            <w:tcW w:w="2679" w:type="dxa"/>
            <w:shd w:val="clear" w:color="auto" w:fill="auto"/>
            <w:vAlign w:val="bottom"/>
          </w:tcPr>
          <w:p w14:paraId="63D1A8FE"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D4CFC39"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D7522C0"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61C2E5F5"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CFCC96A"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570E9DBA" w14:textId="77777777" w:rsidR="001968EA" w:rsidRDefault="001968EA" w:rsidP="00ED6497">
      <w:pPr>
        <w:spacing w:after="0" w:line="240" w:lineRule="auto"/>
        <w:rPr>
          <w:rFonts w:ascii="Times New Roman" w:hAnsi="Times New Roman"/>
          <w:b/>
          <w:sz w:val="24"/>
          <w:szCs w:val="24"/>
        </w:rPr>
      </w:pPr>
    </w:p>
    <w:p w14:paraId="7D54FE6C" w14:textId="512D8A4F" w:rsidR="00587AD0"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FERC-505.</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0BEE6E39" w14:textId="77777777" w:rsidTr="00ED6497">
        <w:trPr>
          <w:trHeight w:val="870"/>
        </w:trPr>
        <w:tc>
          <w:tcPr>
            <w:tcW w:w="2679" w:type="dxa"/>
            <w:shd w:val="clear" w:color="auto" w:fill="D9D9D9"/>
            <w:vAlign w:val="bottom"/>
          </w:tcPr>
          <w:p w14:paraId="40B1694C"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71217062"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2AE14F6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20AFAFD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0EF94590"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185E8026" w14:textId="77777777" w:rsidTr="00ED6497">
        <w:trPr>
          <w:trHeight w:val="746"/>
        </w:trPr>
        <w:tc>
          <w:tcPr>
            <w:tcW w:w="2679" w:type="dxa"/>
            <w:shd w:val="clear" w:color="auto" w:fill="auto"/>
            <w:vAlign w:val="bottom"/>
          </w:tcPr>
          <w:p w14:paraId="55072A11"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EE5B235"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319</w:t>
            </w:r>
          </w:p>
        </w:tc>
        <w:tc>
          <w:tcPr>
            <w:tcW w:w="1620" w:type="dxa"/>
            <w:shd w:val="clear" w:color="auto" w:fill="auto"/>
            <w:vAlign w:val="bottom"/>
          </w:tcPr>
          <w:p w14:paraId="1CF2618A" w14:textId="77777777" w:rsidR="00F0627E" w:rsidRPr="007445A8" w:rsidRDefault="00B75FEE" w:rsidP="007445A8">
            <w:pPr>
              <w:spacing w:after="0" w:line="240" w:lineRule="auto"/>
              <w:jc w:val="right"/>
              <w:rPr>
                <w:rFonts w:ascii="Times New Roman" w:hAnsi="Times New Roman"/>
                <w:sz w:val="24"/>
                <w:szCs w:val="24"/>
              </w:rPr>
            </w:pPr>
            <w:r>
              <w:rPr>
                <w:rFonts w:ascii="Times New Roman" w:hAnsi="Times New Roman"/>
                <w:sz w:val="24"/>
                <w:szCs w:val="24"/>
              </w:rPr>
              <w:t>33</w:t>
            </w:r>
          </w:p>
        </w:tc>
        <w:tc>
          <w:tcPr>
            <w:tcW w:w="1800" w:type="dxa"/>
            <w:shd w:val="clear" w:color="auto" w:fill="auto"/>
            <w:vAlign w:val="bottom"/>
          </w:tcPr>
          <w:p w14:paraId="1994AD26"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77C33F40" w14:textId="77777777" w:rsidR="00F0627E" w:rsidRPr="00F1537F" w:rsidRDefault="00DA1081" w:rsidP="00DA1081">
            <w:pPr>
              <w:spacing w:after="0" w:line="240" w:lineRule="auto"/>
              <w:jc w:val="right"/>
              <w:rPr>
                <w:rFonts w:ascii="Times New Roman" w:hAnsi="Times New Roman"/>
                <w:sz w:val="24"/>
                <w:szCs w:val="24"/>
              </w:rPr>
            </w:pPr>
            <w:r>
              <w:rPr>
                <w:rFonts w:ascii="Times New Roman" w:hAnsi="Times New Roman"/>
                <w:sz w:val="24"/>
                <w:szCs w:val="24"/>
              </w:rPr>
              <w:t>+</w:t>
            </w:r>
            <w:r w:rsidRPr="00DA1081">
              <w:rPr>
                <w:rFonts w:ascii="Times New Roman" w:hAnsi="Times New Roman"/>
                <w:sz w:val="24"/>
                <w:szCs w:val="24"/>
              </w:rPr>
              <w:t>286</w:t>
            </w:r>
            <w:r w:rsidRPr="00DA1081">
              <w:rPr>
                <w:rFonts w:ascii="Times New Roman" w:hAnsi="Times New Roman"/>
                <w:b/>
                <w:sz w:val="24"/>
                <w:szCs w:val="24"/>
                <w:vertAlign w:val="superscript"/>
              </w:rPr>
              <w:footnoteReference w:id="25"/>
            </w:r>
            <w:r w:rsidRPr="00DA1081">
              <w:rPr>
                <w:rFonts w:ascii="Times New Roman" w:hAnsi="Times New Roman"/>
                <w:sz w:val="24"/>
                <w:szCs w:val="24"/>
              </w:rPr>
              <w:t xml:space="preserve"> </w:t>
            </w:r>
          </w:p>
        </w:tc>
      </w:tr>
      <w:tr w:rsidR="00F0627E" w:rsidRPr="00F1537F" w14:paraId="37F72CB3" w14:textId="77777777" w:rsidTr="00ED6497">
        <w:trPr>
          <w:trHeight w:val="602"/>
        </w:trPr>
        <w:tc>
          <w:tcPr>
            <w:tcW w:w="2679" w:type="dxa"/>
            <w:shd w:val="clear" w:color="auto" w:fill="auto"/>
            <w:vAlign w:val="bottom"/>
          </w:tcPr>
          <w:p w14:paraId="7C66FC0E"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15E0A584"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24,464</w:t>
            </w:r>
          </w:p>
        </w:tc>
        <w:tc>
          <w:tcPr>
            <w:tcW w:w="1620" w:type="dxa"/>
            <w:shd w:val="clear" w:color="auto" w:fill="auto"/>
            <w:vAlign w:val="bottom"/>
          </w:tcPr>
          <w:p w14:paraId="663A7951" w14:textId="77777777" w:rsidR="00F0627E" w:rsidRPr="007445A8" w:rsidRDefault="00B75FEE" w:rsidP="007445A8">
            <w:pPr>
              <w:spacing w:after="0" w:line="240" w:lineRule="auto"/>
              <w:jc w:val="right"/>
              <w:rPr>
                <w:rFonts w:ascii="Times New Roman" w:hAnsi="Times New Roman"/>
                <w:b/>
                <w:sz w:val="24"/>
                <w:szCs w:val="24"/>
              </w:rPr>
            </w:pPr>
            <w:r w:rsidRPr="00B75FEE">
              <w:rPr>
                <w:rFonts w:ascii="Times New Roman" w:hAnsi="Times New Roman"/>
                <w:sz w:val="24"/>
                <w:szCs w:val="24"/>
              </w:rPr>
              <w:t xml:space="preserve">24,321  </w:t>
            </w:r>
          </w:p>
        </w:tc>
        <w:tc>
          <w:tcPr>
            <w:tcW w:w="1800" w:type="dxa"/>
            <w:shd w:val="clear" w:color="auto" w:fill="auto"/>
            <w:vAlign w:val="bottom"/>
          </w:tcPr>
          <w:p w14:paraId="6C4CF363"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5F220A6F" w14:textId="77777777" w:rsidR="00F0627E" w:rsidRPr="00F1537F" w:rsidRDefault="00DA1081" w:rsidP="007445A8">
            <w:pPr>
              <w:spacing w:after="0" w:line="240" w:lineRule="auto"/>
              <w:jc w:val="right"/>
              <w:rPr>
                <w:rFonts w:ascii="Times New Roman" w:hAnsi="Times New Roman"/>
                <w:sz w:val="24"/>
                <w:szCs w:val="24"/>
              </w:rPr>
            </w:pPr>
            <w:r>
              <w:rPr>
                <w:rFonts w:ascii="Times New Roman" w:hAnsi="Times New Roman"/>
                <w:sz w:val="24"/>
                <w:szCs w:val="24"/>
              </w:rPr>
              <w:t>+143</w:t>
            </w:r>
          </w:p>
        </w:tc>
      </w:tr>
      <w:tr w:rsidR="00F0627E" w:rsidRPr="00F1537F" w14:paraId="5502B850" w14:textId="77777777" w:rsidTr="00ED6497">
        <w:trPr>
          <w:trHeight w:val="467"/>
        </w:trPr>
        <w:tc>
          <w:tcPr>
            <w:tcW w:w="2679" w:type="dxa"/>
            <w:shd w:val="clear" w:color="auto" w:fill="auto"/>
            <w:vAlign w:val="bottom"/>
          </w:tcPr>
          <w:p w14:paraId="207AA9D8"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1CD27CA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520469C2"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E5A0A93"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2F546DB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6465A7EE" w14:textId="77777777" w:rsidR="00471F97" w:rsidRPr="00F1537F" w:rsidRDefault="00471F97" w:rsidP="00ED6497">
      <w:pPr>
        <w:spacing w:after="0" w:line="240" w:lineRule="auto"/>
        <w:rPr>
          <w:rFonts w:ascii="Times New Roman" w:hAnsi="Times New Roman"/>
          <w:sz w:val="24"/>
          <w:szCs w:val="24"/>
        </w:rPr>
      </w:pPr>
    </w:p>
    <w:p w14:paraId="2AE8519E"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2D8FF36A" w14:textId="77777777" w:rsidR="00F0627E" w:rsidRPr="00F1537F" w:rsidRDefault="00F0627E" w:rsidP="007445A8">
      <w:pPr>
        <w:spacing w:after="0" w:line="240" w:lineRule="auto"/>
        <w:rPr>
          <w:rFonts w:ascii="Times New Roman" w:hAnsi="Times New Roman"/>
          <w:sz w:val="24"/>
          <w:szCs w:val="24"/>
        </w:rPr>
      </w:pPr>
    </w:p>
    <w:p w14:paraId="0679FB42"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10A8CCF9" w14:textId="77777777" w:rsidR="00F20B97" w:rsidRPr="00F1537F" w:rsidRDefault="00F20B97" w:rsidP="007445A8">
      <w:pPr>
        <w:spacing w:after="0" w:line="240" w:lineRule="auto"/>
        <w:rPr>
          <w:rFonts w:ascii="Times New Roman" w:hAnsi="Times New Roman"/>
          <w:sz w:val="24"/>
          <w:szCs w:val="24"/>
        </w:rPr>
      </w:pPr>
    </w:p>
    <w:p w14:paraId="36CC369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5355FE70" w14:textId="77777777" w:rsidR="00F0627E" w:rsidRPr="00F1537F" w:rsidRDefault="00F0627E" w:rsidP="007445A8">
      <w:pPr>
        <w:spacing w:after="0" w:line="240" w:lineRule="auto"/>
        <w:rPr>
          <w:rFonts w:ascii="Times New Roman" w:hAnsi="Times New Roman"/>
          <w:sz w:val="24"/>
          <w:szCs w:val="24"/>
        </w:rPr>
      </w:pPr>
    </w:p>
    <w:p w14:paraId="250EFD82"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5"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4B203081" w14:textId="77777777" w:rsidR="00027DC9" w:rsidRPr="00F1537F" w:rsidRDefault="00027DC9" w:rsidP="007445A8">
      <w:pPr>
        <w:spacing w:after="0" w:line="240" w:lineRule="auto"/>
        <w:rPr>
          <w:rFonts w:ascii="Times New Roman" w:hAnsi="Times New Roman"/>
          <w:sz w:val="24"/>
          <w:szCs w:val="24"/>
        </w:rPr>
      </w:pPr>
    </w:p>
    <w:p w14:paraId="2CF19B4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BDDF703" w14:textId="77777777" w:rsidR="001D289D" w:rsidRPr="00F1537F" w:rsidRDefault="001D289D" w:rsidP="007445A8">
      <w:pPr>
        <w:spacing w:after="0" w:line="240" w:lineRule="auto"/>
        <w:rPr>
          <w:rFonts w:ascii="Times New Roman" w:hAnsi="Times New Roman"/>
          <w:b/>
          <w:sz w:val="24"/>
          <w:szCs w:val="24"/>
        </w:rPr>
      </w:pPr>
    </w:p>
    <w:p w14:paraId="1D5A053C"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21878BCA"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680A98AD" w14:textId="77777777" w:rsidR="00554E46" w:rsidRDefault="00554E46" w:rsidP="006E5D79">
      <w:pPr>
        <w:spacing w:after="160" w:line="259" w:lineRule="auto"/>
        <w:rPr>
          <w:rFonts w:ascii="Times New Roman" w:hAnsi="Times New Roman"/>
          <w:sz w:val="24"/>
          <w:szCs w:val="24"/>
        </w:rPr>
      </w:pPr>
    </w:p>
    <w:p w14:paraId="79900BF2" w14:textId="77777777"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p>
    <w:p w14:paraId="262740B8" w14:textId="77777777" w:rsidR="00B5132F" w:rsidRDefault="00B5132F" w:rsidP="006E5D79">
      <w:pPr>
        <w:spacing w:after="160" w:line="259" w:lineRule="auto"/>
        <w:rPr>
          <w:rFonts w:ascii="Times New Roman" w:hAnsi="Times New Roman"/>
          <w:sz w:val="24"/>
          <w:szCs w:val="24"/>
        </w:rPr>
      </w:pPr>
    </w:p>
    <w:p w14:paraId="4AEAABC9"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27CD08CD"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7FD75E9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0454909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3B3B9A2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7895342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0EFE137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443E3DC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22D420C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3EFA62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269A5FB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0B57DD3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44CE044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2E8729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1256C4C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25C845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0F16DB7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AED09F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72A41DF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1D1FB4C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6465FFF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381A8F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6E08FE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6A1F3BD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4B469C4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6EE5A0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7A430A9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78F9A58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1C5138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72DFB06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0A80027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6BEA6F6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1BC0D8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0301A7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6074351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6524FEA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574B3ED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CB597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5D722BE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000B92D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70D0BF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A91A0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2FB91AC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6B464499"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01C293C7"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0ABE5E1"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7D9E9F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494BED9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00E7691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8B7750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4110F63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2C37B05"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60534821" w14:textId="77777777" w:rsidR="006E5D79" w:rsidRDefault="006E5D79">
      <w:pPr>
        <w:spacing w:after="160" w:line="259" w:lineRule="auto"/>
        <w:rPr>
          <w:rFonts w:ascii="Times New Roman" w:hAnsi="Times New Roman"/>
          <w:sz w:val="24"/>
          <w:szCs w:val="24"/>
        </w:rPr>
      </w:pPr>
    </w:p>
    <w:p w14:paraId="7603079B" w14:textId="77777777"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6D47BB8B" w14:textId="77777777" w:rsidR="00CB2F25" w:rsidRPr="00F1537F" w:rsidRDefault="00CB2F25" w:rsidP="007445A8">
      <w:pPr>
        <w:spacing w:after="0" w:line="240" w:lineRule="auto"/>
        <w:rPr>
          <w:rFonts w:ascii="Times New Roman" w:hAnsi="Times New Roman"/>
          <w:sz w:val="24"/>
          <w:szCs w:val="24"/>
        </w:rPr>
      </w:pPr>
    </w:p>
    <w:p w14:paraId="73F2B5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412E141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1FC577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59649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2197A98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52509AF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5571D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5DFCE7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A49DB5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0E714B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2B707A2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150BB36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7CEEC3A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6ED47E7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69054A7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0B0694F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8DAA7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53D2405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3FA6B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78FABB9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5FB11C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4BE6DB2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7273819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5440B20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0FA03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26B842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1B9752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12D040B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5A4FADB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3DC8C5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sectPr w:rsidR="00F0627E" w:rsidRPr="00F1537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60D59" w14:textId="77777777" w:rsidR="00513CC8" w:rsidRDefault="00513CC8" w:rsidP="009C7F55">
      <w:pPr>
        <w:spacing w:after="0" w:line="240" w:lineRule="auto"/>
      </w:pPr>
      <w:r>
        <w:separator/>
      </w:r>
    </w:p>
  </w:endnote>
  <w:endnote w:type="continuationSeparator" w:id="0">
    <w:p w14:paraId="398DC1DF" w14:textId="77777777" w:rsidR="00513CC8" w:rsidRDefault="00513CC8"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862BE60" w14:textId="77777777" w:rsidR="00ED6497" w:rsidRDefault="00ED6497">
        <w:pPr>
          <w:pStyle w:val="Footer"/>
          <w:jc w:val="right"/>
        </w:pPr>
        <w:r>
          <w:fldChar w:fldCharType="begin"/>
        </w:r>
        <w:r>
          <w:instrText xml:space="preserve"> PAGE   \* MERGEFORMAT </w:instrText>
        </w:r>
        <w:r>
          <w:fldChar w:fldCharType="separate"/>
        </w:r>
        <w:r w:rsidR="005B3C1B">
          <w:rPr>
            <w:noProof/>
          </w:rPr>
          <w:t>1</w:t>
        </w:r>
        <w:r>
          <w:rPr>
            <w:noProof/>
          </w:rPr>
          <w:fldChar w:fldCharType="end"/>
        </w:r>
      </w:p>
    </w:sdtContent>
  </w:sdt>
  <w:p w14:paraId="0F2E5407" w14:textId="77777777" w:rsidR="00ED6497" w:rsidRDefault="00ED6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A76A" w14:textId="77777777" w:rsidR="00513CC8" w:rsidRDefault="00513CC8" w:rsidP="009C7F55">
      <w:pPr>
        <w:spacing w:after="0" w:line="240" w:lineRule="auto"/>
      </w:pPr>
      <w:r>
        <w:separator/>
      </w:r>
    </w:p>
  </w:footnote>
  <w:footnote w:type="continuationSeparator" w:id="0">
    <w:p w14:paraId="5E5718E1" w14:textId="77777777" w:rsidR="00513CC8" w:rsidRDefault="00513CC8" w:rsidP="009C7F55">
      <w:pPr>
        <w:spacing w:after="0" w:line="240" w:lineRule="auto"/>
      </w:pPr>
      <w:r>
        <w:continuationSeparator/>
      </w:r>
    </w:p>
  </w:footnote>
  <w:footnote w:id="1">
    <w:p w14:paraId="50E4E003" w14:textId="77777777" w:rsidR="00ED6497" w:rsidRPr="00E220E3"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Information collection requirements for FERC-500 and FERC-505 are listed in Attachment A.</w:t>
      </w:r>
    </w:p>
  </w:footnote>
  <w:footnote w:id="2">
    <w:p w14:paraId="7AAFDA76" w14:textId="48983C4B" w:rsidR="006E159B" w:rsidRPr="00E220E3" w:rsidRDefault="006E159B">
      <w:pPr>
        <w:pStyle w:val="FootnoteText"/>
        <w:rPr>
          <w:sz w:val="24"/>
          <w:szCs w:val="24"/>
        </w:rPr>
      </w:pPr>
      <w:r w:rsidRPr="00E220E3">
        <w:rPr>
          <w:rStyle w:val="FootnoteReference"/>
          <w:sz w:val="24"/>
          <w:szCs w:val="24"/>
          <w:vertAlign w:val="superscript"/>
        </w:rPr>
        <w:footnoteRef/>
      </w:r>
      <w:r w:rsidRPr="00E220E3">
        <w:rPr>
          <w:sz w:val="24"/>
          <w:szCs w:val="24"/>
        </w:rPr>
        <w:t xml:space="preserve"> The NOPR is posted in FERC’s eLibrary at </w:t>
      </w:r>
      <w:hyperlink r:id="rId1" w:history="1">
        <w:r w:rsidRPr="00E220E3">
          <w:rPr>
            <w:rStyle w:val="Hyperlink"/>
            <w:sz w:val="24"/>
            <w:szCs w:val="24"/>
          </w:rPr>
          <w:t>https://elibrary.ferc.gov/idmws/common/OpenNat.asp?fileID=14921712</w:t>
        </w:r>
      </w:hyperlink>
      <w:r w:rsidRPr="00E220E3">
        <w:rPr>
          <w:sz w:val="24"/>
          <w:szCs w:val="24"/>
        </w:rPr>
        <w:t xml:space="preserve">. </w:t>
      </w:r>
    </w:p>
  </w:footnote>
  <w:footnote w:id="3">
    <w:p w14:paraId="40568A37" w14:textId="181FD66B" w:rsidR="00EA483D" w:rsidRPr="00E220E3" w:rsidRDefault="00EA483D">
      <w:pPr>
        <w:pStyle w:val="FootnoteText"/>
        <w:rPr>
          <w:sz w:val="24"/>
          <w:szCs w:val="24"/>
        </w:rPr>
      </w:pPr>
      <w:r w:rsidRPr="00E220E3">
        <w:rPr>
          <w:rStyle w:val="FootnoteReference"/>
          <w:sz w:val="24"/>
          <w:szCs w:val="24"/>
          <w:vertAlign w:val="superscript"/>
        </w:rPr>
        <w:footnoteRef/>
      </w:r>
      <w:r w:rsidRPr="00E220E3">
        <w:rPr>
          <w:sz w:val="24"/>
          <w:szCs w:val="24"/>
        </w:rPr>
        <w:t xml:space="preserve"> </w:t>
      </w:r>
      <w:r w:rsidR="00E220E3" w:rsidRPr="00E220E3">
        <w:rPr>
          <w:sz w:val="24"/>
          <w:szCs w:val="24"/>
        </w:rPr>
        <w:t>A</w:t>
      </w:r>
      <w:r w:rsidRPr="00E220E3">
        <w:rPr>
          <w:sz w:val="24"/>
          <w:szCs w:val="24"/>
        </w:rPr>
        <w:t>lso called “Form 80” and “FERC-80”</w:t>
      </w:r>
    </w:p>
  </w:footnote>
  <w:footnote w:id="4">
    <w:p w14:paraId="7772BD56" w14:textId="77777777" w:rsidR="00ED6497" w:rsidRPr="00E220E3" w:rsidRDefault="00ED6497" w:rsidP="007E0D8A">
      <w:pPr>
        <w:pStyle w:val="FootnoteText"/>
        <w:rPr>
          <w:sz w:val="24"/>
          <w:szCs w:val="24"/>
        </w:rPr>
      </w:pPr>
      <w:r w:rsidRPr="00E220E3">
        <w:rPr>
          <w:rStyle w:val="FootnoteReference"/>
          <w:sz w:val="24"/>
          <w:szCs w:val="24"/>
          <w:vertAlign w:val="superscript"/>
        </w:rPr>
        <w:footnoteRef/>
      </w:r>
      <w:r w:rsidRPr="00E220E3">
        <w:rPr>
          <w:sz w:val="24"/>
          <w:szCs w:val="24"/>
        </w:rPr>
        <w:t xml:space="preserve"> 16 U.S.C. §§791a-825r (2012).</w:t>
      </w:r>
    </w:p>
  </w:footnote>
  <w:footnote w:id="5">
    <w:p w14:paraId="07D67BD0" w14:textId="231EEDD1" w:rsidR="00ED6497" w:rsidRPr="00F1537F"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Pub. L. No. 99-495, 100 Stat. 1243 (1986).</w:t>
      </w:r>
    </w:p>
  </w:footnote>
  <w:footnote w:id="6">
    <w:p w14:paraId="4A589FDF" w14:textId="3561F1F7" w:rsidR="00ED6497" w:rsidRPr="00E220E3" w:rsidRDefault="00ED6497" w:rsidP="004C3C5F">
      <w:pPr>
        <w:pStyle w:val="FootnoteText"/>
        <w:tabs>
          <w:tab w:val="left" w:pos="2760"/>
        </w:tabs>
        <w:rPr>
          <w:sz w:val="24"/>
          <w:szCs w:val="24"/>
        </w:rPr>
      </w:pPr>
      <w:r w:rsidRPr="00E220E3">
        <w:rPr>
          <w:rStyle w:val="FootnoteReference"/>
          <w:sz w:val="24"/>
          <w:szCs w:val="24"/>
          <w:vertAlign w:val="superscript"/>
        </w:rPr>
        <w:footnoteRef/>
      </w:r>
      <w:r w:rsidRPr="00E220E3">
        <w:rPr>
          <w:sz w:val="24"/>
          <w:szCs w:val="24"/>
        </w:rPr>
        <w:t xml:space="preserve"> 16 USC 797(e) (2012).</w:t>
      </w:r>
    </w:p>
  </w:footnote>
  <w:footnote w:id="7">
    <w:p w14:paraId="51833D9E" w14:textId="3DA4553D" w:rsidR="00ED6497" w:rsidRPr="00E220E3" w:rsidRDefault="00ED6497" w:rsidP="00D631E3">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 xml:space="preserve">18 C.F.R. § 141.15 (2017).  Annual conveyance reports are filed for both major and minor licenses.  80% of the reports are related to major licenses.  </w:t>
      </w:r>
    </w:p>
  </w:footnote>
  <w:footnote w:id="8">
    <w:p w14:paraId="60B566DB" w14:textId="309F8AAF" w:rsidR="00ED6497" w:rsidRPr="007E640A" w:rsidRDefault="00ED6497" w:rsidP="00725E44">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2.19 (2017).</w:t>
      </w:r>
      <w:r>
        <w:rPr>
          <w:sz w:val="24"/>
          <w:szCs w:val="24"/>
        </w:rPr>
        <w:t xml:space="preserve">  </w:t>
      </w:r>
    </w:p>
  </w:footnote>
  <w:footnote w:id="9">
    <w:p w14:paraId="4725E6B4" w14:textId="77777777" w:rsidR="00ED6497" w:rsidRDefault="00ED6497" w:rsidP="006E5D79">
      <w:pPr>
        <w:pStyle w:val="FootnoteText"/>
      </w:pPr>
      <w:r w:rsidRPr="00701724">
        <w:rPr>
          <w:rStyle w:val="FootnoteReference"/>
          <w:sz w:val="24"/>
          <w:szCs w:val="24"/>
          <w:vertAlign w:val="superscript"/>
        </w:rPr>
        <w:footnoteRef/>
      </w:r>
      <w:r w:rsidRPr="00701724">
        <w:rPr>
          <w:sz w:val="24"/>
          <w:szCs w:val="24"/>
          <w:vertAlign w:val="superscript"/>
        </w:rPr>
        <w:t xml:space="preserve"> </w:t>
      </w:r>
      <w:r w:rsidRPr="007E640A">
        <w:rPr>
          <w:sz w:val="24"/>
          <w:szCs w:val="24"/>
        </w:rPr>
        <w:t>More information on the licensing process is available at http://www.ferc.gov/industries/hydropower/gen-info/licensing.asp.</w:t>
      </w:r>
    </w:p>
  </w:footnote>
  <w:footnote w:id="10">
    <w:p w14:paraId="1410620F" w14:textId="42D91063"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Minor water power projects are those that have a total installed capacity of 1.5 MW or less.  Major water power projects have a total installed capacity of greater than 1.5 MW.   </w:t>
      </w:r>
    </w:p>
  </w:footnote>
  <w:footnote w:id="11">
    <w:p w14:paraId="538E84AF"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823a (2012), amended by, Hydropower Regulatory Efficiency Act of</w:t>
      </w:r>
    </w:p>
    <w:p w14:paraId="1D84FFFF" w14:textId="77777777" w:rsidR="00ED6497" w:rsidRPr="00F1537F" w:rsidRDefault="00ED6497" w:rsidP="00471F97">
      <w:pPr>
        <w:pStyle w:val="FootnoteText"/>
        <w:rPr>
          <w:sz w:val="24"/>
          <w:szCs w:val="24"/>
        </w:rPr>
      </w:pPr>
      <w:r w:rsidRPr="00F1537F">
        <w:rPr>
          <w:sz w:val="24"/>
          <w:szCs w:val="24"/>
        </w:rPr>
        <w:t>2013, Pub. L. No. 113-23, 4, 127 Stat. 493 (2013).</w:t>
      </w:r>
    </w:p>
  </w:footnote>
  <w:footnote w:id="12">
    <w:p w14:paraId="125DABFC"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2708 (2012).</w:t>
      </w:r>
    </w:p>
  </w:footnote>
  <w:footnote w:id="13">
    <w:p w14:paraId="2E9BADED" w14:textId="1C566E93" w:rsidR="00ED6497" w:rsidRPr="00361948" w:rsidRDefault="00ED6497" w:rsidP="00D966A1">
      <w:pPr>
        <w:pStyle w:val="FootnoteText"/>
        <w:rPr>
          <w:sz w:val="24"/>
          <w:szCs w:val="24"/>
        </w:rPr>
      </w:pPr>
      <w:r w:rsidRPr="00361948">
        <w:rPr>
          <w:rStyle w:val="FootnoteReference"/>
          <w:rFonts w:eastAsia="Calibri"/>
          <w:sz w:val="24"/>
          <w:szCs w:val="24"/>
          <w:vertAlign w:val="superscript"/>
        </w:rPr>
        <w:footnoteRef/>
      </w:r>
      <w:r w:rsidRPr="00361948">
        <w:rPr>
          <w:sz w:val="24"/>
          <w:szCs w:val="24"/>
        </w:rPr>
        <w:t xml:space="preserve"> </w:t>
      </w:r>
      <w:r w:rsidRPr="0048721A">
        <w:rPr>
          <w:i/>
          <w:sz w:val="24"/>
          <w:szCs w:val="24"/>
        </w:rPr>
        <w:t xml:space="preserve">See </w:t>
      </w:r>
      <w:r w:rsidRPr="00361948">
        <w:rPr>
          <w:sz w:val="24"/>
          <w:szCs w:val="24"/>
        </w:rPr>
        <w:t xml:space="preserve">16. U.S.C. </w:t>
      </w:r>
      <w:r>
        <w:rPr>
          <w:sz w:val="24"/>
          <w:szCs w:val="24"/>
        </w:rPr>
        <w:t>§§</w:t>
      </w:r>
      <w:r w:rsidRPr="00361948">
        <w:rPr>
          <w:sz w:val="24"/>
          <w:szCs w:val="24"/>
        </w:rPr>
        <w:t xml:space="preserve"> 797, 803, 825c, 825h, and 825j.</w:t>
      </w:r>
    </w:p>
  </w:footnote>
  <w:footnote w:id="14">
    <w:p w14:paraId="73DF0505" w14:textId="76B8A3E4" w:rsidR="00413357" w:rsidRPr="001968EA" w:rsidRDefault="00413357">
      <w:pPr>
        <w:pStyle w:val="FootnoteText"/>
        <w:rPr>
          <w:sz w:val="24"/>
          <w:szCs w:val="24"/>
        </w:rPr>
      </w:pPr>
      <w:r w:rsidRPr="001968EA">
        <w:rPr>
          <w:rStyle w:val="FootnoteReference"/>
          <w:sz w:val="24"/>
          <w:szCs w:val="24"/>
          <w:vertAlign w:val="superscript"/>
        </w:rPr>
        <w:footnoteRef/>
      </w:r>
      <w:r w:rsidRPr="001968EA">
        <w:rPr>
          <w:sz w:val="24"/>
          <w:szCs w:val="24"/>
        </w:rPr>
        <w:t xml:space="preserve"> 83 FR 23848</w:t>
      </w:r>
    </w:p>
  </w:footnote>
  <w:footnote w:id="15">
    <w:p w14:paraId="41F7B8B5" w14:textId="7FF09BFC" w:rsidR="00ED6497" w:rsidRPr="00F1537F" w:rsidRDefault="00ED6497"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2" w:history="1">
        <w:r w:rsidRPr="0078701D">
          <w:rPr>
            <w:rStyle w:val="Hyperlink"/>
            <w:sz w:val="24"/>
            <w:szCs w:val="24"/>
          </w:rPr>
          <w:t>http://www.ferc.gov/legal/ceii-foia/ceii.asp</w:t>
        </w:r>
      </w:hyperlink>
      <w:r>
        <w:rPr>
          <w:sz w:val="24"/>
          <w:szCs w:val="24"/>
        </w:rPr>
        <w:t xml:space="preserve">. </w:t>
      </w:r>
    </w:p>
  </w:footnote>
  <w:footnote w:id="16">
    <w:p w14:paraId="5775CA66" w14:textId="318D86A1"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Hourly costs are based on Bureau of Labor Statistics </w:t>
      </w:r>
      <w:r w:rsidR="00F84151">
        <w:rPr>
          <w:sz w:val="24"/>
          <w:szCs w:val="24"/>
        </w:rPr>
        <w:t xml:space="preserve">(BLS) </w:t>
      </w:r>
      <w:r w:rsidRPr="0048721A">
        <w:rPr>
          <w:sz w:val="24"/>
          <w:szCs w:val="24"/>
        </w:rPr>
        <w:t xml:space="preserve">figures </w:t>
      </w:r>
      <w:r w:rsidR="00F84151">
        <w:rPr>
          <w:sz w:val="24"/>
          <w:szCs w:val="24"/>
        </w:rPr>
        <w:t>(</w:t>
      </w:r>
      <w:r w:rsidRPr="0048721A">
        <w:rPr>
          <w:sz w:val="24"/>
          <w:szCs w:val="24"/>
        </w:rPr>
        <w:t>for May 2017 wages in Sector 22</w:t>
      </w:r>
      <w:r w:rsidR="00F84151">
        <w:rPr>
          <w:sz w:val="24"/>
          <w:szCs w:val="24"/>
        </w:rPr>
        <w:t>,</w:t>
      </w:r>
      <w:r w:rsidRPr="0048721A">
        <w:rPr>
          <w:sz w:val="24"/>
          <w:szCs w:val="24"/>
        </w:rPr>
        <w:t xml:space="preserve"> Utilities (</w:t>
      </w:r>
      <w:r w:rsidR="00F84151">
        <w:rPr>
          <w:sz w:val="24"/>
          <w:szCs w:val="24"/>
        </w:rPr>
        <w:t xml:space="preserve">posted at </w:t>
      </w:r>
      <w:r w:rsidRPr="0048721A">
        <w:rPr>
          <w:sz w:val="24"/>
          <w:szCs w:val="24"/>
        </w:rPr>
        <w:t>https://www.bls.gov/oes/current/naics2_22.htm) and December 2017 benefits (</w:t>
      </w:r>
      <w:r w:rsidR="00F84151">
        <w:rPr>
          <w:sz w:val="24"/>
          <w:szCs w:val="24"/>
        </w:rPr>
        <w:t xml:space="preserve">updated on March 20, 2018 and posted at </w:t>
      </w:r>
      <w:r w:rsidRPr="0048721A">
        <w:rPr>
          <w:sz w:val="24"/>
          <w:szCs w:val="24"/>
        </w:rPr>
        <w:t>https://www.bls.gov/news.release/pdf/ecec.pdf).  For web developers (code 15-1134), the estimated average hourly cost (salary plus benefits) is $53.53.</w:t>
      </w:r>
    </w:p>
  </w:footnote>
  <w:footnote w:id="17">
    <w:p w14:paraId="5CE2924E"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rPr>
        <w:t xml:space="preserve"> 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1,200 hours.</w:t>
      </w:r>
    </w:p>
  </w:footnote>
  <w:footnote w:id="18">
    <w:p w14:paraId="7B139FB6"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This figure indicates that a respondent files a Form 80 once every six years.</w:t>
      </w:r>
    </w:p>
  </w:footnote>
  <w:footnote w:id="19">
    <w:p w14:paraId="3AE3001B" w14:textId="6397C3C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We assume approximately 90 percent of the 477 for projects with an installed capacity of more than 5 MW licenses (i.e. an estimated 429 licenses) have project websites. </w:t>
      </w:r>
    </w:p>
  </w:footnote>
  <w:footnote w:id="20">
    <w:p w14:paraId="3187D05F" w14:textId="503EA393" w:rsidR="00ED6497" w:rsidRDefault="00ED6497" w:rsidP="00AD2C01">
      <w:pPr>
        <w:pStyle w:val="FootnoteText"/>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50 percent of the 572 licenses for projects 5 MW or less (i.e. an estimated 286 licenses) have project websites.</w:t>
      </w:r>
      <w:r>
        <w:t xml:space="preserve">  </w:t>
      </w:r>
    </w:p>
  </w:footnote>
  <w:footnote w:id="21">
    <w:p w14:paraId="425187B5" w14:textId="67600D75" w:rsidR="00ED6497" w:rsidRPr="00C75FFF" w:rsidRDefault="00ED6497">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sidR="00C561C1">
        <w:rPr>
          <w:sz w:val="24"/>
          <w:szCs w:val="24"/>
        </w:rPr>
        <w:t>estimate</w:t>
      </w:r>
      <w:r w:rsidRPr="00F1537F">
        <w:rPr>
          <w:sz w:val="24"/>
          <w:szCs w:val="24"/>
        </w:rPr>
        <w:t xml:space="preserve"> </w:t>
      </w:r>
      <w:r w:rsidR="00C561C1">
        <w:rPr>
          <w:sz w:val="24"/>
          <w:szCs w:val="24"/>
        </w:rPr>
        <w:t>uses</w:t>
      </w:r>
      <w:r w:rsidRPr="00F1537F">
        <w:rPr>
          <w:sz w:val="24"/>
          <w:szCs w:val="24"/>
        </w:rPr>
        <w:t xml:space="preserve"> the FERC’s </w:t>
      </w:r>
      <w:r w:rsidR="00E220E3">
        <w:rPr>
          <w:sz w:val="24"/>
          <w:szCs w:val="24"/>
        </w:rPr>
        <w:t xml:space="preserve">FY </w:t>
      </w:r>
      <w:r w:rsidRPr="00F1537F">
        <w:rPr>
          <w:sz w:val="24"/>
          <w:szCs w:val="24"/>
        </w:rPr>
        <w:t>201</w:t>
      </w:r>
      <w:r w:rsidR="001B5056">
        <w:rPr>
          <w:sz w:val="24"/>
          <w:szCs w:val="24"/>
        </w:rPr>
        <w:t>8</w:t>
      </w:r>
      <w:r w:rsidRPr="00F1537F">
        <w:rPr>
          <w:sz w:val="24"/>
          <w:szCs w:val="24"/>
        </w:rPr>
        <w:t xml:space="preserve"> average annual salary plus benefits of one FERC FTE (full-time equivalent </w:t>
      </w:r>
      <w:r w:rsidR="00C561C1">
        <w:rPr>
          <w:sz w:val="24"/>
          <w:szCs w:val="24"/>
        </w:rPr>
        <w:t>[</w:t>
      </w:r>
      <w:r w:rsidRPr="00F1537F">
        <w:rPr>
          <w:sz w:val="24"/>
          <w:szCs w:val="24"/>
        </w:rPr>
        <w:t>$</w:t>
      </w:r>
      <w:r w:rsidR="001B5056" w:rsidRPr="001B5056">
        <w:rPr>
          <w:sz w:val="24"/>
          <w:szCs w:val="24"/>
        </w:rPr>
        <w:t>164,820</w:t>
      </w:r>
      <w:r w:rsidR="00C561C1">
        <w:rPr>
          <w:sz w:val="24"/>
          <w:szCs w:val="24"/>
        </w:rPr>
        <w:t xml:space="preserve"> per year</w:t>
      </w:r>
      <w:r w:rsidR="001B5056" w:rsidRPr="001B5056">
        <w:rPr>
          <w:sz w:val="24"/>
          <w:szCs w:val="24"/>
        </w:rPr>
        <w:t xml:space="preserve"> </w:t>
      </w:r>
      <w:r w:rsidRPr="00F1537F">
        <w:rPr>
          <w:sz w:val="24"/>
          <w:szCs w:val="24"/>
        </w:rPr>
        <w:t>or $7</w:t>
      </w:r>
      <w:r w:rsidR="001B5056">
        <w:rPr>
          <w:sz w:val="24"/>
          <w:szCs w:val="24"/>
        </w:rPr>
        <w:t>9</w:t>
      </w:r>
      <w:r w:rsidRPr="00F1537F">
        <w:rPr>
          <w:sz w:val="24"/>
          <w:szCs w:val="24"/>
        </w:rPr>
        <w:t>.</w:t>
      </w:r>
      <w:r w:rsidR="001B5056">
        <w:rPr>
          <w:sz w:val="24"/>
          <w:szCs w:val="24"/>
        </w:rPr>
        <w:t>0</w:t>
      </w:r>
      <w:r w:rsidRPr="00F1537F">
        <w:rPr>
          <w:sz w:val="24"/>
          <w:szCs w:val="24"/>
        </w:rPr>
        <w:t>0 per hour</w:t>
      </w:r>
      <w:r w:rsidR="00C561C1">
        <w:rPr>
          <w:sz w:val="24"/>
          <w:szCs w:val="24"/>
        </w:rPr>
        <w:t>])</w:t>
      </w:r>
      <w:r w:rsidRPr="00F1537F">
        <w:rPr>
          <w:sz w:val="24"/>
          <w:szCs w:val="24"/>
        </w:rPr>
        <w:t>.</w:t>
      </w:r>
      <w:r w:rsidR="001B5056">
        <w:rPr>
          <w:sz w:val="24"/>
          <w:szCs w:val="24"/>
        </w:rPr>
        <w:t xml:space="preserve">  (These estimates were updated in </w:t>
      </w:r>
      <w:r w:rsidR="001B5056" w:rsidRPr="00C75FFF">
        <w:rPr>
          <w:sz w:val="24"/>
          <w:szCs w:val="24"/>
        </w:rPr>
        <w:t>May 2018.)</w:t>
      </w:r>
    </w:p>
  </w:footnote>
  <w:footnote w:id="22">
    <w:p w14:paraId="267C591F" w14:textId="2B9BD795" w:rsidR="00C75FFF" w:rsidRDefault="00C75FFF">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23">
    <w:p w14:paraId="4CCFF143" w14:textId="77777777" w:rsidR="00ED6497" w:rsidRPr="00E55FFB" w:rsidRDefault="00ED6497">
      <w:pPr>
        <w:pStyle w:val="FootnoteText"/>
        <w:rPr>
          <w:sz w:val="24"/>
          <w:szCs w:val="24"/>
        </w:rPr>
      </w:pPr>
      <w:r w:rsidRPr="002F0CAD">
        <w:rPr>
          <w:rStyle w:val="FootnoteReference"/>
          <w:sz w:val="24"/>
          <w:szCs w:val="24"/>
          <w:vertAlign w:val="superscript"/>
        </w:rPr>
        <w:footnoteRef/>
      </w:r>
      <w:r w:rsidRPr="002F0CAD">
        <w:rPr>
          <w:sz w:val="24"/>
          <w:szCs w:val="24"/>
          <w:vertAlign w:val="superscript"/>
        </w:rPr>
        <w:t xml:space="preserve"> </w:t>
      </w:r>
      <w:r w:rsidRPr="00B6311A">
        <w:rPr>
          <w:sz w:val="24"/>
          <w:szCs w:val="24"/>
        </w:rPr>
        <w:t xml:space="preserve">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w:t>
      </w:r>
      <w:r>
        <w:rPr>
          <w:sz w:val="24"/>
          <w:szCs w:val="24"/>
        </w:rPr>
        <w:t xml:space="preserve">approximately </w:t>
      </w:r>
      <w:r w:rsidRPr="00B6311A">
        <w:rPr>
          <w:sz w:val="24"/>
          <w:szCs w:val="24"/>
        </w:rPr>
        <w:t>1,200 hours.</w:t>
      </w:r>
    </w:p>
  </w:footnote>
  <w:footnote w:id="24">
    <w:p w14:paraId="60676E41" w14:textId="0E162907" w:rsidR="00ED6497" w:rsidRPr="00D042E5" w:rsidRDefault="00ED6497" w:rsidP="006F5CD1">
      <w:pPr>
        <w:pStyle w:val="FootnoteText"/>
        <w:rPr>
          <w:sz w:val="24"/>
          <w:szCs w:val="24"/>
        </w:rPr>
      </w:pPr>
      <w:r w:rsidRPr="00D042E5">
        <w:rPr>
          <w:rStyle w:val="FootnoteReference"/>
          <w:rFonts w:eastAsia="Calibri"/>
          <w:sz w:val="24"/>
          <w:szCs w:val="24"/>
          <w:vertAlign w:val="superscript"/>
        </w:rPr>
        <w:footnoteRef/>
      </w:r>
      <w:r w:rsidRPr="00D042E5">
        <w:rPr>
          <w:sz w:val="24"/>
          <w:szCs w:val="24"/>
        </w:rPr>
        <w:t xml:space="preserve"> For FERC-500, we assume approximately 90 percent of the 477 projects with an installed capacity of more than 5 MW licenses (i.e. an estimated 429 licenses) have project websites. </w:t>
      </w:r>
    </w:p>
  </w:footnote>
  <w:footnote w:id="25">
    <w:p w14:paraId="7AFDA86C" w14:textId="0330B73B" w:rsidR="00ED6497" w:rsidRPr="00D042E5" w:rsidRDefault="00ED6497" w:rsidP="00DA1081">
      <w:pPr>
        <w:pStyle w:val="FootnoteText"/>
        <w:rPr>
          <w:sz w:val="24"/>
          <w:szCs w:val="24"/>
        </w:rPr>
      </w:pPr>
      <w:r w:rsidRPr="00D042E5">
        <w:rPr>
          <w:rStyle w:val="FootnoteReference"/>
          <w:rFonts w:eastAsia="Calibri"/>
          <w:sz w:val="24"/>
          <w:szCs w:val="24"/>
          <w:vertAlign w:val="superscript"/>
        </w:rPr>
        <w:footnoteRef/>
      </w:r>
      <w:r w:rsidRPr="00D042E5">
        <w:rPr>
          <w:sz w:val="24"/>
          <w:szCs w:val="24"/>
          <w:vertAlign w:val="superscript"/>
        </w:rPr>
        <w:t xml:space="preserve"> </w:t>
      </w:r>
      <w:r w:rsidRPr="00D042E5">
        <w:rPr>
          <w:sz w:val="24"/>
          <w:szCs w:val="24"/>
        </w:rPr>
        <w:t xml:space="preserve">For FERC-505, we assume approximately 50 percent of the 572 licenses for projects 5 MW or less (i.e. an estimated 286 licenses) have project websites.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EA29" w14:textId="77777777" w:rsidR="0092686E" w:rsidRDefault="00ED6497">
    <w:pPr>
      <w:pStyle w:val="Header"/>
      <w:rPr>
        <w:rFonts w:ascii="Times New Roman" w:hAnsi="Times New Roman"/>
        <w:sz w:val="24"/>
        <w:szCs w:val="24"/>
      </w:rPr>
    </w:pPr>
    <w:r w:rsidRPr="0048721A">
      <w:rPr>
        <w:rFonts w:ascii="Times New Roman" w:hAnsi="Times New Roman"/>
        <w:sz w:val="24"/>
        <w:szCs w:val="24"/>
      </w:rPr>
      <w:t xml:space="preserve">FERC-80, FERC-500, and FERC-505 </w:t>
    </w:r>
  </w:p>
  <w:p w14:paraId="08F2CF16" w14:textId="22E4D79A" w:rsidR="00ED6497" w:rsidRPr="0048721A" w:rsidRDefault="00ED6497">
    <w:pPr>
      <w:pStyle w:val="Header"/>
      <w:rPr>
        <w:rFonts w:ascii="Times New Roman" w:hAnsi="Times New Roman"/>
        <w:sz w:val="24"/>
        <w:szCs w:val="24"/>
      </w:rPr>
    </w:pPr>
    <w:r w:rsidRPr="0048721A">
      <w:rPr>
        <w:rFonts w:ascii="Times New Roman" w:hAnsi="Times New Roman"/>
        <w:sz w:val="24"/>
        <w:szCs w:val="24"/>
      </w:rPr>
      <w:t>(OMB Control Nos.: 1902-0106, 1902-0058, and 1902-0115)</w:t>
    </w:r>
  </w:p>
  <w:p w14:paraId="23D3ED3E" w14:textId="46BBE566" w:rsidR="00ED6497" w:rsidRPr="0048721A" w:rsidRDefault="00ED6497">
    <w:pPr>
      <w:pStyle w:val="Header"/>
      <w:rPr>
        <w:rFonts w:ascii="Times New Roman" w:hAnsi="Times New Roman"/>
        <w:sz w:val="24"/>
        <w:szCs w:val="24"/>
      </w:rPr>
    </w:pPr>
    <w:r w:rsidRPr="006E159B">
      <w:rPr>
        <w:rFonts w:ascii="Times New Roman" w:hAnsi="Times New Roman"/>
        <w:sz w:val="24"/>
        <w:szCs w:val="24"/>
      </w:rPr>
      <w:t xml:space="preserve">NOPR (issued </w:t>
    </w:r>
    <w:r w:rsidR="006E159B" w:rsidRPr="006E159B">
      <w:rPr>
        <w:rFonts w:ascii="Times New Roman" w:hAnsi="Times New Roman"/>
        <w:sz w:val="24"/>
        <w:szCs w:val="24"/>
      </w:rPr>
      <w:t>5/17</w:t>
    </w:r>
    <w:r w:rsidRPr="006E159B">
      <w:rPr>
        <w:rFonts w:ascii="Times New Roman" w:hAnsi="Times New Roman"/>
        <w:sz w:val="24"/>
        <w:szCs w:val="24"/>
      </w:rPr>
      <w:t>/2018) in Docket</w:t>
    </w:r>
    <w:r w:rsidRPr="0048721A">
      <w:rPr>
        <w:rFonts w:ascii="Times New Roman" w:hAnsi="Times New Roman"/>
        <w:sz w:val="24"/>
        <w:szCs w:val="24"/>
      </w:rPr>
      <w:t xml:space="preserve"> No. </w:t>
    </w:r>
    <w:r w:rsidRPr="00A33CDF">
      <w:rPr>
        <w:rFonts w:ascii="Times New Roman" w:hAnsi="Times New Roman"/>
        <w:sz w:val="24"/>
        <w:szCs w:val="24"/>
      </w:rPr>
      <w:t xml:space="preserve">RM18-14; RIN </w:t>
    </w:r>
    <w:r w:rsidR="00A33CDF" w:rsidRPr="00A33CDF">
      <w:rPr>
        <w:rFonts w:ascii="Times New Roman" w:hAnsi="Times New Roman"/>
        <w:sz w:val="24"/>
        <w:szCs w:val="24"/>
      </w:rPr>
      <w:t>1902-AF51</w:t>
    </w:r>
  </w:p>
  <w:p w14:paraId="07F2B1C8" w14:textId="77777777" w:rsidR="00ED6497" w:rsidRPr="002953E1" w:rsidRDefault="00ED6497">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2"/>
  </w:num>
  <w:num w:numId="6">
    <w:abstractNumId w:val="15"/>
  </w:num>
  <w:num w:numId="7">
    <w:abstractNumId w:val="3"/>
  </w:num>
  <w:num w:numId="8">
    <w:abstractNumId w:val="0"/>
  </w:num>
  <w:num w:numId="9">
    <w:abstractNumId w:val="8"/>
  </w:num>
  <w:num w:numId="10">
    <w:abstractNumId w:val="5"/>
  </w:num>
  <w:num w:numId="11">
    <w:abstractNumId w:val="11"/>
  </w:num>
  <w:num w:numId="12">
    <w:abstractNumId w:val="7"/>
  </w:num>
  <w:num w:numId="13">
    <w:abstractNumId w:val="1"/>
  </w:num>
  <w:num w:numId="14">
    <w:abstractNumId w:val="16"/>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30D70"/>
    <w:rsid w:val="000762E1"/>
    <w:rsid w:val="000836EF"/>
    <w:rsid w:val="00084A7F"/>
    <w:rsid w:val="0009171A"/>
    <w:rsid w:val="000930CB"/>
    <w:rsid w:val="000951BE"/>
    <w:rsid w:val="000B51EA"/>
    <w:rsid w:val="000D1D54"/>
    <w:rsid w:val="000F1377"/>
    <w:rsid w:val="0010332E"/>
    <w:rsid w:val="001072E3"/>
    <w:rsid w:val="00107DA8"/>
    <w:rsid w:val="001121AE"/>
    <w:rsid w:val="00116CF2"/>
    <w:rsid w:val="001263E8"/>
    <w:rsid w:val="001360DE"/>
    <w:rsid w:val="0013718A"/>
    <w:rsid w:val="00163942"/>
    <w:rsid w:val="001902A4"/>
    <w:rsid w:val="001968EA"/>
    <w:rsid w:val="001A450A"/>
    <w:rsid w:val="001B5056"/>
    <w:rsid w:val="001C2A53"/>
    <w:rsid w:val="001C34B8"/>
    <w:rsid w:val="001D289D"/>
    <w:rsid w:val="001E55A1"/>
    <w:rsid w:val="00200CB5"/>
    <w:rsid w:val="002213AA"/>
    <w:rsid w:val="00221430"/>
    <w:rsid w:val="00221EB9"/>
    <w:rsid w:val="00227F0E"/>
    <w:rsid w:val="00230706"/>
    <w:rsid w:val="00233478"/>
    <w:rsid w:val="002356D9"/>
    <w:rsid w:val="00236DFB"/>
    <w:rsid w:val="00244BC9"/>
    <w:rsid w:val="00247EBC"/>
    <w:rsid w:val="0026269A"/>
    <w:rsid w:val="00295050"/>
    <w:rsid w:val="002953E1"/>
    <w:rsid w:val="002A725B"/>
    <w:rsid w:val="002D5CAD"/>
    <w:rsid w:val="002E034F"/>
    <w:rsid w:val="002F0CAD"/>
    <w:rsid w:val="002F3E65"/>
    <w:rsid w:val="002F641C"/>
    <w:rsid w:val="00344C60"/>
    <w:rsid w:val="00361948"/>
    <w:rsid w:val="003856AE"/>
    <w:rsid w:val="00395E45"/>
    <w:rsid w:val="00397094"/>
    <w:rsid w:val="003A23FA"/>
    <w:rsid w:val="003B49ED"/>
    <w:rsid w:val="003D08BB"/>
    <w:rsid w:val="003D79BB"/>
    <w:rsid w:val="003E6B4D"/>
    <w:rsid w:val="00413357"/>
    <w:rsid w:val="00413C13"/>
    <w:rsid w:val="00414464"/>
    <w:rsid w:val="004345EE"/>
    <w:rsid w:val="00450F57"/>
    <w:rsid w:val="00471F97"/>
    <w:rsid w:val="00480D2F"/>
    <w:rsid w:val="0048721A"/>
    <w:rsid w:val="00494814"/>
    <w:rsid w:val="004A36E5"/>
    <w:rsid w:val="004B7E8E"/>
    <w:rsid w:val="004C3C5F"/>
    <w:rsid w:val="004E2A6E"/>
    <w:rsid w:val="004F4BCE"/>
    <w:rsid w:val="00513CC8"/>
    <w:rsid w:val="00515869"/>
    <w:rsid w:val="00515F5E"/>
    <w:rsid w:val="005513D0"/>
    <w:rsid w:val="00554E46"/>
    <w:rsid w:val="00570BB8"/>
    <w:rsid w:val="00587AD0"/>
    <w:rsid w:val="005900E2"/>
    <w:rsid w:val="00590632"/>
    <w:rsid w:val="0059069E"/>
    <w:rsid w:val="005A33F0"/>
    <w:rsid w:val="005A6433"/>
    <w:rsid w:val="005B3C1B"/>
    <w:rsid w:val="005C5DAB"/>
    <w:rsid w:val="005D1C9E"/>
    <w:rsid w:val="005E77C1"/>
    <w:rsid w:val="005F1EFB"/>
    <w:rsid w:val="00600BD2"/>
    <w:rsid w:val="006128B2"/>
    <w:rsid w:val="006241F8"/>
    <w:rsid w:val="006377D8"/>
    <w:rsid w:val="00680C13"/>
    <w:rsid w:val="006955A3"/>
    <w:rsid w:val="006B48FF"/>
    <w:rsid w:val="006C4D26"/>
    <w:rsid w:val="006D22CF"/>
    <w:rsid w:val="006E159B"/>
    <w:rsid w:val="006E1DFD"/>
    <w:rsid w:val="006E5D79"/>
    <w:rsid w:val="006F33DA"/>
    <w:rsid w:val="006F5CD1"/>
    <w:rsid w:val="00701724"/>
    <w:rsid w:val="007060B2"/>
    <w:rsid w:val="00725E44"/>
    <w:rsid w:val="00736C27"/>
    <w:rsid w:val="007445A8"/>
    <w:rsid w:val="00756BE0"/>
    <w:rsid w:val="00782DCD"/>
    <w:rsid w:val="0078772D"/>
    <w:rsid w:val="007B529B"/>
    <w:rsid w:val="007C32BF"/>
    <w:rsid w:val="007E0D8A"/>
    <w:rsid w:val="007E640A"/>
    <w:rsid w:val="007F1D30"/>
    <w:rsid w:val="008143EC"/>
    <w:rsid w:val="00820173"/>
    <w:rsid w:val="00841F27"/>
    <w:rsid w:val="00855994"/>
    <w:rsid w:val="008634BD"/>
    <w:rsid w:val="00883041"/>
    <w:rsid w:val="008C00AE"/>
    <w:rsid w:val="008C4024"/>
    <w:rsid w:val="008C6BC7"/>
    <w:rsid w:val="00900535"/>
    <w:rsid w:val="00913164"/>
    <w:rsid w:val="0092686E"/>
    <w:rsid w:val="00932D78"/>
    <w:rsid w:val="00953EDD"/>
    <w:rsid w:val="00973E82"/>
    <w:rsid w:val="00974AFC"/>
    <w:rsid w:val="009A1489"/>
    <w:rsid w:val="009B11E7"/>
    <w:rsid w:val="009B513C"/>
    <w:rsid w:val="009C7060"/>
    <w:rsid w:val="009C7F55"/>
    <w:rsid w:val="009F6D6D"/>
    <w:rsid w:val="00A04B1E"/>
    <w:rsid w:val="00A06841"/>
    <w:rsid w:val="00A27B71"/>
    <w:rsid w:val="00A33CDF"/>
    <w:rsid w:val="00A84F60"/>
    <w:rsid w:val="00AB3680"/>
    <w:rsid w:val="00AB42C6"/>
    <w:rsid w:val="00AB7D6C"/>
    <w:rsid w:val="00AC60DF"/>
    <w:rsid w:val="00AC66B6"/>
    <w:rsid w:val="00AD2C01"/>
    <w:rsid w:val="00AE6820"/>
    <w:rsid w:val="00AF2AA1"/>
    <w:rsid w:val="00AF3755"/>
    <w:rsid w:val="00AF7046"/>
    <w:rsid w:val="00B05CEF"/>
    <w:rsid w:val="00B303A5"/>
    <w:rsid w:val="00B5132F"/>
    <w:rsid w:val="00B6311A"/>
    <w:rsid w:val="00B75FEE"/>
    <w:rsid w:val="00BA0479"/>
    <w:rsid w:val="00BA7959"/>
    <w:rsid w:val="00BB4271"/>
    <w:rsid w:val="00BD1E81"/>
    <w:rsid w:val="00BD7A22"/>
    <w:rsid w:val="00BE264B"/>
    <w:rsid w:val="00BF189C"/>
    <w:rsid w:val="00BF3095"/>
    <w:rsid w:val="00C4624A"/>
    <w:rsid w:val="00C47938"/>
    <w:rsid w:val="00C5088F"/>
    <w:rsid w:val="00C532EB"/>
    <w:rsid w:val="00C561C1"/>
    <w:rsid w:val="00C70452"/>
    <w:rsid w:val="00C731FD"/>
    <w:rsid w:val="00C740BC"/>
    <w:rsid w:val="00C75FFF"/>
    <w:rsid w:val="00CA6D90"/>
    <w:rsid w:val="00CA7B4A"/>
    <w:rsid w:val="00CB2F25"/>
    <w:rsid w:val="00CC52A8"/>
    <w:rsid w:val="00CC6A15"/>
    <w:rsid w:val="00CD146E"/>
    <w:rsid w:val="00CD4025"/>
    <w:rsid w:val="00D042E5"/>
    <w:rsid w:val="00D12C80"/>
    <w:rsid w:val="00D13613"/>
    <w:rsid w:val="00D26A54"/>
    <w:rsid w:val="00D36922"/>
    <w:rsid w:val="00D44FCA"/>
    <w:rsid w:val="00D52E91"/>
    <w:rsid w:val="00D53FDE"/>
    <w:rsid w:val="00D62D87"/>
    <w:rsid w:val="00D631E3"/>
    <w:rsid w:val="00D66646"/>
    <w:rsid w:val="00D66E7C"/>
    <w:rsid w:val="00D75D8A"/>
    <w:rsid w:val="00D946D9"/>
    <w:rsid w:val="00D966A1"/>
    <w:rsid w:val="00DA1081"/>
    <w:rsid w:val="00DB039F"/>
    <w:rsid w:val="00DB684E"/>
    <w:rsid w:val="00DC2DF2"/>
    <w:rsid w:val="00DE2213"/>
    <w:rsid w:val="00DE45F5"/>
    <w:rsid w:val="00E14A9B"/>
    <w:rsid w:val="00E20CEF"/>
    <w:rsid w:val="00E220E3"/>
    <w:rsid w:val="00E25E23"/>
    <w:rsid w:val="00E41507"/>
    <w:rsid w:val="00E53F53"/>
    <w:rsid w:val="00E55FFB"/>
    <w:rsid w:val="00E83743"/>
    <w:rsid w:val="00E837F5"/>
    <w:rsid w:val="00EA13DC"/>
    <w:rsid w:val="00EA483D"/>
    <w:rsid w:val="00EB1F54"/>
    <w:rsid w:val="00EB790F"/>
    <w:rsid w:val="00EC2F1A"/>
    <w:rsid w:val="00ED6497"/>
    <w:rsid w:val="00EE2A51"/>
    <w:rsid w:val="00F0627E"/>
    <w:rsid w:val="00F1537F"/>
    <w:rsid w:val="00F16E26"/>
    <w:rsid w:val="00F176BF"/>
    <w:rsid w:val="00F20B97"/>
    <w:rsid w:val="00F22C78"/>
    <w:rsid w:val="00F24965"/>
    <w:rsid w:val="00F2523E"/>
    <w:rsid w:val="00F33D5A"/>
    <w:rsid w:val="00F35B01"/>
    <w:rsid w:val="00F56391"/>
    <w:rsid w:val="00F60F4E"/>
    <w:rsid w:val="00F63B33"/>
    <w:rsid w:val="00F84151"/>
    <w:rsid w:val="00F90E4B"/>
    <w:rsid w:val="00F958BA"/>
    <w:rsid w:val="00F97AD7"/>
    <w:rsid w:val="00FB5639"/>
    <w:rsid w:val="00FE19F4"/>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awmed32\Downloads\www.reginfo.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49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2018-05-29T04:00:00+00:00</Date>
    <Status xmlns="d6eefc7d-9817-4fa6-84d5-3bc009be21b8">Draft</Status>
    <_x0032__x002e__x0020_Docket_x0020_Number xmlns="d6eefc7d-9817-4fa6-84d5-3bc009be21b8" xsi:nil="true"/>
    <_x0032__x002e__x0020_Collection_x0020_Number xmlns="d6eefc7d-9817-4fa6-84d5-3bc009be21b8">500</_x0032__x002e__x0020_Collection_x0020_Number>
    <_x0031__x002e__x0020_Docket_x0020_Number xmlns="d6eefc7d-9817-4fa6-84d5-3bc009be21b8">RM18-14</_x0031__x002e__x0020_Docket_x0020_Number>
    <_x0033__x002e__x0020_Collection_x0020_Number xmlns="d6eefc7d-9817-4fa6-84d5-3bc009be21b8">505</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57017-6D35-4700-942D-9BCDC1A55FC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d6eefc7d-9817-4fa6-84d5-3bc009be21b8"/>
    <ds:schemaRef ds:uri="http://purl.org/dc/dcmitype/"/>
  </ds:schemaRefs>
</ds:datastoreItem>
</file>

<file path=customXml/itemProps6.xml><?xml version="1.0" encoding="utf-8"?>
<ds:datastoreItem xmlns:ds="http://schemas.openxmlformats.org/officeDocument/2006/customXml" ds:itemID="{70A2CE99-672B-4D36-BF30-DFE557AF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3913</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2018-05-29T17:48:00Z</dcterms:created>
  <dcterms:modified xsi:type="dcterms:W3CDTF">2018-05-29T17:48:00Z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