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B712CE" w:rsidRDefault="00386054" w:rsidP="00F1427F">
      <w:pPr>
        <w:pStyle w:val="ListParagraph"/>
        <w:numPr>
          <w:ilvl w:val="0"/>
          <w:numId w:val="11"/>
        </w:numPr>
        <w:tabs>
          <w:tab w:val="left" w:pos="180"/>
        </w:tabs>
        <w:suppressAutoHyphens/>
        <w:ind w:left="180"/>
        <w:rPr>
          <w:rFonts w:ascii="Times New Roman" w:hAnsi="Times New Roman"/>
          <w:szCs w:val="24"/>
        </w:rPr>
      </w:pPr>
      <w:r w:rsidRPr="00B712CE">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B712CE">
        <w:rPr>
          <w:rFonts w:ascii="Times New Roman" w:hAnsi="Times New Roman"/>
          <w:szCs w:val="24"/>
        </w:rPr>
        <w:t xml:space="preserve">hard </w:t>
      </w:r>
      <w:r w:rsidRPr="00B712CE">
        <w:rPr>
          <w:rFonts w:ascii="Times New Roman" w:hAnsi="Times New Roman"/>
          <w:szCs w:val="24"/>
        </w:rPr>
        <w:t>copy of the appropriate section of each statute and regulation mandating or authorizing the collection of information</w:t>
      </w:r>
      <w:r w:rsidR="003C7F70" w:rsidRPr="00B712CE">
        <w:rPr>
          <w:rFonts w:ascii="Times New Roman" w:hAnsi="Times New Roman"/>
          <w:szCs w:val="24"/>
        </w:rPr>
        <w:t>,</w:t>
      </w:r>
      <w:r w:rsidR="00050CBE" w:rsidRPr="00B712CE">
        <w:rPr>
          <w:rFonts w:ascii="Times New Roman" w:hAnsi="Times New Roman"/>
          <w:szCs w:val="24"/>
        </w:rPr>
        <w:t xml:space="preserve"> or </w:t>
      </w:r>
      <w:r w:rsidR="003C7F70" w:rsidRPr="00B712CE">
        <w:rPr>
          <w:rFonts w:ascii="Times New Roman" w:hAnsi="Times New Roman"/>
          <w:szCs w:val="24"/>
        </w:rPr>
        <w:t xml:space="preserve">you may </w:t>
      </w:r>
      <w:r w:rsidR="00050CBE" w:rsidRPr="00B712CE">
        <w:rPr>
          <w:rFonts w:ascii="Times New Roman" w:hAnsi="Times New Roman"/>
          <w:szCs w:val="24"/>
        </w:rPr>
        <w:t xml:space="preserve">provide a valid </w:t>
      </w:r>
      <w:r w:rsidR="003C7F70" w:rsidRPr="00B712CE">
        <w:rPr>
          <w:rFonts w:ascii="Times New Roman" w:hAnsi="Times New Roman"/>
          <w:szCs w:val="24"/>
        </w:rPr>
        <w:t>URL</w:t>
      </w:r>
      <w:r w:rsidR="00050CBE" w:rsidRPr="00B712CE">
        <w:rPr>
          <w:rFonts w:ascii="Times New Roman" w:hAnsi="Times New Roman"/>
          <w:szCs w:val="24"/>
        </w:rPr>
        <w:t xml:space="preserve"> link or paste the applicable section</w:t>
      </w:r>
      <w:r w:rsidR="003C7F70">
        <w:rPr>
          <w:rStyle w:val="FootnoteReference"/>
          <w:szCs w:val="24"/>
        </w:rPr>
        <w:footnoteReference w:id="1"/>
      </w:r>
      <w:r w:rsidRPr="00B712CE">
        <w:rPr>
          <w:rFonts w:ascii="Times New Roman" w:hAnsi="Times New Roman"/>
          <w:szCs w:val="24"/>
        </w:rPr>
        <w:t>. Specify the review type of the collection (new, revision, extension, reinstatement with change, reinstatement without change)</w:t>
      </w:r>
      <w:r w:rsidR="00050CBE" w:rsidRPr="00B712CE">
        <w:rPr>
          <w:rFonts w:ascii="Times New Roman" w:hAnsi="Times New Roman"/>
          <w:szCs w:val="24"/>
        </w:rPr>
        <w:t>. If revised, briefly specify the changes.  If a rulemaking is involved, make note of the sections or changed sections, if applicable.</w:t>
      </w:r>
    </w:p>
    <w:p w:rsidR="00CB1DD8" w:rsidRDefault="00CB1DD8">
      <w:pPr>
        <w:tabs>
          <w:tab w:val="left" w:pos="0"/>
        </w:tabs>
        <w:suppressAutoHyphens/>
        <w:rPr>
          <w:rFonts w:ascii="Times New Roman" w:hAnsi="Times New Roman"/>
          <w:szCs w:val="24"/>
        </w:rPr>
      </w:pPr>
    </w:p>
    <w:p w:rsidR="00386054" w:rsidRPr="009115F3" w:rsidRDefault="00FE0B66" w:rsidP="00FE0B66">
      <w:pPr>
        <w:spacing w:before="100" w:beforeAutospacing="1" w:after="100" w:afterAutospacing="1"/>
        <w:ind w:left="720"/>
        <w:rPr>
          <w:rFonts w:ascii="Times New Roman" w:hAnsi="Times New Roman"/>
          <w:szCs w:val="24"/>
        </w:rPr>
      </w:pPr>
      <w:r w:rsidRPr="00FE0B66">
        <w:rPr>
          <w:rFonts w:ascii="Times New Roman" w:hAnsi="Times New Roman"/>
        </w:rPr>
        <w:t xml:space="preserve">The Graduate Assistance in Areas of National Need (GAANN) program, authorized under 20 U.S.C. 1135, provides grants to departments and programs of higher education to support graduate fellowships for students of superior ability who demonstrate financial need.  The authorizing statute for GAANN (Title VII, Part A, Subpart 2 of the Higher Education Act of 1965, as amended) requires the collection of specific data that are necessary for applicant institutions to receive an initial competitive grant and non-competing continuation grants for the second and third years.  </w:t>
      </w:r>
      <w:r w:rsidRPr="00483FBB">
        <w:rPr>
          <w:rFonts w:ascii="Times New Roman" w:hAnsi="Times New Roman"/>
        </w:rPr>
        <w:t xml:space="preserve">The current application (OMB #1840-0604) </w:t>
      </w:r>
      <w:r w:rsidR="00D639AF">
        <w:rPr>
          <w:rFonts w:ascii="Times New Roman" w:hAnsi="Times New Roman"/>
        </w:rPr>
        <w:t>was discontinued</w:t>
      </w:r>
      <w:r w:rsidRPr="00483FBB">
        <w:rPr>
          <w:rFonts w:ascii="Times New Roman" w:hAnsi="Times New Roman"/>
        </w:rPr>
        <w:t xml:space="preserve"> on </w:t>
      </w:r>
      <w:r w:rsidR="009115F3" w:rsidRPr="00483FBB">
        <w:rPr>
          <w:rFonts w:ascii="Times New Roman" w:hAnsi="Times New Roman"/>
        </w:rPr>
        <w:t>March 31, 2018</w:t>
      </w:r>
      <w:r w:rsidRPr="00483FBB">
        <w:rPr>
          <w:rFonts w:ascii="Times New Roman" w:hAnsi="Times New Roman"/>
        </w:rPr>
        <w:t>.  The</w:t>
      </w:r>
      <w:r w:rsidRPr="00FE0B66">
        <w:rPr>
          <w:rFonts w:ascii="Times New Roman" w:hAnsi="Times New Roman"/>
        </w:rPr>
        <w:t xml:space="preserve"> </w:t>
      </w:r>
      <w:r w:rsidR="00EB1E8C">
        <w:rPr>
          <w:rFonts w:ascii="Times New Roman" w:hAnsi="Times New Roman"/>
        </w:rPr>
        <w:t xml:space="preserve">U.S. </w:t>
      </w:r>
      <w:r w:rsidRPr="00FE0B66">
        <w:rPr>
          <w:rFonts w:ascii="Times New Roman" w:hAnsi="Times New Roman"/>
        </w:rPr>
        <w:t xml:space="preserve">Department of Education </w:t>
      </w:r>
      <w:r w:rsidR="00EB1E8C">
        <w:rPr>
          <w:rFonts w:ascii="Times New Roman" w:hAnsi="Times New Roman"/>
        </w:rPr>
        <w:t xml:space="preserve">(Department) </w:t>
      </w:r>
      <w:r w:rsidRPr="00FE0B66">
        <w:rPr>
          <w:rFonts w:ascii="Times New Roman" w:hAnsi="Times New Roman"/>
        </w:rPr>
        <w:t>is now requesting a reinstatement without change of this collection package to collect data under 34 CFR Sections 648.20, 648.31, and 648.66</w:t>
      </w:r>
      <w:r w:rsidRPr="009115F3">
        <w:rPr>
          <w:rFonts w:ascii="Times New Roman" w:hAnsi="Times New Roman"/>
        </w:rPr>
        <w:t xml:space="preserve">.  </w:t>
      </w:r>
      <w:r w:rsidR="00EB1E8C" w:rsidRPr="009115F3">
        <w:rPr>
          <w:rFonts w:ascii="Times New Roman" w:hAnsi="Times New Roman"/>
        </w:rPr>
        <w:t>The link to the s</w:t>
      </w:r>
      <w:r w:rsidR="00E75931" w:rsidRPr="009115F3">
        <w:rPr>
          <w:rFonts w:ascii="Times New Roman" w:hAnsi="Times New Roman"/>
        </w:rPr>
        <w:t xml:space="preserve">tatute: </w:t>
      </w:r>
      <w:hyperlink r:id="rId9" w:history="1">
        <w:r w:rsidR="007507C4" w:rsidRPr="00261F78">
          <w:rPr>
            <w:rStyle w:val="Hyperlink"/>
            <w:rFonts w:ascii="Times New Roman" w:hAnsi="Times New Roman"/>
          </w:rPr>
          <w:t>https://www.law.cornell.edu/uscode/text/20/chapter-28/subchapter-VII/part-A/subpart-2</w:t>
        </w:r>
      </w:hyperlink>
      <w:r w:rsidR="007507C4">
        <w:rPr>
          <w:rFonts w:ascii="Times New Roman" w:hAnsi="Times New Roman"/>
        </w:rPr>
        <w:t xml:space="preserve">. </w:t>
      </w:r>
    </w:p>
    <w:p w:rsidR="00386054" w:rsidRPr="00B712CE" w:rsidRDefault="00386054" w:rsidP="00B712CE">
      <w:pPr>
        <w:pStyle w:val="ListParagraph"/>
        <w:numPr>
          <w:ilvl w:val="0"/>
          <w:numId w:val="11"/>
        </w:numPr>
        <w:tabs>
          <w:tab w:val="left" w:pos="-720"/>
        </w:tabs>
        <w:suppressAutoHyphens/>
        <w:ind w:left="180"/>
        <w:rPr>
          <w:rFonts w:ascii="Times New Roman" w:hAnsi="Times New Roman"/>
          <w:szCs w:val="24"/>
        </w:rPr>
      </w:pPr>
      <w:r w:rsidRPr="009115F3">
        <w:rPr>
          <w:rFonts w:ascii="Times New Roman" w:hAnsi="Times New Roman"/>
          <w:szCs w:val="24"/>
        </w:rPr>
        <w:t>Indicate how, by whom, and for what purpose the information is to be used.  Except for a new</w:t>
      </w:r>
      <w:r w:rsidRPr="00B712CE">
        <w:rPr>
          <w:rFonts w:ascii="Times New Roman" w:hAnsi="Times New Roman"/>
          <w:szCs w:val="24"/>
        </w:rPr>
        <w:t xml:space="preserve"> collection, indicate the actual use the agency has made of the information received from the current collection.</w:t>
      </w:r>
      <w:r w:rsidR="00050CBE" w:rsidRPr="00B712CE">
        <w:rPr>
          <w:rFonts w:ascii="Times New Roman" w:hAnsi="Times New Roman"/>
          <w:szCs w:val="24"/>
        </w:rPr>
        <w:t xml:space="preserve"> </w:t>
      </w:r>
    </w:p>
    <w:p w:rsidR="00CB1DD8" w:rsidRDefault="00CB1DD8" w:rsidP="00B712CE">
      <w:pPr>
        <w:pStyle w:val="ListParagraph"/>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The Department uses the data collected in the Application for Grants to evaluate, score, and rank the quality of the projects proposed by the institutions of higher education applying for a grant.  Data are also used to determine allowable multi-year project expenses based on statutory requirements, and to recommend funding levels for the proposed grants.  If the data are not collected, the Department could not determine the quality of competing applications, which is the basis for making grant awards as required by the statute.</w:t>
      </w:r>
    </w:p>
    <w:p w:rsidR="00386054" w:rsidRPr="00020D1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EF7FF5">
        <w:rPr>
          <w:rFonts w:ascii="Times New Roman" w:hAnsi="Times New Roman"/>
          <w:szCs w:val="24"/>
        </w:rPr>
        <w:lastRenderedPageBreak/>
        <w:t>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B35EF2" w:rsidRPr="00B35EF2" w:rsidRDefault="00B35EF2" w:rsidP="00B35EF2">
      <w:pPr>
        <w:ind w:left="720"/>
        <w:rPr>
          <w:rFonts w:ascii="Times New Roman" w:hAnsi="Times New Roman"/>
        </w:rPr>
      </w:pPr>
      <w:r w:rsidRPr="00B35EF2">
        <w:rPr>
          <w:rFonts w:ascii="Times New Roman" w:hAnsi="Times New Roman"/>
        </w:rPr>
        <w:t xml:space="preserve">The GAANN program participates in the Grants.gov application submission process.  The GAANN application is available only through Grants.gov.  Through Grants.gov, applicants are able to build and submit their proposals electronically.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Since the information submitted in the application is specific to the GAANN program, there is no duplication.  There is no other collection instrument available to collect the information necessary to meet the purposes described in item 2 above.</w:t>
      </w:r>
    </w:p>
    <w:p w:rsidR="00020D15" w:rsidRPr="00B712CE" w:rsidRDefault="00020D15" w:rsidP="00020D15">
      <w:pPr>
        <w:ind w:left="360" w:hanging="360"/>
        <w:rPr>
          <w:b/>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Institutions of higher education are the sole recipients of GAANN grants.  There is no impact on small businesses or small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FE0B66" w:rsidRPr="00FE0B66" w:rsidRDefault="00FE0B66" w:rsidP="00FE0B66">
      <w:pPr>
        <w:ind w:left="720"/>
        <w:rPr>
          <w:rFonts w:ascii="Times New Roman" w:hAnsi="Times New Roman"/>
        </w:rPr>
      </w:pPr>
      <w:r w:rsidRPr="00FE0B66">
        <w:rPr>
          <w:rFonts w:ascii="Times New Roman" w:hAnsi="Times New Roman"/>
        </w:rPr>
        <w:t>Grants awarded under this program are made annually and the data must be collected for each new competition cycle.  Failure to collect this information would prohibit the Department from fulfilling its responsibility to award grants under this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FE0B66">
      <w:pPr>
        <w:numPr>
          <w:ilvl w:val="12"/>
          <w:numId w:val="0"/>
        </w:numPr>
        <w:tabs>
          <w:tab w:val="left" w:pos="-720"/>
          <w:tab w:val="left" w:pos="558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020D15" w:rsidRPr="00114C2F" w:rsidRDefault="00020D15" w:rsidP="00636F25">
      <w:pPr>
        <w:ind w:firstLine="720"/>
        <w:rPr>
          <w:rFonts w:ascii="Times New Roman" w:hAnsi="Times New Roman"/>
        </w:rPr>
      </w:pPr>
      <w:r w:rsidRPr="00114C2F">
        <w:rPr>
          <w:rFonts w:ascii="Times New Roman" w:hAnsi="Times New Roman"/>
        </w:rPr>
        <w:t>There are no special circumstances as outlined in #7 of the instructions.</w:t>
      </w:r>
    </w:p>
    <w:p w:rsidR="00386054" w:rsidRPr="00020D15" w:rsidRDefault="00386054">
      <w:pPr>
        <w:tabs>
          <w:tab w:val="left" w:pos="-720"/>
        </w:tabs>
        <w:suppressAutoHyphens/>
        <w:rPr>
          <w:rFonts w:ascii="Times New Roman" w:hAnsi="Times New Roman"/>
          <w:szCs w:val="24"/>
        </w:rPr>
      </w:pPr>
    </w:p>
    <w:p w:rsidR="00386054" w:rsidRPr="00EF7FF5" w:rsidRDefault="001743A5" w:rsidP="00B712CE">
      <w:pPr>
        <w:numPr>
          <w:ilvl w:val="0"/>
          <w:numId w:val="2"/>
        </w:numPr>
        <w:tabs>
          <w:tab w:val="left" w:pos="-720"/>
        </w:tabs>
        <w:suppressAutoHyphens/>
        <w:ind w:left="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B712CE">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B712CE">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20D15" w:rsidRPr="00636F25" w:rsidRDefault="00EB1E8C" w:rsidP="001A53E7">
      <w:pPr>
        <w:ind w:left="720"/>
        <w:rPr>
          <w:rFonts w:ascii="Times New Roman" w:hAnsi="Times New Roman"/>
        </w:rPr>
      </w:pPr>
      <w:r>
        <w:rPr>
          <w:rFonts w:ascii="Times New Roman" w:hAnsi="Times New Roman"/>
        </w:rPr>
        <w:t>A 30-</w:t>
      </w:r>
      <w:r w:rsidR="00550236" w:rsidRPr="00636F25">
        <w:rPr>
          <w:rFonts w:ascii="Times New Roman" w:hAnsi="Times New Roman"/>
        </w:rPr>
        <w:t xml:space="preserve">day notice for public comment will be published in the </w:t>
      </w:r>
      <w:r w:rsidR="00550236" w:rsidRPr="00EB1E8C">
        <w:rPr>
          <w:rFonts w:ascii="Times New Roman" w:hAnsi="Times New Roman"/>
          <w:u w:val="single"/>
        </w:rPr>
        <w:t>Federal Register</w:t>
      </w:r>
      <w:r w:rsidR="00550236" w:rsidRPr="00636F25">
        <w:rPr>
          <w:rFonts w:ascii="Times New Roman" w:hAnsi="Times New Roman"/>
        </w:rPr>
        <w:t xml:space="preserve">. </w:t>
      </w:r>
      <w:r w:rsidR="008C5502" w:rsidRPr="00636F25">
        <w:rPr>
          <w:rFonts w:ascii="Times New Roman" w:hAnsi="Times New Roman"/>
        </w:rPr>
        <w:t xml:space="preserve"> </w:t>
      </w:r>
      <w:r w:rsidR="00020D15" w:rsidRPr="00636F25">
        <w:rPr>
          <w:rFonts w:ascii="Times New Roman" w:hAnsi="Times New Roman"/>
        </w:rPr>
        <w:t xml:space="preserve">Program staff will respond to any questions or comments resulting from the publication of the information collection in the </w:t>
      </w:r>
      <w:r w:rsidR="00020D15" w:rsidRPr="00EB1E8C">
        <w:rPr>
          <w:rFonts w:ascii="Times New Roman" w:hAnsi="Times New Roman"/>
          <w:iCs/>
          <w:u w:val="single"/>
        </w:rPr>
        <w:t>Federal Register</w:t>
      </w:r>
      <w:r w:rsidR="00020D15" w:rsidRPr="00636F25">
        <w:rPr>
          <w:rFonts w:ascii="Times New Roman" w:hAnsi="Times New Roman"/>
        </w:rPr>
        <w:t xml:space="preserve"> as required by 5 CFR 1320.8(d).</w:t>
      </w:r>
    </w:p>
    <w:p w:rsidR="001A53E7" w:rsidRDefault="001A53E7" w:rsidP="00B712CE">
      <w:pPr>
        <w:rPr>
          <w:rFonts w:ascii="Times New Roman" w:hAnsi="Times New Roman"/>
          <w:b/>
          <w:color w:val="FF0000"/>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9. </w:t>
      </w:r>
      <w:r w:rsidR="000321B0">
        <w:rPr>
          <w:rFonts w:ascii="Times New Roman" w:hAnsi="Times New Roman"/>
          <w:szCs w:val="24"/>
        </w:rPr>
        <w:t xml:space="preserve">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114C2F" w:rsidRDefault="00636F25">
      <w:pPr>
        <w:tabs>
          <w:tab w:val="left" w:pos="-720"/>
        </w:tabs>
        <w:suppressAutoHyphens/>
        <w:rPr>
          <w:rFonts w:ascii="Times New Roman" w:hAnsi="Times New Roman"/>
          <w:szCs w:val="24"/>
        </w:rPr>
      </w:pPr>
      <w:r>
        <w:rPr>
          <w:rFonts w:ascii="Times New Roman" w:hAnsi="Times New Roman"/>
        </w:rPr>
        <w:tab/>
      </w:r>
      <w:r w:rsidR="00020D15" w:rsidRPr="00114C2F">
        <w:rPr>
          <w:rFonts w:ascii="Times New Roman" w:hAnsi="Times New Roman"/>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r w:rsidR="002F306D">
        <w:rPr>
          <w:rFonts w:ascii="Times New Roman" w:hAnsi="Times New Roman"/>
          <w:szCs w:val="24"/>
        </w:rPr>
        <w:t xml:space="preserve"> </w:t>
      </w:r>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114C2F" w:rsidRPr="001A53E7" w:rsidRDefault="00114C2F" w:rsidP="00114C2F">
      <w:pPr>
        <w:ind w:left="720"/>
        <w:rPr>
          <w:rFonts w:ascii="Times New Roman" w:hAnsi="Times New Roman"/>
        </w:rPr>
      </w:pPr>
      <w:r w:rsidRPr="001A53E7">
        <w:rPr>
          <w:rFonts w:ascii="Times New Roman" w:hAnsi="Times New Roman"/>
        </w:rPr>
        <w:t>There are no assurances of confidentiality provided.</w:t>
      </w:r>
    </w:p>
    <w:p w:rsidR="00114C2F" w:rsidRDefault="00114C2F">
      <w:pPr>
        <w:tabs>
          <w:tab w:val="left" w:pos="-720"/>
        </w:tabs>
        <w:suppressAutoHyphens/>
        <w:rPr>
          <w:rFonts w:ascii="Times New Roman" w:hAnsi="Times New Roman"/>
          <w:b/>
          <w:color w:val="FF0000"/>
          <w:szCs w:val="24"/>
        </w:rPr>
      </w:pPr>
    </w:p>
    <w:p w:rsidR="00386054"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30" w:rsidRDefault="00116030">
      <w:pPr>
        <w:tabs>
          <w:tab w:val="left" w:pos="-720"/>
        </w:tabs>
        <w:suppressAutoHyphens/>
        <w:rPr>
          <w:rFonts w:ascii="Times New Roman" w:hAnsi="Times New Roman"/>
          <w:szCs w:val="24"/>
        </w:rPr>
      </w:pPr>
    </w:p>
    <w:p w:rsidR="00116030" w:rsidRPr="00114C2F" w:rsidRDefault="000321B0">
      <w:pPr>
        <w:tabs>
          <w:tab w:val="left" w:pos="-720"/>
        </w:tabs>
        <w:suppressAutoHyphens/>
        <w:rPr>
          <w:rFonts w:ascii="Times New Roman" w:hAnsi="Times New Roman"/>
          <w:szCs w:val="24"/>
        </w:rPr>
      </w:pPr>
      <w:r>
        <w:rPr>
          <w:rFonts w:ascii="Times New Roman" w:hAnsi="Times New Roman"/>
        </w:rPr>
        <w:tab/>
      </w:r>
      <w:r w:rsidR="00116030" w:rsidRPr="00114C2F">
        <w:rPr>
          <w:rFonts w:ascii="Times New Roman" w:hAnsi="Times New Roman"/>
        </w:rPr>
        <w:t>Questions of a sensitive nature are not included in this information collection.</w:t>
      </w:r>
    </w:p>
    <w:p w:rsidR="00386054"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tabs>
          <w:tab w:val="left" w:pos="-720"/>
        </w:tabs>
        <w:suppressAutoHyphens/>
        <w:rPr>
          <w:rFonts w:ascii="Times New Roman" w:hAnsi="Times New Roman"/>
          <w:szCs w:val="24"/>
        </w:rPr>
      </w:pPr>
    </w:p>
    <w:p w:rsidR="0055447A" w:rsidRPr="00BE2EB3" w:rsidRDefault="0055447A" w:rsidP="0055447A">
      <w:pPr>
        <w:ind w:left="720"/>
        <w:rPr>
          <w:rFonts w:ascii="Times New Roman" w:hAnsi="Times New Roman"/>
        </w:rPr>
      </w:pPr>
      <w:r w:rsidRPr="00BE2EB3">
        <w:rPr>
          <w:rFonts w:ascii="Times New Roman" w:hAnsi="Times New Roman"/>
        </w:rPr>
        <w:t xml:space="preserve">The estimated total reporting burden for this data collection is 13,432 hours.  This includes a total of 325 respondents (227 public universities and 98 private universities), each with an estimated response time of 41.33 hours.  </w:t>
      </w:r>
    </w:p>
    <w:p w:rsidR="0055447A" w:rsidRPr="00BE2EB3" w:rsidRDefault="0055447A" w:rsidP="0055447A">
      <w:pPr>
        <w:rPr>
          <w:rFonts w:ascii="Times New Roman" w:hAnsi="Times New Roman"/>
        </w:rPr>
      </w:pPr>
    </w:p>
    <w:tbl>
      <w:tblPr>
        <w:tblStyle w:val="TableGrid"/>
        <w:tblW w:w="0" w:type="auto"/>
        <w:tblInd w:w="738" w:type="dxa"/>
        <w:tblLook w:val="04A0" w:firstRow="1" w:lastRow="0" w:firstColumn="1" w:lastColumn="0" w:noHBand="0" w:noVBand="1"/>
      </w:tblPr>
      <w:tblGrid>
        <w:gridCol w:w="3708"/>
        <w:gridCol w:w="2070"/>
        <w:gridCol w:w="2358"/>
      </w:tblGrid>
      <w:tr w:rsidR="0055447A" w:rsidRPr="00BE2EB3" w:rsidTr="001D457C">
        <w:tc>
          <w:tcPr>
            <w:tcW w:w="3708" w:type="dxa"/>
          </w:tcPr>
          <w:p w:rsidR="0055447A" w:rsidRPr="00BE2EB3" w:rsidRDefault="0055447A" w:rsidP="00E75931">
            <w:pPr>
              <w:rPr>
                <w:rFonts w:ascii="Times New Roman" w:hAnsi="Times New Roman"/>
              </w:rPr>
            </w:pPr>
          </w:p>
        </w:tc>
        <w:tc>
          <w:tcPr>
            <w:tcW w:w="2070" w:type="dxa"/>
          </w:tcPr>
          <w:p w:rsidR="0055447A" w:rsidRPr="00BE2EB3" w:rsidRDefault="0055447A" w:rsidP="00E75931">
            <w:pPr>
              <w:rPr>
                <w:rFonts w:ascii="Times New Roman" w:hAnsi="Times New Roman"/>
              </w:rPr>
            </w:pPr>
            <w:r w:rsidRPr="00BE2EB3">
              <w:rPr>
                <w:rFonts w:ascii="Times New Roman" w:hAnsi="Times New Roman"/>
              </w:rPr>
              <w:t>Public Universities</w:t>
            </w:r>
          </w:p>
        </w:tc>
        <w:tc>
          <w:tcPr>
            <w:tcW w:w="2358" w:type="dxa"/>
          </w:tcPr>
          <w:p w:rsidR="0055447A" w:rsidRPr="00BE2EB3" w:rsidRDefault="0055447A" w:rsidP="00E75931">
            <w:pPr>
              <w:rPr>
                <w:rFonts w:ascii="Times New Roman" w:hAnsi="Times New Roman"/>
              </w:rPr>
            </w:pPr>
            <w:r w:rsidRPr="00BE2EB3">
              <w:rPr>
                <w:rFonts w:ascii="Times New Roman" w:hAnsi="Times New Roman"/>
              </w:rPr>
              <w:t>Private Universities</w:t>
            </w:r>
          </w:p>
        </w:tc>
      </w:tr>
      <w:tr w:rsidR="0055447A" w:rsidRPr="00BE2EB3" w:rsidTr="001D457C">
        <w:tc>
          <w:tcPr>
            <w:tcW w:w="3708" w:type="dxa"/>
          </w:tcPr>
          <w:p w:rsidR="0055447A" w:rsidRPr="00BE2EB3" w:rsidRDefault="0055447A" w:rsidP="00E75931">
            <w:pPr>
              <w:rPr>
                <w:rFonts w:ascii="Times New Roman" w:hAnsi="Times New Roman"/>
              </w:rPr>
            </w:pPr>
            <w:r w:rsidRPr="00BE2EB3">
              <w:rPr>
                <w:rFonts w:ascii="Times New Roman" w:hAnsi="Times New Roman"/>
              </w:rPr>
              <w:t>Estimated number of respondents</w:t>
            </w:r>
          </w:p>
        </w:tc>
        <w:tc>
          <w:tcPr>
            <w:tcW w:w="2070" w:type="dxa"/>
          </w:tcPr>
          <w:p w:rsidR="0055447A" w:rsidRPr="00BE2EB3" w:rsidRDefault="0055447A" w:rsidP="00E75931">
            <w:pPr>
              <w:rPr>
                <w:rFonts w:ascii="Times New Roman" w:hAnsi="Times New Roman"/>
              </w:rPr>
            </w:pPr>
            <w:r w:rsidRPr="00BE2EB3">
              <w:rPr>
                <w:rFonts w:ascii="Times New Roman" w:hAnsi="Times New Roman"/>
              </w:rPr>
              <w:t>227</w:t>
            </w:r>
          </w:p>
        </w:tc>
        <w:tc>
          <w:tcPr>
            <w:tcW w:w="2358" w:type="dxa"/>
          </w:tcPr>
          <w:p w:rsidR="0055447A" w:rsidRPr="00BE2EB3" w:rsidRDefault="0055447A" w:rsidP="00E75931">
            <w:pPr>
              <w:rPr>
                <w:rFonts w:ascii="Times New Roman" w:hAnsi="Times New Roman"/>
              </w:rPr>
            </w:pPr>
            <w:r w:rsidRPr="00BE2EB3">
              <w:rPr>
                <w:rFonts w:ascii="Times New Roman" w:hAnsi="Times New Roman"/>
              </w:rPr>
              <w:t>98</w:t>
            </w:r>
          </w:p>
        </w:tc>
      </w:tr>
      <w:tr w:rsidR="0055447A" w:rsidRPr="00BE2EB3" w:rsidTr="001D457C">
        <w:tc>
          <w:tcPr>
            <w:tcW w:w="3708" w:type="dxa"/>
          </w:tcPr>
          <w:p w:rsidR="0055447A" w:rsidRPr="00BE2EB3" w:rsidRDefault="0055447A" w:rsidP="00E75931">
            <w:pPr>
              <w:rPr>
                <w:rFonts w:ascii="Times New Roman" w:hAnsi="Times New Roman"/>
              </w:rPr>
            </w:pPr>
            <w:r w:rsidRPr="00BE2EB3">
              <w:rPr>
                <w:rFonts w:ascii="Times New Roman" w:hAnsi="Times New Roman"/>
              </w:rPr>
              <w:t>Estimated response time</w:t>
            </w:r>
          </w:p>
        </w:tc>
        <w:tc>
          <w:tcPr>
            <w:tcW w:w="2070" w:type="dxa"/>
          </w:tcPr>
          <w:p w:rsidR="0055447A" w:rsidRPr="00BE2EB3" w:rsidRDefault="0055447A" w:rsidP="00EB1E8C">
            <w:pPr>
              <w:rPr>
                <w:rFonts w:ascii="Times New Roman" w:hAnsi="Times New Roman"/>
              </w:rPr>
            </w:pPr>
            <w:r w:rsidRPr="00BE2EB3">
              <w:rPr>
                <w:rFonts w:ascii="Times New Roman" w:hAnsi="Times New Roman"/>
              </w:rPr>
              <w:t xml:space="preserve">41.33  </w:t>
            </w:r>
          </w:p>
        </w:tc>
        <w:tc>
          <w:tcPr>
            <w:tcW w:w="2358" w:type="dxa"/>
          </w:tcPr>
          <w:p w:rsidR="0055447A" w:rsidRPr="00BE2EB3" w:rsidRDefault="0055447A" w:rsidP="00EB1E8C">
            <w:pPr>
              <w:rPr>
                <w:rFonts w:ascii="Times New Roman" w:hAnsi="Times New Roman"/>
              </w:rPr>
            </w:pPr>
            <w:r w:rsidRPr="00BE2EB3">
              <w:rPr>
                <w:rFonts w:ascii="Times New Roman" w:hAnsi="Times New Roman"/>
              </w:rPr>
              <w:t xml:space="preserve">41.33 </w:t>
            </w:r>
          </w:p>
        </w:tc>
      </w:tr>
      <w:tr w:rsidR="0055447A" w:rsidRPr="00BE2EB3" w:rsidTr="001D457C">
        <w:tc>
          <w:tcPr>
            <w:tcW w:w="3708" w:type="dxa"/>
          </w:tcPr>
          <w:p w:rsidR="0055447A" w:rsidRPr="00BE2EB3" w:rsidRDefault="0055447A" w:rsidP="00E75931">
            <w:pPr>
              <w:rPr>
                <w:rFonts w:ascii="Times New Roman" w:hAnsi="Times New Roman"/>
              </w:rPr>
            </w:pPr>
            <w:r w:rsidRPr="00BE2EB3">
              <w:rPr>
                <w:rFonts w:ascii="Times New Roman" w:hAnsi="Times New Roman"/>
              </w:rPr>
              <w:t>Frequency of collection</w:t>
            </w:r>
          </w:p>
        </w:tc>
        <w:tc>
          <w:tcPr>
            <w:tcW w:w="2070" w:type="dxa"/>
          </w:tcPr>
          <w:p w:rsidR="0055447A" w:rsidRPr="00BE2EB3" w:rsidRDefault="0055447A" w:rsidP="00E75931">
            <w:pPr>
              <w:rPr>
                <w:rFonts w:ascii="Times New Roman" w:hAnsi="Times New Roman"/>
              </w:rPr>
            </w:pPr>
            <w:r w:rsidRPr="00BE2EB3">
              <w:rPr>
                <w:rFonts w:ascii="Times New Roman" w:hAnsi="Times New Roman"/>
              </w:rPr>
              <w:t>1 annually</w:t>
            </w:r>
          </w:p>
        </w:tc>
        <w:tc>
          <w:tcPr>
            <w:tcW w:w="2358" w:type="dxa"/>
          </w:tcPr>
          <w:p w:rsidR="0055447A" w:rsidRPr="00BE2EB3" w:rsidRDefault="0055447A" w:rsidP="00E75931">
            <w:pPr>
              <w:rPr>
                <w:rFonts w:ascii="Times New Roman" w:hAnsi="Times New Roman"/>
              </w:rPr>
            </w:pPr>
            <w:r w:rsidRPr="00BE2EB3">
              <w:rPr>
                <w:rFonts w:ascii="Times New Roman" w:hAnsi="Times New Roman"/>
              </w:rPr>
              <w:t>1 annually</w:t>
            </w:r>
          </w:p>
        </w:tc>
      </w:tr>
      <w:tr w:rsidR="0055447A" w:rsidRPr="00BE2EB3" w:rsidTr="001D457C">
        <w:tc>
          <w:tcPr>
            <w:tcW w:w="3708" w:type="dxa"/>
          </w:tcPr>
          <w:p w:rsidR="0055447A" w:rsidRPr="00BE2EB3" w:rsidRDefault="0055447A" w:rsidP="00E75931">
            <w:pPr>
              <w:rPr>
                <w:rFonts w:ascii="Times New Roman" w:hAnsi="Times New Roman"/>
              </w:rPr>
            </w:pPr>
            <w:r w:rsidRPr="00BE2EB3">
              <w:rPr>
                <w:rFonts w:ascii="Times New Roman" w:hAnsi="Times New Roman"/>
              </w:rPr>
              <w:t>Total estimated burden hours</w:t>
            </w:r>
          </w:p>
        </w:tc>
        <w:tc>
          <w:tcPr>
            <w:tcW w:w="2070" w:type="dxa"/>
          </w:tcPr>
          <w:p w:rsidR="0055447A" w:rsidRPr="00BE2EB3" w:rsidRDefault="0055447A" w:rsidP="00E75931">
            <w:pPr>
              <w:rPr>
                <w:rFonts w:ascii="Times New Roman" w:hAnsi="Times New Roman"/>
              </w:rPr>
            </w:pPr>
            <w:r w:rsidRPr="00BE2EB3">
              <w:rPr>
                <w:rFonts w:ascii="Times New Roman" w:hAnsi="Times New Roman"/>
              </w:rPr>
              <w:t>9</w:t>
            </w:r>
            <w:r w:rsidR="007A0EFA" w:rsidRPr="00BE2EB3">
              <w:rPr>
                <w:rFonts w:ascii="Times New Roman" w:hAnsi="Times New Roman"/>
              </w:rPr>
              <w:t>,</w:t>
            </w:r>
            <w:r w:rsidRPr="00BE2EB3">
              <w:rPr>
                <w:rFonts w:ascii="Times New Roman" w:hAnsi="Times New Roman"/>
              </w:rPr>
              <w:t>382</w:t>
            </w:r>
          </w:p>
        </w:tc>
        <w:tc>
          <w:tcPr>
            <w:tcW w:w="2358" w:type="dxa"/>
          </w:tcPr>
          <w:p w:rsidR="0055447A" w:rsidRPr="00BE2EB3" w:rsidRDefault="0055447A" w:rsidP="00E75931">
            <w:pPr>
              <w:rPr>
                <w:rFonts w:ascii="Times New Roman" w:hAnsi="Times New Roman"/>
              </w:rPr>
            </w:pPr>
            <w:r w:rsidRPr="00BE2EB3">
              <w:rPr>
                <w:rFonts w:ascii="Times New Roman" w:hAnsi="Times New Roman"/>
              </w:rPr>
              <w:t>4</w:t>
            </w:r>
            <w:r w:rsidR="007A0EFA" w:rsidRPr="00BE2EB3">
              <w:rPr>
                <w:rFonts w:ascii="Times New Roman" w:hAnsi="Times New Roman"/>
              </w:rPr>
              <w:t>,</w:t>
            </w:r>
            <w:r w:rsidRPr="00BE2EB3">
              <w:rPr>
                <w:rFonts w:ascii="Times New Roman" w:hAnsi="Times New Roman"/>
              </w:rPr>
              <w:t>050</w:t>
            </w:r>
          </w:p>
        </w:tc>
      </w:tr>
    </w:tbl>
    <w:p w:rsidR="0055447A" w:rsidRPr="00BE2EB3" w:rsidRDefault="0055447A" w:rsidP="0055447A">
      <w:pPr>
        <w:ind w:left="1440"/>
        <w:rPr>
          <w:rFonts w:ascii="Times New Roman" w:hAnsi="Times New Roman"/>
        </w:rPr>
      </w:pPr>
    </w:p>
    <w:p w:rsidR="0055447A" w:rsidRPr="00BE2EB3" w:rsidRDefault="0055447A" w:rsidP="0055447A">
      <w:pPr>
        <w:ind w:left="720"/>
        <w:rPr>
          <w:rFonts w:ascii="Times New Roman" w:hAnsi="Times New Roman"/>
        </w:rPr>
      </w:pPr>
      <w:r w:rsidRPr="00BE2EB3">
        <w:rPr>
          <w:rFonts w:ascii="Times New Roman" w:hAnsi="Times New Roman"/>
        </w:rPr>
        <w:t xml:space="preserve">The burden </w:t>
      </w:r>
      <w:r w:rsidR="00D639AF">
        <w:rPr>
          <w:rFonts w:ascii="Times New Roman" w:hAnsi="Times New Roman"/>
        </w:rPr>
        <w:t>on</w:t>
      </w:r>
      <w:r w:rsidR="00D639AF" w:rsidRPr="00BE2EB3">
        <w:rPr>
          <w:rFonts w:ascii="Times New Roman" w:hAnsi="Times New Roman"/>
        </w:rPr>
        <w:t xml:space="preserve"> </w:t>
      </w:r>
      <w:r w:rsidRPr="00BE2EB3">
        <w:rPr>
          <w:rFonts w:ascii="Times New Roman" w:hAnsi="Times New Roman"/>
        </w:rPr>
        <w:t>each individual respondent, established at 41.33 hours, is based on feedback from respondents during previous competitions.</w:t>
      </w:r>
    </w:p>
    <w:p w:rsidR="0055447A" w:rsidRPr="00BE2EB3" w:rsidRDefault="0055447A" w:rsidP="0055447A">
      <w:pPr>
        <w:rPr>
          <w:rFonts w:ascii="Times New Roman" w:hAnsi="Times New Roman"/>
        </w:rPr>
      </w:pPr>
    </w:p>
    <w:p w:rsidR="0055447A" w:rsidRPr="00BE2EB3" w:rsidRDefault="0055447A" w:rsidP="0055447A">
      <w:pPr>
        <w:ind w:left="720"/>
        <w:rPr>
          <w:rFonts w:ascii="Times New Roman" w:hAnsi="Times New Roman"/>
        </w:rPr>
      </w:pPr>
      <w:r w:rsidRPr="00BE2EB3">
        <w:rPr>
          <w:rFonts w:ascii="Times New Roman" w:hAnsi="Times New Roman"/>
        </w:rPr>
        <w:t xml:space="preserve">The estimated annual cost to a single respondent is as follows: </w:t>
      </w:r>
    </w:p>
    <w:p w:rsidR="0055447A" w:rsidRPr="00BE2EB3" w:rsidRDefault="0055447A" w:rsidP="0055447A">
      <w:pPr>
        <w:ind w:left="720"/>
        <w:rPr>
          <w:rFonts w:ascii="Times New Roman" w:hAnsi="Times New Roman"/>
        </w:rPr>
      </w:pPr>
    </w:p>
    <w:tbl>
      <w:tblPr>
        <w:tblStyle w:val="TableGrid"/>
        <w:tblW w:w="0" w:type="auto"/>
        <w:tblInd w:w="720" w:type="dxa"/>
        <w:tblLook w:val="04A0" w:firstRow="1" w:lastRow="0" w:firstColumn="1" w:lastColumn="0" w:noHBand="0" w:noVBand="1"/>
      </w:tblPr>
      <w:tblGrid>
        <w:gridCol w:w="4338"/>
        <w:gridCol w:w="2250"/>
        <w:gridCol w:w="2268"/>
      </w:tblGrid>
      <w:tr w:rsidR="0055447A" w:rsidRPr="00BE2EB3" w:rsidTr="00E75931">
        <w:tc>
          <w:tcPr>
            <w:tcW w:w="4338" w:type="dxa"/>
          </w:tcPr>
          <w:p w:rsidR="0055447A" w:rsidRPr="00BE2EB3" w:rsidRDefault="0055447A" w:rsidP="00E75931">
            <w:pPr>
              <w:rPr>
                <w:rFonts w:ascii="Times New Roman" w:hAnsi="Times New Roman"/>
              </w:rPr>
            </w:pPr>
          </w:p>
        </w:tc>
        <w:tc>
          <w:tcPr>
            <w:tcW w:w="2250" w:type="dxa"/>
          </w:tcPr>
          <w:p w:rsidR="0055447A" w:rsidRPr="00BE2EB3" w:rsidRDefault="0055447A" w:rsidP="00E75931">
            <w:pPr>
              <w:rPr>
                <w:rFonts w:ascii="Times New Roman" w:hAnsi="Times New Roman"/>
              </w:rPr>
            </w:pPr>
            <w:r w:rsidRPr="00BE2EB3">
              <w:rPr>
                <w:rFonts w:ascii="Times New Roman" w:hAnsi="Times New Roman"/>
              </w:rPr>
              <w:t>Public Universities</w:t>
            </w:r>
          </w:p>
        </w:tc>
        <w:tc>
          <w:tcPr>
            <w:tcW w:w="2268" w:type="dxa"/>
          </w:tcPr>
          <w:p w:rsidR="0055447A" w:rsidRPr="00BE2EB3" w:rsidRDefault="0055447A" w:rsidP="00E75931">
            <w:pPr>
              <w:rPr>
                <w:rFonts w:ascii="Times New Roman" w:hAnsi="Times New Roman"/>
              </w:rPr>
            </w:pPr>
            <w:r w:rsidRPr="00BE2EB3">
              <w:rPr>
                <w:rFonts w:ascii="Times New Roman" w:hAnsi="Times New Roman"/>
              </w:rPr>
              <w:t>Private Universities</w:t>
            </w:r>
          </w:p>
        </w:tc>
      </w:tr>
      <w:tr w:rsidR="0055447A" w:rsidRPr="00BE2EB3" w:rsidTr="00E75931">
        <w:tc>
          <w:tcPr>
            <w:tcW w:w="4338" w:type="dxa"/>
          </w:tcPr>
          <w:p w:rsidR="0055447A" w:rsidRPr="00BE2EB3" w:rsidRDefault="0055447A" w:rsidP="00E75931">
            <w:pPr>
              <w:ind w:left="720" w:hanging="720"/>
              <w:rPr>
                <w:rFonts w:ascii="Times New Roman" w:hAnsi="Times New Roman"/>
              </w:rPr>
            </w:pPr>
            <w:r w:rsidRPr="00BE2EB3">
              <w:rPr>
                <w:rFonts w:ascii="Times New Roman" w:hAnsi="Times New Roman"/>
              </w:rPr>
              <w:t>Professional staff (35 hrs x $35 per hour)</w:t>
            </w:r>
          </w:p>
        </w:tc>
        <w:tc>
          <w:tcPr>
            <w:tcW w:w="2250" w:type="dxa"/>
          </w:tcPr>
          <w:p w:rsidR="0055447A" w:rsidRPr="00BE2EB3" w:rsidRDefault="0055447A" w:rsidP="00E75931">
            <w:pPr>
              <w:rPr>
                <w:rFonts w:ascii="Times New Roman" w:hAnsi="Times New Roman"/>
              </w:rPr>
            </w:pPr>
            <w:r w:rsidRPr="00BE2EB3">
              <w:rPr>
                <w:rFonts w:ascii="Times New Roman" w:hAnsi="Times New Roman"/>
              </w:rPr>
              <w:t>$1,225</w:t>
            </w:r>
          </w:p>
        </w:tc>
        <w:tc>
          <w:tcPr>
            <w:tcW w:w="2268" w:type="dxa"/>
          </w:tcPr>
          <w:p w:rsidR="0055447A" w:rsidRPr="00BE2EB3" w:rsidRDefault="0055447A" w:rsidP="00E75931">
            <w:pPr>
              <w:rPr>
                <w:rFonts w:ascii="Times New Roman" w:hAnsi="Times New Roman"/>
              </w:rPr>
            </w:pPr>
            <w:r w:rsidRPr="00BE2EB3">
              <w:rPr>
                <w:rFonts w:ascii="Times New Roman" w:hAnsi="Times New Roman"/>
              </w:rPr>
              <w:t>$1,225</w:t>
            </w:r>
          </w:p>
        </w:tc>
      </w:tr>
      <w:tr w:rsidR="0055447A" w:rsidRPr="00BE2EB3" w:rsidTr="00E75931">
        <w:tc>
          <w:tcPr>
            <w:tcW w:w="4338" w:type="dxa"/>
          </w:tcPr>
          <w:p w:rsidR="0055447A" w:rsidRPr="00BE2EB3" w:rsidRDefault="0055447A" w:rsidP="00E75931">
            <w:pPr>
              <w:rPr>
                <w:rFonts w:ascii="Times New Roman" w:hAnsi="Times New Roman"/>
              </w:rPr>
            </w:pPr>
            <w:r w:rsidRPr="00BE2EB3">
              <w:rPr>
                <w:rFonts w:ascii="Times New Roman" w:hAnsi="Times New Roman"/>
              </w:rPr>
              <w:t>Clerical staff (6.33 hrs x $10 per hour)</w:t>
            </w:r>
          </w:p>
        </w:tc>
        <w:tc>
          <w:tcPr>
            <w:tcW w:w="2250" w:type="dxa"/>
          </w:tcPr>
          <w:p w:rsidR="0055447A" w:rsidRPr="00BE2EB3" w:rsidRDefault="0055447A" w:rsidP="00E75931">
            <w:pPr>
              <w:rPr>
                <w:rFonts w:ascii="Times New Roman" w:hAnsi="Times New Roman"/>
              </w:rPr>
            </w:pPr>
            <w:r w:rsidRPr="00BE2EB3">
              <w:rPr>
                <w:rFonts w:ascii="Times New Roman" w:hAnsi="Times New Roman"/>
              </w:rPr>
              <w:t>$63.30</w:t>
            </w:r>
          </w:p>
        </w:tc>
        <w:tc>
          <w:tcPr>
            <w:tcW w:w="2268" w:type="dxa"/>
          </w:tcPr>
          <w:p w:rsidR="0055447A" w:rsidRPr="00BE2EB3" w:rsidRDefault="0055447A" w:rsidP="00E75931">
            <w:pPr>
              <w:rPr>
                <w:rFonts w:ascii="Times New Roman" w:hAnsi="Times New Roman"/>
              </w:rPr>
            </w:pPr>
            <w:r w:rsidRPr="00BE2EB3">
              <w:rPr>
                <w:rFonts w:ascii="Times New Roman" w:hAnsi="Times New Roman"/>
              </w:rPr>
              <w:t>$63.30</w:t>
            </w:r>
          </w:p>
        </w:tc>
      </w:tr>
      <w:tr w:rsidR="0055447A" w:rsidRPr="00BE2EB3" w:rsidTr="00E75931">
        <w:tc>
          <w:tcPr>
            <w:tcW w:w="4338" w:type="dxa"/>
          </w:tcPr>
          <w:p w:rsidR="0055447A" w:rsidRPr="00BE2EB3" w:rsidRDefault="0055447A" w:rsidP="00E75931">
            <w:pPr>
              <w:rPr>
                <w:rFonts w:ascii="Times New Roman" w:hAnsi="Times New Roman"/>
              </w:rPr>
            </w:pPr>
            <w:r w:rsidRPr="00BE2EB3">
              <w:rPr>
                <w:rFonts w:ascii="Times New Roman" w:hAnsi="Times New Roman"/>
              </w:rPr>
              <w:t>Total estimated cost per respondent</w:t>
            </w:r>
          </w:p>
        </w:tc>
        <w:tc>
          <w:tcPr>
            <w:tcW w:w="2250" w:type="dxa"/>
          </w:tcPr>
          <w:p w:rsidR="0055447A" w:rsidRPr="00BE2EB3" w:rsidRDefault="0055447A" w:rsidP="00E75931">
            <w:pPr>
              <w:rPr>
                <w:rFonts w:ascii="Times New Roman" w:hAnsi="Times New Roman"/>
              </w:rPr>
            </w:pPr>
            <w:r w:rsidRPr="00BE2EB3">
              <w:rPr>
                <w:rFonts w:ascii="Times New Roman" w:hAnsi="Times New Roman"/>
              </w:rPr>
              <w:t>$1,288.30</w:t>
            </w:r>
          </w:p>
        </w:tc>
        <w:tc>
          <w:tcPr>
            <w:tcW w:w="2268" w:type="dxa"/>
          </w:tcPr>
          <w:p w:rsidR="0055447A" w:rsidRPr="00BE2EB3" w:rsidRDefault="0055447A" w:rsidP="00E75931">
            <w:pPr>
              <w:rPr>
                <w:rFonts w:ascii="Times New Roman" w:hAnsi="Times New Roman"/>
              </w:rPr>
            </w:pPr>
            <w:r w:rsidRPr="00BE2EB3">
              <w:rPr>
                <w:rFonts w:ascii="Times New Roman" w:hAnsi="Times New Roman"/>
              </w:rPr>
              <w:t>$1,288.30</w:t>
            </w:r>
          </w:p>
        </w:tc>
      </w:tr>
      <w:tr w:rsidR="0055447A" w:rsidRPr="0055447A" w:rsidTr="00E75931">
        <w:tc>
          <w:tcPr>
            <w:tcW w:w="4338" w:type="dxa"/>
          </w:tcPr>
          <w:p w:rsidR="0055447A" w:rsidRPr="00BE2EB3" w:rsidRDefault="0055447A" w:rsidP="00E75931">
            <w:pPr>
              <w:rPr>
                <w:rFonts w:ascii="Times New Roman" w:hAnsi="Times New Roman"/>
              </w:rPr>
            </w:pPr>
            <w:r w:rsidRPr="00BE2EB3">
              <w:rPr>
                <w:rFonts w:ascii="Times New Roman" w:hAnsi="Times New Roman"/>
              </w:rPr>
              <w:t>Total estimated costs to all 325 respondents (227 public universities x $1,288.30) and (98 private universities x $1,288.30)</w:t>
            </w:r>
          </w:p>
        </w:tc>
        <w:tc>
          <w:tcPr>
            <w:tcW w:w="2250" w:type="dxa"/>
          </w:tcPr>
          <w:p w:rsidR="0055447A" w:rsidRPr="00BE2EB3" w:rsidRDefault="0055447A" w:rsidP="00E75931">
            <w:pPr>
              <w:rPr>
                <w:rFonts w:ascii="Times New Roman" w:hAnsi="Times New Roman"/>
              </w:rPr>
            </w:pPr>
            <w:r w:rsidRPr="00BE2EB3">
              <w:rPr>
                <w:rFonts w:ascii="Times New Roman" w:hAnsi="Times New Roman"/>
              </w:rPr>
              <w:t>$292,444.10</w:t>
            </w:r>
          </w:p>
        </w:tc>
        <w:tc>
          <w:tcPr>
            <w:tcW w:w="2268" w:type="dxa"/>
          </w:tcPr>
          <w:p w:rsidR="0055447A" w:rsidRPr="00BE2EB3" w:rsidRDefault="0055447A" w:rsidP="00E75931">
            <w:pPr>
              <w:rPr>
                <w:rFonts w:ascii="Times New Roman" w:hAnsi="Times New Roman"/>
              </w:rPr>
            </w:pPr>
            <w:r w:rsidRPr="00BE2EB3">
              <w:rPr>
                <w:rFonts w:ascii="Times New Roman" w:hAnsi="Times New Roman"/>
              </w:rPr>
              <w:t>$126,253.40</w:t>
            </w:r>
          </w:p>
        </w:tc>
      </w:tr>
    </w:tbl>
    <w:p w:rsidR="00386054" w:rsidRPr="00B712CE" w:rsidRDefault="00386054">
      <w:pPr>
        <w:tabs>
          <w:tab w:val="left" w:pos="-720"/>
        </w:tabs>
        <w:suppressAutoHyphens/>
        <w:rPr>
          <w:rFonts w:ascii="Times New Roman" w:hAnsi="Times New Roman"/>
          <w:b/>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F60208" w:rsidRDefault="00386054">
      <w:pPr>
        <w:tabs>
          <w:tab w:val="left" w:pos="-720"/>
        </w:tabs>
        <w:suppressAutoHyphens/>
        <w:rPr>
          <w:rFonts w:ascii="Times New Roman" w:hAnsi="Times New Roman"/>
          <w:szCs w:val="24"/>
        </w:rPr>
      </w:pPr>
    </w:p>
    <w:p w:rsidR="00116030" w:rsidRPr="00F60208" w:rsidRDefault="00116030" w:rsidP="00F523A1">
      <w:pPr>
        <w:pStyle w:val="EnvelopeReturn"/>
        <w:ind w:left="720"/>
        <w:rPr>
          <w:rFonts w:cs="Times New Roman"/>
        </w:rPr>
      </w:pPr>
      <w:r w:rsidRPr="00F60208">
        <w:rPr>
          <w:rFonts w:cs="Times New Roman"/>
        </w:rPr>
        <w:t>The total for the capital and start-up cost components for this inform</w:t>
      </w:r>
      <w:r w:rsidR="00550236" w:rsidRPr="00F60208">
        <w:rPr>
          <w:rFonts w:cs="Times New Roman"/>
        </w:rPr>
        <w:t>ation collection is zero.  This i</w:t>
      </w:r>
      <w:r w:rsidRPr="00F60208">
        <w:rPr>
          <w:rFonts w:cs="Times New Roman"/>
        </w:rPr>
        <w:t xml:space="preserve">nformation </w:t>
      </w:r>
      <w:r w:rsidR="00550236" w:rsidRPr="00F60208">
        <w:rPr>
          <w:rFonts w:cs="Times New Roman"/>
        </w:rPr>
        <w:t>c</w:t>
      </w:r>
      <w:r w:rsidRPr="00F60208">
        <w:rPr>
          <w:rFonts w:cs="Times New Roman"/>
        </w:rPr>
        <w:t>ollection will not require the purchase of any capital equipment</w:t>
      </w:r>
      <w:r w:rsidR="00550236" w:rsidRPr="00F60208">
        <w:rPr>
          <w:rFonts w:cs="Times New Roman"/>
        </w:rPr>
        <w:t xml:space="preserve"> and will </w:t>
      </w:r>
      <w:r w:rsidRPr="00F60208">
        <w:rPr>
          <w:rFonts w:cs="Times New Roman"/>
        </w:rPr>
        <w:t>not create any start-up costs.</w:t>
      </w:r>
    </w:p>
    <w:p w:rsidR="00116030" w:rsidRPr="00EF7FF5" w:rsidRDefault="00116030">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55447A" w:rsidRPr="00694AED" w:rsidRDefault="0055447A" w:rsidP="0055447A">
      <w:pPr>
        <w:pStyle w:val="BodyTextIndent"/>
        <w:ind w:left="375"/>
      </w:pPr>
      <w:r w:rsidRPr="00694AED">
        <w:t>Estimated cost to the Federal Government:</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810"/>
        <w:gridCol w:w="777"/>
        <w:gridCol w:w="1293"/>
        <w:gridCol w:w="810"/>
        <w:gridCol w:w="1278"/>
      </w:tblGrid>
      <w:tr w:rsidR="0055447A" w:rsidRPr="00BE2EB3" w:rsidTr="0055447A">
        <w:tc>
          <w:tcPr>
            <w:tcW w:w="4590" w:type="dxa"/>
            <w:shd w:val="clear" w:color="auto" w:fill="C0C0C0"/>
          </w:tcPr>
          <w:p w:rsidR="0055447A" w:rsidRPr="00BE2EB3" w:rsidRDefault="0055447A" w:rsidP="00D639AF">
            <w:pPr>
              <w:pStyle w:val="BodyTextIndent"/>
              <w:ind w:left="0"/>
              <w:jc w:val="center"/>
              <w:rPr>
                <w:b/>
                <w:bCs/>
              </w:rPr>
            </w:pPr>
            <w:r w:rsidRPr="00BE2EB3">
              <w:rPr>
                <w:b/>
                <w:bCs/>
              </w:rPr>
              <w:t>Task</w:t>
            </w:r>
          </w:p>
        </w:tc>
        <w:tc>
          <w:tcPr>
            <w:tcW w:w="810" w:type="dxa"/>
            <w:shd w:val="clear" w:color="auto" w:fill="C0C0C0"/>
          </w:tcPr>
          <w:p w:rsidR="0055447A" w:rsidRPr="00BE2EB3" w:rsidRDefault="0055447A" w:rsidP="00D639AF">
            <w:pPr>
              <w:pStyle w:val="BodyTextIndent"/>
              <w:ind w:left="-108" w:right="-108" w:hanging="10"/>
              <w:jc w:val="center"/>
              <w:rPr>
                <w:b/>
                <w:bCs/>
              </w:rPr>
            </w:pPr>
            <w:r w:rsidRPr="00BE2EB3">
              <w:rPr>
                <w:b/>
                <w:bCs/>
              </w:rPr>
              <w:t>Cost</w:t>
            </w:r>
          </w:p>
        </w:tc>
        <w:tc>
          <w:tcPr>
            <w:tcW w:w="777" w:type="dxa"/>
            <w:shd w:val="clear" w:color="auto" w:fill="C0C0C0"/>
          </w:tcPr>
          <w:p w:rsidR="0055447A" w:rsidRPr="00BE2EB3" w:rsidRDefault="0055447A" w:rsidP="00D639AF">
            <w:pPr>
              <w:pStyle w:val="BodyTextIndent"/>
              <w:ind w:left="-108" w:right="-141" w:hanging="10"/>
              <w:jc w:val="center"/>
              <w:rPr>
                <w:b/>
                <w:bCs/>
              </w:rPr>
            </w:pPr>
            <w:r w:rsidRPr="00BE2EB3">
              <w:rPr>
                <w:b/>
                <w:bCs/>
              </w:rPr>
              <w:t>Hours</w:t>
            </w:r>
          </w:p>
        </w:tc>
        <w:tc>
          <w:tcPr>
            <w:tcW w:w="1293" w:type="dxa"/>
            <w:shd w:val="clear" w:color="auto" w:fill="C0C0C0"/>
          </w:tcPr>
          <w:p w:rsidR="0055447A" w:rsidRPr="00BE2EB3" w:rsidRDefault="0055447A" w:rsidP="00D639AF">
            <w:pPr>
              <w:pStyle w:val="BodyTextIndent"/>
              <w:ind w:left="-75" w:right="-108" w:firstLine="0"/>
              <w:jc w:val="center"/>
              <w:rPr>
                <w:b/>
                <w:bCs/>
              </w:rPr>
            </w:pPr>
            <w:r w:rsidRPr="00BE2EB3">
              <w:rPr>
                <w:b/>
                <w:bCs/>
              </w:rPr>
              <w:t>Number of Staff</w:t>
            </w:r>
          </w:p>
        </w:tc>
        <w:tc>
          <w:tcPr>
            <w:tcW w:w="810" w:type="dxa"/>
            <w:shd w:val="clear" w:color="auto" w:fill="C0C0C0"/>
          </w:tcPr>
          <w:p w:rsidR="0055447A" w:rsidRPr="00BE2EB3" w:rsidRDefault="0055447A" w:rsidP="00D639AF">
            <w:pPr>
              <w:pStyle w:val="BodyTextIndent"/>
              <w:ind w:left="-108" w:right="-108" w:hanging="10"/>
              <w:jc w:val="center"/>
              <w:rPr>
                <w:b/>
                <w:bCs/>
              </w:rPr>
            </w:pPr>
            <w:r w:rsidRPr="00BE2EB3">
              <w:rPr>
                <w:b/>
                <w:bCs/>
              </w:rPr>
              <w:t>Hours Total</w:t>
            </w:r>
          </w:p>
        </w:tc>
        <w:tc>
          <w:tcPr>
            <w:tcW w:w="1278" w:type="dxa"/>
            <w:shd w:val="clear" w:color="auto" w:fill="C0C0C0"/>
          </w:tcPr>
          <w:p w:rsidR="0055447A" w:rsidRPr="00BE2EB3" w:rsidRDefault="0055447A" w:rsidP="00D639AF">
            <w:pPr>
              <w:pStyle w:val="BodyTextIndent"/>
              <w:ind w:left="-108" w:right="-90" w:firstLine="0"/>
              <w:jc w:val="center"/>
              <w:rPr>
                <w:b/>
                <w:bCs/>
              </w:rPr>
            </w:pPr>
            <w:r w:rsidRPr="00BE2EB3">
              <w:rPr>
                <w:b/>
                <w:bCs/>
              </w:rPr>
              <w:t>Total Cost</w:t>
            </w:r>
          </w:p>
        </w:tc>
      </w:tr>
      <w:tr w:rsidR="0055447A" w:rsidRPr="00BE2EB3" w:rsidTr="0055447A">
        <w:trPr>
          <w:trHeight w:val="269"/>
        </w:trPr>
        <w:tc>
          <w:tcPr>
            <w:tcW w:w="4590" w:type="dxa"/>
          </w:tcPr>
          <w:p w:rsidR="0055447A" w:rsidRPr="00BE2EB3" w:rsidRDefault="0055447A" w:rsidP="00D639AF">
            <w:pPr>
              <w:pStyle w:val="BodyTextIndent"/>
              <w:ind w:left="0"/>
              <w:jc w:val="right"/>
            </w:pPr>
            <w:r w:rsidRPr="00BE2EB3">
              <w:t xml:space="preserve">Securing OMB </w:t>
            </w:r>
            <w:r w:rsidR="00D639AF">
              <w:t>A</w:t>
            </w:r>
            <w:r w:rsidRPr="00BE2EB3">
              <w:t xml:space="preserve">pproval </w:t>
            </w:r>
            <w:r w:rsidR="00D639AF">
              <w:t>(</w:t>
            </w:r>
            <w:r w:rsidRPr="00BE2EB3">
              <w:t>every 3 years</w:t>
            </w:r>
            <w:r w:rsidR="00D639AF">
              <w:t>)</w:t>
            </w:r>
          </w:p>
        </w:tc>
        <w:tc>
          <w:tcPr>
            <w:tcW w:w="810" w:type="dxa"/>
          </w:tcPr>
          <w:p w:rsidR="0055447A" w:rsidRPr="00BE2EB3" w:rsidRDefault="0055447A" w:rsidP="0055447A">
            <w:pPr>
              <w:pStyle w:val="BodyTextIndent"/>
              <w:ind w:left="0"/>
              <w:jc w:val="right"/>
            </w:pPr>
            <w:r w:rsidRPr="00BE2EB3">
              <w:t>$42/hr</w:t>
            </w:r>
          </w:p>
        </w:tc>
        <w:tc>
          <w:tcPr>
            <w:tcW w:w="777" w:type="dxa"/>
          </w:tcPr>
          <w:p w:rsidR="0055447A" w:rsidRPr="00BE2EB3" w:rsidRDefault="0055447A" w:rsidP="0055447A">
            <w:pPr>
              <w:pStyle w:val="BodyTextIndent"/>
              <w:ind w:left="0"/>
              <w:jc w:val="right"/>
            </w:pPr>
            <w:r w:rsidRPr="00BE2EB3">
              <w:t>15</w:t>
            </w:r>
          </w:p>
        </w:tc>
        <w:tc>
          <w:tcPr>
            <w:tcW w:w="1293" w:type="dxa"/>
          </w:tcPr>
          <w:p w:rsidR="0055447A" w:rsidRPr="00BE2EB3" w:rsidRDefault="0055447A" w:rsidP="0055447A">
            <w:pPr>
              <w:pStyle w:val="BodyTextIndent"/>
              <w:ind w:left="0"/>
              <w:jc w:val="right"/>
            </w:pPr>
            <w:r w:rsidRPr="00BE2EB3">
              <w:t>4</w:t>
            </w:r>
          </w:p>
        </w:tc>
        <w:tc>
          <w:tcPr>
            <w:tcW w:w="810" w:type="dxa"/>
          </w:tcPr>
          <w:p w:rsidR="0055447A" w:rsidRPr="00BE2EB3" w:rsidRDefault="0055447A" w:rsidP="0055447A">
            <w:pPr>
              <w:pStyle w:val="BodyTextIndent"/>
              <w:ind w:left="0"/>
              <w:jc w:val="right"/>
            </w:pPr>
            <w:r w:rsidRPr="00BE2EB3">
              <w:t>60</w:t>
            </w:r>
          </w:p>
        </w:tc>
        <w:tc>
          <w:tcPr>
            <w:tcW w:w="1278" w:type="dxa"/>
          </w:tcPr>
          <w:p w:rsidR="0055447A" w:rsidRPr="00BE2EB3" w:rsidRDefault="0055447A" w:rsidP="0055447A">
            <w:pPr>
              <w:pStyle w:val="BodyTextIndent"/>
              <w:ind w:left="0"/>
              <w:jc w:val="right"/>
            </w:pPr>
            <w:r w:rsidRPr="00BE2EB3">
              <w:t>$2,520</w:t>
            </w:r>
          </w:p>
        </w:tc>
      </w:tr>
      <w:tr w:rsidR="0055447A" w:rsidRPr="00BE2EB3" w:rsidTr="007A0EFA">
        <w:tc>
          <w:tcPr>
            <w:tcW w:w="4590" w:type="dxa"/>
          </w:tcPr>
          <w:p w:rsidR="0055447A" w:rsidRPr="00BE2EB3" w:rsidRDefault="0055447A" w:rsidP="0055447A">
            <w:pPr>
              <w:pStyle w:val="BodyTextIndent"/>
              <w:ind w:left="0"/>
              <w:jc w:val="right"/>
            </w:pPr>
            <w:r w:rsidRPr="00BE2EB3">
              <w:t>Reports Design (every 3 years)</w:t>
            </w:r>
          </w:p>
        </w:tc>
        <w:tc>
          <w:tcPr>
            <w:tcW w:w="810" w:type="dxa"/>
          </w:tcPr>
          <w:p w:rsidR="0055447A" w:rsidRPr="00BE2EB3" w:rsidRDefault="0055447A" w:rsidP="0055447A">
            <w:pPr>
              <w:pStyle w:val="BodyTextIndent"/>
              <w:ind w:left="0"/>
              <w:jc w:val="right"/>
            </w:pPr>
            <w:r w:rsidRPr="00BE2EB3">
              <w:t>$42/hr</w:t>
            </w:r>
          </w:p>
        </w:tc>
        <w:tc>
          <w:tcPr>
            <w:tcW w:w="777" w:type="dxa"/>
          </w:tcPr>
          <w:p w:rsidR="0055447A" w:rsidRPr="00BE2EB3" w:rsidRDefault="0055447A" w:rsidP="0055447A">
            <w:pPr>
              <w:pStyle w:val="BodyTextIndent"/>
              <w:ind w:left="0"/>
              <w:jc w:val="right"/>
            </w:pPr>
            <w:r w:rsidRPr="00BE2EB3">
              <w:t>20</w:t>
            </w:r>
          </w:p>
        </w:tc>
        <w:tc>
          <w:tcPr>
            <w:tcW w:w="1293" w:type="dxa"/>
          </w:tcPr>
          <w:p w:rsidR="0055447A" w:rsidRPr="00BE2EB3" w:rsidRDefault="0055447A" w:rsidP="0055447A">
            <w:pPr>
              <w:pStyle w:val="BodyTextIndent"/>
              <w:ind w:left="0"/>
              <w:jc w:val="right"/>
            </w:pPr>
            <w:r w:rsidRPr="00BE2EB3">
              <w:t>3</w:t>
            </w:r>
          </w:p>
        </w:tc>
        <w:tc>
          <w:tcPr>
            <w:tcW w:w="810" w:type="dxa"/>
          </w:tcPr>
          <w:p w:rsidR="0055447A" w:rsidRPr="00BE2EB3" w:rsidRDefault="0055447A" w:rsidP="0055447A">
            <w:pPr>
              <w:pStyle w:val="BodyTextIndent"/>
              <w:ind w:left="0"/>
              <w:jc w:val="right"/>
            </w:pPr>
            <w:r w:rsidRPr="00BE2EB3">
              <w:t>60</w:t>
            </w:r>
          </w:p>
        </w:tc>
        <w:tc>
          <w:tcPr>
            <w:tcW w:w="1278" w:type="dxa"/>
          </w:tcPr>
          <w:p w:rsidR="0055447A" w:rsidRPr="00BE2EB3" w:rsidRDefault="0055447A" w:rsidP="001A53E7">
            <w:pPr>
              <w:pStyle w:val="BodyTextIndent"/>
              <w:ind w:left="0"/>
              <w:jc w:val="right"/>
            </w:pPr>
            <w:r w:rsidRPr="00BE2EB3">
              <w:t>$2,520</w:t>
            </w:r>
          </w:p>
        </w:tc>
      </w:tr>
      <w:tr w:rsidR="0055447A" w:rsidRPr="00BE2EB3" w:rsidTr="0055447A">
        <w:tc>
          <w:tcPr>
            <w:tcW w:w="4590" w:type="dxa"/>
          </w:tcPr>
          <w:p w:rsidR="0055447A" w:rsidRPr="00BE2EB3" w:rsidRDefault="0055447A" w:rsidP="00D639AF">
            <w:pPr>
              <w:pStyle w:val="BodyTextIndent"/>
              <w:ind w:left="0"/>
              <w:jc w:val="right"/>
            </w:pPr>
            <w:r w:rsidRPr="00BE2EB3">
              <w:t xml:space="preserve">Sorting </w:t>
            </w:r>
            <w:r w:rsidR="00D639AF">
              <w:t>A</w:t>
            </w:r>
            <w:r w:rsidRPr="00BE2EB3">
              <w:t xml:space="preserve">pplications, </w:t>
            </w:r>
            <w:r w:rsidR="00D639AF">
              <w:t>F</w:t>
            </w:r>
            <w:r w:rsidRPr="00BE2EB3">
              <w:t xml:space="preserve">orming </w:t>
            </w:r>
            <w:r w:rsidR="00D639AF">
              <w:t>R</w:t>
            </w:r>
            <w:r w:rsidRPr="00BE2EB3">
              <w:t xml:space="preserve">eview </w:t>
            </w:r>
            <w:r w:rsidR="00D639AF">
              <w:t>P</w:t>
            </w:r>
            <w:r w:rsidRPr="00BE2EB3">
              <w:t xml:space="preserve">anels, </w:t>
            </w:r>
            <w:r w:rsidR="00D639AF">
              <w:t>A</w:t>
            </w:r>
            <w:r w:rsidRPr="00BE2EB3">
              <w:t xml:space="preserve">ssigning </w:t>
            </w:r>
            <w:r w:rsidR="00D639AF">
              <w:t>P</w:t>
            </w:r>
            <w:r w:rsidRPr="00BE2EB3">
              <w:t>roposals</w:t>
            </w:r>
          </w:p>
        </w:tc>
        <w:tc>
          <w:tcPr>
            <w:tcW w:w="810" w:type="dxa"/>
          </w:tcPr>
          <w:p w:rsidR="0055447A" w:rsidRPr="00BE2EB3" w:rsidRDefault="0055447A" w:rsidP="0055447A">
            <w:pPr>
              <w:pStyle w:val="BodyTextIndent"/>
              <w:ind w:left="0"/>
              <w:jc w:val="right"/>
            </w:pPr>
            <w:r w:rsidRPr="00BE2EB3">
              <w:t>$42/hr</w:t>
            </w:r>
          </w:p>
        </w:tc>
        <w:tc>
          <w:tcPr>
            <w:tcW w:w="777" w:type="dxa"/>
          </w:tcPr>
          <w:p w:rsidR="0055447A" w:rsidRPr="00BE2EB3" w:rsidRDefault="0055447A" w:rsidP="0055447A">
            <w:pPr>
              <w:pStyle w:val="BodyTextIndent"/>
              <w:ind w:left="0"/>
              <w:jc w:val="right"/>
            </w:pPr>
            <w:r w:rsidRPr="00BE2EB3">
              <w:t>320</w:t>
            </w:r>
          </w:p>
        </w:tc>
        <w:tc>
          <w:tcPr>
            <w:tcW w:w="1293" w:type="dxa"/>
          </w:tcPr>
          <w:p w:rsidR="0055447A" w:rsidRPr="00BE2EB3" w:rsidRDefault="0055447A" w:rsidP="0055447A">
            <w:pPr>
              <w:pStyle w:val="BodyTextIndent"/>
              <w:ind w:left="0"/>
              <w:jc w:val="right"/>
            </w:pPr>
            <w:r w:rsidRPr="00BE2EB3">
              <w:t>3</w:t>
            </w:r>
          </w:p>
        </w:tc>
        <w:tc>
          <w:tcPr>
            <w:tcW w:w="810" w:type="dxa"/>
          </w:tcPr>
          <w:p w:rsidR="0055447A" w:rsidRPr="00BE2EB3" w:rsidRDefault="0055447A" w:rsidP="0055447A">
            <w:pPr>
              <w:pStyle w:val="BodyTextIndent"/>
              <w:ind w:left="0"/>
              <w:jc w:val="right"/>
            </w:pPr>
            <w:r w:rsidRPr="00BE2EB3">
              <w:t>960</w:t>
            </w:r>
          </w:p>
        </w:tc>
        <w:tc>
          <w:tcPr>
            <w:tcW w:w="1278" w:type="dxa"/>
          </w:tcPr>
          <w:p w:rsidR="0055447A" w:rsidRPr="00BE2EB3" w:rsidRDefault="0055447A" w:rsidP="0055447A">
            <w:pPr>
              <w:pStyle w:val="BodyTextIndent"/>
              <w:ind w:left="0"/>
              <w:jc w:val="right"/>
            </w:pPr>
            <w:r w:rsidRPr="00BE2EB3">
              <w:t>$40,320</w:t>
            </w:r>
          </w:p>
        </w:tc>
      </w:tr>
      <w:tr w:rsidR="0055447A" w:rsidRPr="00BE2EB3" w:rsidTr="0055447A">
        <w:tc>
          <w:tcPr>
            <w:tcW w:w="4590" w:type="dxa"/>
          </w:tcPr>
          <w:p w:rsidR="0055447A" w:rsidRPr="00BE2EB3" w:rsidRDefault="0055447A" w:rsidP="0055447A">
            <w:pPr>
              <w:pStyle w:val="BodyTextIndent"/>
              <w:ind w:left="0"/>
              <w:jc w:val="right"/>
            </w:pPr>
            <w:r w:rsidRPr="00BE2EB3">
              <w:t>Conducting Reviews</w:t>
            </w:r>
          </w:p>
        </w:tc>
        <w:tc>
          <w:tcPr>
            <w:tcW w:w="810" w:type="dxa"/>
          </w:tcPr>
          <w:p w:rsidR="0055447A" w:rsidRPr="00BE2EB3" w:rsidRDefault="0055447A" w:rsidP="0055447A">
            <w:pPr>
              <w:pStyle w:val="BodyTextIndent"/>
              <w:ind w:left="0"/>
              <w:jc w:val="right"/>
            </w:pPr>
            <w:r w:rsidRPr="00BE2EB3">
              <w:t>$42/hr</w:t>
            </w:r>
          </w:p>
        </w:tc>
        <w:tc>
          <w:tcPr>
            <w:tcW w:w="777" w:type="dxa"/>
          </w:tcPr>
          <w:p w:rsidR="0055447A" w:rsidRPr="00BE2EB3" w:rsidRDefault="0055447A" w:rsidP="0055447A">
            <w:pPr>
              <w:pStyle w:val="BodyTextIndent"/>
              <w:ind w:left="0"/>
              <w:jc w:val="right"/>
            </w:pPr>
            <w:r w:rsidRPr="00BE2EB3">
              <w:t>200</w:t>
            </w:r>
          </w:p>
        </w:tc>
        <w:tc>
          <w:tcPr>
            <w:tcW w:w="1293" w:type="dxa"/>
          </w:tcPr>
          <w:p w:rsidR="0055447A" w:rsidRPr="00BE2EB3" w:rsidRDefault="0055447A" w:rsidP="0055447A">
            <w:pPr>
              <w:pStyle w:val="BodyTextIndent"/>
              <w:ind w:left="0"/>
              <w:jc w:val="right"/>
            </w:pPr>
            <w:r w:rsidRPr="00BE2EB3">
              <w:t>3</w:t>
            </w:r>
          </w:p>
        </w:tc>
        <w:tc>
          <w:tcPr>
            <w:tcW w:w="810" w:type="dxa"/>
          </w:tcPr>
          <w:p w:rsidR="0055447A" w:rsidRPr="00BE2EB3" w:rsidRDefault="0055447A" w:rsidP="0055447A">
            <w:pPr>
              <w:pStyle w:val="BodyTextIndent"/>
              <w:ind w:left="0"/>
              <w:jc w:val="right"/>
            </w:pPr>
            <w:r w:rsidRPr="00BE2EB3">
              <w:t>600</w:t>
            </w:r>
          </w:p>
        </w:tc>
        <w:tc>
          <w:tcPr>
            <w:tcW w:w="1278" w:type="dxa"/>
          </w:tcPr>
          <w:p w:rsidR="0055447A" w:rsidRPr="00BE2EB3" w:rsidRDefault="0055447A" w:rsidP="0055447A">
            <w:pPr>
              <w:pStyle w:val="BodyTextIndent"/>
              <w:ind w:left="0"/>
              <w:jc w:val="right"/>
            </w:pPr>
            <w:r w:rsidRPr="00BE2EB3">
              <w:t>$25,200</w:t>
            </w:r>
          </w:p>
        </w:tc>
      </w:tr>
      <w:tr w:rsidR="0055447A" w:rsidRPr="00BE2EB3" w:rsidTr="0055447A">
        <w:tc>
          <w:tcPr>
            <w:tcW w:w="4590" w:type="dxa"/>
          </w:tcPr>
          <w:p w:rsidR="0055447A" w:rsidRPr="00BE2EB3" w:rsidRDefault="0055447A" w:rsidP="0055447A">
            <w:pPr>
              <w:pStyle w:val="BodyTextIndent"/>
              <w:ind w:left="0"/>
              <w:jc w:val="right"/>
            </w:pPr>
            <w:r w:rsidRPr="00BE2EB3">
              <w:t>Generat</w:t>
            </w:r>
            <w:r w:rsidR="00D639AF">
              <w:t>ing</w:t>
            </w:r>
            <w:r w:rsidRPr="00BE2EB3">
              <w:t>/Preparing Slates</w:t>
            </w:r>
          </w:p>
        </w:tc>
        <w:tc>
          <w:tcPr>
            <w:tcW w:w="810" w:type="dxa"/>
          </w:tcPr>
          <w:p w:rsidR="0055447A" w:rsidRPr="00BE2EB3" w:rsidRDefault="0055447A" w:rsidP="0055447A">
            <w:pPr>
              <w:pStyle w:val="BodyTextIndent"/>
              <w:ind w:left="0"/>
              <w:jc w:val="right"/>
            </w:pPr>
            <w:r w:rsidRPr="00BE2EB3">
              <w:t>$42/hr</w:t>
            </w:r>
          </w:p>
        </w:tc>
        <w:tc>
          <w:tcPr>
            <w:tcW w:w="777" w:type="dxa"/>
          </w:tcPr>
          <w:p w:rsidR="0055447A" w:rsidRPr="00BE2EB3" w:rsidRDefault="0055447A" w:rsidP="0055447A">
            <w:pPr>
              <w:pStyle w:val="BodyTextIndent"/>
              <w:ind w:left="0"/>
              <w:jc w:val="right"/>
            </w:pPr>
            <w:r w:rsidRPr="00BE2EB3">
              <w:t>40</w:t>
            </w:r>
          </w:p>
        </w:tc>
        <w:tc>
          <w:tcPr>
            <w:tcW w:w="1293" w:type="dxa"/>
          </w:tcPr>
          <w:p w:rsidR="0055447A" w:rsidRPr="00BE2EB3" w:rsidRDefault="0055447A" w:rsidP="0055447A">
            <w:pPr>
              <w:pStyle w:val="BodyTextIndent"/>
              <w:ind w:left="0"/>
              <w:jc w:val="right"/>
            </w:pPr>
            <w:r w:rsidRPr="00BE2EB3">
              <w:t>3</w:t>
            </w:r>
          </w:p>
        </w:tc>
        <w:tc>
          <w:tcPr>
            <w:tcW w:w="810" w:type="dxa"/>
          </w:tcPr>
          <w:p w:rsidR="0055447A" w:rsidRPr="00BE2EB3" w:rsidRDefault="0055447A" w:rsidP="0055447A">
            <w:pPr>
              <w:pStyle w:val="BodyTextIndent"/>
              <w:ind w:left="0"/>
              <w:jc w:val="right"/>
            </w:pPr>
            <w:r w:rsidRPr="00BE2EB3">
              <w:t>120</w:t>
            </w:r>
          </w:p>
        </w:tc>
        <w:tc>
          <w:tcPr>
            <w:tcW w:w="1278" w:type="dxa"/>
          </w:tcPr>
          <w:p w:rsidR="0055447A" w:rsidRPr="00BE2EB3" w:rsidRDefault="0055447A" w:rsidP="0055447A">
            <w:pPr>
              <w:pStyle w:val="BodyTextIndent"/>
              <w:ind w:left="0"/>
              <w:jc w:val="right"/>
            </w:pPr>
            <w:r w:rsidRPr="00BE2EB3">
              <w:t>$5,040</w:t>
            </w:r>
          </w:p>
        </w:tc>
      </w:tr>
      <w:tr w:rsidR="0055447A" w:rsidRPr="00BE2EB3" w:rsidTr="0055447A">
        <w:tc>
          <w:tcPr>
            <w:tcW w:w="4590" w:type="dxa"/>
          </w:tcPr>
          <w:p w:rsidR="0055447A" w:rsidRPr="00BE2EB3" w:rsidRDefault="0055447A" w:rsidP="0055447A">
            <w:pPr>
              <w:pStyle w:val="BodyTextIndent"/>
              <w:ind w:left="0"/>
              <w:jc w:val="right"/>
            </w:pPr>
            <w:r w:rsidRPr="00BE2EB3">
              <w:t>Slate Review and Approval</w:t>
            </w:r>
          </w:p>
        </w:tc>
        <w:tc>
          <w:tcPr>
            <w:tcW w:w="810" w:type="dxa"/>
          </w:tcPr>
          <w:p w:rsidR="0055447A" w:rsidRPr="00BE2EB3" w:rsidRDefault="0055447A" w:rsidP="0055447A">
            <w:pPr>
              <w:pStyle w:val="BodyTextIndent"/>
              <w:ind w:left="0"/>
              <w:jc w:val="right"/>
            </w:pPr>
            <w:r w:rsidRPr="00BE2EB3">
              <w:t>$55/hr</w:t>
            </w:r>
          </w:p>
        </w:tc>
        <w:tc>
          <w:tcPr>
            <w:tcW w:w="777" w:type="dxa"/>
          </w:tcPr>
          <w:p w:rsidR="0055447A" w:rsidRPr="00BE2EB3" w:rsidRDefault="0055447A" w:rsidP="0055447A">
            <w:pPr>
              <w:pStyle w:val="BodyTextIndent"/>
              <w:ind w:left="0"/>
              <w:jc w:val="right"/>
            </w:pPr>
            <w:r w:rsidRPr="00BE2EB3">
              <w:t>5</w:t>
            </w:r>
          </w:p>
        </w:tc>
        <w:tc>
          <w:tcPr>
            <w:tcW w:w="1293" w:type="dxa"/>
          </w:tcPr>
          <w:p w:rsidR="0055447A" w:rsidRPr="00BE2EB3" w:rsidRDefault="0055447A" w:rsidP="0055447A">
            <w:pPr>
              <w:pStyle w:val="BodyTextIndent"/>
              <w:ind w:left="0"/>
              <w:jc w:val="right"/>
            </w:pPr>
            <w:r w:rsidRPr="00BE2EB3">
              <w:t>6</w:t>
            </w:r>
          </w:p>
        </w:tc>
        <w:tc>
          <w:tcPr>
            <w:tcW w:w="810" w:type="dxa"/>
          </w:tcPr>
          <w:p w:rsidR="0055447A" w:rsidRPr="00BE2EB3" w:rsidRDefault="0055447A" w:rsidP="0055447A">
            <w:pPr>
              <w:pStyle w:val="BodyTextIndent"/>
              <w:ind w:left="0"/>
              <w:jc w:val="right"/>
            </w:pPr>
            <w:r w:rsidRPr="00BE2EB3">
              <w:t>30</w:t>
            </w:r>
          </w:p>
        </w:tc>
        <w:tc>
          <w:tcPr>
            <w:tcW w:w="1278" w:type="dxa"/>
          </w:tcPr>
          <w:p w:rsidR="0055447A" w:rsidRPr="00BE2EB3" w:rsidRDefault="0055447A" w:rsidP="0055447A">
            <w:pPr>
              <w:pStyle w:val="BodyTextIndent"/>
              <w:ind w:left="0"/>
              <w:jc w:val="right"/>
            </w:pPr>
            <w:r w:rsidRPr="00BE2EB3">
              <w:t>$1,650</w:t>
            </w:r>
          </w:p>
        </w:tc>
      </w:tr>
      <w:tr w:rsidR="0055447A" w:rsidRPr="00BE2EB3" w:rsidTr="0055447A">
        <w:tc>
          <w:tcPr>
            <w:tcW w:w="4590" w:type="dxa"/>
          </w:tcPr>
          <w:p w:rsidR="0055447A" w:rsidRPr="00BE2EB3" w:rsidRDefault="0055447A" w:rsidP="0055447A">
            <w:pPr>
              <w:pStyle w:val="BodyTextIndent"/>
              <w:ind w:left="0"/>
              <w:jc w:val="right"/>
            </w:pPr>
            <w:r w:rsidRPr="00BE2EB3">
              <w:t xml:space="preserve">Issuance of Awards </w:t>
            </w:r>
          </w:p>
        </w:tc>
        <w:tc>
          <w:tcPr>
            <w:tcW w:w="810" w:type="dxa"/>
          </w:tcPr>
          <w:p w:rsidR="0055447A" w:rsidRPr="00BE2EB3" w:rsidRDefault="0055447A" w:rsidP="0055447A">
            <w:pPr>
              <w:pStyle w:val="BodyTextIndent"/>
              <w:ind w:left="0"/>
              <w:jc w:val="right"/>
            </w:pPr>
            <w:r w:rsidRPr="00BE2EB3">
              <w:t>$42</w:t>
            </w:r>
            <w:r w:rsidR="00D639AF">
              <w:t>/hr</w:t>
            </w:r>
          </w:p>
        </w:tc>
        <w:tc>
          <w:tcPr>
            <w:tcW w:w="777" w:type="dxa"/>
          </w:tcPr>
          <w:p w:rsidR="0055447A" w:rsidRPr="00BE2EB3" w:rsidRDefault="0055447A" w:rsidP="0055447A">
            <w:pPr>
              <w:pStyle w:val="BodyTextIndent"/>
              <w:ind w:left="0"/>
              <w:jc w:val="right"/>
            </w:pPr>
            <w:r w:rsidRPr="00BE2EB3">
              <w:t>100</w:t>
            </w:r>
          </w:p>
        </w:tc>
        <w:tc>
          <w:tcPr>
            <w:tcW w:w="1293" w:type="dxa"/>
          </w:tcPr>
          <w:p w:rsidR="0055447A" w:rsidRPr="00BE2EB3" w:rsidRDefault="0055447A" w:rsidP="0055447A">
            <w:pPr>
              <w:pStyle w:val="BodyTextIndent"/>
              <w:ind w:left="0"/>
              <w:jc w:val="right"/>
            </w:pPr>
            <w:r w:rsidRPr="00BE2EB3">
              <w:t>2</w:t>
            </w:r>
          </w:p>
        </w:tc>
        <w:tc>
          <w:tcPr>
            <w:tcW w:w="810" w:type="dxa"/>
          </w:tcPr>
          <w:p w:rsidR="0055447A" w:rsidRPr="00BE2EB3" w:rsidRDefault="0055447A" w:rsidP="0055447A">
            <w:pPr>
              <w:pStyle w:val="BodyTextIndent"/>
              <w:ind w:left="0"/>
              <w:jc w:val="right"/>
            </w:pPr>
            <w:r w:rsidRPr="00BE2EB3">
              <w:t>200</w:t>
            </w:r>
          </w:p>
        </w:tc>
        <w:tc>
          <w:tcPr>
            <w:tcW w:w="1278" w:type="dxa"/>
          </w:tcPr>
          <w:p w:rsidR="0055447A" w:rsidRPr="00BE2EB3" w:rsidRDefault="0055447A" w:rsidP="0055447A">
            <w:pPr>
              <w:pStyle w:val="BodyTextIndent"/>
              <w:ind w:left="0"/>
              <w:jc w:val="right"/>
            </w:pPr>
            <w:r w:rsidRPr="00BE2EB3">
              <w:t>$8,400</w:t>
            </w:r>
          </w:p>
        </w:tc>
      </w:tr>
      <w:tr w:rsidR="0055447A" w:rsidRPr="00BE2EB3" w:rsidTr="0055447A">
        <w:tc>
          <w:tcPr>
            <w:tcW w:w="4590" w:type="dxa"/>
            <w:tcBorders>
              <w:bottom w:val="single" w:sz="4" w:space="0" w:color="auto"/>
            </w:tcBorders>
          </w:tcPr>
          <w:p w:rsidR="0055447A" w:rsidRPr="00BE2EB3" w:rsidRDefault="0055447A" w:rsidP="0055447A">
            <w:pPr>
              <w:pStyle w:val="BodyTextIndent"/>
              <w:ind w:left="0"/>
              <w:jc w:val="right"/>
            </w:pPr>
            <w:r w:rsidRPr="00BE2EB3">
              <w:t>Monitoring and Technical Assistance</w:t>
            </w:r>
          </w:p>
        </w:tc>
        <w:tc>
          <w:tcPr>
            <w:tcW w:w="810" w:type="dxa"/>
            <w:tcBorders>
              <w:bottom w:val="single" w:sz="4" w:space="0" w:color="auto"/>
            </w:tcBorders>
          </w:tcPr>
          <w:p w:rsidR="0055447A" w:rsidRPr="00BE2EB3" w:rsidRDefault="0055447A" w:rsidP="0055447A">
            <w:pPr>
              <w:pStyle w:val="BodyTextIndent"/>
              <w:ind w:left="0"/>
              <w:jc w:val="right"/>
            </w:pPr>
            <w:r w:rsidRPr="00BE2EB3">
              <w:t>$42</w:t>
            </w:r>
            <w:r w:rsidR="00D639AF">
              <w:t>/hr</w:t>
            </w:r>
          </w:p>
        </w:tc>
        <w:tc>
          <w:tcPr>
            <w:tcW w:w="777" w:type="dxa"/>
            <w:tcBorders>
              <w:bottom w:val="single" w:sz="4" w:space="0" w:color="auto"/>
            </w:tcBorders>
          </w:tcPr>
          <w:p w:rsidR="0055447A" w:rsidRPr="00BE2EB3" w:rsidRDefault="0055447A" w:rsidP="0055447A">
            <w:pPr>
              <w:pStyle w:val="BodyTextIndent"/>
              <w:ind w:left="0"/>
              <w:jc w:val="right"/>
            </w:pPr>
            <w:r w:rsidRPr="00BE2EB3">
              <w:t>500</w:t>
            </w:r>
          </w:p>
        </w:tc>
        <w:tc>
          <w:tcPr>
            <w:tcW w:w="1293" w:type="dxa"/>
            <w:tcBorders>
              <w:bottom w:val="single" w:sz="4" w:space="0" w:color="auto"/>
            </w:tcBorders>
          </w:tcPr>
          <w:p w:rsidR="0055447A" w:rsidRPr="00BE2EB3" w:rsidRDefault="0055447A" w:rsidP="0055447A">
            <w:pPr>
              <w:pStyle w:val="BodyTextIndent"/>
              <w:ind w:left="0"/>
              <w:jc w:val="right"/>
            </w:pPr>
            <w:r w:rsidRPr="00BE2EB3">
              <w:t>2</w:t>
            </w:r>
          </w:p>
        </w:tc>
        <w:tc>
          <w:tcPr>
            <w:tcW w:w="810" w:type="dxa"/>
            <w:tcBorders>
              <w:bottom w:val="single" w:sz="4" w:space="0" w:color="auto"/>
            </w:tcBorders>
          </w:tcPr>
          <w:p w:rsidR="0055447A" w:rsidRPr="00BE2EB3" w:rsidRDefault="0055447A" w:rsidP="0055447A">
            <w:pPr>
              <w:pStyle w:val="BodyTextIndent"/>
              <w:ind w:left="0"/>
              <w:jc w:val="right"/>
            </w:pPr>
            <w:r w:rsidRPr="00BE2EB3">
              <w:t>1000</w:t>
            </w:r>
          </w:p>
        </w:tc>
        <w:tc>
          <w:tcPr>
            <w:tcW w:w="1278" w:type="dxa"/>
            <w:tcBorders>
              <w:bottom w:val="single" w:sz="4" w:space="0" w:color="auto"/>
            </w:tcBorders>
          </w:tcPr>
          <w:p w:rsidR="0055447A" w:rsidRPr="00BE2EB3" w:rsidRDefault="0055447A" w:rsidP="0055447A">
            <w:pPr>
              <w:pStyle w:val="BodyTextIndent"/>
              <w:ind w:left="0"/>
              <w:jc w:val="right"/>
            </w:pPr>
            <w:r w:rsidRPr="00BE2EB3">
              <w:t>$42,000</w:t>
            </w:r>
          </w:p>
        </w:tc>
      </w:tr>
      <w:tr w:rsidR="0055447A" w:rsidRPr="00694AED" w:rsidTr="0055447A">
        <w:tc>
          <w:tcPr>
            <w:tcW w:w="4590" w:type="dxa"/>
            <w:shd w:val="clear" w:color="auto" w:fill="C0C0C0"/>
          </w:tcPr>
          <w:p w:rsidR="0055447A" w:rsidRPr="00BE2EB3" w:rsidRDefault="0055447A" w:rsidP="0055447A">
            <w:pPr>
              <w:pStyle w:val="BodyTextIndent"/>
              <w:ind w:left="0"/>
              <w:jc w:val="right"/>
              <w:rPr>
                <w:b/>
                <w:bCs/>
              </w:rPr>
            </w:pPr>
            <w:r w:rsidRPr="00BE2EB3">
              <w:rPr>
                <w:b/>
                <w:bCs/>
              </w:rPr>
              <w:t>Total Annual Cost</w:t>
            </w:r>
          </w:p>
        </w:tc>
        <w:tc>
          <w:tcPr>
            <w:tcW w:w="810" w:type="dxa"/>
            <w:shd w:val="clear" w:color="auto" w:fill="C0C0C0"/>
          </w:tcPr>
          <w:p w:rsidR="0055447A" w:rsidRPr="00BE2EB3" w:rsidRDefault="0055447A" w:rsidP="0055447A">
            <w:pPr>
              <w:pStyle w:val="BodyTextIndent"/>
              <w:ind w:left="0"/>
              <w:jc w:val="right"/>
            </w:pPr>
          </w:p>
        </w:tc>
        <w:tc>
          <w:tcPr>
            <w:tcW w:w="777" w:type="dxa"/>
            <w:shd w:val="clear" w:color="auto" w:fill="C0C0C0"/>
          </w:tcPr>
          <w:p w:rsidR="0055447A" w:rsidRPr="00BE2EB3" w:rsidRDefault="0055447A" w:rsidP="0055447A">
            <w:pPr>
              <w:pStyle w:val="BodyTextIndent"/>
              <w:ind w:left="0"/>
              <w:jc w:val="right"/>
            </w:pPr>
          </w:p>
        </w:tc>
        <w:tc>
          <w:tcPr>
            <w:tcW w:w="1293" w:type="dxa"/>
            <w:shd w:val="clear" w:color="auto" w:fill="C0C0C0"/>
          </w:tcPr>
          <w:p w:rsidR="0055447A" w:rsidRPr="00BE2EB3" w:rsidRDefault="0055447A" w:rsidP="0055447A">
            <w:pPr>
              <w:pStyle w:val="BodyTextIndent"/>
              <w:ind w:left="0"/>
              <w:jc w:val="right"/>
            </w:pPr>
          </w:p>
        </w:tc>
        <w:tc>
          <w:tcPr>
            <w:tcW w:w="810" w:type="dxa"/>
            <w:shd w:val="clear" w:color="auto" w:fill="C0C0C0"/>
          </w:tcPr>
          <w:p w:rsidR="0055447A" w:rsidRPr="00BE2EB3" w:rsidRDefault="0055447A" w:rsidP="0055447A">
            <w:pPr>
              <w:pStyle w:val="BodyTextIndent"/>
              <w:ind w:left="0"/>
              <w:jc w:val="right"/>
              <w:rPr>
                <w:b/>
                <w:bCs/>
              </w:rPr>
            </w:pPr>
          </w:p>
        </w:tc>
        <w:tc>
          <w:tcPr>
            <w:tcW w:w="1278" w:type="dxa"/>
            <w:shd w:val="clear" w:color="auto" w:fill="C0C0C0"/>
          </w:tcPr>
          <w:p w:rsidR="0055447A" w:rsidRPr="00694AED" w:rsidRDefault="0055447A" w:rsidP="0055447A">
            <w:pPr>
              <w:pStyle w:val="BodyTextIndent"/>
              <w:ind w:left="0"/>
              <w:jc w:val="right"/>
              <w:rPr>
                <w:b/>
                <w:bCs/>
              </w:rPr>
            </w:pPr>
            <w:r w:rsidRPr="00BE2EB3">
              <w:rPr>
                <w:b/>
                <w:bCs/>
              </w:rPr>
              <w:t>$127,650</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116030" w:rsidRPr="00E75931" w:rsidRDefault="00D639AF" w:rsidP="00F8145F">
      <w:pPr>
        <w:pStyle w:val="BodyTextIndent"/>
        <w:ind w:left="720" w:firstLine="0"/>
      </w:pPr>
      <w:r>
        <w:t>This collection is currently discontinued</w:t>
      </w:r>
      <w:r w:rsidR="002150CD">
        <w:t>; t</w:t>
      </w:r>
      <w:r>
        <w:t>herefore, all burden is new.</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116030" w:rsidRPr="007A0EFA" w:rsidRDefault="00116030" w:rsidP="00F523A1">
      <w:pPr>
        <w:pStyle w:val="EnvelopeReturn"/>
        <w:ind w:left="360" w:firstLine="360"/>
        <w:rPr>
          <w:rFonts w:cs="Times New Roman"/>
        </w:rPr>
      </w:pPr>
      <w:r w:rsidRPr="007A0EFA">
        <w:rPr>
          <w:rFonts w:cs="Times New Roman"/>
        </w:rPr>
        <w:t>Results of the collected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rsidP="000321B0">
      <w:pPr>
        <w:tabs>
          <w:tab w:val="left" w:pos="-720"/>
        </w:tabs>
        <w:suppressAutoHyphens/>
        <w:ind w:hanging="360"/>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116030" w:rsidRPr="00632163" w:rsidRDefault="00116030" w:rsidP="00F523A1">
      <w:pPr>
        <w:pStyle w:val="EnvelopeReturn"/>
        <w:ind w:left="720"/>
        <w:rPr>
          <w:rFonts w:cs="Times New Roman"/>
        </w:rPr>
      </w:pPr>
      <w:r w:rsidRPr="00632163">
        <w:rPr>
          <w:rFonts w:cs="Times New Roman"/>
        </w:rPr>
        <w:t>This report will display the expiration date for the OMB approval of the information collection.</w:t>
      </w:r>
    </w:p>
    <w:p w:rsidR="00386054" w:rsidRPr="00B712CE" w:rsidRDefault="00386054">
      <w:pPr>
        <w:tabs>
          <w:tab w:val="left" w:pos="-720"/>
        </w:tabs>
        <w:suppressAutoHyphens/>
        <w:rPr>
          <w:rFonts w:ascii="Times New Roman" w:hAnsi="Times New Roman"/>
          <w:b/>
          <w:szCs w:val="24"/>
        </w:rPr>
      </w:pPr>
    </w:p>
    <w:p w:rsidR="00386054" w:rsidRDefault="00386054" w:rsidP="000321B0">
      <w:pPr>
        <w:tabs>
          <w:tab w:val="left" w:pos="-720"/>
        </w:tabs>
        <w:suppressAutoHyphens/>
        <w:ind w:hanging="360"/>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116030" w:rsidRDefault="00116030">
      <w:pPr>
        <w:tabs>
          <w:tab w:val="left" w:pos="-720"/>
        </w:tabs>
        <w:suppressAutoHyphens/>
        <w:rPr>
          <w:rStyle w:val="a"/>
          <w:rFonts w:ascii="Times New Roman" w:hAnsi="Times New Roman"/>
          <w:szCs w:val="24"/>
        </w:rPr>
      </w:pPr>
    </w:p>
    <w:p w:rsidR="00116030" w:rsidRPr="00632163" w:rsidRDefault="00116030" w:rsidP="00F523A1">
      <w:pPr>
        <w:pStyle w:val="EnvelopeReturn"/>
        <w:ind w:left="360" w:firstLine="360"/>
        <w:rPr>
          <w:rFonts w:cs="Times New Roman"/>
        </w:rPr>
      </w:pPr>
      <w:r w:rsidRPr="00632163">
        <w:rPr>
          <w:rFonts w:cs="Times New Roman"/>
        </w:rPr>
        <w:t>There are no exceptions to the certification statement.</w:t>
      </w:r>
    </w:p>
    <w:p w:rsidR="00116030" w:rsidRPr="00EF7FF5" w:rsidRDefault="00116030">
      <w:pPr>
        <w:tabs>
          <w:tab w:val="left" w:pos="-720"/>
        </w:tabs>
        <w:suppressAutoHyphens/>
        <w:rPr>
          <w:rFonts w:ascii="Times New Roman" w:hAnsi="Times New Roman"/>
          <w:szCs w:val="24"/>
        </w:rPr>
      </w:pPr>
    </w:p>
    <w:sectPr w:rsidR="00116030"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8F" w:rsidRDefault="00B4748F">
      <w:pPr>
        <w:spacing w:line="20" w:lineRule="exact"/>
      </w:pPr>
    </w:p>
  </w:endnote>
  <w:endnote w:type="continuationSeparator" w:id="0">
    <w:p w:rsidR="00B4748F" w:rsidRDefault="00B4748F">
      <w:r>
        <w:t xml:space="preserve"> </w:t>
      </w:r>
    </w:p>
  </w:endnote>
  <w:endnote w:type="continuationNotice" w:id="1">
    <w:p w:rsidR="00B4748F" w:rsidRDefault="00B474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spacing w:before="140" w:line="100" w:lineRule="exact"/>
      <w:rPr>
        <w:sz w:val="10"/>
      </w:rPr>
    </w:pPr>
  </w:p>
  <w:p w:rsidR="00E75931" w:rsidRDefault="00E75931">
    <w:pPr>
      <w:tabs>
        <w:tab w:val="left" w:pos="0"/>
      </w:tabs>
      <w:suppressAutoHyphens/>
    </w:pPr>
  </w:p>
  <w:p w:rsidR="00E75931" w:rsidRDefault="00E75931">
    <w:pPr>
      <w:tabs>
        <w:tab w:val="left" w:pos="0"/>
      </w:tabs>
      <w:suppressAutoHyphens/>
    </w:pPr>
    <w:r>
      <w:rPr>
        <w:noProof/>
      </w:rPr>
      <mc:AlternateContent>
        <mc:Choice Requires="wps">
          <w:drawing>
            <wp:anchor distT="0" distB="0" distL="114300" distR="114300" simplePos="0" relativeHeight="251657728" behindDoc="1" locked="0" layoutInCell="0" allowOverlap="1" wp14:anchorId="6280C1E7" wp14:editId="009BB80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75931" w:rsidRDefault="00E75931">
                          <w:pPr>
                            <w:tabs>
                              <w:tab w:val="center" w:pos="4650"/>
                            </w:tabs>
                            <w:suppressAutoHyphens/>
                            <w:jc w:val="both"/>
                          </w:pPr>
                          <w:r>
                            <w:tab/>
                          </w:r>
                          <w:r>
                            <w:fldChar w:fldCharType="begin"/>
                          </w:r>
                          <w:r>
                            <w:instrText>page \* arabic</w:instrText>
                          </w:r>
                          <w:r>
                            <w:fldChar w:fldCharType="separate"/>
                          </w:r>
                          <w:r w:rsidR="00A1669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75931" w:rsidRDefault="00E75931">
                    <w:pPr>
                      <w:tabs>
                        <w:tab w:val="center" w:pos="4650"/>
                      </w:tabs>
                      <w:suppressAutoHyphens/>
                      <w:jc w:val="both"/>
                    </w:pPr>
                    <w:r>
                      <w:tab/>
                    </w:r>
                    <w:r>
                      <w:fldChar w:fldCharType="begin"/>
                    </w:r>
                    <w:r>
                      <w:instrText>page \* arabic</w:instrText>
                    </w:r>
                    <w:r>
                      <w:fldChar w:fldCharType="separate"/>
                    </w:r>
                    <w:r w:rsidR="00A1669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8F" w:rsidRDefault="00B4748F">
      <w:r>
        <w:separator/>
      </w:r>
    </w:p>
  </w:footnote>
  <w:footnote w:type="continuationSeparator" w:id="0">
    <w:p w:rsidR="00B4748F" w:rsidRDefault="00B4748F">
      <w:r>
        <w:continuationSeparator/>
      </w:r>
    </w:p>
  </w:footnote>
  <w:footnote w:id="1">
    <w:p w:rsidR="00E75931" w:rsidRDefault="00E75931">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75931" w:rsidRPr="00993C45" w:rsidRDefault="00E75931">
      <w:pPr>
        <w:pStyle w:val="FootnoteText"/>
      </w:pPr>
      <w:r w:rsidRPr="00993C45">
        <w:rPr>
          <w:rStyle w:val="FootnoteReference"/>
        </w:rPr>
        <w:footnoteRef/>
      </w:r>
      <w:r w:rsidRPr="00993C45">
        <w:t xml:space="preserve"> </w:t>
      </w:r>
      <w:r w:rsidRPr="00993C45">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931" w:rsidRDefault="00E75931">
    <w:pPr>
      <w:pStyle w:val="Header"/>
      <w:rPr>
        <w:rFonts w:ascii="Times New Roman" w:hAnsi="Times New Roman"/>
        <w:sz w:val="20"/>
      </w:rPr>
    </w:pPr>
    <w:r>
      <w:rPr>
        <w:rFonts w:ascii="Times New Roman" w:hAnsi="Times New Roman"/>
        <w:sz w:val="20"/>
      </w:rPr>
      <w:t>O</w:t>
    </w:r>
    <w:r w:rsidR="007507C4">
      <w:rPr>
        <w:rFonts w:ascii="Times New Roman" w:hAnsi="Times New Roman"/>
        <w:sz w:val="20"/>
      </w:rPr>
      <w:t xml:space="preserve">MB Number: </w:t>
    </w:r>
    <w:r>
      <w:rPr>
        <w:rFonts w:ascii="Times New Roman" w:hAnsi="Times New Roman"/>
        <w:sz w:val="20"/>
      </w:rPr>
      <w:t xml:space="preserve">1840-0604                                         </w:t>
    </w:r>
    <w:r w:rsidR="007507C4">
      <w:rPr>
        <w:rFonts w:ascii="Times New Roman" w:hAnsi="Times New Roman"/>
        <w:sz w:val="20"/>
      </w:rPr>
      <w:tab/>
    </w:r>
    <w:r>
      <w:rPr>
        <w:rFonts w:ascii="Times New Roman" w:hAnsi="Times New Roman"/>
        <w:sz w:val="20"/>
      </w:rPr>
      <w:t>Revised: xx/xx/xxxx</w:t>
    </w:r>
  </w:p>
  <w:p w:rsidR="00E75931" w:rsidRPr="00386054" w:rsidRDefault="00E75931">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A653F4"/>
    <w:multiLevelType w:val="hybridMultilevel"/>
    <w:tmpl w:val="317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0D15"/>
    <w:rsid w:val="000321B0"/>
    <w:rsid w:val="00047C1A"/>
    <w:rsid w:val="00050CBE"/>
    <w:rsid w:val="000579D3"/>
    <w:rsid w:val="000909E0"/>
    <w:rsid w:val="000A15B9"/>
    <w:rsid w:val="000B14D8"/>
    <w:rsid w:val="000E592D"/>
    <w:rsid w:val="000E5E61"/>
    <w:rsid w:val="000F175B"/>
    <w:rsid w:val="00114C2F"/>
    <w:rsid w:val="00116030"/>
    <w:rsid w:val="0014500F"/>
    <w:rsid w:val="00153080"/>
    <w:rsid w:val="00153F20"/>
    <w:rsid w:val="001743A5"/>
    <w:rsid w:val="001807C3"/>
    <w:rsid w:val="0018279C"/>
    <w:rsid w:val="00184084"/>
    <w:rsid w:val="001A53E7"/>
    <w:rsid w:val="001B6FFD"/>
    <w:rsid w:val="001D457C"/>
    <w:rsid w:val="002150CD"/>
    <w:rsid w:val="002473CE"/>
    <w:rsid w:val="002840C6"/>
    <w:rsid w:val="002B0412"/>
    <w:rsid w:val="002B0A95"/>
    <w:rsid w:val="002D089B"/>
    <w:rsid w:val="002F2C77"/>
    <w:rsid w:val="002F306D"/>
    <w:rsid w:val="003735D4"/>
    <w:rsid w:val="003771D3"/>
    <w:rsid w:val="00386054"/>
    <w:rsid w:val="003C29C2"/>
    <w:rsid w:val="003C7F70"/>
    <w:rsid w:val="003E285A"/>
    <w:rsid w:val="00483FBB"/>
    <w:rsid w:val="004A2DBB"/>
    <w:rsid w:val="004E23D9"/>
    <w:rsid w:val="004F692A"/>
    <w:rsid w:val="00512598"/>
    <w:rsid w:val="00550236"/>
    <w:rsid w:val="0055447A"/>
    <w:rsid w:val="00563CCF"/>
    <w:rsid w:val="00565BC1"/>
    <w:rsid w:val="0059331C"/>
    <w:rsid w:val="005A1566"/>
    <w:rsid w:val="005A1DFC"/>
    <w:rsid w:val="005A4051"/>
    <w:rsid w:val="005A4185"/>
    <w:rsid w:val="005A6A82"/>
    <w:rsid w:val="005D2E7B"/>
    <w:rsid w:val="0061310D"/>
    <w:rsid w:val="00632163"/>
    <w:rsid w:val="0063484C"/>
    <w:rsid w:val="00636F25"/>
    <w:rsid w:val="00654305"/>
    <w:rsid w:val="006737C0"/>
    <w:rsid w:val="006765A7"/>
    <w:rsid w:val="00677BC2"/>
    <w:rsid w:val="006860B9"/>
    <w:rsid w:val="006A3B5C"/>
    <w:rsid w:val="006C01D0"/>
    <w:rsid w:val="006C63EA"/>
    <w:rsid w:val="007142C0"/>
    <w:rsid w:val="007507C4"/>
    <w:rsid w:val="007571BB"/>
    <w:rsid w:val="007661D9"/>
    <w:rsid w:val="007A0EFA"/>
    <w:rsid w:val="007B14E8"/>
    <w:rsid w:val="007C12B5"/>
    <w:rsid w:val="007E77FA"/>
    <w:rsid w:val="008011B6"/>
    <w:rsid w:val="008141B3"/>
    <w:rsid w:val="008305B4"/>
    <w:rsid w:val="008632D0"/>
    <w:rsid w:val="008935CF"/>
    <w:rsid w:val="008C5502"/>
    <w:rsid w:val="008F3062"/>
    <w:rsid w:val="009115F3"/>
    <w:rsid w:val="00921CB1"/>
    <w:rsid w:val="009544A3"/>
    <w:rsid w:val="00993C45"/>
    <w:rsid w:val="009949A8"/>
    <w:rsid w:val="00A01331"/>
    <w:rsid w:val="00A16698"/>
    <w:rsid w:val="00A41F2C"/>
    <w:rsid w:val="00A87940"/>
    <w:rsid w:val="00A94CCB"/>
    <w:rsid w:val="00AB0D7D"/>
    <w:rsid w:val="00AF754B"/>
    <w:rsid w:val="00B23EC0"/>
    <w:rsid w:val="00B35261"/>
    <w:rsid w:val="00B35EF2"/>
    <w:rsid w:val="00B4357D"/>
    <w:rsid w:val="00B4748F"/>
    <w:rsid w:val="00B712CE"/>
    <w:rsid w:val="00B73019"/>
    <w:rsid w:val="00B75E31"/>
    <w:rsid w:val="00BC244F"/>
    <w:rsid w:val="00BD1325"/>
    <w:rsid w:val="00BE2EB3"/>
    <w:rsid w:val="00C25916"/>
    <w:rsid w:val="00C641E9"/>
    <w:rsid w:val="00C723C2"/>
    <w:rsid w:val="00CB1DD8"/>
    <w:rsid w:val="00CE72AF"/>
    <w:rsid w:val="00D115BF"/>
    <w:rsid w:val="00D2010B"/>
    <w:rsid w:val="00D269C3"/>
    <w:rsid w:val="00D37485"/>
    <w:rsid w:val="00D42EDB"/>
    <w:rsid w:val="00D639AF"/>
    <w:rsid w:val="00D64BD2"/>
    <w:rsid w:val="00D74A89"/>
    <w:rsid w:val="00E023B7"/>
    <w:rsid w:val="00E07290"/>
    <w:rsid w:val="00E24D95"/>
    <w:rsid w:val="00E4758C"/>
    <w:rsid w:val="00E5002F"/>
    <w:rsid w:val="00E64CD0"/>
    <w:rsid w:val="00E74449"/>
    <w:rsid w:val="00E75931"/>
    <w:rsid w:val="00EA3C1F"/>
    <w:rsid w:val="00EB1E8C"/>
    <w:rsid w:val="00EC2CC4"/>
    <w:rsid w:val="00EF7FF5"/>
    <w:rsid w:val="00F1427F"/>
    <w:rsid w:val="00F25C56"/>
    <w:rsid w:val="00F313DF"/>
    <w:rsid w:val="00F523A1"/>
    <w:rsid w:val="00F60208"/>
    <w:rsid w:val="00F669B1"/>
    <w:rsid w:val="00F8145F"/>
    <w:rsid w:val="00F96C51"/>
    <w:rsid w:val="00FE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5136">
      <w:bodyDiv w:val="1"/>
      <w:marLeft w:val="0"/>
      <w:marRight w:val="0"/>
      <w:marTop w:val="0"/>
      <w:marBottom w:val="0"/>
      <w:divBdr>
        <w:top w:val="none" w:sz="0" w:space="0" w:color="auto"/>
        <w:left w:val="none" w:sz="0" w:space="0" w:color="auto"/>
        <w:bottom w:val="none" w:sz="0" w:space="0" w:color="auto"/>
        <w:right w:val="none" w:sz="0" w:space="0" w:color="auto"/>
      </w:divBdr>
    </w:div>
    <w:div w:id="2192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w.cornell.edu/uscode/text/20/chapter-28/subchapter-VII/part-A/sub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060E9-DF86-4966-AD7D-4D6F2111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2014-03-27T14:30:00Z</cp:lastPrinted>
  <dcterms:created xsi:type="dcterms:W3CDTF">2018-05-07T17:46:00Z</dcterms:created>
  <dcterms:modified xsi:type="dcterms:W3CDTF">2018-05-07T17:46:00Z</dcterms:modified>
</cp:coreProperties>
</file>