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16" w:rsidRPr="00B56C37" w:rsidRDefault="009738A6" w:rsidP="00B56C37">
      <w:pPr>
        <w:widowControl/>
        <w:jc w:val="center"/>
        <w:rPr>
          <w:rFonts w:ascii="Arial" w:hAnsi="Arial" w:cs="Arial"/>
          <w:b/>
          <w:color w:val="000000"/>
        </w:rPr>
      </w:pPr>
      <w:bookmarkStart w:id="0" w:name="_GoBack"/>
      <w:bookmarkEnd w:id="0"/>
      <w:r w:rsidRPr="00B56C37">
        <w:rPr>
          <w:rFonts w:ascii="Arial" w:hAnsi="Arial" w:cs="Arial"/>
          <w:b/>
          <w:color w:val="000000"/>
        </w:rPr>
        <w:t>Supporting Statement</w:t>
      </w:r>
    </w:p>
    <w:p w:rsidR="009738A6" w:rsidRPr="00B56C37" w:rsidRDefault="009738A6" w:rsidP="00B56C37">
      <w:pPr>
        <w:widowControl/>
        <w:jc w:val="center"/>
        <w:rPr>
          <w:rFonts w:ascii="ITC Franklin Gothic Std Book" w:hAnsi="ITC Franklin Gothic Std Book" w:cs="ITC Franklin Gothic Std Book"/>
          <w:b/>
          <w:color w:val="000000"/>
        </w:rPr>
      </w:pPr>
      <w:r w:rsidRPr="00B56C37">
        <w:rPr>
          <w:rFonts w:ascii="Arial" w:hAnsi="Arial" w:cs="Arial"/>
          <w:b/>
          <w:color w:val="000000"/>
        </w:rPr>
        <w:t>Internal Revenue Service</w:t>
      </w:r>
    </w:p>
    <w:p w:rsidR="00A203D8" w:rsidRPr="00B56C37" w:rsidRDefault="00012F16" w:rsidP="00B56C37">
      <w:pPr>
        <w:pStyle w:val="Default"/>
        <w:jc w:val="center"/>
        <w:rPr>
          <w:b/>
          <w:bCs/>
        </w:rPr>
      </w:pPr>
      <w:r w:rsidRPr="00B56C37">
        <w:rPr>
          <w:b/>
          <w:bCs/>
        </w:rPr>
        <w:t>Information and Initial Excise Tax Return for Black Lung Benefit Trusts and Certain Related Persons</w:t>
      </w:r>
      <w:r w:rsidRPr="00B56C37">
        <w:rPr>
          <w:rFonts w:ascii="ITC Franklin Gothic Std Book" w:hAnsi="ITC Franklin Gothic Std Book" w:cs="ITC Franklin Gothic Std Book"/>
          <w:b/>
          <w:bCs/>
          <w:sz w:val="28"/>
          <w:szCs w:val="28"/>
        </w:rPr>
        <w:t xml:space="preserve"> </w:t>
      </w:r>
      <w:r w:rsidR="002D4BC1" w:rsidRPr="00B56C37">
        <w:rPr>
          <w:b/>
          <w:bCs/>
          <w:sz w:val="22"/>
          <w:szCs w:val="22"/>
        </w:rPr>
        <w:t>and Form 6069</w:t>
      </w:r>
      <w:r w:rsidRPr="00B56C37">
        <w:rPr>
          <w:b/>
          <w:bCs/>
          <w:sz w:val="22"/>
          <w:szCs w:val="22"/>
        </w:rPr>
        <w:t xml:space="preserve">, </w:t>
      </w:r>
      <w:r w:rsidRPr="00B56C37">
        <w:rPr>
          <w:b/>
          <w:bCs/>
        </w:rPr>
        <w:t>Return of Excise Tax on Excess Contributions to Black Lung Benefit Trust Under Section 4953 and Computation of Section 192 Deduction</w:t>
      </w:r>
    </w:p>
    <w:p w:rsidR="00012F16" w:rsidRPr="00B56C37" w:rsidRDefault="00012F16" w:rsidP="00B56C37">
      <w:pPr>
        <w:tabs>
          <w:tab w:val="center" w:pos="4680"/>
        </w:tabs>
        <w:jc w:val="center"/>
        <w:rPr>
          <w:rFonts w:ascii="Arial" w:hAnsi="Arial" w:cs="Arial"/>
          <w:b/>
          <w:bCs/>
          <w:sz w:val="22"/>
          <w:szCs w:val="22"/>
        </w:rPr>
      </w:pPr>
      <w:r w:rsidRPr="00B56C37">
        <w:rPr>
          <w:rFonts w:ascii="Arial" w:hAnsi="Arial" w:cs="Arial"/>
          <w:b/>
          <w:bCs/>
          <w:sz w:val="22"/>
          <w:szCs w:val="22"/>
        </w:rPr>
        <w:t>OMB Control No. 1545-0049</w:t>
      </w:r>
    </w:p>
    <w:p w:rsidR="00012F16" w:rsidRPr="00F40225" w:rsidRDefault="00012F16">
      <w:pPr>
        <w:tabs>
          <w:tab w:val="center" w:pos="4680"/>
        </w:tabs>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w:t>
      </w:r>
      <w:r w:rsidRPr="00F40225">
        <w:rPr>
          <w:rFonts w:ascii="Arial" w:hAnsi="Arial" w:cs="Arial"/>
          <w:bCs/>
          <w:sz w:val="22"/>
          <w:szCs w:val="22"/>
        </w:rPr>
        <w:tab/>
      </w:r>
      <w:r w:rsidRPr="00F40225">
        <w:rPr>
          <w:rFonts w:ascii="Arial" w:hAnsi="Arial" w:cs="Arial"/>
          <w:bCs/>
          <w:sz w:val="22"/>
          <w:szCs w:val="22"/>
          <w:u w:val="single"/>
        </w:rPr>
        <w:t>CIRCUMSTANCES NECESSITATING COLLECTION OF INFORMATION</w:t>
      </w:r>
    </w:p>
    <w:p w:rsidR="00A203D8" w:rsidRPr="00F40225" w:rsidRDefault="00A203D8">
      <w:pPr>
        <w:rPr>
          <w:rFonts w:ascii="Arial" w:hAnsi="Arial" w:cs="Arial"/>
          <w:bCs/>
          <w:sz w:val="22"/>
          <w:szCs w:val="22"/>
        </w:rPr>
      </w:pPr>
    </w:p>
    <w:p w:rsidR="00A203D8" w:rsidRPr="00F40225" w:rsidRDefault="00A203D8">
      <w:pPr>
        <w:ind w:left="720"/>
        <w:rPr>
          <w:rFonts w:ascii="Arial" w:hAnsi="Arial" w:cs="Arial"/>
          <w:bCs/>
          <w:sz w:val="22"/>
          <w:szCs w:val="22"/>
        </w:rPr>
      </w:pPr>
      <w:r w:rsidRPr="00F40225">
        <w:rPr>
          <w:rFonts w:ascii="Arial" w:hAnsi="Arial" w:cs="Arial"/>
          <w:bCs/>
          <w:sz w:val="22"/>
          <w:szCs w:val="22"/>
        </w:rPr>
        <w:t xml:space="preserve">Black lung benefit trusts use Form 990-BL to report their financial activities and to answer certain questions on their exempt activities that must be reported to IRS each year.  Section 1.6033-2(a)(2)(i) of the Income Tax Regulations specifically requires the trusts to file the form.  The trusts and certain related parties need the Schedule A (Form 990-BL) to report engaging in certain proscribed activities and pay the tax on them.  The coal mine operators contributing to black lung benefit trusts need Form 6069 to determine their allowable deduction to the trusts and to pay the tax on excess contributions if any are made.  Regulations section 53.6011-1(e) requires filing a return to pay taxes imposed by sections 4951, 4952, and 4953.  </w:t>
      </w:r>
      <w:r w:rsidR="00D24895">
        <w:rPr>
          <w:rFonts w:ascii="Arial" w:hAnsi="Arial" w:cs="Arial"/>
          <w:bCs/>
          <w:sz w:val="22"/>
          <w:szCs w:val="22"/>
        </w:rPr>
        <w:t>Fo</w:t>
      </w:r>
      <w:r w:rsidRPr="00F40225">
        <w:rPr>
          <w:rFonts w:ascii="Arial" w:hAnsi="Arial" w:cs="Arial"/>
          <w:bCs/>
          <w:sz w:val="22"/>
          <w:szCs w:val="22"/>
        </w:rPr>
        <w:t xml:space="preserve">rm 6069 </w:t>
      </w:r>
      <w:r w:rsidR="00D24895">
        <w:rPr>
          <w:rFonts w:ascii="Arial" w:hAnsi="Arial" w:cs="Arial"/>
          <w:bCs/>
          <w:sz w:val="22"/>
          <w:szCs w:val="22"/>
        </w:rPr>
        <w:t xml:space="preserve">is a worksheet (schedule A) used to determine the </w:t>
      </w:r>
      <w:r w:rsidR="00282DB4">
        <w:rPr>
          <w:rFonts w:ascii="Arial" w:hAnsi="Arial" w:cs="Arial"/>
          <w:bCs/>
          <w:sz w:val="22"/>
          <w:szCs w:val="22"/>
        </w:rPr>
        <w:t>maximum allowable income tax deduction for contributions made by coal mine operators to tax-exempt black lung trusts.</w:t>
      </w:r>
      <w:r w:rsidR="003747E6">
        <w:rPr>
          <w:rFonts w:ascii="Arial" w:hAnsi="Arial" w:cs="Arial"/>
          <w:bCs/>
          <w:sz w:val="22"/>
          <w:szCs w:val="22"/>
        </w:rPr>
        <w:t xml:space="preserve"> The form is also used to determine the amount of excise tax imposed under section 4953 for contributions that are more than the maximum allowable deduction</w:t>
      </w:r>
      <w:r w:rsidR="00A00FC6">
        <w:rPr>
          <w:rFonts w:ascii="Arial" w:hAnsi="Arial" w:cs="Arial"/>
          <w:bCs/>
          <w:sz w:val="22"/>
          <w:szCs w:val="22"/>
        </w:rPr>
        <w:t xml:space="preserve"> under section 192</w:t>
      </w:r>
      <w:r w:rsidR="00BA1FEC">
        <w:rPr>
          <w:rFonts w:ascii="Arial" w:hAnsi="Arial" w:cs="Arial"/>
          <w:bCs/>
          <w:sz w:val="22"/>
          <w:szCs w:val="22"/>
        </w:rPr>
        <w:t xml:space="preserve"> of the code</w:t>
      </w:r>
      <w:r w:rsidR="003747E6">
        <w:rPr>
          <w:rFonts w:ascii="Arial" w:hAnsi="Arial" w:cs="Arial"/>
          <w:bCs/>
          <w:sz w:val="22"/>
          <w:szCs w:val="22"/>
        </w:rPr>
        <w:t>.</w:t>
      </w: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r w:rsidRPr="00F40225">
        <w:rPr>
          <w:rFonts w:ascii="Arial" w:hAnsi="Arial" w:cs="Arial"/>
          <w:bCs/>
          <w:sz w:val="22"/>
          <w:szCs w:val="22"/>
        </w:rPr>
        <w:t>2.</w:t>
      </w:r>
      <w:r w:rsidR="00F40225">
        <w:rPr>
          <w:rFonts w:ascii="Arial" w:hAnsi="Arial" w:cs="Arial"/>
          <w:bCs/>
          <w:sz w:val="22"/>
          <w:szCs w:val="22"/>
        </w:rPr>
        <w:tab/>
      </w:r>
      <w:r w:rsidRPr="00F40225">
        <w:rPr>
          <w:rFonts w:ascii="Arial" w:hAnsi="Arial" w:cs="Arial"/>
          <w:bCs/>
          <w:sz w:val="22"/>
          <w:szCs w:val="22"/>
          <w:u w:val="single"/>
        </w:rPr>
        <w:t>USE OF DATA</w:t>
      </w:r>
      <w:r w:rsidRPr="00F40225">
        <w:rPr>
          <w:rFonts w:ascii="Arial" w:hAnsi="Arial" w:cs="Arial"/>
          <w:bCs/>
          <w:sz w:val="22"/>
          <w:szCs w:val="22"/>
        </w:rPr>
        <w:t xml:space="preserve"> </w:t>
      </w:r>
    </w:p>
    <w:p w:rsidR="00A203D8" w:rsidRPr="00F40225" w:rsidRDefault="00A203D8">
      <w:pPr>
        <w:rPr>
          <w:rFonts w:ascii="Arial" w:hAnsi="Arial" w:cs="Arial"/>
          <w:bCs/>
          <w:sz w:val="22"/>
          <w:szCs w:val="22"/>
        </w:rPr>
      </w:pPr>
    </w:p>
    <w:p w:rsidR="00A203D8" w:rsidRPr="00F40225" w:rsidRDefault="00A203D8">
      <w:pPr>
        <w:ind w:left="720"/>
        <w:rPr>
          <w:rFonts w:ascii="Arial" w:hAnsi="Arial" w:cs="Arial"/>
          <w:bCs/>
          <w:sz w:val="22"/>
          <w:szCs w:val="22"/>
        </w:rPr>
      </w:pPr>
      <w:r w:rsidRPr="00F40225">
        <w:rPr>
          <w:rFonts w:ascii="Arial" w:hAnsi="Arial" w:cs="Arial"/>
          <w:bCs/>
          <w:sz w:val="22"/>
          <w:szCs w:val="22"/>
        </w:rPr>
        <w:t xml:space="preserve">The IRS uses Form 990-BL to monitor the activities of black lung benefit trusts.  They are required to file the return if they normally have $25,000 or more in gross receipts for the tax year.  If the trust or related persons engage in any proscribed activities, they must attach Schedule A </w:t>
      </w:r>
      <w:r w:rsidR="00282DB4">
        <w:rPr>
          <w:rFonts w:ascii="Arial" w:hAnsi="Arial" w:cs="Arial"/>
          <w:bCs/>
          <w:sz w:val="22"/>
          <w:szCs w:val="22"/>
        </w:rPr>
        <w:t xml:space="preserve">of </w:t>
      </w:r>
      <w:r w:rsidRPr="00F40225">
        <w:rPr>
          <w:rFonts w:ascii="Arial" w:hAnsi="Arial" w:cs="Arial"/>
          <w:bCs/>
          <w:sz w:val="22"/>
          <w:szCs w:val="22"/>
        </w:rPr>
        <w:t>(Form 990-BL) and pay the tax on it.  If the coal mine operator determines an excess contribution was made to the trust, then the operator must file a Form 6069 to report the excess and pay the tax on it.</w:t>
      </w: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3.</w:t>
      </w:r>
      <w:r w:rsidRPr="00F40225">
        <w:rPr>
          <w:rFonts w:ascii="Arial" w:hAnsi="Arial" w:cs="Arial"/>
          <w:bCs/>
          <w:sz w:val="22"/>
          <w:szCs w:val="22"/>
        </w:rPr>
        <w:tab/>
      </w:r>
      <w:r w:rsidRPr="00F40225">
        <w:rPr>
          <w:rFonts w:ascii="Arial" w:hAnsi="Arial" w:cs="Arial"/>
          <w:bCs/>
          <w:sz w:val="22"/>
          <w:szCs w:val="22"/>
          <w:u w:val="single"/>
        </w:rPr>
        <w:t>USE OF IMPROVED INFORMATION TECHNOLOGY TO REDUCE BURDEN</w:t>
      </w:r>
    </w:p>
    <w:p w:rsidR="00A203D8" w:rsidRPr="00F40225" w:rsidRDefault="00A203D8">
      <w:pPr>
        <w:rPr>
          <w:rFonts w:ascii="Arial" w:hAnsi="Arial" w:cs="Arial"/>
          <w:bCs/>
          <w:sz w:val="22"/>
          <w:szCs w:val="22"/>
        </w:rPr>
      </w:pPr>
    </w:p>
    <w:p w:rsidR="00A203D8" w:rsidRPr="00F40225" w:rsidRDefault="00A203D8">
      <w:pPr>
        <w:ind w:left="720"/>
        <w:rPr>
          <w:rFonts w:ascii="Arial" w:hAnsi="Arial" w:cs="Arial"/>
          <w:bCs/>
          <w:sz w:val="22"/>
          <w:szCs w:val="22"/>
        </w:rPr>
      </w:pPr>
      <w:r w:rsidRPr="00F40225">
        <w:rPr>
          <w:rFonts w:ascii="Arial" w:hAnsi="Arial" w:cs="Arial"/>
          <w:bCs/>
          <w:sz w:val="22"/>
          <w:szCs w:val="22"/>
        </w:rPr>
        <w:t>We have no plans at this time</w:t>
      </w:r>
      <w:r w:rsidR="003747E6">
        <w:rPr>
          <w:rFonts w:ascii="Arial" w:hAnsi="Arial" w:cs="Arial"/>
          <w:bCs/>
          <w:sz w:val="22"/>
          <w:szCs w:val="22"/>
        </w:rPr>
        <w:t xml:space="preserve"> </w:t>
      </w:r>
      <w:r w:rsidRPr="00F40225">
        <w:rPr>
          <w:rFonts w:ascii="Arial" w:hAnsi="Arial" w:cs="Arial"/>
          <w:bCs/>
          <w:sz w:val="22"/>
          <w:szCs w:val="22"/>
        </w:rPr>
        <w:t>to offer electronic filing because of the low volume compared to the cost of electronic enabling.</w:t>
      </w: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4.</w:t>
      </w:r>
      <w:r w:rsidRPr="00F40225">
        <w:rPr>
          <w:rFonts w:ascii="Arial" w:hAnsi="Arial" w:cs="Arial"/>
          <w:bCs/>
          <w:sz w:val="22"/>
          <w:szCs w:val="22"/>
        </w:rPr>
        <w:tab/>
      </w:r>
      <w:r w:rsidRPr="00F40225">
        <w:rPr>
          <w:rFonts w:ascii="Arial" w:hAnsi="Arial" w:cs="Arial"/>
          <w:bCs/>
          <w:sz w:val="22"/>
          <w:szCs w:val="22"/>
          <w:u w:val="single"/>
        </w:rPr>
        <w:t>EFFORTS TO IDENTIFY DUPLICATION</w:t>
      </w:r>
    </w:p>
    <w:p w:rsidR="00A203D8" w:rsidRPr="00F40225" w:rsidRDefault="00A203D8">
      <w:pPr>
        <w:rPr>
          <w:rFonts w:ascii="Arial" w:hAnsi="Arial" w:cs="Arial"/>
          <w:bCs/>
          <w:sz w:val="22"/>
          <w:szCs w:val="22"/>
        </w:rPr>
      </w:pPr>
    </w:p>
    <w:p w:rsidR="003747E6" w:rsidRPr="003747E6" w:rsidRDefault="003747E6" w:rsidP="003747E6">
      <w:pPr>
        <w:ind w:left="576"/>
        <w:jc w:val="both"/>
        <w:rPr>
          <w:rFonts w:ascii="Arial" w:hAnsi="Arial" w:cs="Arial"/>
        </w:rPr>
      </w:pPr>
      <w:bookmarkStart w:id="1" w:name="_Hlk497985603"/>
      <w:r>
        <w:rPr>
          <w:rFonts w:ascii="Arial" w:hAnsi="Arial" w:cs="Arial"/>
          <w:iCs/>
        </w:rPr>
        <w:t xml:space="preserve">  </w:t>
      </w:r>
      <w:r w:rsidRPr="003747E6">
        <w:rPr>
          <w:rFonts w:ascii="Arial" w:hAnsi="Arial" w:cs="Arial"/>
          <w:iCs/>
        </w:rPr>
        <w:t xml:space="preserve">The information obtained through this collection is unique and is not already </w:t>
      </w:r>
      <w:r>
        <w:rPr>
          <w:rFonts w:ascii="Arial" w:hAnsi="Arial" w:cs="Arial"/>
          <w:iCs/>
        </w:rPr>
        <w:t xml:space="preserve">              </w:t>
      </w:r>
      <w:r w:rsidRPr="003747E6">
        <w:rPr>
          <w:rFonts w:ascii="Arial" w:hAnsi="Arial" w:cs="Arial"/>
          <w:iCs/>
        </w:rPr>
        <w:t>available for use or adaptation from another source.</w:t>
      </w:r>
      <w:bookmarkEnd w:id="1"/>
    </w:p>
    <w:p w:rsidR="00A203D8" w:rsidRPr="00F40225" w:rsidRDefault="00A203D8" w:rsidP="003747E6">
      <w:pPr>
        <w:ind w:left="720"/>
        <w:rPr>
          <w:rFonts w:ascii="Arial" w:hAnsi="Arial" w:cs="Arial"/>
          <w:bCs/>
          <w:sz w:val="22"/>
          <w:szCs w:val="22"/>
        </w:rPr>
      </w:pPr>
      <w:r w:rsidRPr="00F40225">
        <w:rPr>
          <w:rFonts w:ascii="Arial" w:hAnsi="Arial" w:cs="Arial"/>
          <w:bCs/>
          <w:sz w:val="22"/>
          <w:szCs w:val="22"/>
        </w:rPr>
        <w:t xml:space="preserve">  </w:t>
      </w: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5.</w:t>
      </w:r>
      <w:r w:rsidRPr="00F40225">
        <w:rPr>
          <w:rFonts w:ascii="Arial" w:hAnsi="Arial" w:cs="Arial"/>
          <w:bCs/>
          <w:sz w:val="22"/>
          <w:szCs w:val="22"/>
        </w:rPr>
        <w:tab/>
      </w:r>
      <w:r w:rsidRPr="00F40225">
        <w:rPr>
          <w:rFonts w:ascii="Arial" w:hAnsi="Arial" w:cs="Arial"/>
          <w:bCs/>
          <w:sz w:val="22"/>
          <w:szCs w:val="22"/>
          <w:u w:val="single"/>
        </w:rPr>
        <w:t>METHODS TO MINIMIZE BURDEN ON SMALL BUSINESSES OR OTHER</w:t>
      </w:r>
      <w:r w:rsidR="00F40225" w:rsidRPr="00F40225">
        <w:rPr>
          <w:rFonts w:ascii="Arial" w:hAnsi="Arial" w:cs="Arial"/>
          <w:bCs/>
          <w:sz w:val="22"/>
          <w:szCs w:val="22"/>
          <w:u w:val="single"/>
        </w:rPr>
        <w:t xml:space="preserve"> </w:t>
      </w:r>
      <w:r w:rsidRPr="00F40225">
        <w:rPr>
          <w:rFonts w:ascii="Arial" w:hAnsi="Arial" w:cs="Arial"/>
          <w:bCs/>
          <w:sz w:val="22"/>
          <w:szCs w:val="22"/>
          <w:u w:val="single"/>
        </w:rPr>
        <w:t>SMALL ENTITIES</w:t>
      </w:r>
    </w:p>
    <w:p w:rsidR="00A203D8" w:rsidRPr="00F40225" w:rsidRDefault="00A203D8">
      <w:pPr>
        <w:rPr>
          <w:rFonts w:ascii="Arial" w:hAnsi="Arial" w:cs="Arial"/>
          <w:bCs/>
          <w:sz w:val="22"/>
          <w:szCs w:val="22"/>
        </w:rPr>
      </w:pPr>
    </w:p>
    <w:p w:rsidR="003747E6" w:rsidRPr="003747E6" w:rsidRDefault="003747E6" w:rsidP="003747E6">
      <w:pPr>
        <w:ind w:left="576"/>
        <w:rPr>
          <w:rFonts w:ascii="Arial" w:hAnsi="Arial" w:cs="Arial"/>
        </w:rPr>
      </w:pPr>
      <w:r>
        <w:rPr>
          <w:rFonts w:ascii="Arial" w:hAnsi="Arial" w:cs="Arial"/>
          <w:color w:val="000000"/>
        </w:rPr>
        <w:t xml:space="preserve">  </w:t>
      </w:r>
      <w:r w:rsidRPr="003747E6">
        <w:rPr>
          <w:rFonts w:ascii="Arial" w:hAnsi="Arial" w:cs="Arial"/>
          <w:color w:val="000000"/>
        </w:rPr>
        <w:t xml:space="preserve">There is no burden on small businesses or entities by this collection due to the </w:t>
      </w:r>
      <w:r>
        <w:rPr>
          <w:rFonts w:ascii="Arial" w:hAnsi="Arial" w:cs="Arial"/>
          <w:color w:val="000000"/>
        </w:rPr>
        <w:t xml:space="preserve">     </w:t>
      </w:r>
      <w:r w:rsidRPr="003747E6">
        <w:rPr>
          <w:rFonts w:ascii="Arial" w:hAnsi="Arial" w:cs="Arial"/>
          <w:color w:val="000000"/>
        </w:rPr>
        <w:t>inapplicability of the authorizing statute to this type of entity.</w:t>
      </w:r>
    </w:p>
    <w:p w:rsidR="00A203D8" w:rsidRPr="00F40225" w:rsidRDefault="00A203D8">
      <w:pPr>
        <w:ind w:left="720"/>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u w:val="single"/>
        </w:rPr>
      </w:pPr>
      <w:r w:rsidRPr="00F40225">
        <w:rPr>
          <w:rFonts w:ascii="Arial" w:hAnsi="Arial" w:cs="Arial"/>
          <w:bCs/>
          <w:sz w:val="22"/>
          <w:szCs w:val="22"/>
        </w:rPr>
        <w:t>6.</w:t>
      </w:r>
      <w:r w:rsidRPr="00F40225">
        <w:rPr>
          <w:rFonts w:ascii="Arial" w:hAnsi="Arial" w:cs="Arial"/>
          <w:bCs/>
          <w:sz w:val="22"/>
          <w:szCs w:val="22"/>
        </w:rPr>
        <w:tab/>
      </w:r>
      <w:r w:rsidRPr="00F40225">
        <w:rPr>
          <w:rFonts w:ascii="Arial" w:hAnsi="Arial" w:cs="Arial"/>
          <w:bCs/>
          <w:sz w:val="22"/>
          <w:szCs w:val="22"/>
          <w:u w:val="single"/>
        </w:rPr>
        <w:t>CONSEQUENCES OF LESS FREQUENT COLLECTION ON FEDERAL PROGRAMS OR POLICY ACTIVITIES</w:t>
      </w:r>
    </w:p>
    <w:p w:rsidR="00A203D8" w:rsidRPr="00F40225" w:rsidRDefault="00A203D8">
      <w:pPr>
        <w:rPr>
          <w:rFonts w:ascii="Arial" w:hAnsi="Arial" w:cs="Arial"/>
          <w:bCs/>
          <w:sz w:val="22"/>
          <w:szCs w:val="22"/>
        </w:rPr>
      </w:pPr>
    </w:p>
    <w:p w:rsidR="003747E6" w:rsidRPr="00571277" w:rsidRDefault="00571277" w:rsidP="003747E6">
      <w:pPr>
        <w:ind w:left="360"/>
        <w:rPr>
          <w:rFonts w:ascii="Arial" w:hAnsi="Arial" w:cs="Arial"/>
        </w:rPr>
      </w:pPr>
      <w:r>
        <w:rPr>
          <w:rFonts w:ascii="Arial" w:hAnsi="Arial" w:cs="Arial"/>
        </w:rPr>
        <w:t xml:space="preserve">     </w:t>
      </w:r>
      <w:r w:rsidR="003747E6" w:rsidRPr="00571277">
        <w:rPr>
          <w:rFonts w:ascii="Arial" w:hAnsi="Arial" w:cs="Arial"/>
        </w:rPr>
        <w:t xml:space="preserve">If the information were not collected, the IRS would not be able to </w:t>
      </w:r>
      <w:r>
        <w:rPr>
          <w:rFonts w:ascii="Arial" w:hAnsi="Arial" w:cs="Arial"/>
        </w:rPr>
        <w:t xml:space="preserve">determine </w:t>
      </w:r>
      <w:r w:rsidR="003747E6" w:rsidRPr="00571277">
        <w:rPr>
          <w:rFonts w:ascii="Arial" w:hAnsi="Arial" w:cs="Arial"/>
        </w:rPr>
        <w:t xml:space="preserve">the </w:t>
      </w:r>
      <w:r>
        <w:rPr>
          <w:rFonts w:ascii="Arial" w:hAnsi="Arial" w:cs="Arial"/>
        </w:rPr>
        <w:t xml:space="preserve">    </w:t>
      </w:r>
      <w:r w:rsidR="00230F3C">
        <w:rPr>
          <w:rFonts w:ascii="Arial" w:hAnsi="Arial" w:cs="Arial"/>
        </w:rPr>
        <w:t xml:space="preserve"> </w:t>
      </w:r>
      <w:r>
        <w:rPr>
          <w:rFonts w:ascii="Arial" w:hAnsi="Arial" w:cs="Arial"/>
        </w:rPr>
        <w:t xml:space="preserve"> </w:t>
      </w:r>
      <w:r w:rsidR="00230F3C">
        <w:rPr>
          <w:rFonts w:ascii="Arial" w:hAnsi="Arial" w:cs="Arial"/>
        </w:rPr>
        <w:t xml:space="preserve">correct amount of excise tax to collect </w:t>
      </w:r>
      <w:r w:rsidR="00230F3C" w:rsidRPr="00571277">
        <w:rPr>
          <w:rFonts w:ascii="Arial" w:hAnsi="Arial" w:cs="Arial"/>
        </w:rPr>
        <w:t>under section 4</w:t>
      </w:r>
      <w:r w:rsidR="00230F3C">
        <w:rPr>
          <w:rFonts w:ascii="Arial" w:hAnsi="Arial" w:cs="Arial"/>
        </w:rPr>
        <w:t>9</w:t>
      </w:r>
      <w:r w:rsidR="00230F3C" w:rsidRPr="00571277">
        <w:rPr>
          <w:rFonts w:ascii="Arial" w:hAnsi="Arial" w:cs="Arial"/>
        </w:rPr>
        <w:t>5</w:t>
      </w:r>
      <w:r w:rsidR="00230F3C">
        <w:rPr>
          <w:rFonts w:ascii="Arial" w:hAnsi="Arial" w:cs="Arial"/>
        </w:rPr>
        <w:t>3</w:t>
      </w:r>
      <w:r w:rsidR="00230F3C" w:rsidRPr="00571277">
        <w:rPr>
          <w:rFonts w:ascii="Arial" w:hAnsi="Arial" w:cs="Arial"/>
        </w:rPr>
        <w:t xml:space="preserve"> of the Code</w:t>
      </w:r>
      <w:r w:rsidR="00230F3C">
        <w:rPr>
          <w:rFonts w:ascii="Arial" w:hAnsi="Arial" w:cs="Arial"/>
        </w:rPr>
        <w:t xml:space="preserve"> and figure      and collect the tax on excess contributions </w:t>
      </w:r>
      <w:r w:rsidR="007C6166">
        <w:rPr>
          <w:rFonts w:ascii="Arial" w:hAnsi="Arial" w:cs="Arial"/>
        </w:rPr>
        <w:t>under section 192</w:t>
      </w:r>
      <w:r w:rsidR="00230F3C">
        <w:rPr>
          <w:rFonts w:ascii="Arial" w:hAnsi="Arial" w:cs="Arial"/>
        </w:rPr>
        <w:t xml:space="preserve"> o</w:t>
      </w:r>
      <w:r w:rsidR="003747E6" w:rsidRPr="00571277">
        <w:rPr>
          <w:rFonts w:ascii="Arial" w:hAnsi="Arial" w:cs="Arial"/>
        </w:rPr>
        <w:t xml:space="preserve">f the Code. This </w:t>
      </w:r>
      <w:r w:rsidR="00230F3C">
        <w:rPr>
          <w:rFonts w:ascii="Arial" w:hAnsi="Arial" w:cs="Arial"/>
        </w:rPr>
        <w:t xml:space="preserve">       </w:t>
      </w:r>
      <w:r w:rsidR="003747E6" w:rsidRPr="00571277">
        <w:rPr>
          <w:rFonts w:ascii="Arial" w:hAnsi="Arial" w:cs="Arial"/>
        </w:rPr>
        <w:t xml:space="preserve">would affect both the taxpayer and the government in ensuring proper tax </w:t>
      </w:r>
      <w:r w:rsidR="00230F3C">
        <w:rPr>
          <w:rFonts w:ascii="Arial" w:hAnsi="Arial" w:cs="Arial"/>
        </w:rPr>
        <w:t xml:space="preserve">                </w:t>
      </w:r>
      <w:r w:rsidR="003747E6" w:rsidRPr="00571277">
        <w:rPr>
          <w:rFonts w:ascii="Arial" w:hAnsi="Arial" w:cs="Arial"/>
        </w:rPr>
        <w:t>compliance</w:t>
      </w:r>
      <w:r>
        <w:rPr>
          <w:rFonts w:ascii="Arial" w:hAnsi="Arial" w:cs="Arial"/>
        </w:rPr>
        <w:t xml:space="preserve"> </w:t>
      </w:r>
      <w:r w:rsidR="003747E6" w:rsidRPr="00571277">
        <w:rPr>
          <w:rFonts w:ascii="Arial" w:hAnsi="Arial" w:cs="Arial"/>
        </w:rPr>
        <w:t>and hinder the IRS from meeting its mission.</w:t>
      </w:r>
    </w:p>
    <w:p w:rsidR="00A203D8" w:rsidRPr="00F40225" w:rsidRDefault="00A203D8">
      <w:pPr>
        <w:ind w:left="720"/>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7.</w:t>
      </w:r>
      <w:r w:rsidRPr="00F40225">
        <w:rPr>
          <w:rFonts w:ascii="Arial" w:hAnsi="Arial" w:cs="Arial"/>
          <w:bCs/>
          <w:sz w:val="22"/>
          <w:szCs w:val="22"/>
        </w:rPr>
        <w:tab/>
      </w:r>
      <w:r w:rsidRPr="00F40225">
        <w:rPr>
          <w:rFonts w:ascii="Arial" w:hAnsi="Arial" w:cs="Arial"/>
          <w:bCs/>
          <w:sz w:val="22"/>
          <w:szCs w:val="22"/>
          <w:u w:val="single"/>
        </w:rPr>
        <w:t>SPECIAL CIRCUMSTANCES REQUIRING DATA COLLECTION TO BE</w:t>
      </w:r>
      <w:r w:rsidRPr="00F40225">
        <w:rPr>
          <w:rFonts w:ascii="Arial" w:hAnsi="Arial" w:cs="Arial"/>
          <w:bCs/>
          <w:sz w:val="22"/>
          <w:szCs w:val="22"/>
        </w:rPr>
        <w:t xml:space="preserve"> </w:t>
      </w:r>
      <w:r w:rsidRPr="00F40225">
        <w:rPr>
          <w:rFonts w:ascii="Arial" w:hAnsi="Arial" w:cs="Arial"/>
          <w:bCs/>
          <w:sz w:val="22"/>
          <w:szCs w:val="22"/>
          <w:u w:val="single"/>
        </w:rPr>
        <w:t>INCONSISTENT WITH GUIDELINES IN 5 CFR 1320.5(d)(2)</w:t>
      </w:r>
    </w:p>
    <w:p w:rsidR="00A203D8" w:rsidRPr="00F40225" w:rsidRDefault="00A203D8">
      <w:pPr>
        <w:rPr>
          <w:rFonts w:ascii="Arial" w:hAnsi="Arial" w:cs="Arial"/>
          <w:bCs/>
          <w:sz w:val="22"/>
          <w:szCs w:val="22"/>
        </w:rPr>
      </w:pPr>
    </w:p>
    <w:p w:rsidR="000767DA" w:rsidRPr="000767DA" w:rsidRDefault="000767DA" w:rsidP="000767DA">
      <w:pPr>
        <w:ind w:left="360"/>
        <w:rPr>
          <w:rFonts w:ascii="Arial" w:hAnsi="Arial" w:cs="Arial"/>
        </w:rPr>
      </w:pPr>
      <w:r>
        <w:rPr>
          <w:rFonts w:ascii="Courier New" w:hAnsi="Courier New" w:cs="Courier New"/>
        </w:rPr>
        <w:t xml:space="preserve">  </w:t>
      </w:r>
      <w:r w:rsidRPr="000767DA">
        <w:rPr>
          <w:rFonts w:ascii="Arial" w:hAnsi="Arial" w:cs="Arial"/>
        </w:rPr>
        <w:t xml:space="preserve">There are no special circumstances requiring data collection   to be inconsistent </w:t>
      </w:r>
      <w:r>
        <w:rPr>
          <w:rFonts w:ascii="Arial" w:hAnsi="Arial" w:cs="Arial"/>
        </w:rPr>
        <w:t xml:space="preserve">       </w:t>
      </w:r>
      <w:r w:rsidRPr="000767DA">
        <w:rPr>
          <w:rFonts w:ascii="Arial" w:hAnsi="Arial" w:cs="Arial"/>
        </w:rPr>
        <w:t>with Guidelines in 5 CFR 1320.5(d)(2).</w:t>
      </w:r>
    </w:p>
    <w:p w:rsidR="00A203D8" w:rsidRPr="00F40225" w:rsidRDefault="00A203D8">
      <w:pPr>
        <w:ind w:firstLine="720"/>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8.</w:t>
      </w:r>
      <w:r w:rsidRPr="00F40225">
        <w:rPr>
          <w:rFonts w:ascii="Arial" w:hAnsi="Arial" w:cs="Arial"/>
          <w:bCs/>
          <w:sz w:val="22"/>
          <w:szCs w:val="22"/>
        </w:rPr>
        <w:tab/>
      </w:r>
      <w:r w:rsidRPr="00F40225">
        <w:rPr>
          <w:rFonts w:ascii="Arial" w:hAnsi="Arial" w:cs="Arial"/>
          <w:bCs/>
          <w:sz w:val="22"/>
          <w:szCs w:val="22"/>
          <w:u w:val="single"/>
        </w:rPr>
        <w:t>CONSULTATION WITH INDIVIDUALS OUTSIDE OF THE AGENCY ON</w:t>
      </w:r>
      <w:r w:rsidRPr="00F40225">
        <w:rPr>
          <w:rFonts w:ascii="Arial" w:hAnsi="Arial" w:cs="Arial"/>
          <w:bCs/>
          <w:sz w:val="22"/>
          <w:szCs w:val="22"/>
        </w:rPr>
        <w:t xml:space="preserve">     </w:t>
      </w:r>
      <w:r w:rsidRPr="00F40225">
        <w:rPr>
          <w:rFonts w:ascii="Arial" w:hAnsi="Arial" w:cs="Arial"/>
          <w:bCs/>
          <w:sz w:val="22"/>
          <w:szCs w:val="22"/>
          <w:u w:val="single"/>
        </w:rPr>
        <w:t>AVAILABILITY OF DATA, FREQUENCY OF COLLECTION, CLARITY OF INSTRUCTIONS AND FORMS, AND DATA ELEMENTS</w:t>
      </w:r>
    </w:p>
    <w:p w:rsidR="00A203D8" w:rsidRPr="00F40225" w:rsidRDefault="00A203D8">
      <w:pPr>
        <w:rPr>
          <w:rFonts w:ascii="Arial" w:hAnsi="Arial" w:cs="Arial"/>
          <w:bCs/>
          <w:sz w:val="22"/>
          <w:szCs w:val="22"/>
        </w:rPr>
      </w:pPr>
    </w:p>
    <w:p w:rsidR="00A203D8" w:rsidRPr="00F40225" w:rsidRDefault="00A203D8">
      <w:pPr>
        <w:ind w:left="720"/>
        <w:rPr>
          <w:rFonts w:ascii="Arial" w:hAnsi="Arial" w:cs="Arial"/>
          <w:bCs/>
          <w:sz w:val="22"/>
          <w:szCs w:val="22"/>
        </w:rPr>
      </w:pPr>
      <w:r w:rsidRPr="00F40225">
        <w:rPr>
          <w:rFonts w:ascii="Arial" w:hAnsi="Arial" w:cs="Arial"/>
          <w:bCs/>
          <w:sz w:val="22"/>
          <w:szCs w:val="22"/>
        </w:rPr>
        <w:t xml:space="preserve">In response to the Federal Register Notice </w:t>
      </w:r>
      <w:r w:rsidR="008C7E6F" w:rsidRPr="00F40225">
        <w:rPr>
          <w:rFonts w:ascii="Arial" w:hAnsi="Arial" w:cs="Arial"/>
          <w:bCs/>
          <w:sz w:val="22"/>
          <w:szCs w:val="22"/>
        </w:rPr>
        <w:t>(</w:t>
      </w:r>
      <w:r w:rsidR="00A63A3A">
        <w:rPr>
          <w:rFonts w:ascii="Arial" w:hAnsi="Arial" w:cs="Arial"/>
          <w:bCs/>
          <w:sz w:val="22"/>
          <w:szCs w:val="22"/>
        </w:rPr>
        <w:t>83</w:t>
      </w:r>
      <w:r w:rsidR="008C7E6F" w:rsidRPr="00F40225">
        <w:rPr>
          <w:rFonts w:ascii="Arial" w:hAnsi="Arial" w:cs="Arial"/>
          <w:bCs/>
          <w:sz w:val="22"/>
          <w:szCs w:val="22"/>
        </w:rPr>
        <w:t xml:space="preserve"> FR </w:t>
      </w:r>
      <w:r w:rsidR="00A63A3A">
        <w:rPr>
          <w:rFonts w:ascii="Arial" w:hAnsi="Arial" w:cs="Arial"/>
          <w:bCs/>
          <w:sz w:val="22"/>
          <w:szCs w:val="22"/>
        </w:rPr>
        <w:t>13347</w:t>
      </w:r>
      <w:r w:rsidR="008C7E6F" w:rsidRPr="00F40225">
        <w:rPr>
          <w:rFonts w:ascii="Arial" w:hAnsi="Arial" w:cs="Arial"/>
          <w:bCs/>
          <w:sz w:val="22"/>
          <w:szCs w:val="22"/>
        </w:rPr>
        <w:t xml:space="preserve">), </w:t>
      </w:r>
      <w:r w:rsidRPr="00F40225">
        <w:rPr>
          <w:rFonts w:ascii="Arial" w:hAnsi="Arial" w:cs="Arial"/>
          <w:bCs/>
          <w:sz w:val="22"/>
          <w:szCs w:val="22"/>
        </w:rPr>
        <w:t xml:space="preserve">dated </w:t>
      </w:r>
      <w:r w:rsidR="008C12AF">
        <w:rPr>
          <w:rFonts w:ascii="Arial" w:hAnsi="Arial" w:cs="Arial"/>
          <w:bCs/>
          <w:sz w:val="22"/>
          <w:szCs w:val="22"/>
        </w:rPr>
        <w:t xml:space="preserve">March 28, 2018, </w:t>
      </w:r>
      <w:r w:rsidRPr="00F40225">
        <w:rPr>
          <w:rFonts w:ascii="Arial" w:hAnsi="Arial" w:cs="Arial"/>
          <w:bCs/>
          <w:sz w:val="22"/>
          <w:szCs w:val="22"/>
        </w:rPr>
        <w:t>we received no comments during the comment period regarding Form 990-BL, and Form 6069.</w:t>
      </w: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9.</w:t>
      </w:r>
      <w:r w:rsidRPr="00F40225">
        <w:rPr>
          <w:rFonts w:ascii="Arial" w:hAnsi="Arial" w:cs="Arial"/>
          <w:bCs/>
          <w:sz w:val="22"/>
          <w:szCs w:val="22"/>
        </w:rPr>
        <w:tab/>
      </w:r>
      <w:r w:rsidRPr="00F40225">
        <w:rPr>
          <w:rFonts w:ascii="Arial" w:hAnsi="Arial" w:cs="Arial"/>
          <w:bCs/>
          <w:sz w:val="22"/>
          <w:szCs w:val="22"/>
          <w:u w:val="single"/>
        </w:rPr>
        <w:t>EXPLANATION OF DECISION TO PROVIDE ANY PAYMENT OR GIFT TO</w:t>
      </w:r>
      <w:r w:rsidRPr="00F40225">
        <w:rPr>
          <w:rFonts w:ascii="Arial" w:hAnsi="Arial" w:cs="Arial"/>
          <w:bCs/>
          <w:sz w:val="22"/>
          <w:szCs w:val="22"/>
        </w:rPr>
        <w:t xml:space="preserve"> </w:t>
      </w:r>
      <w:r w:rsidRPr="00F40225">
        <w:rPr>
          <w:rFonts w:ascii="Arial" w:hAnsi="Arial" w:cs="Arial"/>
          <w:bCs/>
          <w:sz w:val="22"/>
          <w:szCs w:val="22"/>
          <w:u w:val="single"/>
        </w:rPr>
        <w:t>RESPONDENTS</w:t>
      </w:r>
    </w:p>
    <w:p w:rsidR="00A203D8" w:rsidRPr="00F40225" w:rsidRDefault="00A203D8">
      <w:pPr>
        <w:rPr>
          <w:rFonts w:ascii="Arial" w:hAnsi="Arial" w:cs="Arial"/>
          <w:bCs/>
          <w:sz w:val="22"/>
          <w:szCs w:val="22"/>
        </w:rPr>
      </w:pPr>
    </w:p>
    <w:p w:rsidR="000767DA" w:rsidRPr="000767DA" w:rsidRDefault="000767DA" w:rsidP="000767DA">
      <w:pPr>
        <w:ind w:left="360"/>
        <w:rPr>
          <w:rFonts w:ascii="Arial" w:hAnsi="Arial" w:cs="Arial"/>
        </w:rPr>
      </w:pPr>
      <w:r>
        <w:rPr>
          <w:rFonts w:ascii="Courier New" w:hAnsi="Courier New" w:cs="Courier New"/>
        </w:rPr>
        <w:t xml:space="preserve">   </w:t>
      </w:r>
      <w:r w:rsidRPr="000767DA">
        <w:rPr>
          <w:rFonts w:ascii="Arial" w:hAnsi="Arial" w:cs="Arial"/>
        </w:rPr>
        <w:t>No payment or gift has been provided to any respondents.</w:t>
      </w:r>
    </w:p>
    <w:p w:rsidR="00A203D8" w:rsidRPr="00F40225" w:rsidRDefault="00A203D8">
      <w:pPr>
        <w:ind w:left="720"/>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10.</w:t>
      </w:r>
      <w:r w:rsidRPr="00F40225">
        <w:rPr>
          <w:rFonts w:ascii="Arial" w:hAnsi="Arial" w:cs="Arial"/>
          <w:bCs/>
          <w:sz w:val="22"/>
          <w:szCs w:val="22"/>
        </w:rPr>
        <w:tab/>
      </w:r>
      <w:r w:rsidRPr="00F40225">
        <w:rPr>
          <w:rFonts w:ascii="Arial" w:hAnsi="Arial" w:cs="Arial"/>
          <w:bCs/>
          <w:sz w:val="22"/>
          <w:szCs w:val="22"/>
          <w:u w:val="single"/>
        </w:rPr>
        <w:t>ASSURANCE OF CONFIDENTIALITY OF RESPONSES</w:t>
      </w:r>
    </w:p>
    <w:p w:rsidR="00A203D8" w:rsidRPr="00F40225" w:rsidRDefault="00A203D8">
      <w:pPr>
        <w:rPr>
          <w:rFonts w:ascii="Arial" w:hAnsi="Arial" w:cs="Arial"/>
          <w:bCs/>
          <w:sz w:val="22"/>
          <w:szCs w:val="22"/>
        </w:rPr>
      </w:pPr>
    </w:p>
    <w:p w:rsidR="00A203D8" w:rsidRPr="00F40225" w:rsidRDefault="00A203D8">
      <w:pPr>
        <w:ind w:left="720"/>
        <w:rPr>
          <w:rFonts w:ascii="Arial" w:hAnsi="Arial" w:cs="Arial"/>
          <w:bCs/>
          <w:sz w:val="22"/>
          <w:szCs w:val="22"/>
        </w:rPr>
      </w:pPr>
      <w:r w:rsidRPr="00F40225">
        <w:rPr>
          <w:rFonts w:ascii="Arial" w:hAnsi="Arial" w:cs="Arial"/>
          <w:bCs/>
          <w:sz w:val="22"/>
          <w:szCs w:val="22"/>
        </w:rPr>
        <w:t xml:space="preserve">Generally, tax returns and tax return information are confidential as required by 26 USC 6103.  </w:t>
      </w: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u w:val="single"/>
        </w:rPr>
      </w:pPr>
      <w:r w:rsidRPr="00F40225">
        <w:rPr>
          <w:rFonts w:ascii="Arial" w:hAnsi="Arial" w:cs="Arial"/>
          <w:bCs/>
          <w:sz w:val="22"/>
          <w:szCs w:val="22"/>
        </w:rPr>
        <w:t>11.</w:t>
      </w:r>
      <w:r w:rsidRPr="00F40225">
        <w:rPr>
          <w:rFonts w:ascii="Arial" w:hAnsi="Arial" w:cs="Arial"/>
          <w:bCs/>
          <w:sz w:val="22"/>
          <w:szCs w:val="22"/>
        </w:rPr>
        <w:tab/>
      </w:r>
      <w:r w:rsidRPr="00F40225">
        <w:rPr>
          <w:rFonts w:ascii="Arial" w:hAnsi="Arial" w:cs="Arial"/>
          <w:bCs/>
          <w:sz w:val="22"/>
          <w:szCs w:val="22"/>
          <w:u w:val="single"/>
        </w:rPr>
        <w:t>JUSTIFICATION OF SENSITIVE QUESTIONS</w:t>
      </w:r>
    </w:p>
    <w:p w:rsidR="00A203D8" w:rsidRPr="006350D6" w:rsidRDefault="00A203D8">
      <w:pPr>
        <w:rPr>
          <w:rFonts w:ascii="Arial" w:hAnsi="Arial" w:cs="Arial"/>
          <w:bCs/>
          <w:sz w:val="22"/>
          <w:szCs w:val="22"/>
          <w:u w:val="single"/>
        </w:rPr>
      </w:pPr>
    </w:p>
    <w:p w:rsidR="00570DCD" w:rsidRPr="00570DCD" w:rsidRDefault="00570DCD" w:rsidP="00570DCD">
      <w:pPr>
        <w:rPr>
          <w:rFonts w:ascii="Arial" w:hAnsi="Arial" w:cs="Arial"/>
        </w:rPr>
      </w:pPr>
      <w:r>
        <w:rPr>
          <w:rFonts w:ascii="Arial" w:hAnsi="Arial" w:cs="Arial"/>
          <w:sz w:val="22"/>
          <w:szCs w:val="22"/>
        </w:rPr>
        <w:tab/>
      </w:r>
      <w:r w:rsidRPr="00570DCD">
        <w:rPr>
          <w:rFonts w:ascii="Arial" w:hAnsi="Arial" w:cs="Arial"/>
        </w:rPr>
        <w:t>A privacy impact assessment (PIA) has been conducted for information collected under this request as part of the “</w:t>
      </w:r>
      <w:r w:rsidR="00953D3B">
        <w:rPr>
          <w:rFonts w:ascii="Arial" w:hAnsi="Arial" w:cs="Arial"/>
        </w:rPr>
        <w:t xml:space="preserve">Tax Exempt Government Entity Case Management Records </w:t>
      </w:r>
      <w:r w:rsidRPr="00570DCD">
        <w:rPr>
          <w:rFonts w:ascii="Arial" w:hAnsi="Arial" w:cs="Arial"/>
        </w:rPr>
        <w:t>(</w:t>
      </w:r>
      <w:r w:rsidR="00953D3B">
        <w:rPr>
          <w:rFonts w:ascii="Arial" w:hAnsi="Arial" w:cs="Arial"/>
        </w:rPr>
        <w:t>TEGECMR</w:t>
      </w:r>
      <w:r w:rsidRPr="00570DCD">
        <w:rPr>
          <w:rFonts w:ascii="Arial" w:hAnsi="Arial" w:cs="Arial"/>
        </w:rPr>
        <w:t xml:space="preserve">)” system and a Privacy Act System of Records notice (SORN) has been issued for this system under IRS </w:t>
      </w:r>
      <w:r w:rsidR="00953D3B">
        <w:rPr>
          <w:rFonts w:ascii="Arial" w:hAnsi="Arial" w:cs="Arial"/>
        </w:rPr>
        <w:t>50</w:t>
      </w:r>
      <w:r w:rsidRPr="00570DCD">
        <w:rPr>
          <w:rFonts w:ascii="Arial" w:hAnsi="Arial" w:cs="Arial"/>
        </w:rPr>
        <w:t>.</w:t>
      </w:r>
      <w:r w:rsidR="00953D3B">
        <w:rPr>
          <w:rFonts w:ascii="Arial" w:hAnsi="Arial" w:cs="Arial"/>
        </w:rPr>
        <w:t>222</w:t>
      </w:r>
      <w:r w:rsidRPr="00570DCD">
        <w:rPr>
          <w:rFonts w:ascii="Arial" w:hAnsi="Arial" w:cs="Arial"/>
        </w:rPr>
        <w:t>-</w:t>
      </w:r>
      <w:r w:rsidR="00953D3B">
        <w:rPr>
          <w:rFonts w:ascii="Arial" w:hAnsi="Arial" w:cs="Arial"/>
        </w:rPr>
        <w:t xml:space="preserve">TEGE Case </w:t>
      </w:r>
      <w:r w:rsidRPr="00570DCD">
        <w:rPr>
          <w:rFonts w:ascii="Arial" w:hAnsi="Arial" w:cs="Arial"/>
        </w:rPr>
        <w:t>Ma</w:t>
      </w:r>
      <w:r w:rsidR="00953D3B">
        <w:rPr>
          <w:rFonts w:ascii="Arial" w:hAnsi="Arial" w:cs="Arial"/>
        </w:rPr>
        <w:t>nagement Records</w:t>
      </w:r>
      <w:r w:rsidRPr="00570DCD">
        <w:rPr>
          <w:rFonts w:ascii="Arial" w:hAnsi="Arial" w:cs="Arial"/>
        </w:rPr>
        <w:t xml:space="preserve"> and IRS 34.037-Audit Trail and Security Records System.  The Internal Revenue Service </w:t>
      </w:r>
      <w:r w:rsidRPr="00570DCD">
        <w:rPr>
          <w:rFonts w:ascii="Arial" w:hAnsi="Arial" w:cs="Arial"/>
        </w:rPr>
        <w:lastRenderedPageBreak/>
        <w:t xml:space="preserve">PIAs can be found at </w:t>
      </w:r>
      <w:hyperlink r:id="rId9" w:history="1">
        <w:r w:rsidRPr="00570DCD">
          <w:rPr>
            <w:rStyle w:val="Hyperlink"/>
            <w:rFonts w:ascii="Arial" w:hAnsi="Arial" w:cs="Arial"/>
          </w:rPr>
          <w:t>https://www.IRS.gov/uac/Privacy-Impact-Assessments-PIA</w:t>
        </w:r>
      </w:hyperlink>
      <w:r w:rsidRPr="00570DCD">
        <w:rPr>
          <w:rFonts w:ascii="Arial" w:hAnsi="Arial" w:cs="Arial"/>
        </w:rPr>
        <w:t xml:space="preserve">. </w:t>
      </w:r>
    </w:p>
    <w:p w:rsidR="00570DCD" w:rsidRPr="00570DCD" w:rsidRDefault="00570DCD" w:rsidP="00570DCD">
      <w:pPr>
        <w:rPr>
          <w:rFonts w:ascii="Arial" w:hAnsi="Arial" w:cs="Arial"/>
        </w:rPr>
      </w:pPr>
    </w:p>
    <w:p w:rsidR="00570DCD" w:rsidRPr="005F256F" w:rsidRDefault="00570DCD" w:rsidP="00570DCD">
      <w:pPr>
        <w:rPr>
          <w:rFonts w:ascii="Arial" w:hAnsi="Arial" w:cs="Arial"/>
          <w:sz w:val="22"/>
          <w:szCs w:val="22"/>
        </w:rPr>
      </w:pPr>
      <w:r w:rsidRPr="00570DCD">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B01A18">
        <w:rPr>
          <w:rFonts w:ascii="Courier New" w:hAnsi="Courier New" w:cs="Courier New"/>
        </w:rPr>
        <w:t> </w:t>
      </w:r>
    </w:p>
    <w:p w:rsidR="00A203D8" w:rsidRDefault="00A203D8">
      <w:pPr>
        <w:rPr>
          <w:rFonts w:ascii="Arial" w:hAnsi="Arial" w:cs="Arial"/>
          <w:bCs/>
          <w:sz w:val="22"/>
          <w:szCs w:val="22"/>
        </w:rPr>
      </w:pPr>
    </w:p>
    <w:p w:rsidR="005F256F" w:rsidRPr="005F256F" w:rsidRDefault="005F256F">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12.</w:t>
      </w:r>
      <w:r w:rsidRPr="00F40225">
        <w:rPr>
          <w:rFonts w:ascii="Arial" w:hAnsi="Arial" w:cs="Arial"/>
          <w:bCs/>
          <w:sz w:val="22"/>
          <w:szCs w:val="22"/>
        </w:rPr>
        <w:tab/>
      </w:r>
      <w:r w:rsidRPr="00F40225">
        <w:rPr>
          <w:rFonts w:ascii="Arial" w:hAnsi="Arial" w:cs="Arial"/>
          <w:bCs/>
          <w:sz w:val="22"/>
          <w:szCs w:val="22"/>
          <w:u w:val="single"/>
        </w:rPr>
        <w:t>ESTIMATED BURDEN OF INFORMATION COLLECTION</w:t>
      </w:r>
    </w:p>
    <w:p w:rsidR="00A203D8" w:rsidRPr="00F40225" w:rsidRDefault="00A203D8">
      <w:pPr>
        <w:rPr>
          <w:rFonts w:ascii="Arial" w:hAnsi="Arial" w:cs="Arial"/>
          <w:bCs/>
          <w:sz w:val="22"/>
          <w:szCs w:val="22"/>
        </w:rPr>
      </w:pPr>
    </w:p>
    <w:p w:rsidR="00A203D8" w:rsidRDefault="00A203D8">
      <w:pPr>
        <w:rPr>
          <w:rFonts w:ascii="Arial" w:hAnsi="Arial" w:cs="Arial"/>
          <w:bCs/>
          <w:sz w:val="22"/>
          <w:szCs w:val="22"/>
        </w:rPr>
      </w:pPr>
      <w:r w:rsidRPr="00F40225">
        <w:rPr>
          <w:rFonts w:ascii="Arial" w:hAnsi="Arial" w:cs="Arial"/>
          <w:bCs/>
          <w:sz w:val="22"/>
          <w:szCs w:val="22"/>
        </w:rPr>
        <w:tab/>
        <w:t>The burden estimate is as follows:</w:t>
      </w:r>
    </w:p>
    <w:p w:rsidR="00C5119C" w:rsidRDefault="00C5119C">
      <w:pPr>
        <w:rPr>
          <w:rFonts w:ascii="Arial" w:hAnsi="Arial" w:cs="Arial"/>
          <w:bCs/>
          <w:sz w:val="22"/>
          <w:szCs w:val="22"/>
        </w:rPr>
      </w:pPr>
    </w:p>
    <w:p w:rsidR="00C5119C" w:rsidRPr="005B1979" w:rsidRDefault="00C5119C">
      <w:pPr>
        <w:rPr>
          <w:rFonts w:ascii="Arial" w:hAnsi="Arial" w:cs="Arial"/>
          <w:b/>
          <w:bCs/>
          <w:sz w:val="22"/>
          <w:szCs w:val="22"/>
        </w:rPr>
      </w:pP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794"/>
        <w:gridCol w:w="1159"/>
        <w:gridCol w:w="1149"/>
        <w:gridCol w:w="1064"/>
        <w:gridCol w:w="1133"/>
        <w:gridCol w:w="1109"/>
      </w:tblGrid>
      <w:tr w:rsidR="005B1979" w:rsidRPr="005B1979" w:rsidTr="00766F61">
        <w:tc>
          <w:tcPr>
            <w:tcW w:w="1700"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Authorizing Statute</w:t>
            </w:r>
          </w:p>
        </w:tc>
        <w:tc>
          <w:tcPr>
            <w:tcW w:w="1794"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Description</w:t>
            </w:r>
          </w:p>
        </w:tc>
        <w:tc>
          <w:tcPr>
            <w:tcW w:w="1159"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 of Respondents</w:t>
            </w:r>
          </w:p>
        </w:tc>
        <w:tc>
          <w:tcPr>
            <w:tcW w:w="1149"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 Responses per Respondent</w:t>
            </w:r>
          </w:p>
        </w:tc>
        <w:tc>
          <w:tcPr>
            <w:tcW w:w="1064"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Annual Responses</w:t>
            </w:r>
          </w:p>
        </w:tc>
        <w:tc>
          <w:tcPr>
            <w:tcW w:w="1133"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Hours per Response</w:t>
            </w:r>
          </w:p>
        </w:tc>
        <w:tc>
          <w:tcPr>
            <w:tcW w:w="1109"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Total Burden</w:t>
            </w:r>
          </w:p>
        </w:tc>
      </w:tr>
      <w:tr w:rsidR="005B1979" w:rsidRPr="005B1979" w:rsidTr="005B1979">
        <w:trPr>
          <w:trHeight w:val="773"/>
        </w:trPr>
        <w:tc>
          <w:tcPr>
            <w:tcW w:w="1700" w:type="dxa"/>
          </w:tcPr>
          <w:p w:rsidR="005B1979" w:rsidRPr="005B1979" w:rsidRDefault="005B1979" w:rsidP="00766F61">
            <w:pPr>
              <w:keepNext/>
              <w:keepLines/>
              <w:numPr>
                <w:ilvl w:val="12"/>
                <w:numId w:val="0"/>
              </w:numPr>
              <w:jc w:val="center"/>
              <w:rPr>
                <w:rFonts w:ascii="Arial Narrow" w:hAnsi="Arial Narrow"/>
                <w:b/>
                <w:sz w:val="18"/>
                <w:szCs w:val="18"/>
              </w:rPr>
            </w:pPr>
          </w:p>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 xml:space="preserve">IRC </w:t>
            </w:r>
            <w:r w:rsidR="00BA1FEC">
              <w:rPr>
                <w:rFonts w:ascii="Arial Narrow" w:hAnsi="Arial Narrow"/>
                <w:b/>
                <w:sz w:val="18"/>
                <w:szCs w:val="18"/>
              </w:rPr>
              <w:t>603</w:t>
            </w:r>
            <w:r w:rsidRPr="005B1979">
              <w:rPr>
                <w:rFonts w:ascii="Arial Narrow" w:hAnsi="Arial Narrow"/>
                <w:b/>
                <w:sz w:val="18"/>
                <w:szCs w:val="18"/>
              </w:rPr>
              <w:t>3</w:t>
            </w:r>
          </w:p>
        </w:tc>
        <w:tc>
          <w:tcPr>
            <w:tcW w:w="1794" w:type="dxa"/>
            <w:vAlign w:val="bottom"/>
          </w:tcPr>
          <w:p w:rsidR="005B1979" w:rsidRPr="005B1979" w:rsidRDefault="005B1979" w:rsidP="00766F61">
            <w:pPr>
              <w:keepNext/>
              <w:keepLines/>
              <w:numPr>
                <w:ilvl w:val="12"/>
                <w:numId w:val="0"/>
              </w:numPr>
              <w:jc w:val="center"/>
              <w:rPr>
                <w:rFonts w:ascii="Arial Narrow" w:hAnsi="Arial Narrow"/>
                <w:b/>
                <w:sz w:val="18"/>
                <w:szCs w:val="18"/>
              </w:rPr>
            </w:pPr>
          </w:p>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Form 990-BL</w:t>
            </w:r>
          </w:p>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 xml:space="preserve"> </w:t>
            </w:r>
          </w:p>
        </w:tc>
        <w:tc>
          <w:tcPr>
            <w:tcW w:w="1159"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22</w:t>
            </w:r>
          </w:p>
        </w:tc>
        <w:tc>
          <w:tcPr>
            <w:tcW w:w="1149"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1</w:t>
            </w:r>
          </w:p>
        </w:tc>
        <w:tc>
          <w:tcPr>
            <w:tcW w:w="1064"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22</w:t>
            </w:r>
          </w:p>
        </w:tc>
        <w:tc>
          <w:tcPr>
            <w:tcW w:w="1133"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34.25hrs.</w:t>
            </w:r>
          </w:p>
        </w:tc>
        <w:tc>
          <w:tcPr>
            <w:tcW w:w="1109"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754</w:t>
            </w:r>
          </w:p>
        </w:tc>
      </w:tr>
      <w:tr w:rsidR="005B1979" w:rsidRPr="005B1979" w:rsidTr="00766F61">
        <w:tc>
          <w:tcPr>
            <w:tcW w:w="1700" w:type="dxa"/>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IRC 4953</w:t>
            </w:r>
            <w:r w:rsidR="00F34EAD">
              <w:rPr>
                <w:rFonts w:ascii="Arial Narrow" w:hAnsi="Arial Narrow"/>
                <w:b/>
                <w:sz w:val="18"/>
                <w:szCs w:val="18"/>
              </w:rPr>
              <w:t xml:space="preserve"> and 192</w:t>
            </w:r>
          </w:p>
        </w:tc>
        <w:tc>
          <w:tcPr>
            <w:tcW w:w="1794" w:type="dxa"/>
            <w:vAlign w:val="bottom"/>
          </w:tcPr>
          <w:p w:rsidR="005B1979" w:rsidRPr="005B1979" w:rsidRDefault="005B1979" w:rsidP="005B1979">
            <w:pPr>
              <w:keepNext/>
              <w:keepLines/>
              <w:numPr>
                <w:ilvl w:val="12"/>
                <w:numId w:val="0"/>
              </w:numPr>
              <w:jc w:val="center"/>
              <w:rPr>
                <w:rFonts w:ascii="Arial Narrow" w:hAnsi="Arial Narrow"/>
                <w:b/>
                <w:sz w:val="18"/>
                <w:szCs w:val="18"/>
              </w:rPr>
            </w:pPr>
            <w:r w:rsidRPr="005B1979">
              <w:rPr>
                <w:rFonts w:ascii="Arial Narrow" w:hAnsi="Arial Narrow"/>
                <w:b/>
                <w:sz w:val="18"/>
                <w:szCs w:val="18"/>
              </w:rPr>
              <w:t>Form 6069</w:t>
            </w:r>
          </w:p>
        </w:tc>
        <w:tc>
          <w:tcPr>
            <w:tcW w:w="1159"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1</w:t>
            </w:r>
          </w:p>
        </w:tc>
        <w:tc>
          <w:tcPr>
            <w:tcW w:w="1149" w:type="dxa"/>
            <w:vAlign w:val="bottom"/>
          </w:tcPr>
          <w:p w:rsidR="005B1979" w:rsidRPr="005B1979" w:rsidRDefault="005B1979" w:rsidP="00766F61">
            <w:pPr>
              <w:keepNext/>
              <w:keepLines/>
              <w:numPr>
                <w:ilvl w:val="12"/>
                <w:numId w:val="0"/>
              </w:numPr>
              <w:jc w:val="center"/>
              <w:rPr>
                <w:rFonts w:ascii="Arial Narrow" w:hAnsi="Arial Narrow"/>
                <w:b/>
                <w:sz w:val="18"/>
                <w:szCs w:val="18"/>
              </w:rPr>
            </w:pPr>
          </w:p>
        </w:tc>
        <w:tc>
          <w:tcPr>
            <w:tcW w:w="1064"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1</w:t>
            </w:r>
          </w:p>
        </w:tc>
        <w:tc>
          <w:tcPr>
            <w:tcW w:w="1133" w:type="dxa"/>
            <w:vAlign w:val="bottom"/>
          </w:tcPr>
          <w:p w:rsidR="005B1979" w:rsidRPr="005B1979" w:rsidRDefault="008344A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9.93 hrs.</w:t>
            </w:r>
          </w:p>
        </w:tc>
        <w:tc>
          <w:tcPr>
            <w:tcW w:w="1109"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10</w:t>
            </w:r>
          </w:p>
        </w:tc>
      </w:tr>
      <w:tr w:rsidR="005B1979" w:rsidRPr="005B1979" w:rsidTr="00766F61">
        <w:tc>
          <w:tcPr>
            <w:tcW w:w="1700" w:type="dxa"/>
          </w:tcPr>
          <w:p w:rsidR="005B1979" w:rsidRPr="005B1979" w:rsidRDefault="005B1979" w:rsidP="00766F61">
            <w:pPr>
              <w:keepNext/>
              <w:keepLines/>
              <w:numPr>
                <w:ilvl w:val="12"/>
                <w:numId w:val="0"/>
              </w:numPr>
              <w:jc w:val="center"/>
              <w:rPr>
                <w:rFonts w:ascii="Arial Narrow" w:hAnsi="Arial Narrow"/>
                <w:b/>
                <w:sz w:val="18"/>
                <w:szCs w:val="18"/>
              </w:rPr>
            </w:pPr>
          </w:p>
        </w:tc>
        <w:tc>
          <w:tcPr>
            <w:tcW w:w="1794"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Totals</w:t>
            </w:r>
          </w:p>
        </w:tc>
        <w:tc>
          <w:tcPr>
            <w:tcW w:w="1159"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23</w:t>
            </w:r>
          </w:p>
        </w:tc>
        <w:tc>
          <w:tcPr>
            <w:tcW w:w="1149" w:type="dxa"/>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1</w:t>
            </w:r>
          </w:p>
        </w:tc>
        <w:tc>
          <w:tcPr>
            <w:tcW w:w="1064"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23</w:t>
            </w:r>
          </w:p>
        </w:tc>
        <w:tc>
          <w:tcPr>
            <w:tcW w:w="1133" w:type="dxa"/>
            <w:vAlign w:val="bottom"/>
          </w:tcPr>
          <w:p w:rsidR="005B1979" w:rsidRPr="005B1979" w:rsidRDefault="005B1979" w:rsidP="00766F61">
            <w:pPr>
              <w:keepNext/>
              <w:keepLines/>
              <w:numPr>
                <w:ilvl w:val="12"/>
                <w:numId w:val="0"/>
              </w:numPr>
              <w:jc w:val="center"/>
              <w:rPr>
                <w:rFonts w:ascii="Arial Narrow" w:hAnsi="Arial Narrow"/>
                <w:b/>
                <w:sz w:val="18"/>
                <w:szCs w:val="18"/>
              </w:rPr>
            </w:pPr>
          </w:p>
        </w:tc>
        <w:tc>
          <w:tcPr>
            <w:tcW w:w="1109" w:type="dxa"/>
            <w:shd w:val="clear" w:color="auto" w:fill="auto"/>
            <w:vAlign w:val="bottom"/>
          </w:tcPr>
          <w:p w:rsidR="005B1979" w:rsidRPr="005B1979" w:rsidRDefault="005B1979" w:rsidP="00766F61">
            <w:pPr>
              <w:keepNext/>
              <w:keepLines/>
              <w:numPr>
                <w:ilvl w:val="12"/>
                <w:numId w:val="0"/>
              </w:numPr>
              <w:jc w:val="center"/>
              <w:rPr>
                <w:rFonts w:ascii="Arial Narrow" w:hAnsi="Arial Narrow"/>
                <w:b/>
                <w:sz w:val="18"/>
                <w:szCs w:val="18"/>
              </w:rPr>
            </w:pPr>
            <w:r w:rsidRPr="005B1979">
              <w:rPr>
                <w:rFonts w:ascii="Arial Narrow" w:hAnsi="Arial Narrow"/>
                <w:b/>
                <w:sz w:val="18"/>
                <w:szCs w:val="18"/>
              </w:rPr>
              <w:t>764</w:t>
            </w:r>
          </w:p>
        </w:tc>
      </w:tr>
    </w:tbl>
    <w:p w:rsidR="00C5119C" w:rsidRPr="00F40225" w:rsidRDefault="00C5119C">
      <w:pPr>
        <w:rPr>
          <w:rFonts w:ascii="Arial" w:hAnsi="Arial" w:cs="Arial"/>
          <w:bCs/>
          <w:sz w:val="22"/>
          <w:szCs w:val="22"/>
        </w:rPr>
      </w:pPr>
    </w:p>
    <w:p w:rsidR="00A203D8" w:rsidRPr="00F40225" w:rsidRDefault="00F40225" w:rsidP="005B1979">
      <w:pPr>
        <w:tabs>
          <w:tab w:val="left" w:pos="-1440"/>
          <w:tab w:val="left" w:pos="720"/>
          <w:tab w:val="center" w:pos="4050"/>
          <w:tab w:val="center" w:pos="5940"/>
          <w:tab w:val="center" w:pos="7560"/>
        </w:tabs>
        <w:rPr>
          <w:rFonts w:ascii="Arial" w:hAnsi="Arial" w:cs="Arial"/>
          <w:bCs/>
          <w:sz w:val="22"/>
          <w:szCs w:val="22"/>
        </w:rPr>
      </w:pPr>
      <w:r>
        <w:rPr>
          <w:rFonts w:ascii="Arial" w:hAnsi="Arial" w:cs="Arial"/>
          <w:bCs/>
          <w:sz w:val="22"/>
          <w:szCs w:val="22"/>
        </w:rPr>
        <w:tab/>
      </w:r>
      <w:r>
        <w:rPr>
          <w:rFonts w:ascii="Arial" w:hAnsi="Arial" w:cs="Arial"/>
          <w:bCs/>
          <w:sz w:val="22"/>
          <w:szCs w:val="22"/>
        </w:rPr>
        <w:tab/>
      </w:r>
    </w:p>
    <w:p w:rsidR="00A203D8" w:rsidRPr="00F40225" w:rsidRDefault="00A203D8" w:rsidP="00F40225">
      <w:pPr>
        <w:tabs>
          <w:tab w:val="right" w:pos="7740"/>
        </w:tabs>
        <w:rPr>
          <w:rFonts w:ascii="Arial" w:hAnsi="Arial" w:cs="Arial"/>
          <w:bCs/>
          <w:sz w:val="22"/>
          <w:szCs w:val="22"/>
        </w:rPr>
      </w:pPr>
    </w:p>
    <w:p w:rsidR="00A203D8" w:rsidRPr="00F40225" w:rsidRDefault="00A203D8">
      <w:pPr>
        <w:ind w:left="720"/>
        <w:rPr>
          <w:rFonts w:ascii="Arial" w:hAnsi="Arial" w:cs="Arial"/>
          <w:bCs/>
          <w:sz w:val="22"/>
          <w:szCs w:val="22"/>
        </w:rPr>
      </w:pPr>
      <w:r w:rsidRPr="00F40225">
        <w:rPr>
          <w:rFonts w:ascii="Arial" w:hAnsi="Arial" w:cs="Arial"/>
          <w:bCs/>
          <w:sz w:val="22"/>
          <w:szCs w:val="22"/>
        </w:rPr>
        <w:t>The following regulations impose no additional burden.  Please continue to assign OMB number 1545-0049 to these regulations.</w:t>
      </w:r>
    </w:p>
    <w:p w:rsidR="00A203D8" w:rsidRPr="00F40225" w:rsidRDefault="00A203D8">
      <w:pPr>
        <w:rPr>
          <w:rFonts w:ascii="Arial" w:hAnsi="Arial" w:cs="Arial"/>
          <w:bCs/>
          <w:sz w:val="22"/>
          <w:szCs w:val="22"/>
        </w:rPr>
      </w:pPr>
    </w:p>
    <w:p w:rsidR="00A203D8" w:rsidRPr="00F40225" w:rsidRDefault="00F40225" w:rsidP="00F40225">
      <w:pPr>
        <w:tabs>
          <w:tab w:val="left" w:pos="720"/>
          <w:tab w:val="left" w:pos="2880"/>
        </w:tabs>
        <w:rPr>
          <w:rFonts w:ascii="Arial" w:hAnsi="Arial" w:cs="Arial"/>
          <w:bCs/>
          <w:sz w:val="22"/>
          <w:szCs w:val="22"/>
        </w:rPr>
      </w:pPr>
      <w:r>
        <w:rPr>
          <w:rFonts w:ascii="Arial" w:hAnsi="Arial" w:cs="Arial"/>
          <w:bCs/>
          <w:sz w:val="22"/>
          <w:szCs w:val="22"/>
        </w:rPr>
        <w:tab/>
      </w:r>
      <w:r w:rsidR="00A203D8" w:rsidRPr="00F40225">
        <w:rPr>
          <w:rFonts w:ascii="Arial" w:hAnsi="Arial" w:cs="Arial"/>
          <w:bCs/>
          <w:sz w:val="22"/>
          <w:szCs w:val="22"/>
        </w:rPr>
        <w:t>1.6033-2</w:t>
      </w:r>
      <w:r>
        <w:rPr>
          <w:rFonts w:ascii="Arial" w:hAnsi="Arial" w:cs="Arial"/>
          <w:bCs/>
          <w:sz w:val="22"/>
          <w:szCs w:val="22"/>
        </w:rPr>
        <w:tab/>
      </w:r>
      <w:r w:rsidRPr="00F40225">
        <w:rPr>
          <w:rFonts w:ascii="Arial" w:hAnsi="Arial" w:cs="Arial"/>
          <w:bCs/>
          <w:sz w:val="22"/>
          <w:szCs w:val="22"/>
        </w:rPr>
        <w:t>53.6071-1</w:t>
      </w:r>
    </w:p>
    <w:p w:rsidR="00F40225" w:rsidRDefault="00F40225" w:rsidP="00F40225">
      <w:pPr>
        <w:tabs>
          <w:tab w:val="left" w:pos="720"/>
          <w:tab w:val="left" w:pos="2880"/>
        </w:tabs>
        <w:rPr>
          <w:rFonts w:ascii="Arial" w:hAnsi="Arial" w:cs="Arial"/>
          <w:bCs/>
          <w:sz w:val="22"/>
          <w:szCs w:val="22"/>
        </w:rPr>
      </w:pPr>
      <w:r>
        <w:rPr>
          <w:rFonts w:ascii="Arial" w:hAnsi="Arial" w:cs="Arial"/>
          <w:bCs/>
          <w:sz w:val="22"/>
          <w:szCs w:val="22"/>
        </w:rPr>
        <w:tab/>
      </w:r>
      <w:r w:rsidR="00A203D8" w:rsidRPr="00F40225">
        <w:rPr>
          <w:rFonts w:ascii="Arial" w:hAnsi="Arial" w:cs="Arial"/>
          <w:bCs/>
          <w:sz w:val="22"/>
          <w:szCs w:val="22"/>
        </w:rPr>
        <w:t>53.6011-1(e)</w:t>
      </w:r>
      <w:r>
        <w:rPr>
          <w:rFonts w:ascii="Arial" w:hAnsi="Arial" w:cs="Arial"/>
          <w:bCs/>
          <w:sz w:val="22"/>
          <w:szCs w:val="22"/>
        </w:rPr>
        <w:tab/>
      </w:r>
      <w:r w:rsidRPr="00F40225">
        <w:rPr>
          <w:rFonts w:ascii="Arial" w:hAnsi="Arial" w:cs="Arial"/>
          <w:bCs/>
          <w:sz w:val="22"/>
          <w:szCs w:val="22"/>
        </w:rPr>
        <w:t>53.6071-1(d)</w:t>
      </w:r>
    </w:p>
    <w:p w:rsidR="00A203D8" w:rsidRPr="00F40225" w:rsidRDefault="00F40225" w:rsidP="00F40225">
      <w:pPr>
        <w:tabs>
          <w:tab w:val="left" w:pos="720"/>
          <w:tab w:val="left" w:pos="2880"/>
        </w:tabs>
        <w:rPr>
          <w:rFonts w:ascii="Arial" w:hAnsi="Arial" w:cs="Arial"/>
          <w:bCs/>
          <w:sz w:val="22"/>
          <w:szCs w:val="22"/>
        </w:rPr>
      </w:pPr>
      <w:r>
        <w:rPr>
          <w:rFonts w:ascii="Arial" w:hAnsi="Arial" w:cs="Arial"/>
          <w:bCs/>
          <w:sz w:val="22"/>
          <w:szCs w:val="22"/>
        </w:rPr>
        <w:br w:type="page"/>
      </w: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13.</w:t>
      </w:r>
      <w:r w:rsidRPr="00F40225">
        <w:rPr>
          <w:rFonts w:ascii="Arial" w:hAnsi="Arial" w:cs="Arial"/>
          <w:bCs/>
          <w:sz w:val="22"/>
          <w:szCs w:val="22"/>
        </w:rPr>
        <w:tab/>
      </w:r>
      <w:r w:rsidRPr="00F40225">
        <w:rPr>
          <w:rFonts w:ascii="Arial" w:hAnsi="Arial" w:cs="Arial"/>
          <w:bCs/>
          <w:sz w:val="22"/>
          <w:szCs w:val="22"/>
          <w:u w:val="single"/>
        </w:rPr>
        <w:t>ESTIMATED TOTAL ANNUAL COST BURDEN TO RESPONDENTS</w:t>
      </w:r>
    </w:p>
    <w:p w:rsidR="00A203D8" w:rsidRPr="00F40225" w:rsidRDefault="00A203D8">
      <w:pPr>
        <w:rPr>
          <w:rFonts w:ascii="Arial" w:hAnsi="Arial" w:cs="Arial"/>
          <w:bCs/>
          <w:sz w:val="22"/>
          <w:szCs w:val="22"/>
        </w:rPr>
      </w:pPr>
    </w:p>
    <w:p w:rsidR="006F0E25" w:rsidRPr="006F0E25" w:rsidRDefault="006F0E25" w:rsidP="006F0E25">
      <w:pPr>
        <w:ind w:left="720"/>
        <w:rPr>
          <w:rFonts w:ascii="Arial" w:hAnsi="Arial" w:cs="Arial"/>
        </w:rPr>
      </w:pPr>
      <w:r w:rsidRPr="006F0E25">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Arial" w:hAnsi="Arial" w:cs="Arial"/>
        </w:rPr>
        <w:t>.</w:t>
      </w:r>
    </w:p>
    <w:p w:rsidR="00A203D8" w:rsidRPr="00F40225" w:rsidRDefault="00A203D8">
      <w:pPr>
        <w:ind w:left="720"/>
        <w:rPr>
          <w:rFonts w:ascii="Arial" w:hAnsi="Arial" w:cs="Arial"/>
          <w:bCs/>
          <w:sz w:val="22"/>
          <w:szCs w:val="22"/>
        </w:rPr>
      </w:pPr>
      <w:r w:rsidRPr="00F40225">
        <w:rPr>
          <w:rFonts w:ascii="Arial" w:hAnsi="Arial" w:cs="Arial"/>
          <w:bCs/>
          <w:sz w:val="22"/>
          <w:szCs w:val="22"/>
        </w:rPr>
        <w:t xml:space="preserve">  </w:t>
      </w: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14.</w:t>
      </w:r>
      <w:r w:rsidRPr="00F40225">
        <w:rPr>
          <w:rFonts w:ascii="Arial" w:hAnsi="Arial" w:cs="Arial"/>
          <w:bCs/>
          <w:sz w:val="22"/>
          <w:szCs w:val="22"/>
        </w:rPr>
        <w:tab/>
      </w:r>
      <w:r w:rsidRPr="00F40225">
        <w:rPr>
          <w:rFonts w:ascii="Arial" w:hAnsi="Arial" w:cs="Arial"/>
          <w:bCs/>
          <w:sz w:val="22"/>
          <w:szCs w:val="22"/>
          <w:u w:val="single"/>
        </w:rPr>
        <w:t>ESTIMATED ANNUALIZED COST TO THE FEDERAL GOVERNMENT</w:t>
      </w:r>
    </w:p>
    <w:p w:rsidR="00A203D8" w:rsidRPr="00F40225" w:rsidRDefault="00A203D8">
      <w:pPr>
        <w:rPr>
          <w:rFonts w:ascii="Arial" w:hAnsi="Arial" w:cs="Arial"/>
          <w:bCs/>
          <w:sz w:val="22"/>
          <w:szCs w:val="22"/>
        </w:rPr>
      </w:pPr>
    </w:p>
    <w:p w:rsidR="008344A9" w:rsidRDefault="008344A9" w:rsidP="008344A9">
      <w:pPr>
        <w:ind w:left="360"/>
        <w:rPr>
          <w:rFonts w:ascii="Arial" w:hAnsi="Arial" w:cs="Arial"/>
          <w:bCs/>
          <w:sz w:val="22"/>
          <w:szCs w:val="22"/>
        </w:rPr>
      </w:pPr>
      <w:bookmarkStart w:id="2" w:name="_Hlk522536563"/>
    </w:p>
    <w:p w:rsidR="008344A9" w:rsidRPr="00B56C37" w:rsidRDefault="008344A9" w:rsidP="008344A9">
      <w:pPr>
        <w:ind w:left="360"/>
        <w:rPr>
          <w:rFonts w:ascii="Arial" w:hAnsi="Arial" w:cs="Arial"/>
        </w:rPr>
      </w:pPr>
      <w:r w:rsidRPr="00B56C37">
        <w:rPr>
          <w:rFonts w:ascii="Arial" w:hAnsi="Arial" w:cs="Arial"/>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8344A9" w:rsidRPr="00B56C37" w:rsidRDefault="008344A9" w:rsidP="008344A9">
      <w:pPr>
        <w:ind w:left="360"/>
        <w:rPr>
          <w:rFonts w:ascii="Arial" w:hAnsi="Arial" w:cs="Arial"/>
        </w:rPr>
      </w:pPr>
    </w:p>
    <w:p w:rsidR="008344A9" w:rsidRPr="00B56C37" w:rsidRDefault="008344A9" w:rsidP="008344A9">
      <w:pPr>
        <w:ind w:left="360"/>
        <w:rPr>
          <w:rFonts w:ascii="Arial" w:hAnsi="Arial" w:cs="Arial"/>
        </w:rPr>
      </w:pPr>
      <w:r w:rsidRPr="00B56C37">
        <w:rPr>
          <w:rFonts w:ascii="Arial" w:hAnsi="Arial" w:cs="Arial"/>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8344A9" w:rsidRPr="00B56C37" w:rsidRDefault="008344A9" w:rsidP="008344A9">
      <w:pPr>
        <w:ind w:left="360"/>
        <w:rPr>
          <w:rFonts w:ascii="Arial" w:hAnsi="Arial" w:cs="Arial"/>
        </w:rPr>
      </w:pPr>
    </w:p>
    <w:p w:rsidR="008344A9" w:rsidRPr="00B56C37" w:rsidRDefault="008344A9" w:rsidP="008344A9">
      <w:pPr>
        <w:ind w:left="360"/>
        <w:rPr>
          <w:rFonts w:ascii="Arial" w:hAnsi="Arial" w:cs="Arial"/>
        </w:rPr>
      </w:pPr>
      <w:r w:rsidRPr="00B56C37">
        <w:rPr>
          <w:rFonts w:ascii="Arial" w:hAnsi="Arial" w:cs="Arial"/>
        </w:rPr>
        <w:t>The government cost estimate for this collection is summarized in the table below.</w:t>
      </w:r>
    </w:p>
    <w:p w:rsidR="008344A9" w:rsidRDefault="008344A9" w:rsidP="008344A9">
      <w:pPr>
        <w:ind w:left="360"/>
        <w:rPr>
          <w:rFonts w:asciiTheme="minorHAnsi" w:hAnsiTheme="minorHAns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8344A9" w:rsidRPr="008E4D11" w:rsidTr="008344A9">
        <w:tc>
          <w:tcPr>
            <w:tcW w:w="2358" w:type="dxa"/>
            <w:shd w:val="clear" w:color="auto" w:fill="auto"/>
            <w:vAlign w:val="bottom"/>
          </w:tcPr>
          <w:p w:rsidR="008344A9" w:rsidRPr="00E20033" w:rsidRDefault="008344A9" w:rsidP="008344A9">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8344A9" w:rsidRPr="00E20033" w:rsidRDefault="008344A9" w:rsidP="008344A9">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8344A9" w:rsidRPr="00E20033" w:rsidRDefault="008344A9" w:rsidP="008344A9">
            <w:pPr>
              <w:keepNext/>
              <w:keepLines/>
              <w:jc w:val="center"/>
              <w:rPr>
                <w:rFonts w:ascii="Arial Narrow" w:hAnsi="Arial Narrow"/>
                <w:b/>
                <w:sz w:val="18"/>
                <w:szCs w:val="18"/>
                <w:u w:val="single"/>
              </w:rPr>
            </w:pPr>
          </w:p>
        </w:tc>
        <w:tc>
          <w:tcPr>
            <w:tcW w:w="1745" w:type="dxa"/>
            <w:shd w:val="clear" w:color="auto" w:fill="auto"/>
            <w:vAlign w:val="bottom"/>
          </w:tcPr>
          <w:p w:rsidR="008344A9" w:rsidRPr="00E20033" w:rsidRDefault="008344A9" w:rsidP="008344A9">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8344A9" w:rsidRPr="00E20033" w:rsidRDefault="008344A9" w:rsidP="008344A9">
            <w:pPr>
              <w:keepNext/>
              <w:keepLines/>
              <w:jc w:val="center"/>
              <w:rPr>
                <w:rFonts w:ascii="Arial Narrow" w:hAnsi="Arial Narrow"/>
                <w:b/>
                <w:sz w:val="18"/>
                <w:szCs w:val="18"/>
                <w:u w:val="single"/>
              </w:rPr>
            </w:pPr>
          </w:p>
        </w:tc>
        <w:tc>
          <w:tcPr>
            <w:tcW w:w="1582" w:type="dxa"/>
            <w:shd w:val="clear" w:color="auto" w:fill="auto"/>
            <w:vAlign w:val="bottom"/>
          </w:tcPr>
          <w:p w:rsidR="008344A9" w:rsidRPr="00E20033" w:rsidRDefault="008344A9" w:rsidP="008344A9">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8344A9" w:rsidRPr="008E4D11" w:rsidTr="00B56C37">
        <w:tc>
          <w:tcPr>
            <w:tcW w:w="2358" w:type="dxa"/>
            <w:shd w:val="clear" w:color="auto" w:fill="auto"/>
            <w:vAlign w:val="bottom"/>
          </w:tcPr>
          <w:p w:rsidR="008344A9" w:rsidRPr="00E20033" w:rsidRDefault="008344A9" w:rsidP="008344A9">
            <w:pPr>
              <w:keepNext/>
              <w:keepLines/>
              <w:numPr>
                <w:ilvl w:val="12"/>
                <w:numId w:val="0"/>
              </w:numPr>
              <w:rPr>
                <w:rFonts w:ascii="Arial Narrow" w:hAnsi="Arial Narrow"/>
                <w:sz w:val="18"/>
                <w:szCs w:val="18"/>
              </w:rPr>
            </w:pPr>
            <w:r w:rsidRPr="00E20033">
              <w:rPr>
                <w:rFonts w:ascii="Arial Narrow" w:hAnsi="Arial Narrow"/>
                <w:sz w:val="18"/>
                <w:szCs w:val="18"/>
              </w:rPr>
              <w:t>Form 1099-R</w:t>
            </w:r>
          </w:p>
        </w:tc>
        <w:tc>
          <w:tcPr>
            <w:tcW w:w="1980" w:type="dxa"/>
            <w:shd w:val="clear" w:color="auto" w:fill="auto"/>
            <w:vAlign w:val="bottom"/>
          </w:tcPr>
          <w:p w:rsidR="008344A9" w:rsidRPr="00E20033" w:rsidRDefault="008344A9" w:rsidP="008344A9">
            <w:pPr>
              <w:keepNext/>
              <w:keepLines/>
              <w:jc w:val="center"/>
              <w:rPr>
                <w:rFonts w:ascii="Arial Narrow" w:hAnsi="Arial Narrow"/>
                <w:sz w:val="18"/>
                <w:szCs w:val="18"/>
              </w:rPr>
            </w:pPr>
            <w:r w:rsidRPr="009B6BE6">
              <w:rPr>
                <w:rFonts w:ascii="Arial Narrow" w:hAnsi="Arial Narrow"/>
                <w:sz w:val="18"/>
                <w:szCs w:val="18"/>
              </w:rPr>
              <w:t xml:space="preserve"> $    16,783 </w:t>
            </w:r>
          </w:p>
        </w:tc>
        <w:tc>
          <w:tcPr>
            <w:tcW w:w="303" w:type="dxa"/>
            <w:shd w:val="clear" w:color="auto" w:fill="auto"/>
          </w:tcPr>
          <w:p w:rsidR="008344A9" w:rsidRPr="00E20033" w:rsidRDefault="008344A9" w:rsidP="008344A9">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8344A9" w:rsidRPr="00E20033" w:rsidRDefault="008344A9" w:rsidP="008344A9">
            <w:pPr>
              <w:keepNext/>
              <w:keepLines/>
              <w:jc w:val="center"/>
              <w:rPr>
                <w:rFonts w:ascii="Arial Narrow" w:hAnsi="Arial Narrow"/>
                <w:sz w:val="18"/>
                <w:szCs w:val="18"/>
              </w:rPr>
            </w:pPr>
          </w:p>
        </w:tc>
        <w:tc>
          <w:tcPr>
            <w:tcW w:w="387" w:type="dxa"/>
            <w:shd w:val="clear" w:color="auto" w:fill="auto"/>
          </w:tcPr>
          <w:p w:rsidR="008344A9" w:rsidRPr="00E20033" w:rsidRDefault="008344A9" w:rsidP="008344A9">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vAlign w:val="bottom"/>
          </w:tcPr>
          <w:p w:rsidR="008344A9" w:rsidRPr="00E20033" w:rsidRDefault="008344A9" w:rsidP="008344A9">
            <w:pPr>
              <w:keepNext/>
              <w:keepLines/>
              <w:jc w:val="center"/>
              <w:rPr>
                <w:rFonts w:ascii="Arial Narrow" w:hAnsi="Arial Narrow"/>
                <w:sz w:val="18"/>
                <w:szCs w:val="18"/>
              </w:rPr>
            </w:pPr>
            <w:r w:rsidRPr="00B56C37">
              <w:rPr>
                <w:rFonts w:ascii="Arial Narrow" w:hAnsi="Arial Narrow"/>
                <w:sz w:val="18"/>
                <w:szCs w:val="18"/>
              </w:rPr>
              <w:t xml:space="preserve"> $    16,783 </w:t>
            </w:r>
          </w:p>
        </w:tc>
      </w:tr>
      <w:tr w:rsidR="008344A9" w:rsidRPr="008E4D11" w:rsidTr="00B56C37">
        <w:tc>
          <w:tcPr>
            <w:tcW w:w="2358" w:type="dxa"/>
            <w:shd w:val="clear" w:color="auto" w:fill="auto"/>
            <w:vAlign w:val="bottom"/>
          </w:tcPr>
          <w:p w:rsidR="008344A9" w:rsidRPr="00E20033" w:rsidRDefault="008344A9" w:rsidP="008344A9">
            <w:pPr>
              <w:keepNext/>
              <w:keepLines/>
              <w:numPr>
                <w:ilvl w:val="12"/>
                <w:numId w:val="0"/>
              </w:numPr>
              <w:rPr>
                <w:rFonts w:ascii="Arial Narrow" w:hAnsi="Arial Narrow"/>
                <w:sz w:val="18"/>
                <w:szCs w:val="18"/>
              </w:rPr>
            </w:pPr>
            <w:r w:rsidRPr="00E20033">
              <w:rPr>
                <w:rFonts w:ascii="Arial Narrow" w:hAnsi="Arial Narrow"/>
                <w:sz w:val="18"/>
                <w:szCs w:val="18"/>
              </w:rPr>
              <w:t>Form 1099-R and F5498 Instructions</w:t>
            </w:r>
          </w:p>
        </w:tc>
        <w:tc>
          <w:tcPr>
            <w:tcW w:w="1980" w:type="dxa"/>
            <w:shd w:val="clear" w:color="auto" w:fill="auto"/>
            <w:vAlign w:val="bottom"/>
          </w:tcPr>
          <w:p w:rsidR="008344A9" w:rsidRPr="00E20033" w:rsidRDefault="008344A9" w:rsidP="008344A9">
            <w:pPr>
              <w:keepNext/>
              <w:keepLines/>
              <w:jc w:val="center"/>
              <w:rPr>
                <w:rFonts w:ascii="Arial Narrow" w:hAnsi="Arial Narrow"/>
                <w:sz w:val="18"/>
                <w:szCs w:val="18"/>
              </w:rPr>
            </w:pPr>
            <w:r w:rsidRPr="009B6BE6">
              <w:rPr>
                <w:rFonts w:ascii="Arial Narrow" w:hAnsi="Arial Narrow"/>
                <w:sz w:val="18"/>
                <w:szCs w:val="18"/>
              </w:rPr>
              <w:t xml:space="preserve"> $      2,979 </w:t>
            </w:r>
          </w:p>
        </w:tc>
        <w:tc>
          <w:tcPr>
            <w:tcW w:w="303" w:type="dxa"/>
            <w:shd w:val="clear" w:color="auto" w:fill="auto"/>
          </w:tcPr>
          <w:p w:rsidR="008344A9" w:rsidRPr="00E20033" w:rsidRDefault="008344A9" w:rsidP="008344A9">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8344A9" w:rsidRPr="00E20033" w:rsidRDefault="008344A9" w:rsidP="008344A9">
            <w:pPr>
              <w:keepNext/>
              <w:keepLines/>
              <w:jc w:val="center"/>
              <w:rPr>
                <w:rFonts w:ascii="Arial Narrow" w:hAnsi="Arial Narrow"/>
                <w:sz w:val="18"/>
                <w:szCs w:val="18"/>
              </w:rPr>
            </w:pPr>
          </w:p>
        </w:tc>
        <w:tc>
          <w:tcPr>
            <w:tcW w:w="387" w:type="dxa"/>
            <w:shd w:val="clear" w:color="auto" w:fill="auto"/>
          </w:tcPr>
          <w:p w:rsidR="008344A9" w:rsidRPr="00E20033" w:rsidRDefault="008344A9" w:rsidP="008344A9">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vAlign w:val="bottom"/>
          </w:tcPr>
          <w:p w:rsidR="008344A9" w:rsidRPr="00E20033" w:rsidRDefault="008344A9" w:rsidP="008344A9">
            <w:pPr>
              <w:keepNext/>
              <w:keepLines/>
              <w:jc w:val="center"/>
              <w:rPr>
                <w:rFonts w:ascii="Arial Narrow" w:hAnsi="Arial Narrow"/>
                <w:sz w:val="18"/>
                <w:szCs w:val="18"/>
              </w:rPr>
            </w:pPr>
            <w:r w:rsidRPr="00B56C37">
              <w:rPr>
                <w:rFonts w:ascii="Arial Narrow" w:hAnsi="Arial Narrow"/>
                <w:sz w:val="18"/>
                <w:szCs w:val="18"/>
              </w:rPr>
              <w:t xml:space="preserve"> $      2,979 </w:t>
            </w:r>
          </w:p>
        </w:tc>
      </w:tr>
      <w:tr w:rsidR="008344A9" w:rsidRPr="00062DB4" w:rsidTr="008344A9">
        <w:tc>
          <w:tcPr>
            <w:tcW w:w="2358" w:type="dxa"/>
            <w:shd w:val="clear" w:color="auto" w:fill="auto"/>
          </w:tcPr>
          <w:p w:rsidR="008344A9" w:rsidRPr="00E20033" w:rsidRDefault="008344A9" w:rsidP="008344A9">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8344A9" w:rsidRPr="00E20033" w:rsidRDefault="008344A9" w:rsidP="008344A9">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$19,762.00</w:t>
            </w:r>
            <w:r>
              <w:rPr>
                <w:rFonts w:ascii="Arial Narrow" w:hAnsi="Arial Narrow"/>
                <w:b/>
                <w:sz w:val="18"/>
                <w:szCs w:val="18"/>
              </w:rPr>
              <w:fldChar w:fldCharType="end"/>
            </w:r>
          </w:p>
        </w:tc>
        <w:tc>
          <w:tcPr>
            <w:tcW w:w="303" w:type="dxa"/>
            <w:shd w:val="clear" w:color="auto" w:fill="auto"/>
          </w:tcPr>
          <w:p w:rsidR="008344A9" w:rsidRPr="00E20033" w:rsidRDefault="008344A9" w:rsidP="008344A9">
            <w:pPr>
              <w:keepNext/>
              <w:keepLines/>
              <w:jc w:val="center"/>
              <w:rPr>
                <w:rFonts w:ascii="Arial Narrow" w:hAnsi="Arial Narrow"/>
                <w:b/>
                <w:sz w:val="18"/>
                <w:szCs w:val="18"/>
              </w:rPr>
            </w:pPr>
          </w:p>
        </w:tc>
        <w:tc>
          <w:tcPr>
            <w:tcW w:w="1745" w:type="dxa"/>
            <w:shd w:val="clear" w:color="auto" w:fill="auto"/>
          </w:tcPr>
          <w:p w:rsidR="008344A9" w:rsidRPr="00E20033" w:rsidRDefault="008344A9" w:rsidP="008344A9">
            <w:pPr>
              <w:keepNext/>
              <w:keepLines/>
              <w:jc w:val="center"/>
              <w:rPr>
                <w:rFonts w:ascii="Arial Narrow" w:hAnsi="Arial Narrow"/>
                <w:b/>
                <w:sz w:val="18"/>
                <w:szCs w:val="18"/>
              </w:rPr>
            </w:pPr>
          </w:p>
        </w:tc>
        <w:tc>
          <w:tcPr>
            <w:tcW w:w="387" w:type="dxa"/>
            <w:shd w:val="clear" w:color="auto" w:fill="auto"/>
          </w:tcPr>
          <w:p w:rsidR="008344A9" w:rsidRPr="00E20033" w:rsidRDefault="008344A9" w:rsidP="008344A9">
            <w:pPr>
              <w:keepNext/>
              <w:keepLines/>
              <w:jc w:val="center"/>
              <w:rPr>
                <w:rFonts w:ascii="Arial Narrow" w:hAnsi="Arial Narrow"/>
                <w:b/>
                <w:sz w:val="18"/>
                <w:szCs w:val="18"/>
              </w:rPr>
            </w:pPr>
          </w:p>
        </w:tc>
        <w:tc>
          <w:tcPr>
            <w:tcW w:w="1582" w:type="dxa"/>
            <w:shd w:val="clear" w:color="auto" w:fill="auto"/>
          </w:tcPr>
          <w:p w:rsidR="008344A9" w:rsidRPr="00E20033" w:rsidRDefault="008344A9" w:rsidP="008344A9">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$19,762.00</w:t>
            </w:r>
            <w:r>
              <w:rPr>
                <w:rFonts w:ascii="Arial Narrow" w:hAnsi="Arial Narrow"/>
                <w:b/>
                <w:sz w:val="18"/>
                <w:szCs w:val="18"/>
              </w:rPr>
              <w:fldChar w:fldCharType="end"/>
            </w:r>
          </w:p>
        </w:tc>
      </w:tr>
      <w:tr w:rsidR="008344A9" w:rsidRPr="0055550C" w:rsidTr="008344A9">
        <w:tc>
          <w:tcPr>
            <w:tcW w:w="8355" w:type="dxa"/>
            <w:gridSpan w:val="6"/>
            <w:shd w:val="clear" w:color="auto" w:fill="auto"/>
          </w:tcPr>
          <w:p w:rsidR="008344A9" w:rsidRPr="00E20033" w:rsidRDefault="008344A9" w:rsidP="008344A9">
            <w:pPr>
              <w:keepNext/>
              <w:keepLines/>
              <w:rPr>
                <w:rFonts w:ascii="Arial Narrow" w:hAnsi="Arial Narrow"/>
                <w:sz w:val="18"/>
                <w:szCs w:val="18"/>
              </w:rPr>
            </w:pPr>
            <w:r w:rsidRPr="00E20033">
              <w:rPr>
                <w:rFonts w:ascii="Arial Narrow" w:hAnsi="Arial Narrow"/>
                <w:sz w:val="18"/>
                <w:szCs w:val="18"/>
              </w:rPr>
              <w:t>Table costs are based on 2016 actuals obtained from IRS Chief Financial Office and Media and Publications</w:t>
            </w:r>
          </w:p>
        </w:tc>
      </w:tr>
      <w:tr w:rsidR="008344A9" w:rsidRPr="0055550C" w:rsidTr="008344A9">
        <w:tc>
          <w:tcPr>
            <w:tcW w:w="8355" w:type="dxa"/>
            <w:gridSpan w:val="6"/>
            <w:shd w:val="clear" w:color="auto" w:fill="auto"/>
          </w:tcPr>
          <w:p w:rsidR="008344A9" w:rsidRPr="00E20033" w:rsidRDefault="008344A9" w:rsidP="008344A9">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8344A9" w:rsidRDefault="008344A9" w:rsidP="008344A9">
      <w:pPr>
        <w:rPr>
          <w:rFonts w:asciiTheme="minorHAnsi" w:hAnsiTheme="minorHAnsi"/>
          <w:sz w:val="22"/>
          <w:szCs w:val="22"/>
        </w:rPr>
      </w:pPr>
    </w:p>
    <w:bookmarkEnd w:id="2"/>
    <w:p w:rsidR="008344A9" w:rsidRPr="00F40225" w:rsidRDefault="008344A9">
      <w:pPr>
        <w:ind w:left="720"/>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15.</w:t>
      </w:r>
      <w:r w:rsidRPr="00F40225">
        <w:rPr>
          <w:rFonts w:ascii="Arial" w:hAnsi="Arial" w:cs="Arial"/>
          <w:bCs/>
          <w:sz w:val="22"/>
          <w:szCs w:val="22"/>
        </w:rPr>
        <w:tab/>
      </w:r>
      <w:r w:rsidRPr="00F40225">
        <w:rPr>
          <w:rFonts w:ascii="Arial" w:hAnsi="Arial" w:cs="Arial"/>
          <w:bCs/>
          <w:sz w:val="22"/>
          <w:szCs w:val="22"/>
          <w:u w:val="single"/>
        </w:rPr>
        <w:t>REASONS FOR CHANGE IN BURDEN</w:t>
      </w:r>
    </w:p>
    <w:p w:rsidR="00A203D8" w:rsidRPr="00F40225" w:rsidRDefault="00A203D8">
      <w:pPr>
        <w:rPr>
          <w:rFonts w:ascii="Arial" w:hAnsi="Arial" w:cs="Arial"/>
          <w:bCs/>
          <w:sz w:val="22"/>
          <w:szCs w:val="22"/>
        </w:rPr>
      </w:pPr>
    </w:p>
    <w:p w:rsidR="00290B75" w:rsidRPr="00925B66" w:rsidRDefault="00290B75" w:rsidP="00290B75">
      <w:pPr>
        <w:ind w:left="720"/>
        <w:rPr>
          <w:rFonts w:ascii="Arial" w:hAnsi="Arial" w:cs="Arial"/>
        </w:rPr>
      </w:pPr>
      <w:r w:rsidRPr="00925B66">
        <w:rPr>
          <w:rFonts w:ascii="Arial" w:hAnsi="Arial" w:cs="Arial"/>
        </w:rPr>
        <w:t xml:space="preserve">There are no changes to the forms or burden hours previously approved by OMB.  We are making this submission for renewal purposes.  </w:t>
      </w:r>
    </w:p>
    <w:p w:rsidR="00290B75" w:rsidRDefault="00290B75" w:rsidP="00514E7C">
      <w:pPr>
        <w:ind w:left="720"/>
        <w:rPr>
          <w:rFonts w:ascii="Arial" w:hAnsi="Arial" w:cs="Arial"/>
          <w:bCs/>
          <w:sz w:val="22"/>
          <w:szCs w:val="22"/>
        </w:rPr>
      </w:pPr>
    </w:p>
    <w:tbl>
      <w:tblPr>
        <w:tblW w:w="5423"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500"/>
        <w:gridCol w:w="1314"/>
        <w:gridCol w:w="1316"/>
        <w:gridCol w:w="1316"/>
        <w:gridCol w:w="1316"/>
        <w:gridCol w:w="1316"/>
        <w:gridCol w:w="2106"/>
      </w:tblGrid>
      <w:tr w:rsidR="00290B75" w:rsidRPr="00290B75" w:rsidTr="00B56C37">
        <w:tc>
          <w:tcPr>
            <w:tcW w:w="737" w:type="pct"/>
            <w:tcBorders>
              <w:top w:val="outset" w:sz="6" w:space="0" w:color="auto"/>
              <w:left w:val="outset" w:sz="6" w:space="0" w:color="auto"/>
              <w:bottom w:val="outset" w:sz="6" w:space="0" w:color="auto"/>
              <w:right w:val="outset" w:sz="6" w:space="0" w:color="auto"/>
            </w:tcBorders>
            <w:vAlign w:val="center"/>
            <w:hideMark/>
          </w:tcPr>
          <w:p w:rsidR="00290B75" w:rsidRPr="00B765D0" w:rsidRDefault="00290B75" w:rsidP="00290B75">
            <w:pPr>
              <w:widowControl/>
              <w:autoSpaceDE/>
              <w:autoSpaceDN/>
              <w:adjustRightInd/>
              <w:jc w:val="center"/>
              <w:rPr>
                <w:rFonts w:ascii="Calibri" w:hAnsi="Calibri" w:cs="Arial"/>
                <w:b/>
                <w:bCs/>
                <w:color w:val="000000"/>
                <w:sz w:val="20"/>
                <w:szCs w:val="20"/>
              </w:rPr>
            </w:pPr>
            <w:r w:rsidRPr="00B765D0">
              <w:rPr>
                <w:rFonts w:ascii="Calibri" w:hAnsi="Calibri" w:cs="Arial"/>
                <w:b/>
                <w:bCs/>
                <w:color w:val="000000"/>
                <w:sz w:val="20"/>
                <w:szCs w:val="20"/>
              </w:rPr>
              <w:t> </w:t>
            </w:r>
          </w:p>
        </w:tc>
        <w:tc>
          <w:tcPr>
            <w:tcW w:w="645" w:type="pct"/>
            <w:tcBorders>
              <w:top w:val="outset" w:sz="6" w:space="0" w:color="auto"/>
              <w:left w:val="outset" w:sz="6" w:space="0" w:color="auto"/>
              <w:bottom w:val="outset" w:sz="6" w:space="0" w:color="auto"/>
              <w:right w:val="outset" w:sz="6" w:space="0" w:color="auto"/>
            </w:tcBorders>
            <w:vAlign w:val="center"/>
            <w:hideMark/>
          </w:tcPr>
          <w:p w:rsidR="00290B75" w:rsidRPr="00B765D0" w:rsidRDefault="00290B75" w:rsidP="00290B75">
            <w:pPr>
              <w:widowControl/>
              <w:autoSpaceDE/>
              <w:autoSpaceDN/>
              <w:adjustRightInd/>
              <w:jc w:val="center"/>
              <w:rPr>
                <w:rFonts w:ascii="Calibri" w:hAnsi="Calibri" w:cs="Arial"/>
                <w:b/>
                <w:bCs/>
                <w:color w:val="000000"/>
                <w:sz w:val="18"/>
                <w:szCs w:val="18"/>
              </w:rPr>
            </w:pPr>
            <w:r w:rsidRPr="00B765D0">
              <w:rPr>
                <w:rFonts w:ascii="Calibri" w:hAnsi="Calibri" w:cs="Arial"/>
                <w:b/>
                <w:bCs/>
                <w:color w:val="000000"/>
                <w:sz w:val="18"/>
                <w:szCs w:val="18"/>
              </w:rPr>
              <w:t>Requested</w:t>
            </w:r>
          </w:p>
        </w:tc>
        <w:tc>
          <w:tcPr>
            <w:tcW w:w="646" w:type="pct"/>
            <w:tcBorders>
              <w:top w:val="outset" w:sz="6" w:space="0" w:color="auto"/>
              <w:left w:val="outset" w:sz="6" w:space="0" w:color="auto"/>
              <w:bottom w:val="outset" w:sz="6" w:space="0" w:color="auto"/>
              <w:right w:val="outset" w:sz="6" w:space="0" w:color="auto"/>
            </w:tcBorders>
            <w:vAlign w:val="center"/>
            <w:hideMark/>
          </w:tcPr>
          <w:p w:rsidR="00290B75" w:rsidRPr="00B765D0" w:rsidRDefault="00290B75" w:rsidP="00290B75">
            <w:pPr>
              <w:widowControl/>
              <w:autoSpaceDE/>
              <w:autoSpaceDN/>
              <w:adjustRightInd/>
              <w:jc w:val="center"/>
              <w:rPr>
                <w:rFonts w:ascii="Calibri" w:hAnsi="Calibri" w:cs="Arial"/>
                <w:b/>
                <w:bCs/>
                <w:color w:val="000000"/>
                <w:sz w:val="18"/>
                <w:szCs w:val="18"/>
              </w:rPr>
            </w:pPr>
            <w:r w:rsidRPr="00B765D0">
              <w:rPr>
                <w:rFonts w:ascii="Calibri" w:hAnsi="Calibri" w:cs="Arial"/>
                <w:b/>
                <w:bCs/>
                <w:color w:val="000000"/>
                <w:sz w:val="18"/>
                <w:szCs w:val="18"/>
              </w:rPr>
              <w:t>Program Change Due to New Statute</w:t>
            </w:r>
          </w:p>
        </w:tc>
        <w:tc>
          <w:tcPr>
            <w:tcW w:w="646" w:type="pct"/>
            <w:tcBorders>
              <w:top w:val="outset" w:sz="6" w:space="0" w:color="auto"/>
              <w:left w:val="outset" w:sz="6" w:space="0" w:color="auto"/>
              <w:bottom w:val="outset" w:sz="6" w:space="0" w:color="auto"/>
              <w:right w:val="outset" w:sz="6" w:space="0" w:color="auto"/>
            </w:tcBorders>
            <w:vAlign w:val="center"/>
            <w:hideMark/>
          </w:tcPr>
          <w:p w:rsidR="00290B75" w:rsidRPr="00B765D0" w:rsidRDefault="00290B75" w:rsidP="00290B75">
            <w:pPr>
              <w:widowControl/>
              <w:autoSpaceDE/>
              <w:autoSpaceDN/>
              <w:adjustRightInd/>
              <w:jc w:val="center"/>
              <w:rPr>
                <w:rFonts w:ascii="Calibri" w:hAnsi="Calibri" w:cs="Arial"/>
                <w:b/>
                <w:bCs/>
                <w:color w:val="000000"/>
                <w:sz w:val="18"/>
                <w:szCs w:val="18"/>
              </w:rPr>
            </w:pPr>
            <w:r w:rsidRPr="00B765D0">
              <w:rPr>
                <w:rFonts w:ascii="Calibri" w:hAnsi="Calibri" w:cs="Arial"/>
                <w:b/>
                <w:bCs/>
                <w:color w:val="000000"/>
                <w:sz w:val="18"/>
                <w:szCs w:val="18"/>
              </w:rPr>
              <w:t>Program Change Due to Agency Discretion</w:t>
            </w:r>
          </w:p>
        </w:tc>
        <w:tc>
          <w:tcPr>
            <w:tcW w:w="646" w:type="pct"/>
            <w:tcBorders>
              <w:top w:val="outset" w:sz="6" w:space="0" w:color="auto"/>
              <w:left w:val="outset" w:sz="6" w:space="0" w:color="auto"/>
              <w:bottom w:val="outset" w:sz="6" w:space="0" w:color="auto"/>
              <w:right w:val="outset" w:sz="6" w:space="0" w:color="auto"/>
            </w:tcBorders>
            <w:vAlign w:val="center"/>
            <w:hideMark/>
          </w:tcPr>
          <w:p w:rsidR="00290B75" w:rsidRPr="00B765D0" w:rsidRDefault="00290B75" w:rsidP="00290B75">
            <w:pPr>
              <w:widowControl/>
              <w:autoSpaceDE/>
              <w:autoSpaceDN/>
              <w:adjustRightInd/>
              <w:jc w:val="center"/>
              <w:rPr>
                <w:rFonts w:ascii="Calibri" w:hAnsi="Calibri" w:cs="Arial"/>
                <w:b/>
                <w:bCs/>
                <w:color w:val="000000"/>
                <w:sz w:val="18"/>
                <w:szCs w:val="18"/>
              </w:rPr>
            </w:pPr>
            <w:r w:rsidRPr="00B765D0">
              <w:rPr>
                <w:rFonts w:ascii="Calibri" w:hAnsi="Calibri" w:cs="Arial"/>
                <w:b/>
                <w:bCs/>
                <w:color w:val="000000"/>
                <w:sz w:val="18"/>
                <w:szCs w:val="18"/>
              </w:rPr>
              <w:t>Change Due to Adjustment in Agency Estimate</w:t>
            </w:r>
          </w:p>
        </w:tc>
        <w:tc>
          <w:tcPr>
            <w:tcW w:w="646" w:type="pct"/>
            <w:tcBorders>
              <w:top w:val="outset" w:sz="6" w:space="0" w:color="auto"/>
              <w:left w:val="outset" w:sz="6" w:space="0" w:color="auto"/>
              <w:bottom w:val="outset" w:sz="6" w:space="0" w:color="auto"/>
              <w:right w:val="outset" w:sz="6" w:space="0" w:color="auto"/>
            </w:tcBorders>
            <w:vAlign w:val="center"/>
            <w:hideMark/>
          </w:tcPr>
          <w:p w:rsidR="00290B75" w:rsidRPr="00B765D0" w:rsidRDefault="00290B75" w:rsidP="00290B75">
            <w:pPr>
              <w:widowControl/>
              <w:autoSpaceDE/>
              <w:autoSpaceDN/>
              <w:adjustRightInd/>
              <w:jc w:val="center"/>
              <w:rPr>
                <w:rFonts w:ascii="Calibri" w:hAnsi="Calibri" w:cs="Arial"/>
                <w:b/>
                <w:bCs/>
                <w:color w:val="000000"/>
                <w:sz w:val="18"/>
                <w:szCs w:val="18"/>
              </w:rPr>
            </w:pPr>
            <w:r w:rsidRPr="00B765D0">
              <w:rPr>
                <w:rFonts w:ascii="Calibri" w:hAnsi="Calibri" w:cs="Arial"/>
                <w:b/>
                <w:bCs/>
                <w:color w:val="000000"/>
                <w:sz w:val="18"/>
                <w:szCs w:val="18"/>
              </w:rPr>
              <w:t>Change Due to Potential Violation of the PRA</w:t>
            </w:r>
          </w:p>
        </w:tc>
        <w:tc>
          <w:tcPr>
            <w:tcW w:w="1034" w:type="pct"/>
            <w:tcBorders>
              <w:top w:val="outset" w:sz="6" w:space="0" w:color="auto"/>
              <w:left w:val="outset" w:sz="6" w:space="0" w:color="auto"/>
              <w:bottom w:val="outset" w:sz="6" w:space="0" w:color="auto"/>
              <w:right w:val="outset" w:sz="6" w:space="0" w:color="auto"/>
            </w:tcBorders>
            <w:vAlign w:val="center"/>
            <w:hideMark/>
          </w:tcPr>
          <w:p w:rsidR="00290B75" w:rsidRPr="00B765D0" w:rsidRDefault="00290B75" w:rsidP="00290B75">
            <w:pPr>
              <w:widowControl/>
              <w:autoSpaceDE/>
              <w:autoSpaceDN/>
              <w:adjustRightInd/>
              <w:jc w:val="center"/>
              <w:rPr>
                <w:rFonts w:ascii="Calibri" w:hAnsi="Calibri" w:cs="Arial"/>
                <w:b/>
                <w:bCs/>
                <w:color w:val="000000"/>
                <w:sz w:val="18"/>
                <w:szCs w:val="18"/>
              </w:rPr>
            </w:pPr>
            <w:r w:rsidRPr="00B765D0">
              <w:rPr>
                <w:rFonts w:ascii="Calibri" w:hAnsi="Calibri" w:cs="Arial"/>
                <w:b/>
                <w:bCs/>
                <w:color w:val="000000"/>
                <w:sz w:val="18"/>
                <w:szCs w:val="18"/>
              </w:rPr>
              <w:t>Previously Approved</w:t>
            </w:r>
          </w:p>
        </w:tc>
      </w:tr>
      <w:tr w:rsidR="00290B75" w:rsidRPr="00290B75" w:rsidTr="00290B75">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16"/>
                <w:szCs w:val="16"/>
              </w:rPr>
            </w:pPr>
            <w:r w:rsidRPr="00B765D0">
              <w:rPr>
                <w:rFonts w:ascii="Calibri" w:hAnsi="Calibri" w:cs="Arial"/>
                <w:color w:val="000000"/>
                <w:sz w:val="16"/>
                <w:szCs w:val="16"/>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23</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1034" w:type="pct"/>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23</w:t>
            </w:r>
          </w:p>
        </w:tc>
      </w:tr>
      <w:tr w:rsidR="00290B75" w:rsidRPr="00290B75" w:rsidTr="00290B75">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16"/>
                <w:szCs w:val="16"/>
              </w:rPr>
            </w:pPr>
            <w:r w:rsidRPr="00B765D0">
              <w:rPr>
                <w:rFonts w:ascii="Calibri" w:hAnsi="Calibri" w:cs="Arial"/>
                <w:color w:val="000000"/>
                <w:sz w:val="16"/>
                <w:szCs w:val="16"/>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764</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0" w:type="auto"/>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0</w:t>
            </w:r>
          </w:p>
        </w:tc>
        <w:tc>
          <w:tcPr>
            <w:tcW w:w="1034" w:type="pct"/>
            <w:tcBorders>
              <w:top w:val="outset" w:sz="6" w:space="0" w:color="auto"/>
              <w:left w:val="outset" w:sz="6" w:space="0" w:color="auto"/>
              <w:bottom w:val="outset" w:sz="6" w:space="0" w:color="auto"/>
              <w:right w:val="outset" w:sz="6" w:space="0" w:color="auto"/>
            </w:tcBorders>
            <w:hideMark/>
          </w:tcPr>
          <w:p w:rsidR="00290B75" w:rsidRPr="00B765D0" w:rsidRDefault="00290B75" w:rsidP="00290B75">
            <w:pPr>
              <w:widowControl/>
              <w:autoSpaceDE/>
              <w:autoSpaceDN/>
              <w:adjustRightInd/>
              <w:rPr>
                <w:rFonts w:ascii="Calibri" w:hAnsi="Calibri" w:cs="Arial"/>
                <w:color w:val="000000"/>
                <w:sz w:val="20"/>
                <w:szCs w:val="20"/>
              </w:rPr>
            </w:pPr>
            <w:r w:rsidRPr="00B765D0">
              <w:rPr>
                <w:rFonts w:ascii="Calibri" w:hAnsi="Calibri" w:cs="Arial"/>
                <w:color w:val="000000"/>
                <w:sz w:val="20"/>
                <w:szCs w:val="20"/>
              </w:rPr>
              <w:t>  764</w:t>
            </w:r>
          </w:p>
        </w:tc>
      </w:tr>
    </w:tbl>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16.</w:t>
      </w:r>
      <w:r w:rsidRPr="00F40225">
        <w:rPr>
          <w:rFonts w:ascii="Arial" w:hAnsi="Arial" w:cs="Arial"/>
          <w:bCs/>
          <w:sz w:val="22"/>
          <w:szCs w:val="22"/>
        </w:rPr>
        <w:tab/>
      </w:r>
      <w:r w:rsidRPr="00F40225">
        <w:rPr>
          <w:rFonts w:ascii="Arial" w:hAnsi="Arial" w:cs="Arial"/>
          <w:bCs/>
          <w:sz w:val="22"/>
          <w:szCs w:val="22"/>
          <w:u w:val="single"/>
        </w:rPr>
        <w:t>PLANS FOR TABULATION, STATISTICAL ANALYSIS AND PUBLICATION</w:t>
      </w:r>
    </w:p>
    <w:p w:rsidR="00A203D8" w:rsidRPr="00F40225" w:rsidRDefault="00A203D8">
      <w:pPr>
        <w:rPr>
          <w:rFonts w:ascii="Arial" w:hAnsi="Arial" w:cs="Arial"/>
          <w:bCs/>
          <w:sz w:val="22"/>
          <w:szCs w:val="22"/>
        </w:rPr>
      </w:pPr>
    </w:p>
    <w:p w:rsidR="00A203D8" w:rsidRPr="005F2428" w:rsidRDefault="005F2428">
      <w:pPr>
        <w:ind w:left="720"/>
        <w:rPr>
          <w:rFonts w:ascii="Arial" w:hAnsi="Arial" w:cs="Arial"/>
          <w:bCs/>
          <w:sz w:val="22"/>
          <w:szCs w:val="22"/>
        </w:rPr>
      </w:pPr>
      <w:r w:rsidRPr="005F2428">
        <w:rPr>
          <w:rFonts w:ascii="Arial" w:hAnsi="Arial" w:cs="Arial"/>
        </w:rPr>
        <w:t>There are no plans for tabulation, statistical analysis and</w:t>
      </w:r>
      <w:r>
        <w:rPr>
          <w:rFonts w:ascii="Arial" w:hAnsi="Arial" w:cs="Arial"/>
        </w:rPr>
        <w:t xml:space="preserve"> </w:t>
      </w:r>
      <w:r w:rsidRPr="005F2428">
        <w:rPr>
          <w:rFonts w:ascii="Arial" w:hAnsi="Arial" w:cs="Arial"/>
        </w:rPr>
        <w:t>publication.</w:t>
      </w: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17.</w:t>
      </w:r>
      <w:r w:rsidRPr="00F40225">
        <w:rPr>
          <w:rFonts w:ascii="Arial" w:hAnsi="Arial" w:cs="Arial"/>
          <w:bCs/>
          <w:sz w:val="22"/>
          <w:szCs w:val="22"/>
        </w:rPr>
        <w:tab/>
      </w:r>
      <w:r w:rsidRPr="00F40225">
        <w:rPr>
          <w:rFonts w:ascii="Arial" w:hAnsi="Arial" w:cs="Arial"/>
          <w:bCs/>
          <w:sz w:val="22"/>
          <w:szCs w:val="22"/>
          <w:u w:val="single"/>
        </w:rPr>
        <w:t>REASONS WHY DISPLAYING THE OMB EXPIRATION DATE IS</w:t>
      </w:r>
      <w:r w:rsidRPr="00007DC9">
        <w:rPr>
          <w:rFonts w:ascii="Arial" w:hAnsi="Arial" w:cs="Arial"/>
          <w:bCs/>
          <w:sz w:val="22"/>
          <w:szCs w:val="22"/>
          <w:u w:val="single"/>
        </w:rPr>
        <w:t xml:space="preserve"> </w:t>
      </w:r>
      <w:r w:rsidRPr="00F40225">
        <w:rPr>
          <w:rFonts w:ascii="Arial" w:hAnsi="Arial" w:cs="Arial"/>
          <w:bCs/>
          <w:sz w:val="22"/>
          <w:szCs w:val="22"/>
          <w:u w:val="single"/>
        </w:rPr>
        <w:t>INAPPROPRIATE</w:t>
      </w:r>
    </w:p>
    <w:p w:rsidR="00A203D8" w:rsidRPr="00F40225" w:rsidRDefault="00A203D8">
      <w:pPr>
        <w:rPr>
          <w:rFonts w:ascii="Arial" w:hAnsi="Arial" w:cs="Arial"/>
          <w:bCs/>
          <w:sz w:val="22"/>
          <w:szCs w:val="22"/>
        </w:rPr>
      </w:pPr>
    </w:p>
    <w:p w:rsidR="005F2428" w:rsidRPr="005F2428" w:rsidRDefault="005F2428" w:rsidP="005F2428">
      <w:pPr>
        <w:ind w:left="720"/>
        <w:rPr>
          <w:rFonts w:ascii="Arial" w:hAnsi="Arial" w:cs="Arial"/>
          <w:bCs/>
        </w:rPr>
      </w:pPr>
      <w:r w:rsidRPr="005F2428">
        <w:rPr>
          <w:rFonts w:ascii="Arial" w:hAnsi="Arial" w:cs="Arial"/>
        </w:rPr>
        <w:t>IRS believes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A203D8" w:rsidRPr="00F40225" w:rsidRDefault="00A203D8">
      <w:pPr>
        <w:ind w:left="720"/>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tabs>
          <w:tab w:val="left" w:pos="-1440"/>
        </w:tabs>
        <w:ind w:left="720" w:hanging="720"/>
        <w:rPr>
          <w:rFonts w:ascii="Arial" w:hAnsi="Arial" w:cs="Arial"/>
          <w:bCs/>
          <w:sz w:val="22"/>
          <w:szCs w:val="22"/>
        </w:rPr>
      </w:pPr>
      <w:r w:rsidRPr="00F40225">
        <w:rPr>
          <w:rFonts w:ascii="Arial" w:hAnsi="Arial" w:cs="Arial"/>
          <w:bCs/>
          <w:sz w:val="22"/>
          <w:szCs w:val="22"/>
        </w:rPr>
        <w:t>18.</w:t>
      </w:r>
      <w:r w:rsidRPr="00F40225">
        <w:rPr>
          <w:rFonts w:ascii="Arial" w:hAnsi="Arial" w:cs="Arial"/>
          <w:bCs/>
          <w:sz w:val="22"/>
          <w:szCs w:val="22"/>
        </w:rPr>
        <w:tab/>
      </w:r>
      <w:r w:rsidRPr="00F40225">
        <w:rPr>
          <w:rFonts w:ascii="Arial" w:hAnsi="Arial" w:cs="Arial"/>
          <w:bCs/>
          <w:sz w:val="22"/>
          <w:szCs w:val="22"/>
          <w:u w:val="single"/>
        </w:rPr>
        <w:t xml:space="preserve">EXCEPTIONS TO THE CERTIFICATION STATEMENT </w:t>
      </w:r>
    </w:p>
    <w:p w:rsidR="00A203D8" w:rsidRPr="00F40225" w:rsidRDefault="00A203D8">
      <w:pPr>
        <w:rPr>
          <w:rFonts w:ascii="Arial" w:hAnsi="Arial" w:cs="Arial"/>
          <w:bCs/>
          <w:sz w:val="22"/>
          <w:szCs w:val="22"/>
        </w:rPr>
      </w:pPr>
    </w:p>
    <w:p w:rsidR="00A203D8" w:rsidRPr="00F40225" w:rsidRDefault="00F61B12">
      <w:pPr>
        <w:ind w:left="720"/>
        <w:rPr>
          <w:rFonts w:ascii="Arial" w:hAnsi="Arial" w:cs="Arial"/>
          <w:bCs/>
          <w:sz w:val="22"/>
          <w:szCs w:val="22"/>
        </w:rPr>
      </w:pPr>
      <w:r>
        <w:rPr>
          <w:rFonts w:ascii="Arial" w:hAnsi="Arial" w:cs="Arial"/>
          <w:bCs/>
          <w:sz w:val="22"/>
          <w:szCs w:val="22"/>
        </w:rPr>
        <w:t>There are no exceptions to the certification statement.</w:t>
      </w: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r w:rsidRPr="00F40225">
        <w:rPr>
          <w:rFonts w:ascii="Arial" w:hAnsi="Arial" w:cs="Arial"/>
          <w:bCs/>
          <w:sz w:val="22"/>
          <w:szCs w:val="22"/>
          <w:u w:val="single"/>
        </w:rPr>
        <w:t>Note:</w:t>
      </w:r>
      <w:r w:rsidRPr="00F40225">
        <w:rPr>
          <w:rFonts w:ascii="Arial" w:hAnsi="Arial" w:cs="Arial"/>
          <w:bCs/>
          <w:sz w:val="22"/>
          <w:szCs w:val="22"/>
        </w:rPr>
        <w:t xml:space="preserve">  The following paragraph applies to all of</w:t>
      </w:r>
      <w:r w:rsidR="00C75B8F">
        <w:rPr>
          <w:rFonts w:ascii="Arial" w:hAnsi="Arial" w:cs="Arial"/>
          <w:bCs/>
          <w:sz w:val="22"/>
          <w:szCs w:val="22"/>
        </w:rPr>
        <w:t xml:space="preserve"> </w:t>
      </w:r>
      <w:r w:rsidRPr="00F40225">
        <w:rPr>
          <w:rFonts w:ascii="Arial" w:hAnsi="Arial" w:cs="Arial"/>
          <w:bCs/>
          <w:sz w:val="22"/>
          <w:szCs w:val="22"/>
        </w:rPr>
        <w:t>the</w:t>
      </w:r>
      <w:r w:rsidR="00C75B8F">
        <w:rPr>
          <w:rFonts w:ascii="Arial" w:hAnsi="Arial" w:cs="Arial"/>
          <w:bCs/>
          <w:sz w:val="22"/>
          <w:szCs w:val="22"/>
        </w:rPr>
        <w:t xml:space="preserve"> </w:t>
      </w:r>
      <w:r w:rsidRPr="00F40225">
        <w:rPr>
          <w:rFonts w:ascii="Arial" w:hAnsi="Arial" w:cs="Arial"/>
          <w:bCs/>
          <w:sz w:val="22"/>
          <w:szCs w:val="22"/>
        </w:rPr>
        <w:t>collections of information in this submission:</w:t>
      </w:r>
      <w:r w:rsidR="00C75B8F">
        <w:rPr>
          <w:rFonts w:ascii="Arial" w:hAnsi="Arial" w:cs="Arial"/>
          <w:bCs/>
          <w:sz w:val="22"/>
          <w:szCs w:val="22"/>
        </w:rPr>
        <w:t xml:space="preserve"> </w:t>
      </w:r>
    </w:p>
    <w:p w:rsidR="00A203D8" w:rsidRPr="00F40225" w:rsidRDefault="00A203D8">
      <w:pPr>
        <w:rPr>
          <w:rFonts w:ascii="Arial" w:hAnsi="Arial" w:cs="Arial"/>
          <w:bCs/>
          <w:sz w:val="22"/>
          <w:szCs w:val="22"/>
        </w:rPr>
      </w:pPr>
    </w:p>
    <w:p w:rsidR="00A203D8" w:rsidRPr="00F40225" w:rsidRDefault="00A203D8" w:rsidP="00007DC9">
      <w:pPr>
        <w:ind w:firstLine="720"/>
        <w:rPr>
          <w:rFonts w:ascii="Arial" w:hAnsi="Arial" w:cs="Arial"/>
          <w:bCs/>
          <w:sz w:val="22"/>
          <w:szCs w:val="22"/>
        </w:rPr>
      </w:pPr>
      <w:r w:rsidRPr="00F40225">
        <w:rPr>
          <w:rFonts w:ascii="Arial" w:hAnsi="Arial" w:cs="Arial"/>
          <w:bCs/>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w:t>
      </w:r>
      <w:r w:rsidR="00C75B8F">
        <w:rPr>
          <w:rFonts w:ascii="Arial" w:hAnsi="Arial" w:cs="Arial"/>
          <w:bCs/>
          <w:sz w:val="22"/>
          <w:szCs w:val="22"/>
        </w:rPr>
        <w:t xml:space="preserve"> </w:t>
      </w:r>
      <w:r w:rsidRPr="00F40225">
        <w:rPr>
          <w:rFonts w:ascii="Arial" w:hAnsi="Arial" w:cs="Arial"/>
          <w:bCs/>
          <w:sz w:val="22"/>
          <w:szCs w:val="22"/>
        </w:rPr>
        <w:t>long as</w:t>
      </w:r>
      <w:r w:rsidR="00C75B8F">
        <w:rPr>
          <w:rFonts w:ascii="Arial" w:hAnsi="Arial" w:cs="Arial"/>
          <w:bCs/>
          <w:sz w:val="22"/>
          <w:szCs w:val="22"/>
        </w:rPr>
        <w:t xml:space="preserve">  </w:t>
      </w:r>
      <w:r w:rsidRPr="00F40225">
        <w:rPr>
          <w:rFonts w:ascii="Arial" w:hAnsi="Arial" w:cs="Arial"/>
          <w:bCs/>
          <w:sz w:val="22"/>
          <w:szCs w:val="22"/>
        </w:rPr>
        <w:t xml:space="preserve"> their contents may become material in the administration of any internal revenue law.  Generally, tax returns and tax return information are confidential, as required by 26 U.S.C. 6103.</w:t>
      </w:r>
      <w:r w:rsidRPr="00F40225">
        <w:rPr>
          <w:rFonts w:ascii="Arial" w:hAnsi="Arial" w:cs="Arial"/>
          <w:bCs/>
          <w:sz w:val="22"/>
          <w:szCs w:val="22"/>
        </w:rPr>
        <w:tab/>
        <w:t xml:space="preserve">  </w:t>
      </w: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p>
    <w:p w:rsidR="00A203D8" w:rsidRPr="00F40225" w:rsidRDefault="00A203D8">
      <w:pPr>
        <w:rPr>
          <w:rFonts w:ascii="Arial" w:hAnsi="Arial" w:cs="Arial"/>
          <w:bCs/>
          <w:sz w:val="22"/>
          <w:szCs w:val="22"/>
        </w:rPr>
      </w:pPr>
    </w:p>
    <w:p w:rsidR="00A203D8" w:rsidRDefault="00A203D8">
      <w:pPr>
        <w:rPr>
          <w:rFonts w:ascii="Shruti" w:cs="Shruti"/>
        </w:rPr>
      </w:pPr>
    </w:p>
    <w:sectPr w:rsidR="00A203D8" w:rsidSect="00007DC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A4" w:rsidRDefault="003C7CA4">
      <w:r>
        <w:separator/>
      </w:r>
    </w:p>
  </w:endnote>
  <w:endnote w:type="continuationSeparator" w:id="0">
    <w:p w:rsidR="003C7CA4" w:rsidRDefault="003C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9" w:rsidRDefault="00834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9" w:rsidRPr="00F40225" w:rsidRDefault="008344A9">
    <w:pPr>
      <w:pStyle w:val="Footer"/>
      <w:jc w:val="right"/>
      <w:rPr>
        <w:rFonts w:ascii="Arial" w:hAnsi="Arial" w:cs="Arial"/>
        <w:sz w:val="22"/>
        <w:szCs w:val="22"/>
      </w:rPr>
    </w:pPr>
  </w:p>
  <w:p w:rsidR="008344A9" w:rsidRDefault="00834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9" w:rsidRDefault="00834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A4" w:rsidRDefault="003C7CA4">
      <w:r>
        <w:separator/>
      </w:r>
    </w:p>
  </w:footnote>
  <w:footnote w:type="continuationSeparator" w:id="0">
    <w:p w:rsidR="003C7CA4" w:rsidRDefault="003C7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9" w:rsidRDefault="00834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9" w:rsidRDefault="008344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9" w:rsidRDefault="00834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6E707E85"/>
    <w:multiLevelType w:val="multilevel"/>
    <w:tmpl w:val="0582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D8"/>
    <w:rsid w:val="00007DC9"/>
    <w:rsid w:val="00012F16"/>
    <w:rsid w:val="00056A24"/>
    <w:rsid w:val="000767DA"/>
    <w:rsid w:val="000A0A4C"/>
    <w:rsid w:val="000D744E"/>
    <w:rsid w:val="000F1E3D"/>
    <w:rsid w:val="001453EB"/>
    <w:rsid w:val="0015293E"/>
    <w:rsid w:val="00170687"/>
    <w:rsid w:val="001B5977"/>
    <w:rsid w:val="001E4560"/>
    <w:rsid w:val="001F054E"/>
    <w:rsid w:val="00230AAE"/>
    <w:rsid w:val="00230F3C"/>
    <w:rsid w:val="00257360"/>
    <w:rsid w:val="00282DB4"/>
    <w:rsid w:val="00290B75"/>
    <w:rsid w:val="002B1133"/>
    <w:rsid w:val="002C1EA7"/>
    <w:rsid w:val="002D4BC1"/>
    <w:rsid w:val="002D7C7F"/>
    <w:rsid w:val="002F6624"/>
    <w:rsid w:val="003747E6"/>
    <w:rsid w:val="00375010"/>
    <w:rsid w:val="003801C3"/>
    <w:rsid w:val="003C7CA4"/>
    <w:rsid w:val="004243F6"/>
    <w:rsid w:val="00425648"/>
    <w:rsid w:val="00446F1E"/>
    <w:rsid w:val="00514E7C"/>
    <w:rsid w:val="00570DCD"/>
    <w:rsid w:val="00571277"/>
    <w:rsid w:val="00595FC3"/>
    <w:rsid w:val="005B1979"/>
    <w:rsid w:val="005F2428"/>
    <w:rsid w:val="005F256F"/>
    <w:rsid w:val="006350D6"/>
    <w:rsid w:val="00644343"/>
    <w:rsid w:val="006E70AE"/>
    <w:rsid w:val="006F0E25"/>
    <w:rsid w:val="006F4CE2"/>
    <w:rsid w:val="0070791E"/>
    <w:rsid w:val="00711529"/>
    <w:rsid w:val="00766F61"/>
    <w:rsid w:val="007826CF"/>
    <w:rsid w:val="007C6166"/>
    <w:rsid w:val="007F7C04"/>
    <w:rsid w:val="00800352"/>
    <w:rsid w:val="00804C6A"/>
    <w:rsid w:val="008344A9"/>
    <w:rsid w:val="00851425"/>
    <w:rsid w:val="008C12AF"/>
    <w:rsid w:val="008C2FF4"/>
    <w:rsid w:val="008C7E6F"/>
    <w:rsid w:val="00925B66"/>
    <w:rsid w:val="00953D3B"/>
    <w:rsid w:val="009738A6"/>
    <w:rsid w:val="009B1F33"/>
    <w:rsid w:val="00A00FC6"/>
    <w:rsid w:val="00A01725"/>
    <w:rsid w:val="00A07695"/>
    <w:rsid w:val="00A203D8"/>
    <w:rsid w:val="00A224DE"/>
    <w:rsid w:val="00A63A3A"/>
    <w:rsid w:val="00B56C37"/>
    <w:rsid w:val="00B765D0"/>
    <w:rsid w:val="00BA1FEC"/>
    <w:rsid w:val="00BB0E65"/>
    <w:rsid w:val="00C136B4"/>
    <w:rsid w:val="00C5119C"/>
    <w:rsid w:val="00C53CCF"/>
    <w:rsid w:val="00C75B8F"/>
    <w:rsid w:val="00C8043E"/>
    <w:rsid w:val="00C95E2C"/>
    <w:rsid w:val="00CB24B6"/>
    <w:rsid w:val="00CC49D8"/>
    <w:rsid w:val="00D1460E"/>
    <w:rsid w:val="00D24895"/>
    <w:rsid w:val="00D42811"/>
    <w:rsid w:val="00D442F7"/>
    <w:rsid w:val="00E05733"/>
    <w:rsid w:val="00E13D48"/>
    <w:rsid w:val="00E223BF"/>
    <w:rsid w:val="00E41240"/>
    <w:rsid w:val="00E43A80"/>
    <w:rsid w:val="00E55E99"/>
    <w:rsid w:val="00E6753B"/>
    <w:rsid w:val="00EE2A3B"/>
    <w:rsid w:val="00F0126E"/>
    <w:rsid w:val="00F258F8"/>
    <w:rsid w:val="00F34EAD"/>
    <w:rsid w:val="00F40225"/>
    <w:rsid w:val="00F54461"/>
    <w:rsid w:val="00F61B12"/>
    <w:rsid w:val="00FB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70687"/>
    <w:rPr>
      <w:rFonts w:ascii="Tahoma" w:hAnsi="Tahoma" w:cs="Tahoma"/>
      <w:sz w:val="16"/>
      <w:szCs w:val="16"/>
    </w:rPr>
  </w:style>
  <w:style w:type="paragraph" w:styleId="Header">
    <w:name w:val="header"/>
    <w:basedOn w:val="Normal"/>
    <w:link w:val="HeaderChar"/>
    <w:rsid w:val="00F40225"/>
    <w:pPr>
      <w:tabs>
        <w:tab w:val="center" w:pos="4680"/>
        <w:tab w:val="right" w:pos="9360"/>
      </w:tabs>
    </w:pPr>
  </w:style>
  <w:style w:type="character" w:customStyle="1" w:styleId="HeaderChar">
    <w:name w:val="Header Char"/>
    <w:link w:val="Header"/>
    <w:rsid w:val="00F40225"/>
    <w:rPr>
      <w:rFonts w:ascii="Courier" w:hAnsi="Courier"/>
      <w:sz w:val="24"/>
      <w:szCs w:val="24"/>
    </w:rPr>
  </w:style>
  <w:style w:type="paragraph" w:styleId="Footer">
    <w:name w:val="footer"/>
    <w:basedOn w:val="Normal"/>
    <w:link w:val="FooterChar"/>
    <w:uiPriority w:val="99"/>
    <w:rsid w:val="00F40225"/>
    <w:pPr>
      <w:tabs>
        <w:tab w:val="center" w:pos="4680"/>
        <w:tab w:val="right" w:pos="9360"/>
      </w:tabs>
    </w:pPr>
  </w:style>
  <w:style w:type="character" w:customStyle="1" w:styleId="FooterChar">
    <w:name w:val="Footer Char"/>
    <w:link w:val="Footer"/>
    <w:uiPriority w:val="99"/>
    <w:rsid w:val="00F40225"/>
    <w:rPr>
      <w:rFonts w:ascii="Courier" w:hAnsi="Courier"/>
      <w:sz w:val="24"/>
      <w:szCs w:val="24"/>
    </w:rPr>
  </w:style>
  <w:style w:type="paragraph" w:customStyle="1" w:styleId="Default">
    <w:name w:val="Default"/>
    <w:rsid w:val="007826CF"/>
    <w:pPr>
      <w:autoSpaceDE w:val="0"/>
      <w:autoSpaceDN w:val="0"/>
      <w:adjustRightInd w:val="0"/>
    </w:pPr>
    <w:rPr>
      <w:rFonts w:ascii="Arial" w:hAnsi="Arial" w:cs="Arial"/>
      <w:color w:val="000000"/>
      <w:sz w:val="24"/>
      <w:szCs w:val="24"/>
    </w:rPr>
  </w:style>
  <w:style w:type="character" w:styleId="Hyperlink">
    <w:name w:val="Hyperlink"/>
    <w:rsid w:val="006350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70687"/>
    <w:rPr>
      <w:rFonts w:ascii="Tahoma" w:hAnsi="Tahoma" w:cs="Tahoma"/>
      <w:sz w:val="16"/>
      <w:szCs w:val="16"/>
    </w:rPr>
  </w:style>
  <w:style w:type="paragraph" w:styleId="Header">
    <w:name w:val="header"/>
    <w:basedOn w:val="Normal"/>
    <w:link w:val="HeaderChar"/>
    <w:rsid w:val="00F40225"/>
    <w:pPr>
      <w:tabs>
        <w:tab w:val="center" w:pos="4680"/>
        <w:tab w:val="right" w:pos="9360"/>
      </w:tabs>
    </w:pPr>
  </w:style>
  <w:style w:type="character" w:customStyle="1" w:styleId="HeaderChar">
    <w:name w:val="Header Char"/>
    <w:link w:val="Header"/>
    <w:rsid w:val="00F40225"/>
    <w:rPr>
      <w:rFonts w:ascii="Courier" w:hAnsi="Courier"/>
      <w:sz w:val="24"/>
      <w:szCs w:val="24"/>
    </w:rPr>
  </w:style>
  <w:style w:type="paragraph" w:styleId="Footer">
    <w:name w:val="footer"/>
    <w:basedOn w:val="Normal"/>
    <w:link w:val="FooterChar"/>
    <w:uiPriority w:val="99"/>
    <w:rsid w:val="00F40225"/>
    <w:pPr>
      <w:tabs>
        <w:tab w:val="center" w:pos="4680"/>
        <w:tab w:val="right" w:pos="9360"/>
      </w:tabs>
    </w:pPr>
  </w:style>
  <w:style w:type="character" w:customStyle="1" w:styleId="FooterChar">
    <w:name w:val="Footer Char"/>
    <w:link w:val="Footer"/>
    <w:uiPriority w:val="99"/>
    <w:rsid w:val="00F40225"/>
    <w:rPr>
      <w:rFonts w:ascii="Courier" w:hAnsi="Courier"/>
      <w:sz w:val="24"/>
      <w:szCs w:val="24"/>
    </w:rPr>
  </w:style>
  <w:style w:type="paragraph" w:customStyle="1" w:styleId="Default">
    <w:name w:val="Default"/>
    <w:rsid w:val="007826CF"/>
    <w:pPr>
      <w:autoSpaceDE w:val="0"/>
      <w:autoSpaceDN w:val="0"/>
      <w:adjustRightInd w:val="0"/>
    </w:pPr>
    <w:rPr>
      <w:rFonts w:ascii="Arial" w:hAnsi="Arial" w:cs="Arial"/>
      <w:color w:val="000000"/>
      <w:sz w:val="24"/>
      <w:szCs w:val="24"/>
    </w:rPr>
  </w:style>
  <w:style w:type="character" w:styleId="Hyperlink">
    <w:name w:val="Hyperlink"/>
    <w:rsid w:val="00635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2735">
      <w:bodyDiv w:val="1"/>
      <w:marLeft w:val="0"/>
      <w:marRight w:val="0"/>
      <w:marTop w:val="0"/>
      <w:marBottom w:val="0"/>
      <w:divBdr>
        <w:top w:val="none" w:sz="0" w:space="0" w:color="auto"/>
        <w:left w:val="none" w:sz="0" w:space="0" w:color="auto"/>
        <w:bottom w:val="none" w:sz="0" w:space="0" w:color="auto"/>
        <w:right w:val="none" w:sz="0" w:space="0" w:color="auto"/>
      </w:divBdr>
    </w:div>
    <w:div w:id="1379402734">
      <w:bodyDiv w:val="1"/>
      <w:marLeft w:val="0"/>
      <w:marRight w:val="0"/>
      <w:marTop w:val="0"/>
      <w:marBottom w:val="0"/>
      <w:divBdr>
        <w:top w:val="none" w:sz="0" w:space="0" w:color="auto"/>
        <w:left w:val="none" w:sz="0" w:space="0" w:color="auto"/>
        <w:bottom w:val="none" w:sz="0" w:space="0" w:color="auto"/>
        <w:right w:val="none" w:sz="0" w:space="0" w:color="auto"/>
      </w:divBdr>
      <w:divsChild>
        <w:div w:id="395444593">
          <w:marLeft w:val="0"/>
          <w:marRight w:val="0"/>
          <w:marTop w:val="0"/>
          <w:marBottom w:val="0"/>
          <w:divBdr>
            <w:top w:val="none" w:sz="0" w:space="0" w:color="auto"/>
            <w:left w:val="none" w:sz="0" w:space="0" w:color="auto"/>
            <w:bottom w:val="none" w:sz="0" w:space="0" w:color="auto"/>
            <w:right w:val="none" w:sz="0" w:space="0" w:color="auto"/>
          </w:divBdr>
          <w:divsChild>
            <w:div w:id="291635801">
              <w:marLeft w:val="0"/>
              <w:marRight w:val="0"/>
              <w:marTop w:val="0"/>
              <w:marBottom w:val="0"/>
              <w:divBdr>
                <w:top w:val="single" w:sz="6" w:space="11" w:color="FCFCFC"/>
                <w:left w:val="single" w:sz="6" w:space="11" w:color="ECECEC"/>
                <w:bottom w:val="single" w:sz="6" w:space="4" w:color="ECECEC"/>
                <w:right w:val="single" w:sz="6" w:space="11" w:color="ECECEC"/>
              </w:divBdr>
              <w:divsChild>
                <w:div w:id="3301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RS.gov/uac/Privacy-Impact-Assessments-P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B2F62-86C6-4777-B6BC-2C254F00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9201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RJDurb00</dc:creator>
  <cp:keywords/>
  <cp:lastModifiedBy>SYSTEM</cp:lastModifiedBy>
  <cp:revision>2</cp:revision>
  <cp:lastPrinted>2005-06-30T14:15:00Z</cp:lastPrinted>
  <dcterms:created xsi:type="dcterms:W3CDTF">2018-09-06T18:37:00Z</dcterms:created>
  <dcterms:modified xsi:type="dcterms:W3CDTF">2018-09-06T18:37:00Z</dcterms:modified>
</cp:coreProperties>
</file>