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B90BF6" w:rsidR="00B90BF6" w:rsidP="00B90BF6" w:rsidRDefault="00B90BF6" w14:paraId="1CA424D4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B90BF6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 4 Carl D. Perkins Career &amp; Technical Education Program to the State Directors of Career &amp; Technical Ed ASK 1-5 BELOW</w:t>
      </w:r>
    </w:p>
    <w:p w:rsidRPr="00B90BF6" w:rsidR="00B90BF6" w:rsidP="00B90BF6" w:rsidRDefault="00B90BF6" w14:paraId="6025A2BF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</w:p>
    <w:p w:rsidRPr="00B90BF6" w:rsidR="00B90BF6" w:rsidP="00B90BF6" w:rsidRDefault="00B90BF6" w14:paraId="1EE1548A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[IF Carl D. Perkins Career and Technical Education State Directors]</w:t>
      </w:r>
    </w:p>
    <w:p w:rsidRPr="00B90BF6" w:rsidR="00B90BF6" w:rsidP="00B90BF6" w:rsidRDefault="00B90BF6" w14:paraId="4574F784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Q4.1.</w:t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  <w:t>CAR’s user friendliness</w:t>
      </w:r>
    </w:p>
    <w:p w:rsidRPr="00B90BF6" w:rsidR="00B90BF6" w:rsidP="00B90BF6" w:rsidRDefault="00B90BF6" w14:paraId="33486470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Q4.2.</w:t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  <w:t>PCRN’s usefulness to your program</w:t>
      </w:r>
    </w:p>
    <w:p w:rsidRPr="00B90BF6" w:rsidR="00B90BF6" w:rsidP="00B90BF6" w:rsidRDefault="00B90BF6" w14:paraId="7B41DC39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</w:p>
    <w:p w:rsidRPr="00B90BF6" w:rsidR="00B90BF6" w:rsidP="00B90BF6" w:rsidRDefault="00B90BF6" w14:paraId="28AA781C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[IF Carl D. Perkins Discretionary Grant Recipients]</w:t>
      </w:r>
    </w:p>
    <w:p w:rsidRPr="00B90BF6" w:rsidR="00B90BF6" w:rsidP="00B90BF6" w:rsidRDefault="00B90BF6" w14:paraId="2ECE9853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Q4.3.</w:t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  <w:t>Effectiveness of DATE in helping you implement grant programs</w:t>
      </w:r>
    </w:p>
    <w:p w:rsidRPr="00B90BF6" w:rsidR="00B90BF6" w:rsidP="00B90BF6" w:rsidRDefault="00B90BF6" w14:paraId="46B66CF0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Q4.4.</w:t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  <w:t>Technical assistance received on project implementation and budget questions</w:t>
      </w:r>
    </w:p>
    <w:p w:rsidRPr="00370DEE" w:rsidR="00B90BF6" w:rsidP="00B90BF6" w:rsidRDefault="00B90BF6" w14:paraId="5F7E0349" w14:textId="77777777">
      <w:pPr>
        <w:pStyle w:val="NoSpacing"/>
        <w:ind w:left="450" w:hanging="450"/>
        <w:rPr>
          <w:rFonts w:cs="Arial" w:asciiTheme="minorHAnsi" w:hAnsiTheme="minorHAnsi"/>
          <w:sz w:val="20"/>
          <w:szCs w:val="20"/>
        </w:rPr>
      </w:pPr>
      <w:r w:rsidRPr="00B90BF6">
        <w:rPr>
          <w:rFonts w:cs="Arial" w:asciiTheme="minorHAnsi" w:hAnsiTheme="minorHAnsi"/>
          <w:sz w:val="20"/>
          <w:szCs w:val="20"/>
          <w:highlight w:val="yellow"/>
        </w:rPr>
        <w:t>Q4.5.</w:t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</w:r>
      <w:r w:rsidRPr="00B90BF6">
        <w:rPr>
          <w:rFonts w:cs="Arial" w:asciiTheme="minorHAnsi" w:hAnsiTheme="minorHAnsi"/>
          <w:sz w:val="20"/>
          <w:szCs w:val="20"/>
          <w:highlight w:val="yellow"/>
        </w:rPr>
        <w:tab/>
        <w:t>Usefulness and relevance of project director meeting in providing technical assistance</w:t>
      </w:r>
    </w:p>
    <w:p w:rsidRPr="00FA35E0" w:rsidR="00DF22DB" w:rsidP="006A4EFE" w:rsidRDefault="00DF22DB" w14:paraId="49BFC0A7" w14:textId="1E49A1E4">
      <w:pPr>
        <w:pStyle w:val="Heading2"/>
        <w:keepNext w:val="0"/>
        <w:ind w:firstLine="0"/>
        <w:rPr>
          <w:rFonts w:cs="Arial" w:asciiTheme="minorHAnsi" w:hAnsiTheme="minorHAnsi"/>
        </w:rPr>
      </w:pPr>
    </w:p>
    <w:sectPr w:rsidRPr="00FA35E0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6A4EFE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B90BF6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2020-02-20T14:13:00Z</dcterms:created>
  <dcterms:modified xsi:type="dcterms:W3CDTF">2020-02-20T14:13:00Z</dcterms:modified>
</cp:coreProperties>
</file>