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B81F7" w14:textId="77777777" w:rsidR="00DF0BB7" w:rsidRDefault="00DF0BB7" w:rsidP="00DF0BB7">
      <w:bookmarkStart w:id="0" w:name="_GoBack"/>
      <w:bookmarkEnd w:id="0"/>
    </w:p>
    <w:p w14:paraId="7D15A968" w14:textId="77777777" w:rsidR="00DF0BB7" w:rsidRDefault="00DF0BB7" w:rsidP="00DF0BB7"/>
    <w:p w14:paraId="43110254" w14:textId="77777777" w:rsidR="00DF0BB7" w:rsidRDefault="00DF0BB7" w:rsidP="00DF0BB7"/>
    <w:p w14:paraId="7E931A9E" w14:textId="77777777" w:rsidR="00DF0BB7" w:rsidRDefault="00DF0BB7" w:rsidP="00DF0BB7"/>
    <w:p w14:paraId="6C7111E3" w14:textId="77777777" w:rsidR="00DF0BB7" w:rsidRDefault="00DF0BB7" w:rsidP="00DF0BB7"/>
    <w:p w14:paraId="48C82049" w14:textId="77777777" w:rsidR="00DF0BB7" w:rsidRPr="00461221" w:rsidRDefault="00DF0BB7" w:rsidP="00461221">
      <w:pPr>
        <w:jc w:val="center"/>
        <w:rPr>
          <w:b/>
        </w:rPr>
      </w:pPr>
    </w:p>
    <w:p w14:paraId="408B5CDF" w14:textId="10DB96C3" w:rsidR="00072A63" w:rsidRPr="002238BD" w:rsidRDefault="00072A63" w:rsidP="00461221">
      <w:pPr>
        <w:jc w:val="center"/>
        <w:rPr>
          <w:b/>
        </w:rPr>
      </w:pPr>
      <w:r w:rsidRPr="002238BD">
        <w:rPr>
          <w:b/>
        </w:rPr>
        <w:t>Evaluation of the Assisted Outpatient Treatment Grant Program for Individuals with Serious Mental Illness</w:t>
      </w:r>
    </w:p>
    <w:p w14:paraId="53336452" w14:textId="48685F5E" w:rsidR="00D045D6" w:rsidRPr="002238BD" w:rsidRDefault="00D045D6" w:rsidP="00D045D6"/>
    <w:p w14:paraId="671F7E00" w14:textId="67E8FCD0" w:rsidR="00D045D6" w:rsidRPr="002238BD" w:rsidRDefault="00D045D6" w:rsidP="00D045D6"/>
    <w:p w14:paraId="7037B464" w14:textId="514C2C63" w:rsidR="00D045D6" w:rsidRPr="002238BD" w:rsidRDefault="00D045D6" w:rsidP="00D045D6"/>
    <w:p w14:paraId="724FB0BF" w14:textId="52C17F77" w:rsidR="00D045D6" w:rsidRPr="002238BD" w:rsidRDefault="00D045D6" w:rsidP="00D045D6"/>
    <w:p w14:paraId="11207C0E" w14:textId="42AB870F" w:rsidR="00D045D6" w:rsidRPr="002238BD" w:rsidRDefault="00D045D6" w:rsidP="00D045D6"/>
    <w:p w14:paraId="3D76B45F" w14:textId="77777777" w:rsidR="00072A63" w:rsidRPr="002238BD" w:rsidRDefault="00072A63" w:rsidP="00072A63"/>
    <w:p w14:paraId="0DF286CB" w14:textId="77777777" w:rsidR="00072A63" w:rsidRPr="002238BD" w:rsidRDefault="00DF0BB7" w:rsidP="00461221">
      <w:pPr>
        <w:jc w:val="center"/>
        <w:rPr>
          <w:b/>
        </w:rPr>
      </w:pPr>
      <w:r w:rsidRPr="002238BD">
        <w:rPr>
          <w:b/>
        </w:rPr>
        <w:t>Supporting Statement – Section A</w:t>
      </w:r>
    </w:p>
    <w:p w14:paraId="2C29CAE7" w14:textId="77777777" w:rsidR="00DF0BB7" w:rsidRPr="002238BD" w:rsidRDefault="00DF0BB7" w:rsidP="00DF0BB7"/>
    <w:p w14:paraId="5A59B963" w14:textId="77777777" w:rsidR="00DF0BB7" w:rsidRPr="002238BD" w:rsidRDefault="00DF0BB7" w:rsidP="00DF0BB7"/>
    <w:p w14:paraId="3F29F104" w14:textId="77777777" w:rsidR="00DF0BB7" w:rsidRPr="002238BD" w:rsidRDefault="00DF0BB7" w:rsidP="00DF0BB7"/>
    <w:p w14:paraId="47100F6D" w14:textId="77777777" w:rsidR="00DF0BB7" w:rsidRPr="002238BD" w:rsidRDefault="00DF0BB7" w:rsidP="00DF0BB7"/>
    <w:p w14:paraId="4E2CB4CB" w14:textId="77777777" w:rsidR="00DF0BB7" w:rsidRPr="002238BD" w:rsidRDefault="00DF0BB7" w:rsidP="00DF0BB7"/>
    <w:p w14:paraId="2420B4AD" w14:textId="77777777" w:rsidR="00DF0BB7" w:rsidRPr="002238BD" w:rsidRDefault="00DF0BB7" w:rsidP="00DF0BB7"/>
    <w:p w14:paraId="15C01E07" w14:textId="4A75BF0D" w:rsidR="00DF0BB7" w:rsidRPr="002238BD" w:rsidRDefault="00DF0BB7" w:rsidP="00DF0BB7">
      <w:pPr>
        <w:jc w:val="center"/>
      </w:pPr>
      <w:r w:rsidRPr="002238BD">
        <w:rPr>
          <w:b/>
        </w:rPr>
        <w:t>Submitted</w:t>
      </w:r>
      <w:r w:rsidRPr="002238BD">
        <w:t xml:space="preserve"> – </w:t>
      </w:r>
      <w:r w:rsidR="00D53B09">
        <w:t>May 12, 2018</w:t>
      </w:r>
    </w:p>
    <w:p w14:paraId="064CA978" w14:textId="77777777" w:rsidR="00DF0BB7" w:rsidRPr="002238BD" w:rsidRDefault="00DF0BB7" w:rsidP="00DF0BB7"/>
    <w:p w14:paraId="460E198A" w14:textId="77777777" w:rsidR="00DF0BB7" w:rsidRPr="002238BD" w:rsidRDefault="00DF0BB7" w:rsidP="00DF0BB7"/>
    <w:p w14:paraId="25F69EC6" w14:textId="77777777" w:rsidR="00DF0BB7" w:rsidRPr="002238BD" w:rsidRDefault="00DF0BB7" w:rsidP="00DF0BB7"/>
    <w:p w14:paraId="0135CB07" w14:textId="1F98747C" w:rsidR="00DF0BB7" w:rsidRPr="002238BD" w:rsidRDefault="00DF0BB7" w:rsidP="00DF0BB7"/>
    <w:p w14:paraId="36B97152" w14:textId="18CF075F" w:rsidR="00D045D6" w:rsidRPr="002238BD" w:rsidRDefault="00D045D6" w:rsidP="00DF0BB7"/>
    <w:p w14:paraId="595A87B9" w14:textId="7307D788" w:rsidR="00D045D6" w:rsidRPr="002238BD" w:rsidRDefault="00D045D6" w:rsidP="00DF0BB7"/>
    <w:p w14:paraId="0EE47E8F" w14:textId="2174643C" w:rsidR="00D045D6" w:rsidRPr="002238BD" w:rsidRDefault="00D045D6" w:rsidP="00DF0BB7"/>
    <w:p w14:paraId="0936244C" w14:textId="43E01C75" w:rsidR="00D045D6" w:rsidRPr="002238BD" w:rsidRDefault="00D045D6" w:rsidP="00DF0BB7"/>
    <w:p w14:paraId="07B085E1" w14:textId="1CB9FE85" w:rsidR="00D045D6" w:rsidRPr="002238BD" w:rsidRDefault="00D045D6" w:rsidP="00DF0BB7"/>
    <w:p w14:paraId="2665F1FC" w14:textId="3BA7B39A" w:rsidR="00D045D6" w:rsidRPr="002238BD" w:rsidRDefault="00D045D6" w:rsidP="00DF0BB7"/>
    <w:p w14:paraId="2BA1E799" w14:textId="6A1D3DCB" w:rsidR="00D045D6" w:rsidRPr="002238BD" w:rsidRDefault="00D045D6" w:rsidP="00DF0BB7"/>
    <w:p w14:paraId="7ED89552" w14:textId="3BE005DD" w:rsidR="00D045D6" w:rsidRPr="002238BD" w:rsidRDefault="00D045D6" w:rsidP="00DF0BB7"/>
    <w:p w14:paraId="1C4DB68B" w14:textId="2CD3DF79" w:rsidR="00D045D6" w:rsidRPr="002238BD" w:rsidRDefault="00D045D6" w:rsidP="00DF0BB7"/>
    <w:p w14:paraId="5730E698" w14:textId="400D4573" w:rsidR="00D045D6" w:rsidRPr="002238BD" w:rsidRDefault="00D045D6" w:rsidP="00DF0BB7"/>
    <w:p w14:paraId="582E2D5C" w14:textId="65B5F51D" w:rsidR="00D045D6" w:rsidRPr="002238BD" w:rsidRDefault="00D045D6" w:rsidP="00DF0BB7"/>
    <w:p w14:paraId="1089588B" w14:textId="77777777" w:rsidR="00D045D6" w:rsidRPr="002238BD" w:rsidRDefault="00D045D6" w:rsidP="00DF0BB7"/>
    <w:p w14:paraId="07BA8EC2" w14:textId="77777777" w:rsidR="00DF0BB7" w:rsidRPr="002238BD" w:rsidRDefault="00DF0BB7" w:rsidP="00DF0BB7"/>
    <w:p w14:paraId="1B035955" w14:textId="77777777" w:rsidR="00DF0BB7" w:rsidRPr="002238BD" w:rsidRDefault="00DF0BB7" w:rsidP="00DF0BB7"/>
    <w:p w14:paraId="6A86E157" w14:textId="77777777" w:rsidR="00DF0BB7" w:rsidRPr="002238BD" w:rsidRDefault="00DF0BB7" w:rsidP="00DF0BB7">
      <w:pPr>
        <w:rPr>
          <w:b/>
          <w:u w:val="single"/>
        </w:rPr>
      </w:pPr>
      <w:r w:rsidRPr="002238BD">
        <w:rPr>
          <w:b/>
          <w:u w:val="single"/>
        </w:rPr>
        <w:t>Program Officer/Project Officer</w:t>
      </w:r>
    </w:p>
    <w:p w14:paraId="537FA56D" w14:textId="77777777" w:rsidR="00DF0BB7" w:rsidRPr="002238BD" w:rsidRDefault="00DF0BB7" w:rsidP="00DF0BB7">
      <w:r w:rsidRPr="002238BD">
        <w:t>Joel Dubenitz, Ph.D. – Social Science Analyst</w:t>
      </w:r>
    </w:p>
    <w:p w14:paraId="62FA2E72" w14:textId="77777777" w:rsidR="00DF0BB7" w:rsidRPr="002238BD" w:rsidRDefault="00DF0BB7" w:rsidP="00DF0BB7">
      <w:r w:rsidRPr="002238BD">
        <w:t>U.S. Department of Health and Human Services</w:t>
      </w:r>
    </w:p>
    <w:p w14:paraId="32D4C22D" w14:textId="77777777" w:rsidR="00DF0BB7" w:rsidRPr="002238BD" w:rsidRDefault="00DF0BB7" w:rsidP="00DF0BB7">
      <w:r w:rsidRPr="002238BD">
        <w:t>Office of the Assistant Secretary for Planning and Evaluation</w:t>
      </w:r>
    </w:p>
    <w:p w14:paraId="272A0E5E" w14:textId="77777777" w:rsidR="00DF0BB7" w:rsidRPr="002238BD" w:rsidRDefault="00DF0BB7" w:rsidP="00DF0BB7">
      <w:r w:rsidRPr="002238BD">
        <w:t>200 Independence Avenue SW, Washington DC 20201</w:t>
      </w:r>
    </w:p>
    <w:p w14:paraId="1375F3B5" w14:textId="77777777" w:rsidR="00DF0BB7" w:rsidRPr="002238BD" w:rsidRDefault="00DF0BB7">
      <w:r w:rsidRPr="002238BD">
        <w:br w:type="page"/>
      </w:r>
    </w:p>
    <w:p w14:paraId="2F132C24" w14:textId="60D09CFD" w:rsidR="004E4C5B" w:rsidRPr="002238BD" w:rsidRDefault="00A56965" w:rsidP="00A56965">
      <w:pPr>
        <w:jc w:val="center"/>
        <w:rPr>
          <w:b/>
        </w:rPr>
      </w:pPr>
      <w:r w:rsidRPr="002238BD">
        <w:rPr>
          <w:b/>
        </w:rPr>
        <w:lastRenderedPageBreak/>
        <w:t>Part A: Justification</w:t>
      </w:r>
    </w:p>
    <w:p w14:paraId="20BFFE61" w14:textId="77777777" w:rsidR="00A56965" w:rsidRPr="002238BD" w:rsidRDefault="00A56965" w:rsidP="004E4C5B"/>
    <w:p w14:paraId="0D911C33" w14:textId="77777777" w:rsidR="00B15A27" w:rsidRPr="002238BD" w:rsidRDefault="00B15A27" w:rsidP="00B15A27">
      <w:pPr>
        <w:pStyle w:val="Heading3"/>
        <w:numPr>
          <w:ilvl w:val="0"/>
          <w:numId w:val="7"/>
        </w:numPr>
        <w:rPr>
          <w:b/>
          <w:u w:val="none"/>
        </w:rPr>
      </w:pPr>
      <w:r w:rsidRPr="002238BD">
        <w:rPr>
          <w:b/>
          <w:u w:val="none"/>
        </w:rPr>
        <w:t>Circumstances Making the Collection of Information Necessary</w:t>
      </w:r>
    </w:p>
    <w:p w14:paraId="12F39012" w14:textId="77777777" w:rsidR="00E96D35" w:rsidRPr="002238BD" w:rsidRDefault="00E96D35" w:rsidP="00E96D35"/>
    <w:p w14:paraId="24EAB737" w14:textId="77777777" w:rsidR="002215B0" w:rsidRPr="002238BD" w:rsidRDefault="002215B0" w:rsidP="002215B0">
      <w:pPr>
        <w:pStyle w:val="Heading4"/>
        <w:numPr>
          <w:ilvl w:val="0"/>
          <w:numId w:val="10"/>
        </w:numPr>
        <w:ind w:left="1080"/>
      </w:pPr>
      <w:r w:rsidRPr="002238BD">
        <w:t>Overview</w:t>
      </w:r>
    </w:p>
    <w:p w14:paraId="5B83870E" w14:textId="108E549D" w:rsidR="002215B0" w:rsidRPr="002238BD" w:rsidRDefault="002215B0" w:rsidP="00E96D35"/>
    <w:p w14:paraId="133FD1CF" w14:textId="3214D3EE" w:rsidR="00AF308F" w:rsidRPr="002238BD" w:rsidRDefault="00A56965" w:rsidP="00A56965">
      <w:pPr>
        <w:ind w:left="720"/>
      </w:pPr>
      <w:r w:rsidRPr="002238BD">
        <w:t xml:space="preserve">The Office of the Assistant Secretary for Planning and Evaluation (ASPE) at the U.S. Department of Health and Human Services (HHS) is requesting Office of Management and Budget (OMB) approval for data collection activities to support the evaluation of the Substance Abuse and Mental Health Services Administration’s (SAMHSA’s) Assisted Outpatient Treatment (AOT) </w:t>
      </w:r>
      <w:r w:rsidR="00AF308F" w:rsidRPr="002238BD">
        <w:t xml:space="preserve">Grant Program for Individuals with Serious Mental Illness. </w:t>
      </w:r>
    </w:p>
    <w:p w14:paraId="641331D1" w14:textId="7DDDE776" w:rsidR="00AF308F" w:rsidRPr="002238BD" w:rsidRDefault="00AF308F" w:rsidP="00A56965">
      <w:pPr>
        <w:ind w:left="720"/>
      </w:pPr>
    </w:p>
    <w:p w14:paraId="6E488488" w14:textId="77777777" w:rsidR="00AF308F" w:rsidRPr="002238BD" w:rsidRDefault="00AF308F" w:rsidP="00A56965">
      <w:pPr>
        <w:ind w:left="720"/>
      </w:pPr>
      <w:r w:rsidRPr="002238BD">
        <w:t xml:space="preserve">Enacted into law on April 1, 2014, Section 224 of the Protecting Access to Medicare Act </w:t>
      </w:r>
    </w:p>
    <w:p w14:paraId="647EB366" w14:textId="2EF59842" w:rsidR="00AF308F" w:rsidRPr="002238BD" w:rsidRDefault="00AF308F" w:rsidP="00A56965">
      <w:pPr>
        <w:ind w:left="720"/>
      </w:pPr>
      <w:r w:rsidRPr="002238BD">
        <w:t>(PAMA)</w:t>
      </w:r>
      <w:r w:rsidR="009338A6" w:rsidRPr="002238BD">
        <w:t xml:space="preserve"> (Public Law 113-93)</w:t>
      </w:r>
      <w:r w:rsidRPr="002238BD">
        <w:t xml:space="preserve"> </w:t>
      </w:r>
      <w:r w:rsidR="009338A6" w:rsidRPr="002238BD">
        <w:t xml:space="preserve">mandated </w:t>
      </w:r>
      <w:r w:rsidRPr="002238BD">
        <w:t xml:space="preserve">a 4-year pilot program </w:t>
      </w:r>
      <w:r w:rsidR="009338A6" w:rsidRPr="002238BD">
        <w:t>of</w:t>
      </w:r>
      <w:r w:rsidRPr="002238BD">
        <w:t xml:space="preserve"> grants </w:t>
      </w:r>
      <w:r w:rsidR="009338A6" w:rsidRPr="002238BD">
        <w:t>to</w:t>
      </w:r>
      <w:r w:rsidRPr="002238BD">
        <w:t xml:space="preserve"> implement AOT programs</w:t>
      </w:r>
      <w:r w:rsidR="009338A6" w:rsidRPr="002238BD">
        <w:t xml:space="preserve"> nationwide</w:t>
      </w:r>
      <w:r w:rsidR="007C78B1">
        <w:t xml:space="preserve"> [Attachment A]</w:t>
      </w:r>
      <w:r w:rsidRPr="002238BD">
        <w:t>.</w:t>
      </w:r>
      <w:r w:rsidR="009338A6" w:rsidRPr="002238BD">
        <w:t xml:space="preserve"> Section 224(e) required a program evaluation to examine the impact of AOT on cost savings and public health outcomes, incarceration, homelessness, and patient and family satisfaction with program participation. </w:t>
      </w:r>
    </w:p>
    <w:p w14:paraId="28854820" w14:textId="77777777" w:rsidR="00AF308F" w:rsidRPr="002238BD" w:rsidRDefault="00AF308F" w:rsidP="00A56965">
      <w:pPr>
        <w:ind w:left="720"/>
      </w:pPr>
    </w:p>
    <w:p w14:paraId="7F64E344" w14:textId="152313EB" w:rsidR="00157216" w:rsidRPr="002238BD" w:rsidRDefault="00FB6946" w:rsidP="009338A6">
      <w:pPr>
        <w:ind w:left="720"/>
      </w:pPr>
      <w:r w:rsidRPr="002238BD">
        <w:t xml:space="preserve">AOT grants were awarded to </w:t>
      </w:r>
      <w:r w:rsidR="009338A6" w:rsidRPr="002238BD">
        <w:t>17</w:t>
      </w:r>
      <w:r w:rsidRPr="002238BD">
        <w:t xml:space="preserve"> grantees on October 1, 2016. </w:t>
      </w:r>
      <w:r w:rsidR="00833E39" w:rsidRPr="002238BD">
        <w:t xml:space="preserve">On </w:t>
      </w:r>
      <w:r w:rsidR="00E6605F" w:rsidRPr="002238BD">
        <w:t>October 4, 2016</w:t>
      </w:r>
      <w:r w:rsidR="00833E39" w:rsidRPr="002238BD">
        <w:t xml:space="preserve"> ASPE awarded task order </w:t>
      </w:r>
      <w:r w:rsidR="00E6605F" w:rsidRPr="002238BD">
        <w:t>#16-233-SOL-00683</w:t>
      </w:r>
      <w:r w:rsidR="00833E39" w:rsidRPr="002238BD">
        <w:t xml:space="preserve"> to RTI </w:t>
      </w:r>
      <w:r w:rsidR="00D31A8E" w:rsidRPr="002238BD">
        <w:t>International</w:t>
      </w:r>
      <w:r w:rsidR="00157216" w:rsidRPr="002238BD">
        <w:t>, in partnership with Duke University and Policy Research Associates (PRA),</w:t>
      </w:r>
      <w:r w:rsidR="00D31A8E" w:rsidRPr="002238BD">
        <w:t xml:space="preserve"> </w:t>
      </w:r>
      <w:r w:rsidR="009338A6" w:rsidRPr="002238BD">
        <w:t xml:space="preserve">to design and conduct </w:t>
      </w:r>
      <w:r w:rsidR="00B801F1" w:rsidRPr="002238BD">
        <w:t>implementation and outcome</w:t>
      </w:r>
      <w:r w:rsidR="00833E39" w:rsidRPr="002238BD">
        <w:t xml:space="preserve"> evaluation</w:t>
      </w:r>
      <w:r w:rsidR="00157216" w:rsidRPr="002238BD">
        <w:t>s</w:t>
      </w:r>
      <w:r w:rsidR="00833E39" w:rsidRPr="002238BD">
        <w:t xml:space="preserve"> of </w:t>
      </w:r>
      <w:r w:rsidR="009338A6" w:rsidRPr="002238BD">
        <w:t>six</w:t>
      </w:r>
      <w:r w:rsidR="00D31855" w:rsidRPr="002238BD">
        <w:t xml:space="preserve"> of the </w:t>
      </w:r>
      <w:r w:rsidR="009338A6" w:rsidRPr="002238BD">
        <w:t>17</w:t>
      </w:r>
      <w:r w:rsidR="00D31855" w:rsidRPr="002238BD">
        <w:t xml:space="preserve"> grantees of </w:t>
      </w:r>
      <w:r w:rsidR="00833E39" w:rsidRPr="002238BD">
        <w:t>the AOT program</w:t>
      </w:r>
      <w:r w:rsidR="00157216" w:rsidRPr="002238BD">
        <w:t>. These in-depth sites, presented below, were selected by the HHS AOT program advisory committee per several criteria, including but not limited to geographic diversity, AOT program type, AOT program size, data availability, and suitability for the outcome evaluation.</w:t>
      </w:r>
    </w:p>
    <w:p w14:paraId="0B51185F" w14:textId="0D5FBAE7" w:rsidR="00157216" w:rsidRPr="002238BD" w:rsidRDefault="00157216" w:rsidP="009338A6">
      <w:pPr>
        <w:ind w:left="720"/>
      </w:pPr>
    </w:p>
    <w:tbl>
      <w:tblPr>
        <w:tblStyle w:val="TableGrid-Wide"/>
        <w:tblW w:w="9360" w:type="dxa"/>
        <w:tblInd w:w="360" w:type="dxa"/>
        <w:tblLayout w:type="fixed"/>
        <w:tblLook w:val="01E0" w:firstRow="1" w:lastRow="1" w:firstColumn="1" w:lastColumn="1" w:noHBand="0" w:noVBand="0"/>
      </w:tblPr>
      <w:tblGrid>
        <w:gridCol w:w="4770"/>
        <w:gridCol w:w="4590"/>
      </w:tblGrid>
      <w:tr w:rsidR="00157216" w:rsidRPr="00157216" w14:paraId="19712F21" w14:textId="77777777" w:rsidTr="001572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14:paraId="0D52ED0C" w14:textId="77777777" w:rsidR="00157216" w:rsidRPr="00157216" w:rsidRDefault="00157216" w:rsidP="00157216">
            <w:pPr>
              <w:keepNext/>
              <w:spacing w:before="40" w:after="40"/>
              <w:rPr>
                <w:rFonts w:asciiTheme="majorHAnsi" w:hAnsiTheme="majorHAnsi" w:cstheme="majorHAnsi"/>
                <w:snapToGrid w:val="0"/>
                <w:sz w:val="22"/>
                <w:szCs w:val="22"/>
              </w:rPr>
            </w:pPr>
            <w:r w:rsidRPr="00157216">
              <w:rPr>
                <w:rFonts w:asciiTheme="majorHAnsi" w:hAnsiTheme="majorHAnsi" w:cstheme="majorHAnsi"/>
                <w:snapToGrid w:val="0"/>
                <w:sz w:val="22"/>
                <w:szCs w:val="22"/>
              </w:rPr>
              <w:t>Grantee</w:t>
            </w:r>
          </w:p>
        </w:tc>
        <w:tc>
          <w:tcPr>
            <w:tcW w:w="4590" w:type="dxa"/>
          </w:tcPr>
          <w:p w14:paraId="415C9FF4" w14:textId="77777777" w:rsidR="00157216" w:rsidRPr="00157216" w:rsidRDefault="00157216" w:rsidP="00157216">
            <w:pPr>
              <w:keepNext/>
              <w:spacing w:before="40" w:after="4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napToGrid w:val="0"/>
                <w:sz w:val="22"/>
                <w:szCs w:val="22"/>
              </w:rPr>
            </w:pPr>
            <w:r w:rsidRPr="00157216">
              <w:rPr>
                <w:rFonts w:asciiTheme="majorHAnsi" w:hAnsiTheme="majorHAnsi" w:cstheme="majorHAnsi"/>
                <w:snapToGrid w:val="0"/>
                <w:sz w:val="22"/>
                <w:szCs w:val="22"/>
              </w:rPr>
              <w:t>Implementing Location(s)</w:t>
            </w:r>
          </w:p>
        </w:tc>
      </w:tr>
      <w:tr w:rsidR="00157216" w:rsidRPr="00157216" w14:paraId="49DB1B77" w14:textId="77777777" w:rsidTr="00157216">
        <w:tc>
          <w:tcPr>
            <w:cnfStyle w:val="001000000000" w:firstRow="0" w:lastRow="0" w:firstColumn="1" w:lastColumn="0" w:oddVBand="0" w:evenVBand="0" w:oddHBand="0" w:evenHBand="0" w:firstRowFirstColumn="0" w:firstRowLastColumn="0" w:lastRowFirstColumn="0" w:lastRowLastColumn="0"/>
            <w:tcW w:w="4770" w:type="dxa"/>
          </w:tcPr>
          <w:p w14:paraId="2629D683" w14:textId="77777777" w:rsidR="00157216" w:rsidRPr="00157216" w:rsidRDefault="00157216" w:rsidP="00157216">
            <w:pPr>
              <w:spacing w:before="40" w:after="40"/>
              <w:rPr>
                <w:rFonts w:asciiTheme="majorHAnsi" w:hAnsiTheme="majorHAnsi" w:cstheme="majorHAnsi"/>
                <w:sz w:val="22"/>
                <w:szCs w:val="22"/>
              </w:rPr>
            </w:pPr>
            <w:r w:rsidRPr="00157216">
              <w:rPr>
                <w:rFonts w:asciiTheme="majorHAnsi" w:hAnsiTheme="majorHAnsi" w:cstheme="majorHAnsi"/>
                <w:sz w:val="22"/>
                <w:szCs w:val="22"/>
              </w:rPr>
              <w:t>AltaPointe Health Systems, Inc.</w:t>
            </w:r>
          </w:p>
        </w:tc>
        <w:tc>
          <w:tcPr>
            <w:tcW w:w="4590" w:type="dxa"/>
          </w:tcPr>
          <w:p w14:paraId="2E172B0B" w14:textId="77777777" w:rsidR="00157216" w:rsidRPr="00157216" w:rsidRDefault="00157216" w:rsidP="00157216">
            <w:pPr>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157216">
              <w:rPr>
                <w:rFonts w:asciiTheme="majorHAnsi" w:hAnsiTheme="majorHAnsi" w:cstheme="majorHAnsi"/>
                <w:sz w:val="22"/>
                <w:szCs w:val="22"/>
              </w:rPr>
              <w:t>Baldwin Co, AL</w:t>
            </w:r>
          </w:p>
        </w:tc>
      </w:tr>
      <w:tr w:rsidR="00157216" w:rsidRPr="00157216" w14:paraId="5583ECA8" w14:textId="77777777" w:rsidTr="00157216">
        <w:tc>
          <w:tcPr>
            <w:cnfStyle w:val="001000000000" w:firstRow="0" w:lastRow="0" w:firstColumn="1" w:lastColumn="0" w:oddVBand="0" w:evenVBand="0" w:oddHBand="0" w:evenHBand="0" w:firstRowFirstColumn="0" w:firstRowLastColumn="0" w:lastRowFirstColumn="0" w:lastRowLastColumn="0"/>
            <w:tcW w:w="4770" w:type="dxa"/>
          </w:tcPr>
          <w:p w14:paraId="75B96F3B" w14:textId="77777777" w:rsidR="00157216" w:rsidRPr="00157216" w:rsidRDefault="00157216" w:rsidP="00157216">
            <w:pPr>
              <w:spacing w:before="40" w:after="40"/>
              <w:rPr>
                <w:rFonts w:asciiTheme="majorHAnsi" w:hAnsiTheme="majorHAnsi" w:cstheme="majorHAnsi"/>
                <w:sz w:val="22"/>
                <w:szCs w:val="22"/>
              </w:rPr>
            </w:pPr>
            <w:r w:rsidRPr="00157216">
              <w:rPr>
                <w:rFonts w:asciiTheme="majorHAnsi" w:hAnsiTheme="majorHAnsi" w:cstheme="majorHAnsi"/>
                <w:sz w:val="22"/>
                <w:szCs w:val="22"/>
              </w:rPr>
              <w:t>Cook County Health &amp; Hospital System</w:t>
            </w:r>
          </w:p>
        </w:tc>
        <w:tc>
          <w:tcPr>
            <w:tcW w:w="4590" w:type="dxa"/>
          </w:tcPr>
          <w:p w14:paraId="65ED23D1" w14:textId="77777777" w:rsidR="00157216" w:rsidRPr="00157216" w:rsidRDefault="00157216" w:rsidP="00157216">
            <w:pPr>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157216">
              <w:rPr>
                <w:rFonts w:asciiTheme="majorHAnsi" w:hAnsiTheme="majorHAnsi" w:cstheme="majorHAnsi"/>
                <w:sz w:val="22"/>
                <w:szCs w:val="22"/>
              </w:rPr>
              <w:t>Chicago, IL</w:t>
            </w:r>
          </w:p>
        </w:tc>
      </w:tr>
      <w:tr w:rsidR="00157216" w:rsidRPr="00157216" w14:paraId="55CF2431" w14:textId="77777777" w:rsidTr="00157216">
        <w:tc>
          <w:tcPr>
            <w:cnfStyle w:val="001000000000" w:firstRow="0" w:lastRow="0" w:firstColumn="1" w:lastColumn="0" w:oddVBand="0" w:evenVBand="0" w:oddHBand="0" w:evenHBand="0" w:firstRowFirstColumn="0" w:firstRowLastColumn="0" w:lastRowFirstColumn="0" w:lastRowLastColumn="0"/>
            <w:tcW w:w="4770" w:type="dxa"/>
          </w:tcPr>
          <w:p w14:paraId="411AB9CE" w14:textId="77777777" w:rsidR="00157216" w:rsidRPr="00157216" w:rsidRDefault="00157216" w:rsidP="00157216">
            <w:pPr>
              <w:spacing w:before="40" w:after="40"/>
              <w:rPr>
                <w:rFonts w:asciiTheme="majorHAnsi" w:hAnsiTheme="majorHAnsi" w:cstheme="majorHAnsi"/>
                <w:sz w:val="22"/>
                <w:szCs w:val="22"/>
              </w:rPr>
            </w:pPr>
            <w:r w:rsidRPr="00157216">
              <w:rPr>
                <w:rFonts w:asciiTheme="majorHAnsi" w:hAnsiTheme="majorHAnsi" w:cstheme="majorHAnsi"/>
                <w:sz w:val="22"/>
                <w:szCs w:val="22"/>
              </w:rPr>
              <w:t>Hinds County Mental Health Commission</w:t>
            </w:r>
          </w:p>
        </w:tc>
        <w:tc>
          <w:tcPr>
            <w:tcW w:w="4590" w:type="dxa"/>
          </w:tcPr>
          <w:p w14:paraId="3956E655" w14:textId="77777777" w:rsidR="00157216" w:rsidRPr="00157216" w:rsidRDefault="00157216" w:rsidP="00157216">
            <w:pPr>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157216">
              <w:rPr>
                <w:rFonts w:asciiTheme="majorHAnsi" w:hAnsiTheme="majorHAnsi" w:cstheme="majorHAnsi"/>
                <w:sz w:val="22"/>
                <w:szCs w:val="22"/>
              </w:rPr>
              <w:t>Jackson, MS</w:t>
            </w:r>
          </w:p>
        </w:tc>
      </w:tr>
      <w:tr w:rsidR="00157216" w:rsidRPr="00157216" w14:paraId="247A81C7" w14:textId="77777777" w:rsidTr="00157216">
        <w:tc>
          <w:tcPr>
            <w:cnfStyle w:val="001000000000" w:firstRow="0" w:lastRow="0" w:firstColumn="1" w:lastColumn="0" w:oddVBand="0" w:evenVBand="0" w:oddHBand="0" w:evenHBand="0" w:firstRowFirstColumn="0" w:firstRowLastColumn="0" w:lastRowFirstColumn="0" w:lastRowLastColumn="0"/>
            <w:tcW w:w="4770" w:type="dxa"/>
          </w:tcPr>
          <w:p w14:paraId="06AC596D" w14:textId="77777777" w:rsidR="00157216" w:rsidRPr="00157216" w:rsidRDefault="00157216" w:rsidP="00157216">
            <w:pPr>
              <w:spacing w:before="40" w:after="40"/>
              <w:rPr>
                <w:rFonts w:asciiTheme="majorHAnsi" w:hAnsiTheme="majorHAnsi" w:cstheme="majorHAnsi"/>
                <w:sz w:val="22"/>
                <w:szCs w:val="22"/>
              </w:rPr>
            </w:pPr>
            <w:r w:rsidRPr="00157216">
              <w:rPr>
                <w:rFonts w:asciiTheme="majorHAnsi" w:hAnsiTheme="majorHAnsi" w:cstheme="majorHAnsi"/>
                <w:sz w:val="22"/>
                <w:szCs w:val="22"/>
              </w:rPr>
              <w:t>Doña Ana County</w:t>
            </w:r>
          </w:p>
        </w:tc>
        <w:tc>
          <w:tcPr>
            <w:tcW w:w="4590" w:type="dxa"/>
          </w:tcPr>
          <w:p w14:paraId="1CEF541C" w14:textId="77777777" w:rsidR="00157216" w:rsidRPr="00157216" w:rsidRDefault="00157216" w:rsidP="00157216">
            <w:pPr>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157216">
              <w:rPr>
                <w:rFonts w:asciiTheme="majorHAnsi" w:hAnsiTheme="majorHAnsi" w:cstheme="majorHAnsi"/>
                <w:sz w:val="22"/>
                <w:szCs w:val="22"/>
              </w:rPr>
              <w:t>Las Cruces, NM</w:t>
            </w:r>
          </w:p>
        </w:tc>
      </w:tr>
      <w:tr w:rsidR="00157216" w:rsidRPr="00157216" w14:paraId="30E9DD22" w14:textId="77777777" w:rsidTr="00157216">
        <w:tc>
          <w:tcPr>
            <w:cnfStyle w:val="001000000000" w:firstRow="0" w:lastRow="0" w:firstColumn="1" w:lastColumn="0" w:oddVBand="0" w:evenVBand="0" w:oddHBand="0" w:evenHBand="0" w:firstRowFirstColumn="0" w:firstRowLastColumn="0" w:lastRowFirstColumn="0" w:lastRowLastColumn="0"/>
            <w:tcW w:w="4770" w:type="dxa"/>
            <w:tcBorders>
              <w:bottom w:val="nil"/>
            </w:tcBorders>
          </w:tcPr>
          <w:p w14:paraId="0AD16D56" w14:textId="77777777" w:rsidR="00157216" w:rsidRPr="00157216" w:rsidRDefault="00157216" w:rsidP="00157216">
            <w:pPr>
              <w:spacing w:before="40" w:after="40"/>
              <w:rPr>
                <w:rFonts w:asciiTheme="majorHAnsi" w:hAnsiTheme="majorHAnsi" w:cstheme="majorHAnsi"/>
                <w:sz w:val="22"/>
                <w:szCs w:val="22"/>
              </w:rPr>
            </w:pPr>
            <w:r w:rsidRPr="00157216">
              <w:rPr>
                <w:rFonts w:asciiTheme="majorHAnsi" w:hAnsiTheme="majorHAnsi" w:cstheme="majorHAnsi"/>
                <w:sz w:val="22"/>
                <w:szCs w:val="22"/>
              </w:rPr>
              <w:t>Alcohol, Drug Addiction &amp; Mental Health Services Board of Cuyahoga County (ADAMHSBCC)</w:t>
            </w:r>
          </w:p>
        </w:tc>
        <w:tc>
          <w:tcPr>
            <w:tcW w:w="4590" w:type="dxa"/>
            <w:tcBorders>
              <w:bottom w:val="nil"/>
            </w:tcBorders>
            <w:vAlign w:val="center"/>
          </w:tcPr>
          <w:p w14:paraId="1F5C3F01" w14:textId="77777777" w:rsidR="00157216" w:rsidRPr="00157216" w:rsidRDefault="00157216" w:rsidP="00157216">
            <w:pPr>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157216">
              <w:rPr>
                <w:rFonts w:asciiTheme="majorHAnsi" w:hAnsiTheme="majorHAnsi" w:cstheme="majorHAnsi"/>
                <w:sz w:val="22"/>
                <w:szCs w:val="22"/>
              </w:rPr>
              <w:t>Cleveland, OH</w:t>
            </w:r>
          </w:p>
        </w:tc>
      </w:tr>
      <w:tr w:rsidR="00157216" w:rsidRPr="00157216" w14:paraId="2CF5EB31" w14:textId="77777777" w:rsidTr="001572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Borders>
              <w:top w:val="nil"/>
            </w:tcBorders>
          </w:tcPr>
          <w:p w14:paraId="16D53E0A" w14:textId="77777777" w:rsidR="00157216" w:rsidRPr="00157216" w:rsidRDefault="00157216" w:rsidP="00157216">
            <w:pPr>
              <w:spacing w:before="40" w:after="40"/>
              <w:rPr>
                <w:rFonts w:asciiTheme="majorHAnsi" w:hAnsiTheme="majorHAnsi" w:cstheme="majorHAnsi"/>
                <w:sz w:val="22"/>
                <w:szCs w:val="22"/>
              </w:rPr>
            </w:pPr>
            <w:r w:rsidRPr="00157216">
              <w:rPr>
                <w:rFonts w:asciiTheme="majorHAnsi" w:hAnsiTheme="majorHAnsi" w:cstheme="majorHAnsi"/>
                <w:sz w:val="22"/>
                <w:szCs w:val="22"/>
              </w:rPr>
              <w:t>Oklahoma Department of Mental Health and Substance Abuse Services (ODMHSAS)</w:t>
            </w:r>
          </w:p>
        </w:tc>
        <w:tc>
          <w:tcPr>
            <w:tcW w:w="4590" w:type="dxa"/>
            <w:tcBorders>
              <w:top w:val="nil"/>
            </w:tcBorders>
          </w:tcPr>
          <w:p w14:paraId="0DB9D390" w14:textId="77777777" w:rsidR="00157216" w:rsidRPr="00157216" w:rsidRDefault="00157216" w:rsidP="00157216">
            <w:pPr>
              <w:spacing w:before="40" w:after="40"/>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157216">
              <w:rPr>
                <w:rFonts w:asciiTheme="majorHAnsi" w:hAnsiTheme="majorHAnsi" w:cstheme="majorHAnsi"/>
                <w:sz w:val="22"/>
                <w:szCs w:val="22"/>
              </w:rPr>
              <w:t>Oklahoma City, Tulsa, and Rogers, Washington, Ottawa, and Delaware Counties, OK</w:t>
            </w:r>
          </w:p>
        </w:tc>
      </w:tr>
    </w:tbl>
    <w:p w14:paraId="2E159928" w14:textId="77777777" w:rsidR="009338A6" w:rsidRPr="002238BD" w:rsidRDefault="009338A6" w:rsidP="006E6409">
      <w:pPr>
        <w:ind w:left="720"/>
      </w:pPr>
    </w:p>
    <w:p w14:paraId="3FBBF9DE" w14:textId="25151DE3" w:rsidR="006E6409" w:rsidRPr="002238BD" w:rsidRDefault="00157216" w:rsidP="006E6409">
      <w:pPr>
        <w:ind w:left="720"/>
      </w:pPr>
      <w:r w:rsidRPr="002238BD">
        <w:t xml:space="preserve">The </w:t>
      </w:r>
      <w:r w:rsidR="006E6409" w:rsidRPr="002238BD">
        <w:t xml:space="preserve">implementation evaluation of </w:t>
      </w:r>
      <w:r w:rsidRPr="002238BD">
        <w:t xml:space="preserve">the </w:t>
      </w:r>
      <w:r w:rsidR="006E6409" w:rsidRPr="002238BD">
        <w:t>six</w:t>
      </w:r>
      <w:r w:rsidRPr="002238BD">
        <w:t xml:space="preserve"> AOT</w:t>
      </w:r>
      <w:r w:rsidR="006E6409" w:rsidRPr="002238BD">
        <w:t xml:space="preserve"> grantees </w:t>
      </w:r>
      <w:r w:rsidRPr="002238BD">
        <w:t>listed above</w:t>
      </w:r>
      <w:r w:rsidR="006E6409" w:rsidRPr="002238BD">
        <w:t xml:space="preserve"> was conducted from November 2016 to August 2017, with the purpose of gathering information related to the processes and practices of AOT in </w:t>
      </w:r>
      <w:r w:rsidR="00643CA0" w:rsidRPr="002238BD">
        <w:t>seven</w:t>
      </w:r>
      <w:r w:rsidR="006E6409" w:rsidRPr="002238BD">
        <w:t xml:space="preserve"> domains:</w:t>
      </w:r>
    </w:p>
    <w:p w14:paraId="296D9536" w14:textId="77777777" w:rsidR="006E6409" w:rsidRPr="002238BD" w:rsidRDefault="006E6409" w:rsidP="006E6409">
      <w:pPr>
        <w:ind w:left="720"/>
      </w:pPr>
    </w:p>
    <w:p w14:paraId="6C02111B" w14:textId="77777777" w:rsidR="006E6409" w:rsidRPr="002238BD" w:rsidRDefault="00D879CD" w:rsidP="00D879CD">
      <w:pPr>
        <w:pStyle w:val="ListParagraph"/>
        <w:numPr>
          <w:ilvl w:val="0"/>
          <w:numId w:val="4"/>
        </w:numPr>
        <w:ind w:left="1800"/>
      </w:pPr>
      <w:r w:rsidRPr="002238BD">
        <w:t>AOT programs and court processes</w:t>
      </w:r>
    </w:p>
    <w:p w14:paraId="26572681" w14:textId="77777777" w:rsidR="00D879CD" w:rsidRPr="002238BD" w:rsidRDefault="00D879CD" w:rsidP="00D879CD">
      <w:pPr>
        <w:pStyle w:val="ListParagraph"/>
        <w:numPr>
          <w:ilvl w:val="0"/>
          <w:numId w:val="4"/>
        </w:numPr>
        <w:ind w:left="1800"/>
      </w:pPr>
      <w:r w:rsidRPr="002238BD">
        <w:t>Target populations</w:t>
      </w:r>
    </w:p>
    <w:p w14:paraId="786CF9B4" w14:textId="77777777" w:rsidR="00D879CD" w:rsidRPr="002238BD" w:rsidRDefault="00D879CD" w:rsidP="00D879CD">
      <w:pPr>
        <w:pStyle w:val="ListParagraph"/>
        <w:numPr>
          <w:ilvl w:val="0"/>
          <w:numId w:val="4"/>
        </w:numPr>
        <w:ind w:left="1800"/>
      </w:pPr>
      <w:r w:rsidRPr="002238BD">
        <w:t>Service infrastructure and clinical approaches</w:t>
      </w:r>
    </w:p>
    <w:p w14:paraId="07B45C3D" w14:textId="77777777" w:rsidR="00D879CD" w:rsidRPr="002238BD" w:rsidRDefault="00D879CD" w:rsidP="00D879CD">
      <w:pPr>
        <w:pStyle w:val="ListParagraph"/>
        <w:numPr>
          <w:ilvl w:val="0"/>
          <w:numId w:val="4"/>
        </w:numPr>
        <w:ind w:left="1800"/>
      </w:pPr>
      <w:r w:rsidRPr="002238BD">
        <w:t>Stakeholder involvement</w:t>
      </w:r>
    </w:p>
    <w:p w14:paraId="2D434EBA" w14:textId="77777777" w:rsidR="00D879CD" w:rsidRPr="002238BD" w:rsidRDefault="00D879CD" w:rsidP="00D879CD">
      <w:pPr>
        <w:pStyle w:val="ListParagraph"/>
        <w:numPr>
          <w:ilvl w:val="0"/>
          <w:numId w:val="4"/>
        </w:numPr>
        <w:ind w:left="1800"/>
      </w:pPr>
      <w:r w:rsidRPr="002238BD">
        <w:lastRenderedPageBreak/>
        <w:t>Person-centered approaches and procedural justice</w:t>
      </w:r>
    </w:p>
    <w:p w14:paraId="0A3002C0" w14:textId="77777777" w:rsidR="00D879CD" w:rsidRPr="002238BD" w:rsidRDefault="00D879CD" w:rsidP="00D879CD">
      <w:pPr>
        <w:pStyle w:val="ListParagraph"/>
        <w:numPr>
          <w:ilvl w:val="0"/>
          <w:numId w:val="4"/>
        </w:numPr>
        <w:ind w:left="1800"/>
      </w:pPr>
      <w:r w:rsidRPr="002238BD">
        <w:t>Innovation</w:t>
      </w:r>
    </w:p>
    <w:p w14:paraId="6EE636AB" w14:textId="77777777" w:rsidR="00D879CD" w:rsidRPr="002238BD" w:rsidRDefault="00D879CD" w:rsidP="00D879CD">
      <w:pPr>
        <w:pStyle w:val="ListParagraph"/>
        <w:numPr>
          <w:ilvl w:val="0"/>
          <w:numId w:val="4"/>
        </w:numPr>
        <w:ind w:left="1800"/>
      </w:pPr>
      <w:r w:rsidRPr="002238BD">
        <w:t>Evaluation capacities</w:t>
      </w:r>
    </w:p>
    <w:p w14:paraId="10CC43CC" w14:textId="77777777" w:rsidR="004D444B" w:rsidRPr="002238BD" w:rsidRDefault="004D444B" w:rsidP="004D444B"/>
    <w:p w14:paraId="07519E63" w14:textId="60F153A9" w:rsidR="004D444B" w:rsidRPr="002238BD" w:rsidRDefault="00643CA0" w:rsidP="00611004">
      <w:pPr>
        <w:ind w:left="720"/>
      </w:pPr>
      <w:r w:rsidRPr="002238BD">
        <w:t>A final report of the impl</w:t>
      </w:r>
      <w:r w:rsidR="00B01E19" w:rsidRPr="002238BD">
        <w:t>ementation evaluation was accepted b</w:t>
      </w:r>
      <w:r w:rsidR="00FF1E50" w:rsidRPr="002238BD">
        <w:t xml:space="preserve">y ASPE on </w:t>
      </w:r>
      <w:r w:rsidR="00E6605F" w:rsidRPr="002238BD">
        <w:t>October 18, 2017</w:t>
      </w:r>
      <w:r w:rsidR="004250E0">
        <w:t xml:space="preserve">. An overview of the results was integrated into the </w:t>
      </w:r>
      <w:r w:rsidR="00611004">
        <w:t>2018 Report to Congress for PAMA 224</w:t>
      </w:r>
    </w:p>
    <w:p w14:paraId="36AE4BEC" w14:textId="6FFA169C" w:rsidR="00157216" w:rsidRPr="002238BD" w:rsidRDefault="00157216" w:rsidP="00643CA0">
      <w:pPr>
        <w:ind w:left="720"/>
      </w:pPr>
    </w:p>
    <w:p w14:paraId="1E9DB9E3" w14:textId="0A8271EA" w:rsidR="00771568" w:rsidRPr="002238BD" w:rsidRDefault="00157216" w:rsidP="00643CA0">
      <w:pPr>
        <w:ind w:left="720"/>
      </w:pPr>
      <w:r w:rsidRPr="002238BD">
        <w:t xml:space="preserve">The outcome evaluation will examine which </w:t>
      </w:r>
      <w:r w:rsidR="005D60B9">
        <w:t>characteristics</w:t>
      </w:r>
      <w:r w:rsidR="005D60B9" w:rsidRPr="002238BD">
        <w:t xml:space="preserve"> </w:t>
      </w:r>
      <w:r w:rsidRPr="002238BD">
        <w:t>of AOT programs influence health and social outcomes for people under AOT orders, as well as the use of services, associated costs, and patient and family sat</w:t>
      </w:r>
      <w:r w:rsidR="00771568" w:rsidRPr="002238BD">
        <w:t xml:space="preserve">isfaction with </w:t>
      </w:r>
      <w:r w:rsidR="00175EE6">
        <w:t>the AOT process. The ability of</w:t>
      </w:r>
      <w:r w:rsidR="00413CCB">
        <w:t xml:space="preserve"> </w:t>
      </w:r>
      <w:r w:rsidR="00771568" w:rsidRPr="002238BD">
        <w:t>HHS</w:t>
      </w:r>
      <w:r w:rsidR="00413CCB">
        <w:t xml:space="preserve"> to provide</w:t>
      </w:r>
      <w:r w:rsidR="00771568" w:rsidRPr="002238BD">
        <w:t xml:space="preserve"> Congress with the information they need to understand the impact of AOT relies, in part, on a rigorously designed, independent evaluation of the AOT grant program. This evaluation will take place across two phases: Phase 1, taking place through October 29, 2018, and Phase 2, extending through September 25, 2020. Findings will inform</w:t>
      </w:r>
      <w:r w:rsidR="00611004">
        <w:t xml:space="preserve"> future</w:t>
      </w:r>
      <w:r w:rsidR="00771568" w:rsidRPr="002238BD">
        <w:t xml:space="preserve"> reports to Congress. Evaluation data collection that requires OMB approval will not begin until ASPE receives final OMB approval. </w:t>
      </w:r>
    </w:p>
    <w:p w14:paraId="6135F50F" w14:textId="77777777" w:rsidR="002215B0" w:rsidRPr="002238BD" w:rsidRDefault="002215B0" w:rsidP="002215B0"/>
    <w:p w14:paraId="6E072A05" w14:textId="77777777" w:rsidR="002215B0" w:rsidRPr="002238BD" w:rsidRDefault="002215B0" w:rsidP="002215B0">
      <w:pPr>
        <w:pStyle w:val="Heading4"/>
        <w:numPr>
          <w:ilvl w:val="0"/>
          <w:numId w:val="10"/>
        </w:numPr>
        <w:ind w:left="1080"/>
      </w:pPr>
      <w:r w:rsidRPr="002238BD">
        <w:t xml:space="preserve">Study </w:t>
      </w:r>
      <w:r w:rsidR="00181B0B" w:rsidRPr="002238BD">
        <w:t>Design and Evaluation Questions</w:t>
      </w:r>
    </w:p>
    <w:p w14:paraId="23E3FF66" w14:textId="77777777" w:rsidR="002215B0" w:rsidRPr="002238BD" w:rsidRDefault="002215B0" w:rsidP="002215B0"/>
    <w:p w14:paraId="1DE536C1" w14:textId="22A7F631" w:rsidR="002215B0" w:rsidRPr="002238BD" w:rsidRDefault="002215B0" w:rsidP="002215B0">
      <w:pPr>
        <w:ind w:left="720"/>
      </w:pPr>
      <w:r w:rsidRPr="002238BD">
        <w:t xml:space="preserve">Informed by limitations of prior research as well as relevant findings from the implementation evaluation, the study team seeks to implement a </w:t>
      </w:r>
      <w:r w:rsidR="00157216" w:rsidRPr="002238BD">
        <w:t>mixed-methods approach</w:t>
      </w:r>
      <w:r w:rsidRPr="002238BD">
        <w:t xml:space="preserve"> that will suitably address the challenges inherent in multi-site data collection and analysis to address </w:t>
      </w:r>
      <w:r w:rsidR="00157216" w:rsidRPr="002238BD">
        <w:t>eleven</w:t>
      </w:r>
      <w:r w:rsidRPr="002238BD">
        <w:t xml:space="preserve"> </w:t>
      </w:r>
      <w:r w:rsidR="007C78B1">
        <w:t>evaluation</w:t>
      </w:r>
      <w:r w:rsidRPr="002238BD">
        <w:t xml:space="preserve"> questions in the </w:t>
      </w:r>
      <w:r w:rsidR="00157216" w:rsidRPr="002238BD">
        <w:t>following</w:t>
      </w:r>
      <w:r w:rsidRPr="002238BD">
        <w:t xml:space="preserve"> domains:</w:t>
      </w:r>
    </w:p>
    <w:p w14:paraId="7D72459A" w14:textId="77777777" w:rsidR="002215B0" w:rsidRPr="002238BD" w:rsidRDefault="002215B0" w:rsidP="002215B0">
      <w:pPr>
        <w:ind w:left="720"/>
      </w:pPr>
    </w:p>
    <w:p w14:paraId="23E52DB1" w14:textId="77777777" w:rsidR="002215B0" w:rsidRPr="002238BD" w:rsidRDefault="002215B0" w:rsidP="002215B0">
      <w:pPr>
        <w:numPr>
          <w:ilvl w:val="0"/>
          <w:numId w:val="5"/>
        </w:numPr>
        <w:rPr>
          <w:u w:val="single"/>
        </w:rPr>
      </w:pPr>
      <w:r w:rsidRPr="002238BD">
        <w:rPr>
          <w:u w:val="single"/>
        </w:rPr>
        <w:t>Domain 1: AOT program outcomes</w:t>
      </w:r>
    </w:p>
    <w:p w14:paraId="7E34582A" w14:textId="36DE7887" w:rsidR="00D13EC0" w:rsidRPr="002238BD" w:rsidRDefault="007C78B1" w:rsidP="00D13EC0">
      <w:pPr>
        <w:ind w:left="2880" w:hanging="720"/>
      </w:pPr>
      <w:r>
        <w:t>E</w:t>
      </w:r>
      <w:r w:rsidR="00D13EC0" w:rsidRPr="002238BD">
        <w:t>Q1</w:t>
      </w:r>
      <w:r w:rsidR="00D13EC0" w:rsidRPr="002238BD">
        <w:tab/>
      </w:r>
      <w:r w:rsidR="002215B0" w:rsidRPr="002238BD">
        <w:t>Does AOT affect treatment, clinical functioning, and social functioning outcomes?</w:t>
      </w:r>
    </w:p>
    <w:p w14:paraId="6E52D5EC" w14:textId="78246E33" w:rsidR="00D13EC0" w:rsidRPr="002238BD" w:rsidRDefault="007C78B1" w:rsidP="00D13EC0">
      <w:pPr>
        <w:ind w:left="2880" w:hanging="720"/>
      </w:pPr>
      <w:r>
        <w:t>E</w:t>
      </w:r>
      <w:r w:rsidR="00D13EC0" w:rsidRPr="002238BD">
        <w:t>Q2</w:t>
      </w:r>
      <w:r w:rsidR="00D13EC0" w:rsidRPr="002238BD">
        <w:tab/>
      </w:r>
      <w:r w:rsidR="002215B0" w:rsidRPr="002238BD">
        <w:t>Do outcomes differ by AOT duration and/or scope of services (e.g., Assertive Community Treatment [ACT] alone vs. ACT supplemented by other evidence-based practices [EBPs])?</w:t>
      </w:r>
    </w:p>
    <w:p w14:paraId="05F63A12" w14:textId="5E734D67" w:rsidR="00D13EC0" w:rsidRPr="002238BD" w:rsidRDefault="007C78B1" w:rsidP="00D13EC0">
      <w:pPr>
        <w:ind w:left="2880" w:hanging="720"/>
      </w:pPr>
      <w:r>
        <w:t>E</w:t>
      </w:r>
      <w:r w:rsidR="00D13EC0" w:rsidRPr="002238BD">
        <w:t>Q3</w:t>
      </w:r>
      <w:r w:rsidR="00D13EC0" w:rsidRPr="002238BD">
        <w:tab/>
      </w:r>
      <w:r w:rsidR="002215B0" w:rsidRPr="002238BD">
        <w:t>What do patients report about AOT?</w:t>
      </w:r>
    </w:p>
    <w:p w14:paraId="09C5E3E4" w14:textId="4FAEED9F" w:rsidR="002215B0" w:rsidRPr="002238BD" w:rsidRDefault="007C78B1" w:rsidP="00D13EC0">
      <w:pPr>
        <w:ind w:left="2880" w:hanging="720"/>
      </w:pPr>
      <w:r>
        <w:t>E</w:t>
      </w:r>
      <w:r w:rsidR="00D13EC0" w:rsidRPr="002238BD">
        <w:t>Q4</w:t>
      </w:r>
      <w:r w:rsidR="00D13EC0" w:rsidRPr="002238BD">
        <w:tab/>
      </w:r>
      <w:r w:rsidR="002215B0" w:rsidRPr="002238BD">
        <w:t>Are families satisfied with AOT? With treatment providers? With judicial/legal personnel?</w:t>
      </w:r>
    </w:p>
    <w:p w14:paraId="07C45D7A" w14:textId="77777777" w:rsidR="002215B0" w:rsidRPr="002238BD" w:rsidRDefault="002215B0" w:rsidP="002215B0"/>
    <w:p w14:paraId="1342B4EA" w14:textId="77777777" w:rsidR="002215B0" w:rsidRPr="002238BD" w:rsidRDefault="002215B0" w:rsidP="002215B0">
      <w:pPr>
        <w:numPr>
          <w:ilvl w:val="0"/>
          <w:numId w:val="5"/>
        </w:numPr>
        <w:rPr>
          <w:u w:val="single"/>
        </w:rPr>
      </w:pPr>
      <w:r w:rsidRPr="002238BD">
        <w:rPr>
          <w:u w:val="single"/>
        </w:rPr>
        <w:t>Domain 2: AOT models and interventions</w:t>
      </w:r>
    </w:p>
    <w:p w14:paraId="434F8AB8" w14:textId="5FA56663" w:rsidR="00D13EC0" w:rsidRPr="002238BD" w:rsidRDefault="007C78B1" w:rsidP="00D13EC0">
      <w:pPr>
        <w:ind w:left="2880" w:hanging="720"/>
      </w:pPr>
      <w:r>
        <w:t>E</w:t>
      </w:r>
      <w:r w:rsidR="00D13EC0" w:rsidRPr="002238BD">
        <w:t>Q5</w:t>
      </w:r>
      <w:r w:rsidR="00D13EC0" w:rsidRPr="002238BD">
        <w:tab/>
      </w:r>
      <w:r w:rsidR="002215B0" w:rsidRPr="002238BD">
        <w:t>Which models of AOT lead to better outcomes?</w:t>
      </w:r>
    </w:p>
    <w:p w14:paraId="528445D1" w14:textId="3F70D097" w:rsidR="00D13EC0" w:rsidRPr="002238BD" w:rsidRDefault="007C78B1" w:rsidP="00D13EC0">
      <w:pPr>
        <w:ind w:left="2880" w:hanging="720"/>
      </w:pPr>
      <w:r>
        <w:t>E</w:t>
      </w:r>
      <w:r w:rsidR="00D13EC0" w:rsidRPr="002238BD">
        <w:t>Q6</w:t>
      </w:r>
      <w:r w:rsidR="00D13EC0" w:rsidRPr="002238BD">
        <w:tab/>
      </w:r>
      <w:r w:rsidR="002215B0" w:rsidRPr="002238BD">
        <w:t>Which specific intervention components, including the use of EBPs, lead to better outcomes?</w:t>
      </w:r>
    </w:p>
    <w:p w14:paraId="5952BE7B" w14:textId="765DE2B4" w:rsidR="002215B0" w:rsidRPr="002238BD" w:rsidRDefault="007C78B1" w:rsidP="00D13EC0">
      <w:pPr>
        <w:ind w:left="2880" w:hanging="720"/>
      </w:pPr>
      <w:r>
        <w:t>E</w:t>
      </w:r>
      <w:r w:rsidR="00D13EC0" w:rsidRPr="002238BD">
        <w:t>Q7</w:t>
      </w:r>
      <w:r w:rsidR="00D13EC0" w:rsidRPr="002238BD">
        <w:tab/>
      </w:r>
      <w:r w:rsidR="002215B0" w:rsidRPr="002238BD">
        <w:t>Do outcomes differ based on the intensity of services offered, or intensity of resources available to providers?</w:t>
      </w:r>
    </w:p>
    <w:p w14:paraId="566259E9" w14:textId="77777777" w:rsidR="002215B0" w:rsidRPr="002238BD" w:rsidRDefault="002215B0" w:rsidP="002215B0"/>
    <w:p w14:paraId="162028B2" w14:textId="77777777" w:rsidR="002215B0" w:rsidRPr="002238BD" w:rsidRDefault="002215B0" w:rsidP="002215B0">
      <w:pPr>
        <w:numPr>
          <w:ilvl w:val="0"/>
          <w:numId w:val="5"/>
        </w:numPr>
        <w:rPr>
          <w:u w:val="single"/>
        </w:rPr>
      </w:pPr>
      <w:r w:rsidRPr="002238BD">
        <w:rPr>
          <w:u w:val="single"/>
        </w:rPr>
        <w:t>Domain 3: AOT resources and costs</w:t>
      </w:r>
    </w:p>
    <w:p w14:paraId="3514A885" w14:textId="09072349" w:rsidR="00D13EC0" w:rsidRPr="002238BD" w:rsidRDefault="007C78B1" w:rsidP="00D13EC0">
      <w:pPr>
        <w:ind w:left="2880" w:hanging="720"/>
      </w:pPr>
      <w:r>
        <w:t>E</w:t>
      </w:r>
      <w:r w:rsidR="00D13EC0" w:rsidRPr="002238BD">
        <w:t>Q8</w:t>
      </w:r>
      <w:r w:rsidR="00D13EC0" w:rsidRPr="002238BD">
        <w:tab/>
      </w:r>
      <w:r w:rsidR="002215B0" w:rsidRPr="002238BD">
        <w:t>What resources are available to support AOT?</w:t>
      </w:r>
    </w:p>
    <w:p w14:paraId="5870BACB" w14:textId="0DC3B21D" w:rsidR="00D13EC0" w:rsidRPr="002238BD" w:rsidRDefault="007C78B1" w:rsidP="00D13EC0">
      <w:pPr>
        <w:ind w:left="2880" w:hanging="720"/>
      </w:pPr>
      <w:r>
        <w:t>E</w:t>
      </w:r>
      <w:r w:rsidR="00D13EC0" w:rsidRPr="002238BD">
        <w:t>Q9</w:t>
      </w:r>
      <w:r w:rsidR="00D13EC0" w:rsidRPr="002238BD">
        <w:tab/>
      </w:r>
      <w:r w:rsidR="002215B0" w:rsidRPr="002238BD">
        <w:t>What costs are associated with the implementation of AOT?</w:t>
      </w:r>
    </w:p>
    <w:p w14:paraId="4C742706" w14:textId="7F637C22" w:rsidR="00D13EC0" w:rsidRPr="002238BD" w:rsidRDefault="007C78B1" w:rsidP="00D13EC0">
      <w:pPr>
        <w:ind w:left="2880" w:hanging="720"/>
      </w:pPr>
      <w:r>
        <w:t>E</w:t>
      </w:r>
      <w:r w:rsidR="00D13EC0" w:rsidRPr="002238BD">
        <w:t>Q10</w:t>
      </w:r>
      <w:r w:rsidR="00D13EC0" w:rsidRPr="002238BD">
        <w:tab/>
      </w:r>
      <w:r w:rsidR="002215B0" w:rsidRPr="002238BD">
        <w:t>Are cost savings associated with outcomes attributable to AOT?</w:t>
      </w:r>
    </w:p>
    <w:p w14:paraId="2329AAD0" w14:textId="552D09F4" w:rsidR="002215B0" w:rsidRPr="002238BD" w:rsidRDefault="007C78B1" w:rsidP="00D13EC0">
      <w:pPr>
        <w:ind w:left="2880" w:hanging="720"/>
      </w:pPr>
      <w:r>
        <w:t>E</w:t>
      </w:r>
      <w:r w:rsidR="00D13EC0" w:rsidRPr="002238BD">
        <w:t>Q11</w:t>
      </w:r>
      <w:r w:rsidR="00D13EC0" w:rsidRPr="002238BD">
        <w:tab/>
      </w:r>
      <w:r w:rsidR="002215B0" w:rsidRPr="002238BD">
        <w:t>How do sites plan to fund AOT, including any system liaison positions (e.g., with hospitals, jails), once funding ends?</w:t>
      </w:r>
    </w:p>
    <w:p w14:paraId="7ABF5BE8" w14:textId="02BF6B58" w:rsidR="00771568" w:rsidRPr="002238BD" w:rsidRDefault="00771568" w:rsidP="00D13EC0">
      <w:pPr>
        <w:ind w:left="2880" w:hanging="720"/>
      </w:pPr>
    </w:p>
    <w:p w14:paraId="606408E7" w14:textId="38816D69" w:rsidR="00771568" w:rsidRPr="002238BD" w:rsidRDefault="00771568" w:rsidP="00771568">
      <w:pPr>
        <w:ind w:left="720"/>
      </w:pPr>
      <w:r w:rsidRPr="002238BD">
        <w:t>The outcome evaluation design and analysis plan was developed in consultation with the HHS AOT program advisory committee</w:t>
      </w:r>
      <w:r w:rsidR="00413CCB">
        <w:t xml:space="preserve"> (ASPE, SAMHSA, and NIMH) </w:t>
      </w:r>
      <w:r w:rsidRPr="002238BD">
        <w:t>and an AOT Technical Advisory Group (TAG). Specifically, a meeting to solicit feedback on the preliminary design plan was held on October 5th, 2017 in Washington, DC and included participants from the HHS committee, TAG, and evaluation team. Input and recommendations from meeting attendees were presented according to their feasibility and cost-benefit in a design options memo, and subsequent analytic decisions from the project COR and HHS committee were integrated into the existing design and analysis plan.</w:t>
      </w:r>
    </w:p>
    <w:p w14:paraId="5D72FBCD" w14:textId="617C1CB1" w:rsidR="00771568" w:rsidRPr="002238BD" w:rsidRDefault="00771568" w:rsidP="00771568">
      <w:pPr>
        <w:ind w:left="720"/>
      </w:pPr>
    </w:p>
    <w:p w14:paraId="71659594" w14:textId="1B518FB2" w:rsidR="005120CA" w:rsidRPr="002238BD" w:rsidRDefault="00B10B90" w:rsidP="00771568">
      <w:pPr>
        <w:ind w:left="720"/>
      </w:pPr>
      <w:r w:rsidRPr="002238BD">
        <w:t>The evaluation framework is presented below. The intervention process illustrated in the left half of the figure provides some examples of program elements associated with selection pathways into AOT and the subsequent treatment and service package. The outcome evaluation will focus on program elements that exhibit a sufficient level of variation in and across sites in order to generate testable hypotheses around their moderating impacts. The right half of the figure outlines the outcomes of interest, separated into stages of treatment experiences, clinical outcomes, and social functioning. The evaluation will also focus on identifying significant client- (e.g., patient demographic characteristics) and program-level (e.g., mental health system characteristics) moderators of AOT effectiveness.</w:t>
      </w:r>
    </w:p>
    <w:p w14:paraId="108AA4B7" w14:textId="2815F8BF" w:rsidR="002215B0" w:rsidRPr="002238BD" w:rsidRDefault="002215B0" w:rsidP="002215B0"/>
    <w:p w14:paraId="6DF46FBB" w14:textId="32510609" w:rsidR="00B10B90" w:rsidRPr="002238BD" w:rsidRDefault="00B10B90" w:rsidP="002215B0">
      <w:r w:rsidRPr="002238BD">
        <w:rPr>
          <w:noProof/>
        </w:rPr>
        <w:drawing>
          <wp:inline distT="0" distB="0" distL="0" distR="0" wp14:anchorId="636C8A6D" wp14:editId="5607527C">
            <wp:extent cx="5825898" cy="3180715"/>
            <wp:effectExtent l="0" t="0" r="3810" b="635"/>
            <wp:docPr id="1" name="Picture 1" descr="Exhibit_5_Intervention Outcome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hibit_5_Intervention Outcomes-0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835937" cy="3186196"/>
                    </a:xfrm>
                    <a:prstGeom prst="rect">
                      <a:avLst/>
                    </a:prstGeom>
                    <a:noFill/>
                    <a:ln>
                      <a:noFill/>
                    </a:ln>
                    <a:extLst>
                      <a:ext uri="{53640926-AAD7-44D8-BBD7-CCE9431645EC}">
                        <a14:shadowObscured xmlns:a14="http://schemas.microsoft.com/office/drawing/2010/main"/>
                      </a:ext>
                    </a:extLst>
                  </pic:spPr>
                </pic:pic>
              </a:graphicData>
            </a:graphic>
          </wp:inline>
        </w:drawing>
      </w:r>
    </w:p>
    <w:p w14:paraId="696148FB" w14:textId="77777777" w:rsidR="00B10B90" w:rsidRPr="002238BD" w:rsidRDefault="00B10B90" w:rsidP="002215B0"/>
    <w:p w14:paraId="4B8B8ABB" w14:textId="77777777" w:rsidR="00473542" w:rsidRPr="002238BD" w:rsidRDefault="00F418D6" w:rsidP="00B15A27">
      <w:pPr>
        <w:pStyle w:val="Heading3"/>
        <w:numPr>
          <w:ilvl w:val="0"/>
          <w:numId w:val="9"/>
        </w:numPr>
        <w:rPr>
          <w:b/>
          <w:u w:val="none"/>
        </w:rPr>
      </w:pPr>
      <w:r w:rsidRPr="002238BD">
        <w:rPr>
          <w:b/>
          <w:u w:val="none"/>
        </w:rPr>
        <w:t xml:space="preserve">Purpose and </w:t>
      </w:r>
      <w:r w:rsidR="00C42E08" w:rsidRPr="002238BD">
        <w:rPr>
          <w:b/>
          <w:u w:val="none"/>
        </w:rPr>
        <w:t xml:space="preserve">Use </w:t>
      </w:r>
      <w:r w:rsidR="00243169" w:rsidRPr="002238BD">
        <w:rPr>
          <w:b/>
          <w:u w:val="none"/>
        </w:rPr>
        <w:t>of Information</w:t>
      </w:r>
      <w:r w:rsidRPr="002238BD">
        <w:rPr>
          <w:b/>
          <w:u w:val="none"/>
        </w:rPr>
        <w:t xml:space="preserve"> Collection</w:t>
      </w:r>
    </w:p>
    <w:p w14:paraId="435606F1" w14:textId="77777777" w:rsidR="00C570E9" w:rsidRPr="002238BD" w:rsidRDefault="00C570E9" w:rsidP="00C570E9"/>
    <w:p w14:paraId="1A40785F" w14:textId="584F2E4F" w:rsidR="00B10B90" w:rsidRPr="002238BD" w:rsidRDefault="00B10B90" w:rsidP="00B10B90">
      <w:pPr>
        <w:ind w:left="720"/>
      </w:pPr>
      <w:r w:rsidRPr="002238BD">
        <w:t xml:space="preserve">Section 224(e) of PAMA requires annual reports to Congress that include evaluation of: cost savings and public health outcomes such as mortality, suicide, substance abuse, hospitalization, and use of services; rates of incarceration by patients; rates of homelessness among patients; and patient and family satisfaction with program participation. The data collected under this submission will help </w:t>
      </w:r>
      <w:r w:rsidR="00413CCB">
        <w:t>HHS</w:t>
      </w:r>
      <w:r w:rsidR="00413CCB" w:rsidRPr="002238BD">
        <w:t xml:space="preserve"> </w:t>
      </w:r>
      <w:r w:rsidRPr="002238BD">
        <w:t xml:space="preserve">address the </w:t>
      </w:r>
      <w:r w:rsidR="007C78B1">
        <w:t>evaluation</w:t>
      </w:r>
      <w:r w:rsidRPr="002238BD">
        <w:t xml:space="preserve"> questions listed above and inform the required reports to Congress. Each proposed data collection is described below, along with how, by whom, and for what purpose the collected information will be used. </w:t>
      </w:r>
    </w:p>
    <w:p w14:paraId="48B7C0AF" w14:textId="77777777" w:rsidR="00535A01" w:rsidRPr="002238BD" w:rsidRDefault="00535A01" w:rsidP="00535A01"/>
    <w:p w14:paraId="2AE202F1" w14:textId="0414B208" w:rsidR="00B10B90" w:rsidRPr="002238BD" w:rsidRDefault="005D5790" w:rsidP="005D5790">
      <w:pPr>
        <w:ind w:left="720"/>
      </w:pPr>
      <w:r w:rsidRPr="002238BD">
        <w:rPr>
          <w:u w:val="single"/>
        </w:rPr>
        <w:t>Structured client interview</w:t>
      </w:r>
      <w:r w:rsidRPr="002238BD">
        <w:t xml:space="preserve">. </w:t>
      </w:r>
      <w:r w:rsidR="00A81B5E" w:rsidRPr="002238BD">
        <w:t>Beginning in Phase 1 of data collection, n</w:t>
      </w:r>
      <w:r w:rsidR="007F620E" w:rsidRPr="002238BD">
        <w:t>on-primary treating clinicians at each of the six in-depth sites will use the structured client interview instrument to conduct baseline and follow-up</w:t>
      </w:r>
      <w:r w:rsidR="00BA2BD4">
        <w:t xml:space="preserve"> (e.g., 6- and 12-month while on AOT, 6-month post-AOT)</w:t>
      </w:r>
      <w:r w:rsidR="007F620E" w:rsidRPr="002238BD">
        <w:t xml:space="preserve"> interviews with AOT program participants. </w:t>
      </w:r>
      <w:r w:rsidR="00321003">
        <w:t>(It should be noted that the six in-depth sites that were part of the implementation evaluation may not be the same six sites that are selected for the outcome evaluation study. Outcome evaluation site selection, and any changes from the implementation sites, will be determined by the HHS Advisory Committee.</w:t>
      </w:r>
      <w:r w:rsidR="00BD74BE">
        <w:t xml:space="preserve"> As with the implementation evaluation, these sites will be selected per criteria including geographic </w:t>
      </w:r>
      <w:r w:rsidR="00BD74BE" w:rsidRPr="002238BD">
        <w:t>diversity, AOT program type, AOT program size, data availability, and suitabi</w:t>
      </w:r>
      <w:r w:rsidR="00BD74BE">
        <w:t xml:space="preserve">lity for the outcome evaluation. </w:t>
      </w:r>
      <w:r w:rsidR="00013A4A">
        <w:t>Please see Supporting Statement B for information on comparison group selection, inverse probability of treatment weighting, and regression modeling to account for remaining differences between sites</w:t>
      </w:r>
      <w:r w:rsidR="00321003">
        <w:t xml:space="preserve">) </w:t>
      </w:r>
      <w:r w:rsidR="007F620E" w:rsidRPr="002238BD">
        <w:t>These interviews will gather information</w:t>
      </w:r>
      <w:r w:rsidR="00A623FB" w:rsidRPr="002238BD">
        <w:t xml:space="preserve"> across numerous factors, including housing, perceived functioning and well-being, clinical symptoms, treatment history and service use, medication use, substance use, satisfaction with treatment, perceived coercion to adhere to treatment, general pressures to adhere to treatment, AOT experiences, and criminal justice experiences.</w:t>
      </w:r>
      <w:r w:rsidR="00E17BA7" w:rsidRPr="002238BD">
        <w:t xml:space="preserve"> Data gathered during the structured client interview will inform responses to </w:t>
      </w:r>
      <w:r w:rsidR="007C78B1">
        <w:t>Evaluation</w:t>
      </w:r>
      <w:r w:rsidR="00E17BA7" w:rsidRPr="002238BD">
        <w:t xml:space="preserve"> Questions 1, 2, 3, 5, 6, and 7.</w:t>
      </w:r>
      <w:r w:rsidR="00A81B5E" w:rsidRPr="002238BD">
        <w:t xml:space="preserve"> This interview will be administered every six months and take approximately 60 minutes to complete.</w:t>
      </w:r>
      <w:r w:rsidR="00A623FB" w:rsidRPr="002238BD">
        <w:t xml:space="preserve"> The structured client interview instrument is provided in Attachment </w:t>
      </w:r>
      <w:r w:rsidR="007E534C">
        <w:t>B</w:t>
      </w:r>
      <w:r w:rsidR="00A81B5E" w:rsidRPr="002238BD">
        <w:t>.</w:t>
      </w:r>
    </w:p>
    <w:p w14:paraId="41880DB5" w14:textId="77777777" w:rsidR="007F620E" w:rsidRPr="002238BD" w:rsidRDefault="007F620E" w:rsidP="005D5790">
      <w:pPr>
        <w:ind w:left="720"/>
      </w:pPr>
    </w:p>
    <w:p w14:paraId="1A4242DF" w14:textId="7907BFAE" w:rsidR="00A81B5E" w:rsidRPr="002238BD" w:rsidRDefault="005D5790" w:rsidP="00936D88">
      <w:pPr>
        <w:ind w:left="720"/>
      </w:pPr>
      <w:r w:rsidRPr="002238BD">
        <w:rPr>
          <w:u w:val="single"/>
        </w:rPr>
        <w:t>Family satisfaction survey.</w:t>
      </w:r>
      <w:r w:rsidRPr="002238BD">
        <w:t xml:space="preserve"> </w:t>
      </w:r>
      <w:r w:rsidR="00A81B5E" w:rsidRPr="002238BD">
        <w:t>The family satisfaction survey instrument will be administered to a sample of AOT program participants’ family members in order to gather information related to their perceptions of AOT, involvement in and satisfaction with the civil process, satisfaction with treatment services received under the AOT court order, client behaviors, and family well-being.</w:t>
      </w:r>
      <w:r w:rsidR="00E17BA7" w:rsidRPr="002238BD">
        <w:t xml:space="preserve"> Data gathered using the family satisfaction survey will assist in answering </w:t>
      </w:r>
      <w:r w:rsidR="007C78B1">
        <w:t>Evaluation</w:t>
      </w:r>
      <w:r w:rsidR="00E17BA7" w:rsidRPr="002238BD">
        <w:t xml:space="preserve"> Question 4. </w:t>
      </w:r>
      <w:r w:rsidR="00A81B5E" w:rsidRPr="002238BD">
        <w:t xml:space="preserve"> The interview will be administered roughly six months follow</w:t>
      </w:r>
      <w:r w:rsidR="00E17BA7" w:rsidRPr="002238BD">
        <w:t>ing the AOT program participant’s</w:t>
      </w:r>
      <w:r w:rsidR="00A81B5E" w:rsidRPr="002238BD">
        <w:t xml:space="preserve"> entry into AOT and will take approximately 15 minutes to complete. The family satisfaction survey instrument is provided in Attachment </w:t>
      </w:r>
      <w:r w:rsidR="007E534C">
        <w:t>C</w:t>
      </w:r>
      <w:r w:rsidR="00A81B5E" w:rsidRPr="002238BD">
        <w:t>.</w:t>
      </w:r>
    </w:p>
    <w:p w14:paraId="4F767C64" w14:textId="77777777" w:rsidR="00936D88" w:rsidRPr="002238BD" w:rsidRDefault="00936D88" w:rsidP="00936D88"/>
    <w:p w14:paraId="35865ECB" w14:textId="3B5C82AD" w:rsidR="005D5790" w:rsidRDefault="005D5790" w:rsidP="00E17BA7">
      <w:pPr>
        <w:ind w:left="720"/>
      </w:pPr>
      <w:r w:rsidRPr="002238BD">
        <w:rPr>
          <w:u w:val="single"/>
        </w:rPr>
        <w:t>Cost questionnaire.</w:t>
      </w:r>
      <w:r w:rsidRPr="002238BD">
        <w:t xml:space="preserve"> </w:t>
      </w:r>
      <w:r w:rsidR="00E310AE">
        <w:t>Cost data will be collected in two phases. In Phase 1, we will administer a cost questionnaire with representatives of each sites’ court systems, state psychiatric hospitals, and program directors at the community-based treatment facilities. Once respondents have completed these questionnaires to the best of their ability, we will review the information provide</w:t>
      </w:r>
      <w:r w:rsidR="00221C82">
        <w:t>d</w:t>
      </w:r>
      <w:r w:rsidR="00E310AE">
        <w:t>. In Phase 2, after reviewing the provided information, we will set up a short follow-up telephone interview to discuss any outstanding questionnaire items</w:t>
      </w:r>
      <w:r w:rsidR="00E17BA7" w:rsidRPr="002238BD">
        <w:t xml:space="preserve">. </w:t>
      </w:r>
      <w:r w:rsidR="00E310AE">
        <w:t xml:space="preserve">This will ensure that the data are of a high quality, as some cost questionnaire items will require estimating pro-rated costs to only those costs associated with AOT. </w:t>
      </w:r>
      <w:r w:rsidR="00E17BA7" w:rsidRPr="002238BD">
        <w:t xml:space="preserve">Data collected using the cost questionnaire will allow the evaluation team to answer </w:t>
      </w:r>
      <w:r w:rsidR="007C78B1">
        <w:t>Evaluation</w:t>
      </w:r>
      <w:r w:rsidR="00E17BA7" w:rsidRPr="002238BD">
        <w:t xml:space="preserve"> Questions 8, 9, 10, and 11. The cost questionnaire instrument is provided in Attachment </w:t>
      </w:r>
      <w:r w:rsidR="007E534C">
        <w:t>D</w:t>
      </w:r>
      <w:r w:rsidR="00E17BA7" w:rsidRPr="002238BD">
        <w:t>.</w:t>
      </w:r>
    </w:p>
    <w:p w14:paraId="670DF0A6" w14:textId="77777777" w:rsidR="00E00CA2" w:rsidRDefault="00E00CA2" w:rsidP="00E17BA7">
      <w:pPr>
        <w:ind w:left="720"/>
      </w:pPr>
    </w:p>
    <w:p w14:paraId="08D8D1B2" w14:textId="5A87A5A4" w:rsidR="00595874" w:rsidRDefault="00595874" w:rsidP="00221C82">
      <w:pPr>
        <w:ind w:left="720"/>
      </w:pPr>
      <w:r>
        <w:rPr>
          <w:u w:val="single"/>
        </w:rPr>
        <w:t>Docket case monitoring form.</w:t>
      </w:r>
      <w:r w:rsidRPr="00595874">
        <w:t xml:space="preserve"> </w:t>
      </w:r>
      <w:r w:rsidR="00FB2237">
        <w:t xml:space="preserve">Information on the hearings for each respondent will be documented on a periodic basis, based on the frequency of hearings at each site. The form will collect </w:t>
      </w:r>
      <w:r w:rsidR="00370BFD">
        <w:t xml:space="preserve">information on the date of court hearing, presiding judge, </w:t>
      </w:r>
      <w:r w:rsidR="00654CD3">
        <w:t xml:space="preserve">and </w:t>
      </w:r>
      <w:r w:rsidR="00370BFD">
        <w:t xml:space="preserve">court location for the day’s hearings. For each respondent with a hearing on a given day, the hearing type, respondent attendance, hearing representatives, hearing length, verbal interaction between judge and respondent, hearing outcome, </w:t>
      </w:r>
      <w:r w:rsidR="00692AFB">
        <w:t xml:space="preserve">warnings and/or reminders, </w:t>
      </w:r>
      <w:r w:rsidR="00370BFD">
        <w:t>response to noncompliance, and next hearing date will be documented</w:t>
      </w:r>
      <w:r w:rsidR="002E4BA2">
        <w:t xml:space="preserve">. </w:t>
      </w:r>
      <w:r w:rsidR="00A32895">
        <w:t xml:space="preserve">The information will be gathered by the site evaluator </w:t>
      </w:r>
      <w:r w:rsidR="00B2163A">
        <w:t xml:space="preserve">through observation </w:t>
      </w:r>
      <w:r w:rsidR="00A32895">
        <w:t>or provided by the probate liaison who is present at each hearing.</w:t>
      </w:r>
      <w:r w:rsidR="0039191D">
        <w:t xml:space="preserve"> </w:t>
      </w:r>
      <w:r w:rsidR="00543AC1">
        <w:t xml:space="preserve">Information on each respondent’s hearing on a given day will be recorded as a row on the docket case monitoring form, with an additional row added for each court hearing held on a given day. </w:t>
      </w:r>
      <w:r w:rsidR="0039191D">
        <w:t>Data collected using the docket case monitoring form will allow the evaluation to answer Evaluation Question 5.</w:t>
      </w:r>
      <w:r w:rsidR="00636D0F">
        <w:t xml:space="preserve"> </w:t>
      </w:r>
      <w:r w:rsidR="00636D0F" w:rsidRPr="002238BD">
        <w:t xml:space="preserve">The </w:t>
      </w:r>
      <w:r w:rsidR="00636D0F">
        <w:t>docket case monitoring form</w:t>
      </w:r>
      <w:r w:rsidR="00636D0F" w:rsidRPr="002238BD">
        <w:t xml:space="preserve"> instrument is provided in Attachment </w:t>
      </w:r>
      <w:r w:rsidR="00307713">
        <w:t>E</w:t>
      </w:r>
      <w:r w:rsidR="00636D0F" w:rsidRPr="002238BD">
        <w:t>.</w:t>
      </w:r>
    </w:p>
    <w:p w14:paraId="63595463" w14:textId="77777777" w:rsidR="00FB3203" w:rsidRPr="00221C82" w:rsidRDefault="00FB3203" w:rsidP="00221C82">
      <w:pPr>
        <w:ind w:left="720"/>
      </w:pPr>
    </w:p>
    <w:p w14:paraId="54BE9445" w14:textId="18E56AFE" w:rsidR="001C71AC" w:rsidRDefault="00595874" w:rsidP="00E17BA7">
      <w:pPr>
        <w:ind w:left="720"/>
      </w:pPr>
      <w:r>
        <w:rPr>
          <w:u w:val="single"/>
        </w:rPr>
        <w:t>AOT</w:t>
      </w:r>
      <w:r w:rsidR="001C71AC">
        <w:rPr>
          <w:u w:val="single"/>
        </w:rPr>
        <w:t xml:space="preserve"> characteristics</w:t>
      </w:r>
      <w:r>
        <w:rPr>
          <w:u w:val="single"/>
        </w:rPr>
        <w:t xml:space="preserve"> form.</w:t>
      </w:r>
      <w:r w:rsidRPr="00595874">
        <w:t xml:space="preserve"> </w:t>
      </w:r>
      <w:r w:rsidR="001C71AC">
        <w:t xml:space="preserve">The AOT </w:t>
      </w:r>
      <w:r w:rsidR="001B0217">
        <w:t xml:space="preserve">characteristics form </w:t>
      </w:r>
      <w:r w:rsidR="007E0F1A">
        <w:t xml:space="preserve">will be completed by site evaluators once a month in order to provide site-level information </w:t>
      </w:r>
      <w:r w:rsidR="00221C82">
        <w:t>regarding</w:t>
      </w:r>
      <w:r w:rsidR="007E0F1A">
        <w:t xml:space="preserve"> </w:t>
      </w:r>
      <w:r w:rsidR="00221C82">
        <w:t>target populations, initiation, and post-initiation of AOT. Items are intended to track the civil and legal processes of AOT across sites and over time.</w:t>
      </w:r>
      <w:r w:rsidR="007E0F1A">
        <w:t xml:space="preserve"> Data gathered using this form will assist in answering Evaluation Questions 5, 6, and 7. The AOT characteristics form is provided in Attachment F.</w:t>
      </w:r>
    </w:p>
    <w:p w14:paraId="6636401D" w14:textId="4A4691D8" w:rsidR="007D3636" w:rsidRDefault="007D3636" w:rsidP="00E17BA7">
      <w:pPr>
        <w:ind w:left="720"/>
      </w:pPr>
    </w:p>
    <w:p w14:paraId="26D0E87C" w14:textId="2D46D197" w:rsidR="00E17BA7" w:rsidRDefault="007D3636" w:rsidP="00E17BA7">
      <w:pPr>
        <w:ind w:left="720"/>
      </w:pPr>
      <w:r w:rsidRPr="00071081">
        <w:rPr>
          <w:u w:val="single"/>
        </w:rPr>
        <w:t>Secondary, administrative data.</w:t>
      </w:r>
      <w:r>
        <w:t xml:space="preserve"> While the above data collection elements apply to the six in-depth sites that will participate in the outcome evaluation, the collection of secondary, administrative data</w:t>
      </w:r>
      <w:r w:rsidR="00482734">
        <w:t>, as is described in detail in 4a. and 4b. below,</w:t>
      </w:r>
      <w:r>
        <w:t xml:space="preserve"> will apply to all funded sites</w:t>
      </w:r>
      <w:r w:rsidR="00175EE6">
        <w:t>.</w:t>
      </w:r>
      <w:r w:rsidR="00051802">
        <w:t xml:space="preserve"> </w:t>
      </w:r>
    </w:p>
    <w:p w14:paraId="6ED0D673" w14:textId="77777777" w:rsidR="00595874" w:rsidRPr="002238BD" w:rsidRDefault="00595874" w:rsidP="00E17BA7">
      <w:pPr>
        <w:ind w:left="720"/>
      </w:pPr>
    </w:p>
    <w:p w14:paraId="0EEEB11D" w14:textId="2FBE32D5" w:rsidR="00C570E9" w:rsidRPr="002238BD" w:rsidRDefault="0099395C" w:rsidP="00B15A27">
      <w:pPr>
        <w:pStyle w:val="Heading3"/>
        <w:numPr>
          <w:ilvl w:val="0"/>
          <w:numId w:val="9"/>
        </w:numPr>
        <w:rPr>
          <w:b/>
          <w:u w:val="none"/>
        </w:rPr>
      </w:pPr>
      <w:r w:rsidRPr="002238BD">
        <w:rPr>
          <w:b/>
          <w:u w:val="none"/>
        </w:rPr>
        <w:t>Use of Improved Information Technology and Burden Reduction</w:t>
      </w:r>
    </w:p>
    <w:p w14:paraId="760D6093" w14:textId="77777777" w:rsidR="005927A9" w:rsidRPr="002238BD" w:rsidRDefault="005927A9" w:rsidP="005927A9"/>
    <w:p w14:paraId="7A3EECB2" w14:textId="4C3B3D7D" w:rsidR="008A65FB" w:rsidRPr="002238BD" w:rsidRDefault="00FF22B6" w:rsidP="00BF5883">
      <w:pPr>
        <w:ind w:left="720"/>
      </w:pPr>
      <w:r w:rsidRPr="002238BD">
        <w:t xml:space="preserve">AOT program sites will use SAMHSA’s Performance Accountability and Reporting System (SPARS) to facilitate submission of </w:t>
      </w:r>
      <w:r w:rsidR="00FA3CF9">
        <w:t xml:space="preserve">select </w:t>
      </w:r>
      <w:r w:rsidRPr="002238BD">
        <w:t>administrative data</w:t>
      </w:r>
      <w:r w:rsidR="00A55C0E">
        <w:t xml:space="preserve"> collections</w:t>
      </w:r>
      <w:r w:rsidRPr="002238BD">
        <w:t>, including progress reports and TRAC-NOMS data.</w:t>
      </w:r>
      <w:r w:rsidR="007C78B1">
        <w:t xml:space="preserve"> RTI will additionally permit electronic submissions of </w:t>
      </w:r>
      <w:r w:rsidR="008D1A2C">
        <w:t xml:space="preserve">both </w:t>
      </w:r>
      <w:r w:rsidR="007C78B1">
        <w:t xml:space="preserve">primary information </w:t>
      </w:r>
      <w:r w:rsidR="006B0D1C">
        <w:t xml:space="preserve">and secondary, administrative data </w:t>
      </w:r>
      <w:r w:rsidR="007C78B1">
        <w:t>collected by the sites.</w:t>
      </w:r>
    </w:p>
    <w:p w14:paraId="6091D515" w14:textId="7BC4BEEB" w:rsidR="00601F2A" w:rsidRPr="002238BD" w:rsidRDefault="00601F2A"/>
    <w:p w14:paraId="55A8712D" w14:textId="6EC33ADA" w:rsidR="005927A9" w:rsidRPr="002238BD" w:rsidRDefault="00CA558A" w:rsidP="00B15A27">
      <w:pPr>
        <w:pStyle w:val="Heading3"/>
        <w:numPr>
          <w:ilvl w:val="0"/>
          <w:numId w:val="9"/>
        </w:numPr>
        <w:rPr>
          <w:b/>
          <w:u w:val="none"/>
        </w:rPr>
      </w:pPr>
      <w:r w:rsidRPr="002238BD">
        <w:rPr>
          <w:b/>
          <w:u w:val="none"/>
        </w:rPr>
        <w:t>Efforts to Identify Duplication and Use of Similar Information</w:t>
      </w:r>
    </w:p>
    <w:p w14:paraId="4B49F184" w14:textId="77777777" w:rsidR="00CA558A" w:rsidRPr="002238BD" w:rsidRDefault="00CA558A" w:rsidP="00CA558A"/>
    <w:p w14:paraId="215DC1BC" w14:textId="5EEB9635" w:rsidR="00CA558A" w:rsidRPr="002238BD" w:rsidRDefault="00CA558A" w:rsidP="00CA558A">
      <w:pPr>
        <w:ind w:left="720"/>
      </w:pPr>
      <w:r w:rsidRPr="002238BD">
        <w:t xml:space="preserve">In formulating the evaluation plan, </w:t>
      </w:r>
      <w:r w:rsidR="00E17BA7" w:rsidRPr="002238BD">
        <w:t>the research evaluation team ha</w:t>
      </w:r>
      <w:r w:rsidR="00663F62">
        <w:t>s</w:t>
      </w:r>
      <w:r w:rsidRPr="002238BD">
        <w:t xml:space="preserve"> carefully considered how to minimize burden by supplementing existing administrative and secondary data sources with targeted primary data collection. To this end, the evaluation inco</w:t>
      </w:r>
      <w:r w:rsidR="00E01E79" w:rsidRPr="002238BD">
        <w:t>rporates the following approaches to reducing duplication to employ similar information.</w:t>
      </w:r>
    </w:p>
    <w:p w14:paraId="60569598" w14:textId="77777777" w:rsidR="0083433E" w:rsidRPr="002238BD" w:rsidRDefault="0083433E" w:rsidP="00CA558A">
      <w:pPr>
        <w:ind w:left="720"/>
      </w:pPr>
    </w:p>
    <w:p w14:paraId="5A924A8D" w14:textId="52C0BCE9" w:rsidR="00534DE0" w:rsidRPr="002238BD" w:rsidRDefault="009164EE" w:rsidP="00534DE0">
      <w:pPr>
        <w:pStyle w:val="ListParagraph"/>
        <w:numPr>
          <w:ilvl w:val="0"/>
          <w:numId w:val="11"/>
        </w:numPr>
      </w:pPr>
      <w:r w:rsidRPr="002238BD">
        <w:t>Use of Administrative Data</w:t>
      </w:r>
    </w:p>
    <w:p w14:paraId="67920948" w14:textId="77777777" w:rsidR="00534DE0" w:rsidRPr="002238BD" w:rsidRDefault="00534DE0" w:rsidP="00534DE0"/>
    <w:p w14:paraId="3998A664" w14:textId="0EEE4F8A" w:rsidR="00534DE0" w:rsidRPr="002238BD" w:rsidRDefault="00534DE0" w:rsidP="00534DE0">
      <w:pPr>
        <w:ind w:left="720"/>
      </w:pPr>
      <w:bookmarkStart w:id="1" w:name="_Hlk513100650"/>
      <w:r w:rsidRPr="002238BD">
        <w:t xml:space="preserve">We will use pre-existing administrative data generated by grantees to </w:t>
      </w:r>
      <w:r w:rsidR="00937798" w:rsidRPr="002238BD">
        <w:t>supplant data that would otherwise be obtained through</w:t>
      </w:r>
      <w:r w:rsidRPr="002238BD">
        <w:t xml:space="preserve"> </w:t>
      </w:r>
      <w:r w:rsidR="00937798" w:rsidRPr="002238BD">
        <w:t>p</w:t>
      </w:r>
      <w:r w:rsidRPr="002238BD">
        <w:t>rimary data collection</w:t>
      </w:r>
      <w:r w:rsidR="00937798" w:rsidRPr="002238BD">
        <w:t>s</w:t>
      </w:r>
      <w:r w:rsidRPr="002238BD">
        <w:t>.</w:t>
      </w:r>
      <w:bookmarkEnd w:id="1"/>
      <w:r w:rsidRPr="002238BD">
        <w:t xml:space="preserve"> Administrative data</w:t>
      </w:r>
      <w:r w:rsidR="00937798" w:rsidRPr="002238BD">
        <w:t xml:space="preserve"> collections will include use of mandated TRAC-NOMS data; grantee applications, reports, and other administrative documents; drug testing data; </w:t>
      </w:r>
      <w:r w:rsidR="00E17BA7" w:rsidRPr="002238BD">
        <w:t xml:space="preserve">evidence-based practice </w:t>
      </w:r>
      <w:r w:rsidR="00937798" w:rsidRPr="002238BD">
        <w:t xml:space="preserve">fidelity assessments; integrated reporting system extracts; </w:t>
      </w:r>
      <w:r w:rsidR="00E17BA7" w:rsidRPr="002238BD">
        <w:t xml:space="preserve">and </w:t>
      </w:r>
      <w:r w:rsidR="00937798" w:rsidRPr="002238BD">
        <w:t xml:space="preserve">site-maintained participating tracking </w:t>
      </w:r>
      <w:r w:rsidR="00FE66EF" w:rsidRPr="002238BD">
        <w:t>database extracts.</w:t>
      </w:r>
    </w:p>
    <w:p w14:paraId="3E639DAB" w14:textId="77777777" w:rsidR="00FE66EF" w:rsidRPr="002238BD" w:rsidRDefault="00FE66EF" w:rsidP="00534DE0">
      <w:pPr>
        <w:ind w:left="720"/>
      </w:pPr>
    </w:p>
    <w:p w14:paraId="56DB4A46" w14:textId="74CF60C8" w:rsidR="000F0790" w:rsidRPr="002238BD" w:rsidRDefault="000F0790" w:rsidP="000F0790">
      <w:pPr>
        <w:pStyle w:val="ListParagraph"/>
        <w:numPr>
          <w:ilvl w:val="0"/>
          <w:numId w:val="11"/>
        </w:numPr>
      </w:pPr>
      <w:r w:rsidRPr="002238BD">
        <w:t>Use of Secondary Data</w:t>
      </w:r>
    </w:p>
    <w:p w14:paraId="212F6D04" w14:textId="77777777" w:rsidR="00534DE0" w:rsidRPr="002238BD" w:rsidRDefault="00534DE0" w:rsidP="00534DE0">
      <w:pPr>
        <w:ind w:left="720"/>
      </w:pPr>
    </w:p>
    <w:p w14:paraId="471C11FB" w14:textId="403C0491" w:rsidR="000F0790" w:rsidRDefault="000F0790" w:rsidP="00534DE0">
      <w:pPr>
        <w:ind w:left="720"/>
      </w:pPr>
      <w:r w:rsidRPr="002238BD">
        <w:t xml:space="preserve">We will use secondary data </w:t>
      </w:r>
      <w:r w:rsidR="00EF26B7" w:rsidRPr="002238BD">
        <w:t>maintained by non-grantee agencies to measure population outcomes</w:t>
      </w:r>
      <w:r w:rsidR="004177B7" w:rsidRPr="002238BD">
        <w:t>, including Medicaid and non-Medicaid services encounter data</w:t>
      </w:r>
      <w:r w:rsidR="008B0974">
        <w:t xml:space="preserve"> and</w:t>
      </w:r>
      <w:r w:rsidR="004177B7" w:rsidRPr="002238BD">
        <w:t xml:space="preserve"> local and state arrest records</w:t>
      </w:r>
      <w:r w:rsidR="008B0974">
        <w:t xml:space="preserve"> (see table below for</w:t>
      </w:r>
      <w:r w:rsidR="004177B7" w:rsidRPr="002238BD">
        <w:t xml:space="preserve"> data</w:t>
      </w:r>
      <w:r w:rsidR="008B0974">
        <w:t xml:space="preserve"> elements that will be requested).</w:t>
      </w:r>
    </w:p>
    <w:p w14:paraId="3FB1B6EA" w14:textId="18EAB1FF" w:rsidR="007C78B1" w:rsidRDefault="007C78B1" w:rsidP="00534DE0">
      <w:pPr>
        <w:ind w:left="720"/>
      </w:pPr>
    </w:p>
    <w:p w14:paraId="7EBB51EF" w14:textId="2B72103D" w:rsidR="007C78B1" w:rsidRDefault="007C78B1" w:rsidP="00534DE0">
      <w:pPr>
        <w:ind w:left="720"/>
      </w:pPr>
      <w:r>
        <w:t xml:space="preserve">However, </w:t>
      </w:r>
      <w:r w:rsidRPr="007C78B1">
        <w:t xml:space="preserve">there are a number of evaluation questions that cannot be answered with </w:t>
      </w:r>
      <w:r>
        <w:t xml:space="preserve">administrative and secondary </w:t>
      </w:r>
      <w:r w:rsidRPr="007C78B1">
        <w:t>data sources described above, particularly related to site-level AOT characteristics and clinical services delivered over time, clinical functioning outcomes, patient and family perceptions, and some program costs. As a result, the data instruments</w:t>
      </w:r>
      <w:r>
        <w:t xml:space="preserve"> included in this submission have been </w:t>
      </w:r>
      <w:r w:rsidRPr="007C78B1">
        <w:t>developed to obtain complementary and augmented information</w:t>
      </w:r>
      <w:r>
        <w:t>.</w:t>
      </w:r>
    </w:p>
    <w:p w14:paraId="51E5B5F2" w14:textId="7481F12F" w:rsidR="008F05A7" w:rsidRDefault="008F05A7" w:rsidP="00534DE0">
      <w:pPr>
        <w:ind w:left="720"/>
      </w:pPr>
    </w:p>
    <w:tbl>
      <w:tblPr>
        <w:tblStyle w:val="TableGrid1"/>
        <w:tblW w:w="0" w:type="auto"/>
        <w:tblInd w:w="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2410"/>
        <w:gridCol w:w="4410"/>
      </w:tblGrid>
      <w:tr w:rsidR="005D5F6D" w:rsidRPr="007C13BE" w14:paraId="01BD202B" w14:textId="77777777" w:rsidTr="007C13BE">
        <w:tc>
          <w:tcPr>
            <w:tcW w:w="2675" w:type="dxa"/>
            <w:gridSpan w:val="2"/>
            <w:tcBorders>
              <w:top w:val="single" w:sz="4" w:space="0" w:color="auto"/>
              <w:bottom w:val="single" w:sz="4" w:space="0" w:color="auto"/>
            </w:tcBorders>
          </w:tcPr>
          <w:p w14:paraId="0163DA21" w14:textId="77777777" w:rsidR="005D5F6D" w:rsidRPr="007C13BE" w:rsidRDefault="005D5F6D" w:rsidP="006A242F">
            <w:pPr>
              <w:rPr>
                <w:rFonts w:asciiTheme="majorHAnsi" w:eastAsia="Calibri" w:hAnsiTheme="majorHAnsi" w:cstheme="majorHAnsi"/>
                <w:b/>
                <w:sz w:val="22"/>
              </w:rPr>
            </w:pPr>
            <w:r w:rsidRPr="007C13BE">
              <w:rPr>
                <w:rFonts w:asciiTheme="majorHAnsi" w:eastAsia="Calibri" w:hAnsiTheme="majorHAnsi" w:cstheme="majorHAnsi"/>
                <w:b/>
                <w:sz w:val="22"/>
              </w:rPr>
              <w:t>Data Sources</w:t>
            </w:r>
          </w:p>
        </w:tc>
        <w:tc>
          <w:tcPr>
            <w:tcW w:w="4410" w:type="dxa"/>
            <w:tcBorders>
              <w:top w:val="single" w:sz="4" w:space="0" w:color="auto"/>
              <w:bottom w:val="single" w:sz="4" w:space="0" w:color="auto"/>
            </w:tcBorders>
          </w:tcPr>
          <w:p w14:paraId="6EB3C5EE" w14:textId="77777777" w:rsidR="005D5F6D" w:rsidRPr="007C13BE" w:rsidRDefault="005D5F6D" w:rsidP="006A242F">
            <w:pPr>
              <w:rPr>
                <w:rFonts w:asciiTheme="majorHAnsi" w:eastAsia="Calibri" w:hAnsiTheme="majorHAnsi" w:cstheme="majorHAnsi"/>
                <w:b/>
                <w:sz w:val="22"/>
              </w:rPr>
            </w:pPr>
            <w:r w:rsidRPr="007C13BE">
              <w:rPr>
                <w:rFonts w:asciiTheme="majorHAnsi" w:eastAsia="Calibri" w:hAnsiTheme="majorHAnsi" w:cstheme="majorHAnsi"/>
                <w:b/>
                <w:sz w:val="22"/>
              </w:rPr>
              <w:t>Data Elements</w:t>
            </w:r>
          </w:p>
        </w:tc>
      </w:tr>
      <w:tr w:rsidR="005D5F6D" w:rsidRPr="00E17FE6" w14:paraId="67D96196" w14:textId="77777777" w:rsidTr="007C13BE">
        <w:tc>
          <w:tcPr>
            <w:tcW w:w="265" w:type="dxa"/>
            <w:tcBorders>
              <w:top w:val="single" w:sz="4" w:space="0" w:color="auto"/>
            </w:tcBorders>
          </w:tcPr>
          <w:p w14:paraId="4F87D56E" w14:textId="77777777" w:rsidR="005D5F6D" w:rsidRPr="00E17FE6" w:rsidRDefault="005D5F6D" w:rsidP="006A242F">
            <w:pPr>
              <w:rPr>
                <w:rFonts w:asciiTheme="majorHAnsi" w:eastAsia="Calibri" w:hAnsiTheme="majorHAnsi" w:cstheme="majorHAnsi"/>
                <w:sz w:val="22"/>
              </w:rPr>
            </w:pPr>
          </w:p>
        </w:tc>
        <w:tc>
          <w:tcPr>
            <w:tcW w:w="2410" w:type="dxa"/>
            <w:tcBorders>
              <w:top w:val="single" w:sz="4" w:space="0" w:color="auto"/>
            </w:tcBorders>
          </w:tcPr>
          <w:p w14:paraId="2913C591" w14:textId="77777777" w:rsidR="005D5F6D" w:rsidRPr="00E17FE6" w:rsidRDefault="005D5F6D" w:rsidP="006A242F">
            <w:pPr>
              <w:rPr>
                <w:rFonts w:asciiTheme="majorHAnsi" w:eastAsia="Calibri" w:hAnsiTheme="majorHAnsi" w:cstheme="majorHAnsi"/>
                <w:sz w:val="22"/>
              </w:rPr>
            </w:pPr>
            <w:r w:rsidRPr="00E17FE6">
              <w:rPr>
                <w:rFonts w:asciiTheme="majorHAnsi" w:eastAsia="Calibri" w:hAnsiTheme="majorHAnsi" w:cstheme="majorHAnsi"/>
                <w:sz w:val="22"/>
              </w:rPr>
              <w:t>AOT ID</w:t>
            </w:r>
          </w:p>
        </w:tc>
        <w:tc>
          <w:tcPr>
            <w:tcW w:w="4410" w:type="dxa"/>
            <w:tcBorders>
              <w:top w:val="single" w:sz="4" w:space="0" w:color="auto"/>
            </w:tcBorders>
          </w:tcPr>
          <w:p w14:paraId="768F05AB" w14:textId="77777777" w:rsidR="005D5F6D" w:rsidRPr="00E17FE6" w:rsidRDefault="005D5F6D" w:rsidP="006A242F">
            <w:pPr>
              <w:rPr>
                <w:rFonts w:asciiTheme="majorHAnsi" w:eastAsia="Calibri" w:hAnsiTheme="majorHAnsi" w:cstheme="majorHAnsi"/>
                <w:sz w:val="22"/>
              </w:rPr>
            </w:pPr>
          </w:p>
        </w:tc>
      </w:tr>
      <w:tr w:rsidR="005D5F6D" w:rsidRPr="00E17FE6" w14:paraId="14ADDD2D" w14:textId="77777777" w:rsidTr="007C13BE">
        <w:tc>
          <w:tcPr>
            <w:tcW w:w="265" w:type="dxa"/>
            <w:tcBorders>
              <w:bottom w:val="single" w:sz="4" w:space="0" w:color="auto"/>
            </w:tcBorders>
          </w:tcPr>
          <w:p w14:paraId="1981AA0F" w14:textId="77777777" w:rsidR="005D5F6D" w:rsidRPr="00E17FE6" w:rsidRDefault="005D5F6D" w:rsidP="006A242F">
            <w:pPr>
              <w:rPr>
                <w:rFonts w:asciiTheme="majorHAnsi" w:eastAsia="Calibri" w:hAnsiTheme="majorHAnsi" w:cstheme="majorHAnsi"/>
                <w:sz w:val="22"/>
              </w:rPr>
            </w:pPr>
          </w:p>
        </w:tc>
        <w:tc>
          <w:tcPr>
            <w:tcW w:w="2410" w:type="dxa"/>
            <w:tcBorders>
              <w:bottom w:val="single" w:sz="4" w:space="0" w:color="auto"/>
            </w:tcBorders>
          </w:tcPr>
          <w:p w14:paraId="1E65D0E0" w14:textId="77777777" w:rsidR="005D5F6D" w:rsidRPr="00E17FE6" w:rsidRDefault="005D5F6D" w:rsidP="006A242F">
            <w:pPr>
              <w:rPr>
                <w:rFonts w:asciiTheme="majorHAnsi" w:eastAsia="Calibri" w:hAnsiTheme="majorHAnsi" w:cstheme="majorHAnsi"/>
                <w:sz w:val="22"/>
              </w:rPr>
            </w:pPr>
          </w:p>
        </w:tc>
        <w:tc>
          <w:tcPr>
            <w:tcW w:w="4410" w:type="dxa"/>
            <w:tcBorders>
              <w:bottom w:val="single" w:sz="4" w:space="0" w:color="auto"/>
            </w:tcBorders>
          </w:tcPr>
          <w:p w14:paraId="430AE988" w14:textId="77777777" w:rsidR="005D5F6D" w:rsidRPr="00E17FE6" w:rsidRDefault="005D5F6D" w:rsidP="006A242F">
            <w:pPr>
              <w:rPr>
                <w:rFonts w:asciiTheme="majorHAnsi" w:eastAsia="Calibri" w:hAnsiTheme="majorHAnsi" w:cstheme="majorHAnsi"/>
                <w:sz w:val="22"/>
              </w:rPr>
            </w:pPr>
            <w:r w:rsidRPr="00E17FE6">
              <w:rPr>
                <w:rFonts w:asciiTheme="majorHAnsi" w:eastAsia="Calibri" w:hAnsiTheme="majorHAnsi" w:cstheme="majorHAnsi"/>
                <w:sz w:val="22"/>
              </w:rPr>
              <w:t>Site-generated AOT linking ID</w:t>
            </w:r>
          </w:p>
        </w:tc>
      </w:tr>
      <w:tr w:rsidR="005D5F6D" w:rsidRPr="00E17FE6" w14:paraId="771F3D00" w14:textId="77777777" w:rsidTr="007C13BE">
        <w:tc>
          <w:tcPr>
            <w:tcW w:w="265" w:type="dxa"/>
            <w:tcBorders>
              <w:top w:val="single" w:sz="4" w:space="0" w:color="auto"/>
            </w:tcBorders>
          </w:tcPr>
          <w:p w14:paraId="6D0AC7DC" w14:textId="77777777" w:rsidR="005D5F6D" w:rsidRPr="00E17FE6" w:rsidRDefault="005D5F6D" w:rsidP="006A242F">
            <w:pPr>
              <w:rPr>
                <w:rFonts w:asciiTheme="majorHAnsi" w:eastAsia="Calibri" w:hAnsiTheme="majorHAnsi" w:cstheme="majorHAnsi"/>
                <w:sz w:val="22"/>
              </w:rPr>
            </w:pPr>
          </w:p>
        </w:tc>
        <w:tc>
          <w:tcPr>
            <w:tcW w:w="2410" w:type="dxa"/>
            <w:tcBorders>
              <w:top w:val="single" w:sz="4" w:space="0" w:color="auto"/>
            </w:tcBorders>
          </w:tcPr>
          <w:p w14:paraId="51A22BD2" w14:textId="77777777" w:rsidR="005D5F6D" w:rsidRPr="00E17FE6" w:rsidRDefault="005D5F6D" w:rsidP="006A242F">
            <w:pPr>
              <w:rPr>
                <w:rFonts w:asciiTheme="majorHAnsi" w:eastAsia="Calibri" w:hAnsiTheme="majorHAnsi" w:cstheme="majorHAnsi"/>
                <w:sz w:val="22"/>
              </w:rPr>
            </w:pPr>
            <w:r w:rsidRPr="00E17FE6">
              <w:rPr>
                <w:rFonts w:asciiTheme="majorHAnsi" w:eastAsia="Calibri" w:hAnsiTheme="majorHAnsi" w:cstheme="majorHAnsi"/>
                <w:sz w:val="22"/>
              </w:rPr>
              <w:t>Treatment services data</w:t>
            </w:r>
          </w:p>
        </w:tc>
        <w:tc>
          <w:tcPr>
            <w:tcW w:w="4410" w:type="dxa"/>
            <w:tcBorders>
              <w:top w:val="single" w:sz="4" w:space="0" w:color="auto"/>
            </w:tcBorders>
          </w:tcPr>
          <w:p w14:paraId="5577FC84" w14:textId="77777777" w:rsidR="005D5F6D" w:rsidRPr="00E17FE6" w:rsidRDefault="005D5F6D" w:rsidP="006A242F">
            <w:pPr>
              <w:rPr>
                <w:rFonts w:asciiTheme="majorHAnsi" w:eastAsia="Calibri" w:hAnsiTheme="majorHAnsi" w:cstheme="majorHAnsi"/>
                <w:sz w:val="22"/>
              </w:rPr>
            </w:pPr>
          </w:p>
        </w:tc>
      </w:tr>
      <w:tr w:rsidR="005D5F6D" w:rsidRPr="00E17FE6" w14:paraId="42E6903A" w14:textId="77777777" w:rsidTr="007C13BE">
        <w:tc>
          <w:tcPr>
            <w:tcW w:w="265" w:type="dxa"/>
          </w:tcPr>
          <w:p w14:paraId="04741C2B" w14:textId="77777777" w:rsidR="005D5F6D" w:rsidRPr="00E17FE6" w:rsidRDefault="005D5F6D" w:rsidP="006A242F">
            <w:pPr>
              <w:rPr>
                <w:rFonts w:asciiTheme="majorHAnsi" w:eastAsia="Calibri" w:hAnsiTheme="majorHAnsi" w:cstheme="majorHAnsi"/>
                <w:sz w:val="22"/>
              </w:rPr>
            </w:pPr>
          </w:p>
        </w:tc>
        <w:tc>
          <w:tcPr>
            <w:tcW w:w="2410" w:type="dxa"/>
          </w:tcPr>
          <w:p w14:paraId="75695823" w14:textId="77777777" w:rsidR="005D5F6D" w:rsidRPr="00E17FE6" w:rsidRDefault="005D5F6D" w:rsidP="006A242F">
            <w:pPr>
              <w:rPr>
                <w:rFonts w:asciiTheme="majorHAnsi" w:eastAsia="Calibri" w:hAnsiTheme="majorHAnsi" w:cstheme="majorHAnsi"/>
                <w:sz w:val="22"/>
              </w:rPr>
            </w:pPr>
          </w:p>
        </w:tc>
        <w:tc>
          <w:tcPr>
            <w:tcW w:w="4410" w:type="dxa"/>
          </w:tcPr>
          <w:p w14:paraId="65673198" w14:textId="77777777" w:rsidR="005D5F6D" w:rsidRPr="00E17FE6" w:rsidRDefault="005D5F6D" w:rsidP="006A242F">
            <w:pPr>
              <w:rPr>
                <w:rFonts w:asciiTheme="majorHAnsi" w:eastAsia="Calibri" w:hAnsiTheme="majorHAnsi" w:cstheme="majorHAnsi"/>
                <w:sz w:val="22"/>
              </w:rPr>
            </w:pPr>
            <w:r w:rsidRPr="00E17FE6">
              <w:rPr>
                <w:rFonts w:asciiTheme="majorHAnsi" w:eastAsia="Calibri" w:hAnsiTheme="majorHAnsi" w:cstheme="majorHAnsi"/>
                <w:sz w:val="22"/>
              </w:rPr>
              <w:t>Date(s)</w:t>
            </w:r>
          </w:p>
        </w:tc>
      </w:tr>
      <w:tr w:rsidR="005D5F6D" w:rsidRPr="00E17FE6" w14:paraId="749BD234" w14:textId="77777777" w:rsidTr="007C13BE">
        <w:tc>
          <w:tcPr>
            <w:tcW w:w="265" w:type="dxa"/>
          </w:tcPr>
          <w:p w14:paraId="2237CC27" w14:textId="77777777" w:rsidR="005D5F6D" w:rsidRPr="00E17FE6" w:rsidRDefault="005D5F6D" w:rsidP="006A242F">
            <w:pPr>
              <w:rPr>
                <w:rFonts w:asciiTheme="majorHAnsi" w:eastAsia="Calibri" w:hAnsiTheme="majorHAnsi" w:cstheme="majorHAnsi"/>
                <w:sz w:val="22"/>
              </w:rPr>
            </w:pPr>
          </w:p>
        </w:tc>
        <w:tc>
          <w:tcPr>
            <w:tcW w:w="2410" w:type="dxa"/>
          </w:tcPr>
          <w:p w14:paraId="519FA7CB" w14:textId="77777777" w:rsidR="005D5F6D" w:rsidRPr="00E17FE6" w:rsidRDefault="005D5F6D" w:rsidP="006A242F">
            <w:pPr>
              <w:rPr>
                <w:rFonts w:asciiTheme="majorHAnsi" w:eastAsia="Calibri" w:hAnsiTheme="majorHAnsi" w:cstheme="majorHAnsi"/>
                <w:sz w:val="22"/>
              </w:rPr>
            </w:pPr>
          </w:p>
        </w:tc>
        <w:tc>
          <w:tcPr>
            <w:tcW w:w="4410" w:type="dxa"/>
          </w:tcPr>
          <w:p w14:paraId="74F4F65A" w14:textId="77777777" w:rsidR="005D5F6D" w:rsidRPr="00E17FE6" w:rsidRDefault="005D5F6D" w:rsidP="006A242F">
            <w:pPr>
              <w:rPr>
                <w:rFonts w:asciiTheme="majorHAnsi" w:eastAsia="Calibri" w:hAnsiTheme="majorHAnsi" w:cstheme="majorHAnsi"/>
                <w:sz w:val="22"/>
              </w:rPr>
            </w:pPr>
            <w:r w:rsidRPr="00E17FE6">
              <w:rPr>
                <w:rFonts w:asciiTheme="majorHAnsi" w:eastAsia="Calibri" w:hAnsiTheme="majorHAnsi" w:cstheme="majorHAnsi"/>
                <w:sz w:val="22"/>
              </w:rPr>
              <w:t>Procedure code</w:t>
            </w:r>
          </w:p>
        </w:tc>
      </w:tr>
      <w:tr w:rsidR="005D5F6D" w:rsidRPr="00E17FE6" w14:paraId="5915B1C3" w14:textId="77777777" w:rsidTr="007C13BE">
        <w:tc>
          <w:tcPr>
            <w:tcW w:w="265" w:type="dxa"/>
          </w:tcPr>
          <w:p w14:paraId="18DC0A4E" w14:textId="77777777" w:rsidR="005D5F6D" w:rsidRPr="00E17FE6" w:rsidRDefault="005D5F6D" w:rsidP="006A242F">
            <w:pPr>
              <w:rPr>
                <w:rFonts w:asciiTheme="majorHAnsi" w:eastAsia="Calibri" w:hAnsiTheme="majorHAnsi" w:cstheme="majorHAnsi"/>
                <w:sz w:val="22"/>
              </w:rPr>
            </w:pPr>
          </w:p>
        </w:tc>
        <w:tc>
          <w:tcPr>
            <w:tcW w:w="2410" w:type="dxa"/>
          </w:tcPr>
          <w:p w14:paraId="4C841E17" w14:textId="77777777" w:rsidR="005D5F6D" w:rsidRPr="00E17FE6" w:rsidRDefault="005D5F6D" w:rsidP="006A242F">
            <w:pPr>
              <w:rPr>
                <w:rFonts w:asciiTheme="majorHAnsi" w:eastAsia="Calibri" w:hAnsiTheme="majorHAnsi" w:cstheme="majorHAnsi"/>
                <w:sz w:val="22"/>
              </w:rPr>
            </w:pPr>
          </w:p>
        </w:tc>
        <w:tc>
          <w:tcPr>
            <w:tcW w:w="4410" w:type="dxa"/>
          </w:tcPr>
          <w:p w14:paraId="03832456" w14:textId="77777777" w:rsidR="005D5F6D" w:rsidRPr="00E17FE6" w:rsidRDefault="005D5F6D" w:rsidP="006A242F">
            <w:pPr>
              <w:rPr>
                <w:rFonts w:asciiTheme="majorHAnsi" w:eastAsia="Calibri" w:hAnsiTheme="majorHAnsi" w:cstheme="majorHAnsi"/>
                <w:sz w:val="22"/>
              </w:rPr>
            </w:pPr>
            <w:r w:rsidRPr="00E17FE6">
              <w:rPr>
                <w:rFonts w:asciiTheme="majorHAnsi" w:eastAsia="Calibri" w:hAnsiTheme="majorHAnsi" w:cstheme="majorHAnsi"/>
                <w:sz w:val="22"/>
              </w:rPr>
              <w:t>Diagnosis code</w:t>
            </w:r>
          </w:p>
        </w:tc>
      </w:tr>
      <w:tr w:rsidR="005D5F6D" w:rsidRPr="00E17FE6" w14:paraId="74C3CB99" w14:textId="77777777" w:rsidTr="007C13BE">
        <w:tc>
          <w:tcPr>
            <w:tcW w:w="265" w:type="dxa"/>
          </w:tcPr>
          <w:p w14:paraId="30515A5C" w14:textId="77777777" w:rsidR="005D5F6D" w:rsidRPr="00E17FE6" w:rsidRDefault="005D5F6D" w:rsidP="006A242F">
            <w:pPr>
              <w:rPr>
                <w:rFonts w:asciiTheme="majorHAnsi" w:eastAsia="Calibri" w:hAnsiTheme="majorHAnsi" w:cstheme="majorHAnsi"/>
                <w:sz w:val="22"/>
              </w:rPr>
            </w:pPr>
          </w:p>
        </w:tc>
        <w:tc>
          <w:tcPr>
            <w:tcW w:w="2410" w:type="dxa"/>
          </w:tcPr>
          <w:p w14:paraId="3C045111" w14:textId="77777777" w:rsidR="005D5F6D" w:rsidRPr="00E17FE6" w:rsidRDefault="005D5F6D" w:rsidP="006A242F">
            <w:pPr>
              <w:rPr>
                <w:rFonts w:asciiTheme="majorHAnsi" w:eastAsia="Calibri" w:hAnsiTheme="majorHAnsi" w:cstheme="majorHAnsi"/>
                <w:sz w:val="22"/>
              </w:rPr>
            </w:pPr>
          </w:p>
        </w:tc>
        <w:tc>
          <w:tcPr>
            <w:tcW w:w="4410" w:type="dxa"/>
          </w:tcPr>
          <w:p w14:paraId="0CA6C442" w14:textId="77777777" w:rsidR="005D5F6D" w:rsidRPr="00E17FE6" w:rsidRDefault="005D5F6D" w:rsidP="006A242F">
            <w:pPr>
              <w:rPr>
                <w:rFonts w:asciiTheme="majorHAnsi" w:eastAsia="Calibri" w:hAnsiTheme="majorHAnsi" w:cstheme="majorHAnsi"/>
                <w:sz w:val="22"/>
              </w:rPr>
            </w:pPr>
            <w:r w:rsidRPr="00E17FE6">
              <w:rPr>
                <w:rFonts w:asciiTheme="majorHAnsi" w:eastAsia="Calibri" w:hAnsiTheme="majorHAnsi" w:cstheme="majorHAnsi"/>
                <w:sz w:val="22"/>
              </w:rPr>
              <w:t>Length/time of service (hr./min.), if applicable</w:t>
            </w:r>
          </w:p>
        </w:tc>
      </w:tr>
      <w:tr w:rsidR="005D5F6D" w:rsidRPr="00E17FE6" w14:paraId="50CAC34A" w14:textId="77777777" w:rsidTr="007C13BE">
        <w:tc>
          <w:tcPr>
            <w:tcW w:w="265" w:type="dxa"/>
          </w:tcPr>
          <w:p w14:paraId="1666B28F" w14:textId="77777777" w:rsidR="005D5F6D" w:rsidRPr="00E17FE6" w:rsidRDefault="005D5F6D" w:rsidP="006A242F">
            <w:pPr>
              <w:rPr>
                <w:rFonts w:asciiTheme="majorHAnsi" w:eastAsia="Calibri" w:hAnsiTheme="majorHAnsi" w:cstheme="majorHAnsi"/>
                <w:sz w:val="22"/>
              </w:rPr>
            </w:pPr>
          </w:p>
        </w:tc>
        <w:tc>
          <w:tcPr>
            <w:tcW w:w="2410" w:type="dxa"/>
          </w:tcPr>
          <w:p w14:paraId="7CDCC2BB" w14:textId="77777777" w:rsidR="005D5F6D" w:rsidRPr="00E17FE6" w:rsidRDefault="005D5F6D" w:rsidP="006A242F">
            <w:pPr>
              <w:rPr>
                <w:rFonts w:asciiTheme="majorHAnsi" w:eastAsia="Calibri" w:hAnsiTheme="majorHAnsi" w:cstheme="majorHAnsi"/>
                <w:sz w:val="22"/>
              </w:rPr>
            </w:pPr>
          </w:p>
        </w:tc>
        <w:tc>
          <w:tcPr>
            <w:tcW w:w="4410" w:type="dxa"/>
          </w:tcPr>
          <w:p w14:paraId="3C277546" w14:textId="77777777" w:rsidR="005D5F6D" w:rsidRPr="00E17FE6" w:rsidRDefault="005D5F6D" w:rsidP="006A242F">
            <w:pPr>
              <w:rPr>
                <w:rFonts w:asciiTheme="majorHAnsi" w:eastAsia="Calibri" w:hAnsiTheme="majorHAnsi" w:cstheme="majorHAnsi"/>
                <w:sz w:val="22"/>
              </w:rPr>
            </w:pPr>
            <w:r w:rsidRPr="00E17FE6">
              <w:rPr>
                <w:rFonts w:asciiTheme="majorHAnsi" w:eastAsia="Calibri" w:hAnsiTheme="majorHAnsi" w:cstheme="majorHAnsi"/>
                <w:sz w:val="22"/>
              </w:rPr>
              <w:t>Drug name, if applicable</w:t>
            </w:r>
          </w:p>
        </w:tc>
      </w:tr>
      <w:tr w:rsidR="005D5F6D" w:rsidRPr="00E17FE6" w14:paraId="162712B7" w14:textId="77777777" w:rsidTr="007C13BE">
        <w:tc>
          <w:tcPr>
            <w:tcW w:w="265" w:type="dxa"/>
            <w:tcBorders>
              <w:bottom w:val="single" w:sz="4" w:space="0" w:color="auto"/>
            </w:tcBorders>
          </w:tcPr>
          <w:p w14:paraId="0DB2C4F4" w14:textId="77777777" w:rsidR="005D5F6D" w:rsidRPr="00E17FE6" w:rsidRDefault="005D5F6D" w:rsidP="006A242F">
            <w:pPr>
              <w:rPr>
                <w:rFonts w:asciiTheme="majorHAnsi" w:eastAsia="Calibri" w:hAnsiTheme="majorHAnsi" w:cstheme="majorHAnsi"/>
                <w:sz w:val="22"/>
              </w:rPr>
            </w:pPr>
          </w:p>
        </w:tc>
        <w:tc>
          <w:tcPr>
            <w:tcW w:w="2410" w:type="dxa"/>
            <w:tcBorders>
              <w:bottom w:val="single" w:sz="4" w:space="0" w:color="auto"/>
            </w:tcBorders>
          </w:tcPr>
          <w:p w14:paraId="1E3A7AAB" w14:textId="77777777" w:rsidR="005D5F6D" w:rsidRPr="00E17FE6" w:rsidRDefault="005D5F6D" w:rsidP="006A242F">
            <w:pPr>
              <w:rPr>
                <w:rFonts w:asciiTheme="majorHAnsi" w:eastAsia="Calibri" w:hAnsiTheme="majorHAnsi" w:cstheme="majorHAnsi"/>
                <w:sz w:val="22"/>
              </w:rPr>
            </w:pPr>
          </w:p>
        </w:tc>
        <w:tc>
          <w:tcPr>
            <w:tcW w:w="4410" w:type="dxa"/>
            <w:tcBorders>
              <w:bottom w:val="single" w:sz="4" w:space="0" w:color="auto"/>
            </w:tcBorders>
          </w:tcPr>
          <w:p w14:paraId="4480A42C" w14:textId="77777777" w:rsidR="005D5F6D" w:rsidRPr="00E17FE6" w:rsidRDefault="005D5F6D" w:rsidP="006A242F">
            <w:pPr>
              <w:rPr>
                <w:rFonts w:asciiTheme="majorHAnsi" w:eastAsia="Calibri" w:hAnsiTheme="majorHAnsi" w:cstheme="majorHAnsi"/>
                <w:sz w:val="22"/>
              </w:rPr>
            </w:pPr>
            <w:r w:rsidRPr="00E17FE6">
              <w:rPr>
                <w:rFonts w:asciiTheme="majorHAnsi" w:eastAsia="Calibri" w:hAnsiTheme="majorHAnsi" w:cstheme="majorHAnsi"/>
                <w:sz w:val="22"/>
              </w:rPr>
              <w:t>Drug supply, if applicable</w:t>
            </w:r>
          </w:p>
        </w:tc>
      </w:tr>
      <w:tr w:rsidR="005D5F6D" w:rsidRPr="00E17FE6" w14:paraId="497B884C" w14:textId="77777777" w:rsidTr="007C13BE">
        <w:tc>
          <w:tcPr>
            <w:tcW w:w="265" w:type="dxa"/>
            <w:tcBorders>
              <w:top w:val="single" w:sz="4" w:space="0" w:color="auto"/>
            </w:tcBorders>
          </w:tcPr>
          <w:p w14:paraId="7405AB14" w14:textId="77777777" w:rsidR="005D5F6D" w:rsidRPr="00E17FE6" w:rsidRDefault="005D5F6D" w:rsidP="006A242F">
            <w:pPr>
              <w:rPr>
                <w:rFonts w:asciiTheme="majorHAnsi" w:eastAsia="Calibri" w:hAnsiTheme="majorHAnsi" w:cstheme="majorHAnsi"/>
                <w:sz w:val="22"/>
              </w:rPr>
            </w:pPr>
          </w:p>
        </w:tc>
        <w:tc>
          <w:tcPr>
            <w:tcW w:w="2410" w:type="dxa"/>
            <w:tcBorders>
              <w:top w:val="single" w:sz="4" w:space="0" w:color="auto"/>
            </w:tcBorders>
          </w:tcPr>
          <w:p w14:paraId="18810BBD" w14:textId="77777777" w:rsidR="005D5F6D" w:rsidRPr="00E17FE6" w:rsidRDefault="005D5F6D" w:rsidP="006A242F">
            <w:pPr>
              <w:rPr>
                <w:rFonts w:asciiTheme="majorHAnsi" w:eastAsia="Calibri" w:hAnsiTheme="majorHAnsi" w:cstheme="majorHAnsi"/>
                <w:sz w:val="22"/>
              </w:rPr>
            </w:pPr>
            <w:r w:rsidRPr="00E17FE6">
              <w:rPr>
                <w:rFonts w:asciiTheme="majorHAnsi" w:eastAsia="Calibri" w:hAnsiTheme="majorHAnsi" w:cstheme="majorHAnsi"/>
                <w:sz w:val="22"/>
              </w:rPr>
              <w:t>Criminal justice data</w:t>
            </w:r>
          </w:p>
        </w:tc>
        <w:tc>
          <w:tcPr>
            <w:tcW w:w="4410" w:type="dxa"/>
            <w:tcBorders>
              <w:top w:val="single" w:sz="4" w:space="0" w:color="auto"/>
            </w:tcBorders>
          </w:tcPr>
          <w:p w14:paraId="29AC13AC" w14:textId="77777777" w:rsidR="005D5F6D" w:rsidRPr="00E17FE6" w:rsidRDefault="005D5F6D" w:rsidP="006A242F">
            <w:pPr>
              <w:rPr>
                <w:rFonts w:asciiTheme="majorHAnsi" w:eastAsia="Calibri" w:hAnsiTheme="majorHAnsi" w:cstheme="majorHAnsi"/>
                <w:sz w:val="22"/>
              </w:rPr>
            </w:pPr>
          </w:p>
        </w:tc>
      </w:tr>
      <w:tr w:rsidR="005D5F6D" w:rsidRPr="00E17FE6" w14:paraId="03AB1E43" w14:textId="77777777" w:rsidTr="007C13BE">
        <w:tc>
          <w:tcPr>
            <w:tcW w:w="265" w:type="dxa"/>
          </w:tcPr>
          <w:p w14:paraId="2328AB25" w14:textId="77777777" w:rsidR="005D5F6D" w:rsidRPr="00E17FE6" w:rsidRDefault="005D5F6D" w:rsidP="006A242F">
            <w:pPr>
              <w:rPr>
                <w:rFonts w:asciiTheme="majorHAnsi" w:eastAsia="Calibri" w:hAnsiTheme="majorHAnsi" w:cstheme="majorHAnsi"/>
                <w:sz w:val="22"/>
              </w:rPr>
            </w:pPr>
          </w:p>
        </w:tc>
        <w:tc>
          <w:tcPr>
            <w:tcW w:w="2410" w:type="dxa"/>
          </w:tcPr>
          <w:p w14:paraId="6A3A749E" w14:textId="77777777" w:rsidR="005D5F6D" w:rsidRPr="00E17FE6" w:rsidRDefault="005D5F6D" w:rsidP="006A242F">
            <w:pPr>
              <w:rPr>
                <w:rFonts w:asciiTheme="majorHAnsi" w:eastAsia="Calibri" w:hAnsiTheme="majorHAnsi" w:cstheme="majorHAnsi"/>
                <w:sz w:val="22"/>
              </w:rPr>
            </w:pPr>
          </w:p>
        </w:tc>
        <w:tc>
          <w:tcPr>
            <w:tcW w:w="4410" w:type="dxa"/>
          </w:tcPr>
          <w:p w14:paraId="5F98CADB" w14:textId="77777777" w:rsidR="005D5F6D" w:rsidRPr="00E17FE6" w:rsidRDefault="005D5F6D" w:rsidP="006A242F">
            <w:pPr>
              <w:rPr>
                <w:rFonts w:asciiTheme="majorHAnsi" w:eastAsia="Calibri" w:hAnsiTheme="majorHAnsi" w:cstheme="majorHAnsi"/>
                <w:sz w:val="22"/>
              </w:rPr>
            </w:pPr>
            <w:r w:rsidRPr="00E17FE6">
              <w:rPr>
                <w:rFonts w:asciiTheme="majorHAnsi" w:eastAsia="Calibri" w:hAnsiTheme="majorHAnsi" w:cstheme="majorHAnsi"/>
                <w:sz w:val="22"/>
              </w:rPr>
              <w:t>Date(s)</w:t>
            </w:r>
          </w:p>
        </w:tc>
      </w:tr>
      <w:tr w:rsidR="005D5F6D" w:rsidRPr="00E17FE6" w14:paraId="347B92FF" w14:textId="77777777" w:rsidTr="007C13BE">
        <w:tc>
          <w:tcPr>
            <w:tcW w:w="265" w:type="dxa"/>
          </w:tcPr>
          <w:p w14:paraId="56B496A1" w14:textId="77777777" w:rsidR="005D5F6D" w:rsidRPr="00E17FE6" w:rsidRDefault="005D5F6D" w:rsidP="006A242F">
            <w:pPr>
              <w:rPr>
                <w:rFonts w:asciiTheme="majorHAnsi" w:eastAsia="Calibri" w:hAnsiTheme="majorHAnsi" w:cstheme="majorHAnsi"/>
                <w:sz w:val="22"/>
              </w:rPr>
            </w:pPr>
          </w:p>
        </w:tc>
        <w:tc>
          <w:tcPr>
            <w:tcW w:w="2410" w:type="dxa"/>
          </w:tcPr>
          <w:p w14:paraId="6903715B" w14:textId="77777777" w:rsidR="005D5F6D" w:rsidRPr="00E17FE6" w:rsidRDefault="005D5F6D" w:rsidP="006A242F">
            <w:pPr>
              <w:rPr>
                <w:rFonts w:asciiTheme="majorHAnsi" w:eastAsia="Calibri" w:hAnsiTheme="majorHAnsi" w:cstheme="majorHAnsi"/>
                <w:sz w:val="22"/>
              </w:rPr>
            </w:pPr>
          </w:p>
        </w:tc>
        <w:tc>
          <w:tcPr>
            <w:tcW w:w="4410" w:type="dxa"/>
          </w:tcPr>
          <w:p w14:paraId="4420AC37" w14:textId="77777777" w:rsidR="005D5F6D" w:rsidRPr="00E17FE6" w:rsidRDefault="005D5F6D" w:rsidP="006A242F">
            <w:pPr>
              <w:rPr>
                <w:rFonts w:asciiTheme="majorHAnsi" w:eastAsia="Calibri" w:hAnsiTheme="majorHAnsi" w:cstheme="majorHAnsi"/>
                <w:sz w:val="22"/>
              </w:rPr>
            </w:pPr>
            <w:r w:rsidRPr="00E17FE6">
              <w:rPr>
                <w:rFonts w:asciiTheme="majorHAnsi" w:eastAsia="Calibri" w:hAnsiTheme="majorHAnsi" w:cstheme="majorHAnsi"/>
                <w:sz w:val="22"/>
              </w:rPr>
              <w:t>Charge</w:t>
            </w:r>
          </w:p>
        </w:tc>
      </w:tr>
      <w:tr w:rsidR="005D5F6D" w:rsidRPr="00E17FE6" w14:paraId="7C083A28" w14:textId="77777777" w:rsidTr="007C13BE">
        <w:tc>
          <w:tcPr>
            <w:tcW w:w="265" w:type="dxa"/>
          </w:tcPr>
          <w:p w14:paraId="03C31263" w14:textId="77777777" w:rsidR="005D5F6D" w:rsidRPr="00E17FE6" w:rsidRDefault="005D5F6D" w:rsidP="006A242F">
            <w:pPr>
              <w:rPr>
                <w:rFonts w:asciiTheme="majorHAnsi" w:eastAsia="Calibri" w:hAnsiTheme="majorHAnsi" w:cstheme="majorHAnsi"/>
                <w:sz w:val="22"/>
              </w:rPr>
            </w:pPr>
          </w:p>
        </w:tc>
        <w:tc>
          <w:tcPr>
            <w:tcW w:w="2410" w:type="dxa"/>
          </w:tcPr>
          <w:p w14:paraId="6DA519F5" w14:textId="77777777" w:rsidR="005D5F6D" w:rsidRPr="00E17FE6" w:rsidRDefault="005D5F6D" w:rsidP="006A242F">
            <w:pPr>
              <w:rPr>
                <w:rFonts w:asciiTheme="majorHAnsi" w:eastAsia="Calibri" w:hAnsiTheme="majorHAnsi" w:cstheme="majorHAnsi"/>
                <w:sz w:val="22"/>
              </w:rPr>
            </w:pPr>
          </w:p>
        </w:tc>
        <w:tc>
          <w:tcPr>
            <w:tcW w:w="4410" w:type="dxa"/>
          </w:tcPr>
          <w:p w14:paraId="71E1BC78" w14:textId="77777777" w:rsidR="005D5F6D" w:rsidRPr="00E17FE6" w:rsidRDefault="005D5F6D" w:rsidP="006A242F">
            <w:pPr>
              <w:rPr>
                <w:rFonts w:asciiTheme="majorHAnsi" w:eastAsia="Calibri" w:hAnsiTheme="majorHAnsi" w:cstheme="majorHAnsi"/>
                <w:sz w:val="22"/>
              </w:rPr>
            </w:pPr>
            <w:r w:rsidRPr="00E17FE6">
              <w:rPr>
                <w:rFonts w:asciiTheme="majorHAnsi" w:eastAsia="Calibri" w:hAnsiTheme="majorHAnsi" w:cstheme="majorHAnsi"/>
                <w:sz w:val="22"/>
              </w:rPr>
              <w:t>Jail housing status</w:t>
            </w:r>
          </w:p>
        </w:tc>
      </w:tr>
      <w:tr w:rsidR="005D5F6D" w:rsidRPr="00E17FE6" w14:paraId="72B39D2E" w14:textId="77777777" w:rsidTr="007C13BE">
        <w:tc>
          <w:tcPr>
            <w:tcW w:w="265" w:type="dxa"/>
            <w:tcBorders>
              <w:bottom w:val="single" w:sz="4" w:space="0" w:color="auto"/>
            </w:tcBorders>
          </w:tcPr>
          <w:p w14:paraId="62AC0664" w14:textId="77777777" w:rsidR="005D5F6D" w:rsidRPr="00E17FE6" w:rsidRDefault="005D5F6D" w:rsidP="006A242F">
            <w:pPr>
              <w:rPr>
                <w:rFonts w:asciiTheme="majorHAnsi" w:eastAsia="Calibri" w:hAnsiTheme="majorHAnsi" w:cstheme="majorHAnsi"/>
                <w:sz w:val="22"/>
              </w:rPr>
            </w:pPr>
          </w:p>
        </w:tc>
        <w:tc>
          <w:tcPr>
            <w:tcW w:w="2410" w:type="dxa"/>
            <w:tcBorders>
              <w:bottom w:val="single" w:sz="4" w:space="0" w:color="auto"/>
            </w:tcBorders>
          </w:tcPr>
          <w:p w14:paraId="7C7E1FE3" w14:textId="77777777" w:rsidR="005D5F6D" w:rsidRPr="00E17FE6" w:rsidRDefault="005D5F6D" w:rsidP="006A242F">
            <w:pPr>
              <w:rPr>
                <w:rFonts w:asciiTheme="majorHAnsi" w:eastAsia="Calibri" w:hAnsiTheme="majorHAnsi" w:cstheme="majorHAnsi"/>
                <w:sz w:val="22"/>
              </w:rPr>
            </w:pPr>
          </w:p>
        </w:tc>
        <w:tc>
          <w:tcPr>
            <w:tcW w:w="4410" w:type="dxa"/>
            <w:tcBorders>
              <w:bottom w:val="single" w:sz="4" w:space="0" w:color="auto"/>
            </w:tcBorders>
          </w:tcPr>
          <w:p w14:paraId="0D9A4772" w14:textId="77777777" w:rsidR="005D5F6D" w:rsidRPr="00E17FE6" w:rsidRDefault="005D5F6D" w:rsidP="006A242F">
            <w:pPr>
              <w:rPr>
                <w:rFonts w:asciiTheme="majorHAnsi" w:eastAsia="Calibri" w:hAnsiTheme="majorHAnsi" w:cstheme="majorHAnsi"/>
                <w:sz w:val="22"/>
              </w:rPr>
            </w:pPr>
            <w:r w:rsidRPr="00E17FE6">
              <w:rPr>
                <w:rFonts w:asciiTheme="majorHAnsi" w:eastAsia="Calibri" w:hAnsiTheme="majorHAnsi" w:cstheme="majorHAnsi"/>
                <w:sz w:val="22"/>
              </w:rPr>
              <w:t>Jail treatment records, including medications</w:t>
            </w:r>
          </w:p>
        </w:tc>
      </w:tr>
    </w:tbl>
    <w:p w14:paraId="380E83F9" w14:textId="77777777" w:rsidR="008F05A7" w:rsidRPr="002238BD" w:rsidRDefault="008F05A7" w:rsidP="005D5F6D"/>
    <w:p w14:paraId="2F39CDAD" w14:textId="77777777" w:rsidR="00784D3F" w:rsidRPr="002238BD" w:rsidRDefault="00784D3F" w:rsidP="008F05A7">
      <w:pPr>
        <w:ind w:left="720"/>
      </w:pPr>
    </w:p>
    <w:p w14:paraId="471F20B6" w14:textId="785CC3CD" w:rsidR="005927A9" w:rsidRPr="002238BD" w:rsidRDefault="008D0C31" w:rsidP="00B15A27">
      <w:pPr>
        <w:pStyle w:val="Heading3"/>
        <w:numPr>
          <w:ilvl w:val="0"/>
          <w:numId w:val="9"/>
        </w:numPr>
        <w:rPr>
          <w:b/>
          <w:u w:val="none"/>
        </w:rPr>
      </w:pPr>
      <w:r w:rsidRPr="002238BD">
        <w:rPr>
          <w:b/>
          <w:u w:val="none"/>
        </w:rPr>
        <w:t>Impact on Small Businesses or Other Small Entities</w:t>
      </w:r>
    </w:p>
    <w:p w14:paraId="76506D46" w14:textId="77777777" w:rsidR="00D32B29" w:rsidRPr="002238BD" w:rsidRDefault="00D32B29" w:rsidP="00D32B29"/>
    <w:p w14:paraId="067D18E2" w14:textId="5BD540C6" w:rsidR="00D32B29" w:rsidRPr="002238BD" w:rsidRDefault="00193012" w:rsidP="00D32B29">
      <w:pPr>
        <w:ind w:left="720"/>
      </w:pPr>
      <w:r w:rsidRPr="002238BD">
        <w:t xml:space="preserve">The six AOT sites in the outcome evaluation are either </w:t>
      </w:r>
      <w:r w:rsidR="000B4EF1" w:rsidRPr="002238BD">
        <w:t>state mental health authorities</w:t>
      </w:r>
      <w:r w:rsidRPr="002238BD">
        <w:t xml:space="preserve">, </w:t>
      </w:r>
      <w:r w:rsidR="000B4EF1" w:rsidRPr="002238BD">
        <w:t>local government entities</w:t>
      </w:r>
      <w:r w:rsidRPr="002238BD">
        <w:t>, or, in one instance, a regional provider organization.</w:t>
      </w:r>
      <w:r w:rsidR="003E50CF" w:rsidRPr="002238BD">
        <w:t xml:space="preserve"> Per the SAMHSA FOA for the AOT grants (SM-16-011), no more than twenty percent of the grant award must be applied to performance measurement, including </w:t>
      </w:r>
      <w:r w:rsidR="00B45852" w:rsidRPr="002238BD">
        <w:t>participation</w:t>
      </w:r>
      <w:r w:rsidR="003E50CF" w:rsidRPr="002238BD">
        <w:t xml:space="preserve"> in the cross-site evaluation. </w:t>
      </w:r>
      <w:r w:rsidR="00F921C9" w:rsidRPr="002238BD">
        <w:t>The use of administrative and secondary data collections will b</w:t>
      </w:r>
      <w:r w:rsidR="003749CD" w:rsidRPr="002238BD">
        <w:t>e employed to reduce</w:t>
      </w:r>
      <w:r w:rsidR="00EB2414" w:rsidRPr="002238BD">
        <w:t xml:space="preserve"> any associated</w:t>
      </w:r>
      <w:r w:rsidR="003749CD" w:rsidRPr="002238BD">
        <w:t xml:space="preserve"> burden of the primary data collections on the sites.</w:t>
      </w:r>
    </w:p>
    <w:p w14:paraId="1036BB2A" w14:textId="77777777" w:rsidR="005927A9" w:rsidRPr="002238BD" w:rsidRDefault="005927A9" w:rsidP="005927A9"/>
    <w:p w14:paraId="6BB9AC3B" w14:textId="3B97BE31" w:rsidR="00DF5B00" w:rsidRPr="002238BD" w:rsidRDefault="008406A7" w:rsidP="00B15A27">
      <w:pPr>
        <w:pStyle w:val="Heading3"/>
        <w:numPr>
          <w:ilvl w:val="0"/>
          <w:numId w:val="9"/>
        </w:numPr>
        <w:rPr>
          <w:b/>
          <w:u w:val="none"/>
        </w:rPr>
      </w:pPr>
      <w:r w:rsidRPr="002238BD">
        <w:rPr>
          <w:b/>
          <w:u w:val="none"/>
        </w:rPr>
        <w:t>Consequences of Collecting the Information Less Frequently.</w:t>
      </w:r>
    </w:p>
    <w:p w14:paraId="319EB59B" w14:textId="77777777" w:rsidR="00CC1029" w:rsidRPr="002238BD" w:rsidRDefault="00CC1029" w:rsidP="00CC1029"/>
    <w:p w14:paraId="4D115668" w14:textId="512353FD" w:rsidR="00DF5B00" w:rsidRPr="002238BD" w:rsidRDefault="00026734" w:rsidP="007C78B1">
      <w:pPr>
        <w:ind w:left="720"/>
      </w:pPr>
      <w:r w:rsidRPr="002238BD">
        <w:t>Each of the primary data collection</w:t>
      </w:r>
      <w:r w:rsidR="00E17BA7" w:rsidRPr="002238BD">
        <w:t xml:space="preserve"> instruments described above will obtain</w:t>
      </w:r>
      <w:r w:rsidRPr="002238BD">
        <w:t xml:space="preserve"> information </w:t>
      </w:r>
      <w:r w:rsidR="00E17BA7" w:rsidRPr="002238BD">
        <w:t>necessary to answer evaluation research questions.</w:t>
      </w:r>
      <w:r w:rsidRPr="002238BD">
        <w:t xml:space="preserve"> The inclusion of all planned data sources is needed to glean information about </w:t>
      </w:r>
      <w:r w:rsidR="00266AD7" w:rsidRPr="002238BD">
        <w:t>AOT</w:t>
      </w:r>
      <w:r w:rsidRPr="002238BD">
        <w:t xml:space="preserve"> </w:t>
      </w:r>
      <w:r w:rsidR="00D32FCD" w:rsidRPr="002238BD">
        <w:t xml:space="preserve">program outcomes, models and interventions, and resources and costs. Primary data collections have been designed to </w:t>
      </w:r>
      <w:r w:rsidR="004E3AE2" w:rsidRPr="002238BD">
        <w:t>gather</w:t>
      </w:r>
      <w:r w:rsidR="00D32FCD" w:rsidRPr="002238BD">
        <w:t xml:space="preserve"> those data which are n</w:t>
      </w:r>
      <w:r w:rsidR="00CB53DD" w:rsidRPr="002238BD">
        <w:t xml:space="preserve">ot obtainable by administrative or secondary means. </w:t>
      </w:r>
      <w:r w:rsidR="007C78B1">
        <w:t>E</w:t>
      </w:r>
      <w:r w:rsidR="00A55C0E">
        <w:t xml:space="preserve">fforts </w:t>
      </w:r>
      <w:r w:rsidR="007C78B1">
        <w:t xml:space="preserve">also </w:t>
      </w:r>
      <w:r w:rsidR="00A55C0E">
        <w:t xml:space="preserve">have been made to reduce the burden of primary data collection on participants through </w:t>
      </w:r>
      <w:r w:rsidR="006128E0">
        <w:t xml:space="preserve">revision of the structured client interview based on consultation </w:t>
      </w:r>
      <w:r w:rsidR="005942BF">
        <w:t>between</w:t>
      </w:r>
      <w:r w:rsidR="006128E0">
        <w:t xml:space="preserve"> ASPE, NIMH, and SAMHSA.</w:t>
      </w:r>
      <w:r w:rsidR="004A6A72">
        <w:t xml:space="preserve"> </w:t>
      </w:r>
    </w:p>
    <w:p w14:paraId="2D2CC11A" w14:textId="4EF30B71" w:rsidR="00601F2A" w:rsidRPr="002238BD" w:rsidRDefault="00601F2A"/>
    <w:p w14:paraId="2263C273" w14:textId="1871D0BF" w:rsidR="00584C0F" w:rsidRPr="002238BD" w:rsidRDefault="00697EC2" w:rsidP="00697EC2">
      <w:pPr>
        <w:pStyle w:val="Heading3"/>
        <w:numPr>
          <w:ilvl w:val="0"/>
          <w:numId w:val="9"/>
        </w:numPr>
        <w:rPr>
          <w:b/>
          <w:u w:val="none"/>
        </w:rPr>
      </w:pPr>
      <w:r w:rsidRPr="002238BD">
        <w:rPr>
          <w:b/>
          <w:u w:val="none"/>
        </w:rPr>
        <w:t>Special Circumstances Relating to the Guidelines of 5 CFR 1320.5</w:t>
      </w:r>
    </w:p>
    <w:p w14:paraId="02F6D688" w14:textId="77777777" w:rsidR="00C70AD7" w:rsidRPr="002238BD" w:rsidRDefault="00C70AD7" w:rsidP="00C70AD7"/>
    <w:p w14:paraId="5290BFC6" w14:textId="622A480B" w:rsidR="00C70AD7" w:rsidRPr="002238BD" w:rsidRDefault="00C70AD7" w:rsidP="00C70AD7">
      <w:pPr>
        <w:ind w:left="720"/>
      </w:pPr>
      <w:r w:rsidRPr="002238BD">
        <w:t>The information collection complies with 5 CFR 1320.5(d)(2)</w:t>
      </w:r>
      <w:r w:rsidR="00B52EE9" w:rsidRPr="002238BD">
        <w:t>.</w:t>
      </w:r>
    </w:p>
    <w:p w14:paraId="6161DFDD" w14:textId="77777777" w:rsidR="00B52EE9" w:rsidRPr="002238BD" w:rsidRDefault="00B52EE9" w:rsidP="00B52EE9"/>
    <w:p w14:paraId="4AEF54EE" w14:textId="198E05BC" w:rsidR="00291C45" w:rsidRPr="002238BD" w:rsidRDefault="00B52EE9" w:rsidP="00B15A27">
      <w:pPr>
        <w:pStyle w:val="Heading3"/>
        <w:numPr>
          <w:ilvl w:val="0"/>
          <w:numId w:val="9"/>
        </w:numPr>
        <w:rPr>
          <w:b/>
          <w:u w:val="none"/>
        </w:rPr>
      </w:pPr>
      <w:r w:rsidRPr="002238BD">
        <w:rPr>
          <w:b/>
          <w:u w:val="none"/>
        </w:rPr>
        <w:t>Comments in Response to the Federal Register Notice and Efforts to Consult outside the Agency.</w:t>
      </w:r>
    </w:p>
    <w:p w14:paraId="5A9A1C74" w14:textId="77777777" w:rsidR="00ED6003" w:rsidRPr="002238BD" w:rsidRDefault="00ED6003" w:rsidP="00ED6003"/>
    <w:p w14:paraId="787EB1AB" w14:textId="084D8A1B" w:rsidR="00B52EE9" w:rsidRPr="002238BD" w:rsidRDefault="003075E6" w:rsidP="00584C0F">
      <w:pPr>
        <w:ind w:left="720"/>
      </w:pPr>
      <w:r>
        <w:t xml:space="preserve">On </w:t>
      </w:r>
      <w:r w:rsidR="004E03D6">
        <w:t>January 31, 2018</w:t>
      </w:r>
      <w:r>
        <w:t xml:space="preserve">, a 60-Day Federal Register Notice was published at </w:t>
      </w:r>
      <w:r w:rsidR="004E03D6">
        <w:t xml:space="preserve">Register Volume 83, </w:t>
      </w:r>
      <w:r w:rsidR="008B7778">
        <w:t xml:space="preserve">Page #4496, </w:t>
      </w:r>
      <w:r w:rsidR="004E03D6">
        <w:t>Number 21</w:t>
      </w:r>
      <w:r>
        <w:t>. No comments were received.</w:t>
      </w:r>
    </w:p>
    <w:p w14:paraId="2F72EC0D" w14:textId="77777777" w:rsidR="00B52EE9" w:rsidRPr="002238BD" w:rsidRDefault="00B52EE9" w:rsidP="00584C0F">
      <w:pPr>
        <w:ind w:left="720"/>
      </w:pPr>
    </w:p>
    <w:p w14:paraId="5C52D3A6" w14:textId="5312F747" w:rsidR="00584C0F" w:rsidRPr="002238BD" w:rsidRDefault="00A26D44" w:rsidP="00584C0F">
      <w:pPr>
        <w:ind w:left="720"/>
      </w:pPr>
      <w:r w:rsidRPr="002238BD">
        <w:t xml:space="preserve">The outcome evaluation design </w:t>
      </w:r>
      <w:r w:rsidR="004E3AE2" w:rsidRPr="002238BD">
        <w:t>has been</w:t>
      </w:r>
      <w:r w:rsidRPr="002238BD">
        <w:t xml:space="preserve"> informed by the HHS AOT Advisory Committee, which includes members from SAMHSA and NIMH in addition to ASPE. In addition, an AOT Technical Advisory Group</w:t>
      </w:r>
      <w:r w:rsidR="00BC5299">
        <w:t xml:space="preserve"> of outside subject matter experts</w:t>
      </w:r>
      <w:r w:rsidRPr="002238BD">
        <w:t xml:space="preserve"> was convened in October 2017</w:t>
      </w:r>
      <w:r w:rsidR="00CE48D2" w:rsidRPr="002238BD">
        <w:t xml:space="preserve"> to provide guidance on the design and analysis plan for the outcome eval</w:t>
      </w:r>
      <w:r w:rsidR="007E534C">
        <w:t>uation.</w:t>
      </w:r>
    </w:p>
    <w:p w14:paraId="4AB82EFB" w14:textId="77777777" w:rsidR="00A94199" w:rsidRPr="002238BD" w:rsidRDefault="00A94199" w:rsidP="00A94199">
      <w:pPr>
        <w:rPr>
          <w:b/>
        </w:rPr>
      </w:pPr>
    </w:p>
    <w:p w14:paraId="580BFCF3" w14:textId="38B02328" w:rsidR="00CB0F84" w:rsidRPr="002238BD" w:rsidRDefault="00ED6003" w:rsidP="00B15A27">
      <w:pPr>
        <w:pStyle w:val="Heading3"/>
        <w:numPr>
          <w:ilvl w:val="0"/>
          <w:numId w:val="9"/>
        </w:numPr>
        <w:rPr>
          <w:b/>
          <w:u w:val="none"/>
        </w:rPr>
      </w:pPr>
      <w:r w:rsidRPr="002238BD">
        <w:rPr>
          <w:b/>
          <w:u w:val="none"/>
        </w:rPr>
        <w:t xml:space="preserve">Explain any decision to provide any payment or gift to respondents, other than </w:t>
      </w:r>
      <w:r w:rsidR="00CB0F84" w:rsidRPr="002238BD">
        <w:rPr>
          <w:b/>
          <w:u w:val="none"/>
        </w:rPr>
        <w:t>remuneration</w:t>
      </w:r>
      <w:r w:rsidRPr="002238BD">
        <w:rPr>
          <w:b/>
          <w:u w:val="none"/>
        </w:rPr>
        <w:t xml:space="preserve"> of contractors or grantees.</w:t>
      </w:r>
    </w:p>
    <w:p w14:paraId="69291254" w14:textId="77777777" w:rsidR="00CB0F84" w:rsidRPr="002238BD" w:rsidRDefault="00CB0F84" w:rsidP="00CB0F84">
      <w:pPr>
        <w:pStyle w:val="Heading3"/>
        <w:ind w:left="720"/>
      </w:pPr>
    </w:p>
    <w:p w14:paraId="2C6B5164" w14:textId="6896F6AF" w:rsidR="00ED6003" w:rsidRPr="002238BD" w:rsidRDefault="00CB0F84" w:rsidP="004E3AE2">
      <w:pPr>
        <w:ind w:left="720"/>
      </w:pPr>
      <w:r w:rsidRPr="002238BD">
        <w:t>We will not be providing any remuneration or incentive to respondents.</w:t>
      </w:r>
      <w:r w:rsidR="007745C6">
        <w:t xml:space="preserve"> Some sites have elected to use a portion of their own grant funds to compensate respondents. Across all sites, </w:t>
      </w:r>
      <w:r w:rsidR="009C37A9">
        <w:t xml:space="preserve">however, </w:t>
      </w:r>
      <w:r w:rsidR="007745C6">
        <w:t xml:space="preserve">we are providing technical assistance and training via webinar to help sites successfully track participants and administer instruments. </w:t>
      </w:r>
    </w:p>
    <w:p w14:paraId="2C1E32E9" w14:textId="77777777" w:rsidR="00ED6003" w:rsidRPr="002238BD" w:rsidRDefault="00ED6003" w:rsidP="00ED6003"/>
    <w:p w14:paraId="40938651" w14:textId="08153E53" w:rsidR="00CB0F84" w:rsidRPr="002238BD" w:rsidRDefault="00ED6003" w:rsidP="00CB0F84">
      <w:pPr>
        <w:pStyle w:val="Heading3"/>
        <w:numPr>
          <w:ilvl w:val="0"/>
          <w:numId w:val="9"/>
        </w:numPr>
        <w:rPr>
          <w:b/>
          <w:u w:val="none"/>
        </w:rPr>
      </w:pPr>
      <w:bookmarkStart w:id="2" w:name="_Hlk500842749"/>
      <w:r w:rsidRPr="002238BD">
        <w:rPr>
          <w:b/>
          <w:u w:val="none"/>
        </w:rPr>
        <w:t>Describe any assurance of confidentiality provided to respondents and the basis for the assurance in statut</w:t>
      </w:r>
      <w:r w:rsidR="00CB0F84" w:rsidRPr="002238BD">
        <w:rPr>
          <w:b/>
          <w:u w:val="none"/>
        </w:rPr>
        <w:t>e, regulation, or agency policy.</w:t>
      </w:r>
    </w:p>
    <w:p w14:paraId="3204A954" w14:textId="422E49B6" w:rsidR="00CB0F84" w:rsidRDefault="00CB0F84" w:rsidP="00CB0F84">
      <w:pPr>
        <w:ind w:left="720"/>
      </w:pPr>
    </w:p>
    <w:p w14:paraId="04CEB1EC" w14:textId="5D847195" w:rsidR="008C0F04" w:rsidRDefault="00956FC0" w:rsidP="00BF5883">
      <w:pPr>
        <w:ind w:left="720"/>
      </w:pPr>
      <w:r>
        <w:t>AOT participants</w:t>
      </w:r>
      <w:r w:rsidR="00DC30ED">
        <w:t xml:space="preserve"> at each of the sites</w:t>
      </w:r>
      <w:r w:rsidR="008C0F04" w:rsidRPr="008C0F04">
        <w:t xml:space="preserve"> will be informed about confidentiality and the</w:t>
      </w:r>
      <w:r>
        <w:t xml:space="preserve"> exceptions to confidentiality (i.e., cases in which potential risks outweigh a participant’s right to confidentiality). </w:t>
      </w:r>
      <w:r w:rsidR="00DC30ED">
        <w:t>Sites</w:t>
      </w:r>
      <w:r>
        <w:t xml:space="preserve"> will maintain c</w:t>
      </w:r>
      <w:r w:rsidR="008C0F04" w:rsidRPr="008C0F04">
        <w:t>onfidentiality of the research data by eliminating any reference to specific individuals and coding all information by number</w:t>
      </w:r>
      <w:r>
        <w:t xml:space="preserve">; personal identifiers will be confined to consent </w:t>
      </w:r>
      <w:r w:rsidR="00366169">
        <w:t xml:space="preserve">and locator </w:t>
      </w:r>
      <w:r>
        <w:t>forms.</w:t>
      </w:r>
      <w:r w:rsidR="00366169">
        <w:t xml:space="preserve"> Specifically, locator forms will contain the participant’s name, contact information, and the contact information of other people who might know how to get in touch with the participant for follow-up interviews. Locator forms will be stored separately from all other data, and participants will be assured that researchers will not disclose the reason for calling any provided contacts.</w:t>
      </w:r>
      <w:r w:rsidR="00BF5883">
        <w:t xml:space="preserve"> </w:t>
      </w:r>
      <w:r w:rsidR="003F4140">
        <w:t>Local evaluators at each of the sites</w:t>
      </w:r>
      <w:r w:rsidR="00BF5883">
        <w:t xml:space="preserve"> will oversee linkage of survey data to secondary, administrative data in order to ensure that </w:t>
      </w:r>
      <w:r w:rsidR="00B156FF">
        <w:t xml:space="preserve">all datasets will be stripped of identifiable information. </w:t>
      </w:r>
      <w:r>
        <w:t>Additionally, we will work with sites and their</w:t>
      </w:r>
      <w:r w:rsidR="00DC30ED">
        <w:t xml:space="preserve"> respective</w:t>
      </w:r>
      <w:r>
        <w:t xml:space="preserve"> IRBs to develop procedures and protocols to minimize risks that </w:t>
      </w:r>
      <w:r w:rsidR="00DC30ED">
        <w:t>participant data (i.e., survey responses) would ever be shared with primary treating clin</w:t>
      </w:r>
      <w:r w:rsidR="003F4140">
        <w:t>icians or other treatment staff, nor judicial representatives of the AOT program.</w:t>
      </w:r>
      <w:r w:rsidR="00366169">
        <w:t xml:space="preserve"> </w:t>
      </w:r>
    </w:p>
    <w:p w14:paraId="5D7DA3EC" w14:textId="649649ED" w:rsidR="00DC30ED" w:rsidRDefault="00DC30ED" w:rsidP="00366169"/>
    <w:p w14:paraId="3D401EDB" w14:textId="7CB3ACF7" w:rsidR="00366169" w:rsidRDefault="00366169" w:rsidP="00366169">
      <w:pPr>
        <w:ind w:left="720"/>
      </w:pPr>
      <w:r>
        <w:t>Furthermore</w:t>
      </w:r>
      <w:r w:rsidR="00DC30ED">
        <w:t>, n</w:t>
      </w:r>
      <w:r w:rsidR="00DC30ED" w:rsidRPr="00DC30ED">
        <w:t xml:space="preserve">umerous steps will be taken to ensure the protection of those </w:t>
      </w:r>
      <w:r w:rsidR="00DC30ED">
        <w:t>AOT recipients</w:t>
      </w:r>
      <w:r w:rsidR="00DC30ED" w:rsidRPr="00DC30ED">
        <w:t xml:space="preserve"> who decline to participate. First, the consent disclosure will be reviewed with the potential </w:t>
      </w:r>
      <w:r w:rsidR="00DC30ED">
        <w:t>participant</w:t>
      </w:r>
      <w:r w:rsidR="00DC30ED" w:rsidRPr="00DC30ED">
        <w:t xml:space="preserve"> alone. No </w:t>
      </w:r>
      <w:r w:rsidR="00DC30ED">
        <w:t>treatment</w:t>
      </w:r>
      <w:r w:rsidR="00DC30ED" w:rsidRPr="00DC30ED">
        <w:t xml:space="preserve"> staff will be present</w:t>
      </w:r>
      <w:r w:rsidR="00DC30ED">
        <w:t>, other than the non-primary treating clinician conducting the interview</w:t>
      </w:r>
      <w:r w:rsidR="00DC30ED" w:rsidRPr="00DC30ED">
        <w:t xml:space="preserve">. Further, whether an </w:t>
      </w:r>
      <w:r w:rsidR="00DC30ED">
        <w:t>AOT recipient</w:t>
      </w:r>
      <w:r w:rsidR="00DC30ED" w:rsidRPr="00DC30ED">
        <w:t xml:space="preserve"> chooses to participate following the consent disclosure will not be reported to any staff working in the facility. </w:t>
      </w:r>
      <w:r w:rsidR="00DC30ED">
        <w:t>B</w:t>
      </w:r>
      <w:r w:rsidR="00DC30ED" w:rsidRPr="00DC30ED">
        <w:t xml:space="preserve">ecause it is possible that someone (e.g., Project </w:t>
      </w:r>
      <w:r w:rsidR="00DC30ED">
        <w:t>Director</w:t>
      </w:r>
      <w:r w:rsidR="00DC30ED" w:rsidRPr="00DC30ED">
        <w:t xml:space="preserve">, </w:t>
      </w:r>
      <w:r w:rsidR="00DC30ED">
        <w:t>treating clinicians, case managers</w:t>
      </w:r>
      <w:r w:rsidR="00DC30ED" w:rsidRPr="00DC30ED">
        <w:t xml:space="preserve">) might conceivably infer nonparticipation by the relatively brief amount of time a nonparticipating </w:t>
      </w:r>
      <w:r w:rsidR="00DC30ED">
        <w:t>AOT recipient</w:t>
      </w:r>
      <w:r w:rsidR="00DC30ED" w:rsidRPr="00DC30ED">
        <w:t xml:space="preserve"> spen</w:t>
      </w:r>
      <w:r w:rsidR="00DC30ED">
        <w:t xml:space="preserve">ds </w:t>
      </w:r>
      <w:r w:rsidR="00DC30ED" w:rsidRPr="00DC30ED">
        <w:t xml:space="preserve">with the </w:t>
      </w:r>
      <w:r w:rsidR="00DC30ED">
        <w:t xml:space="preserve">interviewer </w:t>
      </w:r>
      <w:r w:rsidR="00DC30ED" w:rsidRPr="00DC30ED">
        <w:t xml:space="preserve">before leaving, </w:t>
      </w:r>
      <w:r w:rsidR="00DC30ED">
        <w:t>the interviewer</w:t>
      </w:r>
      <w:r w:rsidR="00DC30ED" w:rsidRPr="00DC30ED">
        <w:t xml:space="preserve"> also will inform all </w:t>
      </w:r>
      <w:r w:rsidR="00DC30ED">
        <w:t>AOT recipients</w:t>
      </w:r>
      <w:r w:rsidR="00DC30ED" w:rsidRPr="00DC30ED">
        <w:t xml:space="preserve"> that</w:t>
      </w:r>
      <w:r w:rsidR="00DC30ED">
        <w:t xml:space="preserve"> they can choose to remain in the room </w:t>
      </w:r>
      <w:r w:rsidR="00DC30ED" w:rsidRPr="00DC30ED">
        <w:t xml:space="preserve">for the approximate amount of time that the research protocol takes to complete—without actually participating in the study. This will further insulate nonparticipants from any potential inferences being drawn that they did not cooperate with the research team, if this is a source of concern on their part. Although we are doubtful that many nonparticipants will elect to remain with the </w:t>
      </w:r>
      <w:r w:rsidR="00DC30ED">
        <w:t xml:space="preserve">interviewer </w:t>
      </w:r>
      <w:r w:rsidR="00DC30ED" w:rsidRPr="00DC30ED">
        <w:t xml:space="preserve">for this time period, </w:t>
      </w:r>
      <w:r>
        <w:t>sites</w:t>
      </w:r>
      <w:r w:rsidR="00DC30ED" w:rsidRPr="00DC30ED">
        <w:t xml:space="preserve"> will give them this option.</w:t>
      </w:r>
    </w:p>
    <w:p w14:paraId="662065AB" w14:textId="48C9A0C8" w:rsidR="00601F2A" w:rsidRPr="002238BD" w:rsidRDefault="00601F2A"/>
    <w:p w14:paraId="03E93468" w14:textId="4C9ABE6B" w:rsidR="00ED6003" w:rsidRPr="002238BD" w:rsidRDefault="00ED6003" w:rsidP="00B15A27">
      <w:pPr>
        <w:pStyle w:val="Heading3"/>
        <w:numPr>
          <w:ilvl w:val="0"/>
          <w:numId w:val="9"/>
        </w:numPr>
        <w:rPr>
          <w:b/>
          <w:u w:val="none"/>
        </w:rPr>
      </w:pPr>
      <w:r w:rsidRPr="002238BD">
        <w:rPr>
          <w:b/>
          <w:u w:val="none"/>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w:t>
      </w:r>
      <w:r w:rsidRPr="00E05987">
        <w:rPr>
          <w:b/>
          <w:u w:val="none"/>
        </w:rPr>
        <w:t xml:space="preserve">their </w:t>
      </w:r>
      <w:r w:rsidR="00E05987" w:rsidRPr="00E05987">
        <w:rPr>
          <w:b/>
          <w:u w:val="none"/>
        </w:rPr>
        <w:t>consent</w:t>
      </w:r>
      <w:r w:rsidRPr="00E05987">
        <w:rPr>
          <w:b/>
          <w:u w:val="none"/>
        </w:rPr>
        <w:t>.</w:t>
      </w:r>
      <w:r w:rsidR="00E05987">
        <w:rPr>
          <w:b/>
          <w:u w:val="none"/>
        </w:rPr>
        <w:t xml:space="preserve"> </w:t>
      </w:r>
    </w:p>
    <w:p w14:paraId="248C20BF" w14:textId="77777777" w:rsidR="00ED6003" w:rsidRPr="002238BD" w:rsidRDefault="00ED6003" w:rsidP="00ED6003"/>
    <w:p w14:paraId="2D24F356" w14:textId="62FA0BF9" w:rsidR="000B1C0C" w:rsidRDefault="00366169" w:rsidP="000B1C0C">
      <w:pPr>
        <w:ind w:left="720"/>
      </w:pPr>
      <w:r>
        <w:t>Some of the questions included in</w:t>
      </w:r>
      <w:r w:rsidR="00BF5883">
        <w:t xml:space="preserve"> the structured client interview and family satisfaction survey are sensitive in nature, such as those related to criminal activity and drug and alcohol use. Participant responses to these questions are </w:t>
      </w:r>
      <w:r w:rsidR="002B676F">
        <w:t>important</w:t>
      </w:r>
      <w:r w:rsidR="00BF5883">
        <w:t xml:space="preserve"> to the cross-site evaluation,</w:t>
      </w:r>
      <w:r w:rsidR="002B676F">
        <w:t xml:space="preserve"> in part because they pertain to outcomes that AOT is designed to affect. Moreover, criminal activity and substance use are </w:t>
      </w:r>
      <w:r w:rsidR="000B1C0C">
        <w:t>important outcomes from a public safety and policy standpoint, and findings will have implications for subsequent policy decisions.</w:t>
      </w:r>
    </w:p>
    <w:p w14:paraId="3B52FC3D" w14:textId="77777777" w:rsidR="000B1C0C" w:rsidRDefault="000B1C0C" w:rsidP="00CB0F84">
      <w:pPr>
        <w:ind w:left="720"/>
      </w:pPr>
    </w:p>
    <w:p w14:paraId="7AB71DED" w14:textId="61F542DF" w:rsidR="000B1C0C" w:rsidRPr="00DC30ED" w:rsidRDefault="000B1C0C" w:rsidP="000B1C0C">
      <w:pPr>
        <w:ind w:left="720"/>
      </w:pPr>
      <w:r>
        <w:t xml:space="preserve">AOT recipients will be informed prior to participation in the interview that they will be asked about sensitive subjects, including feelings and emotions, and past behaviors, including criminal activity and drug and alcohol use. The interviewer will explain that information </w:t>
      </w:r>
      <w:r w:rsidRPr="008C0F04">
        <w:t xml:space="preserve">will be used for this research only, and will not be shared with treatment providers unless </w:t>
      </w:r>
      <w:r>
        <w:t>necessary for</w:t>
      </w:r>
      <w:r w:rsidRPr="008C0F04">
        <w:t xml:space="preserve"> </w:t>
      </w:r>
      <w:r>
        <w:t>the safety of the participant or others</w:t>
      </w:r>
      <w:r w:rsidRPr="008C0F04">
        <w:t xml:space="preserve">. </w:t>
      </w:r>
      <w:r>
        <w:t xml:space="preserve">Again, the consent disclosure will emphasize that the participant will not be identified by name in anything written about the study, and that the information he or she provides will be </w:t>
      </w:r>
      <w:r w:rsidRPr="008C0F04">
        <w:t>combined with results from many other people and will be reported in such a way that no one’s individual answers can be identified.</w:t>
      </w:r>
      <w:r>
        <w:t xml:space="preserve"> The participant will be advised that they are free to </w:t>
      </w:r>
    </w:p>
    <w:p w14:paraId="4701DF26" w14:textId="6B3297DC" w:rsidR="00DC30ED" w:rsidRDefault="00DC30ED" w:rsidP="000B1C0C">
      <w:pPr>
        <w:ind w:left="720"/>
      </w:pPr>
      <w:r w:rsidRPr="00DC30ED">
        <w:t xml:space="preserve">withdraw from the </w:t>
      </w:r>
      <w:r>
        <w:t>interview</w:t>
      </w:r>
      <w:r w:rsidRPr="00DC30ED">
        <w:t xml:space="preserve"> at any time without prejudice and without any consequences to their treatment or </w:t>
      </w:r>
      <w:r>
        <w:t>court order.</w:t>
      </w:r>
      <w:r w:rsidR="000B1C0C">
        <w:t xml:space="preserve"> Furthermore, the participant may refuse to answer any question or may take a break at any time during the interview. </w:t>
      </w:r>
      <w:bookmarkEnd w:id="2"/>
    </w:p>
    <w:p w14:paraId="4D2A2AB5" w14:textId="77777777" w:rsidR="002E0F1A" w:rsidRPr="002238BD" w:rsidRDefault="002E0F1A" w:rsidP="00CB0F84">
      <w:pPr>
        <w:ind w:left="720"/>
      </w:pPr>
    </w:p>
    <w:p w14:paraId="0236D563" w14:textId="20B15040" w:rsidR="004E3AE2" w:rsidRPr="002238BD" w:rsidRDefault="004E3AE2" w:rsidP="00B15A27">
      <w:pPr>
        <w:pStyle w:val="Heading3"/>
        <w:numPr>
          <w:ilvl w:val="0"/>
          <w:numId w:val="9"/>
        </w:numPr>
        <w:rPr>
          <w:b/>
          <w:u w:val="none"/>
        </w:rPr>
      </w:pPr>
      <w:r w:rsidRPr="002238BD">
        <w:rPr>
          <w:b/>
          <w:u w:val="none"/>
        </w:rPr>
        <w:t xml:space="preserve">Estimates of </w:t>
      </w:r>
      <w:r w:rsidR="00D7513D" w:rsidRPr="002238BD">
        <w:rPr>
          <w:b/>
          <w:u w:val="none"/>
        </w:rPr>
        <w:t>a</w:t>
      </w:r>
      <w:r w:rsidRPr="002238BD">
        <w:rPr>
          <w:b/>
          <w:u w:val="none"/>
        </w:rPr>
        <w:t xml:space="preserve">nnualized </w:t>
      </w:r>
      <w:r w:rsidR="00D7513D" w:rsidRPr="002238BD">
        <w:rPr>
          <w:b/>
          <w:u w:val="none"/>
        </w:rPr>
        <w:t>b</w:t>
      </w:r>
      <w:r w:rsidRPr="002238BD">
        <w:rPr>
          <w:b/>
          <w:u w:val="none"/>
        </w:rPr>
        <w:t xml:space="preserve">urden </w:t>
      </w:r>
      <w:r w:rsidR="00D7513D" w:rsidRPr="002238BD">
        <w:rPr>
          <w:b/>
          <w:u w:val="none"/>
        </w:rPr>
        <w:t>h</w:t>
      </w:r>
      <w:r w:rsidRPr="002238BD">
        <w:rPr>
          <w:b/>
          <w:u w:val="none"/>
        </w:rPr>
        <w:t xml:space="preserve">ours and </w:t>
      </w:r>
      <w:r w:rsidR="00D7513D" w:rsidRPr="002238BD">
        <w:rPr>
          <w:b/>
          <w:u w:val="none"/>
        </w:rPr>
        <w:t>c</w:t>
      </w:r>
      <w:r w:rsidRPr="002238BD">
        <w:rPr>
          <w:b/>
          <w:u w:val="none"/>
        </w:rPr>
        <w:t>osts</w:t>
      </w:r>
    </w:p>
    <w:p w14:paraId="7522121D" w14:textId="67573B07" w:rsidR="004E3AE2" w:rsidRPr="002238BD" w:rsidRDefault="004E3AE2" w:rsidP="004E3AE2"/>
    <w:p w14:paraId="188073F5" w14:textId="3BE24B74" w:rsidR="004E3AE2" w:rsidRDefault="004E3AE2" w:rsidP="004E3AE2">
      <w:pPr>
        <w:ind w:left="720"/>
      </w:pPr>
      <w:r w:rsidRPr="002238BD">
        <w:t>The</w:t>
      </w:r>
      <w:r w:rsidR="002E0F1A">
        <w:t xml:space="preserve"> following</w:t>
      </w:r>
      <w:r w:rsidRPr="002238BD">
        <w:t xml:space="preserve"> table provides estimates of the average annual burden for collecting the proposed information. </w:t>
      </w:r>
    </w:p>
    <w:p w14:paraId="47081D75" w14:textId="77777777" w:rsidR="002E0F1A" w:rsidRPr="002238BD" w:rsidRDefault="002E0F1A" w:rsidP="004E3AE2">
      <w:pPr>
        <w:ind w:left="720"/>
      </w:pPr>
    </w:p>
    <w:p w14:paraId="2DB8DA55" w14:textId="4EA57532" w:rsidR="004E3AE2" w:rsidRPr="002E0F1A" w:rsidRDefault="002E0F1A" w:rsidP="002E0F1A">
      <w:pPr>
        <w:rPr>
          <w:b/>
        </w:rPr>
      </w:pPr>
      <w:bookmarkStart w:id="3" w:name="_Hlk500925025"/>
      <w:r w:rsidRPr="002E0F1A">
        <w:rPr>
          <w:rFonts w:ascii="Times New Roman" w:hAnsi="Times New Roman" w:cs="Times New Roman"/>
          <w:b/>
          <w:szCs w:val="24"/>
        </w:rPr>
        <w:t>Estimated Annualized Burden Hours and Costs to Respondents</w:t>
      </w:r>
    </w:p>
    <w:tbl>
      <w:tblPr>
        <w:tblW w:w="10147" w:type="dxa"/>
        <w:tblLayout w:type="fixed"/>
        <w:tblLook w:val="04A0" w:firstRow="1" w:lastRow="0" w:firstColumn="1" w:lastColumn="0" w:noHBand="0" w:noVBand="1"/>
      </w:tblPr>
      <w:tblGrid>
        <w:gridCol w:w="1480"/>
        <w:gridCol w:w="1670"/>
        <w:gridCol w:w="1353"/>
        <w:gridCol w:w="1347"/>
        <w:gridCol w:w="1035"/>
        <w:gridCol w:w="931"/>
        <w:gridCol w:w="998"/>
        <w:gridCol w:w="1333"/>
      </w:tblGrid>
      <w:tr w:rsidR="004E3AE2" w:rsidRPr="002238BD" w14:paraId="2340630F" w14:textId="77777777" w:rsidTr="00A300A4">
        <w:trPr>
          <w:trHeight w:val="233"/>
        </w:trPr>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626EA4EF" w14:textId="77777777" w:rsidR="004E3AE2" w:rsidRPr="004E3AE2" w:rsidRDefault="004E3AE2" w:rsidP="004E3AE2">
            <w:pPr>
              <w:jc w:val="center"/>
              <w:rPr>
                <w:rFonts w:eastAsia="Times New Roman" w:cstheme="minorHAnsi"/>
                <w:b/>
                <w:bCs/>
                <w:color w:val="000000"/>
                <w:sz w:val="22"/>
              </w:rPr>
            </w:pPr>
            <w:bookmarkStart w:id="4" w:name="_Hlk500842987"/>
            <w:r w:rsidRPr="004E3AE2">
              <w:rPr>
                <w:rFonts w:eastAsia="Times New Roman" w:cstheme="minorHAnsi"/>
                <w:b/>
                <w:bCs/>
                <w:color w:val="000000"/>
                <w:sz w:val="22"/>
              </w:rPr>
              <w:t>Forms</w:t>
            </w:r>
          </w:p>
        </w:tc>
        <w:tc>
          <w:tcPr>
            <w:tcW w:w="1670" w:type="dxa"/>
            <w:tcBorders>
              <w:top w:val="single" w:sz="4" w:space="0" w:color="auto"/>
              <w:left w:val="nil"/>
              <w:bottom w:val="single" w:sz="4" w:space="0" w:color="auto"/>
              <w:right w:val="nil"/>
            </w:tcBorders>
            <w:shd w:val="clear" w:color="000000" w:fill="FFFFFF"/>
            <w:vAlign w:val="center"/>
            <w:hideMark/>
          </w:tcPr>
          <w:p w14:paraId="49BA6301" w14:textId="77777777" w:rsidR="004E3AE2" w:rsidRPr="004E3AE2" w:rsidRDefault="004E3AE2" w:rsidP="004E3AE2">
            <w:pPr>
              <w:jc w:val="center"/>
              <w:rPr>
                <w:rFonts w:eastAsia="Times New Roman" w:cstheme="minorHAnsi"/>
                <w:b/>
                <w:bCs/>
                <w:color w:val="000000"/>
                <w:sz w:val="22"/>
              </w:rPr>
            </w:pPr>
            <w:r w:rsidRPr="004E3AE2">
              <w:rPr>
                <w:rFonts w:eastAsia="Times New Roman" w:cstheme="minorHAnsi"/>
                <w:b/>
                <w:bCs/>
                <w:color w:val="000000"/>
                <w:sz w:val="22"/>
              </w:rPr>
              <w:t>Respondents</w:t>
            </w:r>
          </w:p>
        </w:tc>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74F2B6" w14:textId="3F28C908" w:rsidR="004E3AE2" w:rsidRPr="004E3AE2" w:rsidRDefault="004E3AE2" w:rsidP="004E3AE2">
            <w:pPr>
              <w:jc w:val="center"/>
              <w:rPr>
                <w:rFonts w:eastAsia="Times New Roman" w:cstheme="minorHAnsi"/>
                <w:b/>
                <w:bCs/>
                <w:color w:val="000000"/>
                <w:sz w:val="22"/>
                <w:vertAlign w:val="superscript"/>
              </w:rPr>
            </w:pPr>
            <w:r w:rsidRPr="004E3AE2">
              <w:rPr>
                <w:rFonts w:eastAsia="Times New Roman" w:cstheme="minorHAnsi"/>
                <w:b/>
                <w:bCs/>
                <w:color w:val="000000"/>
                <w:sz w:val="22"/>
              </w:rPr>
              <w:t>Number of respondents</w:t>
            </w:r>
          </w:p>
        </w:tc>
        <w:tc>
          <w:tcPr>
            <w:tcW w:w="1347" w:type="dxa"/>
            <w:tcBorders>
              <w:top w:val="single" w:sz="4" w:space="0" w:color="auto"/>
              <w:left w:val="nil"/>
              <w:bottom w:val="single" w:sz="4" w:space="0" w:color="auto"/>
              <w:right w:val="single" w:sz="4" w:space="0" w:color="auto"/>
            </w:tcBorders>
            <w:shd w:val="clear" w:color="000000" w:fill="FFFFFF"/>
            <w:vAlign w:val="center"/>
            <w:hideMark/>
          </w:tcPr>
          <w:p w14:paraId="378FDF53" w14:textId="5EB9FBB8" w:rsidR="004E3AE2" w:rsidRPr="00A300A4" w:rsidRDefault="004E3AE2" w:rsidP="004E3AE2">
            <w:pPr>
              <w:jc w:val="center"/>
              <w:rPr>
                <w:rFonts w:eastAsia="Times New Roman" w:cstheme="minorHAnsi"/>
                <w:b/>
                <w:bCs/>
                <w:color w:val="000000"/>
                <w:sz w:val="22"/>
                <w:vertAlign w:val="superscript"/>
              </w:rPr>
            </w:pPr>
            <w:r w:rsidRPr="004E3AE2">
              <w:rPr>
                <w:rFonts w:eastAsia="Times New Roman" w:cstheme="minorHAnsi"/>
                <w:b/>
                <w:bCs/>
                <w:color w:val="000000"/>
                <w:sz w:val="22"/>
              </w:rPr>
              <w:t>Number of responses per respondent</w:t>
            </w:r>
            <w:r w:rsidR="00A300A4">
              <w:rPr>
                <w:rFonts w:eastAsia="Times New Roman" w:cstheme="minorHAnsi"/>
                <w:b/>
                <w:bCs/>
                <w:color w:val="000000"/>
                <w:sz w:val="22"/>
                <w:vertAlign w:val="superscript"/>
              </w:rPr>
              <w:t>c</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14:paraId="25773744" w14:textId="77777777" w:rsidR="004E3AE2" w:rsidRPr="004E3AE2" w:rsidRDefault="004E3AE2" w:rsidP="004E3AE2">
            <w:pPr>
              <w:jc w:val="center"/>
              <w:rPr>
                <w:rFonts w:eastAsia="Times New Roman" w:cstheme="minorHAnsi"/>
                <w:b/>
                <w:bCs/>
                <w:color w:val="000000"/>
                <w:sz w:val="22"/>
              </w:rPr>
            </w:pPr>
            <w:r w:rsidRPr="004E3AE2">
              <w:rPr>
                <w:rFonts w:eastAsia="Times New Roman" w:cstheme="minorHAnsi"/>
                <w:b/>
                <w:bCs/>
                <w:color w:val="000000"/>
                <w:sz w:val="22"/>
              </w:rPr>
              <w:t>Average burden per response (hours)</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698FE373" w14:textId="77777777" w:rsidR="004E3AE2" w:rsidRPr="004E3AE2" w:rsidRDefault="004E3AE2" w:rsidP="004E3AE2">
            <w:pPr>
              <w:jc w:val="center"/>
              <w:rPr>
                <w:rFonts w:eastAsia="Times New Roman" w:cstheme="minorHAnsi"/>
                <w:b/>
                <w:bCs/>
                <w:color w:val="000000"/>
                <w:sz w:val="22"/>
              </w:rPr>
            </w:pPr>
            <w:r w:rsidRPr="004E3AE2">
              <w:rPr>
                <w:rFonts w:eastAsia="Times New Roman" w:cstheme="minorHAnsi"/>
                <w:b/>
                <w:bCs/>
                <w:color w:val="000000"/>
                <w:sz w:val="22"/>
              </w:rPr>
              <w:t>Total annual burden (hours)</w:t>
            </w:r>
          </w:p>
        </w:tc>
        <w:tc>
          <w:tcPr>
            <w:tcW w:w="998" w:type="dxa"/>
            <w:tcBorders>
              <w:top w:val="single" w:sz="4" w:space="0" w:color="auto"/>
              <w:left w:val="nil"/>
              <w:bottom w:val="single" w:sz="4" w:space="0" w:color="auto"/>
              <w:right w:val="nil"/>
            </w:tcBorders>
            <w:shd w:val="clear" w:color="000000" w:fill="FFFFFF"/>
            <w:vAlign w:val="center"/>
            <w:hideMark/>
          </w:tcPr>
          <w:p w14:paraId="50159203" w14:textId="77777777" w:rsidR="004E3AE2" w:rsidRPr="004E3AE2" w:rsidRDefault="004E3AE2" w:rsidP="004E3AE2">
            <w:pPr>
              <w:jc w:val="center"/>
              <w:rPr>
                <w:rFonts w:eastAsia="Times New Roman" w:cstheme="minorHAnsi"/>
                <w:b/>
                <w:bCs/>
                <w:color w:val="000000"/>
                <w:sz w:val="22"/>
              </w:rPr>
            </w:pPr>
            <w:r w:rsidRPr="004E3AE2">
              <w:rPr>
                <w:rFonts w:eastAsia="Times New Roman" w:cstheme="minorHAnsi"/>
                <w:b/>
                <w:bCs/>
                <w:color w:val="000000"/>
                <w:sz w:val="22"/>
              </w:rPr>
              <w:t>Average Hourly Wage Rate ($)</w:t>
            </w:r>
          </w:p>
        </w:tc>
        <w:tc>
          <w:tcPr>
            <w:tcW w:w="1329" w:type="dxa"/>
            <w:tcBorders>
              <w:top w:val="single" w:sz="4" w:space="0" w:color="auto"/>
              <w:left w:val="single" w:sz="4" w:space="0" w:color="auto"/>
              <w:bottom w:val="single" w:sz="4" w:space="0" w:color="auto"/>
              <w:right w:val="nil"/>
            </w:tcBorders>
            <w:shd w:val="clear" w:color="000000" w:fill="FFFFFF"/>
            <w:vAlign w:val="center"/>
            <w:hideMark/>
          </w:tcPr>
          <w:p w14:paraId="668F51C2" w14:textId="77777777" w:rsidR="004E3AE2" w:rsidRPr="004E3AE2" w:rsidRDefault="004E3AE2" w:rsidP="004E3AE2">
            <w:pPr>
              <w:jc w:val="center"/>
              <w:rPr>
                <w:rFonts w:eastAsia="Times New Roman" w:cstheme="minorHAnsi"/>
                <w:b/>
                <w:bCs/>
                <w:color w:val="000000"/>
                <w:sz w:val="22"/>
              </w:rPr>
            </w:pPr>
            <w:r w:rsidRPr="004E3AE2">
              <w:rPr>
                <w:rFonts w:eastAsia="Times New Roman" w:cstheme="minorHAnsi"/>
                <w:b/>
                <w:bCs/>
                <w:color w:val="000000"/>
                <w:sz w:val="22"/>
              </w:rPr>
              <w:t>Total Annual Respondent Cost ($)</w:t>
            </w:r>
          </w:p>
        </w:tc>
      </w:tr>
      <w:tr w:rsidR="004E3AE2" w:rsidRPr="002238BD" w14:paraId="267F9F30" w14:textId="77777777" w:rsidTr="00A300A4">
        <w:trPr>
          <w:trHeight w:val="467"/>
        </w:trPr>
        <w:tc>
          <w:tcPr>
            <w:tcW w:w="1480" w:type="dxa"/>
            <w:tcBorders>
              <w:top w:val="nil"/>
              <w:left w:val="nil"/>
              <w:bottom w:val="nil"/>
              <w:right w:val="single" w:sz="4" w:space="0" w:color="auto"/>
            </w:tcBorders>
            <w:shd w:val="clear" w:color="000000" w:fill="FFFFFF"/>
            <w:noWrap/>
            <w:vAlign w:val="center"/>
            <w:hideMark/>
          </w:tcPr>
          <w:p w14:paraId="7824F948" w14:textId="77777777" w:rsidR="004E3AE2" w:rsidRPr="004E3AE2" w:rsidRDefault="004E3AE2" w:rsidP="00A861CC">
            <w:pPr>
              <w:spacing w:after="240"/>
              <w:ind w:right="-105"/>
              <w:rPr>
                <w:rFonts w:eastAsia="Times New Roman" w:cstheme="minorHAnsi"/>
                <w:color w:val="000000"/>
                <w:sz w:val="22"/>
              </w:rPr>
            </w:pPr>
            <w:r w:rsidRPr="004E3AE2">
              <w:rPr>
                <w:rFonts w:eastAsia="Times New Roman" w:cstheme="minorHAnsi"/>
                <w:color w:val="000000"/>
                <w:sz w:val="22"/>
              </w:rPr>
              <w:t>Client Interview Instrument</w:t>
            </w:r>
          </w:p>
        </w:tc>
        <w:tc>
          <w:tcPr>
            <w:tcW w:w="1670" w:type="dxa"/>
            <w:tcBorders>
              <w:top w:val="nil"/>
              <w:left w:val="nil"/>
              <w:bottom w:val="nil"/>
              <w:right w:val="nil"/>
            </w:tcBorders>
            <w:shd w:val="clear" w:color="000000" w:fill="FFFFFF"/>
            <w:noWrap/>
            <w:vAlign w:val="center"/>
            <w:hideMark/>
          </w:tcPr>
          <w:p w14:paraId="3D7C4042" w14:textId="77777777" w:rsidR="004E3AE2" w:rsidRPr="004E3AE2" w:rsidRDefault="004E3AE2" w:rsidP="00A861CC">
            <w:pPr>
              <w:spacing w:after="240"/>
              <w:rPr>
                <w:rFonts w:eastAsia="Times New Roman" w:cstheme="minorHAnsi"/>
                <w:color w:val="000000"/>
                <w:sz w:val="22"/>
              </w:rPr>
            </w:pPr>
            <w:r w:rsidRPr="004E3AE2">
              <w:rPr>
                <w:rFonts w:eastAsia="Times New Roman" w:cstheme="minorHAnsi"/>
                <w:color w:val="000000"/>
                <w:sz w:val="22"/>
              </w:rPr>
              <w:t>Program Participant</w:t>
            </w:r>
          </w:p>
        </w:tc>
        <w:tc>
          <w:tcPr>
            <w:tcW w:w="1353" w:type="dxa"/>
            <w:tcBorders>
              <w:top w:val="nil"/>
              <w:left w:val="single" w:sz="4" w:space="0" w:color="auto"/>
              <w:bottom w:val="nil"/>
              <w:right w:val="single" w:sz="4" w:space="0" w:color="auto"/>
            </w:tcBorders>
            <w:shd w:val="clear" w:color="000000" w:fill="FFFFFF"/>
            <w:noWrap/>
            <w:vAlign w:val="center"/>
            <w:hideMark/>
          </w:tcPr>
          <w:p w14:paraId="62B9FC9D" w14:textId="019FC303" w:rsidR="004E3AE2" w:rsidRPr="004E3AE2" w:rsidRDefault="004E3AE2" w:rsidP="00A861CC">
            <w:pPr>
              <w:spacing w:after="240"/>
              <w:jc w:val="center"/>
              <w:rPr>
                <w:rFonts w:eastAsia="Times New Roman" w:cstheme="minorHAnsi"/>
                <w:color w:val="000000"/>
                <w:sz w:val="22"/>
                <w:vertAlign w:val="superscript"/>
              </w:rPr>
            </w:pPr>
            <w:r w:rsidRPr="004E3AE2">
              <w:rPr>
                <w:rFonts w:eastAsia="Times New Roman" w:cstheme="minorHAnsi"/>
                <w:color w:val="000000"/>
                <w:sz w:val="22"/>
              </w:rPr>
              <w:t>520</w:t>
            </w:r>
            <w:r w:rsidR="00A861CC" w:rsidRPr="002238BD">
              <w:rPr>
                <w:rFonts w:eastAsia="Times New Roman" w:cstheme="minorHAnsi"/>
                <w:color w:val="000000"/>
                <w:sz w:val="22"/>
                <w:vertAlign w:val="superscript"/>
              </w:rPr>
              <w:t>a</w:t>
            </w:r>
          </w:p>
        </w:tc>
        <w:tc>
          <w:tcPr>
            <w:tcW w:w="1347" w:type="dxa"/>
            <w:tcBorders>
              <w:top w:val="nil"/>
              <w:left w:val="nil"/>
              <w:bottom w:val="nil"/>
              <w:right w:val="single" w:sz="4" w:space="0" w:color="auto"/>
            </w:tcBorders>
            <w:shd w:val="clear" w:color="000000" w:fill="FFFFFF"/>
            <w:noWrap/>
            <w:vAlign w:val="center"/>
            <w:hideMark/>
          </w:tcPr>
          <w:p w14:paraId="141D0EAB" w14:textId="76A27C0E" w:rsidR="004E3AE2" w:rsidRPr="004F1340" w:rsidRDefault="00A81719" w:rsidP="00A861CC">
            <w:pPr>
              <w:spacing w:after="240"/>
              <w:jc w:val="center"/>
              <w:rPr>
                <w:rFonts w:eastAsia="Times New Roman" w:cstheme="minorHAnsi"/>
                <w:color w:val="000000"/>
                <w:sz w:val="22"/>
                <w:vertAlign w:val="superscript"/>
              </w:rPr>
            </w:pPr>
            <w:r>
              <w:rPr>
                <w:rFonts w:eastAsia="Times New Roman" w:cstheme="minorHAnsi"/>
                <w:color w:val="000000"/>
                <w:sz w:val="22"/>
              </w:rPr>
              <w:t>3</w:t>
            </w:r>
          </w:p>
        </w:tc>
        <w:tc>
          <w:tcPr>
            <w:tcW w:w="1035" w:type="dxa"/>
            <w:tcBorders>
              <w:top w:val="nil"/>
              <w:left w:val="nil"/>
              <w:bottom w:val="nil"/>
              <w:right w:val="single" w:sz="4" w:space="0" w:color="auto"/>
            </w:tcBorders>
            <w:shd w:val="clear" w:color="000000" w:fill="FFFFFF"/>
            <w:noWrap/>
            <w:vAlign w:val="center"/>
            <w:hideMark/>
          </w:tcPr>
          <w:p w14:paraId="39C884B9" w14:textId="77777777" w:rsidR="004E3AE2" w:rsidRPr="004F1340" w:rsidRDefault="004E3AE2" w:rsidP="00A861CC">
            <w:pPr>
              <w:spacing w:after="240"/>
              <w:jc w:val="center"/>
              <w:rPr>
                <w:rFonts w:eastAsia="Times New Roman" w:cstheme="minorHAnsi"/>
                <w:color w:val="000000"/>
                <w:sz w:val="22"/>
              </w:rPr>
            </w:pPr>
            <w:r w:rsidRPr="004F1340">
              <w:rPr>
                <w:rFonts w:eastAsia="Times New Roman" w:cstheme="minorHAnsi"/>
                <w:color w:val="000000"/>
                <w:sz w:val="22"/>
              </w:rPr>
              <w:t>1.00</w:t>
            </w:r>
          </w:p>
        </w:tc>
        <w:tc>
          <w:tcPr>
            <w:tcW w:w="931" w:type="dxa"/>
            <w:tcBorders>
              <w:top w:val="nil"/>
              <w:left w:val="nil"/>
              <w:bottom w:val="nil"/>
              <w:right w:val="single" w:sz="4" w:space="0" w:color="auto"/>
            </w:tcBorders>
            <w:shd w:val="clear" w:color="000000" w:fill="FFFFFF"/>
            <w:noWrap/>
            <w:vAlign w:val="center"/>
            <w:hideMark/>
          </w:tcPr>
          <w:p w14:paraId="5C987570" w14:textId="76BD2B2A" w:rsidR="004E3AE2" w:rsidRPr="004F1340" w:rsidRDefault="003E17A6" w:rsidP="00A861CC">
            <w:pPr>
              <w:spacing w:after="240"/>
              <w:jc w:val="center"/>
              <w:rPr>
                <w:rFonts w:eastAsia="Times New Roman" w:cstheme="minorHAnsi"/>
                <w:color w:val="000000"/>
                <w:sz w:val="22"/>
              </w:rPr>
            </w:pPr>
            <w:r>
              <w:rPr>
                <w:rFonts w:eastAsia="Times New Roman" w:cstheme="minorHAnsi"/>
                <w:color w:val="000000"/>
                <w:sz w:val="22"/>
              </w:rPr>
              <w:t>156</w:t>
            </w:r>
            <w:r w:rsidR="004E3AE2" w:rsidRPr="004F1340">
              <w:rPr>
                <w:rFonts w:eastAsia="Times New Roman" w:cstheme="minorHAnsi"/>
                <w:color w:val="000000"/>
                <w:sz w:val="22"/>
              </w:rPr>
              <w:t>0.00</w:t>
            </w:r>
          </w:p>
        </w:tc>
        <w:tc>
          <w:tcPr>
            <w:tcW w:w="998" w:type="dxa"/>
            <w:tcBorders>
              <w:top w:val="nil"/>
              <w:left w:val="nil"/>
              <w:bottom w:val="nil"/>
              <w:right w:val="single" w:sz="4" w:space="0" w:color="auto"/>
            </w:tcBorders>
            <w:shd w:val="clear" w:color="000000" w:fill="FFFFFF"/>
            <w:noWrap/>
            <w:vAlign w:val="center"/>
            <w:hideMark/>
          </w:tcPr>
          <w:p w14:paraId="5FDE276C" w14:textId="0B47B936" w:rsidR="004E3AE2" w:rsidRPr="004F1340" w:rsidRDefault="004E3AE2" w:rsidP="00A861CC">
            <w:pPr>
              <w:spacing w:after="240"/>
              <w:jc w:val="center"/>
              <w:rPr>
                <w:rFonts w:eastAsia="Times New Roman" w:cstheme="minorHAnsi"/>
                <w:color w:val="000000"/>
                <w:sz w:val="22"/>
                <w:vertAlign w:val="superscript"/>
              </w:rPr>
            </w:pPr>
            <w:r w:rsidRPr="004F1340">
              <w:rPr>
                <w:rFonts w:eastAsia="Times New Roman" w:cstheme="minorHAnsi"/>
                <w:color w:val="000000"/>
                <w:sz w:val="22"/>
              </w:rPr>
              <w:t>$22.66</w:t>
            </w:r>
            <w:r w:rsidR="00A300A4">
              <w:rPr>
                <w:rFonts w:eastAsia="Times New Roman" w:cstheme="minorHAnsi"/>
                <w:color w:val="000000"/>
                <w:sz w:val="22"/>
                <w:vertAlign w:val="superscript"/>
              </w:rPr>
              <w:t>d</w:t>
            </w:r>
          </w:p>
        </w:tc>
        <w:tc>
          <w:tcPr>
            <w:tcW w:w="1329" w:type="dxa"/>
            <w:tcBorders>
              <w:top w:val="nil"/>
              <w:left w:val="nil"/>
              <w:bottom w:val="nil"/>
              <w:right w:val="nil"/>
            </w:tcBorders>
            <w:shd w:val="clear" w:color="000000" w:fill="FFFFFF"/>
            <w:noWrap/>
            <w:vAlign w:val="center"/>
            <w:hideMark/>
          </w:tcPr>
          <w:p w14:paraId="689B3CFD" w14:textId="4B583463" w:rsidR="004E3AE2" w:rsidRPr="004F1340" w:rsidRDefault="00A861CC" w:rsidP="00A861CC">
            <w:pPr>
              <w:spacing w:after="240"/>
              <w:jc w:val="center"/>
              <w:rPr>
                <w:rFonts w:eastAsia="Times New Roman" w:cstheme="minorHAnsi"/>
                <w:color w:val="000000"/>
                <w:sz w:val="22"/>
              </w:rPr>
            </w:pPr>
            <w:r w:rsidRPr="004F1340">
              <w:rPr>
                <w:rFonts w:eastAsia="Times New Roman" w:cstheme="minorHAnsi"/>
                <w:color w:val="000000"/>
                <w:sz w:val="22"/>
              </w:rPr>
              <w:t>$</w:t>
            </w:r>
            <w:r w:rsidR="003E17A6">
              <w:rPr>
                <w:rFonts w:eastAsia="Times New Roman" w:cstheme="minorHAnsi"/>
                <w:color w:val="000000"/>
                <w:sz w:val="22"/>
              </w:rPr>
              <w:t>35,349.60</w:t>
            </w:r>
          </w:p>
        </w:tc>
      </w:tr>
      <w:tr w:rsidR="00E310AE" w:rsidRPr="002238BD" w14:paraId="0EE3CD62" w14:textId="77777777" w:rsidTr="00A300A4">
        <w:trPr>
          <w:trHeight w:val="467"/>
        </w:trPr>
        <w:tc>
          <w:tcPr>
            <w:tcW w:w="1480" w:type="dxa"/>
            <w:tcBorders>
              <w:top w:val="nil"/>
              <w:left w:val="nil"/>
              <w:bottom w:val="nil"/>
              <w:right w:val="single" w:sz="4" w:space="0" w:color="auto"/>
            </w:tcBorders>
            <w:shd w:val="clear" w:color="000000" w:fill="FFFFFF"/>
            <w:noWrap/>
            <w:vAlign w:val="center"/>
          </w:tcPr>
          <w:p w14:paraId="20407430" w14:textId="77777777" w:rsidR="00E310AE" w:rsidRPr="004E3AE2" w:rsidRDefault="00E310AE" w:rsidP="00A861CC">
            <w:pPr>
              <w:spacing w:after="240"/>
              <w:ind w:right="-105"/>
              <w:rPr>
                <w:rFonts w:eastAsia="Times New Roman" w:cstheme="minorHAnsi"/>
                <w:color w:val="000000"/>
                <w:sz w:val="22"/>
              </w:rPr>
            </w:pPr>
          </w:p>
        </w:tc>
        <w:tc>
          <w:tcPr>
            <w:tcW w:w="1670" w:type="dxa"/>
            <w:tcBorders>
              <w:top w:val="nil"/>
              <w:left w:val="nil"/>
              <w:bottom w:val="nil"/>
              <w:right w:val="nil"/>
            </w:tcBorders>
            <w:shd w:val="clear" w:color="000000" w:fill="FFFFFF"/>
            <w:noWrap/>
            <w:vAlign w:val="center"/>
          </w:tcPr>
          <w:p w14:paraId="63B62562" w14:textId="38CD2802" w:rsidR="00E310AE" w:rsidRPr="004E3AE2" w:rsidRDefault="00E310AE" w:rsidP="00A861CC">
            <w:pPr>
              <w:spacing w:after="240"/>
              <w:rPr>
                <w:rFonts w:eastAsia="Times New Roman" w:cstheme="minorHAnsi"/>
                <w:color w:val="000000"/>
                <w:sz w:val="22"/>
              </w:rPr>
            </w:pPr>
            <w:r>
              <w:rPr>
                <w:rFonts w:eastAsia="Times New Roman" w:cstheme="minorHAnsi"/>
                <w:color w:val="000000"/>
                <w:sz w:val="22"/>
              </w:rPr>
              <w:t>Comparison Subjects</w:t>
            </w:r>
          </w:p>
        </w:tc>
        <w:tc>
          <w:tcPr>
            <w:tcW w:w="1353" w:type="dxa"/>
            <w:tcBorders>
              <w:top w:val="nil"/>
              <w:left w:val="single" w:sz="4" w:space="0" w:color="auto"/>
              <w:bottom w:val="nil"/>
              <w:right w:val="single" w:sz="4" w:space="0" w:color="auto"/>
            </w:tcBorders>
            <w:shd w:val="clear" w:color="000000" w:fill="FFFFFF"/>
            <w:noWrap/>
            <w:vAlign w:val="center"/>
          </w:tcPr>
          <w:p w14:paraId="5DC51989" w14:textId="19925AB7" w:rsidR="00E310AE" w:rsidRPr="00D004AE" w:rsidRDefault="00D004AE" w:rsidP="00A861CC">
            <w:pPr>
              <w:spacing w:after="240"/>
              <w:jc w:val="center"/>
              <w:rPr>
                <w:rFonts w:eastAsia="Times New Roman" w:cstheme="minorHAnsi"/>
                <w:color w:val="000000"/>
                <w:sz w:val="22"/>
                <w:vertAlign w:val="superscript"/>
              </w:rPr>
            </w:pPr>
            <w:r>
              <w:rPr>
                <w:rFonts w:eastAsia="Times New Roman" w:cstheme="minorHAnsi"/>
                <w:color w:val="000000"/>
                <w:sz w:val="22"/>
              </w:rPr>
              <w:t>520</w:t>
            </w:r>
            <w:r>
              <w:rPr>
                <w:rFonts w:eastAsia="Times New Roman" w:cstheme="minorHAnsi"/>
                <w:color w:val="000000"/>
                <w:sz w:val="22"/>
                <w:vertAlign w:val="superscript"/>
              </w:rPr>
              <w:t>a</w:t>
            </w:r>
          </w:p>
        </w:tc>
        <w:tc>
          <w:tcPr>
            <w:tcW w:w="1347" w:type="dxa"/>
            <w:tcBorders>
              <w:top w:val="nil"/>
              <w:left w:val="nil"/>
              <w:bottom w:val="nil"/>
              <w:right w:val="single" w:sz="4" w:space="0" w:color="auto"/>
            </w:tcBorders>
            <w:shd w:val="clear" w:color="000000" w:fill="FFFFFF"/>
            <w:noWrap/>
            <w:vAlign w:val="center"/>
          </w:tcPr>
          <w:p w14:paraId="6D717D0D" w14:textId="09C5B2C2" w:rsidR="00E310AE" w:rsidRPr="002238BD" w:rsidRDefault="00A81719" w:rsidP="00A861CC">
            <w:pPr>
              <w:spacing w:after="240"/>
              <w:jc w:val="center"/>
              <w:rPr>
                <w:rFonts w:eastAsia="Times New Roman" w:cstheme="minorHAnsi"/>
                <w:color w:val="000000"/>
                <w:sz w:val="22"/>
              </w:rPr>
            </w:pPr>
            <w:r>
              <w:rPr>
                <w:rFonts w:eastAsia="Times New Roman" w:cstheme="minorHAnsi"/>
                <w:color w:val="000000"/>
                <w:sz w:val="22"/>
              </w:rPr>
              <w:t>3</w:t>
            </w:r>
          </w:p>
        </w:tc>
        <w:tc>
          <w:tcPr>
            <w:tcW w:w="1035" w:type="dxa"/>
            <w:tcBorders>
              <w:top w:val="nil"/>
              <w:left w:val="nil"/>
              <w:bottom w:val="nil"/>
              <w:right w:val="single" w:sz="4" w:space="0" w:color="auto"/>
            </w:tcBorders>
            <w:shd w:val="clear" w:color="000000" w:fill="FFFFFF"/>
            <w:noWrap/>
            <w:vAlign w:val="center"/>
          </w:tcPr>
          <w:p w14:paraId="35D74539" w14:textId="48F7A375" w:rsidR="00E310AE" w:rsidRPr="004F1340" w:rsidRDefault="00D004AE" w:rsidP="00A861CC">
            <w:pPr>
              <w:spacing w:after="240"/>
              <w:jc w:val="center"/>
              <w:rPr>
                <w:rFonts w:eastAsia="Times New Roman" w:cstheme="minorHAnsi"/>
                <w:color w:val="000000"/>
                <w:sz w:val="22"/>
              </w:rPr>
            </w:pPr>
            <w:r w:rsidRPr="004F1340">
              <w:rPr>
                <w:rFonts w:eastAsia="Times New Roman" w:cstheme="minorHAnsi"/>
                <w:color w:val="000000"/>
                <w:sz w:val="22"/>
              </w:rPr>
              <w:t>1.00</w:t>
            </w:r>
          </w:p>
        </w:tc>
        <w:tc>
          <w:tcPr>
            <w:tcW w:w="931" w:type="dxa"/>
            <w:tcBorders>
              <w:top w:val="nil"/>
              <w:left w:val="nil"/>
              <w:bottom w:val="nil"/>
              <w:right w:val="single" w:sz="4" w:space="0" w:color="auto"/>
            </w:tcBorders>
            <w:shd w:val="clear" w:color="000000" w:fill="FFFFFF"/>
            <w:noWrap/>
            <w:vAlign w:val="center"/>
          </w:tcPr>
          <w:p w14:paraId="1E876BF5" w14:textId="50364389" w:rsidR="00E310AE" w:rsidRPr="004F1340" w:rsidRDefault="003E17A6" w:rsidP="00A861CC">
            <w:pPr>
              <w:spacing w:after="240"/>
              <w:jc w:val="center"/>
              <w:rPr>
                <w:rFonts w:eastAsia="Times New Roman" w:cstheme="minorHAnsi"/>
                <w:color w:val="000000"/>
                <w:sz w:val="22"/>
              </w:rPr>
            </w:pPr>
            <w:r>
              <w:rPr>
                <w:rFonts w:eastAsia="Times New Roman" w:cstheme="minorHAnsi"/>
                <w:color w:val="000000"/>
                <w:sz w:val="22"/>
              </w:rPr>
              <w:t>156</w:t>
            </w:r>
            <w:r w:rsidR="00D004AE" w:rsidRPr="004F1340">
              <w:rPr>
                <w:rFonts w:eastAsia="Times New Roman" w:cstheme="minorHAnsi"/>
                <w:color w:val="000000"/>
                <w:sz w:val="22"/>
              </w:rPr>
              <w:t>0.00</w:t>
            </w:r>
          </w:p>
        </w:tc>
        <w:tc>
          <w:tcPr>
            <w:tcW w:w="998" w:type="dxa"/>
            <w:tcBorders>
              <w:top w:val="nil"/>
              <w:left w:val="nil"/>
              <w:bottom w:val="nil"/>
              <w:right w:val="single" w:sz="4" w:space="0" w:color="auto"/>
            </w:tcBorders>
            <w:shd w:val="clear" w:color="000000" w:fill="FFFFFF"/>
            <w:noWrap/>
            <w:vAlign w:val="center"/>
          </w:tcPr>
          <w:p w14:paraId="4C455E16" w14:textId="0C26508F" w:rsidR="00E310AE" w:rsidRPr="004F1340" w:rsidRDefault="00D004AE" w:rsidP="00A861CC">
            <w:pPr>
              <w:spacing w:after="240"/>
              <w:jc w:val="center"/>
              <w:rPr>
                <w:rFonts w:eastAsia="Times New Roman" w:cstheme="minorHAnsi"/>
                <w:color w:val="000000"/>
                <w:sz w:val="22"/>
                <w:vertAlign w:val="superscript"/>
              </w:rPr>
            </w:pPr>
            <w:r w:rsidRPr="004F1340">
              <w:rPr>
                <w:rFonts w:eastAsia="Times New Roman" w:cstheme="minorHAnsi"/>
                <w:color w:val="000000"/>
                <w:sz w:val="22"/>
              </w:rPr>
              <w:t>$22.66</w:t>
            </w:r>
            <w:r w:rsidR="00A300A4">
              <w:rPr>
                <w:rFonts w:eastAsia="Times New Roman" w:cstheme="minorHAnsi"/>
                <w:color w:val="000000"/>
                <w:sz w:val="22"/>
                <w:vertAlign w:val="superscript"/>
              </w:rPr>
              <w:t>d</w:t>
            </w:r>
          </w:p>
        </w:tc>
        <w:tc>
          <w:tcPr>
            <w:tcW w:w="1329" w:type="dxa"/>
            <w:tcBorders>
              <w:top w:val="nil"/>
              <w:left w:val="nil"/>
              <w:bottom w:val="nil"/>
              <w:right w:val="nil"/>
            </w:tcBorders>
            <w:shd w:val="clear" w:color="000000" w:fill="FFFFFF"/>
            <w:noWrap/>
            <w:vAlign w:val="center"/>
          </w:tcPr>
          <w:p w14:paraId="1C3741CB" w14:textId="2A200069" w:rsidR="00E310AE" w:rsidRPr="004F1340" w:rsidRDefault="003E17A6" w:rsidP="00A861CC">
            <w:pPr>
              <w:spacing w:after="240"/>
              <w:jc w:val="center"/>
              <w:rPr>
                <w:rFonts w:eastAsia="Times New Roman" w:cstheme="minorHAnsi"/>
                <w:color w:val="000000"/>
                <w:sz w:val="22"/>
              </w:rPr>
            </w:pPr>
            <w:r w:rsidRPr="004F1340">
              <w:rPr>
                <w:rFonts w:eastAsia="Times New Roman" w:cstheme="minorHAnsi"/>
                <w:color w:val="000000"/>
                <w:sz w:val="22"/>
              </w:rPr>
              <w:t>$</w:t>
            </w:r>
            <w:r>
              <w:rPr>
                <w:rFonts w:eastAsia="Times New Roman" w:cstheme="minorHAnsi"/>
                <w:color w:val="000000"/>
                <w:sz w:val="22"/>
              </w:rPr>
              <w:t>35,349.60</w:t>
            </w:r>
          </w:p>
        </w:tc>
      </w:tr>
      <w:tr w:rsidR="002238BD" w:rsidRPr="002238BD" w14:paraId="60AC953F" w14:textId="77777777" w:rsidTr="00A300A4">
        <w:trPr>
          <w:trHeight w:val="630"/>
        </w:trPr>
        <w:tc>
          <w:tcPr>
            <w:tcW w:w="1480" w:type="dxa"/>
            <w:tcBorders>
              <w:top w:val="nil"/>
              <w:left w:val="nil"/>
              <w:bottom w:val="nil"/>
              <w:right w:val="single" w:sz="4" w:space="0" w:color="auto"/>
            </w:tcBorders>
            <w:shd w:val="clear" w:color="000000" w:fill="FFFFFF"/>
            <w:noWrap/>
            <w:vAlign w:val="center"/>
            <w:hideMark/>
          </w:tcPr>
          <w:p w14:paraId="090AAFC9" w14:textId="77777777" w:rsidR="004E3AE2" w:rsidRPr="004E3AE2" w:rsidRDefault="004E3AE2" w:rsidP="00A861CC">
            <w:pPr>
              <w:spacing w:after="240"/>
              <w:ind w:right="225"/>
              <w:rPr>
                <w:rFonts w:eastAsia="Times New Roman" w:cstheme="minorHAnsi"/>
                <w:color w:val="000000"/>
                <w:sz w:val="22"/>
              </w:rPr>
            </w:pPr>
            <w:r w:rsidRPr="004E3AE2">
              <w:rPr>
                <w:rFonts w:eastAsia="Times New Roman" w:cstheme="minorHAnsi"/>
                <w:color w:val="000000"/>
                <w:sz w:val="22"/>
              </w:rPr>
              <w:t>Family Satisfaction Survey</w:t>
            </w:r>
          </w:p>
        </w:tc>
        <w:tc>
          <w:tcPr>
            <w:tcW w:w="1670" w:type="dxa"/>
            <w:tcBorders>
              <w:top w:val="nil"/>
              <w:left w:val="nil"/>
              <w:bottom w:val="nil"/>
              <w:right w:val="nil"/>
            </w:tcBorders>
            <w:shd w:val="clear" w:color="000000" w:fill="FFFFFF"/>
            <w:noWrap/>
            <w:vAlign w:val="center"/>
            <w:hideMark/>
          </w:tcPr>
          <w:p w14:paraId="7A066019" w14:textId="77777777" w:rsidR="004E3AE2" w:rsidRPr="004E3AE2" w:rsidRDefault="004E3AE2" w:rsidP="00A861CC">
            <w:pPr>
              <w:spacing w:after="240"/>
              <w:rPr>
                <w:rFonts w:eastAsia="Times New Roman" w:cstheme="minorHAnsi"/>
                <w:color w:val="000000"/>
                <w:sz w:val="22"/>
              </w:rPr>
            </w:pPr>
            <w:r w:rsidRPr="004E3AE2">
              <w:rPr>
                <w:rFonts w:eastAsia="Times New Roman" w:cstheme="minorHAnsi"/>
                <w:color w:val="000000"/>
                <w:sz w:val="22"/>
              </w:rPr>
              <w:t>Program Participant's Family Member</w:t>
            </w:r>
          </w:p>
        </w:tc>
        <w:tc>
          <w:tcPr>
            <w:tcW w:w="1353" w:type="dxa"/>
            <w:tcBorders>
              <w:top w:val="nil"/>
              <w:left w:val="single" w:sz="4" w:space="0" w:color="auto"/>
              <w:bottom w:val="nil"/>
              <w:right w:val="single" w:sz="4" w:space="0" w:color="auto"/>
            </w:tcBorders>
            <w:shd w:val="clear" w:color="auto" w:fill="auto"/>
            <w:noWrap/>
            <w:vAlign w:val="center"/>
            <w:hideMark/>
          </w:tcPr>
          <w:p w14:paraId="61A1941E" w14:textId="5D8FEFEC" w:rsidR="004E3AE2" w:rsidRPr="004E3AE2" w:rsidRDefault="004E3AE2" w:rsidP="00A861CC">
            <w:pPr>
              <w:spacing w:after="240"/>
              <w:jc w:val="center"/>
              <w:rPr>
                <w:rFonts w:eastAsia="Times New Roman" w:cstheme="minorHAnsi"/>
                <w:color w:val="000000"/>
                <w:sz w:val="22"/>
                <w:vertAlign w:val="superscript"/>
              </w:rPr>
            </w:pPr>
            <w:r w:rsidRPr="004E3AE2">
              <w:rPr>
                <w:rFonts w:eastAsia="Times New Roman" w:cstheme="minorHAnsi"/>
                <w:color w:val="000000"/>
                <w:sz w:val="22"/>
              </w:rPr>
              <w:t>173</w:t>
            </w:r>
            <w:r w:rsidR="00A861CC" w:rsidRPr="002238BD">
              <w:rPr>
                <w:rFonts w:eastAsia="Times New Roman" w:cstheme="minorHAnsi"/>
                <w:color w:val="000000"/>
                <w:sz w:val="22"/>
                <w:vertAlign w:val="superscript"/>
              </w:rPr>
              <w:t>b</w:t>
            </w:r>
          </w:p>
        </w:tc>
        <w:tc>
          <w:tcPr>
            <w:tcW w:w="1347" w:type="dxa"/>
            <w:tcBorders>
              <w:top w:val="nil"/>
              <w:left w:val="nil"/>
              <w:bottom w:val="nil"/>
              <w:right w:val="single" w:sz="4" w:space="0" w:color="auto"/>
            </w:tcBorders>
            <w:shd w:val="clear" w:color="000000" w:fill="FFFFFF"/>
            <w:noWrap/>
            <w:vAlign w:val="center"/>
            <w:hideMark/>
          </w:tcPr>
          <w:p w14:paraId="0EBC389D" w14:textId="0D9D6692" w:rsidR="004E3AE2" w:rsidRPr="004E3AE2" w:rsidRDefault="00A861CC" w:rsidP="00A861CC">
            <w:pPr>
              <w:spacing w:after="240"/>
              <w:jc w:val="center"/>
              <w:rPr>
                <w:rFonts w:eastAsia="Times New Roman" w:cstheme="minorHAnsi"/>
                <w:color w:val="000000"/>
                <w:sz w:val="22"/>
              </w:rPr>
            </w:pPr>
            <w:r w:rsidRPr="002238BD">
              <w:rPr>
                <w:rFonts w:eastAsia="Times New Roman" w:cstheme="minorHAnsi"/>
                <w:color w:val="000000"/>
                <w:sz w:val="22"/>
              </w:rPr>
              <w:t>1</w:t>
            </w:r>
          </w:p>
        </w:tc>
        <w:tc>
          <w:tcPr>
            <w:tcW w:w="1035" w:type="dxa"/>
            <w:tcBorders>
              <w:top w:val="nil"/>
              <w:left w:val="nil"/>
              <w:bottom w:val="nil"/>
              <w:right w:val="single" w:sz="4" w:space="0" w:color="auto"/>
            </w:tcBorders>
            <w:shd w:val="clear" w:color="000000" w:fill="FFFFFF"/>
            <w:noWrap/>
            <w:vAlign w:val="center"/>
            <w:hideMark/>
          </w:tcPr>
          <w:p w14:paraId="65D4A039" w14:textId="77777777" w:rsidR="004E3AE2" w:rsidRPr="004E3AE2" w:rsidRDefault="004E3AE2" w:rsidP="00A861CC">
            <w:pPr>
              <w:spacing w:after="240"/>
              <w:jc w:val="center"/>
              <w:rPr>
                <w:rFonts w:eastAsia="Times New Roman" w:cstheme="minorHAnsi"/>
                <w:color w:val="000000"/>
                <w:sz w:val="22"/>
              </w:rPr>
            </w:pPr>
            <w:r w:rsidRPr="004E3AE2">
              <w:rPr>
                <w:rFonts w:eastAsia="Times New Roman" w:cstheme="minorHAnsi"/>
                <w:color w:val="000000"/>
                <w:sz w:val="22"/>
              </w:rPr>
              <w:t>0.25</w:t>
            </w:r>
          </w:p>
        </w:tc>
        <w:tc>
          <w:tcPr>
            <w:tcW w:w="931" w:type="dxa"/>
            <w:tcBorders>
              <w:top w:val="nil"/>
              <w:left w:val="nil"/>
              <w:bottom w:val="nil"/>
              <w:right w:val="single" w:sz="4" w:space="0" w:color="auto"/>
            </w:tcBorders>
            <w:shd w:val="clear" w:color="000000" w:fill="FFFFFF"/>
            <w:noWrap/>
            <w:vAlign w:val="center"/>
            <w:hideMark/>
          </w:tcPr>
          <w:p w14:paraId="29138599" w14:textId="77777777" w:rsidR="004E3AE2" w:rsidRPr="004E3AE2" w:rsidRDefault="004E3AE2" w:rsidP="00A861CC">
            <w:pPr>
              <w:spacing w:after="240"/>
              <w:jc w:val="center"/>
              <w:rPr>
                <w:rFonts w:eastAsia="Times New Roman" w:cstheme="minorHAnsi"/>
                <w:color w:val="000000"/>
                <w:sz w:val="22"/>
              </w:rPr>
            </w:pPr>
            <w:r w:rsidRPr="004E3AE2">
              <w:rPr>
                <w:rFonts w:eastAsia="Times New Roman" w:cstheme="minorHAnsi"/>
                <w:color w:val="000000"/>
                <w:sz w:val="22"/>
              </w:rPr>
              <w:t>43.25</w:t>
            </w:r>
          </w:p>
        </w:tc>
        <w:tc>
          <w:tcPr>
            <w:tcW w:w="998" w:type="dxa"/>
            <w:tcBorders>
              <w:top w:val="nil"/>
              <w:left w:val="nil"/>
              <w:bottom w:val="nil"/>
              <w:right w:val="single" w:sz="4" w:space="0" w:color="auto"/>
            </w:tcBorders>
            <w:shd w:val="clear" w:color="000000" w:fill="FFFFFF"/>
            <w:noWrap/>
            <w:vAlign w:val="center"/>
            <w:hideMark/>
          </w:tcPr>
          <w:p w14:paraId="6CF8FEB8" w14:textId="4786EFCB" w:rsidR="004E3AE2" w:rsidRPr="004E3AE2" w:rsidRDefault="004E3AE2" w:rsidP="00A861CC">
            <w:pPr>
              <w:spacing w:after="240"/>
              <w:jc w:val="center"/>
              <w:rPr>
                <w:rFonts w:eastAsia="Times New Roman" w:cstheme="minorHAnsi"/>
                <w:color w:val="000000"/>
                <w:sz w:val="22"/>
                <w:vertAlign w:val="superscript"/>
              </w:rPr>
            </w:pPr>
            <w:r w:rsidRPr="002238BD">
              <w:rPr>
                <w:rFonts w:eastAsia="Times New Roman" w:cstheme="minorHAnsi"/>
                <w:color w:val="000000"/>
                <w:sz w:val="22"/>
              </w:rPr>
              <w:t>$</w:t>
            </w:r>
            <w:r w:rsidRPr="004E3AE2">
              <w:rPr>
                <w:rFonts w:eastAsia="Times New Roman" w:cstheme="minorHAnsi"/>
                <w:color w:val="000000"/>
                <w:sz w:val="22"/>
              </w:rPr>
              <w:t>22.66</w:t>
            </w:r>
            <w:r w:rsidR="00A300A4">
              <w:rPr>
                <w:rFonts w:eastAsia="Times New Roman" w:cstheme="minorHAnsi"/>
                <w:color w:val="000000"/>
                <w:sz w:val="22"/>
                <w:vertAlign w:val="superscript"/>
              </w:rPr>
              <w:t>d</w:t>
            </w:r>
          </w:p>
        </w:tc>
        <w:tc>
          <w:tcPr>
            <w:tcW w:w="1329" w:type="dxa"/>
            <w:tcBorders>
              <w:top w:val="nil"/>
              <w:left w:val="nil"/>
              <w:bottom w:val="nil"/>
              <w:right w:val="nil"/>
            </w:tcBorders>
            <w:shd w:val="clear" w:color="000000" w:fill="FFFFFF"/>
            <w:noWrap/>
            <w:vAlign w:val="center"/>
            <w:hideMark/>
          </w:tcPr>
          <w:p w14:paraId="2750C544" w14:textId="154F3BF6" w:rsidR="004E3AE2" w:rsidRPr="004E3AE2" w:rsidRDefault="00A861CC" w:rsidP="00A861CC">
            <w:pPr>
              <w:spacing w:after="240"/>
              <w:jc w:val="center"/>
              <w:rPr>
                <w:rFonts w:eastAsia="Times New Roman" w:cstheme="minorHAnsi"/>
                <w:color w:val="000000"/>
                <w:sz w:val="22"/>
              </w:rPr>
            </w:pPr>
            <w:r w:rsidRPr="002238BD">
              <w:rPr>
                <w:rFonts w:eastAsia="Times New Roman" w:cstheme="minorHAnsi"/>
                <w:color w:val="000000"/>
                <w:sz w:val="22"/>
              </w:rPr>
              <w:t>$</w:t>
            </w:r>
            <w:r w:rsidR="004E3AE2" w:rsidRPr="004E3AE2">
              <w:rPr>
                <w:rFonts w:eastAsia="Times New Roman" w:cstheme="minorHAnsi"/>
                <w:color w:val="000000"/>
                <w:sz w:val="22"/>
              </w:rPr>
              <w:t>980.05</w:t>
            </w:r>
          </w:p>
        </w:tc>
      </w:tr>
      <w:tr w:rsidR="002238BD" w:rsidRPr="002238BD" w14:paraId="64DAB7AF" w14:textId="77777777" w:rsidTr="00116AD7">
        <w:trPr>
          <w:trHeight w:val="450"/>
        </w:trPr>
        <w:tc>
          <w:tcPr>
            <w:tcW w:w="1480" w:type="dxa"/>
            <w:tcBorders>
              <w:top w:val="nil"/>
              <w:left w:val="nil"/>
              <w:right w:val="single" w:sz="4" w:space="0" w:color="auto"/>
            </w:tcBorders>
            <w:shd w:val="clear" w:color="000000" w:fill="FFFFFF"/>
            <w:noWrap/>
            <w:vAlign w:val="center"/>
            <w:hideMark/>
          </w:tcPr>
          <w:p w14:paraId="57E68008" w14:textId="77777777" w:rsidR="004E3AE2" w:rsidRPr="004E3AE2" w:rsidRDefault="004E3AE2" w:rsidP="00A861CC">
            <w:pPr>
              <w:spacing w:after="240"/>
              <w:ind w:right="-135"/>
              <w:rPr>
                <w:rFonts w:eastAsia="Times New Roman" w:cstheme="minorHAnsi"/>
                <w:color w:val="000000"/>
                <w:sz w:val="22"/>
              </w:rPr>
            </w:pPr>
            <w:r w:rsidRPr="004E3AE2">
              <w:rPr>
                <w:rFonts w:eastAsia="Times New Roman" w:cstheme="minorHAnsi"/>
                <w:color w:val="000000"/>
                <w:sz w:val="22"/>
              </w:rPr>
              <w:t>Cost Questionnaire</w:t>
            </w:r>
          </w:p>
        </w:tc>
        <w:tc>
          <w:tcPr>
            <w:tcW w:w="1670" w:type="dxa"/>
            <w:tcBorders>
              <w:top w:val="nil"/>
              <w:left w:val="nil"/>
              <w:right w:val="nil"/>
            </w:tcBorders>
            <w:shd w:val="clear" w:color="auto" w:fill="auto"/>
            <w:noWrap/>
            <w:vAlign w:val="center"/>
            <w:hideMark/>
          </w:tcPr>
          <w:p w14:paraId="40CA8D32" w14:textId="77777777" w:rsidR="004E3AE2" w:rsidRPr="004E3AE2" w:rsidRDefault="004E3AE2" w:rsidP="00A861CC">
            <w:pPr>
              <w:spacing w:after="240"/>
              <w:rPr>
                <w:rFonts w:eastAsia="Times New Roman" w:cstheme="minorHAnsi"/>
                <w:color w:val="000000"/>
                <w:sz w:val="22"/>
              </w:rPr>
            </w:pPr>
            <w:r w:rsidRPr="004E3AE2">
              <w:rPr>
                <w:rFonts w:eastAsia="Times New Roman" w:cstheme="minorHAnsi"/>
                <w:color w:val="000000"/>
                <w:sz w:val="22"/>
              </w:rPr>
              <w:t>Program Administrator</w:t>
            </w:r>
          </w:p>
        </w:tc>
        <w:tc>
          <w:tcPr>
            <w:tcW w:w="1353" w:type="dxa"/>
            <w:tcBorders>
              <w:top w:val="nil"/>
              <w:left w:val="single" w:sz="4" w:space="0" w:color="auto"/>
              <w:right w:val="single" w:sz="4" w:space="0" w:color="auto"/>
            </w:tcBorders>
            <w:shd w:val="clear" w:color="000000" w:fill="FFFFFF"/>
            <w:noWrap/>
            <w:vAlign w:val="center"/>
            <w:hideMark/>
          </w:tcPr>
          <w:p w14:paraId="35978C49" w14:textId="23FF4A83" w:rsidR="004E3AE2" w:rsidRPr="004E3AE2" w:rsidRDefault="00A861CC" w:rsidP="00A861CC">
            <w:pPr>
              <w:spacing w:after="240"/>
              <w:jc w:val="center"/>
              <w:rPr>
                <w:rFonts w:eastAsia="Times New Roman" w:cstheme="minorHAnsi"/>
                <w:color w:val="000000"/>
                <w:sz w:val="22"/>
              </w:rPr>
            </w:pPr>
            <w:r w:rsidRPr="002238BD">
              <w:rPr>
                <w:rFonts w:eastAsia="Times New Roman" w:cstheme="minorHAnsi"/>
                <w:color w:val="000000"/>
                <w:sz w:val="22"/>
              </w:rPr>
              <w:t>6</w:t>
            </w:r>
          </w:p>
        </w:tc>
        <w:tc>
          <w:tcPr>
            <w:tcW w:w="1347" w:type="dxa"/>
            <w:tcBorders>
              <w:top w:val="nil"/>
              <w:left w:val="nil"/>
              <w:right w:val="single" w:sz="4" w:space="0" w:color="auto"/>
            </w:tcBorders>
            <w:shd w:val="clear" w:color="000000" w:fill="FFFFFF"/>
            <w:noWrap/>
            <w:vAlign w:val="center"/>
            <w:hideMark/>
          </w:tcPr>
          <w:p w14:paraId="11ED8D30" w14:textId="7E11147B" w:rsidR="004E3AE2" w:rsidRPr="004E3AE2" w:rsidRDefault="00A300A4" w:rsidP="00A861CC">
            <w:pPr>
              <w:spacing w:after="240"/>
              <w:jc w:val="center"/>
              <w:rPr>
                <w:rFonts w:eastAsia="Times New Roman" w:cstheme="minorHAnsi"/>
                <w:color w:val="000000"/>
                <w:sz w:val="22"/>
              </w:rPr>
            </w:pPr>
            <w:r>
              <w:rPr>
                <w:rFonts w:eastAsia="Times New Roman" w:cstheme="minorHAnsi"/>
                <w:color w:val="000000"/>
                <w:sz w:val="22"/>
              </w:rPr>
              <w:t>1</w:t>
            </w:r>
          </w:p>
        </w:tc>
        <w:tc>
          <w:tcPr>
            <w:tcW w:w="1035" w:type="dxa"/>
            <w:tcBorders>
              <w:top w:val="nil"/>
              <w:left w:val="nil"/>
              <w:right w:val="single" w:sz="4" w:space="0" w:color="auto"/>
            </w:tcBorders>
            <w:shd w:val="clear" w:color="000000" w:fill="FFFFFF"/>
            <w:noWrap/>
            <w:vAlign w:val="center"/>
            <w:hideMark/>
          </w:tcPr>
          <w:p w14:paraId="614E148C" w14:textId="77777777" w:rsidR="004E3AE2" w:rsidRPr="004E3AE2" w:rsidRDefault="004E3AE2" w:rsidP="00A861CC">
            <w:pPr>
              <w:spacing w:after="240"/>
              <w:jc w:val="center"/>
              <w:rPr>
                <w:rFonts w:eastAsia="Times New Roman" w:cstheme="minorHAnsi"/>
                <w:color w:val="000000"/>
                <w:sz w:val="22"/>
              </w:rPr>
            </w:pPr>
            <w:r w:rsidRPr="004E3AE2">
              <w:rPr>
                <w:rFonts w:eastAsia="Times New Roman" w:cstheme="minorHAnsi"/>
                <w:color w:val="000000"/>
                <w:sz w:val="22"/>
              </w:rPr>
              <w:t>1.25</w:t>
            </w:r>
          </w:p>
        </w:tc>
        <w:tc>
          <w:tcPr>
            <w:tcW w:w="931" w:type="dxa"/>
            <w:tcBorders>
              <w:top w:val="nil"/>
              <w:left w:val="nil"/>
              <w:right w:val="single" w:sz="4" w:space="0" w:color="auto"/>
            </w:tcBorders>
            <w:shd w:val="clear" w:color="000000" w:fill="FFFFFF"/>
            <w:noWrap/>
            <w:vAlign w:val="center"/>
            <w:hideMark/>
          </w:tcPr>
          <w:p w14:paraId="0B771BD9" w14:textId="6AA0565B" w:rsidR="004E3AE2" w:rsidRPr="004E3AE2" w:rsidRDefault="00A300A4" w:rsidP="00A861CC">
            <w:pPr>
              <w:spacing w:after="240"/>
              <w:jc w:val="center"/>
              <w:rPr>
                <w:rFonts w:eastAsia="Times New Roman" w:cstheme="minorHAnsi"/>
                <w:color w:val="000000"/>
                <w:sz w:val="22"/>
              </w:rPr>
            </w:pPr>
            <w:r>
              <w:rPr>
                <w:rFonts w:eastAsia="Times New Roman" w:cstheme="minorHAnsi"/>
                <w:color w:val="000000"/>
                <w:sz w:val="22"/>
              </w:rPr>
              <w:t>7.50</w:t>
            </w:r>
          </w:p>
        </w:tc>
        <w:tc>
          <w:tcPr>
            <w:tcW w:w="998" w:type="dxa"/>
            <w:tcBorders>
              <w:top w:val="nil"/>
              <w:left w:val="nil"/>
              <w:right w:val="single" w:sz="4" w:space="0" w:color="auto"/>
            </w:tcBorders>
            <w:shd w:val="clear" w:color="000000" w:fill="FFFFFF"/>
            <w:noWrap/>
            <w:vAlign w:val="center"/>
            <w:hideMark/>
          </w:tcPr>
          <w:p w14:paraId="73741744" w14:textId="6279184E" w:rsidR="004E3AE2" w:rsidRPr="004E3AE2" w:rsidRDefault="004E3AE2" w:rsidP="00A861CC">
            <w:pPr>
              <w:spacing w:after="240"/>
              <w:jc w:val="center"/>
              <w:rPr>
                <w:rFonts w:eastAsia="Times New Roman" w:cstheme="minorHAnsi"/>
                <w:color w:val="000000"/>
                <w:sz w:val="22"/>
                <w:vertAlign w:val="superscript"/>
              </w:rPr>
            </w:pPr>
            <w:r w:rsidRPr="002238BD">
              <w:rPr>
                <w:rFonts w:eastAsia="Times New Roman" w:cstheme="minorHAnsi"/>
                <w:color w:val="000000"/>
                <w:sz w:val="22"/>
              </w:rPr>
              <w:t>$29.4</w:t>
            </w:r>
            <w:r w:rsidRPr="004E3AE2">
              <w:rPr>
                <w:rFonts w:eastAsia="Times New Roman" w:cstheme="minorHAnsi"/>
                <w:color w:val="000000"/>
                <w:sz w:val="22"/>
              </w:rPr>
              <w:t>2</w:t>
            </w:r>
            <w:r w:rsidR="00540CE0">
              <w:rPr>
                <w:rFonts w:eastAsia="Times New Roman" w:cstheme="minorHAnsi"/>
                <w:color w:val="000000"/>
                <w:sz w:val="22"/>
                <w:vertAlign w:val="superscript"/>
              </w:rPr>
              <w:t>e</w:t>
            </w:r>
          </w:p>
        </w:tc>
        <w:tc>
          <w:tcPr>
            <w:tcW w:w="1329" w:type="dxa"/>
            <w:tcBorders>
              <w:top w:val="nil"/>
              <w:left w:val="nil"/>
              <w:right w:val="nil"/>
            </w:tcBorders>
            <w:shd w:val="clear" w:color="000000" w:fill="FFFFFF"/>
            <w:noWrap/>
            <w:vAlign w:val="center"/>
            <w:hideMark/>
          </w:tcPr>
          <w:p w14:paraId="47AD77D3" w14:textId="29D9736E" w:rsidR="004E3AE2" w:rsidRPr="004E3AE2" w:rsidRDefault="00A861CC" w:rsidP="00A861CC">
            <w:pPr>
              <w:spacing w:after="240"/>
              <w:jc w:val="center"/>
              <w:rPr>
                <w:rFonts w:eastAsia="Times New Roman" w:cstheme="minorHAnsi"/>
                <w:color w:val="000000"/>
                <w:sz w:val="22"/>
              </w:rPr>
            </w:pPr>
            <w:r w:rsidRPr="002238BD">
              <w:rPr>
                <w:rFonts w:eastAsia="Times New Roman" w:cstheme="minorHAnsi"/>
                <w:color w:val="000000"/>
                <w:sz w:val="22"/>
              </w:rPr>
              <w:t>$</w:t>
            </w:r>
            <w:r w:rsidR="00A300A4">
              <w:rPr>
                <w:rFonts w:eastAsia="Times New Roman" w:cstheme="minorHAnsi"/>
                <w:color w:val="000000"/>
                <w:sz w:val="22"/>
              </w:rPr>
              <w:t>220.65</w:t>
            </w:r>
          </w:p>
        </w:tc>
      </w:tr>
      <w:tr w:rsidR="00A861CC" w:rsidRPr="002238BD" w14:paraId="027983E7" w14:textId="77777777" w:rsidTr="00116AD7">
        <w:trPr>
          <w:trHeight w:val="330"/>
        </w:trPr>
        <w:tc>
          <w:tcPr>
            <w:tcW w:w="1480" w:type="dxa"/>
            <w:tcBorders>
              <w:top w:val="nil"/>
              <w:left w:val="nil"/>
              <w:right w:val="single" w:sz="4" w:space="0" w:color="auto"/>
            </w:tcBorders>
            <w:shd w:val="clear" w:color="000000" w:fill="FFFFFF"/>
            <w:noWrap/>
            <w:vAlign w:val="center"/>
            <w:hideMark/>
          </w:tcPr>
          <w:p w14:paraId="35C5B334" w14:textId="76D94F01" w:rsidR="004E3AE2" w:rsidRPr="004E3AE2" w:rsidRDefault="004E3AE2" w:rsidP="00A861CC">
            <w:pPr>
              <w:spacing w:after="240"/>
              <w:ind w:right="225"/>
              <w:rPr>
                <w:rFonts w:eastAsia="Times New Roman" w:cstheme="minorHAnsi"/>
                <w:color w:val="000000"/>
                <w:sz w:val="22"/>
              </w:rPr>
            </w:pPr>
          </w:p>
        </w:tc>
        <w:tc>
          <w:tcPr>
            <w:tcW w:w="1670" w:type="dxa"/>
            <w:tcBorders>
              <w:top w:val="nil"/>
              <w:left w:val="nil"/>
              <w:right w:val="nil"/>
            </w:tcBorders>
            <w:shd w:val="clear" w:color="000000" w:fill="FFFFFF"/>
            <w:noWrap/>
            <w:vAlign w:val="center"/>
            <w:hideMark/>
          </w:tcPr>
          <w:p w14:paraId="7C78AAAD" w14:textId="77777777" w:rsidR="004E3AE2" w:rsidRPr="004E3AE2" w:rsidRDefault="004E3AE2" w:rsidP="00A861CC">
            <w:pPr>
              <w:spacing w:after="240"/>
              <w:rPr>
                <w:rFonts w:eastAsia="Times New Roman" w:cstheme="minorHAnsi"/>
                <w:color w:val="000000"/>
                <w:sz w:val="22"/>
              </w:rPr>
            </w:pPr>
            <w:r w:rsidRPr="004E3AE2">
              <w:rPr>
                <w:rFonts w:eastAsia="Times New Roman" w:cstheme="minorHAnsi"/>
                <w:color w:val="000000"/>
                <w:sz w:val="22"/>
              </w:rPr>
              <w:t>Other Site Representatives</w:t>
            </w:r>
          </w:p>
        </w:tc>
        <w:tc>
          <w:tcPr>
            <w:tcW w:w="1353" w:type="dxa"/>
            <w:tcBorders>
              <w:top w:val="nil"/>
              <w:left w:val="single" w:sz="4" w:space="0" w:color="auto"/>
              <w:right w:val="single" w:sz="4" w:space="0" w:color="auto"/>
            </w:tcBorders>
            <w:shd w:val="clear" w:color="auto" w:fill="auto"/>
            <w:noWrap/>
            <w:vAlign w:val="center"/>
            <w:hideMark/>
          </w:tcPr>
          <w:p w14:paraId="3C38B86B" w14:textId="5853BC18" w:rsidR="004E3AE2" w:rsidRPr="004E3AE2" w:rsidRDefault="00A861CC" w:rsidP="00A861CC">
            <w:pPr>
              <w:spacing w:after="240"/>
              <w:jc w:val="center"/>
              <w:rPr>
                <w:rFonts w:eastAsia="Times New Roman" w:cstheme="minorHAnsi"/>
                <w:color w:val="000000"/>
                <w:sz w:val="22"/>
              </w:rPr>
            </w:pPr>
            <w:r w:rsidRPr="002238BD">
              <w:rPr>
                <w:rFonts w:eastAsia="Times New Roman" w:cstheme="minorHAnsi"/>
                <w:color w:val="000000"/>
                <w:sz w:val="22"/>
              </w:rPr>
              <w:t>12</w:t>
            </w:r>
          </w:p>
        </w:tc>
        <w:tc>
          <w:tcPr>
            <w:tcW w:w="1347" w:type="dxa"/>
            <w:tcBorders>
              <w:top w:val="nil"/>
              <w:left w:val="nil"/>
              <w:right w:val="single" w:sz="4" w:space="0" w:color="auto"/>
            </w:tcBorders>
            <w:shd w:val="clear" w:color="000000" w:fill="FFFFFF"/>
            <w:noWrap/>
            <w:vAlign w:val="center"/>
            <w:hideMark/>
          </w:tcPr>
          <w:p w14:paraId="6707A73A" w14:textId="2D21E6D8" w:rsidR="004E3AE2" w:rsidRPr="004E3AE2" w:rsidRDefault="00A300A4" w:rsidP="00A861CC">
            <w:pPr>
              <w:spacing w:after="240"/>
              <w:jc w:val="center"/>
              <w:rPr>
                <w:rFonts w:eastAsia="Times New Roman" w:cstheme="minorHAnsi"/>
                <w:color w:val="000000"/>
                <w:sz w:val="22"/>
              </w:rPr>
            </w:pPr>
            <w:r>
              <w:rPr>
                <w:rFonts w:eastAsia="Times New Roman" w:cstheme="minorHAnsi"/>
                <w:color w:val="000000"/>
                <w:sz w:val="22"/>
              </w:rPr>
              <w:t>1</w:t>
            </w:r>
          </w:p>
        </w:tc>
        <w:tc>
          <w:tcPr>
            <w:tcW w:w="1035" w:type="dxa"/>
            <w:tcBorders>
              <w:top w:val="nil"/>
              <w:left w:val="nil"/>
              <w:right w:val="single" w:sz="4" w:space="0" w:color="auto"/>
            </w:tcBorders>
            <w:shd w:val="clear" w:color="000000" w:fill="FFFFFF"/>
            <w:noWrap/>
            <w:vAlign w:val="center"/>
            <w:hideMark/>
          </w:tcPr>
          <w:p w14:paraId="2BA74B6A" w14:textId="77777777" w:rsidR="004E3AE2" w:rsidRPr="004E3AE2" w:rsidRDefault="004E3AE2" w:rsidP="00A861CC">
            <w:pPr>
              <w:spacing w:after="240"/>
              <w:jc w:val="center"/>
              <w:rPr>
                <w:rFonts w:eastAsia="Times New Roman" w:cstheme="minorHAnsi"/>
                <w:color w:val="000000"/>
                <w:sz w:val="22"/>
              </w:rPr>
            </w:pPr>
            <w:r w:rsidRPr="004E3AE2">
              <w:rPr>
                <w:rFonts w:eastAsia="Times New Roman" w:cstheme="minorHAnsi"/>
                <w:color w:val="000000"/>
                <w:sz w:val="22"/>
              </w:rPr>
              <w:t>1.25</w:t>
            </w:r>
          </w:p>
        </w:tc>
        <w:tc>
          <w:tcPr>
            <w:tcW w:w="931" w:type="dxa"/>
            <w:tcBorders>
              <w:top w:val="nil"/>
              <w:left w:val="nil"/>
              <w:right w:val="single" w:sz="4" w:space="0" w:color="auto"/>
            </w:tcBorders>
            <w:shd w:val="clear" w:color="000000" w:fill="FFFFFF"/>
            <w:noWrap/>
            <w:vAlign w:val="center"/>
            <w:hideMark/>
          </w:tcPr>
          <w:p w14:paraId="4C04F833" w14:textId="6DDD3193" w:rsidR="004E3AE2" w:rsidRPr="004E3AE2" w:rsidRDefault="00A300A4" w:rsidP="00A861CC">
            <w:pPr>
              <w:spacing w:after="240"/>
              <w:jc w:val="center"/>
              <w:rPr>
                <w:rFonts w:eastAsia="Times New Roman" w:cstheme="minorHAnsi"/>
                <w:color w:val="000000"/>
                <w:sz w:val="22"/>
              </w:rPr>
            </w:pPr>
            <w:r>
              <w:rPr>
                <w:rFonts w:eastAsia="Times New Roman" w:cstheme="minorHAnsi"/>
                <w:color w:val="000000"/>
                <w:sz w:val="22"/>
              </w:rPr>
              <w:t>15.00</w:t>
            </w:r>
          </w:p>
        </w:tc>
        <w:tc>
          <w:tcPr>
            <w:tcW w:w="998" w:type="dxa"/>
            <w:tcBorders>
              <w:top w:val="nil"/>
              <w:left w:val="nil"/>
              <w:right w:val="single" w:sz="4" w:space="0" w:color="auto"/>
            </w:tcBorders>
            <w:shd w:val="clear" w:color="000000" w:fill="FFFFFF"/>
            <w:noWrap/>
            <w:vAlign w:val="center"/>
            <w:hideMark/>
          </w:tcPr>
          <w:p w14:paraId="75B29C6F" w14:textId="67563651" w:rsidR="004E3AE2" w:rsidRPr="004E3AE2" w:rsidRDefault="004E3AE2" w:rsidP="00A861CC">
            <w:pPr>
              <w:spacing w:after="240"/>
              <w:jc w:val="center"/>
              <w:rPr>
                <w:rFonts w:eastAsia="Times New Roman" w:cstheme="minorHAnsi"/>
                <w:color w:val="000000"/>
                <w:sz w:val="22"/>
                <w:vertAlign w:val="superscript"/>
              </w:rPr>
            </w:pPr>
            <w:r w:rsidRPr="002238BD">
              <w:rPr>
                <w:rFonts w:eastAsia="Times New Roman" w:cstheme="minorHAnsi"/>
                <w:color w:val="000000"/>
                <w:sz w:val="22"/>
              </w:rPr>
              <w:t>$</w:t>
            </w:r>
            <w:r w:rsidRPr="004E3AE2">
              <w:rPr>
                <w:rFonts w:eastAsia="Times New Roman" w:cstheme="minorHAnsi"/>
                <w:color w:val="000000"/>
                <w:sz w:val="22"/>
              </w:rPr>
              <w:t>22.66</w:t>
            </w:r>
            <w:r w:rsidR="00A300A4">
              <w:rPr>
                <w:rFonts w:eastAsia="Times New Roman" w:cstheme="minorHAnsi"/>
                <w:color w:val="000000"/>
                <w:sz w:val="22"/>
                <w:vertAlign w:val="superscript"/>
              </w:rPr>
              <w:t>d</w:t>
            </w:r>
          </w:p>
        </w:tc>
        <w:tc>
          <w:tcPr>
            <w:tcW w:w="1329" w:type="dxa"/>
            <w:tcBorders>
              <w:top w:val="nil"/>
              <w:left w:val="nil"/>
              <w:right w:val="nil"/>
            </w:tcBorders>
            <w:shd w:val="clear" w:color="000000" w:fill="FFFFFF"/>
            <w:noWrap/>
            <w:vAlign w:val="center"/>
            <w:hideMark/>
          </w:tcPr>
          <w:p w14:paraId="60283B58" w14:textId="6D5DA80B" w:rsidR="004E3AE2" w:rsidRPr="004E3AE2" w:rsidRDefault="00A861CC" w:rsidP="00A861CC">
            <w:pPr>
              <w:spacing w:after="240"/>
              <w:jc w:val="center"/>
              <w:rPr>
                <w:rFonts w:eastAsia="Times New Roman" w:cstheme="minorHAnsi"/>
                <w:color w:val="000000"/>
                <w:sz w:val="22"/>
              </w:rPr>
            </w:pPr>
            <w:r w:rsidRPr="002238BD">
              <w:rPr>
                <w:rFonts w:eastAsia="Times New Roman" w:cstheme="minorHAnsi"/>
                <w:color w:val="000000"/>
                <w:sz w:val="22"/>
              </w:rPr>
              <w:t>$</w:t>
            </w:r>
            <w:r w:rsidR="00A300A4">
              <w:rPr>
                <w:rFonts w:eastAsia="Times New Roman" w:cstheme="minorHAnsi"/>
                <w:color w:val="000000"/>
                <w:sz w:val="22"/>
              </w:rPr>
              <w:t>339.90</w:t>
            </w:r>
          </w:p>
        </w:tc>
      </w:tr>
      <w:tr w:rsidR="00116AD7" w:rsidRPr="002238BD" w14:paraId="7BA954C6" w14:textId="77777777" w:rsidTr="00116AD7">
        <w:trPr>
          <w:trHeight w:val="330"/>
        </w:trPr>
        <w:tc>
          <w:tcPr>
            <w:tcW w:w="1480" w:type="dxa"/>
            <w:tcBorders>
              <w:top w:val="nil"/>
              <w:left w:val="nil"/>
              <w:right w:val="single" w:sz="4" w:space="0" w:color="auto"/>
            </w:tcBorders>
            <w:shd w:val="clear" w:color="000000" w:fill="FFFFFF"/>
            <w:noWrap/>
            <w:vAlign w:val="center"/>
          </w:tcPr>
          <w:p w14:paraId="53463186" w14:textId="7F5B6249" w:rsidR="00116AD7" w:rsidRPr="004E3AE2" w:rsidRDefault="00116AD7" w:rsidP="00116AD7">
            <w:pPr>
              <w:spacing w:after="240"/>
              <w:ind w:right="-180"/>
              <w:rPr>
                <w:rFonts w:eastAsia="Times New Roman" w:cstheme="minorHAnsi"/>
                <w:color w:val="000000"/>
                <w:sz w:val="22"/>
              </w:rPr>
            </w:pPr>
            <w:r>
              <w:rPr>
                <w:rFonts w:eastAsia="Times New Roman" w:cstheme="minorHAnsi"/>
                <w:color w:val="000000"/>
                <w:sz w:val="22"/>
              </w:rPr>
              <w:t xml:space="preserve">Docket </w:t>
            </w:r>
            <w:r w:rsidR="00595874">
              <w:rPr>
                <w:rFonts w:eastAsia="Times New Roman" w:cstheme="minorHAnsi"/>
                <w:color w:val="000000"/>
                <w:sz w:val="22"/>
              </w:rPr>
              <w:t>Case Monitoring</w:t>
            </w:r>
            <w:r>
              <w:rPr>
                <w:rFonts w:eastAsia="Times New Roman" w:cstheme="minorHAnsi"/>
                <w:color w:val="000000"/>
                <w:sz w:val="22"/>
              </w:rPr>
              <w:t xml:space="preserve"> Form</w:t>
            </w:r>
          </w:p>
        </w:tc>
        <w:tc>
          <w:tcPr>
            <w:tcW w:w="1670" w:type="dxa"/>
            <w:tcBorders>
              <w:top w:val="nil"/>
              <w:left w:val="nil"/>
              <w:right w:val="nil"/>
            </w:tcBorders>
            <w:shd w:val="clear" w:color="000000" w:fill="FFFFFF"/>
            <w:noWrap/>
            <w:vAlign w:val="center"/>
          </w:tcPr>
          <w:p w14:paraId="46E6BC0B" w14:textId="3EFD91E2" w:rsidR="00116AD7" w:rsidRPr="004E3AE2" w:rsidRDefault="0028489D">
            <w:pPr>
              <w:spacing w:after="240"/>
              <w:rPr>
                <w:rFonts w:eastAsia="Times New Roman" w:cstheme="minorHAnsi"/>
                <w:color w:val="000000"/>
                <w:sz w:val="22"/>
              </w:rPr>
            </w:pPr>
            <w:r>
              <w:rPr>
                <w:rFonts w:eastAsia="Times New Roman" w:cstheme="minorHAnsi"/>
                <w:color w:val="000000"/>
                <w:sz w:val="22"/>
              </w:rPr>
              <w:t>AOT Local Evaluator</w:t>
            </w:r>
          </w:p>
        </w:tc>
        <w:tc>
          <w:tcPr>
            <w:tcW w:w="1353" w:type="dxa"/>
            <w:tcBorders>
              <w:top w:val="nil"/>
              <w:left w:val="single" w:sz="4" w:space="0" w:color="auto"/>
              <w:right w:val="single" w:sz="4" w:space="0" w:color="auto"/>
            </w:tcBorders>
            <w:shd w:val="clear" w:color="auto" w:fill="auto"/>
            <w:noWrap/>
            <w:vAlign w:val="center"/>
          </w:tcPr>
          <w:p w14:paraId="1CC8CE16" w14:textId="2760933F" w:rsidR="00116AD7" w:rsidRPr="002238BD" w:rsidRDefault="009A5C33" w:rsidP="00A861CC">
            <w:pPr>
              <w:spacing w:after="240"/>
              <w:jc w:val="center"/>
              <w:rPr>
                <w:rFonts w:eastAsia="Times New Roman" w:cstheme="minorHAnsi"/>
                <w:color w:val="000000"/>
                <w:sz w:val="22"/>
              </w:rPr>
            </w:pPr>
            <w:r>
              <w:rPr>
                <w:rFonts w:eastAsia="Times New Roman" w:cstheme="minorHAnsi"/>
                <w:color w:val="000000"/>
                <w:sz w:val="22"/>
              </w:rPr>
              <w:t>6</w:t>
            </w:r>
          </w:p>
        </w:tc>
        <w:tc>
          <w:tcPr>
            <w:tcW w:w="1347" w:type="dxa"/>
            <w:tcBorders>
              <w:top w:val="nil"/>
              <w:left w:val="nil"/>
              <w:right w:val="single" w:sz="4" w:space="0" w:color="auto"/>
            </w:tcBorders>
            <w:shd w:val="clear" w:color="000000" w:fill="FFFFFF"/>
            <w:noWrap/>
            <w:vAlign w:val="center"/>
          </w:tcPr>
          <w:p w14:paraId="5E96DE88" w14:textId="5B285154" w:rsidR="00116AD7" w:rsidRDefault="00E53837" w:rsidP="00A861CC">
            <w:pPr>
              <w:spacing w:after="240"/>
              <w:jc w:val="center"/>
              <w:rPr>
                <w:rFonts w:eastAsia="Times New Roman" w:cstheme="minorHAnsi"/>
                <w:color w:val="000000"/>
                <w:sz w:val="22"/>
              </w:rPr>
            </w:pPr>
            <w:r>
              <w:rPr>
                <w:rFonts w:eastAsia="Times New Roman" w:cstheme="minorHAnsi"/>
                <w:color w:val="000000"/>
                <w:sz w:val="22"/>
              </w:rPr>
              <w:t>390</w:t>
            </w:r>
          </w:p>
        </w:tc>
        <w:tc>
          <w:tcPr>
            <w:tcW w:w="1035" w:type="dxa"/>
            <w:tcBorders>
              <w:top w:val="nil"/>
              <w:left w:val="nil"/>
              <w:right w:val="single" w:sz="4" w:space="0" w:color="auto"/>
            </w:tcBorders>
            <w:shd w:val="clear" w:color="000000" w:fill="FFFFFF"/>
            <w:noWrap/>
            <w:vAlign w:val="center"/>
          </w:tcPr>
          <w:p w14:paraId="5CE3FE9E" w14:textId="43EB1985" w:rsidR="00116AD7" w:rsidRPr="004E3AE2" w:rsidRDefault="00E53837">
            <w:pPr>
              <w:spacing w:after="240"/>
              <w:jc w:val="center"/>
              <w:rPr>
                <w:rFonts w:eastAsia="Times New Roman" w:cstheme="minorHAnsi"/>
                <w:color w:val="000000"/>
                <w:sz w:val="22"/>
              </w:rPr>
            </w:pPr>
            <w:r>
              <w:rPr>
                <w:rFonts w:eastAsia="Times New Roman" w:cstheme="minorHAnsi"/>
                <w:color w:val="000000"/>
                <w:sz w:val="22"/>
              </w:rPr>
              <w:t>0.10</w:t>
            </w:r>
          </w:p>
        </w:tc>
        <w:tc>
          <w:tcPr>
            <w:tcW w:w="931" w:type="dxa"/>
            <w:tcBorders>
              <w:top w:val="nil"/>
              <w:left w:val="nil"/>
              <w:right w:val="single" w:sz="4" w:space="0" w:color="auto"/>
            </w:tcBorders>
            <w:shd w:val="clear" w:color="000000" w:fill="FFFFFF"/>
            <w:noWrap/>
            <w:vAlign w:val="center"/>
          </w:tcPr>
          <w:p w14:paraId="31ABCCDD" w14:textId="35AECABC" w:rsidR="00116AD7" w:rsidRDefault="00E53837" w:rsidP="00A861CC">
            <w:pPr>
              <w:spacing w:after="240"/>
              <w:jc w:val="center"/>
              <w:rPr>
                <w:rFonts w:eastAsia="Times New Roman" w:cstheme="minorHAnsi"/>
                <w:color w:val="000000"/>
                <w:sz w:val="22"/>
              </w:rPr>
            </w:pPr>
            <w:r>
              <w:rPr>
                <w:rFonts w:eastAsia="Times New Roman" w:cstheme="minorHAnsi"/>
                <w:color w:val="000000"/>
                <w:sz w:val="22"/>
              </w:rPr>
              <w:t>234.00</w:t>
            </w:r>
          </w:p>
        </w:tc>
        <w:tc>
          <w:tcPr>
            <w:tcW w:w="998" w:type="dxa"/>
            <w:tcBorders>
              <w:top w:val="nil"/>
              <w:left w:val="nil"/>
              <w:right w:val="single" w:sz="4" w:space="0" w:color="auto"/>
            </w:tcBorders>
            <w:shd w:val="clear" w:color="000000" w:fill="FFFFFF"/>
            <w:noWrap/>
            <w:vAlign w:val="center"/>
          </w:tcPr>
          <w:p w14:paraId="26DF0F7B" w14:textId="29377366" w:rsidR="00116AD7" w:rsidRPr="002238BD" w:rsidRDefault="00E53837">
            <w:pPr>
              <w:spacing w:after="240"/>
              <w:jc w:val="center"/>
              <w:rPr>
                <w:rFonts w:eastAsia="Times New Roman" w:cstheme="minorHAnsi"/>
                <w:color w:val="000000"/>
                <w:sz w:val="22"/>
              </w:rPr>
            </w:pPr>
            <w:r>
              <w:rPr>
                <w:rFonts w:eastAsia="Times New Roman" w:cstheme="minorHAnsi"/>
                <w:color w:val="000000"/>
                <w:sz w:val="22"/>
              </w:rPr>
              <w:t>$22.66</w:t>
            </w:r>
            <w:r>
              <w:rPr>
                <w:rFonts w:eastAsia="Times New Roman" w:cstheme="minorHAnsi"/>
                <w:color w:val="000000"/>
                <w:sz w:val="22"/>
                <w:vertAlign w:val="superscript"/>
              </w:rPr>
              <w:t>d</w:t>
            </w:r>
          </w:p>
        </w:tc>
        <w:tc>
          <w:tcPr>
            <w:tcW w:w="1329" w:type="dxa"/>
            <w:tcBorders>
              <w:top w:val="nil"/>
              <w:left w:val="nil"/>
              <w:right w:val="nil"/>
            </w:tcBorders>
            <w:shd w:val="clear" w:color="000000" w:fill="FFFFFF"/>
            <w:noWrap/>
            <w:vAlign w:val="center"/>
          </w:tcPr>
          <w:p w14:paraId="5661A950" w14:textId="0DA45E66" w:rsidR="00116AD7" w:rsidRPr="002238BD" w:rsidRDefault="00E53837" w:rsidP="00A861CC">
            <w:pPr>
              <w:spacing w:after="240"/>
              <w:jc w:val="center"/>
              <w:rPr>
                <w:rFonts w:eastAsia="Times New Roman" w:cstheme="minorHAnsi"/>
                <w:color w:val="000000"/>
                <w:sz w:val="22"/>
              </w:rPr>
            </w:pPr>
            <w:r>
              <w:rPr>
                <w:rFonts w:eastAsia="Times New Roman" w:cstheme="minorHAnsi"/>
                <w:color w:val="000000"/>
                <w:sz w:val="22"/>
              </w:rPr>
              <w:t>$5,302.44</w:t>
            </w:r>
          </w:p>
        </w:tc>
      </w:tr>
      <w:tr w:rsidR="00116AD7" w:rsidRPr="002238BD" w14:paraId="57881CED" w14:textId="77777777" w:rsidTr="00A300A4">
        <w:trPr>
          <w:trHeight w:val="330"/>
        </w:trPr>
        <w:tc>
          <w:tcPr>
            <w:tcW w:w="1480" w:type="dxa"/>
            <w:tcBorders>
              <w:top w:val="nil"/>
              <w:left w:val="nil"/>
              <w:bottom w:val="single" w:sz="4" w:space="0" w:color="auto"/>
              <w:right w:val="single" w:sz="4" w:space="0" w:color="auto"/>
            </w:tcBorders>
            <w:shd w:val="clear" w:color="000000" w:fill="FFFFFF"/>
            <w:noWrap/>
            <w:vAlign w:val="center"/>
          </w:tcPr>
          <w:p w14:paraId="184C1B86" w14:textId="5F2618F8" w:rsidR="00116AD7" w:rsidRPr="004E3AE2" w:rsidRDefault="00116AD7" w:rsidP="008C0FC7">
            <w:pPr>
              <w:spacing w:after="240"/>
              <w:ind w:right="-165"/>
              <w:rPr>
                <w:rFonts w:eastAsia="Times New Roman" w:cstheme="minorHAnsi"/>
                <w:color w:val="000000"/>
                <w:sz w:val="22"/>
              </w:rPr>
            </w:pPr>
            <w:r>
              <w:rPr>
                <w:rFonts w:eastAsia="Times New Roman" w:cstheme="minorHAnsi"/>
                <w:color w:val="000000"/>
                <w:sz w:val="22"/>
              </w:rPr>
              <w:t>AOT</w:t>
            </w:r>
            <w:r w:rsidR="008C0FC7">
              <w:rPr>
                <w:rFonts w:eastAsia="Times New Roman" w:cstheme="minorHAnsi"/>
                <w:color w:val="000000"/>
                <w:sz w:val="22"/>
              </w:rPr>
              <w:t xml:space="preserve"> Characteristics</w:t>
            </w:r>
            <w:r>
              <w:rPr>
                <w:rFonts w:eastAsia="Times New Roman" w:cstheme="minorHAnsi"/>
                <w:color w:val="000000"/>
                <w:sz w:val="22"/>
              </w:rPr>
              <w:t xml:space="preserve"> Form</w:t>
            </w:r>
          </w:p>
        </w:tc>
        <w:tc>
          <w:tcPr>
            <w:tcW w:w="1670" w:type="dxa"/>
            <w:tcBorders>
              <w:top w:val="nil"/>
              <w:left w:val="nil"/>
              <w:bottom w:val="single" w:sz="4" w:space="0" w:color="auto"/>
              <w:right w:val="nil"/>
            </w:tcBorders>
            <w:shd w:val="clear" w:color="000000" w:fill="FFFFFF"/>
            <w:noWrap/>
            <w:vAlign w:val="center"/>
          </w:tcPr>
          <w:p w14:paraId="3AC8B521" w14:textId="19BE1340" w:rsidR="00116AD7" w:rsidRPr="004E3AE2" w:rsidRDefault="00307713" w:rsidP="00A861CC">
            <w:pPr>
              <w:spacing w:after="240"/>
              <w:rPr>
                <w:rFonts w:eastAsia="Times New Roman" w:cstheme="minorHAnsi"/>
                <w:color w:val="000000"/>
                <w:sz w:val="22"/>
              </w:rPr>
            </w:pPr>
            <w:r>
              <w:rPr>
                <w:rFonts w:eastAsia="Times New Roman" w:cstheme="minorHAnsi"/>
                <w:color w:val="000000"/>
                <w:sz w:val="22"/>
              </w:rPr>
              <w:t>AOT Local Evaluator</w:t>
            </w:r>
          </w:p>
        </w:tc>
        <w:tc>
          <w:tcPr>
            <w:tcW w:w="1353" w:type="dxa"/>
            <w:tcBorders>
              <w:top w:val="nil"/>
              <w:left w:val="single" w:sz="4" w:space="0" w:color="auto"/>
              <w:bottom w:val="single" w:sz="4" w:space="0" w:color="auto"/>
              <w:right w:val="single" w:sz="4" w:space="0" w:color="auto"/>
            </w:tcBorders>
            <w:shd w:val="clear" w:color="auto" w:fill="auto"/>
            <w:noWrap/>
            <w:vAlign w:val="center"/>
          </w:tcPr>
          <w:p w14:paraId="40D97779" w14:textId="2BF52FA1" w:rsidR="00116AD7" w:rsidRPr="002238BD" w:rsidRDefault="00307713" w:rsidP="00A861CC">
            <w:pPr>
              <w:spacing w:after="240"/>
              <w:jc w:val="center"/>
              <w:rPr>
                <w:rFonts w:eastAsia="Times New Roman" w:cstheme="minorHAnsi"/>
                <w:color w:val="000000"/>
                <w:sz w:val="22"/>
              </w:rPr>
            </w:pPr>
            <w:r>
              <w:rPr>
                <w:rFonts w:eastAsia="Times New Roman" w:cstheme="minorHAnsi"/>
                <w:color w:val="000000"/>
                <w:sz w:val="22"/>
              </w:rPr>
              <w:t>6</w:t>
            </w:r>
          </w:p>
        </w:tc>
        <w:tc>
          <w:tcPr>
            <w:tcW w:w="1347" w:type="dxa"/>
            <w:tcBorders>
              <w:top w:val="nil"/>
              <w:left w:val="nil"/>
              <w:bottom w:val="single" w:sz="4" w:space="0" w:color="auto"/>
              <w:right w:val="single" w:sz="4" w:space="0" w:color="auto"/>
            </w:tcBorders>
            <w:shd w:val="clear" w:color="000000" w:fill="FFFFFF"/>
            <w:noWrap/>
            <w:vAlign w:val="center"/>
          </w:tcPr>
          <w:p w14:paraId="71C9378B" w14:textId="0B2154FA" w:rsidR="00116AD7" w:rsidRDefault="00307713" w:rsidP="00A861CC">
            <w:pPr>
              <w:spacing w:after="240"/>
              <w:jc w:val="center"/>
              <w:rPr>
                <w:rFonts w:eastAsia="Times New Roman" w:cstheme="minorHAnsi"/>
                <w:color w:val="000000"/>
                <w:sz w:val="22"/>
              </w:rPr>
            </w:pPr>
            <w:r>
              <w:rPr>
                <w:rFonts w:eastAsia="Times New Roman" w:cstheme="minorHAnsi"/>
                <w:color w:val="000000"/>
                <w:sz w:val="22"/>
              </w:rPr>
              <w:t>12</w:t>
            </w:r>
          </w:p>
        </w:tc>
        <w:tc>
          <w:tcPr>
            <w:tcW w:w="1035" w:type="dxa"/>
            <w:tcBorders>
              <w:top w:val="nil"/>
              <w:left w:val="nil"/>
              <w:bottom w:val="single" w:sz="4" w:space="0" w:color="auto"/>
              <w:right w:val="single" w:sz="4" w:space="0" w:color="auto"/>
            </w:tcBorders>
            <w:shd w:val="clear" w:color="000000" w:fill="FFFFFF"/>
            <w:noWrap/>
            <w:vAlign w:val="center"/>
          </w:tcPr>
          <w:p w14:paraId="4F64C07D" w14:textId="025C53E7" w:rsidR="00116AD7" w:rsidRPr="004E3AE2" w:rsidRDefault="00307713" w:rsidP="00A861CC">
            <w:pPr>
              <w:spacing w:after="240"/>
              <w:jc w:val="center"/>
              <w:rPr>
                <w:rFonts w:eastAsia="Times New Roman" w:cstheme="minorHAnsi"/>
                <w:color w:val="000000"/>
                <w:sz w:val="22"/>
              </w:rPr>
            </w:pPr>
            <w:r>
              <w:rPr>
                <w:rFonts w:eastAsia="Times New Roman" w:cstheme="minorHAnsi"/>
                <w:color w:val="000000"/>
                <w:sz w:val="22"/>
              </w:rPr>
              <w:t>0.50</w:t>
            </w:r>
          </w:p>
        </w:tc>
        <w:tc>
          <w:tcPr>
            <w:tcW w:w="931" w:type="dxa"/>
            <w:tcBorders>
              <w:top w:val="nil"/>
              <w:left w:val="nil"/>
              <w:bottom w:val="single" w:sz="4" w:space="0" w:color="auto"/>
              <w:right w:val="single" w:sz="4" w:space="0" w:color="auto"/>
            </w:tcBorders>
            <w:shd w:val="clear" w:color="000000" w:fill="FFFFFF"/>
            <w:noWrap/>
            <w:vAlign w:val="center"/>
          </w:tcPr>
          <w:p w14:paraId="673951F3" w14:textId="235A1FB6" w:rsidR="00116AD7" w:rsidRDefault="00307713" w:rsidP="00A861CC">
            <w:pPr>
              <w:spacing w:after="240"/>
              <w:jc w:val="center"/>
              <w:rPr>
                <w:rFonts w:eastAsia="Times New Roman" w:cstheme="minorHAnsi"/>
                <w:color w:val="000000"/>
                <w:sz w:val="22"/>
              </w:rPr>
            </w:pPr>
            <w:r>
              <w:rPr>
                <w:rFonts w:eastAsia="Times New Roman" w:cstheme="minorHAnsi"/>
                <w:color w:val="000000"/>
                <w:sz w:val="22"/>
              </w:rPr>
              <w:t>36.00</w:t>
            </w:r>
          </w:p>
        </w:tc>
        <w:tc>
          <w:tcPr>
            <w:tcW w:w="998" w:type="dxa"/>
            <w:tcBorders>
              <w:top w:val="nil"/>
              <w:left w:val="nil"/>
              <w:bottom w:val="single" w:sz="4" w:space="0" w:color="auto"/>
              <w:right w:val="single" w:sz="4" w:space="0" w:color="auto"/>
            </w:tcBorders>
            <w:shd w:val="clear" w:color="000000" w:fill="FFFFFF"/>
            <w:noWrap/>
            <w:vAlign w:val="center"/>
          </w:tcPr>
          <w:p w14:paraId="1D09CF9D" w14:textId="06E0ED53" w:rsidR="00116AD7" w:rsidRPr="008C0FC7" w:rsidRDefault="00307713" w:rsidP="00A861CC">
            <w:pPr>
              <w:spacing w:after="240"/>
              <w:jc w:val="center"/>
              <w:rPr>
                <w:rFonts w:eastAsia="Times New Roman" w:cstheme="minorHAnsi"/>
                <w:color w:val="000000"/>
                <w:sz w:val="22"/>
                <w:vertAlign w:val="superscript"/>
              </w:rPr>
            </w:pPr>
            <w:r>
              <w:rPr>
                <w:rFonts w:eastAsia="Times New Roman" w:cstheme="minorHAnsi"/>
                <w:color w:val="000000"/>
                <w:sz w:val="22"/>
              </w:rPr>
              <w:t>$22.66</w:t>
            </w:r>
            <w:r w:rsidR="008C0FC7">
              <w:rPr>
                <w:rFonts w:eastAsia="Times New Roman" w:cstheme="minorHAnsi"/>
                <w:color w:val="000000"/>
                <w:sz w:val="22"/>
                <w:vertAlign w:val="superscript"/>
              </w:rPr>
              <w:t>d</w:t>
            </w:r>
          </w:p>
        </w:tc>
        <w:tc>
          <w:tcPr>
            <w:tcW w:w="1329" w:type="dxa"/>
            <w:tcBorders>
              <w:top w:val="nil"/>
              <w:left w:val="nil"/>
              <w:bottom w:val="single" w:sz="4" w:space="0" w:color="auto"/>
              <w:right w:val="nil"/>
            </w:tcBorders>
            <w:shd w:val="clear" w:color="000000" w:fill="FFFFFF"/>
            <w:noWrap/>
            <w:vAlign w:val="center"/>
          </w:tcPr>
          <w:p w14:paraId="1C6E88F0" w14:textId="19759CB3" w:rsidR="00116AD7" w:rsidRPr="002238BD" w:rsidRDefault="00307713" w:rsidP="00A861CC">
            <w:pPr>
              <w:spacing w:after="240"/>
              <w:jc w:val="center"/>
              <w:rPr>
                <w:rFonts w:eastAsia="Times New Roman" w:cstheme="minorHAnsi"/>
                <w:color w:val="000000"/>
                <w:sz w:val="22"/>
              </w:rPr>
            </w:pPr>
            <w:r>
              <w:rPr>
                <w:rFonts w:eastAsia="Times New Roman" w:cstheme="minorHAnsi"/>
                <w:color w:val="000000"/>
                <w:sz w:val="22"/>
              </w:rPr>
              <w:t>$8</w:t>
            </w:r>
            <w:r w:rsidR="0050038E">
              <w:rPr>
                <w:rFonts w:eastAsia="Times New Roman" w:cstheme="minorHAnsi"/>
                <w:color w:val="000000"/>
                <w:sz w:val="22"/>
              </w:rPr>
              <w:t>1</w:t>
            </w:r>
            <w:r>
              <w:rPr>
                <w:rFonts w:eastAsia="Times New Roman" w:cstheme="minorHAnsi"/>
                <w:color w:val="000000"/>
                <w:sz w:val="22"/>
              </w:rPr>
              <w:t>5.76</w:t>
            </w:r>
          </w:p>
        </w:tc>
      </w:tr>
      <w:tr w:rsidR="00A861CC" w:rsidRPr="002238BD" w14:paraId="7DFE7D1A" w14:textId="77777777" w:rsidTr="00A300A4">
        <w:trPr>
          <w:trHeight w:val="330"/>
        </w:trPr>
        <w:tc>
          <w:tcPr>
            <w:tcW w:w="1480" w:type="dxa"/>
            <w:tcBorders>
              <w:top w:val="single" w:sz="4" w:space="0" w:color="auto"/>
              <w:left w:val="nil"/>
              <w:bottom w:val="single" w:sz="4" w:space="0" w:color="auto"/>
            </w:tcBorders>
            <w:shd w:val="clear" w:color="000000" w:fill="FFFFFF"/>
            <w:noWrap/>
            <w:vAlign w:val="bottom"/>
            <w:hideMark/>
          </w:tcPr>
          <w:p w14:paraId="0AC5DBBC" w14:textId="6DFF4AA2" w:rsidR="004E3AE2" w:rsidRPr="004E3AE2" w:rsidRDefault="004E3AE2" w:rsidP="004E3AE2">
            <w:pPr>
              <w:rPr>
                <w:rFonts w:eastAsia="Times New Roman" w:cstheme="minorHAnsi"/>
                <w:b/>
                <w:color w:val="000000"/>
                <w:sz w:val="22"/>
              </w:rPr>
            </w:pPr>
            <w:r w:rsidRPr="002238BD">
              <w:rPr>
                <w:rFonts w:eastAsia="Times New Roman" w:cstheme="minorHAnsi"/>
                <w:b/>
                <w:color w:val="000000"/>
                <w:sz w:val="22"/>
              </w:rPr>
              <w:t>Total</w:t>
            </w:r>
          </w:p>
        </w:tc>
        <w:tc>
          <w:tcPr>
            <w:tcW w:w="1670" w:type="dxa"/>
            <w:tcBorders>
              <w:top w:val="single" w:sz="4" w:space="0" w:color="auto"/>
              <w:bottom w:val="single" w:sz="4" w:space="0" w:color="auto"/>
              <w:right w:val="nil"/>
            </w:tcBorders>
            <w:shd w:val="clear" w:color="000000" w:fill="FFFFFF"/>
            <w:noWrap/>
            <w:vAlign w:val="bottom"/>
            <w:hideMark/>
          </w:tcPr>
          <w:p w14:paraId="638B7238" w14:textId="514C826E" w:rsidR="004E3AE2" w:rsidRPr="004E3AE2" w:rsidRDefault="004E3AE2" w:rsidP="004E3AE2">
            <w:pPr>
              <w:rPr>
                <w:rFonts w:eastAsia="Times New Roman" w:cstheme="minorHAnsi"/>
                <w:color w:val="000000"/>
                <w:sz w:val="22"/>
              </w:rPr>
            </w:pPr>
          </w:p>
        </w:tc>
        <w:tc>
          <w:tcPr>
            <w:tcW w:w="1353" w:type="dxa"/>
            <w:tcBorders>
              <w:top w:val="nil"/>
              <w:left w:val="single" w:sz="4" w:space="0" w:color="auto"/>
              <w:bottom w:val="single" w:sz="4" w:space="0" w:color="auto"/>
              <w:right w:val="single" w:sz="4" w:space="0" w:color="auto"/>
            </w:tcBorders>
            <w:shd w:val="clear" w:color="000000" w:fill="FFFFFF"/>
            <w:noWrap/>
            <w:vAlign w:val="center"/>
            <w:hideMark/>
          </w:tcPr>
          <w:p w14:paraId="77A9C4A5" w14:textId="5359F40A" w:rsidR="004E3AE2" w:rsidRPr="004E3AE2" w:rsidRDefault="0050038E" w:rsidP="00A861CC">
            <w:pPr>
              <w:jc w:val="center"/>
              <w:rPr>
                <w:rFonts w:eastAsia="Times New Roman" w:cstheme="minorHAnsi"/>
                <w:b/>
                <w:color w:val="000000"/>
                <w:sz w:val="22"/>
              </w:rPr>
            </w:pPr>
            <w:r>
              <w:rPr>
                <w:rFonts w:eastAsia="Times New Roman" w:cstheme="minorHAnsi"/>
                <w:b/>
                <w:color w:val="000000"/>
                <w:sz w:val="22"/>
              </w:rPr>
              <w:t>1243</w:t>
            </w:r>
          </w:p>
        </w:tc>
        <w:tc>
          <w:tcPr>
            <w:tcW w:w="1347" w:type="dxa"/>
            <w:tcBorders>
              <w:top w:val="nil"/>
              <w:left w:val="nil"/>
              <w:bottom w:val="single" w:sz="4" w:space="0" w:color="auto"/>
              <w:right w:val="single" w:sz="4" w:space="0" w:color="auto"/>
            </w:tcBorders>
            <w:shd w:val="clear" w:color="000000" w:fill="FFFFFF"/>
            <w:noWrap/>
            <w:vAlign w:val="center"/>
            <w:hideMark/>
          </w:tcPr>
          <w:p w14:paraId="46E9D797" w14:textId="3CF40963" w:rsidR="004E3AE2" w:rsidRPr="004E3AE2" w:rsidRDefault="0050038E" w:rsidP="00A861CC">
            <w:pPr>
              <w:jc w:val="center"/>
              <w:rPr>
                <w:rFonts w:eastAsia="Times New Roman" w:cstheme="minorHAnsi"/>
                <w:b/>
                <w:color w:val="000000"/>
                <w:sz w:val="22"/>
              </w:rPr>
            </w:pPr>
            <w:r>
              <w:rPr>
                <w:rFonts w:eastAsia="Times New Roman" w:cstheme="minorHAnsi"/>
                <w:b/>
                <w:color w:val="000000"/>
                <w:sz w:val="22"/>
              </w:rPr>
              <w:t>411</w:t>
            </w:r>
          </w:p>
        </w:tc>
        <w:tc>
          <w:tcPr>
            <w:tcW w:w="1035" w:type="dxa"/>
            <w:tcBorders>
              <w:top w:val="nil"/>
              <w:left w:val="nil"/>
              <w:bottom w:val="single" w:sz="4" w:space="0" w:color="auto"/>
              <w:right w:val="single" w:sz="4" w:space="0" w:color="auto"/>
            </w:tcBorders>
            <w:shd w:val="clear" w:color="000000" w:fill="FFFFFF"/>
            <w:noWrap/>
            <w:vAlign w:val="center"/>
            <w:hideMark/>
          </w:tcPr>
          <w:p w14:paraId="14009A31" w14:textId="4B8BAA7E" w:rsidR="004E3AE2" w:rsidRPr="004E3AE2" w:rsidRDefault="004E3AE2" w:rsidP="00A861CC">
            <w:pPr>
              <w:jc w:val="center"/>
              <w:rPr>
                <w:rFonts w:eastAsia="Times New Roman" w:cstheme="minorHAnsi"/>
                <w:b/>
                <w:color w:val="000000"/>
                <w:sz w:val="22"/>
              </w:rPr>
            </w:pPr>
            <w:r w:rsidRPr="004E3AE2">
              <w:rPr>
                <w:rFonts w:eastAsia="Times New Roman" w:cstheme="minorHAnsi"/>
                <w:b/>
                <w:color w:val="000000"/>
                <w:sz w:val="22"/>
              </w:rPr>
              <w:t>0.</w:t>
            </w:r>
            <w:r w:rsidR="0050038E">
              <w:rPr>
                <w:rFonts w:eastAsia="Times New Roman" w:cstheme="minorHAnsi"/>
                <w:b/>
                <w:color w:val="000000"/>
                <w:sz w:val="22"/>
              </w:rPr>
              <w:t>76</w:t>
            </w:r>
          </w:p>
        </w:tc>
        <w:tc>
          <w:tcPr>
            <w:tcW w:w="931" w:type="dxa"/>
            <w:tcBorders>
              <w:top w:val="nil"/>
              <w:left w:val="nil"/>
              <w:bottom w:val="single" w:sz="4" w:space="0" w:color="auto"/>
              <w:right w:val="single" w:sz="4" w:space="0" w:color="auto"/>
            </w:tcBorders>
            <w:shd w:val="clear" w:color="000000" w:fill="FFFFFF"/>
            <w:noWrap/>
            <w:vAlign w:val="center"/>
            <w:hideMark/>
          </w:tcPr>
          <w:p w14:paraId="76281793" w14:textId="7007B127" w:rsidR="004E3AE2" w:rsidRPr="004E3AE2" w:rsidRDefault="0050038E" w:rsidP="00A861CC">
            <w:pPr>
              <w:jc w:val="center"/>
              <w:rPr>
                <w:rFonts w:eastAsia="Times New Roman" w:cstheme="minorHAnsi"/>
                <w:b/>
                <w:color w:val="000000"/>
                <w:sz w:val="22"/>
              </w:rPr>
            </w:pPr>
            <w:r>
              <w:rPr>
                <w:rFonts w:eastAsia="Times New Roman" w:cstheme="minorHAnsi"/>
                <w:b/>
                <w:color w:val="000000"/>
                <w:sz w:val="22"/>
              </w:rPr>
              <w:t>3455.75</w:t>
            </w:r>
          </w:p>
        </w:tc>
        <w:tc>
          <w:tcPr>
            <w:tcW w:w="998" w:type="dxa"/>
            <w:tcBorders>
              <w:top w:val="nil"/>
              <w:left w:val="nil"/>
              <w:bottom w:val="single" w:sz="4" w:space="0" w:color="auto"/>
              <w:right w:val="single" w:sz="4" w:space="0" w:color="auto"/>
            </w:tcBorders>
            <w:shd w:val="clear" w:color="000000" w:fill="FFFFFF"/>
            <w:noWrap/>
            <w:vAlign w:val="center"/>
            <w:hideMark/>
          </w:tcPr>
          <w:p w14:paraId="7B1D5111" w14:textId="6B5971B1" w:rsidR="004E3AE2" w:rsidRPr="004E3AE2" w:rsidRDefault="004E3AE2" w:rsidP="00A861CC">
            <w:pPr>
              <w:jc w:val="center"/>
              <w:rPr>
                <w:rFonts w:eastAsia="Times New Roman" w:cstheme="minorHAnsi"/>
                <w:b/>
                <w:color w:val="000000"/>
                <w:sz w:val="22"/>
              </w:rPr>
            </w:pPr>
            <w:r w:rsidRPr="002238BD">
              <w:rPr>
                <w:rFonts w:eastAsia="Times New Roman" w:cstheme="minorHAnsi"/>
                <w:b/>
                <w:color w:val="000000"/>
                <w:sz w:val="22"/>
              </w:rPr>
              <w:t>$</w:t>
            </w:r>
            <w:r w:rsidRPr="004E3AE2">
              <w:rPr>
                <w:rFonts w:eastAsia="Times New Roman" w:cstheme="minorHAnsi"/>
                <w:b/>
                <w:color w:val="000000"/>
                <w:sz w:val="22"/>
              </w:rPr>
              <w:t>2</w:t>
            </w:r>
            <w:r w:rsidR="0050038E">
              <w:rPr>
                <w:rFonts w:eastAsia="Times New Roman" w:cstheme="minorHAnsi"/>
                <w:b/>
                <w:color w:val="000000"/>
                <w:sz w:val="22"/>
              </w:rPr>
              <w:t>3</w:t>
            </w:r>
            <w:r w:rsidRPr="004E3AE2">
              <w:rPr>
                <w:rFonts w:eastAsia="Times New Roman" w:cstheme="minorHAnsi"/>
                <w:b/>
                <w:color w:val="000000"/>
                <w:sz w:val="22"/>
              </w:rPr>
              <w:t>.</w:t>
            </w:r>
            <w:r w:rsidR="0050038E">
              <w:rPr>
                <w:rFonts w:eastAsia="Times New Roman" w:cstheme="minorHAnsi"/>
                <w:b/>
                <w:color w:val="000000"/>
                <w:sz w:val="22"/>
              </w:rPr>
              <w:t>63</w:t>
            </w:r>
          </w:p>
        </w:tc>
        <w:tc>
          <w:tcPr>
            <w:tcW w:w="1329" w:type="dxa"/>
            <w:tcBorders>
              <w:top w:val="nil"/>
              <w:left w:val="nil"/>
              <w:bottom w:val="single" w:sz="4" w:space="0" w:color="auto"/>
              <w:right w:val="nil"/>
            </w:tcBorders>
            <w:shd w:val="clear" w:color="000000" w:fill="FFFFFF"/>
            <w:noWrap/>
            <w:vAlign w:val="center"/>
            <w:hideMark/>
          </w:tcPr>
          <w:p w14:paraId="2EBC0452" w14:textId="76CD8A4F" w:rsidR="0050038E" w:rsidRPr="004E3AE2" w:rsidRDefault="0050038E" w:rsidP="00A861CC">
            <w:pPr>
              <w:jc w:val="center"/>
              <w:rPr>
                <w:rFonts w:eastAsia="Times New Roman" w:cstheme="minorHAnsi"/>
                <w:b/>
                <w:color w:val="000000"/>
                <w:sz w:val="22"/>
              </w:rPr>
            </w:pPr>
            <w:r>
              <w:rPr>
                <w:rFonts w:eastAsia="Times New Roman" w:cstheme="minorHAnsi"/>
                <w:b/>
                <w:color w:val="000000"/>
                <w:sz w:val="22"/>
              </w:rPr>
              <w:t>$78,358.00</w:t>
            </w:r>
          </w:p>
        </w:tc>
      </w:tr>
      <w:tr w:rsidR="004E3AE2" w:rsidRPr="002238BD" w14:paraId="2F121D3F" w14:textId="77777777" w:rsidTr="00A300A4">
        <w:trPr>
          <w:trHeight w:val="330"/>
        </w:trPr>
        <w:tc>
          <w:tcPr>
            <w:tcW w:w="10147" w:type="dxa"/>
            <w:gridSpan w:val="8"/>
            <w:tcBorders>
              <w:top w:val="nil"/>
              <w:left w:val="nil"/>
              <w:bottom w:val="nil"/>
              <w:right w:val="nil"/>
            </w:tcBorders>
            <w:shd w:val="clear" w:color="000000" w:fill="FFFFFF"/>
            <w:noWrap/>
            <w:vAlign w:val="bottom"/>
            <w:hideMark/>
          </w:tcPr>
          <w:p w14:paraId="7FFC04AC" w14:textId="25C95338" w:rsidR="004E3AE2" w:rsidRPr="002238BD" w:rsidRDefault="00A861CC" w:rsidP="00D7513D">
            <w:pPr>
              <w:spacing w:before="120"/>
              <w:rPr>
                <w:rFonts w:eastAsia="Times New Roman" w:cstheme="minorHAnsi"/>
                <w:color w:val="000000"/>
                <w:sz w:val="20"/>
              </w:rPr>
            </w:pPr>
            <w:bookmarkStart w:id="5" w:name="_Hlk500924883"/>
            <w:bookmarkEnd w:id="4"/>
            <w:r w:rsidRPr="002238BD">
              <w:rPr>
                <w:rFonts w:eastAsia="Times New Roman" w:cstheme="minorHAnsi"/>
                <w:color w:val="000000"/>
                <w:sz w:val="20"/>
                <w:vertAlign w:val="superscript"/>
              </w:rPr>
              <w:t xml:space="preserve">a </w:t>
            </w:r>
            <w:r w:rsidR="004E3AE2" w:rsidRPr="004E3AE2">
              <w:rPr>
                <w:rFonts w:eastAsia="Times New Roman" w:cstheme="minorHAnsi"/>
                <w:color w:val="000000"/>
                <w:sz w:val="20"/>
              </w:rPr>
              <w:t>The estimated number of respondents is based on the average targeted intake for each site across their third and fourth grant years, assuming a 100% intake rate and a 100% evaluation participation rate.</w:t>
            </w:r>
            <w:r w:rsidR="00D004AE">
              <w:rPr>
                <w:rFonts w:eastAsia="Times New Roman" w:cstheme="minorHAnsi"/>
                <w:color w:val="000000"/>
                <w:sz w:val="20"/>
              </w:rPr>
              <w:t xml:space="preserve"> For comparison subjects, we are assuming that we will collect data from a comparison population on the same number of subjects as within each intervention site.</w:t>
            </w:r>
          </w:p>
          <w:p w14:paraId="1588C420" w14:textId="77777777" w:rsidR="00A861CC" w:rsidRPr="002238BD" w:rsidRDefault="00A861CC" w:rsidP="00A861CC">
            <w:pPr>
              <w:rPr>
                <w:rFonts w:eastAsia="Times New Roman" w:cstheme="minorHAnsi"/>
                <w:color w:val="000000"/>
                <w:sz w:val="20"/>
              </w:rPr>
            </w:pPr>
            <w:r w:rsidRPr="002238BD">
              <w:rPr>
                <w:rFonts w:eastAsia="Times New Roman" w:cstheme="minorHAnsi"/>
                <w:color w:val="000000"/>
                <w:sz w:val="20"/>
                <w:vertAlign w:val="superscript"/>
              </w:rPr>
              <w:t>b</w:t>
            </w:r>
            <w:r w:rsidRPr="002238BD">
              <w:rPr>
                <w:rFonts w:eastAsia="Times New Roman" w:cstheme="minorHAnsi"/>
                <w:color w:val="000000"/>
                <w:sz w:val="20"/>
              </w:rPr>
              <w:t xml:space="preserve"> </w:t>
            </w:r>
            <w:r w:rsidRPr="004E3AE2">
              <w:rPr>
                <w:rFonts w:eastAsia="Times New Roman" w:cstheme="minorHAnsi"/>
                <w:color w:val="000000"/>
                <w:sz w:val="20"/>
              </w:rPr>
              <w:t>The estimated number of respondents is one-third of the number of respondents for the Client Interview Instrument, rounded to the nearest whole number.</w:t>
            </w:r>
          </w:p>
          <w:bookmarkEnd w:id="5"/>
          <w:p w14:paraId="333CE237" w14:textId="0054A433" w:rsidR="00A300A4" w:rsidRDefault="00A861CC" w:rsidP="00A861CC">
            <w:pPr>
              <w:rPr>
                <w:rFonts w:eastAsia="Times New Roman" w:cstheme="minorHAnsi"/>
                <w:color w:val="000000"/>
                <w:sz w:val="20"/>
              </w:rPr>
            </w:pPr>
            <w:r w:rsidRPr="002238BD">
              <w:rPr>
                <w:rFonts w:eastAsia="Times New Roman" w:cstheme="minorHAnsi"/>
                <w:color w:val="000000"/>
                <w:sz w:val="20"/>
                <w:vertAlign w:val="superscript"/>
              </w:rPr>
              <w:t>c</w:t>
            </w:r>
            <w:r w:rsidRPr="002238BD">
              <w:rPr>
                <w:rFonts w:eastAsia="Times New Roman" w:cstheme="minorHAnsi"/>
                <w:color w:val="000000"/>
                <w:sz w:val="20"/>
              </w:rPr>
              <w:t xml:space="preserve"> </w:t>
            </w:r>
            <w:r w:rsidR="00A300A4" w:rsidRPr="00A300A4">
              <w:rPr>
                <w:rFonts w:eastAsia="Times New Roman" w:cstheme="minorHAnsi"/>
                <w:color w:val="000000"/>
                <w:sz w:val="20"/>
              </w:rPr>
              <w:t>Over the course of the evaluation, the client interview instrument will be administered at baseline and every six months during AOT, as well as six months post-AOT, for an average of three responses per year. The family satisfaction survey will be administered once. The cost questionnaire will be administered twice, once annually.</w:t>
            </w:r>
            <w:r w:rsidR="008C0FC7">
              <w:rPr>
                <w:rFonts w:eastAsia="Times New Roman" w:cstheme="minorHAnsi"/>
                <w:color w:val="000000"/>
                <w:sz w:val="20"/>
              </w:rPr>
              <w:t xml:space="preserve"> The docket case monitoring form will be completed at each hearing; we are assuming that, across sites, participants will average 4-5 hearings (e.g., petition, termination, and 1-2 </w:t>
            </w:r>
            <w:r w:rsidR="008C0FC7" w:rsidRPr="008C0FC7">
              <w:rPr>
                <w:rFonts w:eastAsia="Times New Roman" w:cstheme="minorHAnsi"/>
                <w:color w:val="000000"/>
                <w:sz w:val="20"/>
              </w:rPr>
              <w:t>status/non-co</w:t>
            </w:r>
            <w:r w:rsidR="008C0FC7">
              <w:rPr>
                <w:rFonts w:eastAsia="Times New Roman" w:cstheme="minorHAnsi"/>
                <w:color w:val="000000"/>
                <w:sz w:val="20"/>
              </w:rPr>
              <w:t>mpliance/treatment modification hearings). The AOT characteristics form will be completed once every month.</w:t>
            </w:r>
          </w:p>
          <w:p w14:paraId="7DD3214D" w14:textId="38E74A01" w:rsidR="00A861CC" w:rsidRPr="002238BD" w:rsidRDefault="00540CE0" w:rsidP="00A861CC">
            <w:pPr>
              <w:rPr>
                <w:rFonts w:eastAsia="Times New Roman" w:cstheme="minorHAnsi"/>
                <w:color w:val="000000"/>
                <w:sz w:val="20"/>
              </w:rPr>
            </w:pPr>
            <w:r w:rsidRPr="002238BD">
              <w:rPr>
                <w:rFonts w:eastAsia="Times New Roman" w:cstheme="minorHAnsi"/>
                <w:color w:val="000000"/>
                <w:sz w:val="20"/>
                <w:vertAlign w:val="superscript"/>
              </w:rPr>
              <w:t xml:space="preserve">d </w:t>
            </w:r>
            <w:r w:rsidR="00A861CC" w:rsidRPr="002238BD">
              <w:rPr>
                <w:rFonts w:eastAsia="Times New Roman" w:cstheme="minorHAnsi"/>
                <w:color w:val="000000"/>
                <w:sz w:val="20"/>
              </w:rPr>
              <w:t xml:space="preserve">Average hourly </w:t>
            </w:r>
            <w:r w:rsidR="00A861CC" w:rsidRPr="004E3AE2">
              <w:rPr>
                <w:rFonts w:eastAsia="Times New Roman" w:cstheme="minorHAnsi"/>
                <w:color w:val="000000"/>
                <w:sz w:val="20"/>
              </w:rPr>
              <w:t>wage rate is estimated by taking the Annual Average Weekly Wage for the six states (AL, IL, MS, NM, OH, OK) in 2016 according to the Bureau of Labor Statistics (Quarterly Census of Employment and Wages, 2016, Annual Averages, All Establishment Sizes) and converting to an hourly wage assuming 38.7 hours per week worked by labor force participants as reported by the Bureau of Labor Statistics (Labor Force Statistics, Current Population Survey, Household Data, Annual Averages, 19. Persons at Work in Agriculture or Non-Agricultural Industries by Hou</w:t>
            </w:r>
            <w:r w:rsidR="00D7513D" w:rsidRPr="002238BD">
              <w:rPr>
                <w:rFonts w:eastAsia="Times New Roman" w:cstheme="minorHAnsi"/>
                <w:color w:val="000000"/>
                <w:sz w:val="20"/>
              </w:rPr>
              <w:t>rs of Work [February 8, 2017]).</w:t>
            </w:r>
          </w:p>
          <w:p w14:paraId="57ECB615" w14:textId="7458586B" w:rsidR="00D7513D" w:rsidRPr="004E3AE2" w:rsidRDefault="00540CE0" w:rsidP="00A861CC">
            <w:pPr>
              <w:rPr>
                <w:rFonts w:eastAsia="Times New Roman" w:cstheme="minorHAnsi"/>
                <w:color w:val="000000"/>
                <w:sz w:val="20"/>
              </w:rPr>
            </w:pPr>
            <w:r>
              <w:rPr>
                <w:rFonts w:eastAsia="Times New Roman" w:cstheme="minorHAnsi"/>
                <w:color w:val="000000"/>
                <w:sz w:val="20"/>
                <w:vertAlign w:val="superscript"/>
              </w:rPr>
              <w:t xml:space="preserve">e </w:t>
            </w:r>
            <w:r w:rsidR="00D7513D" w:rsidRPr="002238BD">
              <w:rPr>
                <w:rFonts w:eastAsia="Times New Roman" w:cstheme="minorHAnsi"/>
                <w:color w:val="000000"/>
                <w:sz w:val="20"/>
              </w:rPr>
              <w:t xml:space="preserve">Average hourly wage rate drawn from 11-9151 Social and Community Service Managers for the six states </w:t>
            </w:r>
            <w:r w:rsidR="00D7513D" w:rsidRPr="004E3AE2">
              <w:rPr>
                <w:rFonts w:eastAsia="Times New Roman" w:cstheme="minorHAnsi"/>
                <w:color w:val="000000"/>
                <w:sz w:val="20"/>
              </w:rPr>
              <w:t>(AL, IL, MS, NM, OH, OK) in 2016 according to the Bureau of Labor Statistics (Occupational Employment and Wages, May 2016, 11-9151 Social and Community Service Managers, by State)</w:t>
            </w:r>
          </w:p>
        </w:tc>
      </w:tr>
      <w:bookmarkEnd w:id="3"/>
    </w:tbl>
    <w:p w14:paraId="31FAB234" w14:textId="175C5D2A" w:rsidR="00E05987" w:rsidRDefault="00E05987" w:rsidP="00107248"/>
    <w:p w14:paraId="322FEF16" w14:textId="5BA1CE09" w:rsidR="009832AA" w:rsidRDefault="009832AA" w:rsidP="009832AA">
      <w:pPr>
        <w:ind w:left="720"/>
      </w:pPr>
      <w:r w:rsidRPr="002238BD">
        <w:t>The</w:t>
      </w:r>
      <w:r>
        <w:t xml:space="preserve"> following</w:t>
      </w:r>
      <w:r w:rsidRPr="002238BD">
        <w:t xml:space="preserve"> table provides estimates of the average annual burden for </w:t>
      </w:r>
      <w:r>
        <w:t>obtaining</w:t>
      </w:r>
      <w:r w:rsidR="00BD74BE">
        <w:t xml:space="preserve">, </w:t>
      </w:r>
      <w:r>
        <w:t>preparing</w:t>
      </w:r>
      <w:r w:rsidR="00BD74BE">
        <w:t>, and deidentifying</w:t>
      </w:r>
      <w:r>
        <w:t xml:space="preserve"> the secondary, administrative data for each of the 1</w:t>
      </w:r>
      <w:r w:rsidR="00175EE6">
        <w:t xml:space="preserve">7 </w:t>
      </w:r>
      <w:r>
        <w:t>AOT sites</w:t>
      </w:r>
      <w:r w:rsidRPr="00B014AD">
        <w:t>.</w:t>
      </w:r>
    </w:p>
    <w:p w14:paraId="73F3FE73" w14:textId="77777777" w:rsidR="009832AA" w:rsidRDefault="009832AA" w:rsidP="009832AA">
      <w:pPr>
        <w:ind w:left="720"/>
      </w:pPr>
    </w:p>
    <w:p w14:paraId="72756B59" w14:textId="77777777" w:rsidR="009832AA" w:rsidRPr="002E0F1A" w:rsidRDefault="009832AA" w:rsidP="009832AA">
      <w:pPr>
        <w:rPr>
          <w:b/>
        </w:rPr>
      </w:pPr>
      <w:bookmarkStart w:id="6" w:name="_Hlk511815386"/>
      <w:r w:rsidRPr="002E0F1A">
        <w:rPr>
          <w:rFonts w:ascii="Times New Roman" w:hAnsi="Times New Roman" w:cs="Times New Roman"/>
          <w:b/>
          <w:szCs w:val="24"/>
        </w:rPr>
        <w:t xml:space="preserve">Estimated Annualized Burden Hours </w:t>
      </w:r>
      <w:r>
        <w:rPr>
          <w:rFonts w:ascii="Times New Roman" w:hAnsi="Times New Roman" w:cs="Times New Roman"/>
          <w:b/>
          <w:szCs w:val="24"/>
        </w:rPr>
        <w:t>to Secondary, Administrative Data Record Keepers</w:t>
      </w:r>
    </w:p>
    <w:tbl>
      <w:tblPr>
        <w:tblW w:w="10147" w:type="dxa"/>
        <w:tblLayout w:type="fixed"/>
        <w:tblLook w:val="04A0" w:firstRow="1" w:lastRow="0" w:firstColumn="1" w:lastColumn="0" w:noHBand="0" w:noVBand="1"/>
      </w:tblPr>
      <w:tblGrid>
        <w:gridCol w:w="1480"/>
        <w:gridCol w:w="1670"/>
        <w:gridCol w:w="1353"/>
        <w:gridCol w:w="1347"/>
        <w:gridCol w:w="1035"/>
        <w:gridCol w:w="931"/>
        <w:gridCol w:w="998"/>
        <w:gridCol w:w="1333"/>
      </w:tblGrid>
      <w:tr w:rsidR="009832AA" w:rsidRPr="002238BD" w14:paraId="61D62F61" w14:textId="77777777" w:rsidTr="00637D58">
        <w:trPr>
          <w:trHeight w:val="233"/>
        </w:trPr>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1DA432FD" w14:textId="77777777" w:rsidR="009832AA" w:rsidRPr="004E3AE2" w:rsidRDefault="009832AA" w:rsidP="00637D58">
            <w:pPr>
              <w:jc w:val="center"/>
              <w:rPr>
                <w:rFonts w:eastAsia="Times New Roman" w:cstheme="minorHAnsi"/>
                <w:b/>
                <w:bCs/>
                <w:color w:val="000000"/>
                <w:sz w:val="22"/>
              </w:rPr>
            </w:pPr>
            <w:r>
              <w:rPr>
                <w:rFonts w:eastAsia="Times New Roman" w:cstheme="minorHAnsi"/>
                <w:b/>
                <w:bCs/>
                <w:color w:val="000000"/>
                <w:sz w:val="22"/>
              </w:rPr>
              <w:t>Data Sources</w:t>
            </w:r>
          </w:p>
        </w:tc>
        <w:tc>
          <w:tcPr>
            <w:tcW w:w="1670" w:type="dxa"/>
            <w:tcBorders>
              <w:top w:val="single" w:sz="4" w:space="0" w:color="auto"/>
              <w:left w:val="nil"/>
              <w:bottom w:val="single" w:sz="4" w:space="0" w:color="auto"/>
              <w:right w:val="nil"/>
            </w:tcBorders>
            <w:shd w:val="clear" w:color="000000" w:fill="FFFFFF"/>
            <w:vAlign w:val="center"/>
            <w:hideMark/>
          </w:tcPr>
          <w:p w14:paraId="3F44DEEA" w14:textId="77777777" w:rsidR="009832AA" w:rsidRPr="004E3AE2" w:rsidRDefault="009832AA" w:rsidP="00637D58">
            <w:pPr>
              <w:jc w:val="center"/>
              <w:rPr>
                <w:rFonts w:eastAsia="Times New Roman" w:cstheme="minorHAnsi"/>
                <w:b/>
                <w:bCs/>
                <w:color w:val="000000"/>
                <w:sz w:val="22"/>
              </w:rPr>
            </w:pPr>
            <w:r>
              <w:rPr>
                <w:rFonts w:eastAsia="Times New Roman" w:cstheme="minorHAnsi"/>
                <w:b/>
                <w:bCs/>
                <w:color w:val="000000"/>
                <w:sz w:val="22"/>
              </w:rPr>
              <w:t>Record Keepers</w:t>
            </w:r>
          </w:p>
        </w:tc>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288A07" w14:textId="77777777" w:rsidR="009832AA" w:rsidRPr="004E3AE2" w:rsidRDefault="009832AA" w:rsidP="00637D58">
            <w:pPr>
              <w:jc w:val="center"/>
              <w:rPr>
                <w:rFonts w:eastAsia="Times New Roman" w:cstheme="minorHAnsi"/>
                <w:b/>
                <w:bCs/>
                <w:color w:val="000000"/>
                <w:sz w:val="22"/>
                <w:vertAlign w:val="superscript"/>
              </w:rPr>
            </w:pPr>
            <w:r w:rsidRPr="004E3AE2">
              <w:rPr>
                <w:rFonts w:eastAsia="Times New Roman" w:cstheme="minorHAnsi"/>
                <w:b/>
                <w:bCs/>
                <w:color w:val="000000"/>
                <w:sz w:val="22"/>
              </w:rPr>
              <w:t xml:space="preserve">Number of </w:t>
            </w:r>
            <w:r>
              <w:rPr>
                <w:rFonts w:eastAsia="Times New Roman" w:cstheme="minorHAnsi"/>
                <w:b/>
                <w:bCs/>
                <w:color w:val="000000"/>
                <w:sz w:val="22"/>
              </w:rPr>
              <w:t>Record Keepers</w:t>
            </w:r>
          </w:p>
        </w:tc>
        <w:tc>
          <w:tcPr>
            <w:tcW w:w="1347" w:type="dxa"/>
            <w:tcBorders>
              <w:top w:val="single" w:sz="4" w:space="0" w:color="auto"/>
              <w:left w:val="nil"/>
              <w:bottom w:val="single" w:sz="4" w:space="0" w:color="auto"/>
              <w:right w:val="single" w:sz="4" w:space="0" w:color="auto"/>
            </w:tcBorders>
            <w:shd w:val="clear" w:color="000000" w:fill="FFFFFF"/>
            <w:vAlign w:val="center"/>
            <w:hideMark/>
          </w:tcPr>
          <w:p w14:paraId="3E441246" w14:textId="77777777" w:rsidR="009832AA" w:rsidRPr="00A300A4" w:rsidRDefault="009832AA" w:rsidP="00637D58">
            <w:pPr>
              <w:jc w:val="center"/>
              <w:rPr>
                <w:rFonts w:eastAsia="Times New Roman" w:cstheme="minorHAnsi"/>
                <w:b/>
                <w:bCs/>
                <w:color w:val="000000"/>
                <w:sz w:val="22"/>
                <w:vertAlign w:val="superscript"/>
              </w:rPr>
            </w:pPr>
            <w:r>
              <w:rPr>
                <w:rFonts w:eastAsia="Times New Roman" w:cstheme="minorHAnsi"/>
                <w:b/>
                <w:bCs/>
                <w:color w:val="000000"/>
                <w:sz w:val="22"/>
              </w:rPr>
              <w:t>Annual Cuts of Data</w:t>
            </w:r>
            <w:r>
              <w:rPr>
                <w:rFonts w:eastAsia="Times New Roman" w:cstheme="minorHAnsi"/>
                <w:b/>
                <w:bCs/>
                <w:color w:val="000000"/>
                <w:sz w:val="22"/>
                <w:vertAlign w:val="superscript"/>
              </w:rPr>
              <w:t>b</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14:paraId="547DD834" w14:textId="77777777" w:rsidR="009832AA" w:rsidRPr="004E3AE2" w:rsidRDefault="009832AA" w:rsidP="00637D58">
            <w:pPr>
              <w:jc w:val="center"/>
              <w:rPr>
                <w:rFonts w:eastAsia="Times New Roman" w:cstheme="minorHAnsi"/>
                <w:b/>
                <w:bCs/>
                <w:color w:val="000000"/>
                <w:sz w:val="22"/>
              </w:rPr>
            </w:pPr>
            <w:r>
              <w:rPr>
                <w:rFonts w:eastAsia="Times New Roman" w:cstheme="minorHAnsi"/>
                <w:b/>
                <w:bCs/>
                <w:color w:val="000000"/>
                <w:sz w:val="22"/>
              </w:rPr>
              <w:t>Average B</w:t>
            </w:r>
            <w:r w:rsidRPr="004E3AE2">
              <w:rPr>
                <w:rFonts w:eastAsia="Times New Roman" w:cstheme="minorHAnsi"/>
                <w:b/>
                <w:bCs/>
                <w:color w:val="000000"/>
                <w:sz w:val="22"/>
              </w:rPr>
              <w:t xml:space="preserve">urden per </w:t>
            </w:r>
            <w:r>
              <w:rPr>
                <w:rFonts w:eastAsia="Times New Roman" w:cstheme="minorHAnsi"/>
                <w:b/>
                <w:bCs/>
                <w:color w:val="000000"/>
                <w:sz w:val="22"/>
              </w:rPr>
              <w:t>Cut of Data</w:t>
            </w:r>
            <w:r w:rsidRPr="004E3AE2">
              <w:rPr>
                <w:rFonts w:eastAsia="Times New Roman" w:cstheme="minorHAnsi"/>
                <w:b/>
                <w:bCs/>
                <w:color w:val="000000"/>
                <w:sz w:val="22"/>
              </w:rPr>
              <w:t xml:space="preserve"> (hours</w:t>
            </w:r>
            <w:r>
              <w:rPr>
                <w:rFonts w:eastAsia="Times New Roman" w:cstheme="minorHAnsi"/>
                <w:b/>
                <w:bCs/>
                <w:color w:val="000000"/>
                <w:sz w:val="22"/>
              </w:rPr>
              <w:t xml:space="preserve"> per record keeper</w:t>
            </w:r>
            <w:r w:rsidRPr="004E3AE2">
              <w:rPr>
                <w:rFonts w:eastAsia="Times New Roman" w:cstheme="minorHAnsi"/>
                <w:b/>
                <w:bCs/>
                <w:color w:val="000000"/>
                <w:sz w:val="22"/>
              </w:rPr>
              <w:t>)</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7ADC1562" w14:textId="77777777" w:rsidR="009832AA" w:rsidRPr="004E3AE2" w:rsidRDefault="009832AA" w:rsidP="00637D58">
            <w:pPr>
              <w:jc w:val="center"/>
              <w:rPr>
                <w:rFonts w:eastAsia="Times New Roman" w:cstheme="minorHAnsi"/>
                <w:b/>
                <w:bCs/>
                <w:color w:val="000000"/>
                <w:sz w:val="22"/>
              </w:rPr>
            </w:pPr>
            <w:r>
              <w:rPr>
                <w:rFonts w:eastAsia="Times New Roman" w:cstheme="minorHAnsi"/>
                <w:b/>
                <w:bCs/>
                <w:color w:val="000000"/>
                <w:sz w:val="22"/>
              </w:rPr>
              <w:t>Total Annual B</w:t>
            </w:r>
            <w:r w:rsidRPr="004E3AE2">
              <w:rPr>
                <w:rFonts w:eastAsia="Times New Roman" w:cstheme="minorHAnsi"/>
                <w:b/>
                <w:bCs/>
                <w:color w:val="000000"/>
                <w:sz w:val="22"/>
              </w:rPr>
              <w:t>urden (hours</w:t>
            </w:r>
            <w:r>
              <w:rPr>
                <w:rFonts w:eastAsia="Times New Roman" w:cstheme="minorHAnsi"/>
                <w:b/>
                <w:bCs/>
                <w:color w:val="000000"/>
                <w:sz w:val="22"/>
              </w:rPr>
              <w:t xml:space="preserve"> per site</w:t>
            </w:r>
            <w:r w:rsidRPr="004E3AE2">
              <w:rPr>
                <w:rFonts w:eastAsia="Times New Roman" w:cstheme="minorHAnsi"/>
                <w:b/>
                <w:bCs/>
                <w:color w:val="000000"/>
                <w:sz w:val="22"/>
              </w:rPr>
              <w:t>)</w:t>
            </w:r>
          </w:p>
        </w:tc>
        <w:tc>
          <w:tcPr>
            <w:tcW w:w="998" w:type="dxa"/>
            <w:tcBorders>
              <w:top w:val="single" w:sz="4" w:space="0" w:color="auto"/>
              <w:left w:val="nil"/>
              <w:bottom w:val="single" w:sz="4" w:space="0" w:color="auto"/>
              <w:right w:val="nil"/>
            </w:tcBorders>
            <w:shd w:val="clear" w:color="000000" w:fill="FFFFFF"/>
            <w:vAlign w:val="center"/>
            <w:hideMark/>
          </w:tcPr>
          <w:p w14:paraId="682D5047" w14:textId="77777777" w:rsidR="009832AA" w:rsidRPr="004E3AE2" w:rsidRDefault="009832AA" w:rsidP="00637D58">
            <w:pPr>
              <w:jc w:val="center"/>
              <w:rPr>
                <w:rFonts w:eastAsia="Times New Roman" w:cstheme="minorHAnsi"/>
                <w:b/>
                <w:bCs/>
                <w:color w:val="000000"/>
                <w:sz w:val="22"/>
              </w:rPr>
            </w:pPr>
            <w:r w:rsidRPr="004E3AE2">
              <w:rPr>
                <w:rFonts w:eastAsia="Times New Roman" w:cstheme="minorHAnsi"/>
                <w:b/>
                <w:bCs/>
                <w:color w:val="000000"/>
                <w:sz w:val="22"/>
              </w:rPr>
              <w:t>Average Hourly Wage Rate ($)</w:t>
            </w:r>
          </w:p>
        </w:tc>
        <w:tc>
          <w:tcPr>
            <w:tcW w:w="1333" w:type="dxa"/>
            <w:tcBorders>
              <w:top w:val="single" w:sz="4" w:space="0" w:color="auto"/>
              <w:left w:val="single" w:sz="4" w:space="0" w:color="auto"/>
              <w:bottom w:val="single" w:sz="4" w:space="0" w:color="auto"/>
              <w:right w:val="nil"/>
            </w:tcBorders>
            <w:shd w:val="clear" w:color="000000" w:fill="FFFFFF"/>
            <w:vAlign w:val="center"/>
            <w:hideMark/>
          </w:tcPr>
          <w:p w14:paraId="2D6DA16A" w14:textId="77777777" w:rsidR="009832AA" w:rsidRPr="004E3AE2" w:rsidRDefault="009832AA" w:rsidP="00637D58">
            <w:pPr>
              <w:jc w:val="center"/>
              <w:rPr>
                <w:rFonts w:eastAsia="Times New Roman" w:cstheme="minorHAnsi"/>
                <w:b/>
                <w:bCs/>
                <w:color w:val="000000"/>
                <w:sz w:val="22"/>
              </w:rPr>
            </w:pPr>
            <w:r w:rsidRPr="004E3AE2">
              <w:rPr>
                <w:rFonts w:eastAsia="Times New Roman" w:cstheme="minorHAnsi"/>
                <w:b/>
                <w:bCs/>
                <w:color w:val="000000"/>
                <w:sz w:val="22"/>
              </w:rPr>
              <w:t xml:space="preserve">Total Annual </w:t>
            </w:r>
            <w:r>
              <w:rPr>
                <w:rFonts w:eastAsia="Times New Roman" w:cstheme="minorHAnsi"/>
                <w:b/>
                <w:bCs/>
                <w:color w:val="000000"/>
                <w:sz w:val="22"/>
              </w:rPr>
              <w:t>Record Keeper</w:t>
            </w:r>
            <w:r w:rsidRPr="004E3AE2">
              <w:rPr>
                <w:rFonts w:eastAsia="Times New Roman" w:cstheme="minorHAnsi"/>
                <w:b/>
                <w:bCs/>
                <w:color w:val="000000"/>
                <w:sz w:val="22"/>
              </w:rPr>
              <w:t xml:space="preserve"> Cost ($)</w:t>
            </w:r>
          </w:p>
        </w:tc>
      </w:tr>
      <w:tr w:rsidR="009832AA" w:rsidRPr="002238BD" w14:paraId="5273421B" w14:textId="77777777" w:rsidTr="00637D58">
        <w:trPr>
          <w:trHeight w:val="467"/>
        </w:trPr>
        <w:tc>
          <w:tcPr>
            <w:tcW w:w="1480" w:type="dxa"/>
            <w:tcBorders>
              <w:top w:val="nil"/>
              <w:left w:val="nil"/>
              <w:bottom w:val="nil"/>
              <w:right w:val="single" w:sz="4" w:space="0" w:color="auto"/>
            </w:tcBorders>
            <w:shd w:val="clear" w:color="000000" w:fill="FFFFFF"/>
            <w:noWrap/>
            <w:vAlign w:val="center"/>
            <w:hideMark/>
          </w:tcPr>
          <w:p w14:paraId="70E48E34" w14:textId="77777777" w:rsidR="009832AA" w:rsidRPr="004E3AE2" w:rsidRDefault="009832AA" w:rsidP="00637D58">
            <w:pPr>
              <w:spacing w:after="240"/>
              <w:ind w:right="-105"/>
              <w:rPr>
                <w:rFonts w:eastAsia="Times New Roman" w:cstheme="minorHAnsi"/>
                <w:color w:val="000000"/>
                <w:sz w:val="22"/>
              </w:rPr>
            </w:pPr>
            <w:r>
              <w:rPr>
                <w:rFonts w:eastAsia="Times New Roman" w:cstheme="minorHAnsi"/>
                <w:color w:val="000000"/>
                <w:sz w:val="22"/>
              </w:rPr>
              <w:t>Medicaid Services</w:t>
            </w:r>
          </w:p>
        </w:tc>
        <w:tc>
          <w:tcPr>
            <w:tcW w:w="1670" w:type="dxa"/>
            <w:tcBorders>
              <w:top w:val="nil"/>
              <w:left w:val="nil"/>
              <w:bottom w:val="nil"/>
              <w:right w:val="nil"/>
            </w:tcBorders>
            <w:shd w:val="clear" w:color="000000" w:fill="FFFFFF"/>
            <w:noWrap/>
            <w:vAlign w:val="center"/>
            <w:hideMark/>
          </w:tcPr>
          <w:p w14:paraId="0B30454C" w14:textId="77777777" w:rsidR="009832AA" w:rsidRPr="004E3AE2" w:rsidRDefault="009832AA" w:rsidP="00637D58">
            <w:pPr>
              <w:spacing w:after="240"/>
              <w:rPr>
                <w:rFonts w:eastAsia="Times New Roman" w:cstheme="minorHAnsi"/>
                <w:color w:val="000000"/>
                <w:sz w:val="22"/>
              </w:rPr>
            </w:pPr>
            <w:r>
              <w:rPr>
                <w:rFonts w:eastAsia="Times New Roman" w:cstheme="minorHAnsi"/>
                <w:color w:val="000000"/>
                <w:sz w:val="22"/>
              </w:rPr>
              <w:t>AOT Project Director/AOT Local Evaluator/State Medicaid Representative</w:t>
            </w:r>
          </w:p>
        </w:tc>
        <w:tc>
          <w:tcPr>
            <w:tcW w:w="1353" w:type="dxa"/>
            <w:tcBorders>
              <w:top w:val="nil"/>
              <w:left w:val="single" w:sz="4" w:space="0" w:color="auto"/>
              <w:bottom w:val="nil"/>
              <w:right w:val="single" w:sz="4" w:space="0" w:color="auto"/>
            </w:tcBorders>
            <w:shd w:val="clear" w:color="000000" w:fill="FFFFFF"/>
            <w:noWrap/>
            <w:vAlign w:val="center"/>
            <w:hideMark/>
          </w:tcPr>
          <w:p w14:paraId="55DF375F" w14:textId="64B2304B" w:rsidR="009832AA" w:rsidRPr="004E3AE2" w:rsidRDefault="00175EE6" w:rsidP="00637D58">
            <w:pPr>
              <w:spacing w:after="240"/>
              <w:jc w:val="center"/>
              <w:rPr>
                <w:rFonts w:eastAsia="Times New Roman" w:cstheme="minorHAnsi"/>
                <w:color w:val="000000"/>
                <w:sz w:val="22"/>
                <w:vertAlign w:val="superscript"/>
              </w:rPr>
            </w:pPr>
            <w:r>
              <w:rPr>
                <w:rFonts w:eastAsia="Times New Roman" w:cstheme="minorHAnsi"/>
                <w:color w:val="000000"/>
                <w:sz w:val="22"/>
              </w:rPr>
              <w:t>51</w:t>
            </w:r>
            <w:r w:rsidR="009832AA" w:rsidRPr="002238BD">
              <w:rPr>
                <w:rFonts w:eastAsia="Times New Roman" w:cstheme="minorHAnsi"/>
                <w:color w:val="000000"/>
                <w:sz w:val="22"/>
                <w:vertAlign w:val="superscript"/>
              </w:rPr>
              <w:t>a</w:t>
            </w:r>
          </w:p>
        </w:tc>
        <w:tc>
          <w:tcPr>
            <w:tcW w:w="1347" w:type="dxa"/>
            <w:tcBorders>
              <w:top w:val="nil"/>
              <w:left w:val="nil"/>
              <w:bottom w:val="nil"/>
              <w:right w:val="single" w:sz="4" w:space="0" w:color="auto"/>
            </w:tcBorders>
            <w:shd w:val="clear" w:color="000000" w:fill="FFFFFF"/>
            <w:noWrap/>
            <w:vAlign w:val="center"/>
            <w:hideMark/>
          </w:tcPr>
          <w:p w14:paraId="6F5C0B47" w14:textId="77777777" w:rsidR="009832AA" w:rsidRPr="004F1340" w:rsidRDefault="009832AA" w:rsidP="00637D58">
            <w:pPr>
              <w:spacing w:after="240"/>
              <w:jc w:val="center"/>
              <w:rPr>
                <w:rFonts w:eastAsia="Times New Roman" w:cstheme="minorHAnsi"/>
                <w:color w:val="000000"/>
                <w:sz w:val="22"/>
                <w:vertAlign w:val="superscript"/>
              </w:rPr>
            </w:pPr>
            <w:r>
              <w:rPr>
                <w:rFonts w:eastAsia="Times New Roman" w:cstheme="minorHAnsi"/>
                <w:color w:val="000000"/>
                <w:sz w:val="22"/>
              </w:rPr>
              <w:t>3</w:t>
            </w:r>
          </w:p>
        </w:tc>
        <w:tc>
          <w:tcPr>
            <w:tcW w:w="1035" w:type="dxa"/>
            <w:tcBorders>
              <w:top w:val="nil"/>
              <w:left w:val="nil"/>
              <w:bottom w:val="nil"/>
              <w:right w:val="single" w:sz="4" w:space="0" w:color="auto"/>
            </w:tcBorders>
            <w:shd w:val="clear" w:color="000000" w:fill="FFFFFF"/>
            <w:noWrap/>
            <w:vAlign w:val="center"/>
            <w:hideMark/>
          </w:tcPr>
          <w:p w14:paraId="3929A5D8" w14:textId="77777777" w:rsidR="009832AA" w:rsidRPr="004F1340" w:rsidRDefault="009832AA" w:rsidP="00637D58">
            <w:pPr>
              <w:spacing w:after="240"/>
              <w:jc w:val="center"/>
              <w:rPr>
                <w:rFonts w:eastAsia="Times New Roman" w:cstheme="minorHAnsi"/>
                <w:color w:val="000000"/>
                <w:sz w:val="22"/>
              </w:rPr>
            </w:pPr>
            <w:r>
              <w:rPr>
                <w:rFonts w:eastAsia="Times New Roman" w:cstheme="minorHAnsi"/>
                <w:color w:val="000000"/>
                <w:sz w:val="22"/>
              </w:rPr>
              <w:t>40</w:t>
            </w:r>
            <w:r w:rsidRPr="004F1340">
              <w:rPr>
                <w:rFonts w:eastAsia="Times New Roman" w:cstheme="minorHAnsi"/>
                <w:color w:val="000000"/>
                <w:sz w:val="22"/>
              </w:rPr>
              <w:t>.00</w:t>
            </w:r>
          </w:p>
        </w:tc>
        <w:tc>
          <w:tcPr>
            <w:tcW w:w="931" w:type="dxa"/>
            <w:tcBorders>
              <w:top w:val="nil"/>
              <w:left w:val="nil"/>
              <w:bottom w:val="nil"/>
              <w:right w:val="single" w:sz="4" w:space="0" w:color="auto"/>
            </w:tcBorders>
            <w:shd w:val="clear" w:color="000000" w:fill="FFFFFF"/>
            <w:noWrap/>
            <w:vAlign w:val="center"/>
            <w:hideMark/>
          </w:tcPr>
          <w:p w14:paraId="0DCC1D79" w14:textId="77777777" w:rsidR="009832AA" w:rsidRPr="004F1340" w:rsidRDefault="009832AA" w:rsidP="00637D58">
            <w:pPr>
              <w:spacing w:after="240"/>
              <w:jc w:val="center"/>
              <w:rPr>
                <w:rFonts w:eastAsia="Times New Roman" w:cstheme="minorHAnsi"/>
                <w:color w:val="000000"/>
                <w:sz w:val="22"/>
              </w:rPr>
            </w:pPr>
            <w:r>
              <w:rPr>
                <w:rFonts w:eastAsia="Times New Roman" w:cstheme="minorHAnsi"/>
                <w:color w:val="000000"/>
                <w:sz w:val="22"/>
              </w:rPr>
              <w:t>120</w:t>
            </w:r>
            <w:r w:rsidRPr="004F1340">
              <w:rPr>
                <w:rFonts w:eastAsia="Times New Roman" w:cstheme="minorHAnsi"/>
                <w:color w:val="000000"/>
                <w:sz w:val="22"/>
              </w:rPr>
              <w:t>.00</w:t>
            </w:r>
          </w:p>
        </w:tc>
        <w:tc>
          <w:tcPr>
            <w:tcW w:w="998" w:type="dxa"/>
            <w:tcBorders>
              <w:top w:val="nil"/>
              <w:left w:val="nil"/>
              <w:bottom w:val="nil"/>
              <w:right w:val="single" w:sz="4" w:space="0" w:color="auto"/>
            </w:tcBorders>
            <w:shd w:val="clear" w:color="000000" w:fill="FFFFFF"/>
            <w:noWrap/>
            <w:vAlign w:val="center"/>
            <w:hideMark/>
          </w:tcPr>
          <w:p w14:paraId="6A9361CD" w14:textId="77777777" w:rsidR="009832AA" w:rsidRPr="004F1340" w:rsidRDefault="009832AA" w:rsidP="00637D58">
            <w:pPr>
              <w:spacing w:after="240"/>
              <w:jc w:val="center"/>
              <w:rPr>
                <w:rFonts w:eastAsia="Times New Roman" w:cstheme="minorHAnsi"/>
                <w:color w:val="000000"/>
                <w:sz w:val="22"/>
                <w:vertAlign w:val="superscript"/>
              </w:rPr>
            </w:pPr>
            <w:r w:rsidRPr="004F1340">
              <w:rPr>
                <w:rFonts w:eastAsia="Times New Roman" w:cstheme="minorHAnsi"/>
                <w:color w:val="000000"/>
                <w:sz w:val="22"/>
              </w:rPr>
              <w:t>$22.66</w:t>
            </w:r>
            <w:r>
              <w:rPr>
                <w:rFonts w:eastAsia="Times New Roman" w:cstheme="minorHAnsi"/>
                <w:color w:val="000000"/>
                <w:sz w:val="22"/>
                <w:vertAlign w:val="superscript"/>
              </w:rPr>
              <w:t>c</w:t>
            </w:r>
          </w:p>
        </w:tc>
        <w:tc>
          <w:tcPr>
            <w:tcW w:w="1333" w:type="dxa"/>
            <w:tcBorders>
              <w:top w:val="nil"/>
              <w:left w:val="nil"/>
              <w:bottom w:val="nil"/>
              <w:right w:val="nil"/>
            </w:tcBorders>
            <w:shd w:val="clear" w:color="000000" w:fill="FFFFFF"/>
            <w:noWrap/>
            <w:vAlign w:val="center"/>
            <w:hideMark/>
          </w:tcPr>
          <w:p w14:paraId="331BF42D" w14:textId="275DA213" w:rsidR="009832AA" w:rsidRPr="004F1340" w:rsidRDefault="009832AA" w:rsidP="00637D58">
            <w:pPr>
              <w:spacing w:after="240"/>
              <w:jc w:val="center"/>
              <w:rPr>
                <w:rFonts w:eastAsia="Times New Roman" w:cstheme="minorHAnsi"/>
                <w:color w:val="000000"/>
                <w:sz w:val="22"/>
              </w:rPr>
            </w:pPr>
            <w:r w:rsidRPr="004F1340">
              <w:rPr>
                <w:rFonts w:eastAsia="Times New Roman" w:cstheme="minorHAnsi"/>
                <w:color w:val="000000"/>
                <w:sz w:val="22"/>
              </w:rPr>
              <w:t>$</w:t>
            </w:r>
            <w:r w:rsidR="00175EE6">
              <w:rPr>
                <w:rFonts w:eastAsia="Times New Roman" w:cstheme="minorHAnsi"/>
                <w:color w:val="000000"/>
                <w:sz w:val="22"/>
              </w:rPr>
              <w:t>46,226.40</w:t>
            </w:r>
          </w:p>
        </w:tc>
      </w:tr>
      <w:tr w:rsidR="009832AA" w:rsidRPr="002238BD" w14:paraId="5A4FA1DF" w14:textId="77777777" w:rsidTr="00637D58">
        <w:trPr>
          <w:trHeight w:val="467"/>
        </w:trPr>
        <w:tc>
          <w:tcPr>
            <w:tcW w:w="1480" w:type="dxa"/>
            <w:tcBorders>
              <w:top w:val="nil"/>
              <w:left w:val="nil"/>
              <w:bottom w:val="nil"/>
              <w:right w:val="single" w:sz="4" w:space="0" w:color="auto"/>
            </w:tcBorders>
            <w:shd w:val="clear" w:color="000000" w:fill="FFFFFF"/>
            <w:noWrap/>
            <w:vAlign w:val="center"/>
          </w:tcPr>
          <w:p w14:paraId="2ABBE4E5" w14:textId="77777777" w:rsidR="009832AA" w:rsidRPr="004E3AE2" w:rsidRDefault="009832AA" w:rsidP="00637D58">
            <w:pPr>
              <w:spacing w:after="240"/>
              <w:ind w:right="-105"/>
              <w:rPr>
                <w:rFonts w:eastAsia="Times New Roman" w:cstheme="minorHAnsi"/>
                <w:color w:val="000000"/>
                <w:sz w:val="22"/>
              </w:rPr>
            </w:pPr>
            <w:r>
              <w:rPr>
                <w:rFonts w:eastAsia="Times New Roman" w:cstheme="minorHAnsi"/>
                <w:color w:val="000000"/>
                <w:sz w:val="22"/>
              </w:rPr>
              <w:t>Criminal Justice</w:t>
            </w:r>
          </w:p>
        </w:tc>
        <w:tc>
          <w:tcPr>
            <w:tcW w:w="1670" w:type="dxa"/>
            <w:tcBorders>
              <w:top w:val="nil"/>
              <w:left w:val="nil"/>
              <w:bottom w:val="nil"/>
              <w:right w:val="nil"/>
            </w:tcBorders>
            <w:shd w:val="clear" w:color="000000" w:fill="FFFFFF"/>
            <w:noWrap/>
            <w:vAlign w:val="center"/>
          </w:tcPr>
          <w:p w14:paraId="0548EBED" w14:textId="77777777" w:rsidR="009832AA" w:rsidRPr="004E3AE2" w:rsidRDefault="009832AA" w:rsidP="00637D58">
            <w:pPr>
              <w:spacing w:after="240"/>
              <w:rPr>
                <w:rFonts w:eastAsia="Times New Roman" w:cstheme="minorHAnsi"/>
                <w:color w:val="000000"/>
                <w:sz w:val="22"/>
              </w:rPr>
            </w:pPr>
            <w:r>
              <w:rPr>
                <w:rFonts w:eastAsia="Times New Roman" w:cstheme="minorHAnsi"/>
                <w:color w:val="000000"/>
                <w:sz w:val="22"/>
              </w:rPr>
              <w:t>AOT Project Director/AOT Local Evaluator/State DOC Representative</w:t>
            </w:r>
          </w:p>
        </w:tc>
        <w:tc>
          <w:tcPr>
            <w:tcW w:w="1353" w:type="dxa"/>
            <w:tcBorders>
              <w:top w:val="nil"/>
              <w:left w:val="single" w:sz="4" w:space="0" w:color="auto"/>
              <w:bottom w:val="nil"/>
              <w:right w:val="single" w:sz="4" w:space="0" w:color="auto"/>
            </w:tcBorders>
            <w:shd w:val="clear" w:color="000000" w:fill="FFFFFF"/>
            <w:noWrap/>
            <w:vAlign w:val="center"/>
          </w:tcPr>
          <w:p w14:paraId="598FA88E" w14:textId="07619D5F" w:rsidR="009832AA" w:rsidRPr="00D004AE" w:rsidRDefault="00175EE6" w:rsidP="00637D58">
            <w:pPr>
              <w:spacing w:after="240"/>
              <w:jc w:val="center"/>
              <w:rPr>
                <w:rFonts w:eastAsia="Times New Roman" w:cstheme="minorHAnsi"/>
                <w:color w:val="000000"/>
                <w:sz w:val="22"/>
                <w:vertAlign w:val="superscript"/>
              </w:rPr>
            </w:pPr>
            <w:r>
              <w:rPr>
                <w:rFonts w:eastAsia="Times New Roman" w:cstheme="minorHAnsi"/>
                <w:color w:val="000000"/>
                <w:sz w:val="22"/>
              </w:rPr>
              <w:t>51</w:t>
            </w:r>
            <w:r w:rsidR="009832AA">
              <w:rPr>
                <w:rFonts w:eastAsia="Times New Roman" w:cstheme="minorHAnsi"/>
                <w:color w:val="000000"/>
                <w:sz w:val="22"/>
                <w:vertAlign w:val="superscript"/>
              </w:rPr>
              <w:t>a</w:t>
            </w:r>
          </w:p>
        </w:tc>
        <w:tc>
          <w:tcPr>
            <w:tcW w:w="1347" w:type="dxa"/>
            <w:tcBorders>
              <w:top w:val="nil"/>
              <w:left w:val="nil"/>
              <w:bottom w:val="nil"/>
              <w:right w:val="single" w:sz="4" w:space="0" w:color="auto"/>
            </w:tcBorders>
            <w:shd w:val="clear" w:color="000000" w:fill="FFFFFF"/>
            <w:noWrap/>
            <w:vAlign w:val="center"/>
          </w:tcPr>
          <w:p w14:paraId="77423808" w14:textId="77777777" w:rsidR="009832AA" w:rsidRPr="002238BD" w:rsidRDefault="009832AA" w:rsidP="00637D58">
            <w:pPr>
              <w:spacing w:after="240"/>
              <w:jc w:val="center"/>
              <w:rPr>
                <w:rFonts w:eastAsia="Times New Roman" w:cstheme="minorHAnsi"/>
                <w:color w:val="000000"/>
                <w:sz w:val="22"/>
              </w:rPr>
            </w:pPr>
            <w:r>
              <w:rPr>
                <w:rFonts w:eastAsia="Times New Roman" w:cstheme="minorHAnsi"/>
                <w:color w:val="000000"/>
                <w:sz w:val="22"/>
              </w:rPr>
              <w:t>3</w:t>
            </w:r>
          </w:p>
        </w:tc>
        <w:tc>
          <w:tcPr>
            <w:tcW w:w="1035" w:type="dxa"/>
            <w:tcBorders>
              <w:top w:val="nil"/>
              <w:left w:val="nil"/>
              <w:bottom w:val="nil"/>
              <w:right w:val="single" w:sz="4" w:space="0" w:color="auto"/>
            </w:tcBorders>
            <w:shd w:val="clear" w:color="000000" w:fill="FFFFFF"/>
            <w:noWrap/>
            <w:vAlign w:val="center"/>
          </w:tcPr>
          <w:p w14:paraId="426C930D" w14:textId="77777777" w:rsidR="009832AA" w:rsidRPr="004F1340" w:rsidRDefault="009832AA" w:rsidP="00637D58">
            <w:pPr>
              <w:spacing w:after="240"/>
              <w:jc w:val="center"/>
              <w:rPr>
                <w:rFonts w:eastAsia="Times New Roman" w:cstheme="minorHAnsi"/>
                <w:color w:val="000000"/>
                <w:sz w:val="22"/>
              </w:rPr>
            </w:pPr>
            <w:r>
              <w:rPr>
                <w:rFonts w:eastAsia="Times New Roman" w:cstheme="minorHAnsi"/>
                <w:color w:val="000000"/>
                <w:sz w:val="22"/>
              </w:rPr>
              <w:t>40</w:t>
            </w:r>
            <w:r w:rsidRPr="004F1340">
              <w:rPr>
                <w:rFonts w:eastAsia="Times New Roman" w:cstheme="minorHAnsi"/>
                <w:color w:val="000000"/>
                <w:sz w:val="22"/>
              </w:rPr>
              <w:t>.00</w:t>
            </w:r>
          </w:p>
        </w:tc>
        <w:tc>
          <w:tcPr>
            <w:tcW w:w="931" w:type="dxa"/>
            <w:tcBorders>
              <w:top w:val="nil"/>
              <w:left w:val="nil"/>
              <w:bottom w:val="nil"/>
              <w:right w:val="single" w:sz="4" w:space="0" w:color="auto"/>
            </w:tcBorders>
            <w:shd w:val="clear" w:color="000000" w:fill="FFFFFF"/>
            <w:noWrap/>
            <w:vAlign w:val="center"/>
          </w:tcPr>
          <w:p w14:paraId="5A523535" w14:textId="77777777" w:rsidR="009832AA" w:rsidRPr="004F1340" w:rsidRDefault="009832AA" w:rsidP="00637D58">
            <w:pPr>
              <w:spacing w:after="240"/>
              <w:jc w:val="center"/>
              <w:rPr>
                <w:rFonts w:eastAsia="Times New Roman" w:cstheme="minorHAnsi"/>
                <w:color w:val="000000"/>
                <w:sz w:val="22"/>
              </w:rPr>
            </w:pPr>
            <w:r>
              <w:rPr>
                <w:rFonts w:eastAsia="Times New Roman" w:cstheme="minorHAnsi"/>
                <w:color w:val="000000"/>
                <w:sz w:val="22"/>
              </w:rPr>
              <w:t>120</w:t>
            </w:r>
            <w:r w:rsidRPr="004F1340">
              <w:rPr>
                <w:rFonts w:eastAsia="Times New Roman" w:cstheme="minorHAnsi"/>
                <w:color w:val="000000"/>
                <w:sz w:val="22"/>
              </w:rPr>
              <w:t>.00</w:t>
            </w:r>
          </w:p>
        </w:tc>
        <w:tc>
          <w:tcPr>
            <w:tcW w:w="998" w:type="dxa"/>
            <w:tcBorders>
              <w:top w:val="nil"/>
              <w:left w:val="nil"/>
              <w:bottom w:val="nil"/>
              <w:right w:val="single" w:sz="4" w:space="0" w:color="auto"/>
            </w:tcBorders>
            <w:shd w:val="clear" w:color="000000" w:fill="FFFFFF"/>
            <w:noWrap/>
            <w:vAlign w:val="center"/>
          </w:tcPr>
          <w:p w14:paraId="1ED02A24" w14:textId="77777777" w:rsidR="009832AA" w:rsidRPr="004F1340" w:rsidRDefault="009832AA" w:rsidP="00637D58">
            <w:pPr>
              <w:spacing w:after="240"/>
              <w:jc w:val="center"/>
              <w:rPr>
                <w:rFonts w:eastAsia="Times New Roman" w:cstheme="minorHAnsi"/>
                <w:color w:val="000000"/>
                <w:sz w:val="22"/>
                <w:vertAlign w:val="superscript"/>
              </w:rPr>
            </w:pPr>
            <w:r w:rsidRPr="004F1340">
              <w:rPr>
                <w:rFonts w:eastAsia="Times New Roman" w:cstheme="minorHAnsi"/>
                <w:color w:val="000000"/>
                <w:sz w:val="22"/>
              </w:rPr>
              <w:t>$22.66</w:t>
            </w:r>
            <w:r>
              <w:rPr>
                <w:rFonts w:eastAsia="Times New Roman" w:cstheme="minorHAnsi"/>
                <w:color w:val="000000"/>
                <w:sz w:val="22"/>
                <w:vertAlign w:val="superscript"/>
              </w:rPr>
              <w:t>c</w:t>
            </w:r>
          </w:p>
        </w:tc>
        <w:tc>
          <w:tcPr>
            <w:tcW w:w="1333" w:type="dxa"/>
            <w:tcBorders>
              <w:top w:val="nil"/>
              <w:left w:val="nil"/>
              <w:bottom w:val="nil"/>
              <w:right w:val="nil"/>
            </w:tcBorders>
            <w:shd w:val="clear" w:color="000000" w:fill="FFFFFF"/>
            <w:noWrap/>
            <w:vAlign w:val="center"/>
          </w:tcPr>
          <w:p w14:paraId="32ED7288" w14:textId="22F5BF84" w:rsidR="009832AA" w:rsidRPr="004F1340" w:rsidRDefault="00175EE6" w:rsidP="00637D58">
            <w:pPr>
              <w:spacing w:after="240"/>
              <w:jc w:val="center"/>
              <w:rPr>
                <w:rFonts w:eastAsia="Times New Roman" w:cstheme="minorHAnsi"/>
                <w:color w:val="000000"/>
                <w:sz w:val="22"/>
              </w:rPr>
            </w:pPr>
            <w:r w:rsidRPr="004F1340">
              <w:rPr>
                <w:rFonts w:eastAsia="Times New Roman" w:cstheme="minorHAnsi"/>
                <w:color w:val="000000"/>
                <w:sz w:val="22"/>
              </w:rPr>
              <w:t>$</w:t>
            </w:r>
            <w:r>
              <w:rPr>
                <w:rFonts w:eastAsia="Times New Roman" w:cstheme="minorHAnsi"/>
                <w:color w:val="000000"/>
                <w:sz w:val="22"/>
              </w:rPr>
              <w:t>46,226.40</w:t>
            </w:r>
          </w:p>
        </w:tc>
      </w:tr>
      <w:tr w:rsidR="009832AA" w:rsidRPr="002238BD" w14:paraId="56BDCB3F" w14:textId="77777777" w:rsidTr="00637D58">
        <w:trPr>
          <w:trHeight w:val="330"/>
        </w:trPr>
        <w:tc>
          <w:tcPr>
            <w:tcW w:w="1480" w:type="dxa"/>
            <w:tcBorders>
              <w:top w:val="nil"/>
              <w:left w:val="nil"/>
              <w:bottom w:val="single" w:sz="4" w:space="0" w:color="auto"/>
              <w:right w:val="single" w:sz="4" w:space="0" w:color="auto"/>
            </w:tcBorders>
            <w:shd w:val="clear" w:color="000000" w:fill="FFFFFF"/>
            <w:noWrap/>
            <w:vAlign w:val="center"/>
          </w:tcPr>
          <w:p w14:paraId="3C01D961" w14:textId="77777777" w:rsidR="009832AA" w:rsidRPr="004E3AE2" w:rsidRDefault="009832AA" w:rsidP="00637D58">
            <w:pPr>
              <w:spacing w:after="240"/>
              <w:ind w:right="225"/>
              <w:rPr>
                <w:rFonts w:eastAsia="Times New Roman" w:cstheme="minorHAnsi"/>
                <w:color w:val="000000"/>
                <w:sz w:val="22"/>
              </w:rPr>
            </w:pPr>
            <w:r>
              <w:rPr>
                <w:rFonts w:eastAsia="Times New Roman" w:cstheme="minorHAnsi"/>
                <w:color w:val="000000"/>
                <w:sz w:val="22"/>
              </w:rPr>
              <w:t>Non-Medicaid Treatment Services</w:t>
            </w:r>
          </w:p>
        </w:tc>
        <w:tc>
          <w:tcPr>
            <w:tcW w:w="1670" w:type="dxa"/>
            <w:tcBorders>
              <w:top w:val="nil"/>
              <w:left w:val="nil"/>
              <w:bottom w:val="single" w:sz="4" w:space="0" w:color="auto"/>
              <w:right w:val="nil"/>
            </w:tcBorders>
            <w:shd w:val="clear" w:color="000000" w:fill="FFFFFF"/>
            <w:noWrap/>
            <w:vAlign w:val="center"/>
          </w:tcPr>
          <w:p w14:paraId="2DFD3143" w14:textId="77777777" w:rsidR="009832AA" w:rsidRPr="004E3AE2" w:rsidRDefault="009832AA" w:rsidP="00637D58">
            <w:pPr>
              <w:spacing w:after="240"/>
              <w:rPr>
                <w:rFonts w:eastAsia="Times New Roman" w:cstheme="minorHAnsi"/>
                <w:color w:val="000000"/>
                <w:sz w:val="22"/>
              </w:rPr>
            </w:pPr>
            <w:r>
              <w:rPr>
                <w:rFonts w:eastAsia="Times New Roman" w:cstheme="minorHAnsi"/>
                <w:color w:val="000000"/>
                <w:sz w:val="22"/>
              </w:rPr>
              <w:t>AOT Project Director/AOT Local Evaluator/Local Service System, Managed Care Representative</w:t>
            </w:r>
          </w:p>
        </w:tc>
        <w:tc>
          <w:tcPr>
            <w:tcW w:w="1353" w:type="dxa"/>
            <w:tcBorders>
              <w:top w:val="nil"/>
              <w:left w:val="single" w:sz="4" w:space="0" w:color="auto"/>
              <w:bottom w:val="single" w:sz="4" w:space="0" w:color="auto"/>
              <w:right w:val="single" w:sz="4" w:space="0" w:color="auto"/>
            </w:tcBorders>
            <w:shd w:val="clear" w:color="auto" w:fill="auto"/>
            <w:noWrap/>
            <w:vAlign w:val="center"/>
          </w:tcPr>
          <w:p w14:paraId="655794B4" w14:textId="72D4D5A6" w:rsidR="009832AA" w:rsidRPr="004E3AE2" w:rsidRDefault="00175EE6" w:rsidP="00637D58">
            <w:pPr>
              <w:spacing w:after="240"/>
              <w:jc w:val="center"/>
              <w:rPr>
                <w:rFonts w:eastAsia="Times New Roman" w:cstheme="minorHAnsi"/>
                <w:color w:val="000000"/>
                <w:sz w:val="22"/>
                <w:vertAlign w:val="superscript"/>
              </w:rPr>
            </w:pPr>
            <w:r>
              <w:rPr>
                <w:rFonts w:eastAsia="Times New Roman" w:cstheme="minorHAnsi"/>
                <w:color w:val="000000"/>
                <w:sz w:val="22"/>
              </w:rPr>
              <w:t>51</w:t>
            </w:r>
            <w:r w:rsidR="009832AA">
              <w:rPr>
                <w:rFonts w:eastAsia="Times New Roman" w:cstheme="minorHAnsi"/>
                <w:color w:val="000000"/>
                <w:sz w:val="22"/>
                <w:vertAlign w:val="superscript"/>
              </w:rPr>
              <w:t>a</w:t>
            </w:r>
          </w:p>
        </w:tc>
        <w:tc>
          <w:tcPr>
            <w:tcW w:w="1347" w:type="dxa"/>
            <w:tcBorders>
              <w:top w:val="nil"/>
              <w:left w:val="nil"/>
              <w:bottom w:val="single" w:sz="4" w:space="0" w:color="auto"/>
              <w:right w:val="single" w:sz="4" w:space="0" w:color="auto"/>
            </w:tcBorders>
            <w:shd w:val="clear" w:color="000000" w:fill="FFFFFF"/>
            <w:noWrap/>
            <w:vAlign w:val="center"/>
          </w:tcPr>
          <w:p w14:paraId="6BF0B486" w14:textId="77777777" w:rsidR="009832AA" w:rsidRPr="004E3AE2" w:rsidRDefault="009832AA" w:rsidP="00637D58">
            <w:pPr>
              <w:spacing w:after="240"/>
              <w:jc w:val="center"/>
              <w:rPr>
                <w:rFonts w:eastAsia="Times New Roman" w:cstheme="minorHAnsi"/>
                <w:color w:val="000000"/>
                <w:sz w:val="22"/>
              </w:rPr>
            </w:pPr>
            <w:r>
              <w:rPr>
                <w:rFonts w:eastAsia="Times New Roman" w:cstheme="minorHAnsi"/>
                <w:color w:val="000000"/>
                <w:sz w:val="22"/>
              </w:rPr>
              <w:t>3</w:t>
            </w:r>
          </w:p>
        </w:tc>
        <w:tc>
          <w:tcPr>
            <w:tcW w:w="1035" w:type="dxa"/>
            <w:tcBorders>
              <w:top w:val="nil"/>
              <w:left w:val="nil"/>
              <w:bottom w:val="single" w:sz="4" w:space="0" w:color="auto"/>
              <w:right w:val="single" w:sz="4" w:space="0" w:color="auto"/>
            </w:tcBorders>
            <w:shd w:val="clear" w:color="000000" w:fill="FFFFFF"/>
            <w:noWrap/>
            <w:vAlign w:val="center"/>
          </w:tcPr>
          <w:p w14:paraId="0C4A718B" w14:textId="77777777" w:rsidR="009832AA" w:rsidRPr="004E3AE2" w:rsidRDefault="009832AA" w:rsidP="00637D58">
            <w:pPr>
              <w:spacing w:after="240"/>
              <w:jc w:val="center"/>
              <w:rPr>
                <w:rFonts w:eastAsia="Times New Roman" w:cstheme="minorHAnsi"/>
                <w:color w:val="000000"/>
                <w:sz w:val="22"/>
              </w:rPr>
            </w:pPr>
            <w:r>
              <w:rPr>
                <w:rFonts w:eastAsia="Times New Roman" w:cstheme="minorHAnsi"/>
                <w:color w:val="000000"/>
                <w:sz w:val="22"/>
              </w:rPr>
              <w:t>40</w:t>
            </w:r>
            <w:r w:rsidRPr="004F1340">
              <w:rPr>
                <w:rFonts w:eastAsia="Times New Roman" w:cstheme="minorHAnsi"/>
                <w:color w:val="000000"/>
                <w:sz w:val="22"/>
              </w:rPr>
              <w:t>.00</w:t>
            </w:r>
          </w:p>
        </w:tc>
        <w:tc>
          <w:tcPr>
            <w:tcW w:w="931" w:type="dxa"/>
            <w:tcBorders>
              <w:top w:val="nil"/>
              <w:left w:val="nil"/>
              <w:bottom w:val="single" w:sz="4" w:space="0" w:color="auto"/>
              <w:right w:val="single" w:sz="4" w:space="0" w:color="auto"/>
            </w:tcBorders>
            <w:shd w:val="clear" w:color="000000" w:fill="FFFFFF"/>
            <w:noWrap/>
            <w:vAlign w:val="center"/>
          </w:tcPr>
          <w:p w14:paraId="1EF29486" w14:textId="77777777" w:rsidR="009832AA" w:rsidRPr="004E3AE2" w:rsidRDefault="009832AA" w:rsidP="00637D58">
            <w:pPr>
              <w:spacing w:after="240"/>
              <w:jc w:val="center"/>
              <w:rPr>
                <w:rFonts w:eastAsia="Times New Roman" w:cstheme="minorHAnsi"/>
                <w:color w:val="000000"/>
                <w:sz w:val="22"/>
              </w:rPr>
            </w:pPr>
            <w:r>
              <w:rPr>
                <w:rFonts w:eastAsia="Times New Roman" w:cstheme="minorHAnsi"/>
                <w:color w:val="000000"/>
                <w:sz w:val="22"/>
              </w:rPr>
              <w:t>120</w:t>
            </w:r>
            <w:r w:rsidRPr="004F1340">
              <w:rPr>
                <w:rFonts w:eastAsia="Times New Roman" w:cstheme="minorHAnsi"/>
                <w:color w:val="000000"/>
                <w:sz w:val="22"/>
              </w:rPr>
              <w:t>.00</w:t>
            </w:r>
          </w:p>
        </w:tc>
        <w:tc>
          <w:tcPr>
            <w:tcW w:w="998" w:type="dxa"/>
            <w:tcBorders>
              <w:top w:val="nil"/>
              <w:left w:val="nil"/>
              <w:bottom w:val="single" w:sz="4" w:space="0" w:color="auto"/>
              <w:right w:val="single" w:sz="4" w:space="0" w:color="auto"/>
            </w:tcBorders>
            <w:shd w:val="clear" w:color="000000" w:fill="FFFFFF"/>
            <w:noWrap/>
            <w:vAlign w:val="center"/>
          </w:tcPr>
          <w:p w14:paraId="5B38A6E7" w14:textId="77777777" w:rsidR="009832AA" w:rsidRPr="004E3AE2" w:rsidRDefault="009832AA" w:rsidP="00637D58">
            <w:pPr>
              <w:spacing w:after="240"/>
              <w:jc w:val="center"/>
              <w:rPr>
                <w:rFonts w:eastAsia="Times New Roman" w:cstheme="minorHAnsi"/>
                <w:color w:val="000000"/>
                <w:sz w:val="22"/>
                <w:vertAlign w:val="superscript"/>
              </w:rPr>
            </w:pPr>
            <w:r w:rsidRPr="002238BD">
              <w:rPr>
                <w:rFonts w:eastAsia="Times New Roman" w:cstheme="minorHAnsi"/>
                <w:color w:val="000000"/>
                <w:sz w:val="22"/>
              </w:rPr>
              <w:t>$</w:t>
            </w:r>
            <w:r w:rsidRPr="004E3AE2">
              <w:rPr>
                <w:rFonts w:eastAsia="Times New Roman" w:cstheme="minorHAnsi"/>
                <w:color w:val="000000"/>
                <w:sz w:val="22"/>
              </w:rPr>
              <w:t>22.66</w:t>
            </w:r>
            <w:r>
              <w:rPr>
                <w:rFonts w:eastAsia="Times New Roman" w:cstheme="minorHAnsi"/>
                <w:color w:val="000000"/>
                <w:sz w:val="22"/>
                <w:vertAlign w:val="superscript"/>
              </w:rPr>
              <w:t>c</w:t>
            </w:r>
          </w:p>
        </w:tc>
        <w:tc>
          <w:tcPr>
            <w:tcW w:w="1333" w:type="dxa"/>
            <w:tcBorders>
              <w:top w:val="nil"/>
              <w:left w:val="nil"/>
              <w:bottom w:val="single" w:sz="4" w:space="0" w:color="auto"/>
              <w:right w:val="nil"/>
            </w:tcBorders>
            <w:shd w:val="clear" w:color="000000" w:fill="FFFFFF"/>
            <w:noWrap/>
            <w:vAlign w:val="center"/>
          </w:tcPr>
          <w:p w14:paraId="2767DE09" w14:textId="2CC8551D" w:rsidR="009832AA" w:rsidRPr="004E3AE2" w:rsidRDefault="00175EE6" w:rsidP="00637D58">
            <w:pPr>
              <w:spacing w:after="240"/>
              <w:jc w:val="center"/>
              <w:rPr>
                <w:rFonts w:eastAsia="Times New Roman" w:cstheme="minorHAnsi"/>
                <w:color w:val="000000"/>
                <w:sz w:val="22"/>
              </w:rPr>
            </w:pPr>
            <w:r w:rsidRPr="004F1340">
              <w:rPr>
                <w:rFonts w:eastAsia="Times New Roman" w:cstheme="minorHAnsi"/>
                <w:color w:val="000000"/>
                <w:sz w:val="22"/>
              </w:rPr>
              <w:t>$</w:t>
            </w:r>
            <w:r>
              <w:rPr>
                <w:rFonts w:eastAsia="Times New Roman" w:cstheme="minorHAnsi"/>
                <w:color w:val="000000"/>
                <w:sz w:val="22"/>
              </w:rPr>
              <w:t>46,226.40</w:t>
            </w:r>
          </w:p>
        </w:tc>
      </w:tr>
      <w:tr w:rsidR="009832AA" w:rsidRPr="002238BD" w14:paraId="73C6C010" w14:textId="77777777" w:rsidTr="00637D58">
        <w:trPr>
          <w:trHeight w:val="330"/>
        </w:trPr>
        <w:tc>
          <w:tcPr>
            <w:tcW w:w="1480" w:type="dxa"/>
            <w:tcBorders>
              <w:top w:val="single" w:sz="4" w:space="0" w:color="auto"/>
              <w:left w:val="nil"/>
              <w:bottom w:val="single" w:sz="4" w:space="0" w:color="auto"/>
            </w:tcBorders>
            <w:shd w:val="clear" w:color="000000" w:fill="FFFFFF"/>
            <w:noWrap/>
            <w:vAlign w:val="bottom"/>
            <w:hideMark/>
          </w:tcPr>
          <w:p w14:paraId="4A2B10C5" w14:textId="77777777" w:rsidR="009832AA" w:rsidRPr="004E3AE2" w:rsidRDefault="009832AA" w:rsidP="00637D58">
            <w:pPr>
              <w:rPr>
                <w:rFonts w:eastAsia="Times New Roman" w:cstheme="minorHAnsi"/>
                <w:b/>
                <w:color w:val="000000"/>
                <w:sz w:val="22"/>
              </w:rPr>
            </w:pPr>
            <w:r w:rsidRPr="002238BD">
              <w:rPr>
                <w:rFonts w:eastAsia="Times New Roman" w:cstheme="minorHAnsi"/>
                <w:b/>
                <w:color w:val="000000"/>
                <w:sz w:val="22"/>
              </w:rPr>
              <w:t>Total</w:t>
            </w:r>
          </w:p>
        </w:tc>
        <w:tc>
          <w:tcPr>
            <w:tcW w:w="1670" w:type="dxa"/>
            <w:tcBorders>
              <w:top w:val="single" w:sz="4" w:space="0" w:color="auto"/>
              <w:bottom w:val="single" w:sz="4" w:space="0" w:color="auto"/>
              <w:right w:val="nil"/>
            </w:tcBorders>
            <w:shd w:val="clear" w:color="000000" w:fill="FFFFFF"/>
            <w:noWrap/>
            <w:vAlign w:val="bottom"/>
            <w:hideMark/>
          </w:tcPr>
          <w:p w14:paraId="712F2A15" w14:textId="77777777" w:rsidR="009832AA" w:rsidRPr="004E3AE2" w:rsidRDefault="009832AA" w:rsidP="00637D58">
            <w:pPr>
              <w:rPr>
                <w:rFonts w:eastAsia="Times New Roman" w:cstheme="minorHAnsi"/>
                <w:color w:val="000000"/>
                <w:sz w:val="22"/>
              </w:rPr>
            </w:pPr>
          </w:p>
        </w:tc>
        <w:tc>
          <w:tcPr>
            <w:tcW w:w="1353" w:type="dxa"/>
            <w:tcBorders>
              <w:top w:val="nil"/>
              <w:left w:val="single" w:sz="4" w:space="0" w:color="auto"/>
              <w:bottom w:val="single" w:sz="4" w:space="0" w:color="auto"/>
              <w:right w:val="single" w:sz="4" w:space="0" w:color="auto"/>
            </w:tcBorders>
            <w:shd w:val="clear" w:color="000000" w:fill="FFFFFF"/>
            <w:noWrap/>
            <w:vAlign w:val="center"/>
            <w:hideMark/>
          </w:tcPr>
          <w:p w14:paraId="396E63A3" w14:textId="17E7B9AE" w:rsidR="009832AA" w:rsidRPr="004E3AE2" w:rsidRDefault="00175EE6" w:rsidP="00637D58">
            <w:pPr>
              <w:jc w:val="center"/>
              <w:rPr>
                <w:rFonts w:eastAsia="Times New Roman" w:cstheme="minorHAnsi"/>
                <w:b/>
                <w:color w:val="000000"/>
                <w:sz w:val="22"/>
              </w:rPr>
            </w:pPr>
            <w:r>
              <w:rPr>
                <w:rFonts w:eastAsia="Times New Roman" w:cstheme="minorHAnsi"/>
                <w:b/>
                <w:color w:val="000000"/>
                <w:sz w:val="22"/>
              </w:rPr>
              <w:t>153</w:t>
            </w:r>
          </w:p>
        </w:tc>
        <w:tc>
          <w:tcPr>
            <w:tcW w:w="1347" w:type="dxa"/>
            <w:tcBorders>
              <w:top w:val="nil"/>
              <w:left w:val="nil"/>
              <w:bottom w:val="single" w:sz="4" w:space="0" w:color="auto"/>
              <w:right w:val="single" w:sz="4" w:space="0" w:color="auto"/>
            </w:tcBorders>
            <w:shd w:val="clear" w:color="000000" w:fill="FFFFFF"/>
            <w:noWrap/>
            <w:vAlign w:val="center"/>
            <w:hideMark/>
          </w:tcPr>
          <w:p w14:paraId="5AF12F5E" w14:textId="77777777" w:rsidR="009832AA" w:rsidRPr="004E3AE2" w:rsidRDefault="009832AA" w:rsidP="00637D58">
            <w:pPr>
              <w:jc w:val="center"/>
              <w:rPr>
                <w:rFonts w:eastAsia="Times New Roman" w:cstheme="minorHAnsi"/>
                <w:b/>
                <w:color w:val="000000"/>
                <w:sz w:val="22"/>
              </w:rPr>
            </w:pPr>
            <w:r>
              <w:rPr>
                <w:rFonts w:eastAsia="Times New Roman" w:cstheme="minorHAnsi"/>
                <w:b/>
                <w:color w:val="000000"/>
                <w:sz w:val="22"/>
              </w:rPr>
              <w:t>9</w:t>
            </w:r>
          </w:p>
        </w:tc>
        <w:tc>
          <w:tcPr>
            <w:tcW w:w="1035" w:type="dxa"/>
            <w:tcBorders>
              <w:top w:val="nil"/>
              <w:left w:val="nil"/>
              <w:bottom w:val="single" w:sz="4" w:space="0" w:color="auto"/>
              <w:right w:val="single" w:sz="4" w:space="0" w:color="auto"/>
            </w:tcBorders>
            <w:shd w:val="clear" w:color="000000" w:fill="FFFFFF"/>
            <w:noWrap/>
            <w:vAlign w:val="center"/>
            <w:hideMark/>
          </w:tcPr>
          <w:p w14:paraId="71B30A1A" w14:textId="77777777" w:rsidR="009832AA" w:rsidRPr="004E3AE2" w:rsidRDefault="009832AA" w:rsidP="00637D58">
            <w:pPr>
              <w:jc w:val="center"/>
              <w:rPr>
                <w:rFonts w:eastAsia="Times New Roman" w:cstheme="minorHAnsi"/>
                <w:b/>
                <w:color w:val="000000"/>
                <w:sz w:val="22"/>
              </w:rPr>
            </w:pPr>
            <w:r>
              <w:rPr>
                <w:rFonts w:eastAsia="Times New Roman" w:cstheme="minorHAnsi"/>
                <w:b/>
                <w:color w:val="000000"/>
                <w:sz w:val="22"/>
              </w:rPr>
              <w:t>40.00</w:t>
            </w:r>
          </w:p>
        </w:tc>
        <w:tc>
          <w:tcPr>
            <w:tcW w:w="931" w:type="dxa"/>
            <w:tcBorders>
              <w:top w:val="nil"/>
              <w:left w:val="nil"/>
              <w:bottom w:val="single" w:sz="4" w:space="0" w:color="auto"/>
              <w:right w:val="single" w:sz="4" w:space="0" w:color="auto"/>
            </w:tcBorders>
            <w:shd w:val="clear" w:color="000000" w:fill="FFFFFF"/>
            <w:noWrap/>
            <w:vAlign w:val="center"/>
            <w:hideMark/>
          </w:tcPr>
          <w:p w14:paraId="7C97894B" w14:textId="498B2A8E" w:rsidR="009832AA" w:rsidRPr="004E3AE2" w:rsidRDefault="00982765" w:rsidP="00637D58">
            <w:pPr>
              <w:jc w:val="center"/>
              <w:rPr>
                <w:rFonts w:eastAsia="Times New Roman" w:cstheme="minorHAnsi"/>
                <w:b/>
                <w:color w:val="000000"/>
                <w:sz w:val="22"/>
              </w:rPr>
            </w:pPr>
            <w:r>
              <w:rPr>
                <w:rFonts w:eastAsia="Times New Roman" w:cstheme="minorHAnsi"/>
                <w:b/>
                <w:color w:val="000000"/>
                <w:sz w:val="22"/>
              </w:rPr>
              <w:t>360.00</w:t>
            </w:r>
          </w:p>
        </w:tc>
        <w:tc>
          <w:tcPr>
            <w:tcW w:w="998" w:type="dxa"/>
            <w:tcBorders>
              <w:top w:val="nil"/>
              <w:left w:val="nil"/>
              <w:bottom w:val="single" w:sz="4" w:space="0" w:color="auto"/>
              <w:right w:val="single" w:sz="4" w:space="0" w:color="auto"/>
            </w:tcBorders>
            <w:shd w:val="clear" w:color="000000" w:fill="FFFFFF"/>
            <w:noWrap/>
            <w:vAlign w:val="center"/>
            <w:hideMark/>
          </w:tcPr>
          <w:p w14:paraId="5C7AFA34" w14:textId="77777777" w:rsidR="009832AA" w:rsidRPr="004E3AE2" w:rsidRDefault="009832AA" w:rsidP="00637D58">
            <w:pPr>
              <w:jc w:val="center"/>
              <w:rPr>
                <w:rFonts w:eastAsia="Times New Roman" w:cstheme="minorHAnsi"/>
                <w:b/>
                <w:color w:val="000000"/>
                <w:sz w:val="22"/>
              </w:rPr>
            </w:pPr>
            <w:r w:rsidRPr="002238BD">
              <w:rPr>
                <w:rFonts w:eastAsia="Times New Roman" w:cstheme="minorHAnsi"/>
                <w:b/>
                <w:color w:val="000000"/>
                <w:sz w:val="22"/>
              </w:rPr>
              <w:t>$</w:t>
            </w:r>
            <w:r>
              <w:rPr>
                <w:rFonts w:eastAsia="Times New Roman" w:cstheme="minorHAnsi"/>
                <w:b/>
                <w:color w:val="000000"/>
                <w:sz w:val="22"/>
              </w:rPr>
              <w:t>22</w:t>
            </w:r>
            <w:r w:rsidRPr="004E3AE2">
              <w:rPr>
                <w:rFonts w:eastAsia="Times New Roman" w:cstheme="minorHAnsi"/>
                <w:b/>
                <w:color w:val="000000"/>
                <w:sz w:val="22"/>
              </w:rPr>
              <w:t>.</w:t>
            </w:r>
            <w:r>
              <w:rPr>
                <w:rFonts w:eastAsia="Times New Roman" w:cstheme="minorHAnsi"/>
                <w:b/>
                <w:color w:val="000000"/>
                <w:sz w:val="22"/>
              </w:rPr>
              <w:t>66</w:t>
            </w:r>
          </w:p>
        </w:tc>
        <w:tc>
          <w:tcPr>
            <w:tcW w:w="1333" w:type="dxa"/>
            <w:tcBorders>
              <w:top w:val="nil"/>
              <w:left w:val="nil"/>
              <w:bottom w:val="single" w:sz="4" w:space="0" w:color="auto"/>
              <w:right w:val="nil"/>
            </w:tcBorders>
            <w:shd w:val="clear" w:color="000000" w:fill="FFFFFF"/>
            <w:noWrap/>
            <w:vAlign w:val="center"/>
            <w:hideMark/>
          </w:tcPr>
          <w:p w14:paraId="74DD95BF" w14:textId="56E71103" w:rsidR="009832AA" w:rsidRPr="004E3AE2" w:rsidRDefault="009832AA" w:rsidP="00637D58">
            <w:pPr>
              <w:jc w:val="center"/>
              <w:rPr>
                <w:rFonts w:eastAsia="Times New Roman" w:cstheme="minorHAnsi"/>
                <w:b/>
                <w:color w:val="000000"/>
                <w:sz w:val="22"/>
              </w:rPr>
            </w:pPr>
            <w:r w:rsidRPr="002238BD">
              <w:rPr>
                <w:rFonts w:eastAsia="Times New Roman" w:cstheme="minorHAnsi"/>
                <w:b/>
                <w:color w:val="000000"/>
                <w:sz w:val="22"/>
              </w:rPr>
              <w:t>$</w:t>
            </w:r>
            <w:r>
              <w:rPr>
                <w:rFonts w:eastAsia="Times New Roman" w:cstheme="minorHAnsi"/>
                <w:b/>
                <w:color w:val="000000"/>
                <w:sz w:val="22"/>
              </w:rPr>
              <w:t>13</w:t>
            </w:r>
            <w:r w:rsidR="00175EE6">
              <w:rPr>
                <w:rFonts w:eastAsia="Times New Roman" w:cstheme="minorHAnsi"/>
                <w:b/>
                <w:color w:val="000000"/>
                <w:sz w:val="22"/>
              </w:rPr>
              <w:t>8,679.2</w:t>
            </w:r>
            <w:r>
              <w:rPr>
                <w:rFonts w:eastAsia="Times New Roman" w:cstheme="minorHAnsi"/>
                <w:b/>
                <w:color w:val="000000"/>
                <w:sz w:val="22"/>
              </w:rPr>
              <w:t>0</w:t>
            </w:r>
          </w:p>
        </w:tc>
      </w:tr>
      <w:tr w:rsidR="009832AA" w:rsidRPr="002238BD" w14:paraId="6354D148" w14:textId="77777777" w:rsidTr="00637D58">
        <w:trPr>
          <w:trHeight w:val="330"/>
        </w:trPr>
        <w:tc>
          <w:tcPr>
            <w:tcW w:w="10147" w:type="dxa"/>
            <w:gridSpan w:val="8"/>
            <w:tcBorders>
              <w:top w:val="nil"/>
              <w:left w:val="nil"/>
              <w:bottom w:val="nil"/>
              <w:right w:val="nil"/>
            </w:tcBorders>
            <w:shd w:val="clear" w:color="000000" w:fill="FFFFFF"/>
            <w:noWrap/>
            <w:vAlign w:val="bottom"/>
            <w:hideMark/>
          </w:tcPr>
          <w:p w14:paraId="2AC3136F" w14:textId="1B1EBE7A" w:rsidR="009832AA" w:rsidRPr="002238BD" w:rsidRDefault="009832AA" w:rsidP="00637D58">
            <w:pPr>
              <w:spacing w:before="120"/>
              <w:rPr>
                <w:rFonts w:eastAsia="Times New Roman" w:cstheme="minorHAnsi"/>
                <w:color w:val="000000"/>
                <w:sz w:val="20"/>
              </w:rPr>
            </w:pPr>
            <w:bookmarkStart w:id="7" w:name="_Hlk511815492"/>
            <w:r w:rsidRPr="002238BD">
              <w:rPr>
                <w:rFonts w:eastAsia="Times New Roman" w:cstheme="minorHAnsi"/>
                <w:color w:val="000000"/>
                <w:sz w:val="20"/>
                <w:vertAlign w:val="superscript"/>
              </w:rPr>
              <w:t xml:space="preserve">a </w:t>
            </w:r>
            <w:r w:rsidRPr="004E3AE2">
              <w:rPr>
                <w:rFonts w:eastAsia="Times New Roman" w:cstheme="minorHAnsi"/>
                <w:color w:val="000000"/>
                <w:sz w:val="20"/>
              </w:rPr>
              <w:t xml:space="preserve">The estimated number of </w:t>
            </w:r>
            <w:r>
              <w:rPr>
                <w:rFonts w:eastAsia="Times New Roman" w:cstheme="minorHAnsi"/>
                <w:color w:val="000000"/>
                <w:sz w:val="20"/>
              </w:rPr>
              <w:t>record keepers</w:t>
            </w:r>
            <w:r w:rsidRPr="004E3AE2">
              <w:rPr>
                <w:rFonts w:eastAsia="Times New Roman" w:cstheme="minorHAnsi"/>
                <w:color w:val="000000"/>
                <w:sz w:val="20"/>
              </w:rPr>
              <w:t xml:space="preserve"> is based on </w:t>
            </w:r>
            <w:r>
              <w:rPr>
                <w:rFonts w:eastAsia="Times New Roman" w:cstheme="minorHAnsi"/>
                <w:color w:val="000000"/>
                <w:sz w:val="20"/>
              </w:rPr>
              <w:t>the AOT program site likely needing to involve the project director, the local evaluator, and the external (if necessary) keeper of the data, across each of the 1</w:t>
            </w:r>
            <w:r w:rsidR="00175EE6">
              <w:rPr>
                <w:rFonts w:eastAsia="Times New Roman" w:cstheme="minorHAnsi"/>
                <w:color w:val="000000"/>
                <w:sz w:val="20"/>
              </w:rPr>
              <w:t>7</w:t>
            </w:r>
            <w:r>
              <w:rPr>
                <w:rFonts w:eastAsia="Times New Roman" w:cstheme="minorHAnsi"/>
                <w:color w:val="000000"/>
                <w:sz w:val="20"/>
              </w:rPr>
              <w:t xml:space="preserve"> AOT sites.</w:t>
            </w:r>
          </w:p>
          <w:p w14:paraId="18CD5947" w14:textId="77777777" w:rsidR="009832AA" w:rsidRPr="002238BD" w:rsidRDefault="009832AA" w:rsidP="00637D58">
            <w:pPr>
              <w:rPr>
                <w:rFonts w:eastAsia="Times New Roman" w:cstheme="minorHAnsi"/>
                <w:color w:val="000000"/>
                <w:sz w:val="20"/>
              </w:rPr>
            </w:pPr>
            <w:r w:rsidRPr="002238BD">
              <w:rPr>
                <w:rFonts w:eastAsia="Times New Roman" w:cstheme="minorHAnsi"/>
                <w:color w:val="000000"/>
                <w:sz w:val="20"/>
                <w:vertAlign w:val="superscript"/>
              </w:rPr>
              <w:t>b</w:t>
            </w:r>
            <w:r w:rsidRPr="002238BD">
              <w:rPr>
                <w:rFonts w:eastAsia="Times New Roman" w:cstheme="minorHAnsi"/>
                <w:color w:val="000000"/>
                <w:sz w:val="20"/>
              </w:rPr>
              <w:t xml:space="preserve"> </w:t>
            </w:r>
            <w:r w:rsidRPr="004E3AE2">
              <w:rPr>
                <w:rFonts w:eastAsia="Times New Roman" w:cstheme="minorHAnsi"/>
                <w:color w:val="000000"/>
                <w:sz w:val="20"/>
              </w:rPr>
              <w:t xml:space="preserve">The estimated number of </w:t>
            </w:r>
            <w:r>
              <w:rPr>
                <w:rFonts w:eastAsia="Times New Roman" w:cstheme="minorHAnsi"/>
                <w:color w:val="000000"/>
                <w:sz w:val="20"/>
              </w:rPr>
              <w:t>cuts of data represents the final three years of the grant program</w:t>
            </w:r>
            <w:r w:rsidRPr="004E3AE2">
              <w:rPr>
                <w:rFonts w:eastAsia="Times New Roman" w:cstheme="minorHAnsi"/>
                <w:color w:val="000000"/>
                <w:sz w:val="20"/>
              </w:rPr>
              <w:t>.</w:t>
            </w:r>
          </w:p>
          <w:p w14:paraId="18E6A501" w14:textId="77777777" w:rsidR="009832AA" w:rsidRPr="004E3AE2" w:rsidRDefault="009832AA" w:rsidP="00637D58">
            <w:pPr>
              <w:rPr>
                <w:rFonts w:eastAsia="Times New Roman" w:cstheme="minorHAnsi"/>
                <w:color w:val="000000"/>
                <w:sz w:val="20"/>
              </w:rPr>
            </w:pPr>
            <w:r>
              <w:rPr>
                <w:rFonts w:eastAsia="Times New Roman" w:cstheme="minorHAnsi"/>
                <w:color w:val="000000"/>
                <w:sz w:val="20"/>
                <w:vertAlign w:val="superscript"/>
              </w:rPr>
              <w:t>c</w:t>
            </w:r>
            <w:r w:rsidRPr="002238BD">
              <w:rPr>
                <w:rFonts w:eastAsia="Times New Roman" w:cstheme="minorHAnsi"/>
                <w:color w:val="000000"/>
                <w:sz w:val="20"/>
                <w:vertAlign w:val="superscript"/>
              </w:rPr>
              <w:t xml:space="preserve"> </w:t>
            </w:r>
            <w:r w:rsidRPr="002238BD">
              <w:rPr>
                <w:rFonts w:eastAsia="Times New Roman" w:cstheme="minorHAnsi"/>
                <w:color w:val="000000"/>
                <w:sz w:val="20"/>
              </w:rPr>
              <w:t xml:space="preserve">Average hourly </w:t>
            </w:r>
            <w:r w:rsidRPr="004E3AE2">
              <w:rPr>
                <w:rFonts w:eastAsia="Times New Roman" w:cstheme="minorHAnsi"/>
                <w:color w:val="000000"/>
                <w:sz w:val="20"/>
              </w:rPr>
              <w:t>wage rate is estimated by taking the Annual Average Weekly Wage for the six states (AL, IL, MS, NM, OH, OK) in 2016 according to the Bureau of Labor Statistics (Quarterly Census of Employment and Wages, 2016, Annual Averages, All Establishment Sizes) and converting to an hourly wage assuming 38.7 hours per week worked by labor force participants as reported by the Bureau of Labor Statistics (Labor Force Statistics, Current Population Survey, Household Data, Annual Averages, 19. Persons at Work in Agriculture or Non-Agricultural Industries by Hou</w:t>
            </w:r>
            <w:r w:rsidRPr="002238BD">
              <w:rPr>
                <w:rFonts w:eastAsia="Times New Roman" w:cstheme="minorHAnsi"/>
                <w:color w:val="000000"/>
                <w:sz w:val="20"/>
              </w:rPr>
              <w:t>rs of Work [February 8, 2017]).</w:t>
            </w:r>
            <w:bookmarkEnd w:id="7"/>
          </w:p>
        </w:tc>
      </w:tr>
      <w:bookmarkEnd w:id="6"/>
    </w:tbl>
    <w:p w14:paraId="4D6EE40F" w14:textId="77777777" w:rsidR="009832AA" w:rsidRDefault="009832AA" w:rsidP="00107248"/>
    <w:p w14:paraId="11D17169" w14:textId="13665904" w:rsidR="001C5BB2" w:rsidRPr="002238BD" w:rsidRDefault="00D7513D" w:rsidP="00325CF6">
      <w:pPr>
        <w:pStyle w:val="Heading3"/>
        <w:numPr>
          <w:ilvl w:val="0"/>
          <w:numId w:val="9"/>
        </w:numPr>
        <w:rPr>
          <w:b/>
          <w:u w:val="none"/>
        </w:rPr>
      </w:pPr>
      <w:r w:rsidRPr="002238BD">
        <w:rPr>
          <w:b/>
          <w:u w:val="none"/>
        </w:rPr>
        <w:t xml:space="preserve">Estimates of other total annual cost burden to respondents or record keepers. </w:t>
      </w:r>
    </w:p>
    <w:p w14:paraId="37042E45" w14:textId="77777777" w:rsidR="00D7513D" w:rsidRPr="002238BD" w:rsidRDefault="00D7513D" w:rsidP="001C5BB2">
      <w:pPr>
        <w:ind w:left="720"/>
      </w:pPr>
    </w:p>
    <w:p w14:paraId="00C3C64C" w14:textId="22BA2EFD" w:rsidR="00B014AD" w:rsidRDefault="009832AA" w:rsidP="00071081">
      <w:pPr>
        <w:ind w:left="720"/>
      </w:pPr>
      <w:r>
        <w:t>There will be no direct costs to the respondents or recordkeepers other than the time spent engaged in data collection. This information has been captured in the two tables above under item #12.</w:t>
      </w:r>
    </w:p>
    <w:p w14:paraId="41A0FCE6" w14:textId="77777777" w:rsidR="002E0F1A" w:rsidRPr="002238BD" w:rsidRDefault="002E0F1A" w:rsidP="002E0F1A">
      <w:pPr>
        <w:ind w:left="720"/>
      </w:pPr>
    </w:p>
    <w:p w14:paraId="572D8ABD" w14:textId="378D09E6" w:rsidR="008D1D4A" w:rsidRPr="002238BD" w:rsidRDefault="00D7513D" w:rsidP="00B15A27">
      <w:pPr>
        <w:pStyle w:val="Heading3"/>
        <w:numPr>
          <w:ilvl w:val="0"/>
          <w:numId w:val="9"/>
        </w:numPr>
        <w:rPr>
          <w:b/>
          <w:u w:val="none"/>
        </w:rPr>
      </w:pPr>
      <w:r w:rsidRPr="002238BD">
        <w:rPr>
          <w:b/>
          <w:u w:val="none"/>
        </w:rPr>
        <w:t xml:space="preserve">Annualized cost to the government. </w:t>
      </w:r>
    </w:p>
    <w:p w14:paraId="09305AF1" w14:textId="77777777" w:rsidR="008D1D4A" w:rsidRPr="002238BD" w:rsidRDefault="008D1D4A" w:rsidP="008D1D4A">
      <w:pPr>
        <w:rPr>
          <w:szCs w:val="24"/>
        </w:rPr>
      </w:pPr>
    </w:p>
    <w:p w14:paraId="55CFEB44" w14:textId="5454D845" w:rsidR="00976BCA" w:rsidRPr="002238BD" w:rsidRDefault="00976BCA" w:rsidP="00976BCA">
      <w:pPr>
        <w:ind w:left="720"/>
        <w:rPr>
          <w:szCs w:val="24"/>
        </w:rPr>
      </w:pPr>
      <w:r w:rsidRPr="002238BD">
        <w:rPr>
          <w:szCs w:val="24"/>
        </w:rPr>
        <w:t xml:space="preserve">We estimate that one SAMHSA employee will </w:t>
      </w:r>
      <w:r w:rsidR="00002849" w:rsidRPr="002238BD">
        <w:rPr>
          <w:szCs w:val="24"/>
        </w:rPr>
        <w:t>spend</w:t>
      </w:r>
      <w:r w:rsidRPr="002238BD">
        <w:rPr>
          <w:szCs w:val="24"/>
        </w:rPr>
        <w:t xml:space="preserve"> </w:t>
      </w:r>
      <w:r w:rsidR="00002849" w:rsidRPr="002238BD">
        <w:rPr>
          <w:szCs w:val="24"/>
        </w:rPr>
        <w:t>roughly one hour for each of the six sites to gather relevant administrative documents (e.g., budgets, reports) each year. Annual costs of staff time are estimated to be $317.28. Additiona</w:t>
      </w:r>
      <w:r w:rsidR="00527A48">
        <w:rPr>
          <w:szCs w:val="24"/>
        </w:rPr>
        <w:t>lly, there are</w:t>
      </w:r>
      <w:r w:rsidR="00002849" w:rsidRPr="002238BD">
        <w:rPr>
          <w:szCs w:val="24"/>
        </w:rPr>
        <w:t xml:space="preserve"> costs associated with conducting the outcome evaluation</w:t>
      </w:r>
      <w:r w:rsidR="00527A48">
        <w:rPr>
          <w:szCs w:val="24"/>
        </w:rPr>
        <w:t>. Specifically,</w:t>
      </w:r>
      <w:r w:rsidR="00002849" w:rsidRPr="002238BD">
        <w:rPr>
          <w:szCs w:val="24"/>
        </w:rPr>
        <w:t xml:space="preserve"> $1,550,298, </w:t>
      </w:r>
      <w:r w:rsidR="00527A48">
        <w:rPr>
          <w:szCs w:val="24"/>
        </w:rPr>
        <w:t xml:space="preserve">or </w:t>
      </w:r>
      <w:r w:rsidR="00002849" w:rsidRPr="002238BD">
        <w:rPr>
          <w:szCs w:val="24"/>
        </w:rPr>
        <w:t>roughly 75% of the total contract ($2,084,407) awarded for the cross-site evaluation by ASPE</w:t>
      </w:r>
      <w:r w:rsidR="00527A48">
        <w:rPr>
          <w:szCs w:val="24"/>
        </w:rPr>
        <w:t xml:space="preserve"> will be used to support the outcome evaluation</w:t>
      </w:r>
      <w:r w:rsidR="00002849" w:rsidRPr="002238BD">
        <w:rPr>
          <w:szCs w:val="24"/>
        </w:rPr>
        <w:t>. The total estimated average cost to the government per year of the outcome evaluation is $387,574.</w:t>
      </w:r>
    </w:p>
    <w:p w14:paraId="49DF5939" w14:textId="053D4086" w:rsidR="00601F2A" w:rsidRPr="002238BD" w:rsidRDefault="00601F2A"/>
    <w:p w14:paraId="186EC5C3" w14:textId="77777777" w:rsidR="008D1D4A" w:rsidRPr="002238BD" w:rsidRDefault="008D1D4A" w:rsidP="00B15A27">
      <w:pPr>
        <w:pStyle w:val="Heading3"/>
        <w:numPr>
          <w:ilvl w:val="0"/>
          <w:numId w:val="9"/>
        </w:numPr>
        <w:rPr>
          <w:b/>
          <w:u w:val="none"/>
        </w:rPr>
      </w:pPr>
      <w:r w:rsidRPr="002238BD">
        <w:rPr>
          <w:b/>
          <w:u w:val="none"/>
        </w:rPr>
        <w:t>Explain the reasons for any program changes or adjustments reported in Items 13 or 14 of the OMB Form 83-I.</w:t>
      </w:r>
    </w:p>
    <w:p w14:paraId="6CA58C73" w14:textId="77777777" w:rsidR="008D1D4A" w:rsidRPr="002238BD" w:rsidRDefault="008D1D4A" w:rsidP="008D1D4A"/>
    <w:p w14:paraId="62990227" w14:textId="77777777" w:rsidR="00B53EA7" w:rsidRPr="002238BD" w:rsidRDefault="00B53EA7" w:rsidP="00B53EA7">
      <w:pPr>
        <w:ind w:left="720"/>
      </w:pPr>
      <w:r w:rsidRPr="002238BD">
        <w:t>This is a new data collection.</w:t>
      </w:r>
    </w:p>
    <w:p w14:paraId="30DD13E1" w14:textId="77777777" w:rsidR="00B53EA7" w:rsidRPr="002238BD" w:rsidRDefault="00B53EA7" w:rsidP="00B53EA7">
      <w:pPr>
        <w:ind w:left="720"/>
      </w:pPr>
    </w:p>
    <w:p w14:paraId="265C7823" w14:textId="7AB47E8E" w:rsidR="00A57E1F" w:rsidRPr="00A57E1F" w:rsidRDefault="008D1D4A" w:rsidP="00A57E1F">
      <w:pPr>
        <w:pStyle w:val="Heading3"/>
        <w:numPr>
          <w:ilvl w:val="0"/>
          <w:numId w:val="9"/>
        </w:numPr>
        <w:rPr>
          <w:b/>
          <w:u w:val="none"/>
        </w:rPr>
      </w:pPr>
      <w:r w:rsidRPr="002238BD">
        <w:rPr>
          <w:b/>
          <w:u w:val="none"/>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693B596" w14:textId="2D69BC83" w:rsidR="00A57E1F" w:rsidRDefault="00A57E1F" w:rsidP="00E05987">
      <w:pPr>
        <w:ind w:left="720"/>
      </w:pPr>
    </w:p>
    <w:p w14:paraId="6C5C12DC" w14:textId="68B5ED46" w:rsidR="00002849" w:rsidRDefault="002E0F1A" w:rsidP="00E05987">
      <w:pPr>
        <w:ind w:left="720"/>
      </w:pPr>
      <w:r>
        <w:t xml:space="preserve">We will incorporate results from the cross-site </w:t>
      </w:r>
      <w:r w:rsidR="00576F18">
        <w:t xml:space="preserve">outcome </w:t>
      </w:r>
      <w:r>
        <w:t>evaluation in the following documents</w:t>
      </w:r>
      <w:r w:rsidR="005A69E1">
        <w:t xml:space="preserve"> and presentations</w:t>
      </w:r>
      <w:r>
        <w:t>:</w:t>
      </w:r>
    </w:p>
    <w:p w14:paraId="6AA5CB01" w14:textId="3F5567F2" w:rsidR="00576F18" w:rsidRDefault="00576F18" w:rsidP="00E05987">
      <w:pPr>
        <w:ind w:left="720"/>
      </w:pPr>
    </w:p>
    <w:p w14:paraId="4A818036" w14:textId="69C58FC2" w:rsidR="00576F18" w:rsidRDefault="00576F18" w:rsidP="000F54E6">
      <w:pPr>
        <w:pStyle w:val="ListParagraph"/>
        <w:numPr>
          <w:ilvl w:val="0"/>
          <w:numId w:val="5"/>
        </w:numPr>
        <w:spacing w:after="120"/>
        <w:contextualSpacing w:val="0"/>
      </w:pPr>
      <w:r>
        <w:t>An outcome evaluation memo</w:t>
      </w:r>
      <w:r w:rsidR="005A69E1">
        <w:t xml:space="preserve"> to be submitted to ASPE in September 2018,</w:t>
      </w:r>
      <w:r>
        <w:t xml:space="preserve"> providing</w:t>
      </w:r>
      <w:r w:rsidRPr="00576F18">
        <w:t xml:space="preserve"> a detailed status of the evaluation and preliminary findings to support the FY2018 report to Congress</w:t>
      </w:r>
      <w:r>
        <w:t>.</w:t>
      </w:r>
    </w:p>
    <w:p w14:paraId="5D62D417" w14:textId="2259EE39" w:rsidR="005A69E1" w:rsidRDefault="005A69E1" w:rsidP="000F54E6">
      <w:pPr>
        <w:pStyle w:val="ListParagraph"/>
        <w:numPr>
          <w:ilvl w:val="0"/>
          <w:numId w:val="5"/>
        </w:numPr>
        <w:spacing w:after="120"/>
        <w:contextualSpacing w:val="0"/>
      </w:pPr>
      <w:r>
        <w:t>A briefing for HHS, other government staff, and other interested parties to be held in October 2018.</w:t>
      </w:r>
    </w:p>
    <w:p w14:paraId="6F14C916" w14:textId="2A1B701A" w:rsidR="005A69E1" w:rsidRDefault="005A69E1" w:rsidP="000F54E6">
      <w:pPr>
        <w:pStyle w:val="ListParagraph"/>
        <w:numPr>
          <w:ilvl w:val="0"/>
          <w:numId w:val="5"/>
        </w:numPr>
        <w:spacing w:after="120"/>
        <w:contextualSpacing w:val="0"/>
      </w:pPr>
      <w:r>
        <w:t>An updated outcome evaluation design and analysis plan to be submitted to ASPE in December 2018 and revised following receipt of comments.</w:t>
      </w:r>
    </w:p>
    <w:p w14:paraId="79A86F48" w14:textId="415B7C3F" w:rsidR="005A69E1" w:rsidRDefault="005A69E1" w:rsidP="000F54E6">
      <w:pPr>
        <w:pStyle w:val="ListParagraph"/>
        <w:numPr>
          <w:ilvl w:val="0"/>
          <w:numId w:val="5"/>
        </w:numPr>
        <w:spacing w:after="120"/>
        <w:contextualSpacing w:val="0"/>
      </w:pPr>
      <w:r>
        <w:t>An outcome evaluation final report to be submitted to ASPE in September 2020, providing an overview of the outcome evaluation, including the design, evaluation questions, methods and analysis, findings, conclusions, and implications for strengthening AOT programs.</w:t>
      </w:r>
    </w:p>
    <w:p w14:paraId="13A34324" w14:textId="1A181C15" w:rsidR="005A69E1" w:rsidRDefault="005A69E1" w:rsidP="000F54E6">
      <w:pPr>
        <w:pStyle w:val="ListParagraph"/>
        <w:numPr>
          <w:ilvl w:val="0"/>
          <w:numId w:val="5"/>
        </w:numPr>
        <w:spacing w:after="120"/>
        <w:contextualSpacing w:val="0"/>
      </w:pPr>
      <w:r>
        <w:t xml:space="preserve">A summary evaluation report to be submitted to ASPE in October 2020, describing the methods used and findings from both the implementation and outcome evaluations, as well as cross-cutting themes to have emerged from both evaluations. Based on these results, we will </w:t>
      </w:r>
      <w:r w:rsidRPr="00D15AE3">
        <w:t xml:space="preserve">identify lessons for providing </w:t>
      </w:r>
      <w:r>
        <w:t>AOT to</w:t>
      </w:r>
      <w:r w:rsidRPr="00D15AE3">
        <w:t xml:space="preserve"> adults with SMI and ensuring their access to needed services, as well as policy options available to federal and state programs and policy makers to promote these goals. Finally, the summary report will discuss any needs for additional data to assess the impact of AOT.</w:t>
      </w:r>
    </w:p>
    <w:p w14:paraId="241E2C75" w14:textId="22EDC7AD" w:rsidR="005A69E1" w:rsidRDefault="005A69E1" w:rsidP="005A69E1">
      <w:pPr>
        <w:pStyle w:val="ListParagraph"/>
        <w:numPr>
          <w:ilvl w:val="0"/>
          <w:numId w:val="5"/>
        </w:numPr>
      </w:pPr>
      <w:r>
        <w:t>An additional briefing for HHS, other government staff, and other interested parties to be held in November 2020, presenting an overview of major findings and facilitating a discussion on implications of the findings for public policy.</w:t>
      </w:r>
    </w:p>
    <w:p w14:paraId="1711FF42" w14:textId="2AAAD499" w:rsidR="006E681C" w:rsidRDefault="006E681C" w:rsidP="006E681C"/>
    <w:p w14:paraId="76AABE9B" w14:textId="05B32550" w:rsidR="006E681C" w:rsidRDefault="006E681C" w:rsidP="006E681C">
      <w:pPr>
        <w:ind w:left="720"/>
      </w:pPr>
      <w:r>
        <w:t>The following table provides an overview of the evaluation tasks and the years in which the tasks will be conducted. The research team may also incorporate the aggregate results from the cross-site evaluation into journal articles, scholarly presentations, and congressional testimony related to the outcomes of the AOT grant program.</w:t>
      </w:r>
    </w:p>
    <w:p w14:paraId="734CFD3F" w14:textId="5B0EDA62" w:rsidR="002E0F1A" w:rsidRDefault="002E0F1A" w:rsidP="00E05987">
      <w:pPr>
        <w:ind w:left="720"/>
      </w:pPr>
    </w:p>
    <w:tbl>
      <w:tblPr>
        <w:tblStyle w:val="TableGrid"/>
        <w:tblW w:w="5000" w:type="pct"/>
        <w:tblLook w:val="04A0" w:firstRow="1" w:lastRow="0" w:firstColumn="1" w:lastColumn="0" w:noHBand="0" w:noVBand="1"/>
      </w:tblPr>
      <w:tblGrid>
        <w:gridCol w:w="5618"/>
        <w:gridCol w:w="992"/>
        <w:gridCol w:w="992"/>
        <w:gridCol w:w="992"/>
        <w:gridCol w:w="982"/>
      </w:tblGrid>
      <w:tr w:rsidR="00576F18" w:rsidRPr="00576F18" w14:paraId="635822B6" w14:textId="77777777" w:rsidTr="00576F18">
        <w:trPr>
          <w:trHeight w:val="283"/>
        </w:trPr>
        <w:tc>
          <w:tcPr>
            <w:tcW w:w="2933" w:type="pct"/>
            <w:shd w:val="clear" w:color="auto" w:fill="6C6F70"/>
          </w:tcPr>
          <w:p w14:paraId="458B7E2D" w14:textId="77777777" w:rsidR="00576F18" w:rsidRPr="00576F18" w:rsidRDefault="00576F18" w:rsidP="006E5FA7">
            <w:pPr>
              <w:pStyle w:val="TableHeaderLeft"/>
              <w:rPr>
                <w:rFonts w:asciiTheme="majorHAnsi" w:hAnsiTheme="majorHAnsi" w:cstheme="majorHAnsi"/>
                <w:b w:val="0"/>
                <w:sz w:val="22"/>
                <w:szCs w:val="22"/>
              </w:rPr>
            </w:pPr>
            <w:r w:rsidRPr="00576F18">
              <w:rPr>
                <w:rFonts w:asciiTheme="majorHAnsi" w:hAnsiTheme="majorHAnsi" w:cstheme="majorHAnsi"/>
                <w:sz w:val="22"/>
                <w:szCs w:val="22"/>
              </w:rPr>
              <w:t>Evaluation timeline</w:t>
            </w:r>
          </w:p>
        </w:tc>
        <w:tc>
          <w:tcPr>
            <w:tcW w:w="518" w:type="pct"/>
            <w:shd w:val="clear" w:color="auto" w:fill="6C6F70"/>
          </w:tcPr>
          <w:p w14:paraId="729EA57C" w14:textId="77777777" w:rsidR="00576F18" w:rsidRPr="00576F18" w:rsidRDefault="00576F18" w:rsidP="006E5FA7">
            <w:pPr>
              <w:pStyle w:val="TableHeaderCenter"/>
              <w:rPr>
                <w:rFonts w:asciiTheme="majorHAnsi" w:hAnsiTheme="majorHAnsi" w:cstheme="majorHAnsi"/>
                <w:b w:val="0"/>
                <w:sz w:val="22"/>
                <w:szCs w:val="22"/>
              </w:rPr>
            </w:pPr>
            <w:r w:rsidRPr="00576F18">
              <w:rPr>
                <w:rFonts w:asciiTheme="majorHAnsi" w:hAnsiTheme="majorHAnsi" w:cstheme="majorHAnsi"/>
                <w:sz w:val="22"/>
                <w:szCs w:val="22"/>
              </w:rPr>
              <w:t>2017</w:t>
            </w:r>
          </w:p>
        </w:tc>
        <w:tc>
          <w:tcPr>
            <w:tcW w:w="518" w:type="pct"/>
            <w:shd w:val="clear" w:color="auto" w:fill="6C6F70"/>
          </w:tcPr>
          <w:p w14:paraId="4B3F8580" w14:textId="77777777" w:rsidR="00576F18" w:rsidRPr="00576F18" w:rsidRDefault="00576F18" w:rsidP="006E5FA7">
            <w:pPr>
              <w:pStyle w:val="TableHeaderCenter"/>
              <w:rPr>
                <w:rFonts w:asciiTheme="majorHAnsi" w:hAnsiTheme="majorHAnsi" w:cstheme="majorHAnsi"/>
                <w:b w:val="0"/>
                <w:sz w:val="22"/>
                <w:szCs w:val="22"/>
              </w:rPr>
            </w:pPr>
            <w:r w:rsidRPr="00576F18">
              <w:rPr>
                <w:rFonts w:asciiTheme="majorHAnsi" w:hAnsiTheme="majorHAnsi" w:cstheme="majorHAnsi"/>
                <w:sz w:val="22"/>
                <w:szCs w:val="22"/>
              </w:rPr>
              <w:t>2018</w:t>
            </w:r>
          </w:p>
        </w:tc>
        <w:tc>
          <w:tcPr>
            <w:tcW w:w="518" w:type="pct"/>
            <w:shd w:val="clear" w:color="auto" w:fill="6C6F70"/>
          </w:tcPr>
          <w:p w14:paraId="5EF1584A" w14:textId="77777777" w:rsidR="00576F18" w:rsidRPr="00576F18" w:rsidRDefault="00576F18" w:rsidP="006E5FA7">
            <w:pPr>
              <w:pStyle w:val="TableHeaderCenter"/>
              <w:rPr>
                <w:rFonts w:asciiTheme="majorHAnsi" w:hAnsiTheme="majorHAnsi" w:cstheme="majorHAnsi"/>
                <w:b w:val="0"/>
                <w:sz w:val="22"/>
                <w:szCs w:val="22"/>
              </w:rPr>
            </w:pPr>
            <w:r w:rsidRPr="00576F18">
              <w:rPr>
                <w:rFonts w:asciiTheme="majorHAnsi" w:hAnsiTheme="majorHAnsi" w:cstheme="majorHAnsi"/>
                <w:sz w:val="22"/>
                <w:szCs w:val="22"/>
              </w:rPr>
              <w:t>2019</w:t>
            </w:r>
          </w:p>
        </w:tc>
        <w:tc>
          <w:tcPr>
            <w:tcW w:w="514" w:type="pct"/>
            <w:shd w:val="clear" w:color="auto" w:fill="6C6F70"/>
          </w:tcPr>
          <w:p w14:paraId="6BD4F216" w14:textId="77777777" w:rsidR="00576F18" w:rsidRPr="00576F18" w:rsidRDefault="00576F18" w:rsidP="006E5FA7">
            <w:pPr>
              <w:pStyle w:val="TableHeaderCenter"/>
              <w:rPr>
                <w:rFonts w:asciiTheme="majorHAnsi" w:hAnsiTheme="majorHAnsi" w:cstheme="majorHAnsi"/>
                <w:b w:val="0"/>
                <w:sz w:val="22"/>
                <w:szCs w:val="22"/>
              </w:rPr>
            </w:pPr>
            <w:r w:rsidRPr="00576F18">
              <w:rPr>
                <w:rFonts w:asciiTheme="majorHAnsi" w:hAnsiTheme="majorHAnsi" w:cstheme="majorHAnsi"/>
                <w:sz w:val="22"/>
                <w:szCs w:val="22"/>
              </w:rPr>
              <w:t>2020</w:t>
            </w:r>
          </w:p>
        </w:tc>
      </w:tr>
      <w:tr w:rsidR="00576F18" w:rsidRPr="00576F18" w14:paraId="130F2DA8" w14:textId="77777777" w:rsidTr="00576F18">
        <w:trPr>
          <w:trHeight w:val="400"/>
        </w:trPr>
        <w:tc>
          <w:tcPr>
            <w:tcW w:w="2933" w:type="pct"/>
          </w:tcPr>
          <w:p w14:paraId="47388F89" w14:textId="4EF3A452" w:rsidR="00576F18" w:rsidRPr="00576F18" w:rsidRDefault="00576F18" w:rsidP="006E5FA7">
            <w:pPr>
              <w:pStyle w:val="TableText"/>
              <w:spacing w:before="60" w:after="60"/>
              <w:rPr>
                <w:rFonts w:asciiTheme="majorHAnsi" w:hAnsiTheme="majorHAnsi" w:cstheme="majorHAnsi"/>
                <w:sz w:val="22"/>
                <w:szCs w:val="22"/>
              </w:rPr>
            </w:pPr>
            <w:r w:rsidRPr="00576F18">
              <w:rPr>
                <w:rFonts w:asciiTheme="majorHAnsi" w:hAnsiTheme="majorHAnsi" w:cstheme="majorHAnsi"/>
                <w:sz w:val="22"/>
                <w:szCs w:val="22"/>
              </w:rPr>
              <w:t>Development of outcome evaluation design &amp; analysis plan</w:t>
            </w:r>
          </w:p>
        </w:tc>
        <w:tc>
          <w:tcPr>
            <w:tcW w:w="518" w:type="pct"/>
          </w:tcPr>
          <w:p w14:paraId="49384FBF" w14:textId="3BF7E40A" w:rsidR="00576F18" w:rsidRPr="00576F18" w:rsidRDefault="00576F18" w:rsidP="006E5FA7">
            <w:pPr>
              <w:pStyle w:val="TableText"/>
              <w:spacing w:before="60" w:after="60"/>
              <w:jc w:val="center"/>
              <w:rPr>
                <w:rFonts w:asciiTheme="majorHAnsi" w:hAnsiTheme="majorHAnsi" w:cstheme="majorHAnsi"/>
                <w:sz w:val="22"/>
                <w:szCs w:val="22"/>
              </w:rPr>
            </w:pPr>
            <w:r w:rsidRPr="00576F18">
              <w:rPr>
                <w:rFonts w:asciiTheme="majorHAnsi" w:hAnsiTheme="majorHAnsi" w:cstheme="majorHAnsi"/>
                <w:sz w:val="22"/>
                <w:szCs w:val="22"/>
              </w:rPr>
              <w:t>X</w:t>
            </w:r>
          </w:p>
        </w:tc>
        <w:tc>
          <w:tcPr>
            <w:tcW w:w="518" w:type="pct"/>
          </w:tcPr>
          <w:p w14:paraId="10583FC9" w14:textId="77777777" w:rsidR="00576F18" w:rsidRPr="00576F18" w:rsidRDefault="00576F18" w:rsidP="006E5FA7">
            <w:pPr>
              <w:pStyle w:val="TableText"/>
              <w:spacing w:before="60" w:after="60"/>
              <w:jc w:val="center"/>
              <w:rPr>
                <w:rFonts w:asciiTheme="majorHAnsi" w:hAnsiTheme="majorHAnsi" w:cstheme="majorHAnsi"/>
                <w:sz w:val="22"/>
                <w:szCs w:val="22"/>
              </w:rPr>
            </w:pPr>
          </w:p>
        </w:tc>
        <w:tc>
          <w:tcPr>
            <w:tcW w:w="518" w:type="pct"/>
          </w:tcPr>
          <w:p w14:paraId="2493BCFD" w14:textId="77777777" w:rsidR="00576F18" w:rsidRPr="00576F18" w:rsidRDefault="00576F18" w:rsidP="006E5FA7">
            <w:pPr>
              <w:pStyle w:val="TableText"/>
              <w:spacing w:before="60" w:after="60"/>
              <w:jc w:val="center"/>
              <w:rPr>
                <w:rFonts w:asciiTheme="majorHAnsi" w:hAnsiTheme="majorHAnsi" w:cstheme="majorHAnsi"/>
                <w:sz w:val="22"/>
                <w:szCs w:val="22"/>
              </w:rPr>
            </w:pPr>
          </w:p>
        </w:tc>
        <w:tc>
          <w:tcPr>
            <w:tcW w:w="514" w:type="pct"/>
          </w:tcPr>
          <w:p w14:paraId="52C60DE0" w14:textId="77777777" w:rsidR="00576F18" w:rsidRPr="00576F18" w:rsidRDefault="00576F18" w:rsidP="006E5FA7">
            <w:pPr>
              <w:pStyle w:val="TableText"/>
              <w:spacing w:before="60" w:after="60"/>
              <w:jc w:val="center"/>
              <w:rPr>
                <w:rFonts w:asciiTheme="majorHAnsi" w:hAnsiTheme="majorHAnsi" w:cstheme="majorHAnsi"/>
                <w:sz w:val="22"/>
                <w:szCs w:val="22"/>
              </w:rPr>
            </w:pPr>
          </w:p>
        </w:tc>
      </w:tr>
      <w:tr w:rsidR="00576F18" w:rsidRPr="00576F18" w14:paraId="72923B3A" w14:textId="77777777" w:rsidTr="00576F18">
        <w:trPr>
          <w:trHeight w:val="234"/>
        </w:trPr>
        <w:tc>
          <w:tcPr>
            <w:tcW w:w="2933" w:type="pct"/>
          </w:tcPr>
          <w:p w14:paraId="4857535B" w14:textId="77777777" w:rsidR="00576F18" w:rsidRPr="00576F18" w:rsidRDefault="00576F18" w:rsidP="006E5FA7">
            <w:pPr>
              <w:pStyle w:val="TableText"/>
              <w:spacing w:before="60" w:after="60"/>
              <w:rPr>
                <w:rFonts w:asciiTheme="majorHAnsi" w:hAnsiTheme="majorHAnsi" w:cstheme="majorHAnsi"/>
                <w:sz w:val="22"/>
                <w:szCs w:val="22"/>
              </w:rPr>
            </w:pPr>
            <w:r w:rsidRPr="00576F18">
              <w:rPr>
                <w:rFonts w:asciiTheme="majorHAnsi" w:hAnsiTheme="majorHAnsi" w:cstheme="majorHAnsi"/>
                <w:sz w:val="22"/>
                <w:szCs w:val="22"/>
              </w:rPr>
              <w:t>OMB Submission</w:t>
            </w:r>
          </w:p>
        </w:tc>
        <w:tc>
          <w:tcPr>
            <w:tcW w:w="518" w:type="pct"/>
          </w:tcPr>
          <w:p w14:paraId="16A8623A" w14:textId="77777777" w:rsidR="00576F18" w:rsidRPr="00576F18" w:rsidRDefault="00576F18" w:rsidP="006E5FA7">
            <w:pPr>
              <w:pStyle w:val="TableText"/>
              <w:spacing w:before="60" w:after="60"/>
              <w:jc w:val="center"/>
              <w:rPr>
                <w:rFonts w:asciiTheme="majorHAnsi" w:hAnsiTheme="majorHAnsi" w:cstheme="majorHAnsi"/>
                <w:sz w:val="22"/>
                <w:szCs w:val="22"/>
              </w:rPr>
            </w:pPr>
            <w:r w:rsidRPr="00576F18">
              <w:rPr>
                <w:rFonts w:asciiTheme="majorHAnsi" w:hAnsiTheme="majorHAnsi" w:cstheme="majorHAnsi"/>
                <w:sz w:val="22"/>
                <w:szCs w:val="22"/>
              </w:rPr>
              <w:t>X</w:t>
            </w:r>
          </w:p>
        </w:tc>
        <w:tc>
          <w:tcPr>
            <w:tcW w:w="518" w:type="pct"/>
          </w:tcPr>
          <w:p w14:paraId="54CD0118" w14:textId="68383969" w:rsidR="00576F18" w:rsidRPr="00576F18" w:rsidRDefault="00576F18" w:rsidP="006E5FA7">
            <w:pPr>
              <w:pStyle w:val="TableText"/>
              <w:spacing w:before="60" w:after="60"/>
              <w:jc w:val="center"/>
              <w:rPr>
                <w:rFonts w:asciiTheme="majorHAnsi" w:hAnsiTheme="majorHAnsi" w:cstheme="majorHAnsi"/>
                <w:sz w:val="22"/>
                <w:szCs w:val="22"/>
              </w:rPr>
            </w:pPr>
            <w:r w:rsidRPr="00576F18">
              <w:rPr>
                <w:rFonts w:asciiTheme="majorHAnsi" w:hAnsiTheme="majorHAnsi" w:cstheme="majorHAnsi"/>
                <w:sz w:val="22"/>
                <w:szCs w:val="22"/>
              </w:rPr>
              <w:t>X</w:t>
            </w:r>
          </w:p>
        </w:tc>
        <w:tc>
          <w:tcPr>
            <w:tcW w:w="518" w:type="pct"/>
          </w:tcPr>
          <w:p w14:paraId="57AFCE22" w14:textId="77777777" w:rsidR="00576F18" w:rsidRPr="00576F18" w:rsidRDefault="00576F18" w:rsidP="006E5FA7">
            <w:pPr>
              <w:pStyle w:val="TableText"/>
              <w:spacing w:before="60" w:after="60"/>
              <w:jc w:val="center"/>
              <w:rPr>
                <w:rFonts w:asciiTheme="majorHAnsi" w:hAnsiTheme="majorHAnsi" w:cstheme="majorHAnsi"/>
                <w:sz w:val="22"/>
                <w:szCs w:val="22"/>
              </w:rPr>
            </w:pPr>
          </w:p>
        </w:tc>
        <w:tc>
          <w:tcPr>
            <w:tcW w:w="514" w:type="pct"/>
          </w:tcPr>
          <w:p w14:paraId="0E83D515" w14:textId="77777777" w:rsidR="00576F18" w:rsidRPr="00576F18" w:rsidRDefault="00576F18" w:rsidP="006E5FA7">
            <w:pPr>
              <w:pStyle w:val="TableText"/>
              <w:spacing w:before="60" w:after="60"/>
              <w:jc w:val="center"/>
              <w:rPr>
                <w:rFonts w:asciiTheme="majorHAnsi" w:hAnsiTheme="majorHAnsi" w:cstheme="majorHAnsi"/>
                <w:sz w:val="22"/>
                <w:szCs w:val="22"/>
              </w:rPr>
            </w:pPr>
          </w:p>
        </w:tc>
      </w:tr>
      <w:tr w:rsidR="00576F18" w:rsidRPr="00576F18" w14:paraId="754F82BD" w14:textId="77777777" w:rsidTr="00576F18">
        <w:trPr>
          <w:trHeight w:val="244"/>
        </w:trPr>
        <w:tc>
          <w:tcPr>
            <w:tcW w:w="2933" w:type="pct"/>
          </w:tcPr>
          <w:p w14:paraId="6EF70D8A" w14:textId="294660F5" w:rsidR="00576F18" w:rsidRPr="00576F18" w:rsidRDefault="00576F18" w:rsidP="006E5FA7">
            <w:pPr>
              <w:pStyle w:val="TableText"/>
              <w:spacing w:before="60" w:after="60"/>
              <w:rPr>
                <w:rFonts w:asciiTheme="majorHAnsi" w:hAnsiTheme="majorHAnsi" w:cstheme="majorHAnsi"/>
                <w:sz w:val="22"/>
                <w:szCs w:val="22"/>
              </w:rPr>
            </w:pPr>
            <w:r w:rsidRPr="00576F18">
              <w:rPr>
                <w:rFonts w:asciiTheme="majorHAnsi" w:hAnsiTheme="majorHAnsi" w:cstheme="majorHAnsi"/>
                <w:sz w:val="22"/>
                <w:szCs w:val="22"/>
              </w:rPr>
              <w:t>Data collection and analysis, phase 1</w:t>
            </w:r>
          </w:p>
        </w:tc>
        <w:tc>
          <w:tcPr>
            <w:tcW w:w="518" w:type="pct"/>
          </w:tcPr>
          <w:p w14:paraId="2A2A091E" w14:textId="69E69ABA" w:rsidR="00576F18" w:rsidRPr="00576F18" w:rsidRDefault="00576F18" w:rsidP="006E5FA7">
            <w:pPr>
              <w:pStyle w:val="TableText"/>
              <w:spacing w:before="60" w:after="60"/>
              <w:jc w:val="center"/>
              <w:rPr>
                <w:rFonts w:asciiTheme="majorHAnsi" w:hAnsiTheme="majorHAnsi" w:cstheme="majorHAnsi"/>
                <w:sz w:val="22"/>
                <w:szCs w:val="22"/>
              </w:rPr>
            </w:pPr>
          </w:p>
        </w:tc>
        <w:tc>
          <w:tcPr>
            <w:tcW w:w="518" w:type="pct"/>
          </w:tcPr>
          <w:p w14:paraId="29AC840A" w14:textId="5CC2E022" w:rsidR="00576F18" w:rsidRPr="00576F18" w:rsidRDefault="00576F18" w:rsidP="006E5FA7">
            <w:pPr>
              <w:pStyle w:val="TableText"/>
              <w:spacing w:before="60" w:after="60"/>
              <w:jc w:val="center"/>
              <w:rPr>
                <w:rFonts w:asciiTheme="majorHAnsi" w:hAnsiTheme="majorHAnsi" w:cstheme="majorHAnsi"/>
                <w:sz w:val="22"/>
                <w:szCs w:val="22"/>
              </w:rPr>
            </w:pPr>
            <w:r w:rsidRPr="00576F18">
              <w:rPr>
                <w:rFonts w:asciiTheme="majorHAnsi" w:hAnsiTheme="majorHAnsi" w:cstheme="majorHAnsi"/>
                <w:sz w:val="22"/>
                <w:szCs w:val="22"/>
              </w:rPr>
              <w:t>X</w:t>
            </w:r>
          </w:p>
        </w:tc>
        <w:tc>
          <w:tcPr>
            <w:tcW w:w="518" w:type="pct"/>
          </w:tcPr>
          <w:p w14:paraId="5A5239B1" w14:textId="77777777" w:rsidR="00576F18" w:rsidRPr="00576F18" w:rsidRDefault="00576F18" w:rsidP="006E5FA7">
            <w:pPr>
              <w:pStyle w:val="TableText"/>
              <w:spacing w:before="60" w:after="60"/>
              <w:jc w:val="center"/>
              <w:rPr>
                <w:rFonts w:asciiTheme="majorHAnsi" w:hAnsiTheme="majorHAnsi" w:cstheme="majorHAnsi"/>
                <w:sz w:val="22"/>
                <w:szCs w:val="22"/>
              </w:rPr>
            </w:pPr>
          </w:p>
        </w:tc>
        <w:tc>
          <w:tcPr>
            <w:tcW w:w="514" w:type="pct"/>
          </w:tcPr>
          <w:p w14:paraId="1F7C0EC6" w14:textId="77777777" w:rsidR="00576F18" w:rsidRPr="00576F18" w:rsidRDefault="00576F18" w:rsidP="006E5FA7">
            <w:pPr>
              <w:pStyle w:val="TableText"/>
              <w:spacing w:before="60" w:after="60"/>
              <w:jc w:val="center"/>
              <w:rPr>
                <w:rFonts w:asciiTheme="majorHAnsi" w:hAnsiTheme="majorHAnsi" w:cstheme="majorHAnsi"/>
                <w:sz w:val="22"/>
                <w:szCs w:val="22"/>
              </w:rPr>
            </w:pPr>
          </w:p>
        </w:tc>
      </w:tr>
      <w:tr w:rsidR="00576F18" w:rsidRPr="00576F18" w14:paraId="0B962341" w14:textId="77777777" w:rsidTr="00576F18">
        <w:trPr>
          <w:trHeight w:val="244"/>
        </w:trPr>
        <w:tc>
          <w:tcPr>
            <w:tcW w:w="2933" w:type="pct"/>
          </w:tcPr>
          <w:p w14:paraId="06579170" w14:textId="11E9C2E9" w:rsidR="00576F18" w:rsidRPr="00576F18" w:rsidRDefault="00576F18" w:rsidP="006E5FA7">
            <w:pPr>
              <w:pStyle w:val="TableText"/>
              <w:spacing w:before="60" w:after="60"/>
              <w:rPr>
                <w:rFonts w:asciiTheme="majorHAnsi" w:hAnsiTheme="majorHAnsi" w:cstheme="majorHAnsi"/>
                <w:sz w:val="22"/>
                <w:szCs w:val="22"/>
              </w:rPr>
            </w:pPr>
            <w:r w:rsidRPr="00576F18">
              <w:rPr>
                <w:rFonts w:asciiTheme="majorHAnsi" w:hAnsiTheme="majorHAnsi" w:cstheme="majorHAnsi"/>
                <w:sz w:val="22"/>
                <w:szCs w:val="22"/>
              </w:rPr>
              <w:t xml:space="preserve">Outcome evaluation memo </w:t>
            </w:r>
          </w:p>
        </w:tc>
        <w:tc>
          <w:tcPr>
            <w:tcW w:w="518" w:type="pct"/>
          </w:tcPr>
          <w:p w14:paraId="243B8ABA" w14:textId="262CD425" w:rsidR="00576F18" w:rsidRPr="00576F18" w:rsidRDefault="00576F18" w:rsidP="006E5FA7">
            <w:pPr>
              <w:pStyle w:val="TableText"/>
              <w:spacing w:before="60" w:after="60"/>
              <w:jc w:val="center"/>
              <w:rPr>
                <w:rFonts w:asciiTheme="majorHAnsi" w:hAnsiTheme="majorHAnsi" w:cstheme="majorHAnsi"/>
                <w:sz w:val="22"/>
                <w:szCs w:val="22"/>
              </w:rPr>
            </w:pPr>
          </w:p>
        </w:tc>
        <w:tc>
          <w:tcPr>
            <w:tcW w:w="518" w:type="pct"/>
          </w:tcPr>
          <w:p w14:paraId="1B45C04A" w14:textId="767D3144" w:rsidR="00576F18" w:rsidRPr="00576F18" w:rsidRDefault="00576F18" w:rsidP="006E5FA7">
            <w:pPr>
              <w:pStyle w:val="TableText"/>
              <w:spacing w:before="60" w:after="60"/>
              <w:jc w:val="center"/>
              <w:rPr>
                <w:rFonts w:asciiTheme="majorHAnsi" w:hAnsiTheme="majorHAnsi" w:cstheme="majorHAnsi"/>
                <w:sz w:val="22"/>
                <w:szCs w:val="22"/>
              </w:rPr>
            </w:pPr>
            <w:r w:rsidRPr="00576F18">
              <w:rPr>
                <w:rFonts w:asciiTheme="majorHAnsi" w:hAnsiTheme="majorHAnsi" w:cstheme="majorHAnsi"/>
                <w:sz w:val="22"/>
                <w:szCs w:val="22"/>
              </w:rPr>
              <w:t>X</w:t>
            </w:r>
          </w:p>
        </w:tc>
        <w:tc>
          <w:tcPr>
            <w:tcW w:w="518" w:type="pct"/>
          </w:tcPr>
          <w:p w14:paraId="5DEE8BA1" w14:textId="77777777" w:rsidR="00576F18" w:rsidRPr="00576F18" w:rsidRDefault="00576F18" w:rsidP="006E5FA7">
            <w:pPr>
              <w:pStyle w:val="TableText"/>
              <w:spacing w:before="60" w:after="60"/>
              <w:jc w:val="center"/>
              <w:rPr>
                <w:rFonts w:asciiTheme="majorHAnsi" w:hAnsiTheme="majorHAnsi" w:cstheme="majorHAnsi"/>
                <w:sz w:val="22"/>
                <w:szCs w:val="22"/>
              </w:rPr>
            </w:pPr>
          </w:p>
        </w:tc>
        <w:tc>
          <w:tcPr>
            <w:tcW w:w="514" w:type="pct"/>
          </w:tcPr>
          <w:p w14:paraId="236F9AE6" w14:textId="77777777" w:rsidR="00576F18" w:rsidRPr="00576F18" w:rsidRDefault="00576F18" w:rsidP="006E5FA7">
            <w:pPr>
              <w:pStyle w:val="TableText"/>
              <w:spacing w:before="60" w:after="60"/>
              <w:jc w:val="center"/>
              <w:rPr>
                <w:rFonts w:asciiTheme="majorHAnsi" w:hAnsiTheme="majorHAnsi" w:cstheme="majorHAnsi"/>
                <w:sz w:val="22"/>
                <w:szCs w:val="22"/>
              </w:rPr>
            </w:pPr>
          </w:p>
        </w:tc>
      </w:tr>
      <w:tr w:rsidR="00576F18" w:rsidRPr="00576F18" w14:paraId="424B17AE" w14:textId="77777777" w:rsidTr="00576F18">
        <w:trPr>
          <w:trHeight w:val="234"/>
        </w:trPr>
        <w:tc>
          <w:tcPr>
            <w:tcW w:w="2933" w:type="pct"/>
          </w:tcPr>
          <w:p w14:paraId="19D322D9" w14:textId="4F8C0F70" w:rsidR="00576F18" w:rsidRPr="00576F18" w:rsidRDefault="00576F18" w:rsidP="006E5FA7">
            <w:pPr>
              <w:pStyle w:val="TableText"/>
              <w:spacing w:before="60" w:after="60"/>
              <w:rPr>
                <w:rFonts w:asciiTheme="majorHAnsi" w:hAnsiTheme="majorHAnsi" w:cstheme="majorHAnsi"/>
                <w:sz w:val="22"/>
                <w:szCs w:val="22"/>
              </w:rPr>
            </w:pPr>
            <w:r w:rsidRPr="00576F18">
              <w:rPr>
                <w:rFonts w:asciiTheme="majorHAnsi" w:hAnsiTheme="majorHAnsi" w:cstheme="majorHAnsi"/>
                <w:sz w:val="22"/>
                <w:szCs w:val="22"/>
              </w:rPr>
              <w:t>Briefing for HHS officials</w:t>
            </w:r>
          </w:p>
        </w:tc>
        <w:tc>
          <w:tcPr>
            <w:tcW w:w="518" w:type="pct"/>
          </w:tcPr>
          <w:p w14:paraId="36200D96" w14:textId="6B549A32" w:rsidR="00576F18" w:rsidRPr="00576F18" w:rsidRDefault="00576F18" w:rsidP="006E5FA7">
            <w:pPr>
              <w:pStyle w:val="TableText"/>
              <w:spacing w:before="60" w:after="60"/>
              <w:jc w:val="center"/>
              <w:rPr>
                <w:rFonts w:asciiTheme="majorHAnsi" w:hAnsiTheme="majorHAnsi" w:cstheme="majorHAnsi"/>
                <w:sz w:val="22"/>
                <w:szCs w:val="22"/>
              </w:rPr>
            </w:pPr>
          </w:p>
        </w:tc>
        <w:tc>
          <w:tcPr>
            <w:tcW w:w="518" w:type="pct"/>
          </w:tcPr>
          <w:p w14:paraId="06B60DDC" w14:textId="77777777" w:rsidR="00576F18" w:rsidRPr="00576F18" w:rsidRDefault="00576F18" w:rsidP="006E5FA7">
            <w:pPr>
              <w:pStyle w:val="TableText"/>
              <w:spacing w:before="60" w:after="60"/>
              <w:jc w:val="center"/>
              <w:rPr>
                <w:rFonts w:asciiTheme="majorHAnsi" w:hAnsiTheme="majorHAnsi" w:cstheme="majorHAnsi"/>
                <w:sz w:val="22"/>
                <w:szCs w:val="22"/>
              </w:rPr>
            </w:pPr>
            <w:r w:rsidRPr="00576F18">
              <w:rPr>
                <w:rFonts w:asciiTheme="majorHAnsi" w:hAnsiTheme="majorHAnsi" w:cstheme="majorHAnsi"/>
                <w:sz w:val="22"/>
                <w:szCs w:val="22"/>
              </w:rPr>
              <w:t>X</w:t>
            </w:r>
          </w:p>
        </w:tc>
        <w:tc>
          <w:tcPr>
            <w:tcW w:w="518" w:type="pct"/>
          </w:tcPr>
          <w:p w14:paraId="113E66A6" w14:textId="0B21A61A" w:rsidR="00576F18" w:rsidRPr="00576F18" w:rsidRDefault="00576F18" w:rsidP="006E5FA7">
            <w:pPr>
              <w:pStyle w:val="TableText"/>
              <w:spacing w:before="60" w:after="60"/>
              <w:jc w:val="center"/>
              <w:rPr>
                <w:rFonts w:asciiTheme="majorHAnsi" w:hAnsiTheme="majorHAnsi" w:cstheme="majorHAnsi"/>
                <w:sz w:val="22"/>
                <w:szCs w:val="22"/>
              </w:rPr>
            </w:pPr>
          </w:p>
        </w:tc>
        <w:tc>
          <w:tcPr>
            <w:tcW w:w="514" w:type="pct"/>
          </w:tcPr>
          <w:p w14:paraId="21F4AAD9" w14:textId="41DFFD52" w:rsidR="00576F18" w:rsidRPr="00576F18" w:rsidRDefault="00576F18" w:rsidP="006E5FA7">
            <w:pPr>
              <w:pStyle w:val="TableText"/>
              <w:spacing w:before="60" w:after="60"/>
              <w:jc w:val="center"/>
              <w:rPr>
                <w:rFonts w:asciiTheme="majorHAnsi" w:hAnsiTheme="majorHAnsi" w:cstheme="majorHAnsi"/>
                <w:sz w:val="22"/>
                <w:szCs w:val="22"/>
              </w:rPr>
            </w:pPr>
            <w:r w:rsidRPr="00576F18">
              <w:rPr>
                <w:rFonts w:asciiTheme="majorHAnsi" w:hAnsiTheme="majorHAnsi" w:cstheme="majorHAnsi"/>
                <w:sz w:val="22"/>
                <w:szCs w:val="22"/>
              </w:rPr>
              <w:t>X</w:t>
            </w:r>
          </w:p>
        </w:tc>
      </w:tr>
      <w:tr w:rsidR="00576F18" w:rsidRPr="00576F18" w14:paraId="2BD5E0BF" w14:textId="77777777" w:rsidTr="00576F18">
        <w:trPr>
          <w:trHeight w:val="244"/>
        </w:trPr>
        <w:tc>
          <w:tcPr>
            <w:tcW w:w="2933" w:type="pct"/>
          </w:tcPr>
          <w:p w14:paraId="55D847AD" w14:textId="6BDCDE5B" w:rsidR="00576F18" w:rsidRPr="00576F18" w:rsidRDefault="00576F18" w:rsidP="006E5FA7">
            <w:pPr>
              <w:pStyle w:val="TableText"/>
              <w:spacing w:before="60" w:after="60"/>
              <w:rPr>
                <w:rFonts w:asciiTheme="majorHAnsi" w:hAnsiTheme="majorHAnsi" w:cstheme="majorHAnsi"/>
                <w:sz w:val="22"/>
                <w:szCs w:val="22"/>
              </w:rPr>
            </w:pPr>
            <w:r w:rsidRPr="00576F18">
              <w:rPr>
                <w:rFonts w:asciiTheme="majorHAnsi" w:hAnsiTheme="majorHAnsi" w:cstheme="majorHAnsi"/>
                <w:sz w:val="22"/>
                <w:szCs w:val="22"/>
              </w:rPr>
              <w:t>Outcome evaluation design &amp; analysis plan update</w:t>
            </w:r>
          </w:p>
        </w:tc>
        <w:tc>
          <w:tcPr>
            <w:tcW w:w="518" w:type="pct"/>
          </w:tcPr>
          <w:p w14:paraId="4529A6A1" w14:textId="77777777" w:rsidR="00576F18" w:rsidRPr="00576F18" w:rsidRDefault="00576F18" w:rsidP="006E5FA7">
            <w:pPr>
              <w:pStyle w:val="TableText"/>
              <w:spacing w:before="60" w:after="60"/>
              <w:jc w:val="center"/>
              <w:rPr>
                <w:rFonts w:asciiTheme="majorHAnsi" w:hAnsiTheme="majorHAnsi" w:cstheme="majorHAnsi"/>
                <w:sz w:val="22"/>
                <w:szCs w:val="22"/>
              </w:rPr>
            </w:pPr>
          </w:p>
        </w:tc>
        <w:tc>
          <w:tcPr>
            <w:tcW w:w="518" w:type="pct"/>
          </w:tcPr>
          <w:p w14:paraId="69EA3AD7" w14:textId="77777777" w:rsidR="00576F18" w:rsidRPr="00576F18" w:rsidRDefault="00576F18" w:rsidP="006E5FA7">
            <w:pPr>
              <w:pStyle w:val="TableText"/>
              <w:spacing w:before="60" w:after="60"/>
              <w:jc w:val="center"/>
              <w:rPr>
                <w:rFonts w:asciiTheme="majorHAnsi" w:hAnsiTheme="majorHAnsi" w:cstheme="majorHAnsi"/>
                <w:sz w:val="22"/>
                <w:szCs w:val="22"/>
              </w:rPr>
            </w:pPr>
            <w:r w:rsidRPr="00576F18">
              <w:rPr>
                <w:rFonts w:asciiTheme="majorHAnsi" w:hAnsiTheme="majorHAnsi" w:cstheme="majorHAnsi"/>
                <w:sz w:val="22"/>
                <w:szCs w:val="22"/>
              </w:rPr>
              <w:t>X</w:t>
            </w:r>
          </w:p>
        </w:tc>
        <w:tc>
          <w:tcPr>
            <w:tcW w:w="518" w:type="pct"/>
          </w:tcPr>
          <w:p w14:paraId="59E02777" w14:textId="234BB7E2" w:rsidR="00576F18" w:rsidRPr="00576F18" w:rsidRDefault="00576F18" w:rsidP="006E5FA7">
            <w:pPr>
              <w:pStyle w:val="TableText"/>
              <w:spacing w:before="60" w:after="60"/>
              <w:jc w:val="center"/>
              <w:rPr>
                <w:rFonts w:asciiTheme="majorHAnsi" w:hAnsiTheme="majorHAnsi" w:cstheme="majorHAnsi"/>
                <w:sz w:val="22"/>
                <w:szCs w:val="22"/>
              </w:rPr>
            </w:pPr>
            <w:r w:rsidRPr="00576F18">
              <w:rPr>
                <w:rFonts w:asciiTheme="majorHAnsi" w:hAnsiTheme="majorHAnsi" w:cstheme="majorHAnsi"/>
                <w:sz w:val="22"/>
                <w:szCs w:val="22"/>
              </w:rPr>
              <w:t>X</w:t>
            </w:r>
          </w:p>
        </w:tc>
        <w:tc>
          <w:tcPr>
            <w:tcW w:w="514" w:type="pct"/>
          </w:tcPr>
          <w:p w14:paraId="0756E683" w14:textId="77777777" w:rsidR="00576F18" w:rsidRPr="00576F18" w:rsidRDefault="00576F18" w:rsidP="006E5FA7">
            <w:pPr>
              <w:pStyle w:val="TableText"/>
              <w:spacing w:before="60" w:after="60"/>
              <w:jc w:val="center"/>
              <w:rPr>
                <w:rFonts w:asciiTheme="majorHAnsi" w:hAnsiTheme="majorHAnsi" w:cstheme="majorHAnsi"/>
                <w:sz w:val="22"/>
                <w:szCs w:val="22"/>
              </w:rPr>
            </w:pPr>
          </w:p>
        </w:tc>
      </w:tr>
      <w:tr w:rsidR="00576F18" w:rsidRPr="00576F18" w14:paraId="1E281C30" w14:textId="77777777" w:rsidTr="00576F18">
        <w:trPr>
          <w:trHeight w:val="234"/>
        </w:trPr>
        <w:tc>
          <w:tcPr>
            <w:tcW w:w="2933" w:type="pct"/>
          </w:tcPr>
          <w:p w14:paraId="471BB8DB" w14:textId="0C2DCD2C" w:rsidR="00576F18" w:rsidRPr="00576F18" w:rsidRDefault="00576F18" w:rsidP="006E5FA7">
            <w:pPr>
              <w:pStyle w:val="TableText"/>
              <w:spacing w:before="60" w:after="60"/>
              <w:rPr>
                <w:rFonts w:asciiTheme="majorHAnsi" w:hAnsiTheme="majorHAnsi" w:cstheme="majorHAnsi"/>
                <w:sz w:val="22"/>
                <w:szCs w:val="22"/>
              </w:rPr>
            </w:pPr>
            <w:r w:rsidRPr="00576F18">
              <w:rPr>
                <w:rFonts w:asciiTheme="majorHAnsi" w:hAnsiTheme="majorHAnsi" w:cstheme="majorHAnsi"/>
                <w:sz w:val="22"/>
                <w:szCs w:val="22"/>
              </w:rPr>
              <w:t>Data collection and analysis, phase 2</w:t>
            </w:r>
          </w:p>
        </w:tc>
        <w:tc>
          <w:tcPr>
            <w:tcW w:w="518" w:type="pct"/>
          </w:tcPr>
          <w:p w14:paraId="57853CA5" w14:textId="1815BED8" w:rsidR="00576F18" w:rsidRPr="00576F18" w:rsidRDefault="00576F18" w:rsidP="006E5FA7">
            <w:pPr>
              <w:pStyle w:val="TableText"/>
              <w:spacing w:before="60" w:after="60"/>
              <w:jc w:val="center"/>
              <w:rPr>
                <w:rFonts w:asciiTheme="majorHAnsi" w:hAnsiTheme="majorHAnsi" w:cstheme="majorHAnsi"/>
                <w:sz w:val="22"/>
                <w:szCs w:val="22"/>
              </w:rPr>
            </w:pPr>
          </w:p>
        </w:tc>
        <w:tc>
          <w:tcPr>
            <w:tcW w:w="518" w:type="pct"/>
          </w:tcPr>
          <w:p w14:paraId="2D747224" w14:textId="3CB48C58" w:rsidR="00576F18" w:rsidRPr="00576F18" w:rsidRDefault="00576F18" w:rsidP="006E5FA7">
            <w:pPr>
              <w:pStyle w:val="TableText"/>
              <w:spacing w:before="60" w:after="60"/>
              <w:jc w:val="center"/>
              <w:rPr>
                <w:rFonts w:asciiTheme="majorHAnsi" w:hAnsiTheme="majorHAnsi" w:cstheme="majorHAnsi"/>
                <w:sz w:val="22"/>
                <w:szCs w:val="22"/>
              </w:rPr>
            </w:pPr>
          </w:p>
        </w:tc>
        <w:tc>
          <w:tcPr>
            <w:tcW w:w="518" w:type="pct"/>
          </w:tcPr>
          <w:p w14:paraId="674B8DA4" w14:textId="1318138D" w:rsidR="00576F18" w:rsidRPr="00576F18" w:rsidRDefault="00576F18" w:rsidP="006E5FA7">
            <w:pPr>
              <w:pStyle w:val="TableText"/>
              <w:spacing w:before="60" w:after="60"/>
              <w:jc w:val="center"/>
              <w:rPr>
                <w:rFonts w:asciiTheme="majorHAnsi" w:hAnsiTheme="majorHAnsi" w:cstheme="majorHAnsi"/>
                <w:sz w:val="22"/>
                <w:szCs w:val="22"/>
              </w:rPr>
            </w:pPr>
            <w:r w:rsidRPr="00576F18">
              <w:rPr>
                <w:rFonts w:asciiTheme="majorHAnsi" w:hAnsiTheme="majorHAnsi" w:cstheme="majorHAnsi"/>
                <w:sz w:val="22"/>
                <w:szCs w:val="22"/>
              </w:rPr>
              <w:t>X</w:t>
            </w:r>
          </w:p>
        </w:tc>
        <w:tc>
          <w:tcPr>
            <w:tcW w:w="514" w:type="pct"/>
          </w:tcPr>
          <w:p w14:paraId="5885C01E" w14:textId="666C4EE3" w:rsidR="00576F18" w:rsidRPr="00576F18" w:rsidRDefault="00576F18" w:rsidP="006E5FA7">
            <w:pPr>
              <w:pStyle w:val="TableText"/>
              <w:spacing w:before="60" w:after="60"/>
              <w:jc w:val="center"/>
              <w:rPr>
                <w:rFonts w:asciiTheme="majorHAnsi" w:hAnsiTheme="majorHAnsi" w:cstheme="majorHAnsi"/>
                <w:sz w:val="22"/>
                <w:szCs w:val="22"/>
              </w:rPr>
            </w:pPr>
            <w:r w:rsidRPr="00576F18">
              <w:rPr>
                <w:rFonts w:asciiTheme="majorHAnsi" w:hAnsiTheme="majorHAnsi" w:cstheme="majorHAnsi"/>
                <w:sz w:val="22"/>
                <w:szCs w:val="22"/>
              </w:rPr>
              <w:t>X</w:t>
            </w:r>
          </w:p>
        </w:tc>
      </w:tr>
      <w:tr w:rsidR="00576F18" w:rsidRPr="00576F18" w14:paraId="532D9A5F" w14:textId="77777777" w:rsidTr="00576F18">
        <w:trPr>
          <w:trHeight w:val="244"/>
        </w:trPr>
        <w:tc>
          <w:tcPr>
            <w:tcW w:w="2933" w:type="pct"/>
          </w:tcPr>
          <w:p w14:paraId="03CE1663" w14:textId="734F38D2" w:rsidR="00576F18" w:rsidRPr="00576F18" w:rsidRDefault="00576F18" w:rsidP="006E5FA7">
            <w:pPr>
              <w:pStyle w:val="TableText"/>
              <w:spacing w:before="60" w:after="60"/>
              <w:rPr>
                <w:rFonts w:asciiTheme="majorHAnsi" w:hAnsiTheme="majorHAnsi" w:cstheme="majorHAnsi"/>
                <w:sz w:val="22"/>
                <w:szCs w:val="22"/>
              </w:rPr>
            </w:pPr>
            <w:r w:rsidRPr="00576F18">
              <w:rPr>
                <w:rFonts w:asciiTheme="majorHAnsi" w:hAnsiTheme="majorHAnsi" w:cstheme="majorHAnsi"/>
                <w:sz w:val="22"/>
                <w:szCs w:val="22"/>
              </w:rPr>
              <w:t>Outcome evaluation final report</w:t>
            </w:r>
          </w:p>
        </w:tc>
        <w:tc>
          <w:tcPr>
            <w:tcW w:w="518" w:type="pct"/>
          </w:tcPr>
          <w:p w14:paraId="17C6C89F" w14:textId="77777777" w:rsidR="00576F18" w:rsidRPr="00576F18" w:rsidRDefault="00576F18" w:rsidP="006E5FA7">
            <w:pPr>
              <w:pStyle w:val="TableText"/>
              <w:spacing w:before="60" w:after="60"/>
              <w:jc w:val="center"/>
              <w:rPr>
                <w:rFonts w:asciiTheme="majorHAnsi" w:hAnsiTheme="majorHAnsi" w:cstheme="majorHAnsi"/>
                <w:sz w:val="22"/>
                <w:szCs w:val="22"/>
              </w:rPr>
            </w:pPr>
          </w:p>
        </w:tc>
        <w:tc>
          <w:tcPr>
            <w:tcW w:w="518" w:type="pct"/>
          </w:tcPr>
          <w:p w14:paraId="400B3EF9" w14:textId="77777777" w:rsidR="00576F18" w:rsidRPr="00576F18" w:rsidRDefault="00576F18" w:rsidP="006E5FA7">
            <w:pPr>
              <w:pStyle w:val="TableText"/>
              <w:spacing w:before="60" w:after="60"/>
              <w:jc w:val="center"/>
              <w:rPr>
                <w:rFonts w:asciiTheme="majorHAnsi" w:hAnsiTheme="majorHAnsi" w:cstheme="majorHAnsi"/>
                <w:sz w:val="22"/>
                <w:szCs w:val="22"/>
              </w:rPr>
            </w:pPr>
          </w:p>
        </w:tc>
        <w:tc>
          <w:tcPr>
            <w:tcW w:w="518" w:type="pct"/>
          </w:tcPr>
          <w:p w14:paraId="0A7BADAD" w14:textId="033F023D" w:rsidR="00576F18" w:rsidRPr="00576F18" w:rsidRDefault="00576F18" w:rsidP="006E5FA7">
            <w:pPr>
              <w:pStyle w:val="TableText"/>
              <w:spacing w:before="60" w:after="60"/>
              <w:jc w:val="center"/>
              <w:rPr>
                <w:rFonts w:asciiTheme="majorHAnsi" w:hAnsiTheme="majorHAnsi" w:cstheme="majorHAnsi"/>
                <w:sz w:val="22"/>
                <w:szCs w:val="22"/>
              </w:rPr>
            </w:pPr>
          </w:p>
        </w:tc>
        <w:tc>
          <w:tcPr>
            <w:tcW w:w="514" w:type="pct"/>
          </w:tcPr>
          <w:p w14:paraId="45C289CF" w14:textId="77777777" w:rsidR="00576F18" w:rsidRPr="00576F18" w:rsidRDefault="00576F18" w:rsidP="006E5FA7">
            <w:pPr>
              <w:pStyle w:val="TableText"/>
              <w:spacing w:before="60" w:after="60"/>
              <w:jc w:val="center"/>
              <w:rPr>
                <w:rFonts w:asciiTheme="majorHAnsi" w:hAnsiTheme="majorHAnsi" w:cstheme="majorHAnsi"/>
                <w:sz w:val="22"/>
                <w:szCs w:val="22"/>
              </w:rPr>
            </w:pPr>
            <w:r w:rsidRPr="00576F18">
              <w:rPr>
                <w:rFonts w:asciiTheme="majorHAnsi" w:hAnsiTheme="majorHAnsi" w:cstheme="majorHAnsi"/>
                <w:sz w:val="22"/>
                <w:szCs w:val="22"/>
              </w:rPr>
              <w:t>X</w:t>
            </w:r>
          </w:p>
        </w:tc>
      </w:tr>
      <w:tr w:rsidR="00576F18" w:rsidRPr="00576F18" w14:paraId="0E679526" w14:textId="77777777" w:rsidTr="00576F18">
        <w:trPr>
          <w:trHeight w:val="234"/>
        </w:trPr>
        <w:tc>
          <w:tcPr>
            <w:tcW w:w="2933" w:type="pct"/>
          </w:tcPr>
          <w:p w14:paraId="178815FE" w14:textId="12C7FA5E" w:rsidR="00576F18" w:rsidRPr="00576F18" w:rsidRDefault="00576F18" w:rsidP="006E5FA7">
            <w:pPr>
              <w:pStyle w:val="TableText"/>
              <w:spacing w:before="60" w:after="60"/>
              <w:rPr>
                <w:rFonts w:asciiTheme="majorHAnsi" w:hAnsiTheme="majorHAnsi" w:cstheme="majorHAnsi"/>
                <w:sz w:val="22"/>
                <w:szCs w:val="22"/>
              </w:rPr>
            </w:pPr>
            <w:r w:rsidRPr="00576F18">
              <w:rPr>
                <w:rFonts w:asciiTheme="majorHAnsi" w:hAnsiTheme="majorHAnsi" w:cstheme="majorHAnsi"/>
                <w:sz w:val="22"/>
                <w:szCs w:val="22"/>
              </w:rPr>
              <w:t>Summary evaluation report</w:t>
            </w:r>
          </w:p>
        </w:tc>
        <w:tc>
          <w:tcPr>
            <w:tcW w:w="518" w:type="pct"/>
          </w:tcPr>
          <w:p w14:paraId="2102D5A4" w14:textId="77777777" w:rsidR="00576F18" w:rsidRPr="00576F18" w:rsidRDefault="00576F18" w:rsidP="006E5FA7">
            <w:pPr>
              <w:pStyle w:val="TableText"/>
              <w:spacing w:before="60" w:after="60"/>
              <w:jc w:val="center"/>
              <w:rPr>
                <w:rFonts w:asciiTheme="majorHAnsi" w:hAnsiTheme="majorHAnsi" w:cstheme="majorHAnsi"/>
                <w:sz w:val="22"/>
                <w:szCs w:val="22"/>
              </w:rPr>
            </w:pPr>
          </w:p>
        </w:tc>
        <w:tc>
          <w:tcPr>
            <w:tcW w:w="518" w:type="pct"/>
          </w:tcPr>
          <w:p w14:paraId="04CABA44" w14:textId="0526DC7D" w:rsidR="00576F18" w:rsidRPr="00576F18" w:rsidRDefault="00576F18" w:rsidP="006E5FA7">
            <w:pPr>
              <w:pStyle w:val="TableText"/>
              <w:spacing w:before="60" w:after="60"/>
              <w:jc w:val="center"/>
              <w:rPr>
                <w:rFonts w:asciiTheme="majorHAnsi" w:hAnsiTheme="majorHAnsi" w:cstheme="majorHAnsi"/>
                <w:sz w:val="22"/>
                <w:szCs w:val="22"/>
              </w:rPr>
            </w:pPr>
          </w:p>
        </w:tc>
        <w:tc>
          <w:tcPr>
            <w:tcW w:w="518" w:type="pct"/>
          </w:tcPr>
          <w:p w14:paraId="70587354" w14:textId="62CA3C72" w:rsidR="00576F18" w:rsidRPr="00576F18" w:rsidRDefault="00576F18" w:rsidP="006E5FA7">
            <w:pPr>
              <w:pStyle w:val="TableText"/>
              <w:spacing w:before="60" w:after="60"/>
              <w:jc w:val="center"/>
              <w:rPr>
                <w:rFonts w:asciiTheme="majorHAnsi" w:hAnsiTheme="majorHAnsi" w:cstheme="majorHAnsi"/>
                <w:sz w:val="22"/>
                <w:szCs w:val="22"/>
              </w:rPr>
            </w:pPr>
          </w:p>
        </w:tc>
        <w:tc>
          <w:tcPr>
            <w:tcW w:w="514" w:type="pct"/>
          </w:tcPr>
          <w:p w14:paraId="0C4D594D" w14:textId="77777777" w:rsidR="00576F18" w:rsidRPr="00576F18" w:rsidRDefault="00576F18" w:rsidP="006E5FA7">
            <w:pPr>
              <w:pStyle w:val="TableText"/>
              <w:spacing w:before="60" w:after="60"/>
              <w:jc w:val="center"/>
              <w:rPr>
                <w:rFonts w:asciiTheme="majorHAnsi" w:hAnsiTheme="majorHAnsi" w:cstheme="majorHAnsi"/>
                <w:sz w:val="22"/>
                <w:szCs w:val="22"/>
              </w:rPr>
            </w:pPr>
            <w:r w:rsidRPr="00576F18">
              <w:rPr>
                <w:rFonts w:asciiTheme="majorHAnsi" w:hAnsiTheme="majorHAnsi" w:cstheme="majorHAnsi"/>
                <w:sz w:val="22"/>
                <w:szCs w:val="22"/>
              </w:rPr>
              <w:t>X</w:t>
            </w:r>
          </w:p>
        </w:tc>
      </w:tr>
    </w:tbl>
    <w:p w14:paraId="4F4DB6A0" w14:textId="26CB7272" w:rsidR="002E0F1A" w:rsidRPr="002E0F1A" w:rsidRDefault="002E0F1A" w:rsidP="00576F18">
      <w:pPr>
        <w:rPr>
          <w:rFonts w:asciiTheme="majorHAnsi" w:hAnsiTheme="majorHAnsi" w:cstheme="majorHAnsi"/>
          <w:sz w:val="22"/>
        </w:rPr>
      </w:pPr>
    </w:p>
    <w:p w14:paraId="0E65255E" w14:textId="38215934" w:rsidR="00601F2A" w:rsidRPr="002238BD" w:rsidRDefault="00601F2A">
      <w:pPr>
        <w:rPr>
          <w:rFonts w:asciiTheme="majorHAnsi" w:eastAsiaTheme="majorEastAsia" w:hAnsiTheme="majorHAnsi" w:cstheme="majorBidi"/>
          <w:b/>
          <w:szCs w:val="24"/>
        </w:rPr>
      </w:pPr>
    </w:p>
    <w:p w14:paraId="5957402B" w14:textId="77777777" w:rsidR="008F7072" w:rsidRPr="002238BD" w:rsidRDefault="008D1D4A" w:rsidP="00B15A27">
      <w:pPr>
        <w:pStyle w:val="Heading3"/>
        <w:numPr>
          <w:ilvl w:val="0"/>
          <w:numId w:val="9"/>
        </w:numPr>
        <w:rPr>
          <w:b/>
          <w:u w:val="none"/>
        </w:rPr>
      </w:pPr>
      <w:r w:rsidRPr="002238BD">
        <w:rPr>
          <w:b/>
          <w:u w:val="none"/>
        </w:rPr>
        <w:t>If seeking approval to not display the expiration date for OMB approval of the information collection, explain the reasons that display would be inappropriate.</w:t>
      </w:r>
    </w:p>
    <w:p w14:paraId="0345943B" w14:textId="77777777" w:rsidR="008F7072" w:rsidRPr="002238BD" w:rsidRDefault="008F7072" w:rsidP="008F7072"/>
    <w:p w14:paraId="3929B8BB" w14:textId="77777777" w:rsidR="00B53EA7" w:rsidRPr="002238BD" w:rsidRDefault="00B53EA7" w:rsidP="00B53EA7">
      <w:pPr>
        <w:ind w:left="720"/>
      </w:pPr>
      <w:r w:rsidRPr="002238BD">
        <w:t>We are requesting no exemption.</w:t>
      </w:r>
    </w:p>
    <w:p w14:paraId="379FE3A2" w14:textId="68232B96" w:rsidR="00601F2A" w:rsidRPr="002238BD" w:rsidRDefault="00601F2A">
      <w:pPr>
        <w:rPr>
          <w:rFonts w:asciiTheme="majorHAnsi" w:eastAsiaTheme="majorEastAsia" w:hAnsiTheme="majorHAnsi" w:cstheme="majorBidi"/>
          <w:b/>
          <w:szCs w:val="24"/>
        </w:rPr>
      </w:pPr>
    </w:p>
    <w:p w14:paraId="0BEC8A82" w14:textId="77777777" w:rsidR="008D1D4A" w:rsidRPr="002238BD" w:rsidRDefault="008D1D4A" w:rsidP="00B15A27">
      <w:pPr>
        <w:pStyle w:val="Heading3"/>
        <w:numPr>
          <w:ilvl w:val="0"/>
          <w:numId w:val="9"/>
        </w:numPr>
        <w:rPr>
          <w:b/>
          <w:u w:val="none"/>
        </w:rPr>
      </w:pPr>
      <w:r w:rsidRPr="002238BD">
        <w:rPr>
          <w:b/>
          <w:u w:val="none"/>
        </w:rPr>
        <w:t>Explain each exception to the certification</w:t>
      </w:r>
      <w:r w:rsidR="008F7072" w:rsidRPr="002238BD">
        <w:rPr>
          <w:b/>
          <w:u w:val="none"/>
        </w:rPr>
        <w:t xml:space="preserve"> </w:t>
      </w:r>
      <w:r w:rsidRPr="002238BD">
        <w:rPr>
          <w:b/>
          <w:u w:val="none"/>
        </w:rPr>
        <w:t>statement identified in Item 19, "Certification for</w:t>
      </w:r>
      <w:r w:rsidR="008F7072" w:rsidRPr="002238BD">
        <w:rPr>
          <w:b/>
          <w:u w:val="none"/>
        </w:rPr>
        <w:t xml:space="preserve"> </w:t>
      </w:r>
      <w:r w:rsidRPr="002238BD">
        <w:rPr>
          <w:b/>
          <w:u w:val="none"/>
        </w:rPr>
        <w:t>Paperwork Reduction Act Submissions," of OMB Form</w:t>
      </w:r>
      <w:r w:rsidR="008F7072" w:rsidRPr="002238BD">
        <w:rPr>
          <w:b/>
          <w:u w:val="none"/>
        </w:rPr>
        <w:t xml:space="preserve"> </w:t>
      </w:r>
      <w:r w:rsidRPr="002238BD">
        <w:rPr>
          <w:b/>
          <w:u w:val="none"/>
        </w:rPr>
        <w:t>83-I.</w:t>
      </w:r>
    </w:p>
    <w:p w14:paraId="0C8A5534" w14:textId="77777777" w:rsidR="00DE2489" w:rsidRPr="002238BD" w:rsidRDefault="00DE2489" w:rsidP="00DE2489"/>
    <w:p w14:paraId="06178CEA" w14:textId="4FAA47E1" w:rsidR="00712260" w:rsidRPr="002238BD" w:rsidRDefault="001C5BB2" w:rsidP="006E65E1">
      <w:pPr>
        <w:ind w:left="720"/>
        <w:rPr>
          <w:rFonts w:ascii="Times New Roman" w:hAnsi="Times New Roman" w:cs="Times New Roman"/>
          <w:szCs w:val="24"/>
        </w:rPr>
      </w:pPr>
      <w:r w:rsidRPr="002238BD">
        <w:rPr>
          <w:rFonts w:ascii="Times New Roman" w:hAnsi="Times New Roman" w:cs="Times New Roman"/>
          <w:szCs w:val="24"/>
        </w:rPr>
        <w:t>There are no exceptions to the certification. These activities comply with the requirements in 5 CFR 1320.9.</w:t>
      </w:r>
    </w:p>
    <w:p w14:paraId="1D810994" w14:textId="18ABFE78" w:rsidR="004049B1" w:rsidRPr="002238BD" w:rsidRDefault="004049B1" w:rsidP="004049B1">
      <w:pPr>
        <w:rPr>
          <w:rFonts w:ascii="Times New Roman" w:hAnsi="Times New Roman" w:cs="Times New Roman"/>
          <w:szCs w:val="24"/>
        </w:rPr>
      </w:pPr>
    </w:p>
    <w:p w14:paraId="194E0688" w14:textId="7F688533" w:rsidR="004049B1" w:rsidRPr="002238BD" w:rsidRDefault="004049B1" w:rsidP="004049B1">
      <w:pPr>
        <w:rPr>
          <w:rFonts w:ascii="Times New Roman" w:hAnsi="Times New Roman" w:cs="Times New Roman"/>
          <w:b/>
          <w:szCs w:val="24"/>
        </w:rPr>
      </w:pPr>
      <w:r w:rsidRPr="002238BD">
        <w:rPr>
          <w:rFonts w:ascii="Times New Roman" w:hAnsi="Times New Roman" w:cs="Times New Roman"/>
          <w:b/>
          <w:szCs w:val="24"/>
        </w:rPr>
        <w:t>LIST OF ATTACHMENTS – Section A</w:t>
      </w:r>
    </w:p>
    <w:p w14:paraId="67CAEB8A" w14:textId="7899944D" w:rsidR="004049B1" w:rsidRPr="002238BD" w:rsidRDefault="004049B1" w:rsidP="004049B1">
      <w:pPr>
        <w:rPr>
          <w:rFonts w:ascii="Times New Roman" w:hAnsi="Times New Roman" w:cs="Times New Roman"/>
          <w:b/>
          <w:szCs w:val="24"/>
        </w:rPr>
      </w:pPr>
    </w:p>
    <w:p w14:paraId="36DB4928" w14:textId="30ACCBBB" w:rsidR="004049B1" w:rsidRPr="002238BD" w:rsidRDefault="004049B1" w:rsidP="004049B1">
      <w:pPr>
        <w:rPr>
          <w:rFonts w:ascii="Times New Roman" w:hAnsi="Times New Roman" w:cs="Times New Roman"/>
          <w:szCs w:val="24"/>
        </w:rPr>
      </w:pPr>
      <w:r w:rsidRPr="002238BD">
        <w:rPr>
          <w:rFonts w:ascii="Times New Roman" w:hAnsi="Times New Roman" w:cs="Times New Roman"/>
          <w:szCs w:val="24"/>
        </w:rPr>
        <w:t>Note: Attachments are included as separate files as instructed.</w:t>
      </w:r>
    </w:p>
    <w:p w14:paraId="70108ED0" w14:textId="3BBB8CB0" w:rsidR="004049B1" w:rsidRPr="002238BD" w:rsidRDefault="004049B1" w:rsidP="004049B1">
      <w:pPr>
        <w:rPr>
          <w:rFonts w:ascii="Times New Roman" w:hAnsi="Times New Roman" w:cs="Times New Roman"/>
          <w:szCs w:val="24"/>
        </w:rPr>
      </w:pPr>
    </w:p>
    <w:p w14:paraId="7116EF4E" w14:textId="1756D2A8" w:rsidR="007C78B1" w:rsidRDefault="007C78B1" w:rsidP="000F54E6">
      <w:pPr>
        <w:pStyle w:val="ListParagraph"/>
        <w:numPr>
          <w:ilvl w:val="0"/>
          <w:numId w:val="15"/>
        </w:numPr>
        <w:spacing w:line="360" w:lineRule="auto"/>
        <w:rPr>
          <w:rFonts w:ascii="Times New Roman" w:hAnsi="Times New Roman" w:cs="Times New Roman"/>
          <w:szCs w:val="24"/>
        </w:rPr>
      </w:pPr>
      <w:r w:rsidRPr="002238BD">
        <w:t>Protecting Access to Medicare Act</w:t>
      </w:r>
      <w:r>
        <w:t xml:space="preserve"> Section 224 (Attachment A)</w:t>
      </w:r>
    </w:p>
    <w:p w14:paraId="36F32739" w14:textId="68935AAF" w:rsidR="004049B1" w:rsidRPr="002238BD" w:rsidRDefault="00002849" w:rsidP="000F54E6">
      <w:pPr>
        <w:pStyle w:val="ListParagraph"/>
        <w:numPr>
          <w:ilvl w:val="0"/>
          <w:numId w:val="15"/>
        </w:numPr>
        <w:spacing w:line="360" w:lineRule="auto"/>
        <w:rPr>
          <w:rFonts w:ascii="Times New Roman" w:hAnsi="Times New Roman" w:cs="Times New Roman"/>
          <w:szCs w:val="24"/>
        </w:rPr>
      </w:pPr>
      <w:r w:rsidRPr="002238BD">
        <w:rPr>
          <w:rFonts w:ascii="Times New Roman" w:hAnsi="Times New Roman" w:cs="Times New Roman"/>
          <w:szCs w:val="24"/>
        </w:rPr>
        <w:t xml:space="preserve">Structured Client Interview </w:t>
      </w:r>
      <w:r w:rsidR="004049B1" w:rsidRPr="002238BD">
        <w:rPr>
          <w:rFonts w:ascii="Times New Roman" w:hAnsi="Times New Roman" w:cs="Times New Roman"/>
          <w:szCs w:val="24"/>
        </w:rPr>
        <w:t xml:space="preserve">(Attachment </w:t>
      </w:r>
      <w:r w:rsidR="007E534C">
        <w:rPr>
          <w:rFonts w:ascii="Times New Roman" w:hAnsi="Times New Roman" w:cs="Times New Roman"/>
          <w:szCs w:val="24"/>
        </w:rPr>
        <w:t>B</w:t>
      </w:r>
      <w:r w:rsidR="004049B1" w:rsidRPr="002238BD">
        <w:rPr>
          <w:rFonts w:ascii="Times New Roman" w:hAnsi="Times New Roman" w:cs="Times New Roman"/>
          <w:szCs w:val="24"/>
        </w:rPr>
        <w:t>)</w:t>
      </w:r>
    </w:p>
    <w:p w14:paraId="32BF8FC1" w14:textId="6863365B" w:rsidR="004049B1" w:rsidRPr="002238BD" w:rsidRDefault="002238BD" w:rsidP="000F54E6">
      <w:pPr>
        <w:pStyle w:val="ListParagraph"/>
        <w:numPr>
          <w:ilvl w:val="0"/>
          <w:numId w:val="15"/>
        </w:numPr>
        <w:spacing w:line="360" w:lineRule="auto"/>
        <w:rPr>
          <w:rFonts w:ascii="Times New Roman" w:hAnsi="Times New Roman" w:cs="Times New Roman"/>
          <w:szCs w:val="24"/>
        </w:rPr>
      </w:pPr>
      <w:r w:rsidRPr="002238BD">
        <w:rPr>
          <w:rFonts w:ascii="Times New Roman" w:hAnsi="Times New Roman" w:cs="Times New Roman"/>
          <w:szCs w:val="24"/>
        </w:rPr>
        <w:t xml:space="preserve">Family Satisfaction Survey </w:t>
      </w:r>
      <w:r w:rsidR="004049B1" w:rsidRPr="002238BD">
        <w:rPr>
          <w:rFonts w:ascii="Times New Roman" w:hAnsi="Times New Roman" w:cs="Times New Roman"/>
          <w:szCs w:val="24"/>
        </w:rPr>
        <w:t xml:space="preserve">(Attachment </w:t>
      </w:r>
      <w:r w:rsidR="007E534C">
        <w:rPr>
          <w:rFonts w:ascii="Times New Roman" w:hAnsi="Times New Roman" w:cs="Times New Roman"/>
          <w:szCs w:val="24"/>
        </w:rPr>
        <w:t>C</w:t>
      </w:r>
      <w:r w:rsidR="004049B1" w:rsidRPr="002238BD">
        <w:rPr>
          <w:rFonts w:ascii="Times New Roman" w:hAnsi="Times New Roman" w:cs="Times New Roman"/>
          <w:szCs w:val="24"/>
        </w:rPr>
        <w:t>)</w:t>
      </w:r>
    </w:p>
    <w:p w14:paraId="779F8CCD" w14:textId="4A2BDB72" w:rsidR="007745C6" w:rsidRDefault="002238BD" w:rsidP="004A6A72">
      <w:pPr>
        <w:pStyle w:val="ListParagraph"/>
        <w:numPr>
          <w:ilvl w:val="0"/>
          <w:numId w:val="15"/>
        </w:numPr>
        <w:spacing w:line="360" w:lineRule="auto"/>
        <w:rPr>
          <w:rFonts w:ascii="Times New Roman" w:hAnsi="Times New Roman" w:cs="Times New Roman"/>
          <w:szCs w:val="24"/>
        </w:rPr>
      </w:pPr>
      <w:r w:rsidRPr="002238BD">
        <w:rPr>
          <w:rFonts w:ascii="Times New Roman" w:hAnsi="Times New Roman" w:cs="Times New Roman"/>
          <w:szCs w:val="24"/>
        </w:rPr>
        <w:t xml:space="preserve">Cost Questionnaire </w:t>
      </w:r>
      <w:r w:rsidR="004049B1" w:rsidRPr="002238BD">
        <w:rPr>
          <w:rFonts w:ascii="Times New Roman" w:hAnsi="Times New Roman" w:cs="Times New Roman"/>
          <w:szCs w:val="24"/>
        </w:rPr>
        <w:t xml:space="preserve">(Attachment </w:t>
      </w:r>
      <w:r w:rsidR="007E534C">
        <w:rPr>
          <w:rFonts w:ascii="Times New Roman" w:hAnsi="Times New Roman" w:cs="Times New Roman"/>
          <w:szCs w:val="24"/>
        </w:rPr>
        <w:t>D</w:t>
      </w:r>
      <w:r w:rsidR="004049B1" w:rsidRPr="002238BD">
        <w:rPr>
          <w:rFonts w:ascii="Times New Roman" w:hAnsi="Times New Roman" w:cs="Times New Roman"/>
          <w:szCs w:val="24"/>
        </w:rPr>
        <w:t>)</w:t>
      </w:r>
    </w:p>
    <w:p w14:paraId="0F8E709F" w14:textId="76ABD87D" w:rsidR="008C0FC7" w:rsidRDefault="008C0FC7" w:rsidP="004A6A72">
      <w:pPr>
        <w:pStyle w:val="ListParagraph"/>
        <w:numPr>
          <w:ilvl w:val="0"/>
          <w:numId w:val="15"/>
        </w:numPr>
        <w:spacing w:line="360" w:lineRule="auto"/>
        <w:rPr>
          <w:rFonts w:ascii="Times New Roman" w:hAnsi="Times New Roman" w:cs="Times New Roman"/>
          <w:szCs w:val="24"/>
        </w:rPr>
      </w:pPr>
      <w:r>
        <w:rPr>
          <w:rFonts w:ascii="Times New Roman" w:hAnsi="Times New Roman" w:cs="Times New Roman"/>
          <w:szCs w:val="24"/>
        </w:rPr>
        <w:t>Docket Case Monitoring Form (Attachment E)</w:t>
      </w:r>
    </w:p>
    <w:p w14:paraId="399D2753" w14:textId="3EB1264B" w:rsidR="008C0FC7" w:rsidRPr="004A6A72" w:rsidRDefault="008C0FC7" w:rsidP="004A6A72">
      <w:pPr>
        <w:pStyle w:val="ListParagraph"/>
        <w:numPr>
          <w:ilvl w:val="0"/>
          <w:numId w:val="15"/>
        </w:numPr>
        <w:spacing w:line="360" w:lineRule="auto"/>
        <w:rPr>
          <w:rFonts w:ascii="Times New Roman" w:hAnsi="Times New Roman" w:cs="Times New Roman"/>
          <w:szCs w:val="24"/>
        </w:rPr>
      </w:pPr>
      <w:r>
        <w:rPr>
          <w:rFonts w:ascii="Times New Roman" w:hAnsi="Times New Roman" w:cs="Times New Roman"/>
          <w:szCs w:val="24"/>
        </w:rPr>
        <w:t>AOT Characteristics Form (Attachment F)</w:t>
      </w:r>
    </w:p>
    <w:sectPr w:rsidR="008C0FC7" w:rsidRPr="004A6A7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D8A241" w16cid:durableId="1EDDF0F0"/>
  <w16cid:commentId w16cid:paraId="6B1A12A8" w16cid:durableId="1EDDF25C"/>
  <w16cid:commentId w16cid:paraId="5C48981D" w16cid:durableId="1EDDF0F1"/>
  <w16cid:commentId w16cid:paraId="7056D16B" w16cid:durableId="1EDDF268"/>
  <w16cid:commentId w16cid:paraId="0E2FA4C6" w16cid:durableId="1EDDF0F2"/>
  <w16cid:commentId w16cid:paraId="4ABEDCB6" w16cid:durableId="1EE9C6E5"/>
  <w16cid:commentId w16cid:paraId="2E658FA2" w16cid:durableId="1EDDF0F3"/>
  <w16cid:commentId w16cid:paraId="62A98501" w16cid:durableId="1EDDF3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1CB1C" w14:textId="77777777" w:rsidR="00E0583E" w:rsidRDefault="00E0583E" w:rsidP="00B73692">
      <w:r>
        <w:separator/>
      </w:r>
    </w:p>
  </w:endnote>
  <w:endnote w:type="continuationSeparator" w:id="0">
    <w:p w14:paraId="0B6C1ED8" w14:textId="77777777" w:rsidR="00E0583E" w:rsidRDefault="00E0583E" w:rsidP="00B73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71C89" w14:textId="77777777" w:rsidR="00A3388A" w:rsidRDefault="00A3388A" w:rsidP="00A338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BE5651" w14:textId="77777777" w:rsidR="00A3388A" w:rsidRDefault="00A3388A" w:rsidP="00291C4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4B36A" w14:textId="59851267" w:rsidR="00A3388A" w:rsidRDefault="00A3388A" w:rsidP="00A338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7563">
      <w:rPr>
        <w:rStyle w:val="PageNumber"/>
        <w:noProof/>
      </w:rPr>
      <w:t>1</w:t>
    </w:r>
    <w:r>
      <w:rPr>
        <w:rStyle w:val="PageNumber"/>
      </w:rPr>
      <w:fldChar w:fldCharType="end"/>
    </w:r>
  </w:p>
  <w:p w14:paraId="0643D93B" w14:textId="77777777" w:rsidR="00A3388A" w:rsidRDefault="00A3388A" w:rsidP="00291C4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8461C" w14:textId="77777777" w:rsidR="007279C9" w:rsidRDefault="007279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D6D31" w14:textId="77777777" w:rsidR="00E0583E" w:rsidRDefault="00E0583E" w:rsidP="00B73692">
      <w:r>
        <w:separator/>
      </w:r>
    </w:p>
  </w:footnote>
  <w:footnote w:type="continuationSeparator" w:id="0">
    <w:p w14:paraId="53E13516" w14:textId="77777777" w:rsidR="00E0583E" w:rsidRDefault="00E0583E" w:rsidP="00B73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C9C63" w14:textId="77777777" w:rsidR="007279C9" w:rsidRDefault="007279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F339D" w14:textId="77777777" w:rsidR="007279C9" w:rsidRDefault="007279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6C947" w14:textId="77777777" w:rsidR="007279C9" w:rsidRDefault="007279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37FE5"/>
    <w:multiLevelType w:val="hybridMultilevel"/>
    <w:tmpl w:val="B2BA1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B84FFA"/>
    <w:multiLevelType w:val="hybridMultilevel"/>
    <w:tmpl w:val="92C2C322"/>
    <w:lvl w:ilvl="0" w:tplc="8148342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A0B8A"/>
    <w:multiLevelType w:val="hybridMultilevel"/>
    <w:tmpl w:val="56CC2642"/>
    <w:lvl w:ilvl="0" w:tplc="BFFE0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B45E67"/>
    <w:multiLevelType w:val="hybridMultilevel"/>
    <w:tmpl w:val="991C2D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1506CE"/>
    <w:multiLevelType w:val="hybridMultilevel"/>
    <w:tmpl w:val="9676B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222C48"/>
    <w:multiLevelType w:val="hybridMultilevel"/>
    <w:tmpl w:val="E0FCBDD6"/>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hint="default"/>
      </w:rPr>
    </w:lvl>
    <w:lvl w:ilvl="2" w:tplc="FDEE1AC4">
      <w:start w:val="1"/>
      <w:numFmt w:val="lowerLetter"/>
      <w:lvlText w:val="%3."/>
      <w:lvlJc w:val="left"/>
      <w:pPr>
        <w:ind w:left="3240" w:hanging="360"/>
      </w:pPr>
      <w:rPr>
        <w:rFont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D86140"/>
    <w:multiLevelType w:val="hybridMultilevel"/>
    <w:tmpl w:val="47A4B5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F425DB"/>
    <w:multiLevelType w:val="hybridMultilevel"/>
    <w:tmpl w:val="D3F60934"/>
    <w:lvl w:ilvl="0" w:tplc="09B4C374">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346F6E"/>
    <w:multiLevelType w:val="hybridMultilevel"/>
    <w:tmpl w:val="F5683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325BE6"/>
    <w:multiLevelType w:val="hybridMultilevel"/>
    <w:tmpl w:val="786AF5AA"/>
    <w:lvl w:ilvl="0" w:tplc="4E5C8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B64430"/>
    <w:multiLevelType w:val="hybridMultilevel"/>
    <w:tmpl w:val="56DEF65A"/>
    <w:lvl w:ilvl="0" w:tplc="B9267D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9B3268"/>
    <w:multiLevelType w:val="hybridMultilevel"/>
    <w:tmpl w:val="8F9A9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C55107"/>
    <w:multiLevelType w:val="hybridMultilevel"/>
    <w:tmpl w:val="47866288"/>
    <w:lvl w:ilvl="0" w:tplc="0E2899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2592195"/>
    <w:multiLevelType w:val="hybridMultilevel"/>
    <w:tmpl w:val="DE420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0"/>
  </w:num>
  <w:num w:numId="4">
    <w:abstractNumId w:val="9"/>
  </w:num>
  <w:num w:numId="5">
    <w:abstractNumId w:val="5"/>
  </w:num>
  <w:num w:numId="6">
    <w:abstractNumId w:val="6"/>
  </w:num>
  <w:num w:numId="7">
    <w:abstractNumId w:val="4"/>
  </w:num>
  <w:num w:numId="8">
    <w:abstractNumId w:val="8"/>
  </w:num>
  <w:num w:numId="9">
    <w:abstractNumId w:val="11"/>
  </w:num>
  <w:num w:numId="10">
    <w:abstractNumId w:val="3"/>
  </w:num>
  <w:num w:numId="11">
    <w:abstractNumId w:val="13"/>
  </w:num>
  <w:num w:numId="12">
    <w:abstractNumId w:val="10"/>
  </w:num>
  <w:num w:numId="13">
    <w:abstractNumId w:val="1"/>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41"/>
    <w:rsid w:val="00002849"/>
    <w:rsid w:val="000028C1"/>
    <w:rsid w:val="00013A4A"/>
    <w:rsid w:val="00023325"/>
    <w:rsid w:val="00025D2A"/>
    <w:rsid w:val="00026734"/>
    <w:rsid w:val="00051802"/>
    <w:rsid w:val="0005661B"/>
    <w:rsid w:val="00071081"/>
    <w:rsid w:val="00072A63"/>
    <w:rsid w:val="00094BCA"/>
    <w:rsid w:val="000976DE"/>
    <w:rsid w:val="000B1C0C"/>
    <w:rsid w:val="000B4EF1"/>
    <w:rsid w:val="000B5C0F"/>
    <w:rsid w:val="000B635F"/>
    <w:rsid w:val="000C77B0"/>
    <w:rsid w:val="000E35FA"/>
    <w:rsid w:val="000F0790"/>
    <w:rsid w:val="000F54E6"/>
    <w:rsid w:val="000F66A2"/>
    <w:rsid w:val="00107248"/>
    <w:rsid w:val="00116AD7"/>
    <w:rsid w:val="00117734"/>
    <w:rsid w:val="001247F4"/>
    <w:rsid w:val="00132DA8"/>
    <w:rsid w:val="00157216"/>
    <w:rsid w:val="00161DB6"/>
    <w:rsid w:val="00172F2A"/>
    <w:rsid w:val="00173887"/>
    <w:rsid w:val="00175EE6"/>
    <w:rsid w:val="00181B0B"/>
    <w:rsid w:val="00182E44"/>
    <w:rsid w:val="00193012"/>
    <w:rsid w:val="001B0217"/>
    <w:rsid w:val="001B4A67"/>
    <w:rsid w:val="001C5BB2"/>
    <w:rsid w:val="001C71AC"/>
    <w:rsid w:val="001D2DB7"/>
    <w:rsid w:val="001E5F36"/>
    <w:rsid w:val="001F2A99"/>
    <w:rsid w:val="002062FA"/>
    <w:rsid w:val="002215B0"/>
    <w:rsid w:val="00221C82"/>
    <w:rsid w:val="00223383"/>
    <w:rsid w:val="002238BD"/>
    <w:rsid w:val="00232618"/>
    <w:rsid w:val="00243169"/>
    <w:rsid w:val="002666FF"/>
    <w:rsid w:val="00266AD7"/>
    <w:rsid w:val="002811EF"/>
    <w:rsid w:val="0028489D"/>
    <w:rsid w:val="00291C45"/>
    <w:rsid w:val="002B64CE"/>
    <w:rsid w:val="002B676F"/>
    <w:rsid w:val="002B72AB"/>
    <w:rsid w:val="002C09A3"/>
    <w:rsid w:val="002E0F1A"/>
    <w:rsid w:val="002E4BA2"/>
    <w:rsid w:val="002F79DA"/>
    <w:rsid w:val="0030661C"/>
    <w:rsid w:val="003075E6"/>
    <w:rsid w:val="00307713"/>
    <w:rsid w:val="00313990"/>
    <w:rsid w:val="00317A85"/>
    <w:rsid w:val="00317AF5"/>
    <w:rsid w:val="00321003"/>
    <w:rsid w:val="00322BE4"/>
    <w:rsid w:val="00330938"/>
    <w:rsid w:val="00333C7B"/>
    <w:rsid w:val="0034008B"/>
    <w:rsid w:val="00343A6F"/>
    <w:rsid w:val="00352B72"/>
    <w:rsid w:val="00356A12"/>
    <w:rsid w:val="0035788C"/>
    <w:rsid w:val="00361FB8"/>
    <w:rsid w:val="0036367B"/>
    <w:rsid w:val="00365DB8"/>
    <w:rsid w:val="00366169"/>
    <w:rsid w:val="00370BFD"/>
    <w:rsid w:val="003749CD"/>
    <w:rsid w:val="00385C6E"/>
    <w:rsid w:val="00386160"/>
    <w:rsid w:val="0039191D"/>
    <w:rsid w:val="00391F9F"/>
    <w:rsid w:val="003A4DC0"/>
    <w:rsid w:val="003C3F38"/>
    <w:rsid w:val="003D71A3"/>
    <w:rsid w:val="003E17A6"/>
    <w:rsid w:val="003E1E22"/>
    <w:rsid w:val="003E50CF"/>
    <w:rsid w:val="003E58BB"/>
    <w:rsid w:val="003F0A56"/>
    <w:rsid w:val="003F4140"/>
    <w:rsid w:val="003F792E"/>
    <w:rsid w:val="004049B1"/>
    <w:rsid w:val="00413CCB"/>
    <w:rsid w:val="00416939"/>
    <w:rsid w:val="004177B7"/>
    <w:rsid w:val="004205C7"/>
    <w:rsid w:val="004250E0"/>
    <w:rsid w:val="004317D2"/>
    <w:rsid w:val="0044702E"/>
    <w:rsid w:val="00461221"/>
    <w:rsid w:val="00464ED4"/>
    <w:rsid w:val="00473542"/>
    <w:rsid w:val="00480651"/>
    <w:rsid w:val="004809C1"/>
    <w:rsid w:val="00482734"/>
    <w:rsid w:val="0048733B"/>
    <w:rsid w:val="004A2271"/>
    <w:rsid w:val="004A324C"/>
    <w:rsid w:val="004A6A72"/>
    <w:rsid w:val="004D428E"/>
    <w:rsid w:val="004D444B"/>
    <w:rsid w:val="004E03D6"/>
    <w:rsid w:val="004E2644"/>
    <w:rsid w:val="004E3AE2"/>
    <w:rsid w:val="004E4C5B"/>
    <w:rsid w:val="004F08C2"/>
    <w:rsid w:val="004F1340"/>
    <w:rsid w:val="004F2C2D"/>
    <w:rsid w:val="004F4CA0"/>
    <w:rsid w:val="004F5D5B"/>
    <w:rsid w:val="0050038E"/>
    <w:rsid w:val="005120CA"/>
    <w:rsid w:val="00527A48"/>
    <w:rsid w:val="00530E54"/>
    <w:rsid w:val="00534DE0"/>
    <w:rsid w:val="00535385"/>
    <w:rsid w:val="00535A01"/>
    <w:rsid w:val="00536E13"/>
    <w:rsid w:val="00540CE0"/>
    <w:rsid w:val="00542BD6"/>
    <w:rsid w:val="00543AC1"/>
    <w:rsid w:val="00546406"/>
    <w:rsid w:val="0055126D"/>
    <w:rsid w:val="005517B2"/>
    <w:rsid w:val="00576F18"/>
    <w:rsid w:val="00584C0F"/>
    <w:rsid w:val="00586D2B"/>
    <w:rsid w:val="005927A9"/>
    <w:rsid w:val="005938E8"/>
    <w:rsid w:val="005942BF"/>
    <w:rsid w:val="00595874"/>
    <w:rsid w:val="005A3F76"/>
    <w:rsid w:val="005A69E1"/>
    <w:rsid w:val="005B3432"/>
    <w:rsid w:val="005D5790"/>
    <w:rsid w:val="005D5F6D"/>
    <w:rsid w:val="005D60B9"/>
    <w:rsid w:val="005F5EE3"/>
    <w:rsid w:val="00601F2A"/>
    <w:rsid w:val="00611004"/>
    <w:rsid w:val="006128E0"/>
    <w:rsid w:val="00636D0F"/>
    <w:rsid w:val="00637A8F"/>
    <w:rsid w:val="00643CA0"/>
    <w:rsid w:val="00646937"/>
    <w:rsid w:val="00647022"/>
    <w:rsid w:val="00654CD3"/>
    <w:rsid w:val="006601C9"/>
    <w:rsid w:val="00663F62"/>
    <w:rsid w:val="0068745F"/>
    <w:rsid w:val="006917C4"/>
    <w:rsid w:val="00692972"/>
    <w:rsid w:val="00692AFB"/>
    <w:rsid w:val="006934A6"/>
    <w:rsid w:val="00694156"/>
    <w:rsid w:val="006947D9"/>
    <w:rsid w:val="00695B07"/>
    <w:rsid w:val="00697EC2"/>
    <w:rsid w:val="006B0D1C"/>
    <w:rsid w:val="006C7C1E"/>
    <w:rsid w:val="006D19F3"/>
    <w:rsid w:val="006D2B4A"/>
    <w:rsid w:val="006E50EB"/>
    <w:rsid w:val="006E6409"/>
    <w:rsid w:val="006E65E1"/>
    <w:rsid w:val="006E681C"/>
    <w:rsid w:val="006E741E"/>
    <w:rsid w:val="00701F47"/>
    <w:rsid w:val="00712260"/>
    <w:rsid w:val="00720241"/>
    <w:rsid w:val="007211E6"/>
    <w:rsid w:val="007238A3"/>
    <w:rsid w:val="007279C9"/>
    <w:rsid w:val="00734657"/>
    <w:rsid w:val="0075020F"/>
    <w:rsid w:val="00760BBF"/>
    <w:rsid w:val="0076592C"/>
    <w:rsid w:val="00767C89"/>
    <w:rsid w:val="00771568"/>
    <w:rsid w:val="00773635"/>
    <w:rsid w:val="007745C6"/>
    <w:rsid w:val="00774A57"/>
    <w:rsid w:val="007827B6"/>
    <w:rsid w:val="00784D3F"/>
    <w:rsid w:val="00786B91"/>
    <w:rsid w:val="00787393"/>
    <w:rsid w:val="007C13BE"/>
    <w:rsid w:val="007C78B1"/>
    <w:rsid w:val="007D04ED"/>
    <w:rsid w:val="007D23C2"/>
    <w:rsid w:val="007D3636"/>
    <w:rsid w:val="007E0F1A"/>
    <w:rsid w:val="007E534C"/>
    <w:rsid w:val="007F620E"/>
    <w:rsid w:val="00827563"/>
    <w:rsid w:val="00833ABD"/>
    <w:rsid w:val="00833E39"/>
    <w:rsid w:val="0083433E"/>
    <w:rsid w:val="00834F4A"/>
    <w:rsid w:val="00836075"/>
    <w:rsid w:val="0083664E"/>
    <w:rsid w:val="008406A7"/>
    <w:rsid w:val="0084300C"/>
    <w:rsid w:val="008456E8"/>
    <w:rsid w:val="00863C08"/>
    <w:rsid w:val="00871BD2"/>
    <w:rsid w:val="00881CBB"/>
    <w:rsid w:val="008821E2"/>
    <w:rsid w:val="00885BF4"/>
    <w:rsid w:val="008A65FB"/>
    <w:rsid w:val="008A7347"/>
    <w:rsid w:val="008B0974"/>
    <w:rsid w:val="008B64FB"/>
    <w:rsid w:val="008B6659"/>
    <w:rsid w:val="008B7778"/>
    <w:rsid w:val="008C0F04"/>
    <w:rsid w:val="008C0FC7"/>
    <w:rsid w:val="008D0C31"/>
    <w:rsid w:val="008D1A2C"/>
    <w:rsid w:val="008D1D4A"/>
    <w:rsid w:val="008F05A7"/>
    <w:rsid w:val="008F7072"/>
    <w:rsid w:val="00912079"/>
    <w:rsid w:val="00912C01"/>
    <w:rsid w:val="009164EE"/>
    <w:rsid w:val="009338A6"/>
    <w:rsid w:val="00936D88"/>
    <w:rsid w:val="00937798"/>
    <w:rsid w:val="00951719"/>
    <w:rsid w:val="00956FC0"/>
    <w:rsid w:val="0096232E"/>
    <w:rsid w:val="009656E6"/>
    <w:rsid w:val="00971E05"/>
    <w:rsid w:val="00976BCA"/>
    <w:rsid w:val="00982765"/>
    <w:rsid w:val="009832AA"/>
    <w:rsid w:val="00990439"/>
    <w:rsid w:val="00990B99"/>
    <w:rsid w:val="0099395C"/>
    <w:rsid w:val="009A5C33"/>
    <w:rsid w:val="009B086A"/>
    <w:rsid w:val="009B71DD"/>
    <w:rsid w:val="009C37A9"/>
    <w:rsid w:val="009C41C9"/>
    <w:rsid w:val="009C425A"/>
    <w:rsid w:val="009C7FBC"/>
    <w:rsid w:val="009D3E9D"/>
    <w:rsid w:val="009D435C"/>
    <w:rsid w:val="009D5EB1"/>
    <w:rsid w:val="009D7E40"/>
    <w:rsid w:val="009E3E31"/>
    <w:rsid w:val="009F027C"/>
    <w:rsid w:val="009F1D79"/>
    <w:rsid w:val="009F3E44"/>
    <w:rsid w:val="00A060CB"/>
    <w:rsid w:val="00A11753"/>
    <w:rsid w:val="00A20B90"/>
    <w:rsid w:val="00A22EF7"/>
    <w:rsid w:val="00A26D44"/>
    <w:rsid w:val="00A300A4"/>
    <w:rsid w:val="00A31E90"/>
    <w:rsid w:val="00A32895"/>
    <w:rsid w:val="00A3388A"/>
    <w:rsid w:val="00A34D9E"/>
    <w:rsid w:val="00A40300"/>
    <w:rsid w:val="00A47696"/>
    <w:rsid w:val="00A551C8"/>
    <w:rsid w:val="00A55C0E"/>
    <w:rsid w:val="00A56965"/>
    <w:rsid w:val="00A57E1F"/>
    <w:rsid w:val="00A623FB"/>
    <w:rsid w:val="00A65E89"/>
    <w:rsid w:val="00A66BDE"/>
    <w:rsid w:val="00A81719"/>
    <w:rsid w:val="00A81B5E"/>
    <w:rsid w:val="00A861CC"/>
    <w:rsid w:val="00A87FA6"/>
    <w:rsid w:val="00A93529"/>
    <w:rsid w:val="00A94199"/>
    <w:rsid w:val="00A95752"/>
    <w:rsid w:val="00A966D1"/>
    <w:rsid w:val="00AA147D"/>
    <w:rsid w:val="00AA1725"/>
    <w:rsid w:val="00AB3ACC"/>
    <w:rsid w:val="00AD0019"/>
    <w:rsid w:val="00AD4F0A"/>
    <w:rsid w:val="00AF0741"/>
    <w:rsid w:val="00AF308F"/>
    <w:rsid w:val="00AF5382"/>
    <w:rsid w:val="00B014AD"/>
    <w:rsid w:val="00B01E19"/>
    <w:rsid w:val="00B10B90"/>
    <w:rsid w:val="00B11758"/>
    <w:rsid w:val="00B11BF8"/>
    <w:rsid w:val="00B156FF"/>
    <w:rsid w:val="00B15A27"/>
    <w:rsid w:val="00B2163A"/>
    <w:rsid w:val="00B31D41"/>
    <w:rsid w:val="00B328AF"/>
    <w:rsid w:val="00B35DBD"/>
    <w:rsid w:val="00B364FE"/>
    <w:rsid w:val="00B428D0"/>
    <w:rsid w:val="00B45852"/>
    <w:rsid w:val="00B475F3"/>
    <w:rsid w:val="00B52EE9"/>
    <w:rsid w:val="00B53EA7"/>
    <w:rsid w:val="00B57BD7"/>
    <w:rsid w:val="00B7208D"/>
    <w:rsid w:val="00B73692"/>
    <w:rsid w:val="00B768DD"/>
    <w:rsid w:val="00B801F1"/>
    <w:rsid w:val="00B971CC"/>
    <w:rsid w:val="00BA2BD4"/>
    <w:rsid w:val="00BB580C"/>
    <w:rsid w:val="00BC0076"/>
    <w:rsid w:val="00BC5299"/>
    <w:rsid w:val="00BD74BE"/>
    <w:rsid w:val="00BF5883"/>
    <w:rsid w:val="00BF6D91"/>
    <w:rsid w:val="00BF7B56"/>
    <w:rsid w:val="00C156A3"/>
    <w:rsid w:val="00C33F24"/>
    <w:rsid w:val="00C42E08"/>
    <w:rsid w:val="00C51153"/>
    <w:rsid w:val="00C570E9"/>
    <w:rsid w:val="00C66C30"/>
    <w:rsid w:val="00C67238"/>
    <w:rsid w:val="00C70AD7"/>
    <w:rsid w:val="00CA40F2"/>
    <w:rsid w:val="00CA558A"/>
    <w:rsid w:val="00CA66B7"/>
    <w:rsid w:val="00CB0F84"/>
    <w:rsid w:val="00CB53DD"/>
    <w:rsid w:val="00CB6150"/>
    <w:rsid w:val="00CB7241"/>
    <w:rsid w:val="00CC1029"/>
    <w:rsid w:val="00CC2C10"/>
    <w:rsid w:val="00CC5EC4"/>
    <w:rsid w:val="00CC6CF9"/>
    <w:rsid w:val="00CD2D55"/>
    <w:rsid w:val="00CD7D7D"/>
    <w:rsid w:val="00CE48D2"/>
    <w:rsid w:val="00CE7639"/>
    <w:rsid w:val="00CF034F"/>
    <w:rsid w:val="00CF5C40"/>
    <w:rsid w:val="00D00000"/>
    <w:rsid w:val="00D004AE"/>
    <w:rsid w:val="00D045D6"/>
    <w:rsid w:val="00D06447"/>
    <w:rsid w:val="00D13EC0"/>
    <w:rsid w:val="00D16F62"/>
    <w:rsid w:val="00D2621C"/>
    <w:rsid w:val="00D31855"/>
    <w:rsid w:val="00D31A8E"/>
    <w:rsid w:val="00D32B29"/>
    <w:rsid w:val="00D32FCD"/>
    <w:rsid w:val="00D53B09"/>
    <w:rsid w:val="00D6140A"/>
    <w:rsid w:val="00D61797"/>
    <w:rsid w:val="00D710A8"/>
    <w:rsid w:val="00D7513D"/>
    <w:rsid w:val="00D80886"/>
    <w:rsid w:val="00D8388C"/>
    <w:rsid w:val="00D879CD"/>
    <w:rsid w:val="00D9498D"/>
    <w:rsid w:val="00D94CBF"/>
    <w:rsid w:val="00DC30ED"/>
    <w:rsid w:val="00DC489F"/>
    <w:rsid w:val="00DE2489"/>
    <w:rsid w:val="00DF0BB7"/>
    <w:rsid w:val="00DF5B00"/>
    <w:rsid w:val="00E00CA2"/>
    <w:rsid w:val="00E01E79"/>
    <w:rsid w:val="00E0583E"/>
    <w:rsid w:val="00E05987"/>
    <w:rsid w:val="00E17BA7"/>
    <w:rsid w:val="00E17FE6"/>
    <w:rsid w:val="00E225AA"/>
    <w:rsid w:val="00E310AE"/>
    <w:rsid w:val="00E53837"/>
    <w:rsid w:val="00E64EFB"/>
    <w:rsid w:val="00E6605F"/>
    <w:rsid w:val="00E67E76"/>
    <w:rsid w:val="00E80769"/>
    <w:rsid w:val="00E82921"/>
    <w:rsid w:val="00E85F70"/>
    <w:rsid w:val="00E96D35"/>
    <w:rsid w:val="00EB2414"/>
    <w:rsid w:val="00EB6EB6"/>
    <w:rsid w:val="00ED1E14"/>
    <w:rsid w:val="00ED6003"/>
    <w:rsid w:val="00EF26B7"/>
    <w:rsid w:val="00F06433"/>
    <w:rsid w:val="00F418D6"/>
    <w:rsid w:val="00F45F15"/>
    <w:rsid w:val="00F60951"/>
    <w:rsid w:val="00F67267"/>
    <w:rsid w:val="00F80B90"/>
    <w:rsid w:val="00F80CBA"/>
    <w:rsid w:val="00F84A76"/>
    <w:rsid w:val="00F921C9"/>
    <w:rsid w:val="00F93E15"/>
    <w:rsid w:val="00F95BC2"/>
    <w:rsid w:val="00FA3CF9"/>
    <w:rsid w:val="00FB2237"/>
    <w:rsid w:val="00FB26BB"/>
    <w:rsid w:val="00FB3203"/>
    <w:rsid w:val="00FB6946"/>
    <w:rsid w:val="00FB6E64"/>
    <w:rsid w:val="00FC6CD9"/>
    <w:rsid w:val="00FC7DBC"/>
    <w:rsid w:val="00FE51BE"/>
    <w:rsid w:val="00FE66EF"/>
    <w:rsid w:val="00FF1E50"/>
    <w:rsid w:val="00FF2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5D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6FF"/>
    <w:rPr>
      <w:sz w:val="24"/>
    </w:rPr>
  </w:style>
  <w:style w:type="paragraph" w:styleId="Heading1">
    <w:name w:val="heading 1"/>
    <w:basedOn w:val="Normal"/>
    <w:next w:val="Normal"/>
    <w:link w:val="Heading1Char"/>
    <w:uiPriority w:val="9"/>
    <w:qFormat/>
    <w:rsid w:val="00DF0BB7"/>
    <w:pPr>
      <w:keepNext/>
      <w:keepLines/>
      <w:jc w:val="center"/>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DF0BB7"/>
    <w:pPr>
      <w:jc w:val="center"/>
      <w:outlineLvl w:val="1"/>
    </w:pPr>
    <w:rPr>
      <w:b/>
    </w:rPr>
  </w:style>
  <w:style w:type="paragraph" w:styleId="Heading3">
    <w:name w:val="heading 3"/>
    <w:basedOn w:val="Normal"/>
    <w:next w:val="Normal"/>
    <w:link w:val="Heading3Char"/>
    <w:uiPriority w:val="9"/>
    <w:unhideWhenUsed/>
    <w:qFormat/>
    <w:rsid w:val="007D04ED"/>
    <w:pPr>
      <w:keepNext/>
      <w:keepLines/>
      <w:outlineLvl w:val="2"/>
    </w:pPr>
    <w:rPr>
      <w:rFonts w:asciiTheme="majorHAnsi" w:eastAsiaTheme="majorEastAsia" w:hAnsiTheme="majorHAnsi" w:cstheme="majorBidi"/>
      <w:szCs w:val="24"/>
      <w:u w:val="single"/>
    </w:rPr>
  </w:style>
  <w:style w:type="paragraph" w:styleId="Heading4">
    <w:name w:val="heading 4"/>
    <w:basedOn w:val="Normal"/>
    <w:next w:val="Normal"/>
    <w:link w:val="Heading4Char"/>
    <w:uiPriority w:val="9"/>
    <w:unhideWhenUsed/>
    <w:qFormat/>
    <w:rsid w:val="002215B0"/>
    <w:pPr>
      <w:keepNext/>
      <w:keepLines/>
      <w:outlineLvl w:val="3"/>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5EE3"/>
    <w:rPr>
      <w:color w:val="0563C1" w:themeColor="hyperlink"/>
      <w:u w:val="single"/>
    </w:rPr>
  </w:style>
  <w:style w:type="paragraph" w:styleId="Header">
    <w:name w:val="header"/>
    <w:basedOn w:val="Normal"/>
    <w:link w:val="HeaderChar"/>
    <w:uiPriority w:val="99"/>
    <w:unhideWhenUsed/>
    <w:rsid w:val="00B73692"/>
    <w:pPr>
      <w:tabs>
        <w:tab w:val="center" w:pos="4680"/>
        <w:tab w:val="right" w:pos="9360"/>
      </w:tabs>
    </w:pPr>
  </w:style>
  <w:style w:type="character" w:customStyle="1" w:styleId="HeaderChar">
    <w:name w:val="Header Char"/>
    <w:basedOn w:val="DefaultParagraphFont"/>
    <w:link w:val="Header"/>
    <w:uiPriority w:val="99"/>
    <w:rsid w:val="00B73692"/>
  </w:style>
  <w:style w:type="paragraph" w:styleId="Footer">
    <w:name w:val="footer"/>
    <w:basedOn w:val="Normal"/>
    <w:link w:val="FooterChar"/>
    <w:uiPriority w:val="99"/>
    <w:unhideWhenUsed/>
    <w:rsid w:val="00B73692"/>
    <w:pPr>
      <w:tabs>
        <w:tab w:val="center" w:pos="4680"/>
        <w:tab w:val="right" w:pos="9360"/>
      </w:tabs>
    </w:pPr>
  </w:style>
  <w:style w:type="character" w:customStyle="1" w:styleId="FooterChar">
    <w:name w:val="Footer Char"/>
    <w:basedOn w:val="DefaultParagraphFont"/>
    <w:link w:val="Footer"/>
    <w:uiPriority w:val="99"/>
    <w:rsid w:val="00B73692"/>
  </w:style>
  <w:style w:type="character" w:customStyle="1" w:styleId="Heading1Char">
    <w:name w:val="Heading 1 Char"/>
    <w:basedOn w:val="DefaultParagraphFont"/>
    <w:link w:val="Heading1"/>
    <w:uiPriority w:val="9"/>
    <w:rsid w:val="00DF0BB7"/>
    <w:rPr>
      <w:rFonts w:asciiTheme="majorHAnsi" w:eastAsiaTheme="majorEastAsia" w:hAnsiTheme="majorHAnsi" w:cstheme="majorBidi"/>
      <w:b/>
      <w:sz w:val="24"/>
      <w:szCs w:val="32"/>
    </w:rPr>
  </w:style>
  <w:style w:type="paragraph" w:styleId="ListParagraph">
    <w:name w:val="List Paragraph"/>
    <w:basedOn w:val="Normal"/>
    <w:link w:val="ListParagraphChar"/>
    <w:uiPriority w:val="34"/>
    <w:qFormat/>
    <w:rsid w:val="002666FF"/>
    <w:pPr>
      <w:ind w:left="720"/>
      <w:contextualSpacing/>
    </w:pPr>
  </w:style>
  <w:style w:type="character" w:customStyle="1" w:styleId="Heading2Char">
    <w:name w:val="Heading 2 Char"/>
    <w:basedOn w:val="DefaultParagraphFont"/>
    <w:link w:val="Heading2"/>
    <w:uiPriority w:val="9"/>
    <w:rsid w:val="00DF0BB7"/>
    <w:rPr>
      <w:b/>
      <w:sz w:val="24"/>
    </w:rPr>
  </w:style>
  <w:style w:type="character" w:customStyle="1" w:styleId="Heading3Char">
    <w:name w:val="Heading 3 Char"/>
    <w:basedOn w:val="DefaultParagraphFont"/>
    <w:link w:val="Heading3"/>
    <w:uiPriority w:val="9"/>
    <w:rsid w:val="007D04ED"/>
    <w:rPr>
      <w:rFonts w:asciiTheme="majorHAnsi" w:eastAsiaTheme="majorEastAsia" w:hAnsiTheme="majorHAnsi" w:cstheme="majorBidi"/>
      <w:sz w:val="24"/>
      <w:szCs w:val="24"/>
      <w:u w:val="single"/>
    </w:rPr>
  </w:style>
  <w:style w:type="character" w:styleId="PageNumber">
    <w:name w:val="page number"/>
    <w:basedOn w:val="DefaultParagraphFont"/>
    <w:uiPriority w:val="99"/>
    <w:semiHidden/>
    <w:unhideWhenUsed/>
    <w:rsid w:val="00291C45"/>
  </w:style>
  <w:style w:type="character" w:styleId="CommentReference">
    <w:name w:val="annotation reference"/>
    <w:basedOn w:val="DefaultParagraphFont"/>
    <w:uiPriority w:val="99"/>
    <w:semiHidden/>
    <w:unhideWhenUsed/>
    <w:rsid w:val="00584C0F"/>
    <w:rPr>
      <w:sz w:val="16"/>
      <w:szCs w:val="16"/>
    </w:rPr>
  </w:style>
  <w:style w:type="paragraph" w:styleId="CommentText">
    <w:name w:val="annotation text"/>
    <w:basedOn w:val="Normal"/>
    <w:link w:val="CommentTextChar"/>
    <w:uiPriority w:val="99"/>
    <w:unhideWhenUsed/>
    <w:rsid w:val="00584C0F"/>
    <w:rPr>
      <w:sz w:val="20"/>
      <w:szCs w:val="20"/>
    </w:rPr>
  </w:style>
  <w:style w:type="character" w:customStyle="1" w:styleId="CommentTextChar">
    <w:name w:val="Comment Text Char"/>
    <w:basedOn w:val="DefaultParagraphFont"/>
    <w:link w:val="CommentText"/>
    <w:uiPriority w:val="99"/>
    <w:rsid w:val="00584C0F"/>
    <w:rPr>
      <w:sz w:val="20"/>
      <w:szCs w:val="20"/>
    </w:rPr>
  </w:style>
  <w:style w:type="paragraph" w:styleId="CommentSubject">
    <w:name w:val="annotation subject"/>
    <w:basedOn w:val="CommentText"/>
    <w:next w:val="CommentText"/>
    <w:link w:val="CommentSubjectChar"/>
    <w:uiPriority w:val="99"/>
    <w:semiHidden/>
    <w:unhideWhenUsed/>
    <w:rsid w:val="00584C0F"/>
    <w:rPr>
      <w:b/>
      <w:bCs/>
    </w:rPr>
  </w:style>
  <w:style w:type="character" w:customStyle="1" w:styleId="CommentSubjectChar">
    <w:name w:val="Comment Subject Char"/>
    <w:basedOn w:val="CommentTextChar"/>
    <w:link w:val="CommentSubject"/>
    <w:uiPriority w:val="99"/>
    <w:semiHidden/>
    <w:rsid w:val="00584C0F"/>
    <w:rPr>
      <w:b/>
      <w:bCs/>
      <w:sz w:val="20"/>
      <w:szCs w:val="20"/>
    </w:rPr>
  </w:style>
  <w:style w:type="paragraph" w:styleId="BalloonText">
    <w:name w:val="Balloon Text"/>
    <w:basedOn w:val="Normal"/>
    <w:link w:val="BalloonTextChar"/>
    <w:uiPriority w:val="99"/>
    <w:semiHidden/>
    <w:unhideWhenUsed/>
    <w:rsid w:val="00584C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C0F"/>
    <w:rPr>
      <w:rFonts w:ascii="Segoe UI" w:hAnsi="Segoe UI" w:cs="Segoe UI"/>
      <w:sz w:val="18"/>
      <w:szCs w:val="18"/>
    </w:rPr>
  </w:style>
  <w:style w:type="character" w:customStyle="1" w:styleId="ListParagraphChar">
    <w:name w:val="List Paragraph Char"/>
    <w:basedOn w:val="DefaultParagraphFont"/>
    <w:link w:val="ListParagraph"/>
    <w:uiPriority w:val="34"/>
    <w:rsid w:val="00B15A27"/>
    <w:rPr>
      <w:sz w:val="24"/>
    </w:rPr>
  </w:style>
  <w:style w:type="character" w:customStyle="1" w:styleId="Heading4Char">
    <w:name w:val="Heading 4 Char"/>
    <w:basedOn w:val="DefaultParagraphFont"/>
    <w:link w:val="Heading4"/>
    <w:uiPriority w:val="9"/>
    <w:rsid w:val="002215B0"/>
    <w:rPr>
      <w:rFonts w:asciiTheme="majorHAnsi" w:eastAsiaTheme="majorEastAsia" w:hAnsiTheme="majorHAnsi" w:cstheme="majorBidi"/>
      <w:iCs/>
      <w:sz w:val="24"/>
    </w:rPr>
  </w:style>
  <w:style w:type="table" w:styleId="TableGrid">
    <w:name w:val="Table Grid"/>
    <w:basedOn w:val="TableNormal"/>
    <w:uiPriority w:val="39"/>
    <w:rsid w:val="00025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Wide">
    <w:name w:val="TableGrid-Wide"/>
    <w:basedOn w:val="TableGrid"/>
    <w:rsid w:val="00157216"/>
    <w:pPr>
      <w:spacing w:before="80" w:after="80"/>
    </w:pPr>
    <w:rPr>
      <w:rFonts w:ascii="Verdana" w:eastAsia="Times New Roman" w:hAnsi="Verdana" w:cs="Times New Roman"/>
      <w:sz w:val="18"/>
      <w:szCs w:val="20"/>
    </w:rPr>
    <w:tblPr>
      <w:tblInd w:w="-277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Pr>
    <w:tblStylePr w:type="firstRow">
      <w:pPr>
        <w:wordWrap/>
        <w:jc w:val="center"/>
      </w:pPr>
      <w:rPr>
        <w:rFonts w:ascii="DengXian" w:hAnsi="DengXian"/>
        <w:b/>
        <w:i w:val="0"/>
        <w:sz w:val="18"/>
        <w:szCs w:val="18"/>
      </w:rPr>
      <w:tblPr/>
      <w:tcPr>
        <w:tcBorders>
          <w:top w:val="single" w:sz="12" w:space="0" w:color="auto"/>
          <w:bottom w:val="single" w:sz="6" w:space="0" w:color="auto"/>
        </w:tcBorders>
        <w:vAlign w:val="bottom"/>
      </w:tcPr>
    </w:tblStylePr>
    <w:tblStylePr w:type="lastRow">
      <w:tblPr/>
      <w:tcPr>
        <w:tcBorders>
          <w:bottom w:val="single" w:sz="12" w:space="0" w:color="auto"/>
        </w:tcBorders>
      </w:tcPr>
    </w:tblStylePr>
    <w:tblStylePr w:type="firstCol">
      <w:pPr>
        <w:jc w:val="left"/>
      </w:pPr>
    </w:tblStylePr>
  </w:style>
  <w:style w:type="table" w:customStyle="1" w:styleId="GridTable41">
    <w:name w:val="Grid Table 41"/>
    <w:basedOn w:val="TableNormal"/>
    <w:uiPriority w:val="49"/>
    <w:rsid w:val="002E0F1A"/>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HeaderLeft">
    <w:name w:val="Table Header Left"/>
    <w:basedOn w:val="TableText"/>
    <w:next w:val="TableText"/>
    <w:qFormat/>
    <w:rsid w:val="00576F18"/>
    <w:pPr>
      <w:spacing w:before="120" w:after="60"/>
    </w:pPr>
    <w:rPr>
      <w:b/>
      <w:color w:val="FFFFFF" w:themeColor="background1"/>
    </w:rPr>
  </w:style>
  <w:style w:type="paragraph" w:customStyle="1" w:styleId="TableHeaderCenter">
    <w:name w:val="Table Header Center"/>
    <w:basedOn w:val="TableHeaderLeft"/>
    <w:qFormat/>
    <w:rsid w:val="00576F18"/>
    <w:pPr>
      <w:jc w:val="center"/>
    </w:pPr>
  </w:style>
  <w:style w:type="paragraph" w:customStyle="1" w:styleId="TableText">
    <w:name w:val="Table Text"/>
    <w:basedOn w:val="Normal"/>
    <w:uiPriority w:val="99"/>
    <w:qFormat/>
    <w:rsid w:val="00576F18"/>
    <w:rPr>
      <w:rFonts w:ascii="Arial" w:eastAsia="Times New Roman" w:hAnsi="Arial" w:cs="Times New Roman"/>
      <w:sz w:val="18"/>
      <w:szCs w:val="20"/>
    </w:rPr>
  </w:style>
  <w:style w:type="table" w:customStyle="1" w:styleId="TableGrid1">
    <w:name w:val="Table Grid1"/>
    <w:basedOn w:val="TableNormal"/>
    <w:next w:val="TableGrid"/>
    <w:uiPriority w:val="39"/>
    <w:rsid w:val="008F0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6FF"/>
    <w:rPr>
      <w:sz w:val="24"/>
    </w:rPr>
  </w:style>
  <w:style w:type="paragraph" w:styleId="Heading1">
    <w:name w:val="heading 1"/>
    <w:basedOn w:val="Normal"/>
    <w:next w:val="Normal"/>
    <w:link w:val="Heading1Char"/>
    <w:uiPriority w:val="9"/>
    <w:qFormat/>
    <w:rsid w:val="00DF0BB7"/>
    <w:pPr>
      <w:keepNext/>
      <w:keepLines/>
      <w:jc w:val="center"/>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DF0BB7"/>
    <w:pPr>
      <w:jc w:val="center"/>
      <w:outlineLvl w:val="1"/>
    </w:pPr>
    <w:rPr>
      <w:b/>
    </w:rPr>
  </w:style>
  <w:style w:type="paragraph" w:styleId="Heading3">
    <w:name w:val="heading 3"/>
    <w:basedOn w:val="Normal"/>
    <w:next w:val="Normal"/>
    <w:link w:val="Heading3Char"/>
    <w:uiPriority w:val="9"/>
    <w:unhideWhenUsed/>
    <w:qFormat/>
    <w:rsid w:val="007D04ED"/>
    <w:pPr>
      <w:keepNext/>
      <w:keepLines/>
      <w:outlineLvl w:val="2"/>
    </w:pPr>
    <w:rPr>
      <w:rFonts w:asciiTheme="majorHAnsi" w:eastAsiaTheme="majorEastAsia" w:hAnsiTheme="majorHAnsi" w:cstheme="majorBidi"/>
      <w:szCs w:val="24"/>
      <w:u w:val="single"/>
    </w:rPr>
  </w:style>
  <w:style w:type="paragraph" w:styleId="Heading4">
    <w:name w:val="heading 4"/>
    <w:basedOn w:val="Normal"/>
    <w:next w:val="Normal"/>
    <w:link w:val="Heading4Char"/>
    <w:uiPriority w:val="9"/>
    <w:unhideWhenUsed/>
    <w:qFormat/>
    <w:rsid w:val="002215B0"/>
    <w:pPr>
      <w:keepNext/>
      <w:keepLines/>
      <w:outlineLvl w:val="3"/>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5EE3"/>
    <w:rPr>
      <w:color w:val="0563C1" w:themeColor="hyperlink"/>
      <w:u w:val="single"/>
    </w:rPr>
  </w:style>
  <w:style w:type="paragraph" w:styleId="Header">
    <w:name w:val="header"/>
    <w:basedOn w:val="Normal"/>
    <w:link w:val="HeaderChar"/>
    <w:uiPriority w:val="99"/>
    <w:unhideWhenUsed/>
    <w:rsid w:val="00B73692"/>
    <w:pPr>
      <w:tabs>
        <w:tab w:val="center" w:pos="4680"/>
        <w:tab w:val="right" w:pos="9360"/>
      </w:tabs>
    </w:pPr>
  </w:style>
  <w:style w:type="character" w:customStyle="1" w:styleId="HeaderChar">
    <w:name w:val="Header Char"/>
    <w:basedOn w:val="DefaultParagraphFont"/>
    <w:link w:val="Header"/>
    <w:uiPriority w:val="99"/>
    <w:rsid w:val="00B73692"/>
  </w:style>
  <w:style w:type="paragraph" w:styleId="Footer">
    <w:name w:val="footer"/>
    <w:basedOn w:val="Normal"/>
    <w:link w:val="FooterChar"/>
    <w:uiPriority w:val="99"/>
    <w:unhideWhenUsed/>
    <w:rsid w:val="00B73692"/>
    <w:pPr>
      <w:tabs>
        <w:tab w:val="center" w:pos="4680"/>
        <w:tab w:val="right" w:pos="9360"/>
      </w:tabs>
    </w:pPr>
  </w:style>
  <w:style w:type="character" w:customStyle="1" w:styleId="FooterChar">
    <w:name w:val="Footer Char"/>
    <w:basedOn w:val="DefaultParagraphFont"/>
    <w:link w:val="Footer"/>
    <w:uiPriority w:val="99"/>
    <w:rsid w:val="00B73692"/>
  </w:style>
  <w:style w:type="character" w:customStyle="1" w:styleId="Heading1Char">
    <w:name w:val="Heading 1 Char"/>
    <w:basedOn w:val="DefaultParagraphFont"/>
    <w:link w:val="Heading1"/>
    <w:uiPriority w:val="9"/>
    <w:rsid w:val="00DF0BB7"/>
    <w:rPr>
      <w:rFonts w:asciiTheme="majorHAnsi" w:eastAsiaTheme="majorEastAsia" w:hAnsiTheme="majorHAnsi" w:cstheme="majorBidi"/>
      <w:b/>
      <w:sz w:val="24"/>
      <w:szCs w:val="32"/>
    </w:rPr>
  </w:style>
  <w:style w:type="paragraph" w:styleId="ListParagraph">
    <w:name w:val="List Paragraph"/>
    <w:basedOn w:val="Normal"/>
    <w:link w:val="ListParagraphChar"/>
    <w:uiPriority w:val="34"/>
    <w:qFormat/>
    <w:rsid w:val="002666FF"/>
    <w:pPr>
      <w:ind w:left="720"/>
      <w:contextualSpacing/>
    </w:pPr>
  </w:style>
  <w:style w:type="character" w:customStyle="1" w:styleId="Heading2Char">
    <w:name w:val="Heading 2 Char"/>
    <w:basedOn w:val="DefaultParagraphFont"/>
    <w:link w:val="Heading2"/>
    <w:uiPriority w:val="9"/>
    <w:rsid w:val="00DF0BB7"/>
    <w:rPr>
      <w:b/>
      <w:sz w:val="24"/>
    </w:rPr>
  </w:style>
  <w:style w:type="character" w:customStyle="1" w:styleId="Heading3Char">
    <w:name w:val="Heading 3 Char"/>
    <w:basedOn w:val="DefaultParagraphFont"/>
    <w:link w:val="Heading3"/>
    <w:uiPriority w:val="9"/>
    <w:rsid w:val="007D04ED"/>
    <w:rPr>
      <w:rFonts w:asciiTheme="majorHAnsi" w:eastAsiaTheme="majorEastAsia" w:hAnsiTheme="majorHAnsi" w:cstheme="majorBidi"/>
      <w:sz w:val="24"/>
      <w:szCs w:val="24"/>
      <w:u w:val="single"/>
    </w:rPr>
  </w:style>
  <w:style w:type="character" w:styleId="PageNumber">
    <w:name w:val="page number"/>
    <w:basedOn w:val="DefaultParagraphFont"/>
    <w:uiPriority w:val="99"/>
    <w:semiHidden/>
    <w:unhideWhenUsed/>
    <w:rsid w:val="00291C45"/>
  </w:style>
  <w:style w:type="character" w:styleId="CommentReference">
    <w:name w:val="annotation reference"/>
    <w:basedOn w:val="DefaultParagraphFont"/>
    <w:uiPriority w:val="99"/>
    <w:semiHidden/>
    <w:unhideWhenUsed/>
    <w:rsid w:val="00584C0F"/>
    <w:rPr>
      <w:sz w:val="16"/>
      <w:szCs w:val="16"/>
    </w:rPr>
  </w:style>
  <w:style w:type="paragraph" w:styleId="CommentText">
    <w:name w:val="annotation text"/>
    <w:basedOn w:val="Normal"/>
    <w:link w:val="CommentTextChar"/>
    <w:uiPriority w:val="99"/>
    <w:unhideWhenUsed/>
    <w:rsid w:val="00584C0F"/>
    <w:rPr>
      <w:sz w:val="20"/>
      <w:szCs w:val="20"/>
    </w:rPr>
  </w:style>
  <w:style w:type="character" w:customStyle="1" w:styleId="CommentTextChar">
    <w:name w:val="Comment Text Char"/>
    <w:basedOn w:val="DefaultParagraphFont"/>
    <w:link w:val="CommentText"/>
    <w:uiPriority w:val="99"/>
    <w:rsid w:val="00584C0F"/>
    <w:rPr>
      <w:sz w:val="20"/>
      <w:szCs w:val="20"/>
    </w:rPr>
  </w:style>
  <w:style w:type="paragraph" w:styleId="CommentSubject">
    <w:name w:val="annotation subject"/>
    <w:basedOn w:val="CommentText"/>
    <w:next w:val="CommentText"/>
    <w:link w:val="CommentSubjectChar"/>
    <w:uiPriority w:val="99"/>
    <w:semiHidden/>
    <w:unhideWhenUsed/>
    <w:rsid w:val="00584C0F"/>
    <w:rPr>
      <w:b/>
      <w:bCs/>
    </w:rPr>
  </w:style>
  <w:style w:type="character" w:customStyle="1" w:styleId="CommentSubjectChar">
    <w:name w:val="Comment Subject Char"/>
    <w:basedOn w:val="CommentTextChar"/>
    <w:link w:val="CommentSubject"/>
    <w:uiPriority w:val="99"/>
    <w:semiHidden/>
    <w:rsid w:val="00584C0F"/>
    <w:rPr>
      <w:b/>
      <w:bCs/>
      <w:sz w:val="20"/>
      <w:szCs w:val="20"/>
    </w:rPr>
  </w:style>
  <w:style w:type="paragraph" w:styleId="BalloonText">
    <w:name w:val="Balloon Text"/>
    <w:basedOn w:val="Normal"/>
    <w:link w:val="BalloonTextChar"/>
    <w:uiPriority w:val="99"/>
    <w:semiHidden/>
    <w:unhideWhenUsed/>
    <w:rsid w:val="00584C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C0F"/>
    <w:rPr>
      <w:rFonts w:ascii="Segoe UI" w:hAnsi="Segoe UI" w:cs="Segoe UI"/>
      <w:sz w:val="18"/>
      <w:szCs w:val="18"/>
    </w:rPr>
  </w:style>
  <w:style w:type="character" w:customStyle="1" w:styleId="ListParagraphChar">
    <w:name w:val="List Paragraph Char"/>
    <w:basedOn w:val="DefaultParagraphFont"/>
    <w:link w:val="ListParagraph"/>
    <w:uiPriority w:val="34"/>
    <w:rsid w:val="00B15A27"/>
    <w:rPr>
      <w:sz w:val="24"/>
    </w:rPr>
  </w:style>
  <w:style w:type="character" w:customStyle="1" w:styleId="Heading4Char">
    <w:name w:val="Heading 4 Char"/>
    <w:basedOn w:val="DefaultParagraphFont"/>
    <w:link w:val="Heading4"/>
    <w:uiPriority w:val="9"/>
    <w:rsid w:val="002215B0"/>
    <w:rPr>
      <w:rFonts w:asciiTheme="majorHAnsi" w:eastAsiaTheme="majorEastAsia" w:hAnsiTheme="majorHAnsi" w:cstheme="majorBidi"/>
      <w:iCs/>
      <w:sz w:val="24"/>
    </w:rPr>
  </w:style>
  <w:style w:type="table" w:styleId="TableGrid">
    <w:name w:val="Table Grid"/>
    <w:basedOn w:val="TableNormal"/>
    <w:uiPriority w:val="39"/>
    <w:rsid w:val="00025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Wide">
    <w:name w:val="TableGrid-Wide"/>
    <w:basedOn w:val="TableGrid"/>
    <w:rsid w:val="00157216"/>
    <w:pPr>
      <w:spacing w:before="80" w:after="80"/>
    </w:pPr>
    <w:rPr>
      <w:rFonts w:ascii="Verdana" w:eastAsia="Times New Roman" w:hAnsi="Verdana" w:cs="Times New Roman"/>
      <w:sz w:val="18"/>
      <w:szCs w:val="20"/>
    </w:rPr>
    <w:tblPr>
      <w:tblInd w:w="-277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Pr>
    <w:tblStylePr w:type="firstRow">
      <w:pPr>
        <w:wordWrap/>
        <w:jc w:val="center"/>
      </w:pPr>
      <w:rPr>
        <w:rFonts w:ascii="DengXian" w:hAnsi="DengXian"/>
        <w:b/>
        <w:i w:val="0"/>
        <w:sz w:val="18"/>
        <w:szCs w:val="18"/>
      </w:rPr>
      <w:tblPr/>
      <w:tcPr>
        <w:tcBorders>
          <w:top w:val="single" w:sz="12" w:space="0" w:color="auto"/>
          <w:bottom w:val="single" w:sz="6" w:space="0" w:color="auto"/>
        </w:tcBorders>
        <w:vAlign w:val="bottom"/>
      </w:tcPr>
    </w:tblStylePr>
    <w:tblStylePr w:type="lastRow">
      <w:tblPr/>
      <w:tcPr>
        <w:tcBorders>
          <w:bottom w:val="single" w:sz="12" w:space="0" w:color="auto"/>
        </w:tcBorders>
      </w:tcPr>
    </w:tblStylePr>
    <w:tblStylePr w:type="firstCol">
      <w:pPr>
        <w:jc w:val="left"/>
      </w:pPr>
    </w:tblStylePr>
  </w:style>
  <w:style w:type="table" w:customStyle="1" w:styleId="GridTable41">
    <w:name w:val="Grid Table 41"/>
    <w:basedOn w:val="TableNormal"/>
    <w:uiPriority w:val="49"/>
    <w:rsid w:val="002E0F1A"/>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HeaderLeft">
    <w:name w:val="Table Header Left"/>
    <w:basedOn w:val="TableText"/>
    <w:next w:val="TableText"/>
    <w:qFormat/>
    <w:rsid w:val="00576F18"/>
    <w:pPr>
      <w:spacing w:before="120" w:after="60"/>
    </w:pPr>
    <w:rPr>
      <w:b/>
      <w:color w:val="FFFFFF" w:themeColor="background1"/>
    </w:rPr>
  </w:style>
  <w:style w:type="paragraph" w:customStyle="1" w:styleId="TableHeaderCenter">
    <w:name w:val="Table Header Center"/>
    <w:basedOn w:val="TableHeaderLeft"/>
    <w:qFormat/>
    <w:rsid w:val="00576F18"/>
    <w:pPr>
      <w:jc w:val="center"/>
    </w:pPr>
  </w:style>
  <w:style w:type="paragraph" w:customStyle="1" w:styleId="TableText">
    <w:name w:val="Table Text"/>
    <w:basedOn w:val="Normal"/>
    <w:uiPriority w:val="99"/>
    <w:qFormat/>
    <w:rsid w:val="00576F18"/>
    <w:rPr>
      <w:rFonts w:ascii="Arial" w:eastAsia="Times New Roman" w:hAnsi="Arial" w:cs="Times New Roman"/>
      <w:sz w:val="18"/>
      <w:szCs w:val="20"/>
    </w:rPr>
  </w:style>
  <w:style w:type="table" w:customStyle="1" w:styleId="TableGrid1">
    <w:name w:val="Table Grid1"/>
    <w:basedOn w:val="TableNormal"/>
    <w:next w:val="TableGrid"/>
    <w:uiPriority w:val="39"/>
    <w:rsid w:val="008F0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2436">
      <w:bodyDiv w:val="1"/>
      <w:marLeft w:val="0"/>
      <w:marRight w:val="0"/>
      <w:marTop w:val="0"/>
      <w:marBottom w:val="0"/>
      <w:divBdr>
        <w:top w:val="none" w:sz="0" w:space="0" w:color="auto"/>
        <w:left w:val="none" w:sz="0" w:space="0" w:color="auto"/>
        <w:bottom w:val="none" w:sz="0" w:space="0" w:color="auto"/>
        <w:right w:val="none" w:sz="0" w:space="0" w:color="auto"/>
      </w:divBdr>
    </w:div>
    <w:div w:id="135336393">
      <w:bodyDiv w:val="1"/>
      <w:marLeft w:val="0"/>
      <w:marRight w:val="0"/>
      <w:marTop w:val="0"/>
      <w:marBottom w:val="0"/>
      <w:divBdr>
        <w:top w:val="none" w:sz="0" w:space="0" w:color="auto"/>
        <w:left w:val="none" w:sz="0" w:space="0" w:color="auto"/>
        <w:bottom w:val="none" w:sz="0" w:space="0" w:color="auto"/>
        <w:right w:val="none" w:sz="0" w:space="0" w:color="auto"/>
      </w:divBdr>
    </w:div>
    <w:div w:id="239874916">
      <w:bodyDiv w:val="1"/>
      <w:marLeft w:val="0"/>
      <w:marRight w:val="0"/>
      <w:marTop w:val="0"/>
      <w:marBottom w:val="0"/>
      <w:divBdr>
        <w:top w:val="none" w:sz="0" w:space="0" w:color="auto"/>
        <w:left w:val="none" w:sz="0" w:space="0" w:color="auto"/>
        <w:bottom w:val="none" w:sz="0" w:space="0" w:color="auto"/>
        <w:right w:val="none" w:sz="0" w:space="0" w:color="auto"/>
      </w:divBdr>
    </w:div>
    <w:div w:id="292294644">
      <w:bodyDiv w:val="1"/>
      <w:marLeft w:val="0"/>
      <w:marRight w:val="0"/>
      <w:marTop w:val="0"/>
      <w:marBottom w:val="0"/>
      <w:divBdr>
        <w:top w:val="none" w:sz="0" w:space="0" w:color="auto"/>
        <w:left w:val="none" w:sz="0" w:space="0" w:color="auto"/>
        <w:bottom w:val="none" w:sz="0" w:space="0" w:color="auto"/>
        <w:right w:val="none" w:sz="0" w:space="0" w:color="auto"/>
      </w:divBdr>
    </w:div>
    <w:div w:id="437457774">
      <w:bodyDiv w:val="1"/>
      <w:marLeft w:val="0"/>
      <w:marRight w:val="0"/>
      <w:marTop w:val="0"/>
      <w:marBottom w:val="0"/>
      <w:divBdr>
        <w:top w:val="none" w:sz="0" w:space="0" w:color="auto"/>
        <w:left w:val="none" w:sz="0" w:space="0" w:color="auto"/>
        <w:bottom w:val="none" w:sz="0" w:space="0" w:color="auto"/>
        <w:right w:val="none" w:sz="0" w:space="0" w:color="auto"/>
      </w:divBdr>
    </w:div>
    <w:div w:id="504978651">
      <w:bodyDiv w:val="1"/>
      <w:marLeft w:val="0"/>
      <w:marRight w:val="0"/>
      <w:marTop w:val="0"/>
      <w:marBottom w:val="0"/>
      <w:divBdr>
        <w:top w:val="none" w:sz="0" w:space="0" w:color="auto"/>
        <w:left w:val="none" w:sz="0" w:space="0" w:color="auto"/>
        <w:bottom w:val="none" w:sz="0" w:space="0" w:color="auto"/>
        <w:right w:val="none" w:sz="0" w:space="0" w:color="auto"/>
      </w:divBdr>
    </w:div>
    <w:div w:id="1076979723">
      <w:bodyDiv w:val="1"/>
      <w:marLeft w:val="0"/>
      <w:marRight w:val="0"/>
      <w:marTop w:val="0"/>
      <w:marBottom w:val="0"/>
      <w:divBdr>
        <w:top w:val="none" w:sz="0" w:space="0" w:color="auto"/>
        <w:left w:val="none" w:sz="0" w:space="0" w:color="auto"/>
        <w:bottom w:val="none" w:sz="0" w:space="0" w:color="auto"/>
        <w:right w:val="none" w:sz="0" w:space="0" w:color="auto"/>
      </w:divBdr>
    </w:div>
    <w:div w:id="1190603141">
      <w:bodyDiv w:val="1"/>
      <w:marLeft w:val="0"/>
      <w:marRight w:val="0"/>
      <w:marTop w:val="0"/>
      <w:marBottom w:val="0"/>
      <w:divBdr>
        <w:top w:val="none" w:sz="0" w:space="0" w:color="auto"/>
        <w:left w:val="none" w:sz="0" w:space="0" w:color="auto"/>
        <w:bottom w:val="none" w:sz="0" w:space="0" w:color="auto"/>
        <w:right w:val="none" w:sz="0" w:space="0" w:color="auto"/>
      </w:divBdr>
    </w:div>
    <w:div w:id="1278634001">
      <w:bodyDiv w:val="1"/>
      <w:marLeft w:val="0"/>
      <w:marRight w:val="0"/>
      <w:marTop w:val="0"/>
      <w:marBottom w:val="0"/>
      <w:divBdr>
        <w:top w:val="none" w:sz="0" w:space="0" w:color="auto"/>
        <w:left w:val="none" w:sz="0" w:space="0" w:color="auto"/>
        <w:bottom w:val="none" w:sz="0" w:space="0" w:color="auto"/>
        <w:right w:val="none" w:sz="0" w:space="0" w:color="auto"/>
      </w:divBdr>
    </w:div>
    <w:div w:id="1345399901">
      <w:bodyDiv w:val="1"/>
      <w:marLeft w:val="0"/>
      <w:marRight w:val="0"/>
      <w:marTop w:val="0"/>
      <w:marBottom w:val="0"/>
      <w:divBdr>
        <w:top w:val="none" w:sz="0" w:space="0" w:color="auto"/>
        <w:left w:val="none" w:sz="0" w:space="0" w:color="auto"/>
        <w:bottom w:val="none" w:sz="0" w:space="0" w:color="auto"/>
        <w:right w:val="none" w:sz="0" w:space="0" w:color="auto"/>
      </w:divBdr>
    </w:div>
    <w:div w:id="1456177082">
      <w:bodyDiv w:val="1"/>
      <w:marLeft w:val="0"/>
      <w:marRight w:val="0"/>
      <w:marTop w:val="0"/>
      <w:marBottom w:val="0"/>
      <w:divBdr>
        <w:top w:val="none" w:sz="0" w:space="0" w:color="auto"/>
        <w:left w:val="none" w:sz="0" w:space="0" w:color="auto"/>
        <w:bottom w:val="none" w:sz="0" w:space="0" w:color="auto"/>
        <w:right w:val="none" w:sz="0" w:space="0" w:color="auto"/>
      </w:divBdr>
    </w:div>
    <w:div w:id="191366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4715</Words>
  <Characters>26882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Kiersten</dc:creator>
  <cp:lastModifiedBy>SYSTEM</cp:lastModifiedBy>
  <cp:revision>2</cp:revision>
  <dcterms:created xsi:type="dcterms:W3CDTF">2018-08-02T17:34:00Z</dcterms:created>
  <dcterms:modified xsi:type="dcterms:W3CDTF">2018-08-02T17:34:00Z</dcterms:modified>
</cp:coreProperties>
</file>