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67213" w14:textId="77777777" w:rsidR="0088452B" w:rsidRDefault="004112E2">
      <w:pPr>
        <w:spacing w:before="57" w:line="413" w:lineRule="exact"/>
        <w:ind w:left="135" w:right="135"/>
        <w:jc w:val="center"/>
        <w:rPr>
          <w:b/>
          <w:sz w:val="36"/>
        </w:rPr>
      </w:pPr>
      <w:bookmarkStart w:id="0" w:name="Supporting_Statement_B_For_Revision_of_C"/>
      <w:bookmarkStart w:id="1" w:name="_GoBack"/>
      <w:bookmarkEnd w:id="0"/>
      <w:bookmarkEnd w:id="1"/>
      <w:r>
        <w:rPr>
          <w:b/>
          <w:sz w:val="36"/>
        </w:rPr>
        <w:t>Supporting Statement B</w:t>
      </w:r>
    </w:p>
    <w:p w14:paraId="14134641" w14:textId="77777777" w:rsidR="0088452B" w:rsidRDefault="004112E2">
      <w:pPr>
        <w:spacing w:line="720" w:lineRule="auto"/>
        <w:ind w:left="136" w:right="135"/>
        <w:jc w:val="center"/>
        <w:rPr>
          <w:b/>
          <w:sz w:val="36"/>
        </w:rPr>
      </w:pPr>
      <w:r>
        <w:rPr>
          <w:b/>
          <w:sz w:val="36"/>
        </w:rPr>
        <w:t>For Revision of Currently Approved Collection: Medicare Current Beneficiary Survey (MCBS)</w:t>
      </w:r>
    </w:p>
    <w:p w14:paraId="427AEF20" w14:textId="77777777" w:rsidR="0088452B" w:rsidRDefault="0088452B">
      <w:pPr>
        <w:pStyle w:val="BodyText"/>
        <w:ind w:left="0"/>
        <w:rPr>
          <w:b/>
          <w:sz w:val="40"/>
        </w:rPr>
      </w:pPr>
    </w:p>
    <w:p w14:paraId="01346B5B" w14:textId="77777777" w:rsidR="0088452B" w:rsidRDefault="004112E2">
      <w:pPr>
        <w:spacing w:before="305" w:line="640" w:lineRule="atLeast"/>
        <w:ind w:left="2846" w:right="2832"/>
        <w:jc w:val="center"/>
        <w:rPr>
          <w:sz w:val="28"/>
        </w:rPr>
      </w:pPr>
      <w:r>
        <w:rPr>
          <w:sz w:val="28"/>
        </w:rPr>
        <w:t>Contact Information: William S. Long</w:t>
      </w:r>
    </w:p>
    <w:p w14:paraId="53073589" w14:textId="77777777" w:rsidR="0088452B" w:rsidRDefault="004112E2">
      <w:pPr>
        <w:ind w:left="138" w:right="135"/>
        <w:jc w:val="center"/>
        <w:rPr>
          <w:sz w:val="28"/>
        </w:rPr>
      </w:pPr>
      <w:r>
        <w:rPr>
          <w:sz w:val="28"/>
        </w:rPr>
        <w:t>Contracting Officer’s Representative, Medicare Current Beneficiary Survey Office of Enterprise Data and Analytics (OEDA)/CMS</w:t>
      </w:r>
    </w:p>
    <w:p w14:paraId="569D9A71" w14:textId="77777777" w:rsidR="0088452B" w:rsidRDefault="004112E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773AC5E7" w14:textId="77777777" w:rsidR="0088452B" w:rsidRDefault="004112E2">
      <w:pPr>
        <w:spacing w:line="321" w:lineRule="exact"/>
        <w:ind w:left="135" w:right="135"/>
        <w:jc w:val="center"/>
        <w:rPr>
          <w:sz w:val="28"/>
        </w:rPr>
      </w:pPr>
      <w:r>
        <w:rPr>
          <w:sz w:val="28"/>
        </w:rPr>
        <w:t>(410) 786-7927</w:t>
      </w:r>
    </w:p>
    <w:p w14:paraId="24C71B7E" w14:textId="77777777" w:rsidR="0088452B" w:rsidRDefault="00A528D4">
      <w:pPr>
        <w:ind w:left="2846" w:right="2844"/>
        <w:jc w:val="center"/>
        <w:rPr>
          <w:sz w:val="28"/>
        </w:rPr>
      </w:pPr>
      <w:hyperlink r:id="rId8">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pPr>
        <w:pStyle w:val="BodyText"/>
        <w:ind w:left="0"/>
        <w:rPr>
          <w:sz w:val="30"/>
        </w:rPr>
      </w:pPr>
    </w:p>
    <w:p w14:paraId="2B15EFBB" w14:textId="77777777" w:rsidR="0088452B" w:rsidRDefault="0088452B">
      <w:pPr>
        <w:pStyle w:val="BodyText"/>
        <w:spacing w:before="4"/>
        <w:ind w:left="0"/>
        <w:rPr>
          <w:sz w:val="25"/>
        </w:rPr>
      </w:pPr>
    </w:p>
    <w:p w14:paraId="039AB3FA" w14:textId="77777777" w:rsidR="0088452B" w:rsidRDefault="004112E2">
      <w:pPr>
        <w:ind w:left="138" w:right="134"/>
        <w:jc w:val="center"/>
        <w:rPr>
          <w:sz w:val="28"/>
        </w:rPr>
      </w:pPr>
      <w:r>
        <w:rPr>
          <w:sz w:val="28"/>
        </w:rPr>
        <w:t>May 16, 2018</w:t>
      </w:r>
    </w:p>
    <w:p w14:paraId="60F72588" w14:textId="77777777" w:rsidR="0088452B" w:rsidRDefault="0088452B">
      <w:pPr>
        <w:jc w:val="center"/>
        <w:rPr>
          <w:sz w:val="28"/>
        </w:rPr>
        <w:sectPr w:rsidR="0088452B">
          <w:type w:val="continuous"/>
          <w:pgSz w:w="12240" w:h="15840"/>
          <w:pgMar w:top="1380" w:right="1720" w:bottom="280" w:left="1720" w:header="720" w:footer="720" w:gutter="0"/>
          <w:cols w:space="720"/>
        </w:sectPr>
      </w:pPr>
    </w:p>
    <w:p w14:paraId="0467B697" w14:textId="77777777" w:rsidR="0088452B" w:rsidRDefault="004112E2">
      <w:pPr>
        <w:spacing w:before="119"/>
        <w:ind w:left="100"/>
        <w:rPr>
          <w:sz w:val="32"/>
        </w:rPr>
      </w:pPr>
      <w:bookmarkStart w:id="2" w:name="Table_of_Contents"/>
      <w:bookmarkEnd w:id="2"/>
      <w:r>
        <w:rPr>
          <w:sz w:val="32"/>
        </w:rPr>
        <w:lastRenderedPageBreak/>
        <w:t>Table of Contents</w:t>
      </w:r>
    </w:p>
    <w:sdt>
      <w:sdtPr>
        <w:id w:val="-673652342"/>
        <w:docPartObj>
          <w:docPartGallery w:val="Table of Contents"/>
          <w:docPartUnique/>
        </w:docPartObj>
      </w:sdtPr>
      <w:sdtEndPr/>
      <w:sdtContent>
        <w:p w14:paraId="19D46CB7" w14:textId="77777777" w:rsidR="0088452B" w:rsidRDefault="00A528D4">
          <w:pPr>
            <w:pStyle w:val="TOC1"/>
            <w:tabs>
              <w:tab w:val="right" w:leader="dot" w:pos="9671"/>
            </w:tabs>
            <w:spacing w:before="268"/>
          </w:pPr>
          <w:hyperlink w:anchor="_bookmark0" w:history="1">
            <w:r w:rsidR="004112E2">
              <w:t>List</w:t>
            </w:r>
            <w:r w:rsidR="004112E2">
              <w:rPr>
                <w:spacing w:val="-1"/>
              </w:rPr>
              <w:t xml:space="preserve"> </w:t>
            </w:r>
            <w:r w:rsidR="004112E2">
              <w:t>of</w:t>
            </w:r>
            <w:r w:rsidR="004112E2">
              <w:rPr>
                <w:spacing w:val="-2"/>
              </w:rPr>
              <w:t xml:space="preserve"> </w:t>
            </w:r>
            <w:r w:rsidR="004112E2">
              <w:t>Attachments</w:t>
            </w:r>
            <w:r w:rsidR="004112E2">
              <w:tab/>
              <w:t>ii</w:t>
            </w:r>
          </w:hyperlink>
        </w:p>
        <w:p w14:paraId="055B6241" w14:textId="77777777" w:rsidR="0088452B" w:rsidRDefault="00A528D4">
          <w:pPr>
            <w:pStyle w:val="TOC1"/>
            <w:tabs>
              <w:tab w:val="right" w:leader="dot" w:pos="9670"/>
            </w:tabs>
          </w:pPr>
          <w:hyperlink w:anchor="_bookmark1" w:history="1">
            <w:r w:rsidR="004112E2">
              <w:t>B.</w:t>
            </w:r>
            <w:r w:rsidR="004112E2">
              <w:rPr>
                <w:spacing w:val="59"/>
              </w:rPr>
              <w:t xml:space="preserve"> </w:t>
            </w:r>
            <w:r w:rsidR="004112E2">
              <w:t>Statistical</w:t>
            </w:r>
            <w:r w:rsidR="004112E2">
              <w:rPr>
                <w:spacing w:val="-1"/>
              </w:rPr>
              <w:t xml:space="preserve"> </w:t>
            </w:r>
            <w:r w:rsidR="004112E2">
              <w:t>Methods</w:t>
            </w:r>
            <w:r w:rsidR="004112E2">
              <w:tab/>
              <w:t>1</w:t>
            </w:r>
          </w:hyperlink>
        </w:p>
        <w:p w14:paraId="1DD50CD1" w14:textId="77777777" w:rsidR="0088452B" w:rsidRDefault="00A528D4">
          <w:pPr>
            <w:pStyle w:val="TOC2"/>
            <w:tabs>
              <w:tab w:val="right" w:leader="dot" w:pos="9670"/>
            </w:tabs>
            <w:spacing w:before="100"/>
          </w:pPr>
          <w:hyperlink w:anchor="_bookmark2" w:history="1">
            <w:r w:rsidR="004112E2">
              <w:t>B1. Universe and</w:t>
            </w:r>
            <w:r w:rsidR="004112E2">
              <w:rPr>
                <w:spacing w:val="-1"/>
              </w:rPr>
              <w:t xml:space="preserve"> </w:t>
            </w:r>
            <w:r w:rsidR="004112E2">
              <w:t>Respondent</w:t>
            </w:r>
            <w:r w:rsidR="004112E2">
              <w:rPr>
                <w:spacing w:val="-7"/>
              </w:rPr>
              <w:t xml:space="preserve"> </w:t>
            </w:r>
            <w:r w:rsidR="004112E2">
              <w:t>Selection</w:t>
            </w:r>
            <w:r w:rsidR="004112E2">
              <w:tab/>
              <w:t>1</w:t>
            </w:r>
          </w:hyperlink>
        </w:p>
        <w:p w14:paraId="1159600E" w14:textId="77777777" w:rsidR="0088452B" w:rsidRDefault="00A528D4">
          <w:pPr>
            <w:pStyle w:val="TOC2"/>
            <w:tabs>
              <w:tab w:val="right" w:leader="dot" w:pos="9670"/>
            </w:tabs>
          </w:pPr>
          <w:hyperlink w:anchor="_bookmark4" w:history="1">
            <w:r w:rsidR="004112E2">
              <w:t>B2. Procedures for</w:t>
            </w:r>
            <w:r w:rsidR="004112E2">
              <w:rPr>
                <w:spacing w:val="-1"/>
              </w:rPr>
              <w:t xml:space="preserve"> </w:t>
            </w:r>
            <w:r w:rsidR="004112E2">
              <w:t>Collecting</w:t>
            </w:r>
            <w:r w:rsidR="004112E2">
              <w:rPr>
                <w:spacing w:val="-13"/>
              </w:rPr>
              <w:t xml:space="preserve"> </w:t>
            </w:r>
            <w:r w:rsidR="004112E2">
              <w:t>Information</w:t>
            </w:r>
            <w:r w:rsidR="004112E2">
              <w:tab/>
              <w:t>4</w:t>
            </w:r>
          </w:hyperlink>
        </w:p>
        <w:p w14:paraId="2CC6C06B" w14:textId="77777777" w:rsidR="0088452B" w:rsidRDefault="00A528D4">
          <w:pPr>
            <w:pStyle w:val="TOC2"/>
            <w:tabs>
              <w:tab w:val="right" w:leader="dot" w:pos="9670"/>
            </w:tabs>
          </w:pPr>
          <w:hyperlink w:anchor="_bookmark10" w:history="1">
            <w:r w:rsidR="004112E2">
              <w:t>B3. Methods for Maximizing Response Rates and Dealing with Issues</w:t>
            </w:r>
            <w:r w:rsidR="004112E2">
              <w:rPr>
                <w:spacing w:val="-8"/>
              </w:rPr>
              <w:t xml:space="preserve"> </w:t>
            </w:r>
            <w:r w:rsidR="004112E2">
              <w:t>of</w:t>
            </w:r>
            <w:r w:rsidR="004112E2">
              <w:rPr>
                <w:spacing w:val="-12"/>
              </w:rPr>
              <w:t xml:space="preserve"> </w:t>
            </w:r>
            <w:r w:rsidR="004112E2">
              <w:t>Non-Response</w:t>
            </w:r>
            <w:r w:rsidR="004112E2">
              <w:tab/>
              <w:t>14</w:t>
            </w:r>
          </w:hyperlink>
        </w:p>
        <w:p w14:paraId="5FD09FB6" w14:textId="77777777" w:rsidR="0088452B" w:rsidRDefault="00A528D4">
          <w:pPr>
            <w:pStyle w:val="TOC2"/>
            <w:tabs>
              <w:tab w:val="right" w:leader="dot" w:pos="9670"/>
            </w:tabs>
          </w:pPr>
          <w:hyperlink w:anchor="_bookmark11" w:history="1">
            <w:r w:rsidR="004112E2">
              <w:t>B4. Tests of Procedures</w:t>
            </w:r>
            <w:r w:rsidR="004112E2">
              <w:rPr>
                <w:spacing w:val="-3"/>
              </w:rPr>
              <w:t xml:space="preserve"> </w:t>
            </w:r>
            <w:r w:rsidR="004112E2">
              <w:t>or</w:t>
            </w:r>
            <w:r w:rsidR="004112E2">
              <w:rPr>
                <w:spacing w:val="-7"/>
              </w:rPr>
              <w:t xml:space="preserve"> </w:t>
            </w:r>
            <w:r w:rsidR="004112E2">
              <w:t>Methods</w:t>
            </w:r>
            <w:r w:rsidR="004112E2">
              <w:tab/>
              <w:t>16</w:t>
            </w:r>
          </w:hyperlink>
        </w:p>
        <w:p w14:paraId="618BF6F6" w14:textId="77777777" w:rsidR="0088452B" w:rsidRDefault="00A528D4">
          <w:pPr>
            <w:pStyle w:val="TOC2"/>
            <w:tabs>
              <w:tab w:val="right" w:leader="dot" w:pos="9670"/>
            </w:tabs>
            <w:spacing w:before="101"/>
          </w:pPr>
          <w:hyperlink w:anchor="_bookmark12" w:history="1">
            <w:r w:rsidR="004112E2">
              <w:t>B5. Individuals Consulted on Statistical Aspects</w:t>
            </w:r>
            <w:r w:rsidR="004112E2">
              <w:rPr>
                <w:spacing w:val="-3"/>
              </w:rPr>
              <w:t xml:space="preserve"> </w:t>
            </w:r>
            <w:r w:rsidR="004112E2">
              <w:t>of</w:t>
            </w:r>
            <w:r w:rsidR="004112E2">
              <w:rPr>
                <w:spacing w:val="-14"/>
              </w:rPr>
              <w:t xml:space="preserve"> </w:t>
            </w:r>
            <w:r w:rsidR="004112E2">
              <w:t>Design</w:t>
            </w:r>
            <w:r w:rsidR="004112E2">
              <w:tab/>
              <w:t>17</w:t>
            </w:r>
          </w:hyperlink>
        </w:p>
      </w:sdtContent>
    </w:sdt>
    <w:p w14:paraId="518E2025" w14:textId="77777777" w:rsidR="0088452B" w:rsidRDefault="0088452B">
      <w:pPr>
        <w:sectPr w:rsidR="0088452B">
          <w:footerReference w:type="default" r:id="rId9"/>
          <w:pgSz w:w="12240" w:h="15840"/>
          <w:pgMar w:top="1500" w:right="1200" w:bottom="940" w:left="1240" w:header="0" w:footer="745" w:gutter="0"/>
          <w:pgNumType w:start="1"/>
          <w:cols w:space="720"/>
        </w:sectPr>
      </w:pPr>
    </w:p>
    <w:p w14:paraId="5474110B" w14:textId="77777777" w:rsidR="0088452B" w:rsidRDefault="004112E2">
      <w:pPr>
        <w:pStyle w:val="Heading1"/>
      </w:pPr>
      <w:bookmarkStart w:id="3" w:name="List_of_Attachments"/>
      <w:bookmarkStart w:id="4" w:name="_bookmark0"/>
      <w:bookmarkEnd w:id="3"/>
      <w:bookmarkEnd w:id="4"/>
      <w:r>
        <w:t>List of Attachments</w:t>
      </w:r>
    </w:p>
    <w:p w14:paraId="03BEB887" w14:textId="77777777" w:rsidR="0088452B" w:rsidRDefault="004112E2">
      <w:pPr>
        <w:pStyle w:val="BodyText"/>
        <w:spacing w:before="238" w:line="448" w:lineRule="auto"/>
        <w:ind w:right="4239"/>
      </w:pPr>
      <w:r>
        <w:t>Attachment 1: 60-day Federal Register Notice Attachment 2: Community Advance Letter – English</w:t>
      </w:r>
    </w:p>
    <w:p w14:paraId="46B9CB3D" w14:textId="77777777" w:rsidR="0088452B" w:rsidRDefault="004112E2">
      <w:pPr>
        <w:pStyle w:val="BodyText"/>
        <w:spacing w:before="8" w:line="448" w:lineRule="auto"/>
        <w:ind w:left="1540" w:right="4239"/>
      </w:pPr>
      <w:r>
        <w:t>MCBS Community Brochure – English At the Door Sheet – English</w:t>
      </w:r>
    </w:p>
    <w:p w14:paraId="60B6C5D7" w14:textId="77777777" w:rsidR="0088452B" w:rsidRDefault="004112E2">
      <w:pPr>
        <w:pStyle w:val="BodyText"/>
        <w:spacing w:before="8"/>
        <w:ind w:left="1540"/>
      </w:pPr>
      <w:r>
        <w:t>MCBS Calendar – English</w:t>
      </w:r>
    </w:p>
    <w:p w14:paraId="5ED0AB69" w14:textId="77777777" w:rsidR="0088452B" w:rsidRDefault="0088452B">
      <w:pPr>
        <w:pStyle w:val="BodyText"/>
        <w:spacing w:before="9"/>
        <w:ind w:left="0"/>
        <w:rPr>
          <w:sz w:val="20"/>
        </w:rPr>
      </w:pPr>
    </w:p>
    <w:p w14:paraId="064CC0FA" w14:textId="77777777" w:rsidR="0088452B" w:rsidRDefault="004112E2">
      <w:pPr>
        <w:pStyle w:val="BodyText"/>
        <w:spacing w:line="448" w:lineRule="auto"/>
        <w:ind w:left="1540" w:right="2986"/>
      </w:pPr>
      <w:r>
        <w:t>Income and Assets (IAQ) Brochure – English Community Authority Letter</w:t>
      </w:r>
    </w:p>
    <w:p w14:paraId="4993E487" w14:textId="77777777" w:rsidR="0088452B" w:rsidRDefault="004112E2">
      <w:pPr>
        <w:pStyle w:val="BodyText"/>
        <w:spacing w:before="8" w:line="448" w:lineRule="auto"/>
        <w:ind w:left="1540" w:right="2986"/>
      </w:pPr>
      <w:r>
        <w:t>CMS Thank You Letter (Community) – English MCBS Respondent Newsletter</w:t>
      </w:r>
    </w:p>
    <w:p w14:paraId="49B2E13D" w14:textId="77777777" w:rsidR="0088452B" w:rsidRDefault="004112E2">
      <w:pPr>
        <w:pStyle w:val="BodyText"/>
        <w:spacing w:before="8"/>
        <w:ind w:left="1540"/>
      </w:pPr>
      <w:r>
        <w:t>Non-response letter – Continuing – English</w:t>
      </w:r>
    </w:p>
    <w:p w14:paraId="6E77C4F6" w14:textId="77777777" w:rsidR="0088452B" w:rsidRDefault="0088452B">
      <w:pPr>
        <w:pStyle w:val="BodyText"/>
        <w:spacing w:before="9"/>
        <w:ind w:left="0"/>
        <w:rPr>
          <w:sz w:val="20"/>
        </w:rPr>
      </w:pPr>
    </w:p>
    <w:p w14:paraId="03CC0F7A" w14:textId="77777777" w:rsidR="0088452B" w:rsidRDefault="004112E2">
      <w:pPr>
        <w:pStyle w:val="BodyText"/>
        <w:spacing w:line="448" w:lineRule="auto"/>
        <w:ind w:right="1295"/>
      </w:pPr>
      <w:r>
        <w:t>Attachment 3: Community Instrument (Baseline and Continuing) and Showcards Attachment 4: Facility Eligibility Screener</w:t>
      </w:r>
    </w:p>
    <w:p w14:paraId="467A6368" w14:textId="77777777" w:rsidR="0088452B" w:rsidRDefault="004112E2">
      <w:pPr>
        <w:pStyle w:val="BodyText"/>
        <w:spacing w:before="8" w:line="448" w:lineRule="auto"/>
        <w:ind w:right="1295"/>
      </w:pPr>
      <w:r>
        <w:t>Attachment 5: Facility Instrument (Baseline and Continuing) and Showcards Attachment 6: Facility Advance Letter - English</w:t>
      </w:r>
    </w:p>
    <w:p w14:paraId="60446D70" w14:textId="77777777" w:rsidR="0088452B" w:rsidRDefault="004112E2">
      <w:pPr>
        <w:pStyle w:val="BodyText"/>
        <w:spacing w:before="8" w:line="448" w:lineRule="auto"/>
        <w:ind w:left="1540" w:right="4239"/>
      </w:pPr>
      <w:r>
        <w:t>MCBS Facility Brochure – English Resident Consent Form</w:t>
      </w:r>
    </w:p>
    <w:p w14:paraId="3C2747AA" w14:textId="77777777" w:rsidR="0088452B" w:rsidRDefault="004112E2">
      <w:pPr>
        <w:pStyle w:val="BodyText"/>
        <w:spacing w:before="8" w:line="448" w:lineRule="auto"/>
        <w:ind w:left="1540" w:right="4973"/>
      </w:pPr>
      <w:r>
        <w:t>Next of Kin Consent Form HIPAA Letter – English</w:t>
      </w:r>
    </w:p>
    <w:p w14:paraId="49F526C4" w14:textId="77777777" w:rsidR="0088452B" w:rsidRDefault="0088452B">
      <w:pPr>
        <w:spacing w:line="448" w:lineRule="auto"/>
        <w:sectPr w:rsidR="0088452B">
          <w:pgSz w:w="12240" w:h="15840"/>
          <w:pgMar w:top="1320" w:right="1200" w:bottom="940" w:left="1240" w:header="0" w:footer="745" w:gutter="0"/>
          <w:cols w:space="720"/>
        </w:sectPr>
      </w:pPr>
    </w:p>
    <w:p w14:paraId="5CDCF728" w14:textId="77777777" w:rsidR="0088452B" w:rsidRDefault="004112E2">
      <w:pPr>
        <w:pStyle w:val="ListParagraph"/>
        <w:numPr>
          <w:ilvl w:val="0"/>
          <w:numId w:val="6"/>
        </w:numPr>
        <w:tabs>
          <w:tab w:val="left" w:pos="469"/>
        </w:tabs>
        <w:spacing w:before="59"/>
        <w:ind w:hanging="368"/>
        <w:rPr>
          <w:b/>
          <w:sz w:val="26"/>
        </w:rPr>
      </w:pPr>
      <w:bookmarkStart w:id="5" w:name="B._Statistical_Methods"/>
      <w:bookmarkStart w:id="6" w:name="B1._Universe_and_Respondent_Selection"/>
      <w:bookmarkStart w:id="7" w:name="_bookmark1"/>
      <w:bookmarkEnd w:id="5"/>
      <w:bookmarkEnd w:id="6"/>
      <w:bookmarkEnd w:id="7"/>
      <w:r>
        <w:rPr>
          <w:b/>
          <w:sz w:val="26"/>
        </w:rPr>
        <w:t>Statistical</w:t>
      </w:r>
      <w:r>
        <w:rPr>
          <w:b/>
          <w:spacing w:val="-9"/>
          <w:sz w:val="26"/>
        </w:rPr>
        <w:t xml:space="preserve"> </w:t>
      </w:r>
      <w:r>
        <w:rPr>
          <w:b/>
          <w:sz w:val="26"/>
        </w:rPr>
        <w:t>Methods</w:t>
      </w:r>
    </w:p>
    <w:p w14:paraId="24029E16" w14:textId="77777777" w:rsidR="0088452B" w:rsidRDefault="004112E2">
      <w:pPr>
        <w:pStyle w:val="BodyText"/>
        <w:spacing w:before="116"/>
        <w:ind w:right="368"/>
      </w:pPr>
      <w:r>
        <w:t>The revision to this OMB package includes the following modifications to the sampling design and Community and Facility instrument sections:</w:t>
      </w:r>
    </w:p>
    <w:p w14:paraId="137782B1" w14:textId="77777777" w:rsidR="0088452B" w:rsidRDefault="004112E2">
      <w:pPr>
        <w:pStyle w:val="ListParagraph"/>
        <w:numPr>
          <w:ilvl w:val="1"/>
          <w:numId w:val="6"/>
        </w:numPr>
        <w:tabs>
          <w:tab w:val="left" w:pos="820"/>
          <w:tab w:val="left" w:pos="821"/>
        </w:tabs>
        <w:spacing w:before="201"/>
        <w:ind w:right="1059"/>
        <w:rPr>
          <w:sz w:val="24"/>
        </w:rPr>
      </w:pPr>
      <w:r>
        <w:rPr>
          <w:sz w:val="24"/>
        </w:rPr>
        <w:t>Modify the sample design permanently by reducing three Primary Sampling Units in Puerto Rico and expanding Hispanic data collection in the continental</w:t>
      </w:r>
      <w:r>
        <w:rPr>
          <w:spacing w:val="-20"/>
          <w:sz w:val="24"/>
        </w:rPr>
        <w:t xml:space="preserve"> </w:t>
      </w:r>
      <w:r>
        <w:rPr>
          <w:sz w:val="24"/>
        </w:rPr>
        <w:t>U.S.</w:t>
      </w:r>
    </w:p>
    <w:p w14:paraId="6ADD8BD4" w14:textId="77777777" w:rsidR="0088452B" w:rsidRDefault="004112E2">
      <w:pPr>
        <w:pStyle w:val="ListParagraph"/>
        <w:numPr>
          <w:ilvl w:val="1"/>
          <w:numId w:val="6"/>
        </w:numPr>
        <w:tabs>
          <w:tab w:val="left" w:pos="820"/>
          <w:tab w:val="left" w:pos="821"/>
        </w:tabs>
        <w:spacing w:before="1" w:line="293" w:lineRule="exact"/>
        <w:rPr>
          <w:sz w:val="24"/>
        </w:rPr>
      </w:pPr>
      <w:r>
        <w:rPr>
          <w:sz w:val="24"/>
        </w:rPr>
        <w:t>Discontinue a 12th Exit interview as had previously been</w:t>
      </w:r>
      <w:r>
        <w:rPr>
          <w:spacing w:val="-17"/>
          <w:sz w:val="24"/>
        </w:rPr>
        <w:t xml:space="preserve"> </w:t>
      </w:r>
      <w:r>
        <w:rPr>
          <w:sz w:val="24"/>
        </w:rPr>
        <w:t>collected.</w:t>
      </w:r>
    </w:p>
    <w:p w14:paraId="504A2173" w14:textId="77777777" w:rsidR="0088452B" w:rsidRDefault="004112E2">
      <w:pPr>
        <w:pStyle w:val="ListParagraph"/>
        <w:numPr>
          <w:ilvl w:val="1"/>
          <w:numId w:val="6"/>
        </w:numPr>
        <w:tabs>
          <w:tab w:val="left" w:pos="820"/>
          <w:tab w:val="left" w:pos="821"/>
        </w:tabs>
        <w:spacing w:line="293" w:lineRule="exact"/>
        <w:rPr>
          <w:sz w:val="24"/>
        </w:rPr>
      </w:pPr>
      <w:r>
        <w:rPr>
          <w:sz w:val="24"/>
        </w:rPr>
        <w:t>Revise the Preventive Care Questionnaire (PVQ) to add questions on HIV</w:t>
      </w:r>
      <w:r>
        <w:rPr>
          <w:spacing w:val="-19"/>
          <w:sz w:val="24"/>
        </w:rPr>
        <w:t xml:space="preserve"> </w:t>
      </w:r>
      <w:r>
        <w:rPr>
          <w:sz w:val="24"/>
        </w:rPr>
        <w:t>testing.</w:t>
      </w:r>
    </w:p>
    <w:p w14:paraId="46F22619" w14:textId="77777777" w:rsidR="0088452B" w:rsidRDefault="004112E2">
      <w:pPr>
        <w:pStyle w:val="ListParagraph"/>
        <w:numPr>
          <w:ilvl w:val="1"/>
          <w:numId w:val="6"/>
        </w:numPr>
        <w:tabs>
          <w:tab w:val="left" w:pos="820"/>
          <w:tab w:val="left" w:pos="821"/>
        </w:tabs>
        <w:ind w:right="874"/>
        <w:rPr>
          <w:sz w:val="24"/>
        </w:rPr>
      </w:pPr>
      <w:r>
        <w:rPr>
          <w:sz w:val="24"/>
        </w:rPr>
        <w:t>Modify the collection of utilization data by expanding the Dental Utilization Questionnaire (DUQ) into a new section called Dental, Vision, and Hearing Care Utilization Questionnaire (DVH). The section will include parallel measures for</w:t>
      </w:r>
      <w:r>
        <w:rPr>
          <w:spacing w:val="-25"/>
          <w:sz w:val="24"/>
        </w:rPr>
        <w:t xml:space="preserve"> </w:t>
      </w:r>
      <w:r>
        <w:rPr>
          <w:sz w:val="24"/>
        </w:rPr>
        <w:t>vision and hearing as are currently asked for dental</w:t>
      </w:r>
      <w:r>
        <w:rPr>
          <w:spacing w:val="-15"/>
          <w:sz w:val="24"/>
        </w:rPr>
        <w:t xml:space="preserve"> </w:t>
      </w:r>
      <w:r>
        <w:rPr>
          <w:sz w:val="24"/>
        </w:rPr>
        <w:t>utilization.</w:t>
      </w:r>
    </w:p>
    <w:p w14:paraId="52AC6772" w14:textId="77777777" w:rsidR="0088452B" w:rsidRDefault="004112E2">
      <w:pPr>
        <w:pStyle w:val="ListParagraph"/>
        <w:numPr>
          <w:ilvl w:val="1"/>
          <w:numId w:val="6"/>
        </w:numPr>
        <w:tabs>
          <w:tab w:val="left" w:pos="820"/>
          <w:tab w:val="left" w:pos="821"/>
        </w:tabs>
        <w:spacing w:before="1" w:line="293" w:lineRule="exact"/>
        <w:rPr>
          <w:sz w:val="24"/>
        </w:rPr>
      </w:pPr>
      <w:r>
        <w:rPr>
          <w:sz w:val="24"/>
        </w:rPr>
        <w:t>Add a new section on Chronic Pain Prevalence and Management</w:t>
      </w:r>
      <w:r>
        <w:rPr>
          <w:spacing w:val="-17"/>
          <w:sz w:val="24"/>
        </w:rPr>
        <w:t xml:space="preserve"> </w:t>
      </w:r>
      <w:r>
        <w:rPr>
          <w:sz w:val="24"/>
        </w:rPr>
        <w:t>(CPQ).</w:t>
      </w:r>
    </w:p>
    <w:p w14:paraId="3B095C80" w14:textId="77777777" w:rsidR="0088452B" w:rsidRDefault="004112E2">
      <w:pPr>
        <w:pStyle w:val="ListParagraph"/>
        <w:numPr>
          <w:ilvl w:val="1"/>
          <w:numId w:val="6"/>
        </w:numPr>
        <w:tabs>
          <w:tab w:val="left" w:pos="820"/>
          <w:tab w:val="left" w:pos="821"/>
        </w:tabs>
        <w:ind w:right="1264"/>
        <w:rPr>
          <w:sz w:val="24"/>
        </w:rPr>
      </w:pPr>
      <w:r>
        <w:rPr>
          <w:sz w:val="24"/>
        </w:rPr>
        <w:t>Revise the Health Status and Functioning (HFQ) section to add three new physical measures and one recall question to measure cognitive</w:t>
      </w:r>
      <w:r>
        <w:rPr>
          <w:spacing w:val="-15"/>
          <w:sz w:val="24"/>
        </w:rPr>
        <w:t xml:space="preserve"> </w:t>
      </w:r>
      <w:r>
        <w:rPr>
          <w:sz w:val="24"/>
        </w:rPr>
        <w:t>functioning.</w:t>
      </w:r>
    </w:p>
    <w:p w14:paraId="712E7D67" w14:textId="77777777" w:rsidR="0088452B" w:rsidRDefault="004112E2">
      <w:pPr>
        <w:pStyle w:val="ListParagraph"/>
        <w:numPr>
          <w:ilvl w:val="1"/>
          <w:numId w:val="6"/>
        </w:numPr>
        <w:tabs>
          <w:tab w:val="left" w:pos="820"/>
          <w:tab w:val="left" w:pos="821"/>
        </w:tabs>
        <w:spacing w:before="1"/>
        <w:ind w:right="649"/>
        <w:rPr>
          <w:sz w:val="24"/>
        </w:rPr>
      </w:pPr>
      <w:r>
        <w:rPr>
          <w:sz w:val="24"/>
        </w:rPr>
        <w:t>Reduce the content of Facility interviews for Medicare certified facilities when</w:t>
      </w:r>
      <w:r>
        <w:rPr>
          <w:spacing w:val="-28"/>
          <w:sz w:val="24"/>
        </w:rPr>
        <w:t xml:space="preserve"> </w:t>
      </w:r>
      <w:r>
        <w:rPr>
          <w:sz w:val="24"/>
        </w:rPr>
        <w:t>CASPER and MDS administrative data are</w:t>
      </w:r>
      <w:r>
        <w:rPr>
          <w:spacing w:val="-11"/>
          <w:sz w:val="24"/>
        </w:rPr>
        <w:t xml:space="preserve"> </w:t>
      </w:r>
      <w:r>
        <w:rPr>
          <w:sz w:val="24"/>
        </w:rPr>
        <w:t>available.</w:t>
      </w:r>
    </w:p>
    <w:p w14:paraId="1F8DCFA2" w14:textId="77777777" w:rsidR="0088452B" w:rsidRDefault="004112E2">
      <w:pPr>
        <w:pStyle w:val="ListParagraph"/>
        <w:numPr>
          <w:ilvl w:val="1"/>
          <w:numId w:val="6"/>
        </w:numPr>
        <w:tabs>
          <w:tab w:val="left" w:pos="820"/>
          <w:tab w:val="left" w:pos="821"/>
        </w:tabs>
        <w:rPr>
          <w:sz w:val="24"/>
        </w:rPr>
      </w:pPr>
      <w:r>
        <w:rPr>
          <w:sz w:val="24"/>
        </w:rPr>
        <w:t>Discontinue collection of Prescribed Medicines (PM) data during the Facility</w:t>
      </w:r>
      <w:r>
        <w:rPr>
          <w:spacing w:val="-26"/>
          <w:sz w:val="24"/>
        </w:rPr>
        <w:t xml:space="preserve"> </w:t>
      </w:r>
      <w:r>
        <w:rPr>
          <w:sz w:val="24"/>
        </w:rPr>
        <w:t>interview.</w:t>
      </w:r>
    </w:p>
    <w:p w14:paraId="1E632D08" w14:textId="77777777" w:rsidR="0088452B" w:rsidRDefault="004112E2">
      <w:pPr>
        <w:pStyle w:val="Heading2"/>
        <w:spacing w:before="241"/>
      </w:pPr>
      <w:bookmarkStart w:id="8" w:name="_bookmark2"/>
      <w:bookmarkEnd w:id="8"/>
      <w:r>
        <w:t>B1. Universe and Respondent Selection</w:t>
      </w:r>
    </w:p>
    <w:p w14:paraId="5DC341B4" w14:textId="77777777" w:rsidR="0088452B" w:rsidRDefault="004112E2">
      <w:pPr>
        <w:pStyle w:val="BodyText"/>
        <w:spacing w:before="116"/>
        <w:ind w:right="371"/>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2017 and projected estimates for 2018. The seven age groups shown in the table correspond to the primary sampling strata from which the samples for the MCBS are drawn. The age groups are defined by the beneficiaries’ age as of July 1 of the given year for 2013 to 2015, and as of December 31 of the given year for 2016 to 2018.</w:t>
      </w:r>
    </w:p>
    <w:p w14:paraId="26BC8044" w14:textId="77777777" w:rsidR="0088452B" w:rsidRDefault="0088452B">
      <w:pPr>
        <w:pStyle w:val="BodyText"/>
        <w:spacing w:before="6"/>
        <w:ind w:left="0"/>
        <w:rPr>
          <w:sz w:val="21"/>
        </w:rPr>
      </w:pPr>
    </w:p>
    <w:p w14:paraId="28917D6E" w14:textId="77777777" w:rsidR="0088452B" w:rsidRDefault="004112E2">
      <w:pPr>
        <w:ind w:left="100"/>
        <w:rPr>
          <w:b/>
          <w:sz w:val="24"/>
        </w:rPr>
      </w:pPr>
      <w:r>
        <w:rPr>
          <w:b/>
          <w:sz w:val="24"/>
        </w:rPr>
        <w:t>Table B.1: Universe Counts Broken Down by MCBS Age Groups (in thousands)</w:t>
      </w:r>
    </w:p>
    <w:p w14:paraId="7085BECC" w14:textId="77777777" w:rsidR="0088452B" w:rsidRDefault="0088452B">
      <w:pPr>
        <w:pStyle w:val="BodyText"/>
        <w:spacing w:before="2"/>
        <w:ind w:left="0"/>
        <w:rPr>
          <w:b/>
          <w:sz w:val="5"/>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6"/>
        <w:gridCol w:w="1158"/>
        <w:gridCol w:w="1336"/>
        <w:gridCol w:w="1334"/>
        <w:gridCol w:w="1336"/>
        <w:gridCol w:w="1334"/>
        <w:gridCol w:w="1336"/>
      </w:tblGrid>
      <w:tr w:rsidR="0088452B" w14:paraId="29933BA9" w14:textId="77777777">
        <w:trPr>
          <w:trHeight w:hRule="exact" w:val="338"/>
        </w:trPr>
        <w:tc>
          <w:tcPr>
            <w:tcW w:w="1976" w:type="dxa"/>
            <w:shd w:val="clear" w:color="auto" w:fill="D9D9D9"/>
          </w:tcPr>
          <w:p w14:paraId="55F59025" w14:textId="77777777" w:rsidR="0088452B" w:rsidRDefault="004112E2">
            <w:pPr>
              <w:pStyle w:val="TableParagraph"/>
              <w:spacing w:before="39"/>
              <w:ind w:left="396"/>
              <w:rPr>
                <w:b/>
              </w:rPr>
            </w:pPr>
            <w:r>
              <w:rPr>
                <w:b/>
              </w:rPr>
              <w:t>Age Interval</w:t>
            </w:r>
          </w:p>
        </w:tc>
        <w:tc>
          <w:tcPr>
            <w:tcW w:w="1158" w:type="dxa"/>
            <w:shd w:val="clear" w:color="auto" w:fill="D9D9D9"/>
          </w:tcPr>
          <w:p w14:paraId="48A7B4FB" w14:textId="77777777" w:rsidR="0088452B" w:rsidRDefault="004112E2">
            <w:pPr>
              <w:pStyle w:val="TableParagraph"/>
              <w:spacing w:before="39"/>
              <w:ind w:left="116" w:right="116"/>
              <w:jc w:val="center"/>
              <w:rPr>
                <w:b/>
              </w:rPr>
            </w:pPr>
            <w:r>
              <w:rPr>
                <w:b/>
              </w:rPr>
              <w:t>2013</w:t>
            </w:r>
          </w:p>
        </w:tc>
        <w:tc>
          <w:tcPr>
            <w:tcW w:w="1336" w:type="dxa"/>
            <w:shd w:val="clear" w:color="auto" w:fill="D9D9D9"/>
          </w:tcPr>
          <w:p w14:paraId="64D6DD58" w14:textId="77777777" w:rsidR="0088452B" w:rsidRDefault="004112E2">
            <w:pPr>
              <w:pStyle w:val="TableParagraph"/>
              <w:spacing w:before="39"/>
              <w:ind w:left="425" w:right="425"/>
              <w:jc w:val="center"/>
              <w:rPr>
                <w:b/>
              </w:rPr>
            </w:pPr>
            <w:r>
              <w:rPr>
                <w:b/>
              </w:rPr>
              <w:t>2014</w:t>
            </w:r>
          </w:p>
        </w:tc>
        <w:tc>
          <w:tcPr>
            <w:tcW w:w="1334" w:type="dxa"/>
            <w:shd w:val="clear" w:color="auto" w:fill="D9D9D9"/>
          </w:tcPr>
          <w:p w14:paraId="21F662D8" w14:textId="77777777" w:rsidR="0088452B" w:rsidRDefault="004112E2">
            <w:pPr>
              <w:pStyle w:val="TableParagraph"/>
              <w:spacing w:before="39"/>
              <w:ind w:left="424" w:right="424"/>
              <w:jc w:val="center"/>
              <w:rPr>
                <w:b/>
              </w:rPr>
            </w:pPr>
            <w:r>
              <w:rPr>
                <w:b/>
              </w:rPr>
              <w:t>2015</w:t>
            </w:r>
          </w:p>
        </w:tc>
        <w:tc>
          <w:tcPr>
            <w:tcW w:w="1336" w:type="dxa"/>
            <w:shd w:val="clear" w:color="auto" w:fill="D9D9D9"/>
          </w:tcPr>
          <w:p w14:paraId="043AC533" w14:textId="77777777" w:rsidR="0088452B" w:rsidRDefault="004112E2">
            <w:pPr>
              <w:pStyle w:val="TableParagraph"/>
              <w:spacing w:before="39"/>
              <w:ind w:left="168" w:right="168"/>
              <w:jc w:val="center"/>
              <w:rPr>
                <w:b/>
              </w:rPr>
            </w:pPr>
            <w:r>
              <w:rPr>
                <w:b/>
              </w:rPr>
              <w:t>2016</w:t>
            </w:r>
          </w:p>
        </w:tc>
        <w:tc>
          <w:tcPr>
            <w:tcW w:w="1334" w:type="dxa"/>
            <w:shd w:val="clear" w:color="auto" w:fill="D9D9D9"/>
          </w:tcPr>
          <w:p w14:paraId="5DABE900" w14:textId="77777777" w:rsidR="0088452B" w:rsidRDefault="004112E2">
            <w:pPr>
              <w:pStyle w:val="TableParagraph"/>
              <w:spacing w:before="39"/>
              <w:ind w:left="424" w:right="424"/>
              <w:jc w:val="center"/>
              <w:rPr>
                <w:b/>
              </w:rPr>
            </w:pPr>
            <w:r>
              <w:rPr>
                <w:b/>
              </w:rPr>
              <w:t>2017</w:t>
            </w:r>
          </w:p>
        </w:tc>
        <w:tc>
          <w:tcPr>
            <w:tcW w:w="1336" w:type="dxa"/>
            <w:shd w:val="clear" w:color="auto" w:fill="D9D9D9"/>
          </w:tcPr>
          <w:p w14:paraId="27169D09" w14:textId="77777777" w:rsidR="0088452B" w:rsidRDefault="004112E2">
            <w:pPr>
              <w:pStyle w:val="TableParagraph"/>
              <w:spacing w:before="39"/>
              <w:ind w:left="168" w:right="169"/>
              <w:jc w:val="center"/>
              <w:rPr>
                <w:b/>
              </w:rPr>
            </w:pPr>
            <w:r>
              <w:rPr>
                <w:b/>
              </w:rPr>
              <w:t>2018 (est.)</w:t>
            </w:r>
          </w:p>
        </w:tc>
      </w:tr>
      <w:tr w:rsidR="0088452B" w14:paraId="1677CE31" w14:textId="77777777">
        <w:trPr>
          <w:trHeight w:hRule="exact" w:val="337"/>
        </w:trPr>
        <w:tc>
          <w:tcPr>
            <w:tcW w:w="1976" w:type="dxa"/>
          </w:tcPr>
          <w:p w14:paraId="1064909F" w14:textId="77777777" w:rsidR="0088452B" w:rsidRDefault="004112E2">
            <w:pPr>
              <w:pStyle w:val="TableParagraph"/>
              <w:spacing w:before="38"/>
              <w:ind w:left="55"/>
            </w:pPr>
            <w:r>
              <w:t>Disabled &lt;45 44&lt;45</w:t>
            </w:r>
          </w:p>
        </w:tc>
        <w:tc>
          <w:tcPr>
            <w:tcW w:w="1158" w:type="dxa"/>
          </w:tcPr>
          <w:p w14:paraId="7D0CEF83" w14:textId="77777777" w:rsidR="0088452B" w:rsidRDefault="004112E2">
            <w:pPr>
              <w:pStyle w:val="TableParagraph"/>
              <w:spacing w:before="77"/>
              <w:ind w:left="116" w:right="116"/>
              <w:jc w:val="center"/>
            </w:pPr>
            <w:r>
              <w:t>1,754.70</w:t>
            </w:r>
          </w:p>
        </w:tc>
        <w:tc>
          <w:tcPr>
            <w:tcW w:w="1336" w:type="dxa"/>
          </w:tcPr>
          <w:p w14:paraId="744D66ED" w14:textId="77777777" w:rsidR="0088452B" w:rsidRDefault="004112E2">
            <w:pPr>
              <w:pStyle w:val="TableParagraph"/>
              <w:spacing w:before="77"/>
              <w:ind w:right="277"/>
              <w:jc w:val="right"/>
            </w:pPr>
            <w:r>
              <w:t>2,081.98</w:t>
            </w:r>
          </w:p>
        </w:tc>
        <w:tc>
          <w:tcPr>
            <w:tcW w:w="1334" w:type="dxa"/>
          </w:tcPr>
          <w:p w14:paraId="5872997E" w14:textId="77777777" w:rsidR="0088452B" w:rsidRDefault="004112E2">
            <w:pPr>
              <w:pStyle w:val="TableParagraph"/>
              <w:spacing w:before="77"/>
              <w:ind w:left="279"/>
            </w:pPr>
            <w:r>
              <w:t>1,938.78</w:t>
            </w:r>
          </w:p>
        </w:tc>
        <w:tc>
          <w:tcPr>
            <w:tcW w:w="1336" w:type="dxa"/>
          </w:tcPr>
          <w:p w14:paraId="3F77594E" w14:textId="77777777" w:rsidR="0088452B" w:rsidRDefault="004112E2">
            <w:pPr>
              <w:pStyle w:val="TableParagraph"/>
              <w:spacing w:before="77"/>
              <w:ind w:left="168" w:right="168"/>
              <w:jc w:val="center"/>
            </w:pPr>
            <w:r>
              <w:t>1,888.80</w:t>
            </w:r>
          </w:p>
        </w:tc>
        <w:tc>
          <w:tcPr>
            <w:tcW w:w="1334" w:type="dxa"/>
          </w:tcPr>
          <w:p w14:paraId="60A9D9B4" w14:textId="77777777" w:rsidR="0088452B" w:rsidRDefault="004112E2">
            <w:pPr>
              <w:pStyle w:val="TableParagraph"/>
              <w:spacing w:before="77"/>
              <w:ind w:right="276"/>
              <w:jc w:val="right"/>
            </w:pPr>
            <w:r>
              <w:t>1,842.08</w:t>
            </w:r>
          </w:p>
        </w:tc>
        <w:tc>
          <w:tcPr>
            <w:tcW w:w="1336" w:type="dxa"/>
          </w:tcPr>
          <w:p w14:paraId="6F11BC75" w14:textId="77777777" w:rsidR="0088452B" w:rsidRDefault="004112E2">
            <w:pPr>
              <w:pStyle w:val="TableParagraph"/>
              <w:spacing w:before="38"/>
              <w:ind w:left="168" w:right="168"/>
              <w:jc w:val="center"/>
            </w:pPr>
            <w:r>
              <w:t>1,879.21</w:t>
            </w:r>
          </w:p>
        </w:tc>
      </w:tr>
      <w:tr w:rsidR="0088452B" w14:paraId="413B29D8" w14:textId="77777777">
        <w:trPr>
          <w:trHeight w:hRule="exact" w:val="338"/>
        </w:trPr>
        <w:tc>
          <w:tcPr>
            <w:tcW w:w="1976" w:type="dxa"/>
          </w:tcPr>
          <w:p w14:paraId="0D2DE0AE" w14:textId="77777777" w:rsidR="0088452B" w:rsidRDefault="004112E2">
            <w:pPr>
              <w:pStyle w:val="TableParagraph"/>
              <w:spacing w:before="39"/>
              <w:ind w:left="55"/>
            </w:pPr>
            <w:r>
              <w:t>45 to 64</w:t>
            </w:r>
          </w:p>
        </w:tc>
        <w:tc>
          <w:tcPr>
            <w:tcW w:w="1158" w:type="dxa"/>
          </w:tcPr>
          <w:p w14:paraId="34113380" w14:textId="77777777" w:rsidR="0088452B" w:rsidRDefault="004112E2">
            <w:pPr>
              <w:pStyle w:val="TableParagraph"/>
              <w:spacing w:before="78"/>
              <w:ind w:left="116" w:right="116"/>
              <w:jc w:val="center"/>
            </w:pPr>
            <w:r>
              <w:t>6,291.14</w:t>
            </w:r>
          </w:p>
        </w:tc>
        <w:tc>
          <w:tcPr>
            <w:tcW w:w="1336" w:type="dxa"/>
          </w:tcPr>
          <w:p w14:paraId="12F1897F" w14:textId="77777777" w:rsidR="0088452B" w:rsidRDefault="004112E2">
            <w:pPr>
              <w:pStyle w:val="TableParagraph"/>
              <w:spacing w:before="78"/>
              <w:ind w:right="277"/>
              <w:jc w:val="right"/>
            </w:pPr>
            <w:r>
              <w:t>7,147.45</w:t>
            </w:r>
          </w:p>
        </w:tc>
        <w:tc>
          <w:tcPr>
            <w:tcW w:w="1334" w:type="dxa"/>
          </w:tcPr>
          <w:p w14:paraId="5734985D" w14:textId="77777777" w:rsidR="0088452B" w:rsidRDefault="004112E2">
            <w:pPr>
              <w:pStyle w:val="TableParagraph"/>
              <w:spacing w:before="78"/>
              <w:ind w:left="279"/>
            </w:pPr>
            <w:r>
              <w:t>7,207.86</w:t>
            </w:r>
          </w:p>
        </w:tc>
        <w:tc>
          <w:tcPr>
            <w:tcW w:w="1336" w:type="dxa"/>
          </w:tcPr>
          <w:p w14:paraId="17C60FB7" w14:textId="77777777" w:rsidR="0088452B" w:rsidRDefault="004112E2">
            <w:pPr>
              <w:pStyle w:val="TableParagraph"/>
              <w:spacing w:before="78"/>
              <w:ind w:left="168" w:right="168"/>
              <w:jc w:val="center"/>
            </w:pPr>
            <w:r>
              <w:t>7,150.16</w:t>
            </w:r>
          </w:p>
        </w:tc>
        <w:tc>
          <w:tcPr>
            <w:tcW w:w="1334" w:type="dxa"/>
          </w:tcPr>
          <w:p w14:paraId="2455907C" w14:textId="77777777" w:rsidR="0088452B" w:rsidRDefault="004112E2">
            <w:pPr>
              <w:pStyle w:val="TableParagraph"/>
              <w:spacing w:before="78"/>
              <w:ind w:right="276"/>
              <w:jc w:val="right"/>
            </w:pPr>
            <w:r>
              <w:t>7,076.64</w:t>
            </w:r>
          </w:p>
        </w:tc>
        <w:tc>
          <w:tcPr>
            <w:tcW w:w="1336" w:type="dxa"/>
          </w:tcPr>
          <w:p w14:paraId="0194B6F3" w14:textId="77777777" w:rsidR="0088452B" w:rsidRDefault="004112E2">
            <w:pPr>
              <w:pStyle w:val="TableParagraph"/>
              <w:spacing w:before="39"/>
              <w:ind w:left="168" w:right="168"/>
              <w:jc w:val="center"/>
            </w:pPr>
            <w:r>
              <w:t>7,219.28</w:t>
            </w:r>
          </w:p>
        </w:tc>
      </w:tr>
      <w:tr w:rsidR="0088452B" w14:paraId="647B7EC1" w14:textId="77777777">
        <w:trPr>
          <w:trHeight w:hRule="exact" w:val="338"/>
        </w:trPr>
        <w:tc>
          <w:tcPr>
            <w:tcW w:w="1976" w:type="dxa"/>
          </w:tcPr>
          <w:p w14:paraId="15C12BB3" w14:textId="77777777" w:rsidR="0088452B" w:rsidRDefault="004112E2">
            <w:pPr>
              <w:pStyle w:val="TableParagraph"/>
              <w:spacing w:before="38"/>
              <w:ind w:left="55"/>
            </w:pPr>
            <w:r>
              <w:t>Total</w:t>
            </w:r>
          </w:p>
        </w:tc>
        <w:tc>
          <w:tcPr>
            <w:tcW w:w="1158" w:type="dxa"/>
          </w:tcPr>
          <w:p w14:paraId="2EB62402" w14:textId="77777777" w:rsidR="0088452B" w:rsidRDefault="004112E2">
            <w:pPr>
              <w:pStyle w:val="TableParagraph"/>
              <w:spacing w:before="77"/>
              <w:ind w:left="116" w:right="116"/>
              <w:jc w:val="center"/>
            </w:pPr>
            <w:r>
              <w:t>8,045.84</w:t>
            </w:r>
          </w:p>
        </w:tc>
        <w:tc>
          <w:tcPr>
            <w:tcW w:w="1336" w:type="dxa"/>
          </w:tcPr>
          <w:p w14:paraId="1C901A20" w14:textId="77777777" w:rsidR="0088452B" w:rsidRDefault="004112E2">
            <w:pPr>
              <w:pStyle w:val="TableParagraph"/>
              <w:spacing w:before="77"/>
              <w:ind w:right="277"/>
              <w:jc w:val="right"/>
            </w:pPr>
            <w:r>
              <w:t>9,229.42</w:t>
            </w:r>
          </w:p>
        </w:tc>
        <w:tc>
          <w:tcPr>
            <w:tcW w:w="1334" w:type="dxa"/>
          </w:tcPr>
          <w:p w14:paraId="5F46F658" w14:textId="77777777" w:rsidR="0088452B" w:rsidRDefault="004112E2">
            <w:pPr>
              <w:pStyle w:val="TableParagraph"/>
              <w:spacing w:before="77"/>
              <w:ind w:left="279"/>
            </w:pPr>
            <w:r>
              <w:t>9,146.64</w:t>
            </w:r>
          </w:p>
        </w:tc>
        <w:tc>
          <w:tcPr>
            <w:tcW w:w="1336" w:type="dxa"/>
          </w:tcPr>
          <w:p w14:paraId="40657B11" w14:textId="77777777" w:rsidR="0088452B" w:rsidRDefault="004112E2">
            <w:pPr>
              <w:pStyle w:val="TableParagraph"/>
              <w:spacing w:before="77"/>
              <w:ind w:left="168" w:right="168"/>
              <w:jc w:val="center"/>
            </w:pPr>
            <w:r>
              <w:t>9,038.96</w:t>
            </w:r>
          </w:p>
        </w:tc>
        <w:tc>
          <w:tcPr>
            <w:tcW w:w="1334" w:type="dxa"/>
          </w:tcPr>
          <w:p w14:paraId="102F00A3" w14:textId="77777777" w:rsidR="0088452B" w:rsidRDefault="004112E2">
            <w:pPr>
              <w:pStyle w:val="TableParagraph"/>
              <w:spacing w:before="77"/>
              <w:ind w:right="276"/>
              <w:jc w:val="right"/>
            </w:pPr>
            <w:r>
              <w:t>8,918.72</w:t>
            </w:r>
          </w:p>
        </w:tc>
        <w:tc>
          <w:tcPr>
            <w:tcW w:w="1336" w:type="dxa"/>
          </w:tcPr>
          <w:p w14:paraId="76382F4C" w14:textId="77777777" w:rsidR="0088452B" w:rsidRDefault="004112E2">
            <w:pPr>
              <w:pStyle w:val="TableParagraph"/>
              <w:spacing w:before="38"/>
              <w:ind w:left="168" w:right="168"/>
              <w:jc w:val="center"/>
            </w:pPr>
            <w:r>
              <w:t>9,098.49</w:t>
            </w:r>
          </w:p>
        </w:tc>
      </w:tr>
      <w:tr w:rsidR="0088452B" w14:paraId="3FD71E78" w14:textId="77777777">
        <w:trPr>
          <w:trHeight w:hRule="exact" w:val="353"/>
        </w:trPr>
        <w:tc>
          <w:tcPr>
            <w:tcW w:w="9810" w:type="dxa"/>
            <w:gridSpan w:val="7"/>
          </w:tcPr>
          <w:p w14:paraId="70BA8D99" w14:textId="77777777" w:rsidR="0088452B" w:rsidRDefault="004112E2">
            <w:pPr>
              <w:pStyle w:val="TableParagraph"/>
              <w:spacing w:before="38"/>
              <w:ind w:left="55"/>
            </w:pPr>
            <w:r>
              <w:t>Aged</w:t>
            </w:r>
          </w:p>
        </w:tc>
      </w:tr>
      <w:tr w:rsidR="0088452B" w14:paraId="5FB2DD04" w14:textId="77777777">
        <w:trPr>
          <w:trHeight w:hRule="exact" w:val="338"/>
        </w:trPr>
        <w:tc>
          <w:tcPr>
            <w:tcW w:w="1976" w:type="dxa"/>
          </w:tcPr>
          <w:p w14:paraId="3AB8AD0C" w14:textId="77777777" w:rsidR="0088452B" w:rsidRDefault="004112E2">
            <w:pPr>
              <w:pStyle w:val="TableParagraph"/>
              <w:spacing w:before="39"/>
              <w:ind w:left="199"/>
            </w:pPr>
            <w:r>
              <w:t>65 to 69</w:t>
            </w:r>
          </w:p>
        </w:tc>
        <w:tc>
          <w:tcPr>
            <w:tcW w:w="1158" w:type="dxa"/>
          </w:tcPr>
          <w:p w14:paraId="59D37BD3" w14:textId="77777777" w:rsidR="0088452B" w:rsidRDefault="004112E2">
            <w:pPr>
              <w:pStyle w:val="TableParagraph"/>
              <w:spacing w:before="78"/>
              <w:ind w:left="116" w:right="117"/>
              <w:jc w:val="center"/>
            </w:pPr>
            <w:r>
              <w:t>10,893.58</w:t>
            </w:r>
          </w:p>
        </w:tc>
        <w:tc>
          <w:tcPr>
            <w:tcW w:w="1336" w:type="dxa"/>
          </w:tcPr>
          <w:p w14:paraId="21423F05" w14:textId="77777777" w:rsidR="0088452B" w:rsidRDefault="004112E2">
            <w:pPr>
              <w:pStyle w:val="TableParagraph"/>
              <w:spacing w:before="78"/>
              <w:ind w:right="224"/>
              <w:jc w:val="right"/>
            </w:pPr>
            <w:r>
              <w:t>13,541.48</w:t>
            </w:r>
          </w:p>
        </w:tc>
        <w:tc>
          <w:tcPr>
            <w:tcW w:w="1334" w:type="dxa"/>
          </w:tcPr>
          <w:p w14:paraId="057875D7" w14:textId="77777777" w:rsidR="0088452B" w:rsidRDefault="004112E2">
            <w:pPr>
              <w:pStyle w:val="TableParagraph"/>
              <w:spacing w:before="78"/>
              <w:ind w:left="223"/>
            </w:pPr>
            <w:r>
              <w:t>15,312.60</w:t>
            </w:r>
          </w:p>
        </w:tc>
        <w:tc>
          <w:tcPr>
            <w:tcW w:w="1336" w:type="dxa"/>
          </w:tcPr>
          <w:p w14:paraId="794D7678" w14:textId="77777777" w:rsidR="0088452B" w:rsidRDefault="004112E2">
            <w:pPr>
              <w:pStyle w:val="TableParagraph"/>
              <w:spacing w:before="78"/>
              <w:ind w:left="168" w:right="168"/>
              <w:jc w:val="center"/>
            </w:pPr>
            <w:r>
              <w:t>15,727.66</w:t>
            </w:r>
          </w:p>
        </w:tc>
        <w:tc>
          <w:tcPr>
            <w:tcW w:w="1334" w:type="dxa"/>
          </w:tcPr>
          <w:p w14:paraId="2BC6D0BB" w14:textId="77777777" w:rsidR="0088452B" w:rsidRDefault="004112E2">
            <w:pPr>
              <w:pStyle w:val="TableParagraph"/>
              <w:spacing w:before="78"/>
              <w:ind w:right="223"/>
              <w:jc w:val="right"/>
            </w:pPr>
            <w:r>
              <w:t>15,767.28</w:t>
            </w:r>
          </w:p>
        </w:tc>
        <w:tc>
          <w:tcPr>
            <w:tcW w:w="1336" w:type="dxa"/>
          </w:tcPr>
          <w:p w14:paraId="05426895" w14:textId="77777777" w:rsidR="0088452B" w:rsidRDefault="004112E2">
            <w:pPr>
              <w:pStyle w:val="TableParagraph"/>
              <w:spacing w:before="39"/>
              <w:ind w:left="168" w:right="169"/>
              <w:jc w:val="center"/>
            </w:pPr>
            <w:r>
              <w:t>16,085.09</w:t>
            </w:r>
          </w:p>
        </w:tc>
      </w:tr>
      <w:tr w:rsidR="0088452B" w14:paraId="7781CAB7" w14:textId="77777777">
        <w:trPr>
          <w:trHeight w:hRule="exact" w:val="338"/>
        </w:trPr>
        <w:tc>
          <w:tcPr>
            <w:tcW w:w="1976" w:type="dxa"/>
          </w:tcPr>
          <w:p w14:paraId="6BD5C7D4" w14:textId="77777777" w:rsidR="0088452B" w:rsidRDefault="004112E2">
            <w:pPr>
              <w:pStyle w:val="TableParagraph"/>
              <w:spacing w:before="38"/>
              <w:ind w:left="199"/>
            </w:pPr>
            <w:r>
              <w:t>70-74</w:t>
            </w:r>
          </w:p>
        </w:tc>
        <w:tc>
          <w:tcPr>
            <w:tcW w:w="1158" w:type="dxa"/>
          </w:tcPr>
          <w:p w14:paraId="03600701" w14:textId="77777777" w:rsidR="0088452B" w:rsidRDefault="004112E2">
            <w:pPr>
              <w:pStyle w:val="TableParagraph"/>
              <w:spacing w:before="77"/>
              <w:ind w:left="116" w:right="117"/>
              <w:jc w:val="center"/>
            </w:pPr>
            <w:r>
              <w:t>11,010.72</w:t>
            </w:r>
          </w:p>
        </w:tc>
        <w:tc>
          <w:tcPr>
            <w:tcW w:w="1336" w:type="dxa"/>
          </w:tcPr>
          <w:p w14:paraId="15F975ED" w14:textId="77777777" w:rsidR="0088452B" w:rsidRDefault="004112E2">
            <w:pPr>
              <w:pStyle w:val="TableParagraph"/>
              <w:spacing w:before="77"/>
              <w:ind w:right="224"/>
              <w:jc w:val="right"/>
            </w:pPr>
            <w:r>
              <w:t>10,973.99</w:t>
            </w:r>
          </w:p>
        </w:tc>
        <w:tc>
          <w:tcPr>
            <w:tcW w:w="1334" w:type="dxa"/>
          </w:tcPr>
          <w:p w14:paraId="1E2DC04B" w14:textId="77777777" w:rsidR="0088452B" w:rsidRDefault="004112E2">
            <w:pPr>
              <w:pStyle w:val="TableParagraph"/>
              <w:spacing w:before="77"/>
              <w:ind w:left="223"/>
            </w:pPr>
            <w:r>
              <w:t>11,640.90</w:t>
            </w:r>
          </w:p>
        </w:tc>
        <w:tc>
          <w:tcPr>
            <w:tcW w:w="1336" w:type="dxa"/>
          </w:tcPr>
          <w:p w14:paraId="5C36C3C1" w14:textId="77777777" w:rsidR="0088452B" w:rsidRDefault="004112E2">
            <w:pPr>
              <w:pStyle w:val="TableParagraph"/>
              <w:spacing w:before="77"/>
              <w:ind w:left="168" w:right="168"/>
              <w:jc w:val="center"/>
            </w:pPr>
            <w:r>
              <w:t>12,401.12</w:t>
            </w:r>
          </w:p>
        </w:tc>
        <w:tc>
          <w:tcPr>
            <w:tcW w:w="1334" w:type="dxa"/>
          </w:tcPr>
          <w:p w14:paraId="3C009A08" w14:textId="77777777" w:rsidR="0088452B" w:rsidRDefault="004112E2">
            <w:pPr>
              <w:pStyle w:val="TableParagraph"/>
              <w:spacing w:before="77"/>
              <w:ind w:right="223"/>
              <w:jc w:val="right"/>
            </w:pPr>
            <w:r>
              <w:t>13,080.94</w:t>
            </w:r>
          </w:p>
        </w:tc>
        <w:tc>
          <w:tcPr>
            <w:tcW w:w="1336" w:type="dxa"/>
          </w:tcPr>
          <w:p w14:paraId="7E21F35A" w14:textId="77777777" w:rsidR="0088452B" w:rsidRDefault="004112E2">
            <w:pPr>
              <w:pStyle w:val="TableParagraph"/>
              <w:spacing w:before="38"/>
              <w:ind w:left="168" w:right="169"/>
              <w:jc w:val="center"/>
            </w:pPr>
            <w:r>
              <w:t>13,344.61</w:t>
            </w:r>
          </w:p>
        </w:tc>
      </w:tr>
      <w:tr w:rsidR="0088452B" w14:paraId="4320D1AD" w14:textId="77777777">
        <w:trPr>
          <w:trHeight w:hRule="exact" w:val="337"/>
        </w:trPr>
        <w:tc>
          <w:tcPr>
            <w:tcW w:w="1976" w:type="dxa"/>
          </w:tcPr>
          <w:p w14:paraId="494AB49C" w14:textId="77777777" w:rsidR="0088452B" w:rsidRDefault="004112E2">
            <w:pPr>
              <w:pStyle w:val="TableParagraph"/>
              <w:spacing w:before="38"/>
              <w:ind w:left="199"/>
            </w:pPr>
            <w:r>
              <w:t>75-79</w:t>
            </w:r>
          </w:p>
        </w:tc>
        <w:tc>
          <w:tcPr>
            <w:tcW w:w="1158" w:type="dxa"/>
          </w:tcPr>
          <w:p w14:paraId="51FF8E53" w14:textId="77777777" w:rsidR="0088452B" w:rsidRDefault="004112E2">
            <w:pPr>
              <w:pStyle w:val="TableParagraph"/>
              <w:spacing w:before="76"/>
              <w:ind w:left="116" w:right="116"/>
              <w:jc w:val="center"/>
            </w:pPr>
            <w:r>
              <w:t>8,024.64</w:t>
            </w:r>
          </w:p>
        </w:tc>
        <w:tc>
          <w:tcPr>
            <w:tcW w:w="1336" w:type="dxa"/>
          </w:tcPr>
          <w:p w14:paraId="5403F532" w14:textId="77777777" w:rsidR="0088452B" w:rsidRDefault="004112E2">
            <w:pPr>
              <w:pStyle w:val="TableParagraph"/>
              <w:spacing w:before="76"/>
              <w:ind w:right="277"/>
              <w:jc w:val="right"/>
            </w:pPr>
            <w:r>
              <w:t>7,890.82</w:t>
            </w:r>
          </w:p>
        </w:tc>
        <w:tc>
          <w:tcPr>
            <w:tcW w:w="1334" w:type="dxa"/>
          </w:tcPr>
          <w:p w14:paraId="36E26059" w14:textId="77777777" w:rsidR="0088452B" w:rsidRDefault="004112E2">
            <w:pPr>
              <w:pStyle w:val="TableParagraph"/>
              <w:spacing w:before="76"/>
              <w:ind w:left="279"/>
            </w:pPr>
            <w:r>
              <w:t>8,314.00</w:t>
            </w:r>
          </w:p>
        </w:tc>
        <w:tc>
          <w:tcPr>
            <w:tcW w:w="1336" w:type="dxa"/>
          </w:tcPr>
          <w:p w14:paraId="2597005D" w14:textId="77777777" w:rsidR="0088452B" w:rsidRDefault="004112E2">
            <w:pPr>
              <w:pStyle w:val="TableParagraph"/>
              <w:spacing w:before="76"/>
              <w:ind w:left="168" w:right="168"/>
              <w:jc w:val="center"/>
            </w:pPr>
            <w:r>
              <w:t>8,607.10</w:t>
            </w:r>
          </w:p>
        </w:tc>
        <w:tc>
          <w:tcPr>
            <w:tcW w:w="1334" w:type="dxa"/>
          </w:tcPr>
          <w:p w14:paraId="2CF5B4F2" w14:textId="77777777" w:rsidR="0088452B" w:rsidRDefault="004112E2">
            <w:pPr>
              <w:pStyle w:val="TableParagraph"/>
              <w:spacing w:before="76"/>
              <w:ind w:right="276"/>
              <w:jc w:val="right"/>
            </w:pPr>
            <w:r>
              <w:t>9,080.94</w:t>
            </w:r>
          </w:p>
        </w:tc>
        <w:tc>
          <w:tcPr>
            <w:tcW w:w="1336" w:type="dxa"/>
          </w:tcPr>
          <w:p w14:paraId="692B747D" w14:textId="77777777" w:rsidR="0088452B" w:rsidRDefault="004112E2">
            <w:pPr>
              <w:pStyle w:val="TableParagraph"/>
              <w:spacing w:before="38"/>
              <w:ind w:left="168" w:right="168"/>
              <w:jc w:val="center"/>
            </w:pPr>
            <w:r>
              <w:t>9,263.98</w:t>
            </w:r>
          </w:p>
        </w:tc>
      </w:tr>
      <w:tr w:rsidR="0088452B" w14:paraId="6F79E7C4" w14:textId="77777777">
        <w:trPr>
          <w:trHeight w:hRule="exact" w:val="338"/>
        </w:trPr>
        <w:tc>
          <w:tcPr>
            <w:tcW w:w="1976" w:type="dxa"/>
          </w:tcPr>
          <w:p w14:paraId="5D18B3C3" w14:textId="77777777" w:rsidR="0088452B" w:rsidRDefault="004112E2">
            <w:pPr>
              <w:pStyle w:val="TableParagraph"/>
              <w:spacing w:before="38"/>
              <w:ind w:left="199"/>
            </w:pPr>
            <w:r>
              <w:t>80-84</w:t>
            </w:r>
          </w:p>
        </w:tc>
        <w:tc>
          <w:tcPr>
            <w:tcW w:w="1158" w:type="dxa"/>
          </w:tcPr>
          <w:p w14:paraId="17B5187C" w14:textId="77777777" w:rsidR="0088452B" w:rsidRDefault="004112E2">
            <w:pPr>
              <w:pStyle w:val="TableParagraph"/>
              <w:spacing w:before="77"/>
              <w:ind w:left="116" w:right="116"/>
              <w:jc w:val="center"/>
            </w:pPr>
            <w:r>
              <w:t>5,989.26</w:t>
            </w:r>
          </w:p>
        </w:tc>
        <w:tc>
          <w:tcPr>
            <w:tcW w:w="1336" w:type="dxa"/>
          </w:tcPr>
          <w:p w14:paraId="1978FBF4" w14:textId="77777777" w:rsidR="0088452B" w:rsidRDefault="004112E2">
            <w:pPr>
              <w:pStyle w:val="TableParagraph"/>
              <w:spacing w:before="77"/>
              <w:ind w:right="277"/>
              <w:jc w:val="right"/>
            </w:pPr>
            <w:r>
              <w:t>5,767.31</w:t>
            </w:r>
          </w:p>
        </w:tc>
        <w:tc>
          <w:tcPr>
            <w:tcW w:w="1334" w:type="dxa"/>
          </w:tcPr>
          <w:p w14:paraId="51668E3D" w14:textId="77777777" w:rsidR="0088452B" w:rsidRDefault="004112E2">
            <w:pPr>
              <w:pStyle w:val="TableParagraph"/>
              <w:spacing w:before="77"/>
              <w:ind w:left="279"/>
            </w:pPr>
            <w:r>
              <w:t>5,999.42</w:t>
            </w:r>
          </w:p>
        </w:tc>
        <w:tc>
          <w:tcPr>
            <w:tcW w:w="1336" w:type="dxa"/>
          </w:tcPr>
          <w:p w14:paraId="666BA8C1" w14:textId="77777777" w:rsidR="0088452B" w:rsidRDefault="004112E2">
            <w:pPr>
              <w:pStyle w:val="TableParagraph"/>
              <w:spacing w:before="77"/>
              <w:ind w:left="168" w:right="168"/>
              <w:jc w:val="center"/>
            </w:pPr>
            <w:r>
              <w:t>6,069.32</w:t>
            </w:r>
          </w:p>
        </w:tc>
        <w:tc>
          <w:tcPr>
            <w:tcW w:w="1334" w:type="dxa"/>
          </w:tcPr>
          <w:p w14:paraId="4B35D1D9" w14:textId="77777777" w:rsidR="0088452B" w:rsidRDefault="004112E2">
            <w:pPr>
              <w:pStyle w:val="TableParagraph"/>
              <w:spacing w:before="77"/>
              <w:ind w:right="276"/>
              <w:jc w:val="right"/>
            </w:pPr>
            <w:r>
              <w:t>6,137.60</w:t>
            </w:r>
          </w:p>
        </w:tc>
        <w:tc>
          <w:tcPr>
            <w:tcW w:w="1336" w:type="dxa"/>
          </w:tcPr>
          <w:p w14:paraId="6AC05496" w14:textId="77777777" w:rsidR="0088452B" w:rsidRDefault="004112E2">
            <w:pPr>
              <w:pStyle w:val="TableParagraph"/>
              <w:spacing w:before="38"/>
              <w:ind w:left="168" w:right="168"/>
              <w:jc w:val="center"/>
            </w:pPr>
            <w:r>
              <w:t>6,261.31</w:t>
            </w:r>
          </w:p>
        </w:tc>
      </w:tr>
      <w:tr w:rsidR="0088452B" w14:paraId="7384541A" w14:textId="77777777">
        <w:trPr>
          <w:trHeight w:hRule="exact" w:val="338"/>
        </w:trPr>
        <w:tc>
          <w:tcPr>
            <w:tcW w:w="1976" w:type="dxa"/>
          </w:tcPr>
          <w:p w14:paraId="32BD2BE9" w14:textId="77777777" w:rsidR="0088452B" w:rsidRDefault="004112E2">
            <w:pPr>
              <w:pStyle w:val="TableParagraph"/>
              <w:spacing w:before="38"/>
              <w:ind w:left="199"/>
            </w:pPr>
            <w:r>
              <w:t>85+</w:t>
            </w:r>
          </w:p>
        </w:tc>
        <w:tc>
          <w:tcPr>
            <w:tcW w:w="1158" w:type="dxa"/>
          </w:tcPr>
          <w:p w14:paraId="1E4A5E17" w14:textId="77777777" w:rsidR="0088452B" w:rsidRDefault="004112E2">
            <w:pPr>
              <w:pStyle w:val="TableParagraph"/>
              <w:spacing w:before="77"/>
              <w:ind w:left="116" w:right="116"/>
              <w:jc w:val="center"/>
            </w:pPr>
            <w:r>
              <w:t>7,228.14</w:t>
            </w:r>
          </w:p>
        </w:tc>
        <w:tc>
          <w:tcPr>
            <w:tcW w:w="1336" w:type="dxa"/>
          </w:tcPr>
          <w:p w14:paraId="26086708" w14:textId="77777777" w:rsidR="0088452B" w:rsidRDefault="004112E2">
            <w:pPr>
              <w:pStyle w:val="TableParagraph"/>
              <w:spacing w:before="77"/>
              <w:ind w:right="277"/>
              <w:jc w:val="right"/>
            </w:pPr>
            <w:r>
              <w:t>6,626.77</w:t>
            </w:r>
          </w:p>
        </w:tc>
        <w:tc>
          <w:tcPr>
            <w:tcW w:w="1334" w:type="dxa"/>
          </w:tcPr>
          <w:p w14:paraId="2B656D1B" w14:textId="77777777" w:rsidR="0088452B" w:rsidRDefault="004112E2">
            <w:pPr>
              <w:pStyle w:val="TableParagraph"/>
              <w:spacing w:before="77"/>
              <w:ind w:left="279"/>
            </w:pPr>
            <w:r>
              <w:t>7,045.62</w:t>
            </w:r>
          </w:p>
        </w:tc>
        <w:tc>
          <w:tcPr>
            <w:tcW w:w="1336" w:type="dxa"/>
          </w:tcPr>
          <w:p w14:paraId="6D177E6C" w14:textId="77777777" w:rsidR="0088452B" w:rsidRDefault="004112E2">
            <w:pPr>
              <w:pStyle w:val="TableParagraph"/>
              <w:spacing w:before="77"/>
              <w:ind w:left="168" w:right="168"/>
              <w:jc w:val="center"/>
            </w:pPr>
            <w:r>
              <w:t>6,976.84</w:t>
            </w:r>
          </w:p>
        </w:tc>
        <w:tc>
          <w:tcPr>
            <w:tcW w:w="1334" w:type="dxa"/>
          </w:tcPr>
          <w:p w14:paraId="3959D85E" w14:textId="77777777" w:rsidR="0088452B" w:rsidRDefault="004112E2">
            <w:pPr>
              <w:pStyle w:val="TableParagraph"/>
              <w:spacing w:before="77"/>
              <w:ind w:right="276"/>
              <w:jc w:val="right"/>
            </w:pPr>
            <w:r>
              <w:t>7,021.14</w:t>
            </w:r>
          </w:p>
        </w:tc>
        <w:tc>
          <w:tcPr>
            <w:tcW w:w="1336" w:type="dxa"/>
          </w:tcPr>
          <w:p w14:paraId="46CE4D9D" w14:textId="77777777" w:rsidR="0088452B" w:rsidRDefault="004112E2">
            <w:pPr>
              <w:pStyle w:val="TableParagraph"/>
              <w:spacing w:before="38"/>
              <w:ind w:left="168" w:right="168"/>
              <w:jc w:val="center"/>
            </w:pPr>
            <w:r>
              <w:t>7,162.66</w:t>
            </w:r>
          </w:p>
        </w:tc>
      </w:tr>
      <w:tr w:rsidR="0088452B" w14:paraId="3AA41A45" w14:textId="77777777">
        <w:trPr>
          <w:trHeight w:hRule="exact" w:val="337"/>
        </w:trPr>
        <w:tc>
          <w:tcPr>
            <w:tcW w:w="1976" w:type="dxa"/>
          </w:tcPr>
          <w:p w14:paraId="369B6201" w14:textId="77777777" w:rsidR="0088452B" w:rsidRDefault="004112E2">
            <w:pPr>
              <w:pStyle w:val="TableParagraph"/>
              <w:spacing w:before="38"/>
              <w:ind w:left="55"/>
            </w:pPr>
            <w:r>
              <w:t>Total</w:t>
            </w:r>
          </w:p>
        </w:tc>
        <w:tc>
          <w:tcPr>
            <w:tcW w:w="1158" w:type="dxa"/>
          </w:tcPr>
          <w:p w14:paraId="020BA43F" w14:textId="77777777" w:rsidR="0088452B" w:rsidRDefault="004112E2">
            <w:pPr>
              <w:pStyle w:val="TableParagraph"/>
              <w:spacing w:before="76"/>
              <w:ind w:left="116" w:right="117"/>
              <w:jc w:val="center"/>
            </w:pPr>
            <w:r>
              <w:t>43,146.34</w:t>
            </w:r>
          </w:p>
        </w:tc>
        <w:tc>
          <w:tcPr>
            <w:tcW w:w="1336" w:type="dxa"/>
          </w:tcPr>
          <w:p w14:paraId="13A8BD3C" w14:textId="77777777" w:rsidR="0088452B" w:rsidRDefault="004112E2">
            <w:pPr>
              <w:pStyle w:val="TableParagraph"/>
              <w:spacing w:before="76"/>
              <w:ind w:right="224"/>
              <w:jc w:val="right"/>
            </w:pPr>
            <w:r>
              <w:t>44,800.37</w:t>
            </w:r>
          </w:p>
        </w:tc>
        <w:tc>
          <w:tcPr>
            <w:tcW w:w="1334" w:type="dxa"/>
          </w:tcPr>
          <w:p w14:paraId="4B70710E" w14:textId="77777777" w:rsidR="0088452B" w:rsidRDefault="004112E2">
            <w:pPr>
              <w:pStyle w:val="TableParagraph"/>
              <w:spacing w:before="76"/>
              <w:ind w:left="224"/>
            </w:pPr>
            <w:r>
              <w:t>48,312.54</w:t>
            </w:r>
          </w:p>
        </w:tc>
        <w:tc>
          <w:tcPr>
            <w:tcW w:w="1336" w:type="dxa"/>
          </w:tcPr>
          <w:p w14:paraId="33ADF0CA" w14:textId="77777777" w:rsidR="0088452B" w:rsidRDefault="004112E2">
            <w:pPr>
              <w:pStyle w:val="TableParagraph"/>
              <w:spacing w:before="76"/>
              <w:ind w:left="168" w:right="168"/>
              <w:jc w:val="center"/>
            </w:pPr>
            <w:r>
              <w:t>49,782.04</w:t>
            </w:r>
          </w:p>
        </w:tc>
        <w:tc>
          <w:tcPr>
            <w:tcW w:w="1334" w:type="dxa"/>
          </w:tcPr>
          <w:p w14:paraId="32FB52E5" w14:textId="77777777" w:rsidR="0088452B" w:rsidRDefault="004112E2">
            <w:pPr>
              <w:pStyle w:val="TableParagraph"/>
              <w:spacing w:before="76"/>
              <w:ind w:right="223"/>
              <w:jc w:val="right"/>
            </w:pPr>
            <w:r>
              <w:t>51,087.90</w:t>
            </w:r>
          </w:p>
        </w:tc>
        <w:tc>
          <w:tcPr>
            <w:tcW w:w="1336" w:type="dxa"/>
          </w:tcPr>
          <w:p w14:paraId="6EA7E90A" w14:textId="77777777" w:rsidR="0088452B" w:rsidRDefault="004112E2">
            <w:pPr>
              <w:pStyle w:val="TableParagraph"/>
              <w:spacing w:before="38"/>
              <w:ind w:left="168" w:right="168"/>
              <w:jc w:val="center"/>
            </w:pPr>
            <w:r>
              <w:t>52,117.65</w:t>
            </w:r>
          </w:p>
        </w:tc>
      </w:tr>
      <w:tr w:rsidR="0088452B" w14:paraId="3A0DEAF2" w14:textId="77777777">
        <w:trPr>
          <w:trHeight w:hRule="exact" w:val="338"/>
        </w:trPr>
        <w:tc>
          <w:tcPr>
            <w:tcW w:w="1976" w:type="dxa"/>
          </w:tcPr>
          <w:p w14:paraId="4490A9CD" w14:textId="77777777" w:rsidR="0088452B" w:rsidRDefault="004112E2">
            <w:pPr>
              <w:pStyle w:val="TableParagraph"/>
              <w:spacing w:before="79"/>
              <w:ind w:left="733" w:right="733"/>
              <w:jc w:val="center"/>
            </w:pPr>
            <w:r>
              <w:t>Total</w:t>
            </w:r>
          </w:p>
        </w:tc>
        <w:tc>
          <w:tcPr>
            <w:tcW w:w="1158" w:type="dxa"/>
          </w:tcPr>
          <w:p w14:paraId="7CCEE40D" w14:textId="77777777" w:rsidR="0088452B" w:rsidRDefault="004112E2">
            <w:pPr>
              <w:pStyle w:val="TableParagraph"/>
              <w:spacing w:before="78"/>
              <w:ind w:left="116" w:right="117"/>
              <w:jc w:val="center"/>
            </w:pPr>
            <w:r>
              <w:t>51,192.18</w:t>
            </w:r>
          </w:p>
        </w:tc>
        <w:tc>
          <w:tcPr>
            <w:tcW w:w="1336" w:type="dxa"/>
          </w:tcPr>
          <w:p w14:paraId="280FCAF9" w14:textId="77777777" w:rsidR="0088452B" w:rsidRDefault="004112E2">
            <w:pPr>
              <w:pStyle w:val="TableParagraph"/>
              <w:spacing w:before="78"/>
              <w:ind w:right="224"/>
              <w:jc w:val="right"/>
            </w:pPr>
            <w:r>
              <w:t>54,029.80</w:t>
            </w:r>
          </w:p>
        </w:tc>
        <w:tc>
          <w:tcPr>
            <w:tcW w:w="1334" w:type="dxa"/>
          </w:tcPr>
          <w:p w14:paraId="00EA7CDD" w14:textId="77777777" w:rsidR="0088452B" w:rsidRDefault="004112E2">
            <w:pPr>
              <w:pStyle w:val="TableParagraph"/>
              <w:spacing w:before="78"/>
              <w:ind w:left="224"/>
            </w:pPr>
            <w:r>
              <w:t>57,459.18</w:t>
            </w:r>
          </w:p>
        </w:tc>
        <w:tc>
          <w:tcPr>
            <w:tcW w:w="1336" w:type="dxa"/>
          </w:tcPr>
          <w:p w14:paraId="3EC4EBEC" w14:textId="77777777" w:rsidR="0088452B" w:rsidRDefault="004112E2">
            <w:pPr>
              <w:pStyle w:val="TableParagraph"/>
              <w:spacing w:before="78"/>
              <w:ind w:left="168" w:right="168"/>
              <w:jc w:val="center"/>
            </w:pPr>
            <w:r>
              <w:t>58,821.00</w:t>
            </w:r>
          </w:p>
        </w:tc>
        <w:tc>
          <w:tcPr>
            <w:tcW w:w="1334" w:type="dxa"/>
          </w:tcPr>
          <w:p w14:paraId="239B9B13" w14:textId="77777777" w:rsidR="0088452B" w:rsidRDefault="004112E2">
            <w:pPr>
              <w:pStyle w:val="TableParagraph"/>
              <w:spacing w:before="78"/>
              <w:ind w:right="223"/>
              <w:jc w:val="right"/>
            </w:pPr>
            <w:r>
              <w:t>60,006.62</w:t>
            </w:r>
          </w:p>
        </w:tc>
        <w:tc>
          <w:tcPr>
            <w:tcW w:w="1336" w:type="dxa"/>
          </w:tcPr>
          <w:p w14:paraId="2398DAC8" w14:textId="77777777" w:rsidR="0088452B" w:rsidRDefault="004112E2">
            <w:pPr>
              <w:pStyle w:val="TableParagraph"/>
              <w:spacing w:before="38"/>
              <w:ind w:left="168" w:right="168"/>
              <w:jc w:val="center"/>
            </w:pPr>
            <w:r>
              <w:t>61,216.14</w:t>
            </w:r>
          </w:p>
        </w:tc>
      </w:tr>
    </w:tbl>
    <w:p w14:paraId="42FB19E9" w14:textId="77777777" w:rsidR="0088452B" w:rsidRDefault="0088452B">
      <w:pPr>
        <w:jc w:val="center"/>
        <w:sectPr w:rsidR="0088452B">
          <w:footerReference w:type="default" r:id="rId10"/>
          <w:pgSz w:w="12240" w:h="15840"/>
          <w:pgMar w:top="1440" w:right="980" w:bottom="940" w:left="1240" w:header="0" w:footer="745" w:gutter="0"/>
          <w:pgNumType w:start="1"/>
          <w:cols w:space="720"/>
        </w:sectPr>
      </w:pPr>
    </w:p>
    <w:p w14:paraId="361DCAE0" w14:textId="77777777" w:rsidR="0088452B" w:rsidRDefault="004112E2">
      <w:pPr>
        <w:spacing w:before="80"/>
        <w:ind w:left="120" w:right="1163"/>
        <w:jc w:val="both"/>
        <w:rPr>
          <w:i/>
        </w:rPr>
      </w:pPr>
      <w:r>
        <w:rPr>
          <w:b/>
          <w:i/>
        </w:rPr>
        <w:t xml:space="preserve">Source: </w:t>
      </w:r>
      <w:r>
        <w:rPr>
          <w:i/>
        </w:rPr>
        <w:t>Historical counts for 2013-2014 are based on full Medicare administrative records. Historical</w:t>
      </w:r>
      <w:r>
        <w:rPr>
          <w:i/>
          <w:spacing w:val="-5"/>
        </w:rPr>
        <w:t xml:space="preserve"> </w:t>
      </w:r>
      <w:r>
        <w:rPr>
          <w:i/>
        </w:rPr>
        <w:t>counts</w:t>
      </w:r>
      <w:r>
        <w:rPr>
          <w:i/>
          <w:spacing w:val="-6"/>
        </w:rPr>
        <w:t xml:space="preserve"> </w:t>
      </w:r>
      <w:r>
        <w:rPr>
          <w:i/>
        </w:rPr>
        <w:t>for</w:t>
      </w:r>
      <w:r>
        <w:rPr>
          <w:i/>
          <w:spacing w:val="-7"/>
        </w:rPr>
        <w:t xml:space="preserve"> </w:t>
      </w:r>
      <w:r>
        <w:rPr>
          <w:i/>
        </w:rPr>
        <w:t>2015-2017</w:t>
      </w:r>
      <w:r>
        <w:rPr>
          <w:i/>
          <w:spacing w:val="-6"/>
        </w:rPr>
        <w:t xml:space="preserve"> </w:t>
      </w:r>
      <w:r>
        <w:rPr>
          <w:i/>
        </w:rPr>
        <w:t>are</w:t>
      </w:r>
      <w:r>
        <w:rPr>
          <w:i/>
          <w:spacing w:val="-6"/>
        </w:rPr>
        <w:t xml:space="preserve"> </w:t>
      </w:r>
      <w:r>
        <w:rPr>
          <w:i/>
        </w:rPr>
        <w:t>based</w:t>
      </w:r>
      <w:r>
        <w:rPr>
          <w:i/>
          <w:spacing w:val="-5"/>
        </w:rPr>
        <w:t xml:space="preserve"> </w:t>
      </w:r>
      <w:r>
        <w:rPr>
          <w:i/>
        </w:rPr>
        <w:t>on</w:t>
      </w:r>
      <w:r>
        <w:rPr>
          <w:i/>
          <w:spacing w:val="-6"/>
        </w:rPr>
        <w:t xml:space="preserve"> </w:t>
      </w:r>
      <w:r>
        <w:rPr>
          <w:i/>
        </w:rPr>
        <w:t>a</w:t>
      </w:r>
      <w:r>
        <w:rPr>
          <w:i/>
          <w:spacing w:val="-6"/>
        </w:rPr>
        <w:t xml:space="preserve"> </w:t>
      </w:r>
      <w:r>
        <w:rPr>
          <w:i/>
        </w:rPr>
        <w:t>5-percent</w:t>
      </w:r>
      <w:r>
        <w:rPr>
          <w:i/>
          <w:spacing w:val="-5"/>
        </w:rPr>
        <w:t xml:space="preserve"> </w:t>
      </w:r>
      <w:r>
        <w:rPr>
          <w:i/>
        </w:rPr>
        <w:t>extract</w:t>
      </w:r>
      <w:r>
        <w:rPr>
          <w:i/>
          <w:spacing w:val="-5"/>
        </w:rPr>
        <w:t xml:space="preserve"> </w:t>
      </w:r>
      <w:r>
        <w:rPr>
          <w:i/>
        </w:rPr>
        <w:t>of</w:t>
      </w:r>
      <w:r>
        <w:rPr>
          <w:i/>
          <w:spacing w:val="-5"/>
        </w:rPr>
        <w:t xml:space="preserve"> </w:t>
      </w:r>
      <w:r>
        <w:rPr>
          <w:i/>
        </w:rPr>
        <w:t>the</w:t>
      </w:r>
      <w:r>
        <w:rPr>
          <w:i/>
          <w:spacing w:val="-6"/>
        </w:rPr>
        <w:t xml:space="preserve"> </w:t>
      </w:r>
      <w:r>
        <w:rPr>
          <w:i/>
        </w:rPr>
        <w:t>Medicare</w:t>
      </w:r>
      <w:r>
        <w:rPr>
          <w:i/>
          <w:spacing w:val="-6"/>
        </w:rPr>
        <w:t xml:space="preserve"> </w:t>
      </w:r>
      <w:r>
        <w:rPr>
          <w:i/>
        </w:rPr>
        <w:t>administrative records and are computed as 20 times the extract</w:t>
      </w:r>
      <w:r>
        <w:rPr>
          <w:i/>
          <w:spacing w:val="-32"/>
        </w:rPr>
        <w:t xml:space="preserve"> </w:t>
      </w:r>
      <w:r>
        <w:rPr>
          <w:i/>
        </w:rPr>
        <w:t>counts.</w:t>
      </w:r>
    </w:p>
    <w:p w14:paraId="2FFCB4F0" w14:textId="77777777" w:rsidR="0088452B" w:rsidRDefault="004112E2">
      <w:pPr>
        <w:spacing w:before="79"/>
        <w:ind w:left="120" w:right="1295"/>
        <w:rPr>
          <w:i/>
        </w:rPr>
      </w:pPr>
      <w:r>
        <w:rPr>
          <w:b/>
          <w:i/>
        </w:rPr>
        <w:t xml:space="preserve">Notes: </w:t>
      </w:r>
      <w:r>
        <w:rPr>
          <w:i/>
        </w:rPr>
        <w:t>Puerto Rico beneficiaries are excluded from 2017 counts by sample design. Projections (2018) from the historical counts are based on the annual rate of change from 2016-2017.</w:t>
      </w:r>
    </w:p>
    <w:p w14:paraId="0CB6328F" w14:textId="77777777" w:rsidR="0088452B" w:rsidRDefault="004112E2">
      <w:pPr>
        <w:ind w:left="120"/>
        <w:rPr>
          <w:i/>
        </w:rPr>
      </w:pPr>
      <w:r>
        <w:rPr>
          <w:i/>
        </w:rPr>
        <w:t>Totals do not necessarily equal the sum of rounded components.</w:t>
      </w:r>
    </w:p>
    <w:p w14:paraId="44BE437C" w14:textId="77777777" w:rsidR="0088452B" w:rsidRDefault="0088452B">
      <w:pPr>
        <w:pStyle w:val="BodyText"/>
        <w:spacing w:before="4"/>
        <w:ind w:left="0"/>
        <w:rPr>
          <w:i/>
          <w:sz w:val="23"/>
        </w:rPr>
      </w:pPr>
    </w:p>
    <w:p w14:paraId="522FB3FA" w14:textId="77777777" w:rsidR="0088452B" w:rsidRDefault="004112E2">
      <w:pPr>
        <w:pStyle w:val="BodyText"/>
        <w:ind w:left="120" w:right="175"/>
      </w:pPr>
      <w:r>
        <w:t>The target sample size of the MCBS has been designed to yield 10,112</w:t>
      </w:r>
      <w:hyperlink w:anchor="_bookmark3" w:history="1">
        <w:r>
          <w:rPr>
            <w:position w:val="9"/>
            <w:sz w:val="16"/>
          </w:rPr>
          <w:t>1</w:t>
        </w:r>
      </w:hyperlink>
      <w:r>
        <w:rPr>
          <w:position w:val="9"/>
          <w:sz w:val="16"/>
        </w:rPr>
        <w:t xml:space="preserve"> </w:t>
      </w:r>
      <w:r>
        <w:t>completed cases providing Cost Supplement data per year (approximately 900-1,000 disabled enrollees under the age of 65 in each of two age strata, and 1,500-2,000 enrollees in each of five age strata for enrollees 65 and over).</w:t>
      </w:r>
    </w:p>
    <w:p w14:paraId="0B18660D" w14:textId="77777777" w:rsidR="0088452B" w:rsidRDefault="004112E2">
      <w:pPr>
        <w:pStyle w:val="BodyText"/>
        <w:spacing w:before="202" w:line="276" w:lineRule="exact"/>
        <w:ind w:left="120" w:right="289"/>
      </w:pPr>
      <w:r>
        <w:t>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newly eligible population, while continuing to interview the non-retired portion of the continuing sample. The incoming panel is always added in the Fall round (also referred to as the baseline interview); the retiring or exit panel occurs in the winter round (and is the 11</w:t>
      </w:r>
      <w:r>
        <w:rPr>
          <w:position w:val="9"/>
          <w:sz w:val="16"/>
        </w:rPr>
        <w:t xml:space="preserve">th </w:t>
      </w:r>
      <w:r>
        <w:t>and final interview for all respondents).</w:t>
      </w:r>
    </w:p>
    <w:p w14:paraId="420FA73C" w14:textId="77777777" w:rsidR="0088452B" w:rsidRDefault="004112E2">
      <w:pPr>
        <w:pStyle w:val="BodyText"/>
        <w:spacing w:before="197"/>
        <w:ind w:left="120" w:right="282"/>
      </w:pPr>
      <w:r>
        <w:t>Each year, an analysis of non-response and attrition is conducted to determine the optimal sample size for the fall round incoming panel. Through 2009, approximately 6,500 beneficiaries were added to the sample in the fall (September – December) round each year to replace the exiting panel and to offset sample losses due to non-response and attrition. Beginning in the fall round of 2010, the number of beneficiaries included in the incoming panel was increased to approximately 7,400 to compensate for declining response rates. By 2017, the sample has increased further to approximately 11,700, with an additional 147 additional cases to support Hispanic oversampling. The sample size results in about 36,000 interviews completed per year.</w:t>
      </w:r>
    </w:p>
    <w:p w14:paraId="6D8F9092" w14:textId="77777777" w:rsidR="0088452B" w:rsidRDefault="004112E2">
      <w:pPr>
        <w:pStyle w:val="BodyText"/>
        <w:spacing w:before="200"/>
        <w:ind w:left="120" w:right="355"/>
      </w:pPr>
      <w:r>
        <w:t>Proxy interviews are attempted for deceased sample persons. If data are collected through the date of death, then such cases are counted as completes. For sampled beneficiaries who reside in both a community and a facility setting, the round is considered complete if both community and facility interviews are completed.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nonresponding cases.</w:t>
      </w:r>
    </w:p>
    <w:p w14:paraId="37AA20D5" w14:textId="77777777" w:rsidR="0088452B" w:rsidRDefault="004112E2">
      <w:pPr>
        <w:pStyle w:val="BodyText"/>
        <w:spacing w:before="200"/>
        <w:ind w:left="120" w:right="369"/>
      </w:pPr>
      <w:r>
        <w:t>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Fall 2016 Round 76 to achieve the desired number of cases providing annual data, see Table B.2.</w:t>
      </w:r>
    </w:p>
    <w:p w14:paraId="14BA6585" w14:textId="77777777" w:rsidR="0088452B" w:rsidRDefault="0088452B">
      <w:pPr>
        <w:pStyle w:val="BodyText"/>
        <w:ind w:left="0"/>
        <w:rPr>
          <w:sz w:val="20"/>
        </w:rPr>
      </w:pPr>
    </w:p>
    <w:p w14:paraId="4DD5667F" w14:textId="14AF2927" w:rsidR="0088452B" w:rsidRDefault="00B749A0">
      <w:pPr>
        <w:pStyle w:val="BodyText"/>
        <w:spacing w:before="4"/>
        <w:ind w:left="0"/>
        <w:rPr>
          <w:sz w:val="25"/>
        </w:rPr>
      </w:pPr>
      <w:r>
        <w:rPr>
          <w:noProof/>
        </w:rPr>
        <mc:AlternateContent>
          <mc:Choice Requires="wps">
            <w:drawing>
              <wp:anchor distT="0" distB="0" distL="0" distR="0" simplePos="0" relativeHeight="251656192" behindDoc="0" locked="0" layoutInCell="1" allowOverlap="1" wp14:anchorId="3D43D774" wp14:editId="101870E1">
                <wp:simplePos x="0" y="0"/>
                <wp:positionH relativeFrom="page">
                  <wp:posOffset>850900</wp:posOffset>
                </wp:positionH>
                <wp:positionV relativeFrom="paragraph">
                  <wp:posOffset>214630</wp:posOffset>
                </wp:positionV>
                <wp:extent cx="1828800" cy="0"/>
                <wp:effectExtent l="12700" t="10160" r="6350" b="889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B9B652"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6.9pt" to="21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V6EgIAACg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" strokeweight=".72pt">
                <w10:wrap type="topAndBottom" anchorx="page"/>
              </v:line>
            </w:pict>
          </mc:Fallback>
        </mc:AlternateContent>
      </w:r>
    </w:p>
    <w:p w14:paraId="0ECA0569" w14:textId="77777777" w:rsidR="0088452B" w:rsidRDefault="004112E2">
      <w:pPr>
        <w:spacing w:before="66" w:line="259" w:lineRule="auto"/>
        <w:ind w:left="120" w:right="175"/>
        <w:rPr>
          <w:sz w:val="18"/>
        </w:rPr>
      </w:pPr>
      <w:bookmarkStart w:id="9" w:name="_bookmark3"/>
      <w:bookmarkEnd w:id="9"/>
      <w:r>
        <w:rPr>
          <w:rFonts w:ascii="Tahoma"/>
          <w:position w:val="6"/>
          <w:sz w:val="12"/>
        </w:rPr>
        <w:t xml:space="preserve">1 </w:t>
      </w:r>
      <w:r>
        <w:rPr>
          <w:sz w:val="18"/>
        </w:rPr>
        <w:t>Note that the historical target of 11,500 responding beneficiaries across all panels was not achievable in 2016; the target was reduced to 10,112, which was the maximum number of completed interviews achievable within budget.</w:t>
      </w:r>
    </w:p>
    <w:p w14:paraId="773E3680" w14:textId="77777777" w:rsidR="0088452B" w:rsidRDefault="0088452B">
      <w:pPr>
        <w:spacing w:line="259" w:lineRule="auto"/>
        <w:rPr>
          <w:sz w:val="18"/>
        </w:rPr>
        <w:sectPr w:rsidR="0088452B">
          <w:pgSz w:w="12240" w:h="15840"/>
          <w:pgMar w:top="1300" w:right="1220" w:bottom="940" w:left="1220" w:header="0" w:footer="745" w:gutter="0"/>
          <w:cols w:space="720"/>
        </w:sectPr>
      </w:pPr>
    </w:p>
    <w:p w14:paraId="28BDD6E5" w14:textId="77777777" w:rsidR="0088452B" w:rsidRDefault="004112E2">
      <w:pPr>
        <w:pStyle w:val="BodyText"/>
        <w:spacing w:before="76"/>
        <w:ind w:right="175"/>
      </w:pPr>
      <w:r>
        <w:t>Table B.2: Sample Size Needed to Compensate for Initial Non-Response and Ineligibility in the 2016 Fall Round</w:t>
      </w:r>
    </w:p>
    <w:p w14:paraId="15E9D58D" w14:textId="77777777" w:rsidR="0088452B" w:rsidRDefault="004112E2">
      <w:pPr>
        <w:spacing w:before="202"/>
        <w:ind w:left="100"/>
        <w:rPr>
          <w:b/>
          <w:sz w:val="24"/>
        </w:rPr>
      </w:pPr>
      <w:r>
        <w:rPr>
          <w:b/>
          <w:sz w:val="24"/>
        </w:rPr>
        <w:t>Table B.2: Sample Size Needed to Compensate for Initial Non-Response and Ineligibility</w:t>
      </w:r>
    </w:p>
    <w:p w14:paraId="46B24B34" w14:textId="77777777" w:rsidR="0088452B" w:rsidRDefault="0088452B">
      <w:pPr>
        <w:pStyle w:val="BodyText"/>
        <w:spacing w:before="3"/>
        <w:ind w:left="0"/>
        <w:rPr>
          <w:b/>
          <w:sz w:val="5"/>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20"/>
        <w:gridCol w:w="3600"/>
        <w:gridCol w:w="3154"/>
      </w:tblGrid>
      <w:tr w:rsidR="0088452B" w14:paraId="519E9DBC" w14:textId="77777777">
        <w:trPr>
          <w:trHeight w:hRule="exact" w:val="630"/>
        </w:trPr>
        <w:tc>
          <w:tcPr>
            <w:tcW w:w="2820" w:type="dxa"/>
            <w:shd w:val="clear" w:color="auto" w:fill="D9D9D9"/>
          </w:tcPr>
          <w:p w14:paraId="40FBE095" w14:textId="77777777" w:rsidR="0088452B" w:rsidRDefault="004112E2">
            <w:pPr>
              <w:pStyle w:val="TableParagraph"/>
              <w:spacing w:before="39"/>
              <w:ind w:left="732" w:right="301" w:hanging="413"/>
              <w:rPr>
                <w:b/>
              </w:rPr>
            </w:pPr>
            <w:r>
              <w:rPr>
                <w:b/>
              </w:rPr>
              <w:t xml:space="preserve">Age on December 31 of </w:t>
            </w:r>
            <w:r>
              <w:rPr>
                <w:b/>
                <w:u w:val="thick"/>
              </w:rPr>
              <w:t>reference year</w:t>
            </w:r>
          </w:p>
        </w:tc>
        <w:tc>
          <w:tcPr>
            <w:tcW w:w="3600" w:type="dxa"/>
            <w:shd w:val="clear" w:color="auto" w:fill="D9D9D9"/>
          </w:tcPr>
          <w:p w14:paraId="19E3940A" w14:textId="77777777" w:rsidR="0088452B" w:rsidRDefault="004112E2">
            <w:pPr>
              <w:pStyle w:val="TableParagraph"/>
              <w:spacing w:before="39" w:line="278" w:lineRule="auto"/>
              <w:ind w:left="488" w:right="65" w:firstLine="37"/>
              <w:rPr>
                <w:b/>
              </w:rPr>
            </w:pPr>
            <w:r>
              <w:rPr>
                <w:b/>
              </w:rPr>
              <w:t xml:space="preserve">Desired average number of </w:t>
            </w:r>
            <w:r>
              <w:rPr>
                <w:b/>
                <w:u w:val="thick"/>
              </w:rPr>
              <w:t>cases providing annual data</w:t>
            </w:r>
          </w:p>
        </w:tc>
        <w:tc>
          <w:tcPr>
            <w:tcW w:w="3154" w:type="dxa"/>
            <w:shd w:val="clear" w:color="auto" w:fill="D9D9D9"/>
          </w:tcPr>
          <w:p w14:paraId="4AB30A4A" w14:textId="77777777" w:rsidR="0088452B" w:rsidRDefault="004112E2">
            <w:pPr>
              <w:pStyle w:val="TableParagraph"/>
              <w:spacing w:before="39" w:line="278" w:lineRule="auto"/>
              <w:ind w:left="1063" w:right="624" w:hanging="416"/>
              <w:rPr>
                <w:b/>
              </w:rPr>
            </w:pPr>
            <w:r>
              <w:rPr>
                <w:b/>
              </w:rPr>
              <w:t xml:space="preserve">Number sampled at </w:t>
            </w:r>
            <w:r>
              <w:rPr>
                <w:b/>
                <w:u w:val="thick"/>
              </w:rPr>
              <w:t>Round 76*</w:t>
            </w:r>
          </w:p>
        </w:tc>
      </w:tr>
      <w:tr w:rsidR="0088452B" w14:paraId="69CE31F9" w14:textId="77777777">
        <w:trPr>
          <w:trHeight w:hRule="exact" w:val="338"/>
        </w:trPr>
        <w:tc>
          <w:tcPr>
            <w:tcW w:w="2820" w:type="dxa"/>
          </w:tcPr>
          <w:p w14:paraId="4D1621DE" w14:textId="77777777" w:rsidR="0088452B" w:rsidRDefault="004112E2">
            <w:pPr>
              <w:pStyle w:val="TableParagraph"/>
              <w:spacing w:before="39"/>
              <w:ind w:right="1148"/>
              <w:jc w:val="right"/>
            </w:pPr>
            <w:r>
              <w:t>18-44</w:t>
            </w:r>
          </w:p>
        </w:tc>
        <w:tc>
          <w:tcPr>
            <w:tcW w:w="3600" w:type="dxa"/>
          </w:tcPr>
          <w:p w14:paraId="651E230E" w14:textId="77777777" w:rsidR="0088452B" w:rsidRDefault="004112E2">
            <w:pPr>
              <w:pStyle w:val="TableParagraph"/>
              <w:spacing w:before="39"/>
              <w:ind w:left="1529" w:right="1529"/>
              <w:jc w:val="center"/>
            </w:pPr>
            <w:r>
              <w:t>332</w:t>
            </w:r>
          </w:p>
        </w:tc>
        <w:tc>
          <w:tcPr>
            <w:tcW w:w="3154" w:type="dxa"/>
          </w:tcPr>
          <w:p w14:paraId="5033AF05" w14:textId="77777777" w:rsidR="0088452B" w:rsidRDefault="004112E2">
            <w:pPr>
              <w:pStyle w:val="TableParagraph"/>
              <w:spacing w:before="39"/>
              <w:ind w:left="1251" w:right="1251"/>
              <w:jc w:val="center"/>
            </w:pPr>
            <w:r>
              <w:t>1,325</w:t>
            </w:r>
          </w:p>
        </w:tc>
      </w:tr>
      <w:tr w:rsidR="0088452B" w14:paraId="753A170D" w14:textId="77777777">
        <w:trPr>
          <w:trHeight w:hRule="exact" w:val="338"/>
        </w:trPr>
        <w:tc>
          <w:tcPr>
            <w:tcW w:w="2820" w:type="dxa"/>
          </w:tcPr>
          <w:p w14:paraId="26601186" w14:textId="77777777" w:rsidR="0088452B" w:rsidRDefault="004112E2">
            <w:pPr>
              <w:pStyle w:val="TableParagraph"/>
              <w:spacing w:before="38"/>
              <w:ind w:right="1148"/>
              <w:jc w:val="right"/>
            </w:pPr>
            <w:r>
              <w:rPr>
                <w:w w:val="95"/>
              </w:rPr>
              <w:t>45-64</w:t>
            </w:r>
          </w:p>
        </w:tc>
        <w:tc>
          <w:tcPr>
            <w:tcW w:w="3600" w:type="dxa"/>
          </w:tcPr>
          <w:p w14:paraId="4E8D0304" w14:textId="77777777" w:rsidR="0088452B" w:rsidRDefault="004112E2">
            <w:pPr>
              <w:pStyle w:val="TableParagraph"/>
              <w:spacing w:before="38"/>
              <w:ind w:left="1529" w:right="1529"/>
              <w:jc w:val="center"/>
            </w:pPr>
            <w:r>
              <w:t>301</w:t>
            </w:r>
          </w:p>
        </w:tc>
        <w:tc>
          <w:tcPr>
            <w:tcW w:w="3154" w:type="dxa"/>
          </w:tcPr>
          <w:p w14:paraId="12B99948" w14:textId="77777777" w:rsidR="0088452B" w:rsidRDefault="004112E2">
            <w:pPr>
              <w:pStyle w:val="TableParagraph"/>
              <w:spacing w:before="38"/>
              <w:ind w:left="1251" w:right="1251"/>
              <w:jc w:val="center"/>
            </w:pPr>
            <w:r>
              <w:t>827</w:t>
            </w:r>
          </w:p>
        </w:tc>
      </w:tr>
      <w:tr w:rsidR="0088452B" w14:paraId="7CD4BF9D" w14:textId="77777777">
        <w:trPr>
          <w:trHeight w:hRule="exact" w:val="337"/>
        </w:trPr>
        <w:tc>
          <w:tcPr>
            <w:tcW w:w="2820" w:type="dxa"/>
          </w:tcPr>
          <w:p w14:paraId="50933AE4" w14:textId="77777777" w:rsidR="0088452B" w:rsidRDefault="004112E2">
            <w:pPr>
              <w:pStyle w:val="TableParagraph"/>
              <w:spacing w:before="38"/>
              <w:ind w:right="1148"/>
              <w:jc w:val="right"/>
            </w:pPr>
            <w:r>
              <w:rPr>
                <w:w w:val="95"/>
              </w:rPr>
              <w:t>65-69</w:t>
            </w:r>
          </w:p>
        </w:tc>
        <w:tc>
          <w:tcPr>
            <w:tcW w:w="3600" w:type="dxa"/>
          </w:tcPr>
          <w:p w14:paraId="3B472FB2" w14:textId="77777777" w:rsidR="0088452B" w:rsidRDefault="004112E2">
            <w:pPr>
              <w:pStyle w:val="TableParagraph"/>
              <w:spacing w:before="38"/>
              <w:ind w:left="1529" w:right="1529"/>
              <w:jc w:val="center"/>
            </w:pPr>
            <w:r>
              <w:t>692</w:t>
            </w:r>
          </w:p>
        </w:tc>
        <w:tc>
          <w:tcPr>
            <w:tcW w:w="3154" w:type="dxa"/>
          </w:tcPr>
          <w:p w14:paraId="34FD8499" w14:textId="77777777" w:rsidR="0088452B" w:rsidRDefault="004112E2">
            <w:pPr>
              <w:pStyle w:val="TableParagraph"/>
              <w:spacing w:before="38"/>
              <w:ind w:left="1251" w:right="1251"/>
              <w:jc w:val="center"/>
            </w:pPr>
            <w:r>
              <w:t>2,394</w:t>
            </w:r>
          </w:p>
        </w:tc>
      </w:tr>
      <w:tr w:rsidR="0088452B" w14:paraId="34A5B677" w14:textId="77777777">
        <w:trPr>
          <w:trHeight w:hRule="exact" w:val="338"/>
        </w:trPr>
        <w:tc>
          <w:tcPr>
            <w:tcW w:w="2820" w:type="dxa"/>
          </w:tcPr>
          <w:p w14:paraId="08C7E8AB" w14:textId="77777777" w:rsidR="0088452B" w:rsidRDefault="004112E2">
            <w:pPr>
              <w:pStyle w:val="TableParagraph"/>
              <w:spacing w:before="39"/>
              <w:ind w:right="1148"/>
              <w:jc w:val="right"/>
            </w:pPr>
            <w:r>
              <w:rPr>
                <w:w w:val="95"/>
              </w:rPr>
              <w:t>70-74</w:t>
            </w:r>
          </w:p>
        </w:tc>
        <w:tc>
          <w:tcPr>
            <w:tcW w:w="3600" w:type="dxa"/>
          </w:tcPr>
          <w:p w14:paraId="78359AB2" w14:textId="77777777" w:rsidR="0088452B" w:rsidRDefault="004112E2">
            <w:pPr>
              <w:pStyle w:val="TableParagraph"/>
              <w:spacing w:before="39"/>
              <w:ind w:left="1529" w:right="1529"/>
              <w:jc w:val="center"/>
            </w:pPr>
            <w:r>
              <w:t>458</w:t>
            </w:r>
          </w:p>
        </w:tc>
        <w:tc>
          <w:tcPr>
            <w:tcW w:w="3154" w:type="dxa"/>
          </w:tcPr>
          <w:p w14:paraId="3B7C8FCE" w14:textId="77777777" w:rsidR="0088452B" w:rsidRDefault="004112E2">
            <w:pPr>
              <w:pStyle w:val="TableParagraph"/>
              <w:spacing w:before="39"/>
              <w:ind w:left="1251" w:right="1251"/>
              <w:jc w:val="center"/>
            </w:pPr>
            <w:r>
              <w:t>1,426</w:t>
            </w:r>
          </w:p>
        </w:tc>
      </w:tr>
      <w:tr w:rsidR="0088452B" w14:paraId="02413713" w14:textId="77777777">
        <w:trPr>
          <w:trHeight w:hRule="exact" w:val="338"/>
        </w:trPr>
        <w:tc>
          <w:tcPr>
            <w:tcW w:w="2820" w:type="dxa"/>
          </w:tcPr>
          <w:p w14:paraId="5455CAE5" w14:textId="77777777" w:rsidR="0088452B" w:rsidRDefault="004112E2">
            <w:pPr>
              <w:pStyle w:val="TableParagraph"/>
              <w:spacing w:before="38"/>
              <w:ind w:right="1148"/>
              <w:jc w:val="right"/>
            </w:pPr>
            <w:r>
              <w:t>75-79</w:t>
            </w:r>
          </w:p>
        </w:tc>
        <w:tc>
          <w:tcPr>
            <w:tcW w:w="3600" w:type="dxa"/>
          </w:tcPr>
          <w:p w14:paraId="7A55A0F5" w14:textId="77777777" w:rsidR="0088452B" w:rsidRDefault="004112E2">
            <w:pPr>
              <w:pStyle w:val="TableParagraph"/>
              <w:spacing w:before="38"/>
              <w:ind w:left="1529" w:right="1529"/>
              <w:jc w:val="center"/>
            </w:pPr>
            <w:r>
              <w:t>512</w:t>
            </w:r>
          </w:p>
        </w:tc>
        <w:tc>
          <w:tcPr>
            <w:tcW w:w="3154" w:type="dxa"/>
          </w:tcPr>
          <w:p w14:paraId="420CDB2D" w14:textId="77777777" w:rsidR="0088452B" w:rsidRDefault="004112E2">
            <w:pPr>
              <w:pStyle w:val="TableParagraph"/>
              <w:spacing w:before="38"/>
              <w:ind w:left="1251" w:right="1251"/>
              <w:jc w:val="center"/>
            </w:pPr>
            <w:r>
              <w:t>1,799</w:t>
            </w:r>
          </w:p>
        </w:tc>
      </w:tr>
      <w:tr w:rsidR="0088452B" w14:paraId="2CEE6F69" w14:textId="77777777">
        <w:trPr>
          <w:trHeight w:hRule="exact" w:val="337"/>
        </w:trPr>
        <w:tc>
          <w:tcPr>
            <w:tcW w:w="2820" w:type="dxa"/>
          </w:tcPr>
          <w:p w14:paraId="1AEA92B2" w14:textId="77777777" w:rsidR="0088452B" w:rsidRDefault="004112E2">
            <w:pPr>
              <w:pStyle w:val="TableParagraph"/>
              <w:spacing w:before="38"/>
              <w:ind w:right="1148"/>
              <w:jc w:val="right"/>
            </w:pPr>
            <w:r>
              <w:rPr>
                <w:w w:val="95"/>
              </w:rPr>
              <w:t>80-84</w:t>
            </w:r>
          </w:p>
        </w:tc>
        <w:tc>
          <w:tcPr>
            <w:tcW w:w="3600" w:type="dxa"/>
          </w:tcPr>
          <w:p w14:paraId="340A7263" w14:textId="77777777" w:rsidR="0088452B" w:rsidRDefault="004112E2">
            <w:pPr>
              <w:pStyle w:val="TableParagraph"/>
              <w:spacing w:before="38"/>
              <w:ind w:left="1529" w:right="1529"/>
              <w:jc w:val="center"/>
            </w:pPr>
            <w:r>
              <w:t>502</w:t>
            </w:r>
          </w:p>
        </w:tc>
        <w:tc>
          <w:tcPr>
            <w:tcW w:w="3154" w:type="dxa"/>
          </w:tcPr>
          <w:p w14:paraId="0FD30188" w14:textId="77777777" w:rsidR="0088452B" w:rsidRDefault="004112E2">
            <w:pPr>
              <w:pStyle w:val="TableParagraph"/>
              <w:spacing w:before="38"/>
              <w:ind w:left="1251" w:right="1251"/>
              <w:jc w:val="center"/>
            </w:pPr>
            <w:r>
              <w:t>1,893</w:t>
            </w:r>
          </w:p>
        </w:tc>
      </w:tr>
      <w:tr w:rsidR="0088452B" w14:paraId="41557307" w14:textId="77777777">
        <w:trPr>
          <w:trHeight w:hRule="exact" w:val="338"/>
        </w:trPr>
        <w:tc>
          <w:tcPr>
            <w:tcW w:w="2820" w:type="dxa"/>
          </w:tcPr>
          <w:p w14:paraId="5234E10A" w14:textId="77777777" w:rsidR="0088452B" w:rsidRDefault="004112E2">
            <w:pPr>
              <w:pStyle w:val="TableParagraph"/>
              <w:spacing w:before="38"/>
              <w:ind w:right="1150"/>
              <w:jc w:val="right"/>
            </w:pPr>
            <w:r>
              <w:rPr>
                <w:w w:val="95"/>
              </w:rPr>
              <w:t>85+</w:t>
            </w:r>
          </w:p>
        </w:tc>
        <w:tc>
          <w:tcPr>
            <w:tcW w:w="3600" w:type="dxa"/>
          </w:tcPr>
          <w:p w14:paraId="51AA2AED" w14:textId="77777777" w:rsidR="0088452B" w:rsidRDefault="004112E2">
            <w:pPr>
              <w:pStyle w:val="TableParagraph"/>
              <w:spacing w:before="38"/>
              <w:ind w:left="1529" w:right="1529"/>
              <w:jc w:val="center"/>
            </w:pPr>
            <w:r>
              <w:t>575</w:t>
            </w:r>
          </w:p>
        </w:tc>
        <w:tc>
          <w:tcPr>
            <w:tcW w:w="3154" w:type="dxa"/>
          </w:tcPr>
          <w:p w14:paraId="083DAE54" w14:textId="77777777" w:rsidR="0088452B" w:rsidRDefault="004112E2">
            <w:pPr>
              <w:pStyle w:val="TableParagraph"/>
              <w:spacing w:before="38"/>
              <w:ind w:left="1251" w:right="1251"/>
              <w:jc w:val="center"/>
            </w:pPr>
            <w:r>
              <w:t>2,535</w:t>
            </w:r>
          </w:p>
        </w:tc>
      </w:tr>
      <w:tr w:rsidR="0088452B" w14:paraId="31AF743B" w14:textId="77777777">
        <w:trPr>
          <w:trHeight w:hRule="exact" w:val="338"/>
        </w:trPr>
        <w:tc>
          <w:tcPr>
            <w:tcW w:w="2820" w:type="dxa"/>
          </w:tcPr>
          <w:p w14:paraId="062ABB53" w14:textId="77777777" w:rsidR="0088452B" w:rsidRDefault="004112E2">
            <w:pPr>
              <w:pStyle w:val="TableParagraph"/>
              <w:spacing w:before="38"/>
              <w:ind w:right="1175"/>
              <w:jc w:val="right"/>
            </w:pPr>
            <w:r>
              <w:t>Total</w:t>
            </w:r>
          </w:p>
        </w:tc>
        <w:tc>
          <w:tcPr>
            <w:tcW w:w="3600" w:type="dxa"/>
          </w:tcPr>
          <w:p w14:paraId="30610238" w14:textId="77777777" w:rsidR="0088452B" w:rsidRDefault="004112E2">
            <w:pPr>
              <w:pStyle w:val="TableParagraph"/>
              <w:spacing w:before="38"/>
              <w:ind w:left="1529" w:right="1530"/>
              <w:jc w:val="center"/>
            </w:pPr>
            <w:r>
              <w:t>3,372</w:t>
            </w:r>
          </w:p>
        </w:tc>
        <w:tc>
          <w:tcPr>
            <w:tcW w:w="3154" w:type="dxa"/>
          </w:tcPr>
          <w:p w14:paraId="149EF87C" w14:textId="77777777" w:rsidR="0088452B" w:rsidRDefault="004112E2">
            <w:pPr>
              <w:pStyle w:val="TableParagraph"/>
              <w:spacing w:before="38"/>
              <w:ind w:left="1252" w:right="1251"/>
              <w:jc w:val="center"/>
            </w:pPr>
            <w:r>
              <w:t>12,200</w:t>
            </w:r>
          </w:p>
        </w:tc>
      </w:tr>
    </w:tbl>
    <w:p w14:paraId="330AC457" w14:textId="77777777" w:rsidR="0088452B" w:rsidRDefault="004112E2">
      <w:pPr>
        <w:spacing w:before="57"/>
        <w:ind w:left="100"/>
      </w:pPr>
      <w:r>
        <w:t>*Including Hispanic oversampling cases</w:t>
      </w:r>
    </w:p>
    <w:p w14:paraId="3F1B0D54" w14:textId="77777777" w:rsidR="0088452B" w:rsidRDefault="0088452B">
      <w:pPr>
        <w:pStyle w:val="BodyText"/>
        <w:spacing w:before="8"/>
        <w:ind w:left="0"/>
        <w:rPr>
          <w:sz w:val="20"/>
        </w:rPr>
      </w:pPr>
    </w:p>
    <w:p w14:paraId="0BDB338C" w14:textId="77777777" w:rsidR="0088452B" w:rsidRDefault="004112E2">
      <w:pPr>
        <w:pStyle w:val="BodyText"/>
        <w:spacing w:before="1"/>
        <w:ind w:right="355"/>
      </w:pPr>
      <w:r>
        <w:rPr>
          <w:b/>
        </w:rPr>
        <w:t xml:space="preserve">Cross-sectional sample sizes for other domains. </w:t>
      </w:r>
      <w:r>
        <w:t>There are multiple domains of interest in the MCBS, (for example, respondents with end-stage renal disease, persons residing in nursing homes, managed care enrollees, beneficiaries of various race and ethnic backgrounds, and Medicaid recipients). The MCBS will continue to maintain a minimum target of 10,000 completed responses in the annual Cost Supplement file to help ensure that analysis can be performed on MCBS data for many domains of interest.</w:t>
      </w:r>
    </w:p>
    <w:p w14:paraId="73554824" w14:textId="77777777" w:rsidR="0088452B" w:rsidRDefault="004112E2">
      <w:pPr>
        <w:pStyle w:val="BodyText"/>
        <w:spacing w:before="200"/>
        <w:ind w:right="369"/>
      </w:pPr>
      <w:r>
        <w:rPr>
          <w:b/>
        </w:rPr>
        <w:t>Sample sizes for longitudinal analyses</w:t>
      </w:r>
      <w:r>
        <w:t>. Beginning in 2018, under the rotating panel design specified for the MCBS, respondents remain in the sample for up to eleven rounds of data collection over a three and a half year time period; prior to 2018, respondents remained in the sample for up to twelve rounds of data collection over a four year period. The historical response rates and attrition rates observed in the MCBS are used to determine the rotational sample size and configuration of each new incoming panel. The rotational sample design attempts to achieve consistency in subgroup sample sizes across all panels comprising a particular calendar year.</w:t>
      </w:r>
    </w:p>
    <w:p w14:paraId="29BD7574" w14:textId="77777777" w:rsidR="0088452B" w:rsidRDefault="004112E2">
      <w:pPr>
        <w:pStyle w:val="BodyText"/>
        <w:spacing w:before="200"/>
        <w:ind w:right="136"/>
      </w:pPr>
      <w:r>
        <w:t>Table B.3 (in section B2 below) presents the round-by-round conditional and unconditional response rates as of Round 73 (Fall round of 2015) for the samples (referred to in the table as “panels”) selected in 2008 through 2015. For example, from the bottom part of the table, it can be seen that by the 10th round of data collection for the 2012 panel, 31.8 percent of the 2012 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2013 and 2014 panels, the unconditional response rates as of Round 73 were 36.6 percent (through the 7th round of data collection) and 40.1 percent (through the 4th round of data collection), respectively. The 2015 panel (the new panel selected in Round</w:t>
      </w:r>
    </w:p>
    <w:p w14:paraId="644FBE07" w14:textId="77777777" w:rsidR="0088452B" w:rsidRDefault="004112E2">
      <w:pPr>
        <w:pStyle w:val="BodyText"/>
      </w:pPr>
      <w:r>
        <w:t>73) had an initial response rate of 53.3 percent in its first round of data collection.</w:t>
      </w:r>
    </w:p>
    <w:p w14:paraId="6239F90B" w14:textId="77777777" w:rsidR="0088452B" w:rsidRDefault="004112E2">
      <w:pPr>
        <w:pStyle w:val="BodyText"/>
        <w:spacing w:before="200"/>
        <w:ind w:right="412"/>
        <w:jc w:val="both"/>
      </w:pPr>
      <w:r>
        <w:t>Round 73 (Fall 2015) is the latest round for which MCBS data have been fully processed. There were 2,226 interviews successfully completed at Round 73 with still-living members of the</w:t>
      </w:r>
      <w:r>
        <w:rPr>
          <w:spacing w:val="-34"/>
        </w:rPr>
        <w:t xml:space="preserve"> </w:t>
      </w:r>
      <w:r>
        <w:t>2012 panel. For brevity, we refer to these 2,226 interviews as “live completes.” For the 2013 and</w:t>
      </w:r>
      <w:r>
        <w:rPr>
          <w:spacing w:val="-39"/>
        </w:rPr>
        <w:t xml:space="preserve"> </w:t>
      </w:r>
      <w:r>
        <w:t>2014</w:t>
      </w:r>
    </w:p>
    <w:p w14:paraId="6514076A" w14:textId="77777777" w:rsidR="0088452B" w:rsidRDefault="0088452B">
      <w:pPr>
        <w:jc w:val="both"/>
        <w:sectPr w:rsidR="0088452B">
          <w:pgSz w:w="12240" w:h="15840"/>
          <w:pgMar w:top="1300" w:right="1200" w:bottom="940" w:left="1240" w:header="0" w:footer="745" w:gutter="0"/>
          <w:cols w:space="720"/>
        </w:sectPr>
      </w:pPr>
    </w:p>
    <w:p w14:paraId="4C6D6757" w14:textId="77777777" w:rsidR="0088452B" w:rsidRDefault="004112E2">
      <w:pPr>
        <w:pStyle w:val="BodyText"/>
        <w:spacing w:before="76"/>
        <w:ind w:right="341"/>
      </w:pPr>
      <w:bookmarkStart w:id="10" w:name="B2._Procedures_for_Collecting_Informatio"/>
      <w:bookmarkEnd w:id="10"/>
      <w:r>
        <w:t>panels there were 2,555 and 4,327 live Round 73 completes, respectively. For the first round of data collection for the 2015 panel, there were 4,352 completes at Round 73.</w:t>
      </w:r>
    </w:p>
    <w:p w14:paraId="1C225BC9" w14:textId="77777777" w:rsidR="0088452B" w:rsidRDefault="004112E2">
      <w:pPr>
        <w:pStyle w:val="BodyText"/>
        <w:spacing w:before="199"/>
        <w:ind w:right="341"/>
      </w:pPr>
      <w:r>
        <w:t>The MCBS has used a variety of techniques to maintain respondents in the survey and reduce attrition. These will be continued and adapted to comply with the time frames for initiating and implementing the continuing sample.</w:t>
      </w:r>
    </w:p>
    <w:p w14:paraId="6D27E610" w14:textId="77777777" w:rsidR="0088452B" w:rsidRDefault="0088452B">
      <w:pPr>
        <w:pStyle w:val="BodyText"/>
        <w:ind w:left="0"/>
        <w:rPr>
          <w:sz w:val="21"/>
        </w:rPr>
      </w:pPr>
    </w:p>
    <w:p w14:paraId="2EB1EEEC" w14:textId="77777777" w:rsidR="0088452B" w:rsidRDefault="004112E2">
      <w:pPr>
        <w:pStyle w:val="Heading2"/>
        <w:spacing w:before="0"/>
      </w:pPr>
      <w:bookmarkStart w:id="11" w:name="_bookmark4"/>
      <w:bookmarkEnd w:id="11"/>
      <w:r>
        <w:t>B2. Procedures for Collecting Information</w:t>
      </w:r>
    </w:p>
    <w:p w14:paraId="7B2797FE" w14:textId="77777777" w:rsidR="0088452B" w:rsidRDefault="004112E2">
      <w:pPr>
        <w:pStyle w:val="BodyText"/>
        <w:spacing w:before="117"/>
        <w:ind w:right="341"/>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77777777" w:rsidR="0088452B" w:rsidRDefault="004112E2">
      <w:pPr>
        <w:pStyle w:val="ListParagraph"/>
        <w:numPr>
          <w:ilvl w:val="0"/>
          <w:numId w:val="5"/>
        </w:numPr>
        <w:tabs>
          <w:tab w:val="left" w:pos="341"/>
        </w:tabs>
        <w:spacing w:before="202"/>
        <w:rPr>
          <w:b/>
          <w:sz w:val="24"/>
        </w:rPr>
      </w:pPr>
      <w:r>
        <w:rPr>
          <w:b/>
          <w:sz w:val="24"/>
        </w:rPr>
        <w:t>Statistical Methodology for Stratification and Sample</w:t>
      </w:r>
      <w:r>
        <w:rPr>
          <w:b/>
          <w:spacing w:val="-26"/>
          <w:sz w:val="24"/>
        </w:rPr>
        <w:t xml:space="preserve"> </w:t>
      </w:r>
      <w:r>
        <w:rPr>
          <w:b/>
          <w:sz w:val="24"/>
        </w:rPr>
        <w:t>Selection</w:t>
      </w:r>
    </w:p>
    <w:p w14:paraId="23973BEF" w14:textId="77777777" w:rsidR="0088452B" w:rsidRDefault="004112E2">
      <w:pPr>
        <w:pStyle w:val="BodyText"/>
        <w:spacing w:before="16"/>
        <w:ind w:right="341"/>
      </w:pPr>
      <w:r>
        <w:t>This section opens with a description of the MCBS sample design. This is followed by a general discussion of the selection of the original and annual new incoming (historically referred to as supplemental) samples and the use of Medicare administrative enrollment data each year to reduce problems associated with duplication of samples across the years.</w:t>
      </w:r>
    </w:p>
    <w:p w14:paraId="7BE2FCD0" w14:textId="389B070E" w:rsidR="0088452B" w:rsidRPr="00FC61BB" w:rsidRDefault="004112E2">
      <w:pPr>
        <w:pStyle w:val="ListParagraph"/>
        <w:numPr>
          <w:ilvl w:val="0"/>
          <w:numId w:val="4"/>
        </w:numPr>
        <w:tabs>
          <w:tab w:val="left" w:pos="550"/>
          <w:tab w:val="left" w:pos="551"/>
        </w:tabs>
        <w:spacing w:before="200"/>
        <w:ind w:right="469"/>
        <w:rPr>
          <w:sz w:val="24"/>
        </w:rPr>
      </w:pPr>
      <w:r>
        <w:rPr>
          <w:sz w:val="24"/>
          <w:u w:val="single"/>
        </w:rPr>
        <w:t>PSU and Census tract clustering</w:t>
      </w:r>
      <w:r>
        <w:rPr>
          <w:sz w:val="24"/>
        </w:rPr>
        <w:t>. The MCBS employs a complex multistage probability sample design. At the first stage of selection, the sample consists of 107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Pr>
          <w:spacing w:val="-35"/>
          <w:sz w:val="24"/>
        </w:rPr>
        <w:t xml:space="preserve"> </w:t>
      </w:r>
      <w:r>
        <w:rPr>
          <w:sz w:val="24"/>
        </w:rPr>
        <w:t xml:space="preserve">the selected Census tracts are sampled at rates that depend on age group and race/ethnicity. Three PSUs located in Puerto Rico have been eliminated from the sample design leaving </w:t>
      </w:r>
      <w:r w:rsidRPr="00FC61BB">
        <w:rPr>
          <w:sz w:val="24"/>
        </w:rPr>
        <w:t>104 PSUs for sample</w:t>
      </w:r>
      <w:r w:rsidRPr="00FC61BB">
        <w:rPr>
          <w:spacing w:val="-7"/>
          <w:sz w:val="24"/>
        </w:rPr>
        <w:t xml:space="preserve"> </w:t>
      </w:r>
      <w:r w:rsidRPr="00FC61BB">
        <w:rPr>
          <w:sz w:val="24"/>
        </w:rPr>
        <w:t>selection.</w:t>
      </w:r>
      <w:r w:rsidR="00B749A0" w:rsidRPr="00FC61BB">
        <w:rPr>
          <w:sz w:val="24"/>
        </w:rPr>
        <w:t xml:space="preserve">  </w:t>
      </w:r>
      <w:r w:rsidR="00B749A0" w:rsidRPr="00FC61BB">
        <w:rPr>
          <w:sz w:val="24"/>
          <w:szCs w:val="24"/>
        </w:rPr>
        <w:t>As with many federal surveys, when the survey was developed in 1991, the MCBS Hispanic sample was predominantly drawn from PSUs in Puerto Rico and Puerto Rican beneficiaries residing in the continental U.S. As the Hispanic population has changed drastically over the past 25 years, and the Puerto Rico health care system and Medicare experience is completely different from that of individuals in the continental U.S., the MCBS began an oversample of CONUS Hispanics beginning in Fall 2015 (Round 73) continuing with Fall 2018 (Round 82) to realign the Hispanic population of the survey to be consistent with the population in the continental U.S. and to allow for reliable estimates of this vulnerable elderly population. As the Puerto Rico PSUs were not self-representing, they were never designed to produce estimates for the territory of Puerto Rico. CMS had intended to stop data collection in Puerto Rick in 2018. However, with Hurricane Maria devastating the Puerto Rico infrastructure, extended periods without electricity, and the difficulty in tracking those respondents who relocated, discontinuing the Puerto Rico PSUs took place in Fall 2017 (Round 79) instead of in Fall 2018 (Round 82). The Puerto Rico PSU respondents were replaced with additional CONUS Hispanic beneficiaries by additional oversampling when releasing cases to the field, as much as possible mid-operation.</w:t>
      </w:r>
    </w:p>
    <w:p w14:paraId="4E09B238" w14:textId="77777777" w:rsidR="0088452B" w:rsidRDefault="004112E2">
      <w:pPr>
        <w:pStyle w:val="BodyText"/>
        <w:spacing w:before="163"/>
        <w:ind w:left="550" w:right="117"/>
      </w:pPr>
      <w:r>
        <w:t>In 2019 and beyond, the strata used for selection of the PSUs will cover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7777777" w:rsidR="0088452B" w:rsidRDefault="004112E2">
      <w:pPr>
        <w:pStyle w:val="BodyText"/>
        <w:spacing w:before="200"/>
        <w:ind w:left="550" w:right="263"/>
      </w:pPr>
      <w:r>
        <w:t>In 2014, within the PSUs, a sample of 703 second-stage units (SSUs) consisting of Census tracts or clusters of adjacent tracts was selected. There were several steps in the SSU sampling process. First, an extract of the entire Medicare administrative enrollment database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5705CDBA" w14:textId="77777777" w:rsidR="0088452B" w:rsidRDefault="0088452B">
      <w:pPr>
        <w:sectPr w:rsidR="0088452B">
          <w:pgSz w:w="12240" w:h="15840"/>
          <w:pgMar w:top="1300" w:right="1220" w:bottom="940" w:left="1240" w:header="0" w:footer="745" w:gutter="0"/>
          <w:cols w:space="720"/>
        </w:sectPr>
      </w:pPr>
    </w:p>
    <w:p w14:paraId="14B22D51" w14:textId="77777777" w:rsidR="0088452B" w:rsidRDefault="004112E2">
      <w:pPr>
        <w:pStyle w:val="BodyText"/>
        <w:spacing w:before="76"/>
        <w:ind w:left="120" w:right="2314"/>
      </w:pPr>
      <w:r>
        <w:t>Table B.3: Conditional and Unconditional Response Rates as of the 2015 Panel for Medicare Current Beneficiary Survey by Interview Round</w:t>
      </w:r>
    </w:p>
    <w:p w14:paraId="1281409D" w14:textId="77777777" w:rsidR="0088452B" w:rsidRDefault="0088452B">
      <w:pPr>
        <w:pStyle w:val="BodyText"/>
        <w:spacing w:before="4" w:after="1"/>
        <w:ind w:left="0"/>
        <w:rPr>
          <w:sz w:val="22"/>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66"/>
        <w:gridCol w:w="956"/>
        <w:gridCol w:w="1142"/>
        <w:gridCol w:w="1141"/>
        <w:gridCol w:w="1143"/>
        <w:gridCol w:w="1144"/>
        <w:gridCol w:w="1142"/>
        <w:gridCol w:w="1133"/>
        <w:gridCol w:w="1133"/>
      </w:tblGrid>
      <w:tr w:rsidR="0088452B" w14:paraId="0D4FF1DE" w14:textId="77777777">
        <w:trPr>
          <w:trHeight w:hRule="exact" w:val="326"/>
        </w:trPr>
        <w:tc>
          <w:tcPr>
            <w:tcW w:w="10200" w:type="dxa"/>
            <w:gridSpan w:val="9"/>
          </w:tcPr>
          <w:p w14:paraId="039885C1" w14:textId="77777777" w:rsidR="0088452B" w:rsidRDefault="004112E2">
            <w:pPr>
              <w:pStyle w:val="TableParagraph"/>
              <w:spacing w:before="0" w:line="266" w:lineRule="exact"/>
              <w:ind w:left="14"/>
              <w:rPr>
                <w:b/>
                <w:sz w:val="24"/>
              </w:rPr>
            </w:pPr>
            <w:r>
              <w:rPr>
                <w:b/>
                <w:sz w:val="24"/>
              </w:rPr>
              <w:t>Conditional Response Rates for Medicare Current Beneficiary Survey by Interview</w:t>
            </w:r>
          </w:p>
        </w:tc>
      </w:tr>
      <w:tr w:rsidR="0088452B" w14:paraId="0723A0C5" w14:textId="77777777">
        <w:trPr>
          <w:trHeight w:hRule="exact" w:val="371"/>
        </w:trPr>
        <w:tc>
          <w:tcPr>
            <w:tcW w:w="1266" w:type="dxa"/>
            <w:tcBorders>
              <w:bottom w:val="single" w:sz="17" w:space="0" w:color="000000"/>
            </w:tcBorders>
          </w:tcPr>
          <w:p w14:paraId="4EFE8054" w14:textId="77777777" w:rsidR="0088452B" w:rsidRDefault="004112E2">
            <w:pPr>
              <w:pStyle w:val="TableParagraph"/>
              <w:spacing w:before="50"/>
              <w:ind w:left="122"/>
            </w:pPr>
            <w:r>
              <w:t>Round</w:t>
            </w:r>
          </w:p>
        </w:tc>
        <w:tc>
          <w:tcPr>
            <w:tcW w:w="956" w:type="dxa"/>
            <w:tcBorders>
              <w:bottom w:val="single" w:sz="17" w:space="0" w:color="000000"/>
            </w:tcBorders>
          </w:tcPr>
          <w:p w14:paraId="148DF694" w14:textId="77777777" w:rsidR="0088452B" w:rsidRDefault="0088452B"/>
        </w:tc>
        <w:tc>
          <w:tcPr>
            <w:tcW w:w="1142" w:type="dxa"/>
            <w:tcBorders>
              <w:bottom w:val="single" w:sz="17" w:space="0" w:color="000000"/>
            </w:tcBorders>
          </w:tcPr>
          <w:p w14:paraId="25393A00" w14:textId="77777777" w:rsidR="0088452B" w:rsidRDefault="0088452B"/>
        </w:tc>
        <w:tc>
          <w:tcPr>
            <w:tcW w:w="1141" w:type="dxa"/>
            <w:tcBorders>
              <w:bottom w:val="single" w:sz="17" w:space="0" w:color="000000"/>
            </w:tcBorders>
          </w:tcPr>
          <w:p w14:paraId="1F72C840" w14:textId="77777777" w:rsidR="0088452B" w:rsidRDefault="0088452B"/>
        </w:tc>
        <w:tc>
          <w:tcPr>
            <w:tcW w:w="1143" w:type="dxa"/>
            <w:tcBorders>
              <w:bottom w:val="single" w:sz="17" w:space="0" w:color="000000"/>
            </w:tcBorders>
          </w:tcPr>
          <w:p w14:paraId="11790636" w14:textId="77777777" w:rsidR="0088452B" w:rsidRDefault="0088452B"/>
        </w:tc>
        <w:tc>
          <w:tcPr>
            <w:tcW w:w="1144" w:type="dxa"/>
            <w:tcBorders>
              <w:bottom w:val="single" w:sz="17" w:space="0" w:color="000000"/>
            </w:tcBorders>
          </w:tcPr>
          <w:p w14:paraId="6AEFF99D" w14:textId="77777777" w:rsidR="0088452B" w:rsidRDefault="0088452B"/>
        </w:tc>
        <w:tc>
          <w:tcPr>
            <w:tcW w:w="1142" w:type="dxa"/>
            <w:tcBorders>
              <w:bottom w:val="single" w:sz="17" w:space="0" w:color="000000"/>
            </w:tcBorders>
          </w:tcPr>
          <w:p w14:paraId="1347FE7D" w14:textId="77777777" w:rsidR="0088452B" w:rsidRDefault="0088452B"/>
        </w:tc>
        <w:tc>
          <w:tcPr>
            <w:tcW w:w="1133" w:type="dxa"/>
            <w:tcBorders>
              <w:bottom w:val="single" w:sz="17" w:space="0" w:color="000000"/>
            </w:tcBorders>
          </w:tcPr>
          <w:p w14:paraId="4BFABE07" w14:textId="77777777" w:rsidR="0088452B" w:rsidRDefault="0088452B"/>
        </w:tc>
        <w:tc>
          <w:tcPr>
            <w:tcW w:w="1132" w:type="dxa"/>
            <w:tcBorders>
              <w:bottom w:val="single" w:sz="17" w:space="0" w:color="000000"/>
            </w:tcBorders>
          </w:tcPr>
          <w:p w14:paraId="6D58EA5B" w14:textId="77777777" w:rsidR="0088452B" w:rsidRDefault="0088452B"/>
        </w:tc>
      </w:tr>
      <w:tr w:rsidR="0088452B" w14:paraId="2EDAF646" w14:textId="77777777">
        <w:trPr>
          <w:trHeight w:hRule="exact" w:val="342"/>
        </w:trPr>
        <w:tc>
          <w:tcPr>
            <w:tcW w:w="1266" w:type="dxa"/>
            <w:tcBorders>
              <w:top w:val="single" w:sz="17" w:space="0" w:color="000000"/>
            </w:tcBorders>
          </w:tcPr>
          <w:p w14:paraId="7CDB54D8" w14:textId="77777777" w:rsidR="0088452B" w:rsidRDefault="0088452B"/>
        </w:tc>
        <w:tc>
          <w:tcPr>
            <w:tcW w:w="956" w:type="dxa"/>
            <w:tcBorders>
              <w:top w:val="single" w:sz="17" w:space="0" w:color="000000"/>
            </w:tcBorders>
          </w:tcPr>
          <w:p w14:paraId="0552D3EA" w14:textId="77777777" w:rsidR="0088452B" w:rsidRDefault="004112E2">
            <w:pPr>
              <w:pStyle w:val="TableParagraph"/>
              <w:spacing w:before="26"/>
              <w:ind w:left="26"/>
            </w:pPr>
            <w:r>
              <w:t>2008</w:t>
            </w:r>
          </w:p>
        </w:tc>
        <w:tc>
          <w:tcPr>
            <w:tcW w:w="1142" w:type="dxa"/>
            <w:tcBorders>
              <w:top w:val="single" w:sz="17" w:space="0" w:color="000000"/>
            </w:tcBorders>
          </w:tcPr>
          <w:p w14:paraId="55986BC8" w14:textId="77777777" w:rsidR="0088452B" w:rsidRDefault="004112E2">
            <w:pPr>
              <w:pStyle w:val="TableParagraph"/>
              <w:spacing w:before="26"/>
              <w:ind w:left="106"/>
            </w:pPr>
            <w:r>
              <w:t>2009</w:t>
            </w:r>
          </w:p>
        </w:tc>
        <w:tc>
          <w:tcPr>
            <w:tcW w:w="1141" w:type="dxa"/>
            <w:tcBorders>
              <w:top w:val="single" w:sz="17" w:space="0" w:color="000000"/>
            </w:tcBorders>
          </w:tcPr>
          <w:p w14:paraId="536BC533" w14:textId="77777777" w:rsidR="0088452B" w:rsidRDefault="004112E2">
            <w:pPr>
              <w:pStyle w:val="TableParagraph"/>
              <w:spacing w:before="26"/>
              <w:ind w:left="105"/>
            </w:pPr>
            <w:r>
              <w:t>2010</w:t>
            </w:r>
          </w:p>
        </w:tc>
        <w:tc>
          <w:tcPr>
            <w:tcW w:w="1143" w:type="dxa"/>
            <w:tcBorders>
              <w:top w:val="single" w:sz="17" w:space="0" w:color="000000"/>
            </w:tcBorders>
          </w:tcPr>
          <w:p w14:paraId="687924CB" w14:textId="77777777" w:rsidR="0088452B" w:rsidRDefault="004112E2">
            <w:pPr>
              <w:pStyle w:val="TableParagraph"/>
              <w:spacing w:before="26"/>
              <w:ind w:left="106"/>
            </w:pPr>
            <w:r>
              <w:t>2011</w:t>
            </w:r>
          </w:p>
        </w:tc>
        <w:tc>
          <w:tcPr>
            <w:tcW w:w="1144" w:type="dxa"/>
            <w:tcBorders>
              <w:top w:val="single" w:sz="17" w:space="0" w:color="000000"/>
            </w:tcBorders>
          </w:tcPr>
          <w:p w14:paraId="0A8575D6" w14:textId="77777777" w:rsidR="0088452B" w:rsidRDefault="004112E2">
            <w:pPr>
              <w:pStyle w:val="TableParagraph"/>
              <w:spacing w:before="26"/>
              <w:ind w:left="107"/>
            </w:pPr>
            <w:r>
              <w:t>2012</w:t>
            </w:r>
          </w:p>
        </w:tc>
        <w:tc>
          <w:tcPr>
            <w:tcW w:w="1142" w:type="dxa"/>
            <w:tcBorders>
              <w:top w:val="single" w:sz="17" w:space="0" w:color="000000"/>
            </w:tcBorders>
          </w:tcPr>
          <w:p w14:paraId="3D065069" w14:textId="77777777" w:rsidR="0088452B" w:rsidRDefault="004112E2">
            <w:pPr>
              <w:pStyle w:val="TableParagraph"/>
              <w:spacing w:before="26"/>
              <w:ind w:left="106"/>
            </w:pPr>
            <w:r>
              <w:t>2013</w:t>
            </w:r>
          </w:p>
        </w:tc>
        <w:tc>
          <w:tcPr>
            <w:tcW w:w="1133" w:type="dxa"/>
            <w:tcBorders>
              <w:top w:val="single" w:sz="17" w:space="0" w:color="000000"/>
            </w:tcBorders>
          </w:tcPr>
          <w:p w14:paraId="3647926E" w14:textId="77777777" w:rsidR="0088452B" w:rsidRDefault="004112E2">
            <w:pPr>
              <w:pStyle w:val="TableParagraph"/>
              <w:spacing w:before="26"/>
              <w:ind w:left="107"/>
            </w:pPr>
            <w:r>
              <w:t>2014</w:t>
            </w:r>
          </w:p>
        </w:tc>
        <w:tc>
          <w:tcPr>
            <w:tcW w:w="1132" w:type="dxa"/>
            <w:tcBorders>
              <w:top w:val="single" w:sz="17" w:space="0" w:color="000000"/>
            </w:tcBorders>
          </w:tcPr>
          <w:p w14:paraId="72C947F8" w14:textId="77777777" w:rsidR="0088452B" w:rsidRDefault="004112E2">
            <w:pPr>
              <w:pStyle w:val="TableParagraph"/>
              <w:spacing w:before="26"/>
              <w:ind w:left="92"/>
            </w:pPr>
            <w:r>
              <w:t>2015</w:t>
            </w:r>
          </w:p>
        </w:tc>
      </w:tr>
      <w:tr w:rsidR="0088452B" w14:paraId="62049016" w14:textId="77777777">
        <w:trPr>
          <w:trHeight w:hRule="exact" w:val="659"/>
        </w:trPr>
        <w:tc>
          <w:tcPr>
            <w:tcW w:w="1266" w:type="dxa"/>
          </w:tcPr>
          <w:p w14:paraId="2126949A" w14:textId="77777777" w:rsidR="0088452B" w:rsidRDefault="0088452B"/>
        </w:tc>
        <w:tc>
          <w:tcPr>
            <w:tcW w:w="956" w:type="dxa"/>
          </w:tcPr>
          <w:p w14:paraId="601FA21F" w14:textId="77777777" w:rsidR="0088452B" w:rsidRDefault="004112E2">
            <w:pPr>
              <w:pStyle w:val="TableParagraph"/>
              <w:spacing w:before="32" w:line="314" w:lineRule="auto"/>
              <w:ind w:left="26" w:right="89" w:hanging="1"/>
            </w:pPr>
            <w:r>
              <w:t>Panel (n=5532)</w:t>
            </w:r>
          </w:p>
        </w:tc>
        <w:tc>
          <w:tcPr>
            <w:tcW w:w="1142" w:type="dxa"/>
          </w:tcPr>
          <w:p w14:paraId="389B78B9" w14:textId="77777777" w:rsidR="0088452B" w:rsidRDefault="004112E2">
            <w:pPr>
              <w:pStyle w:val="TableParagraph"/>
              <w:spacing w:before="32" w:line="314" w:lineRule="auto"/>
              <w:ind w:left="106" w:right="195" w:hanging="1"/>
            </w:pPr>
            <w:r>
              <w:t>Panel (n=6915)</w:t>
            </w:r>
          </w:p>
        </w:tc>
        <w:tc>
          <w:tcPr>
            <w:tcW w:w="1141" w:type="dxa"/>
          </w:tcPr>
          <w:p w14:paraId="3F73158B" w14:textId="77777777" w:rsidR="0088452B" w:rsidRDefault="004112E2">
            <w:pPr>
              <w:pStyle w:val="TableParagraph"/>
              <w:spacing w:before="32" w:line="314" w:lineRule="auto"/>
              <w:ind w:left="106" w:right="194" w:hanging="1"/>
            </w:pPr>
            <w:r>
              <w:t>Panel (n=7260)</w:t>
            </w:r>
          </w:p>
        </w:tc>
        <w:tc>
          <w:tcPr>
            <w:tcW w:w="1143" w:type="dxa"/>
          </w:tcPr>
          <w:p w14:paraId="3D0E4226" w14:textId="77777777" w:rsidR="0088452B" w:rsidRDefault="004112E2">
            <w:pPr>
              <w:pStyle w:val="TableParagraph"/>
              <w:spacing w:before="32" w:line="314" w:lineRule="auto"/>
              <w:ind w:left="107" w:right="195" w:hanging="1"/>
            </w:pPr>
            <w:r>
              <w:t>Panel (n=7365)</w:t>
            </w:r>
          </w:p>
        </w:tc>
        <w:tc>
          <w:tcPr>
            <w:tcW w:w="1144" w:type="dxa"/>
          </w:tcPr>
          <w:p w14:paraId="670C7EAC" w14:textId="77777777" w:rsidR="0088452B" w:rsidRDefault="004112E2">
            <w:pPr>
              <w:pStyle w:val="TableParagraph"/>
              <w:spacing w:before="32" w:line="314" w:lineRule="auto"/>
              <w:ind w:left="108" w:right="194" w:hanging="1"/>
            </w:pPr>
            <w:r>
              <w:t>Panel (n=7400)</w:t>
            </w:r>
          </w:p>
        </w:tc>
        <w:tc>
          <w:tcPr>
            <w:tcW w:w="1142" w:type="dxa"/>
          </w:tcPr>
          <w:p w14:paraId="656488A3" w14:textId="77777777" w:rsidR="0088452B" w:rsidRDefault="004112E2">
            <w:pPr>
              <w:pStyle w:val="TableParagraph"/>
              <w:spacing w:before="32" w:line="314" w:lineRule="auto"/>
              <w:ind w:left="107" w:right="194" w:hanging="1"/>
            </w:pPr>
            <w:r>
              <w:t>Panel (n=7400)</w:t>
            </w:r>
          </w:p>
        </w:tc>
        <w:tc>
          <w:tcPr>
            <w:tcW w:w="1133" w:type="dxa"/>
          </w:tcPr>
          <w:p w14:paraId="5CDAD497" w14:textId="77777777" w:rsidR="0088452B" w:rsidRDefault="004112E2">
            <w:pPr>
              <w:pStyle w:val="TableParagraph"/>
              <w:spacing w:before="32" w:line="314" w:lineRule="auto"/>
              <w:ind w:left="108" w:right="74" w:hanging="1"/>
            </w:pPr>
            <w:r>
              <w:t>Panel* (n=11398)</w:t>
            </w:r>
          </w:p>
        </w:tc>
        <w:tc>
          <w:tcPr>
            <w:tcW w:w="1132" w:type="dxa"/>
          </w:tcPr>
          <w:p w14:paraId="521A9CF7" w14:textId="77777777" w:rsidR="0088452B" w:rsidRDefault="004112E2">
            <w:pPr>
              <w:pStyle w:val="TableParagraph"/>
              <w:spacing w:before="32" w:line="314" w:lineRule="auto"/>
              <w:ind w:left="93" w:right="198" w:hanging="1"/>
            </w:pPr>
            <w:r>
              <w:t>Panel (n=8621)</w:t>
            </w:r>
          </w:p>
        </w:tc>
      </w:tr>
      <w:tr w:rsidR="0088452B" w14:paraId="3E3E4CFF" w14:textId="77777777">
        <w:trPr>
          <w:trHeight w:hRule="exact" w:val="322"/>
        </w:trPr>
        <w:tc>
          <w:tcPr>
            <w:tcW w:w="1266" w:type="dxa"/>
          </w:tcPr>
          <w:p w14:paraId="64188C75" w14:textId="77777777" w:rsidR="0088452B" w:rsidRDefault="004112E2">
            <w:pPr>
              <w:pStyle w:val="TableParagraph"/>
              <w:spacing w:before="32"/>
              <w:ind w:left="123"/>
            </w:pPr>
            <w:r>
              <w:t>Round 1</w:t>
            </w:r>
          </w:p>
        </w:tc>
        <w:tc>
          <w:tcPr>
            <w:tcW w:w="956" w:type="dxa"/>
          </w:tcPr>
          <w:p w14:paraId="1CD156FF" w14:textId="77777777" w:rsidR="0088452B" w:rsidRDefault="004112E2">
            <w:pPr>
              <w:pStyle w:val="TableParagraph"/>
              <w:spacing w:before="32"/>
              <w:ind w:right="104"/>
              <w:jc w:val="right"/>
            </w:pPr>
            <w:r>
              <w:rPr>
                <w:w w:val="95"/>
              </w:rPr>
              <w:t>78.0%</w:t>
            </w:r>
          </w:p>
        </w:tc>
        <w:tc>
          <w:tcPr>
            <w:tcW w:w="1142" w:type="dxa"/>
          </w:tcPr>
          <w:p w14:paraId="26033D18" w14:textId="77777777" w:rsidR="0088452B" w:rsidRDefault="004112E2">
            <w:pPr>
              <w:pStyle w:val="TableParagraph"/>
              <w:spacing w:before="32"/>
              <w:ind w:right="103"/>
              <w:jc w:val="right"/>
            </w:pPr>
            <w:r>
              <w:rPr>
                <w:w w:val="95"/>
              </w:rPr>
              <w:t>77.5%</w:t>
            </w:r>
          </w:p>
        </w:tc>
        <w:tc>
          <w:tcPr>
            <w:tcW w:w="1141" w:type="dxa"/>
          </w:tcPr>
          <w:p w14:paraId="654B8DFE" w14:textId="77777777" w:rsidR="0088452B" w:rsidRDefault="004112E2">
            <w:pPr>
              <w:pStyle w:val="TableParagraph"/>
              <w:spacing w:before="32"/>
              <w:ind w:right="104"/>
              <w:jc w:val="right"/>
            </w:pPr>
            <w:r>
              <w:rPr>
                <w:w w:val="95"/>
              </w:rPr>
              <w:t>77.5%</w:t>
            </w:r>
          </w:p>
        </w:tc>
        <w:tc>
          <w:tcPr>
            <w:tcW w:w="1143" w:type="dxa"/>
          </w:tcPr>
          <w:p w14:paraId="1E934608" w14:textId="77777777" w:rsidR="0088452B" w:rsidRDefault="004112E2">
            <w:pPr>
              <w:pStyle w:val="TableParagraph"/>
              <w:spacing w:before="32"/>
              <w:ind w:right="105"/>
              <w:jc w:val="right"/>
            </w:pPr>
            <w:r>
              <w:rPr>
                <w:w w:val="95"/>
              </w:rPr>
              <w:t>77.4%</w:t>
            </w:r>
          </w:p>
        </w:tc>
        <w:tc>
          <w:tcPr>
            <w:tcW w:w="1144" w:type="dxa"/>
          </w:tcPr>
          <w:p w14:paraId="12F264F2" w14:textId="77777777" w:rsidR="0088452B" w:rsidRDefault="004112E2">
            <w:pPr>
              <w:pStyle w:val="TableParagraph"/>
              <w:spacing w:before="32"/>
              <w:ind w:right="104"/>
              <w:jc w:val="right"/>
            </w:pPr>
            <w:r>
              <w:rPr>
                <w:w w:val="95"/>
              </w:rPr>
              <w:t>73.2%</w:t>
            </w:r>
          </w:p>
        </w:tc>
        <w:tc>
          <w:tcPr>
            <w:tcW w:w="1142" w:type="dxa"/>
          </w:tcPr>
          <w:p w14:paraId="781748B0" w14:textId="77777777" w:rsidR="0088452B" w:rsidRDefault="004112E2">
            <w:pPr>
              <w:pStyle w:val="TableParagraph"/>
              <w:spacing w:before="32"/>
              <w:ind w:right="105"/>
              <w:jc w:val="right"/>
            </w:pPr>
            <w:r>
              <w:rPr>
                <w:w w:val="95"/>
              </w:rPr>
              <w:t>72.8%</w:t>
            </w:r>
          </w:p>
        </w:tc>
        <w:tc>
          <w:tcPr>
            <w:tcW w:w="1133" w:type="dxa"/>
          </w:tcPr>
          <w:p w14:paraId="304C91A8" w14:textId="77777777" w:rsidR="0088452B" w:rsidRDefault="004112E2">
            <w:pPr>
              <w:pStyle w:val="TableParagraph"/>
              <w:spacing w:before="32"/>
              <w:ind w:right="117"/>
              <w:jc w:val="right"/>
            </w:pPr>
            <w:r>
              <w:rPr>
                <w:w w:val="95"/>
              </w:rPr>
              <w:t>58.7%</w:t>
            </w:r>
          </w:p>
        </w:tc>
        <w:tc>
          <w:tcPr>
            <w:tcW w:w="1132" w:type="dxa"/>
          </w:tcPr>
          <w:p w14:paraId="047CAE7B" w14:textId="77777777" w:rsidR="0088452B" w:rsidRDefault="004112E2">
            <w:pPr>
              <w:pStyle w:val="TableParagraph"/>
              <w:spacing w:before="32"/>
              <w:ind w:right="214"/>
              <w:jc w:val="right"/>
            </w:pPr>
            <w:r>
              <w:rPr>
                <w:w w:val="95"/>
              </w:rPr>
              <w:t>53.3%</w:t>
            </w:r>
          </w:p>
        </w:tc>
      </w:tr>
      <w:tr w:rsidR="0088452B" w14:paraId="7FBEB6F4" w14:textId="77777777">
        <w:trPr>
          <w:trHeight w:hRule="exact" w:val="322"/>
        </w:trPr>
        <w:tc>
          <w:tcPr>
            <w:tcW w:w="1266" w:type="dxa"/>
          </w:tcPr>
          <w:p w14:paraId="771CA1D5" w14:textId="77777777" w:rsidR="0088452B" w:rsidRDefault="004112E2">
            <w:pPr>
              <w:pStyle w:val="TableParagraph"/>
              <w:ind w:left="123"/>
            </w:pPr>
            <w:r>
              <w:t>Round 2</w:t>
            </w:r>
          </w:p>
        </w:tc>
        <w:tc>
          <w:tcPr>
            <w:tcW w:w="956" w:type="dxa"/>
          </w:tcPr>
          <w:p w14:paraId="2079685C" w14:textId="77777777" w:rsidR="0088452B" w:rsidRDefault="004112E2">
            <w:pPr>
              <w:pStyle w:val="TableParagraph"/>
              <w:ind w:right="104"/>
              <w:jc w:val="right"/>
            </w:pPr>
            <w:r>
              <w:rPr>
                <w:w w:val="95"/>
              </w:rPr>
              <w:t>90.5%</w:t>
            </w:r>
          </w:p>
        </w:tc>
        <w:tc>
          <w:tcPr>
            <w:tcW w:w="1142" w:type="dxa"/>
          </w:tcPr>
          <w:p w14:paraId="6CA54E30" w14:textId="77777777" w:rsidR="0088452B" w:rsidRDefault="004112E2">
            <w:pPr>
              <w:pStyle w:val="TableParagraph"/>
              <w:ind w:right="103"/>
              <w:jc w:val="right"/>
            </w:pPr>
            <w:r>
              <w:rPr>
                <w:w w:val="95"/>
              </w:rPr>
              <w:t>89.4%</w:t>
            </w:r>
          </w:p>
        </w:tc>
        <w:tc>
          <w:tcPr>
            <w:tcW w:w="1141" w:type="dxa"/>
          </w:tcPr>
          <w:p w14:paraId="1CB56D31" w14:textId="77777777" w:rsidR="0088452B" w:rsidRDefault="004112E2">
            <w:pPr>
              <w:pStyle w:val="TableParagraph"/>
              <w:ind w:right="104"/>
              <w:jc w:val="right"/>
            </w:pPr>
            <w:r>
              <w:rPr>
                <w:w w:val="95"/>
              </w:rPr>
              <w:t>89.0%</w:t>
            </w:r>
          </w:p>
        </w:tc>
        <w:tc>
          <w:tcPr>
            <w:tcW w:w="1143" w:type="dxa"/>
          </w:tcPr>
          <w:p w14:paraId="772ABE0C" w14:textId="77777777" w:rsidR="0088452B" w:rsidRDefault="004112E2">
            <w:pPr>
              <w:pStyle w:val="TableParagraph"/>
              <w:ind w:right="105"/>
              <w:jc w:val="right"/>
            </w:pPr>
            <w:r>
              <w:rPr>
                <w:w w:val="95"/>
              </w:rPr>
              <w:t>88.7%</w:t>
            </w:r>
          </w:p>
        </w:tc>
        <w:tc>
          <w:tcPr>
            <w:tcW w:w="1144" w:type="dxa"/>
          </w:tcPr>
          <w:p w14:paraId="3DC9DCFA" w14:textId="77777777" w:rsidR="0088452B" w:rsidRDefault="004112E2">
            <w:pPr>
              <w:pStyle w:val="TableParagraph"/>
              <w:ind w:right="104"/>
              <w:jc w:val="right"/>
            </w:pPr>
            <w:r>
              <w:rPr>
                <w:w w:val="95"/>
              </w:rPr>
              <w:t>87.6%</w:t>
            </w:r>
          </w:p>
        </w:tc>
        <w:tc>
          <w:tcPr>
            <w:tcW w:w="1142" w:type="dxa"/>
          </w:tcPr>
          <w:p w14:paraId="042F3E29" w14:textId="77777777" w:rsidR="0088452B" w:rsidRDefault="004112E2">
            <w:pPr>
              <w:pStyle w:val="TableParagraph"/>
              <w:ind w:right="105"/>
              <w:jc w:val="right"/>
            </w:pPr>
            <w:r>
              <w:rPr>
                <w:w w:val="95"/>
              </w:rPr>
              <w:t>87.4%</w:t>
            </w:r>
          </w:p>
        </w:tc>
        <w:tc>
          <w:tcPr>
            <w:tcW w:w="1133" w:type="dxa"/>
          </w:tcPr>
          <w:p w14:paraId="23706E7B" w14:textId="77777777" w:rsidR="0088452B" w:rsidRDefault="004112E2">
            <w:pPr>
              <w:pStyle w:val="TableParagraph"/>
              <w:ind w:left="424" w:right="447"/>
              <w:jc w:val="center"/>
            </w:pPr>
            <w:r>
              <w:t>**</w:t>
            </w:r>
          </w:p>
        </w:tc>
        <w:tc>
          <w:tcPr>
            <w:tcW w:w="1132" w:type="dxa"/>
          </w:tcPr>
          <w:p w14:paraId="2B4B3861" w14:textId="77777777" w:rsidR="0088452B" w:rsidRDefault="0088452B"/>
        </w:tc>
      </w:tr>
      <w:tr w:rsidR="0088452B" w14:paraId="59A6C880" w14:textId="77777777">
        <w:trPr>
          <w:trHeight w:hRule="exact" w:val="326"/>
        </w:trPr>
        <w:tc>
          <w:tcPr>
            <w:tcW w:w="1266" w:type="dxa"/>
          </w:tcPr>
          <w:p w14:paraId="527DA70D" w14:textId="77777777" w:rsidR="0088452B" w:rsidRDefault="004112E2">
            <w:pPr>
              <w:pStyle w:val="TableParagraph"/>
              <w:spacing w:before="32"/>
              <w:ind w:left="123"/>
            </w:pPr>
            <w:r>
              <w:t>Round 3</w:t>
            </w:r>
          </w:p>
        </w:tc>
        <w:tc>
          <w:tcPr>
            <w:tcW w:w="956" w:type="dxa"/>
          </w:tcPr>
          <w:p w14:paraId="397E73AB" w14:textId="77777777" w:rsidR="0088452B" w:rsidRDefault="004112E2">
            <w:pPr>
              <w:pStyle w:val="TableParagraph"/>
              <w:spacing w:before="32"/>
              <w:ind w:right="104"/>
              <w:jc w:val="right"/>
            </w:pPr>
            <w:r>
              <w:rPr>
                <w:w w:val="95"/>
              </w:rPr>
              <w:t>93.4%</w:t>
            </w:r>
          </w:p>
        </w:tc>
        <w:tc>
          <w:tcPr>
            <w:tcW w:w="1142" w:type="dxa"/>
          </w:tcPr>
          <w:p w14:paraId="432827B6" w14:textId="77777777" w:rsidR="0088452B" w:rsidRDefault="004112E2">
            <w:pPr>
              <w:pStyle w:val="TableParagraph"/>
              <w:spacing w:before="32"/>
              <w:ind w:right="103"/>
              <w:jc w:val="right"/>
            </w:pPr>
            <w:r>
              <w:rPr>
                <w:w w:val="95"/>
              </w:rPr>
              <w:t>91.3%</w:t>
            </w:r>
          </w:p>
        </w:tc>
        <w:tc>
          <w:tcPr>
            <w:tcW w:w="1141" w:type="dxa"/>
          </w:tcPr>
          <w:p w14:paraId="76883A9E" w14:textId="77777777" w:rsidR="0088452B" w:rsidRDefault="004112E2">
            <w:pPr>
              <w:pStyle w:val="TableParagraph"/>
              <w:spacing w:before="32"/>
              <w:ind w:right="104"/>
              <w:jc w:val="right"/>
            </w:pPr>
            <w:r>
              <w:rPr>
                <w:w w:val="95"/>
              </w:rPr>
              <w:t>92.7%</w:t>
            </w:r>
          </w:p>
        </w:tc>
        <w:tc>
          <w:tcPr>
            <w:tcW w:w="1143" w:type="dxa"/>
          </w:tcPr>
          <w:p w14:paraId="633DC6DE" w14:textId="77777777" w:rsidR="0088452B" w:rsidRDefault="004112E2">
            <w:pPr>
              <w:pStyle w:val="TableParagraph"/>
              <w:spacing w:before="32"/>
              <w:ind w:right="105"/>
              <w:jc w:val="right"/>
            </w:pPr>
            <w:r>
              <w:rPr>
                <w:w w:val="95"/>
              </w:rPr>
              <w:t>91.4%</w:t>
            </w:r>
          </w:p>
        </w:tc>
        <w:tc>
          <w:tcPr>
            <w:tcW w:w="1144" w:type="dxa"/>
          </w:tcPr>
          <w:p w14:paraId="54031C12" w14:textId="77777777" w:rsidR="0088452B" w:rsidRDefault="004112E2">
            <w:pPr>
              <w:pStyle w:val="TableParagraph"/>
              <w:spacing w:before="32"/>
              <w:ind w:right="104"/>
              <w:jc w:val="right"/>
            </w:pPr>
            <w:r>
              <w:rPr>
                <w:w w:val="95"/>
              </w:rPr>
              <w:t>92.4%</w:t>
            </w:r>
          </w:p>
        </w:tc>
        <w:tc>
          <w:tcPr>
            <w:tcW w:w="1142" w:type="dxa"/>
          </w:tcPr>
          <w:p w14:paraId="1658CE2F" w14:textId="77777777" w:rsidR="0088452B" w:rsidRDefault="004112E2">
            <w:pPr>
              <w:pStyle w:val="TableParagraph"/>
              <w:spacing w:before="32"/>
              <w:ind w:right="105"/>
              <w:jc w:val="right"/>
            </w:pPr>
            <w:r>
              <w:rPr>
                <w:w w:val="95"/>
              </w:rPr>
              <w:t>92.1%</w:t>
            </w:r>
          </w:p>
        </w:tc>
        <w:tc>
          <w:tcPr>
            <w:tcW w:w="1133" w:type="dxa"/>
          </w:tcPr>
          <w:p w14:paraId="67EAAD46" w14:textId="77777777" w:rsidR="0088452B" w:rsidRDefault="004112E2">
            <w:pPr>
              <w:pStyle w:val="TableParagraph"/>
              <w:spacing w:before="32"/>
              <w:ind w:right="117"/>
              <w:jc w:val="right"/>
            </w:pPr>
            <w:r>
              <w:rPr>
                <w:w w:val="95"/>
              </w:rPr>
              <w:t>82.1%</w:t>
            </w:r>
          </w:p>
        </w:tc>
        <w:tc>
          <w:tcPr>
            <w:tcW w:w="1132" w:type="dxa"/>
          </w:tcPr>
          <w:p w14:paraId="31064C38" w14:textId="77777777" w:rsidR="0088452B" w:rsidRDefault="0088452B"/>
        </w:tc>
      </w:tr>
      <w:tr w:rsidR="0088452B" w14:paraId="134A07A7" w14:textId="77777777">
        <w:trPr>
          <w:trHeight w:hRule="exact" w:val="326"/>
        </w:trPr>
        <w:tc>
          <w:tcPr>
            <w:tcW w:w="1266" w:type="dxa"/>
          </w:tcPr>
          <w:p w14:paraId="6E66AD44" w14:textId="77777777" w:rsidR="0088452B" w:rsidRDefault="004112E2">
            <w:pPr>
              <w:pStyle w:val="TableParagraph"/>
              <w:spacing w:before="32"/>
              <w:ind w:left="123"/>
            </w:pPr>
            <w:r>
              <w:t>Round 4</w:t>
            </w:r>
          </w:p>
        </w:tc>
        <w:tc>
          <w:tcPr>
            <w:tcW w:w="956" w:type="dxa"/>
          </w:tcPr>
          <w:p w14:paraId="7411F094" w14:textId="77777777" w:rsidR="0088452B" w:rsidRDefault="004112E2">
            <w:pPr>
              <w:pStyle w:val="TableParagraph"/>
              <w:spacing w:before="32"/>
              <w:ind w:right="104"/>
              <w:jc w:val="right"/>
            </w:pPr>
            <w:r>
              <w:rPr>
                <w:w w:val="95"/>
              </w:rPr>
              <w:t>94.5%</w:t>
            </w:r>
          </w:p>
        </w:tc>
        <w:tc>
          <w:tcPr>
            <w:tcW w:w="1142" w:type="dxa"/>
          </w:tcPr>
          <w:p w14:paraId="6F4746BD" w14:textId="77777777" w:rsidR="0088452B" w:rsidRDefault="004112E2">
            <w:pPr>
              <w:pStyle w:val="TableParagraph"/>
              <w:spacing w:before="32"/>
              <w:ind w:right="103"/>
              <w:jc w:val="right"/>
            </w:pPr>
            <w:r>
              <w:rPr>
                <w:w w:val="95"/>
              </w:rPr>
              <w:t>93.9%</w:t>
            </w:r>
          </w:p>
        </w:tc>
        <w:tc>
          <w:tcPr>
            <w:tcW w:w="1141" w:type="dxa"/>
          </w:tcPr>
          <w:p w14:paraId="1C71ACEF" w14:textId="77777777" w:rsidR="0088452B" w:rsidRDefault="004112E2">
            <w:pPr>
              <w:pStyle w:val="TableParagraph"/>
              <w:spacing w:before="32"/>
              <w:ind w:right="104"/>
              <w:jc w:val="right"/>
            </w:pPr>
            <w:r>
              <w:rPr>
                <w:w w:val="95"/>
              </w:rPr>
              <w:t>93.3%</w:t>
            </w:r>
          </w:p>
        </w:tc>
        <w:tc>
          <w:tcPr>
            <w:tcW w:w="1143" w:type="dxa"/>
          </w:tcPr>
          <w:p w14:paraId="5004126F" w14:textId="77777777" w:rsidR="0088452B" w:rsidRDefault="004112E2">
            <w:pPr>
              <w:pStyle w:val="TableParagraph"/>
              <w:spacing w:before="32"/>
              <w:ind w:right="105"/>
              <w:jc w:val="right"/>
            </w:pPr>
            <w:r>
              <w:rPr>
                <w:w w:val="95"/>
              </w:rPr>
              <w:t>91.9%</w:t>
            </w:r>
          </w:p>
        </w:tc>
        <w:tc>
          <w:tcPr>
            <w:tcW w:w="1144" w:type="dxa"/>
          </w:tcPr>
          <w:p w14:paraId="4743FC59" w14:textId="77777777" w:rsidR="0088452B" w:rsidRDefault="004112E2">
            <w:pPr>
              <w:pStyle w:val="TableParagraph"/>
              <w:spacing w:before="32"/>
              <w:ind w:right="104"/>
              <w:jc w:val="right"/>
            </w:pPr>
            <w:r>
              <w:rPr>
                <w:w w:val="95"/>
              </w:rPr>
              <w:t>92.3%</w:t>
            </w:r>
          </w:p>
        </w:tc>
        <w:tc>
          <w:tcPr>
            <w:tcW w:w="1142" w:type="dxa"/>
          </w:tcPr>
          <w:p w14:paraId="1634BBE0" w14:textId="77777777" w:rsidR="0088452B" w:rsidRDefault="004112E2">
            <w:pPr>
              <w:pStyle w:val="TableParagraph"/>
              <w:spacing w:before="32"/>
              <w:ind w:right="105"/>
              <w:jc w:val="right"/>
            </w:pPr>
            <w:r>
              <w:rPr>
                <w:w w:val="95"/>
              </w:rPr>
              <w:t>78.5%</w:t>
            </w:r>
          </w:p>
        </w:tc>
        <w:tc>
          <w:tcPr>
            <w:tcW w:w="1133" w:type="dxa"/>
          </w:tcPr>
          <w:p w14:paraId="0018362E" w14:textId="77777777" w:rsidR="0088452B" w:rsidRDefault="004112E2">
            <w:pPr>
              <w:pStyle w:val="TableParagraph"/>
              <w:spacing w:before="32"/>
              <w:ind w:right="117"/>
              <w:jc w:val="right"/>
            </w:pPr>
            <w:r>
              <w:rPr>
                <w:w w:val="95"/>
              </w:rPr>
              <w:t>84.1%</w:t>
            </w:r>
          </w:p>
        </w:tc>
        <w:tc>
          <w:tcPr>
            <w:tcW w:w="1132" w:type="dxa"/>
          </w:tcPr>
          <w:p w14:paraId="3BE31FDC" w14:textId="77777777" w:rsidR="0088452B" w:rsidRDefault="0088452B"/>
        </w:tc>
      </w:tr>
      <w:tr w:rsidR="0088452B" w14:paraId="1A17543B" w14:textId="77777777">
        <w:trPr>
          <w:trHeight w:hRule="exact" w:val="326"/>
        </w:trPr>
        <w:tc>
          <w:tcPr>
            <w:tcW w:w="1266" w:type="dxa"/>
          </w:tcPr>
          <w:p w14:paraId="1A1452C9" w14:textId="77777777" w:rsidR="0088452B" w:rsidRDefault="004112E2">
            <w:pPr>
              <w:pStyle w:val="TableParagraph"/>
              <w:spacing w:before="32"/>
              <w:ind w:left="123"/>
            </w:pPr>
            <w:r>
              <w:t>Round 5</w:t>
            </w:r>
          </w:p>
        </w:tc>
        <w:tc>
          <w:tcPr>
            <w:tcW w:w="956" w:type="dxa"/>
          </w:tcPr>
          <w:p w14:paraId="18B89694" w14:textId="77777777" w:rsidR="0088452B" w:rsidRDefault="004112E2">
            <w:pPr>
              <w:pStyle w:val="TableParagraph"/>
              <w:spacing w:before="32"/>
              <w:ind w:right="104"/>
              <w:jc w:val="right"/>
            </w:pPr>
            <w:r>
              <w:rPr>
                <w:w w:val="95"/>
              </w:rPr>
              <w:t>96.3%</w:t>
            </w:r>
          </w:p>
        </w:tc>
        <w:tc>
          <w:tcPr>
            <w:tcW w:w="1142" w:type="dxa"/>
          </w:tcPr>
          <w:p w14:paraId="7C757006" w14:textId="77777777" w:rsidR="0088452B" w:rsidRDefault="004112E2">
            <w:pPr>
              <w:pStyle w:val="TableParagraph"/>
              <w:spacing w:before="32"/>
              <w:ind w:right="103"/>
              <w:jc w:val="right"/>
            </w:pPr>
            <w:r>
              <w:rPr>
                <w:w w:val="95"/>
              </w:rPr>
              <w:t>95.3%</w:t>
            </w:r>
          </w:p>
        </w:tc>
        <w:tc>
          <w:tcPr>
            <w:tcW w:w="1141" w:type="dxa"/>
          </w:tcPr>
          <w:p w14:paraId="4057823A" w14:textId="77777777" w:rsidR="0088452B" w:rsidRDefault="004112E2">
            <w:pPr>
              <w:pStyle w:val="TableParagraph"/>
              <w:spacing w:before="32"/>
              <w:ind w:right="104"/>
              <w:jc w:val="right"/>
            </w:pPr>
            <w:r>
              <w:rPr>
                <w:w w:val="95"/>
              </w:rPr>
              <w:t>94.8%</w:t>
            </w:r>
          </w:p>
        </w:tc>
        <w:tc>
          <w:tcPr>
            <w:tcW w:w="1143" w:type="dxa"/>
          </w:tcPr>
          <w:p w14:paraId="782BC235" w14:textId="77777777" w:rsidR="0088452B" w:rsidRDefault="004112E2">
            <w:pPr>
              <w:pStyle w:val="TableParagraph"/>
              <w:spacing w:before="32"/>
              <w:ind w:right="105"/>
              <w:jc w:val="right"/>
            </w:pPr>
            <w:r>
              <w:rPr>
                <w:w w:val="95"/>
              </w:rPr>
              <w:t>94.0%</w:t>
            </w:r>
          </w:p>
        </w:tc>
        <w:tc>
          <w:tcPr>
            <w:tcW w:w="1144" w:type="dxa"/>
          </w:tcPr>
          <w:p w14:paraId="41C674F9" w14:textId="77777777" w:rsidR="0088452B" w:rsidRDefault="004112E2">
            <w:pPr>
              <w:pStyle w:val="TableParagraph"/>
              <w:spacing w:before="32"/>
              <w:ind w:right="104"/>
              <w:jc w:val="right"/>
            </w:pPr>
            <w:r>
              <w:rPr>
                <w:w w:val="95"/>
              </w:rPr>
              <w:t>94.3%</w:t>
            </w:r>
          </w:p>
        </w:tc>
        <w:tc>
          <w:tcPr>
            <w:tcW w:w="1142" w:type="dxa"/>
          </w:tcPr>
          <w:p w14:paraId="758248E6" w14:textId="77777777" w:rsidR="0088452B" w:rsidRDefault="004112E2">
            <w:pPr>
              <w:pStyle w:val="TableParagraph"/>
              <w:spacing w:before="32"/>
              <w:ind w:left="444" w:right="436"/>
              <w:jc w:val="center"/>
            </w:pPr>
            <w:r>
              <w:t>**</w:t>
            </w:r>
          </w:p>
        </w:tc>
        <w:tc>
          <w:tcPr>
            <w:tcW w:w="1133" w:type="dxa"/>
          </w:tcPr>
          <w:p w14:paraId="22339498" w14:textId="77777777" w:rsidR="0088452B" w:rsidRDefault="0088452B"/>
        </w:tc>
        <w:tc>
          <w:tcPr>
            <w:tcW w:w="1132" w:type="dxa"/>
          </w:tcPr>
          <w:p w14:paraId="2FD85A92" w14:textId="77777777" w:rsidR="0088452B" w:rsidRDefault="0088452B"/>
        </w:tc>
      </w:tr>
      <w:tr w:rsidR="0088452B" w14:paraId="6ED3FA78" w14:textId="77777777">
        <w:trPr>
          <w:trHeight w:hRule="exact" w:val="327"/>
        </w:trPr>
        <w:tc>
          <w:tcPr>
            <w:tcW w:w="1266" w:type="dxa"/>
          </w:tcPr>
          <w:p w14:paraId="0C070FF6" w14:textId="77777777" w:rsidR="0088452B" w:rsidRDefault="004112E2">
            <w:pPr>
              <w:pStyle w:val="TableParagraph"/>
              <w:spacing w:before="32"/>
              <w:ind w:left="123"/>
            </w:pPr>
            <w:r>
              <w:t>Round 6</w:t>
            </w:r>
          </w:p>
        </w:tc>
        <w:tc>
          <w:tcPr>
            <w:tcW w:w="956" w:type="dxa"/>
          </w:tcPr>
          <w:p w14:paraId="05FC1082" w14:textId="77777777" w:rsidR="0088452B" w:rsidRDefault="004112E2">
            <w:pPr>
              <w:pStyle w:val="TableParagraph"/>
              <w:spacing w:before="32"/>
              <w:ind w:right="104"/>
              <w:jc w:val="right"/>
            </w:pPr>
            <w:r>
              <w:rPr>
                <w:w w:val="95"/>
              </w:rPr>
              <w:t>96.7%</w:t>
            </w:r>
          </w:p>
        </w:tc>
        <w:tc>
          <w:tcPr>
            <w:tcW w:w="1142" w:type="dxa"/>
          </w:tcPr>
          <w:p w14:paraId="32121149" w14:textId="77777777" w:rsidR="0088452B" w:rsidRDefault="004112E2">
            <w:pPr>
              <w:pStyle w:val="TableParagraph"/>
              <w:spacing w:before="32"/>
              <w:ind w:right="103"/>
              <w:jc w:val="right"/>
            </w:pPr>
            <w:r>
              <w:rPr>
                <w:w w:val="95"/>
              </w:rPr>
              <w:t>96.3%</w:t>
            </w:r>
          </w:p>
        </w:tc>
        <w:tc>
          <w:tcPr>
            <w:tcW w:w="1141" w:type="dxa"/>
          </w:tcPr>
          <w:p w14:paraId="7A2DF0FD" w14:textId="77777777" w:rsidR="0088452B" w:rsidRDefault="004112E2">
            <w:pPr>
              <w:pStyle w:val="TableParagraph"/>
              <w:spacing w:before="32"/>
              <w:ind w:right="104"/>
              <w:jc w:val="right"/>
            </w:pPr>
            <w:r>
              <w:rPr>
                <w:w w:val="95"/>
              </w:rPr>
              <w:t>94.7%</w:t>
            </w:r>
          </w:p>
        </w:tc>
        <w:tc>
          <w:tcPr>
            <w:tcW w:w="1143" w:type="dxa"/>
          </w:tcPr>
          <w:p w14:paraId="4F830116" w14:textId="77777777" w:rsidR="0088452B" w:rsidRDefault="004112E2">
            <w:pPr>
              <w:pStyle w:val="TableParagraph"/>
              <w:spacing w:before="32"/>
              <w:ind w:right="105"/>
              <w:jc w:val="right"/>
            </w:pPr>
            <w:r>
              <w:rPr>
                <w:w w:val="95"/>
              </w:rPr>
              <w:t>95.4%</w:t>
            </w:r>
          </w:p>
        </w:tc>
        <w:tc>
          <w:tcPr>
            <w:tcW w:w="1144" w:type="dxa"/>
          </w:tcPr>
          <w:p w14:paraId="6FCD8779" w14:textId="77777777" w:rsidR="0088452B" w:rsidRDefault="004112E2">
            <w:pPr>
              <w:pStyle w:val="TableParagraph"/>
              <w:spacing w:before="32"/>
              <w:ind w:right="104"/>
              <w:jc w:val="right"/>
            </w:pPr>
            <w:r>
              <w:rPr>
                <w:w w:val="95"/>
              </w:rPr>
              <w:t>94.3%</w:t>
            </w:r>
          </w:p>
        </w:tc>
        <w:tc>
          <w:tcPr>
            <w:tcW w:w="1142" w:type="dxa"/>
          </w:tcPr>
          <w:p w14:paraId="3AD32F08" w14:textId="77777777" w:rsidR="0088452B" w:rsidRDefault="004112E2">
            <w:pPr>
              <w:pStyle w:val="TableParagraph"/>
              <w:spacing w:before="32"/>
              <w:ind w:right="105"/>
              <w:jc w:val="right"/>
            </w:pPr>
            <w:r>
              <w:rPr>
                <w:w w:val="95"/>
              </w:rPr>
              <w:t>86.9%</w:t>
            </w:r>
          </w:p>
        </w:tc>
        <w:tc>
          <w:tcPr>
            <w:tcW w:w="1133" w:type="dxa"/>
          </w:tcPr>
          <w:p w14:paraId="52C02C55" w14:textId="77777777" w:rsidR="0088452B" w:rsidRDefault="0088452B"/>
        </w:tc>
        <w:tc>
          <w:tcPr>
            <w:tcW w:w="1132" w:type="dxa"/>
          </w:tcPr>
          <w:p w14:paraId="31719E55" w14:textId="77777777" w:rsidR="0088452B" w:rsidRDefault="0088452B"/>
        </w:tc>
      </w:tr>
      <w:tr w:rsidR="0088452B" w14:paraId="07B42C20" w14:textId="77777777">
        <w:trPr>
          <w:trHeight w:hRule="exact" w:val="327"/>
        </w:trPr>
        <w:tc>
          <w:tcPr>
            <w:tcW w:w="1266" w:type="dxa"/>
          </w:tcPr>
          <w:p w14:paraId="553CB465" w14:textId="77777777" w:rsidR="0088452B" w:rsidRDefault="004112E2">
            <w:pPr>
              <w:pStyle w:val="TableParagraph"/>
              <w:spacing w:before="32"/>
              <w:ind w:left="123"/>
            </w:pPr>
            <w:r>
              <w:t>Round 7</w:t>
            </w:r>
          </w:p>
        </w:tc>
        <w:tc>
          <w:tcPr>
            <w:tcW w:w="956" w:type="dxa"/>
          </w:tcPr>
          <w:p w14:paraId="14E168A0" w14:textId="77777777" w:rsidR="0088452B" w:rsidRDefault="004112E2">
            <w:pPr>
              <w:pStyle w:val="TableParagraph"/>
              <w:spacing w:before="32"/>
              <w:ind w:right="104"/>
              <w:jc w:val="right"/>
            </w:pPr>
            <w:r>
              <w:rPr>
                <w:w w:val="95"/>
              </w:rPr>
              <w:t>96.8%</w:t>
            </w:r>
          </w:p>
        </w:tc>
        <w:tc>
          <w:tcPr>
            <w:tcW w:w="1142" w:type="dxa"/>
          </w:tcPr>
          <w:p w14:paraId="2677851D" w14:textId="77777777" w:rsidR="0088452B" w:rsidRDefault="004112E2">
            <w:pPr>
              <w:pStyle w:val="TableParagraph"/>
              <w:spacing w:before="32"/>
              <w:ind w:right="103"/>
              <w:jc w:val="right"/>
            </w:pPr>
            <w:r>
              <w:rPr>
                <w:w w:val="95"/>
              </w:rPr>
              <w:t>96.0%</w:t>
            </w:r>
          </w:p>
        </w:tc>
        <w:tc>
          <w:tcPr>
            <w:tcW w:w="1141" w:type="dxa"/>
          </w:tcPr>
          <w:p w14:paraId="523A6BD9" w14:textId="77777777" w:rsidR="0088452B" w:rsidRDefault="004112E2">
            <w:pPr>
              <w:pStyle w:val="TableParagraph"/>
              <w:spacing w:before="32"/>
              <w:ind w:right="104"/>
              <w:jc w:val="right"/>
            </w:pPr>
            <w:r>
              <w:rPr>
                <w:w w:val="95"/>
              </w:rPr>
              <w:t>94.2%</w:t>
            </w:r>
          </w:p>
        </w:tc>
        <w:tc>
          <w:tcPr>
            <w:tcW w:w="1143" w:type="dxa"/>
          </w:tcPr>
          <w:p w14:paraId="26483428" w14:textId="77777777" w:rsidR="0088452B" w:rsidRDefault="004112E2">
            <w:pPr>
              <w:pStyle w:val="TableParagraph"/>
              <w:spacing w:before="32"/>
              <w:ind w:right="105"/>
              <w:jc w:val="right"/>
            </w:pPr>
            <w:r>
              <w:rPr>
                <w:w w:val="95"/>
              </w:rPr>
              <w:t>94.8%</w:t>
            </w:r>
          </w:p>
        </w:tc>
        <w:tc>
          <w:tcPr>
            <w:tcW w:w="1144" w:type="dxa"/>
          </w:tcPr>
          <w:p w14:paraId="3B05B195" w14:textId="77777777" w:rsidR="0088452B" w:rsidRDefault="004112E2">
            <w:pPr>
              <w:pStyle w:val="TableParagraph"/>
              <w:spacing w:before="32"/>
              <w:ind w:right="104"/>
              <w:jc w:val="right"/>
            </w:pPr>
            <w:r>
              <w:rPr>
                <w:w w:val="95"/>
              </w:rPr>
              <w:t>80.7%</w:t>
            </w:r>
          </w:p>
        </w:tc>
        <w:tc>
          <w:tcPr>
            <w:tcW w:w="1142" w:type="dxa"/>
          </w:tcPr>
          <w:p w14:paraId="647A6CCE" w14:textId="77777777" w:rsidR="0088452B" w:rsidRDefault="004112E2">
            <w:pPr>
              <w:pStyle w:val="TableParagraph"/>
              <w:spacing w:before="32"/>
              <w:ind w:right="105"/>
              <w:jc w:val="right"/>
            </w:pPr>
            <w:r>
              <w:rPr>
                <w:w w:val="95"/>
              </w:rPr>
              <w:t>87.6%</w:t>
            </w:r>
          </w:p>
        </w:tc>
        <w:tc>
          <w:tcPr>
            <w:tcW w:w="1133" w:type="dxa"/>
          </w:tcPr>
          <w:p w14:paraId="47AD0635" w14:textId="77777777" w:rsidR="0088452B" w:rsidRDefault="0088452B"/>
        </w:tc>
        <w:tc>
          <w:tcPr>
            <w:tcW w:w="1132" w:type="dxa"/>
          </w:tcPr>
          <w:p w14:paraId="53D40442" w14:textId="77777777" w:rsidR="0088452B" w:rsidRDefault="0088452B"/>
        </w:tc>
      </w:tr>
      <w:tr w:rsidR="0088452B" w14:paraId="68AEB017" w14:textId="77777777">
        <w:trPr>
          <w:trHeight w:hRule="exact" w:val="326"/>
        </w:trPr>
        <w:tc>
          <w:tcPr>
            <w:tcW w:w="1266" w:type="dxa"/>
          </w:tcPr>
          <w:p w14:paraId="260D7A6E" w14:textId="77777777" w:rsidR="0088452B" w:rsidRDefault="004112E2">
            <w:pPr>
              <w:pStyle w:val="TableParagraph"/>
              <w:spacing w:before="32"/>
              <w:ind w:left="123"/>
            </w:pPr>
            <w:r>
              <w:t>Round 8</w:t>
            </w:r>
          </w:p>
        </w:tc>
        <w:tc>
          <w:tcPr>
            <w:tcW w:w="956" w:type="dxa"/>
          </w:tcPr>
          <w:p w14:paraId="6E1E8747" w14:textId="77777777" w:rsidR="0088452B" w:rsidRDefault="004112E2">
            <w:pPr>
              <w:pStyle w:val="TableParagraph"/>
              <w:spacing w:before="32"/>
              <w:ind w:right="104"/>
              <w:jc w:val="right"/>
            </w:pPr>
            <w:r>
              <w:rPr>
                <w:w w:val="95"/>
              </w:rPr>
              <w:t>97.1%</w:t>
            </w:r>
          </w:p>
        </w:tc>
        <w:tc>
          <w:tcPr>
            <w:tcW w:w="1142" w:type="dxa"/>
          </w:tcPr>
          <w:p w14:paraId="2438AD46" w14:textId="77777777" w:rsidR="0088452B" w:rsidRDefault="004112E2">
            <w:pPr>
              <w:pStyle w:val="TableParagraph"/>
              <w:spacing w:before="32"/>
              <w:ind w:right="103"/>
              <w:jc w:val="right"/>
            </w:pPr>
            <w:r>
              <w:rPr>
                <w:w w:val="95"/>
              </w:rPr>
              <w:t>96.8%</w:t>
            </w:r>
          </w:p>
        </w:tc>
        <w:tc>
          <w:tcPr>
            <w:tcW w:w="1141" w:type="dxa"/>
          </w:tcPr>
          <w:p w14:paraId="2D5C2149" w14:textId="77777777" w:rsidR="0088452B" w:rsidRDefault="004112E2">
            <w:pPr>
              <w:pStyle w:val="TableParagraph"/>
              <w:spacing w:before="32"/>
              <w:ind w:right="104"/>
              <w:jc w:val="right"/>
            </w:pPr>
            <w:r>
              <w:rPr>
                <w:w w:val="95"/>
              </w:rPr>
              <w:t>96.2%</w:t>
            </w:r>
          </w:p>
        </w:tc>
        <w:tc>
          <w:tcPr>
            <w:tcW w:w="1143" w:type="dxa"/>
          </w:tcPr>
          <w:p w14:paraId="4275B29B" w14:textId="77777777" w:rsidR="0088452B" w:rsidRDefault="004112E2">
            <w:pPr>
              <w:pStyle w:val="TableParagraph"/>
              <w:spacing w:before="32"/>
              <w:ind w:right="105"/>
              <w:jc w:val="right"/>
            </w:pPr>
            <w:r>
              <w:rPr>
                <w:w w:val="95"/>
              </w:rPr>
              <w:t>96.2%</w:t>
            </w:r>
          </w:p>
        </w:tc>
        <w:tc>
          <w:tcPr>
            <w:tcW w:w="1144" w:type="dxa"/>
          </w:tcPr>
          <w:p w14:paraId="3851A9EB" w14:textId="77777777" w:rsidR="0088452B" w:rsidRDefault="004112E2">
            <w:pPr>
              <w:pStyle w:val="TableParagraph"/>
              <w:spacing w:before="32"/>
              <w:ind w:left="446" w:right="435"/>
              <w:jc w:val="center"/>
            </w:pPr>
            <w:r>
              <w:t>**</w:t>
            </w:r>
          </w:p>
        </w:tc>
        <w:tc>
          <w:tcPr>
            <w:tcW w:w="1142" w:type="dxa"/>
          </w:tcPr>
          <w:p w14:paraId="2FF06C65" w14:textId="77777777" w:rsidR="0088452B" w:rsidRDefault="0088452B"/>
        </w:tc>
        <w:tc>
          <w:tcPr>
            <w:tcW w:w="1133" w:type="dxa"/>
          </w:tcPr>
          <w:p w14:paraId="357B383B" w14:textId="77777777" w:rsidR="0088452B" w:rsidRDefault="0088452B"/>
        </w:tc>
        <w:tc>
          <w:tcPr>
            <w:tcW w:w="1132" w:type="dxa"/>
          </w:tcPr>
          <w:p w14:paraId="53290B98" w14:textId="77777777" w:rsidR="0088452B" w:rsidRDefault="0088452B"/>
        </w:tc>
      </w:tr>
      <w:tr w:rsidR="0088452B" w14:paraId="1505A0D8" w14:textId="77777777">
        <w:trPr>
          <w:trHeight w:hRule="exact" w:val="335"/>
        </w:trPr>
        <w:tc>
          <w:tcPr>
            <w:tcW w:w="1266" w:type="dxa"/>
          </w:tcPr>
          <w:p w14:paraId="10A65573" w14:textId="77777777" w:rsidR="0088452B" w:rsidRDefault="004112E2">
            <w:pPr>
              <w:pStyle w:val="TableParagraph"/>
              <w:spacing w:before="45"/>
              <w:ind w:left="123"/>
            </w:pPr>
            <w:r>
              <w:t>Round 9</w:t>
            </w:r>
          </w:p>
        </w:tc>
        <w:tc>
          <w:tcPr>
            <w:tcW w:w="956" w:type="dxa"/>
          </w:tcPr>
          <w:p w14:paraId="5828D040" w14:textId="77777777" w:rsidR="0088452B" w:rsidRDefault="004112E2">
            <w:pPr>
              <w:pStyle w:val="TableParagraph"/>
              <w:spacing w:before="32"/>
              <w:ind w:right="104"/>
              <w:jc w:val="right"/>
            </w:pPr>
            <w:r>
              <w:rPr>
                <w:w w:val="95"/>
              </w:rPr>
              <w:t>97.4%</w:t>
            </w:r>
          </w:p>
        </w:tc>
        <w:tc>
          <w:tcPr>
            <w:tcW w:w="1142" w:type="dxa"/>
          </w:tcPr>
          <w:p w14:paraId="30CA1F49" w14:textId="77777777" w:rsidR="0088452B" w:rsidRDefault="004112E2">
            <w:pPr>
              <w:pStyle w:val="TableParagraph"/>
              <w:spacing w:before="32"/>
              <w:ind w:right="103"/>
              <w:jc w:val="right"/>
            </w:pPr>
            <w:r>
              <w:rPr>
                <w:w w:val="95"/>
              </w:rPr>
              <w:t>96.4%</w:t>
            </w:r>
          </w:p>
        </w:tc>
        <w:tc>
          <w:tcPr>
            <w:tcW w:w="1141" w:type="dxa"/>
          </w:tcPr>
          <w:p w14:paraId="551F0CE8" w14:textId="77777777" w:rsidR="0088452B" w:rsidRDefault="004112E2">
            <w:pPr>
              <w:pStyle w:val="TableParagraph"/>
              <w:spacing w:before="32"/>
              <w:ind w:right="104"/>
              <w:jc w:val="right"/>
            </w:pPr>
            <w:r>
              <w:rPr>
                <w:w w:val="95"/>
              </w:rPr>
              <w:t>96.8%</w:t>
            </w:r>
          </w:p>
        </w:tc>
        <w:tc>
          <w:tcPr>
            <w:tcW w:w="1143" w:type="dxa"/>
          </w:tcPr>
          <w:p w14:paraId="233F14DF" w14:textId="77777777" w:rsidR="0088452B" w:rsidRDefault="004112E2">
            <w:pPr>
              <w:pStyle w:val="TableParagraph"/>
              <w:spacing w:before="32"/>
              <w:ind w:right="105"/>
              <w:jc w:val="right"/>
            </w:pPr>
            <w:r>
              <w:rPr>
                <w:w w:val="95"/>
              </w:rPr>
              <w:t>96.3%</w:t>
            </w:r>
          </w:p>
        </w:tc>
        <w:tc>
          <w:tcPr>
            <w:tcW w:w="1144" w:type="dxa"/>
          </w:tcPr>
          <w:p w14:paraId="46107AC4" w14:textId="77777777" w:rsidR="0088452B" w:rsidRDefault="004112E2">
            <w:pPr>
              <w:pStyle w:val="TableParagraph"/>
              <w:spacing w:before="32"/>
              <w:ind w:right="104"/>
              <w:jc w:val="right"/>
            </w:pPr>
            <w:r>
              <w:rPr>
                <w:w w:val="95"/>
              </w:rPr>
              <w:t>89.8%</w:t>
            </w:r>
          </w:p>
        </w:tc>
        <w:tc>
          <w:tcPr>
            <w:tcW w:w="1142" w:type="dxa"/>
          </w:tcPr>
          <w:p w14:paraId="01427D2F" w14:textId="77777777" w:rsidR="0088452B" w:rsidRDefault="0088452B"/>
        </w:tc>
        <w:tc>
          <w:tcPr>
            <w:tcW w:w="1133" w:type="dxa"/>
          </w:tcPr>
          <w:p w14:paraId="6EC92E97" w14:textId="77777777" w:rsidR="0088452B" w:rsidRDefault="0088452B"/>
        </w:tc>
        <w:tc>
          <w:tcPr>
            <w:tcW w:w="1132" w:type="dxa"/>
          </w:tcPr>
          <w:p w14:paraId="370D51BD" w14:textId="77777777" w:rsidR="0088452B" w:rsidRDefault="0088452B"/>
        </w:tc>
      </w:tr>
      <w:tr w:rsidR="0088452B" w14:paraId="75982323" w14:textId="77777777">
        <w:trPr>
          <w:trHeight w:hRule="exact" w:val="322"/>
        </w:trPr>
        <w:tc>
          <w:tcPr>
            <w:tcW w:w="1266" w:type="dxa"/>
          </w:tcPr>
          <w:p w14:paraId="13F84880" w14:textId="77777777" w:rsidR="0088452B" w:rsidRDefault="004112E2">
            <w:pPr>
              <w:pStyle w:val="TableParagraph"/>
              <w:ind w:left="123"/>
            </w:pPr>
            <w:r>
              <w:t>Round 10</w:t>
            </w:r>
          </w:p>
        </w:tc>
        <w:tc>
          <w:tcPr>
            <w:tcW w:w="956" w:type="dxa"/>
          </w:tcPr>
          <w:p w14:paraId="37021BA9" w14:textId="77777777" w:rsidR="0088452B" w:rsidRDefault="004112E2">
            <w:pPr>
              <w:pStyle w:val="TableParagraph"/>
              <w:ind w:right="104"/>
              <w:jc w:val="right"/>
            </w:pPr>
            <w:r>
              <w:rPr>
                <w:w w:val="95"/>
              </w:rPr>
              <w:t>98.0%</w:t>
            </w:r>
          </w:p>
        </w:tc>
        <w:tc>
          <w:tcPr>
            <w:tcW w:w="1142" w:type="dxa"/>
          </w:tcPr>
          <w:p w14:paraId="66EBEEF8" w14:textId="77777777" w:rsidR="0088452B" w:rsidRDefault="004112E2">
            <w:pPr>
              <w:pStyle w:val="TableParagraph"/>
              <w:ind w:right="103"/>
              <w:jc w:val="right"/>
            </w:pPr>
            <w:r>
              <w:rPr>
                <w:w w:val="95"/>
              </w:rPr>
              <w:t>96.5%</w:t>
            </w:r>
          </w:p>
        </w:tc>
        <w:tc>
          <w:tcPr>
            <w:tcW w:w="1141" w:type="dxa"/>
          </w:tcPr>
          <w:p w14:paraId="043B925D" w14:textId="77777777" w:rsidR="0088452B" w:rsidRDefault="004112E2">
            <w:pPr>
              <w:pStyle w:val="TableParagraph"/>
              <w:ind w:right="104"/>
              <w:jc w:val="right"/>
            </w:pPr>
            <w:r>
              <w:rPr>
                <w:w w:val="95"/>
              </w:rPr>
              <w:t>97.1%</w:t>
            </w:r>
          </w:p>
        </w:tc>
        <w:tc>
          <w:tcPr>
            <w:tcW w:w="1143" w:type="dxa"/>
          </w:tcPr>
          <w:p w14:paraId="7C6AAD55" w14:textId="77777777" w:rsidR="0088452B" w:rsidRDefault="004112E2">
            <w:pPr>
              <w:pStyle w:val="TableParagraph"/>
              <w:ind w:right="105"/>
              <w:jc w:val="right"/>
            </w:pPr>
            <w:r>
              <w:rPr>
                <w:w w:val="95"/>
              </w:rPr>
              <w:t>86.2%</w:t>
            </w:r>
          </w:p>
        </w:tc>
        <w:tc>
          <w:tcPr>
            <w:tcW w:w="1144" w:type="dxa"/>
          </w:tcPr>
          <w:p w14:paraId="238894E2" w14:textId="77777777" w:rsidR="0088452B" w:rsidRDefault="004112E2">
            <w:pPr>
              <w:pStyle w:val="TableParagraph"/>
              <w:ind w:right="104"/>
              <w:jc w:val="right"/>
            </w:pPr>
            <w:r>
              <w:rPr>
                <w:w w:val="95"/>
              </w:rPr>
              <w:t>90.1%</w:t>
            </w:r>
          </w:p>
        </w:tc>
        <w:tc>
          <w:tcPr>
            <w:tcW w:w="1142" w:type="dxa"/>
          </w:tcPr>
          <w:p w14:paraId="49C47772" w14:textId="77777777" w:rsidR="0088452B" w:rsidRDefault="0088452B"/>
        </w:tc>
        <w:tc>
          <w:tcPr>
            <w:tcW w:w="1133" w:type="dxa"/>
          </w:tcPr>
          <w:p w14:paraId="112725FC" w14:textId="77777777" w:rsidR="0088452B" w:rsidRDefault="0088452B"/>
        </w:tc>
        <w:tc>
          <w:tcPr>
            <w:tcW w:w="1132" w:type="dxa"/>
          </w:tcPr>
          <w:p w14:paraId="25E8F8A9" w14:textId="77777777" w:rsidR="0088452B" w:rsidRDefault="0088452B"/>
        </w:tc>
      </w:tr>
      <w:tr w:rsidR="0088452B" w14:paraId="6A162C3A" w14:textId="77777777">
        <w:trPr>
          <w:trHeight w:hRule="exact" w:val="326"/>
        </w:trPr>
        <w:tc>
          <w:tcPr>
            <w:tcW w:w="1266" w:type="dxa"/>
          </w:tcPr>
          <w:p w14:paraId="6888FB4F" w14:textId="77777777" w:rsidR="0088452B" w:rsidRDefault="004112E2">
            <w:pPr>
              <w:pStyle w:val="TableParagraph"/>
              <w:spacing w:before="32"/>
              <w:ind w:left="123"/>
            </w:pPr>
            <w:r>
              <w:t>Round 11</w:t>
            </w:r>
          </w:p>
        </w:tc>
        <w:tc>
          <w:tcPr>
            <w:tcW w:w="956" w:type="dxa"/>
          </w:tcPr>
          <w:p w14:paraId="6A1E00CE" w14:textId="77777777" w:rsidR="0088452B" w:rsidRDefault="004112E2">
            <w:pPr>
              <w:pStyle w:val="TableParagraph"/>
              <w:spacing w:before="32"/>
              <w:ind w:right="104"/>
              <w:jc w:val="right"/>
            </w:pPr>
            <w:r>
              <w:rPr>
                <w:w w:val="95"/>
              </w:rPr>
              <w:t>98.8%</w:t>
            </w:r>
          </w:p>
        </w:tc>
        <w:tc>
          <w:tcPr>
            <w:tcW w:w="1142" w:type="dxa"/>
          </w:tcPr>
          <w:p w14:paraId="1C11C963" w14:textId="77777777" w:rsidR="0088452B" w:rsidRDefault="004112E2">
            <w:pPr>
              <w:pStyle w:val="TableParagraph"/>
              <w:spacing w:before="32"/>
              <w:ind w:right="103"/>
              <w:jc w:val="right"/>
            </w:pPr>
            <w:r>
              <w:rPr>
                <w:w w:val="95"/>
              </w:rPr>
              <w:t>99.1%</w:t>
            </w:r>
          </w:p>
        </w:tc>
        <w:tc>
          <w:tcPr>
            <w:tcW w:w="1141" w:type="dxa"/>
          </w:tcPr>
          <w:p w14:paraId="716799AD" w14:textId="77777777" w:rsidR="0088452B" w:rsidRDefault="004112E2">
            <w:pPr>
              <w:pStyle w:val="TableParagraph"/>
              <w:spacing w:before="32"/>
              <w:ind w:right="104"/>
              <w:jc w:val="right"/>
            </w:pPr>
            <w:r>
              <w:rPr>
                <w:w w:val="95"/>
              </w:rPr>
              <w:t>98.8%</w:t>
            </w:r>
          </w:p>
        </w:tc>
        <w:tc>
          <w:tcPr>
            <w:tcW w:w="1143" w:type="dxa"/>
          </w:tcPr>
          <w:p w14:paraId="2E7F8353" w14:textId="77777777" w:rsidR="0088452B" w:rsidRDefault="004112E2">
            <w:pPr>
              <w:pStyle w:val="TableParagraph"/>
              <w:spacing w:before="32"/>
              <w:ind w:left="445" w:right="437"/>
              <w:jc w:val="center"/>
            </w:pPr>
            <w:r>
              <w:t>**</w:t>
            </w:r>
          </w:p>
        </w:tc>
        <w:tc>
          <w:tcPr>
            <w:tcW w:w="1144" w:type="dxa"/>
          </w:tcPr>
          <w:p w14:paraId="6CDDDC32" w14:textId="77777777" w:rsidR="0088452B" w:rsidRDefault="0088452B"/>
        </w:tc>
        <w:tc>
          <w:tcPr>
            <w:tcW w:w="1142" w:type="dxa"/>
          </w:tcPr>
          <w:p w14:paraId="16554A3A" w14:textId="77777777" w:rsidR="0088452B" w:rsidRDefault="0088452B"/>
        </w:tc>
        <w:tc>
          <w:tcPr>
            <w:tcW w:w="1133" w:type="dxa"/>
          </w:tcPr>
          <w:p w14:paraId="610D4173" w14:textId="77777777" w:rsidR="0088452B" w:rsidRDefault="0088452B"/>
        </w:tc>
        <w:tc>
          <w:tcPr>
            <w:tcW w:w="1132" w:type="dxa"/>
          </w:tcPr>
          <w:p w14:paraId="5494C353" w14:textId="77777777" w:rsidR="0088452B" w:rsidRDefault="0088452B"/>
        </w:tc>
      </w:tr>
      <w:tr w:rsidR="0088452B" w14:paraId="539E983B" w14:textId="77777777">
        <w:trPr>
          <w:trHeight w:hRule="exact" w:val="347"/>
        </w:trPr>
        <w:tc>
          <w:tcPr>
            <w:tcW w:w="1266" w:type="dxa"/>
            <w:tcBorders>
              <w:bottom w:val="single" w:sz="17" w:space="0" w:color="000000"/>
            </w:tcBorders>
          </w:tcPr>
          <w:p w14:paraId="6FABAE8B" w14:textId="77777777" w:rsidR="0088452B" w:rsidRDefault="004112E2">
            <w:pPr>
              <w:pStyle w:val="TableParagraph"/>
              <w:spacing w:before="38"/>
              <w:ind w:left="123"/>
            </w:pPr>
            <w:r>
              <w:t>Round 12</w:t>
            </w:r>
          </w:p>
        </w:tc>
        <w:tc>
          <w:tcPr>
            <w:tcW w:w="956" w:type="dxa"/>
            <w:tcBorders>
              <w:bottom w:val="single" w:sz="17" w:space="0" w:color="000000"/>
            </w:tcBorders>
          </w:tcPr>
          <w:p w14:paraId="285405E8" w14:textId="77777777" w:rsidR="0088452B" w:rsidRDefault="004112E2">
            <w:pPr>
              <w:pStyle w:val="TableParagraph"/>
              <w:spacing w:before="32"/>
              <w:ind w:right="104"/>
              <w:jc w:val="right"/>
            </w:pPr>
            <w:r>
              <w:rPr>
                <w:w w:val="95"/>
              </w:rPr>
              <w:t>99.7%</w:t>
            </w:r>
          </w:p>
        </w:tc>
        <w:tc>
          <w:tcPr>
            <w:tcW w:w="1142" w:type="dxa"/>
            <w:tcBorders>
              <w:bottom w:val="single" w:sz="17" w:space="0" w:color="000000"/>
            </w:tcBorders>
          </w:tcPr>
          <w:p w14:paraId="3A734F0D" w14:textId="77777777" w:rsidR="0088452B" w:rsidRDefault="004112E2">
            <w:pPr>
              <w:pStyle w:val="TableParagraph"/>
              <w:spacing w:before="32"/>
              <w:ind w:right="103"/>
              <w:jc w:val="right"/>
            </w:pPr>
            <w:r>
              <w:rPr>
                <w:w w:val="95"/>
              </w:rPr>
              <w:t>99.6%</w:t>
            </w:r>
          </w:p>
        </w:tc>
        <w:tc>
          <w:tcPr>
            <w:tcW w:w="1141" w:type="dxa"/>
            <w:tcBorders>
              <w:bottom w:val="single" w:sz="17" w:space="0" w:color="000000"/>
            </w:tcBorders>
          </w:tcPr>
          <w:p w14:paraId="74AC8148" w14:textId="77777777" w:rsidR="0088452B" w:rsidRDefault="004112E2">
            <w:pPr>
              <w:pStyle w:val="TableParagraph"/>
              <w:spacing w:before="32"/>
              <w:ind w:right="104"/>
              <w:jc w:val="right"/>
            </w:pPr>
            <w:r>
              <w:rPr>
                <w:w w:val="95"/>
              </w:rPr>
              <w:t>99.6%</w:t>
            </w:r>
          </w:p>
        </w:tc>
        <w:tc>
          <w:tcPr>
            <w:tcW w:w="1143" w:type="dxa"/>
            <w:tcBorders>
              <w:bottom w:val="single" w:sz="17" w:space="0" w:color="000000"/>
            </w:tcBorders>
          </w:tcPr>
          <w:p w14:paraId="18E8A603" w14:textId="77777777" w:rsidR="0088452B" w:rsidRDefault="004112E2">
            <w:pPr>
              <w:pStyle w:val="TableParagraph"/>
              <w:spacing w:before="32"/>
              <w:ind w:right="105"/>
              <w:jc w:val="right"/>
            </w:pPr>
            <w:r>
              <w:rPr>
                <w:w w:val="95"/>
              </w:rPr>
              <w:t>96.9%</w:t>
            </w:r>
          </w:p>
        </w:tc>
        <w:tc>
          <w:tcPr>
            <w:tcW w:w="1144" w:type="dxa"/>
            <w:tcBorders>
              <w:bottom w:val="single" w:sz="17" w:space="0" w:color="000000"/>
            </w:tcBorders>
          </w:tcPr>
          <w:p w14:paraId="3035887F" w14:textId="77777777" w:rsidR="0088452B" w:rsidRDefault="0088452B"/>
        </w:tc>
        <w:tc>
          <w:tcPr>
            <w:tcW w:w="1142" w:type="dxa"/>
            <w:tcBorders>
              <w:bottom w:val="single" w:sz="17" w:space="0" w:color="000000"/>
            </w:tcBorders>
          </w:tcPr>
          <w:p w14:paraId="10C24DF3" w14:textId="77777777" w:rsidR="0088452B" w:rsidRDefault="0088452B"/>
        </w:tc>
        <w:tc>
          <w:tcPr>
            <w:tcW w:w="1133" w:type="dxa"/>
            <w:tcBorders>
              <w:bottom w:val="single" w:sz="17" w:space="0" w:color="000000"/>
            </w:tcBorders>
          </w:tcPr>
          <w:p w14:paraId="093526A4" w14:textId="77777777" w:rsidR="0088452B" w:rsidRDefault="0088452B"/>
        </w:tc>
        <w:tc>
          <w:tcPr>
            <w:tcW w:w="1132" w:type="dxa"/>
            <w:tcBorders>
              <w:bottom w:val="single" w:sz="17" w:space="0" w:color="000000"/>
            </w:tcBorders>
          </w:tcPr>
          <w:p w14:paraId="5718205E" w14:textId="77777777" w:rsidR="0088452B" w:rsidRDefault="0088452B"/>
        </w:tc>
      </w:tr>
      <w:tr w:rsidR="0088452B" w14:paraId="4EA5E37E" w14:textId="77777777">
        <w:trPr>
          <w:trHeight w:hRule="exact" w:val="386"/>
        </w:trPr>
        <w:tc>
          <w:tcPr>
            <w:tcW w:w="10200" w:type="dxa"/>
            <w:gridSpan w:val="9"/>
            <w:tcBorders>
              <w:top w:val="single" w:sz="17" w:space="0" w:color="000000"/>
            </w:tcBorders>
          </w:tcPr>
          <w:p w14:paraId="0642E05C" w14:textId="77777777" w:rsidR="0088452B" w:rsidRDefault="004112E2">
            <w:pPr>
              <w:pStyle w:val="TableParagraph"/>
              <w:spacing w:before="75"/>
              <w:ind w:left="123"/>
            </w:pPr>
            <w:r>
              <w:t>Unconditional Response Rate for Medicare Current Beneficiary Survey by Interview Round</w:t>
            </w:r>
          </w:p>
        </w:tc>
      </w:tr>
      <w:tr w:rsidR="0088452B" w14:paraId="4723C93C" w14:textId="77777777">
        <w:trPr>
          <w:trHeight w:hRule="exact" w:val="317"/>
        </w:trPr>
        <w:tc>
          <w:tcPr>
            <w:tcW w:w="1266" w:type="dxa"/>
          </w:tcPr>
          <w:p w14:paraId="4D1529D8" w14:textId="77777777" w:rsidR="0088452B" w:rsidRDefault="004112E2">
            <w:pPr>
              <w:pStyle w:val="TableParagraph"/>
              <w:ind w:left="122"/>
            </w:pPr>
            <w:r>
              <w:t>Round 1</w:t>
            </w:r>
          </w:p>
        </w:tc>
        <w:tc>
          <w:tcPr>
            <w:tcW w:w="956" w:type="dxa"/>
          </w:tcPr>
          <w:p w14:paraId="3FF331D7" w14:textId="77777777" w:rsidR="0088452B" w:rsidRDefault="004112E2">
            <w:pPr>
              <w:pStyle w:val="TableParagraph"/>
              <w:ind w:right="105"/>
              <w:jc w:val="right"/>
            </w:pPr>
            <w:r>
              <w:rPr>
                <w:w w:val="95"/>
              </w:rPr>
              <w:t>78.0%</w:t>
            </w:r>
          </w:p>
        </w:tc>
        <w:tc>
          <w:tcPr>
            <w:tcW w:w="1142" w:type="dxa"/>
          </w:tcPr>
          <w:p w14:paraId="6FCBCDEF" w14:textId="77777777" w:rsidR="0088452B" w:rsidRDefault="004112E2">
            <w:pPr>
              <w:pStyle w:val="TableParagraph"/>
              <w:ind w:right="104"/>
              <w:jc w:val="right"/>
            </w:pPr>
            <w:r>
              <w:rPr>
                <w:w w:val="95"/>
              </w:rPr>
              <w:t>77.5%</w:t>
            </w:r>
          </w:p>
        </w:tc>
        <w:tc>
          <w:tcPr>
            <w:tcW w:w="1141" w:type="dxa"/>
          </w:tcPr>
          <w:p w14:paraId="78A838F1" w14:textId="77777777" w:rsidR="0088452B" w:rsidRDefault="004112E2">
            <w:pPr>
              <w:pStyle w:val="TableParagraph"/>
              <w:ind w:right="105"/>
              <w:jc w:val="right"/>
            </w:pPr>
            <w:r>
              <w:rPr>
                <w:w w:val="95"/>
              </w:rPr>
              <w:t>77.5%</w:t>
            </w:r>
          </w:p>
        </w:tc>
        <w:tc>
          <w:tcPr>
            <w:tcW w:w="1143" w:type="dxa"/>
          </w:tcPr>
          <w:p w14:paraId="689D5DC6" w14:textId="77777777" w:rsidR="0088452B" w:rsidRDefault="004112E2">
            <w:pPr>
              <w:pStyle w:val="TableParagraph"/>
              <w:ind w:right="106"/>
              <w:jc w:val="right"/>
            </w:pPr>
            <w:r>
              <w:rPr>
                <w:w w:val="95"/>
              </w:rPr>
              <w:t>77.4%</w:t>
            </w:r>
          </w:p>
        </w:tc>
        <w:tc>
          <w:tcPr>
            <w:tcW w:w="1144" w:type="dxa"/>
          </w:tcPr>
          <w:p w14:paraId="7823683E" w14:textId="77777777" w:rsidR="0088452B" w:rsidRDefault="004112E2">
            <w:pPr>
              <w:pStyle w:val="TableParagraph"/>
              <w:ind w:right="104"/>
              <w:jc w:val="right"/>
            </w:pPr>
            <w:r>
              <w:rPr>
                <w:w w:val="95"/>
              </w:rPr>
              <w:t>73.2%</w:t>
            </w:r>
          </w:p>
        </w:tc>
        <w:tc>
          <w:tcPr>
            <w:tcW w:w="1142" w:type="dxa"/>
          </w:tcPr>
          <w:p w14:paraId="01630146" w14:textId="77777777" w:rsidR="0088452B" w:rsidRDefault="004112E2">
            <w:pPr>
              <w:pStyle w:val="TableParagraph"/>
              <w:ind w:right="106"/>
              <w:jc w:val="right"/>
            </w:pPr>
            <w:r>
              <w:rPr>
                <w:w w:val="95"/>
              </w:rPr>
              <w:t>72.8%</w:t>
            </w:r>
          </w:p>
        </w:tc>
        <w:tc>
          <w:tcPr>
            <w:tcW w:w="1133" w:type="dxa"/>
          </w:tcPr>
          <w:p w14:paraId="4E347986" w14:textId="77777777" w:rsidR="0088452B" w:rsidRDefault="004112E2">
            <w:pPr>
              <w:pStyle w:val="TableParagraph"/>
              <w:ind w:right="118"/>
              <w:jc w:val="right"/>
            </w:pPr>
            <w:r>
              <w:rPr>
                <w:w w:val="95"/>
              </w:rPr>
              <w:t>58.7%</w:t>
            </w:r>
          </w:p>
        </w:tc>
        <w:tc>
          <w:tcPr>
            <w:tcW w:w="1132" w:type="dxa"/>
          </w:tcPr>
          <w:p w14:paraId="4E26F221" w14:textId="77777777" w:rsidR="0088452B" w:rsidRDefault="004112E2">
            <w:pPr>
              <w:pStyle w:val="TableParagraph"/>
              <w:ind w:right="215"/>
              <w:jc w:val="right"/>
            </w:pPr>
            <w:r>
              <w:rPr>
                <w:w w:val="95"/>
              </w:rPr>
              <w:t>53.3%</w:t>
            </w:r>
          </w:p>
        </w:tc>
      </w:tr>
      <w:tr w:rsidR="0088452B" w14:paraId="15C8E78A" w14:textId="77777777">
        <w:trPr>
          <w:trHeight w:hRule="exact" w:val="322"/>
        </w:trPr>
        <w:tc>
          <w:tcPr>
            <w:tcW w:w="1266" w:type="dxa"/>
          </w:tcPr>
          <w:p w14:paraId="42EBD631" w14:textId="77777777" w:rsidR="0088452B" w:rsidRDefault="004112E2">
            <w:pPr>
              <w:pStyle w:val="TableParagraph"/>
              <w:ind w:left="122"/>
            </w:pPr>
            <w:r>
              <w:t>Round 2</w:t>
            </w:r>
          </w:p>
        </w:tc>
        <w:tc>
          <w:tcPr>
            <w:tcW w:w="956" w:type="dxa"/>
          </w:tcPr>
          <w:p w14:paraId="6C84F602" w14:textId="77777777" w:rsidR="0088452B" w:rsidRDefault="004112E2">
            <w:pPr>
              <w:pStyle w:val="TableParagraph"/>
              <w:ind w:right="105"/>
              <w:jc w:val="right"/>
            </w:pPr>
            <w:r>
              <w:rPr>
                <w:w w:val="95"/>
              </w:rPr>
              <w:t>70.5%</w:t>
            </w:r>
          </w:p>
        </w:tc>
        <w:tc>
          <w:tcPr>
            <w:tcW w:w="1142" w:type="dxa"/>
          </w:tcPr>
          <w:p w14:paraId="43DE8D42" w14:textId="77777777" w:rsidR="0088452B" w:rsidRDefault="004112E2">
            <w:pPr>
              <w:pStyle w:val="TableParagraph"/>
              <w:ind w:right="104"/>
              <w:jc w:val="right"/>
            </w:pPr>
            <w:r>
              <w:rPr>
                <w:w w:val="95"/>
              </w:rPr>
              <w:t>69.2%</w:t>
            </w:r>
          </w:p>
        </w:tc>
        <w:tc>
          <w:tcPr>
            <w:tcW w:w="1141" w:type="dxa"/>
          </w:tcPr>
          <w:p w14:paraId="4BDDF16C" w14:textId="77777777" w:rsidR="0088452B" w:rsidRDefault="004112E2">
            <w:pPr>
              <w:pStyle w:val="TableParagraph"/>
              <w:ind w:right="105"/>
              <w:jc w:val="right"/>
            </w:pPr>
            <w:r>
              <w:rPr>
                <w:w w:val="95"/>
              </w:rPr>
              <w:t>68.8%</w:t>
            </w:r>
          </w:p>
        </w:tc>
        <w:tc>
          <w:tcPr>
            <w:tcW w:w="1143" w:type="dxa"/>
          </w:tcPr>
          <w:p w14:paraId="1C838AE9" w14:textId="77777777" w:rsidR="0088452B" w:rsidRDefault="004112E2">
            <w:pPr>
              <w:pStyle w:val="TableParagraph"/>
              <w:ind w:right="106"/>
              <w:jc w:val="right"/>
            </w:pPr>
            <w:r>
              <w:rPr>
                <w:w w:val="95"/>
              </w:rPr>
              <w:t>68.5%</w:t>
            </w:r>
          </w:p>
        </w:tc>
        <w:tc>
          <w:tcPr>
            <w:tcW w:w="1144" w:type="dxa"/>
          </w:tcPr>
          <w:p w14:paraId="7D74DBD7" w14:textId="77777777" w:rsidR="0088452B" w:rsidRDefault="004112E2">
            <w:pPr>
              <w:pStyle w:val="TableParagraph"/>
              <w:ind w:right="104"/>
              <w:jc w:val="right"/>
            </w:pPr>
            <w:r>
              <w:rPr>
                <w:w w:val="95"/>
              </w:rPr>
              <w:t>63.9%</w:t>
            </w:r>
          </w:p>
        </w:tc>
        <w:tc>
          <w:tcPr>
            <w:tcW w:w="1142" w:type="dxa"/>
          </w:tcPr>
          <w:p w14:paraId="0722C716" w14:textId="77777777" w:rsidR="0088452B" w:rsidRDefault="004112E2">
            <w:pPr>
              <w:pStyle w:val="TableParagraph"/>
              <w:ind w:right="106"/>
              <w:jc w:val="right"/>
            </w:pPr>
            <w:r>
              <w:rPr>
                <w:w w:val="95"/>
              </w:rPr>
              <w:t>63.4%</w:t>
            </w:r>
          </w:p>
        </w:tc>
        <w:tc>
          <w:tcPr>
            <w:tcW w:w="1133" w:type="dxa"/>
          </w:tcPr>
          <w:p w14:paraId="5C3C53C2" w14:textId="77777777" w:rsidR="0088452B" w:rsidRDefault="004112E2">
            <w:pPr>
              <w:pStyle w:val="TableParagraph"/>
              <w:ind w:left="424" w:right="448"/>
              <w:jc w:val="center"/>
            </w:pPr>
            <w:r>
              <w:t>**</w:t>
            </w:r>
          </w:p>
        </w:tc>
        <w:tc>
          <w:tcPr>
            <w:tcW w:w="1132" w:type="dxa"/>
          </w:tcPr>
          <w:p w14:paraId="11661F3B" w14:textId="77777777" w:rsidR="0088452B" w:rsidRDefault="0088452B"/>
        </w:tc>
      </w:tr>
      <w:tr w:rsidR="0088452B" w14:paraId="1764D282" w14:textId="77777777">
        <w:trPr>
          <w:trHeight w:hRule="exact" w:val="327"/>
        </w:trPr>
        <w:tc>
          <w:tcPr>
            <w:tcW w:w="1266" w:type="dxa"/>
          </w:tcPr>
          <w:p w14:paraId="57674916" w14:textId="77777777" w:rsidR="0088452B" w:rsidRDefault="004112E2">
            <w:pPr>
              <w:pStyle w:val="TableParagraph"/>
              <w:spacing w:before="32"/>
              <w:ind w:left="122"/>
            </w:pPr>
            <w:r>
              <w:t>Round 3</w:t>
            </w:r>
          </w:p>
        </w:tc>
        <w:tc>
          <w:tcPr>
            <w:tcW w:w="956" w:type="dxa"/>
          </w:tcPr>
          <w:p w14:paraId="306BB46C" w14:textId="77777777" w:rsidR="0088452B" w:rsidRDefault="004112E2">
            <w:pPr>
              <w:pStyle w:val="TableParagraph"/>
              <w:spacing w:before="32"/>
              <w:ind w:right="105"/>
              <w:jc w:val="right"/>
            </w:pPr>
            <w:r>
              <w:rPr>
                <w:w w:val="95"/>
              </w:rPr>
              <w:t>61.2%</w:t>
            </w:r>
          </w:p>
        </w:tc>
        <w:tc>
          <w:tcPr>
            <w:tcW w:w="1142" w:type="dxa"/>
          </w:tcPr>
          <w:p w14:paraId="2EF56E80" w14:textId="77777777" w:rsidR="0088452B" w:rsidRDefault="004112E2">
            <w:pPr>
              <w:pStyle w:val="TableParagraph"/>
              <w:spacing w:before="32"/>
              <w:ind w:right="104"/>
              <w:jc w:val="right"/>
            </w:pPr>
            <w:r>
              <w:rPr>
                <w:w w:val="95"/>
              </w:rPr>
              <w:t>58.4%</w:t>
            </w:r>
          </w:p>
        </w:tc>
        <w:tc>
          <w:tcPr>
            <w:tcW w:w="1141" w:type="dxa"/>
          </w:tcPr>
          <w:p w14:paraId="189CE11F" w14:textId="77777777" w:rsidR="0088452B" w:rsidRDefault="004112E2">
            <w:pPr>
              <w:pStyle w:val="TableParagraph"/>
              <w:spacing w:before="32"/>
              <w:ind w:right="105"/>
              <w:jc w:val="right"/>
            </w:pPr>
            <w:r>
              <w:rPr>
                <w:w w:val="95"/>
              </w:rPr>
              <w:t>60.4%</w:t>
            </w:r>
          </w:p>
        </w:tc>
        <w:tc>
          <w:tcPr>
            <w:tcW w:w="1143" w:type="dxa"/>
          </w:tcPr>
          <w:p w14:paraId="557513B7" w14:textId="77777777" w:rsidR="0088452B" w:rsidRDefault="004112E2">
            <w:pPr>
              <w:pStyle w:val="TableParagraph"/>
              <w:spacing w:before="32"/>
              <w:ind w:right="106"/>
              <w:jc w:val="right"/>
            </w:pPr>
            <w:r>
              <w:rPr>
                <w:w w:val="95"/>
              </w:rPr>
              <w:t>62.6%</w:t>
            </w:r>
          </w:p>
        </w:tc>
        <w:tc>
          <w:tcPr>
            <w:tcW w:w="1144" w:type="dxa"/>
          </w:tcPr>
          <w:p w14:paraId="078228D4" w14:textId="77777777" w:rsidR="0088452B" w:rsidRDefault="004112E2">
            <w:pPr>
              <w:pStyle w:val="TableParagraph"/>
              <w:spacing w:before="32"/>
              <w:ind w:right="104"/>
              <w:jc w:val="right"/>
            </w:pPr>
            <w:r>
              <w:rPr>
                <w:w w:val="95"/>
              </w:rPr>
              <w:t>58.6%</w:t>
            </w:r>
          </w:p>
        </w:tc>
        <w:tc>
          <w:tcPr>
            <w:tcW w:w="1142" w:type="dxa"/>
          </w:tcPr>
          <w:p w14:paraId="2764FC39" w14:textId="77777777" w:rsidR="0088452B" w:rsidRDefault="004112E2">
            <w:pPr>
              <w:pStyle w:val="TableParagraph"/>
              <w:spacing w:before="32"/>
              <w:ind w:right="106"/>
              <w:jc w:val="right"/>
            </w:pPr>
            <w:r>
              <w:rPr>
                <w:w w:val="95"/>
              </w:rPr>
              <w:t>57.9%</w:t>
            </w:r>
          </w:p>
        </w:tc>
        <w:tc>
          <w:tcPr>
            <w:tcW w:w="1133" w:type="dxa"/>
          </w:tcPr>
          <w:p w14:paraId="682CDAD1" w14:textId="77777777" w:rsidR="0088452B" w:rsidRDefault="004112E2">
            <w:pPr>
              <w:pStyle w:val="TableParagraph"/>
              <w:spacing w:before="32"/>
              <w:ind w:right="118"/>
              <w:jc w:val="right"/>
            </w:pPr>
            <w:r>
              <w:rPr>
                <w:w w:val="95"/>
              </w:rPr>
              <w:t>48.1%</w:t>
            </w:r>
          </w:p>
        </w:tc>
        <w:tc>
          <w:tcPr>
            <w:tcW w:w="1132" w:type="dxa"/>
          </w:tcPr>
          <w:p w14:paraId="1BD3620A" w14:textId="77777777" w:rsidR="0088452B" w:rsidRDefault="0088452B"/>
        </w:tc>
      </w:tr>
      <w:tr w:rsidR="0088452B" w14:paraId="074C06B5" w14:textId="77777777">
        <w:trPr>
          <w:trHeight w:hRule="exact" w:val="327"/>
        </w:trPr>
        <w:tc>
          <w:tcPr>
            <w:tcW w:w="1266" w:type="dxa"/>
          </w:tcPr>
          <w:p w14:paraId="11EC7389" w14:textId="77777777" w:rsidR="0088452B" w:rsidRDefault="004112E2">
            <w:pPr>
              <w:pStyle w:val="TableParagraph"/>
              <w:spacing w:before="32"/>
              <w:ind w:left="122"/>
            </w:pPr>
            <w:r>
              <w:t>Round 4</w:t>
            </w:r>
          </w:p>
        </w:tc>
        <w:tc>
          <w:tcPr>
            <w:tcW w:w="956" w:type="dxa"/>
          </w:tcPr>
          <w:p w14:paraId="37190BFD" w14:textId="77777777" w:rsidR="0088452B" w:rsidRDefault="004112E2">
            <w:pPr>
              <w:pStyle w:val="TableParagraph"/>
              <w:spacing w:before="32"/>
              <w:ind w:right="105"/>
              <w:jc w:val="right"/>
            </w:pPr>
            <w:r>
              <w:rPr>
                <w:w w:val="95"/>
              </w:rPr>
              <w:t>61.8%</w:t>
            </w:r>
          </w:p>
        </w:tc>
        <w:tc>
          <w:tcPr>
            <w:tcW w:w="1142" w:type="dxa"/>
          </w:tcPr>
          <w:p w14:paraId="56EDABBF" w14:textId="77777777" w:rsidR="0088452B" w:rsidRDefault="004112E2">
            <w:pPr>
              <w:pStyle w:val="TableParagraph"/>
              <w:spacing w:before="32"/>
              <w:ind w:right="104"/>
              <w:jc w:val="right"/>
            </w:pPr>
            <w:r>
              <w:rPr>
                <w:w w:val="95"/>
              </w:rPr>
              <w:t>59.4%</w:t>
            </w:r>
          </w:p>
        </w:tc>
        <w:tc>
          <w:tcPr>
            <w:tcW w:w="1141" w:type="dxa"/>
          </w:tcPr>
          <w:p w14:paraId="76E2991F" w14:textId="77777777" w:rsidR="0088452B" w:rsidRDefault="004112E2">
            <w:pPr>
              <w:pStyle w:val="TableParagraph"/>
              <w:spacing w:before="32"/>
              <w:ind w:right="105"/>
              <w:jc w:val="right"/>
            </w:pPr>
            <w:r>
              <w:rPr>
                <w:w w:val="95"/>
              </w:rPr>
              <w:t>59.6%</w:t>
            </w:r>
          </w:p>
        </w:tc>
        <w:tc>
          <w:tcPr>
            <w:tcW w:w="1143" w:type="dxa"/>
          </w:tcPr>
          <w:p w14:paraId="6E193930" w14:textId="77777777" w:rsidR="0088452B" w:rsidRDefault="004112E2">
            <w:pPr>
              <w:pStyle w:val="TableParagraph"/>
              <w:spacing w:before="32"/>
              <w:ind w:right="106"/>
              <w:jc w:val="right"/>
            </w:pPr>
            <w:r>
              <w:rPr>
                <w:w w:val="95"/>
              </w:rPr>
              <w:t>57.2%</w:t>
            </w:r>
          </w:p>
        </w:tc>
        <w:tc>
          <w:tcPr>
            <w:tcW w:w="1144" w:type="dxa"/>
          </w:tcPr>
          <w:p w14:paraId="58B3DB40" w14:textId="77777777" w:rsidR="0088452B" w:rsidRDefault="004112E2">
            <w:pPr>
              <w:pStyle w:val="TableParagraph"/>
              <w:spacing w:before="32"/>
              <w:ind w:right="104"/>
              <w:jc w:val="right"/>
            </w:pPr>
            <w:r>
              <w:rPr>
                <w:w w:val="95"/>
              </w:rPr>
              <w:t>53.5%</w:t>
            </w:r>
          </w:p>
        </w:tc>
        <w:tc>
          <w:tcPr>
            <w:tcW w:w="1142" w:type="dxa"/>
          </w:tcPr>
          <w:p w14:paraId="06EF06FC" w14:textId="77777777" w:rsidR="0088452B" w:rsidRDefault="004112E2">
            <w:pPr>
              <w:pStyle w:val="TableParagraph"/>
              <w:spacing w:before="32"/>
              <w:ind w:right="106"/>
              <w:jc w:val="right"/>
            </w:pPr>
            <w:r>
              <w:rPr>
                <w:w w:val="95"/>
              </w:rPr>
              <w:t>44.8%</w:t>
            </w:r>
          </w:p>
        </w:tc>
        <w:tc>
          <w:tcPr>
            <w:tcW w:w="1133" w:type="dxa"/>
          </w:tcPr>
          <w:p w14:paraId="1AEBB822" w14:textId="77777777" w:rsidR="0088452B" w:rsidRDefault="004112E2">
            <w:pPr>
              <w:pStyle w:val="TableParagraph"/>
              <w:spacing w:before="32"/>
              <w:ind w:right="118"/>
              <w:jc w:val="right"/>
            </w:pPr>
            <w:r>
              <w:rPr>
                <w:w w:val="95"/>
              </w:rPr>
              <w:t>40.1%</w:t>
            </w:r>
          </w:p>
        </w:tc>
        <w:tc>
          <w:tcPr>
            <w:tcW w:w="1132" w:type="dxa"/>
          </w:tcPr>
          <w:p w14:paraId="6003A7DF" w14:textId="77777777" w:rsidR="0088452B" w:rsidRDefault="0088452B"/>
        </w:tc>
      </w:tr>
      <w:tr w:rsidR="0088452B" w14:paraId="6311A41F" w14:textId="77777777">
        <w:trPr>
          <w:trHeight w:hRule="exact" w:val="326"/>
        </w:trPr>
        <w:tc>
          <w:tcPr>
            <w:tcW w:w="1266" w:type="dxa"/>
          </w:tcPr>
          <w:p w14:paraId="0AAA086D" w14:textId="77777777" w:rsidR="0088452B" w:rsidRDefault="004112E2">
            <w:pPr>
              <w:pStyle w:val="TableParagraph"/>
              <w:spacing w:before="32"/>
              <w:ind w:left="122"/>
            </w:pPr>
            <w:r>
              <w:t>Round 5</w:t>
            </w:r>
          </w:p>
        </w:tc>
        <w:tc>
          <w:tcPr>
            <w:tcW w:w="956" w:type="dxa"/>
          </w:tcPr>
          <w:p w14:paraId="3811F9B1" w14:textId="77777777" w:rsidR="0088452B" w:rsidRDefault="004112E2">
            <w:pPr>
              <w:pStyle w:val="TableParagraph"/>
              <w:spacing w:before="32"/>
              <w:ind w:right="105"/>
              <w:jc w:val="right"/>
            </w:pPr>
            <w:r>
              <w:rPr>
                <w:w w:val="95"/>
              </w:rPr>
              <w:t>58.7%</w:t>
            </w:r>
          </w:p>
        </w:tc>
        <w:tc>
          <w:tcPr>
            <w:tcW w:w="1142" w:type="dxa"/>
          </w:tcPr>
          <w:p w14:paraId="24A4C8B4" w14:textId="77777777" w:rsidR="0088452B" w:rsidRDefault="004112E2">
            <w:pPr>
              <w:pStyle w:val="TableParagraph"/>
              <w:spacing w:before="32"/>
              <w:ind w:right="104"/>
              <w:jc w:val="right"/>
            </w:pPr>
            <w:r>
              <w:rPr>
                <w:w w:val="95"/>
              </w:rPr>
              <w:t>55.4%</w:t>
            </w:r>
          </w:p>
        </w:tc>
        <w:tc>
          <w:tcPr>
            <w:tcW w:w="1141" w:type="dxa"/>
          </w:tcPr>
          <w:p w14:paraId="60B46D37" w14:textId="77777777" w:rsidR="0088452B" w:rsidRDefault="004112E2">
            <w:pPr>
              <w:pStyle w:val="TableParagraph"/>
              <w:spacing w:before="32"/>
              <w:ind w:right="105"/>
              <w:jc w:val="right"/>
            </w:pPr>
            <w:r>
              <w:rPr>
                <w:w w:val="95"/>
              </w:rPr>
              <w:t>55.8%</w:t>
            </w:r>
          </w:p>
        </w:tc>
        <w:tc>
          <w:tcPr>
            <w:tcW w:w="1143" w:type="dxa"/>
          </w:tcPr>
          <w:p w14:paraId="04CED04B" w14:textId="77777777" w:rsidR="0088452B" w:rsidRDefault="004112E2">
            <w:pPr>
              <w:pStyle w:val="TableParagraph"/>
              <w:spacing w:before="32"/>
              <w:ind w:right="106"/>
              <w:jc w:val="right"/>
            </w:pPr>
            <w:r>
              <w:rPr>
                <w:w w:val="95"/>
              </w:rPr>
              <w:t>53.4%</w:t>
            </w:r>
          </w:p>
        </w:tc>
        <w:tc>
          <w:tcPr>
            <w:tcW w:w="1144" w:type="dxa"/>
          </w:tcPr>
          <w:p w14:paraId="0D1983A6" w14:textId="77777777" w:rsidR="0088452B" w:rsidRDefault="004112E2">
            <w:pPr>
              <w:pStyle w:val="TableParagraph"/>
              <w:spacing w:before="32"/>
              <w:ind w:right="104"/>
              <w:jc w:val="right"/>
            </w:pPr>
            <w:r>
              <w:rPr>
                <w:w w:val="95"/>
              </w:rPr>
              <w:t>50.1%</w:t>
            </w:r>
          </w:p>
        </w:tc>
        <w:tc>
          <w:tcPr>
            <w:tcW w:w="1142" w:type="dxa"/>
          </w:tcPr>
          <w:p w14:paraId="26DC25D6" w14:textId="77777777" w:rsidR="0088452B" w:rsidRDefault="004112E2">
            <w:pPr>
              <w:pStyle w:val="TableParagraph"/>
              <w:spacing w:before="32"/>
              <w:ind w:left="443" w:right="437"/>
              <w:jc w:val="center"/>
            </w:pPr>
            <w:r>
              <w:t>**</w:t>
            </w:r>
          </w:p>
        </w:tc>
        <w:tc>
          <w:tcPr>
            <w:tcW w:w="1133" w:type="dxa"/>
          </w:tcPr>
          <w:p w14:paraId="66A454DD" w14:textId="77777777" w:rsidR="0088452B" w:rsidRDefault="0088452B"/>
        </w:tc>
        <w:tc>
          <w:tcPr>
            <w:tcW w:w="1132" w:type="dxa"/>
          </w:tcPr>
          <w:p w14:paraId="49587F1F" w14:textId="77777777" w:rsidR="0088452B" w:rsidRDefault="0088452B"/>
        </w:tc>
      </w:tr>
      <w:tr w:rsidR="0088452B" w14:paraId="3397D8AB" w14:textId="77777777">
        <w:trPr>
          <w:trHeight w:hRule="exact" w:val="326"/>
        </w:trPr>
        <w:tc>
          <w:tcPr>
            <w:tcW w:w="1266" w:type="dxa"/>
          </w:tcPr>
          <w:p w14:paraId="36D22DA0" w14:textId="77777777" w:rsidR="0088452B" w:rsidRDefault="004112E2">
            <w:pPr>
              <w:pStyle w:val="TableParagraph"/>
              <w:spacing w:before="32"/>
              <w:ind w:left="122"/>
            </w:pPr>
            <w:r>
              <w:t>Round 6</w:t>
            </w:r>
          </w:p>
        </w:tc>
        <w:tc>
          <w:tcPr>
            <w:tcW w:w="956" w:type="dxa"/>
          </w:tcPr>
          <w:p w14:paraId="382D3056" w14:textId="77777777" w:rsidR="0088452B" w:rsidRDefault="004112E2">
            <w:pPr>
              <w:pStyle w:val="TableParagraph"/>
              <w:spacing w:before="32"/>
              <w:ind w:right="105"/>
              <w:jc w:val="right"/>
            </w:pPr>
            <w:r>
              <w:rPr>
                <w:w w:val="95"/>
              </w:rPr>
              <w:t>52.6%</w:t>
            </w:r>
          </w:p>
        </w:tc>
        <w:tc>
          <w:tcPr>
            <w:tcW w:w="1142" w:type="dxa"/>
          </w:tcPr>
          <w:p w14:paraId="38A42B95" w14:textId="77777777" w:rsidR="0088452B" w:rsidRDefault="004112E2">
            <w:pPr>
              <w:pStyle w:val="TableParagraph"/>
              <w:spacing w:before="32"/>
              <w:ind w:right="104"/>
              <w:jc w:val="right"/>
            </w:pPr>
            <w:r>
              <w:rPr>
                <w:w w:val="95"/>
              </w:rPr>
              <w:t>48.7%</w:t>
            </w:r>
          </w:p>
        </w:tc>
        <w:tc>
          <w:tcPr>
            <w:tcW w:w="1141" w:type="dxa"/>
          </w:tcPr>
          <w:p w14:paraId="0D28D2E4" w14:textId="77777777" w:rsidR="0088452B" w:rsidRDefault="004112E2">
            <w:pPr>
              <w:pStyle w:val="TableParagraph"/>
              <w:spacing w:before="32"/>
              <w:ind w:right="105"/>
              <w:jc w:val="right"/>
            </w:pPr>
            <w:r>
              <w:rPr>
                <w:w w:val="95"/>
              </w:rPr>
              <w:t>52.5%</w:t>
            </w:r>
          </w:p>
        </w:tc>
        <w:tc>
          <w:tcPr>
            <w:tcW w:w="1143" w:type="dxa"/>
          </w:tcPr>
          <w:p w14:paraId="722F2D8C" w14:textId="77777777" w:rsidR="0088452B" w:rsidRDefault="004112E2">
            <w:pPr>
              <w:pStyle w:val="TableParagraph"/>
              <w:spacing w:before="32"/>
              <w:ind w:right="106"/>
              <w:jc w:val="right"/>
            </w:pPr>
            <w:r>
              <w:rPr>
                <w:w w:val="95"/>
              </w:rPr>
              <w:t>50.1%</w:t>
            </w:r>
          </w:p>
        </w:tc>
        <w:tc>
          <w:tcPr>
            <w:tcW w:w="1144" w:type="dxa"/>
          </w:tcPr>
          <w:p w14:paraId="16F340F5" w14:textId="77777777" w:rsidR="0088452B" w:rsidRDefault="004112E2">
            <w:pPr>
              <w:pStyle w:val="TableParagraph"/>
              <w:spacing w:before="32"/>
              <w:ind w:right="104"/>
              <w:jc w:val="right"/>
            </w:pPr>
            <w:r>
              <w:rPr>
                <w:w w:val="95"/>
              </w:rPr>
              <w:t>46.4%</w:t>
            </w:r>
          </w:p>
        </w:tc>
        <w:tc>
          <w:tcPr>
            <w:tcW w:w="1142" w:type="dxa"/>
          </w:tcPr>
          <w:p w14:paraId="0D0FBC77" w14:textId="77777777" w:rsidR="0088452B" w:rsidRDefault="004112E2">
            <w:pPr>
              <w:pStyle w:val="TableParagraph"/>
              <w:spacing w:before="32"/>
              <w:ind w:right="106"/>
              <w:jc w:val="right"/>
            </w:pPr>
            <w:r>
              <w:rPr>
                <w:w w:val="95"/>
              </w:rPr>
              <w:t>42.1%</w:t>
            </w:r>
          </w:p>
        </w:tc>
        <w:tc>
          <w:tcPr>
            <w:tcW w:w="1133" w:type="dxa"/>
          </w:tcPr>
          <w:p w14:paraId="2FBDE352" w14:textId="77777777" w:rsidR="0088452B" w:rsidRDefault="0088452B"/>
        </w:tc>
        <w:tc>
          <w:tcPr>
            <w:tcW w:w="1132" w:type="dxa"/>
          </w:tcPr>
          <w:p w14:paraId="22C67C36" w14:textId="77777777" w:rsidR="0088452B" w:rsidRDefault="0088452B"/>
        </w:tc>
      </w:tr>
      <w:tr w:rsidR="0088452B" w14:paraId="142E3B22" w14:textId="77777777">
        <w:trPr>
          <w:trHeight w:hRule="exact" w:val="326"/>
        </w:trPr>
        <w:tc>
          <w:tcPr>
            <w:tcW w:w="1266" w:type="dxa"/>
          </w:tcPr>
          <w:p w14:paraId="635FE2AC" w14:textId="77777777" w:rsidR="0088452B" w:rsidRDefault="004112E2">
            <w:pPr>
              <w:pStyle w:val="TableParagraph"/>
              <w:spacing w:before="32"/>
              <w:ind w:left="122"/>
            </w:pPr>
            <w:r>
              <w:t>Round 7</w:t>
            </w:r>
          </w:p>
        </w:tc>
        <w:tc>
          <w:tcPr>
            <w:tcW w:w="956" w:type="dxa"/>
          </w:tcPr>
          <w:p w14:paraId="7087D66B" w14:textId="77777777" w:rsidR="0088452B" w:rsidRDefault="004112E2">
            <w:pPr>
              <w:pStyle w:val="TableParagraph"/>
              <w:spacing w:before="32"/>
              <w:ind w:right="105"/>
              <w:jc w:val="right"/>
            </w:pPr>
            <w:r>
              <w:rPr>
                <w:w w:val="95"/>
              </w:rPr>
              <w:t>54.4%</w:t>
            </w:r>
          </w:p>
        </w:tc>
        <w:tc>
          <w:tcPr>
            <w:tcW w:w="1142" w:type="dxa"/>
          </w:tcPr>
          <w:p w14:paraId="2639C354" w14:textId="77777777" w:rsidR="0088452B" w:rsidRDefault="004112E2">
            <w:pPr>
              <w:pStyle w:val="TableParagraph"/>
              <w:spacing w:before="32"/>
              <w:ind w:right="104"/>
              <w:jc w:val="right"/>
            </w:pPr>
            <w:r>
              <w:rPr>
                <w:w w:val="95"/>
              </w:rPr>
              <w:t>50.7%</w:t>
            </w:r>
          </w:p>
        </w:tc>
        <w:tc>
          <w:tcPr>
            <w:tcW w:w="1141" w:type="dxa"/>
          </w:tcPr>
          <w:p w14:paraId="11073C1E" w14:textId="77777777" w:rsidR="0088452B" w:rsidRDefault="004112E2">
            <w:pPr>
              <w:pStyle w:val="TableParagraph"/>
              <w:spacing w:before="32"/>
              <w:ind w:right="105"/>
              <w:jc w:val="right"/>
            </w:pPr>
            <w:r>
              <w:rPr>
                <w:w w:val="95"/>
              </w:rPr>
              <w:t>49.0%</w:t>
            </w:r>
          </w:p>
        </w:tc>
        <w:tc>
          <w:tcPr>
            <w:tcW w:w="1143" w:type="dxa"/>
          </w:tcPr>
          <w:p w14:paraId="5D9A1321" w14:textId="77777777" w:rsidR="0088452B" w:rsidRDefault="004112E2">
            <w:pPr>
              <w:pStyle w:val="TableParagraph"/>
              <w:spacing w:before="32"/>
              <w:ind w:right="106"/>
              <w:jc w:val="right"/>
            </w:pPr>
            <w:r>
              <w:rPr>
                <w:w w:val="95"/>
              </w:rPr>
              <w:t>47.3%</w:t>
            </w:r>
          </w:p>
        </w:tc>
        <w:tc>
          <w:tcPr>
            <w:tcW w:w="1144" w:type="dxa"/>
          </w:tcPr>
          <w:p w14:paraId="7ADCB6B8" w14:textId="77777777" w:rsidR="0088452B" w:rsidRDefault="004112E2">
            <w:pPr>
              <w:pStyle w:val="TableParagraph"/>
              <w:spacing w:before="32"/>
              <w:ind w:right="104"/>
              <w:jc w:val="right"/>
            </w:pPr>
            <w:r>
              <w:rPr>
                <w:w w:val="95"/>
              </w:rPr>
              <w:t>37.2%</w:t>
            </w:r>
          </w:p>
        </w:tc>
        <w:tc>
          <w:tcPr>
            <w:tcW w:w="1142" w:type="dxa"/>
          </w:tcPr>
          <w:p w14:paraId="005AB9F7" w14:textId="77777777" w:rsidR="0088452B" w:rsidRDefault="004112E2">
            <w:pPr>
              <w:pStyle w:val="TableParagraph"/>
              <w:spacing w:before="32"/>
              <w:ind w:right="106"/>
              <w:jc w:val="right"/>
            </w:pPr>
            <w:r>
              <w:rPr>
                <w:w w:val="95"/>
              </w:rPr>
              <w:t>36.6%</w:t>
            </w:r>
          </w:p>
        </w:tc>
        <w:tc>
          <w:tcPr>
            <w:tcW w:w="1133" w:type="dxa"/>
          </w:tcPr>
          <w:p w14:paraId="339CFBCB" w14:textId="77777777" w:rsidR="0088452B" w:rsidRDefault="0088452B"/>
        </w:tc>
        <w:tc>
          <w:tcPr>
            <w:tcW w:w="1132" w:type="dxa"/>
          </w:tcPr>
          <w:p w14:paraId="28746407" w14:textId="77777777" w:rsidR="0088452B" w:rsidRDefault="0088452B"/>
        </w:tc>
      </w:tr>
      <w:tr w:rsidR="0088452B" w14:paraId="21C290E0" w14:textId="77777777">
        <w:trPr>
          <w:trHeight w:hRule="exact" w:val="326"/>
        </w:trPr>
        <w:tc>
          <w:tcPr>
            <w:tcW w:w="1266" w:type="dxa"/>
          </w:tcPr>
          <w:p w14:paraId="4C9F51FB" w14:textId="77777777" w:rsidR="0088452B" w:rsidRDefault="004112E2">
            <w:pPr>
              <w:pStyle w:val="TableParagraph"/>
              <w:spacing w:before="32"/>
              <w:ind w:left="122"/>
            </w:pPr>
            <w:r>
              <w:t>Round 8</w:t>
            </w:r>
          </w:p>
        </w:tc>
        <w:tc>
          <w:tcPr>
            <w:tcW w:w="956" w:type="dxa"/>
          </w:tcPr>
          <w:p w14:paraId="1718E0BB" w14:textId="77777777" w:rsidR="0088452B" w:rsidRDefault="004112E2">
            <w:pPr>
              <w:pStyle w:val="TableParagraph"/>
              <w:spacing w:before="32"/>
              <w:ind w:right="105"/>
              <w:jc w:val="right"/>
            </w:pPr>
            <w:r>
              <w:rPr>
                <w:w w:val="95"/>
              </w:rPr>
              <w:t>52.0%</w:t>
            </w:r>
          </w:p>
        </w:tc>
        <w:tc>
          <w:tcPr>
            <w:tcW w:w="1142" w:type="dxa"/>
          </w:tcPr>
          <w:p w14:paraId="3072118B" w14:textId="77777777" w:rsidR="0088452B" w:rsidRDefault="004112E2">
            <w:pPr>
              <w:pStyle w:val="TableParagraph"/>
              <w:spacing w:before="32"/>
              <w:ind w:right="104"/>
              <w:jc w:val="right"/>
            </w:pPr>
            <w:r>
              <w:rPr>
                <w:w w:val="95"/>
              </w:rPr>
              <w:t>48.3%</w:t>
            </w:r>
          </w:p>
        </w:tc>
        <w:tc>
          <w:tcPr>
            <w:tcW w:w="1141" w:type="dxa"/>
          </w:tcPr>
          <w:p w14:paraId="2317D066" w14:textId="77777777" w:rsidR="0088452B" w:rsidRDefault="004112E2">
            <w:pPr>
              <w:pStyle w:val="TableParagraph"/>
              <w:spacing w:before="32"/>
              <w:ind w:right="105"/>
              <w:jc w:val="right"/>
            </w:pPr>
            <w:r>
              <w:rPr>
                <w:w w:val="95"/>
              </w:rPr>
              <w:t>46.8%</w:t>
            </w:r>
          </w:p>
        </w:tc>
        <w:tc>
          <w:tcPr>
            <w:tcW w:w="1143" w:type="dxa"/>
          </w:tcPr>
          <w:p w14:paraId="63A296CB" w14:textId="77777777" w:rsidR="0088452B" w:rsidRDefault="004112E2">
            <w:pPr>
              <w:pStyle w:val="TableParagraph"/>
              <w:spacing w:before="32"/>
              <w:ind w:right="106"/>
              <w:jc w:val="right"/>
            </w:pPr>
            <w:r>
              <w:rPr>
                <w:w w:val="95"/>
              </w:rPr>
              <w:t>45.1%</w:t>
            </w:r>
          </w:p>
        </w:tc>
        <w:tc>
          <w:tcPr>
            <w:tcW w:w="1144" w:type="dxa"/>
          </w:tcPr>
          <w:p w14:paraId="6F7FDD5C" w14:textId="77777777" w:rsidR="0088452B" w:rsidRDefault="004112E2">
            <w:pPr>
              <w:pStyle w:val="TableParagraph"/>
              <w:spacing w:before="32"/>
              <w:ind w:left="446" w:right="436"/>
              <w:jc w:val="center"/>
            </w:pPr>
            <w:r>
              <w:t>**</w:t>
            </w:r>
          </w:p>
        </w:tc>
        <w:tc>
          <w:tcPr>
            <w:tcW w:w="1142" w:type="dxa"/>
          </w:tcPr>
          <w:p w14:paraId="175BF6AE" w14:textId="77777777" w:rsidR="0088452B" w:rsidRDefault="0088452B"/>
        </w:tc>
        <w:tc>
          <w:tcPr>
            <w:tcW w:w="1133" w:type="dxa"/>
          </w:tcPr>
          <w:p w14:paraId="3E132630" w14:textId="77777777" w:rsidR="0088452B" w:rsidRDefault="0088452B"/>
        </w:tc>
        <w:tc>
          <w:tcPr>
            <w:tcW w:w="1132" w:type="dxa"/>
          </w:tcPr>
          <w:p w14:paraId="7FACC305" w14:textId="77777777" w:rsidR="0088452B" w:rsidRDefault="0088452B"/>
        </w:tc>
      </w:tr>
      <w:tr w:rsidR="0088452B" w14:paraId="3945E4F6" w14:textId="77777777">
        <w:trPr>
          <w:trHeight w:hRule="exact" w:val="326"/>
        </w:trPr>
        <w:tc>
          <w:tcPr>
            <w:tcW w:w="1266" w:type="dxa"/>
          </w:tcPr>
          <w:p w14:paraId="403CB72B" w14:textId="77777777" w:rsidR="0088452B" w:rsidRDefault="004112E2">
            <w:pPr>
              <w:pStyle w:val="TableParagraph"/>
              <w:spacing w:before="32"/>
              <w:ind w:left="122"/>
            </w:pPr>
            <w:r>
              <w:t>Round 9</w:t>
            </w:r>
          </w:p>
        </w:tc>
        <w:tc>
          <w:tcPr>
            <w:tcW w:w="956" w:type="dxa"/>
          </w:tcPr>
          <w:p w14:paraId="744BC5A2" w14:textId="77777777" w:rsidR="0088452B" w:rsidRDefault="004112E2">
            <w:pPr>
              <w:pStyle w:val="TableParagraph"/>
              <w:spacing w:before="32"/>
              <w:ind w:right="105"/>
              <w:jc w:val="right"/>
            </w:pPr>
            <w:r>
              <w:rPr>
                <w:w w:val="95"/>
              </w:rPr>
              <w:t>46.7%</w:t>
            </w:r>
          </w:p>
        </w:tc>
        <w:tc>
          <w:tcPr>
            <w:tcW w:w="1142" w:type="dxa"/>
          </w:tcPr>
          <w:p w14:paraId="19E9CFF7" w14:textId="77777777" w:rsidR="0088452B" w:rsidRDefault="004112E2">
            <w:pPr>
              <w:pStyle w:val="TableParagraph"/>
              <w:spacing w:before="32"/>
              <w:ind w:right="104"/>
              <w:jc w:val="right"/>
            </w:pPr>
            <w:r>
              <w:rPr>
                <w:w w:val="95"/>
              </w:rPr>
              <w:t>46.3%</w:t>
            </w:r>
          </w:p>
        </w:tc>
        <w:tc>
          <w:tcPr>
            <w:tcW w:w="1141" w:type="dxa"/>
          </w:tcPr>
          <w:p w14:paraId="39DBF0CD" w14:textId="77777777" w:rsidR="0088452B" w:rsidRDefault="004112E2">
            <w:pPr>
              <w:pStyle w:val="TableParagraph"/>
              <w:spacing w:before="32"/>
              <w:ind w:right="105"/>
              <w:jc w:val="right"/>
            </w:pPr>
            <w:r>
              <w:rPr>
                <w:w w:val="95"/>
              </w:rPr>
              <w:t>44.7%</w:t>
            </w:r>
          </w:p>
        </w:tc>
        <w:tc>
          <w:tcPr>
            <w:tcW w:w="1143" w:type="dxa"/>
          </w:tcPr>
          <w:p w14:paraId="45B1B98C" w14:textId="77777777" w:rsidR="0088452B" w:rsidRDefault="004112E2">
            <w:pPr>
              <w:pStyle w:val="TableParagraph"/>
              <w:spacing w:before="32"/>
              <w:ind w:right="106"/>
              <w:jc w:val="right"/>
            </w:pPr>
            <w:r>
              <w:rPr>
                <w:w w:val="95"/>
              </w:rPr>
              <w:t>42.5%</w:t>
            </w:r>
          </w:p>
        </w:tc>
        <w:tc>
          <w:tcPr>
            <w:tcW w:w="1144" w:type="dxa"/>
          </w:tcPr>
          <w:p w14:paraId="4E27F7DD" w14:textId="77777777" w:rsidR="0088452B" w:rsidRDefault="004112E2">
            <w:pPr>
              <w:pStyle w:val="TableParagraph"/>
              <w:spacing w:before="32"/>
              <w:ind w:right="104"/>
              <w:jc w:val="right"/>
            </w:pPr>
            <w:r>
              <w:rPr>
                <w:w w:val="95"/>
              </w:rPr>
              <w:t>35.5%</w:t>
            </w:r>
          </w:p>
        </w:tc>
        <w:tc>
          <w:tcPr>
            <w:tcW w:w="1142" w:type="dxa"/>
          </w:tcPr>
          <w:p w14:paraId="6E5CC87A" w14:textId="77777777" w:rsidR="0088452B" w:rsidRDefault="0088452B"/>
        </w:tc>
        <w:tc>
          <w:tcPr>
            <w:tcW w:w="1133" w:type="dxa"/>
          </w:tcPr>
          <w:p w14:paraId="7883DF70" w14:textId="77777777" w:rsidR="0088452B" w:rsidRDefault="0088452B"/>
        </w:tc>
        <w:tc>
          <w:tcPr>
            <w:tcW w:w="1132" w:type="dxa"/>
          </w:tcPr>
          <w:p w14:paraId="761FB3E9" w14:textId="77777777" w:rsidR="0088452B" w:rsidRDefault="0088452B"/>
        </w:tc>
      </w:tr>
      <w:tr w:rsidR="0088452B" w14:paraId="44187742" w14:textId="77777777">
        <w:trPr>
          <w:trHeight w:hRule="exact" w:val="326"/>
        </w:trPr>
        <w:tc>
          <w:tcPr>
            <w:tcW w:w="1266" w:type="dxa"/>
          </w:tcPr>
          <w:p w14:paraId="496D79D3" w14:textId="77777777" w:rsidR="0088452B" w:rsidRDefault="004112E2">
            <w:pPr>
              <w:pStyle w:val="TableParagraph"/>
              <w:spacing w:before="32"/>
              <w:ind w:left="122"/>
            </w:pPr>
            <w:r>
              <w:t>Round 10</w:t>
            </w:r>
          </w:p>
        </w:tc>
        <w:tc>
          <w:tcPr>
            <w:tcW w:w="956" w:type="dxa"/>
          </w:tcPr>
          <w:p w14:paraId="07E75FEF" w14:textId="77777777" w:rsidR="0088452B" w:rsidRDefault="004112E2">
            <w:pPr>
              <w:pStyle w:val="TableParagraph"/>
              <w:spacing w:before="32"/>
              <w:ind w:right="105"/>
              <w:jc w:val="right"/>
            </w:pPr>
            <w:r>
              <w:rPr>
                <w:w w:val="95"/>
              </w:rPr>
              <w:t>48.9%</w:t>
            </w:r>
          </w:p>
        </w:tc>
        <w:tc>
          <w:tcPr>
            <w:tcW w:w="1142" w:type="dxa"/>
          </w:tcPr>
          <w:p w14:paraId="525803DA" w14:textId="77777777" w:rsidR="0088452B" w:rsidRDefault="004112E2">
            <w:pPr>
              <w:pStyle w:val="TableParagraph"/>
              <w:spacing w:before="32"/>
              <w:ind w:right="104"/>
              <w:jc w:val="right"/>
            </w:pPr>
            <w:r>
              <w:rPr>
                <w:w w:val="95"/>
              </w:rPr>
              <w:t>44.2%</w:t>
            </w:r>
          </w:p>
        </w:tc>
        <w:tc>
          <w:tcPr>
            <w:tcW w:w="1141" w:type="dxa"/>
          </w:tcPr>
          <w:p w14:paraId="1598AC99" w14:textId="77777777" w:rsidR="0088452B" w:rsidRDefault="004112E2">
            <w:pPr>
              <w:pStyle w:val="TableParagraph"/>
              <w:spacing w:before="32"/>
              <w:ind w:right="105"/>
              <w:jc w:val="right"/>
            </w:pPr>
            <w:r>
              <w:rPr>
                <w:w w:val="95"/>
              </w:rPr>
              <w:t>43.0%</w:t>
            </w:r>
          </w:p>
        </w:tc>
        <w:tc>
          <w:tcPr>
            <w:tcW w:w="1143" w:type="dxa"/>
          </w:tcPr>
          <w:p w14:paraId="1D221A5D" w14:textId="77777777" w:rsidR="0088452B" w:rsidRDefault="004112E2">
            <w:pPr>
              <w:pStyle w:val="TableParagraph"/>
              <w:spacing w:before="32"/>
              <w:ind w:right="106"/>
              <w:jc w:val="right"/>
            </w:pPr>
            <w:r>
              <w:rPr>
                <w:w w:val="95"/>
              </w:rPr>
              <w:t>36.3%</w:t>
            </w:r>
          </w:p>
        </w:tc>
        <w:tc>
          <w:tcPr>
            <w:tcW w:w="1144" w:type="dxa"/>
          </w:tcPr>
          <w:p w14:paraId="405A1EC7" w14:textId="77777777" w:rsidR="0088452B" w:rsidRDefault="004112E2">
            <w:pPr>
              <w:pStyle w:val="TableParagraph"/>
              <w:spacing w:before="32"/>
              <w:ind w:right="104"/>
              <w:jc w:val="right"/>
            </w:pPr>
            <w:r>
              <w:rPr>
                <w:w w:val="95"/>
              </w:rPr>
              <w:t>31.8%</w:t>
            </w:r>
          </w:p>
        </w:tc>
        <w:tc>
          <w:tcPr>
            <w:tcW w:w="1142" w:type="dxa"/>
          </w:tcPr>
          <w:p w14:paraId="5C5B8C96" w14:textId="77777777" w:rsidR="0088452B" w:rsidRDefault="0088452B"/>
        </w:tc>
        <w:tc>
          <w:tcPr>
            <w:tcW w:w="1133" w:type="dxa"/>
          </w:tcPr>
          <w:p w14:paraId="3F2D3D98" w14:textId="77777777" w:rsidR="0088452B" w:rsidRDefault="0088452B"/>
        </w:tc>
        <w:tc>
          <w:tcPr>
            <w:tcW w:w="1132" w:type="dxa"/>
          </w:tcPr>
          <w:p w14:paraId="45A0C7A9" w14:textId="77777777" w:rsidR="0088452B" w:rsidRDefault="0088452B"/>
        </w:tc>
      </w:tr>
      <w:tr w:rsidR="0088452B" w14:paraId="382EA2D5" w14:textId="77777777">
        <w:trPr>
          <w:trHeight w:hRule="exact" w:val="327"/>
        </w:trPr>
        <w:tc>
          <w:tcPr>
            <w:tcW w:w="1266" w:type="dxa"/>
          </w:tcPr>
          <w:p w14:paraId="79A40926" w14:textId="77777777" w:rsidR="0088452B" w:rsidRDefault="004112E2">
            <w:pPr>
              <w:pStyle w:val="TableParagraph"/>
              <w:spacing w:before="32"/>
              <w:ind w:left="122"/>
            </w:pPr>
            <w:r>
              <w:t>Round 11</w:t>
            </w:r>
          </w:p>
        </w:tc>
        <w:tc>
          <w:tcPr>
            <w:tcW w:w="956" w:type="dxa"/>
          </w:tcPr>
          <w:p w14:paraId="24FFDF68" w14:textId="77777777" w:rsidR="0088452B" w:rsidRDefault="004112E2">
            <w:pPr>
              <w:pStyle w:val="TableParagraph"/>
              <w:spacing w:before="32"/>
              <w:ind w:right="105"/>
              <w:jc w:val="right"/>
            </w:pPr>
            <w:r>
              <w:rPr>
                <w:w w:val="95"/>
              </w:rPr>
              <w:t>47.6%</w:t>
            </w:r>
          </w:p>
        </w:tc>
        <w:tc>
          <w:tcPr>
            <w:tcW w:w="1142" w:type="dxa"/>
          </w:tcPr>
          <w:p w14:paraId="072A6224" w14:textId="77777777" w:rsidR="0088452B" w:rsidRDefault="004112E2">
            <w:pPr>
              <w:pStyle w:val="TableParagraph"/>
              <w:spacing w:before="32"/>
              <w:ind w:right="104"/>
              <w:jc w:val="right"/>
            </w:pPr>
            <w:r>
              <w:rPr>
                <w:w w:val="95"/>
              </w:rPr>
              <w:t>43.4%</w:t>
            </w:r>
          </w:p>
        </w:tc>
        <w:tc>
          <w:tcPr>
            <w:tcW w:w="1141" w:type="dxa"/>
          </w:tcPr>
          <w:p w14:paraId="0003ABE4" w14:textId="77777777" w:rsidR="0088452B" w:rsidRDefault="004112E2">
            <w:pPr>
              <w:pStyle w:val="TableParagraph"/>
              <w:spacing w:before="32"/>
              <w:ind w:right="105"/>
              <w:jc w:val="right"/>
            </w:pPr>
            <w:r>
              <w:rPr>
                <w:w w:val="95"/>
              </w:rPr>
              <w:t>42.0%</w:t>
            </w:r>
          </w:p>
        </w:tc>
        <w:tc>
          <w:tcPr>
            <w:tcW w:w="1143" w:type="dxa"/>
          </w:tcPr>
          <w:p w14:paraId="27E5EEC5" w14:textId="77777777" w:rsidR="0088452B" w:rsidRDefault="004112E2">
            <w:pPr>
              <w:pStyle w:val="TableParagraph"/>
              <w:spacing w:before="32"/>
              <w:ind w:left="464"/>
            </w:pPr>
            <w:r>
              <w:t>***</w:t>
            </w:r>
          </w:p>
        </w:tc>
        <w:tc>
          <w:tcPr>
            <w:tcW w:w="1144" w:type="dxa"/>
          </w:tcPr>
          <w:p w14:paraId="3B05C419" w14:textId="77777777" w:rsidR="0088452B" w:rsidRDefault="0088452B"/>
        </w:tc>
        <w:tc>
          <w:tcPr>
            <w:tcW w:w="1142" w:type="dxa"/>
          </w:tcPr>
          <w:p w14:paraId="6740D426" w14:textId="77777777" w:rsidR="0088452B" w:rsidRDefault="0088452B"/>
        </w:tc>
        <w:tc>
          <w:tcPr>
            <w:tcW w:w="1133" w:type="dxa"/>
          </w:tcPr>
          <w:p w14:paraId="3D17AEE4" w14:textId="77777777" w:rsidR="0088452B" w:rsidRDefault="0088452B"/>
        </w:tc>
        <w:tc>
          <w:tcPr>
            <w:tcW w:w="1132" w:type="dxa"/>
          </w:tcPr>
          <w:p w14:paraId="509D28AF" w14:textId="77777777" w:rsidR="0088452B" w:rsidRDefault="0088452B"/>
        </w:tc>
      </w:tr>
      <w:tr w:rsidR="0088452B" w14:paraId="5B1212EB" w14:textId="77777777">
        <w:trPr>
          <w:trHeight w:hRule="exact" w:val="348"/>
        </w:trPr>
        <w:tc>
          <w:tcPr>
            <w:tcW w:w="1266" w:type="dxa"/>
            <w:tcBorders>
              <w:bottom w:val="single" w:sz="17" w:space="0" w:color="000000"/>
            </w:tcBorders>
          </w:tcPr>
          <w:p w14:paraId="70299660" w14:textId="77777777" w:rsidR="0088452B" w:rsidRDefault="004112E2">
            <w:pPr>
              <w:pStyle w:val="TableParagraph"/>
              <w:spacing w:before="38"/>
              <w:ind w:left="122"/>
            </w:pPr>
            <w:r>
              <w:t>Round 12</w:t>
            </w:r>
          </w:p>
        </w:tc>
        <w:tc>
          <w:tcPr>
            <w:tcW w:w="956" w:type="dxa"/>
            <w:tcBorders>
              <w:bottom w:val="single" w:sz="17" w:space="0" w:color="000000"/>
            </w:tcBorders>
          </w:tcPr>
          <w:p w14:paraId="067AC848" w14:textId="77777777" w:rsidR="0088452B" w:rsidRDefault="004112E2">
            <w:pPr>
              <w:pStyle w:val="TableParagraph"/>
              <w:spacing w:before="32"/>
              <w:ind w:right="105"/>
              <w:jc w:val="right"/>
            </w:pPr>
            <w:r>
              <w:rPr>
                <w:w w:val="95"/>
              </w:rPr>
              <w:t>43.6%</w:t>
            </w:r>
          </w:p>
        </w:tc>
        <w:tc>
          <w:tcPr>
            <w:tcW w:w="1142" w:type="dxa"/>
            <w:tcBorders>
              <w:bottom w:val="single" w:sz="17" w:space="0" w:color="000000"/>
            </w:tcBorders>
          </w:tcPr>
          <w:p w14:paraId="2F6218BF" w14:textId="77777777" w:rsidR="0088452B" w:rsidRDefault="004112E2">
            <w:pPr>
              <w:pStyle w:val="TableParagraph"/>
              <w:spacing w:before="32"/>
              <w:ind w:right="104"/>
              <w:jc w:val="right"/>
            </w:pPr>
            <w:r>
              <w:rPr>
                <w:w w:val="95"/>
              </w:rPr>
              <w:t>39.5%</w:t>
            </w:r>
          </w:p>
        </w:tc>
        <w:tc>
          <w:tcPr>
            <w:tcW w:w="1141" w:type="dxa"/>
            <w:tcBorders>
              <w:bottom w:val="single" w:sz="17" w:space="0" w:color="000000"/>
            </w:tcBorders>
          </w:tcPr>
          <w:p w14:paraId="615C1FC4" w14:textId="77777777" w:rsidR="0088452B" w:rsidRDefault="004112E2">
            <w:pPr>
              <w:pStyle w:val="TableParagraph"/>
              <w:spacing w:before="32"/>
              <w:ind w:right="105"/>
              <w:jc w:val="right"/>
            </w:pPr>
            <w:r>
              <w:rPr>
                <w:w w:val="95"/>
              </w:rPr>
              <w:t>38.3%</w:t>
            </w:r>
          </w:p>
        </w:tc>
        <w:tc>
          <w:tcPr>
            <w:tcW w:w="1143" w:type="dxa"/>
            <w:tcBorders>
              <w:bottom w:val="single" w:sz="17" w:space="0" w:color="000000"/>
            </w:tcBorders>
          </w:tcPr>
          <w:p w14:paraId="263B8DE1" w14:textId="77777777" w:rsidR="0088452B" w:rsidRDefault="004112E2">
            <w:pPr>
              <w:pStyle w:val="TableParagraph"/>
              <w:spacing w:before="32"/>
              <w:ind w:right="106"/>
              <w:jc w:val="right"/>
            </w:pPr>
            <w:r>
              <w:rPr>
                <w:w w:val="95"/>
              </w:rPr>
              <w:t>34.4%</w:t>
            </w:r>
          </w:p>
        </w:tc>
        <w:tc>
          <w:tcPr>
            <w:tcW w:w="1144" w:type="dxa"/>
            <w:tcBorders>
              <w:bottom w:val="single" w:sz="17" w:space="0" w:color="000000"/>
            </w:tcBorders>
          </w:tcPr>
          <w:p w14:paraId="55BEA4E3" w14:textId="77777777" w:rsidR="0088452B" w:rsidRDefault="0088452B"/>
        </w:tc>
        <w:tc>
          <w:tcPr>
            <w:tcW w:w="1142" w:type="dxa"/>
            <w:tcBorders>
              <w:bottom w:val="single" w:sz="17" w:space="0" w:color="000000"/>
            </w:tcBorders>
          </w:tcPr>
          <w:p w14:paraId="0DC8827E" w14:textId="77777777" w:rsidR="0088452B" w:rsidRDefault="0088452B"/>
        </w:tc>
        <w:tc>
          <w:tcPr>
            <w:tcW w:w="1133" w:type="dxa"/>
            <w:tcBorders>
              <w:bottom w:val="single" w:sz="17" w:space="0" w:color="000000"/>
            </w:tcBorders>
          </w:tcPr>
          <w:p w14:paraId="6042D012" w14:textId="77777777" w:rsidR="0088452B" w:rsidRDefault="0088452B"/>
        </w:tc>
        <w:tc>
          <w:tcPr>
            <w:tcW w:w="1132" w:type="dxa"/>
            <w:tcBorders>
              <w:bottom w:val="single" w:sz="17" w:space="0" w:color="000000"/>
            </w:tcBorders>
          </w:tcPr>
          <w:p w14:paraId="7E353A7F" w14:textId="77777777" w:rsidR="0088452B" w:rsidRDefault="0088452B"/>
        </w:tc>
      </w:tr>
    </w:tbl>
    <w:p w14:paraId="5F6CBA14" w14:textId="77777777" w:rsidR="0088452B" w:rsidRDefault="004112E2">
      <w:pPr>
        <w:spacing w:before="78"/>
        <w:ind w:left="120" w:right="759"/>
        <w:rPr>
          <w:sz w:val="24"/>
        </w:rPr>
      </w:pPr>
      <w:r>
        <w:t>* 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hiringand training of 100 new interviewers for MCBS data collection, and the decision to extend the incoming panel data collection through the release of additional replicates in December 2014, resulting in a shorter data collection period and consequently lower response rate for 2,500 sample members</w:t>
      </w:r>
      <w:r>
        <w:rPr>
          <w:sz w:val="24"/>
        </w:rPr>
        <w:t>.</w:t>
      </w:r>
    </w:p>
    <w:p w14:paraId="692B8301" w14:textId="77777777" w:rsidR="0088452B" w:rsidRDefault="004112E2">
      <w:pPr>
        <w:spacing w:before="120"/>
        <w:ind w:left="120"/>
      </w:pPr>
      <w:r>
        <w:t>** Not available because the 2015 winter and summer rounds (R71 and R72) were combined for data</w:t>
      </w:r>
    </w:p>
    <w:p w14:paraId="454DB33A" w14:textId="77777777" w:rsidR="0088452B" w:rsidRDefault="0088452B">
      <w:pPr>
        <w:sectPr w:rsidR="0088452B">
          <w:pgSz w:w="12240" w:h="15840"/>
          <w:pgMar w:top="1300" w:right="600" w:bottom="940" w:left="1220" w:header="0" w:footer="745" w:gutter="0"/>
          <w:cols w:space="720"/>
        </w:sectPr>
      </w:pPr>
    </w:p>
    <w:p w14:paraId="50E18732" w14:textId="77777777" w:rsidR="0088452B" w:rsidRDefault="004112E2">
      <w:pPr>
        <w:spacing w:before="77"/>
        <w:ind w:left="120" w:right="175"/>
      </w:pPr>
      <w:r>
        <w:t>collection in this year only. Again, this was due to transition activities that started in 2014 and was completed in 2015.</w:t>
      </w:r>
    </w:p>
    <w:p w14:paraId="770C5BCF" w14:textId="77777777" w:rsidR="0088452B" w:rsidRDefault="004112E2">
      <w:pPr>
        <w:pStyle w:val="ListParagraph"/>
        <w:numPr>
          <w:ilvl w:val="0"/>
          <w:numId w:val="4"/>
        </w:numPr>
        <w:tabs>
          <w:tab w:val="left" w:pos="481"/>
        </w:tabs>
        <w:spacing w:before="161"/>
        <w:ind w:left="480" w:right="344" w:hanging="360"/>
        <w:rPr>
          <w:sz w:val="24"/>
        </w:rPr>
      </w:pPr>
      <w:r>
        <w:rPr>
          <w:sz w:val="24"/>
          <w:u w:val="single"/>
        </w:rPr>
        <w:t>Selection of beneficiaries</w:t>
      </w:r>
      <w:r>
        <w:rPr>
          <w:sz w:val="24"/>
        </w:rPr>
        <w:t xml:space="preserve">. In the Fall 2016 Round 76, an incoming panel sample of 12,171 beneficiaries was selected from the Medicare administrative enrollment data. This sample was clustered within the selected PSUs and SSUs and was designed to achieve uniform sampling weights within each strata. Beginning in 2015, beneficiaries eligible </w:t>
      </w:r>
      <w:r>
        <w:rPr>
          <w:i/>
          <w:sz w:val="24"/>
        </w:rPr>
        <w:t>anytime</w:t>
      </w:r>
      <w:r>
        <w:rPr>
          <w:i/>
          <w:spacing w:val="-28"/>
          <w:sz w:val="24"/>
        </w:rPr>
        <w:t xml:space="preserve"> </w:t>
      </w:r>
      <w:r>
        <w:rPr>
          <w:sz w:val="24"/>
        </w:rPr>
        <w:t>during the sampling year are also included in the Medicare administrative enrollment sampling frame (referred to as newly eligible beneficiaries). Their inclusion allows for the release of data files up to one year earlier than previously possible.</w:t>
      </w:r>
      <w:hyperlink w:anchor="_bookmark5" w:history="1">
        <w:r>
          <w:rPr>
            <w:rFonts w:ascii="Calibri"/>
            <w:position w:val="8"/>
            <w:sz w:val="14"/>
          </w:rPr>
          <w:t>2</w:t>
        </w:r>
      </w:hyperlink>
      <w:r>
        <w:rPr>
          <w:rFonts w:ascii="Calibri"/>
          <w:position w:val="8"/>
          <w:sz w:val="14"/>
        </w:rPr>
        <w:t xml:space="preserve"> </w:t>
      </w:r>
      <w:r>
        <w:rPr>
          <w:sz w:val="24"/>
        </w:rPr>
        <w:t>Also beginning in 2015, Hispanic beneficiaries living outside of Puerto Rico were oversampled. Nursing home residents are drawn into the sample in exactly the same manner as other beneficiaries residing in the community.</w:t>
      </w:r>
    </w:p>
    <w:p w14:paraId="302AFB74" w14:textId="77777777" w:rsidR="0088452B" w:rsidRDefault="0088452B">
      <w:pPr>
        <w:pStyle w:val="BodyText"/>
        <w:spacing w:before="3"/>
        <w:ind w:left="0"/>
        <w:rPr>
          <w:sz w:val="26"/>
        </w:rPr>
      </w:pPr>
    </w:p>
    <w:p w14:paraId="7BFD504D" w14:textId="77777777" w:rsidR="0088452B" w:rsidRDefault="004112E2">
      <w:pPr>
        <w:pStyle w:val="ListParagraph"/>
        <w:numPr>
          <w:ilvl w:val="0"/>
          <w:numId w:val="5"/>
        </w:numPr>
        <w:tabs>
          <w:tab w:val="left" w:pos="374"/>
        </w:tabs>
        <w:ind w:left="373" w:hanging="253"/>
        <w:rPr>
          <w:b/>
          <w:sz w:val="24"/>
        </w:rPr>
      </w:pPr>
      <w:r>
        <w:rPr>
          <w:b/>
          <w:sz w:val="24"/>
        </w:rPr>
        <w:t>Estimation</w:t>
      </w:r>
      <w:r>
        <w:rPr>
          <w:b/>
          <w:spacing w:val="-9"/>
          <w:sz w:val="24"/>
        </w:rPr>
        <w:t xml:space="preserve"> </w:t>
      </w:r>
      <w:r>
        <w:rPr>
          <w:b/>
          <w:sz w:val="24"/>
        </w:rPr>
        <w:t>Procedure</w:t>
      </w:r>
    </w:p>
    <w:p w14:paraId="3FFE9EE5" w14:textId="77777777" w:rsidR="0088452B" w:rsidRDefault="004112E2">
      <w:pPr>
        <w:pStyle w:val="BodyText"/>
        <w:spacing w:before="15"/>
        <w:ind w:left="120" w:right="255"/>
      </w:pPr>
      <w:r>
        <w:t>To date, sampling weights have been calculated for each Fall round (1, 4, 7…, and 76) in order to produce the Survey File limited data sets (previously referred to as the Access to Care files). Both cross-sectional and longitudinal weights have been calculated. These weights reflect differential probabilities of selection and were adjusted to account for overlapping coverage of the panels included in the Survey File and non- response.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7777777" w:rsidR="0088452B" w:rsidRDefault="004112E2">
      <w:pPr>
        <w:pStyle w:val="BodyText"/>
        <w:spacing w:before="199"/>
        <w:ind w:left="120" w:right="175"/>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files have been developed. The weighting and imputation of data continue each year.</w:t>
      </w:r>
    </w:p>
    <w:p w14:paraId="187BA210" w14:textId="77777777" w:rsidR="0088452B" w:rsidRDefault="004112E2">
      <w:pPr>
        <w:pStyle w:val="ListParagraph"/>
        <w:numPr>
          <w:ilvl w:val="0"/>
          <w:numId w:val="5"/>
        </w:numPr>
        <w:tabs>
          <w:tab w:val="left" w:pos="348"/>
        </w:tabs>
        <w:spacing w:before="203"/>
        <w:ind w:left="347" w:hanging="227"/>
        <w:rPr>
          <w:b/>
          <w:sz w:val="24"/>
        </w:rPr>
      </w:pPr>
      <w:r>
        <w:rPr>
          <w:b/>
          <w:sz w:val="24"/>
        </w:rPr>
        <w:t>Degree of accuracy needed for the purpose described in the</w:t>
      </w:r>
      <w:r>
        <w:rPr>
          <w:b/>
          <w:spacing w:val="-28"/>
          <w:sz w:val="24"/>
        </w:rPr>
        <w:t xml:space="preserve"> </w:t>
      </w:r>
      <w:r>
        <w:rPr>
          <w:b/>
          <w:sz w:val="24"/>
        </w:rPr>
        <w:t>justification</w:t>
      </w:r>
    </w:p>
    <w:p w14:paraId="5A04F709" w14:textId="77777777" w:rsidR="0088452B" w:rsidRDefault="004112E2">
      <w:pPr>
        <w:pStyle w:val="BodyText"/>
        <w:spacing w:before="17"/>
        <w:ind w:left="120" w:right="175"/>
      </w:pPr>
      <w:r>
        <w:t>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sample size of 14,000 to 15,000 persons, there will be many small domains of interest for which it will be necessary to use modeling techniques or to wait several years for sufficient data to accumulate.</w:t>
      </w:r>
    </w:p>
    <w:p w14:paraId="0B85E918" w14:textId="77777777" w:rsidR="0088452B" w:rsidRDefault="004112E2">
      <w:pPr>
        <w:pStyle w:val="BodyText"/>
        <w:spacing w:before="199"/>
        <w:ind w:left="120" w:right="289"/>
      </w:pPr>
      <w:r>
        <w:t>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1,800-2,000 annual cases allocated to the two younger age categories for disabled 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p>
    <w:p w14:paraId="2B4BE283" w14:textId="19D1C05C" w:rsidR="0088452B" w:rsidRDefault="00B749A0">
      <w:pPr>
        <w:pStyle w:val="BodyText"/>
        <w:spacing w:before="4"/>
        <w:ind w:left="0"/>
        <w:rPr>
          <w:sz w:val="23"/>
        </w:rPr>
      </w:pPr>
      <w:r>
        <w:rPr>
          <w:noProof/>
        </w:rPr>
        <mc:AlternateContent>
          <mc:Choice Requires="wps">
            <w:drawing>
              <wp:anchor distT="0" distB="0" distL="0" distR="0" simplePos="0" relativeHeight="251657216" behindDoc="0" locked="0" layoutInCell="1" allowOverlap="1" wp14:anchorId="6EAD52EE" wp14:editId="01EA6FDA">
                <wp:simplePos x="0" y="0"/>
                <wp:positionH relativeFrom="page">
                  <wp:posOffset>850900</wp:posOffset>
                </wp:positionH>
                <wp:positionV relativeFrom="paragraph">
                  <wp:posOffset>200025</wp:posOffset>
                </wp:positionV>
                <wp:extent cx="1828800" cy="0"/>
                <wp:effectExtent l="12700" t="6985" r="6350" b="1206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F58285"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5.75pt" to="21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e1EQIAACg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" strokeweight=".72pt">
                <w10:wrap type="topAndBottom" anchorx="page"/>
              </v:line>
            </w:pict>
          </mc:Fallback>
        </mc:AlternateContent>
      </w:r>
    </w:p>
    <w:p w14:paraId="193D7630" w14:textId="77777777" w:rsidR="0088452B" w:rsidRDefault="004112E2">
      <w:pPr>
        <w:spacing w:before="66" w:line="259" w:lineRule="auto"/>
        <w:ind w:left="120" w:right="270" w:hanging="1"/>
        <w:rPr>
          <w:sz w:val="18"/>
        </w:rPr>
      </w:pPr>
      <w:bookmarkStart w:id="12" w:name="_bookmark5"/>
      <w:bookmarkEnd w:id="12"/>
      <w:r>
        <w:rPr>
          <w:rFonts w:ascii="Tahoma"/>
          <w:position w:val="6"/>
          <w:sz w:val="12"/>
        </w:rPr>
        <w:t xml:space="preserve">2 </w:t>
      </w:r>
      <w:r>
        <w:rPr>
          <w:sz w:val="18"/>
        </w:rPr>
        <w:t>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65EBC48F" w14:textId="77777777" w:rsidR="0088452B" w:rsidRDefault="0088452B">
      <w:pPr>
        <w:spacing w:line="259" w:lineRule="auto"/>
        <w:rPr>
          <w:sz w:val="18"/>
        </w:rPr>
        <w:sectPr w:rsidR="0088452B">
          <w:pgSz w:w="12240" w:h="15840"/>
          <w:pgMar w:top="1300" w:right="1220" w:bottom="940" w:left="1220" w:header="0" w:footer="745" w:gutter="0"/>
          <w:cols w:space="720"/>
        </w:sectPr>
      </w:pPr>
    </w:p>
    <w:p w14:paraId="20E099D6" w14:textId="77777777" w:rsidR="0088452B" w:rsidRDefault="004112E2">
      <w:pPr>
        <w:pStyle w:val="BodyText"/>
        <w:spacing w:before="76"/>
        <w:ind w:right="341"/>
      </w:pPr>
      <w:r>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p>
    <w:p w14:paraId="637A7231" w14:textId="77777777" w:rsidR="0088452B" w:rsidRDefault="004112E2">
      <w:pPr>
        <w:pStyle w:val="BodyText"/>
        <w:ind w:right="341"/>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77777777" w:rsidR="0088452B" w:rsidRDefault="004112E2">
      <w:pPr>
        <w:pStyle w:val="BodyText"/>
        <w:spacing w:before="201"/>
        <w:ind w:right="117"/>
      </w:pPr>
      <w:r>
        <w:t>Each of the age strata for the Medicare sample age 65 and over will be allocated 1,500-2,000 cases, with the oldest stratum (age 85 and over) being allocated about 1,700 cases with oversampling. A major reason for over 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pPr>
        <w:pStyle w:val="ListParagraph"/>
        <w:numPr>
          <w:ilvl w:val="0"/>
          <w:numId w:val="5"/>
        </w:numPr>
        <w:tabs>
          <w:tab w:val="left" w:pos="354"/>
        </w:tabs>
        <w:spacing w:before="202"/>
        <w:ind w:left="353" w:hanging="253"/>
        <w:rPr>
          <w:b/>
          <w:sz w:val="24"/>
        </w:rPr>
      </w:pPr>
      <w:r>
        <w:rPr>
          <w:b/>
          <w:sz w:val="24"/>
        </w:rPr>
        <w:t>Interview content for periodic data collection cycles to reduce</w:t>
      </w:r>
      <w:r>
        <w:rPr>
          <w:b/>
          <w:spacing w:val="-28"/>
          <w:sz w:val="24"/>
        </w:rPr>
        <w:t xml:space="preserve"> </w:t>
      </w:r>
      <w:r>
        <w:rPr>
          <w:b/>
          <w:sz w:val="24"/>
        </w:rPr>
        <w:t>burden.</w:t>
      </w:r>
    </w:p>
    <w:p w14:paraId="7998FFA7" w14:textId="77777777" w:rsidR="0088452B" w:rsidRDefault="004112E2">
      <w:pPr>
        <w:pStyle w:val="ListParagraph"/>
        <w:numPr>
          <w:ilvl w:val="0"/>
          <w:numId w:val="3"/>
        </w:numPr>
        <w:tabs>
          <w:tab w:val="left" w:pos="361"/>
        </w:tabs>
        <w:spacing w:before="177"/>
        <w:ind w:hanging="260"/>
        <w:rPr>
          <w:sz w:val="24"/>
        </w:rPr>
      </w:pPr>
      <w:r>
        <w:rPr>
          <w:sz w:val="24"/>
          <w:u w:val="single"/>
        </w:rPr>
        <w:t>Content and timing of instrument</w:t>
      </w:r>
      <w:r>
        <w:rPr>
          <w:spacing w:val="-10"/>
          <w:sz w:val="24"/>
          <w:u w:val="single"/>
        </w:rPr>
        <w:t xml:space="preserve"> </w:t>
      </w:r>
      <w:r>
        <w:rPr>
          <w:sz w:val="24"/>
          <w:u w:val="single"/>
        </w:rPr>
        <w:t>sections</w:t>
      </w:r>
      <w:r>
        <w:rPr>
          <w:sz w:val="24"/>
        </w:rP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480CA6CD" w14:textId="77777777" w:rsidR="0088452B" w:rsidRDefault="004112E2">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p>
    <w:p w14:paraId="2867D96C" w14:textId="77777777" w:rsidR="0088452B" w:rsidRDefault="004112E2">
      <w:pPr>
        <w:pStyle w:val="BodyText"/>
        <w:ind w:left="370" w:right="221"/>
      </w:pPr>
      <w:r>
        <w:t xml:space="preserve">Second, episodes of medical care often consist of a series of services over weeks or months; 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14:paraId="0A60ADC0" w14:textId="77777777" w:rsidR="0088452B" w:rsidRDefault="004112E2">
      <w:pPr>
        <w:pStyle w:val="BodyText"/>
        <w:spacing w:before="199"/>
        <w:ind w:left="370"/>
      </w:pPr>
      <w:r>
        <w:t>The literature (initially reported by Neter and Waksberg in 1964, and confirmed in</w:t>
      </w:r>
    </w:p>
    <w:p w14:paraId="39F64A82" w14:textId="77777777" w:rsidR="0088452B" w:rsidRDefault="0088452B">
      <w:pPr>
        <w:sectPr w:rsidR="0088452B">
          <w:pgSz w:w="12240" w:h="15840"/>
          <w:pgMar w:top="1300" w:right="1220" w:bottom="940" w:left="1240" w:header="0" w:footer="745" w:gutter="0"/>
          <w:cols w:space="720"/>
        </w:sectPr>
      </w:pPr>
    </w:p>
    <w:p w14:paraId="38953A10" w14:textId="77777777" w:rsidR="0088452B" w:rsidRDefault="004112E2">
      <w:pPr>
        <w:pStyle w:val="BodyText"/>
        <w:spacing w:before="76"/>
        <w:ind w:left="370" w:right="606"/>
      </w:pPr>
      <w:r>
        <w:t>subsequent research by other analysts) indicates that collection of behavioral information in an unbounded recall period can result in large recall errors. The incoming panel interviews covered in this clearance request - Fall 2019 (Round 85), Fall 2020 (Round 88), and Fall 2021 (Round 91)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77777777" w:rsidR="0088452B" w:rsidRDefault="004112E2">
      <w:pPr>
        <w:pStyle w:val="ListParagraph"/>
        <w:numPr>
          <w:ilvl w:val="0"/>
          <w:numId w:val="3"/>
        </w:numPr>
        <w:tabs>
          <w:tab w:val="left" w:pos="371"/>
        </w:tabs>
        <w:spacing w:before="198"/>
        <w:ind w:left="370" w:hanging="270"/>
        <w:rPr>
          <w:sz w:val="24"/>
        </w:rPr>
      </w:pPr>
      <w:r>
        <w:rPr>
          <w:sz w:val="24"/>
          <w:u w:val="single"/>
        </w:rPr>
        <w:t>Content of the instruments, Rounds</w:t>
      </w:r>
      <w:r>
        <w:rPr>
          <w:spacing w:val="-7"/>
          <w:sz w:val="24"/>
          <w:u w:val="single"/>
        </w:rPr>
        <w:t xml:space="preserve"> </w:t>
      </w:r>
      <w:r>
        <w:rPr>
          <w:sz w:val="24"/>
          <w:u w:val="single"/>
        </w:rPr>
        <w:t>83-91</w:t>
      </w:r>
      <w:r>
        <w:rPr>
          <w:sz w:val="24"/>
        </w:rPr>
        <w:t>.</w:t>
      </w:r>
    </w:p>
    <w:p w14:paraId="1253E1DA" w14:textId="77777777" w:rsidR="0088452B" w:rsidRDefault="004112E2">
      <w:pPr>
        <w:pStyle w:val="BodyText"/>
        <w:spacing w:before="161"/>
        <w:ind w:left="370" w:right="279"/>
      </w:pPr>
      <w:r>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p>
    <w:p w14:paraId="370C1F0B" w14:textId="77777777" w:rsidR="0088452B" w:rsidRDefault="004112E2">
      <w:pPr>
        <w:spacing w:before="201"/>
        <w:ind w:left="100"/>
        <w:rPr>
          <w:b/>
          <w:sz w:val="24"/>
        </w:rPr>
      </w:pPr>
      <w:r>
        <w:rPr>
          <w:b/>
          <w:sz w:val="24"/>
        </w:rPr>
        <w:t>Table B.4: Community Instrument Sections and Order of Administration</w:t>
      </w:r>
    </w:p>
    <w:p w14:paraId="670FC156" w14:textId="77777777" w:rsidR="0088452B" w:rsidRDefault="0088452B">
      <w:pPr>
        <w:pStyle w:val="BodyText"/>
        <w:spacing w:before="3"/>
        <w:ind w:left="0"/>
        <w:rPr>
          <w:b/>
          <w:sz w:val="5"/>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72"/>
        <w:gridCol w:w="1116"/>
        <w:gridCol w:w="2695"/>
        <w:gridCol w:w="1490"/>
      </w:tblGrid>
      <w:tr w:rsidR="0088452B" w14:paraId="29E4981C" w14:textId="77777777">
        <w:trPr>
          <w:trHeight w:hRule="exact" w:val="1360"/>
        </w:trPr>
        <w:tc>
          <w:tcPr>
            <w:tcW w:w="4272" w:type="dxa"/>
            <w:shd w:val="clear" w:color="auto" w:fill="D9D9D9"/>
          </w:tcPr>
          <w:p w14:paraId="6278E000" w14:textId="77777777" w:rsidR="0088452B" w:rsidRDefault="0088452B">
            <w:pPr>
              <w:pStyle w:val="TableParagraph"/>
              <w:spacing w:before="5"/>
              <w:rPr>
                <w:b/>
                <w:sz w:val="24"/>
              </w:rPr>
            </w:pPr>
          </w:p>
          <w:p w14:paraId="52363F15" w14:textId="77777777" w:rsidR="0088452B" w:rsidRDefault="004112E2">
            <w:pPr>
              <w:pStyle w:val="TableParagraph"/>
              <w:spacing w:before="1"/>
              <w:ind w:left="312" w:right="312"/>
              <w:jc w:val="center"/>
              <w:rPr>
                <w:b/>
              </w:rPr>
            </w:pPr>
            <w:r>
              <w:rPr>
                <w:b/>
              </w:rPr>
              <w:t>Section</w:t>
            </w:r>
          </w:p>
          <w:p w14:paraId="061EF5BA" w14:textId="77777777" w:rsidR="0088452B" w:rsidRDefault="004112E2">
            <w:pPr>
              <w:pStyle w:val="TableParagraph"/>
              <w:spacing w:before="29"/>
              <w:ind w:left="312" w:right="313"/>
              <w:jc w:val="center"/>
            </w:pPr>
            <w:r>
              <w:t>Listed in the order in which the section is administered.</w:t>
            </w:r>
          </w:p>
        </w:tc>
        <w:tc>
          <w:tcPr>
            <w:tcW w:w="1116" w:type="dxa"/>
            <w:shd w:val="clear" w:color="auto" w:fill="D9D9D9"/>
          </w:tcPr>
          <w:p w14:paraId="6CC5A607" w14:textId="77777777" w:rsidR="0088452B" w:rsidRDefault="004112E2">
            <w:pPr>
              <w:pStyle w:val="TableParagraph"/>
              <w:spacing w:before="170"/>
              <w:ind w:left="181" w:right="182" w:firstLine="15"/>
              <w:jc w:val="both"/>
            </w:pPr>
            <w:r>
              <w:rPr>
                <w:b/>
              </w:rPr>
              <w:t xml:space="preserve">Type of Section </w:t>
            </w:r>
            <w:r>
              <w:t>(Core or Topical)</w:t>
            </w:r>
          </w:p>
        </w:tc>
        <w:tc>
          <w:tcPr>
            <w:tcW w:w="2695" w:type="dxa"/>
            <w:shd w:val="clear" w:color="auto" w:fill="D9D9D9"/>
          </w:tcPr>
          <w:p w14:paraId="757F42FD" w14:textId="77777777" w:rsidR="0088452B" w:rsidRDefault="0088452B">
            <w:pPr>
              <w:pStyle w:val="TableParagraph"/>
              <w:spacing w:before="0"/>
              <w:rPr>
                <w:b/>
                <w:sz w:val="24"/>
              </w:rPr>
            </w:pPr>
          </w:p>
          <w:p w14:paraId="2E39EC35" w14:textId="77777777" w:rsidR="0088452B" w:rsidRDefault="004112E2">
            <w:pPr>
              <w:pStyle w:val="TableParagraph"/>
              <w:spacing w:before="147" w:line="252" w:lineRule="exact"/>
              <w:ind w:left="132" w:right="134"/>
              <w:jc w:val="center"/>
              <w:rPr>
                <w:b/>
              </w:rPr>
            </w:pPr>
            <w:r>
              <w:rPr>
                <w:b/>
              </w:rPr>
              <w:t>Season of Administration</w:t>
            </w:r>
          </w:p>
          <w:p w14:paraId="7F277050" w14:textId="77777777" w:rsidR="0088452B" w:rsidRDefault="004112E2">
            <w:pPr>
              <w:pStyle w:val="TableParagraph"/>
              <w:spacing w:before="0" w:line="252" w:lineRule="exact"/>
              <w:ind w:left="132" w:right="133"/>
              <w:jc w:val="center"/>
            </w:pPr>
            <w:r>
              <w:t>(Rounds Administered)</w:t>
            </w:r>
          </w:p>
        </w:tc>
        <w:tc>
          <w:tcPr>
            <w:tcW w:w="1490" w:type="dxa"/>
            <w:shd w:val="clear" w:color="auto" w:fill="D9D9D9"/>
          </w:tcPr>
          <w:p w14:paraId="270C9CB5" w14:textId="77777777" w:rsidR="0088452B" w:rsidRDefault="004112E2">
            <w:pPr>
              <w:pStyle w:val="TableParagraph"/>
              <w:spacing w:before="28" w:line="247" w:lineRule="auto"/>
              <w:ind w:left="219" w:right="216" w:hanging="1"/>
              <w:jc w:val="center"/>
            </w:pPr>
            <w:r>
              <w:rPr>
                <w:b/>
              </w:rPr>
              <w:t xml:space="preserve">Interview Type </w:t>
            </w:r>
            <w:r>
              <w:t xml:space="preserve">(Baseline, </w:t>
            </w:r>
            <w:r>
              <w:rPr>
                <w:w w:val="95"/>
              </w:rPr>
              <w:t xml:space="preserve">Continuing, </w:t>
            </w:r>
            <w:r>
              <w:t>Both)</w:t>
            </w:r>
          </w:p>
        </w:tc>
      </w:tr>
      <w:tr w:rsidR="0088452B" w14:paraId="4D0DD790" w14:textId="77777777">
        <w:trPr>
          <w:trHeight w:hRule="exact" w:val="318"/>
        </w:trPr>
        <w:tc>
          <w:tcPr>
            <w:tcW w:w="4272" w:type="dxa"/>
          </w:tcPr>
          <w:p w14:paraId="41AC212B" w14:textId="77777777" w:rsidR="0088452B" w:rsidRDefault="004112E2">
            <w:pPr>
              <w:pStyle w:val="TableParagraph"/>
              <w:spacing w:before="28"/>
              <w:ind w:left="50"/>
            </w:pPr>
            <w:r>
              <w:t>Introduction (INQ)</w:t>
            </w:r>
          </w:p>
        </w:tc>
        <w:tc>
          <w:tcPr>
            <w:tcW w:w="1116" w:type="dxa"/>
          </w:tcPr>
          <w:p w14:paraId="038154E7" w14:textId="77777777" w:rsidR="0088452B" w:rsidRDefault="004112E2">
            <w:pPr>
              <w:pStyle w:val="TableParagraph"/>
              <w:spacing w:before="28"/>
              <w:ind w:left="50"/>
            </w:pPr>
            <w:r>
              <w:t>Core</w:t>
            </w:r>
          </w:p>
        </w:tc>
        <w:tc>
          <w:tcPr>
            <w:tcW w:w="2695" w:type="dxa"/>
          </w:tcPr>
          <w:p w14:paraId="13A2D313" w14:textId="77777777" w:rsidR="0088452B" w:rsidRDefault="004112E2">
            <w:pPr>
              <w:pStyle w:val="TableParagraph"/>
              <w:spacing w:before="28"/>
              <w:ind w:left="50"/>
            </w:pPr>
            <w:r>
              <w:t>All (Round 83-91)</w:t>
            </w:r>
          </w:p>
        </w:tc>
        <w:tc>
          <w:tcPr>
            <w:tcW w:w="1490" w:type="dxa"/>
          </w:tcPr>
          <w:p w14:paraId="6888395F" w14:textId="77777777" w:rsidR="0088452B" w:rsidRDefault="004112E2">
            <w:pPr>
              <w:pStyle w:val="TableParagraph"/>
              <w:spacing w:before="28"/>
              <w:ind w:left="51"/>
            </w:pPr>
            <w:r>
              <w:t>Both</w:t>
            </w:r>
          </w:p>
        </w:tc>
      </w:tr>
      <w:tr w:rsidR="0088452B" w14:paraId="7EBFE912" w14:textId="77777777">
        <w:trPr>
          <w:trHeight w:hRule="exact" w:val="318"/>
        </w:trPr>
        <w:tc>
          <w:tcPr>
            <w:tcW w:w="4272" w:type="dxa"/>
          </w:tcPr>
          <w:p w14:paraId="2713984A" w14:textId="77777777" w:rsidR="0088452B" w:rsidRDefault="004112E2">
            <w:pPr>
              <w:pStyle w:val="TableParagraph"/>
              <w:spacing w:before="28"/>
              <w:ind w:left="50"/>
            </w:pPr>
            <w:r>
              <w:t>Enumeration (ENS)</w:t>
            </w:r>
          </w:p>
        </w:tc>
        <w:tc>
          <w:tcPr>
            <w:tcW w:w="1116" w:type="dxa"/>
          </w:tcPr>
          <w:p w14:paraId="35C614B8" w14:textId="77777777" w:rsidR="0088452B" w:rsidRDefault="004112E2">
            <w:pPr>
              <w:pStyle w:val="TableParagraph"/>
              <w:spacing w:before="28"/>
              <w:ind w:left="50"/>
            </w:pPr>
            <w:r>
              <w:t>Core</w:t>
            </w:r>
          </w:p>
        </w:tc>
        <w:tc>
          <w:tcPr>
            <w:tcW w:w="2695" w:type="dxa"/>
          </w:tcPr>
          <w:p w14:paraId="0B15956A" w14:textId="77777777" w:rsidR="0088452B" w:rsidRDefault="004112E2">
            <w:pPr>
              <w:pStyle w:val="TableParagraph"/>
              <w:spacing w:before="28"/>
              <w:ind w:left="50"/>
            </w:pPr>
            <w:r>
              <w:t>All (Round 83-91)</w:t>
            </w:r>
          </w:p>
        </w:tc>
        <w:tc>
          <w:tcPr>
            <w:tcW w:w="1490" w:type="dxa"/>
          </w:tcPr>
          <w:p w14:paraId="5611AA52" w14:textId="77777777" w:rsidR="0088452B" w:rsidRDefault="004112E2">
            <w:pPr>
              <w:pStyle w:val="TableParagraph"/>
              <w:spacing w:before="28"/>
              <w:ind w:left="51"/>
            </w:pPr>
            <w:r>
              <w:t>Both</w:t>
            </w:r>
          </w:p>
        </w:tc>
      </w:tr>
      <w:tr w:rsidR="0088452B" w14:paraId="1873CCC1" w14:textId="77777777">
        <w:trPr>
          <w:trHeight w:hRule="exact" w:val="318"/>
        </w:trPr>
        <w:tc>
          <w:tcPr>
            <w:tcW w:w="4272" w:type="dxa"/>
          </w:tcPr>
          <w:p w14:paraId="235D5D37" w14:textId="77777777" w:rsidR="0088452B" w:rsidRDefault="004112E2">
            <w:pPr>
              <w:pStyle w:val="TableParagraph"/>
              <w:spacing w:before="28"/>
              <w:ind w:left="50"/>
            </w:pPr>
            <w:r>
              <w:t>Housing Characteristics (HAQ)</w:t>
            </w:r>
          </w:p>
        </w:tc>
        <w:tc>
          <w:tcPr>
            <w:tcW w:w="1116" w:type="dxa"/>
          </w:tcPr>
          <w:p w14:paraId="4FCDBC41" w14:textId="77777777" w:rsidR="0088452B" w:rsidRDefault="004112E2">
            <w:pPr>
              <w:pStyle w:val="TableParagraph"/>
              <w:spacing w:before="28"/>
              <w:ind w:left="50"/>
            </w:pPr>
            <w:r>
              <w:t>Topical</w:t>
            </w:r>
          </w:p>
        </w:tc>
        <w:tc>
          <w:tcPr>
            <w:tcW w:w="2695" w:type="dxa"/>
          </w:tcPr>
          <w:p w14:paraId="22BBE913" w14:textId="77777777" w:rsidR="0088452B" w:rsidRDefault="004112E2">
            <w:pPr>
              <w:pStyle w:val="TableParagraph"/>
              <w:spacing w:before="28"/>
              <w:ind w:left="50"/>
            </w:pPr>
            <w:r>
              <w:t>Fall (Rounds 85, 88, 91)</w:t>
            </w:r>
          </w:p>
        </w:tc>
        <w:tc>
          <w:tcPr>
            <w:tcW w:w="1490" w:type="dxa"/>
          </w:tcPr>
          <w:p w14:paraId="1DE9411E" w14:textId="77777777" w:rsidR="0088452B" w:rsidRDefault="004112E2">
            <w:pPr>
              <w:pStyle w:val="TableParagraph"/>
              <w:spacing w:before="28"/>
              <w:ind w:left="51"/>
            </w:pPr>
            <w:r>
              <w:t>Both</w:t>
            </w:r>
          </w:p>
        </w:tc>
      </w:tr>
      <w:tr w:rsidR="0088452B" w14:paraId="7A224B27" w14:textId="77777777">
        <w:trPr>
          <w:trHeight w:hRule="exact" w:val="318"/>
        </w:trPr>
        <w:tc>
          <w:tcPr>
            <w:tcW w:w="4272" w:type="dxa"/>
          </w:tcPr>
          <w:p w14:paraId="2D82CC13" w14:textId="77777777" w:rsidR="0088452B" w:rsidRDefault="004112E2">
            <w:pPr>
              <w:pStyle w:val="TableParagraph"/>
              <w:spacing w:before="28"/>
              <w:ind w:left="50"/>
            </w:pPr>
            <w:r>
              <w:t>Health Insurance (HIQ)</w:t>
            </w:r>
          </w:p>
        </w:tc>
        <w:tc>
          <w:tcPr>
            <w:tcW w:w="1116" w:type="dxa"/>
          </w:tcPr>
          <w:p w14:paraId="0DDBC514" w14:textId="77777777" w:rsidR="0088452B" w:rsidRDefault="004112E2">
            <w:pPr>
              <w:pStyle w:val="TableParagraph"/>
              <w:spacing w:before="28"/>
              <w:ind w:left="50"/>
            </w:pPr>
            <w:r>
              <w:t>Core</w:t>
            </w:r>
          </w:p>
        </w:tc>
        <w:tc>
          <w:tcPr>
            <w:tcW w:w="2695" w:type="dxa"/>
          </w:tcPr>
          <w:p w14:paraId="43245161" w14:textId="77777777" w:rsidR="0088452B" w:rsidRDefault="004112E2">
            <w:pPr>
              <w:pStyle w:val="TableParagraph"/>
              <w:spacing w:before="28"/>
              <w:ind w:left="50"/>
            </w:pPr>
            <w:r>
              <w:t>All (Round 83-91)</w:t>
            </w:r>
          </w:p>
        </w:tc>
        <w:tc>
          <w:tcPr>
            <w:tcW w:w="1490" w:type="dxa"/>
          </w:tcPr>
          <w:p w14:paraId="6352CA28" w14:textId="77777777" w:rsidR="0088452B" w:rsidRDefault="004112E2">
            <w:pPr>
              <w:pStyle w:val="TableParagraph"/>
              <w:spacing w:before="28"/>
              <w:ind w:left="51"/>
            </w:pPr>
            <w:r>
              <w:t>Both</w:t>
            </w:r>
          </w:p>
        </w:tc>
      </w:tr>
      <w:tr w:rsidR="0088452B" w14:paraId="3D8EEE67" w14:textId="77777777">
        <w:trPr>
          <w:trHeight w:hRule="exact" w:val="571"/>
        </w:trPr>
        <w:tc>
          <w:tcPr>
            <w:tcW w:w="4272" w:type="dxa"/>
          </w:tcPr>
          <w:p w14:paraId="10AA0338" w14:textId="77777777" w:rsidR="0088452B" w:rsidRDefault="004112E2">
            <w:pPr>
              <w:pStyle w:val="TableParagraph"/>
              <w:spacing w:before="28"/>
              <w:ind w:left="50" w:right="256"/>
            </w:pPr>
            <w:r>
              <w:t>Dental, Vision, and Hearing Care Utilization (DVH)*</w:t>
            </w:r>
          </w:p>
        </w:tc>
        <w:tc>
          <w:tcPr>
            <w:tcW w:w="1116" w:type="dxa"/>
          </w:tcPr>
          <w:p w14:paraId="654A2C1F" w14:textId="77777777" w:rsidR="0088452B" w:rsidRDefault="004112E2">
            <w:pPr>
              <w:pStyle w:val="TableParagraph"/>
              <w:spacing w:before="28"/>
              <w:ind w:left="50"/>
            </w:pPr>
            <w:r>
              <w:t>Core</w:t>
            </w:r>
          </w:p>
        </w:tc>
        <w:tc>
          <w:tcPr>
            <w:tcW w:w="2695" w:type="dxa"/>
          </w:tcPr>
          <w:p w14:paraId="698B849D" w14:textId="77777777" w:rsidR="0088452B" w:rsidRDefault="004112E2">
            <w:pPr>
              <w:pStyle w:val="TableParagraph"/>
              <w:spacing w:before="28"/>
              <w:ind w:left="50"/>
            </w:pPr>
            <w:r>
              <w:t>All (Round 83-91)</w:t>
            </w:r>
          </w:p>
        </w:tc>
        <w:tc>
          <w:tcPr>
            <w:tcW w:w="1490" w:type="dxa"/>
          </w:tcPr>
          <w:p w14:paraId="286B75B2" w14:textId="77777777" w:rsidR="0088452B" w:rsidRDefault="004112E2">
            <w:pPr>
              <w:pStyle w:val="TableParagraph"/>
              <w:spacing w:before="28"/>
              <w:ind w:left="51"/>
            </w:pPr>
            <w:r>
              <w:t>Continuing</w:t>
            </w:r>
          </w:p>
        </w:tc>
      </w:tr>
      <w:tr w:rsidR="0088452B" w14:paraId="012515C7" w14:textId="77777777">
        <w:trPr>
          <w:trHeight w:hRule="exact" w:val="318"/>
        </w:trPr>
        <w:tc>
          <w:tcPr>
            <w:tcW w:w="4272" w:type="dxa"/>
          </w:tcPr>
          <w:p w14:paraId="2F5CBCDC" w14:textId="77777777" w:rsidR="0088452B" w:rsidRDefault="004112E2">
            <w:pPr>
              <w:pStyle w:val="TableParagraph"/>
              <w:ind w:left="50"/>
            </w:pPr>
            <w:r>
              <w:t>Emergency Room Utilization (ERQ)</w:t>
            </w:r>
          </w:p>
        </w:tc>
        <w:tc>
          <w:tcPr>
            <w:tcW w:w="1116" w:type="dxa"/>
          </w:tcPr>
          <w:p w14:paraId="13C61CCA" w14:textId="77777777" w:rsidR="0088452B" w:rsidRDefault="004112E2">
            <w:pPr>
              <w:pStyle w:val="TableParagraph"/>
              <w:ind w:left="50"/>
            </w:pPr>
            <w:r>
              <w:t>Core</w:t>
            </w:r>
          </w:p>
        </w:tc>
        <w:tc>
          <w:tcPr>
            <w:tcW w:w="2695" w:type="dxa"/>
          </w:tcPr>
          <w:p w14:paraId="324B3532" w14:textId="77777777" w:rsidR="0088452B" w:rsidRDefault="004112E2">
            <w:pPr>
              <w:pStyle w:val="TableParagraph"/>
              <w:ind w:left="50"/>
            </w:pPr>
            <w:r>
              <w:t>All (Round 83-91)</w:t>
            </w:r>
          </w:p>
        </w:tc>
        <w:tc>
          <w:tcPr>
            <w:tcW w:w="1490" w:type="dxa"/>
          </w:tcPr>
          <w:p w14:paraId="0A448167" w14:textId="77777777" w:rsidR="0088452B" w:rsidRDefault="004112E2">
            <w:pPr>
              <w:pStyle w:val="TableParagraph"/>
              <w:ind w:left="51"/>
            </w:pPr>
            <w:r>
              <w:t>Continuing</w:t>
            </w:r>
          </w:p>
        </w:tc>
      </w:tr>
      <w:tr w:rsidR="0088452B" w14:paraId="5F0A66F8" w14:textId="77777777">
        <w:trPr>
          <w:trHeight w:hRule="exact" w:val="318"/>
        </w:trPr>
        <w:tc>
          <w:tcPr>
            <w:tcW w:w="4272" w:type="dxa"/>
          </w:tcPr>
          <w:p w14:paraId="06C1201B" w14:textId="77777777" w:rsidR="0088452B" w:rsidRDefault="004112E2">
            <w:pPr>
              <w:pStyle w:val="TableParagraph"/>
              <w:ind w:left="50"/>
            </w:pPr>
            <w:r>
              <w:t>Inpatient Utilization (IPQ)</w:t>
            </w:r>
          </w:p>
        </w:tc>
        <w:tc>
          <w:tcPr>
            <w:tcW w:w="1116" w:type="dxa"/>
          </w:tcPr>
          <w:p w14:paraId="39F950C0" w14:textId="77777777" w:rsidR="0088452B" w:rsidRDefault="004112E2">
            <w:pPr>
              <w:pStyle w:val="TableParagraph"/>
              <w:ind w:left="50"/>
            </w:pPr>
            <w:r>
              <w:t>Core</w:t>
            </w:r>
          </w:p>
        </w:tc>
        <w:tc>
          <w:tcPr>
            <w:tcW w:w="2695" w:type="dxa"/>
          </w:tcPr>
          <w:p w14:paraId="2C9BA9C9" w14:textId="77777777" w:rsidR="0088452B" w:rsidRDefault="004112E2">
            <w:pPr>
              <w:pStyle w:val="TableParagraph"/>
              <w:ind w:left="50"/>
            </w:pPr>
            <w:r>
              <w:t>All (Round 83-91)</w:t>
            </w:r>
          </w:p>
        </w:tc>
        <w:tc>
          <w:tcPr>
            <w:tcW w:w="1490" w:type="dxa"/>
          </w:tcPr>
          <w:p w14:paraId="6ACD3F83" w14:textId="77777777" w:rsidR="0088452B" w:rsidRDefault="004112E2">
            <w:pPr>
              <w:pStyle w:val="TableParagraph"/>
              <w:ind w:left="51"/>
            </w:pPr>
            <w:r>
              <w:t>Continuing</w:t>
            </w:r>
          </w:p>
        </w:tc>
      </w:tr>
      <w:tr w:rsidR="0088452B" w14:paraId="583CCB8B" w14:textId="77777777">
        <w:trPr>
          <w:trHeight w:hRule="exact" w:val="318"/>
        </w:trPr>
        <w:tc>
          <w:tcPr>
            <w:tcW w:w="4272" w:type="dxa"/>
          </w:tcPr>
          <w:p w14:paraId="2D1D24F7" w14:textId="77777777" w:rsidR="0088452B" w:rsidRDefault="004112E2">
            <w:pPr>
              <w:pStyle w:val="TableParagraph"/>
              <w:ind w:left="50"/>
            </w:pPr>
            <w:r>
              <w:t>Outpatient Utilization (OPQ)</w:t>
            </w:r>
          </w:p>
        </w:tc>
        <w:tc>
          <w:tcPr>
            <w:tcW w:w="1116" w:type="dxa"/>
          </w:tcPr>
          <w:p w14:paraId="521FEEA6" w14:textId="77777777" w:rsidR="0088452B" w:rsidRDefault="004112E2">
            <w:pPr>
              <w:pStyle w:val="TableParagraph"/>
              <w:ind w:left="50"/>
            </w:pPr>
            <w:r>
              <w:t>Core</w:t>
            </w:r>
          </w:p>
        </w:tc>
        <w:tc>
          <w:tcPr>
            <w:tcW w:w="2695" w:type="dxa"/>
          </w:tcPr>
          <w:p w14:paraId="2E1324C2" w14:textId="77777777" w:rsidR="0088452B" w:rsidRDefault="004112E2">
            <w:pPr>
              <w:pStyle w:val="TableParagraph"/>
              <w:ind w:left="50"/>
            </w:pPr>
            <w:r>
              <w:t>All (Round 83-91)</w:t>
            </w:r>
          </w:p>
        </w:tc>
        <w:tc>
          <w:tcPr>
            <w:tcW w:w="1490" w:type="dxa"/>
          </w:tcPr>
          <w:p w14:paraId="2F75E0C6" w14:textId="77777777" w:rsidR="0088452B" w:rsidRDefault="004112E2">
            <w:pPr>
              <w:pStyle w:val="TableParagraph"/>
              <w:ind w:left="51"/>
            </w:pPr>
            <w:r>
              <w:t>Continuing</w:t>
            </w:r>
          </w:p>
        </w:tc>
      </w:tr>
      <w:tr w:rsidR="0088452B" w14:paraId="7B8FDF20" w14:textId="77777777">
        <w:trPr>
          <w:trHeight w:hRule="exact" w:val="318"/>
        </w:trPr>
        <w:tc>
          <w:tcPr>
            <w:tcW w:w="4272" w:type="dxa"/>
          </w:tcPr>
          <w:p w14:paraId="2F597581" w14:textId="77777777" w:rsidR="0088452B" w:rsidRDefault="004112E2">
            <w:pPr>
              <w:pStyle w:val="TableParagraph"/>
              <w:ind w:left="50"/>
            </w:pPr>
            <w:r>
              <w:t>Institutional Utilization (IUQ)</w:t>
            </w:r>
          </w:p>
        </w:tc>
        <w:tc>
          <w:tcPr>
            <w:tcW w:w="1116" w:type="dxa"/>
          </w:tcPr>
          <w:p w14:paraId="15FD9FD2" w14:textId="77777777" w:rsidR="0088452B" w:rsidRDefault="004112E2">
            <w:pPr>
              <w:pStyle w:val="TableParagraph"/>
              <w:ind w:left="50"/>
            </w:pPr>
            <w:r>
              <w:t>Core</w:t>
            </w:r>
          </w:p>
        </w:tc>
        <w:tc>
          <w:tcPr>
            <w:tcW w:w="2695" w:type="dxa"/>
          </w:tcPr>
          <w:p w14:paraId="3DE8F97B" w14:textId="77777777" w:rsidR="0088452B" w:rsidRDefault="004112E2">
            <w:pPr>
              <w:pStyle w:val="TableParagraph"/>
              <w:ind w:left="50"/>
            </w:pPr>
            <w:r>
              <w:t>All (Round 83-91)</w:t>
            </w:r>
          </w:p>
        </w:tc>
        <w:tc>
          <w:tcPr>
            <w:tcW w:w="1490" w:type="dxa"/>
          </w:tcPr>
          <w:p w14:paraId="2DB7B462" w14:textId="77777777" w:rsidR="0088452B" w:rsidRDefault="004112E2">
            <w:pPr>
              <w:pStyle w:val="TableParagraph"/>
              <w:ind w:left="51"/>
            </w:pPr>
            <w:r>
              <w:t>Continuing</w:t>
            </w:r>
          </w:p>
        </w:tc>
      </w:tr>
      <w:tr w:rsidR="0088452B" w14:paraId="06C827B2" w14:textId="77777777">
        <w:trPr>
          <w:trHeight w:hRule="exact" w:val="318"/>
        </w:trPr>
        <w:tc>
          <w:tcPr>
            <w:tcW w:w="4272" w:type="dxa"/>
          </w:tcPr>
          <w:p w14:paraId="596FD26C" w14:textId="77777777" w:rsidR="0088452B" w:rsidRDefault="004112E2">
            <w:pPr>
              <w:pStyle w:val="TableParagraph"/>
              <w:ind w:left="50"/>
            </w:pPr>
            <w:r>
              <w:t>Home Health Summary (HHS)</w:t>
            </w:r>
          </w:p>
        </w:tc>
        <w:tc>
          <w:tcPr>
            <w:tcW w:w="1116" w:type="dxa"/>
          </w:tcPr>
          <w:p w14:paraId="31E8668E" w14:textId="77777777" w:rsidR="0088452B" w:rsidRDefault="004112E2">
            <w:pPr>
              <w:pStyle w:val="TableParagraph"/>
              <w:ind w:left="50"/>
            </w:pPr>
            <w:r>
              <w:t>Core</w:t>
            </w:r>
          </w:p>
        </w:tc>
        <w:tc>
          <w:tcPr>
            <w:tcW w:w="2695" w:type="dxa"/>
          </w:tcPr>
          <w:p w14:paraId="3BB32FF3" w14:textId="77777777" w:rsidR="0088452B" w:rsidRDefault="004112E2">
            <w:pPr>
              <w:pStyle w:val="TableParagraph"/>
              <w:ind w:left="50"/>
            </w:pPr>
            <w:r>
              <w:t>All (Round 83-91)</w:t>
            </w:r>
          </w:p>
        </w:tc>
        <w:tc>
          <w:tcPr>
            <w:tcW w:w="1490" w:type="dxa"/>
          </w:tcPr>
          <w:p w14:paraId="6443595D" w14:textId="77777777" w:rsidR="0088452B" w:rsidRDefault="004112E2">
            <w:pPr>
              <w:pStyle w:val="TableParagraph"/>
              <w:ind w:left="51"/>
            </w:pPr>
            <w:r>
              <w:t>Continuing</w:t>
            </w:r>
          </w:p>
        </w:tc>
      </w:tr>
      <w:tr w:rsidR="0088452B" w14:paraId="44337D32" w14:textId="77777777">
        <w:trPr>
          <w:trHeight w:hRule="exact" w:val="318"/>
        </w:trPr>
        <w:tc>
          <w:tcPr>
            <w:tcW w:w="4272" w:type="dxa"/>
          </w:tcPr>
          <w:p w14:paraId="47A78226" w14:textId="77777777" w:rsidR="0088452B" w:rsidRDefault="004112E2">
            <w:pPr>
              <w:pStyle w:val="TableParagraph"/>
              <w:ind w:left="50"/>
            </w:pPr>
            <w:r>
              <w:t>Home Health Utilization (HHQ)</w:t>
            </w:r>
          </w:p>
        </w:tc>
        <w:tc>
          <w:tcPr>
            <w:tcW w:w="1116" w:type="dxa"/>
          </w:tcPr>
          <w:p w14:paraId="0038C546" w14:textId="77777777" w:rsidR="0088452B" w:rsidRDefault="004112E2">
            <w:pPr>
              <w:pStyle w:val="TableParagraph"/>
              <w:ind w:left="50"/>
            </w:pPr>
            <w:r>
              <w:t>Core</w:t>
            </w:r>
          </w:p>
        </w:tc>
        <w:tc>
          <w:tcPr>
            <w:tcW w:w="2695" w:type="dxa"/>
          </w:tcPr>
          <w:p w14:paraId="1CF4BD43" w14:textId="77777777" w:rsidR="0088452B" w:rsidRDefault="004112E2">
            <w:pPr>
              <w:pStyle w:val="TableParagraph"/>
              <w:ind w:left="50"/>
            </w:pPr>
            <w:r>
              <w:t>All (Round 83-91)</w:t>
            </w:r>
          </w:p>
        </w:tc>
        <w:tc>
          <w:tcPr>
            <w:tcW w:w="1490" w:type="dxa"/>
          </w:tcPr>
          <w:p w14:paraId="740D7AF8" w14:textId="77777777" w:rsidR="0088452B" w:rsidRDefault="004112E2">
            <w:pPr>
              <w:pStyle w:val="TableParagraph"/>
              <w:ind w:left="51"/>
            </w:pPr>
            <w:r>
              <w:t>Continuing</w:t>
            </w:r>
          </w:p>
        </w:tc>
      </w:tr>
      <w:tr w:rsidR="0088452B" w14:paraId="0361D19D" w14:textId="77777777">
        <w:trPr>
          <w:trHeight w:hRule="exact" w:val="318"/>
        </w:trPr>
        <w:tc>
          <w:tcPr>
            <w:tcW w:w="4272" w:type="dxa"/>
          </w:tcPr>
          <w:p w14:paraId="0656BFCF" w14:textId="77777777" w:rsidR="0088452B" w:rsidRDefault="004112E2">
            <w:pPr>
              <w:pStyle w:val="TableParagraph"/>
              <w:ind w:left="50"/>
            </w:pPr>
            <w:r>
              <w:t>Medical Provider Utilization (MPQ)</w:t>
            </w:r>
          </w:p>
        </w:tc>
        <w:tc>
          <w:tcPr>
            <w:tcW w:w="1116" w:type="dxa"/>
          </w:tcPr>
          <w:p w14:paraId="4909171B" w14:textId="77777777" w:rsidR="0088452B" w:rsidRDefault="004112E2">
            <w:pPr>
              <w:pStyle w:val="TableParagraph"/>
              <w:ind w:left="50"/>
            </w:pPr>
            <w:r>
              <w:t>Core</w:t>
            </w:r>
          </w:p>
        </w:tc>
        <w:tc>
          <w:tcPr>
            <w:tcW w:w="2695" w:type="dxa"/>
          </w:tcPr>
          <w:p w14:paraId="7CC83568" w14:textId="77777777" w:rsidR="0088452B" w:rsidRDefault="004112E2">
            <w:pPr>
              <w:pStyle w:val="TableParagraph"/>
              <w:ind w:left="50"/>
            </w:pPr>
            <w:r>
              <w:t>All (Round 83-91)</w:t>
            </w:r>
          </w:p>
        </w:tc>
        <w:tc>
          <w:tcPr>
            <w:tcW w:w="1490" w:type="dxa"/>
          </w:tcPr>
          <w:p w14:paraId="27B5C561" w14:textId="77777777" w:rsidR="0088452B" w:rsidRDefault="004112E2">
            <w:pPr>
              <w:pStyle w:val="TableParagraph"/>
              <w:ind w:left="51"/>
            </w:pPr>
            <w:r>
              <w:t>Continuing</w:t>
            </w:r>
          </w:p>
        </w:tc>
      </w:tr>
      <w:tr w:rsidR="0088452B" w14:paraId="5021628F" w14:textId="77777777">
        <w:trPr>
          <w:trHeight w:hRule="exact" w:val="318"/>
        </w:trPr>
        <w:tc>
          <w:tcPr>
            <w:tcW w:w="4272" w:type="dxa"/>
          </w:tcPr>
          <w:p w14:paraId="5AB3306D" w14:textId="77777777" w:rsidR="0088452B" w:rsidRDefault="004112E2">
            <w:pPr>
              <w:pStyle w:val="TableParagraph"/>
              <w:ind w:left="50"/>
            </w:pPr>
            <w:r>
              <w:t>Access to Care (ACQ)</w:t>
            </w:r>
          </w:p>
        </w:tc>
        <w:tc>
          <w:tcPr>
            <w:tcW w:w="1116" w:type="dxa"/>
          </w:tcPr>
          <w:p w14:paraId="2755AEE0" w14:textId="77777777" w:rsidR="0088452B" w:rsidRDefault="004112E2">
            <w:pPr>
              <w:pStyle w:val="TableParagraph"/>
              <w:ind w:left="50"/>
            </w:pPr>
            <w:r>
              <w:t>Core</w:t>
            </w:r>
          </w:p>
        </w:tc>
        <w:tc>
          <w:tcPr>
            <w:tcW w:w="2695" w:type="dxa"/>
          </w:tcPr>
          <w:p w14:paraId="1D2282B8" w14:textId="77777777" w:rsidR="0088452B" w:rsidRDefault="004112E2">
            <w:pPr>
              <w:pStyle w:val="TableParagraph"/>
              <w:ind w:left="50"/>
            </w:pPr>
            <w:r>
              <w:t>Winter (Rounds 83, 86, 89)</w:t>
            </w:r>
          </w:p>
        </w:tc>
        <w:tc>
          <w:tcPr>
            <w:tcW w:w="1490" w:type="dxa"/>
          </w:tcPr>
          <w:p w14:paraId="4FFDA14A" w14:textId="77777777" w:rsidR="0088452B" w:rsidRDefault="004112E2">
            <w:pPr>
              <w:pStyle w:val="TableParagraph"/>
              <w:ind w:left="51"/>
            </w:pPr>
            <w:r>
              <w:t>Continuing</w:t>
            </w:r>
          </w:p>
        </w:tc>
      </w:tr>
      <w:tr w:rsidR="0088452B" w14:paraId="021B7438" w14:textId="77777777">
        <w:trPr>
          <w:trHeight w:hRule="exact" w:val="318"/>
        </w:trPr>
        <w:tc>
          <w:tcPr>
            <w:tcW w:w="4272" w:type="dxa"/>
          </w:tcPr>
          <w:p w14:paraId="2BCED726" w14:textId="77777777" w:rsidR="0088452B" w:rsidRDefault="004112E2">
            <w:pPr>
              <w:pStyle w:val="TableParagraph"/>
              <w:ind w:left="50"/>
            </w:pPr>
            <w:r>
              <w:t>Prescribed Medicine Utilization (PMQ)</w:t>
            </w:r>
          </w:p>
        </w:tc>
        <w:tc>
          <w:tcPr>
            <w:tcW w:w="1116" w:type="dxa"/>
          </w:tcPr>
          <w:p w14:paraId="3920A66B" w14:textId="77777777" w:rsidR="0088452B" w:rsidRDefault="004112E2">
            <w:pPr>
              <w:pStyle w:val="TableParagraph"/>
              <w:ind w:left="50"/>
            </w:pPr>
            <w:r>
              <w:t>Core</w:t>
            </w:r>
          </w:p>
        </w:tc>
        <w:tc>
          <w:tcPr>
            <w:tcW w:w="2695" w:type="dxa"/>
          </w:tcPr>
          <w:p w14:paraId="349D3A01" w14:textId="77777777" w:rsidR="0088452B" w:rsidRDefault="004112E2">
            <w:pPr>
              <w:pStyle w:val="TableParagraph"/>
              <w:ind w:left="50"/>
            </w:pPr>
            <w:r>
              <w:t>All (Round 83-91)</w:t>
            </w:r>
          </w:p>
        </w:tc>
        <w:tc>
          <w:tcPr>
            <w:tcW w:w="1490" w:type="dxa"/>
          </w:tcPr>
          <w:p w14:paraId="0EC6F7C2" w14:textId="77777777" w:rsidR="0088452B" w:rsidRDefault="004112E2">
            <w:pPr>
              <w:pStyle w:val="TableParagraph"/>
              <w:ind w:left="51"/>
            </w:pPr>
            <w:r>
              <w:t>Continuing</w:t>
            </w:r>
          </w:p>
        </w:tc>
      </w:tr>
      <w:tr w:rsidR="0088452B" w14:paraId="47E6153C" w14:textId="77777777">
        <w:trPr>
          <w:trHeight w:hRule="exact" w:val="318"/>
        </w:trPr>
        <w:tc>
          <w:tcPr>
            <w:tcW w:w="4272" w:type="dxa"/>
          </w:tcPr>
          <w:p w14:paraId="7246384C" w14:textId="77777777" w:rsidR="0088452B" w:rsidRDefault="004112E2">
            <w:pPr>
              <w:pStyle w:val="TableParagraph"/>
              <w:ind w:left="50"/>
            </w:pPr>
            <w:r>
              <w:t>Other Medical Expenses (OMQ)</w:t>
            </w:r>
          </w:p>
        </w:tc>
        <w:tc>
          <w:tcPr>
            <w:tcW w:w="1116" w:type="dxa"/>
          </w:tcPr>
          <w:p w14:paraId="0AEA9F0C" w14:textId="77777777" w:rsidR="0088452B" w:rsidRDefault="004112E2">
            <w:pPr>
              <w:pStyle w:val="TableParagraph"/>
              <w:ind w:left="50"/>
            </w:pPr>
            <w:r>
              <w:t>Core</w:t>
            </w:r>
          </w:p>
        </w:tc>
        <w:tc>
          <w:tcPr>
            <w:tcW w:w="2695" w:type="dxa"/>
          </w:tcPr>
          <w:p w14:paraId="65E434E5" w14:textId="77777777" w:rsidR="0088452B" w:rsidRDefault="004112E2">
            <w:pPr>
              <w:pStyle w:val="TableParagraph"/>
              <w:ind w:left="50"/>
            </w:pPr>
            <w:r>
              <w:t>All (Round 83-91)</w:t>
            </w:r>
          </w:p>
        </w:tc>
        <w:tc>
          <w:tcPr>
            <w:tcW w:w="1490" w:type="dxa"/>
          </w:tcPr>
          <w:p w14:paraId="7ECE3577" w14:textId="77777777" w:rsidR="0088452B" w:rsidRDefault="004112E2">
            <w:pPr>
              <w:pStyle w:val="TableParagraph"/>
              <w:ind w:left="51"/>
            </w:pPr>
            <w:r>
              <w:t>Continuing</w:t>
            </w:r>
          </w:p>
        </w:tc>
      </w:tr>
      <w:tr w:rsidR="0088452B" w14:paraId="5486E6A2" w14:textId="77777777">
        <w:trPr>
          <w:trHeight w:hRule="exact" w:val="318"/>
        </w:trPr>
        <w:tc>
          <w:tcPr>
            <w:tcW w:w="4272" w:type="dxa"/>
          </w:tcPr>
          <w:p w14:paraId="60C97423" w14:textId="77777777" w:rsidR="0088452B" w:rsidRDefault="004112E2">
            <w:pPr>
              <w:pStyle w:val="TableParagraph"/>
              <w:ind w:left="50"/>
            </w:pPr>
            <w:r>
              <w:t>Statement Cost Series (STQ)</w:t>
            </w:r>
          </w:p>
        </w:tc>
        <w:tc>
          <w:tcPr>
            <w:tcW w:w="1116" w:type="dxa"/>
          </w:tcPr>
          <w:p w14:paraId="2B795EA6" w14:textId="77777777" w:rsidR="0088452B" w:rsidRDefault="004112E2">
            <w:pPr>
              <w:pStyle w:val="TableParagraph"/>
              <w:ind w:left="50"/>
            </w:pPr>
            <w:r>
              <w:t>Core</w:t>
            </w:r>
          </w:p>
        </w:tc>
        <w:tc>
          <w:tcPr>
            <w:tcW w:w="2695" w:type="dxa"/>
          </w:tcPr>
          <w:p w14:paraId="6A30CA6A" w14:textId="77777777" w:rsidR="0088452B" w:rsidRDefault="004112E2">
            <w:pPr>
              <w:pStyle w:val="TableParagraph"/>
              <w:ind w:left="50"/>
            </w:pPr>
            <w:r>
              <w:t>All (Round 83-91)</w:t>
            </w:r>
          </w:p>
        </w:tc>
        <w:tc>
          <w:tcPr>
            <w:tcW w:w="1490" w:type="dxa"/>
          </w:tcPr>
          <w:p w14:paraId="6CD2229E" w14:textId="77777777" w:rsidR="0088452B" w:rsidRDefault="004112E2">
            <w:pPr>
              <w:pStyle w:val="TableParagraph"/>
              <w:ind w:left="51"/>
            </w:pPr>
            <w:r>
              <w:t>Continuing</w:t>
            </w:r>
          </w:p>
        </w:tc>
      </w:tr>
      <w:tr w:rsidR="0088452B" w14:paraId="237CEF1D" w14:textId="77777777">
        <w:trPr>
          <w:trHeight w:hRule="exact" w:val="318"/>
        </w:trPr>
        <w:tc>
          <w:tcPr>
            <w:tcW w:w="4272" w:type="dxa"/>
          </w:tcPr>
          <w:p w14:paraId="564AA998" w14:textId="77777777" w:rsidR="0088452B" w:rsidRDefault="004112E2">
            <w:pPr>
              <w:pStyle w:val="TableParagraph"/>
              <w:ind w:left="50"/>
            </w:pPr>
            <w:r>
              <w:t>Post-Statement Cost (PSQ)</w:t>
            </w:r>
          </w:p>
        </w:tc>
        <w:tc>
          <w:tcPr>
            <w:tcW w:w="1116" w:type="dxa"/>
          </w:tcPr>
          <w:p w14:paraId="095916C5" w14:textId="77777777" w:rsidR="0088452B" w:rsidRDefault="004112E2">
            <w:pPr>
              <w:pStyle w:val="TableParagraph"/>
              <w:ind w:left="50"/>
            </w:pPr>
            <w:r>
              <w:t>Core</w:t>
            </w:r>
          </w:p>
        </w:tc>
        <w:tc>
          <w:tcPr>
            <w:tcW w:w="2695" w:type="dxa"/>
          </w:tcPr>
          <w:p w14:paraId="39CB4248" w14:textId="77777777" w:rsidR="0088452B" w:rsidRDefault="004112E2">
            <w:pPr>
              <w:pStyle w:val="TableParagraph"/>
              <w:ind w:left="50"/>
            </w:pPr>
            <w:r>
              <w:t>All (Round 83-91)</w:t>
            </w:r>
          </w:p>
        </w:tc>
        <w:tc>
          <w:tcPr>
            <w:tcW w:w="1490" w:type="dxa"/>
          </w:tcPr>
          <w:p w14:paraId="45BA9F45" w14:textId="77777777" w:rsidR="0088452B" w:rsidRDefault="004112E2">
            <w:pPr>
              <w:pStyle w:val="TableParagraph"/>
              <w:ind w:left="51"/>
            </w:pPr>
            <w:r>
              <w:t>Continuing</w:t>
            </w:r>
          </w:p>
        </w:tc>
      </w:tr>
      <w:tr w:rsidR="0088452B" w14:paraId="114768C7" w14:textId="77777777">
        <w:trPr>
          <w:trHeight w:hRule="exact" w:val="318"/>
        </w:trPr>
        <w:tc>
          <w:tcPr>
            <w:tcW w:w="4272" w:type="dxa"/>
          </w:tcPr>
          <w:p w14:paraId="0AEDE53C" w14:textId="77777777" w:rsidR="0088452B" w:rsidRDefault="004112E2">
            <w:pPr>
              <w:pStyle w:val="TableParagraph"/>
              <w:ind w:left="50"/>
            </w:pPr>
            <w:r>
              <w:t>No Statement Cost Series (NSQ)</w:t>
            </w:r>
          </w:p>
        </w:tc>
        <w:tc>
          <w:tcPr>
            <w:tcW w:w="1116" w:type="dxa"/>
          </w:tcPr>
          <w:p w14:paraId="637FDD07" w14:textId="77777777" w:rsidR="0088452B" w:rsidRDefault="004112E2">
            <w:pPr>
              <w:pStyle w:val="TableParagraph"/>
              <w:ind w:left="50"/>
            </w:pPr>
            <w:r>
              <w:t>Core</w:t>
            </w:r>
          </w:p>
        </w:tc>
        <w:tc>
          <w:tcPr>
            <w:tcW w:w="2695" w:type="dxa"/>
          </w:tcPr>
          <w:p w14:paraId="3B4F3228" w14:textId="77777777" w:rsidR="0088452B" w:rsidRDefault="004112E2">
            <w:pPr>
              <w:pStyle w:val="TableParagraph"/>
              <w:ind w:left="50"/>
            </w:pPr>
            <w:r>
              <w:t>All (Round 83-91)</w:t>
            </w:r>
          </w:p>
        </w:tc>
        <w:tc>
          <w:tcPr>
            <w:tcW w:w="1490" w:type="dxa"/>
          </w:tcPr>
          <w:p w14:paraId="6843EF7C" w14:textId="77777777" w:rsidR="0088452B" w:rsidRDefault="004112E2">
            <w:pPr>
              <w:pStyle w:val="TableParagraph"/>
              <w:ind w:left="51"/>
            </w:pPr>
            <w:r>
              <w:t>Continuing</w:t>
            </w:r>
          </w:p>
        </w:tc>
      </w:tr>
      <w:tr w:rsidR="0088452B" w14:paraId="63524CBF" w14:textId="77777777">
        <w:trPr>
          <w:trHeight w:hRule="exact" w:val="318"/>
        </w:trPr>
        <w:tc>
          <w:tcPr>
            <w:tcW w:w="4272" w:type="dxa"/>
          </w:tcPr>
          <w:p w14:paraId="7B8B5003" w14:textId="77777777" w:rsidR="0088452B" w:rsidRDefault="004112E2">
            <w:pPr>
              <w:pStyle w:val="TableParagraph"/>
              <w:ind w:left="50"/>
            </w:pPr>
            <w:r>
              <w:t>Cost Payment Summary (CPS)</w:t>
            </w:r>
          </w:p>
        </w:tc>
        <w:tc>
          <w:tcPr>
            <w:tcW w:w="1116" w:type="dxa"/>
          </w:tcPr>
          <w:p w14:paraId="2A898C5C" w14:textId="77777777" w:rsidR="0088452B" w:rsidRDefault="004112E2">
            <w:pPr>
              <w:pStyle w:val="TableParagraph"/>
              <w:ind w:left="50"/>
            </w:pPr>
            <w:r>
              <w:t>Core</w:t>
            </w:r>
          </w:p>
        </w:tc>
        <w:tc>
          <w:tcPr>
            <w:tcW w:w="2695" w:type="dxa"/>
          </w:tcPr>
          <w:p w14:paraId="79DA7644" w14:textId="77777777" w:rsidR="0088452B" w:rsidRDefault="004112E2">
            <w:pPr>
              <w:pStyle w:val="TableParagraph"/>
              <w:ind w:left="50"/>
            </w:pPr>
            <w:r>
              <w:t>All (Round 83-91)</w:t>
            </w:r>
          </w:p>
        </w:tc>
        <w:tc>
          <w:tcPr>
            <w:tcW w:w="1490" w:type="dxa"/>
          </w:tcPr>
          <w:p w14:paraId="4CF80E88" w14:textId="77777777" w:rsidR="0088452B" w:rsidRDefault="004112E2">
            <w:pPr>
              <w:pStyle w:val="TableParagraph"/>
              <w:ind w:left="51"/>
            </w:pPr>
            <w:r>
              <w:t>Continuing</w:t>
            </w:r>
          </w:p>
        </w:tc>
      </w:tr>
    </w:tbl>
    <w:p w14:paraId="67573751" w14:textId="77777777" w:rsidR="0088452B" w:rsidRDefault="0088452B">
      <w:pPr>
        <w:sectPr w:rsidR="0088452B">
          <w:pgSz w:w="12240" w:h="15840"/>
          <w:pgMar w:top="1300" w:right="1200" w:bottom="940" w:left="1240" w:header="0" w:footer="745" w:gutter="0"/>
          <w:cols w:space="720"/>
        </w:sect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72"/>
        <w:gridCol w:w="1116"/>
        <w:gridCol w:w="2695"/>
        <w:gridCol w:w="1490"/>
      </w:tblGrid>
      <w:tr w:rsidR="0088452B" w14:paraId="60263D0B" w14:textId="77777777">
        <w:trPr>
          <w:trHeight w:hRule="exact" w:val="1360"/>
        </w:trPr>
        <w:tc>
          <w:tcPr>
            <w:tcW w:w="4272" w:type="dxa"/>
            <w:shd w:val="clear" w:color="auto" w:fill="D9D9D9"/>
          </w:tcPr>
          <w:p w14:paraId="17F208E7" w14:textId="77777777" w:rsidR="0088452B" w:rsidRDefault="0088452B">
            <w:pPr>
              <w:pStyle w:val="TableParagraph"/>
              <w:spacing w:before="5"/>
              <w:rPr>
                <w:b/>
                <w:sz w:val="24"/>
              </w:rPr>
            </w:pPr>
          </w:p>
          <w:p w14:paraId="3B4C3DAA" w14:textId="77777777" w:rsidR="0088452B" w:rsidRDefault="004112E2">
            <w:pPr>
              <w:pStyle w:val="TableParagraph"/>
              <w:spacing w:before="1"/>
              <w:ind w:left="312" w:right="312"/>
              <w:jc w:val="center"/>
              <w:rPr>
                <w:b/>
              </w:rPr>
            </w:pPr>
            <w:r>
              <w:rPr>
                <w:b/>
              </w:rPr>
              <w:t>Section</w:t>
            </w:r>
          </w:p>
          <w:p w14:paraId="76E681FD" w14:textId="77777777" w:rsidR="0088452B" w:rsidRDefault="004112E2">
            <w:pPr>
              <w:pStyle w:val="TableParagraph"/>
              <w:spacing w:before="29"/>
              <w:ind w:left="312" w:right="313"/>
              <w:jc w:val="center"/>
            </w:pPr>
            <w:r>
              <w:t>Listed in the order in which the section is administered.</w:t>
            </w:r>
          </w:p>
        </w:tc>
        <w:tc>
          <w:tcPr>
            <w:tcW w:w="1116" w:type="dxa"/>
            <w:shd w:val="clear" w:color="auto" w:fill="D9D9D9"/>
          </w:tcPr>
          <w:p w14:paraId="0415C1F2" w14:textId="77777777" w:rsidR="0088452B" w:rsidRDefault="004112E2">
            <w:pPr>
              <w:pStyle w:val="TableParagraph"/>
              <w:spacing w:before="170"/>
              <w:ind w:left="181" w:right="182" w:firstLine="15"/>
              <w:jc w:val="both"/>
            </w:pPr>
            <w:r>
              <w:rPr>
                <w:b/>
              </w:rPr>
              <w:t xml:space="preserve">Type of Section </w:t>
            </w:r>
            <w:r>
              <w:t>(Core or Topical)</w:t>
            </w:r>
          </w:p>
        </w:tc>
        <w:tc>
          <w:tcPr>
            <w:tcW w:w="2695" w:type="dxa"/>
            <w:shd w:val="clear" w:color="auto" w:fill="D9D9D9"/>
          </w:tcPr>
          <w:p w14:paraId="51BE1E48" w14:textId="77777777" w:rsidR="0088452B" w:rsidRDefault="0088452B">
            <w:pPr>
              <w:pStyle w:val="TableParagraph"/>
              <w:spacing w:before="0"/>
              <w:rPr>
                <w:b/>
                <w:sz w:val="24"/>
              </w:rPr>
            </w:pPr>
          </w:p>
          <w:p w14:paraId="059C80EF" w14:textId="77777777" w:rsidR="0088452B" w:rsidRDefault="004112E2">
            <w:pPr>
              <w:pStyle w:val="TableParagraph"/>
              <w:spacing w:before="147" w:line="252" w:lineRule="exact"/>
              <w:ind w:left="132" w:right="134"/>
              <w:jc w:val="center"/>
              <w:rPr>
                <w:b/>
              </w:rPr>
            </w:pPr>
            <w:r>
              <w:rPr>
                <w:b/>
              </w:rPr>
              <w:t>Season of Administration</w:t>
            </w:r>
          </w:p>
          <w:p w14:paraId="600AFCF5" w14:textId="77777777" w:rsidR="0088452B" w:rsidRDefault="004112E2">
            <w:pPr>
              <w:pStyle w:val="TableParagraph"/>
              <w:spacing w:before="0" w:line="252" w:lineRule="exact"/>
              <w:ind w:left="132" w:right="133"/>
              <w:jc w:val="center"/>
            </w:pPr>
            <w:r>
              <w:t>(Rounds Administered)</w:t>
            </w:r>
          </w:p>
        </w:tc>
        <w:tc>
          <w:tcPr>
            <w:tcW w:w="1490" w:type="dxa"/>
            <w:shd w:val="clear" w:color="auto" w:fill="D9D9D9"/>
          </w:tcPr>
          <w:p w14:paraId="20971C52" w14:textId="77777777" w:rsidR="0088452B" w:rsidRDefault="004112E2">
            <w:pPr>
              <w:pStyle w:val="TableParagraph"/>
              <w:spacing w:before="28" w:line="247" w:lineRule="auto"/>
              <w:ind w:left="219" w:right="216" w:hanging="1"/>
              <w:jc w:val="center"/>
            </w:pPr>
            <w:r>
              <w:rPr>
                <w:b/>
              </w:rPr>
              <w:t xml:space="preserve">Interview Type </w:t>
            </w:r>
            <w:r>
              <w:t xml:space="preserve">(Baseline, </w:t>
            </w:r>
            <w:r>
              <w:rPr>
                <w:w w:val="95"/>
              </w:rPr>
              <w:t xml:space="preserve">Continuing, </w:t>
            </w:r>
            <w:r>
              <w:t>Both)</w:t>
            </w:r>
          </w:p>
        </w:tc>
      </w:tr>
      <w:tr w:rsidR="0088452B" w14:paraId="60AB1842" w14:textId="77777777">
        <w:trPr>
          <w:trHeight w:hRule="exact" w:val="318"/>
        </w:trPr>
        <w:tc>
          <w:tcPr>
            <w:tcW w:w="4272" w:type="dxa"/>
          </w:tcPr>
          <w:p w14:paraId="3600C53C" w14:textId="77777777" w:rsidR="0088452B" w:rsidRDefault="004112E2">
            <w:pPr>
              <w:pStyle w:val="TableParagraph"/>
              <w:ind w:left="50"/>
            </w:pPr>
            <w:r>
              <w:t>Mobility of Beneficiaries (MBQ)</w:t>
            </w:r>
          </w:p>
        </w:tc>
        <w:tc>
          <w:tcPr>
            <w:tcW w:w="1116" w:type="dxa"/>
          </w:tcPr>
          <w:p w14:paraId="569B5A66" w14:textId="77777777" w:rsidR="0088452B" w:rsidRDefault="004112E2">
            <w:pPr>
              <w:pStyle w:val="TableParagraph"/>
              <w:ind w:left="50"/>
            </w:pPr>
            <w:r>
              <w:t>Topical</w:t>
            </w:r>
          </w:p>
        </w:tc>
        <w:tc>
          <w:tcPr>
            <w:tcW w:w="2695" w:type="dxa"/>
          </w:tcPr>
          <w:p w14:paraId="20E7DF76" w14:textId="77777777" w:rsidR="0088452B" w:rsidRDefault="004112E2">
            <w:pPr>
              <w:pStyle w:val="TableParagraph"/>
              <w:ind w:left="50"/>
            </w:pPr>
            <w:r>
              <w:t>All (Round 83-91)</w:t>
            </w:r>
          </w:p>
        </w:tc>
        <w:tc>
          <w:tcPr>
            <w:tcW w:w="1490" w:type="dxa"/>
          </w:tcPr>
          <w:p w14:paraId="7A7474A0" w14:textId="77777777" w:rsidR="0088452B" w:rsidRDefault="004112E2">
            <w:pPr>
              <w:pStyle w:val="TableParagraph"/>
              <w:ind w:left="51"/>
            </w:pPr>
            <w:r>
              <w:t>Both</w:t>
            </w:r>
          </w:p>
        </w:tc>
      </w:tr>
      <w:tr w:rsidR="0088452B" w14:paraId="1C0E1BF6" w14:textId="77777777">
        <w:trPr>
          <w:trHeight w:hRule="exact" w:val="318"/>
        </w:trPr>
        <w:tc>
          <w:tcPr>
            <w:tcW w:w="4272" w:type="dxa"/>
          </w:tcPr>
          <w:p w14:paraId="1ECE78D1" w14:textId="77777777" w:rsidR="0088452B" w:rsidRDefault="004112E2">
            <w:pPr>
              <w:pStyle w:val="TableParagraph"/>
              <w:ind w:left="50"/>
            </w:pPr>
            <w:r>
              <w:t>Preventive Care (PVQ)*</w:t>
            </w:r>
          </w:p>
        </w:tc>
        <w:tc>
          <w:tcPr>
            <w:tcW w:w="1116" w:type="dxa"/>
          </w:tcPr>
          <w:p w14:paraId="71FD9F6C" w14:textId="77777777" w:rsidR="0088452B" w:rsidRDefault="004112E2">
            <w:pPr>
              <w:pStyle w:val="TableParagraph"/>
              <w:ind w:left="50"/>
            </w:pPr>
            <w:r>
              <w:t>Topical</w:t>
            </w:r>
          </w:p>
        </w:tc>
        <w:tc>
          <w:tcPr>
            <w:tcW w:w="2695" w:type="dxa"/>
          </w:tcPr>
          <w:p w14:paraId="29D9E69A" w14:textId="77777777" w:rsidR="0088452B" w:rsidRDefault="004112E2">
            <w:pPr>
              <w:pStyle w:val="TableParagraph"/>
              <w:ind w:left="50"/>
            </w:pPr>
            <w:r>
              <w:t>All (Round 83-91)</w:t>
            </w:r>
          </w:p>
        </w:tc>
        <w:tc>
          <w:tcPr>
            <w:tcW w:w="1490" w:type="dxa"/>
          </w:tcPr>
          <w:p w14:paraId="277058DF" w14:textId="77777777" w:rsidR="0088452B" w:rsidRDefault="004112E2">
            <w:pPr>
              <w:pStyle w:val="TableParagraph"/>
              <w:ind w:left="51"/>
            </w:pPr>
            <w:r>
              <w:t>Both</w:t>
            </w:r>
          </w:p>
        </w:tc>
      </w:tr>
      <w:tr w:rsidR="0088452B" w14:paraId="5A0C86C4" w14:textId="77777777">
        <w:trPr>
          <w:trHeight w:hRule="exact" w:val="318"/>
        </w:trPr>
        <w:tc>
          <w:tcPr>
            <w:tcW w:w="4272" w:type="dxa"/>
          </w:tcPr>
          <w:p w14:paraId="645361A4" w14:textId="77777777" w:rsidR="0088452B" w:rsidRDefault="004112E2">
            <w:pPr>
              <w:pStyle w:val="TableParagraph"/>
              <w:ind w:left="50"/>
            </w:pPr>
            <w:r>
              <w:t>Health Status and Functioning (HFQ)*</w:t>
            </w:r>
          </w:p>
        </w:tc>
        <w:tc>
          <w:tcPr>
            <w:tcW w:w="1116" w:type="dxa"/>
          </w:tcPr>
          <w:p w14:paraId="6DD5B009" w14:textId="77777777" w:rsidR="0088452B" w:rsidRDefault="004112E2">
            <w:pPr>
              <w:pStyle w:val="TableParagraph"/>
              <w:ind w:left="50"/>
            </w:pPr>
            <w:r>
              <w:t>Core</w:t>
            </w:r>
          </w:p>
        </w:tc>
        <w:tc>
          <w:tcPr>
            <w:tcW w:w="2695" w:type="dxa"/>
          </w:tcPr>
          <w:p w14:paraId="39CF32D8" w14:textId="77777777" w:rsidR="0088452B" w:rsidRDefault="004112E2">
            <w:pPr>
              <w:pStyle w:val="TableParagraph"/>
              <w:ind w:left="50"/>
            </w:pPr>
            <w:r>
              <w:t>Fall (Rounds 85, 88, 91)</w:t>
            </w:r>
          </w:p>
        </w:tc>
        <w:tc>
          <w:tcPr>
            <w:tcW w:w="1490" w:type="dxa"/>
          </w:tcPr>
          <w:p w14:paraId="5CDE5FC2" w14:textId="77777777" w:rsidR="0088452B" w:rsidRDefault="004112E2">
            <w:pPr>
              <w:pStyle w:val="TableParagraph"/>
              <w:ind w:left="51"/>
            </w:pPr>
            <w:r>
              <w:t>Both</w:t>
            </w:r>
          </w:p>
        </w:tc>
      </w:tr>
      <w:tr w:rsidR="0088452B" w14:paraId="1BB44CB6" w14:textId="77777777">
        <w:trPr>
          <w:trHeight w:hRule="exact" w:val="318"/>
        </w:trPr>
        <w:tc>
          <w:tcPr>
            <w:tcW w:w="4272" w:type="dxa"/>
          </w:tcPr>
          <w:p w14:paraId="2D9AFF9F" w14:textId="77777777" w:rsidR="0088452B" w:rsidRDefault="004112E2">
            <w:pPr>
              <w:pStyle w:val="TableParagraph"/>
              <w:ind w:left="50"/>
            </w:pPr>
            <w:r>
              <w:t>Chronic Pain (CPQ)*</w:t>
            </w:r>
          </w:p>
        </w:tc>
        <w:tc>
          <w:tcPr>
            <w:tcW w:w="1116" w:type="dxa"/>
          </w:tcPr>
          <w:p w14:paraId="2E4D3840" w14:textId="77777777" w:rsidR="0088452B" w:rsidRDefault="004112E2">
            <w:pPr>
              <w:pStyle w:val="TableParagraph"/>
              <w:ind w:left="50"/>
            </w:pPr>
            <w:r>
              <w:t>Topical</w:t>
            </w:r>
          </w:p>
        </w:tc>
        <w:tc>
          <w:tcPr>
            <w:tcW w:w="2695" w:type="dxa"/>
          </w:tcPr>
          <w:p w14:paraId="6373BFA5" w14:textId="77777777" w:rsidR="0088452B" w:rsidRDefault="004112E2">
            <w:pPr>
              <w:pStyle w:val="TableParagraph"/>
              <w:ind w:left="50"/>
            </w:pPr>
            <w:r>
              <w:t>Summer (Rounds 84, 87, 90)</w:t>
            </w:r>
          </w:p>
        </w:tc>
        <w:tc>
          <w:tcPr>
            <w:tcW w:w="1490" w:type="dxa"/>
          </w:tcPr>
          <w:p w14:paraId="6A8C1952" w14:textId="77777777" w:rsidR="0088452B" w:rsidRDefault="004112E2">
            <w:pPr>
              <w:pStyle w:val="TableParagraph"/>
              <w:ind w:left="51"/>
            </w:pPr>
            <w:r>
              <w:t>Continuing</w:t>
            </w:r>
          </w:p>
        </w:tc>
      </w:tr>
      <w:tr w:rsidR="0088452B" w14:paraId="748FF2BD" w14:textId="77777777">
        <w:trPr>
          <w:trHeight w:hRule="exact" w:val="318"/>
        </w:trPr>
        <w:tc>
          <w:tcPr>
            <w:tcW w:w="4272" w:type="dxa"/>
          </w:tcPr>
          <w:p w14:paraId="6EEFA780" w14:textId="77777777" w:rsidR="0088452B" w:rsidRDefault="004112E2">
            <w:pPr>
              <w:pStyle w:val="TableParagraph"/>
              <w:ind w:left="50"/>
            </w:pPr>
            <w:r>
              <w:t>Nicotine and Alcohol Use (NAQ)</w:t>
            </w:r>
          </w:p>
        </w:tc>
        <w:tc>
          <w:tcPr>
            <w:tcW w:w="1116" w:type="dxa"/>
          </w:tcPr>
          <w:p w14:paraId="7AF9BAFA" w14:textId="77777777" w:rsidR="0088452B" w:rsidRDefault="004112E2">
            <w:pPr>
              <w:pStyle w:val="TableParagraph"/>
              <w:ind w:left="50"/>
            </w:pPr>
            <w:r>
              <w:t>Topical</w:t>
            </w:r>
          </w:p>
        </w:tc>
        <w:tc>
          <w:tcPr>
            <w:tcW w:w="2695" w:type="dxa"/>
          </w:tcPr>
          <w:p w14:paraId="59871529" w14:textId="77777777" w:rsidR="0088452B" w:rsidRDefault="004112E2">
            <w:pPr>
              <w:pStyle w:val="TableParagraph"/>
              <w:ind w:left="50"/>
            </w:pPr>
            <w:r>
              <w:t>Fall (Rounds 85, 88, 91)</w:t>
            </w:r>
          </w:p>
        </w:tc>
        <w:tc>
          <w:tcPr>
            <w:tcW w:w="1490" w:type="dxa"/>
          </w:tcPr>
          <w:p w14:paraId="2E43A7FA" w14:textId="77777777" w:rsidR="0088452B" w:rsidRDefault="004112E2">
            <w:pPr>
              <w:pStyle w:val="TableParagraph"/>
              <w:ind w:left="51"/>
            </w:pPr>
            <w:r>
              <w:t>Both</w:t>
            </w:r>
          </w:p>
        </w:tc>
      </w:tr>
      <w:tr w:rsidR="0088452B" w14:paraId="551F028A" w14:textId="77777777">
        <w:trPr>
          <w:trHeight w:hRule="exact" w:val="318"/>
        </w:trPr>
        <w:tc>
          <w:tcPr>
            <w:tcW w:w="4272" w:type="dxa"/>
          </w:tcPr>
          <w:p w14:paraId="51604375" w14:textId="77777777" w:rsidR="0088452B" w:rsidRDefault="004112E2">
            <w:pPr>
              <w:pStyle w:val="TableParagraph"/>
              <w:ind w:left="50"/>
            </w:pPr>
            <w:r>
              <w:t>Satisfaction with Care (SCQ)</w:t>
            </w:r>
          </w:p>
        </w:tc>
        <w:tc>
          <w:tcPr>
            <w:tcW w:w="1116" w:type="dxa"/>
          </w:tcPr>
          <w:p w14:paraId="7508B0A6" w14:textId="77777777" w:rsidR="0088452B" w:rsidRDefault="004112E2">
            <w:pPr>
              <w:pStyle w:val="TableParagraph"/>
              <w:ind w:left="50"/>
            </w:pPr>
            <w:r>
              <w:t>Core</w:t>
            </w:r>
          </w:p>
        </w:tc>
        <w:tc>
          <w:tcPr>
            <w:tcW w:w="2695" w:type="dxa"/>
          </w:tcPr>
          <w:p w14:paraId="696DC5A4" w14:textId="77777777" w:rsidR="0088452B" w:rsidRDefault="004112E2">
            <w:pPr>
              <w:pStyle w:val="TableParagraph"/>
              <w:ind w:left="50"/>
            </w:pPr>
            <w:r>
              <w:t>Fall (Rounds 85, 88, 91)</w:t>
            </w:r>
          </w:p>
        </w:tc>
        <w:tc>
          <w:tcPr>
            <w:tcW w:w="1490" w:type="dxa"/>
          </w:tcPr>
          <w:p w14:paraId="33440FCD" w14:textId="77777777" w:rsidR="0088452B" w:rsidRDefault="004112E2">
            <w:pPr>
              <w:pStyle w:val="TableParagraph"/>
              <w:ind w:left="51"/>
            </w:pPr>
            <w:r>
              <w:t>Both</w:t>
            </w:r>
          </w:p>
        </w:tc>
      </w:tr>
      <w:tr w:rsidR="0088452B" w14:paraId="6892F487" w14:textId="77777777">
        <w:trPr>
          <w:trHeight w:hRule="exact" w:val="318"/>
        </w:trPr>
        <w:tc>
          <w:tcPr>
            <w:tcW w:w="4272" w:type="dxa"/>
          </w:tcPr>
          <w:p w14:paraId="21B14486" w14:textId="77777777" w:rsidR="0088452B" w:rsidRDefault="004112E2">
            <w:pPr>
              <w:pStyle w:val="TableParagraph"/>
              <w:ind w:left="50"/>
            </w:pPr>
            <w:r>
              <w:t>Demographics and Income (DIQ)</w:t>
            </w:r>
          </w:p>
        </w:tc>
        <w:tc>
          <w:tcPr>
            <w:tcW w:w="1116" w:type="dxa"/>
          </w:tcPr>
          <w:p w14:paraId="289E7ABC" w14:textId="77777777" w:rsidR="0088452B" w:rsidRDefault="004112E2">
            <w:pPr>
              <w:pStyle w:val="TableParagraph"/>
              <w:ind w:left="50"/>
            </w:pPr>
            <w:r>
              <w:t>Core</w:t>
            </w:r>
          </w:p>
        </w:tc>
        <w:tc>
          <w:tcPr>
            <w:tcW w:w="2695" w:type="dxa"/>
          </w:tcPr>
          <w:p w14:paraId="62D73EA9" w14:textId="77777777" w:rsidR="0088452B" w:rsidRDefault="004112E2">
            <w:pPr>
              <w:pStyle w:val="TableParagraph"/>
              <w:ind w:left="50"/>
            </w:pPr>
            <w:r>
              <w:t>Fall (Rounds 85, 88, 91)</w:t>
            </w:r>
          </w:p>
        </w:tc>
        <w:tc>
          <w:tcPr>
            <w:tcW w:w="1490" w:type="dxa"/>
          </w:tcPr>
          <w:p w14:paraId="768BB45B" w14:textId="77777777" w:rsidR="0088452B" w:rsidRDefault="004112E2">
            <w:pPr>
              <w:pStyle w:val="TableParagraph"/>
              <w:ind w:left="51"/>
            </w:pPr>
            <w:r>
              <w:t>Baseline</w:t>
            </w:r>
          </w:p>
        </w:tc>
      </w:tr>
      <w:tr w:rsidR="0088452B" w14:paraId="6C1C62CA" w14:textId="77777777">
        <w:trPr>
          <w:trHeight w:hRule="exact" w:val="571"/>
        </w:trPr>
        <w:tc>
          <w:tcPr>
            <w:tcW w:w="4272" w:type="dxa"/>
          </w:tcPr>
          <w:p w14:paraId="68BBC76A" w14:textId="77777777" w:rsidR="0088452B" w:rsidRDefault="004112E2">
            <w:pPr>
              <w:pStyle w:val="TableParagraph"/>
              <w:ind w:left="50" w:right="623"/>
            </w:pPr>
            <w:r>
              <w:t>Beneficiary Knowledge and Information Needs (KNQ)</w:t>
            </w:r>
          </w:p>
        </w:tc>
        <w:tc>
          <w:tcPr>
            <w:tcW w:w="1116" w:type="dxa"/>
          </w:tcPr>
          <w:p w14:paraId="06DE2EB0" w14:textId="77777777" w:rsidR="0088452B" w:rsidRDefault="004112E2">
            <w:pPr>
              <w:pStyle w:val="TableParagraph"/>
              <w:ind w:left="50"/>
            </w:pPr>
            <w:r>
              <w:t>Topical</w:t>
            </w:r>
          </w:p>
        </w:tc>
        <w:tc>
          <w:tcPr>
            <w:tcW w:w="2695" w:type="dxa"/>
          </w:tcPr>
          <w:p w14:paraId="14B1CF1C" w14:textId="77777777" w:rsidR="0088452B" w:rsidRDefault="004112E2">
            <w:pPr>
              <w:pStyle w:val="TableParagraph"/>
              <w:ind w:left="50"/>
            </w:pPr>
            <w:r>
              <w:t>Winter (Rounds 83, 86, 89)</w:t>
            </w:r>
          </w:p>
        </w:tc>
        <w:tc>
          <w:tcPr>
            <w:tcW w:w="1490" w:type="dxa"/>
          </w:tcPr>
          <w:p w14:paraId="04632F5B" w14:textId="77777777" w:rsidR="0088452B" w:rsidRDefault="004112E2">
            <w:pPr>
              <w:pStyle w:val="TableParagraph"/>
              <w:ind w:left="51"/>
            </w:pPr>
            <w:r>
              <w:t>Continuing</w:t>
            </w:r>
          </w:p>
        </w:tc>
      </w:tr>
      <w:tr w:rsidR="0088452B" w14:paraId="6154BF41" w14:textId="77777777">
        <w:trPr>
          <w:trHeight w:hRule="exact" w:val="318"/>
        </w:trPr>
        <w:tc>
          <w:tcPr>
            <w:tcW w:w="4272" w:type="dxa"/>
          </w:tcPr>
          <w:p w14:paraId="1806CA15" w14:textId="77777777" w:rsidR="0088452B" w:rsidRDefault="004112E2">
            <w:pPr>
              <w:pStyle w:val="TableParagraph"/>
              <w:ind w:left="50"/>
            </w:pPr>
            <w:r>
              <w:t>Usual Source of Care (USQ)</w:t>
            </w:r>
          </w:p>
        </w:tc>
        <w:tc>
          <w:tcPr>
            <w:tcW w:w="1116" w:type="dxa"/>
          </w:tcPr>
          <w:p w14:paraId="57835448" w14:textId="77777777" w:rsidR="0088452B" w:rsidRDefault="004112E2">
            <w:pPr>
              <w:pStyle w:val="TableParagraph"/>
              <w:ind w:left="50"/>
            </w:pPr>
            <w:r>
              <w:t>Core</w:t>
            </w:r>
          </w:p>
        </w:tc>
        <w:tc>
          <w:tcPr>
            <w:tcW w:w="2695" w:type="dxa"/>
          </w:tcPr>
          <w:p w14:paraId="64452106" w14:textId="77777777" w:rsidR="0088452B" w:rsidRDefault="004112E2">
            <w:pPr>
              <w:pStyle w:val="TableParagraph"/>
              <w:ind w:left="50"/>
            </w:pPr>
            <w:r>
              <w:t>Winter (Rounds 83, 86, 89)</w:t>
            </w:r>
          </w:p>
        </w:tc>
        <w:tc>
          <w:tcPr>
            <w:tcW w:w="1490" w:type="dxa"/>
          </w:tcPr>
          <w:p w14:paraId="4B10DF56" w14:textId="77777777" w:rsidR="0088452B" w:rsidRDefault="004112E2">
            <w:pPr>
              <w:pStyle w:val="TableParagraph"/>
              <w:ind w:left="51"/>
            </w:pPr>
            <w:r>
              <w:t>Continuing</w:t>
            </w:r>
          </w:p>
        </w:tc>
      </w:tr>
      <w:tr w:rsidR="0088452B" w14:paraId="7CC25479" w14:textId="77777777">
        <w:trPr>
          <w:trHeight w:hRule="exact" w:val="318"/>
        </w:trPr>
        <w:tc>
          <w:tcPr>
            <w:tcW w:w="4272" w:type="dxa"/>
          </w:tcPr>
          <w:p w14:paraId="0B3A18BA" w14:textId="77777777" w:rsidR="0088452B" w:rsidRDefault="004112E2">
            <w:pPr>
              <w:pStyle w:val="TableParagraph"/>
              <w:ind w:left="50"/>
            </w:pPr>
            <w:r>
              <w:t>Income and Assets (IAQ)</w:t>
            </w:r>
          </w:p>
        </w:tc>
        <w:tc>
          <w:tcPr>
            <w:tcW w:w="1116" w:type="dxa"/>
          </w:tcPr>
          <w:p w14:paraId="4ED35190" w14:textId="77777777" w:rsidR="0088452B" w:rsidRDefault="004112E2">
            <w:pPr>
              <w:pStyle w:val="TableParagraph"/>
              <w:ind w:left="50"/>
            </w:pPr>
            <w:r>
              <w:t>Core</w:t>
            </w:r>
          </w:p>
        </w:tc>
        <w:tc>
          <w:tcPr>
            <w:tcW w:w="2695" w:type="dxa"/>
          </w:tcPr>
          <w:p w14:paraId="1BECF1C8" w14:textId="77777777" w:rsidR="0088452B" w:rsidRDefault="004112E2">
            <w:pPr>
              <w:pStyle w:val="TableParagraph"/>
              <w:ind w:left="50"/>
            </w:pPr>
            <w:r>
              <w:t>Summer (Rounds 84, 87, 90)</w:t>
            </w:r>
          </w:p>
        </w:tc>
        <w:tc>
          <w:tcPr>
            <w:tcW w:w="1490" w:type="dxa"/>
          </w:tcPr>
          <w:p w14:paraId="6C0451C8" w14:textId="77777777" w:rsidR="0088452B" w:rsidRDefault="004112E2">
            <w:pPr>
              <w:pStyle w:val="TableParagraph"/>
              <w:ind w:left="51"/>
            </w:pPr>
            <w:r>
              <w:t>Continuing</w:t>
            </w:r>
          </w:p>
        </w:tc>
      </w:tr>
      <w:tr w:rsidR="0088452B" w14:paraId="24EA56F5" w14:textId="77777777">
        <w:trPr>
          <w:trHeight w:hRule="exact" w:val="318"/>
        </w:trPr>
        <w:tc>
          <w:tcPr>
            <w:tcW w:w="4272" w:type="dxa"/>
          </w:tcPr>
          <w:p w14:paraId="462F98AC" w14:textId="77777777" w:rsidR="0088452B" w:rsidRDefault="004112E2">
            <w:pPr>
              <w:pStyle w:val="TableParagraph"/>
              <w:ind w:left="50"/>
            </w:pPr>
            <w:r>
              <w:t>Chronic Pain Questionnaire (CPQ)</w:t>
            </w:r>
          </w:p>
        </w:tc>
        <w:tc>
          <w:tcPr>
            <w:tcW w:w="1116" w:type="dxa"/>
          </w:tcPr>
          <w:p w14:paraId="2B00DBEC" w14:textId="77777777" w:rsidR="0088452B" w:rsidRDefault="004112E2">
            <w:pPr>
              <w:pStyle w:val="TableParagraph"/>
              <w:ind w:left="50"/>
            </w:pPr>
            <w:r>
              <w:t>Topical</w:t>
            </w:r>
          </w:p>
        </w:tc>
        <w:tc>
          <w:tcPr>
            <w:tcW w:w="2695" w:type="dxa"/>
          </w:tcPr>
          <w:p w14:paraId="5B01B39D" w14:textId="77777777" w:rsidR="0088452B" w:rsidRDefault="004112E2">
            <w:pPr>
              <w:pStyle w:val="TableParagraph"/>
              <w:ind w:left="50"/>
            </w:pPr>
            <w:r>
              <w:t>Summer (Rounds 84, 87, 90)</w:t>
            </w:r>
          </w:p>
        </w:tc>
        <w:tc>
          <w:tcPr>
            <w:tcW w:w="1490" w:type="dxa"/>
          </w:tcPr>
          <w:p w14:paraId="6B5487CB" w14:textId="77777777" w:rsidR="0088452B" w:rsidRDefault="004112E2">
            <w:pPr>
              <w:pStyle w:val="TableParagraph"/>
              <w:ind w:left="51"/>
            </w:pPr>
            <w:r>
              <w:t>Continuing</w:t>
            </w:r>
          </w:p>
        </w:tc>
      </w:tr>
      <w:tr w:rsidR="0088452B" w14:paraId="5A46FDEA" w14:textId="77777777">
        <w:trPr>
          <w:trHeight w:hRule="exact" w:val="601"/>
        </w:trPr>
        <w:tc>
          <w:tcPr>
            <w:tcW w:w="4272" w:type="dxa"/>
          </w:tcPr>
          <w:p w14:paraId="4D16B12C" w14:textId="77777777" w:rsidR="0088452B" w:rsidRDefault="004112E2">
            <w:pPr>
              <w:pStyle w:val="TableParagraph"/>
              <w:spacing w:line="268" w:lineRule="auto"/>
              <w:ind w:left="50" w:right="2181"/>
            </w:pPr>
            <w:r>
              <w:t>Drug Coverage (RXQ) Chronic Pain (CPQ)</w:t>
            </w:r>
          </w:p>
        </w:tc>
        <w:tc>
          <w:tcPr>
            <w:tcW w:w="1116" w:type="dxa"/>
          </w:tcPr>
          <w:p w14:paraId="7A97B95A" w14:textId="77777777" w:rsidR="0088452B" w:rsidRDefault="004112E2">
            <w:pPr>
              <w:pStyle w:val="TableParagraph"/>
              <w:spacing w:line="268" w:lineRule="auto"/>
              <w:ind w:left="50" w:right="369"/>
            </w:pPr>
            <w:r>
              <w:t>Topical Topical</w:t>
            </w:r>
          </w:p>
        </w:tc>
        <w:tc>
          <w:tcPr>
            <w:tcW w:w="2695" w:type="dxa"/>
          </w:tcPr>
          <w:p w14:paraId="29AE9FC4" w14:textId="77777777" w:rsidR="0088452B" w:rsidRDefault="004112E2">
            <w:pPr>
              <w:pStyle w:val="TableParagraph"/>
              <w:ind w:left="50"/>
            </w:pPr>
            <w:r>
              <w:t>Summer (Rounds 84, 87, 90)</w:t>
            </w:r>
          </w:p>
          <w:p w14:paraId="2B33F59A" w14:textId="77777777" w:rsidR="0088452B" w:rsidRDefault="004112E2">
            <w:pPr>
              <w:pStyle w:val="TableParagraph"/>
              <w:spacing w:before="30"/>
              <w:ind w:left="50"/>
            </w:pPr>
            <w:r>
              <w:t>Summer (Rounds 84, 87, 90)</w:t>
            </w:r>
          </w:p>
        </w:tc>
        <w:tc>
          <w:tcPr>
            <w:tcW w:w="1490" w:type="dxa"/>
          </w:tcPr>
          <w:p w14:paraId="0361CECB" w14:textId="77777777" w:rsidR="0088452B" w:rsidRDefault="004112E2">
            <w:pPr>
              <w:pStyle w:val="TableParagraph"/>
              <w:spacing w:line="268" w:lineRule="auto"/>
              <w:ind w:left="51" w:right="424"/>
            </w:pPr>
            <w:r>
              <w:t>Continuing Continuing</w:t>
            </w:r>
          </w:p>
        </w:tc>
      </w:tr>
      <w:tr w:rsidR="0088452B" w14:paraId="6F7D91CF" w14:textId="77777777">
        <w:trPr>
          <w:trHeight w:hRule="exact" w:val="318"/>
        </w:trPr>
        <w:tc>
          <w:tcPr>
            <w:tcW w:w="4272" w:type="dxa"/>
          </w:tcPr>
          <w:p w14:paraId="7087CE60" w14:textId="77777777" w:rsidR="0088452B" w:rsidRDefault="004112E2">
            <w:pPr>
              <w:pStyle w:val="TableParagraph"/>
              <w:ind w:left="50"/>
            </w:pPr>
            <w:r>
              <w:t>End Section</w:t>
            </w:r>
          </w:p>
        </w:tc>
        <w:tc>
          <w:tcPr>
            <w:tcW w:w="1116" w:type="dxa"/>
          </w:tcPr>
          <w:p w14:paraId="250526F2" w14:textId="77777777" w:rsidR="0088452B" w:rsidRDefault="004112E2">
            <w:pPr>
              <w:pStyle w:val="TableParagraph"/>
              <w:ind w:left="50"/>
            </w:pPr>
            <w:r>
              <w:t>Core</w:t>
            </w:r>
          </w:p>
        </w:tc>
        <w:tc>
          <w:tcPr>
            <w:tcW w:w="2695" w:type="dxa"/>
          </w:tcPr>
          <w:p w14:paraId="51B3E54F" w14:textId="77777777" w:rsidR="0088452B" w:rsidRDefault="004112E2">
            <w:pPr>
              <w:pStyle w:val="TableParagraph"/>
              <w:ind w:left="50"/>
            </w:pPr>
            <w:r>
              <w:t>All (Round 83-91)</w:t>
            </w:r>
          </w:p>
        </w:tc>
        <w:tc>
          <w:tcPr>
            <w:tcW w:w="1490" w:type="dxa"/>
          </w:tcPr>
          <w:p w14:paraId="7D70E7E7" w14:textId="77777777" w:rsidR="0088452B" w:rsidRDefault="004112E2">
            <w:pPr>
              <w:pStyle w:val="TableParagraph"/>
              <w:ind w:left="51"/>
            </w:pPr>
            <w:r>
              <w:t>Both</w:t>
            </w:r>
          </w:p>
        </w:tc>
      </w:tr>
    </w:tbl>
    <w:p w14:paraId="3F4FAD02" w14:textId="77777777" w:rsidR="0088452B" w:rsidRDefault="0088452B">
      <w:pPr>
        <w:pStyle w:val="BodyText"/>
        <w:spacing w:before="10"/>
        <w:ind w:left="0"/>
        <w:rPr>
          <w:b/>
          <w:sz w:val="13"/>
        </w:rPr>
      </w:pPr>
    </w:p>
    <w:p w14:paraId="6EACF479" w14:textId="77777777" w:rsidR="0088452B" w:rsidRDefault="004112E2">
      <w:pPr>
        <w:pStyle w:val="BodyText"/>
        <w:spacing w:before="90"/>
        <w:ind w:right="108"/>
      </w:pPr>
      <w:r>
        <w:t>The Facility instrument collects information that is similar in content to the Community instrument. Table B.5 presents the sections that comprise the MCBS Facility instrument; all sections are considered core. As with the Community instrument, the content and order of administration varies based on season of data collection (Fall, Winter, Summer) and the type of interview (baseline, continuing).</w:t>
      </w:r>
    </w:p>
    <w:p w14:paraId="7C2BC27C" w14:textId="77777777" w:rsidR="0088452B" w:rsidRDefault="0088452B">
      <w:pPr>
        <w:pStyle w:val="BodyText"/>
        <w:spacing w:before="2"/>
        <w:ind w:left="0"/>
        <w:rPr>
          <w:sz w:val="22"/>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6"/>
        <w:gridCol w:w="3338"/>
        <w:gridCol w:w="1720"/>
      </w:tblGrid>
      <w:tr w:rsidR="0088452B" w14:paraId="4541B590" w14:textId="77777777">
        <w:trPr>
          <w:trHeight w:hRule="exact" w:val="854"/>
        </w:trPr>
        <w:tc>
          <w:tcPr>
            <w:tcW w:w="4516" w:type="dxa"/>
            <w:shd w:val="clear" w:color="auto" w:fill="D9D9D9"/>
          </w:tcPr>
          <w:p w14:paraId="35D10B0E" w14:textId="77777777" w:rsidR="0088452B" w:rsidRDefault="0088452B">
            <w:pPr>
              <w:pStyle w:val="TableParagraph"/>
              <w:spacing w:before="9"/>
              <w:rPr>
                <w:sz w:val="25"/>
              </w:rPr>
            </w:pPr>
          </w:p>
          <w:p w14:paraId="2FA1E33E" w14:textId="77777777" w:rsidR="0088452B" w:rsidRDefault="004112E2">
            <w:pPr>
              <w:pStyle w:val="TableParagraph"/>
              <w:spacing w:before="0"/>
              <w:ind w:left="1892" w:right="1893"/>
              <w:jc w:val="center"/>
              <w:rPr>
                <w:b/>
              </w:rPr>
            </w:pPr>
            <w:r>
              <w:rPr>
                <w:b/>
              </w:rPr>
              <w:t>Section</w:t>
            </w:r>
          </w:p>
        </w:tc>
        <w:tc>
          <w:tcPr>
            <w:tcW w:w="3338" w:type="dxa"/>
            <w:shd w:val="clear" w:color="auto" w:fill="D9D9D9"/>
          </w:tcPr>
          <w:p w14:paraId="70977C1D" w14:textId="77777777" w:rsidR="0088452B" w:rsidRDefault="004112E2">
            <w:pPr>
              <w:pStyle w:val="TableParagraph"/>
              <w:spacing w:before="168"/>
              <w:ind w:left="1031" w:right="56" w:hanging="958"/>
            </w:pPr>
            <w:r>
              <w:rPr>
                <w:b/>
              </w:rPr>
              <w:t xml:space="preserve">Season of Administration </w:t>
            </w:r>
            <w:r>
              <w:t>(Rounds Administered)</w:t>
            </w:r>
          </w:p>
        </w:tc>
        <w:tc>
          <w:tcPr>
            <w:tcW w:w="1720" w:type="dxa"/>
            <w:shd w:val="clear" w:color="auto" w:fill="D9D9D9"/>
          </w:tcPr>
          <w:p w14:paraId="7E816662" w14:textId="77777777" w:rsidR="0088452B" w:rsidRDefault="004112E2">
            <w:pPr>
              <w:pStyle w:val="TableParagraph"/>
              <w:spacing w:before="29" w:line="254" w:lineRule="auto"/>
              <w:ind w:left="56" w:right="53" w:hanging="2"/>
              <w:jc w:val="center"/>
            </w:pPr>
            <w:r>
              <w:rPr>
                <w:b/>
              </w:rPr>
              <w:t xml:space="preserve">Interview Type </w:t>
            </w:r>
            <w:r>
              <w:t>(Baseline, Continuing, Both)</w:t>
            </w:r>
          </w:p>
        </w:tc>
      </w:tr>
      <w:tr w:rsidR="0088452B" w14:paraId="394DEB7E" w14:textId="77777777">
        <w:trPr>
          <w:trHeight w:hRule="exact" w:val="318"/>
        </w:trPr>
        <w:tc>
          <w:tcPr>
            <w:tcW w:w="4516" w:type="dxa"/>
          </w:tcPr>
          <w:p w14:paraId="04DF27D0" w14:textId="77777777" w:rsidR="0088452B" w:rsidRDefault="004112E2">
            <w:pPr>
              <w:pStyle w:val="TableParagraph"/>
              <w:ind w:left="50"/>
            </w:pPr>
            <w:r>
              <w:t>Facility Questionnaire (FQ)*</w:t>
            </w:r>
          </w:p>
        </w:tc>
        <w:tc>
          <w:tcPr>
            <w:tcW w:w="3338" w:type="dxa"/>
          </w:tcPr>
          <w:p w14:paraId="00070985" w14:textId="77777777" w:rsidR="0088452B" w:rsidRDefault="004112E2">
            <w:pPr>
              <w:pStyle w:val="TableParagraph"/>
              <w:ind w:left="51"/>
            </w:pPr>
            <w:r>
              <w:t>All (Round 83-91)</w:t>
            </w:r>
          </w:p>
        </w:tc>
        <w:tc>
          <w:tcPr>
            <w:tcW w:w="1720" w:type="dxa"/>
          </w:tcPr>
          <w:p w14:paraId="2904D436" w14:textId="77777777" w:rsidR="0088452B" w:rsidRDefault="004112E2">
            <w:pPr>
              <w:pStyle w:val="TableParagraph"/>
              <w:ind w:left="51"/>
            </w:pPr>
            <w:r>
              <w:t>Both</w:t>
            </w:r>
          </w:p>
        </w:tc>
      </w:tr>
      <w:tr w:rsidR="0088452B" w14:paraId="0E92A6CA" w14:textId="77777777">
        <w:trPr>
          <w:trHeight w:hRule="exact" w:val="318"/>
        </w:trPr>
        <w:tc>
          <w:tcPr>
            <w:tcW w:w="4516" w:type="dxa"/>
          </w:tcPr>
          <w:p w14:paraId="7D501A02" w14:textId="77777777" w:rsidR="0088452B" w:rsidRDefault="004112E2">
            <w:pPr>
              <w:pStyle w:val="TableParagraph"/>
              <w:ind w:left="50"/>
            </w:pPr>
            <w:r>
              <w:t>Residence History (RH)</w:t>
            </w:r>
          </w:p>
        </w:tc>
        <w:tc>
          <w:tcPr>
            <w:tcW w:w="3338" w:type="dxa"/>
          </w:tcPr>
          <w:p w14:paraId="0502CBBF" w14:textId="77777777" w:rsidR="0088452B" w:rsidRDefault="004112E2">
            <w:pPr>
              <w:pStyle w:val="TableParagraph"/>
              <w:ind w:left="51"/>
            </w:pPr>
            <w:r>
              <w:t>All (Round 83-91)</w:t>
            </w:r>
          </w:p>
        </w:tc>
        <w:tc>
          <w:tcPr>
            <w:tcW w:w="1720" w:type="dxa"/>
          </w:tcPr>
          <w:p w14:paraId="574F0C2B" w14:textId="77777777" w:rsidR="0088452B" w:rsidRDefault="004112E2">
            <w:pPr>
              <w:pStyle w:val="TableParagraph"/>
              <w:ind w:left="51"/>
            </w:pPr>
            <w:r>
              <w:t>Both</w:t>
            </w:r>
          </w:p>
        </w:tc>
      </w:tr>
      <w:tr w:rsidR="0088452B" w14:paraId="0587EDCB" w14:textId="77777777">
        <w:trPr>
          <w:trHeight w:hRule="exact" w:val="318"/>
        </w:trPr>
        <w:tc>
          <w:tcPr>
            <w:tcW w:w="4516" w:type="dxa"/>
          </w:tcPr>
          <w:p w14:paraId="2B154CB4" w14:textId="77777777" w:rsidR="0088452B" w:rsidRDefault="004112E2">
            <w:pPr>
              <w:pStyle w:val="TableParagraph"/>
              <w:ind w:left="50"/>
            </w:pPr>
            <w:r>
              <w:t>Background Questionnaire (BQ)*</w:t>
            </w:r>
          </w:p>
        </w:tc>
        <w:tc>
          <w:tcPr>
            <w:tcW w:w="3338" w:type="dxa"/>
          </w:tcPr>
          <w:p w14:paraId="6B2C6D81" w14:textId="77777777" w:rsidR="0088452B" w:rsidRDefault="004112E2">
            <w:pPr>
              <w:pStyle w:val="TableParagraph"/>
              <w:ind w:left="51"/>
            </w:pPr>
            <w:r>
              <w:t>Fall (Rounds 85, 88, 91)</w:t>
            </w:r>
          </w:p>
        </w:tc>
        <w:tc>
          <w:tcPr>
            <w:tcW w:w="1720" w:type="dxa"/>
          </w:tcPr>
          <w:p w14:paraId="2271DF15" w14:textId="77777777" w:rsidR="0088452B" w:rsidRDefault="004112E2">
            <w:pPr>
              <w:pStyle w:val="TableParagraph"/>
              <w:ind w:left="51"/>
            </w:pPr>
            <w:r>
              <w:t>Baseline</w:t>
            </w:r>
          </w:p>
        </w:tc>
      </w:tr>
      <w:tr w:rsidR="0088452B" w14:paraId="02F468D4" w14:textId="77777777">
        <w:trPr>
          <w:trHeight w:hRule="exact" w:val="318"/>
        </w:trPr>
        <w:tc>
          <w:tcPr>
            <w:tcW w:w="4516" w:type="dxa"/>
          </w:tcPr>
          <w:p w14:paraId="4ABA2AF6" w14:textId="77777777" w:rsidR="0088452B" w:rsidRDefault="004112E2">
            <w:pPr>
              <w:pStyle w:val="TableParagraph"/>
              <w:ind w:left="50"/>
            </w:pPr>
            <w:r>
              <w:t>Health Insurance (IN)*</w:t>
            </w:r>
          </w:p>
        </w:tc>
        <w:tc>
          <w:tcPr>
            <w:tcW w:w="3338" w:type="dxa"/>
          </w:tcPr>
          <w:p w14:paraId="630EEB45" w14:textId="77777777" w:rsidR="0088452B" w:rsidRDefault="004112E2">
            <w:pPr>
              <w:pStyle w:val="TableParagraph"/>
              <w:ind w:left="51"/>
            </w:pPr>
            <w:r>
              <w:t>All (Round 83-91)</w:t>
            </w:r>
          </w:p>
        </w:tc>
        <w:tc>
          <w:tcPr>
            <w:tcW w:w="1720" w:type="dxa"/>
          </w:tcPr>
          <w:p w14:paraId="4E648FFB" w14:textId="77777777" w:rsidR="0088452B" w:rsidRDefault="004112E2">
            <w:pPr>
              <w:pStyle w:val="TableParagraph"/>
              <w:ind w:left="51"/>
            </w:pPr>
            <w:r>
              <w:t>Both</w:t>
            </w:r>
          </w:p>
        </w:tc>
      </w:tr>
      <w:tr w:rsidR="0088452B" w14:paraId="4DAC4A10" w14:textId="77777777">
        <w:trPr>
          <w:trHeight w:hRule="exact" w:val="318"/>
        </w:trPr>
        <w:tc>
          <w:tcPr>
            <w:tcW w:w="4516" w:type="dxa"/>
          </w:tcPr>
          <w:p w14:paraId="75663BEB" w14:textId="77777777" w:rsidR="0088452B" w:rsidRDefault="004112E2">
            <w:pPr>
              <w:pStyle w:val="TableParagraph"/>
              <w:ind w:left="50"/>
            </w:pPr>
            <w:r>
              <w:t>Use of Health Services (US)</w:t>
            </w:r>
          </w:p>
        </w:tc>
        <w:tc>
          <w:tcPr>
            <w:tcW w:w="3338" w:type="dxa"/>
          </w:tcPr>
          <w:p w14:paraId="6E159B56" w14:textId="77777777" w:rsidR="0088452B" w:rsidRDefault="004112E2">
            <w:pPr>
              <w:pStyle w:val="TableParagraph"/>
              <w:ind w:left="51"/>
            </w:pPr>
            <w:r>
              <w:t>All (Round 83-91)</w:t>
            </w:r>
          </w:p>
        </w:tc>
        <w:tc>
          <w:tcPr>
            <w:tcW w:w="1720" w:type="dxa"/>
          </w:tcPr>
          <w:p w14:paraId="4DF5117A" w14:textId="77777777" w:rsidR="0088452B" w:rsidRDefault="004112E2">
            <w:pPr>
              <w:pStyle w:val="TableParagraph"/>
              <w:ind w:left="51"/>
            </w:pPr>
            <w:r>
              <w:t>Continuing</w:t>
            </w:r>
          </w:p>
        </w:tc>
      </w:tr>
      <w:tr w:rsidR="0088452B" w14:paraId="6CC13914" w14:textId="77777777">
        <w:trPr>
          <w:trHeight w:hRule="exact" w:val="318"/>
        </w:trPr>
        <w:tc>
          <w:tcPr>
            <w:tcW w:w="4516" w:type="dxa"/>
          </w:tcPr>
          <w:p w14:paraId="65A2325C" w14:textId="77777777" w:rsidR="0088452B" w:rsidRDefault="004112E2">
            <w:pPr>
              <w:pStyle w:val="TableParagraph"/>
              <w:ind w:left="50"/>
            </w:pPr>
            <w:r>
              <w:t>Expenditures (EX)*</w:t>
            </w:r>
          </w:p>
        </w:tc>
        <w:tc>
          <w:tcPr>
            <w:tcW w:w="3338" w:type="dxa"/>
          </w:tcPr>
          <w:p w14:paraId="1A72D881" w14:textId="77777777" w:rsidR="0088452B" w:rsidRDefault="004112E2">
            <w:pPr>
              <w:pStyle w:val="TableParagraph"/>
              <w:ind w:left="51"/>
            </w:pPr>
            <w:r>
              <w:t>All (Round 83-91)</w:t>
            </w:r>
          </w:p>
        </w:tc>
        <w:tc>
          <w:tcPr>
            <w:tcW w:w="1720" w:type="dxa"/>
          </w:tcPr>
          <w:p w14:paraId="42E8819D" w14:textId="77777777" w:rsidR="0088452B" w:rsidRDefault="004112E2">
            <w:pPr>
              <w:pStyle w:val="TableParagraph"/>
              <w:ind w:left="51"/>
            </w:pPr>
            <w:r>
              <w:t>Continuing</w:t>
            </w:r>
          </w:p>
        </w:tc>
      </w:tr>
      <w:tr w:rsidR="0088452B" w14:paraId="0A53EEBE" w14:textId="77777777">
        <w:trPr>
          <w:trHeight w:hRule="exact" w:val="318"/>
        </w:trPr>
        <w:tc>
          <w:tcPr>
            <w:tcW w:w="4516" w:type="dxa"/>
          </w:tcPr>
          <w:p w14:paraId="4BB79453" w14:textId="77777777" w:rsidR="0088452B" w:rsidRDefault="004112E2">
            <w:pPr>
              <w:pStyle w:val="TableParagraph"/>
              <w:ind w:left="50"/>
            </w:pPr>
            <w:r>
              <w:t>Health Status (HS)*</w:t>
            </w:r>
          </w:p>
        </w:tc>
        <w:tc>
          <w:tcPr>
            <w:tcW w:w="3338" w:type="dxa"/>
          </w:tcPr>
          <w:p w14:paraId="5CC208E5" w14:textId="77777777" w:rsidR="0088452B" w:rsidRDefault="004112E2">
            <w:pPr>
              <w:pStyle w:val="TableParagraph"/>
              <w:ind w:left="51"/>
            </w:pPr>
            <w:r>
              <w:t>Fall (Rounds 85, 88, 91)</w:t>
            </w:r>
          </w:p>
        </w:tc>
        <w:tc>
          <w:tcPr>
            <w:tcW w:w="1720" w:type="dxa"/>
          </w:tcPr>
          <w:p w14:paraId="1ADC23BE" w14:textId="77777777" w:rsidR="0088452B" w:rsidRDefault="004112E2">
            <w:pPr>
              <w:pStyle w:val="TableParagraph"/>
              <w:ind w:left="51"/>
            </w:pPr>
            <w:r>
              <w:t>Both</w:t>
            </w:r>
          </w:p>
        </w:tc>
      </w:tr>
      <w:tr w:rsidR="0088452B" w14:paraId="6197BB8C" w14:textId="77777777">
        <w:trPr>
          <w:trHeight w:hRule="exact" w:val="318"/>
        </w:trPr>
        <w:tc>
          <w:tcPr>
            <w:tcW w:w="4516" w:type="dxa"/>
          </w:tcPr>
          <w:p w14:paraId="50FAA3C6" w14:textId="77777777" w:rsidR="0088452B" w:rsidRDefault="004112E2">
            <w:pPr>
              <w:pStyle w:val="TableParagraph"/>
              <w:spacing w:before="12"/>
              <w:ind w:left="50"/>
              <w:rPr>
                <w:sz w:val="14"/>
              </w:rPr>
            </w:pPr>
            <w:r>
              <w:t>Facility Questionnaire Missing Data</w:t>
            </w:r>
            <w:r>
              <w:rPr>
                <w:position w:val="9"/>
                <w:sz w:val="14"/>
              </w:rPr>
              <w:t>^</w:t>
            </w:r>
          </w:p>
        </w:tc>
        <w:tc>
          <w:tcPr>
            <w:tcW w:w="3338" w:type="dxa"/>
          </w:tcPr>
          <w:p w14:paraId="3A69B7F9" w14:textId="77777777" w:rsidR="0088452B" w:rsidRDefault="004112E2">
            <w:pPr>
              <w:pStyle w:val="TableParagraph"/>
              <w:ind w:left="51"/>
            </w:pPr>
            <w:r>
              <w:t>All (Round 83-91)</w:t>
            </w:r>
          </w:p>
        </w:tc>
        <w:tc>
          <w:tcPr>
            <w:tcW w:w="1720" w:type="dxa"/>
          </w:tcPr>
          <w:p w14:paraId="04C3AB85" w14:textId="77777777" w:rsidR="0088452B" w:rsidRDefault="004112E2">
            <w:pPr>
              <w:pStyle w:val="TableParagraph"/>
              <w:ind w:left="51"/>
            </w:pPr>
            <w:r>
              <w:t>Both</w:t>
            </w:r>
          </w:p>
        </w:tc>
      </w:tr>
      <w:tr w:rsidR="0088452B" w14:paraId="12AF7D9A" w14:textId="77777777">
        <w:trPr>
          <w:trHeight w:hRule="exact" w:val="318"/>
        </w:trPr>
        <w:tc>
          <w:tcPr>
            <w:tcW w:w="4516" w:type="dxa"/>
          </w:tcPr>
          <w:p w14:paraId="1502C679" w14:textId="77777777" w:rsidR="0088452B" w:rsidRDefault="004112E2">
            <w:pPr>
              <w:pStyle w:val="TableParagraph"/>
              <w:spacing w:before="12"/>
              <w:ind w:left="50"/>
              <w:rPr>
                <w:sz w:val="14"/>
              </w:rPr>
            </w:pPr>
            <w:r>
              <w:t>Residence History Missing Data</w:t>
            </w:r>
            <w:r>
              <w:rPr>
                <w:position w:val="9"/>
                <w:sz w:val="14"/>
              </w:rPr>
              <w:t>^</w:t>
            </w:r>
          </w:p>
        </w:tc>
        <w:tc>
          <w:tcPr>
            <w:tcW w:w="3338" w:type="dxa"/>
          </w:tcPr>
          <w:p w14:paraId="2684D6EA" w14:textId="77777777" w:rsidR="0088452B" w:rsidRDefault="004112E2">
            <w:pPr>
              <w:pStyle w:val="TableParagraph"/>
              <w:ind w:left="51"/>
            </w:pPr>
            <w:r>
              <w:t>All (Round 83-91)</w:t>
            </w:r>
          </w:p>
        </w:tc>
        <w:tc>
          <w:tcPr>
            <w:tcW w:w="1720" w:type="dxa"/>
          </w:tcPr>
          <w:p w14:paraId="5135A95F" w14:textId="77777777" w:rsidR="0088452B" w:rsidRDefault="004112E2">
            <w:pPr>
              <w:pStyle w:val="TableParagraph"/>
              <w:ind w:left="51"/>
            </w:pPr>
            <w:r>
              <w:t>Both</w:t>
            </w:r>
          </w:p>
        </w:tc>
      </w:tr>
      <w:tr w:rsidR="0088452B" w14:paraId="4B55561D" w14:textId="77777777">
        <w:trPr>
          <w:trHeight w:hRule="exact" w:val="318"/>
        </w:trPr>
        <w:tc>
          <w:tcPr>
            <w:tcW w:w="4516" w:type="dxa"/>
          </w:tcPr>
          <w:p w14:paraId="7172397C" w14:textId="77777777" w:rsidR="0088452B" w:rsidRDefault="004112E2">
            <w:pPr>
              <w:pStyle w:val="TableParagraph"/>
              <w:spacing w:before="12"/>
              <w:ind w:left="50"/>
              <w:rPr>
                <w:sz w:val="14"/>
              </w:rPr>
            </w:pPr>
            <w:r>
              <w:t>Background Questionnaire Missing Data</w:t>
            </w:r>
            <w:r>
              <w:rPr>
                <w:position w:val="9"/>
                <w:sz w:val="14"/>
              </w:rPr>
              <w:t>^</w:t>
            </w:r>
          </w:p>
        </w:tc>
        <w:tc>
          <w:tcPr>
            <w:tcW w:w="3338" w:type="dxa"/>
          </w:tcPr>
          <w:p w14:paraId="46144142" w14:textId="77777777" w:rsidR="0088452B" w:rsidRDefault="004112E2">
            <w:pPr>
              <w:pStyle w:val="TableParagraph"/>
              <w:ind w:left="51"/>
            </w:pPr>
            <w:r>
              <w:t>Fall (Rounds 85, 88, 91)</w:t>
            </w:r>
          </w:p>
        </w:tc>
        <w:tc>
          <w:tcPr>
            <w:tcW w:w="1720" w:type="dxa"/>
          </w:tcPr>
          <w:p w14:paraId="12185A85" w14:textId="77777777" w:rsidR="0088452B" w:rsidRDefault="004112E2">
            <w:pPr>
              <w:pStyle w:val="TableParagraph"/>
              <w:ind w:left="51"/>
            </w:pPr>
            <w:r>
              <w:t>Baseline</w:t>
            </w:r>
          </w:p>
        </w:tc>
      </w:tr>
    </w:tbl>
    <w:p w14:paraId="23D58069" w14:textId="77777777" w:rsidR="0088452B" w:rsidRDefault="004112E2">
      <w:pPr>
        <w:spacing w:before="72"/>
        <w:ind w:left="100" w:right="233" w:hanging="1"/>
        <w:rPr>
          <w:sz w:val="20"/>
        </w:rPr>
      </w:pPr>
      <w:r>
        <w:rPr>
          <w:position w:val="7"/>
          <w:sz w:val="13"/>
        </w:rPr>
        <w:t>^</w:t>
      </w:r>
      <w:r>
        <w:rPr>
          <w:sz w:val="20"/>
        </w:rPr>
        <w:t>Section only activated and available for administration when critical data points from the FQ, RH, or BQ sections are marked as missing, Don’t Know, or Refused.</w:t>
      </w:r>
    </w:p>
    <w:p w14:paraId="50AC08DF" w14:textId="77777777" w:rsidR="0088452B" w:rsidRDefault="0088452B">
      <w:pPr>
        <w:rPr>
          <w:sz w:val="20"/>
        </w:rPr>
        <w:sectPr w:rsidR="0088452B">
          <w:pgSz w:w="12240" w:h="15840"/>
          <w:pgMar w:top="1380" w:right="1200" w:bottom="940" w:left="1240" w:header="0" w:footer="745" w:gutter="0"/>
          <w:cols w:space="720"/>
        </w:sectPr>
      </w:pPr>
    </w:p>
    <w:p w14:paraId="72DD2CD9" w14:textId="77777777" w:rsidR="0088452B" w:rsidRDefault="004112E2">
      <w:pPr>
        <w:pStyle w:val="BodyText"/>
        <w:spacing w:before="76"/>
        <w:ind w:right="735"/>
      </w:pPr>
      <w:r>
        <w:t>The revision to this OMB package includes the following content changes to the Community instrument and Facility instrument.</w:t>
      </w:r>
    </w:p>
    <w:p w14:paraId="2A0E78DE" w14:textId="77777777" w:rsidR="0088452B" w:rsidRDefault="004112E2">
      <w:pPr>
        <w:spacing w:before="207" w:line="274" w:lineRule="exact"/>
        <w:ind w:left="100" w:right="712"/>
        <w:rPr>
          <w:sz w:val="24"/>
        </w:rPr>
      </w:pPr>
      <w:r>
        <w:rPr>
          <w:b/>
          <w:sz w:val="24"/>
        </w:rPr>
        <w:t>Summary of instrument changes beginning in Winter 2019 Round 83 through Fall 2021 Round 91</w:t>
      </w:r>
      <w:r>
        <w:rPr>
          <w:sz w:val="24"/>
        </w:rPr>
        <w:t>:</w:t>
      </w:r>
    </w:p>
    <w:p w14:paraId="083FB631" w14:textId="77777777" w:rsidR="0088452B" w:rsidRDefault="004112E2">
      <w:pPr>
        <w:pStyle w:val="ListParagraph"/>
        <w:numPr>
          <w:ilvl w:val="1"/>
          <w:numId w:val="3"/>
        </w:numPr>
        <w:tabs>
          <w:tab w:val="left" w:pos="1152"/>
        </w:tabs>
        <w:spacing w:before="196"/>
        <w:ind w:right="361" w:hanging="259"/>
        <w:rPr>
          <w:sz w:val="24"/>
        </w:rPr>
      </w:pPr>
      <w:r>
        <w:rPr>
          <w:sz w:val="24"/>
        </w:rPr>
        <w:t>A change to the flow of the Facility instrument beginning in Fall 2019 such that portions of the Facility Questionnaire (FQ), Health Status (HS), Background Questionnaire (BQ), Health Insurance (IN), and Expenditures (EX) sections of the Facility instrument are not administered when CASPER and MDS administrative data are available for a MCBS facility-dwelling</w:t>
      </w:r>
      <w:r>
        <w:rPr>
          <w:spacing w:val="-17"/>
          <w:sz w:val="24"/>
        </w:rPr>
        <w:t xml:space="preserve"> </w:t>
      </w:r>
      <w:r>
        <w:rPr>
          <w:sz w:val="24"/>
        </w:rPr>
        <w:t>beneficiary.</w:t>
      </w:r>
    </w:p>
    <w:p w14:paraId="0F3D2B9A" w14:textId="77777777" w:rsidR="0088452B" w:rsidRDefault="004112E2">
      <w:pPr>
        <w:pStyle w:val="ListParagraph"/>
        <w:numPr>
          <w:ilvl w:val="1"/>
          <w:numId w:val="3"/>
        </w:numPr>
        <w:tabs>
          <w:tab w:val="left" w:pos="1152"/>
        </w:tabs>
        <w:ind w:right="948" w:hanging="259"/>
        <w:rPr>
          <w:sz w:val="24"/>
        </w:rPr>
      </w:pPr>
      <w:r>
        <w:rPr>
          <w:sz w:val="24"/>
        </w:rPr>
        <w:t>Elimination of the Prescribed Medicines (PM) section of the Facility instrument starting in Winter</w:t>
      </w:r>
      <w:r>
        <w:rPr>
          <w:spacing w:val="-8"/>
          <w:sz w:val="24"/>
        </w:rPr>
        <w:t xml:space="preserve"> </w:t>
      </w:r>
      <w:r>
        <w:rPr>
          <w:sz w:val="24"/>
        </w:rPr>
        <w:t>2019.</w:t>
      </w:r>
    </w:p>
    <w:p w14:paraId="38BE7675" w14:textId="77777777" w:rsidR="0088452B" w:rsidRDefault="004112E2">
      <w:pPr>
        <w:pStyle w:val="ListParagraph"/>
        <w:numPr>
          <w:ilvl w:val="1"/>
          <w:numId w:val="3"/>
        </w:numPr>
        <w:tabs>
          <w:tab w:val="left" w:pos="1152"/>
        </w:tabs>
        <w:ind w:right="415" w:hanging="259"/>
        <w:rPr>
          <w:sz w:val="24"/>
        </w:rPr>
      </w:pPr>
      <w:r>
        <w:rPr>
          <w:sz w:val="24"/>
        </w:rPr>
        <w:t>Expand the Dental Utilization Questionnaire (DUQ) into a new section called Dental, Vision, and Hearing Care Utilization Questionnaire (DVH) that will begin in Winter 2019. The section will include parallel measures for vision and hearing as those used for dental</w:t>
      </w:r>
      <w:r>
        <w:rPr>
          <w:spacing w:val="-8"/>
          <w:sz w:val="24"/>
        </w:rPr>
        <w:t xml:space="preserve"> </w:t>
      </w:r>
      <w:r>
        <w:rPr>
          <w:sz w:val="24"/>
        </w:rPr>
        <w:t>utilization.</w:t>
      </w:r>
    </w:p>
    <w:p w14:paraId="7DD3333A" w14:textId="77777777" w:rsidR="0088452B" w:rsidRDefault="004112E2">
      <w:pPr>
        <w:pStyle w:val="ListParagraph"/>
        <w:numPr>
          <w:ilvl w:val="1"/>
          <w:numId w:val="3"/>
        </w:numPr>
        <w:tabs>
          <w:tab w:val="left" w:pos="1152"/>
        </w:tabs>
        <w:ind w:right="807" w:hanging="259"/>
        <w:rPr>
          <w:sz w:val="24"/>
        </w:rPr>
      </w:pPr>
      <w:r>
        <w:rPr>
          <w:sz w:val="24"/>
        </w:rPr>
        <w:t>Revise the Preventive Care Questionnaire (PVQ) to add questions on HIV testing that will begin in Fall</w:t>
      </w:r>
      <w:r>
        <w:rPr>
          <w:spacing w:val="-9"/>
          <w:sz w:val="24"/>
        </w:rPr>
        <w:t xml:space="preserve"> </w:t>
      </w:r>
      <w:r>
        <w:rPr>
          <w:sz w:val="24"/>
        </w:rPr>
        <w:t>2019.</w:t>
      </w:r>
    </w:p>
    <w:p w14:paraId="2A613846" w14:textId="77777777" w:rsidR="0088452B" w:rsidRDefault="004112E2">
      <w:pPr>
        <w:pStyle w:val="ListParagraph"/>
        <w:numPr>
          <w:ilvl w:val="1"/>
          <w:numId w:val="3"/>
        </w:numPr>
        <w:tabs>
          <w:tab w:val="left" w:pos="1152"/>
        </w:tabs>
        <w:ind w:right="474" w:hanging="259"/>
        <w:rPr>
          <w:sz w:val="24"/>
        </w:rPr>
      </w:pPr>
      <w:r>
        <w:rPr>
          <w:sz w:val="24"/>
        </w:rPr>
        <w:t>Revise the Health Status and Functioning (HFQ) section to add three new physical measures and one recall question to measure cognitive functioning, that will begin in Fall</w:t>
      </w:r>
      <w:r>
        <w:rPr>
          <w:spacing w:val="-2"/>
          <w:sz w:val="24"/>
        </w:rPr>
        <w:t xml:space="preserve"> </w:t>
      </w:r>
      <w:r>
        <w:rPr>
          <w:sz w:val="24"/>
        </w:rPr>
        <w:t>2019.</w:t>
      </w:r>
    </w:p>
    <w:p w14:paraId="6EB8A72D" w14:textId="77777777" w:rsidR="0088452B" w:rsidRDefault="004112E2">
      <w:pPr>
        <w:pStyle w:val="ListParagraph"/>
        <w:numPr>
          <w:ilvl w:val="1"/>
          <w:numId w:val="3"/>
        </w:numPr>
        <w:tabs>
          <w:tab w:val="left" w:pos="1152"/>
        </w:tabs>
        <w:ind w:right="854" w:hanging="259"/>
        <w:rPr>
          <w:sz w:val="24"/>
        </w:rPr>
      </w:pPr>
      <w:r>
        <w:rPr>
          <w:sz w:val="24"/>
        </w:rPr>
        <w:t>Add a new section on Chronic Pain Prevalence and Management (CPQ) that will begin Summer</w:t>
      </w:r>
      <w:r>
        <w:rPr>
          <w:spacing w:val="-3"/>
          <w:sz w:val="24"/>
        </w:rPr>
        <w:t xml:space="preserve"> </w:t>
      </w:r>
      <w:r>
        <w:rPr>
          <w:sz w:val="24"/>
        </w:rPr>
        <w:t>2019.</w:t>
      </w:r>
    </w:p>
    <w:p w14:paraId="3CF249B5" w14:textId="77777777" w:rsidR="0088452B" w:rsidRDefault="004112E2">
      <w:pPr>
        <w:pStyle w:val="BodyText"/>
        <w:spacing w:before="161"/>
        <w:ind w:right="261"/>
      </w:pPr>
      <w:r>
        <w:t>The goal of changes to the Facility instrument is to leverage existing administrative data to</w:t>
      </w:r>
      <w:r>
        <w:rPr>
          <w:spacing w:val="-27"/>
        </w:rPr>
        <w:t xml:space="preserve"> </w:t>
      </w:r>
      <w:r>
        <w:t>reduce respondent burden. The goal of these changes to the Community instrument is to bring the MCBS questionnaire in line with other national surveys and to fill data gaps in areas that impact Medicare</w:t>
      </w:r>
      <w:r>
        <w:rPr>
          <w:spacing w:val="-5"/>
        </w:rPr>
        <w:t xml:space="preserve"> </w:t>
      </w:r>
      <w:r>
        <w:t>beneficiaries.</w:t>
      </w:r>
    </w:p>
    <w:p w14:paraId="36026F02" w14:textId="77777777" w:rsidR="0088452B" w:rsidRDefault="004112E2">
      <w:pPr>
        <w:spacing w:before="202"/>
        <w:ind w:left="100"/>
        <w:rPr>
          <w:b/>
          <w:sz w:val="24"/>
        </w:rPr>
      </w:pPr>
      <w:r>
        <w:rPr>
          <w:b/>
          <w:sz w:val="24"/>
        </w:rPr>
        <w:t>Changes to the Facility Instrument Flow</w:t>
      </w:r>
    </w:p>
    <w:p w14:paraId="166979CB" w14:textId="77777777" w:rsidR="0088452B" w:rsidRDefault="004112E2">
      <w:pPr>
        <w:pStyle w:val="BodyText"/>
        <w:spacing w:before="196"/>
        <w:ind w:right="132"/>
      </w:pPr>
      <w:r>
        <w:t>Changes to the Facility instrument flow beginning Fall 2019 Round 85 are designed to take advantage of existing CMS administrative data to reduce respondent burden. During the Facility interview, interviewers collect data about MCBS facility-dwelling beneficiaries by administering CAPI instrument sections to facility staff and abstracting information from medical documentation. For interviews conducted at Medicare- or Medicaid-certified facilities, selected questions in the MCBS Facility instrument are redundant with administrative data that are reported regularly to CMS. These data sources include the Long-Term Care Minimum Data Set (MDS), which is a federally-mandated health assessment of residents living in Medicare- and Medicaid-certified nursing homes, and Certification and Survey Provider Enhanced Reports (CASPER), which contains certification data and provider characteristics for every facility in the United States that is qualified to provide services under Medicare or Medicaid.</w:t>
      </w:r>
    </w:p>
    <w:p w14:paraId="677220F5" w14:textId="77777777" w:rsidR="0088452B" w:rsidRDefault="004112E2">
      <w:pPr>
        <w:pStyle w:val="BodyText"/>
        <w:spacing w:before="200"/>
        <w:ind w:right="221"/>
      </w:pPr>
      <w:r>
        <w:t>Starting in Fall 2019 Round 85, a small set of questions will be added to the Facility questionnaire (FQ) section to verify whether the facility is Medicare- or Medicaid-certified and therefore meets CMS’ reporting requirements for MDS and CASPER administrative data. If a facility’s certification and reporting status is confirmed, the Facility interview will skip close to 130 questions (approximately 40 questions in the Facility questionnaire (FQ) section, 80 questions in</w:t>
      </w:r>
    </w:p>
    <w:p w14:paraId="20674A65" w14:textId="77777777" w:rsidR="0088452B" w:rsidRDefault="0088452B">
      <w:pPr>
        <w:sectPr w:rsidR="0088452B">
          <w:pgSz w:w="12240" w:h="15840"/>
          <w:pgMar w:top="1300" w:right="1220" w:bottom="940" w:left="1240" w:header="0" w:footer="745" w:gutter="0"/>
          <w:cols w:space="720"/>
        </w:sectPr>
      </w:pPr>
    </w:p>
    <w:p w14:paraId="359DD40B" w14:textId="77777777" w:rsidR="0088452B" w:rsidRDefault="004112E2">
      <w:pPr>
        <w:pStyle w:val="BodyText"/>
        <w:spacing w:before="76"/>
        <w:ind w:right="250"/>
      </w:pPr>
      <w:r>
        <w:t>the Health Status (HS) section, 3 questions in the Background (BQ) section, 4 questions in the Health Insurance (IN) section, and 2 questions in the Expenditures (EX) section) that are redundant with CASPER and MDS administrative data. For interviews conducted at facilities not certified by Medicare or Medicaid, the full Facility instrument will be administered. Survey- collected data elements will be combined with CASPER and MDS administrative data to provide complete information for all MCBS facility-dwelling beneficiaries. These changes to the Facility instrument will reduce burden for approximately 40% of annual facility cases, which are expected to reside in facilities meeting CMS’ certification and reporting requirements.</w:t>
      </w:r>
    </w:p>
    <w:p w14:paraId="02DC6B30" w14:textId="77777777" w:rsidR="0088452B" w:rsidRDefault="004112E2">
      <w:pPr>
        <w:pStyle w:val="BodyText"/>
        <w:spacing w:before="199"/>
        <w:ind w:right="362"/>
      </w:pPr>
      <w:r>
        <w:t>Starting in Winter 2019, collection of prescribed medicine data during the Facility interview will be discontinued. The decision was made to eliminate the Prescribed Medicines (PM) section of the Facility instrument due to an analysis which revealed that prescribed medicine data collected during the Facility interview were not incorporated into data products shared with users. Further, analysis revealed that this information can be provided via other sources such as the Medicare Part D claims data, which are currently included in the Cost Supplement file.</w:t>
      </w:r>
    </w:p>
    <w:p w14:paraId="5D08C4F6" w14:textId="77777777" w:rsidR="0088452B" w:rsidRDefault="004112E2">
      <w:pPr>
        <w:spacing w:before="202"/>
        <w:ind w:left="100"/>
        <w:rPr>
          <w:b/>
          <w:sz w:val="24"/>
        </w:rPr>
      </w:pPr>
      <w:r>
        <w:rPr>
          <w:b/>
          <w:sz w:val="24"/>
        </w:rPr>
        <w:t>Revisions to Dental, Vision, and Hearing Utilization</w:t>
      </w:r>
    </w:p>
    <w:p w14:paraId="3478F7DF" w14:textId="77777777" w:rsidR="0088452B" w:rsidRDefault="004112E2">
      <w:pPr>
        <w:pStyle w:val="BodyText"/>
        <w:spacing w:before="198"/>
        <w:ind w:right="202"/>
      </w:pPr>
      <w:r>
        <w:t>Beginning in Winter 2019, a revised Dental Utilization Questionnaire (DUQ) will be implemented to include vision and hearing utilization. Specifically, the revised section called Dental, Vision, and Hearing Utilization Care (DVH) will capture more detail associated with each vision and hearing provider visit, such as provider name, specialization, visit date, and procedures and/or medicines prescribed during each visit. Moreover, because DVH will collect more detail on each vision and hearing provider visit, data users will be able to identify these types of visits for analysis, which is currently not possible because vision and hearing visits are indistinguishable from other kinds of medical provider visits collected in the Medical Provider Utilization Questionnaire (MPQ). The DVH will also include existing questions about vision and hearing utilization, migrated from their current location in the Other Medical Expenses Questionnaire (OMQ) and the Health Status and Functioning Questionnaire (HFQ) sections. This change will facilitate a more streamlined flow of questions about vision and hearing utilization.</w:t>
      </w:r>
    </w:p>
    <w:p w14:paraId="1FCA0313" w14:textId="77777777" w:rsidR="0088452B" w:rsidRDefault="004112E2">
      <w:pPr>
        <w:pStyle w:val="BodyText"/>
        <w:spacing w:before="200"/>
        <w:ind w:right="216"/>
      </w:pPr>
      <w:r>
        <w:t>Ultimately, the revised DVH section will contribute to CMS’ understanding of beneficiaries’ use of vision and hearing health care services and associated out-of-pocket costs by providing detailed utilization data and improving CMS’ ability to link cost and use for these services.</w:t>
      </w:r>
    </w:p>
    <w:p w14:paraId="23E4BA4F" w14:textId="77777777" w:rsidR="0088452B" w:rsidRDefault="004112E2">
      <w:pPr>
        <w:spacing w:before="202"/>
        <w:ind w:left="100"/>
        <w:rPr>
          <w:b/>
          <w:sz w:val="24"/>
        </w:rPr>
      </w:pPr>
      <w:r>
        <w:rPr>
          <w:b/>
          <w:sz w:val="24"/>
        </w:rPr>
        <w:t>Revision to Preventive Care (PVQ) to Include Testing for HIV</w:t>
      </w:r>
    </w:p>
    <w:p w14:paraId="18CC2A57" w14:textId="77777777" w:rsidR="0088452B" w:rsidRDefault="004112E2">
      <w:pPr>
        <w:pStyle w:val="BodyText"/>
        <w:spacing w:before="196"/>
        <w:ind w:right="402"/>
      </w:pPr>
      <w:r>
        <w:t>Claims-based analyses have suggested very low uptake by beneficiaries on obtaining these important screening services. Many national health surveys include screenings for HIV; as CMS continues to modernize the MCBS, these data gaps should be addressed. Given the potential benefits of these preventive services to Medicare beneficiaries, CMS recommends adding these screening items to generate survey-based estimates of the frequency with which they are administered. There are four items on HIV testing which will be added to the Preventive Care (PVQ) section starting in Fall 2019, including two from the NHIS and two from the National HIV Behavioral Surveillance System (NHBS). The first item will be administered to all respondents in Fall 2019 and will ask whether the respondent has ever been tested for HIV. For those who respond yes, they will be asked for the date of their most recent HIV test. For those who respond no, they will be asked for the main reason they have not been tested. In total, each respondent will receive two items about HIV testing in Fall 2019. In future Fall rounds (Fall</w:t>
      </w:r>
    </w:p>
    <w:p w14:paraId="6B810393" w14:textId="77777777" w:rsidR="0088452B" w:rsidRDefault="0088452B">
      <w:pPr>
        <w:sectPr w:rsidR="0088452B">
          <w:pgSz w:w="12240" w:h="15840"/>
          <w:pgMar w:top="1300" w:right="1220" w:bottom="940" w:left="1240" w:header="0" w:footer="745" w:gutter="0"/>
          <w:cols w:space="720"/>
        </w:sectPr>
      </w:pPr>
    </w:p>
    <w:p w14:paraId="4F73128A" w14:textId="77777777" w:rsidR="0088452B" w:rsidRDefault="004112E2">
      <w:pPr>
        <w:pStyle w:val="BodyText"/>
        <w:spacing w:before="76"/>
        <w:ind w:left="120" w:right="455"/>
      </w:pPr>
      <w:r>
        <w:t>2020 and beyond), Baseline respondents will follow the administration pattern described above. Continuing respondents who have not previously been tested for HIV will receive a modified introductory item while Continuing respondents who previously reported receipt of HIV testing will skip these items entirely.</w:t>
      </w:r>
    </w:p>
    <w:p w14:paraId="0C9B26F5" w14:textId="77777777" w:rsidR="0088452B" w:rsidRDefault="004112E2">
      <w:pPr>
        <w:spacing w:before="202"/>
        <w:ind w:left="120"/>
        <w:rPr>
          <w:b/>
          <w:sz w:val="24"/>
        </w:rPr>
      </w:pPr>
      <w:r>
        <w:rPr>
          <w:b/>
          <w:sz w:val="24"/>
        </w:rPr>
        <w:t>Addition of Physical and Cognitive Measures</w:t>
      </w:r>
    </w:p>
    <w:p w14:paraId="37322AEB" w14:textId="77777777" w:rsidR="0088452B" w:rsidRDefault="004112E2">
      <w:pPr>
        <w:pStyle w:val="BodyText"/>
        <w:spacing w:before="200" w:line="276" w:lineRule="exact"/>
        <w:ind w:left="120" w:right="263"/>
      </w:pPr>
      <w:r>
        <w:t>Measuring the prevalence of functional limitations in the Medicare population is important to understanding whether the needs of beneficiaries are being met through either paid or unpaid help and to measuring the impact on current and future health care costs.</w:t>
      </w:r>
      <w:hyperlink w:anchor="_bookmark6" w:history="1">
        <w:r>
          <w:rPr>
            <w:position w:val="9"/>
            <w:sz w:val="16"/>
          </w:rPr>
          <w:t>3</w:t>
        </w:r>
      </w:hyperlink>
      <w:r>
        <w:rPr>
          <w:position w:val="9"/>
          <w:sz w:val="16"/>
        </w:rPr>
        <w:t xml:space="preserve"> </w:t>
      </w:r>
      <w:r>
        <w:t>Performance on physical measures, such as a timed walk and standing chair lift, can be an early predictor of developing future difficulties with activities of daily living (ADL). As shown by Gill et al., “simple tests of physical performance are strong and independent predictors of functional dependence.”</w:t>
      </w:r>
      <w:hyperlink w:anchor="_bookmark7" w:history="1">
        <w:r>
          <w:rPr>
            <w:position w:val="9"/>
            <w:sz w:val="16"/>
          </w:rPr>
          <w:t>4</w:t>
        </w:r>
      </w:hyperlink>
      <w:r>
        <w:rPr>
          <w:position w:val="9"/>
          <w:sz w:val="16"/>
        </w:rPr>
        <w:t xml:space="preserve"> </w:t>
      </w:r>
      <w:r>
        <w:t>Similarly, mild cognitive impairment is linked with increased difficulties with ADLs and Instrumental Activities of Daily Living (IADL), but the signs of cognitive impairment may be present before the respondent self-reports any functional limitations.</w:t>
      </w:r>
      <w:hyperlink w:anchor="_bookmark8" w:history="1">
        <w:r>
          <w:rPr>
            <w:position w:val="9"/>
            <w:sz w:val="16"/>
          </w:rPr>
          <w:t>5</w:t>
        </w:r>
      </w:hyperlink>
      <w:r>
        <w:rPr>
          <w:position w:val="9"/>
          <w:sz w:val="16"/>
        </w:rPr>
        <w:t xml:space="preserve"> </w:t>
      </w:r>
      <w:r>
        <w:t>Incorporating physical or cognitive measures to the MCBS protocol will provide researchers with data both to understand the trajectory of functional dependence and to explore the relationship of these early indicators to health care utilization and costs.</w:t>
      </w:r>
    </w:p>
    <w:p w14:paraId="1AA54FC4" w14:textId="77777777" w:rsidR="0088452B" w:rsidRDefault="004112E2">
      <w:pPr>
        <w:pStyle w:val="BodyText"/>
        <w:spacing w:before="197"/>
        <w:ind w:left="120" w:right="202"/>
      </w:pPr>
      <w:r>
        <w:t>The following physical and cognitive measures are scheduled to be added to the MCBS in the Health Status and Functioning (HFQ) section of the Community instrument beginning in Fall 2019. The physical measures were successfully tested and implemented on the National Social Life, Health, and Aging Project (NSHAP); the cognitive measures were successfully tested and implemented on the Health and Retirement Study (HRS). Both NSHAP and HRS are surveys of the older adult population, making CMS confident that these measures will perform as expected in the MCBS and that MCBS field interviewers can be successfully trained to administer the measures in the field.</w:t>
      </w:r>
    </w:p>
    <w:p w14:paraId="52F1D63D" w14:textId="77777777" w:rsidR="0088452B" w:rsidRDefault="004112E2">
      <w:pPr>
        <w:pStyle w:val="ListParagraph"/>
        <w:numPr>
          <w:ilvl w:val="0"/>
          <w:numId w:val="2"/>
        </w:numPr>
        <w:tabs>
          <w:tab w:val="left" w:pos="840"/>
          <w:tab w:val="left" w:pos="841"/>
        </w:tabs>
        <w:spacing w:before="200" w:line="294" w:lineRule="exact"/>
        <w:rPr>
          <w:sz w:val="24"/>
        </w:rPr>
      </w:pPr>
      <w:r>
        <w:rPr>
          <w:sz w:val="24"/>
        </w:rPr>
        <w:t>Physical</w:t>
      </w:r>
      <w:r>
        <w:rPr>
          <w:spacing w:val="-5"/>
          <w:sz w:val="24"/>
        </w:rPr>
        <w:t xml:space="preserve"> </w:t>
      </w:r>
      <w:r>
        <w:rPr>
          <w:sz w:val="24"/>
        </w:rPr>
        <w:t>measures:</w:t>
      </w:r>
    </w:p>
    <w:p w14:paraId="22B4B94E" w14:textId="77777777" w:rsidR="0088452B" w:rsidRDefault="004112E2">
      <w:pPr>
        <w:pStyle w:val="ListParagraph"/>
        <w:numPr>
          <w:ilvl w:val="1"/>
          <w:numId w:val="2"/>
        </w:numPr>
        <w:tabs>
          <w:tab w:val="left" w:pos="1561"/>
        </w:tabs>
        <w:spacing w:before="4" w:line="274" w:lineRule="exact"/>
        <w:ind w:right="286"/>
        <w:rPr>
          <w:sz w:val="24"/>
        </w:rPr>
      </w:pPr>
      <w:r>
        <w:rPr>
          <w:sz w:val="24"/>
        </w:rPr>
        <w:t>Gait speed: Respondents are asked to walk a short distance at their usual pace. The time needed to cover the specified distance is</w:t>
      </w:r>
      <w:r>
        <w:rPr>
          <w:spacing w:val="-14"/>
          <w:sz w:val="24"/>
        </w:rPr>
        <w:t xml:space="preserve"> </w:t>
      </w:r>
      <w:r>
        <w:rPr>
          <w:sz w:val="24"/>
        </w:rPr>
        <w:t>recorded.</w:t>
      </w:r>
    </w:p>
    <w:p w14:paraId="0A35A255" w14:textId="77777777" w:rsidR="0088452B" w:rsidRDefault="004112E2">
      <w:pPr>
        <w:pStyle w:val="ListParagraph"/>
        <w:numPr>
          <w:ilvl w:val="1"/>
          <w:numId w:val="2"/>
        </w:numPr>
        <w:tabs>
          <w:tab w:val="left" w:pos="1561"/>
        </w:tabs>
        <w:spacing w:line="276" w:lineRule="exact"/>
        <w:ind w:right="254"/>
        <w:rPr>
          <w:sz w:val="24"/>
        </w:rPr>
      </w:pPr>
      <w:r>
        <w:rPr>
          <w:sz w:val="24"/>
        </w:rPr>
        <w:t>Balance test: Respondents are asked to stand in a series of particular positions for</w:t>
      </w:r>
      <w:r>
        <w:rPr>
          <w:spacing w:val="-21"/>
          <w:sz w:val="24"/>
        </w:rPr>
        <w:t xml:space="preserve"> </w:t>
      </w:r>
      <w:r>
        <w:rPr>
          <w:sz w:val="24"/>
        </w:rPr>
        <w:t>a given amount of time; most common is a progressively difficult set of positions (side-by-side, semi-tandem, tandem). The qualitative outcome of each position is recorded (i.e., whether the respondent was able to maintain each</w:t>
      </w:r>
      <w:r>
        <w:rPr>
          <w:spacing w:val="-18"/>
          <w:sz w:val="24"/>
        </w:rPr>
        <w:t xml:space="preserve"> </w:t>
      </w:r>
      <w:r>
        <w:rPr>
          <w:sz w:val="24"/>
        </w:rPr>
        <w:t>pose).</w:t>
      </w:r>
    </w:p>
    <w:p w14:paraId="46A144CF" w14:textId="77777777" w:rsidR="0088452B" w:rsidRDefault="004112E2">
      <w:pPr>
        <w:pStyle w:val="ListParagraph"/>
        <w:numPr>
          <w:ilvl w:val="1"/>
          <w:numId w:val="2"/>
        </w:numPr>
        <w:tabs>
          <w:tab w:val="left" w:pos="1561"/>
        </w:tabs>
        <w:spacing w:line="276" w:lineRule="exact"/>
        <w:ind w:right="289"/>
        <w:rPr>
          <w:sz w:val="24"/>
        </w:rPr>
      </w:pPr>
      <w:r>
        <w:rPr>
          <w:sz w:val="24"/>
        </w:rPr>
        <w:t>Chair Stand Test: First, the respondent completes a single chair stand, in which he/she stands from a seated position while keeping his/her arms folded across the chest, and returns to a seated position; the qualitative outcome of the single chair stand is recorded (e.g., respondent used arms, respondent unable to do, etc.). Second, the respondent completes five chair stands as quickly as possible; the</w:t>
      </w:r>
      <w:r>
        <w:rPr>
          <w:spacing w:val="-22"/>
          <w:sz w:val="24"/>
        </w:rPr>
        <w:t xml:space="preserve"> </w:t>
      </w:r>
      <w:r>
        <w:rPr>
          <w:sz w:val="24"/>
        </w:rPr>
        <w:t>time needed to complete five chair stands is</w:t>
      </w:r>
      <w:r>
        <w:rPr>
          <w:spacing w:val="-11"/>
          <w:sz w:val="24"/>
        </w:rPr>
        <w:t xml:space="preserve"> </w:t>
      </w:r>
      <w:r>
        <w:rPr>
          <w:sz w:val="24"/>
        </w:rPr>
        <w:t>recorded.</w:t>
      </w:r>
    </w:p>
    <w:p w14:paraId="33D9A04D" w14:textId="32EC5631" w:rsidR="0088452B" w:rsidRDefault="00B749A0">
      <w:pPr>
        <w:pStyle w:val="BodyText"/>
        <w:spacing w:before="3"/>
        <w:ind w:left="0"/>
        <w:rPr>
          <w:sz w:val="23"/>
        </w:rPr>
      </w:pPr>
      <w:r>
        <w:rPr>
          <w:noProof/>
        </w:rPr>
        <mc:AlternateContent>
          <mc:Choice Requires="wps">
            <w:drawing>
              <wp:anchor distT="0" distB="0" distL="0" distR="0" simplePos="0" relativeHeight="251658240" behindDoc="0" locked="0" layoutInCell="1" allowOverlap="1" wp14:anchorId="0A5373D8" wp14:editId="2438D266">
                <wp:simplePos x="0" y="0"/>
                <wp:positionH relativeFrom="page">
                  <wp:posOffset>850900</wp:posOffset>
                </wp:positionH>
                <wp:positionV relativeFrom="paragraph">
                  <wp:posOffset>199390</wp:posOffset>
                </wp:positionV>
                <wp:extent cx="1828800" cy="0"/>
                <wp:effectExtent l="12700" t="12700" r="6350"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CBC1E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5.7pt" to="21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8EQ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" strokeweight=".72pt">
                <w10:wrap type="topAndBottom" anchorx="page"/>
              </v:line>
            </w:pict>
          </mc:Fallback>
        </mc:AlternateContent>
      </w:r>
    </w:p>
    <w:p w14:paraId="3EE7816A" w14:textId="77777777" w:rsidR="0088452B" w:rsidRDefault="004112E2">
      <w:pPr>
        <w:spacing w:before="68" w:line="256" w:lineRule="auto"/>
        <w:ind w:left="120"/>
        <w:rPr>
          <w:sz w:val="18"/>
        </w:rPr>
      </w:pPr>
      <w:bookmarkStart w:id="13" w:name="_bookmark6"/>
      <w:bookmarkEnd w:id="13"/>
      <w:r>
        <w:rPr>
          <w:rFonts w:ascii="Tahoma" w:hAnsi="Tahoma"/>
          <w:position w:val="6"/>
          <w:sz w:val="12"/>
        </w:rPr>
        <w:t xml:space="preserve">3 </w:t>
      </w:r>
      <w:r>
        <w:rPr>
          <w:sz w:val="18"/>
        </w:rPr>
        <w:t>Centers for Medicare and Medicaid Services (2014, July). Are Medicare Beneficiaries Getting the Help They Need with Home</w:t>
      </w:r>
      <w:r>
        <w:rPr>
          <w:rFonts w:ascii="Cambria Math" w:hAnsi="Cambria Math"/>
          <w:sz w:val="18"/>
        </w:rPr>
        <w:t xml:space="preserve">‐ </w:t>
      </w:r>
      <w:r>
        <w:rPr>
          <w:sz w:val="18"/>
        </w:rPr>
        <w:t>Based Care? (MCBS Data Brief 002).</w:t>
      </w:r>
    </w:p>
    <w:p w14:paraId="525C985F" w14:textId="77777777" w:rsidR="0088452B" w:rsidRDefault="004112E2">
      <w:pPr>
        <w:spacing w:before="58" w:line="259" w:lineRule="auto"/>
        <w:ind w:left="120"/>
        <w:rPr>
          <w:i/>
          <w:sz w:val="18"/>
        </w:rPr>
      </w:pPr>
      <w:bookmarkStart w:id="14" w:name="_bookmark7"/>
      <w:bookmarkEnd w:id="14"/>
      <w:r>
        <w:rPr>
          <w:position w:val="6"/>
          <w:sz w:val="12"/>
        </w:rPr>
        <w:t xml:space="preserve">4 </w:t>
      </w:r>
      <w:r>
        <w:rPr>
          <w:sz w:val="18"/>
        </w:rPr>
        <w:t xml:space="preserve">Gill, T, et al. (1995). Assessing Risk for the Onset of Functional Dependence among Older Adults: The Role of Physical Performance. </w:t>
      </w:r>
      <w:r>
        <w:rPr>
          <w:i/>
          <w:sz w:val="18"/>
        </w:rPr>
        <w:t>Journal of American Geriatric Society. 43:603-609, 1995.</w:t>
      </w:r>
    </w:p>
    <w:p w14:paraId="454E5EAF" w14:textId="77777777" w:rsidR="0088452B" w:rsidRDefault="004112E2">
      <w:pPr>
        <w:spacing w:before="55"/>
        <w:ind w:left="120"/>
        <w:rPr>
          <w:sz w:val="18"/>
        </w:rPr>
      </w:pPr>
      <w:bookmarkStart w:id="15" w:name="_bookmark8"/>
      <w:bookmarkEnd w:id="15"/>
      <w:r>
        <w:rPr>
          <w:position w:val="6"/>
          <w:sz w:val="12"/>
        </w:rPr>
        <w:t xml:space="preserve">5 </w:t>
      </w:r>
      <w:r>
        <w:rPr>
          <w:sz w:val="18"/>
        </w:rPr>
        <w:t>Puente, A, et al. (2014) Functional Impairment in Mild Cognitive Impairment Evidenced Using Performance-Based Measurement.</w:t>
      </w:r>
    </w:p>
    <w:p w14:paraId="6A93482C" w14:textId="77777777" w:rsidR="0088452B" w:rsidRDefault="004112E2">
      <w:pPr>
        <w:spacing w:before="15"/>
        <w:ind w:left="120"/>
        <w:rPr>
          <w:sz w:val="18"/>
        </w:rPr>
      </w:pPr>
      <w:r>
        <w:rPr>
          <w:i/>
          <w:sz w:val="18"/>
        </w:rPr>
        <w:t xml:space="preserve">Journal of Geriatric Psychiatry and Neurology. </w:t>
      </w:r>
      <w:r>
        <w:rPr>
          <w:sz w:val="18"/>
        </w:rPr>
        <w:t>December 2014 vol. 27 no. 4 253-258.</w:t>
      </w:r>
    </w:p>
    <w:p w14:paraId="2F44AFB4" w14:textId="77777777" w:rsidR="0088452B" w:rsidRDefault="0088452B">
      <w:pPr>
        <w:rPr>
          <w:sz w:val="18"/>
        </w:rPr>
        <w:sectPr w:rsidR="0088452B">
          <w:pgSz w:w="12240" w:h="15840"/>
          <w:pgMar w:top="1300" w:right="1220" w:bottom="940" w:left="1220" w:header="0" w:footer="745" w:gutter="0"/>
          <w:cols w:space="720"/>
        </w:sectPr>
      </w:pPr>
    </w:p>
    <w:p w14:paraId="79155F8F" w14:textId="77777777" w:rsidR="0088452B" w:rsidRDefault="004112E2">
      <w:pPr>
        <w:pStyle w:val="ListParagraph"/>
        <w:numPr>
          <w:ilvl w:val="0"/>
          <w:numId w:val="2"/>
        </w:numPr>
        <w:tabs>
          <w:tab w:val="left" w:pos="840"/>
          <w:tab w:val="left" w:pos="841"/>
        </w:tabs>
        <w:spacing w:before="77" w:line="293" w:lineRule="exact"/>
        <w:rPr>
          <w:sz w:val="24"/>
        </w:rPr>
      </w:pPr>
      <w:r>
        <w:rPr>
          <w:sz w:val="24"/>
        </w:rPr>
        <w:t>Cognitive recall measure. This measure involves the following four</w:t>
      </w:r>
      <w:r>
        <w:rPr>
          <w:spacing w:val="-18"/>
          <w:sz w:val="24"/>
        </w:rPr>
        <w:t xml:space="preserve"> </w:t>
      </w:r>
      <w:r>
        <w:rPr>
          <w:sz w:val="24"/>
        </w:rPr>
        <w:t>tasks:</w:t>
      </w:r>
    </w:p>
    <w:p w14:paraId="43FFE29E" w14:textId="77777777" w:rsidR="0088452B" w:rsidRDefault="004112E2">
      <w:pPr>
        <w:pStyle w:val="ListParagraph"/>
        <w:numPr>
          <w:ilvl w:val="1"/>
          <w:numId w:val="2"/>
        </w:numPr>
        <w:tabs>
          <w:tab w:val="left" w:pos="1561"/>
        </w:tabs>
        <w:spacing w:before="1" w:line="276" w:lineRule="exact"/>
        <w:ind w:right="225"/>
        <w:rPr>
          <w:sz w:val="24"/>
        </w:rPr>
      </w:pPr>
      <w:r>
        <w:rPr>
          <w:sz w:val="24"/>
        </w:rPr>
        <w:t>Backwards Counting: Respondents are asked to count backwards for 10 continuous numbers.</w:t>
      </w:r>
    </w:p>
    <w:p w14:paraId="4AA59001" w14:textId="77777777" w:rsidR="0088452B" w:rsidRDefault="004112E2">
      <w:pPr>
        <w:pStyle w:val="ListParagraph"/>
        <w:numPr>
          <w:ilvl w:val="1"/>
          <w:numId w:val="2"/>
        </w:numPr>
        <w:tabs>
          <w:tab w:val="left" w:pos="1561"/>
        </w:tabs>
        <w:spacing w:line="283" w:lineRule="exact"/>
        <w:rPr>
          <w:sz w:val="24"/>
        </w:rPr>
      </w:pPr>
      <w:r>
        <w:rPr>
          <w:sz w:val="24"/>
        </w:rPr>
        <w:t>Date Naming: Respondents are asked to name today's</w:t>
      </w:r>
      <w:r>
        <w:rPr>
          <w:spacing w:val="-12"/>
          <w:sz w:val="24"/>
        </w:rPr>
        <w:t xml:space="preserve"> </w:t>
      </w:r>
      <w:r>
        <w:rPr>
          <w:sz w:val="24"/>
        </w:rPr>
        <w:t>date.</w:t>
      </w:r>
    </w:p>
    <w:p w14:paraId="4C925094" w14:textId="77777777" w:rsidR="0088452B" w:rsidRDefault="004112E2">
      <w:pPr>
        <w:pStyle w:val="ListParagraph"/>
        <w:numPr>
          <w:ilvl w:val="1"/>
          <w:numId w:val="2"/>
        </w:numPr>
        <w:tabs>
          <w:tab w:val="left" w:pos="1561"/>
        </w:tabs>
        <w:spacing w:line="230" w:lineRule="auto"/>
        <w:ind w:right="605"/>
        <w:rPr>
          <w:sz w:val="24"/>
        </w:rPr>
      </w:pPr>
      <w:r>
        <w:rPr>
          <w:sz w:val="24"/>
        </w:rPr>
        <w:t>Object Naming: Respondents are asked to answer two questions: “What do you usually use to cut paper?” and “What do you call the kind of prickly plant that grows in the</w:t>
      </w:r>
      <w:r>
        <w:rPr>
          <w:spacing w:val="-4"/>
          <w:sz w:val="24"/>
        </w:rPr>
        <w:t xml:space="preserve"> </w:t>
      </w:r>
      <w:r>
        <w:rPr>
          <w:sz w:val="24"/>
        </w:rPr>
        <w:t>desert?”</w:t>
      </w:r>
    </w:p>
    <w:p w14:paraId="242A0BEB" w14:textId="77777777" w:rsidR="0088452B" w:rsidRDefault="004112E2">
      <w:pPr>
        <w:pStyle w:val="ListParagraph"/>
        <w:numPr>
          <w:ilvl w:val="1"/>
          <w:numId w:val="2"/>
        </w:numPr>
        <w:tabs>
          <w:tab w:val="left" w:pos="1561"/>
        </w:tabs>
        <w:spacing w:before="5" w:line="276" w:lineRule="exact"/>
        <w:ind w:right="806"/>
        <w:rPr>
          <w:sz w:val="24"/>
        </w:rPr>
      </w:pPr>
      <w:r>
        <w:rPr>
          <w:sz w:val="24"/>
        </w:rPr>
        <w:t>President/Vice President Naming: Respondents are asked to name the current President/Vice</w:t>
      </w:r>
      <w:r>
        <w:rPr>
          <w:spacing w:val="-9"/>
          <w:sz w:val="24"/>
        </w:rPr>
        <w:t xml:space="preserve"> </w:t>
      </w:r>
      <w:r>
        <w:rPr>
          <w:sz w:val="24"/>
        </w:rPr>
        <w:t>President.</w:t>
      </w:r>
    </w:p>
    <w:p w14:paraId="7C17FB27" w14:textId="77777777" w:rsidR="0088452B" w:rsidRDefault="004112E2">
      <w:pPr>
        <w:spacing w:before="158"/>
        <w:ind w:left="120"/>
        <w:rPr>
          <w:b/>
          <w:sz w:val="24"/>
        </w:rPr>
      </w:pPr>
      <w:r>
        <w:rPr>
          <w:b/>
          <w:sz w:val="24"/>
        </w:rPr>
        <w:t>Addition of Section to Measure Chronic Pain Prevalence and Management</w:t>
      </w:r>
    </w:p>
    <w:p w14:paraId="3F0AFDA1" w14:textId="77777777" w:rsidR="0088452B" w:rsidRDefault="004112E2">
      <w:pPr>
        <w:pStyle w:val="BodyText"/>
        <w:spacing w:before="201" w:line="276" w:lineRule="exact"/>
        <w:ind w:left="120" w:right="100"/>
      </w:pPr>
      <w:r>
        <w:t>The MCBS currently has a couple of questions that measure pain medication or pain management. Starting in Summer 2018, the MCBS will add a short Chronic Pain Questionnaire (CPQ) section that seeks to measure prevalence and self-management of chronic pain. The Interagency Pain Research Coordinating Committee (IPRCC) is a Federal advisory committee created by the Department of Health and Human Services to enhance pain research efforts and promote collaboration across the government, with the ultimate goals of advancing the fundamental understanding of pain and improving pain-related treatment strategies</w:t>
      </w:r>
      <w:hyperlink w:anchor="_bookmark9" w:history="1">
        <w:r>
          <w:rPr>
            <w:position w:val="9"/>
            <w:sz w:val="16"/>
          </w:rPr>
          <w:t>6</w:t>
        </w:r>
      </w:hyperlink>
      <w:r>
        <w:t>. To increase the quantity and quality of what is known about chronic pain within the U.S. population, the IPRCC created the National Pain Strategy (NPS). The NPS recommends specific steps to increase the precision of information about chronic pain prevalence overall, for specific types of pain, and in specific population groups and to track changes in pain prevalence, impact, and treatment over time in order to enable evaluation of population-level interventions and identification of emerging</w:t>
      </w:r>
      <w:r>
        <w:rPr>
          <w:spacing w:val="-22"/>
        </w:rPr>
        <w:t xml:space="preserve"> </w:t>
      </w:r>
      <w:r>
        <w:t>needs.</w:t>
      </w:r>
    </w:p>
    <w:p w14:paraId="23B0EA13" w14:textId="77777777" w:rsidR="0088452B" w:rsidRDefault="004112E2">
      <w:pPr>
        <w:pStyle w:val="BodyText"/>
        <w:spacing w:before="197"/>
        <w:ind w:left="120" w:right="99"/>
      </w:pPr>
      <w:r>
        <w:t>The NPS Interagency Working Group has addressed this emerging public health concern by developing questions to be included in federal surveys such as the National Health Interview Survey (NHIS) and other relevant federal surveys where the understanding and measurement of pain will assist researchers in developing this strategy. The Interagency Working Group developed a set of questions which will be included in a pain supplement for the 2018 NHIS (OMB clearance 0920-0214). CMS has also been asked to include these questions on the Medicare Current Beneficiary Survey (MCBS) to assist in the identification of and prevalence of pain in both the disabled and elderly Medicare populations, which can then be used with administrative claims data and prescription medicine data to enhance analysis. Adding these questions to the MCBS will assist in understanding the prevalence of pain in the elderly and the disabled Medicare populations and assist in the identification of current treatment modalities for beneficiaries reporting chronic pain, including the use of opioids and alternative medical interventions. This would lead to a more timely release of these data, helping to address public health concerns related to pain prevalence, pain management and the opioid crisis. The questions are derived from those used on the Consumer Assessment of Healthcare Providers &amp; Systems (CAHPS) and are comparable to those planned for fielding in the</w:t>
      </w:r>
      <w:r>
        <w:rPr>
          <w:spacing w:val="-10"/>
        </w:rPr>
        <w:t xml:space="preserve"> </w:t>
      </w:r>
      <w:r>
        <w:t>NHIS.</w:t>
      </w:r>
    </w:p>
    <w:p w14:paraId="5510938C" w14:textId="77777777" w:rsidR="0088452B" w:rsidRDefault="004112E2">
      <w:pPr>
        <w:pStyle w:val="ListParagraph"/>
        <w:numPr>
          <w:ilvl w:val="0"/>
          <w:numId w:val="5"/>
        </w:numPr>
        <w:tabs>
          <w:tab w:val="left" w:pos="348"/>
        </w:tabs>
        <w:spacing w:before="203"/>
        <w:ind w:left="347" w:hanging="227"/>
        <w:rPr>
          <w:b/>
          <w:sz w:val="24"/>
        </w:rPr>
      </w:pPr>
      <w:r>
        <w:rPr>
          <w:b/>
          <w:sz w:val="24"/>
        </w:rPr>
        <w:t>Rounds 83 through 91 data collection</w:t>
      </w:r>
      <w:r>
        <w:rPr>
          <w:b/>
          <w:spacing w:val="-16"/>
          <w:sz w:val="24"/>
        </w:rPr>
        <w:t xml:space="preserve"> </w:t>
      </w:r>
      <w:r>
        <w:rPr>
          <w:b/>
          <w:sz w:val="24"/>
        </w:rPr>
        <w:t>procedures.</w:t>
      </w:r>
    </w:p>
    <w:p w14:paraId="77F947FC" w14:textId="77777777" w:rsidR="0088452B" w:rsidRDefault="004112E2">
      <w:pPr>
        <w:pStyle w:val="ListParagraph"/>
        <w:numPr>
          <w:ilvl w:val="1"/>
          <w:numId w:val="5"/>
        </w:numPr>
        <w:tabs>
          <w:tab w:val="left" w:pos="841"/>
        </w:tabs>
        <w:spacing w:before="51"/>
        <w:ind w:right="381"/>
        <w:rPr>
          <w:sz w:val="24"/>
        </w:rPr>
      </w:pPr>
      <w:r>
        <w:rPr>
          <w:sz w:val="24"/>
          <w:u w:val="single"/>
        </w:rPr>
        <w:t>Interviews with incoming panel sample persons in community</w:t>
      </w:r>
      <w:r>
        <w:rPr>
          <w:sz w:val="24"/>
        </w:rPr>
        <w:t>. In the Fall rounds</w:t>
      </w:r>
      <w:r>
        <w:rPr>
          <w:spacing w:val="-20"/>
          <w:sz w:val="24"/>
        </w:rPr>
        <w:t xml:space="preserve"> </w:t>
      </w:r>
      <w:r>
        <w:rPr>
          <w:sz w:val="24"/>
        </w:rPr>
        <w:t>(Round 85, 88, 91), all newly selected beneficiaries will be sent a Community Advance Letter (Attachment 2) from the Centers for Medicare and Medicaid Services. Field</w:t>
      </w:r>
      <w:r>
        <w:rPr>
          <w:spacing w:val="-37"/>
          <w:sz w:val="24"/>
        </w:rPr>
        <w:t xml:space="preserve"> </w:t>
      </w:r>
      <w:r>
        <w:rPr>
          <w:sz w:val="24"/>
        </w:rPr>
        <w:t>interviewers</w:t>
      </w:r>
    </w:p>
    <w:p w14:paraId="314B7E7E" w14:textId="77777777" w:rsidR="0088452B" w:rsidRDefault="0088452B">
      <w:pPr>
        <w:pStyle w:val="BodyText"/>
        <w:ind w:left="0"/>
        <w:rPr>
          <w:sz w:val="20"/>
        </w:rPr>
      </w:pPr>
    </w:p>
    <w:p w14:paraId="384069A3" w14:textId="4746148C" w:rsidR="0088452B" w:rsidRDefault="00B749A0">
      <w:pPr>
        <w:pStyle w:val="BodyText"/>
        <w:ind w:left="0"/>
        <w:rPr>
          <w:sz w:val="14"/>
        </w:rPr>
      </w:pPr>
      <w:r>
        <w:rPr>
          <w:noProof/>
        </w:rPr>
        <mc:AlternateContent>
          <mc:Choice Requires="wps">
            <w:drawing>
              <wp:anchor distT="0" distB="0" distL="0" distR="0" simplePos="0" relativeHeight="251659264" behindDoc="0" locked="0" layoutInCell="1" allowOverlap="1" wp14:anchorId="3E8FD0DA" wp14:editId="3BD72227">
                <wp:simplePos x="0" y="0"/>
                <wp:positionH relativeFrom="page">
                  <wp:posOffset>850900</wp:posOffset>
                </wp:positionH>
                <wp:positionV relativeFrom="paragraph">
                  <wp:posOffset>132080</wp:posOffset>
                </wp:positionV>
                <wp:extent cx="1828800" cy="0"/>
                <wp:effectExtent l="12700" t="13970" r="6350"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62B87F"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0.4pt" to="21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a2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" strokeweight=".72pt">
                <w10:wrap type="topAndBottom" anchorx="page"/>
              </v:line>
            </w:pict>
          </mc:Fallback>
        </mc:AlternateContent>
      </w:r>
    </w:p>
    <w:p w14:paraId="1A215F18" w14:textId="77777777" w:rsidR="0088452B" w:rsidRDefault="004112E2">
      <w:pPr>
        <w:spacing w:before="71"/>
        <w:ind w:left="120"/>
        <w:rPr>
          <w:rFonts w:ascii="Tahoma"/>
          <w:sz w:val="18"/>
        </w:rPr>
      </w:pPr>
      <w:bookmarkStart w:id="16" w:name="_bookmark9"/>
      <w:bookmarkEnd w:id="16"/>
      <w:r>
        <w:rPr>
          <w:rFonts w:ascii="Tahoma"/>
          <w:position w:val="6"/>
          <w:sz w:val="12"/>
        </w:rPr>
        <w:t xml:space="preserve">6 </w:t>
      </w:r>
      <w:hyperlink r:id="rId11">
        <w:r>
          <w:rPr>
            <w:rFonts w:ascii="Tahoma"/>
            <w:color w:val="0000FF"/>
            <w:sz w:val="18"/>
            <w:u w:val="single" w:color="0000FF"/>
          </w:rPr>
          <w:t xml:space="preserve">Interagency Pain Research Coordinating Committee </w:t>
        </w:r>
      </w:hyperlink>
    </w:p>
    <w:p w14:paraId="0D49DD22" w14:textId="77777777" w:rsidR="0088452B" w:rsidRDefault="0088452B">
      <w:pPr>
        <w:rPr>
          <w:rFonts w:ascii="Tahoma"/>
          <w:sz w:val="18"/>
        </w:rPr>
        <w:sectPr w:rsidR="0088452B">
          <w:pgSz w:w="12240" w:h="15840"/>
          <w:pgMar w:top="1300" w:right="1220" w:bottom="940" w:left="1220" w:header="0" w:footer="745" w:gutter="0"/>
          <w:cols w:space="720"/>
        </w:sectPr>
      </w:pPr>
    </w:p>
    <w:p w14:paraId="65B52AC8" w14:textId="77777777" w:rsidR="0088452B" w:rsidRDefault="004112E2">
      <w:pPr>
        <w:pStyle w:val="BodyText"/>
        <w:spacing w:before="76"/>
        <w:ind w:left="820" w:right="341"/>
      </w:pPr>
      <w:bookmarkStart w:id="17" w:name="B3._Methods_for_Maximizing_Response_Rate"/>
      <w:bookmarkEnd w:id="17"/>
      <w:r>
        <w:t>will carry copies of the advance letter for respondents who do not recall receiving one in the mail, as well as a copy of the MCBS Community Brochure and At the Door Sheet (Attachment 2).</w:t>
      </w:r>
    </w:p>
    <w:p w14:paraId="723714CB" w14:textId="77777777" w:rsidR="0088452B" w:rsidRDefault="004112E2">
      <w:pPr>
        <w:pStyle w:val="BodyText"/>
        <w:spacing w:before="162"/>
        <w:ind w:left="820" w:right="117"/>
      </w:pPr>
      <w:r>
        <w:t>The Community interviews (Rounds 83-91) will be administered to the respondent or a designated proxy using a CAPI program on a laptop computer. Attachment 3 includes a copy of all questionnaire sections administered in the baseline interview, the continuing interview, and the showcards used by the interviewer to assist in the interviewing process.</w:t>
      </w:r>
    </w:p>
    <w:p w14:paraId="46259D4B" w14:textId="77777777" w:rsidR="0088452B" w:rsidRDefault="004112E2">
      <w:pPr>
        <w:pStyle w:val="BodyText"/>
        <w:spacing w:before="198"/>
        <w:ind w:left="820" w:right="341"/>
      </w:pPr>
      <w:r>
        <w:t>At the completion of the baseline interview (Rounds 85, 88, 91), each new respondent is provided with a MCBS calendar (Attachment 2), on which he or she is encouraged to record health care events. The same calendar is provided to all Continuing Community respondents on a calendar year basis.</w:t>
      </w:r>
    </w:p>
    <w:p w14:paraId="2C100F4D" w14:textId="77777777" w:rsidR="0088452B" w:rsidRDefault="004112E2">
      <w:pPr>
        <w:pStyle w:val="ListParagraph"/>
        <w:numPr>
          <w:ilvl w:val="1"/>
          <w:numId w:val="5"/>
        </w:numPr>
        <w:tabs>
          <w:tab w:val="left" w:pos="821"/>
        </w:tabs>
        <w:spacing w:before="199"/>
        <w:ind w:left="820" w:right="380"/>
        <w:rPr>
          <w:sz w:val="24"/>
        </w:rPr>
      </w:pPr>
      <w:r>
        <w:rPr>
          <w:sz w:val="24"/>
          <w:u w:val="single"/>
        </w:rPr>
        <w:t xml:space="preserve">Interviews with sample persons in institutions. </w:t>
      </w:r>
      <w:r>
        <w:rPr>
          <w:sz w:val="24"/>
        </w:rPr>
        <w:t>All Facility interviews are administered</w:t>
      </w:r>
      <w:r>
        <w:rPr>
          <w:spacing w:val="-39"/>
          <w:sz w:val="24"/>
        </w:rPr>
        <w:t xml:space="preserve"> </w:t>
      </w:r>
      <w:r>
        <w:rPr>
          <w:sz w:val="24"/>
        </w:rPr>
        <w:t>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83-91 is shown in Attachment</w:t>
      </w:r>
      <w:r>
        <w:rPr>
          <w:spacing w:val="-5"/>
          <w:sz w:val="24"/>
        </w:rPr>
        <w:t xml:space="preserve"> </w:t>
      </w:r>
      <w:r>
        <w:rPr>
          <w:sz w:val="24"/>
        </w:rPr>
        <w:t>5.</w:t>
      </w:r>
    </w:p>
    <w:p w14:paraId="7F27DAA1" w14:textId="77777777" w:rsidR="0088452B" w:rsidRDefault="004112E2">
      <w:pPr>
        <w:pStyle w:val="BodyText"/>
        <w:spacing w:before="163"/>
        <w:ind w:left="820" w:right="117"/>
      </w:pPr>
      <w:r>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6.</w:t>
      </w:r>
    </w:p>
    <w:p w14:paraId="36FB54A4" w14:textId="77777777" w:rsidR="0088452B" w:rsidRDefault="004112E2">
      <w:pPr>
        <w:pStyle w:val="ListParagraph"/>
        <w:numPr>
          <w:ilvl w:val="0"/>
          <w:numId w:val="5"/>
        </w:numPr>
        <w:tabs>
          <w:tab w:val="left" w:pos="301"/>
        </w:tabs>
        <w:spacing w:before="202"/>
        <w:ind w:left="300" w:hanging="200"/>
        <w:rPr>
          <w:b/>
          <w:sz w:val="24"/>
        </w:rPr>
      </w:pPr>
      <w:r>
        <w:rPr>
          <w:b/>
          <w:sz w:val="24"/>
        </w:rPr>
        <w:t>Proxy</w:t>
      </w:r>
      <w:r>
        <w:rPr>
          <w:b/>
          <w:spacing w:val="-4"/>
          <w:sz w:val="24"/>
        </w:rPr>
        <w:t xml:space="preserve"> </w:t>
      </w:r>
      <w:r>
        <w:rPr>
          <w:b/>
          <w:sz w:val="24"/>
        </w:rPr>
        <w:t>rules.</w:t>
      </w:r>
    </w:p>
    <w:p w14:paraId="62EADEAF" w14:textId="77777777" w:rsidR="0088452B" w:rsidRDefault="004112E2">
      <w:pPr>
        <w:pStyle w:val="BodyText"/>
        <w:spacing w:before="177"/>
        <w:ind w:right="868"/>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77777777" w:rsidR="0088452B" w:rsidRDefault="004112E2">
      <w:pPr>
        <w:pStyle w:val="BodyText"/>
        <w:spacing w:before="200"/>
        <w:ind w:right="219"/>
      </w:pPr>
      <w:r>
        <w:t>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when appropriate, interviewers abstract information from available facility records. If a respondent is incarcerated, we do not seek self-response within a prison, but rather monitor the respondent’s incarceration status should the person be released. Other institutions will be treated on a case-by-case</w:t>
      </w:r>
      <w:r>
        <w:rPr>
          <w:spacing w:val="-18"/>
        </w:rPr>
        <w:t xml:space="preserve"> </w:t>
      </w:r>
      <w:r>
        <w:t>basis.</w:t>
      </w:r>
    </w:p>
    <w:p w14:paraId="7999B037" w14:textId="77777777" w:rsidR="0088452B" w:rsidRDefault="0088452B">
      <w:pPr>
        <w:pStyle w:val="BodyText"/>
        <w:spacing w:before="1"/>
        <w:ind w:left="0"/>
        <w:rPr>
          <w:sz w:val="21"/>
        </w:rPr>
      </w:pPr>
    </w:p>
    <w:p w14:paraId="180A3800" w14:textId="77777777" w:rsidR="0088452B" w:rsidRDefault="004112E2">
      <w:pPr>
        <w:pStyle w:val="Heading2"/>
        <w:spacing w:before="0"/>
      </w:pPr>
      <w:bookmarkStart w:id="18" w:name="_bookmark10"/>
      <w:bookmarkEnd w:id="18"/>
      <w:r>
        <w:t>B3. Methods for Maximizing Response Rates and Dealing with Issues of Non-Response</w:t>
      </w:r>
    </w:p>
    <w:p w14:paraId="5B1321F4" w14:textId="77777777" w:rsidR="0088452B" w:rsidRDefault="004112E2">
      <w:pPr>
        <w:pStyle w:val="BodyText"/>
        <w:spacing w:before="117"/>
        <w:ind w:right="236"/>
      </w:pPr>
      <w:r>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080A7233" w14:textId="77777777" w:rsidR="0088452B" w:rsidRDefault="0088452B">
      <w:pPr>
        <w:sectPr w:rsidR="0088452B">
          <w:pgSz w:w="12240" w:h="15840"/>
          <w:pgMar w:top="1300" w:right="1220" w:bottom="940" w:left="1240" w:header="0" w:footer="745" w:gutter="0"/>
          <w:cols w:space="720"/>
        </w:sectPr>
      </w:pPr>
    </w:p>
    <w:p w14:paraId="13CBB8DD" w14:textId="77777777" w:rsidR="0088452B" w:rsidRDefault="004112E2">
      <w:pPr>
        <w:pStyle w:val="BodyText"/>
        <w:spacing w:before="76"/>
        <w:ind w:right="341"/>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Pr>
          <w:spacing w:val="-13"/>
        </w:rPr>
        <w:t xml:space="preserve">answer questions </w:t>
      </w:r>
      <w:r>
        <w:rPr>
          <w:spacing w:val="-8"/>
        </w:rPr>
        <w:t xml:space="preserve">or </w:t>
      </w:r>
      <w:r>
        <w:rPr>
          <w:spacing w:val="-13"/>
        </w:rPr>
        <w:t xml:space="preserve">concerns </w:t>
      </w:r>
      <w:r>
        <w:rPr>
          <w:spacing w:val="-11"/>
        </w:rPr>
        <w:t xml:space="preserve">that </w:t>
      </w:r>
      <w:r>
        <w:rPr>
          <w:spacing w:val="-14"/>
        </w:rPr>
        <w:t xml:space="preserve">respondents </w:t>
      </w:r>
      <w:r>
        <w:rPr>
          <w:spacing w:val="-10"/>
        </w:rPr>
        <w:t xml:space="preserve">may </w:t>
      </w:r>
      <w:r>
        <w:rPr>
          <w:spacing w:val="-11"/>
        </w:rPr>
        <w:t xml:space="preserve">have </w:t>
      </w:r>
      <w:r>
        <w:rPr>
          <w:spacing w:val="-7"/>
        </w:rPr>
        <w:t xml:space="preserve">in </w:t>
      </w:r>
      <w:r>
        <w:rPr>
          <w:spacing w:val="-12"/>
        </w:rPr>
        <w:t xml:space="preserve">order </w:t>
      </w:r>
      <w:r>
        <w:rPr>
          <w:spacing w:val="-7"/>
        </w:rPr>
        <w:t xml:space="preserve">to </w:t>
      </w:r>
      <w:r>
        <w:t>increase the likelihood that respondents would participate in the MCBS and remain in the survey panel.</w:t>
      </w:r>
    </w:p>
    <w:p w14:paraId="097FC1D1" w14:textId="77777777" w:rsidR="0088452B" w:rsidRDefault="004112E2">
      <w:pPr>
        <w:pStyle w:val="BodyText"/>
        <w:ind w:right="263"/>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and 3) generally making information about MCBS available through senior centers and other networks to which respondents are likely to belong or reach out to (such as the 1-800-Medicare hotline).</w:t>
      </w:r>
    </w:p>
    <w:p w14:paraId="053B2601" w14:textId="77777777" w:rsidR="0088452B" w:rsidRDefault="004112E2">
      <w:pPr>
        <w:pStyle w:val="BodyText"/>
        <w:spacing w:before="200"/>
        <w:ind w:right="341"/>
      </w:pPr>
      <w:r>
        <w:t>In addition to outreach, the following efforts remain in place to maintain a sense of validity and relevance among the survey participants.</w:t>
      </w:r>
    </w:p>
    <w:p w14:paraId="492D94E2" w14:textId="77777777" w:rsidR="0088452B" w:rsidRDefault="004112E2">
      <w:pPr>
        <w:pStyle w:val="ListParagraph"/>
        <w:numPr>
          <w:ilvl w:val="0"/>
          <w:numId w:val="1"/>
        </w:numPr>
        <w:tabs>
          <w:tab w:val="left" w:pos="920"/>
        </w:tabs>
        <w:spacing w:before="200"/>
        <w:ind w:right="529"/>
        <w:rPr>
          <w:sz w:val="24"/>
        </w:rPr>
      </w:pPr>
      <w:r>
        <w:rPr>
          <w:sz w:val="24"/>
        </w:rPr>
        <w:t>An advance letter is sent to both sampled beneficiaries and facility administrators</w:t>
      </w:r>
      <w:r>
        <w:rPr>
          <w:spacing w:val="-36"/>
          <w:sz w:val="24"/>
        </w:rPr>
        <w:t xml:space="preserve"> </w:t>
      </w:r>
      <w:r>
        <w:rPr>
          <w:sz w:val="24"/>
        </w:rPr>
        <w:t>from CMS with the Privacy Officer's signature. This includes an informational brochure answering anticipated questions (Attachment</w:t>
      </w:r>
      <w:r>
        <w:rPr>
          <w:spacing w:val="-16"/>
          <w:sz w:val="24"/>
        </w:rPr>
        <w:t xml:space="preserve"> </w:t>
      </w:r>
      <w:r>
        <w:rPr>
          <w:sz w:val="24"/>
        </w:rPr>
        <w:t>2).</w:t>
      </w:r>
    </w:p>
    <w:p w14:paraId="74B5757E" w14:textId="77777777" w:rsidR="0088452B" w:rsidRDefault="004112E2">
      <w:pPr>
        <w:pStyle w:val="ListParagraph"/>
        <w:numPr>
          <w:ilvl w:val="0"/>
          <w:numId w:val="1"/>
        </w:numPr>
        <w:tabs>
          <w:tab w:val="left" w:pos="920"/>
        </w:tabs>
        <w:spacing w:before="5"/>
        <w:ind w:right="868"/>
        <w:rPr>
          <w:sz w:val="24"/>
        </w:rPr>
      </w:pPr>
      <w:r>
        <w:rPr>
          <w:sz w:val="24"/>
        </w:rPr>
        <w:t>A handout with Privacy Act information and an appeal to participate is given to</w:t>
      </w:r>
      <w:r>
        <w:rPr>
          <w:spacing w:val="-28"/>
          <w:sz w:val="24"/>
        </w:rPr>
        <w:t xml:space="preserve"> </w:t>
      </w:r>
      <w:r>
        <w:rPr>
          <w:sz w:val="24"/>
        </w:rPr>
        <w:t>the respondent at the door by the</w:t>
      </w:r>
      <w:r>
        <w:rPr>
          <w:spacing w:val="-19"/>
          <w:sz w:val="24"/>
        </w:rPr>
        <w:t xml:space="preserve"> </w:t>
      </w:r>
      <w:r>
        <w:rPr>
          <w:sz w:val="24"/>
        </w:rPr>
        <w:t>interviewer.</w:t>
      </w:r>
    </w:p>
    <w:p w14:paraId="70696958" w14:textId="77777777" w:rsidR="0088452B" w:rsidRDefault="004112E2">
      <w:pPr>
        <w:pStyle w:val="ListParagraph"/>
        <w:numPr>
          <w:ilvl w:val="0"/>
          <w:numId w:val="1"/>
        </w:numPr>
        <w:tabs>
          <w:tab w:val="left" w:pos="920"/>
        </w:tabs>
        <w:ind w:right="1423"/>
        <w:rPr>
          <w:sz w:val="24"/>
        </w:rPr>
      </w:pPr>
      <w:r>
        <w:rPr>
          <w:sz w:val="24"/>
        </w:rPr>
        <w:t>Interviewer training emphasizes techniques and approaches effective in communicating with the older and disabled population and ways to</w:t>
      </w:r>
      <w:r>
        <w:rPr>
          <w:spacing w:val="-33"/>
          <w:sz w:val="24"/>
        </w:rPr>
        <w:t xml:space="preserve"> </w:t>
      </w:r>
      <w:r>
        <w:rPr>
          <w:sz w:val="24"/>
        </w:rPr>
        <w:t>overcome difficulties respondents may have in</w:t>
      </w:r>
      <w:r>
        <w:rPr>
          <w:spacing w:val="-12"/>
          <w:sz w:val="24"/>
        </w:rPr>
        <w:t xml:space="preserve"> </w:t>
      </w:r>
      <w:r>
        <w:rPr>
          <w:sz w:val="24"/>
        </w:rPr>
        <w:t>participating.</w:t>
      </w:r>
    </w:p>
    <w:p w14:paraId="16FB3781" w14:textId="77777777" w:rsidR="0088452B" w:rsidRDefault="004112E2">
      <w:pPr>
        <w:pStyle w:val="ListParagraph"/>
        <w:numPr>
          <w:ilvl w:val="0"/>
          <w:numId w:val="1"/>
        </w:numPr>
        <w:tabs>
          <w:tab w:val="left" w:pos="920"/>
        </w:tabs>
        <w:ind w:right="658"/>
        <w:rPr>
          <w:sz w:val="24"/>
        </w:rPr>
      </w:pPr>
      <w:r>
        <w:rPr>
          <w:sz w:val="24"/>
        </w:rPr>
        <w:t>Individualized non-response letters are sent to respondents who refuse to participate (example included in Attachment 2). These letters are used when deemed appropriate by the field management</w:t>
      </w:r>
      <w:r>
        <w:rPr>
          <w:spacing w:val="-7"/>
          <w:sz w:val="24"/>
        </w:rPr>
        <w:t xml:space="preserve"> </w:t>
      </w:r>
      <w:r>
        <w:rPr>
          <w:sz w:val="24"/>
        </w:rPr>
        <w:t>staff.</w:t>
      </w:r>
    </w:p>
    <w:p w14:paraId="3E8CFDF2" w14:textId="77777777" w:rsidR="0088452B" w:rsidRDefault="004112E2">
      <w:pPr>
        <w:pStyle w:val="ListParagraph"/>
        <w:numPr>
          <w:ilvl w:val="0"/>
          <w:numId w:val="1"/>
        </w:numPr>
        <w:tabs>
          <w:tab w:val="left" w:pos="920"/>
        </w:tabs>
        <w:ind w:right="1041"/>
        <w:rPr>
          <w:sz w:val="24"/>
        </w:rPr>
      </w:pPr>
      <w:r>
        <w:rPr>
          <w:sz w:val="24"/>
        </w:rPr>
        <w:t>NORC field management staff are specialized to follow up with respondents</w:t>
      </w:r>
      <w:r>
        <w:rPr>
          <w:spacing w:val="-19"/>
          <w:sz w:val="24"/>
        </w:rPr>
        <w:t xml:space="preserve"> </w:t>
      </w:r>
      <w:r>
        <w:rPr>
          <w:sz w:val="24"/>
        </w:rPr>
        <w:t>who express concerns about participating due to privacy or confidentiality</w:t>
      </w:r>
      <w:r>
        <w:rPr>
          <w:spacing w:val="-18"/>
          <w:sz w:val="24"/>
        </w:rPr>
        <w:t xml:space="preserve"> </w:t>
      </w:r>
      <w:r>
        <w:rPr>
          <w:sz w:val="24"/>
        </w:rPr>
        <w:t>questions.</w:t>
      </w:r>
    </w:p>
    <w:p w14:paraId="41F6FB97" w14:textId="77777777" w:rsidR="0088452B" w:rsidRDefault="004112E2">
      <w:pPr>
        <w:pStyle w:val="ListParagraph"/>
        <w:numPr>
          <w:ilvl w:val="0"/>
          <w:numId w:val="1"/>
        </w:numPr>
        <w:tabs>
          <w:tab w:val="left" w:pos="919"/>
          <w:tab w:val="left" w:pos="920"/>
        </w:tabs>
        <w:ind w:right="187"/>
        <w:rPr>
          <w:sz w:val="24"/>
        </w:rPr>
      </w:pPr>
      <w:r>
        <w:rPr>
          <w:sz w:val="24"/>
        </w:rPr>
        <w:t>Proxy respondents are sought for respondents unable to participate for themselves in</w:t>
      </w:r>
      <w:r>
        <w:rPr>
          <w:spacing w:val="-27"/>
          <w:sz w:val="24"/>
        </w:rPr>
        <w:t xml:space="preserve"> </w:t>
      </w:r>
      <w:r>
        <w:rPr>
          <w:sz w:val="24"/>
        </w:rPr>
        <w:t>order to keep respondents in the survey over the life of the</w:t>
      </w:r>
      <w:r>
        <w:rPr>
          <w:spacing w:val="-13"/>
          <w:sz w:val="24"/>
        </w:rPr>
        <w:t xml:space="preserve"> </w:t>
      </w:r>
      <w:r>
        <w:rPr>
          <w:sz w:val="24"/>
        </w:rPr>
        <w:t>panel.</w:t>
      </w:r>
    </w:p>
    <w:p w14:paraId="3B1E9F0E" w14:textId="77777777" w:rsidR="0088452B" w:rsidRDefault="004112E2">
      <w:pPr>
        <w:pStyle w:val="ListParagraph"/>
        <w:numPr>
          <w:ilvl w:val="0"/>
          <w:numId w:val="1"/>
        </w:numPr>
        <w:tabs>
          <w:tab w:val="left" w:pos="920"/>
        </w:tabs>
        <w:rPr>
          <w:sz w:val="24"/>
        </w:rPr>
      </w:pPr>
      <w:r>
        <w:rPr>
          <w:sz w:val="24"/>
        </w:rPr>
        <w:t>Non-respondents are re-contacted by a refusal conversion</w:t>
      </w:r>
      <w:r>
        <w:rPr>
          <w:spacing w:val="-20"/>
          <w:sz w:val="24"/>
        </w:rPr>
        <w:t xml:space="preserve"> </w:t>
      </w:r>
      <w:r>
        <w:rPr>
          <w:sz w:val="24"/>
        </w:rPr>
        <w:t>specialist.</w:t>
      </w:r>
    </w:p>
    <w:p w14:paraId="20C8B5B4" w14:textId="77777777" w:rsidR="0088452B" w:rsidRDefault="004112E2">
      <w:pPr>
        <w:pStyle w:val="ListParagraph"/>
        <w:numPr>
          <w:ilvl w:val="0"/>
          <w:numId w:val="1"/>
        </w:numPr>
        <w:tabs>
          <w:tab w:val="left" w:pos="920"/>
        </w:tabs>
        <w:ind w:right="678"/>
        <w:jc w:val="both"/>
        <w:rPr>
          <w:sz w:val="24"/>
        </w:rPr>
      </w:pPr>
      <w:r>
        <w:rPr>
          <w:sz w:val="24"/>
        </w:rPr>
        <w:t>A dedicated project email address (</w:t>
      </w:r>
      <w:hyperlink r:id="rId12">
        <w:r>
          <w:rPr>
            <w:color w:val="0000FF"/>
            <w:sz w:val="24"/>
            <w:u w:val="single" w:color="0000FF"/>
          </w:rPr>
          <w:t xml:space="preserve">mcbs@norc.org </w:t>
        </w:r>
      </w:hyperlink>
      <w:r>
        <w:rPr>
          <w:sz w:val="24"/>
        </w:rPr>
        <w:t>and toll-free number (1-877-389- 3429) is available to answer respondent's questions. This information is contained on various materials provided to the</w:t>
      </w:r>
      <w:r>
        <w:rPr>
          <w:spacing w:val="-10"/>
          <w:sz w:val="24"/>
        </w:rPr>
        <w:t xml:space="preserve"> </w:t>
      </w:r>
      <w:r>
        <w:rPr>
          <w:sz w:val="24"/>
        </w:rPr>
        <w:t>respondent.</w:t>
      </w:r>
    </w:p>
    <w:p w14:paraId="4EEF7728" w14:textId="77777777" w:rsidR="0088452B" w:rsidRDefault="004112E2">
      <w:pPr>
        <w:pStyle w:val="ListParagraph"/>
        <w:numPr>
          <w:ilvl w:val="0"/>
          <w:numId w:val="1"/>
        </w:numPr>
        <w:tabs>
          <w:tab w:val="left" w:pos="919"/>
          <w:tab w:val="left" w:pos="920"/>
        </w:tabs>
        <w:ind w:right="1209"/>
        <w:rPr>
          <w:sz w:val="24"/>
        </w:rPr>
      </w:pPr>
      <w:r>
        <w:rPr>
          <w:sz w:val="24"/>
        </w:rPr>
        <w:t>An MCBS website (mcbs.norc.org) contains information for respondents on</w:t>
      </w:r>
      <w:r>
        <w:rPr>
          <w:spacing w:val="-27"/>
          <w:sz w:val="24"/>
        </w:rPr>
        <w:t xml:space="preserve"> </w:t>
      </w:r>
      <w:r>
        <w:rPr>
          <w:sz w:val="24"/>
        </w:rPr>
        <w:t xml:space="preserve">the project. Respondents are also informed about the CMS MCBS Project Page </w:t>
      </w:r>
      <w:r>
        <w:rPr>
          <w:rFonts w:ascii="Calibri" w:hAnsi="Calibri"/>
          <w:sz w:val="24"/>
        </w:rPr>
        <w:t xml:space="preserve">– </w:t>
      </w:r>
      <w:hyperlink r:id="rId13">
        <w:r>
          <w:rPr>
            <w:sz w:val="24"/>
          </w:rPr>
          <w:t>www.cms.gov/mcbs</w:t>
        </w:r>
      </w:hyperlink>
    </w:p>
    <w:p w14:paraId="53BB1F48" w14:textId="77777777" w:rsidR="0088452B" w:rsidRDefault="004112E2">
      <w:pPr>
        <w:pStyle w:val="ListParagraph"/>
        <w:numPr>
          <w:ilvl w:val="0"/>
          <w:numId w:val="1"/>
        </w:numPr>
        <w:tabs>
          <w:tab w:val="left" w:pos="919"/>
          <w:tab w:val="left" w:pos="920"/>
        </w:tabs>
        <w:ind w:right="419"/>
        <w:rPr>
          <w:sz w:val="24"/>
        </w:rPr>
      </w:pPr>
      <w:r>
        <w:rPr>
          <w:sz w:val="24"/>
        </w:rPr>
        <w:t>Respondents receive an annual MCBS newsletter, which includes information about</w:t>
      </w:r>
      <w:r>
        <w:rPr>
          <w:spacing w:val="-24"/>
          <w:sz w:val="24"/>
        </w:rPr>
        <w:t xml:space="preserve"> </w:t>
      </w:r>
      <w:r>
        <w:rPr>
          <w:sz w:val="24"/>
        </w:rPr>
        <w:t>the survey as well as seasonal topics such as winter safety tips for seniors. Attachment 2 contains an example of a recent</w:t>
      </w:r>
      <w:r>
        <w:rPr>
          <w:spacing w:val="-13"/>
          <w:sz w:val="24"/>
        </w:rPr>
        <w:t xml:space="preserve"> </w:t>
      </w:r>
      <w:r>
        <w:rPr>
          <w:sz w:val="24"/>
        </w:rPr>
        <w:t>newsletter.</w:t>
      </w:r>
    </w:p>
    <w:p w14:paraId="4CAC009F" w14:textId="77777777" w:rsidR="0088452B" w:rsidRDefault="004112E2">
      <w:pPr>
        <w:pStyle w:val="ListParagraph"/>
        <w:numPr>
          <w:ilvl w:val="0"/>
          <w:numId w:val="1"/>
        </w:numPr>
        <w:tabs>
          <w:tab w:val="left" w:pos="920"/>
        </w:tabs>
        <w:ind w:right="616"/>
        <w:rPr>
          <w:sz w:val="24"/>
        </w:rPr>
      </w:pPr>
      <w:r>
        <w:rPr>
          <w:sz w:val="24"/>
        </w:rPr>
        <w:t>Whenever possible, the respondent is paired with the same interviewer throughout</w:t>
      </w:r>
      <w:r>
        <w:rPr>
          <w:spacing w:val="-27"/>
          <w:sz w:val="24"/>
        </w:rPr>
        <w:t xml:space="preserve"> </w:t>
      </w:r>
      <w:r>
        <w:rPr>
          <w:sz w:val="24"/>
        </w:rPr>
        <w:t>the survey. This maintains rapport and establishes continuity of process in the</w:t>
      </w:r>
      <w:r>
        <w:rPr>
          <w:spacing w:val="-34"/>
          <w:sz w:val="24"/>
        </w:rPr>
        <w:t xml:space="preserve"> </w:t>
      </w:r>
      <w:r>
        <w:rPr>
          <w:sz w:val="24"/>
        </w:rPr>
        <w:t>interview.</w:t>
      </w:r>
    </w:p>
    <w:p w14:paraId="7DA0AA13" w14:textId="77777777" w:rsidR="0088452B" w:rsidRDefault="004112E2">
      <w:pPr>
        <w:pStyle w:val="ListParagraph"/>
        <w:numPr>
          <w:ilvl w:val="0"/>
          <w:numId w:val="1"/>
        </w:numPr>
        <w:tabs>
          <w:tab w:val="left" w:pos="921"/>
          <w:tab w:val="left" w:pos="922"/>
        </w:tabs>
        <w:ind w:left="921" w:right="401"/>
        <w:rPr>
          <w:sz w:val="24"/>
        </w:rPr>
      </w:pPr>
      <w:r>
        <w:rPr>
          <w:sz w:val="24"/>
        </w:rPr>
        <w:t>Interviewers are trained to utilize personal touches such as thank you notes and</w:t>
      </w:r>
      <w:r>
        <w:rPr>
          <w:spacing w:val="-22"/>
          <w:sz w:val="24"/>
        </w:rPr>
        <w:t xml:space="preserve"> </w:t>
      </w:r>
      <w:r>
        <w:rPr>
          <w:sz w:val="24"/>
        </w:rPr>
        <w:t>birthday cards to maintain contact with</w:t>
      </w:r>
      <w:r>
        <w:rPr>
          <w:spacing w:val="-11"/>
          <w:sz w:val="24"/>
        </w:rPr>
        <w:t xml:space="preserve"> </w:t>
      </w:r>
      <w:r>
        <w:rPr>
          <w:sz w:val="24"/>
        </w:rPr>
        <w:t>respondents.</w:t>
      </w:r>
    </w:p>
    <w:p w14:paraId="17A9A4B3" w14:textId="77777777" w:rsidR="0088452B" w:rsidRDefault="0088452B">
      <w:pPr>
        <w:rPr>
          <w:sz w:val="24"/>
        </w:rPr>
        <w:sectPr w:rsidR="0088452B">
          <w:pgSz w:w="12240" w:h="15840"/>
          <w:pgMar w:top="1300" w:right="1220" w:bottom="940" w:left="1240" w:header="0" w:footer="745" w:gutter="0"/>
          <w:cols w:space="720"/>
        </w:sectPr>
      </w:pPr>
    </w:p>
    <w:p w14:paraId="62201C00" w14:textId="77777777" w:rsidR="0088452B" w:rsidRDefault="004112E2">
      <w:pPr>
        <w:pStyle w:val="BodyText"/>
        <w:spacing w:before="76"/>
        <w:ind w:right="320"/>
      </w:pPr>
      <w:bookmarkStart w:id="19" w:name="B4._Tests_of_Procedures_or_Methods"/>
      <w:bookmarkEnd w:id="19"/>
      <w:r>
        <w:t>A non-response bias analysis for the MCBS was conducted in 2017. 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frame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04DF15F4" w14:textId="77777777" w:rsidR="0088452B" w:rsidRDefault="004112E2">
      <w:pPr>
        <w:pStyle w:val="BodyText"/>
        <w:spacing w:before="198"/>
        <w:ind w:right="308"/>
      </w:pPr>
      <w:r>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84.1% for the 2014 panel in Round 73 to 96.9% for the 2011 panel in Round 71/72.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73 the response rate for the 2015 Supplemental panel was 53.3%. Once again we rely on cells derived from response propensity models to account for differential effects of demographic and geographic characteristics on the resulting data. In 2015 the most closely related covariates to response propensity in the incoming panel were: the mean response rate over the previous 5 years in the same county; race (2-level: black, non-black); entitlement for Part B (2-level: yes, no); and sex (2-level: male, female). By accounting for these characteristics in constructing the adjustment cells, we reduce the potential for nonresponse bias that could arise due to these differential factors.</w:t>
      </w:r>
    </w:p>
    <w:p w14:paraId="7D59DEF8" w14:textId="77777777" w:rsidR="0088452B" w:rsidRDefault="004112E2">
      <w:pPr>
        <w:pStyle w:val="BodyText"/>
        <w:spacing w:before="200"/>
        <w:ind w:right="236"/>
      </w:pPr>
      <w:r>
        <w:t>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In Fall 2016 and Fall 2017, R-indicators were not observed outside these thresholds; consequently, no data collection interventions were needed to improve the representativity of the achieved sample.</w:t>
      </w:r>
    </w:p>
    <w:p w14:paraId="7BCBCC2C" w14:textId="77777777" w:rsidR="0088452B" w:rsidRDefault="0088452B">
      <w:pPr>
        <w:pStyle w:val="BodyText"/>
        <w:spacing w:before="1"/>
        <w:ind w:left="0"/>
        <w:rPr>
          <w:sz w:val="21"/>
        </w:rPr>
      </w:pPr>
    </w:p>
    <w:p w14:paraId="5464AC65" w14:textId="77777777" w:rsidR="0088452B" w:rsidRDefault="004112E2">
      <w:pPr>
        <w:pStyle w:val="Heading2"/>
        <w:spacing w:before="0"/>
      </w:pPr>
      <w:bookmarkStart w:id="20" w:name="_bookmark11"/>
      <w:bookmarkEnd w:id="20"/>
      <w:r>
        <w:t>B4. Tests of Procedures or Methods</w:t>
      </w:r>
    </w:p>
    <w:p w14:paraId="353674A3" w14:textId="77777777" w:rsidR="0088452B" w:rsidRDefault="004112E2">
      <w:pPr>
        <w:pStyle w:val="BodyText"/>
        <w:spacing w:before="117"/>
      </w:pPr>
      <w:r>
        <w:t>MCBS’ generic clearance for Questionnaire Testing and Methodological Research for the MCBS was approved by OMB in May 2015 (OMB No. 0938-1275, expiration 05/31/2018). The generic clearance encompasses development and testing of MCBS questionnaires, instrumentation, and methodological experiments. It contains approval for seven types of potential research activities:</w:t>
      </w:r>
    </w:p>
    <w:p w14:paraId="052551CF" w14:textId="77777777" w:rsidR="0088452B" w:rsidRDefault="004112E2">
      <w:pPr>
        <w:pStyle w:val="BodyText"/>
        <w:ind w:right="481"/>
      </w:pPr>
      <w:r>
        <w:t>1) cognitive interviewing, 2) focus groups, 3) usability testing, 4) field testing, 5) respondent debriefing questionnaire, 6) split ballot and other methodological experiments, and 7) research about incentives. Any future changes to the MCBS instrumentation, data collection methods, or procedures that require testing will be submitted as individual collection requests under the generic clearance.</w:t>
      </w:r>
    </w:p>
    <w:p w14:paraId="03C01558" w14:textId="77777777" w:rsidR="0088452B" w:rsidRDefault="0088452B">
      <w:pPr>
        <w:sectPr w:rsidR="0088452B">
          <w:pgSz w:w="12240" w:h="15840"/>
          <w:pgMar w:top="1300" w:right="1220" w:bottom="940" w:left="1240" w:header="0" w:footer="745" w:gutter="0"/>
          <w:cols w:space="720"/>
        </w:sectPr>
      </w:pPr>
    </w:p>
    <w:p w14:paraId="7AFF8BB6" w14:textId="77777777" w:rsidR="0088452B" w:rsidRDefault="004112E2">
      <w:pPr>
        <w:pStyle w:val="Heading2"/>
        <w:spacing w:before="60"/>
      </w:pPr>
      <w:bookmarkStart w:id="21" w:name="B5._Individuals_Consulted_on_Statistical"/>
      <w:bookmarkStart w:id="22" w:name="_bookmark12"/>
      <w:bookmarkEnd w:id="21"/>
      <w:bookmarkEnd w:id="22"/>
      <w:r>
        <w:t>B5. Individuals Consulted on Statistical Aspects of Design</w:t>
      </w:r>
    </w:p>
    <w:p w14:paraId="389FAE8B" w14:textId="77777777" w:rsidR="0088452B" w:rsidRDefault="004112E2">
      <w:pPr>
        <w:pStyle w:val="BodyText"/>
        <w:spacing w:before="116"/>
      </w:pPr>
      <w:r>
        <w:t>The person responsible for statistical aspects of design is:</w:t>
      </w:r>
    </w:p>
    <w:p w14:paraId="60F7D3D9" w14:textId="77777777" w:rsidR="0088452B" w:rsidRDefault="0088452B">
      <w:pPr>
        <w:pStyle w:val="BodyText"/>
        <w:spacing w:before="9"/>
        <w:ind w:left="0"/>
        <w:rPr>
          <w:sz w:val="20"/>
        </w:rPr>
      </w:pPr>
    </w:p>
    <w:p w14:paraId="1E87255E" w14:textId="77777777" w:rsidR="0088452B" w:rsidRDefault="004112E2">
      <w:pPr>
        <w:pStyle w:val="BodyText"/>
        <w:spacing w:before="1" w:line="292" w:lineRule="auto"/>
        <w:ind w:left="676" w:right="6331"/>
      </w:pPr>
      <w:r>
        <w:t>Kirk Wolter, Ph.D. Executive Vice President</w:t>
      </w:r>
    </w:p>
    <w:p w14:paraId="49057F0D" w14:textId="77777777" w:rsidR="008174FC" w:rsidRDefault="004112E2">
      <w:pPr>
        <w:pStyle w:val="BodyText"/>
        <w:spacing w:before="1"/>
        <w:ind w:left="676" w:right="5266"/>
      </w:pPr>
      <w:r>
        <w:t>NORC at the University of Chicago 55 East Monroe Street, 30</w:t>
      </w:r>
      <w:r>
        <w:rPr>
          <w:position w:val="9"/>
          <w:sz w:val="16"/>
        </w:rPr>
        <w:t xml:space="preserve">th </w:t>
      </w:r>
      <w:r>
        <w:t>Floor</w:t>
      </w:r>
    </w:p>
    <w:p w14:paraId="4AB4F4AC" w14:textId="6245DEAF" w:rsidR="0088452B" w:rsidRDefault="004112E2" w:rsidP="008174FC">
      <w:pPr>
        <w:pStyle w:val="BodyText"/>
        <w:spacing w:before="1"/>
        <w:ind w:left="676" w:right="5266"/>
      </w:pPr>
      <w:r>
        <w:t>Chicago,</w:t>
      </w:r>
      <w:r w:rsidR="008174FC">
        <w:t xml:space="preserve"> </w:t>
      </w:r>
      <w:r>
        <w:t>Illinois</w:t>
      </w:r>
    </w:p>
    <w:p w14:paraId="1B1B3DBB" w14:textId="77777777" w:rsidR="0088452B" w:rsidRDefault="004112E2">
      <w:pPr>
        <w:pStyle w:val="BodyText"/>
        <w:spacing w:before="60"/>
        <w:ind w:left="676"/>
      </w:pPr>
      <w:r>
        <w:t>(312) 759-4206</w:t>
      </w:r>
    </w:p>
    <w:p w14:paraId="7F1C0134" w14:textId="77777777" w:rsidR="0088452B" w:rsidRDefault="00A528D4">
      <w:pPr>
        <w:pStyle w:val="BodyText"/>
        <w:spacing w:before="59"/>
        <w:ind w:left="676"/>
      </w:pPr>
      <w:hyperlink r:id="rId14">
        <w:r w:rsidR="004112E2">
          <w:t>wolter-kirk@norc.org</w:t>
        </w:r>
      </w:hyperlink>
    </w:p>
    <w:p w14:paraId="706712A9" w14:textId="77777777" w:rsidR="0088452B" w:rsidRDefault="004112E2">
      <w:pPr>
        <w:pStyle w:val="BodyText"/>
        <w:spacing w:before="182"/>
      </w:pPr>
      <w:r>
        <w:t>The contractor collecting the information is NORC at the University of Chicago.</w:t>
      </w:r>
    </w:p>
    <w:sectPr w:rsidR="0088452B">
      <w:pgSz w:w="12240" w:h="15840"/>
      <w:pgMar w:top="1320" w:right="1220" w:bottom="940" w:left="1240" w:header="0" w:footer="7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12AC9" w14:textId="77777777" w:rsidR="0050626C" w:rsidRDefault="0050626C">
      <w:r>
        <w:separator/>
      </w:r>
    </w:p>
  </w:endnote>
  <w:endnote w:type="continuationSeparator" w:id="0">
    <w:p w14:paraId="59E33609" w14:textId="77777777" w:rsidR="0050626C" w:rsidRDefault="0050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6B32" w14:textId="209E8232" w:rsidR="004C1221" w:rsidRDefault="00B749A0">
    <w:pPr>
      <w:pStyle w:val="BodyText"/>
      <w:spacing w:line="14" w:lineRule="auto"/>
      <w:ind w:left="0"/>
      <w:rPr>
        <w:sz w:val="20"/>
      </w:rPr>
    </w:pPr>
    <w:r>
      <w:rPr>
        <w:noProof/>
      </w:rPr>
      <mc:AlternateContent>
        <mc:Choice Requires="wps">
          <w:drawing>
            <wp:anchor distT="0" distB="0" distL="114300" distR="114300" simplePos="0" relativeHeight="503269904" behindDoc="1" locked="0" layoutInCell="1" allowOverlap="1" wp14:anchorId="6A7455DC" wp14:editId="68BC7341">
              <wp:simplePos x="0" y="0"/>
              <wp:positionH relativeFrom="page">
                <wp:posOffset>6514465</wp:posOffset>
              </wp:positionH>
              <wp:positionV relativeFrom="page">
                <wp:posOffset>9445625</wp:posOffset>
              </wp:positionV>
              <wp:extent cx="445770" cy="16637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5BFF3" w14:textId="2F6F5927" w:rsidR="004C1221" w:rsidRDefault="004C1221">
                          <w:pPr>
                            <w:spacing w:before="12"/>
                            <w:ind w:left="20"/>
                            <w:rPr>
                              <w:sz w:val="20"/>
                            </w:rPr>
                          </w:pPr>
                          <w:r>
                            <w:rPr>
                              <w:sz w:val="20"/>
                            </w:rPr>
                            <w:t xml:space="preserve">Page | </w:t>
                          </w:r>
                          <w:r>
                            <w:fldChar w:fldCharType="begin"/>
                          </w:r>
                          <w:r>
                            <w:rPr>
                              <w:sz w:val="20"/>
                            </w:rPr>
                            <w:instrText xml:space="preserve"> PAGE  \* roman </w:instrText>
                          </w:r>
                          <w:r>
                            <w:fldChar w:fldCharType="separate"/>
                          </w:r>
                          <w:r w:rsidR="00FC61BB">
                            <w:rPr>
                              <w:noProof/>
                              <w:sz w:val="20"/>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95pt;margin-top:743.75pt;width:35.1pt;height:13.1pt;z-index:-4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k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" filled="f" stroked="f">
              <v:textbox inset="0,0,0,0">
                <w:txbxContent>
                  <w:p w14:paraId="2CB5BFF3" w14:textId="2F6F5927" w:rsidR="004C1221" w:rsidRDefault="004C1221">
                    <w:pPr>
                      <w:spacing w:before="12"/>
                      <w:ind w:left="20"/>
                      <w:rPr>
                        <w:sz w:val="20"/>
                      </w:rPr>
                    </w:pPr>
                    <w:r>
                      <w:rPr>
                        <w:sz w:val="20"/>
                      </w:rPr>
                      <w:t xml:space="preserve">Page | </w:t>
                    </w:r>
                    <w:r>
                      <w:fldChar w:fldCharType="begin"/>
                    </w:r>
                    <w:r>
                      <w:rPr>
                        <w:sz w:val="20"/>
                      </w:rPr>
                      <w:instrText xml:space="preserve"> PAGE  \* roman </w:instrText>
                    </w:r>
                    <w:r>
                      <w:fldChar w:fldCharType="separate"/>
                    </w:r>
                    <w:r w:rsidR="00FC61BB">
                      <w:rPr>
                        <w:noProof/>
                        <w:sz w:val="20"/>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06CF" w14:textId="5F793728" w:rsidR="004C1221" w:rsidRDefault="00B749A0">
    <w:pPr>
      <w:pStyle w:val="BodyText"/>
      <w:spacing w:line="14" w:lineRule="auto"/>
      <w:ind w:left="0"/>
      <w:rPr>
        <w:sz w:val="20"/>
      </w:rPr>
    </w:pPr>
    <w:r>
      <w:rPr>
        <w:noProof/>
      </w:rPr>
      <mc:AlternateContent>
        <mc:Choice Requires="wps">
          <w:drawing>
            <wp:anchor distT="0" distB="0" distL="114300" distR="114300" simplePos="0" relativeHeight="503269928" behindDoc="1" locked="0" layoutInCell="1" allowOverlap="1" wp14:anchorId="0C0EBEAE" wp14:editId="4F46856B">
              <wp:simplePos x="0" y="0"/>
              <wp:positionH relativeFrom="page">
                <wp:posOffset>6457950</wp:posOffset>
              </wp:positionH>
              <wp:positionV relativeFrom="page">
                <wp:posOffset>9445625</wp:posOffset>
              </wp:positionV>
              <wp:extent cx="501650" cy="16637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DE1A7" w14:textId="11D27625" w:rsidR="004C1221" w:rsidRDefault="004C1221">
                          <w:pPr>
                            <w:spacing w:before="12"/>
                            <w:ind w:left="20"/>
                            <w:rPr>
                              <w:sz w:val="20"/>
                            </w:rPr>
                          </w:pPr>
                          <w:r>
                            <w:rPr>
                              <w:sz w:val="20"/>
                            </w:rPr>
                            <w:t xml:space="preserve">Page | </w:t>
                          </w:r>
                          <w:r>
                            <w:fldChar w:fldCharType="begin"/>
                          </w:r>
                          <w:r>
                            <w:rPr>
                              <w:sz w:val="20"/>
                            </w:rPr>
                            <w:instrText xml:space="preserve"> PAGE </w:instrText>
                          </w:r>
                          <w:r>
                            <w:fldChar w:fldCharType="separate"/>
                          </w:r>
                          <w:r w:rsidR="00FC61BB">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5pt;margin-top:743.75pt;width:39.5pt;height:13.1pt;z-index:-4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jUrgIAAK8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" filled="f" stroked="f">
              <v:textbox inset="0,0,0,0">
                <w:txbxContent>
                  <w:p w14:paraId="153DE1A7" w14:textId="11D27625" w:rsidR="004C1221" w:rsidRDefault="004C1221">
                    <w:pPr>
                      <w:spacing w:before="12"/>
                      <w:ind w:left="20"/>
                      <w:rPr>
                        <w:sz w:val="20"/>
                      </w:rPr>
                    </w:pPr>
                    <w:r>
                      <w:rPr>
                        <w:sz w:val="20"/>
                      </w:rPr>
                      <w:t xml:space="preserve">Page | </w:t>
                    </w:r>
                    <w:r>
                      <w:fldChar w:fldCharType="begin"/>
                    </w:r>
                    <w:r>
                      <w:rPr>
                        <w:sz w:val="20"/>
                      </w:rPr>
                      <w:instrText xml:space="preserve"> PAGE </w:instrText>
                    </w:r>
                    <w:r>
                      <w:fldChar w:fldCharType="separate"/>
                    </w:r>
                    <w:r w:rsidR="00FC61BB">
                      <w:rPr>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9C706" w14:textId="77777777" w:rsidR="0050626C" w:rsidRDefault="0050626C">
      <w:r>
        <w:separator/>
      </w:r>
    </w:p>
  </w:footnote>
  <w:footnote w:type="continuationSeparator" w:id="0">
    <w:p w14:paraId="1C84EDA9" w14:textId="77777777" w:rsidR="0050626C" w:rsidRDefault="00506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
    <w:nsid w:val="29F315ED"/>
    <w:multiLevelType w:val="hybridMultilevel"/>
    <w:tmpl w:val="9E744918"/>
    <w:lvl w:ilvl="0" w:tplc="80DAD194">
      <w:start w:val="1"/>
      <w:numFmt w:val="lowerLetter"/>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2">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3">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4">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5">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2B"/>
    <w:rsid w:val="004112E2"/>
    <w:rsid w:val="004C1221"/>
    <w:rsid w:val="0050626C"/>
    <w:rsid w:val="00566BE2"/>
    <w:rsid w:val="007C13CB"/>
    <w:rsid w:val="008174FC"/>
    <w:rsid w:val="00844164"/>
    <w:rsid w:val="0088452B"/>
    <w:rsid w:val="008B6728"/>
    <w:rsid w:val="00A528D4"/>
    <w:rsid w:val="00B749A0"/>
    <w:rsid w:val="00FC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B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100"/>
      <w:outlineLvl w:val="0"/>
    </w:pPr>
    <w:rPr>
      <w:sz w:val="32"/>
      <w:szCs w:val="32"/>
    </w:rPr>
  </w:style>
  <w:style w:type="paragraph" w:styleId="Heading2">
    <w:name w:val="heading 2"/>
    <w:basedOn w:val="Normal"/>
    <w:uiPriority w:val="1"/>
    <w:qFormat/>
    <w:pPr>
      <w:spacing w:before="202"/>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00"/>
    </w:pPr>
    <w:rPr>
      <w:sz w:val="24"/>
      <w:szCs w:val="24"/>
    </w:rPr>
  </w:style>
  <w:style w:type="paragraph" w:styleId="TOC2">
    <w:name w:val="toc 2"/>
    <w:basedOn w:val="Normal"/>
    <w:uiPriority w:val="1"/>
    <w:qFormat/>
    <w:pPr>
      <w:spacing w:before="99"/>
      <w:ind w:left="320"/>
    </w:pPr>
    <w:rPr>
      <w:sz w:val="24"/>
      <w:szCs w:val="24"/>
    </w:rPr>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spacing w:before="27"/>
    </w:pPr>
  </w:style>
  <w:style w:type="character" w:styleId="CommentReference">
    <w:name w:val="annotation reference"/>
    <w:basedOn w:val="DefaultParagraphFont"/>
    <w:uiPriority w:val="99"/>
    <w:semiHidden/>
    <w:unhideWhenUsed/>
    <w:rsid w:val="004C1221"/>
    <w:rPr>
      <w:sz w:val="16"/>
      <w:szCs w:val="16"/>
    </w:rPr>
  </w:style>
  <w:style w:type="paragraph" w:styleId="CommentText">
    <w:name w:val="annotation text"/>
    <w:basedOn w:val="Normal"/>
    <w:link w:val="CommentTextChar"/>
    <w:uiPriority w:val="99"/>
    <w:semiHidden/>
    <w:unhideWhenUsed/>
    <w:rsid w:val="004C1221"/>
    <w:rPr>
      <w:sz w:val="20"/>
      <w:szCs w:val="20"/>
    </w:rPr>
  </w:style>
  <w:style w:type="character" w:customStyle="1" w:styleId="CommentTextChar">
    <w:name w:val="Comment Text Char"/>
    <w:basedOn w:val="DefaultParagraphFont"/>
    <w:link w:val="CommentText"/>
    <w:uiPriority w:val="99"/>
    <w:semiHidden/>
    <w:rsid w:val="004C12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1221"/>
    <w:rPr>
      <w:b/>
      <w:bCs/>
    </w:rPr>
  </w:style>
  <w:style w:type="character" w:customStyle="1" w:styleId="CommentSubjectChar">
    <w:name w:val="Comment Subject Char"/>
    <w:basedOn w:val="CommentTextChar"/>
    <w:link w:val="CommentSubject"/>
    <w:uiPriority w:val="99"/>
    <w:semiHidden/>
    <w:rsid w:val="004C12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1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22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100"/>
      <w:outlineLvl w:val="0"/>
    </w:pPr>
    <w:rPr>
      <w:sz w:val="32"/>
      <w:szCs w:val="32"/>
    </w:rPr>
  </w:style>
  <w:style w:type="paragraph" w:styleId="Heading2">
    <w:name w:val="heading 2"/>
    <w:basedOn w:val="Normal"/>
    <w:uiPriority w:val="1"/>
    <w:qFormat/>
    <w:pPr>
      <w:spacing w:before="202"/>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00"/>
    </w:pPr>
    <w:rPr>
      <w:sz w:val="24"/>
      <w:szCs w:val="24"/>
    </w:rPr>
  </w:style>
  <w:style w:type="paragraph" w:styleId="TOC2">
    <w:name w:val="toc 2"/>
    <w:basedOn w:val="Normal"/>
    <w:uiPriority w:val="1"/>
    <w:qFormat/>
    <w:pPr>
      <w:spacing w:before="99"/>
      <w:ind w:left="320"/>
    </w:pPr>
    <w:rPr>
      <w:sz w:val="24"/>
      <w:szCs w:val="24"/>
    </w:rPr>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spacing w:before="27"/>
    </w:pPr>
  </w:style>
  <w:style w:type="character" w:styleId="CommentReference">
    <w:name w:val="annotation reference"/>
    <w:basedOn w:val="DefaultParagraphFont"/>
    <w:uiPriority w:val="99"/>
    <w:semiHidden/>
    <w:unhideWhenUsed/>
    <w:rsid w:val="004C1221"/>
    <w:rPr>
      <w:sz w:val="16"/>
      <w:szCs w:val="16"/>
    </w:rPr>
  </w:style>
  <w:style w:type="paragraph" w:styleId="CommentText">
    <w:name w:val="annotation text"/>
    <w:basedOn w:val="Normal"/>
    <w:link w:val="CommentTextChar"/>
    <w:uiPriority w:val="99"/>
    <w:semiHidden/>
    <w:unhideWhenUsed/>
    <w:rsid w:val="004C1221"/>
    <w:rPr>
      <w:sz w:val="20"/>
      <w:szCs w:val="20"/>
    </w:rPr>
  </w:style>
  <w:style w:type="character" w:customStyle="1" w:styleId="CommentTextChar">
    <w:name w:val="Comment Text Char"/>
    <w:basedOn w:val="DefaultParagraphFont"/>
    <w:link w:val="CommentText"/>
    <w:uiPriority w:val="99"/>
    <w:semiHidden/>
    <w:rsid w:val="004C12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1221"/>
    <w:rPr>
      <w:b/>
      <w:bCs/>
    </w:rPr>
  </w:style>
  <w:style w:type="character" w:customStyle="1" w:styleId="CommentSubjectChar">
    <w:name w:val="Comment Subject Char"/>
    <w:basedOn w:val="CommentTextChar"/>
    <w:link w:val="CommentSubject"/>
    <w:uiPriority w:val="99"/>
    <w:semiHidden/>
    <w:rsid w:val="004C12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1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2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http://www.cms.gov/mc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cbs@nor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rcc.nih.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olter-kirk@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8488</Words>
  <Characters>48388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CMS-P-0015A. (0938-0568) Supporting Statement Part B</vt:lpstr>
    </vt:vector>
  </TitlesOfParts>
  <Company>General Services Administration</Company>
  <LinksUpToDate>false</LinksUpToDate>
  <CharactersWithSpaces>56763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(0938-0568) Supporting Statement Part B</dc:title>
  <dc:subject>OMB clearance documentation</dc:subject>
  <dc:creator>Laurie Imhof</dc:creator>
  <cp:keywords>"OMB; supporting statement; MCBS"</cp:keywords>
  <cp:lastModifiedBy>SYSTEM</cp:lastModifiedBy>
  <cp:revision>2</cp:revision>
  <dcterms:created xsi:type="dcterms:W3CDTF">2018-09-24T17:59:00Z</dcterms:created>
  <dcterms:modified xsi:type="dcterms:W3CDTF">2018-09-24T17:59:00Z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AdHocReviewCycleID">
    <vt:i4>1003309608</vt:i4>
  </property>
  <property fmtid="{D5CDD505-2E9C-101B-9397-08002B2CF9AE}" pid="6" name="_NewReviewCycle">
    <vt:lpwstr/>
  </property>
  <property fmtid="{D5CDD505-2E9C-101B-9397-08002B2CF9AE}" pid="7" name="_EmailSubject">
    <vt:lpwstr>OMB Pass Back Question - MCBS</vt:lpwstr>
  </property>
  <property fmtid="{D5CDD505-2E9C-101B-9397-08002B2CF9AE}" pid="8" name="_AuthorEmail">
    <vt:lpwstr>william.long@cms.hhs.gov</vt:lpwstr>
  </property>
  <property fmtid="{D5CDD505-2E9C-101B-9397-08002B2CF9AE}" pid="9" name="_AuthorEmailDisplayName">
    <vt:lpwstr>Long, William S. (CMS/OEDA)</vt:lpwstr>
  </property>
  <property fmtid="{D5CDD505-2E9C-101B-9397-08002B2CF9AE}" pid="10" name="_ReviewingToolsShownOnce">
    <vt:lpwstr/>
  </property>
</Properties>
</file>