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54A02" w14:textId="77777777" w:rsidR="00861DAC" w:rsidRDefault="0089194B" w:rsidP="00E668C2">
      <w:pPr>
        <w:pStyle w:val="Heading1"/>
        <w:spacing w:line="275" w:lineRule="exact"/>
        <w:ind w:right="577"/>
        <w:jc w:val="center"/>
        <w:rPr>
          <w:b w:val="0"/>
          <w:bCs w:val="0"/>
        </w:rPr>
      </w:pPr>
      <w:bookmarkStart w:id="0" w:name="_GoBack"/>
      <w:bookmarkEnd w:id="0"/>
      <w:r>
        <w:rPr>
          <w:spacing w:val="4"/>
        </w:rPr>
        <w:t>Supporting</w:t>
      </w:r>
      <w:r>
        <w:rPr>
          <w:spacing w:val="10"/>
        </w:rPr>
        <w:t xml:space="preserve"> </w:t>
      </w:r>
      <w:r>
        <w:rPr>
          <w:spacing w:val="4"/>
        </w:rPr>
        <w:t>Statement</w:t>
      </w:r>
    </w:p>
    <w:p w14:paraId="5BE4DC5B" w14:textId="257F756E" w:rsidR="00861DAC" w:rsidRDefault="006063D5">
      <w:pPr>
        <w:spacing w:line="274" w:lineRule="exact"/>
        <w:ind w:left="593" w:right="580"/>
        <w:jc w:val="center"/>
        <w:rPr>
          <w:rFonts w:ascii="Times New Roman" w:eastAsia="Times New Roman" w:hAnsi="Times New Roman" w:cs="Times New Roman"/>
          <w:sz w:val="24"/>
          <w:szCs w:val="24"/>
        </w:rPr>
      </w:pPr>
      <w:r w:rsidRPr="006063D5">
        <w:rPr>
          <w:rFonts w:ascii="Times New Roman"/>
          <w:b/>
          <w:spacing w:val="2"/>
          <w:sz w:val="24"/>
        </w:rPr>
        <w:t>Request for Adjustment to the MLR Standard for a State</w:t>
      </w:r>
      <w:r w:rsidRPr="006063D5">
        <w:rPr>
          <w:rFonts w:ascii="Times New Roman"/>
          <w:b/>
          <w:spacing w:val="2"/>
          <w:sz w:val="24"/>
        </w:rPr>
        <w:t>’</w:t>
      </w:r>
      <w:r w:rsidRPr="006063D5">
        <w:rPr>
          <w:rFonts w:ascii="Times New Roman"/>
          <w:b/>
          <w:spacing w:val="2"/>
          <w:sz w:val="24"/>
        </w:rPr>
        <w:t>s Individual Market</w:t>
      </w:r>
    </w:p>
    <w:p w14:paraId="75E680A6" w14:textId="3A85A2F8" w:rsidR="00861DAC" w:rsidRDefault="0089194B">
      <w:pPr>
        <w:pStyle w:val="BodyText"/>
        <w:spacing w:line="275" w:lineRule="exact"/>
        <w:ind w:left="590" w:right="580"/>
        <w:jc w:val="center"/>
      </w:pPr>
      <w:r>
        <w:t>(CMS-10</w:t>
      </w:r>
      <w:r w:rsidR="006063D5">
        <w:t>361</w:t>
      </w:r>
      <w:r>
        <w:t xml:space="preserve"> - OMB Control Number -</w:t>
      </w:r>
      <w:r>
        <w:rPr>
          <w:spacing w:val="-1"/>
        </w:rPr>
        <w:t xml:space="preserve"> </w:t>
      </w:r>
      <w:r>
        <w:t>0938 -11</w:t>
      </w:r>
      <w:r w:rsidR="006063D5">
        <w:t>1</w:t>
      </w:r>
      <w:r>
        <w:t>4)</w:t>
      </w:r>
    </w:p>
    <w:p w14:paraId="26E2483B" w14:textId="77777777" w:rsidR="00861DAC" w:rsidRDefault="00861DAC">
      <w:pPr>
        <w:spacing w:before="9"/>
        <w:rPr>
          <w:rFonts w:ascii="Times New Roman" w:eastAsia="Times New Roman" w:hAnsi="Times New Roman" w:cs="Times New Roman"/>
          <w:sz w:val="24"/>
          <w:szCs w:val="24"/>
        </w:rPr>
      </w:pPr>
    </w:p>
    <w:p w14:paraId="51F9D6E0" w14:textId="77777777" w:rsidR="00861DAC" w:rsidRDefault="0089194B">
      <w:pPr>
        <w:pStyle w:val="Heading1"/>
        <w:tabs>
          <w:tab w:val="left" w:pos="823"/>
        </w:tabs>
        <w:ind w:left="104" w:right="108"/>
        <w:rPr>
          <w:b w:val="0"/>
          <w:bCs w:val="0"/>
        </w:rPr>
      </w:pPr>
      <w:r>
        <w:rPr>
          <w:spacing w:val="-1"/>
        </w:rPr>
        <w:t>A.</w:t>
      </w:r>
      <w:r>
        <w:rPr>
          <w:spacing w:val="-1"/>
        </w:rPr>
        <w:tab/>
      </w:r>
      <w:r>
        <w:t>Justification</w:t>
      </w:r>
    </w:p>
    <w:p w14:paraId="78B5283D" w14:textId="77777777" w:rsidR="00861DAC" w:rsidRDefault="00861DAC">
      <w:pPr>
        <w:spacing w:before="1"/>
        <w:rPr>
          <w:rFonts w:ascii="Times New Roman" w:eastAsia="Times New Roman" w:hAnsi="Times New Roman" w:cs="Times New Roman"/>
          <w:b/>
          <w:bCs/>
          <w:sz w:val="24"/>
          <w:szCs w:val="24"/>
        </w:rPr>
      </w:pPr>
    </w:p>
    <w:p w14:paraId="58D59655" w14:textId="1D0E5799" w:rsidR="00861DAC" w:rsidRDefault="0089194B" w:rsidP="002867A2">
      <w:pPr>
        <w:pStyle w:val="Heading2"/>
        <w:numPr>
          <w:ilvl w:val="0"/>
          <w:numId w:val="6"/>
        </w:numPr>
        <w:ind w:left="810"/>
        <w:rPr>
          <w:rFonts w:eastAsia="Times New Roman" w:cs="Times New Roman"/>
          <w:szCs w:val="20"/>
        </w:rPr>
      </w:pPr>
      <w:bookmarkStart w:id="1" w:name="Circumstances_Making_the_Collection_of_I"/>
      <w:bookmarkEnd w:id="1"/>
      <w:r>
        <w:t>Circumstances Making the Collection of Information</w:t>
      </w:r>
      <w:r>
        <w:rPr>
          <w:spacing w:val="-21"/>
        </w:rPr>
        <w:t xml:space="preserve"> </w:t>
      </w:r>
      <w:r>
        <w:t>Necessary</w:t>
      </w:r>
    </w:p>
    <w:p w14:paraId="14F5238F" w14:textId="77777777" w:rsidR="00861DAC" w:rsidRDefault="00861DAC">
      <w:pPr>
        <w:spacing w:before="2"/>
        <w:rPr>
          <w:rFonts w:ascii="Times New Roman" w:eastAsia="Times New Roman" w:hAnsi="Times New Roman" w:cs="Times New Roman"/>
          <w:b/>
          <w:bCs/>
          <w:sz w:val="23"/>
          <w:szCs w:val="23"/>
        </w:rPr>
      </w:pPr>
    </w:p>
    <w:p w14:paraId="1B61CEE9" w14:textId="5FD928AF" w:rsidR="00861DAC" w:rsidRDefault="006063D5">
      <w:pPr>
        <w:pStyle w:val="BodyText"/>
        <w:ind w:left="459" w:right="108"/>
      </w:pPr>
      <w:r w:rsidRPr="006063D5">
        <w:t>Section 2718 of the Public Health Service Act (PHS Act) and its implementing regulation</w:t>
      </w:r>
      <w:r>
        <w:t xml:space="preserve"> at 45 CFR Part 158</w:t>
      </w:r>
      <w:r w:rsidRPr="006063D5">
        <w:t xml:space="preserve"> requires health insurance issuers (issuers) offering group or individual health insurance coverage to submit annual reports to the Secretary of the Department of Health and Human Services concerning the issuers’ premium revenue and expenses, as well as the issuers’ medical loss ratios (MLRs) and any reba</w:t>
      </w:r>
      <w:r>
        <w:t>tes they may owe to subscribers.  MLRs are calculated separately</w:t>
      </w:r>
      <w:r w:rsidRPr="006063D5">
        <w:t xml:space="preserve"> </w:t>
      </w:r>
      <w:r>
        <w:t>for each</w:t>
      </w:r>
      <w:r w:rsidRPr="006063D5">
        <w:t xml:space="preserve"> market (individual, small group, and large group) within each State in which </w:t>
      </w:r>
      <w:r>
        <w:t>an</w:t>
      </w:r>
      <w:r w:rsidRPr="006063D5">
        <w:t xml:space="preserve"> is</w:t>
      </w:r>
      <w:r>
        <w:t>suer</w:t>
      </w:r>
      <w:r w:rsidRPr="006063D5">
        <w:t xml:space="preserve"> conduct</w:t>
      </w:r>
      <w:r>
        <w:t>s</w:t>
      </w:r>
      <w:r w:rsidRPr="006063D5">
        <w:t xml:space="preserve"> business. </w:t>
      </w:r>
      <w:r>
        <w:t xml:space="preserve"> </w:t>
      </w:r>
      <w:r w:rsidRPr="006063D5">
        <w:t>In any State where an issuer does not meet the MLR standard specified by section 2718 for the applicable market, the issuer must provide rebates to enrollees.</w:t>
      </w:r>
    </w:p>
    <w:p w14:paraId="28FA9904" w14:textId="77777777" w:rsidR="006063D5" w:rsidRDefault="006063D5">
      <w:pPr>
        <w:pStyle w:val="BodyText"/>
        <w:ind w:left="459" w:right="108"/>
      </w:pPr>
    </w:p>
    <w:p w14:paraId="30CD0752" w14:textId="5347E772" w:rsidR="006063D5" w:rsidRPr="00E10106" w:rsidRDefault="00325030" w:rsidP="00325030">
      <w:pPr>
        <w:pStyle w:val="BodyText"/>
        <w:ind w:left="459" w:right="108"/>
      </w:pPr>
      <w:r w:rsidRPr="00325030">
        <w:t>Section 2718(d) of the PHS Act provides that the Secretary may adjust the MLR standard in the individual market if the Secretary determines it appropriate on account of the volatility of the individual market due to the establishment of Exchanges.</w:t>
      </w:r>
      <w:r>
        <w:t xml:space="preserve"> </w:t>
      </w:r>
      <w:r w:rsidRPr="00325030">
        <w:t xml:space="preserve"> The MLR December 1, 2010 interim final rule (75 FR 74864) set forth the framework for a State to request such an adjustment and the process and criteria for the Secretary to determine whether to grant a State’s request. </w:t>
      </w:r>
      <w:r>
        <w:t xml:space="preserve"> </w:t>
      </w:r>
      <w:r w:rsidRPr="00325030">
        <w:t>Subpart C of 45 CFR Part 158 specifies the information that the State must provide to support its request, and the criteria that HHS may consider in making a determination.</w:t>
      </w:r>
      <w:r w:rsidR="006063D5">
        <w:t xml:space="preserve">  </w:t>
      </w:r>
      <w:r>
        <w:t xml:space="preserve">In the HHS Notice of Benefit and Payment Parameters for 2019 </w:t>
      </w:r>
      <w:r w:rsidR="003C3343">
        <w:t>final</w:t>
      </w:r>
      <w:r>
        <w:t xml:space="preserve"> rule, HHS </w:t>
      </w:r>
      <w:r w:rsidRPr="00325030">
        <w:t>amend</w:t>
      </w:r>
      <w:r w:rsidR="003C3343">
        <w:t>ed</w:t>
      </w:r>
      <w:r w:rsidRPr="00325030">
        <w:t xml:space="preserve"> Subpart C to modify the data and narratives which a State must submit as part of the State’s request for an adjustment to the MLR standard in </w:t>
      </w:r>
      <w:r>
        <w:t>its</w:t>
      </w:r>
      <w:r w:rsidRPr="00325030">
        <w:t xml:space="preserve"> individual market</w:t>
      </w:r>
      <w:r>
        <w:t xml:space="preserve">.  Under the amendments to </w:t>
      </w:r>
      <w:r w:rsidRPr="00325030">
        <w:t>Subpart C of 45 CFR Part 158</w:t>
      </w:r>
      <w:r w:rsidR="006063D5" w:rsidRPr="00B30C00">
        <w:t xml:space="preserve">, </w:t>
      </w:r>
      <w:r>
        <w:t>such State</w:t>
      </w:r>
      <w:r w:rsidR="006063D5" w:rsidRPr="00B30C00">
        <w:t xml:space="preserve"> </w:t>
      </w:r>
      <w:r w:rsidR="003C3343">
        <w:t>is</w:t>
      </w:r>
      <w:r>
        <w:t xml:space="preserve"> required to</w:t>
      </w:r>
      <w:r w:rsidR="006063D5" w:rsidRPr="00B30C00">
        <w:t xml:space="preserve"> submit information</w:t>
      </w:r>
      <w:r w:rsidR="006063D5">
        <w:t xml:space="preserve"> to the Secretary</w:t>
      </w:r>
      <w:r w:rsidR="006063D5" w:rsidRPr="00B30C00">
        <w:t xml:space="preserve"> </w:t>
      </w:r>
      <w:r>
        <w:t>demonstrating</w:t>
      </w:r>
      <w:r w:rsidR="006063D5" w:rsidRPr="00B30C00">
        <w:t xml:space="preserve"> that </w:t>
      </w:r>
      <w:r>
        <w:t xml:space="preserve">an adjustment to the 80 percent MLR standard </w:t>
      </w:r>
      <w:r w:rsidR="003C3343">
        <w:t>will</w:t>
      </w:r>
      <w:r>
        <w:t xml:space="preserve"> help stabilize the individual market in that State</w:t>
      </w:r>
      <w:r w:rsidR="006063D5">
        <w:t>.</w:t>
      </w:r>
      <w:r>
        <w:t xml:space="preserve">  Because the amendments modify circumstances in which an adjustment could be granted, the amendments modify the type of information that a State must submit.  The amendments also streamline and reduce the overall amount of information that a State seeking an adjustment must submit to HHS.</w:t>
      </w:r>
      <w:r w:rsidR="006063D5">
        <w:t xml:space="preserve">  </w:t>
      </w:r>
      <w:r w:rsidR="006063D5" w:rsidRPr="00B30C00">
        <w:t>M</w:t>
      </w:r>
      <w:r>
        <w:t>ost</w:t>
      </w:r>
      <w:r w:rsidR="006063D5" w:rsidRPr="00B30C00">
        <w:t xml:space="preserve"> of the information requested is currently only available at the </w:t>
      </w:r>
      <w:r w:rsidR="006063D5">
        <w:t>S</w:t>
      </w:r>
      <w:r w:rsidR="006063D5" w:rsidRPr="00B30C00">
        <w:t xml:space="preserve">tate level.  </w:t>
      </w:r>
      <w:r w:rsidR="00B06C3B">
        <w:t>HH</w:t>
      </w:r>
      <w:r w:rsidR="006063D5">
        <w:t>S</w:t>
      </w:r>
      <w:r w:rsidR="006063D5" w:rsidRPr="00B30C00">
        <w:t xml:space="preserve"> must </w:t>
      </w:r>
      <w:r w:rsidR="006063D5">
        <w:t>obtain</w:t>
      </w:r>
      <w:r w:rsidR="006063D5" w:rsidRPr="00B30C00">
        <w:t xml:space="preserve"> such</w:t>
      </w:r>
      <w:r w:rsidR="006063D5">
        <w:t xml:space="preserve"> key</w:t>
      </w:r>
      <w:r w:rsidR="006063D5" w:rsidRPr="00B30C00">
        <w:t xml:space="preserve"> informa</w:t>
      </w:r>
      <w:r w:rsidR="006063D5">
        <w:t xml:space="preserve">tion in order to ascertain whether </w:t>
      </w:r>
      <w:r>
        <w:t>an adjustment to the MLR standard would have</w:t>
      </w:r>
      <w:r w:rsidR="006063D5" w:rsidRPr="00B30C00">
        <w:t xml:space="preserve"> a </w:t>
      </w:r>
      <w:r w:rsidR="006063D5">
        <w:t>reasonable</w:t>
      </w:r>
      <w:r w:rsidR="006063D5" w:rsidRPr="00B30C00">
        <w:t xml:space="preserve"> likelihood of </w:t>
      </w:r>
      <w:r>
        <w:t>help</w:t>
      </w:r>
      <w:r w:rsidR="006063D5" w:rsidRPr="00B30C00">
        <w:t>ing</w:t>
      </w:r>
      <w:r>
        <w:t xml:space="preserve"> stabilize the individual market</w:t>
      </w:r>
      <w:r w:rsidR="006063D5" w:rsidRPr="00B30C00">
        <w:t>.</w:t>
      </w:r>
    </w:p>
    <w:p w14:paraId="124B8FB2" w14:textId="77777777" w:rsidR="00861DAC" w:rsidRDefault="00861DAC">
      <w:pPr>
        <w:rPr>
          <w:rFonts w:ascii="Times New Roman" w:eastAsia="Times New Roman" w:hAnsi="Times New Roman" w:cs="Times New Roman"/>
          <w:sz w:val="24"/>
          <w:szCs w:val="24"/>
        </w:rPr>
      </w:pPr>
    </w:p>
    <w:p w14:paraId="77D46B57" w14:textId="77F693B7" w:rsidR="00861DAC" w:rsidRDefault="0089194B">
      <w:pPr>
        <w:pStyle w:val="BodyText"/>
        <w:ind w:right="108"/>
      </w:pPr>
      <w:r>
        <w:t>The f</w:t>
      </w:r>
      <w:r w:rsidR="00325030">
        <w:t>ollowing information collection</w:t>
      </w:r>
      <w:r>
        <w:t xml:space="preserve"> </w:t>
      </w:r>
      <w:r w:rsidR="00325030">
        <w:t>is</w:t>
      </w:r>
      <w:r>
        <w:t xml:space="preserve"> included in this</w:t>
      </w:r>
      <w:r>
        <w:rPr>
          <w:spacing w:val="-13"/>
        </w:rPr>
        <w:t xml:space="preserve"> </w:t>
      </w:r>
      <w:r>
        <w:t>request:</w:t>
      </w:r>
    </w:p>
    <w:p w14:paraId="2B26D3FB" w14:textId="77777777" w:rsidR="00861DAC" w:rsidRDefault="00861DAC">
      <w:pPr>
        <w:rPr>
          <w:rFonts w:ascii="Times New Roman" w:eastAsia="Times New Roman" w:hAnsi="Times New Roman" w:cs="Times New Roman"/>
          <w:sz w:val="24"/>
          <w:szCs w:val="24"/>
        </w:rPr>
      </w:pPr>
    </w:p>
    <w:p w14:paraId="250F9A88" w14:textId="592BBED5" w:rsidR="001D6E10" w:rsidRDefault="004321EF" w:rsidP="001D6E10">
      <w:pPr>
        <w:pStyle w:val="BodyText"/>
        <w:ind w:right="108"/>
      </w:pPr>
      <w:r>
        <w:rPr>
          <w:rFonts w:cs="Times New Roman"/>
          <w:b/>
          <w:bCs/>
        </w:rPr>
        <w:t xml:space="preserve">State </w:t>
      </w:r>
      <w:r w:rsidRPr="004321EF">
        <w:rPr>
          <w:rFonts w:cs="Times New Roman"/>
          <w:b/>
          <w:bCs/>
        </w:rPr>
        <w:t xml:space="preserve">Request for Adjustment to the MLR Standard for </w:t>
      </w:r>
      <w:r>
        <w:rPr>
          <w:rFonts w:cs="Times New Roman"/>
          <w:b/>
          <w:bCs/>
        </w:rPr>
        <w:t>its</w:t>
      </w:r>
      <w:r w:rsidRPr="004321EF">
        <w:rPr>
          <w:rFonts w:cs="Times New Roman"/>
          <w:b/>
          <w:bCs/>
        </w:rPr>
        <w:t xml:space="preserve"> Individual Market</w:t>
      </w:r>
      <w:r w:rsidR="0089194B">
        <w:rPr>
          <w:rFonts w:cs="Times New Roman"/>
          <w:b/>
          <w:bCs/>
        </w:rPr>
        <w:t>.</w:t>
      </w:r>
      <w:r w:rsidR="0089194B" w:rsidRPr="001D6E10">
        <w:rPr>
          <w:rFonts w:cs="Times New Roman"/>
          <w:bCs/>
        </w:rPr>
        <w:t xml:space="preserve"> </w:t>
      </w:r>
      <w:r w:rsidR="001D6E10" w:rsidRPr="001D6E10">
        <w:rPr>
          <w:rFonts w:cs="Times New Roman"/>
          <w:bCs/>
        </w:rPr>
        <w:t xml:space="preserve"> </w:t>
      </w:r>
      <w:r w:rsidR="001D6E10">
        <w:rPr>
          <w:rFonts w:cs="Times New Roman"/>
          <w:bCs/>
        </w:rPr>
        <w:t xml:space="preserve">Title 45 CFR §158.320 requires a State requesting an adjustment to its individual market MLR standard to submit information described below in an electronic format, and allows a State to submit additional pertinent information to support its application or request to submit alternative supporting information.  </w:t>
      </w:r>
      <w:r w:rsidR="0089194B">
        <w:t xml:space="preserve">Under </w:t>
      </w:r>
      <w:r>
        <w:t xml:space="preserve">the HHS Notice of Benefit and Payment Parameters for 2019 </w:t>
      </w:r>
      <w:r w:rsidR="003C3343">
        <w:t>final</w:t>
      </w:r>
      <w:r>
        <w:t xml:space="preserve"> rule amendments to 45 CFR §158.</w:t>
      </w:r>
      <w:r w:rsidR="001D6E10">
        <w:t>321</w:t>
      </w:r>
      <w:r>
        <w:t xml:space="preserve">, a State must </w:t>
      </w:r>
      <w:r w:rsidR="001D6E10">
        <w:t xml:space="preserve">submit summary information on </w:t>
      </w:r>
      <w:r w:rsidR="001D6E10">
        <w:rPr>
          <w:snapToGrid w:val="0"/>
        </w:rPr>
        <w:t>issuers active in its individual market,</w:t>
      </w:r>
      <w:r w:rsidR="001D6E10">
        <w:t xml:space="preserve"> including </w:t>
      </w:r>
      <w:r w:rsidR="001D6E10" w:rsidRPr="001D6E10">
        <w:t>earned premium and incurred claims</w:t>
      </w:r>
      <w:r w:rsidR="001D6E10">
        <w:t xml:space="preserve">, </w:t>
      </w:r>
      <w:r w:rsidR="001D6E10" w:rsidRPr="00297048">
        <w:rPr>
          <w:snapToGrid w:val="0"/>
        </w:rPr>
        <w:t>number of enrollees</w:t>
      </w:r>
      <w:r w:rsidR="001D6E10">
        <w:rPr>
          <w:snapToGrid w:val="0"/>
        </w:rPr>
        <w:t xml:space="preserve">, commissions expenses, and net underwriting gain for up to five types of coverage, as well as the issuer’s risk-based capital level; and whether any issuers have notified the State that they intend to cease or begin offering individual </w:t>
      </w:r>
      <w:r w:rsidR="001D6E10">
        <w:rPr>
          <w:snapToGrid w:val="0"/>
        </w:rPr>
        <w:lastRenderedPageBreak/>
        <w:t xml:space="preserve">market coverage.  </w:t>
      </w:r>
      <w:r w:rsidR="001D6E10" w:rsidRPr="001D6E10">
        <w:rPr>
          <w:snapToGrid w:val="0"/>
        </w:rPr>
        <w:t>In addition, a State must provide</w:t>
      </w:r>
      <w:r w:rsidR="001D6E10">
        <w:rPr>
          <w:snapToGrid w:val="0"/>
        </w:rPr>
        <w:t xml:space="preserve"> and explain</w:t>
      </w:r>
      <w:r w:rsidR="001D6E10" w:rsidRPr="001D6E10">
        <w:rPr>
          <w:snapToGrid w:val="0"/>
        </w:rPr>
        <w:t xml:space="preserve"> its proposal as to the adjustment it seeks to the MLR standard (45 CFR §158.322) and the contact information of the person the Secretary may contact regarding the application (45 CFR §158.323).</w:t>
      </w:r>
      <w:r w:rsidR="001D6E10">
        <w:rPr>
          <w:snapToGrid w:val="0"/>
        </w:rPr>
        <w:t xml:space="preserve">  Section 158.340 </w:t>
      </w:r>
      <w:r w:rsidR="003218F7">
        <w:rPr>
          <w:snapToGrid w:val="0"/>
        </w:rPr>
        <w:t>specifies the manner in which information must be submitted</w:t>
      </w:r>
      <w:r w:rsidR="001D6E10">
        <w:rPr>
          <w:snapToGrid w:val="0"/>
        </w:rPr>
        <w:t>.  Section 158.346 provides an option for a State to submit a reconsideration request.  Section 158.350 specifies the additional information a State must submit with a subsequent request.</w:t>
      </w:r>
    </w:p>
    <w:p w14:paraId="66615823" w14:textId="77777777" w:rsidR="001D6E10" w:rsidRDefault="001D6E10" w:rsidP="001D6E10">
      <w:pPr>
        <w:pStyle w:val="BodyText"/>
        <w:ind w:right="108"/>
      </w:pPr>
    </w:p>
    <w:p w14:paraId="195FB51D" w14:textId="4F24DE2A" w:rsidR="00861DAC" w:rsidRDefault="0089194B" w:rsidP="001D6E10">
      <w:pPr>
        <w:pStyle w:val="BodyText"/>
        <w:ind w:right="108"/>
      </w:pPr>
      <w:r>
        <w:t xml:space="preserve">The </w:t>
      </w:r>
      <w:r w:rsidR="003218F7">
        <w:t>information collection</w:t>
      </w:r>
      <w:r>
        <w:rPr>
          <w:spacing w:val="-16"/>
        </w:rPr>
        <w:t xml:space="preserve"> </w:t>
      </w:r>
      <w:r>
        <w:t xml:space="preserve">for </w:t>
      </w:r>
      <w:r w:rsidR="003218F7">
        <w:t xml:space="preserve">State requests for adjustment </w:t>
      </w:r>
      <w:r>
        <w:t xml:space="preserve">was </w:t>
      </w:r>
      <w:r w:rsidR="003218F7">
        <w:t xml:space="preserve">previously </w:t>
      </w:r>
      <w:r>
        <w:t>approved b</w:t>
      </w:r>
      <w:r w:rsidR="001D6E10">
        <w:t xml:space="preserve">y OMB Control Number </w:t>
      </w:r>
      <w:r w:rsidR="003218F7" w:rsidRPr="003218F7">
        <w:t>0938-1114</w:t>
      </w:r>
      <w:r w:rsidR="001D6E10">
        <w:t>.</w:t>
      </w:r>
      <w:r w:rsidR="003218F7">
        <w:t xml:space="preserve">  It was allowed to expire in 2014 because under the current regulation’s standard and criteria for granting adjustments, it was expected that no States would request such adjustments after 2011, and in fact none have done so.  However, due to the amendments to Subpart C of 45 CFR Part 158 </w:t>
      </w:r>
      <w:r w:rsidR="003C3343">
        <w:t>adopt</w:t>
      </w:r>
      <w:r w:rsidR="003218F7">
        <w:t xml:space="preserve">ed in the HHS Notice of Benefit and Payment Parameters for 2019 </w:t>
      </w:r>
      <w:r w:rsidR="003C3343">
        <w:t>final</w:t>
      </w:r>
      <w:r w:rsidR="003218F7">
        <w:t xml:space="preserve"> rule, it is expected that States will again request adjustments to the individual market MLR standard.  Therefore, </w:t>
      </w:r>
      <w:r w:rsidR="00B06C3B">
        <w:t>HH</w:t>
      </w:r>
      <w:r w:rsidR="003218F7">
        <w:t xml:space="preserve">S </w:t>
      </w:r>
      <w:r w:rsidR="003C3343">
        <w:t>has</w:t>
      </w:r>
      <w:r w:rsidR="003218F7">
        <w:t xml:space="preserve"> </w:t>
      </w:r>
      <w:r w:rsidR="003C3343">
        <w:t>sought</w:t>
      </w:r>
      <w:r w:rsidR="003218F7">
        <w:t xml:space="preserve"> to reinstate and modify the previously approved information collection to reflect the amendments to 45 CFR Part 158.</w:t>
      </w:r>
    </w:p>
    <w:p w14:paraId="58579838" w14:textId="77777777" w:rsidR="006063D5" w:rsidRPr="006063D5" w:rsidRDefault="006063D5" w:rsidP="006063D5">
      <w:pPr>
        <w:pStyle w:val="BodyText"/>
        <w:ind w:right="108"/>
      </w:pPr>
    </w:p>
    <w:p w14:paraId="07B3C5F9" w14:textId="5055C018" w:rsidR="00861DAC" w:rsidRDefault="0089194B" w:rsidP="002867A2">
      <w:pPr>
        <w:pStyle w:val="Heading2"/>
        <w:numPr>
          <w:ilvl w:val="0"/>
          <w:numId w:val="6"/>
        </w:numPr>
        <w:ind w:left="810"/>
        <w:rPr>
          <w:rFonts w:eastAsia="Times New Roman" w:cs="Times New Roman"/>
          <w:szCs w:val="20"/>
        </w:rPr>
      </w:pPr>
      <w:bookmarkStart w:id="2" w:name="Purpose_and_Use_of_Information_Collectio"/>
      <w:bookmarkEnd w:id="2"/>
      <w:r>
        <w:t>Purpose</w:t>
      </w:r>
      <w:r>
        <w:rPr>
          <w:spacing w:val="-8"/>
        </w:rPr>
        <w:t xml:space="preserve"> </w:t>
      </w:r>
      <w:r>
        <w:t>and</w:t>
      </w:r>
      <w:r>
        <w:rPr>
          <w:spacing w:val="-8"/>
        </w:rPr>
        <w:t xml:space="preserve"> </w:t>
      </w:r>
      <w:r>
        <w:t>Use</w:t>
      </w:r>
      <w:r>
        <w:rPr>
          <w:spacing w:val="-8"/>
        </w:rPr>
        <w:t xml:space="preserve"> </w:t>
      </w:r>
      <w:r>
        <w:t>of</w:t>
      </w:r>
      <w:r>
        <w:rPr>
          <w:spacing w:val="-7"/>
        </w:rPr>
        <w:t xml:space="preserve"> </w:t>
      </w:r>
      <w:r>
        <w:t>Information</w:t>
      </w:r>
      <w:r>
        <w:rPr>
          <w:spacing w:val="-8"/>
        </w:rPr>
        <w:t xml:space="preserve"> </w:t>
      </w:r>
      <w:r>
        <w:t>Collection</w:t>
      </w:r>
    </w:p>
    <w:p w14:paraId="16BE89EC" w14:textId="77777777" w:rsidR="00861DAC" w:rsidRDefault="00861DAC">
      <w:pPr>
        <w:spacing w:before="3"/>
        <w:rPr>
          <w:rFonts w:ascii="Times New Roman" w:eastAsia="Times New Roman" w:hAnsi="Times New Roman" w:cs="Times New Roman"/>
          <w:b/>
          <w:bCs/>
          <w:sz w:val="23"/>
          <w:szCs w:val="23"/>
        </w:rPr>
      </w:pPr>
    </w:p>
    <w:p w14:paraId="6E7D9D8D" w14:textId="6A82281A" w:rsidR="00F75F79" w:rsidRDefault="00B06C3B">
      <w:pPr>
        <w:pStyle w:val="BodyText"/>
        <w:ind w:right="145"/>
      </w:pPr>
      <w:r>
        <w:t>HH</w:t>
      </w:r>
      <w:r w:rsidR="00F75F79" w:rsidRPr="00F75F79">
        <w:t xml:space="preserve">S will use the State application to determine whether an adjustment to the MLR standard in a State’s individual market is warranted to </w:t>
      </w:r>
      <w:r w:rsidR="00F75F79">
        <w:t>help stabilize that market</w:t>
      </w:r>
      <w:r w:rsidR="00F75F79" w:rsidRPr="00F75F79">
        <w:t xml:space="preserve">.  </w:t>
      </w:r>
      <w:r>
        <w:t>HH</w:t>
      </w:r>
      <w:r w:rsidR="00F75F79" w:rsidRPr="00F75F79">
        <w:t xml:space="preserve">S will </w:t>
      </w:r>
      <w:r w:rsidR="00F75F79">
        <w:t>make</w:t>
      </w:r>
      <w:r w:rsidR="00F75F79" w:rsidRPr="00F75F79">
        <w:t xml:space="preserve"> all of the information submitted by the State as part of its </w:t>
      </w:r>
      <w:r w:rsidR="00F75F79">
        <w:t xml:space="preserve">request available to the public (45 CFR </w:t>
      </w:r>
      <w:r w:rsidR="00F75F79" w:rsidRPr="00F75F79">
        <w:t>158.341).</w:t>
      </w:r>
    </w:p>
    <w:p w14:paraId="256BA685" w14:textId="77777777" w:rsidR="00F75F79" w:rsidRDefault="00F75F79">
      <w:pPr>
        <w:pStyle w:val="BodyText"/>
        <w:ind w:right="145"/>
      </w:pPr>
    </w:p>
    <w:p w14:paraId="64B26CE1" w14:textId="77777777" w:rsidR="00861DAC" w:rsidRDefault="0089194B" w:rsidP="002867A2">
      <w:pPr>
        <w:pStyle w:val="Heading2"/>
        <w:numPr>
          <w:ilvl w:val="0"/>
          <w:numId w:val="6"/>
        </w:numPr>
        <w:ind w:left="810"/>
        <w:rPr>
          <w:rFonts w:eastAsia="Times New Roman" w:cs="Times New Roman"/>
          <w:szCs w:val="20"/>
        </w:rPr>
      </w:pPr>
      <w:bookmarkStart w:id="3" w:name="Use_of_Improved_Information_Technology_a"/>
      <w:bookmarkEnd w:id="3"/>
      <w:r>
        <w:t>Use of Improved Information Technology and Burden</w:t>
      </w:r>
      <w:r>
        <w:rPr>
          <w:spacing w:val="2"/>
        </w:rPr>
        <w:t xml:space="preserve"> </w:t>
      </w:r>
      <w:r>
        <w:t>Reduction</w:t>
      </w:r>
    </w:p>
    <w:p w14:paraId="2C07DA51" w14:textId="77777777" w:rsidR="00861DAC" w:rsidRDefault="00861DAC">
      <w:pPr>
        <w:spacing w:before="6"/>
        <w:rPr>
          <w:rFonts w:ascii="Times New Roman" w:eastAsia="Times New Roman" w:hAnsi="Times New Roman" w:cs="Times New Roman"/>
          <w:b/>
          <w:bCs/>
          <w:sz w:val="23"/>
          <w:szCs w:val="23"/>
        </w:rPr>
      </w:pPr>
    </w:p>
    <w:p w14:paraId="444F2274" w14:textId="126F04B4" w:rsidR="00861DAC" w:rsidRDefault="00F75F79" w:rsidP="00F75F79">
      <w:pPr>
        <w:pStyle w:val="BodyText"/>
        <w:ind w:left="459" w:right="134"/>
      </w:pPr>
      <w:r w:rsidRPr="00F75F79">
        <w:t xml:space="preserve">Each </w:t>
      </w:r>
      <w:r w:rsidR="00D97E72">
        <w:t>responde</w:t>
      </w:r>
      <w:r w:rsidRPr="00F75F79">
        <w:t xml:space="preserve">nt must submit all information </w:t>
      </w:r>
      <w:r>
        <w:t>supporting its request</w:t>
      </w:r>
      <w:r w:rsidR="00D97E72" w:rsidRPr="00F75F79">
        <w:t xml:space="preserve"> electronically</w:t>
      </w:r>
      <w:r w:rsidRPr="00F75F79">
        <w:t>.</w:t>
      </w:r>
      <w:r w:rsidR="00D97E72">
        <w:t xml:space="preserve">  Pursuant to 45 CFR 158.340, the </w:t>
      </w:r>
      <w:r w:rsidR="00B06C3B">
        <w:t>HH</w:t>
      </w:r>
      <w:r w:rsidR="00D97E72">
        <w:t xml:space="preserve">S email address to which respondents must submit the information is specified in </w:t>
      </w:r>
      <w:r w:rsidR="00B06C3B">
        <w:t>HH</w:t>
      </w:r>
      <w:r w:rsidR="00D97E72">
        <w:t xml:space="preserve">S technical guidance, OCIIO 2010 – 2A (Dec. 17, 2010), as well as on the </w:t>
      </w:r>
      <w:r w:rsidR="00B06C3B">
        <w:t>HH</w:t>
      </w:r>
      <w:r w:rsidR="00D97E72">
        <w:t xml:space="preserve">S website at </w:t>
      </w:r>
      <w:hyperlink r:id="rId9" w:tooltip="CCIIO Dec. 17, 2010 technical guidance" w:history="1">
        <w:r w:rsidR="00D97E72" w:rsidRPr="00BC509E">
          <w:rPr>
            <w:rStyle w:val="Hyperlink"/>
          </w:rPr>
          <w:t>https://www.cms.gov/CCIIO/Programs-and-Initiatives/Health-Insurance-Market-Reforms/state_mlr_adj_requests.html</w:t>
        </w:r>
      </w:hyperlink>
      <w:r w:rsidR="00D97E72">
        <w:t>.</w:t>
      </w:r>
      <w:r w:rsidRPr="00F75F79">
        <w:t xml:space="preserve">  </w:t>
      </w:r>
      <w:r w:rsidR="00B06C3B">
        <w:t>HH</w:t>
      </w:r>
      <w:r w:rsidRPr="00F75F79">
        <w:t>S staff will analyze the information submitted and will communicate with respondents using email and telephone.</w:t>
      </w:r>
      <w:r w:rsidR="00D97E72">
        <w:t xml:space="preserve">  In addition, as stated in the HHS</w:t>
      </w:r>
      <w:r w:rsidR="00D97E72">
        <w:rPr>
          <w:spacing w:val="-24"/>
        </w:rPr>
        <w:t xml:space="preserve"> </w:t>
      </w:r>
      <w:r w:rsidR="00D97E72">
        <w:t xml:space="preserve">Notice of Benefit and Payment Parameters for 2019 </w:t>
      </w:r>
      <w:r w:rsidR="003C3343">
        <w:t>final</w:t>
      </w:r>
      <w:r w:rsidR="00D97E72">
        <w:t xml:space="preserve"> rule, </w:t>
      </w:r>
      <w:r w:rsidR="00B06C3B">
        <w:t>HH</w:t>
      </w:r>
      <w:r w:rsidR="00D97E72">
        <w:t>S</w:t>
      </w:r>
      <w:r w:rsidR="00D97E72">
        <w:rPr>
          <w:spacing w:val="-15"/>
        </w:rPr>
        <w:t xml:space="preserve"> </w:t>
      </w:r>
      <w:r w:rsidR="003C3343">
        <w:t>has</w:t>
      </w:r>
      <w:r w:rsidR="00D97E72">
        <w:t xml:space="preserve"> reduce</w:t>
      </w:r>
      <w:r w:rsidR="003C3343">
        <w:t>d</w:t>
      </w:r>
      <w:r w:rsidR="00D97E72">
        <w:t xml:space="preserve"> burden by eliminating collection of some data elements and streamlining the requirements for other data elements.</w:t>
      </w:r>
    </w:p>
    <w:p w14:paraId="2AE98B7E" w14:textId="77777777" w:rsidR="00861DAC" w:rsidRDefault="00861DAC">
      <w:pPr>
        <w:spacing w:before="6"/>
        <w:rPr>
          <w:rFonts w:ascii="Times New Roman" w:eastAsia="Times New Roman" w:hAnsi="Times New Roman" w:cs="Times New Roman"/>
          <w:sz w:val="24"/>
          <w:szCs w:val="24"/>
        </w:rPr>
      </w:pPr>
    </w:p>
    <w:p w14:paraId="5C9921F6" w14:textId="77777777" w:rsidR="00861DAC" w:rsidRDefault="0089194B" w:rsidP="002867A2">
      <w:pPr>
        <w:pStyle w:val="Heading2"/>
        <w:numPr>
          <w:ilvl w:val="0"/>
          <w:numId w:val="6"/>
        </w:numPr>
        <w:ind w:left="810"/>
        <w:rPr>
          <w:rFonts w:eastAsia="Times New Roman" w:cs="Times New Roman"/>
          <w:szCs w:val="20"/>
        </w:rPr>
      </w:pPr>
      <w:bookmarkStart w:id="4" w:name="Efforts_to_Identify_Duplication_and_Use_"/>
      <w:bookmarkEnd w:id="4"/>
      <w:r>
        <w:t>Efforts to Identify Duplication and Use of Similar</w:t>
      </w:r>
      <w:r>
        <w:rPr>
          <w:spacing w:val="4"/>
        </w:rPr>
        <w:t xml:space="preserve"> </w:t>
      </w:r>
      <w:r>
        <w:t>Information</w:t>
      </w:r>
    </w:p>
    <w:p w14:paraId="79B8B541" w14:textId="77777777" w:rsidR="00861DAC" w:rsidRDefault="00861DAC">
      <w:pPr>
        <w:spacing w:before="3"/>
        <w:rPr>
          <w:rFonts w:ascii="Times New Roman" w:eastAsia="Times New Roman" w:hAnsi="Times New Roman" w:cs="Times New Roman"/>
          <w:b/>
          <w:bCs/>
          <w:sz w:val="23"/>
          <w:szCs w:val="23"/>
        </w:rPr>
      </w:pPr>
    </w:p>
    <w:p w14:paraId="3E0E651E" w14:textId="6572434D" w:rsidR="00861DAC" w:rsidRDefault="0089194B">
      <w:pPr>
        <w:pStyle w:val="BodyText"/>
        <w:ind w:right="271"/>
      </w:pPr>
      <w:r>
        <w:t xml:space="preserve">There is no similar information collected related to </w:t>
      </w:r>
      <w:r w:rsidR="00D97E72">
        <w:t xml:space="preserve">State requests for adjustment to </w:t>
      </w:r>
      <w:r>
        <w:t>MLR</w:t>
      </w:r>
      <w:r w:rsidR="00D97E72">
        <w:t xml:space="preserve"> standard</w:t>
      </w:r>
      <w:r>
        <w:t xml:space="preserve">. </w:t>
      </w:r>
      <w:r w:rsidR="00B06C3B">
        <w:t>A</w:t>
      </w:r>
      <w:r>
        <w:t>s stated in the HHS</w:t>
      </w:r>
      <w:r>
        <w:rPr>
          <w:spacing w:val="-24"/>
        </w:rPr>
        <w:t xml:space="preserve"> </w:t>
      </w:r>
      <w:r>
        <w:t>Notice of Benefit and Payment Parameters for 201</w:t>
      </w:r>
      <w:r w:rsidR="00D97E72">
        <w:t>9</w:t>
      </w:r>
      <w:r>
        <w:t xml:space="preserve"> </w:t>
      </w:r>
      <w:r w:rsidR="003C3343">
        <w:t>final</w:t>
      </w:r>
      <w:r w:rsidR="00D97E72">
        <w:t xml:space="preserve"> rule</w:t>
      </w:r>
      <w:r>
        <w:t xml:space="preserve">, </w:t>
      </w:r>
      <w:r w:rsidR="00B06C3B">
        <w:t>HH</w:t>
      </w:r>
      <w:r>
        <w:t>S</w:t>
      </w:r>
      <w:r>
        <w:rPr>
          <w:spacing w:val="-15"/>
        </w:rPr>
        <w:t xml:space="preserve"> </w:t>
      </w:r>
      <w:r w:rsidR="003C3343">
        <w:t>has</w:t>
      </w:r>
      <w:r w:rsidR="00D97E72">
        <w:t xml:space="preserve"> eliminate</w:t>
      </w:r>
      <w:r w:rsidR="003C3343">
        <w:t>d</w:t>
      </w:r>
      <w:r w:rsidR="00D97E72">
        <w:t xml:space="preserve"> collection</w:t>
      </w:r>
      <w:r>
        <w:t xml:space="preserve"> of th</w:t>
      </w:r>
      <w:r w:rsidR="00D97E72">
        <w:t xml:space="preserve">ose data elements which are collected </w:t>
      </w:r>
      <w:r w:rsidR="00B06C3B">
        <w:t xml:space="preserve">by HHS </w:t>
      </w:r>
      <w:r w:rsidR="00D97E72">
        <w:t>on</w:t>
      </w:r>
      <w:r>
        <w:t xml:space="preserve"> the MLR Reporting</w:t>
      </w:r>
      <w:r>
        <w:rPr>
          <w:spacing w:val="-23"/>
        </w:rPr>
        <w:t xml:space="preserve"> </w:t>
      </w:r>
      <w:r>
        <w:t>Form</w:t>
      </w:r>
      <w:r>
        <w:rPr>
          <w:spacing w:val="-1"/>
        </w:rPr>
        <w:t xml:space="preserve"> </w:t>
      </w:r>
      <w:r>
        <w:t>approved und</w:t>
      </w:r>
      <w:r w:rsidR="00D97E72">
        <w:t>er OMB control number 0938-1164</w:t>
      </w:r>
      <w:r>
        <w:t>.</w:t>
      </w:r>
    </w:p>
    <w:p w14:paraId="4949F5F5" w14:textId="77777777" w:rsidR="00861DAC" w:rsidRDefault="00861DAC">
      <w:pPr>
        <w:spacing w:before="6"/>
        <w:rPr>
          <w:rFonts w:ascii="Times New Roman" w:eastAsia="Times New Roman" w:hAnsi="Times New Roman" w:cs="Times New Roman"/>
          <w:sz w:val="24"/>
          <w:szCs w:val="24"/>
        </w:rPr>
      </w:pPr>
    </w:p>
    <w:p w14:paraId="356D8B7A" w14:textId="77777777" w:rsidR="00861DAC" w:rsidRDefault="0089194B" w:rsidP="002867A2">
      <w:pPr>
        <w:pStyle w:val="Heading2"/>
        <w:numPr>
          <w:ilvl w:val="0"/>
          <w:numId w:val="6"/>
        </w:numPr>
        <w:ind w:left="810"/>
        <w:rPr>
          <w:rFonts w:eastAsia="Times New Roman" w:cs="Times New Roman"/>
          <w:szCs w:val="20"/>
        </w:rPr>
      </w:pPr>
      <w:bookmarkStart w:id="5" w:name="Impact_on_Small_Businesses_or_Other_Smal"/>
      <w:bookmarkEnd w:id="5"/>
      <w:r>
        <w:t>Impact on Small Businesses or Other Small</w:t>
      </w:r>
      <w:r>
        <w:rPr>
          <w:spacing w:val="2"/>
        </w:rPr>
        <w:t xml:space="preserve"> </w:t>
      </w:r>
      <w:r>
        <w:t>Entities</w:t>
      </w:r>
    </w:p>
    <w:p w14:paraId="468C8822" w14:textId="77777777" w:rsidR="00861DAC" w:rsidRDefault="00861DAC">
      <w:pPr>
        <w:spacing w:before="6"/>
        <w:rPr>
          <w:rFonts w:ascii="Times New Roman" w:eastAsia="Times New Roman" w:hAnsi="Times New Roman" w:cs="Times New Roman"/>
          <w:b/>
          <w:bCs/>
          <w:sz w:val="23"/>
          <w:szCs w:val="23"/>
        </w:rPr>
      </w:pPr>
    </w:p>
    <w:p w14:paraId="184F5EC4" w14:textId="431E576E" w:rsidR="00861DAC" w:rsidRDefault="00D97E72">
      <w:pPr>
        <w:pStyle w:val="BodyText"/>
        <w:ind w:right="134"/>
      </w:pPr>
      <w:r>
        <w:t>Not applicable</w:t>
      </w:r>
      <w:r w:rsidR="0089194B">
        <w:t>.</w:t>
      </w:r>
    </w:p>
    <w:p w14:paraId="37F33396" w14:textId="77777777" w:rsidR="00861DAC" w:rsidRDefault="00861DAC">
      <w:pPr>
        <w:spacing w:before="6"/>
        <w:rPr>
          <w:rFonts w:ascii="Times New Roman" w:eastAsia="Times New Roman" w:hAnsi="Times New Roman" w:cs="Times New Roman"/>
          <w:sz w:val="24"/>
          <w:szCs w:val="24"/>
        </w:rPr>
      </w:pPr>
    </w:p>
    <w:p w14:paraId="080EC5AE" w14:textId="77777777" w:rsidR="00861DAC" w:rsidRDefault="0089194B" w:rsidP="002867A2">
      <w:pPr>
        <w:pStyle w:val="Heading2"/>
        <w:numPr>
          <w:ilvl w:val="0"/>
          <w:numId w:val="6"/>
        </w:numPr>
        <w:ind w:left="810"/>
        <w:rPr>
          <w:rFonts w:eastAsia="Times New Roman" w:cs="Times New Roman"/>
          <w:szCs w:val="20"/>
        </w:rPr>
      </w:pPr>
      <w:bookmarkStart w:id="6" w:name="Consequences_of_Collecting_the_Informati"/>
      <w:bookmarkEnd w:id="6"/>
      <w:r>
        <w:t>Consequences of Collecting the Information Less</w:t>
      </w:r>
      <w:r>
        <w:rPr>
          <w:spacing w:val="-2"/>
        </w:rPr>
        <w:t xml:space="preserve"> </w:t>
      </w:r>
      <w:r>
        <w:t>Frequently</w:t>
      </w:r>
    </w:p>
    <w:p w14:paraId="39C262ED" w14:textId="77777777" w:rsidR="00861DAC" w:rsidRDefault="00861DAC" w:rsidP="002867A2">
      <w:pPr>
        <w:spacing w:before="11"/>
        <w:ind w:left="810" w:hanging="360"/>
        <w:rPr>
          <w:rFonts w:ascii="Times New Roman" w:eastAsia="Times New Roman" w:hAnsi="Times New Roman" w:cs="Times New Roman"/>
          <w:b/>
          <w:bCs/>
          <w:sz w:val="23"/>
          <w:szCs w:val="23"/>
        </w:rPr>
      </w:pPr>
    </w:p>
    <w:p w14:paraId="327E00CD" w14:textId="1CBA8BC0" w:rsidR="00861DAC" w:rsidRDefault="00D97E72" w:rsidP="006B32A4">
      <w:pPr>
        <w:pStyle w:val="BodyText"/>
        <w:ind w:right="130"/>
      </w:pPr>
      <w:r>
        <w:lastRenderedPageBreak/>
        <w:t>The application process is voluntary.  It is expected that over time fewer States will apply for an adjustment to the individual market MLR standard and that such adjustments will no longer be warranted as the market stabilizes.  Under 45 CFR §158.311, States may apply for an adjustment to the MLR standard for up to three years.</w:t>
      </w:r>
    </w:p>
    <w:p w14:paraId="26F17FCE" w14:textId="77777777" w:rsidR="00861DAC" w:rsidRDefault="00861DAC">
      <w:pPr>
        <w:spacing w:before="4"/>
        <w:rPr>
          <w:rFonts w:ascii="Times New Roman" w:eastAsia="Times New Roman" w:hAnsi="Times New Roman" w:cs="Times New Roman"/>
          <w:sz w:val="24"/>
          <w:szCs w:val="24"/>
        </w:rPr>
      </w:pPr>
    </w:p>
    <w:p w14:paraId="19C0D8AE" w14:textId="77777777" w:rsidR="00861DAC" w:rsidRDefault="0089194B" w:rsidP="006B32A4">
      <w:pPr>
        <w:pStyle w:val="Heading2"/>
        <w:numPr>
          <w:ilvl w:val="0"/>
          <w:numId w:val="6"/>
        </w:numPr>
        <w:ind w:left="810"/>
        <w:rPr>
          <w:rFonts w:eastAsia="Times New Roman" w:cs="Times New Roman"/>
          <w:szCs w:val="20"/>
        </w:rPr>
      </w:pPr>
      <w:bookmarkStart w:id="7" w:name="Special_Circumstances_Relating_to_the_Gu"/>
      <w:bookmarkEnd w:id="7"/>
      <w:r>
        <w:t>Special Circumstances Relating to the Guidelines of 5 CFR</w:t>
      </w:r>
      <w:r>
        <w:rPr>
          <w:spacing w:val="3"/>
        </w:rPr>
        <w:t xml:space="preserve"> </w:t>
      </w:r>
      <w:r>
        <w:t>1320.5</w:t>
      </w:r>
    </w:p>
    <w:p w14:paraId="529F30FB" w14:textId="77777777" w:rsidR="006B32A4" w:rsidRDefault="006B32A4" w:rsidP="006B32A4">
      <w:pPr>
        <w:spacing w:before="11"/>
        <w:rPr>
          <w:rFonts w:ascii="Times New Roman" w:eastAsia="Times New Roman" w:hAnsi="Times New Roman" w:cs="Times New Roman"/>
          <w:sz w:val="24"/>
          <w:szCs w:val="24"/>
        </w:rPr>
      </w:pPr>
    </w:p>
    <w:p w14:paraId="7C823513" w14:textId="7ED5DFA7" w:rsidR="00861DAC" w:rsidRDefault="0089194B" w:rsidP="006B32A4">
      <w:pPr>
        <w:pStyle w:val="BodyText"/>
        <w:ind w:left="450" w:right="130"/>
      </w:pPr>
      <w:r>
        <w:t>No spec</w:t>
      </w:r>
      <w:r w:rsidR="00D97E72">
        <w:t>ial circumstances apply to this collection</w:t>
      </w:r>
      <w:r>
        <w:t>.</w:t>
      </w:r>
    </w:p>
    <w:p w14:paraId="2A3B25DF" w14:textId="77777777" w:rsidR="00861DAC" w:rsidRDefault="00861DAC">
      <w:pPr>
        <w:spacing w:before="11"/>
        <w:rPr>
          <w:rFonts w:ascii="Times New Roman" w:eastAsia="Times New Roman" w:hAnsi="Times New Roman" w:cs="Times New Roman"/>
          <w:sz w:val="24"/>
          <w:szCs w:val="24"/>
        </w:rPr>
      </w:pPr>
    </w:p>
    <w:p w14:paraId="3A289B2D" w14:textId="77777777" w:rsidR="00861DAC" w:rsidRDefault="0089194B" w:rsidP="006B32A4">
      <w:pPr>
        <w:pStyle w:val="Heading2"/>
        <w:numPr>
          <w:ilvl w:val="0"/>
          <w:numId w:val="6"/>
        </w:numPr>
        <w:ind w:left="810"/>
        <w:rPr>
          <w:rFonts w:eastAsia="Times New Roman" w:cs="Times New Roman"/>
          <w:szCs w:val="20"/>
        </w:rPr>
      </w:pPr>
      <w:bookmarkStart w:id="8" w:name="Comments_in_Response_to_the_Federal_Regi"/>
      <w:bookmarkEnd w:id="8"/>
      <w:r>
        <w:t>Comments in Response to the Federal Register Notice/Outside</w:t>
      </w:r>
      <w:r>
        <w:rPr>
          <w:spacing w:val="-3"/>
        </w:rPr>
        <w:t xml:space="preserve"> </w:t>
      </w:r>
      <w:r>
        <w:t>Consultation</w:t>
      </w:r>
    </w:p>
    <w:p w14:paraId="42D5EBE8" w14:textId="77777777" w:rsidR="00861DAC" w:rsidRDefault="00861DAC">
      <w:pPr>
        <w:spacing w:before="4"/>
        <w:rPr>
          <w:rFonts w:ascii="Times New Roman" w:eastAsia="Times New Roman" w:hAnsi="Times New Roman" w:cs="Times New Roman"/>
          <w:b/>
          <w:bCs/>
          <w:sz w:val="20"/>
          <w:szCs w:val="20"/>
        </w:rPr>
      </w:pPr>
    </w:p>
    <w:p w14:paraId="1233404A" w14:textId="2E2C2CB7" w:rsidR="007B38FC" w:rsidRPr="005A2FF9" w:rsidRDefault="00030403" w:rsidP="006B32A4">
      <w:pPr>
        <w:spacing w:before="5"/>
        <w:ind w:left="450" w:right="130"/>
        <w:rPr>
          <w:rFonts w:cs="Times New Roman"/>
        </w:rPr>
      </w:pPr>
      <w:r w:rsidRPr="00030403">
        <w:rPr>
          <w:rFonts w:ascii="Times New Roman" w:eastAsia="Times New Roman" w:hAnsi="Times New Roman"/>
          <w:sz w:val="24"/>
          <w:szCs w:val="24"/>
        </w:rPr>
        <w:t xml:space="preserve">CMS published the notice of the revised Request for Adjustment to the MLR Standard for a State’s Individual Market PRA package in the Federal Register on </w:t>
      </w:r>
      <w:r>
        <w:rPr>
          <w:rFonts w:ascii="Times New Roman" w:eastAsia="Times New Roman" w:hAnsi="Times New Roman"/>
          <w:sz w:val="24"/>
          <w:szCs w:val="24"/>
        </w:rPr>
        <w:t>November</w:t>
      </w:r>
      <w:r w:rsidRPr="00030403">
        <w:rPr>
          <w:rFonts w:ascii="Times New Roman" w:eastAsia="Times New Roman" w:hAnsi="Times New Roman"/>
          <w:sz w:val="24"/>
          <w:szCs w:val="24"/>
        </w:rPr>
        <w:t xml:space="preserve"> 2, 2017 (82 FR </w:t>
      </w:r>
      <w:r>
        <w:rPr>
          <w:rFonts w:ascii="Times New Roman" w:eastAsia="Times New Roman" w:hAnsi="Times New Roman"/>
          <w:sz w:val="24"/>
          <w:szCs w:val="24"/>
        </w:rPr>
        <w:t>51052</w:t>
      </w:r>
      <w:r w:rsidRPr="00030403">
        <w:rPr>
          <w:rFonts w:ascii="Times New Roman" w:eastAsia="Times New Roman" w:hAnsi="Times New Roman"/>
          <w:sz w:val="24"/>
          <w:szCs w:val="24"/>
        </w:rPr>
        <w:t xml:space="preserve">). The 60-day comment period closed on </w:t>
      </w:r>
      <w:r>
        <w:rPr>
          <w:rFonts w:ascii="Times New Roman" w:eastAsia="Times New Roman" w:hAnsi="Times New Roman"/>
          <w:sz w:val="24"/>
          <w:szCs w:val="24"/>
        </w:rPr>
        <w:t>January 1</w:t>
      </w:r>
      <w:r w:rsidRPr="00030403">
        <w:rPr>
          <w:rFonts w:ascii="Times New Roman" w:eastAsia="Times New Roman" w:hAnsi="Times New Roman"/>
          <w:sz w:val="24"/>
          <w:szCs w:val="24"/>
        </w:rPr>
        <w:t>, 201</w:t>
      </w:r>
      <w:r>
        <w:rPr>
          <w:rFonts w:ascii="Times New Roman" w:eastAsia="Times New Roman" w:hAnsi="Times New Roman"/>
          <w:sz w:val="24"/>
          <w:szCs w:val="24"/>
        </w:rPr>
        <w:t>8</w:t>
      </w:r>
      <w:r w:rsidRPr="00030403">
        <w:rPr>
          <w:rFonts w:ascii="Times New Roman" w:eastAsia="Times New Roman" w:hAnsi="Times New Roman"/>
          <w:sz w:val="24"/>
          <w:szCs w:val="24"/>
        </w:rPr>
        <w:t xml:space="preserve">. CMS received </w:t>
      </w:r>
      <w:r>
        <w:rPr>
          <w:rFonts w:ascii="Times New Roman" w:eastAsia="Times New Roman" w:hAnsi="Times New Roman"/>
          <w:sz w:val="24"/>
          <w:szCs w:val="24"/>
        </w:rPr>
        <w:t>one comment</w:t>
      </w:r>
      <w:r w:rsidRPr="00030403">
        <w:rPr>
          <w:rFonts w:ascii="Times New Roman" w:eastAsia="Times New Roman" w:hAnsi="Times New Roman"/>
          <w:sz w:val="24"/>
          <w:szCs w:val="24"/>
        </w:rPr>
        <w:t xml:space="preserve"> </w:t>
      </w:r>
      <w:r w:rsidR="0025753E">
        <w:rPr>
          <w:rFonts w:ascii="Times New Roman" w:eastAsia="Times New Roman" w:hAnsi="Times New Roman"/>
          <w:sz w:val="24"/>
          <w:szCs w:val="24"/>
        </w:rPr>
        <w:t xml:space="preserve">that </w:t>
      </w:r>
      <w:r w:rsidR="0025753E" w:rsidRPr="00030403">
        <w:rPr>
          <w:rFonts w:ascii="Times New Roman" w:eastAsia="Times New Roman" w:hAnsi="Times New Roman"/>
          <w:sz w:val="24"/>
          <w:szCs w:val="24"/>
        </w:rPr>
        <w:t>directly relate</w:t>
      </w:r>
      <w:r w:rsidR="0025753E">
        <w:rPr>
          <w:rFonts w:ascii="Times New Roman" w:eastAsia="Times New Roman" w:hAnsi="Times New Roman"/>
          <w:sz w:val="24"/>
          <w:szCs w:val="24"/>
        </w:rPr>
        <w:t>d</w:t>
      </w:r>
      <w:r w:rsidR="0025753E" w:rsidRPr="00030403">
        <w:rPr>
          <w:rFonts w:ascii="Times New Roman" w:eastAsia="Times New Roman" w:hAnsi="Times New Roman"/>
          <w:sz w:val="24"/>
          <w:szCs w:val="24"/>
        </w:rPr>
        <w:t xml:space="preserve"> to this </w:t>
      </w:r>
      <w:r w:rsidR="0025753E">
        <w:rPr>
          <w:rFonts w:ascii="Times New Roman" w:eastAsia="Times New Roman" w:hAnsi="Times New Roman"/>
          <w:sz w:val="24"/>
          <w:szCs w:val="24"/>
        </w:rPr>
        <w:t>information collection package; the commenter</w:t>
      </w:r>
      <w:r w:rsidR="0025753E" w:rsidRPr="0025753E">
        <w:rPr>
          <w:rFonts w:ascii="Times New Roman" w:eastAsia="Times New Roman" w:hAnsi="Times New Roman"/>
          <w:sz w:val="24"/>
          <w:szCs w:val="24"/>
        </w:rPr>
        <w:t xml:space="preserve"> agreed with the estimates for the revised information collection</w:t>
      </w:r>
      <w:r w:rsidR="0025753E">
        <w:rPr>
          <w:rFonts w:ascii="Times New Roman" w:eastAsia="Times New Roman" w:hAnsi="Times New Roman"/>
          <w:sz w:val="24"/>
          <w:szCs w:val="24"/>
        </w:rPr>
        <w:t>.</w:t>
      </w:r>
    </w:p>
    <w:p w14:paraId="608F5D21" w14:textId="77777777" w:rsidR="0006596B" w:rsidRDefault="0006596B" w:rsidP="006B32A4">
      <w:pPr>
        <w:spacing w:before="5"/>
        <w:rPr>
          <w:rFonts w:ascii="Times New Roman" w:eastAsia="Times New Roman" w:hAnsi="Times New Roman" w:cs="Times New Roman"/>
          <w:sz w:val="21"/>
          <w:szCs w:val="21"/>
        </w:rPr>
      </w:pPr>
    </w:p>
    <w:p w14:paraId="1062ECA5" w14:textId="5C769F81" w:rsidR="00B37A88" w:rsidRPr="00B37A88" w:rsidRDefault="00B37A88" w:rsidP="006B32A4">
      <w:pPr>
        <w:spacing w:before="5"/>
        <w:rPr>
          <w:rFonts w:ascii="Times New Roman" w:eastAsia="Times New Roman" w:hAnsi="Times New Roman" w:cs="Times New Roman"/>
          <w:sz w:val="24"/>
          <w:szCs w:val="24"/>
        </w:rPr>
      </w:pPr>
      <w:r>
        <w:rPr>
          <w:rFonts w:ascii="Times New Roman" w:eastAsia="Times New Roman" w:hAnsi="Times New Roman" w:cs="Times New Roman"/>
          <w:sz w:val="21"/>
          <w:szCs w:val="21"/>
        </w:rPr>
        <w:tab/>
      </w:r>
      <w:r w:rsidRPr="00B37A88">
        <w:rPr>
          <w:rFonts w:ascii="Times New Roman" w:eastAsia="Times New Roman" w:hAnsi="Times New Roman" w:cs="Times New Roman"/>
          <w:sz w:val="24"/>
          <w:szCs w:val="24"/>
        </w:rPr>
        <w:t xml:space="preserve">The 30-day Notice published in the Federal Register on April 17, 2018.  </w:t>
      </w:r>
    </w:p>
    <w:p w14:paraId="4DD20329" w14:textId="77777777" w:rsidR="00B37A88" w:rsidRPr="00B37A88" w:rsidRDefault="00B37A88" w:rsidP="006B32A4">
      <w:pPr>
        <w:spacing w:before="5"/>
        <w:rPr>
          <w:rFonts w:ascii="Times New Roman" w:eastAsia="Times New Roman" w:hAnsi="Times New Roman" w:cs="Times New Roman"/>
          <w:sz w:val="24"/>
          <w:szCs w:val="24"/>
        </w:rPr>
      </w:pPr>
    </w:p>
    <w:p w14:paraId="0CD019EF" w14:textId="19DE13A1" w:rsidR="00B37A88" w:rsidRPr="00B37A88" w:rsidRDefault="00B37A88" w:rsidP="006B32A4">
      <w:pPr>
        <w:spacing w:before="5"/>
        <w:rPr>
          <w:rFonts w:ascii="Times New Roman" w:eastAsia="Times New Roman" w:hAnsi="Times New Roman" w:cs="Times New Roman"/>
          <w:sz w:val="24"/>
          <w:szCs w:val="24"/>
        </w:rPr>
      </w:pPr>
      <w:r w:rsidRPr="00B37A88">
        <w:rPr>
          <w:rFonts w:ascii="Times New Roman" w:eastAsia="Times New Roman" w:hAnsi="Times New Roman" w:cs="Times New Roman"/>
          <w:sz w:val="24"/>
          <w:szCs w:val="24"/>
        </w:rPr>
        <w:tab/>
        <w:t>No additional outside consultation was sought.</w:t>
      </w:r>
    </w:p>
    <w:p w14:paraId="76F4B38B" w14:textId="77777777" w:rsidR="00861DAC" w:rsidRDefault="0089194B" w:rsidP="006B32A4">
      <w:pPr>
        <w:pStyle w:val="Heading2"/>
        <w:numPr>
          <w:ilvl w:val="0"/>
          <w:numId w:val="6"/>
        </w:numPr>
        <w:ind w:left="810"/>
        <w:rPr>
          <w:rFonts w:eastAsia="Times New Roman" w:cs="Times New Roman"/>
          <w:szCs w:val="20"/>
        </w:rPr>
      </w:pPr>
      <w:bookmarkStart w:id="9" w:name="Explanation_of_any_Payment/Gift_to_Respo"/>
      <w:bookmarkEnd w:id="9"/>
      <w:r>
        <w:t>Explanation of any Payment/Gift to</w:t>
      </w:r>
      <w:r>
        <w:rPr>
          <w:spacing w:val="1"/>
        </w:rPr>
        <w:t xml:space="preserve"> </w:t>
      </w:r>
      <w:r>
        <w:t>Respondents</w:t>
      </w:r>
    </w:p>
    <w:p w14:paraId="2498E5AA" w14:textId="77777777" w:rsidR="00861DAC" w:rsidRDefault="00861DAC">
      <w:pPr>
        <w:spacing w:before="6"/>
        <w:rPr>
          <w:rFonts w:ascii="Times New Roman" w:eastAsia="Times New Roman" w:hAnsi="Times New Roman" w:cs="Times New Roman"/>
          <w:b/>
          <w:bCs/>
          <w:sz w:val="23"/>
          <w:szCs w:val="23"/>
        </w:rPr>
      </w:pPr>
    </w:p>
    <w:p w14:paraId="18AF8280" w14:textId="1FE3F5B0" w:rsidR="00861DAC" w:rsidRDefault="0089194B" w:rsidP="006B32A4">
      <w:pPr>
        <w:pStyle w:val="BodyText"/>
        <w:ind w:left="450" w:right="130"/>
      </w:pPr>
      <w:r>
        <w:t>Respondents will not receive any payments or gifts as a condition of complying with th</w:t>
      </w:r>
      <w:r w:rsidR="00C90E66">
        <w:t>is</w:t>
      </w:r>
      <w:r>
        <w:rPr>
          <w:spacing w:val="-24"/>
        </w:rPr>
        <w:t xml:space="preserve"> </w:t>
      </w:r>
      <w:r>
        <w:t>ICR.</w:t>
      </w:r>
    </w:p>
    <w:p w14:paraId="219D7E80" w14:textId="77777777" w:rsidR="005A2FF9" w:rsidRDefault="005A2FF9">
      <w:pPr>
        <w:pStyle w:val="BodyText"/>
        <w:ind w:right="156"/>
      </w:pPr>
    </w:p>
    <w:p w14:paraId="27FC0911" w14:textId="77777777" w:rsidR="00861DAC" w:rsidRDefault="0089194B" w:rsidP="006B32A4">
      <w:pPr>
        <w:pStyle w:val="Heading2"/>
        <w:numPr>
          <w:ilvl w:val="0"/>
          <w:numId w:val="6"/>
        </w:numPr>
        <w:ind w:left="810"/>
        <w:rPr>
          <w:rFonts w:eastAsia="Times New Roman" w:cs="Times New Roman"/>
          <w:szCs w:val="20"/>
        </w:rPr>
      </w:pPr>
      <w:bookmarkStart w:id="10" w:name="Assurance_of_Confidentiality_Provided_to"/>
      <w:bookmarkEnd w:id="10"/>
      <w:r>
        <w:t>Assurance of Confidentiality Provided to</w:t>
      </w:r>
      <w:r>
        <w:rPr>
          <w:spacing w:val="3"/>
        </w:rPr>
        <w:t xml:space="preserve"> </w:t>
      </w:r>
      <w:r>
        <w:t>Respondents</w:t>
      </w:r>
    </w:p>
    <w:p w14:paraId="0AF494EA" w14:textId="77777777" w:rsidR="00861DAC" w:rsidRDefault="00861DAC">
      <w:pPr>
        <w:spacing w:before="3"/>
        <w:rPr>
          <w:rFonts w:ascii="Times New Roman" w:eastAsia="Times New Roman" w:hAnsi="Times New Roman" w:cs="Times New Roman"/>
          <w:b/>
          <w:bCs/>
          <w:sz w:val="23"/>
          <w:szCs w:val="23"/>
        </w:rPr>
      </w:pPr>
    </w:p>
    <w:p w14:paraId="64019046" w14:textId="781A799E" w:rsidR="00861DAC" w:rsidRDefault="00580519" w:rsidP="006B32A4">
      <w:pPr>
        <w:pStyle w:val="BodyText"/>
        <w:ind w:left="450" w:right="130"/>
      </w:pPr>
      <w:r>
        <w:t>Pursuant to</w:t>
      </w:r>
      <w:r w:rsidR="0089194B">
        <w:t xml:space="preserve"> </w:t>
      </w:r>
      <w:r w:rsidR="00D97E72">
        <w:t>45 CFR §</w:t>
      </w:r>
      <w:r>
        <w:t>158.341</w:t>
      </w:r>
      <w:r w:rsidR="0089194B">
        <w:t xml:space="preserve">, </w:t>
      </w:r>
      <w:r w:rsidR="00B06C3B">
        <w:t>HH</w:t>
      </w:r>
      <w:r w:rsidR="0089194B">
        <w:t xml:space="preserve">S does intend to </w:t>
      </w:r>
      <w:r>
        <w:t>make the collected information publicly available</w:t>
      </w:r>
      <w:r w:rsidR="0089194B">
        <w:t xml:space="preserve"> </w:t>
      </w:r>
      <w:r>
        <w:t>through</w:t>
      </w:r>
      <w:r w:rsidR="0089194B">
        <w:t xml:space="preserve"> its internet website. </w:t>
      </w:r>
      <w:r>
        <w:t xml:space="preserve"> </w:t>
      </w:r>
      <w:r w:rsidR="0089194B">
        <w:t>However, no individually identifiable personal health information will</w:t>
      </w:r>
      <w:r w:rsidR="0089194B">
        <w:rPr>
          <w:spacing w:val="-17"/>
        </w:rPr>
        <w:t xml:space="preserve"> </w:t>
      </w:r>
      <w:r w:rsidR="0089194B">
        <w:t>be collected and co</w:t>
      </w:r>
      <w:r>
        <w:t>nsequently cannot be disclosed.</w:t>
      </w:r>
    </w:p>
    <w:p w14:paraId="2B08C145" w14:textId="77777777" w:rsidR="00861DAC" w:rsidRDefault="00861DAC">
      <w:pPr>
        <w:spacing w:before="6"/>
        <w:rPr>
          <w:rFonts w:ascii="Times New Roman" w:eastAsia="Times New Roman" w:hAnsi="Times New Roman" w:cs="Times New Roman"/>
          <w:sz w:val="24"/>
          <w:szCs w:val="24"/>
        </w:rPr>
      </w:pPr>
    </w:p>
    <w:p w14:paraId="09EB46DE" w14:textId="77777777" w:rsidR="00861DAC" w:rsidRDefault="0089194B" w:rsidP="006B32A4">
      <w:pPr>
        <w:pStyle w:val="Heading2"/>
        <w:numPr>
          <w:ilvl w:val="0"/>
          <w:numId w:val="6"/>
        </w:numPr>
        <w:ind w:left="810"/>
        <w:rPr>
          <w:rFonts w:eastAsia="Times New Roman" w:cs="Times New Roman"/>
          <w:szCs w:val="20"/>
        </w:rPr>
      </w:pPr>
      <w:bookmarkStart w:id="11" w:name="Justification_for_Sensitive_Questions"/>
      <w:bookmarkEnd w:id="11"/>
      <w:r>
        <w:t>Justification for Sensitive</w:t>
      </w:r>
      <w:r>
        <w:rPr>
          <w:spacing w:val="-1"/>
        </w:rPr>
        <w:t xml:space="preserve"> </w:t>
      </w:r>
      <w:r>
        <w:t>Questions</w:t>
      </w:r>
    </w:p>
    <w:p w14:paraId="220A5B1D" w14:textId="77777777" w:rsidR="00861DAC" w:rsidRDefault="00861DAC">
      <w:pPr>
        <w:spacing w:before="6"/>
        <w:rPr>
          <w:rFonts w:ascii="Times New Roman" w:eastAsia="Times New Roman" w:hAnsi="Times New Roman" w:cs="Times New Roman"/>
          <w:b/>
          <w:bCs/>
          <w:sz w:val="23"/>
          <w:szCs w:val="23"/>
        </w:rPr>
      </w:pPr>
    </w:p>
    <w:p w14:paraId="02561E50" w14:textId="6BFE5784" w:rsidR="00861DAC" w:rsidRDefault="0089194B" w:rsidP="006B32A4">
      <w:pPr>
        <w:pStyle w:val="BodyText"/>
        <w:ind w:left="450" w:right="156"/>
      </w:pPr>
      <w:r>
        <w:t>Th</w:t>
      </w:r>
      <w:r w:rsidR="00580519">
        <w:t xml:space="preserve">is </w:t>
      </w:r>
      <w:r w:rsidR="00C65D1A">
        <w:t>ICR</w:t>
      </w:r>
      <w:r>
        <w:t xml:space="preserve"> do</w:t>
      </w:r>
      <w:r w:rsidR="00580519">
        <w:t>es</w:t>
      </w:r>
      <w:r>
        <w:t xml:space="preserve"> not contain sensitive</w:t>
      </w:r>
      <w:r>
        <w:rPr>
          <w:spacing w:val="-8"/>
        </w:rPr>
        <w:t xml:space="preserve"> </w:t>
      </w:r>
      <w:r>
        <w:t>questions.</w:t>
      </w:r>
    </w:p>
    <w:p w14:paraId="3CD58E12" w14:textId="77777777" w:rsidR="00861DAC" w:rsidRDefault="00861DAC">
      <w:pPr>
        <w:spacing w:before="6"/>
        <w:rPr>
          <w:rFonts w:ascii="Times New Roman" w:eastAsia="Times New Roman" w:hAnsi="Times New Roman" w:cs="Times New Roman"/>
          <w:sz w:val="24"/>
          <w:szCs w:val="24"/>
        </w:rPr>
      </w:pPr>
    </w:p>
    <w:p w14:paraId="67B82C6B" w14:textId="77777777" w:rsidR="00861DAC" w:rsidRDefault="0089194B" w:rsidP="006B32A4">
      <w:pPr>
        <w:pStyle w:val="Heading2"/>
        <w:numPr>
          <w:ilvl w:val="0"/>
          <w:numId w:val="6"/>
        </w:numPr>
        <w:ind w:left="810"/>
        <w:rPr>
          <w:rFonts w:eastAsia="Times New Roman" w:cs="Times New Roman"/>
          <w:szCs w:val="20"/>
        </w:rPr>
      </w:pPr>
      <w:bookmarkStart w:id="12" w:name="Estimates_of_Annualized_Burden_Hours_(To"/>
      <w:bookmarkEnd w:id="12"/>
      <w:r>
        <w:t>Estimates of Annualized Burden Hours (Total Hours and Wages)</w:t>
      </w:r>
    </w:p>
    <w:p w14:paraId="1F8CFA96" w14:textId="77777777" w:rsidR="00861DAC" w:rsidRDefault="00861DAC">
      <w:pPr>
        <w:spacing w:before="6"/>
        <w:rPr>
          <w:rFonts w:ascii="Times New Roman" w:eastAsia="Times New Roman" w:hAnsi="Times New Roman" w:cs="Times New Roman"/>
          <w:b/>
          <w:bCs/>
          <w:sz w:val="23"/>
          <w:szCs w:val="23"/>
        </w:rPr>
      </w:pPr>
    </w:p>
    <w:p w14:paraId="7E760DAD" w14:textId="7E95E7C8" w:rsidR="00861DAC" w:rsidRDefault="00B06C3B" w:rsidP="006B32A4">
      <w:pPr>
        <w:pStyle w:val="BodyText"/>
        <w:ind w:left="450" w:right="130"/>
      </w:pPr>
      <w:r>
        <w:t>HH</w:t>
      </w:r>
      <w:r w:rsidR="00F812D1">
        <w:t>S</w:t>
      </w:r>
      <w:r w:rsidR="0089194B" w:rsidRPr="00022249">
        <w:t xml:space="preserve"> estimate</w:t>
      </w:r>
      <w:r w:rsidR="00F812D1">
        <w:t>s</w:t>
      </w:r>
      <w:r w:rsidR="0089194B" w:rsidRPr="00022249">
        <w:t xml:space="preserve"> that </w:t>
      </w:r>
      <w:r w:rsidR="007D1E3C">
        <w:t>preparing a request for adjustment to the MLR standard</w:t>
      </w:r>
      <w:r w:rsidR="0089194B" w:rsidRPr="00022249">
        <w:t xml:space="preserve"> will require </w:t>
      </w:r>
      <w:r w:rsidR="007D1E3C">
        <w:t xml:space="preserve">a State </w:t>
      </w:r>
      <w:r w:rsidR="0089194B" w:rsidRPr="00022249">
        <w:t xml:space="preserve">on average </w:t>
      </w:r>
      <w:r w:rsidR="007D1E3C">
        <w:t>17.5</w:t>
      </w:r>
      <w:r w:rsidR="0089194B" w:rsidRPr="00022249">
        <w:t xml:space="preserve"> person-days of effort</w:t>
      </w:r>
      <w:r w:rsidR="0089194B" w:rsidRPr="00022249">
        <w:rPr>
          <w:spacing w:val="-17"/>
        </w:rPr>
        <w:t xml:space="preserve"> </w:t>
      </w:r>
      <w:r w:rsidR="0089194B" w:rsidRPr="00022249">
        <w:t xml:space="preserve">(approximately </w:t>
      </w:r>
      <w:r w:rsidR="007D1E3C">
        <w:t>140</w:t>
      </w:r>
      <w:r w:rsidR="0089194B" w:rsidRPr="00022249">
        <w:t xml:space="preserve"> burden hours divided </w:t>
      </w:r>
      <w:r w:rsidR="0089194B">
        <w:t>by 8-hour work</w:t>
      </w:r>
      <w:r w:rsidR="0089194B">
        <w:rPr>
          <w:spacing w:val="-15"/>
        </w:rPr>
        <w:t xml:space="preserve"> </w:t>
      </w:r>
      <w:r w:rsidR="0089194B">
        <w:t>days).</w:t>
      </w:r>
      <w:r w:rsidR="007D1E3C">
        <w:t xml:space="preserve">  </w:t>
      </w:r>
      <w:r w:rsidR="007D1E3C" w:rsidRPr="007D1E3C">
        <w:t xml:space="preserve">The time burden estimate is uncertain because some States may have better access to the required application information elements, while other States may have to seek some of the required information from health insurance issuers in their States, which could increase their burden.  </w:t>
      </w:r>
      <w:r>
        <w:t>HH</w:t>
      </w:r>
      <w:r w:rsidR="007D1E3C" w:rsidRPr="007D1E3C">
        <w:t>S estimates that approximately 2</w:t>
      </w:r>
      <w:r w:rsidR="007D1E3C">
        <w:t>2</w:t>
      </w:r>
      <w:r w:rsidR="007D1E3C" w:rsidRPr="007D1E3C">
        <w:t xml:space="preserve"> States will submit </w:t>
      </w:r>
      <w:r w:rsidR="007D1E3C">
        <w:t>request</w:t>
      </w:r>
      <w:r w:rsidR="007D1E3C" w:rsidRPr="007D1E3C">
        <w:t>s.  This estimate is based o</w:t>
      </w:r>
      <w:r w:rsidR="007D1E3C">
        <w:t>n past</w:t>
      </w:r>
      <w:r w:rsidR="007D1E3C" w:rsidRPr="007D1E3C">
        <w:t xml:space="preserve"> State</w:t>
      </w:r>
      <w:r w:rsidR="007D1E3C">
        <w:t xml:space="preserve"> requests and adjusted to account for </w:t>
      </w:r>
      <w:r w:rsidR="00772C26">
        <w:t xml:space="preserve">the effect of </w:t>
      </w:r>
      <w:r w:rsidR="007D1E3C">
        <w:t>the changes to Subpart C of 45 CFR Part 158</w:t>
      </w:r>
      <w:r w:rsidR="007D1E3C" w:rsidRPr="007D1E3C">
        <w:t>.</w:t>
      </w:r>
    </w:p>
    <w:p w14:paraId="3AEB7D6B" w14:textId="77777777" w:rsidR="006B32A4" w:rsidRDefault="006B32A4" w:rsidP="006B32A4">
      <w:pPr>
        <w:pStyle w:val="BodyText"/>
        <w:ind w:left="450" w:right="130"/>
      </w:pPr>
    </w:p>
    <w:p w14:paraId="43C1C614" w14:textId="45057CEA" w:rsidR="00C65D1A" w:rsidRDefault="007D1E3C" w:rsidP="006B32A4">
      <w:pPr>
        <w:pStyle w:val="BodyText"/>
        <w:spacing w:before="69"/>
        <w:ind w:left="450" w:right="130"/>
      </w:pPr>
      <w:bookmarkStart w:id="13" w:name="Annual_MLR_Report"/>
      <w:bookmarkEnd w:id="13"/>
      <w:r>
        <w:t>A State that seeks</w:t>
      </w:r>
      <w:r w:rsidR="0089194B">
        <w:t xml:space="preserve"> </w:t>
      </w:r>
      <w:r>
        <w:t>an adjustment to its individual market MLR standard will prepare and submit one request</w:t>
      </w:r>
      <w:r w:rsidR="0089194B">
        <w:t xml:space="preserve">. </w:t>
      </w:r>
      <w:r>
        <w:t xml:space="preserve"> T</w:t>
      </w:r>
      <w:r w:rsidR="0089194B">
        <w:t>he preparation and submission of re</w:t>
      </w:r>
      <w:r>
        <w:t>ques</w:t>
      </w:r>
      <w:r w:rsidR="0089194B">
        <w:t xml:space="preserve">ts </w:t>
      </w:r>
      <w:r w:rsidR="00C90E66">
        <w:t xml:space="preserve">will involve </w:t>
      </w:r>
      <w:r w:rsidR="00C90E66" w:rsidRPr="007A08D1">
        <w:t>gathering and analyzing data, synthesizing information, and developing a proposal for an adjusted MLR standard</w:t>
      </w:r>
      <w:r w:rsidR="00C90E66">
        <w:t xml:space="preserve">, and </w:t>
      </w:r>
      <w:r w:rsidR="0089194B">
        <w:t>is expected to require a mix of</w:t>
      </w:r>
      <w:r w:rsidR="0089194B">
        <w:rPr>
          <w:spacing w:val="-14"/>
        </w:rPr>
        <w:t xml:space="preserve"> </w:t>
      </w:r>
      <w:r w:rsidR="0089194B">
        <w:t xml:space="preserve">skills. </w:t>
      </w:r>
      <w:r>
        <w:t xml:space="preserve"> </w:t>
      </w:r>
      <w:r w:rsidR="0089194B" w:rsidRPr="00C80E14">
        <w:t>The average</w:t>
      </w:r>
      <w:r w:rsidR="0089194B" w:rsidRPr="00C80E14">
        <w:rPr>
          <w:spacing w:val="-15"/>
        </w:rPr>
        <w:t xml:space="preserve"> </w:t>
      </w:r>
      <w:r w:rsidR="0089194B" w:rsidRPr="00C80E14">
        <w:t xml:space="preserve">hourly compensation, including fringe benefits and overhead </w:t>
      </w:r>
      <w:r w:rsidR="00C65D1A" w:rsidRPr="00C80E14">
        <w:t>expenses is $</w:t>
      </w:r>
      <w:r w:rsidR="00C65D1A">
        <w:t>75.90.</w:t>
      </w:r>
      <w:r w:rsidR="00C65D1A">
        <w:rPr>
          <w:rStyle w:val="FootnoteReference"/>
        </w:rPr>
        <w:footnoteReference w:id="1"/>
      </w:r>
      <w:r w:rsidR="00C65D1A" w:rsidRPr="00C80E14">
        <w:t xml:space="preserve"> </w:t>
      </w:r>
      <w:r w:rsidR="00C65D1A">
        <w:t xml:space="preserve"> </w:t>
      </w:r>
      <w:r w:rsidR="00EA45C8">
        <w:t>As shown in Table 1 below, it is estimated that each State will, on average, incur a burden</w:t>
      </w:r>
      <w:r w:rsidR="00EA45C8">
        <w:rPr>
          <w:spacing w:val="-14"/>
        </w:rPr>
        <w:t xml:space="preserve"> </w:t>
      </w:r>
      <w:r w:rsidR="00EA45C8">
        <w:t xml:space="preserve">of </w:t>
      </w:r>
      <w:r w:rsidR="00EA45C8" w:rsidRPr="00022249">
        <w:t xml:space="preserve">approximately </w:t>
      </w:r>
      <w:r w:rsidR="00EA45C8">
        <w:t>140</w:t>
      </w:r>
      <w:r w:rsidR="00EA45C8" w:rsidRPr="00022249">
        <w:t xml:space="preserve"> hours </w:t>
      </w:r>
      <w:r w:rsidR="00EA45C8">
        <w:t xml:space="preserve">(and an equivalent cost of </w:t>
      </w:r>
      <w:r w:rsidR="00EA45C8" w:rsidRPr="00022249">
        <w:t>approximately $1</w:t>
      </w:r>
      <w:r w:rsidR="00EA45C8">
        <w:t>0</w:t>
      </w:r>
      <w:r w:rsidR="00EA45C8" w:rsidRPr="00022249">
        <w:t>,</w:t>
      </w:r>
      <w:r w:rsidR="00EA45C8">
        <w:t xml:space="preserve">626).  </w:t>
      </w:r>
      <w:r w:rsidR="00C65D1A" w:rsidRPr="00C80E14">
        <w:t>Previous burden estimates related to th</w:t>
      </w:r>
      <w:r w:rsidR="00EA45C8">
        <w:t>is</w:t>
      </w:r>
      <w:r w:rsidR="00C65D1A" w:rsidRPr="00C80E14">
        <w:t xml:space="preserve"> </w:t>
      </w:r>
      <w:r w:rsidR="00EA45C8">
        <w:t>ICR</w:t>
      </w:r>
      <w:r w:rsidR="00C65D1A" w:rsidRPr="00C80E14">
        <w:t xml:space="preserve"> have been updated</w:t>
      </w:r>
      <w:r w:rsidR="00C65D1A">
        <w:t xml:space="preserve"> based on the latest available wage data and to reflect the changes to Subpart C of 45 CFR Part 158.</w:t>
      </w:r>
    </w:p>
    <w:p w14:paraId="4DE1405F" w14:textId="77777777" w:rsidR="00C65D1A" w:rsidRDefault="00C65D1A" w:rsidP="00EA45C8">
      <w:pPr>
        <w:pStyle w:val="BodyText"/>
        <w:ind w:left="450" w:right="130"/>
      </w:pPr>
    </w:p>
    <w:p w14:paraId="556F5FB7" w14:textId="50C12D4C" w:rsidR="00C65D1A" w:rsidRPr="00C65D1A" w:rsidRDefault="00C65D1A" w:rsidP="00EA45C8">
      <w:pPr>
        <w:pStyle w:val="BodyText"/>
        <w:ind w:left="450" w:right="130"/>
        <w:rPr>
          <w:b/>
        </w:rPr>
      </w:pPr>
      <w:r w:rsidRPr="00C65D1A">
        <w:rPr>
          <w:b/>
        </w:rPr>
        <w:t xml:space="preserve">Table 1: Burden and Cost Estimates for </w:t>
      </w:r>
      <w:r>
        <w:rPr>
          <w:b/>
        </w:rPr>
        <w:t>State Requests for Adjustment to MLR Standard</w:t>
      </w:r>
    </w:p>
    <w:tbl>
      <w:tblPr>
        <w:tblpPr w:leftFromText="180" w:rightFromText="180" w:vertAnchor="text" w:horzAnchor="margin" w:tblpXSpec="center" w:tblpY="180"/>
        <w:tblW w:w="0" w:type="auto"/>
        <w:tblLayout w:type="fixed"/>
        <w:tblCellMar>
          <w:left w:w="0" w:type="dxa"/>
          <w:right w:w="0" w:type="dxa"/>
        </w:tblCellMar>
        <w:tblLook w:val="01E0" w:firstRow="1" w:lastRow="1" w:firstColumn="1" w:lastColumn="1" w:noHBand="0" w:noVBand="0"/>
      </w:tblPr>
      <w:tblGrid>
        <w:gridCol w:w="1080"/>
        <w:gridCol w:w="1525"/>
        <w:gridCol w:w="1260"/>
        <w:gridCol w:w="1260"/>
        <w:gridCol w:w="1260"/>
        <w:gridCol w:w="900"/>
        <w:gridCol w:w="1260"/>
        <w:gridCol w:w="1085"/>
      </w:tblGrid>
      <w:tr w:rsidR="00C65D1A" w14:paraId="6AC59158" w14:textId="77777777" w:rsidTr="00C65D1A">
        <w:trPr>
          <w:trHeight w:hRule="exact" w:val="1195"/>
          <w:tblHeader/>
        </w:trPr>
        <w:tc>
          <w:tcPr>
            <w:tcW w:w="1080" w:type="dxa"/>
            <w:tcBorders>
              <w:top w:val="single" w:sz="4" w:space="0" w:color="000000"/>
              <w:left w:val="single" w:sz="4" w:space="0" w:color="000000"/>
              <w:bottom w:val="single" w:sz="4" w:space="0" w:color="000000"/>
              <w:right w:val="single" w:sz="4" w:space="0" w:color="000000"/>
            </w:tcBorders>
          </w:tcPr>
          <w:p w14:paraId="7BD8D7CF" w14:textId="77777777" w:rsidR="00C65D1A" w:rsidRDefault="00C65D1A" w:rsidP="00C65D1A">
            <w:pPr>
              <w:pStyle w:val="TableParagraph"/>
              <w:spacing w:line="228" w:lineRule="exact"/>
              <w:ind w:left="103"/>
              <w:rPr>
                <w:rFonts w:ascii="Times New Roman" w:eastAsia="Times New Roman" w:hAnsi="Times New Roman" w:cs="Times New Roman"/>
                <w:sz w:val="20"/>
                <w:szCs w:val="20"/>
              </w:rPr>
            </w:pPr>
            <w:r>
              <w:rPr>
                <w:rFonts w:ascii="Times New Roman"/>
                <w:b/>
                <w:sz w:val="20"/>
              </w:rPr>
              <w:t>Form</w:t>
            </w:r>
          </w:p>
        </w:tc>
        <w:tc>
          <w:tcPr>
            <w:tcW w:w="1525" w:type="dxa"/>
            <w:tcBorders>
              <w:top w:val="single" w:sz="4" w:space="0" w:color="000000"/>
              <w:left w:val="single" w:sz="4" w:space="0" w:color="000000"/>
              <w:bottom w:val="single" w:sz="4" w:space="0" w:color="000000"/>
              <w:right w:val="single" w:sz="4" w:space="0" w:color="000000"/>
            </w:tcBorders>
          </w:tcPr>
          <w:p w14:paraId="48DC2BA4" w14:textId="2C0C46B3"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Type of</w:t>
            </w:r>
            <w:r>
              <w:rPr>
                <w:rFonts w:ascii="Times New Roman"/>
                <w:b/>
                <w:spacing w:val="1"/>
                <w:w w:val="99"/>
                <w:sz w:val="20"/>
              </w:rPr>
              <w:t xml:space="preserve"> </w:t>
            </w:r>
            <w:r>
              <w:rPr>
                <w:rFonts w:ascii="Times New Roman"/>
                <w:b/>
                <w:sz w:val="20"/>
              </w:rPr>
              <w:t>Respondent (occupation)</w:t>
            </w:r>
          </w:p>
        </w:tc>
        <w:tc>
          <w:tcPr>
            <w:tcW w:w="1260" w:type="dxa"/>
            <w:tcBorders>
              <w:top w:val="single" w:sz="4" w:space="0" w:color="000000"/>
              <w:left w:val="single" w:sz="4" w:space="0" w:color="000000"/>
              <w:bottom w:val="single" w:sz="4" w:space="0" w:color="000000"/>
              <w:right w:val="single" w:sz="4" w:space="0" w:color="000000"/>
            </w:tcBorders>
          </w:tcPr>
          <w:p w14:paraId="41830DC4" w14:textId="77777777"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Number</w:t>
            </w:r>
            <w:r>
              <w:rPr>
                <w:rFonts w:ascii="Times New Roman"/>
                <w:b/>
                <w:spacing w:val="-1"/>
                <w:sz w:val="20"/>
              </w:rPr>
              <w:t xml:space="preserve"> </w:t>
            </w:r>
            <w:r>
              <w:rPr>
                <w:rFonts w:ascii="Times New Roman"/>
                <w:b/>
                <w:sz w:val="20"/>
              </w:rPr>
              <w:t>of</w:t>
            </w:r>
            <w:r>
              <w:rPr>
                <w:rFonts w:ascii="Times New Roman"/>
                <w:b/>
                <w:w w:val="99"/>
                <w:sz w:val="20"/>
              </w:rPr>
              <w:t xml:space="preserve"> </w:t>
            </w:r>
            <w:r>
              <w:rPr>
                <w:rFonts w:ascii="Times New Roman"/>
                <w:b/>
                <w:sz w:val="20"/>
              </w:rPr>
              <w:t>Respondents</w:t>
            </w:r>
          </w:p>
        </w:tc>
        <w:tc>
          <w:tcPr>
            <w:tcW w:w="1260" w:type="dxa"/>
            <w:tcBorders>
              <w:top w:val="single" w:sz="4" w:space="0" w:color="000000"/>
              <w:left w:val="single" w:sz="4" w:space="0" w:color="000000"/>
              <w:bottom w:val="single" w:sz="4" w:space="0" w:color="000000"/>
              <w:right w:val="single" w:sz="4" w:space="0" w:color="000000"/>
            </w:tcBorders>
          </w:tcPr>
          <w:p w14:paraId="5BB3F437" w14:textId="77777777" w:rsidR="00C65D1A" w:rsidRDefault="00C65D1A" w:rsidP="00C65D1A">
            <w:pPr>
              <w:pStyle w:val="TableParagraph"/>
              <w:ind w:left="103"/>
              <w:rPr>
                <w:rFonts w:ascii="Times New Roman" w:eastAsia="Times New Roman" w:hAnsi="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Number</w:t>
            </w:r>
            <w:r>
              <w:rPr>
                <w:rFonts w:ascii="Times New Roman"/>
                <w:b/>
                <w:spacing w:val="-2"/>
                <w:sz w:val="20"/>
              </w:rPr>
              <w:t xml:space="preserve"> </w:t>
            </w:r>
            <w:r>
              <w:rPr>
                <w:rFonts w:ascii="Times New Roman"/>
                <w:b/>
                <w:sz w:val="20"/>
              </w:rPr>
              <w:t>of</w:t>
            </w:r>
            <w:r>
              <w:rPr>
                <w:rFonts w:ascii="Times New Roman"/>
                <w:b/>
                <w:w w:val="99"/>
                <w:sz w:val="20"/>
              </w:rPr>
              <w:t xml:space="preserve"> </w:t>
            </w:r>
            <w:r>
              <w:rPr>
                <w:rFonts w:ascii="Times New Roman"/>
                <w:b/>
                <w:sz w:val="20"/>
              </w:rPr>
              <w:t>Responses</w:t>
            </w:r>
            <w:r>
              <w:rPr>
                <w:rFonts w:ascii="Times New Roman"/>
                <w:b/>
                <w:spacing w:val="-5"/>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260" w:type="dxa"/>
            <w:tcBorders>
              <w:top w:val="single" w:sz="4" w:space="0" w:color="000000"/>
              <w:left w:val="single" w:sz="4" w:space="0" w:color="000000"/>
              <w:bottom w:val="single" w:sz="4" w:space="0" w:color="000000"/>
              <w:right w:val="single" w:sz="4" w:space="0" w:color="000000"/>
            </w:tcBorders>
          </w:tcPr>
          <w:p w14:paraId="21ACBDEB" w14:textId="77777777"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spacing w:val="-2"/>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900" w:type="dxa"/>
            <w:tcBorders>
              <w:top w:val="single" w:sz="4" w:space="0" w:color="000000"/>
              <w:left w:val="single" w:sz="4" w:space="0" w:color="000000"/>
              <w:bottom w:val="single" w:sz="4" w:space="0" w:color="000000"/>
              <w:right w:val="single" w:sz="4" w:space="0" w:color="000000"/>
            </w:tcBorders>
          </w:tcPr>
          <w:p w14:paraId="409D3564" w14:textId="77777777" w:rsidR="00C65D1A" w:rsidRDefault="00C65D1A" w:rsidP="00C65D1A">
            <w:pPr>
              <w:pStyle w:val="TableParagraph"/>
              <w:ind w:left="90"/>
              <w:rPr>
                <w:rFonts w:ascii="Times New Roman"/>
                <w:b/>
                <w:w w:val="99"/>
                <w:sz w:val="20"/>
              </w:rPr>
            </w:pPr>
            <w:r>
              <w:rPr>
                <w:rFonts w:ascii="Times New Roman"/>
                <w:b/>
                <w:sz w:val="20"/>
              </w:rPr>
              <w:t>Wage</w:t>
            </w:r>
            <w:r>
              <w:rPr>
                <w:rFonts w:ascii="Times New Roman"/>
                <w:b/>
                <w:spacing w:val="-1"/>
                <w:sz w:val="20"/>
              </w:rPr>
              <w:t xml:space="preserve"> </w:t>
            </w:r>
            <w:r>
              <w:rPr>
                <w:rFonts w:ascii="Times New Roman"/>
                <w:b/>
                <w:sz w:val="20"/>
              </w:rPr>
              <w:t>per</w:t>
            </w:r>
            <w:r>
              <w:rPr>
                <w:rFonts w:ascii="Times New Roman"/>
                <w:b/>
                <w:w w:val="99"/>
                <w:sz w:val="20"/>
              </w:rPr>
              <w:t xml:space="preserve"> </w:t>
            </w:r>
          </w:p>
          <w:p w14:paraId="7AFEB556" w14:textId="6A161298" w:rsidR="00C65D1A" w:rsidRDefault="00C65D1A" w:rsidP="00C65D1A">
            <w:pPr>
              <w:pStyle w:val="TableParagraph"/>
              <w:ind w:left="90" w:right="180"/>
              <w:rPr>
                <w:rFonts w:ascii="Times New Roman" w:eastAsia="Times New Roman" w:hAnsi="Times New Roman" w:cs="Times New Roman"/>
                <w:sz w:val="20"/>
                <w:szCs w:val="20"/>
              </w:rPr>
            </w:pPr>
            <w:r>
              <w:rPr>
                <w:rFonts w:ascii="Times New Roman"/>
                <w:b/>
                <w:sz w:val="20"/>
              </w:rPr>
              <w:t>Hour</w:t>
            </w:r>
            <w:r>
              <w:rPr>
                <w:rFonts w:ascii="Times New Roman"/>
                <w:b/>
                <w:spacing w:val="-5"/>
                <w:sz w:val="20"/>
              </w:rPr>
              <w:t xml:space="preserve"> </w:t>
            </w:r>
            <w:r>
              <w:rPr>
                <w:rFonts w:ascii="Times New Roman"/>
                <w:b/>
                <w:sz w:val="20"/>
              </w:rPr>
              <w:t>(incl.</w:t>
            </w:r>
            <w:r>
              <w:rPr>
                <w:rFonts w:ascii="Times New Roman"/>
                <w:b/>
                <w:w w:val="99"/>
                <w:sz w:val="20"/>
              </w:rPr>
              <w:t xml:space="preserve"> </w:t>
            </w:r>
            <w:r>
              <w:rPr>
                <w:rFonts w:ascii="Times New Roman"/>
                <w:b/>
                <w:sz w:val="20"/>
              </w:rPr>
              <w:t>fringe)</w:t>
            </w:r>
          </w:p>
        </w:tc>
        <w:tc>
          <w:tcPr>
            <w:tcW w:w="1260" w:type="dxa"/>
            <w:tcBorders>
              <w:top w:val="single" w:sz="4" w:space="0" w:color="000000"/>
              <w:left w:val="single" w:sz="4" w:space="0" w:color="000000"/>
              <w:bottom w:val="single" w:sz="4" w:space="0" w:color="000000"/>
              <w:right w:val="single" w:sz="4" w:space="0" w:color="000000"/>
            </w:tcBorders>
          </w:tcPr>
          <w:p w14:paraId="187FA3B3" w14:textId="77777777" w:rsidR="00C65D1A" w:rsidRDefault="00C65D1A" w:rsidP="00C65D1A">
            <w:pPr>
              <w:pStyle w:val="TableParagraph"/>
              <w:ind w:left="90" w:right="90"/>
              <w:rPr>
                <w:rFonts w:ascii="Times New Roman" w:eastAsia="Times New Roman" w:hAnsi="Times New Roman" w:cs="Times New Roman"/>
                <w:sz w:val="20"/>
                <w:szCs w:val="20"/>
              </w:rPr>
            </w:pPr>
            <w:r>
              <w:rPr>
                <w:rFonts w:ascii="Times New Roman"/>
                <w:b/>
                <w:sz w:val="20"/>
              </w:rPr>
              <w:t>Burden</w:t>
            </w:r>
            <w:r>
              <w:rPr>
                <w:rFonts w:ascii="Times New Roman"/>
                <w:b/>
                <w:spacing w:val="-4"/>
                <w:sz w:val="20"/>
              </w:rPr>
              <w:t xml:space="preserve"> </w:t>
            </w:r>
            <w:r>
              <w:rPr>
                <w:rFonts w:ascii="Times New Roman"/>
                <w:b/>
                <w:sz w:val="20"/>
              </w:rPr>
              <w:t>Cost</w:t>
            </w:r>
            <w:r>
              <w:rPr>
                <w:rFonts w:ascii="Times New Roman"/>
                <w:b/>
                <w:w w:val="99"/>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085" w:type="dxa"/>
            <w:tcBorders>
              <w:top w:val="single" w:sz="4" w:space="0" w:color="000000"/>
              <w:left w:val="single" w:sz="4" w:space="0" w:color="000000"/>
              <w:bottom w:val="single" w:sz="4" w:space="0" w:color="000000"/>
              <w:right w:val="single" w:sz="4" w:space="0" w:color="000000"/>
            </w:tcBorders>
          </w:tcPr>
          <w:p w14:paraId="73B7BC74" w14:textId="77777777" w:rsidR="00C65D1A" w:rsidRDefault="00C65D1A" w:rsidP="00C65D1A">
            <w:pPr>
              <w:pStyle w:val="TableParagraph"/>
              <w:ind w:left="103"/>
              <w:rPr>
                <w:rFonts w:ascii="Times New Roman" w:eastAsia="Times New Roman" w:hAnsi="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p>
        </w:tc>
      </w:tr>
      <w:tr w:rsidR="00C65D1A" w14:paraId="1DBA4696" w14:textId="77777777" w:rsidTr="00C65D1A">
        <w:trPr>
          <w:trHeight w:hRule="exact" w:val="517"/>
        </w:trPr>
        <w:tc>
          <w:tcPr>
            <w:tcW w:w="1080" w:type="dxa"/>
            <w:vMerge w:val="restart"/>
            <w:tcBorders>
              <w:top w:val="single" w:sz="4" w:space="0" w:color="000000"/>
              <w:left w:val="single" w:sz="4" w:space="0" w:color="000000"/>
              <w:right w:val="single" w:sz="4" w:space="0" w:color="000000"/>
            </w:tcBorders>
          </w:tcPr>
          <w:p w14:paraId="3865C9B1" w14:textId="77777777" w:rsidR="00C65D1A" w:rsidRDefault="00C65D1A" w:rsidP="00C65D1A">
            <w:pPr>
              <w:pStyle w:val="TableParagraph"/>
              <w:ind w:left="70" w:right="90" w:firstLine="1"/>
              <w:jc w:val="center"/>
              <w:rPr>
                <w:rFonts w:ascii="Times New Roman" w:eastAsia="Times New Roman" w:hAnsi="Times New Roman" w:cs="Times New Roman"/>
                <w:sz w:val="20"/>
                <w:szCs w:val="20"/>
              </w:rPr>
            </w:pPr>
            <w:r>
              <w:rPr>
                <w:rFonts w:ascii="Times New Roman"/>
                <w:sz w:val="20"/>
              </w:rPr>
              <w:t>Request for adjustment to MLR standard (no specific form)</w:t>
            </w:r>
          </w:p>
        </w:tc>
        <w:tc>
          <w:tcPr>
            <w:tcW w:w="1525" w:type="dxa"/>
            <w:tcBorders>
              <w:top w:val="single" w:sz="4" w:space="0" w:color="000000"/>
              <w:left w:val="single" w:sz="4" w:space="0" w:color="000000"/>
              <w:bottom w:val="single" w:sz="4" w:space="0" w:color="000000"/>
              <w:right w:val="single" w:sz="4" w:space="0" w:color="000000"/>
            </w:tcBorders>
          </w:tcPr>
          <w:p w14:paraId="33F7545B" w14:textId="77777777" w:rsidR="00C65D1A" w:rsidRDefault="00C65D1A" w:rsidP="00C65D1A">
            <w:pPr>
              <w:pStyle w:val="TableParagraph"/>
              <w:spacing w:line="228" w:lineRule="exact"/>
              <w:ind w:left="90"/>
              <w:rPr>
                <w:rFonts w:ascii="Times New Roman" w:eastAsia="Times New Roman" w:hAnsi="Times New Roman" w:cs="Times New Roman"/>
                <w:sz w:val="20"/>
                <w:szCs w:val="20"/>
              </w:rPr>
            </w:pPr>
            <w:r>
              <w:rPr>
                <w:rFonts w:ascii="Times New Roman"/>
                <w:sz w:val="20"/>
              </w:rPr>
              <w:t>State (Commissioner)</w:t>
            </w:r>
          </w:p>
        </w:tc>
        <w:tc>
          <w:tcPr>
            <w:tcW w:w="1260" w:type="dxa"/>
            <w:tcBorders>
              <w:top w:val="single" w:sz="4" w:space="0" w:color="000000"/>
              <w:left w:val="single" w:sz="4" w:space="0" w:color="000000"/>
              <w:bottom w:val="single" w:sz="4" w:space="0" w:color="000000"/>
              <w:right w:val="single" w:sz="4" w:space="0" w:color="000000"/>
            </w:tcBorders>
          </w:tcPr>
          <w:p w14:paraId="326C04B8" w14:textId="77777777" w:rsidR="00C65D1A" w:rsidRPr="00527545"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74FDE2A1"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4AEC27E2"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00" w:type="dxa"/>
            <w:tcBorders>
              <w:top w:val="single" w:sz="4" w:space="0" w:color="000000"/>
              <w:left w:val="single" w:sz="4" w:space="0" w:color="000000"/>
              <w:bottom w:val="single" w:sz="4" w:space="0" w:color="000000"/>
              <w:right w:val="single" w:sz="4" w:space="0" w:color="000000"/>
            </w:tcBorders>
          </w:tcPr>
          <w:p w14:paraId="60C2EA6F" w14:textId="77777777" w:rsidR="00C65D1A" w:rsidRPr="00527545" w:rsidRDefault="00C65D1A" w:rsidP="00C65D1A">
            <w:pPr>
              <w:pStyle w:val="TableParagraph"/>
              <w:spacing w:line="226" w:lineRule="exact"/>
              <w:ind w:left="8"/>
              <w:jc w:val="center"/>
              <w:rPr>
                <w:rFonts w:ascii="Times New Roman" w:eastAsia="Times New Roman" w:hAnsi="Times New Roman" w:cs="Times New Roman"/>
                <w:sz w:val="20"/>
                <w:szCs w:val="20"/>
              </w:rPr>
            </w:pPr>
            <w:r w:rsidRPr="00527545">
              <w:rPr>
                <w:rFonts w:ascii="Times New Roman"/>
                <w:sz w:val="20"/>
              </w:rPr>
              <w:t>$</w:t>
            </w:r>
            <w:r>
              <w:rPr>
                <w:rFonts w:ascii="Times New Roman"/>
                <w:sz w:val="20"/>
              </w:rPr>
              <w:t>116.90</w:t>
            </w:r>
          </w:p>
        </w:tc>
        <w:tc>
          <w:tcPr>
            <w:tcW w:w="1260" w:type="dxa"/>
            <w:tcBorders>
              <w:top w:val="single" w:sz="4" w:space="0" w:color="000000"/>
              <w:left w:val="single" w:sz="4" w:space="0" w:color="000000"/>
              <w:bottom w:val="single" w:sz="4" w:space="0" w:color="000000"/>
              <w:right w:val="single" w:sz="4" w:space="0" w:color="000000"/>
            </w:tcBorders>
          </w:tcPr>
          <w:p w14:paraId="30A87C4B" w14:textId="77777777" w:rsidR="00C65D1A" w:rsidRPr="00527545" w:rsidRDefault="00C65D1A" w:rsidP="00C65D1A">
            <w:pPr>
              <w:pStyle w:val="TableParagraph"/>
              <w:spacing w:line="226" w:lineRule="exact"/>
              <w:ind w:left="7" w:right="180"/>
              <w:jc w:val="right"/>
              <w:rPr>
                <w:rFonts w:ascii="Times New Roman" w:eastAsia="Times New Roman" w:hAnsi="Times New Roman" w:cs="Times New Roman"/>
                <w:sz w:val="20"/>
                <w:szCs w:val="20"/>
              </w:rPr>
            </w:pPr>
            <w:r w:rsidRPr="00527545">
              <w:rPr>
                <w:rFonts w:ascii="Times New Roman"/>
                <w:sz w:val="20"/>
              </w:rPr>
              <w:t>$</w:t>
            </w:r>
            <w:r>
              <w:rPr>
                <w:rFonts w:ascii="Times New Roman"/>
                <w:sz w:val="20"/>
              </w:rPr>
              <w:t>467.60</w:t>
            </w:r>
          </w:p>
        </w:tc>
        <w:tc>
          <w:tcPr>
            <w:tcW w:w="1085" w:type="dxa"/>
            <w:tcBorders>
              <w:top w:val="single" w:sz="4" w:space="0" w:color="000000"/>
              <w:left w:val="single" w:sz="4" w:space="0" w:color="000000"/>
              <w:bottom w:val="single" w:sz="4" w:space="0" w:color="000000"/>
              <w:right w:val="single" w:sz="4" w:space="0" w:color="000000"/>
            </w:tcBorders>
          </w:tcPr>
          <w:p w14:paraId="4AB5062A"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r>
      <w:tr w:rsidR="00C65D1A" w14:paraId="0E490B11" w14:textId="77777777" w:rsidTr="00C65D1A">
        <w:trPr>
          <w:trHeight w:hRule="exact" w:val="544"/>
        </w:trPr>
        <w:tc>
          <w:tcPr>
            <w:tcW w:w="1080" w:type="dxa"/>
            <w:vMerge/>
            <w:tcBorders>
              <w:left w:val="single" w:sz="4" w:space="0" w:color="000000"/>
              <w:right w:val="single" w:sz="4" w:space="0" w:color="000000"/>
            </w:tcBorders>
          </w:tcPr>
          <w:p w14:paraId="0E32AD5B"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49312CC3"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7E8F1139" w14:textId="77777777" w:rsidR="00C65D1A" w:rsidRDefault="00C65D1A" w:rsidP="00C65D1A">
            <w:pPr>
              <w:pStyle w:val="TableParagraph"/>
              <w:spacing w:line="228" w:lineRule="exact"/>
              <w:ind w:left="90"/>
              <w:rPr>
                <w:rFonts w:ascii="Times New Roman"/>
                <w:sz w:val="20"/>
              </w:rPr>
            </w:pPr>
            <w:r>
              <w:rPr>
                <w:rFonts w:ascii="Times New Roman"/>
                <w:sz w:val="20"/>
              </w:rPr>
              <w:t>(Lawyer)</w:t>
            </w:r>
          </w:p>
        </w:tc>
        <w:tc>
          <w:tcPr>
            <w:tcW w:w="1260" w:type="dxa"/>
            <w:tcBorders>
              <w:top w:val="single" w:sz="4" w:space="0" w:color="000000"/>
              <w:left w:val="single" w:sz="4" w:space="0" w:color="000000"/>
              <w:bottom w:val="single" w:sz="4" w:space="0" w:color="000000"/>
              <w:right w:val="single" w:sz="4" w:space="0" w:color="000000"/>
            </w:tcBorders>
          </w:tcPr>
          <w:p w14:paraId="5194B67C"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512999C6"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43FD1BE5"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00" w:type="dxa"/>
            <w:tcBorders>
              <w:top w:val="single" w:sz="4" w:space="0" w:color="000000"/>
              <w:left w:val="single" w:sz="4" w:space="0" w:color="000000"/>
              <w:bottom w:val="single" w:sz="4" w:space="0" w:color="000000"/>
              <w:right w:val="single" w:sz="4" w:space="0" w:color="000000"/>
            </w:tcBorders>
          </w:tcPr>
          <w:p w14:paraId="6023E74C"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$89.74</w:t>
            </w:r>
          </w:p>
        </w:tc>
        <w:tc>
          <w:tcPr>
            <w:tcW w:w="1260" w:type="dxa"/>
            <w:tcBorders>
              <w:top w:val="single" w:sz="4" w:space="0" w:color="000000"/>
              <w:left w:val="single" w:sz="4" w:space="0" w:color="000000"/>
              <w:bottom w:val="single" w:sz="4" w:space="0" w:color="000000"/>
              <w:right w:val="single" w:sz="4" w:space="0" w:color="000000"/>
            </w:tcBorders>
          </w:tcPr>
          <w:p w14:paraId="5C6D36E8"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$2,153.76</w:t>
            </w:r>
          </w:p>
        </w:tc>
        <w:tc>
          <w:tcPr>
            <w:tcW w:w="1085" w:type="dxa"/>
            <w:tcBorders>
              <w:top w:val="single" w:sz="4" w:space="0" w:color="000000"/>
              <w:left w:val="single" w:sz="4" w:space="0" w:color="000000"/>
              <w:bottom w:val="single" w:sz="4" w:space="0" w:color="000000"/>
              <w:right w:val="single" w:sz="4" w:space="0" w:color="000000"/>
            </w:tcBorders>
          </w:tcPr>
          <w:p w14:paraId="64E05C7D" w14:textId="37550AF9"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w:t>
            </w:r>
          </w:p>
        </w:tc>
      </w:tr>
      <w:tr w:rsidR="00C65D1A" w14:paraId="120B19E5" w14:textId="77777777" w:rsidTr="00C65D1A">
        <w:trPr>
          <w:trHeight w:hRule="exact" w:val="724"/>
        </w:trPr>
        <w:tc>
          <w:tcPr>
            <w:tcW w:w="1080" w:type="dxa"/>
            <w:vMerge/>
            <w:tcBorders>
              <w:left w:val="single" w:sz="4" w:space="0" w:color="000000"/>
              <w:right w:val="single" w:sz="4" w:space="0" w:color="000000"/>
            </w:tcBorders>
          </w:tcPr>
          <w:p w14:paraId="233A54FB"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0FDAF7CE"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5E614C69" w14:textId="77777777" w:rsidR="00C65D1A" w:rsidRDefault="00C65D1A" w:rsidP="00C65D1A">
            <w:pPr>
              <w:pStyle w:val="TableParagraph"/>
              <w:spacing w:line="228" w:lineRule="exact"/>
              <w:ind w:left="90"/>
              <w:rPr>
                <w:rFonts w:ascii="Times New Roman"/>
                <w:sz w:val="20"/>
              </w:rPr>
            </w:pPr>
            <w:r>
              <w:rPr>
                <w:rFonts w:ascii="Times New Roman"/>
                <w:sz w:val="20"/>
              </w:rPr>
              <w:t>(Financial manager)</w:t>
            </w:r>
          </w:p>
        </w:tc>
        <w:tc>
          <w:tcPr>
            <w:tcW w:w="1260" w:type="dxa"/>
            <w:tcBorders>
              <w:top w:val="single" w:sz="4" w:space="0" w:color="000000"/>
              <w:left w:val="single" w:sz="4" w:space="0" w:color="000000"/>
              <w:bottom w:val="single" w:sz="4" w:space="0" w:color="000000"/>
              <w:right w:val="single" w:sz="4" w:space="0" w:color="000000"/>
            </w:tcBorders>
          </w:tcPr>
          <w:p w14:paraId="55BD4949"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59B159FF"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03D67BBC"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00" w:type="dxa"/>
            <w:tcBorders>
              <w:top w:val="single" w:sz="4" w:space="0" w:color="000000"/>
              <w:left w:val="single" w:sz="4" w:space="0" w:color="000000"/>
              <w:bottom w:val="single" w:sz="4" w:space="0" w:color="000000"/>
              <w:right w:val="single" w:sz="4" w:space="0" w:color="000000"/>
            </w:tcBorders>
          </w:tcPr>
          <w:p w14:paraId="56558495"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$91.66</w:t>
            </w:r>
          </w:p>
        </w:tc>
        <w:tc>
          <w:tcPr>
            <w:tcW w:w="1260" w:type="dxa"/>
            <w:tcBorders>
              <w:top w:val="single" w:sz="4" w:space="0" w:color="000000"/>
              <w:left w:val="single" w:sz="4" w:space="0" w:color="000000"/>
              <w:bottom w:val="single" w:sz="4" w:space="0" w:color="000000"/>
              <w:right w:val="single" w:sz="4" w:space="0" w:color="000000"/>
            </w:tcBorders>
          </w:tcPr>
          <w:p w14:paraId="29CC2531"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$916.60</w:t>
            </w:r>
          </w:p>
        </w:tc>
        <w:tc>
          <w:tcPr>
            <w:tcW w:w="1085" w:type="dxa"/>
            <w:tcBorders>
              <w:top w:val="single" w:sz="4" w:space="0" w:color="000000"/>
              <w:left w:val="single" w:sz="4" w:space="0" w:color="000000"/>
              <w:bottom w:val="single" w:sz="4" w:space="0" w:color="000000"/>
              <w:right w:val="single" w:sz="4" w:space="0" w:color="000000"/>
            </w:tcBorders>
          </w:tcPr>
          <w:p w14:paraId="17BB9335" w14:textId="5492CFAB"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r>
      <w:tr w:rsidR="00C65D1A" w14:paraId="4F55F1B9" w14:textId="77777777" w:rsidTr="00C65D1A">
        <w:trPr>
          <w:trHeight w:hRule="exact" w:val="544"/>
        </w:trPr>
        <w:tc>
          <w:tcPr>
            <w:tcW w:w="1080" w:type="dxa"/>
            <w:vMerge/>
            <w:tcBorders>
              <w:left w:val="single" w:sz="4" w:space="0" w:color="000000"/>
              <w:right w:val="single" w:sz="4" w:space="0" w:color="000000"/>
            </w:tcBorders>
          </w:tcPr>
          <w:p w14:paraId="4EED1E2A"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79AAFF08"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3006C494" w14:textId="77777777" w:rsidR="00C65D1A" w:rsidRDefault="00C65D1A" w:rsidP="00C65D1A">
            <w:pPr>
              <w:pStyle w:val="TableParagraph"/>
              <w:spacing w:line="228" w:lineRule="exact"/>
              <w:ind w:left="90"/>
              <w:rPr>
                <w:rFonts w:ascii="Times New Roman"/>
                <w:sz w:val="20"/>
              </w:rPr>
            </w:pPr>
            <w:r>
              <w:rPr>
                <w:rFonts w:ascii="Times New Roman"/>
                <w:sz w:val="20"/>
              </w:rPr>
              <w:t>(Actuary)</w:t>
            </w:r>
          </w:p>
        </w:tc>
        <w:tc>
          <w:tcPr>
            <w:tcW w:w="1260" w:type="dxa"/>
            <w:tcBorders>
              <w:top w:val="single" w:sz="4" w:space="0" w:color="000000"/>
              <w:left w:val="single" w:sz="4" w:space="0" w:color="000000"/>
              <w:bottom w:val="single" w:sz="4" w:space="0" w:color="000000"/>
              <w:right w:val="single" w:sz="4" w:space="0" w:color="000000"/>
            </w:tcBorders>
          </w:tcPr>
          <w:p w14:paraId="0EB0202F"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15CF6A51"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512E6497"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00" w:type="dxa"/>
            <w:tcBorders>
              <w:top w:val="single" w:sz="4" w:space="0" w:color="000000"/>
              <w:left w:val="single" w:sz="4" w:space="0" w:color="000000"/>
              <w:bottom w:val="single" w:sz="4" w:space="0" w:color="000000"/>
              <w:right w:val="single" w:sz="4" w:space="0" w:color="000000"/>
            </w:tcBorders>
          </w:tcPr>
          <w:p w14:paraId="7BD5D369"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$80.82</w:t>
            </w:r>
          </w:p>
        </w:tc>
        <w:tc>
          <w:tcPr>
            <w:tcW w:w="1260" w:type="dxa"/>
            <w:tcBorders>
              <w:top w:val="single" w:sz="4" w:space="0" w:color="000000"/>
              <w:left w:val="single" w:sz="4" w:space="0" w:color="000000"/>
              <w:bottom w:val="single" w:sz="4" w:space="0" w:color="000000"/>
              <w:right w:val="single" w:sz="4" w:space="0" w:color="000000"/>
            </w:tcBorders>
          </w:tcPr>
          <w:p w14:paraId="551C6C30"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$484.92</w:t>
            </w:r>
          </w:p>
        </w:tc>
        <w:tc>
          <w:tcPr>
            <w:tcW w:w="1085" w:type="dxa"/>
            <w:tcBorders>
              <w:top w:val="single" w:sz="4" w:space="0" w:color="000000"/>
              <w:left w:val="single" w:sz="4" w:space="0" w:color="000000"/>
              <w:bottom w:val="single" w:sz="4" w:space="0" w:color="000000"/>
              <w:right w:val="single" w:sz="4" w:space="0" w:color="000000"/>
            </w:tcBorders>
          </w:tcPr>
          <w:p w14:paraId="3E6F4FD2" w14:textId="1F35AB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r>
      <w:tr w:rsidR="00C65D1A" w14:paraId="076EABC9" w14:textId="77777777" w:rsidTr="00C65D1A">
        <w:trPr>
          <w:trHeight w:hRule="exact" w:val="715"/>
        </w:trPr>
        <w:tc>
          <w:tcPr>
            <w:tcW w:w="1080" w:type="dxa"/>
            <w:vMerge/>
            <w:tcBorders>
              <w:left w:val="single" w:sz="4" w:space="0" w:color="000000"/>
              <w:right w:val="single" w:sz="4" w:space="0" w:color="000000"/>
            </w:tcBorders>
          </w:tcPr>
          <w:p w14:paraId="2F271628"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0989CF1B"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06DAF8BB" w14:textId="77777777" w:rsidR="00C65D1A" w:rsidRDefault="00C65D1A" w:rsidP="00C65D1A">
            <w:pPr>
              <w:pStyle w:val="TableParagraph"/>
              <w:spacing w:line="228" w:lineRule="exact"/>
              <w:ind w:left="90"/>
              <w:rPr>
                <w:rFonts w:ascii="Times New Roman"/>
                <w:sz w:val="20"/>
              </w:rPr>
            </w:pPr>
            <w:r>
              <w:rPr>
                <w:rFonts w:ascii="Times New Roman"/>
                <w:sz w:val="20"/>
              </w:rPr>
              <w:t>(Financial analyst)</w:t>
            </w:r>
          </w:p>
        </w:tc>
        <w:tc>
          <w:tcPr>
            <w:tcW w:w="1260" w:type="dxa"/>
            <w:tcBorders>
              <w:top w:val="single" w:sz="4" w:space="0" w:color="000000"/>
              <w:left w:val="single" w:sz="4" w:space="0" w:color="000000"/>
              <w:bottom w:val="single" w:sz="4" w:space="0" w:color="000000"/>
              <w:right w:val="single" w:sz="4" w:space="0" w:color="000000"/>
            </w:tcBorders>
          </w:tcPr>
          <w:p w14:paraId="1984E112"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19BB3FCA"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3F8AF077"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900" w:type="dxa"/>
            <w:tcBorders>
              <w:top w:val="single" w:sz="4" w:space="0" w:color="000000"/>
              <w:left w:val="single" w:sz="4" w:space="0" w:color="000000"/>
              <w:bottom w:val="single" w:sz="4" w:space="0" w:color="000000"/>
              <w:right w:val="single" w:sz="4" w:space="0" w:color="000000"/>
            </w:tcBorders>
          </w:tcPr>
          <w:p w14:paraId="5037D507"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$68.78</w:t>
            </w:r>
          </w:p>
        </w:tc>
        <w:tc>
          <w:tcPr>
            <w:tcW w:w="1260" w:type="dxa"/>
            <w:tcBorders>
              <w:top w:val="single" w:sz="4" w:space="0" w:color="000000"/>
              <w:left w:val="single" w:sz="4" w:space="0" w:color="000000"/>
              <w:bottom w:val="single" w:sz="4" w:space="0" w:color="000000"/>
              <w:right w:val="single" w:sz="4" w:space="0" w:color="000000"/>
            </w:tcBorders>
          </w:tcPr>
          <w:p w14:paraId="08F4588B"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$6,602.88</w:t>
            </w:r>
          </w:p>
        </w:tc>
        <w:tc>
          <w:tcPr>
            <w:tcW w:w="1085" w:type="dxa"/>
            <w:tcBorders>
              <w:top w:val="single" w:sz="4" w:space="0" w:color="000000"/>
              <w:left w:val="single" w:sz="4" w:space="0" w:color="000000"/>
              <w:bottom w:val="single" w:sz="4" w:space="0" w:color="000000"/>
              <w:right w:val="single" w:sz="4" w:space="0" w:color="000000"/>
            </w:tcBorders>
          </w:tcPr>
          <w:p w14:paraId="20F58EA9" w14:textId="68FFADA0"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2,112</w:t>
            </w:r>
          </w:p>
        </w:tc>
      </w:tr>
      <w:tr w:rsidR="00C65D1A" w14:paraId="6AF06A5B" w14:textId="77777777" w:rsidTr="00C65D1A">
        <w:trPr>
          <w:trHeight w:hRule="exact" w:val="544"/>
        </w:trPr>
        <w:tc>
          <w:tcPr>
            <w:tcW w:w="1080" w:type="dxa"/>
            <w:vMerge/>
            <w:tcBorders>
              <w:left w:val="single" w:sz="4" w:space="0" w:color="000000"/>
              <w:bottom w:val="single" w:sz="4" w:space="0" w:color="000000"/>
              <w:right w:val="single" w:sz="4" w:space="0" w:color="000000"/>
            </w:tcBorders>
          </w:tcPr>
          <w:p w14:paraId="3BC0EEF3"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739BAB34" w14:textId="77777777" w:rsidR="00C65D1A" w:rsidRPr="00C90E66" w:rsidRDefault="00C65D1A" w:rsidP="00C65D1A">
            <w:pPr>
              <w:pStyle w:val="TableParagraph"/>
              <w:spacing w:line="228" w:lineRule="exact"/>
              <w:ind w:left="90"/>
              <w:rPr>
                <w:rFonts w:ascii="Times New Roman"/>
                <w:b/>
                <w:sz w:val="20"/>
              </w:rPr>
            </w:pPr>
            <w:r w:rsidRPr="00C90E66">
              <w:rPr>
                <w:rFonts w:ascii="Times New Roman"/>
                <w:b/>
                <w:sz w:val="20"/>
              </w:rPr>
              <w:t>State</w:t>
            </w:r>
          </w:p>
          <w:p w14:paraId="3603DC4F" w14:textId="77777777" w:rsidR="00C65D1A" w:rsidRPr="00C90E66" w:rsidRDefault="00C65D1A" w:rsidP="00C65D1A">
            <w:pPr>
              <w:pStyle w:val="TableParagraph"/>
              <w:spacing w:line="228" w:lineRule="exact"/>
              <w:ind w:left="90"/>
              <w:rPr>
                <w:rFonts w:ascii="Times New Roman"/>
                <w:b/>
                <w:sz w:val="20"/>
              </w:rPr>
            </w:pPr>
            <w:r w:rsidRPr="00C90E66">
              <w:rPr>
                <w:rFonts w:ascii="Times New Roman"/>
                <w:b/>
                <w:sz w:val="20"/>
              </w:rPr>
              <w:t>(Total)</w:t>
            </w:r>
          </w:p>
        </w:tc>
        <w:tc>
          <w:tcPr>
            <w:tcW w:w="1260" w:type="dxa"/>
            <w:tcBorders>
              <w:top w:val="single" w:sz="4" w:space="0" w:color="000000"/>
              <w:left w:val="single" w:sz="4" w:space="0" w:color="000000"/>
              <w:bottom w:val="single" w:sz="4" w:space="0" w:color="000000"/>
              <w:right w:val="single" w:sz="4" w:space="0" w:color="000000"/>
            </w:tcBorders>
          </w:tcPr>
          <w:p w14:paraId="4D278443" w14:textId="77777777" w:rsidR="00C65D1A" w:rsidRPr="00C90E66" w:rsidRDefault="00C65D1A" w:rsidP="00C65D1A">
            <w:pPr>
              <w:pStyle w:val="TableParagraph"/>
              <w:spacing w:line="226" w:lineRule="exact"/>
              <w:ind w:left="2"/>
              <w:jc w:val="center"/>
              <w:rPr>
                <w:rFonts w:ascii="Times New Roman" w:eastAsia="Times New Roman" w:hAnsi="Times New Roman" w:cs="Times New Roman"/>
                <w:b/>
                <w:sz w:val="20"/>
                <w:szCs w:val="20"/>
              </w:rPr>
            </w:pPr>
            <w:r w:rsidRPr="00C90E66">
              <w:rPr>
                <w:rFonts w:ascii="Times New Roman" w:eastAsia="Times New Roman" w:hAnsi="Times New Roman" w:cs="Times New Roman"/>
                <w:b/>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0009D5B6" w14:textId="77777777"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145852A7" w14:textId="77777777"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w:t>
            </w:r>
          </w:p>
        </w:tc>
        <w:tc>
          <w:tcPr>
            <w:tcW w:w="900" w:type="dxa"/>
            <w:tcBorders>
              <w:top w:val="single" w:sz="4" w:space="0" w:color="000000"/>
              <w:left w:val="single" w:sz="4" w:space="0" w:color="000000"/>
              <w:bottom w:val="single" w:sz="4" w:space="0" w:color="000000"/>
              <w:right w:val="single" w:sz="4" w:space="0" w:color="000000"/>
            </w:tcBorders>
          </w:tcPr>
          <w:p w14:paraId="1B67989A" w14:textId="77777777" w:rsidR="00C65D1A" w:rsidRPr="00C90E66" w:rsidRDefault="00C65D1A" w:rsidP="00C65D1A">
            <w:pPr>
              <w:pStyle w:val="TableParagraph"/>
              <w:spacing w:line="226" w:lineRule="exact"/>
              <w:ind w:left="8"/>
              <w:jc w:val="center"/>
              <w:rPr>
                <w:rFonts w:ascii="Times New Roman"/>
                <w:b/>
                <w:sz w:val="20"/>
              </w:rPr>
            </w:pPr>
            <w:r>
              <w:rPr>
                <w:rFonts w:ascii="Times New Roman"/>
                <w:b/>
                <w:sz w:val="20"/>
              </w:rPr>
              <w:t>$75.90</w:t>
            </w:r>
          </w:p>
        </w:tc>
        <w:tc>
          <w:tcPr>
            <w:tcW w:w="1260" w:type="dxa"/>
            <w:tcBorders>
              <w:top w:val="single" w:sz="4" w:space="0" w:color="000000"/>
              <w:left w:val="single" w:sz="4" w:space="0" w:color="000000"/>
              <w:bottom w:val="single" w:sz="4" w:space="0" w:color="000000"/>
              <w:right w:val="single" w:sz="4" w:space="0" w:color="000000"/>
            </w:tcBorders>
          </w:tcPr>
          <w:p w14:paraId="70561B76" w14:textId="77777777" w:rsidR="00C65D1A" w:rsidRPr="00C90E66" w:rsidRDefault="00C65D1A" w:rsidP="00C65D1A">
            <w:pPr>
              <w:pStyle w:val="TableParagraph"/>
              <w:spacing w:line="226" w:lineRule="exact"/>
              <w:ind w:left="7" w:right="180"/>
              <w:jc w:val="right"/>
              <w:rPr>
                <w:rFonts w:ascii="Times New Roman"/>
                <w:b/>
                <w:sz w:val="20"/>
              </w:rPr>
            </w:pPr>
            <w:r>
              <w:rPr>
                <w:rFonts w:ascii="Times New Roman"/>
                <w:b/>
                <w:sz w:val="20"/>
              </w:rPr>
              <w:t>$10,625.76</w:t>
            </w:r>
          </w:p>
        </w:tc>
        <w:tc>
          <w:tcPr>
            <w:tcW w:w="1085" w:type="dxa"/>
            <w:tcBorders>
              <w:top w:val="single" w:sz="4" w:space="0" w:color="000000"/>
              <w:left w:val="single" w:sz="4" w:space="0" w:color="000000"/>
              <w:bottom w:val="single" w:sz="4" w:space="0" w:color="000000"/>
              <w:right w:val="single" w:sz="4" w:space="0" w:color="000000"/>
            </w:tcBorders>
          </w:tcPr>
          <w:p w14:paraId="32686B7D" w14:textId="33B4B236"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3,080</w:t>
            </w:r>
          </w:p>
        </w:tc>
      </w:tr>
    </w:tbl>
    <w:p w14:paraId="0C738DC0" w14:textId="77777777" w:rsidR="007D1E3C" w:rsidRDefault="007D1E3C" w:rsidP="007D1E3C">
      <w:pPr>
        <w:pStyle w:val="BodyText"/>
        <w:ind w:left="450" w:right="130"/>
      </w:pPr>
    </w:p>
    <w:p w14:paraId="5FDB98DD" w14:textId="71E8368F" w:rsidR="00861DAC" w:rsidRDefault="0089194B" w:rsidP="00EA45C8">
      <w:pPr>
        <w:pStyle w:val="Heading2"/>
        <w:numPr>
          <w:ilvl w:val="0"/>
          <w:numId w:val="6"/>
        </w:numPr>
        <w:ind w:left="810" w:right="180"/>
        <w:rPr>
          <w:rFonts w:eastAsia="Times New Roman" w:cs="Times New Roman"/>
          <w:szCs w:val="20"/>
        </w:rPr>
      </w:pPr>
      <w:bookmarkStart w:id="14" w:name="Notice_of_Rebate_and_disbursement_of_reb"/>
      <w:bookmarkStart w:id="15" w:name="Estimates_of_other_Total_Annual_Cost_Bur"/>
      <w:bookmarkEnd w:id="14"/>
      <w:bookmarkEnd w:id="15"/>
      <w:r>
        <w:t>Estimates</w:t>
      </w:r>
      <w:r>
        <w:rPr>
          <w:spacing w:val="-8"/>
        </w:rPr>
        <w:t xml:space="preserve"> </w:t>
      </w:r>
      <w:r>
        <w:t>of</w:t>
      </w:r>
      <w:r>
        <w:rPr>
          <w:spacing w:val="-7"/>
        </w:rPr>
        <w:t xml:space="preserve"> </w:t>
      </w:r>
      <w:r>
        <w:t>other</w:t>
      </w:r>
      <w:r>
        <w:rPr>
          <w:spacing w:val="-7"/>
        </w:rPr>
        <w:t xml:space="preserve"> </w:t>
      </w:r>
      <w:r>
        <w:t>Total</w:t>
      </w:r>
      <w:r>
        <w:rPr>
          <w:spacing w:val="-7"/>
        </w:rPr>
        <w:t xml:space="preserve"> </w:t>
      </w:r>
      <w:r>
        <w:t>Annual</w:t>
      </w:r>
      <w:r>
        <w:rPr>
          <w:spacing w:val="-7"/>
        </w:rPr>
        <w:t xml:space="preserve"> </w:t>
      </w:r>
      <w:r>
        <w:t>Cost</w:t>
      </w:r>
      <w:r>
        <w:rPr>
          <w:spacing w:val="-7"/>
        </w:rPr>
        <w:t xml:space="preserve"> </w:t>
      </w:r>
      <w:r>
        <w:t>Burden</w:t>
      </w:r>
      <w:r>
        <w:rPr>
          <w:spacing w:val="-7"/>
        </w:rPr>
        <w:t xml:space="preserve"> </w:t>
      </w:r>
      <w:r>
        <w:t>to</w:t>
      </w:r>
      <w:r>
        <w:rPr>
          <w:spacing w:val="-7"/>
        </w:rPr>
        <w:t xml:space="preserve"> </w:t>
      </w:r>
      <w:r>
        <w:t>Respondents</w:t>
      </w:r>
      <w:r>
        <w:rPr>
          <w:spacing w:val="-8"/>
        </w:rPr>
        <w:t xml:space="preserve"> </w:t>
      </w:r>
      <w:r>
        <w:t>or</w:t>
      </w:r>
      <w:r>
        <w:rPr>
          <w:spacing w:val="-7"/>
        </w:rPr>
        <w:t xml:space="preserve"> </w:t>
      </w:r>
      <w:r>
        <w:t>Record</w:t>
      </w:r>
      <w:r>
        <w:rPr>
          <w:spacing w:val="-8"/>
        </w:rPr>
        <w:t xml:space="preserve"> </w:t>
      </w:r>
      <w:r>
        <w:t>Keepers/Capital</w:t>
      </w:r>
      <w:r>
        <w:rPr>
          <w:spacing w:val="-7"/>
        </w:rPr>
        <w:t xml:space="preserve"> </w:t>
      </w:r>
      <w:r>
        <w:t>Costs</w:t>
      </w:r>
    </w:p>
    <w:p w14:paraId="0684312D" w14:textId="77777777" w:rsidR="00861DAC" w:rsidRDefault="00861DAC" w:rsidP="00EA45C8">
      <w:pPr>
        <w:spacing w:before="11"/>
        <w:ind w:left="450" w:right="180"/>
        <w:rPr>
          <w:rFonts w:ascii="Times New Roman" w:eastAsia="Times New Roman" w:hAnsi="Times New Roman" w:cs="Times New Roman"/>
          <w:b/>
          <w:bCs/>
          <w:sz w:val="23"/>
          <w:szCs w:val="23"/>
        </w:rPr>
      </w:pPr>
    </w:p>
    <w:p w14:paraId="28E44683" w14:textId="503D2487" w:rsidR="002867A2" w:rsidRDefault="00AE37C4" w:rsidP="00EA45C8">
      <w:pPr>
        <w:pStyle w:val="BodyText"/>
        <w:ind w:left="450" w:right="180"/>
      </w:pPr>
      <w:r w:rsidRPr="00AE37C4">
        <w:t xml:space="preserve">The </w:t>
      </w:r>
      <w:r>
        <w:t>adjustment request</w:t>
      </w:r>
      <w:r w:rsidRPr="00AE37C4">
        <w:t xml:space="preserve"> process does not explicitly require the State to retain supporting documentation; however, we expect that the State would do so.  We estimate that the retention of these documents would fall under normal State record retention practices and therefore would have a marginal annual cost to each respon</w:t>
      </w:r>
      <w:r>
        <w:t xml:space="preserve">dent.  This is included in the </w:t>
      </w:r>
      <w:r w:rsidRPr="00AE37C4">
        <w:t>burden estimate.</w:t>
      </w:r>
    </w:p>
    <w:p w14:paraId="5C322B1C" w14:textId="77777777" w:rsidR="002867A2" w:rsidRDefault="002867A2" w:rsidP="00E668C2">
      <w:pPr>
        <w:pStyle w:val="BodyText"/>
        <w:spacing w:after="1560"/>
        <w:ind w:left="446" w:right="187"/>
      </w:pPr>
    </w:p>
    <w:p w14:paraId="5C153356" w14:textId="3174409A" w:rsidR="00861DAC" w:rsidRDefault="0089194B" w:rsidP="00EA45C8">
      <w:pPr>
        <w:pStyle w:val="Heading2"/>
        <w:numPr>
          <w:ilvl w:val="0"/>
          <w:numId w:val="6"/>
        </w:numPr>
        <w:ind w:left="810"/>
        <w:rPr>
          <w:rFonts w:eastAsia="Times New Roman" w:cs="Times New Roman"/>
          <w:szCs w:val="20"/>
        </w:rPr>
      </w:pPr>
      <w:bookmarkStart w:id="16" w:name="Annualized_Cost_to_Federal_Government"/>
      <w:bookmarkEnd w:id="16"/>
      <w:r>
        <w:t>Annualized Cost to Federal</w:t>
      </w:r>
      <w:r>
        <w:rPr>
          <w:spacing w:val="-16"/>
        </w:rPr>
        <w:t xml:space="preserve"> </w:t>
      </w:r>
      <w:r>
        <w:t>Government</w:t>
      </w:r>
    </w:p>
    <w:p w14:paraId="345F5CCF" w14:textId="77777777" w:rsidR="00861DAC" w:rsidRDefault="00861DAC">
      <w:pPr>
        <w:spacing w:before="11"/>
        <w:rPr>
          <w:rFonts w:ascii="Times New Roman" w:eastAsia="Times New Roman" w:hAnsi="Times New Roman" w:cs="Times New Roman"/>
          <w:b/>
          <w:bCs/>
          <w:sz w:val="23"/>
          <w:szCs w:val="23"/>
        </w:rPr>
      </w:pPr>
    </w:p>
    <w:p w14:paraId="4978409F" w14:textId="7F7FA9D4" w:rsidR="00861DAC" w:rsidRDefault="0089194B" w:rsidP="00EA45C8">
      <w:pPr>
        <w:pStyle w:val="Heading1"/>
        <w:ind w:left="450" w:right="740"/>
        <w:rPr>
          <w:b w:val="0"/>
          <w:bCs w:val="0"/>
        </w:rPr>
      </w:pPr>
      <w:r>
        <w:t xml:space="preserve">Table </w:t>
      </w:r>
      <w:r w:rsidR="007D1E3C">
        <w:t>2</w:t>
      </w:r>
      <w:r>
        <w:t>: Estimate of Cost to Federal</w:t>
      </w:r>
      <w:r>
        <w:rPr>
          <w:spacing w:val="-11"/>
        </w:rPr>
        <w:t xml:space="preserve"> </w:t>
      </w:r>
      <w:r>
        <w:t>Government</w:t>
      </w:r>
    </w:p>
    <w:p w14:paraId="04B1CB1C" w14:textId="77777777" w:rsidR="002867A2" w:rsidRDefault="002867A2" w:rsidP="002867A2">
      <w:pPr>
        <w:pStyle w:val="TableParagraph"/>
        <w:spacing w:line="223" w:lineRule="exact"/>
        <w:ind w:left="103"/>
        <w:rPr>
          <w:rFonts w:ascii="Times New Roman"/>
          <w:sz w:val="20"/>
        </w:rPr>
        <w:sectPr w:rsidR="002867A2" w:rsidSect="00E668C2">
          <w:headerReference w:type="even" r:id="rId10"/>
          <w:headerReference w:type="default" r:id="rId11"/>
          <w:footerReference w:type="even" r:id="rId12"/>
          <w:footerReference w:type="default" r:id="rId13"/>
          <w:headerReference w:type="first" r:id="rId14"/>
          <w:footerReference w:type="first" r:id="rId15"/>
          <w:pgSz w:w="12240" w:h="15840"/>
          <w:pgMar w:top="1380" w:right="900" w:bottom="1440" w:left="900" w:header="0" w:footer="717" w:gutter="0"/>
          <w:cols w:space="720"/>
        </w:sectPr>
      </w:pPr>
    </w:p>
    <w:p w14:paraId="5C5C07D8" w14:textId="77777777" w:rsidR="002867A2" w:rsidRDefault="002867A2">
      <w:pPr>
        <w:pStyle w:val="TableParagraph"/>
        <w:spacing w:line="223" w:lineRule="exact"/>
        <w:ind w:left="103"/>
        <w:rPr>
          <w:rFonts w:ascii="Times New Roman"/>
          <w:sz w:val="20"/>
        </w:rPr>
        <w:sectPr w:rsidR="002867A2" w:rsidSect="002867A2">
          <w:type w:val="continuous"/>
          <w:pgSz w:w="12240" w:h="15840"/>
          <w:pgMar w:top="1380" w:right="420" w:bottom="1440" w:left="420" w:header="0" w:footer="717" w:gutter="0"/>
          <w:cols w:space="720"/>
        </w:sectPr>
      </w:pPr>
    </w:p>
    <w:tbl>
      <w:tblPr>
        <w:tblW w:w="9810" w:type="dxa"/>
        <w:tblInd w:w="175" w:type="dxa"/>
        <w:tblLayout w:type="fixed"/>
        <w:tblCellMar>
          <w:left w:w="0" w:type="dxa"/>
          <w:right w:w="0" w:type="dxa"/>
        </w:tblCellMar>
        <w:tblLook w:val="01E0" w:firstRow="1" w:lastRow="1" w:firstColumn="1" w:lastColumn="1" w:noHBand="0" w:noVBand="0"/>
      </w:tblPr>
      <w:tblGrid>
        <w:gridCol w:w="1824"/>
        <w:gridCol w:w="3126"/>
        <w:gridCol w:w="1170"/>
        <w:gridCol w:w="1980"/>
        <w:gridCol w:w="1710"/>
      </w:tblGrid>
      <w:tr w:rsidR="0031574C" w14:paraId="3243F022" w14:textId="77777777" w:rsidTr="007E7776">
        <w:trPr>
          <w:trHeight w:hRule="exact" w:val="746"/>
          <w:tblHeader/>
        </w:trPr>
        <w:tc>
          <w:tcPr>
            <w:tcW w:w="1824" w:type="dxa"/>
            <w:tcBorders>
              <w:top w:val="single" w:sz="4" w:space="0" w:color="000000"/>
              <w:left w:val="single" w:sz="4" w:space="0" w:color="000000"/>
              <w:bottom w:val="single" w:sz="4" w:space="0" w:color="000000"/>
              <w:right w:val="single" w:sz="4" w:space="0" w:color="000000"/>
            </w:tcBorders>
          </w:tcPr>
          <w:p w14:paraId="1B26DAE6" w14:textId="77777777" w:rsidR="0031574C" w:rsidRDefault="0031574C" w:rsidP="00D47EBA">
            <w:pPr>
              <w:pStyle w:val="TableParagraph"/>
              <w:ind w:left="103" w:right="116"/>
              <w:rPr>
                <w:rFonts w:ascii="Times New Roman" w:eastAsia="Times New Roman" w:hAnsi="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Federal</w:t>
            </w:r>
            <w:r>
              <w:rPr>
                <w:rFonts w:ascii="Times New Roman"/>
                <w:b/>
                <w:w w:val="99"/>
                <w:sz w:val="20"/>
              </w:rPr>
              <w:t xml:space="preserve"> </w:t>
            </w:r>
            <w:r>
              <w:rPr>
                <w:rFonts w:ascii="Times New Roman"/>
                <w:b/>
                <w:sz w:val="20"/>
              </w:rPr>
              <w:t>Employee</w:t>
            </w:r>
            <w:r>
              <w:rPr>
                <w:rFonts w:ascii="Times New Roman"/>
                <w:b/>
                <w:spacing w:val="-9"/>
                <w:sz w:val="20"/>
              </w:rPr>
              <w:t xml:space="preserve"> </w:t>
            </w:r>
            <w:r>
              <w:rPr>
                <w:rFonts w:ascii="Times New Roman"/>
                <w:b/>
                <w:sz w:val="20"/>
              </w:rPr>
              <w:t>Support</w:t>
            </w:r>
          </w:p>
        </w:tc>
        <w:tc>
          <w:tcPr>
            <w:tcW w:w="3126" w:type="dxa"/>
            <w:tcBorders>
              <w:top w:val="single" w:sz="4" w:space="0" w:color="000000"/>
              <w:left w:val="single" w:sz="4" w:space="0" w:color="000000"/>
              <w:bottom w:val="single" w:sz="4" w:space="0" w:color="000000"/>
              <w:right w:val="single" w:sz="4" w:space="0" w:color="000000"/>
            </w:tcBorders>
          </w:tcPr>
          <w:p w14:paraId="3CA85E3B" w14:textId="77777777" w:rsidR="0031574C" w:rsidRDefault="0031574C" w:rsidP="007E7776">
            <w:pPr>
              <w:pStyle w:val="TableParagraph"/>
              <w:ind w:left="103" w:right="92"/>
              <w:rPr>
                <w:rFonts w:ascii="Times New Roman" w:eastAsia="Times New Roman" w:hAnsi="Times New Roman" w:cs="Times New Roman"/>
                <w:sz w:val="20"/>
                <w:szCs w:val="20"/>
              </w:rPr>
            </w:pPr>
            <w:r>
              <w:rPr>
                <w:rFonts w:ascii="Times New Roman"/>
                <w:b/>
                <w:sz w:val="20"/>
              </w:rPr>
              <w:t>Total Burden</w:t>
            </w:r>
            <w:r>
              <w:rPr>
                <w:rFonts w:ascii="Times New Roman"/>
                <w:b/>
                <w:spacing w:val="-6"/>
                <w:sz w:val="20"/>
              </w:rPr>
              <w:t xml:space="preserve"> </w:t>
            </w:r>
            <w:r>
              <w:rPr>
                <w:rFonts w:ascii="Times New Roman"/>
                <w:b/>
                <w:sz w:val="20"/>
              </w:rPr>
              <w:t>Hours</w:t>
            </w:r>
            <w:r>
              <w:rPr>
                <w:rFonts w:ascii="Times New Roman"/>
                <w:b/>
                <w:spacing w:val="-1"/>
                <w:sz w:val="20"/>
              </w:rPr>
              <w:t xml:space="preserve"> </w:t>
            </w:r>
            <w:r>
              <w:rPr>
                <w:rFonts w:ascii="Times New Roman"/>
                <w:b/>
                <w:sz w:val="20"/>
              </w:rPr>
              <w:t>per</w:t>
            </w:r>
            <w:r>
              <w:rPr>
                <w:rFonts w:ascii="Times New Roman"/>
                <w:b/>
                <w:spacing w:val="-4"/>
                <w:sz w:val="20"/>
              </w:rPr>
              <w:t xml:space="preserve"> </w:t>
            </w:r>
            <w:r>
              <w:rPr>
                <w:rFonts w:ascii="Times New Roman"/>
                <w:b/>
                <w:sz w:val="20"/>
              </w:rPr>
              <w:t>Reviewer</w:t>
            </w:r>
          </w:p>
        </w:tc>
        <w:tc>
          <w:tcPr>
            <w:tcW w:w="1170" w:type="dxa"/>
            <w:tcBorders>
              <w:top w:val="single" w:sz="4" w:space="0" w:color="000000"/>
              <w:left w:val="single" w:sz="4" w:space="0" w:color="000000"/>
              <w:bottom w:val="single" w:sz="4" w:space="0" w:color="000000"/>
              <w:right w:val="single" w:sz="4" w:space="0" w:color="000000"/>
            </w:tcBorders>
          </w:tcPr>
          <w:p w14:paraId="2233CB83" w14:textId="77777777" w:rsidR="0031574C" w:rsidRDefault="0031574C" w:rsidP="00D47EBA">
            <w:pPr>
              <w:pStyle w:val="TableParagraph"/>
              <w:ind w:left="103" w:right="99"/>
              <w:rPr>
                <w:rFonts w:ascii="Times New Roman" w:eastAsia="Times New Roman" w:hAnsi="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Reviewers</w:t>
            </w:r>
          </w:p>
        </w:tc>
        <w:tc>
          <w:tcPr>
            <w:tcW w:w="1980" w:type="dxa"/>
            <w:tcBorders>
              <w:top w:val="single" w:sz="4" w:space="0" w:color="000000"/>
              <w:left w:val="single" w:sz="4" w:space="0" w:color="000000"/>
              <w:bottom w:val="single" w:sz="4" w:space="0" w:color="000000"/>
              <w:right w:val="single" w:sz="4" w:space="0" w:color="000000"/>
            </w:tcBorders>
          </w:tcPr>
          <w:p w14:paraId="38131E68" w14:textId="77777777" w:rsidR="0031574C" w:rsidRDefault="0031574C" w:rsidP="007E7776">
            <w:pPr>
              <w:pStyle w:val="TableParagraph"/>
              <w:ind w:left="103" w:right="11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Hourly Wage Rate (GS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14</w:t>
            </w:r>
            <w:r>
              <w:rPr>
                <w:rFonts w:ascii="Times New Roman" w:eastAsia="Times New Roman" w:hAnsi="Times New Roman" w:cs="Times New Roman"/>
                <w:b/>
                <w:bCs/>
                <w:spacing w:val="1"/>
                <w:w w:val="99"/>
                <w:sz w:val="20"/>
                <w:szCs w:val="20"/>
              </w:rPr>
              <w:t xml:space="preserve"> </w:t>
            </w:r>
            <w:r>
              <w:rPr>
                <w:rFonts w:ascii="Times New Roman" w:eastAsia="Times New Roman" w:hAnsi="Times New Roman" w:cs="Times New Roman"/>
                <w:b/>
                <w:bCs/>
                <w:sz w:val="20"/>
                <w:szCs w:val="20"/>
              </w:rPr>
              <w:t>equivalent) –</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(includes</w:t>
            </w:r>
            <w:r>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z w:val="20"/>
                <w:szCs w:val="20"/>
              </w:rPr>
              <w:t>fringe)</w:t>
            </w:r>
          </w:p>
        </w:tc>
        <w:tc>
          <w:tcPr>
            <w:tcW w:w="1710" w:type="dxa"/>
            <w:tcBorders>
              <w:top w:val="single" w:sz="4" w:space="0" w:color="000000"/>
              <w:left w:val="single" w:sz="4" w:space="0" w:color="000000"/>
              <w:bottom w:val="single" w:sz="4" w:space="0" w:color="000000"/>
              <w:right w:val="single" w:sz="4" w:space="0" w:color="000000"/>
            </w:tcBorders>
          </w:tcPr>
          <w:p w14:paraId="50825000" w14:textId="77777777" w:rsidR="0031574C" w:rsidRDefault="0031574C" w:rsidP="007E7776">
            <w:pPr>
              <w:pStyle w:val="TableParagraph"/>
              <w:ind w:left="100" w:right="139"/>
              <w:rPr>
                <w:rFonts w:ascii="Times New Roman" w:eastAsia="Times New Roman" w:hAnsi="Times New Roman" w:cs="Times New Roman"/>
                <w:sz w:val="20"/>
                <w:szCs w:val="20"/>
              </w:rPr>
            </w:pPr>
            <w:r>
              <w:rPr>
                <w:rFonts w:ascii="Times New Roman"/>
                <w:b/>
                <w:sz w:val="20"/>
              </w:rPr>
              <w:t>Total</w:t>
            </w:r>
            <w:r>
              <w:rPr>
                <w:rFonts w:ascii="Times New Roman"/>
                <w:b/>
                <w:spacing w:val="-3"/>
                <w:sz w:val="20"/>
              </w:rPr>
              <w:t xml:space="preserve"> </w:t>
            </w:r>
            <w:r>
              <w:rPr>
                <w:rFonts w:ascii="Times New Roman"/>
                <w:b/>
                <w:sz w:val="20"/>
              </w:rPr>
              <w:t>Federal</w:t>
            </w:r>
            <w:r>
              <w:rPr>
                <w:rFonts w:ascii="Times New Roman"/>
                <w:b/>
                <w:w w:val="99"/>
                <w:sz w:val="20"/>
              </w:rPr>
              <w:t xml:space="preserve"> </w:t>
            </w:r>
            <w:r>
              <w:rPr>
                <w:rFonts w:ascii="Times New Roman"/>
                <w:b/>
                <w:sz w:val="20"/>
              </w:rPr>
              <w:t>Government</w:t>
            </w:r>
            <w:r>
              <w:rPr>
                <w:rFonts w:ascii="Times New Roman"/>
                <w:b/>
                <w:w w:val="99"/>
                <w:sz w:val="20"/>
              </w:rPr>
              <w:t xml:space="preserve"> </w:t>
            </w:r>
            <w:r>
              <w:rPr>
                <w:rFonts w:ascii="Times New Roman"/>
                <w:b/>
                <w:sz w:val="20"/>
              </w:rPr>
              <w:t>Costs</w:t>
            </w:r>
          </w:p>
        </w:tc>
      </w:tr>
      <w:tr w:rsidR="0031574C" w14:paraId="7941EB7E" w14:textId="77777777" w:rsidTr="007D1E3C">
        <w:trPr>
          <w:trHeight w:hRule="exact" w:val="1159"/>
        </w:trPr>
        <w:tc>
          <w:tcPr>
            <w:tcW w:w="1824" w:type="dxa"/>
            <w:tcBorders>
              <w:top w:val="single" w:sz="4" w:space="0" w:color="000000"/>
              <w:left w:val="single" w:sz="4" w:space="0" w:color="000000"/>
              <w:bottom w:val="single" w:sz="4" w:space="0" w:color="000000"/>
              <w:right w:val="single" w:sz="4" w:space="0" w:color="000000"/>
            </w:tcBorders>
          </w:tcPr>
          <w:p w14:paraId="736023E9" w14:textId="77250988" w:rsidR="0031574C" w:rsidRDefault="007D1E3C" w:rsidP="007D1E3C">
            <w:pPr>
              <w:pStyle w:val="TableParagraph"/>
              <w:spacing w:line="223" w:lineRule="exact"/>
              <w:ind w:left="103" w:right="114"/>
              <w:rPr>
                <w:rFonts w:ascii="Times New Roman" w:eastAsia="Times New Roman" w:hAnsi="Times New Roman" w:cs="Times New Roman"/>
                <w:sz w:val="20"/>
                <w:szCs w:val="20"/>
              </w:rPr>
            </w:pPr>
            <w:r>
              <w:rPr>
                <w:rFonts w:ascii="Times New Roman"/>
                <w:sz w:val="20"/>
              </w:rPr>
              <w:t xml:space="preserve">Review and analysis of </w:t>
            </w:r>
            <w:r w:rsidR="00580519">
              <w:rPr>
                <w:rFonts w:ascii="Times New Roman"/>
                <w:sz w:val="20"/>
              </w:rPr>
              <w:t xml:space="preserve">State </w:t>
            </w:r>
            <w:r>
              <w:rPr>
                <w:rFonts w:ascii="Times New Roman"/>
                <w:sz w:val="20"/>
              </w:rPr>
              <w:t xml:space="preserve">request for </w:t>
            </w:r>
            <w:r w:rsidR="00580519">
              <w:rPr>
                <w:rFonts w:ascii="Times New Roman"/>
                <w:sz w:val="20"/>
              </w:rPr>
              <w:t xml:space="preserve">adjustment </w:t>
            </w:r>
            <w:r>
              <w:rPr>
                <w:rFonts w:ascii="Times New Roman"/>
                <w:sz w:val="20"/>
              </w:rPr>
              <w:t>to MLR standard</w:t>
            </w:r>
          </w:p>
        </w:tc>
        <w:tc>
          <w:tcPr>
            <w:tcW w:w="3126" w:type="dxa"/>
            <w:tcBorders>
              <w:top w:val="single" w:sz="4" w:space="0" w:color="000000"/>
              <w:left w:val="single" w:sz="4" w:space="0" w:color="000000"/>
              <w:bottom w:val="single" w:sz="4" w:space="0" w:color="000000"/>
              <w:right w:val="single" w:sz="4" w:space="0" w:color="000000"/>
            </w:tcBorders>
          </w:tcPr>
          <w:p w14:paraId="4A4EA07F" w14:textId="2DF121AA" w:rsidR="0031574C" w:rsidRDefault="00AE37C4" w:rsidP="00AE37C4">
            <w:pPr>
              <w:pStyle w:val="TableParagraph"/>
              <w:spacing w:line="237" w:lineRule="auto"/>
              <w:ind w:left="103" w:right="92"/>
              <w:rPr>
                <w:rFonts w:ascii="Times New Roman" w:eastAsia="Times New Roman" w:hAnsi="Times New Roman" w:cs="Times New Roman"/>
                <w:sz w:val="13"/>
                <w:szCs w:val="13"/>
              </w:rPr>
            </w:pPr>
            <w:r>
              <w:rPr>
                <w:rFonts w:ascii="Times New Roman" w:eastAsia="Times New Roman" w:hAnsi="Times New Roman" w:cs="Times New Roman"/>
                <w:sz w:val="20"/>
                <w:szCs w:val="20"/>
              </w:rPr>
              <w:t>24</w:t>
            </w:r>
            <w:r w:rsidR="0031574C">
              <w:rPr>
                <w:rFonts w:ascii="Times New Roman" w:eastAsia="Times New Roman" w:hAnsi="Times New Roman" w:cs="Times New Roman"/>
                <w:sz w:val="20"/>
                <w:szCs w:val="20"/>
              </w:rPr>
              <w:t xml:space="preserve"> hours per </w:t>
            </w:r>
            <w:r w:rsidR="00580519">
              <w:rPr>
                <w:rFonts w:ascii="Times New Roman" w:eastAsia="Times New Roman" w:hAnsi="Times New Roman" w:cs="Times New Roman"/>
                <w:sz w:val="20"/>
                <w:szCs w:val="20"/>
              </w:rPr>
              <w:t>State request</w:t>
            </w:r>
            <w:r w:rsidR="0031574C">
              <w:rPr>
                <w:rFonts w:ascii="Times New Roman" w:eastAsia="Times New Roman" w:hAnsi="Times New Roman" w:cs="Times New Roman"/>
                <w:sz w:val="20"/>
                <w:szCs w:val="20"/>
              </w:rPr>
              <w:t xml:space="preserve"> (</w:t>
            </w:r>
            <w:r w:rsidR="00580519">
              <w:rPr>
                <w:rFonts w:ascii="Times New Roman" w:eastAsia="Times New Roman" w:hAnsi="Times New Roman" w:cs="Times New Roman"/>
                <w:sz w:val="20"/>
                <w:szCs w:val="20"/>
              </w:rPr>
              <w:t>22 requests</w:t>
            </w:r>
            <w:r w:rsidR="0031574C">
              <w:rPr>
                <w:rFonts w:ascii="Times New Roman" w:eastAsia="Times New Roman" w:hAnsi="Times New Roman" w:cs="Times New Roman"/>
                <w:sz w:val="20"/>
                <w:szCs w:val="20"/>
              </w:rPr>
              <w:t xml:space="preserve"> –</w:t>
            </w:r>
            <w:r w:rsidR="0031574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528</w:t>
            </w:r>
            <w:r w:rsidR="0031574C">
              <w:rPr>
                <w:rFonts w:ascii="Times New Roman" w:eastAsia="Times New Roman" w:hAnsi="Times New Roman" w:cs="Times New Roman"/>
                <w:spacing w:val="5"/>
                <w:sz w:val="20"/>
                <w:szCs w:val="20"/>
              </w:rPr>
              <w:t xml:space="preserve"> </w:t>
            </w:r>
            <w:r w:rsidR="0031574C">
              <w:rPr>
                <w:rFonts w:ascii="Times New Roman" w:eastAsia="Times New Roman" w:hAnsi="Times New Roman" w:cs="Times New Roman"/>
                <w:sz w:val="20"/>
                <w:szCs w:val="20"/>
              </w:rPr>
              <w:t>hours)</w:t>
            </w:r>
          </w:p>
        </w:tc>
        <w:tc>
          <w:tcPr>
            <w:tcW w:w="1170" w:type="dxa"/>
            <w:tcBorders>
              <w:top w:val="single" w:sz="4" w:space="0" w:color="000000"/>
              <w:left w:val="single" w:sz="4" w:space="0" w:color="000000"/>
              <w:bottom w:val="single" w:sz="4" w:space="0" w:color="000000"/>
              <w:right w:val="single" w:sz="4" w:space="0" w:color="000000"/>
            </w:tcBorders>
          </w:tcPr>
          <w:p w14:paraId="457015E8" w14:textId="77777777" w:rsidR="0031574C" w:rsidRDefault="0031574C" w:rsidP="00D47EBA">
            <w:pPr>
              <w:pStyle w:val="TableParagraph"/>
              <w:spacing w:line="223" w:lineRule="exact"/>
              <w:ind w:right="102"/>
              <w:jc w:val="right"/>
              <w:rPr>
                <w:rFonts w:ascii="Times New Roman" w:eastAsia="Times New Roman" w:hAnsi="Times New Roman" w:cs="Times New Roman"/>
                <w:sz w:val="20"/>
                <w:szCs w:val="20"/>
              </w:rPr>
            </w:pPr>
            <w:r>
              <w:rPr>
                <w:rFonts w:ascii="Times New Roman"/>
                <w:w w:val="99"/>
                <w:sz w:val="20"/>
              </w:rPr>
              <w:t>1</w:t>
            </w:r>
          </w:p>
        </w:tc>
        <w:tc>
          <w:tcPr>
            <w:tcW w:w="1980" w:type="dxa"/>
            <w:tcBorders>
              <w:top w:val="single" w:sz="4" w:space="0" w:color="000000"/>
              <w:left w:val="single" w:sz="4" w:space="0" w:color="000000"/>
              <w:bottom w:val="single" w:sz="4" w:space="0" w:color="000000"/>
              <w:right w:val="single" w:sz="4" w:space="0" w:color="000000"/>
            </w:tcBorders>
          </w:tcPr>
          <w:p w14:paraId="78054317" w14:textId="325F1F11" w:rsidR="0031574C" w:rsidRDefault="0031574C" w:rsidP="007E7776">
            <w:pPr>
              <w:pStyle w:val="TableParagraph"/>
              <w:spacing w:line="223" w:lineRule="exact"/>
              <w:ind w:right="102"/>
              <w:jc w:val="right"/>
              <w:rPr>
                <w:rFonts w:ascii="Times New Roman" w:eastAsia="Times New Roman" w:hAnsi="Times New Roman" w:cs="Times New Roman"/>
                <w:sz w:val="20"/>
                <w:szCs w:val="20"/>
              </w:rPr>
            </w:pPr>
            <w:r>
              <w:rPr>
                <w:rFonts w:ascii="Times New Roman"/>
                <w:w w:val="95"/>
                <w:sz w:val="20"/>
              </w:rPr>
              <w:t>$7</w:t>
            </w:r>
            <w:r w:rsidR="007E7776">
              <w:rPr>
                <w:rFonts w:ascii="Times New Roman"/>
                <w:w w:val="95"/>
                <w:sz w:val="20"/>
              </w:rPr>
              <w:t>3</w:t>
            </w:r>
            <w:r>
              <w:rPr>
                <w:rFonts w:ascii="Times New Roman"/>
                <w:w w:val="95"/>
                <w:sz w:val="20"/>
              </w:rPr>
              <w:t>.</w:t>
            </w:r>
            <w:r w:rsidR="007E7776">
              <w:rPr>
                <w:rFonts w:ascii="Times New Roman"/>
                <w:w w:val="95"/>
                <w:sz w:val="20"/>
              </w:rPr>
              <w:t>00</w:t>
            </w:r>
          </w:p>
        </w:tc>
        <w:tc>
          <w:tcPr>
            <w:tcW w:w="1710" w:type="dxa"/>
            <w:tcBorders>
              <w:top w:val="single" w:sz="4" w:space="0" w:color="000000"/>
              <w:left w:val="single" w:sz="4" w:space="0" w:color="000000"/>
              <w:bottom w:val="single" w:sz="4" w:space="0" w:color="000000"/>
              <w:right w:val="single" w:sz="4" w:space="0" w:color="000000"/>
            </w:tcBorders>
          </w:tcPr>
          <w:p w14:paraId="7CEBB313" w14:textId="5F6CF47A" w:rsidR="0031574C" w:rsidRDefault="0031574C" w:rsidP="00AE37C4">
            <w:pPr>
              <w:pStyle w:val="TableParagraph"/>
              <w:spacing w:line="223" w:lineRule="exact"/>
              <w:ind w:right="90"/>
              <w:jc w:val="right"/>
              <w:rPr>
                <w:rFonts w:ascii="Times New Roman" w:eastAsia="Times New Roman" w:hAnsi="Times New Roman" w:cs="Times New Roman"/>
                <w:sz w:val="20"/>
                <w:szCs w:val="20"/>
              </w:rPr>
            </w:pPr>
            <w:r>
              <w:rPr>
                <w:rFonts w:ascii="Times New Roman"/>
                <w:sz w:val="20"/>
              </w:rPr>
              <w:t>$</w:t>
            </w:r>
            <w:r w:rsidR="00AE37C4">
              <w:rPr>
                <w:rFonts w:ascii="Times New Roman"/>
                <w:sz w:val="20"/>
              </w:rPr>
              <w:t>38</w:t>
            </w:r>
            <w:r>
              <w:rPr>
                <w:rFonts w:ascii="Times New Roman"/>
                <w:sz w:val="20"/>
              </w:rPr>
              <w:t>,</w:t>
            </w:r>
            <w:r w:rsidR="00AE37C4">
              <w:rPr>
                <w:rFonts w:ascii="Times New Roman"/>
                <w:sz w:val="20"/>
              </w:rPr>
              <w:t>544</w:t>
            </w:r>
          </w:p>
        </w:tc>
      </w:tr>
    </w:tbl>
    <w:p w14:paraId="54A817CC" w14:textId="77777777" w:rsidR="006B32A4" w:rsidRDefault="006B32A4" w:rsidP="007E7776">
      <w:pPr>
        <w:pStyle w:val="TableParagraph"/>
        <w:spacing w:line="223" w:lineRule="exact"/>
        <w:rPr>
          <w:rFonts w:ascii="Times New Roman"/>
          <w:sz w:val="20"/>
        </w:rPr>
        <w:sectPr w:rsidR="006B32A4" w:rsidSect="002867A2">
          <w:footnotePr>
            <w:numStart w:val="3"/>
          </w:footnotePr>
          <w:type w:val="continuous"/>
          <w:pgSz w:w="12240" w:h="15840"/>
          <w:pgMar w:top="1380" w:right="810" w:bottom="1440" w:left="990" w:header="0" w:footer="717" w:gutter="0"/>
          <w:cols w:space="720"/>
        </w:sectPr>
      </w:pPr>
    </w:p>
    <w:p w14:paraId="55FA4BA6" w14:textId="77777777" w:rsidR="00861DAC" w:rsidRDefault="0089194B" w:rsidP="00EA45C8">
      <w:pPr>
        <w:pStyle w:val="BodyText"/>
        <w:ind w:left="450" w:right="180"/>
      </w:pPr>
      <w:r>
        <w:t>Salaries are based on a 14 Grade/Step 1 in the Washington DC area and include</w:t>
      </w:r>
      <w:r>
        <w:rPr>
          <w:spacing w:val="-19"/>
        </w:rPr>
        <w:t xml:space="preserve"> </w:t>
      </w:r>
      <w:r>
        <w:t>benefits.</w:t>
      </w:r>
    </w:p>
    <w:p w14:paraId="7E35110B" w14:textId="77777777" w:rsidR="00861DAC" w:rsidRDefault="00861DAC" w:rsidP="00EA45C8">
      <w:pPr>
        <w:spacing w:before="6"/>
        <w:ind w:left="180" w:right="180"/>
        <w:rPr>
          <w:rFonts w:ascii="Times New Roman" w:eastAsia="Times New Roman" w:hAnsi="Times New Roman" w:cs="Times New Roman"/>
          <w:sz w:val="24"/>
          <w:szCs w:val="24"/>
        </w:rPr>
      </w:pPr>
    </w:p>
    <w:p w14:paraId="54DBC8DB" w14:textId="53DF1B0D" w:rsidR="00861DAC" w:rsidRDefault="0089194B" w:rsidP="00EA45C8">
      <w:pPr>
        <w:pStyle w:val="Heading2"/>
        <w:numPr>
          <w:ilvl w:val="0"/>
          <w:numId w:val="6"/>
        </w:numPr>
        <w:ind w:left="810" w:right="180"/>
        <w:rPr>
          <w:rFonts w:eastAsia="Times New Roman" w:cs="Times New Roman"/>
          <w:szCs w:val="20"/>
        </w:rPr>
      </w:pPr>
      <w:bookmarkStart w:id="17" w:name="Explanation_for_Program_Changes_or_Adjus"/>
      <w:bookmarkEnd w:id="17"/>
      <w:r>
        <w:t>Explanation for Program Changes or</w:t>
      </w:r>
      <w:r>
        <w:rPr>
          <w:spacing w:val="15"/>
        </w:rPr>
        <w:t xml:space="preserve"> </w:t>
      </w:r>
      <w:r>
        <w:t>Adjustments</w:t>
      </w:r>
    </w:p>
    <w:p w14:paraId="0EB56F20" w14:textId="77777777" w:rsidR="00861DAC" w:rsidRDefault="00861DAC" w:rsidP="00EA45C8">
      <w:pPr>
        <w:spacing w:before="6"/>
        <w:ind w:left="450" w:right="180"/>
        <w:rPr>
          <w:rFonts w:ascii="Times New Roman" w:eastAsia="Times New Roman" w:hAnsi="Times New Roman" w:cs="Times New Roman"/>
          <w:b/>
          <w:bCs/>
          <w:sz w:val="23"/>
          <w:szCs w:val="23"/>
        </w:rPr>
      </w:pPr>
    </w:p>
    <w:p w14:paraId="5D99C5D1" w14:textId="295BE24D" w:rsidR="0006596B" w:rsidRPr="007E7776" w:rsidRDefault="000E54FE" w:rsidP="005D0C78">
      <w:pPr>
        <w:pStyle w:val="BodyText"/>
        <w:ind w:left="450" w:right="180"/>
      </w:pPr>
      <w:r>
        <w:t>I</w:t>
      </w:r>
      <w:r w:rsidR="005D0C78">
        <w:t>n the HHS</w:t>
      </w:r>
      <w:r w:rsidR="005D0C78">
        <w:rPr>
          <w:spacing w:val="-24"/>
        </w:rPr>
        <w:t xml:space="preserve"> </w:t>
      </w:r>
      <w:r w:rsidR="005D0C78">
        <w:t xml:space="preserve">Notice of Benefit and Payment Parameters for 2019 </w:t>
      </w:r>
      <w:r w:rsidR="00030403">
        <w:t>final</w:t>
      </w:r>
      <w:r w:rsidR="005D0C78">
        <w:t xml:space="preserve"> rule, </w:t>
      </w:r>
      <w:r w:rsidR="00B06C3B">
        <w:t>HH</w:t>
      </w:r>
      <w:r w:rsidR="005D0C78">
        <w:t>S</w:t>
      </w:r>
      <w:r w:rsidR="005D0C78">
        <w:rPr>
          <w:spacing w:val="-15"/>
        </w:rPr>
        <w:t xml:space="preserve"> </w:t>
      </w:r>
      <w:r w:rsidR="00030403">
        <w:t>has</w:t>
      </w:r>
      <w:r w:rsidR="005D0C78">
        <w:t xml:space="preserve"> reduce</w:t>
      </w:r>
      <w:r w:rsidR="00030403">
        <w:t>d</w:t>
      </w:r>
      <w:r w:rsidR="005D0C78">
        <w:t xml:space="preserve"> the burden </w:t>
      </w:r>
      <w:r w:rsidR="002B5D9F">
        <w:t>on</w:t>
      </w:r>
      <w:r w:rsidR="005D0C78">
        <w:t xml:space="preserve"> respondents by eliminating collection of some data elements that were included in the previously approved ICR and streamlining the requirements for other data elements.  </w:t>
      </w:r>
      <w:r w:rsidR="0089194B" w:rsidRPr="007E7776">
        <w:rPr>
          <w:spacing w:val="-3"/>
        </w:rPr>
        <w:t xml:space="preserve">It </w:t>
      </w:r>
      <w:r w:rsidR="0089194B" w:rsidRPr="007E7776">
        <w:t>is estimated that there will be a net reduction in</w:t>
      </w:r>
      <w:r w:rsidR="0089194B" w:rsidRPr="007E7776">
        <w:rPr>
          <w:spacing w:val="-13"/>
        </w:rPr>
        <w:t xml:space="preserve"> </w:t>
      </w:r>
      <w:r w:rsidR="0089194B" w:rsidRPr="007E7776">
        <w:t xml:space="preserve">total burden from </w:t>
      </w:r>
      <w:r w:rsidR="002B5D9F">
        <w:t>3</w:t>
      </w:r>
      <w:r w:rsidR="008331EC" w:rsidRPr="007E7776">
        <w:t>,</w:t>
      </w:r>
      <w:r w:rsidR="002B5D9F">
        <w:t>700</w:t>
      </w:r>
      <w:r w:rsidR="0089194B" w:rsidRPr="007E7776">
        <w:t xml:space="preserve"> to</w:t>
      </w:r>
      <w:r w:rsidR="0089194B" w:rsidRPr="007E7776">
        <w:rPr>
          <w:spacing w:val="-2"/>
        </w:rPr>
        <w:t xml:space="preserve"> </w:t>
      </w:r>
      <w:r w:rsidR="002B5D9F">
        <w:rPr>
          <w:spacing w:val="-2"/>
        </w:rPr>
        <w:t>3</w:t>
      </w:r>
      <w:r w:rsidR="008331EC" w:rsidRPr="007E7776">
        <w:rPr>
          <w:spacing w:val="-2"/>
        </w:rPr>
        <w:t>,</w:t>
      </w:r>
      <w:r w:rsidR="002B5D9F">
        <w:rPr>
          <w:spacing w:val="-2"/>
        </w:rPr>
        <w:t>080</w:t>
      </w:r>
      <w:r w:rsidR="0089194B" w:rsidRPr="007E7776">
        <w:t>.</w:t>
      </w:r>
    </w:p>
    <w:p w14:paraId="09346C53" w14:textId="77777777" w:rsidR="00F07C19" w:rsidRDefault="00F07C19" w:rsidP="005D0C78">
      <w:pPr>
        <w:pStyle w:val="BodyText"/>
        <w:ind w:left="450" w:right="180"/>
      </w:pPr>
    </w:p>
    <w:p w14:paraId="767FC9B9" w14:textId="77777777" w:rsidR="0006596B" w:rsidRDefault="0006596B" w:rsidP="00EA45C8">
      <w:pPr>
        <w:pStyle w:val="Heading2"/>
        <w:numPr>
          <w:ilvl w:val="0"/>
          <w:numId w:val="6"/>
        </w:numPr>
        <w:ind w:left="810" w:right="180"/>
        <w:rPr>
          <w:rFonts w:eastAsia="Times New Roman" w:cs="Times New Roman"/>
          <w:szCs w:val="20"/>
        </w:rPr>
      </w:pPr>
      <w:r>
        <w:t>Plans for Tabulation and Publication and Project Time</w:t>
      </w:r>
      <w:r>
        <w:rPr>
          <w:spacing w:val="-3"/>
        </w:rPr>
        <w:t xml:space="preserve"> </w:t>
      </w:r>
      <w:r>
        <w:t>Schedule</w:t>
      </w:r>
    </w:p>
    <w:p w14:paraId="1F6ABAE4" w14:textId="77777777" w:rsidR="0006596B" w:rsidRDefault="0006596B" w:rsidP="00EA45C8">
      <w:pPr>
        <w:spacing w:before="6"/>
        <w:ind w:left="450" w:right="180"/>
        <w:rPr>
          <w:rFonts w:ascii="Times New Roman" w:eastAsia="Times New Roman" w:hAnsi="Times New Roman" w:cs="Times New Roman"/>
          <w:b/>
          <w:bCs/>
          <w:sz w:val="23"/>
          <w:szCs w:val="23"/>
        </w:rPr>
      </w:pPr>
    </w:p>
    <w:p w14:paraId="5C9079E5" w14:textId="4E4B2033" w:rsidR="0006596B" w:rsidRPr="007E7776" w:rsidRDefault="00B06C3B" w:rsidP="00EA45C8">
      <w:pPr>
        <w:pStyle w:val="BodyText"/>
        <w:ind w:left="450" w:right="180"/>
      </w:pPr>
      <w:r>
        <w:t>HH</w:t>
      </w:r>
      <w:r w:rsidR="00580519" w:rsidRPr="00580519">
        <w:t xml:space="preserve">S will </w:t>
      </w:r>
      <w:r w:rsidR="00580519">
        <w:t>make publicly available</w:t>
      </w:r>
      <w:r w:rsidR="00580519" w:rsidRPr="00580519">
        <w:t xml:space="preserve"> all State </w:t>
      </w:r>
      <w:r w:rsidR="00580519">
        <w:t xml:space="preserve">request for </w:t>
      </w:r>
      <w:r w:rsidR="00580519" w:rsidRPr="00580519">
        <w:t xml:space="preserve">adjustment </w:t>
      </w:r>
      <w:r w:rsidR="00580519">
        <w:t xml:space="preserve">to the </w:t>
      </w:r>
      <w:r w:rsidR="00580519" w:rsidRPr="00580519">
        <w:t xml:space="preserve">MLR </w:t>
      </w:r>
      <w:r w:rsidR="00580519">
        <w:t xml:space="preserve">standard </w:t>
      </w:r>
      <w:r w:rsidR="00580519" w:rsidRPr="00580519">
        <w:t>information it receives</w:t>
      </w:r>
      <w:r w:rsidR="00580519">
        <w:t>,</w:t>
      </w:r>
      <w:r w:rsidR="00580519" w:rsidRPr="00580519">
        <w:t xml:space="preserve"> </w:t>
      </w:r>
      <w:r w:rsidR="00580519">
        <w:t>and will publish</w:t>
      </w:r>
      <w:r w:rsidR="00580519" w:rsidRPr="00580519">
        <w:t xml:space="preserve"> </w:t>
      </w:r>
      <w:r>
        <w:t>HH</w:t>
      </w:r>
      <w:r w:rsidR="00580519">
        <w:t>S’</w:t>
      </w:r>
      <w:r w:rsidR="00580519" w:rsidRPr="00580519">
        <w:t xml:space="preserve"> d</w:t>
      </w:r>
      <w:r w:rsidR="00580519">
        <w:t>eterminat</w:t>
      </w:r>
      <w:r w:rsidR="00580519" w:rsidRPr="00580519">
        <w:t xml:space="preserve">ion </w:t>
      </w:r>
      <w:r w:rsidR="00580519">
        <w:t>with respect to</w:t>
      </w:r>
      <w:r w:rsidR="00580519" w:rsidRPr="00580519">
        <w:t xml:space="preserve"> each </w:t>
      </w:r>
      <w:r w:rsidR="00580519">
        <w:t>State request, on a rolling basis</w:t>
      </w:r>
      <w:r w:rsidR="00580519" w:rsidRPr="00580519">
        <w:t>.</w:t>
      </w:r>
    </w:p>
    <w:p w14:paraId="2DA12175" w14:textId="77777777" w:rsidR="0006596B" w:rsidRDefault="0006596B" w:rsidP="00EA45C8">
      <w:pPr>
        <w:spacing w:before="6"/>
        <w:ind w:left="450" w:right="180"/>
        <w:rPr>
          <w:rFonts w:ascii="Times New Roman" w:eastAsia="Times New Roman" w:hAnsi="Times New Roman" w:cs="Times New Roman"/>
          <w:sz w:val="24"/>
          <w:szCs w:val="24"/>
        </w:rPr>
      </w:pPr>
    </w:p>
    <w:p w14:paraId="198D4220" w14:textId="77777777" w:rsidR="0006596B" w:rsidRDefault="0006596B" w:rsidP="00EA45C8">
      <w:pPr>
        <w:pStyle w:val="Heading2"/>
        <w:numPr>
          <w:ilvl w:val="0"/>
          <w:numId w:val="6"/>
        </w:numPr>
        <w:ind w:left="810" w:right="180"/>
        <w:rPr>
          <w:rFonts w:eastAsia="Times New Roman" w:cs="Times New Roman"/>
          <w:szCs w:val="20"/>
        </w:rPr>
      </w:pPr>
      <w:r>
        <w:t>Reason(s) Display of OMB Expiration Date is</w:t>
      </w:r>
      <w:r>
        <w:rPr>
          <w:spacing w:val="4"/>
        </w:rPr>
        <w:t xml:space="preserve"> </w:t>
      </w:r>
      <w:r>
        <w:t>Inappropriate</w:t>
      </w:r>
    </w:p>
    <w:p w14:paraId="5B2E7714" w14:textId="719C1A24" w:rsidR="0006596B" w:rsidRDefault="0006596B" w:rsidP="00EA45C8">
      <w:pPr>
        <w:spacing w:before="6"/>
        <w:ind w:left="450" w:right="180"/>
        <w:rPr>
          <w:rFonts w:ascii="Times New Roman" w:eastAsia="Times New Roman" w:hAnsi="Times New Roman" w:cs="Times New Roman"/>
          <w:b/>
          <w:bCs/>
          <w:sz w:val="23"/>
          <w:szCs w:val="23"/>
        </w:rPr>
      </w:pPr>
    </w:p>
    <w:p w14:paraId="209B0F9C" w14:textId="5BB0DAC5" w:rsidR="0006596B" w:rsidRDefault="00030403" w:rsidP="00EA45C8">
      <w:pPr>
        <w:pStyle w:val="BodyText"/>
        <w:ind w:left="450" w:right="180"/>
      </w:pPr>
      <w:r w:rsidRPr="00030403">
        <w:t>There are no instruments associated with this collection.</w:t>
      </w:r>
    </w:p>
    <w:sectPr w:rsidR="0006596B" w:rsidSect="00EA45C8">
      <w:type w:val="continuous"/>
      <w:pgSz w:w="12240" w:h="15840"/>
      <w:pgMar w:top="1380" w:right="1170" w:bottom="1440" w:left="9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B9D61" w14:textId="77777777" w:rsidR="00B4447D" w:rsidRDefault="00B4447D">
      <w:r>
        <w:separator/>
      </w:r>
    </w:p>
  </w:endnote>
  <w:endnote w:type="continuationSeparator" w:id="0">
    <w:p w14:paraId="21D9FA51" w14:textId="77777777" w:rsidR="00B4447D" w:rsidRDefault="00B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9503E" w14:textId="77777777" w:rsidR="00861DAC" w:rsidRDefault="0089194B">
    <w:pPr>
      <w:spacing w:line="14" w:lineRule="auto"/>
      <w:rPr>
        <w:sz w:val="20"/>
        <w:szCs w:val="20"/>
      </w:rPr>
    </w:pPr>
    <w:r>
      <w:rPr>
        <w:noProof/>
      </w:rPr>
      <mc:AlternateContent>
        <mc:Choice Requires="wps">
          <w:drawing>
            <wp:anchor distT="0" distB="0" distL="114300" distR="114300" simplePos="0" relativeHeight="503302712" behindDoc="1" locked="0" layoutInCell="1" allowOverlap="1" wp14:anchorId="3007368D" wp14:editId="104A3AC5">
              <wp:simplePos x="0" y="0"/>
              <wp:positionH relativeFrom="page">
                <wp:posOffset>3594100</wp:posOffset>
              </wp:positionH>
              <wp:positionV relativeFrom="page">
                <wp:posOffset>8507095</wp:posOffset>
              </wp:positionV>
              <wp:extent cx="127000" cy="177800"/>
              <wp:effectExtent l="3175" t="127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pt;margin-top:669.85pt;width:10pt;height:14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" filled="f" stroked="f">
              <v:textbox inset="0,0,0,0">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87231381"/>
      <w:docPartObj>
        <w:docPartGallery w:val="Page Numbers (Bottom of Page)"/>
        <w:docPartUnique/>
      </w:docPartObj>
    </w:sdtPr>
    <w:sdtEndPr>
      <w:rPr>
        <w:noProof/>
      </w:rPr>
    </w:sdtEndPr>
    <w:sdtContent>
      <w:p w14:paraId="5588136D" w14:textId="164A4472" w:rsidR="001946F6" w:rsidRPr="001946F6" w:rsidRDefault="001946F6">
        <w:pPr>
          <w:pStyle w:val="Footer"/>
          <w:jc w:val="center"/>
          <w:rPr>
            <w:rFonts w:ascii="Times New Roman" w:hAnsi="Times New Roman" w:cs="Times New Roman"/>
          </w:rPr>
        </w:pPr>
        <w:r w:rsidRPr="001946F6">
          <w:rPr>
            <w:rFonts w:ascii="Times New Roman" w:hAnsi="Times New Roman" w:cs="Times New Roman"/>
          </w:rPr>
          <w:fldChar w:fldCharType="begin"/>
        </w:r>
        <w:r w:rsidRPr="001946F6">
          <w:rPr>
            <w:rFonts w:ascii="Times New Roman" w:hAnsi="Times New Roman" w:cs="Times New Roman"/>
          </w:rPr>
          <w:instrText xml:space="preserve"> PAGE   \* MERGEFORMAT </w:instrText>
        </w:r>
        <w:r w:rsidRPr="001946F6">
          <w:rPr>
            <w:rFonts w:ascii="Times New Roman" w:hAnsi="Times New Roman" w:cs="Times New Roman"/>
          </w:rPr>
          <w:fldChar w:fldCharType="separate"/>
        </w:r>
        <w:r w:rsidR="00F04AB0">
          <w:rPr>
            <w:rFonts w:ascii="Times New Roman" w:hAnsi="Times New Roman" w:cs="Times New Roman"/>
            <w:noProof/>
          </w:rPr>
          <w:t>1</w:t>
        </w:r>
        <w:r w:rsidRPr="001946F6">
          <w:rPr>
            <w:rFonts w:ascii="Times New Roman" w:hAnsi="Times New Roman" w:cs="Times New Roman"/>
            <w:noProof/>
          </w:rPr>
          <w:fldChar w:fldCharType="end"/>
        </w:r>
      </w:p>
    </w:sdtContent>
  </w:sdt>
  <w:p w14:paraId="5D2D633E" w14:textId="60235410" w:rsidR="00861DAC" w:rsidRDefault="00861DA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A9D" w14:textId="77777777" w:rsidR="00343EEC" w:rsidRDefault="00343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BBEFA" w14:textId="77777777" w:rsidR="00B4447D" w:rsidRDefault="00B4447D">
      <w:r>
        <w:separator/>
      </w:r>
    </w:p>
  </w:footnote>
  <w:footnote w:type="continuationSeparator" w:id="0">
    <w:p w14:paraId="5C1DF211" w14:textId="77777777" w:rsidR="00B4447D" w:rsidRDefault="00B4447D">
      <w:r>
        <w:continuationSeparator/>
      </w:r>
    </w:p>
  </w:footnote>
  <w:footnote w:id="1">
    <w:p w14:paraId="28F9DA91" w14:textId="79353BF3" w:rsidR="00C65D1A" w:rsidRPr="00011F8F" w:rsidRDefault="00C65D1A" w:rsidP="00C65D1A">
      <w:pPr>
        <w:pStyle w:val="FootnoteText"/>
        <w:spacing w:after="120"/>
        <w:rPr>
          <w:rFonts w:ascii="Times New Roman" w:hAnsi="Times New Roman" w:cs="Times New Roman"/>
        </w:rPr>
      </w:pPr>
      <w:r>
        <w:rPr>
          <w:rFonts w:ascii="Times New Roman"/>
          <w:position w:val="7"/>
          <w:sz w:val="13"/>
        </w:rPr>
        <w:t xml:space="preserve">1 </w:t>
      </w:r>
      <w:r w:rsidRPr="00C80E14">
        <w:rPr>
          <w:rFonts w:ascii="Times New Roman" w:hAnsi="Times New Roman" w:cs="Times New Roman"/>
        </w:rPr>
        <w:t>Wage Estimate: to derive average costs, we used data from the U.S. Bureau of Labor Statistics’ May</w:t>
      </w:r>
      <w:r w:rsidRPr="00D2717B">
        <w:rPr>
          <w:rFonts w:ascii="Times New Roman" w:hAnsi="Times New Roman" w:cs="Times New Roman"/>
          <w:color w:val="FF0000"/>
        </w:rPr>
        <w:t xml:space="preserve"> </w:t>
      </w:r>
      <w:r w:rsidRPr="00022249">
        <w:rPr>
          <w:rFonts w:ascii="Times New Roman" w:hAnsi="Times New Roman" w:cs="Times New Roman"/>
        </w:rPr>
        <w:t>201</w:t>
      </w:r>
      <w:r>
        <w:rPr>
          <w:rFonts w:ascii="Times New Roman" w:hAnsi="Times New Roman" w:cs="Times New Roman"/>
        </w:rPr>
        <w:t>6</w:t>
      </w:r>
      <w:r w:rsidRPr="00022249">
        <w:rPr>
          <w:rFonts w:ascii="Times New Roman" w:hAnsi="Times New Roman" w:cs="Times New Roman"/>
        </w:rPr>
        <w:t xml:space="preserve"> </w:t>
      </w:r>
      <w:r w:rsidRPr="00C65D1A">
        <w:rPr>
          <w:rFonts w:ascii="Times New Roman" w:hAnsi="Times New Roman" w:cs="Times New Roman"/>
        </w:rPr>
        <w:t>National Industry-Specific Occupational Employment and Wage Estimates</w:t>
      </w:r>
      <w:r w:rsidRPr="00C80E14">
        <w:rPr>
          <w:rFonts w:ascii="Times New Roman" w:hAnsi="Times New Roman" w:cs="Times New Roman"/>
        </w:rPr>
        <w:t xml:space="preserve"> for </w:t>
      </w:r>
      <w:r w:rsidRPr="00C65D1A">
        <w:rPr>
          <w:rFonts w:ascii="Times New Roman" w:hAnsi="Times New Roman" w:cs="Times New Roman"/>
        </w:rPr>
        <w:t>State Government,</w:t>
      </w:r>
      <w:r>
        <w:rPr>
          <w:rFonts w:ascii="Times New Roman" w:hAnsi="Times New Roman" w:cs="Times New Roman"/>
        </w:rPr>
        <w:t xml:space="preserve"> excluding schools and hospitals (</w:t>
      </w:r>
      <w:hyperlink r:id="rId1" w:tooltip="BLS May 2016 wage estimates for State governments" w:history="1">
        <w:r w:rsidRPr="00BC509E">
          <w:rPr>
            <w:rStyle w:val="Hyperlink"/>
            <w:rFonts w:ascii="Times New Roman" w:hAnsi="Times New Roman" w:cs="Times New Roman"/>
          </w:rPr>
          <w:t>https://www.bls.gov/oes/current/naics4_999200.htm</w:t>
        </w:r>
      </w:hyperlink>
      <w:r>
        <w:rPr>
          <w:rFonts w:ascii="Times New Roman" w:hAnsi="Times New Roman" w:cs="Times New Roman"/>
        </w:rPr>
        <w:t xml:space="preserve">). The State Insurance Commissioner wage estimate was derived from </w:t>
      </w:r>
      <w:r w:rsidRPr="00C65D1A">
        <w:rPr>
          <w:rFonts w:ascii="Times New Roman" w:hAnsi="Times New Roman" w:cs="Times New Roman"/>
        </w:rPr>
        <w:t>compensation of state executive officers</w:t>
      </w:r>
      <w:r>
        <w:rPr>
          <w:rFonts w:ascii="Times New Roman" w:hAnsi="Times New Roman" w:cs="Times New Roman"/>
        </w:rPr>
        <w:t xml:space="preserve"> data collected by the Council of State Governments and compiled by Ballotpedia (</w:t>
      </w:r>
      <w:hyperlink r:id="rId2" w:tooltip="Ballotpedia State insurance commissioner data" w:history="1">
        <w:r w:rsidRPr="00BC509E">
          <w:rPr>
            <w:rStyle w:val="Hyperlink"/>
            <w:rFonts w:ascii="Times New Roman" w:hAnsi="Times New Roman" w:cs="Times New Roman"/>
          </w:rPr>
          <w:t>https://ballotpedia.org/Insurance_Commissioner_(state_executive_office)</w:t>
        </w:r>
      </w:hyperlink>
      <w:r>
        <w:rPr>
          <w:rFonts w:ascii="Times New Roman" w:hAnsi="Times New Roman" w:cs="Times New Roman"/>
        </w:rPr>
        <w:t xml:space="preserve"> (</w:t>
      </w:r>
      <w:r w:rsidRPr="00C65D1A">
        <w:rPr>
          <w:rFonts w:ascii="Times New Roman" w:hAnsi="Times New Roman" w:cs="Times New Roman"/>
          <w:i/>
        </w:rPr>
        <w:t>last retrieved</w:t>
      </w:r>
      <w:r>
        <w:rPr>
          <w:rFonts w:ascii="Times New Roman" w:hAnsi="Times New Roman" w:cs="Times New Roman"/>
        </w:rPr>
        <w:t xml:space="preserve"> Aug 23, 2017)).</w:t>
      </w:r>
      <w:r w:rsidRPr="00C80E14">
        <w:rPr>
          <w:rFonts w:ascii="Times New Roman" w:hAnsi="Times New Roman" w:cs="Times New Roman"/>
          <w:color w:val="1F497D"/>
        </w:rPr>
        <w:t xml:space="preserve"> </w:t>
      </w:r>
      <w:r w:rsidRPr="00C80E14">
        <w:rPr>
          <w:rFonts w:ascii="Times New Roman" w:hAnsi="Times New Roman" w:cs="Times New Roman"/>
        </w:rPr>
        <w:t xml:space="preserve">In this regard, the wage data </w:t>
      </w:r>
      <w:r>
        <w:rPr>
          <w:rFonts w:ascii="Times New Roman" w:hAnsi="Times New Roman" w:cs="Times New Roman"/>
        </w:rPr>
        <w:t>on this page includes</w:t>
      </w:r>
      <w:r w:rsidRPr="00C80E14">
        <w:rPr>
          <w:rFonts w:ascii="Times New Roman" w:hAnsi="Times New Roman" w:cs="Times New Roman"/>
        </w:rPr>
        <w:t xml:space="preserve"> the cost of fringe benefits and the adjusted hourly wage</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028E3" w14:textId="77777777" w:rsidR="00343EEC" w:rsidRDefault="00343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7617" w14:textId="77777777" w:rsidR="00343EEC" w:rsidRDefault="00343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7197" w14:textId="77777777" w:rsidR="00343EEC" w:rsidRDefault="00343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D41C3"/>
    <w:multiLevelType w:val="hybridMultilevel"/>
    <w:tmpl w:val="1B4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55441"/>
    <w:multiLevelType w:val="hybridMultilevel"/>
    <w:tmpl w:val="10C48316"/>
    <w:lvl w:ilvl="0" w:tplc="7752F458">
      <w:start w:val="16"/>
      <w:numFmt w:val="decimal"/>
      <w:lvlText w:val="%1."/>
      <w:lvlJc w:val="left"/>
      <w:pPr>
        <w:ind w:left="398" w:hanging="299"/>
      </w:pPr>
      <w:rPr>
        <w:rFonts w:ascii="Times New Roman" w:eastAsia="Times New Roman" w:hAnsi="Times New Roman" w:hint="default"/>
        <w:b/>
        <w:bCs/>
        <w:spacing w:val="-1"/>
        <w:w w:val="99"/>
        <w:sz w:val="20"/>
        <w:szCs w:val="20"/>
      </w:rPr>
    </w:lvl>
    <w:lvl w:ilvl="1" w:tplc="7A86CBD8">
      <w:start w:val="1"/>
      <w:numFmt w:val="bullet"/>
      <w:lvlText w:val="•"/>
      <w:lvlJc w:val="left"/>
      <w:pPr>
        <w:ind w:left="1378" w:hanging="299"/>
      </w:pPr>
      <w:rPr>
        <w:rFonts w:hint="default"/>
      </w:rPr>
    </w:lvl>
    <w:lvl w:ilvl="2" w:tplc="D638BA7C">
      <w:start w:val="1"/>
      <w:numFmt w:val="bullet"/>
      <w:lvlText w:val="•"/>
      <w:lvlJc w:val="left"/>
      <w:pPr>
        <w:ind w:left="2356" w:hanging="299"/>
      </w:pPr>
      <w:rPr>
        <w:rFonts w:hint="default"/>
      </w:rPr>
    </w:lvl>
    <w:lvl w:ilvl="3" w:tplc="BA2EE6BC">
      <w:start w:val="1"/>
      <w:numFmt w:val="bullet"/>
      <w:lvlText w:val="•"/>
      <w:lvlJc w:val="left"/>
      <w:pPr>
        <w:ind w:left="3334" w:hanging="299"/>
      </w:pPr>
      <w:rPr>
        <w:rFonts w:hint="default"/>
      </w:rPr>
    </w:lvl>
    <w:lvl w:ilvl="4" w:tplc="5C627A50">
      <w:start w:val="1"/>
      <w:numFmt w:val="bullet"/>
      <w:lvlText w:val="•"/>
      <w:lvlJc w:val="left"/>
      <w:pPr>
        <w:ind w:left="4312" w:hanging="299"/>
      </w:pPr>
      <w:rPr>
        <w:rFonts w:hint="default"/>
      </w:rPr>
    </w:lvl>
    <w:lvl w:ilvl="5" w:tplc="D1486DE6">
      <w:start w:val="1"/>
      <w:numFmt w:val="bullet"/>
      <w:lvlText w:val="•"/>
      <w:lvlJc w:val="left"/>
      <w:pPr>
        <w:ind w:left="5290" w:hanging="299"/>
      </w:pPr>
      <w:rPr>
        <w:rFonts w:hint="default"/>
      </w:rPr>
    </w:lvl>
    <w:lvl w:ilvl="6" w:tplc="6AD607FC">
      <w:start w:val="1"/>
      <w:numFmt w:val="bullet"/>
      <w:lvlText w:val="•"/>
      <w:lvlJc w:val="left"/>
      <w:pPr>
        <w:ind w:left="6268" w:hanging="299"/>
      </w:pPr>
      <w:rPr>
        <w:rFonts w:hint="default"/>
      </w:rPr>
    </w:lvl>
    <w:lvl w:ilvl="7" w:tplc="D1CACD08">
      <w:start w:val="1"/>
      <w:numFmt w:val="bullet"/>
      <w:lvlText w:val="•"/>
      <w:lvlJc w:val="left"/>
      <w:pPr>
        <w:ind w:left="7246" w:hanging="299"/>
      </w:pPr>
      <w:rPr>
        <w:rFonts w:hint="default"/>
      </w:rPr>
    </w:lvl>
    <w:lvl w:ilvl="8" w:tplc="54F00EB4">
      <w:start w:val="1"/>
      <w:numFmt w:val="bullet"/>
      <w:lvlText w:val="•"/>
      <w:lvlJc w:val="left"/>
      <w:pPr>
        <w:ind w:left="8224" w:hanging="299"/>
      </w:pPr>
      <w:rPr>
        <w:rFonts w:hint="default"/>
      </w:rPr>
    </w:lvl>
  </w:abstractNum>
  <w:abstractNum w:abstractNumId="2">
    <w:nsid w:val="4041414B"/>
    <w:multiLevelType w:val="hybridMultilevel"/>
    <w:tmpl w:val="2376C2CE"/>
    <w:lvl w:ilvl="0" w:tplc="E2E06BB4">
      <w:start w:val="7"/>
      <w:numFmt w:val="decimal"/>
      <w:lvlText w:val="%1."/>
      <w:lvlJc w:val="left"/>
      <w:pPr>
        <w:ind w:left="355" w:hanging="251"/>
      </w:pPr>
      <w:rPr>
        <w:rFonts w:ascii="Times New Roman" w:eastAsia="Times New Roman" w:hAnsi="Times New Roman" w:hint="default"/>
        <w:b/>
        <w:bCs/>
        <w:w w:val="99"/>
        <w:sz w:val="20"/>
        <w:szCs w:val="20"/>
      </w:rPr>
    </w:lvl>
    <w:lvl w:ilvl="1" w:tplc="5DDE6D5C">
      <w:start w:val="1"/>
      <w:numFmt w:val="bullet"/>
      <w:lvlText w:val="•"/>
      <w:lvlJc w:val="left"/>
      <w:pPr>
        <w:ind w:left="1344" w:hanging="251"/>
      </w:pPr>
      <w:rPr>
        <w:rFonts w:hint="default"/>
      </w:rPr>
    </w:lvl>
    <w:lvl w:ilvl="2" w:tplc="D6FE7230">
      <w:start w:val="1"/>
      <w:numFmt w:val="bullet"/>
      <w:lvlText w:val="•"/>
      <w:lvlJc w:val="left"/>
      <w:pPr>
        <w:ind w:left="2328" w:hanging="251"/>
      </w:pPr>
      <w:rPr>
        <w:rFonts w:hint="default"/>
      </w:rPr>
    </w:lvl>
    <w:lvl w:ilvl="3" w:tplc="24B2326C">
      <w:start w:val="1"/>
      <w:numFmt w:val="bullet"/>
      <w:lvlText w:val="•"/>
      <w:lvlJc w:val="left"/>
      <w:pPr>
        <w:ind w:left="3312" w:hanging="251"/>
      </w:pPr>
      <w:rPr>
        <w:rFonts w:hint="default"/>
      </w:rPr>
    </w:lvl>
    <w:lvl w:ilvl="4" w:tplc="A48E8960">
      <w:start w:val="1"/>
      <w:numFmt w:val="bullet"/>
      <w:lvlText w:val="•"/>
      <w:lvlJc w:val="left"/>
      <w:pPr>
        <w:ind w:left="4296" w:hanging="251"/>
      </w:pPr>
      <w:rPr>
        <w:rFonts w:hint="default"/>
      </w:rPr>
    </w:lvl>
    <w:lvl w:ilvl="5" w:tplc="C6DA12D6">
      <w:start w:val="1"/>
      <w:numFmt w:val="bullet"/>
      <w:lvlText w:val="•"/>
      <w:lvlJc w:val="left"/>
      <w:pPr>
        <w:ind w:left="5280" w:hanging="251"/>
      </w:pPr>
      <w:rPr>
        <w:rFonts w:hint="default"/>
      </w:rPr>
    </w:lvl>
    <w:lvl w:ilvl="6" w:tplc="EB56E66A">
      <w:start w:val="1"/>
      <w:numFmt w:val="bullet"/>
      <w:lvlText w:val="•"/>
      <w:lvlJc w:val="left"/>
      <w:pPr>
        <w:ind w:left="6264" w:hanging="251"/>
      </w:pPr>
      <w:rPr>
        <w:rFonts w:hint="default"/>
      </w:rPr>
    </w:lvl>
    <w:lvl w:ilvl="7" w:tplc="F08E35F6">
      <w:start w:val="1"/>
      <w:numFmt w:val="bullet"/>
      <w:lvlText w:val="•"/>
      <w:lvlJc w:val="left"/>
      <w:pPr>
        <w:ind w:left="7248" w:hanging="251"/>
      </w:pPr>
      <w:rPr>
        <w:rFonts w:hint="default"/>
      </w:rPr>
    </w:lvl>
    <w:lvl w:ilvl="8" w:tplc="7AF80F14">
      <w:start w:val="1"/>
      <w:numFmt w:val="bullet"/>
      <w:lvlText w:val="•"/>
      <w:lvlJc w:val="left"/>
      <w:pPr>
        <w:ind w:left="8232" w:hanging="251"/>
      </w:pPr>
      <w:rPr>
        <w:rFonts w:hint="default"/>
      </w:rPr>
    </w:lvl>
  </w:abstractNum>
  <w:abstractNum w:abstractNumId="3">
    <w:nsid w:val="4A42155F"/>
    <w:multiLevelType w:val="hybridMultilevel"/>
    <w:tmpl w:val="59F09D58"/>
    <w:lvl w:ilvl="0" w:tplc="7D6E6086">
      <w:start w:val="1"/>
      <w:numFmt w:val="decimal"/>
      <w:lvlText w:val="%1."/>
      <w:lvlJc w:val="left"/>
      <w:pPr>
        <w:ind w:left="540" w:hanging="360"/>
      </w:pPr>
      <w:rPr>
        <w:rFonts w:eastAsiaTheme="majorEastAsia" w:cstheme="maj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3D96310"/>
    <w:multiLevelType w:val="hybridMultilevel"/>
    <w:tmpl w:val="41A488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06663F0"/>
    <w:multiLevelType w:val="hybridMultilevel"/>
    <w:tmpl w:val="71DA4ADA"/>
    <w:lvl w:ilvl="0" w:tplc="EFC86AE6">
      <w:start w:val="3"/>
      <w:numFmt w:val="decimal"/>
      <w:lvlText w:val="%1."/>
      <w:lvlJc w:val="left"/>
      <w:pPr>
        <w:ind w:left="352" w:hanging="253"/>
      </w:pPr>
      <w:rPr>
        <w:rFonts w:ascii="Times New Roman" w:eastAsia="Times New Roman" w:hAnsi="Times New Roman" w:hint="default"/>
        <w:b/>
        <w:bCs/>
        <w:spacing w:val="1"/>
        <w:w w:val="99"/>
        <w:sz w:val="20"/>
        <w:szCs w:val="20"/>
      </w:rPr>
    </w:lvl>
    <w:lvl w:ilvl="1" w:tplc="8A3249CE">
      <w:start w:val="1"/>
      <w:numFmt w:val="bullet"/>
      <w:lvlText w:val="•"/>
      <w:lvlJc w:val="left"/>
      <w:pPr>
        <w:ind w:left="1354" w:hanging="253"/>
      </w:pPr>
      <w:rPr>
        <w:rFonts w:hint="default"/>
      </w:rPr>
    </w:lvl>
    <w:lvl w:ilvl="2" w:tplc="E31E9352">
      <w:start w:val="1"/>
      <w:numFmt w:val="bullet"/>
      <w:lvlText w:val="•"/>
      <w:lvlJc w:val="left"/>
      <w:pPr>
        <w:ind w:left="2348" w:hanging="253"/>
      </w:pPr>
      <w:rPr>
        <w:rFonts w:hint="default"/>
      </w:rPr>
    </w:lvl>
    <w:lvl w:ilvl="3" w:tplc="3E607D78">
      <w:start w:val="1"/>
      <w:numFmt w:val="bullet"/>
      <w:lvlText w:val="•"/>
      <w:lvlJc w:val="left"/>
      <w:pPr>
        <w:ind w:left="3342" w:hanging="253"/>
      </w:pPr>
      <w:rPr>
        <w:rFonts w:hint="default"/>
      </w:rPr>
    </w:lvl>
    <w:lvl w:ilvl="4" w:tplc="D76CC9DA">
      <w:start w:val="1"/>
      <w:numFmt w:val="bullet"/>
      <w:lvlText w:val="•"/>
      <w:lvlJc w:val="left"/>
      <w:pPr>
        <w:ind w:left="4336" w:hanging="253"/>
      </w:pPr>
      <w:rPr>
        <w:rFonts w:hint="default"/>
      </w:rPr>
    </w:lvl>
    <w:lvl w:ilvl="5" w:tplc="5D0281A2">
      <w:start w:val="1"/>
      <w:numFmt w:val="bullet"/>
      <w:lvlText w:val="•"/>
      <w:lvlJc w:val="left"/>
      <w:pPr>
        <w:ind w:left="5330" w:hanging="253"/>
      </w:pPr>
      <w:rPr>
        <w:rFonts w:hint="default"/>
      </w:rPr>
    </w:lvl>
    <w:lvl w:ilvl="6" w:tplc="C5A02B8C">
      <w:start w:val="1"/>
      <w:numFmt w:val="bullet"/>
      <w:lvlText w:val="•"/>
      <w:lvlJc w:val="left"/>
      <w:pPr>
        <w:ind w:left="6324" w:hanging="253"/>
      </w:pPr>
      <w:rPr>
        <w:rFonts w:hint="default"/>
      </w:rPr>
    </w:lvl>
    <w:lvl w:ilvl="7" w:tplc="0D9C9ED8">
      <w:start w:val="1"/>
      <w:numFmt w:val="bullet"/>
      <w:lvlText w:val="•"/>
      <w:lvlJc w:val="left"/>
      <w:pPr>
        <w:ind w:left="7318" w:hanging="253"/>
      </w:pPr>
      <w:rPr>
        <w:rFonts w:hint="default"/>
      </w:rPr>
    </w:lvl>
    <w:lvl w:ilvl="8" w:tplc="47ACFDA6">
      <w:start w:val="1"/>
      <w:numFmt w:val="bullet"/>
      <w:lvlText w:val="•"/>
      <w:lvlJc w:val="left"/>
      <w:pPr>
        <w:ind w:left="8312" w:hanging="253"/>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AC"/>
    <w:rsid w:val="00011F8F"/>
    <w:rsid w:val="00012CD9"/>
    <w:rsid w:val="00022249"/>
    <w:rsid w:val="00030403"/>
    <w:rsid w:val="00041CCF"/>
    <w:rsid w:val="00052B14"/>
    <w:rsid w:val="00052C44"/>
    <w:rsid w:val="0006596B"/>
    <w:rsid w:val="000E54FE"/>
    <w:rsid w:val="001946F6"/>
    <w:rsid w:val="001D6CC2"/>
    <w:rsid w:val="001D6E10"/>
    <w:rsid w:val="001F774B"/>
    <w:rsid w:val="0025753E"/>
    <w:rsid w:val="0026008E"/>
    <w:rsid w:val="002867A2"/>
    <w:rsid w:val="002B5D9F"/>
    <w:rsid w:val="0031574C"/>
    <w:rsid w:val="003218F7"/>
    <w:rsid w:val="00325030"/>
    <w:rsid w:val="00343EEC"/>
    <w:rsid w:val="00344B64"/>
    <w:rsid w:val="00365C10"/>
    <w:rsid w:val="003C3343"/>
    <w:rsid w:val="0041029D"/>
    <w:rsid w:val="00411524"/>
    <w:rsid w:val="00430ED8"/>
    <w:rsid w:val="004321EF"/>
    <w:rsid w:val="00445598"/>
    <w:rsid w:val="00527545"/>
    <w:rsid w:val="00580519"/>
    <w:rsid w:val="005A2FF9"/>
    <w:rsid w:val="005D0C78"/>
    <w:rsid w:val="006063D5"/>
    <w:rsid w:val="006B32A4"/>
    <w:rsid w:val="006F4788"/>
    <w:rsid w:val="00743AA2"/>
    <w:rsid w:val="00772C26"/>
    <w:rsid w:val="007B38FC"/>
    <w:rsid w:val="007D1E3C"/>
    <w:rsid w:val="007E7776"/>
    <w:rsid w:val="008331EC"/>
    <w:rsid w:val="00861DAC"/>
    <w:rsid w:val="0089194B"/>
    <w:rsid w:val="00930D3C"/>
    <w:rsid w:val="009813A2"/>
    <w:rsid w:val="0098625B"/>
    <w:rsid w:val="009966C7"/>
    <w:rsid w:val="009E5C82"/>
    <w:rsid w:val="00A9411E"/>
    <w:rsid w:val="00AE37C4"/>
    <w:rsid w:val="00B06C3B"/>
    <w:rsid w:val="00B36A02"/>
    <w:rsid w:val="00B37A88"/>
    <w:rsid w:val="00B4447D"/>
    <w:rsid w:val="00B95AE8"/>
    <w:rsid w:val="00BC447C"/>
    <w:rsid w:val="00C557D0"/>
    <w:rsid w:val="00C65D1A"/>
    <w:rsid w:val="00C7027E"/>
    <w:rsid w:val="00C80E14"/>
    <w:rsid w:val="00C90E66"/>
    <w:rsid w:val="00CF63C0"/>
    <w:rsid w:val="00D2717B"/>
    <w:rsid w:val="00D97E72"/>
    <w:rsid w:val="00E10106"/>
    <w:rsid w:val="00E402EC"/>
    <w:rsid w:val="00E668C2"/>
    <w:rsid w:val="00EA45C8"/>
    <w:rsid w:val="00F04AB0"/>
    <w:rsid w:val="00F07C19"/>
    <w:rsid w:val="00F75F79"/>
    <w:rsid w:val="00F812D1"/>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B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9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946F6"/>
    <w:pPr>
      <w:keepNext/>
      <w:keepLines/>
      <w:spacing w:before="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E14"/>
    <w:rPr>
      <w:color w:val="0563C1"/>
      <w:u w:val="single"/>
    </w:rPr>
  </w:style>
  <w:style w:type="paragraph" w:styleId="Header">
    <w:name w:val="header"/>
    <w:basedOn w:val="Normal"/>
    <w:link w:val="HeaderChar"/>
    <w:uiPriority w:val="99"/>
    <w:unhideWhenUsed/>
    <w:rsid w:val="00C80E14"/>
    <w:pPr>
      <w:tabs>
        <w:tab w:val="center" w:pos="4680"/>
        <w:tab w:val="right" w:pos="9360"/>
      </w:tabs>
    </w:pPr>
  </w:style>
  <w:style w:type="character" w:customStyle="1" w:styleId="HeaderChar">
    <w:name w:val="Header Char"/>
    <w:basedOn w:val="DefaultParagraphFont"/>
    <w:link w:val="Header"/>
    <w:uiPriority w:val="99"/>
    <w:rsid w:val="00C80E14"/>
  </w:style>
  <w:style w:type="paragraph" w:styleId="Footer">
    <w:name w:val="footer"/>
    <w:basedOn w:val="Normal"/>
    <w:link w:val="FooterChar"/>
    <w:uiPriority w:val="99"/>
    <w:unhideWhenUsed/>
    <w:rsid w:val="00C80E14"/>
    <w:pPr>
      <w:tabs>
        <w:tab w:val="center" w:pos="4680"/>
        <w:tab w:val="right" w:pos="9360"/>
      </w:tabs>
    </w:pPr>
  </w:style>
  <w:style w:type="character" w:customStyle="1" w:styleId="FooterChar">
    <w:name w:val="Footer Char"/>
    <w:basedOn w:val="DefaultParagraphFont"/>
    <w:link w:val="Footer"/>
    <w:uiPriority w:val="99"/>
    <w:rsid w:val="00C80E14"/>
  </w:style>
  <w:style w:type="paragraph" w:styleId="BalloonText">
    <w:name w:val="Balloon Text"/>
    <w:basedOn w:val="Normal"/>
    <w:link w:val="BalloonTextChar"/>
    <w:uiPriority w:val="99"/>
    <w:semiHidden/>
    <w:unhideWhenUsed/>
    <w:rsid w:val="0006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6B"/>
    <w:rPr>
      <w:rFonts w:ascii="Segoe UI" w:hAnsi="Segoe UI" w:cs="Segoe UI"/>
      <w:sz w:val="18"/>
      <w:szCs w:val="18"/>
    </w:rPr>
  </w:style>
  <w:style w:type="character" w:styleId="CommentReference">
    <w:name w:val="annotation reference"/>
    <w:basedOn w:val="DefaultParagraphFont"/>
    <w:uiPriority w:val="99"/>
    <w:semiHidden/>
    <w:unhideWhenUsed/>
    <w:rsid w:val="0006596B"/>
    <w:rPr>
      <w:sz w:val="16"/>
      <w:szCs w:val="16"/>
    </w:rPr>
  </w:style>
  <w:style w:type="paragraph" w:styleId="CommentText">
    <w:name w:val="annotation text"/>
    <w:basedOn w:val="Normal"/>
    <w:link w:val="CommentTextChar"/>
    <w:uiPriority w:val="99"/>
    <w:semiHidden/>
    <w:unhideWhenUsed/>
    <w:rsid w:val="0006596B"/>
    <w:rPr>
      <w:sz w:val="20"/>
      <w:szCs w:val="20"/>
    </w:rPr>
  </w:style>
  <w:style w:type="character" w:customStyle="1" w:styleId="CommentTextChar">
    <w:name w:val="Comment Text Char"/>
    <w:basedOn w:val="DefaultParagraphFont"/>
    <w:link w:val="CommentText"/>
    <w:uiPriority w:val="99"/>
    <w:semiHidden/>
    <w:rsid w:val="0006596B"/>
    <w:rPr>
      <w:sz w:val="20"/>
      <w:szCs w:val="20"/>
    </w:rPr>
  </w:style>
  <w:style w:type="paragraph" w:styleId="CommentSubject">
    <w:name w:val="annotation subject"/>
    <w:basedOn w:val="CommentText"/>
    <w:next w:val="CommentText"/>
    <w:link w:val="CommentSubjectChar"/>
    <w:uiPriority w:val="99"/>
    <w:semiHidden/>
    <w:unhideWhenUsed/>
    <w:rsid w:val="0006596B"/>
    <w:rPr>
      <w:b/>
      <w:bCs/>
    </w:rPr>
  </w:style>
  <w:style w:type="character" w:customStyle="1" w:styleId="CommentSubjectChar">
    <w:name w:val="Comment Subject Char"/>
    <w:basedOn w:val="CommentTextChar"/>
    <w:link w:val="CommentSubject"/>
    <w:uiPriority w:val="99"/>
    <w:semiHidden/>
    <w:rsid w:val="0006596B"/>
    <w:rPr>
      <w:b/>
      <w:bCs/>
      <w:sz w:val="20"/>
      <w:szCs w:val="20"/>
    </w:rPr>
  </w:style>
  <w:style w:type="character" w:customStyle="1" w:styleId="Heading2Char">
    <w:name w:val="Heading 2 Char"/>
    <w:basedOn w:val="DefaultParagraphFont"/>
    <w:link w:val="Heading2"/>
    <w:uiPriority w:val="9"/>
    <w:rsid w:val="001946F6"/>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2867A2"/>
    <w:rPr>
      <w:sz w:val="20"/>
      <w:szCs w:val="20"/>
    </w:rPr>
  </w:style>
  <w:style w:type="character" w:customStyle="1" w:styleId="FootnoteTextChar">
    <w:name w:val="Footnote Text Char"/>
    <w:basedOn w:val="DefaultParagraphFont"/>
    <w:link w:val="FootnoteText"/>
    <w:uiPriority w:val="99"/>
    <w:semiHidden/>
    <w:rsid w:val="002867A2"/>
    <w:rPr>
      <w:sz w:val="20"/>
      <w:szCs w:val="20"/>
    </w:rPr>
  </w:style>
  <w:style w:type="character" w:styleId="FootnoteReference">
    <w:name w:val="footnote reference"/>
    <w:basedOn w:val="DefaultParagraphFont"/>
    <w:uiPriority w:val="99"/>
    <w:semiHidden/>
    <w:unhideWhenUsed/>
    <w:rsid w:val="0028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9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946F6"/>
    <w:pPr>
      <w:keepNext/>
      <w:keepLines/>
      <w:spacing w:before="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E14"/>
    <w:rPr>
      <w:color w:val="0563C1"/>
      <w:u w:val="single"/>
    </w:rPr>
  </w:style>
  <w:style w:type="paragraph" w:styleId="Header">
    <w:name w:val="header"/>
    <w:basedOn w:val="Normal"/>
    <w:link w:val="HeaderChar"/>
    <w:uiPriority w:val="99"/>
    <w:unhideWhenUsed/>
    <w:rsid w:val="00C80E14"/>
    <w:pPr>
      <w:tabs>
        <w:tab w:val="center" w:pos="4680"/>
        <w:tab w:val="right" w:pos="9360"/>
      </w:tabs>
    </w:pPr>
  </w:style>
  <w:style w:type="character" w:customStyle="1" w:styleId="HeaderChar">
    <w:name w:val="Header Char"/>
    <w:basedOn w:val="DefaultParagraphFont"/>
    <w:link w:val="Header"/>
    <w:uiPriority w:val="99"/>
    <w:rsid w:val="00C80E14"/>
  </w:style>
  <w:style w:type="paragraph" w:styleId="Footer">
    <w:name w:val="footer"/>
    <w:basedOn w:val="Normal"/>
    <w:link w:val="FooterChar"/>
    <w:uiPriority w:val="99"/>
    <w:unhideWhenUsed/>
    <w:rsid w:val="00C80E14"/>
    <w:pPr>
      <w:tabs>
        <w:tab w:val="center" w:pos="4680"/>
        <w:tab w:val="right" w:pos="9360"/>
      </w:tabs>
    </w:pPr>
  </w:style>
  <w:style w:type="character" w:customStyle="1" w:styleId="FooterChar">
    <w:name w:val="Footer Char"/>
    <w:basedOn w:val="DefaultParagraphFont"/>
    <w:link w:val="Footer"/>
    <w:uiPriority w:val="99"/>
    <w:rsid w:val="00C80E14"/>
  </w:style>
  <w:style w:type="paragraph" w:styleId="BalloonText">
    <w:name w:val="Balloon Text"/>
    <w:basedOn w:val="Normal"/>
    <w:link w:val="BalloonTextChar"/>
    <w:uiPriority w:val="99"/>
    <w:semiHidden/>
    <w:unhideWhenUsed/>
    <w:rsid w:val="0006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6B"/>
    <w:rPr>
      <w:rFonts w:ascii="Segoe UI" w:hAnsi="Segoe UI" w:cs="Segoe UI"/>
      <w:sz w:val="18"/>
      <w:szCs w:val="18"/>
    </w:rPr>
  </w:style>
  <w:style w:type="character" w:styleId="CommentReference">
    <w:name w:val="annotation reference"/>
    <w:basedOn w:val="DefaultParagraphFont"/>
    <w:uiPriority w:val="99"/>
    <w:semiHidden/>
    <w:unhideWhenUsed/>
    <w:rsid w:val="0006596B"/>
    <w:rPr>
      <w:sz w:val="16"/>
      <w:szCs w:val="16"/>
    </w:rPr>
  </w:style>
  <w:style w:type="paragraph" w:styleId="CommentText">
    <w:name w:val="annotation text"/>
    <w:basedOn w:val="Normal"/>
    <w:link w:val="CommentTextChar"/>
    <w:uiPriority w:val="99"/>
    <w:semiHidden/>
    <w:unhideWhenUsed/>
    <w:rsid w:val="0006596B"/>
    <w:rPr>
      <w:sz w:val="20"/>
      <w:szCs w:val="20"/>
    </w:rPr>
  </w:style>
  <w:style w:type="character" w:customStyle="1" w:styleId="CommentTextChar">
    <w:name w:val="Comment Text Char"/>
    <w:basedOn w:val="DefaultParagraphFont"/>
    <w:link w:val="CommentText"/>
    <w:uiPriority w:val="99"/>
    <w:semiHidden/>
    <w:rsid w:val="0006596B"/>
    <w:rPr>
      <w:sz w:val="20"/>
      <w:szCs w:val="20"/>
    </w:rPr>
  </w:style>
  <w:style w:type="paragraph" w:styleId="CommentSubject">
    <w:name w:val="annotation subject"/>
    <w:basedOn w:val="CommentText"/>
    <w:next w:val="CommentText"/>
    <w:link w:val="CommentSubjectChar"/>
    <w:uiPriority w:val="99"/>
    <w:semiHidden/>
    <w:unhideWhenUsed/>
    <w:rsid w:val="0006596B"/>
    <w:rPr>
      <w:b/>
      <w:bCs/>
    </w:rPr>
  </w:style>
  <w:style w:type="character" w:customStyle="1" w:styleId="CommentSubjectChar">
    <w:name w:val="Comment Subject Char"/>
    <w:basedOn w:val="CommentTextChar"/>
    <w:link w:val="CommentSubject"/>
    <w:uiPriority w:val="99"/>
    <w:semiHidden/>
    <w:rsid w:val="0006596B"/>
    <w:rPr>
      <w:b/>
      <w:bCs/>
      <w:sz w:val="20"/>
      <w:szCs w:val="20"/>
    </w:rPr>
  </w:style>
  <w:style w:type="character" w:customStyle="1" w:styleId="Heading2Char">
    <w:name w:val="Heading 2 Char"/>
    <w:basedOn w:val="DefaultParagraphFont"/>
    <w:link w:val="Heading2"/>
    <w:uiPriority w:val="9"/>
    <w:rsid w:val="001946F6"/>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2867A2"/>
    <w:rPr>
      <w:sz w:val="20"/>
      <w:szCs w:val="20"/>
    </w:rPr>
  </w:style>
  <w:style w:type="character" w:customStyle="1" w:styleId="FootnoteTextChar">
    <w:name w:val="Footnote Text Char"/>
    <w:basedOn w:val="DefaultParagraphFont"/>
    <w:link w:val="FootnoteText"/>
    <w:uiPriority w:val="99"/>
    <w:semiHidden/>
    <w:rsid w:val="002867A2"/>
    <w:rPr>
      <w:sz w:val="20"/>
      <w:szCs w:val="20"/>
    </w:rPr>
  </w:style>
  <w:style w:type="character" w:styleId="FootnoteReference">
    <w:name w:val="footnote reference"/>
    <w:basedOn w:val="DefaultParagraphFont"/>
    <w:uiPriority w:val="99"/>
    <w:semiHidden/>
    <w:unhideWhenUsed/>
    <w:rsid w:val="0028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ms.gov/CCIIO/Programs-and-Initiatives/Health-Insurance-Market-Reforms/state_mlr_adj_request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ballotpedia.org/Insurance_Commissioner_(state_executive_office)"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F9A1-1727-47BC-8817-14304E90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2015 MLR PRA Package Supporting Statement</vt:lpstr>
    </vt:vector>
  </TitlesOfParts>
  <Manager/>
  <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MLR State Requests PRA Package Supporting Statement</dc:title>
  <dc:creator/>
  <cp:keywords>MLR</cp:keywords>
  <cp:lastModifiedBy/>
  <cp:revision>1</cp:revision>
  <dcterms:created xsi:type="dcterms:W3CDTF">2018-05-16T16:45:00Z</dcterms:created>
  <dcterms:modified xsi:type="dcterms:W3CDTF">2018-05-16T16:45:00Z</dcterms:modified>
</cp:coreProperties>
</file>