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66" w:rsidRDefault="003C4366" w:rsidP="003C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bookmarkStart w:id="0" w:name="_GoBack"/>
      <w:bookmarkEnd w:id="0"/>
    </w:p>
    <w:p w:rsidR="009C0E54" w:rsidRDefault="009C0E54" w:rsidP="003C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9C0E54" w:rsidRDefault="009C0E54" w:rsidP="003C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9C0E54" w:rsidRPr="00357253" w:rsidRDefault="009C0E54" w:rsidP="003C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3C4366" w:rsidRPr="00357253" w:rsidRDefault="003C4366" w:rsidP="003C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Gonococcal Isolate Surveillance Project</w:t>
      </w:r>
    </w:p>
    <w:p w:rsidR="003C4366" w:rsidRPr="00357253" w:rsidRDefault="003C4366" w:rsidP="003C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OMB 0920-0307</w:t>
      </w:r>
    </w:p>
    <w:p w:rsidR="003C4366" w:rsidRPr="00357253" w:rsidRDefault="003C4366" w:rsidP="003C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Sancta St. Cyr, Project Officer</w:t>
      </w:r>
    </w:p>
    <w:p w:rsidR="003C4366" w:rsidRPr="00357253" w:rsidRDefault="003C4366" w:rsidP="003C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 xml:space="preserve">Attachment </w:t>
      </w:r>
      <w:r w:rsidR="009C0E54">
        <w:rPr>
          <w:rFonts w:ascii="Times New Roman" w:hAnsi="Times New Roman" w:cs="Times New Roman"/>
          <w:b/>
        </w:rPr>
        <w:t>9</w:t>
      </w:r>
    </w:p>
    <w:p w:rsidR="003C4366" w:rsidRPr="003C4366" w:rsidRDefault="003C4366" w:rsidP="003C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C4366">
        <w:rPr>
          <w:rFonts w:ascii="Times New Roman" w:hAnsi="Times New Roman" w:cs="Times New Roman"/>
          <w:b/>
        </w:rPr>
        <w:t>Changes to the Information Collection</w:t>
      </w:r>
    </w:p>
    <w:p w:rsidR="003C4366" w:rsidRDefault="003C4366">
      <w:pPr>
        <w:rPr>
          <w:rFonts w:ascii="Courier New" w:hAnsi="Courier New" w:cs="Courier New"/>
          <w:b/>
          <w:sz w:val="24"/>
          <w:szCs w:val="24"/>
        </w:rPr>
      </w:pPr>
    </w:p>
    <w:p w:rsidR="003C4366" w:rsidRDefault="003C4366">
      <w:pPr>
        <w:rPr>
          <w:rFonts w:ascii="Courier New" w:hAnsi="Courier New" w:cs="Courier New"/>
          <w:sz w:val="24"/>
          <w:szCs w:val="24"/>
        </w:rPr>
      </w:pPr>
      <w:r>
        <w:rPr>
          <w:rFonts w:ascii="Courier New" w:hAnsi="Courier New" w:cs="Courier New"/>
          <w:sz w:val="24"/>
          <w:szCs w:val="24"/>
        </w:rPr>
        <w:br w:type="page"/>
      </w:r>
    </w:p>
    <w:p w:rsidR="007D3F80" w:rsidRPr="000B172F" w:rsidRDefault="00646C93">
      <w:pPr>
        <w:rPr>
          <w:rFonts w:ascii="Courier New" w:hAnsi="Courier New" w:cs="Courier New"/>
          <w:sz w:val="24"/>
          <w:szCs w:val="24"/>
        </w:rPr>
      </w:pPr>
      <w:r w:rsidRPr="000B172F">
        <w:rPr>
          <w:rFonts w:ascii="Courier New" w:hAnsi="Courier New" w:cs="Courier New"/>
          <w:sz w:val="24"/>
          <w:szCs w:val="24"/>
        </w:rPr>
        <w:lastRenderedPageBreak/>
        <w:t>The following c</w:t>
      </w:r>
      <w:r w:rsidR="009F523D" w:rsidRPr="000B172F">
        <w:rPr>
          <w:rFonts w:ascii="Courier New" w:hAnsi="Courier New" w:cs="Courier New"/>
          <w:sz w:val="24"/>
          <w:szCs w:val="24"/>
        </w:rPr>
        <w:t>hanges have been made to the information collection</w:t>
      </w:r>
      <w:r w:rsidR="002B2B91" w:rsidRPr="000B172F">
        <w:rPr>
          <w:rFonts w:ascii="Courier New" w:hAnsi="Courier New" w:cs="Courier New"/>
          <w:sz w:val="24"/>
          <w:szCs w:val="24"/>
        </w:rPr>
        <w:t xml:space="preserve"> (IC)</w:t>
      </w:r>
      <w:r w:rsidRPr="000B172F">
        <w:rPr>
          <w:rFonts w:ascii="Courier New" w:hAnsi="Courier New" w:cs="Courier New"/>
          <w:sz w:val="24"/>
          <w:szCs w:val="24"/>
        </w:rPr>
        <w:t>:</w:t>
      </w:r>
    </w:p>
    <w:p w:rsidR="0001490E" w:rsidRPr="000B172F" w:rsidRDefault="00D3461D" w:rsidP="00D3461D">
      <w:pPr>
        <w:pStyle w:val="ListParagraph"/>
        <w:numPr>
          <w:ilvl w:val="0"/>
          <w:numId w:val="1"/>
        </w:numPr>
        <w:ind w:left="540" w:hanging="540"/>
        <w:rPr>
          <w:rFonts w:ascii="Courier New" w:hAnsi="Courier New" w:cs="Courier New"/>
          <w:sz w:val="24"/>
          <w:szCs w:val="24"/>
        </w:rPr>
      </w:pPr>
      <w:r w:rsidRPr="000B172F">
        <w:rPr>
          <w:rFonts w:ascii="Courier New" w:hAnsi="Courier New" w:cs="Courier New"/>
          <w:sz w:val="24"/>
          <w:szCs w:val="24"/>
        </w:rPr>
        <w:t xml:space="preserve">Collection of additional </w:t>
      </w:r>
      <w:r w:rsidRPr="000B172F">
        <w:rPr>
          <w:rFonts w:ascii="Courier New" w:hAnsi="Courier New" w:cs="Courier New"/>
          <w:i/>
          <w:sz w:val="24"/>
          <w:szCs w:val="24"/>
        </w:rPr>
        <w:t>Neisseria gonorrhoeae</w:t>
      </w:r>
      <w:r w:rsidRPr="000B172F">
        <w:rPr>
          <w:rFonts w:ascii="Courier New" w:hAnsi="Courier New" w:cs="Courier New"/>
          <w:sz w:val="24"/>
          <w:szCs w:val="24"/>
        </w:rPr>
        <w:t xml:space="preserve"> isolates and </w:t>
      </w:r>
      <w:r w:rsidR="00B80BCE" w:rsidRPr="000B172F">
        <w:rPr>
          <w:rFonts w:ascii="Courier New" w:hAnsi="Courier New" w:cs="Courier New"/>
          <w:sz w:val="24"/>
          <w:szCs w:val="24"/>
        </w:rPr>
        <w:t xml:space="preserve">additional </w:t>
      </w:r>
      <w:r w:rsidRPr="000B172F">
        <w:rPr>
          <w:rFonts w:ascii="Courier New" w:hAnsi="Courier New" w:cs="Courier New"/>
          <w:sz w:val="24"/>
          <w:szCs w:val="24"/>
        </w:rPr>
        <w:t xml:space="preserve">epidemiology data </w:t>
      </w:r>
      <w:r w:rsidR="00B80BCE" w:rsidRPr="000B172F">
        <w:rPr>
          <w:rFonts w:ascii="Courier New" w:hAnsi="Courier New" w:cs="Courier New"/>
          <w:sz w:val="24"/>
          <w:szCs w:val="24"/>
        </w:rPr>
        <w:t xml:space="preserve">elements </w:t>
      </w:r>
      <w:r w:rsidRPr="000B172F">
        <w:rPr>
          <w:rFonts w:ascii="Courier New" w:hAnsi="Courier New" w:cs="Courier New"/>
          <w:sz w:val="24"/>
          <w:szCs w:val="24"/>
        </w:rPr>
        <w:t>from a subset of sentinel sites</w:t>
      </w:r>
    </w:p>
    <w:p w:rsidR="00D3461D" w:rsidRPr="000B172F" w:rsidRDefault="00D3461D" w:rsidP="00D3461D">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A summary of the enhanced data collection has been added </w:t>
      </w:r>
      <w:r w:rsidR="001D61F8">
        <w:rPr>
          <w:rFonts w:ascii="Courier New" w:hAnsi="Courier New" w:cs="Courier New"/>
          <w:sz w:val="24"/>
          <w:szCs w:val="24"/>
        </w:rPr>
        <w:t xml:space="preserve">to Supporting Statement A, </w:t>
      </w:r>
      <w:r w:rsidRPr="000B172F">
        <w:rPr>
          <w:rFonts w:ascii="Courier New" w:hAnsi="Courier New" w:cs="Courier New"/>
          <w:sz w:val="24"/>
          <w:szCs w:val="24"/>
        </w:rPr>
        <w:t>under the section titled</w:t>
      </w:r>
      <w:r w:rsidR="00B80BCE" w:rsidRPr="000B172F">
        <w:rPr>
          <w:rFonts w:ascii="Courier New" w:hAnsi="Courier New" w:cs="Courier New"/>
          <w:sz w:val="24"/>
          <w:szCs w:val="24"/>
        </w:rPr>
        <w:t xml:space="preserve"> </w:t>
      </w:r>
      <w:r w:rsidR="00B80BCE" w:rsidRPr="008B59DA">
        <w:rPr>
          <w:rFonts w:ascii="Courier New" w:hAnsi="Courier New" w:cs="Courier New"/>
          <w:i/>
          <w:sz w:val="24"/>
          <w:szCs w:val="24"/>
        </w:rPr>
        <w:t>Justification</w:t>
      </w:r>
      <w:r w:rsidRPr="008B59DA">
        <w:rPr>
          <w:rFonts w:ascii="Courier New" w:hAnsi="Courier New" w:cs="Courier New"/>
          <w:sz w:val="24"/>
          <w:szCs w:val="24"/>
        </w:rPr>
        <w:t xml:space="preserve"> </w:t>
      </w:r>
      <w:r w:rsidR="002B6918" w:rsidRPr="008B59DA">
        <w:rPr>
          <w:rFonts w:ascii="Courier New" w:hAnsi="Courier New" w:cs="Courier New"/>
          <w:sz w:val="24"/>
          <w:szCs w:val="24"/>
        </w:rPr>
        <w:t>on p</w:t>
      </w:r>
      <w:r w:rsidRPr="008B59DA">
        <w:rPr>
          <w:rFonts w:ascii="Courier New" w:hAnsi="Courier New" w:cs="Courier New"/>
          <w:sz w:val="24"/>
          <w:szCs w:val="24"/>
        </w:rPr>
        <w:t>age</w:t>
      </w:r>
      <w:r w:rsidR="00973AD9">
        <w:rPr>
          <w:rFonts w:ascii="Courier New" w:hAnsi="Courier New" w:cs="Courier New"/>
          <w:sz w:val="24"/>
          <w:szCs w:val="24"/>
        </w:rPr>
        <w:t xml:space="preserve"> 4</w:t>
      </w:r>
      <w:r w:rsidR="00B80BCE" w:rsidRPr="008B59DA">
        <w:rPr>
          <w:rFonts w:ascii="Courier New" w:hAnsi="Courier New" w:cs="Courier New"/>
          <w:sz w:val="24"/>
          <w:szCs w:val="24"/>
        </w:rPr>
        <w:t>.</w:t>
      </w:r>
    </w:p>
    <w:p w:rsidR="00D3461D" w:rsidRPr="000B172F" w:rsidRDefault="00D3461D" w:rsidP="00D3461D">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Explanation of how burden hours were calculated has been added </w:t>
      </w:r>
      <w:r w:rsidR="001D61F8">
        <w:rPr>
          <w:rFonts w:ascii="Courier New" w:hAnsi="Courier New" w:cs="Courier New"/>
          <w:sz w:val="24"/>
          <w:szCs w:val="24"/>
        </w:rPr>
        <w:t xml:space="preserve">to Supporting Statement A, </w:t>
      </w:r>
      <w:r w:rsidRPr="000B172F">
        <w:rPr>
          <w:rFonts w:ascii="Courier New" w:hAnsi="Courier New" w:cs="Courier New"/>
          <w:sz w:val="24"/>
          <w:szCs w:val="24"/>
        </w:rPr>
        <w:t>under the section title</w:t>
      </w:r>
      <w:r w:rsidR="00B80BCE" w:rsidRPr="000B172F">
        <w:rPr>
          <w:rFonts w:ascii="Courier New" w:hAnsi="Courier New" w:cs="Courier New"/>
          <w:sz w:val="24"/>
          <w:szCs w:val="24"/>
        </w:rPr>
        <w:t xml:space="preserve">d </w:t>
      </w:r>
      <w:r w:rsidR="00B80BCE" w:rsidRPr="000B172F">
        <w:rPr>
          <w:rFonts w:ascii="Courier New" w:hAnsi="Courier New" w:cs="Courier New"/>
          <w:i/>
          <w:sz w:val="24"/>
          <w:szCs w:val="24"/>
        </w:rPr>
        <w:t>Estimated Annualized Burden Hours and Costs</w:t>
      </w:r>
      <w:r w:rsidRPr="000B172F">
        <w:rPr>
          <w:rFonts w:ascii="Courier New" w:hAnsi="Courier New" w:cs="Courier New"/>
          <w:sz w:val="24"/>
          <w:szCs w:val="24"/>
        </w:rPr>
        <w:t xml:space="preserve"> </w:t>
      </w:r>
      <w:r w:rsidR="00973AD9">
        <w:rPr>
          <w:rFonts w:ascii="Courier New" w:hAnsi="Courier New" w:cs="Courier New"/>
          <w:sz w:val="24"/>
          <w:szCs w:val="24"/>
        </w:rPr>
        <w:t>starting on page 13</w:t>
      </w:r>
      <w:r w:rsidR="00B80BCE" w:rsidRPr="000B172F">
        <w:rPr>
          <w:rFonts w:ascii="Courier New" w:hAnsi="Courier New" w:cs="Courier New"/>
          <w:sz w:val="24"/>
          <w:szCs w:val="24"/>
        </w:rPr>
        <w:t>.</w:t>
      </w:r>
    </w:p>
    <w:p w:rsidR="00D3461D" w:rsidRPr="000B172F" w:rsidRDefault="00FB5DE0" w:rsidP="00D3461D">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00D3461D" w:rsidRPr="000B172F">
        <w:rPr>
          <w:rFonts w:ascii="Courier New" w:hAnsi="Courier New" w:cs="Courier New"/>
          <w:sz w:val="24"/>
          <w:szCs w:val="24"/>
        </w:rPr>
        <w:t>Table A</w:t>
      </w:r>
      <w:r w:rsidR="00983F07">
        <w:rPr>
          <w:rFonts w:ascii="Courier New" w:hAnsi="Courier New" w:cs="Courier New"/>
          <w:sz w:val="24"/>
          <w:szCs w:val="24"/>
        </w:rPr>
        <w:t>.</w:t>
      </w:r>
      <w:r w:rsidR="00D3461D" w:rsidRPr="000B172F">
        <w:rPr>
          <w:rFonts w:ascii="Courier New" w:hAnsi="Courier New" w:cs="Courier New"/>
          <w:sz w:val="24"/>
          <w:szCs w:val="24"/>
        </w:rPr>
        <w:t>12-1: Estimated Annualized Burden Hours has been updated on page</w:t>
      </w:r>
      <w:r w:rsidR="00973AD9">
        <w:rPr>
          <w:rFonts w:ascii="Courier New" w:hAnsi="Courier New" w:cs="Courier New"/>
          <w:sz w:val="24"/>
          <w:szCs w:val="24"/>
        </w:rPr>
        <w:t xml:space="preserve"> 1</w:t>
      </w:r>
      <w:r w:rsidR="000B2E30">
        <w:rPr>
          <w:rFonts w:ascii="Courier New" w:hAnsi="Courier New" w:cs="Courier New"/>
          <w:sz w:val="24"/>
          <w:szCs w:val="24"/>
        </w:rPr>
        <w:t>6</w:t>
      </w:r>
      <w:r w:rsidR="005071CA">
        <w:rPr>
          <w:rFonts w:ascii="Courier New" w:hAnsi="Courier New" w:cs="Courier New"/>
          <w:sz w:val="24"/>
          <w:szCs w:val="24"/>
        </w:rPr>
        <w:t>.</w:t>
      </w:r>
    </w:p>
    <w:p w:rsidR="00D3461D" w:rsidRPr="000B172F" w:rsidRDefault="00FB5DE0" w:rsidP="00D3461D">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00D3461D" w:rsidRPr="000B172F">
        <w:rPr>
          <w:rFonts w:ascii="Courier New" w:hAnsi="Courier New" w:cs="Courier New"/>
          <w:sz w:val="24"/>
          <w:szCs w:val="24"/>
        </w:rPr>
        <w:t>Table A</w:t>
      </w:r>
      <w:r w:rsidR="00983F07">
        <w:rPr>
          <w:rFonts w:ascii="Courier New" w:hAnsi="Courier New" w:cs="Courier New"/>
          <w:sz w:val="24"/>
          <w:szCs w:val="24"/>
        </w:rPr>
        <w:t>.</w:t>
      </w:r>
      <w:r w:rsidR="00D3461D" w:rsidRPr="000B172F">
        <w:rPr>
          <w:rFonts w:ascii="Courier New" w:hAnsi="Courier New" w:cs="Courier New"/>
          <w:sz w:val="24"/>
          <w:szCs w:val="24"/>
        </w:rPr>
        <w:t xml:space="preserve">12-2: Estimated Annualized Burden Costs has been updated on </w:t>
      </w:r>
      <w:r w:rsidR="00973AD9">
        <w:rPr>
          <w:rFonts w:ascii="Courier New" w:hAnsi="Courier New" w:cs="Courier New"/>
          <w:sz w:val="24"/>
          <w:szCs w:val="24"/>
        </w:rPr>
        <w:t>page 16</w:t>
      </w:r>
      <w:r w:rsidR="00B80BCE" w:rsidRPr="000B172F">
        <w:rPr>
          <w:rFonts w:ascii="Courier New" w:hAnsi="Courier New" w:cs="Courier New"/>
          <w:sz w:val="24"/>
          <w:szCs w:val="24"/>
        </w:rPr>
        <w:t>.</w:t>
      </w:r>
    </w:p>
    <w:p w:rsidR="00D3461D" w:rsidRPr="000B172F" w:rsidRDefault="00D3461D" w:rsidP="00D3461D">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Addition of the updated data collection </w:t>
      </w:r>
      <w:r w:rsidR="00F71CF3">
        <w:rPr>
          <w:rFonts w:ascii="Courier New" w:hAnsi="Courier New" w:cs="Courier New"/>
          <w:sz w:val="24"/>
          <w:szCs w:val="24"/>
        </w:rPr>
        <w:t>files</w:t>
      </w:r>
      <w:r w:rsidRPr="000B172F">
        <w:rPr>
          <w:rFonts w:ascii="Courier New" w:hAnsi="Courier New" w:cs="Courier New"/>
          <w:sz w:val="24"/>
          <w:szCs w:val="24"/>
        </w:rPr>
        <w:t xml:space="preserve"> (</w:t>
      </w:r>
      <w:r w:rsidRPr="000B172F">
        <w:rPr>
          <w:rFonts w:ascii="Courier New" w:hAnsi="Courier New" w:cs="Courier New"/>
          <w:b/>
          <w:sz w:val="24"/>
          <w:szCs w:val="24"/>
        </w:rPr>
        <w:t>Att</w:t>
      </w:r>
      <w:r w:rsidR="00FB5DE0">
        <w:rPr>
          <w:rFonts w:ascii="Courier New" w:hAnsi="Courier New" w:cs="Courier New"/>
          <w:b/>
          <w:sz w:val="24"/>
          <w:szCs w:val="24"/>
        </w:rPr>
        <w:t>achment</w:t>
      </w:r>
      <w:r w:rsidRPr="000B172F">
        <w:rPr>
          <w:rFonts w:ascii="Courier New" w:hAnsi="Courier New" w:cs="Courier New"/>
          <w:b/>
          <w:sz w:val="24"/>
          <w:szCs w:val="24"/>
        </w:rPr>
        <w:t xml:space="preserve"> 3</w:t>
      </w:r>
      <w:r w:rsidR="00B80BCE" w:rsidRPr="000B172F">
        <w:rPr>
          <w:rFonts w:ascii="Courier New" w:hAnsi="Courier New" w:cs="Courier New"/>
          <w:b/>
          <w:sz w:val="24"/>
          <w:szCs w:val="24"/>
        </w:rPr>
        <w:t>a2</w:t>
      </w:r>
      <w:r w:rsidR="00F71CF3">
        <w:rPr>
          <w:rFonts w:ascii="Courier New" w:hAnsi="Courier New" w:cs="Courier New"/>
          <w:b/>
          <w:sz w:val="24"/>
          <w:szCs w:val="24"/>
        </w:rPr>
        <w:t>, Attachment 3b</w:t>
      </w:r>
      <w:r w:rsidRPr="000B172F">
        <w:rPr>
          <w:rFonts w:ascii="Courier New" w:hAnsi="Courier New" w:cs="Courier New"/>
          <w:sz w:val="24"/>
          <w:szCs w:val="24"/>
        </w:rPr>
        <w:t>)</w:t>
      </w:r>
    </w:p>
    <w:p w:rsidR="005D203A" w:rsidRPr="000B172F" w:rsidRDefault="005D203A" w:rsidP="00D3461D">
      <w:pPr>
        <w:pStyle w:val="ListParagraph"/>
        <w:numPr>
          <w:ilvl w:val="0"/>
          <w:numId w:val="1"/>
        </w:numPr>
        <w:ind w:left="540" w:hanging="540"/>
        <w:rPr>
          <w:rFonts w:ascii="Courier New" w:hAnsi="Courier New" w:cs="Courier New"/>
          <w:sz w:val="24"/>
          <w:szCs w:val="24"/>
        </w:rPr>
      </w:pPr>
      <w:r w:rsidRPr="000B172F">
        <w:rPr>
          <w:rFonts w:ascii="Courier New" w:hAnsi="Courier New" w:cs="Courier New"/>
          <w:sz w:val="24"/>
          <w:szCs w:val="24"/>
        </w:rPr>
        <w:t xml:space="preserve">Identification of bacterial isolates that appear to be </w:t>
      </w:r>
      <w:r w:rsidRPr="000B172F">
        <w:rPr>
          <w:rFonts w:ascii="Courier New" w:hAnsi="Courier New" w:cs="Courier New"/>
          <w:i/>
          <w:sz w:val="24"/>
          <w:szCs w:val="24"/>
        </w:rPr>
        <w:t>N. gonorrhoeae</w:t>
      </w:r>
      <w:r w:rsidRPr="000B172F">
        <w:rPr>
          <w:rFonts w:ascii="Courier New" w:hAnsi="Courier New" w:cs="Courier New"/>
          <w:sz w:val="24"/>
          <w:szCs w:val="24"/>
        </w:rPr>
        <w:t xml:space="preserve"> by routine laboratory testing but are actually a different kind of bacteria</w:t>
      </w:r>
    </w:p>
    <w:p w:rsidR="005D203A" w:rsidRPr="000B172F" w:rsidRDefault="005D203A" w:rsidP="005D203A">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A summary of the enhanced data collection has been added </w:t>
      </w:r>
      <w:r w:rsidR="00FB5DE0">
        <w:rPr>
          <w:rFonts w:ascii="Courier New" w:hAnsi="Courier New" w:cs="Courier New"/>
          <w:sz w:val="24"/>
          <w:szCs w:val="24"/>
        </w:rPr>
        <w:t xml:space="preserve">to Supporting Statement A, </w:t>
      </w:r>
      <w:r w:rsidRPr="000B172F">
        <w:rPr>
          <w:rFonts w:ascii="Courier New" w:hAnsi="Courier New" w:cs="Courier New"/>
          <w:sz w:val="24"/>
          <w:szCs w:val="24"/>
        </w:rPr>
        <w:t xml:space="preserve">under the section titled </w:t>
      </w:r>
      <w:r w:rsidRPr="000B172F">
        <w:rPr>
          <w:rFonts w:ascii="Courier New" w:hAnsi="Courier New" w:cs="Courier New"/>
          <w:i/>
          <w:sz w:val="24"/>
          <w:szCs w:val="24"/>
        </w:rPr>
        <w:t>Justification</w:t>
      </w:r>
      <w:r w:rsidR="00BA1BEC">
        <w:rPr>
          <w:rFonts w:ascii="Courier New" w:hAnsi="Courier New" w:cs="Courier New"/>
          <w:sz w:val="24"/>
          <w:szCs w:val="24"/>
        </w:rPr>
        <w:t xml:space="preserve"> on page 5</w:t>
      </w:r>
      <w:r w:rsidRPr="000B172F">
        <w:rPr>
          <w:rFonts w:ascii="Courier New" w:hAnsi="Courier New" w:cs="Courier New"/>
          <w:sz w:val="24"/>
          <w:szCs w:val="24"/>
        </w:rPr>
        <w:t>.</w:t>
      </w:r>
    </w:p>
    <w:p w:rsidR="005D203A" w:rsidRPr="000B172F" w:rsidRDefault="005D203A" w:rsidP="005D203A">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Explanation of how burden hours were calculated has been added </w:t>
      </w:r>
      <w:r w:rsidR="00FB5DE0">
        <w:rPr>
          <w:rFonts w:ascii="Courier New" w:hAnsi="Courier New" w:cs="Courier New"/>
          <w:sz w:val="24"/>
          <w:szCs w:val="24"/>
        </w:rPr>
        <w:t xml:space="preserve">to Supporting Statement A, </w:t>
      </w:r>
      <w:r w:rsidRPr="000B172F">
        <w:rPr>
          <w:rFonts w:ascii="Courier New" w:hAnsi="Courier New" w:cs="Courier New"/>
          <w:sz w:val="24"/>
          <w:szCs w:val="24"/>
        </w:rPr>
        <w:t xml:space="preserve">under the section titled </w:t>
      </w:r>
      <w:r w:rsidRPr="000B172F">
        <w:rPr>
          <w:rFonts w:ascii="Courier New" w:hAnsi="Courier New" w:cs="Courier New"/>
          <w:i/>
          <w:sz w:val="24"/>
          <w:szCs w:val="24"/>
        </w:rPr>
        <w:t>Estimated Annualized Burden Hours and Costs</w:t>
      </w:r>
      <w:r w:rsidRPr="000B172F">
        <w:rPr>
          <w:rFonts w:ascii="Courier New" w:hAnsi="Courier New" w:cs="Courier New"/>
          <w:sz w:val="24"/>
          <w:szCs w:val="24"/>
        </w:rPr>
        <w:t xml:space="preserve"> </w:t>
      </w:r>
      <w:r w:rsidR="00BA1BEC">
        <w:rPr>
          <w:rFonts w:ascii="Courier New" w:hAnsi="Courier New" w:cs="Courier New"/>
          <w:sz w:val="24"/>
          <w:szCs w:val="24"/>
        </w:rPr>
        <w:t xml:space="preserve">starting on </w:t>
      </w:r>
      <w:r w:rsidRPr="000B172F">
        <w:rPr>
          <w:rFonts w:ascii="Courier New" w:hAnsi="Courier New" w:cs="Courier New"/>
          <w:sz w:val="24"/>
          <w:szCs w:val="24"/>
        </w:rPr>
        <w:t xml:space="preserve">page </w:t>
      </w:r>
      <w:r w:rsidR="00F71CF3">
        <w:rPr>
          <w:rFonts w:ascii="Courier New" w:hAnsi="Courier New" w:cs="Courier New"/>
          <w:sz w:val="24"/>
          <w:szCs w:val="24"/>
        </w:rPr>
        <w:t>1</w:t>
      </w:r>
      <w:r w:rsidR="00973AD9">
        <w:rPr>
          <w:rFonts w:ascii="Courier New" w:hAnsi="Courier New" w:cs="Courier New"/>
          <w:sz w:val="24"/>
          <w:szCs w:val="24"/>
        </w:rPr>
        <w:t>3</w:t>
      </w:r>
      <w:r w:rsidRPr="000B172F">
        <w:rPr>
          <w:rFonts w:ascii="Courier New" w:hAnsi="Courier New" w:cs="Courier New"/>
          <w:sz w:val="24"/>
          <w:szCs w:val="24"/>
        </w:rPr>
        <w:t>.</w:t>
      </w:r>
    </w:p>
    <w:p w:rsidR="005D203A" w:rsidRPr="000B172F" w:rsidRDefault="00FB5DE0" w:rsidP="005D203A">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005D203A" w:rsidRPr="000B172F">
        <w:rPr>
          <w:rFonts w:ascii="Courier New" w:hAnsi="Courier New" w:cs="Courier New"/>
          <w:sz w:val="24"/>
          <w:szCs w:val="24"/>
        </w:rPr>
        <w:t>Table A</w:t>
      </w:r>
      <w:r w:rsidR="00983F07">
        <w:rPr>
          <w:rFonts w:ascii="Courier New" w:hAnsi="Courier New" w:cs="Courier New"/>
          <w:sz w:val="24"/>
          <w:szCs w:val="24"/>
        </w:rPr>
        <w:t>.</w:t>
      </w:r>
      <w:r w:rsidR="005D203A" w:rsidRPr="000B172F">
        <w:rPr>
          <w:rFonts w:ascii="Courier New" w:hAnsi="Courier New" w:cs="Courier New"/>
          <w:sz w:val="24"/>
          <w:szCs w:val="24"/>
        </w:rPr>
        <w:t>12-1: Estimated Annualized Burden H</w:t>
      </w:r>
      <w:r w:rsidR="00973AD9">
        <w:rPr>
          <w:rFonts w:ascii="Courier New" w:hAnsi="Courier New" w:cs="Courier New"/>
          <w:sz w:val="24"/>
          <w:szCs w:val="24"/>
        </w:rPr>
        <w:t>ours has been updated on page 1</w:t>
      </w:r>
      <w:r w:rsidR="000B2E30">
        <w:rPr>
          <w:rFonts w:ascii="Courier New" w:hAnsi="Courier New" w:cs="Courier New"/>
          <w:sz w:val="24"/>
          <w:szCs w:val="24"/>
        </w:rPr>
        <w:t>6</w:t>
      </w:r>
      <w:r w:rsidR="005071CA">
        <w:rPr>
          <w:rFonts w:ascii="Courier New" w:hAnsi="Courier New" w:cs="Courier New"/>
          <w:sz w:val="24"/>
          <w:szCs w:val="24"/>
        </w:rPr>
        <w:t>.</w:t>
      </w:r>
    </w:p>
    <w:p w:rsidR="005D203A" w:rsidRPr="000B172F" w:rsidRDefault="00FB5DE0" w:rsidP="005D203A">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005D203A" w:rsidRPr="000B172F">
        <w:rPr>
          <w:rFonts w:ascii="Courier New" w:hAnsi="Courier New" w:cs="Courier New"/>
          <w:sz w:val="24"/>
          <w:szCs w:val="24"/>
        </w:rPr>
        <w:t>Table A</w:t>
      </w:r>
      <w:r w:rsidR="00983F07">
        <w:rPr>
          <w:rFonts w:ascii="Courier New" w:hAnsi="Courier New" w:cs="Courier New"/>
          <w:sz w:val="24"/>
          <w:szCs w:val="24"/>
        </w:rPr>
        <w:t>.</w:t>
      </w:r>
      <w:r w:rsidR="005D203A" w:rsidRPr="000B172F">
        <w:rPr>
          <w:rFonts w:ascii="Courier New" w:hAnsi="Courier New" w:cs="Courier New"/>
          <w:sz w:val="24"/>
          <w:szCs w:val="24"/>
        </w:rPr>
        <w:t>12-2: Estimated Annualized Burden C</w:t>
      </w:r>
      <w:r w:rsidR="00973AD9">
        <w:rPr>
          <w:rFonts w:ascii="Courier New" w:hAnsi="Courier New" w:cs="Courier New"/>
          <w:sz w:val="24"/>
          <w:szCs w:val="24"/>
        </w:rPr>
        <w:t>osts has been updated on page 16</w:t>
      </w:r>
      <w:r w:rsidR="005D203A" w:rsidRPr="000B172F">
        <w:rPr>
          <w:rFonts w:ascii="Courier New" w:hAnsi="Courier New" w:cs="Courier New"/>
          <w:sz w:val="24"/>
          <w:szCs w:val="24"/>
        </w:rPr>
        <w:t>.</w:t>
      </w:r>
    </w:p>
    <w:p w:rsidR="00D3461D" w:rsidRPr="000B172F" w:rsidRDefault="00D3461D" w:rsidP="00D3461D">
      <w:pPr>
        <w:pStyle w:val="ListParagraph"/>
        <w:numPr>
          <w:ilvl w:val="0"/>
          <w:numId w:val="1"/>
        </w:numPr>
        <w:ind w:left="540" w:hanging="540"/>
        <w:rPr>
          <w:rFonts w:ascii="Courier New" w:hAnsi="Courier New" w:cs="Courier New"/>
          <w:sz w:val="24"/>
          <w:szCs w:val="24"/>
        </w:rPr>
      </w:pPr>
      <w:r w:rsidRPr="000B172F">
        <w:rPr>
          <w:rFonts w:ascii="Courier New" w:hAnsi="Courier New" w:cs="Courier New"/>
          <w:sz w:val="24"/>
          <w:szCs w:val="24"/>
        </w:rPr>
        <w:t xml:space="preserve">Reduction in the burden of testing </w:t>
      </w:r>
      <w:r w:rsidR="00CA554D">
        <w:rPr>
          <w:rFonts w:ascii="Courier New" w:hAnsi="Courier New" w:cs="Courier New"/>
          <w:sz w:val="24"/>
          <w:szCs w:val="24"/>
        </w:rPr>
        <w:t xml:space="preserve">and reporting </w:t>
      </w:r>
      <w:r w:rsidRPr="000B172F">
        <w:rPr>
          <w:rFonts w:ascii="Courier New" w:hAnsi="Courier New" w:cs="Courier New"/>
          <w:sz w:val="24"/>
          <w:szCs w:val="24"/>
        </w:rPr>
        <w:t>control strains at regional laboratories</w:t>
      </w:r>
    </w:p>
    <w:p w:rsidR="00D3461D" w:rsidRPr="000B172F" w:rsidRDefault="00D3461D" w:rsidP="00B80BCE">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A summary of change in control strain testing </w:t>
      </w:r>
      <w:r w:rsidR="00B80BCE" w:rsidRPr="000B172F">
        <w:rPr>
          <w:rFonts w:ascii="Courier New" w:hAnsi="Courier New" w:cs="Courier New"/>
          <w:sz w:val="24"/>
          <w:szCs w:val="24"/>
        </w:rPr>
        <w:t xml:space="preserve">and explanation </w:t>
      </w:r>
      <w:r w:rsidRPr="000B172F">
        <w:rPr>
          <w:rFonts w:ascii="Courier New" w:hAnsi="Courier New" w:cs="Courier New"/>
          <w:sz w:val="24"/>
          <w:szCs w:val="24"/>
        </w:rPr>
        <w:t xml:space="preserve">of how burden hours were calculated has been added </w:t>
      </w:r>
      <w:r w:rsidR="00FB5DE0">
        <w:rPr>
          <w:rFonts w:ascii="Courier New" w:hAnsi="Courier New" w:cs="Courier New"/>
          <w:sz w:val="24"/>
          <w:szCs w:val="24"/>
        </w:rPr>
        <w:t xml:space="preserve">to Supporting Statement A, </w:t>
      </w:r>
      <w:r w:rsidRPr="000B172F">
        <w:rPr>
          <w:rFonts w:ascii="Courier New" w:hAnsi="Courier New" w:cs="Courier New"/>
          <w:sz w:val="24"/>
          <w:szCs w:val="24"/>
        </w:rPr>
        <w:t>under the section titled</w:t>
      </w:r>
      <w:r w:rsidR="00B80BCE" w:rsidRPr="000B172F">
        <w:rPr>
          <w:rFonts w:ascii="Courier New" w:hAnsi="Courier New" w:cs="Courier New"/>
          <w:i/>
          <w:sz w:val="24"/>
          <w:szCs w:val="24"/>
        </w:rPr>
        <w:t xml:space="preserve"> Estimated Annualized Burden Hours and Costs</w:t>
      </w:r>
      <w:r w:rsidR="00B80BCE" w:rsidRPr="000B172F">
        <w:rPr>
          <w:rFonts w:ascii="Courier New" w:hAnsi="Courier New" w:cs="Courier New"/>
          <w:sz w:val="24"/>
          <w:szCs w:val="24"/>
        </w:rPr>
        <w:t xml:space="preserve"> </w:t>
      </w:r>
      <w:r w:rsidR="005071CA">
        <w:rPr>
          <w:rFonts w:ascii="Courier New" w:hAnsi="Courier New" w:cs="Courier New"/>
          <w:sz w:val="24"/>
          <w:szCs w:val="24"/>
        </w:rPr>
        <w:t xml:space="preserve">starting </w:t>
      </w:r>
      <w:r w:rsidR="00973AD9">
        <w:rPr>
          <w:rFonts w:ascii="Courier New" w:hAnsi="Courier New" w:cs="Courier New"/>
          <w:sz w:val="24"/>
          <w:szCs w:val="24"/>
        </w:rPr>
        <w:t>on page 13</w:t>
      </w:r>
      <w:r w:rsidR="00B80BCE" w:rsidRPr="000B172F">
        <w:rPr>
          <w:rFonts w:ascii="Courier New" w:hAnsi="Courier New" w:cs="Courier New"/>
          <w:sz w:val="24"/>
          <w:szCs w:val="24"/>
        </w:rPr>
        <w:t>.</w:t>
      </w:r>
    </w:p>
    <w:p w:rsidR="00D3461D" w:rsidRPr="000B172F" w:rsidRDefault="00FB5DE0" w:rsidP="00D3461D">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00D3461D" w:rsidRPr="000B172F">
        <w:rPr>
          <w:rFonts w:ascii="Courier New" w:hAnsi="Courier New" w:cs="Courier New"/>
          <w:sz w:val="24"/>
          <w:szCs w:val="24"/>
        </w:rPr>
        <w:t>Table A</w:t>
      </w:r>
      <w:r w:rsidR="00983F07">
        <w:rPr>
          <w:rFonts w:ascii="Courier New" w:hAnsi="Courier New" w:cs="Courier New"/>
          <w:sz w:val="24"/>
          <w:szCs w:val="24"/>
        </w:rPr>
        <w:t>.</w:t>
      </w:r>
      <w:r w:rsidR="00D3461D" w:rsidRPr="000B172F">
        <w:rPr>
          <w:rFonts w:ascii="Courier New" w:hAnsi="Courier New" w:cs="Courier New"/>
          <w:sz w:val="24"/>
          <w:szCs w:val="24"/>
        </w:rPr>
        <w:t>12-1: Estimated Annualized Burden Hours has been updated on page</w:t>
      </w:r>
      <w:r w:rsidR="00B80BCE" w:rsidRPr="000B172F">
        <w:rPr>
          <w:rFonts w:ascii="Courier New" w:hAnsi="Courier New" w:cs="Courier New"/>
          <w:sz w:val="24"/>
          <w:szCs w:val="24"/>
        </w:rPr>
        <w:t xml:space="preserve"> </w:t>
      </w:r>
      <w:r w:rsidR="00973AD9">
        <w:rPr>
          <w:rFonts w:ascii="Courier New" w:hAnsi="Courier New" w:cs="Courier New"/>
          <w:sz w:val="24"/>
          <w:szCs w:val="24"/>
        </w:rPr>
        <w:t>1</w:t>
      </w:r>
      <w:r w:rsidR="000B2E30">
        <w:rPr>
          <w:rFonts w:ascii="Courier New" w:hAnsi="Courier New" w:cs="Courier New"/>
          <w:sz w:val="24"/>
          <w:szCs w:val="24"/>
        </w:rPr>
        <w:t>6</w:t>
      </w:r>
      <w:r w:rsidR="00B80BCE" w:rsidRPr="000B172F">
        <w:rPr>
          <w:rFonts w:ascii="Courier New" w:hAnsi="Courier New" w:cs="Courier New"/>
          <w:sz w:val="24"/>
          <w:szCs w:val="24"/>
        </w:rPr>
        <w:t>.</w:t>
      </w:r>
    </w:p>
    <w:p w:rsidR="00D3461D" w:rsidRPr="000B172F" w:rsidRDefault="00FB5DE0" w:rsidP="00D3461D">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00D3461D" w:rsidRPr="000B172F">
        <w:rPr>
          <w:rFonts w:ascii="Courier New" w:hAnsi="Courier New" w:cs="Courier New"/>
          <w:sz w:val="24"/>
          <w:szCs w:val="24"/>
        </w:rPr>
        <w:t>Table A</w:t>
      </w:r>
      <w:r w:rsidR="00983F07">
        <w:rPr>
          <w:rFonts w:ascii="Courier New" w:hAnsi="Courier New" w:cs="Courier New"/>
          <w:sz w:val="24"/>
          <w:szCs w:val="24"/>
        </w:rPr>
        <w:t>.</w:t>
      </w:r>
      <w:r w:rsidR="00D3461D" w:rsidRPr="000B172F">
        <w:rPr>
          <w:rFonts w:ascii="Courier New" w:hAnsi="Courier New" w:cs="Courier New"/>
          <w:sz w:val="24"/>
          <w:szCs w:val="24"/>
        </w:rPr>
        <w:t xml:space="preserve">12-2: Estimated Annualized Burden Costs has been updated on </w:t>
      </w:r>
      <w:r w:rsidR="00973AD9">
        <w:rPr>
          <w:rFonts w:ascii="Courier New" w:hAnsi="Courier New" w:cs="Courier New"/>
          <w:sz w:val="24"/>
          <w:szCs w:val="24"/>
        </w:rPr>
        <w:t>page 1</w:t>
      </w:r>
      <w:r w:rsidR="000B2E30">
        <w:rPr>
          <w:rFonts w:ascii="Courier New" w:hAnsi="Courier New" w:cs="Courier New"/>
          <w:sz w:val="24"/>
          <w:szCs w:val="24"/>
        </w:rPr>
        <w:t>7</w:t>
      </w:r>
      <w:r w:rsidR="00B80BCE" w:rsidRPr="000B172F">
        <w:rPr>
          <w:rFonts w:ascii="Courier New" w:hAnsi="Courier New" w:cs="Courier New"/>
          <w:sz w:val="24"/>
          <w:szCs w:val="24"/>
        </w:rPr>
        <w:t>.</w:t>
      </w:r>
    </w:p>
    <w:p w:rsidR="00646C93" w:rsidRPr="00417435" w:rsidRDefault="00CA554D" w:rsidP="008E6A72">
      <w:pPr>
        <w:pStyle w:val="ListParagraph"/>
        <w:numPr>
          <w:ilvl w:val="0"/>
          <w:numId w:val="1"/>
        </w:numPr>
        <w:rPr>
          <w:rFonts w:ascii="Courier New" w:hAnsi="Courier New" w:cs="Courier New"/>
          <w:sz w:val="24"/>
          <w:szCs w:val="24"/>
        </w:rPr>
      </w:pPr>
      <w:r>
        <w:rPr>
          <w:rFonts w:ascii="Courier New" w:hAnsi="Courier New" w:cs="Courier New"/>
          <w:sz w:val="24"/>
          <w:szCs w:val="24"/>
        </w:rPr>
        <w:t>Increase</w:t>
      </w:r>
      <w:r w:rsidR="00417435" w:rsidRPr="00417435">
        <w:rPr>
          <w:rFonts w:ascii="Courier New" w:hAnsi="Courier New" w:cs="Courier New"/>
          <w:sz w:val="24"/>
          <w:szCs w:val="24"/>
        </w:rPr>
        <w:t xml:space="preserve"> in testing volume of the regional laboratories. </w:t>
      </w:r>
    </w:p>
    <w:p w:rsidR="00417435" w:rsidRPr="000B172F" w:rsidRDefault="00417435" w:rsidP="008E6A72">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A summary of change in </w:t>
      </w:r>
      <w:r w:rsidR="008E6A72">
        <w:rPr>
          <w:rFonts w:ascii="Courier New" w:hAnsi="Courier New" w:cs="Courier New"/>
          <w:sz w:val="24"/>
          <w:szCs w:val="24"/>
        </w:rPr>
        <w:t>antimicrobial susceptibility</w:t>
      </w:r>
      <w:r w:rsidRPr="000B172F">
        <w:rPr>
          <w:rFonts w:ascii="Courier New" w:hAnsi="Courier New" w:cs="Courier New"/>
          <w:sz w:val="24"/>
          <w:szCs w:val="24"/>
        </w:rPr>
        <w:t xml:space="preserve"> testing and explanation of how burden hours were calculated has been added </w:t>
      </w:r>
      <w:r w:rsidR="00FB5DE0">
        <w:rPr>
          <w:rFonts w:ascii="Courier New" w:hAnsi="Courier New" w:cs="Courier New"/>
          <w:sz w:val="24"/>
          <w:szCs w:val="24"/>
        </w:rPr>
        <w:t xml:space="preserve">to Supporting Statement A, </w:t>
      </w:r>
      <w:r w:rsidRPr="000B172F">
        <w:rPr>
          <w:rFonts w:ascii="Courier New" w:hAnsi="Courier New" w:cs="Courier New"/>
          <w:sz w:val="24"/>
          <w:szCs w:val="24"/>
        </w:rPr>
        <w:t>under the section titled</w:t>
      </w:r>
      <w:r w:rsidRPr="000B172F">
        <w:rPr>
          <w:rFonts w:ascii="Courier New" w:hAnsi="Courier New" w:cs="Courier New"/>
          <w:i/>
          <w:sz w:val="24"/>
          <w:szCs w:val="24"/>
        </w:rPr>
        <w:t xml:space="preserve"> Estimated Annualized Burden Hours and Costs</w:t>
      </w:r>
      <w:r w:rsidRPr="000B172F">
        <w:rPr>
          <w:rFonts w:ascii="Courier New" w:hAnsi="Courier New" w:cs="Courier New"/>
          <w:sz w:val="24"/>
          <w:szCs w:val="24"/>
        </w:rPr>
        <w:t xml:space="preserve"> </w:t>
      </w:r>
      <w:r w:rsidR="00676ADF">
        <w:rPr>
          <w:rFonts w:ascii="Courier New" w:hAnsi="Courier New" w:cs="Courier New"/>
          <w:sz w:val="24"/>
          <w:szCs w:val="24"/>
        </w:rPr>
        <w:t xml:space="preserve">starting </w:t>
      </w:r>
      <w:r w:rsidRPr="000B172F">
        <w:rPr>
          <w:rFonts w:ascii="Courier New" w:hAnsi="Courier New" w:cs="Courier New"/>
          <w:sz w:val="24"/>
          <w:szCs w:val="24"/>
        </w:rPr>
        <w:t>on page</w:t>
      </w:r>
      <w:r w:rsidR="00676ADF">
        <w:rPr>
          <w:rFonts w:ascii="Courier New" w:hAnsi="Courier New" w:cs="Courier New"/>
          <w:sz w:val="24"/>
          <w:szCs w:val="24"/>
        </w:rPr>
        <w:t xml:space="preserve"> </w:t>
      </w:r>
      <w:r w:rsidR="00973AD9">
        <w:rPr>
          <w:rFonts w:ascii="Courier New" w:hAnsi="Courier New" w:cs="Courier New"/>
          <w:sz w:val="24"/>
          <w:szCs w:val="24"/>
        </w:rPr>
        <w:t>13</w:t>
      </w:r>
      <w:r w:rsidRPr="000B172F">
        <w:rPr>
          <w:rFonts w:ascii="Courier New" w:hAnsi="Courier New" w:cs="Courier New"/>
          <w:sz w:val="24"/>
          <w:szCs w:val="24"/>
        </w:rPr>
        <w:t>.</w:t>
      </w:r>
    </w:p>
    <w:p w:rsidR="00417435" w:rsidRPr="000B172F" w:rsidRDefault="00FB5DE0" w:rsidP="008E6A72">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00417435" w:rsidRPr="000B172F">
        <w:rPr>
          <w:rFonts w:ascii="Courier New" w:hAnsi="Courier New" w:cs="Courier New"/>
          <w:sz w:val="24"/>
          <w:szCs w:val="24"/>
        </w:rPr>
        <w:t>Table A</w:t>
      </w:r>
      <w:r w:rsidR="00983F07">
        <w:rPr>
          <w:rFonts w:ascii="Courier New" w:hAnsi="Courier New" w:cs="Courier New"/>
          <w:sz w:val="24"/>
          <w:szCs w:val="24"/>
        </w:rPr>
        <w:t>.</w:t>
      </w:r>
      <w:r w:rsidR="00417435" w:rsidRPr="000B172F">
        <w:rPr>
          <w:rFonts w:ascii="Courier New" w:hAnsi="Courier New" w:cs="Courier New"/>
          <w:sz w:val="24"/>
          <w:szCs w:val="24"/>
        </w:rPr>
        <w:t>12-1: Estimated Annualized Burden H</w:t>
      </w:r>
      <w:r w:rsidR="00973AD9">
        <w:rPr>
          <w:rFonts w:ascii="Courier New" w:hAnsi="Courier New" w:cs="Courier New"/>
          <w:sz w:val="24"/>
          <w:szCs w:val="24"/>
        </w:rPr>
        <w:t>ours has been updated on page 1</w:t>
      </w:r>
      <w:r w:rsidR="000B2E30">
        <w:rPr>
          <w:rFonts w:ascii="Courier New" w:hAnsi="Courier New" w:cs="Courier New"/>
          <w:sz w:val="24"/>
          <w:szCs w:val="24"/>
        </w:rPr>
        <w:t>6</w:t>
      </w:r>
      <w:r w:rsidR="00417435" w:rsidRPr="000B172F">
        <w:rPr>
          <w:rFonts w:ascii="Courier New" w:hAnsi="Courier New" w:cs="Courier New"/>
          <w:sz w:val="24"/>
          <w:szCs w:val="24"/>
        </w:rPr>
        <w:t>.</w:t>
      </w:r>
    </w:p>
    <w:p w:rsidR="00417435" w:rsidRPr="000B172F" w:rsidRDefault="00FB5DE0" w:rsidP="008E6A72">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00417435" w:rsidRPr="000B172F">
        <w:rPr>
          <w:rFonts w:ascii="Courier New" w:hAnsi="Courier New" w:cs="Courier New"/>
          <w:sz w:val="24"/>
          <w:szCs w:val="24"/>
        </w:rPr>
        <w:t>Table A</w:t>
      </w:r>
      <w:r w:rsidR="00983F07">
        <w:rPr>
          <w:rFonts w:ascii="Courier New" w:hAnsi="Courier New" w:cs="Courier New"/>
          <w:sz w:val="24"/>
          <w:szCs w:val="24"/>
        </w:rPr>
        <w:t>.</w:t>
      </w:r>
      <w:r w:rsidR="00417435" w:rsidRPr="000B172F">
        <w:rPr>
          <w:rFonts w:ascii="Courier New" w:hAnsi="Courier New" w:cs="Courier New"/>
          <w:sz w:val="24"/>
          <w:szCs w:val="24"/>
        </w:rPr>
        <w:t>12-2: Estimated Annualized Burden C</w:t>
      </w:r>
      <w:r w:rsidR="00973AD9">
        <w:rPr>
          <w:rFonts w:ascii="Courier New" w:hAnsi="Courier New" w:cs="Courier New"/>
          <w:sz w:val="24"/>
          <w:szCs w:val="24"/>
        </w:rPr>
        <w:t>osts has been updated on page 1</w:t>
      </w:r>
      <w:r w:rsidR="000B2E30">
        <w:rPr>
          <w:rFonts w:ascii="Courier New" w:hAnsi="Courier New" w:cs="Courier New"/>
          <w:sz w:val="24"/>
          <w:szCs w:val="24"/>
        </w:rPr>
        <w:t>7</w:t>
      </w:r>
      <w:r w:rsidR="00417435" w:rsidRPr="000B172F">
        <w:rPr>
          <w:rFonts w:ascii="Courier New" w:hAnsi="Courier New" w:cs="Courier New"/>
          <w:sz w:val="24"/>
          <w:szCs w:val="24"/>
        </w:rPr>
        <w:t>.</w:t>
      </w:r>
    </w:p>
    <w:p w:rsidR="00417435" w:rsidRPr="00417435" w:rsidRDefault="00417435" w:rsidP="00417435">
      <w:pPr>
        <w:rPr>
          <w:rFonts w:ascii="Courier New" w:hAnsi="Courier New" w:cs="Courier New"/>
          <w:sz w:val="24"/>
          <w:szCs w:val="24"/>
        </w:rPr>
      </w:pPr>
    </w:p>
    <w:p w:rsidR="00646C93" w:rsidRPr="000B172F" w:rsidRDefault="00646C93" w:rsidP="00646C93">
      <w:pPr>
        <w:rPr>
          <w:rFonts w:ascii="Courier New" w:hAnsi="Courier New" w:cs="Courier New"/>
          <w:b/>
          <w:sz w:val="24"/>
          <w:szCs w:val="24"/>
        </w:rPr>
      </w:pPr>
      <w:r w:rsidRPr="000B172F">
        <w:rPr>
          <w:rFonts w:ascii="Courier New" w:hAnsi="Courier New" w:cs="Courier New"/>
          <w:b/>
          <w:sz w:val="24"/>
          <w:szCs w:val="24"/>
        </w:rPr>
        <w:t>Why c</w:t>
      </w:r>
      <w:r w:rsidR="009F523D" w:rsidRPr="000B172F">
        <w:rPr>
          <w:rFonts w:ascii="Courier New" w:hAnsi="Courier New" w:cs="Courier New"/>
          <w:b/>
          <w:sz w:val="24"/>
          <w:szCs w:val="24"/>
        </w:rPr>
        <w:t>hanges have been made to the information collection</w:t>
      </w:r>
    </w:p>
    <w:p w:rsidR="005D203A" w:rsidRPr="000B172F" w:rsidRDefault="005D203A" w:rsidP="008E6A72">
      <w:pPr>
        <w:ind w:firstLine="720"/>
        <w:rPr>
          <w:rFonts w:ascii="Courier New" w:hAnsi="Courier New" w:cs="Courier New"/>
          <w:sz w:val="24"/>
          <w:szCs w:val="24"/>
        </w:rPr>
      </w:pPr>
      <w:r w:rsidRPr="000B172F">
        <w:rPr>
          <w:rFonts w:ascii="Courier New" w:hAnsi="Courier New" w:cs="Courier New"/>
          <w:sz w:val="24"/>
          <w:szCs w:val="24"/>
        </w:rPr>
        <w:t xml:space="preserve">The Gonococcal Isolate Surveillance Project (GISP) is the only national and regional surveillance system that monitors </w:t>
      </w:r>
      <w:r w:rsidRPr="00F71CF3">
        <w:rPr>
          <w:rFonts w:ascii="Courier New" w:hAnsi="Courier New" w:cs="Courier New"/>
          <w:i/>
          <w:sz w:val="24"/>
          <w:szCs w:val="24"/>
        </w:rPr>
        <w:t>Neisseria gonorrhoeae</w:t>
      </w:r>
      <w:r w:rsidRPr="000B172F">
        <w:rPr>
          <w:rFonts w:ascii="Courier New" w:hAnsi="Courier New" w:cs="Courier New"/>
          <w:sz w:val="24"/>
          <w:szCs w:val="24"/>
        </w:rPr>
        <w:t xml:space="preserve"> antimicrobial susceptibility. Because </w:t>
      </w:r>
      <w:r w:rsidRPr="00FB5DE0">
        <w:rPr>
          <w:rFonts w:ascii="Courier New" w:hAnsi="Courier New" w:cs="Courier New"/>
          <w:i/>
          <w:sz w:val="24"/>
          <w:szCs w:val="24"/>
        </w:rPr>
        <w:t>N. gonorrhoeae</w:t>
      </w:r>
      <w:r w:rsidRPr="000B172F">
        <w:rPr>
          <w:rFonts w:ascii="Courier New" w:hAnsi="Courier New" w:cs="Courier New"/>
          <w:sz w:val="24"/>
          <w:szCs w:val="24"/>
        </w:rPr>
        <w:t xml:space="preserve"> resistance continues to emerge and fewer antimicrobial drugs are being brought to market, GISP is a critically important surveillance system. The project aims to continue to improve the way that surveillance is conducted. GISP has consistently provided robust data that allow monitoring of resistance trends and inform updates to treatment guidelines. However, GISP samples &lt;4% of reported male gonorrhea cases in the United States. This relatively limited scope likely limits the speed with which new resistance patterns are found and with which public health officials can respond. Expanding the number of isolates collected in GISP is expected to allow public health officials to detect and respond to resistance more quickly. In addition, GISP only samples urethral isolates. Published data suggest that resistance in </w:t>
      </w:r>
      <w:r w:rsidRPr="000B172F">
        <w:rPr>
          <w:rFonts w:ascii="Courier New" w:hAnsi="Courier New" w:cs="Courier New"/>
          <w:i/>
          <w:sz w:val="24"/>
          <w:szCs w:val="24"/>
        </w:rPr>
        <w:t>N. gonorrhoeae</w:t>
      </w:r>
      <w:r w:rsidRPr="000B172F">
        <w:rPr>
          <w:rFonts w:ascii="Courier New" w:hAnsi="Courier New" w:cs="Courier New"/>
          <w:sz w:val="24"/>
          <w:szCs w:val="24"/>
        </w:rPr>
        <w:t xml:space="preserve"> might develop initially in non-genital anatomic sites, such as the pharynx. Including isolates from the pharynx and other anatomic sites is expected to also support public health efforts to detect and respond to resistance more quickly. </w:t>
      </w:r>
      <w:r w:rsidR="008E6A72">
        <w:rPr>
          <w:rFonts w:ascii="Courier New" w:hAnsi="Courier New" w:cs="Courier New"/>
          <w:sz w:val="24"/>
          <w:szCs w:val="24"/>
        </w:rPr>
        <w:t>To best interpret the data, collection of additional data elements is necessary (</w:t>
      </w:r>
      <w:r w:rsidR="008E6A72" w:rsidRPr="008E6A72">
        <w:rPr>
          <w:rFonts w:ascii="Courier New" w:hAnsi="Courier New" w:cs="Courier New"/>
          <w:b/>
          <w:sz w:val="24"/>
          <w:szCs w:val="24"/>
        </w:rPr>
        <w:t>Att</w:t>
      </w:r>
      <w:r w:rsidR="00743F1F">
        <w:rPr>
          <w:rFonts w:ascii="Courier New" w:hAnsi="Courier New" w:cs="Courier New"/>
          <w:b/>
          <w:sz w:val="24"/>
          <w:szCs w:val="24"/>
        </w:rPr>
        <w:t>achment</w:t>
      </w:r>
      <w:r w:rsidR="008E6A72" w:rsidRPr="008E6A72">
        <w:rPr>
          <w:rFonts w:ascii="Courier New" w:hAnsi="Courier New" w:cs="Courier New"/>
          <w:b/>
          <w:sz w:val="24"/>
          <w:szCs w:val="24"/>
        </w:rPr>
        <w:t xml:space="preserve"> 3a2</w:t>
      </w:r>
      <w:r w:rsidR="008E6A72">
        <w:rPr>
          <w:rFonts w:ascii="Courier New" w:hAnsi="Courier New" w:cs="Courier New"/>
          <w:sz w:val="24"/>
          <w:szCs w:val="24"/>
        </w:rPr>
        <w:t>). Data on anatomic site of infection and unique assigned (but without personal identifying information) patient identifiers are critical for analyzing and making sens</w:t>
      </w:r>
      <w:r w:rsidR="00AC17B2">
        <w:rPr>
          <w:rFonts w:ascii="Courier New" w:hAnsi="Courier New" w:cs="Courier New"/>
          <w:sz w:val="24"/>
          <w:szCs w:val="24"/>
        </w:rPr>
        <w:t>e of the data: if &gt;1 isolate came</w:t>
      </w:r>
      <w:r w:rsidR="008E6A72">
        <w:rPr>
          <w:rFonts w:ascii="Courier New" w:hAnsi="Courier New" w:cs="Courier New"/>
          <w:sz w:val="24"/>
          <w:szCs w:val="24"/>
        </w:rPr>
        <w:t xml:space="preserve"> from a single patient, that information should be incorporated into how data analyses are performed. </w:t>
      </w:r>
    </w:p>
    <w:p w:rsidR="005D203A" w:rsidRPr="000B172F" w:rsidRDefault="005D203A" w:rsidP="005D203A">
      <w:pPr>
        <w:ind w:firstLine="720"/>
        <w:rPr>
          <w:rFonts w:ascii="Courier New" w:hAnsi="Courier New" w:cs="Courier New"/>
          <w:sz w:val="24"/>
          <w:szCs w:val="24"/>
        </w:rPr>
      </w:pPr>
      <w:r w:rsidRPr="000B172F">
        <w:rPr>
          <w:rFonts w:ascii="Courier New" w:hAnsi="Courier New" w:cs="Courier New"/>
          <w:sz w:val="24"/>
          <w:szCs w:val="24"/>
        </w:rPr>
        <w:t xml:space="preserve">GISP surveillance can also be strengthened by ensuring that GISP surveillance is only being conducted on </w:t>
      </w:r>
      <w:r w:rsidRPr="000B172F">
        <w:rPr>
          <w:rFonts w:ascii="Courier New" w:hAnsi="Courier New" w:cs="Courier New"/>
          <w:i/>
          <w:sz w:val="24"/>
          <w:szCs w:val="24"/>
        </w:rPr>
        <w:t>N. gonorrhoeae</w:t>
      </w:r>
      <w:r w:rsidRPr="000B172F">
        <w:rPr>
          <w:rFonts w:ascii="Courier New" w:hAnsi="Courier New" w:cs="Courier New"/>
          <w:sz w:val="24"/>
          <w:szCs w:val="24"/>
        </w:rPr>
        <w:t xml:space="preserve"> and not on other similar bacteria</w:t>
      </w:r>
      <w:r w:rsidR="00743F1F">
        <w:rPr>
          <w:rFonts w:ascii="Courier New" w:hAnsi="Courier New" w:cs="Courier New"/>
          <w:sz w:val="24"/>
          <w:szCs w:val="24"/>
        </w:rPr>
        <w:t xml:space="preserve"> that can cause indistinguishable syndromes</w:t>
      </w:r>
      <w:r w:rsidRPr="000B172F">
        <w:rPr>
          <w:rFonts w:ascii="Courier New" w:hAnsi="Courier New" w:cs="Courier New"/>
          <w:sz w:val="24"/>
          <w:szCs w:val="24"/>
        </w:rPr>
        <w:t xml:space="preserve">, such as </w:t>
      </w:r>
      <w:r w:rsidR="00743F1F">
        <w:rPr>
          <w:rFonts w:ascii="Courier New" w:hAnsi="Courier New" w:cs="Courier New"/>
          <w:i/>
          <w:sz w:val="24"/>
          <w:szCs w:val="24"/>
        </w:rPr>
        <w:t xml:space="preserve">Neisseria meningitidis. </w:t>
      </w:r>
      <w:r w:rsidRPr="000B172F">
        <w:rPr>
          <w:rFonts w:ascii="Courier New" w:hAnsi="Courier New" w:cs="Courier New"/>
          <w:sz w:val="24"/>
          <w:szCs w:val="24"/>
        </w:rPr>
        <w:t>Collecting additional data on specialized laboratory testing that can tell the difference between the</w:t>
      </w:r>
      <w:r w:rsidR="00743F1F">
        <w:rPr>
          <w:rFonts w:ascii="Courier New" w:hAnsi="Courier New" w:cs="Courier New"/>
          <w:sz w:val="24"/>
          <w:szCs w:val="24"/>
        </w:rPr>
        <w:t>se</w:t>
      </w:r>
      <w:r w:rsidRPr="000B172F">
        <w:rPr>
          <w:rFonts w:ascii="Courier New" w:hAnsi="Courier New" w:cs="Courier New"/>
          <w:sz w:val="24"/>
          <w:szCs w:val="24"/>
        </w:rPr>
        <w:t xml:space="preserve"> bacteria will allow GISP to exclude other non-gonococcal bacteria from the data, strengthening the accuracy and usefulness of GISP data. Collecting limited demographic and epidemiological data</w:t>
      </w:r>
      <w:r w:rsidR="008E6A72">
        <w:rPr>
          <w:rFonts w:ascii="Courier New" w:hAnsi="Courier New" w:cs="Courier New"/>
          <w:sz w:val="24"/>
          <w:szCs w:val="24"/>
        </w:rPr>
        <w:t xml:space="preserve"> (</w:t>
      </w:r>
      <w:r w:rsidR="008E6A72" w:rsidRPr="008E6A72">
        <w:rPr>
          <w:rFonts w:ascii="Courier New" w:hAnsi="Courier New" w:cs="Courier New"/>
          <w:b/>
          <w:sz w:val="24"/>
          <w:szCs w:val="24"/>
        </w:rPr>
        <w:t>Att</w:t>
      </w:r>
      <w:r w:rsidR="00743F1F">
        <w:rPr>
          <w:rFonts w:ascii="Courier New" w:hAnsi="Courier New" w:cs="Courier New"/>
          <w:b/>
          <w:sz w:val="24"/>
          <w:szCs w:val="24"/>
        </w:rPr>
        <w:t>achment</w:t>
      </w:r>
      <w:r w:rsidR="008E6A72" w:rsidRPr="008E6A72">
        <w:rPr>
          <w:rFonts w:ascii="Courier New" w:hAnsi="Courier New" w:cs="Courier New"/>
          <w:b/>
          <w:sz w:val="24"/>
          <w:szCs w:val="24"/>
        </w:rPr>
        <w:t xml:space="preserve"> 3a2</w:t>
      </w:r>
      <w:r w:rsidR="008E6A72">
        <w:rPr>
          <w:rFonts w:ascii="Courier New" w:hAnsi="Courier New" w:cs="Courier New"/>
          <w:sz w:val="24"/>
          <w:szCs w:val="24"/>
        </w:rPr>
        <w:t>)</w:t>
      </w:r>
      <w:r w:rsidRPr="000B172F">
        <w:rPr>
          <w:rFonts w:ascii="Courier New" w:hAnsi="Courier New" w:cs="Courier New"/>
          <w:sz w:val="24"/>
          <w:szCs w:val="24"/>
        </w:rPr>
        <w:t xml:space="preserve"> on these other infections will allow GISP to better define the populations affected and risk factors for these infections and better exclude these infections from GISP surveillance</w:t>
      </w:r>
      <w:r w:rsidR="00743F1F">
        <w:rPr>
          <w:rFonts w:ascii="Courier New" w:hAnsi="Courier New" w:cs="Courier New"/>
          <w:sz w:val="24"/>
          <w:szCs w:val="24"/>
        </w:rPr>
        <w:t xml:space="preserve"> in the future</w:t>
      </w:r>
      <w:r w:rsidRPr="000B172F">
        <w:rPr>
          <w:rFonts w:ascii="Courier New" w:hAnsi="Courier New" w:cs="Courier New"/>
          <w:sz w:val="24"/>
          <w:szCs w:val="24"/>
        </w:rPr>
        <w:t xml:space="preserve">. </w:t>
      </w:r>
    </w:p>
    <w:p w:rsidR="005D203A" w:rsidRPr="000B172F" w:rsidRDefault="005D203A" w:rsidP="005D203A">
      <w:pPr>
        <w:ind w:firstLine="720"/>
        <w:rPr>
          <w:rFonts w:ascii="Courier New" w:hAnsi="Courier New" w:cs="Courier New"/>
          <w:sz w:val="24"/>
          <w:szCs w:val="24"/>
        </w:rPr>
      </w:pPr>
      <w:r w:rsidRPr="000B172F">
        <w:rPr>
          <w:rFonts w:ascii="Courier New" w:hAnsi="Courier New" w:cs="Courier New"/>
          <w:sz w:val="24"/>
          <w:szCs w:val="24"/>
        </w:rPr>
        <w:t>The number of control strains that are in</w:t>
      </w:r>
      <w:r w:rsidR="000B172F" w:rsidRPr="000B172F">
        <w:rPr>
          <w:rFonts w:ascii="Courier New" w:hAnsi="Courier New" w:cs="Courier New"/>
          <w:sz w:val="24"/>
          <w:szCs w:val="24"/>
        </w:rPr>
        <w:t>cluded in each control strain set will be reduced from 7 to 3</w:t>
      </w:r>
      <w:r w:rsidR="001E7EB0">
        <w:rPr>
          <w:rFonts w:ascii="Courier New" w:hAnsi="Courier New" w:cs="Courier New"/>
          <w:sz w:val="24"/>
          <w:szCs w:val="24"/>
        </w:rPr>
        <w:t xml:space="preserve"> and laboratories will no longer be required to report control strain results</w:t>
      </w:r>
      <w:r w:rsidR="000B172F" w:rsidRPr="000B172F">
        <w:rPr>
          <w:rFonts w:ascii="Courier New" w:hAnsi="Courier New" w:cs="Courier New"/>
          <w:sz w:val="24"/>
          <w:szCs w:val="24"/>
        </w:rPr>
        <w:t xml:space="preserve">. This procedure will better align with guidance from entities that oversee laboratory testing practices in the United States and will provide greater clarity to the regional laboratories about when a testing run needs to be repeated. </w:t>
      </w:r>
    </w:p>
    <w:p w:rsidR="00F225BA" w:rsidRPr="00F225BA" w:rsidRDefault="009F523D" w:rsidP="00646C93">
      <w:pPr>
        <w:rPr>
          <w:rFonts w:ascii="Courier New" w:hAnsi="Courier New" w:cs="Courier New"/>
          <w:b/>
          <w:sz w:val="24"/>
          <w:szCs w:val="24"/>
        </w:rPr>
      </w:pPr>
      <w:r>
        <w:rPr>
          <w:rFonts w:ascii="Courier New" w:hAnsi="Courier New" w:cs="Courier New"/>
          <w:b/>
          <w:sz w:val="24"/>
          <w:szCs w:val="24"/>
        </w:rPr>
        <w:t>How changes will affect the information collection</w:t>
      </w:r>
    </w:p>
    <w:p w:rsidR="000B172F" w:rsidRDefault="000B172F" w:rsidP="002E3736">
      <w:pPr>
        <w:ind w:firstLine="720"/>
        <w:rPr>
          <w:rFonts w:ascii="Courier New" w:hAnsi="Courier New" w:cs="Courier New"/>
          <w:sz w:val="24"/>
          <w:szCs w:val="24"/>
        </w:rPr>
      </w:pPr>
      <w:r>
        <w:rPr>
          <w:rFonts w:ascii="Courier New" w:hAnsi="Courier New" w:cs="Courier New"/>
          <w:sz w:val="24"/>
          <w:szCs w:val="24"/>
        </w:rPr>
        <w:t xml:space="preserve">Sentinel sites that voluntarily apply and are awarded additional funding for enhanced data and specimen collection will be asked </w:t>
      </w:r>
      <w:r w:rsidR="00F225BA">
        <w:rPr>
          <w:rFonts w:ascii="Courier New" w:hAnsi="Courier New" w:cs="Courier New"/>
          <w:sz w:val="24"/>
          <w:szCs w:val="24"/>
        </w:rPr>
        <w:t xml:space="preserve">to </w:t>
      </w:r>
      <w:r>
        <w:rPr>
          <w:rFonts w:ascii="Courier New" w:hAnsi="Courier New" w:cs="Courier New"/>
          <w:sz w:val="24"/>
          <w:szCs w:val="24"/>
        </w:rPr>
        <w:t>collect additional gonococcal isolates and collect (from the medical record) additional epidemiological data elements about persons from whom isolates were collected (</w:t>
      </w:r>
      <w:r w:rsidRPr="002E3736">
        <w:rPr>
          <w:rFonts w:ascii="Courier New" w:hAnsi="Courier New" w:cs="Courier New"/>
          <w:b/>
          <w:sz w:val="24"/>
          <w:szCs w:val="24"/>
        </w:rPr>
        <w:t>Att</w:t>
      </w:r>
      <w:r w:rsidR="00743F1F">
        <w:rPr>
          <w:rFonts w:ascii="Courier New" w:hAnsi="Courier New" w:cs="Courier New"/>
          <w:b/>
          <w:sz w:val="24"/>
          <w:szCs w:val="24"/>
        </w:rPr>
        <w:t>achment</w:t>
      </w:r>
      <w:r w:rsidRPr="002E3736">
        <w:rPr>
          <w:rFonts w:ascii="Courier New" w:hAnsi="Courier New" w:cs="Courier New"/>
          <w:b/>
          <w:sz w:val="24"/>
          <w:szCs w:val="24"/>
        </w:rPr>
        <w:t xml:space="preserve"> 3a2</w:t>
      </w:r>
      <w:r>
        <w:rPr>
          <w:rFonts w:ascii="Courier New" w:hAnsi="Courier New" w:cs="Courier New"/>
          <w:sz w:val="24"/>
          <w:szCs w:val="24"/>
        </w:rPr>
        <w:t>). Collection of additional isol</w:t>
      </w:r>
      <w:r w:rsidR="002E3736">
        <w:rPr>
          <w:rFonts w:ascii="Courier New" w:hAnsi="Courier New" w:cs="Courier New"/>
          <w:sz w:val="24"/>
          <w:szCs w:val="24"/>
        </w:rPr>
        <w:t xml:space="preserve">ates and data elements </w:t>
      </w:r>
      <w:r>
        <w:rPr>
          <w:rFonts w:ascii="Courier New" w:hAnsi="Courier New" w:cs="Courier New"/>
          <w:sz w:val="24"/>
          <w:szCs w:val="24"/>
        </w:rPr>
        <w:t xml:space="preserve">will </w:t>
      </w:r>
      <w:r w:rsidRPr="00D60D8C">
        <w:rPr>
          <w:rFonts w:ascii="Courier New" w:hAnsi="Courier New" w:cs="Courier New"/>
          <w:sz w:val="24"/>
          <w:szCs w:val="24"/>
        </w:rPr>
        <w:t xml:space="preserve">increase the total burden hours </w:t>
      </w:r>
      <w:r w:rsidR="002E3736" w:rsidRPr="00D60D8C">
        <w:rPr>
          <w:rFonts w:ascii="Courier New" w:hAnsi="Courier New" w:cs="Courier New"/>
          <w:sz w:val="24"/>
          <w:szCs w:val="24"/>
        </w:rPr>
        <w:t xml:space="preserve">(Table </w:t>
      </w:r>
      <w:r w:rsidR="00C82CA9" w:rsidRPr="00D60D8C">
        <w:rPr>
          <w:rFonts w:ascii="Courier New" w:hAnsi="Courier New" w:cs="Courier New"/>
          <w:sz w:val="24"/>
          <w:szCs w:val="24"/>
        </w:rPr>
        <w:t>A.12-1</w:t>
      </w:r>
      <w:r w:rsidR="002E3736" w:rsidRPr="00D60D8C">
        <w:rPr>
          <w:rFonts w:ascii="Courier New" w:hAnsi="Courier New" w:cs="Courier New"/>
          <w:sz w:val="24"/>
          <w:szCs w:val="24"/>
        </w:rPr>
        <w:t xml:space="preserve">) </w:t>
      </w:r>
      <w:r w:rsidRPr="00D60D8C">
        <w:rPr>
          <w:rFonts w:ascii="Courier New" w:hAnsi="Courier New" w:cs="Courier New"/>
          <w:sz w:val="24"/>
          <w:szCs w:val="24"/>
        </w:rPr>
        <w:t>for the s</w:t>
      </w:r>
      <w:r w:rsidR="00417435" w:rsidRPr="00D60D8C">
        <w:rPr>
          <w:rFonts w:ascii="Courier New" w:hAnsi="Courier New" w:cs="Courier New"/>
          <w:sz w:val="24"/>
          <w:szCs w:val="24"/>
        </w:rPr>
        <w:t xml:space="preserve">entinel sites from 1,320 to </w:t>
      </w:r>
      <w:r w:rsidR="00D60D8C" w:rsidRPr="00D60D8C">
        <w:rPr>
          <w:rFonts w:ascii="Courier New" w:hAnsi="Courier New" w:cs="Courier New"/>
          <w:sz w:val="24"/>
          <w:szCs w:val="24"/>
        </w:rPr>
        <w:t>2,560</w:t>
      </w:r>
      <w:r w:rsidRPr="00D60D8C">
        <w:rPr>
          <w:rFonts w:ascii="Courier New" w:hAnsi="Courier New" w:cs="Courier New"/>
          <w:sz w:val="24"/>
          <w:szCs w:val="24"/>
        </w:rPr>
        <w:t xml:space="preserve">. The annualized burden costs </w:t>
      </w:r>
      <w:r w:rsidR="002E3736" w:rsidRPr="00D60D8C">
        <w:rPr>
          <w:rFonts w:ascii="Courier New" w:hAnsi="Courier New" w:cs="Courier New"/>
          <w:sz w:val="24"/>
          <w:szCs w:val="24"/>
        </w:rPr>
        <w:t xml:space="preserve">(Table </w:t>
      </w:r>
      <w:r w:rsidR="00C82CA9" w:rsidRPr="00D60D8C">
        <w:rPr>
          <w:rFonts w:ascii="Courier New" w:hAnsi="Courier New" w:cs="Courier New"/>
          <w:sz w:val="24"/>
          <w:szCs w:val="24"/>
        </w:rPr>
        <w:t>A.12-2</w:t>
      </w:r>
      <w:r w:rsidRPr="00D60D8C">
        <w:rPr>
          <w:rFonts w:ascii="Courier New" w:hAnsi="Courier New" w:cs="Courier New"/>
          <w:sz w:val="24"/>
          <w:szCs w:val="24"/>
        </w:rPr>
        <w:t>) will increase from $</w:t>
      </w:r>
      <w:r w:rsidR="00417435" w:rsidRPr="00D60D8C">
        <w:rPr>
          <w:rFonts w:ascii="Courier New" w:hAnsi="Courier New" w:cs="Courier New"/>
          <w:sz w:val="24"/>
          <w:szCs w:val="24"/>
        </w:rPr>
        <w:t>21,291.60 to $</w:t>
      </w:r>
      <w:r w:rsidR="00D60D8C" w:rsidRPr="00D60D8C">
        <w:rPr>
          <w:rFonts w:ascii="Courier New" w:hAnsi="Courier New" w:cs="Courier New"/>
          <w:sz w:val="24"/>
          <w:szCs w:val="24"/>
        </w:rPr>
        <w:t>52,056</w:t>
      </w:r>
      <w:r w:rsidRPr="00D60D8C">
        <w:rPr>
          <w:rFonts w:ascii="Courier New" w:hAnsi="Courier New" w:cs="Courier New"/>
          <w:sz w:val="24"/>
          <w:szCs w:val="24"/>
        </w:rPr>
        <w:t>.</w:t>
      </w:r>
      <w:r>
        <w:rPr>
          <w:rFonts w:ascii="Courier New" w:hAnsi="Courier New" w:cs="Courier New"/>
          <w:sz w:val="24"/>
          <w:szCs w:val="24"/>
        </w:rPr>
        <w:t xml:space="preserve"> </w:t>
      </w:r>
      <w:r w:rsidR="000B2E30">
        <w:rPr>
          <w:rFonts w:ascii="Courier New" w:hAnsi="Courier New" w:cs="Courier New"/>
          <w:sz w:val="24"/>
          <w:szCs w:val="24"/>
        </w:rPr>
        <w:t>T</w:t>
      </w:r>
      <w:r w:rsidR="001C2423">
        <w:rPr>
          <w:rFonts w:ascii="Courier New" w:hAnsi="Courier New" w:cs="Courier New"/>
          <w:sz w:val="24"/>
          <w:szCs w:val="24"/>
        </w:rPr>
        <w:t xml:space="preserve">he increase in burden cost </w:t>
      </w:r>
      <w:r w:rsidR="000B2E30">
        <w:rPr>
          <w:rFonts w:ascii="Courier New" w:hAnsi="Courier New" w:cs="Courier New"/>
          <w:sz w:val="24"/>
          <w:szCs w:val="24"/>
        </w:rPr>
        <w:t>includes an adjustment (increase) in the estimated average hourly wage, from $16.13 to $19.28.</w:t>
      </w:r>
    </w:p>
    <w:p w:rsidR="00F225BA" w:rsidRPr="00FF052F" w:rsidRDefault="00F225BA" w:rsidP="00646C93">
      <w:pPr>
        <w:rPr>
          <w:rFonts w:ascii="Courier New" w:hAnsi="Courier New" w:cs="Courier New"/>
          <w:sz w:val="24"/>
          <w:szCs w:val="24"/>
        </w:rPr>
      </w:pPr>
    </w:p>
    <w:sectPr w:rsidR="00F225BA" w:rsidRPr="00FF05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1F" w:rsidRDefault="004A521F" w:rsidP="00FF052F">
      <w:pPr>
        <w:spacing w:after="0" w:line="240" w:lineRule="auto"/>
      </w:pPr>
      <w:r>
        <w:separator/>
      </w:r>
    </w:p>
  </w:endnote>
  <w:endnote w:type="continuationSeparator" w:id="0">
    <w:p w:rsidR="004A521F" w:rsidRDefault="004A521F" w:rsidP="00FF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1F" w:rsidRDefault="004A521F" w:rsidP="00FF052F">
      <w:pPr>
        <w:spacing w:after="0" w:line="240" w:lineRule="auto"/>
      </w:pPr>
      <w:r>
        <w:separator/>
      </w:r>
    </w:p>
  </w:footnote>
  <w:footnote w:type="continuationSeparator" w:id="0">
    <w:p w:rsidR="004A521F" w:rsidRDefault="004A521F" w:rsidP="00FF0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5977"/>
    <w:multiLevelType w:val="hybridMultilevel"/>
    <w:tmpl w:val="ABEC0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D3145"/>
    <w:multiLevelType w:val="hybridMultilevel"/>
    <w:tmpl w:val="3B522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93"/>
    <w:rsid w:val="0001490E"/>
    <w:rsid w:val="00077D8C"/>
    <w:rsid w:val="000B172F"/>
    <w:rsid w:val="000B2E30"/>
    <w:rsid w:val="001A7B1D"/>
    <w:rsid w:val="001C2423"/>
    <w:rsid w:val="001C3E5C"/>
    <w:rsid w:val="001D090B"/>
    <w:rsid w:val="001D61F8"/>
    <w:rsid w:val="001E7EB0"/>
    <w:rsid w:val="002B2B91"/>
    <w:rsid w:val="002B6918"/>
    <w:rsid w:val="002E3736"/>
    <w:rsid w:val="0033476C"/>
    <w:rsid w:val="003C4366"/>
    <w:rsid w:val="00417435"/>
    <w:rsid w:val="004A521F"/>
    <w:rsid w:val="005071CA"/>
    <w:rsid w:val="0052192D"/>
    <w:rsid w:val="005D203A"/>
    <w:rsid w:val="00646C93"/>
    <w:rsid w:val="00676ADF"/>
    <w:rsid w:val="00685023"/>
    <w:rsid w:val="00743F1F"/>
    <w:rsid w:val="007C5DD6"/>
    <w:rsid w:val="007D3F80"/>
    <w:rsid w:val="00816142"/>
    <w:rsid w:val="00847275"/>
    <w:rsid w:val="008B59DA"/>
    <w:rsid w:val="008E6A72"/>
    <w:rsid w:val="009114D3"/>
    <w:rsid w:val="00973AD9"/>
    <w:rsid w:val="00983F07"/>
    <w:rsid w:val="009C0E54"/>
    <w:rsid w:val="009F523D"/>
    <w:rsid w:val="00A93D5D"/>
    <w:rsid w:val="00AA39DE"/>
    <w:rsid w:val="00AC17B2"/>
    <w:rsid w:val="00B80BCE"/>
    <w:rsid w:val="00BA1BEC"/>
    <w:rsid w:val="00BE3CB4"/>
    <w:rsid w:val="00C26E54"/>
    <w:rsid w:val="00C82CA9"/>
    <w:rsid w:val="00CA554D"/>
    <w:rsid w:val="00CB3229"/>
    <w:rsid w:val="00D3461D"/>
    <w:rsid w:val="00D54C5B"/>
    <w:rsid w:val="00D60D8C"/>
    <w:rsid w:val="00DB5495"/>
    <w:rsid w:val="00DF0129"/>
    <w:rsid w:val="00E461CA"/>
    <w:rsid w:val="00F225BA"/>
    <w:rsid w:val="00F71CF3"/>
    <w:rsid w:val="00FA50C8"/>
    <w:rsid w:val="00FB5DE0"/>
    <w:rsid w:val="00FF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C93"/>
    <w:pPr>
      <w:ind w:left="720"/>
      <w:contextualSpacing/>
    </w:pPr>
  </w:style>
  <w:style w:type="paragraph" w:styleId="EndnoteText">
    <w:name w:val="endnote text"/>
    <w:basedOn w:val="Normal"/>
    <w:link w:val="EndnoteTextChar"/>
    <w:uiPriority w:val="99"/>
    <w:rsid w:val="00646C93"/>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646C93"/>
    <w:rPr>
      <w:rFonts w:eastAsiaTheme="minorEastAsia"/>
      <w:color w:val="000000"/>
      <w:sz w:val="20"/>
      <w:szCs w:val="20"/>
      <w:lang w:bidi="en-US"/>
    </w:rPr>
  </w:style>
  <w:style w:type="paragraph" w:styleId="Header">
    <w:name w:val="header"/>
    <w:basedOn w:val="Normal"/>
    <w:link w:val="HeaderChar"/>
    <w:uiPriority w:val="99"/>
    <w:unhideWhenUsed/>
    <w:rsid w:val="00FF0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2F"/>
  </w:style>
  <w:style w:type="paragraph" w:styleId="Footer">
    <w:name w:val="footer"/>
    <w:basedOn w:val="Normal"/>
    <w:link w:val="FooterChar"/>
    <w:uiPriority w:val="99"/>
    <w:unhideWhenUsed/>
    <w:rsid w:val="00FF0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2F"/>
  </w:style>
  <w:style w:type="paragraph" w:styleId="BalloonText">
    <w:name w:val="Balloon Text"/>
    <w:basedOn w:val="Normal"/>
    <w:link w:val="BalloonTextChar"/>
    <w:uiPriority w:val="99"/>
    <w:semiHidden/>
    <w:unhideWhenUsed/>
    <w:rsid w:val="00FF0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2F"/>
    <w:rPr>
      <w:rFonts w:ascii="Tahoma" w:hAnsi="Tahoma" w:cs="Tahoma"/>
      <w:sz w:val="16"/>
      <w:szCs w:val="16"/>
    </w:rPr>
  </w:style>
  <w:style w:type="character" w:styleId="CommentReference">
    <w:name w:val="annotation reference"/>
    <w:semiHidden/>
    <w:rsid w:val="005D203A"/>
    <w:rPr>
      <w:sz w:val="16"/>
      <w:szCs w:val="16"/>
    </w:rPr>
  </w:style>
  <w:style w:type="paragraph" w:styleId="CommentText">
    <w:name w:val="annotation text"/>
    <w:basedOn w:val="Normal"/>
    <w:link w:val="CommentTextChar"/>
    <w:semiHidden/>
    <w:rsid w:val="005D20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203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C93"/>
    <w:pPr>
      <w:ind w:left="720"/>
      <w:contextualSpacing/>
    </w:pPr>
  </w:style>
  <w:style w:type="paragraph" w:styleId="EndnoteText">
    <w:name w:val="endnote text"/>
    <w:basedOn w:val="Normal"/>
    <w:link w:val="EndnoteTextChar"/>
    <w:uiPriority w:val="99"/>
    <w:rsid w:val="00646C93"/>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646C93"/>
    <w:rPr>
      <w:rFonts w:eastAsiaTheme="minorEastAsia"/>
      <w:color w:val="000000"/>
      <w:sz w:val="20"/>
      <w:szCs w:val="20"/>
      <w:lang w:bidi="en-US"/>
    </w:rPr>
  </w:style>
  <w:style w:type="paragraph" w:styleId="Header">
    <w:name w:val="header"/>
    <w:basedOn w:val="Normal"/>
    <w:link w:val="HeaderChar"/>
    <w:uiPriority w:val="99"/>
    <w:unhideWhenUsed/>
    <w:rsid w:val="00FF0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2F"/>
  </w:style>
  <w:style w:type="paragraph" w:styleId="Footer">
    <w:name w:val="footer"/>
    <w:basedOn w:val="Normal"/>
    <w:link w:val="FooterChar"/>
    <w:uiPriority w:val="99"/>
    <w:unhideWhenUsed/>
    <w:rsid w:val="00FF0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2F"/>
  </w:style>
  <w:style w:type="paragraph" w:styleId="BalloonText">
    <w:name w:val="Balloon Text"/>
    <w:basedOn w:val="Normal"/>
    <w:link w:val="BalloonTextChar"/>
    <w:uiPriority w:val="99"/>
    <w:semiHidden/>
    <w:unhideWhenUsed/>
    <w:rsid w:val="00FF0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2F"/>
    <w:rPr>
      <w:rFonts w:ascii="Tahoma" w:hAnsi="Tahoma" w:cs="Tahoma"/>
      <w:sz w:val="16"/>
      <w:szCs w:val="16"/>
    </w:rPr>
  </w:style>
  <w:style w:type="character" w:styleId="CommentReference">
    <w:name w:val="annotation reference"/>
    <w:semiHidden/>
    <w:rsid w:val="005D203A"/>
    <w:rPr>
      <w:sz w:val="16"/>
      <w:szCs w:val="16"/>
    </w:rPr>
  </w:style>
  <w:style w:type="paragraph" w:styleId="CommentText">
    <w:name w:val="annotation text"/>
    <w:basedOn w:val="Normal"/>
    <w:link w:val="CommentTextChar"/>
    <w:semiHidden/>
    <w:rsid w:val="005D20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203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2017-10-25T12:07:00Z</cp:lastPrinted>
  <dcterms:created xsi:type="dcterms:W3CDTF">2018-07-20T19:08:00Z</dcterms:created>
  <dcterms:modified xsi:type="dcterms:W3CDTF">2018-07-20T19:08:00Z</dcterms:modified>
</cp:coreProperties>
</file>