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0E0B1" w14:textId="7665523E" w:rsidR="00957513" w:rsidRPr="00BD710B" w:rsidRDefault="00957513" w:rsidP="00BD710B">
      <w:pPr>
        <w:widowControl w:val="0"/>
        <w:rPr>
          <w:rFonts w:asciiTheme="majorHAnsi" w:hAnsiTheme="majorHAnsi" w:cstheme="majorHAnsi"/>
          <w:b/>
        </w:rPr>
      </w:pPr>
      <w:bookmarkStart w:id="0" w:name="_GoBack"/>
      <w:bookmarkEnd w:id="0"/>
      <w:r w:rsidRPr="00DD0426">
        <w:rPr>
          <w:rFonts w:ascii="Times New Roman" w:hAnsi="Times New Roman"/>
          <w:b/>
          <w:sz w:val="24"/>
          <w:szCs w:val="24"/>
        </w:rPr>
        <w:t>TITLE OF INFORMATION COLLECTION</w:t>
      </w:r>
      <w:r w:rsidRPr="00C46CDF">
        <w:rPr>
          <w:rFonts w:ascii="Times New Roman" w:hAnsi="Times New Roman"/>
          <w:b/>
          <w:sz w:val="24"/>
          <w:szCs w:val="24"/>
        </w:rPr>
        <w:t>:</w:t>
      </w:r>
      <w:r w:rsidR="00BD710B" w:rsidRPr="00BD710B">
        <w:rPr>
          <w:rFonts w:asciiTheme="majorHAnsi" w:hAnsiTheme="majorHAnsi" w:cstheme="majorHAnsi"/>
          <w:b/>
        </w:rPr>
        <w:t xml:space="preserve"> </w:t>
      </w:r>
      <w:r w:rsidR="00BD710B" w:rsidRPr="002D6096">
        <w:rPr>
          <w:rFonts w:asciiTheme="majorHAnsi" w:hAnsiTheme="majorHAnsi" w:cstheme="majorHAnsi"/>
          <w:b/>
        </w:rPr>
        <w:t xml:space="preserve">Nicotine Education Project: Qualitative Study to Gain Insights from Adult Current and Former Smokers to Educate the General Public about Changing </w:t>
      </w:r>
      <w:r w:rsidR="00BD710B">
        <w:rPr>
          <w:rFonts w:asciiTheme="majorHAnsi" w:hAnsiTheme="majorHAnsi" w:cstheme="majorHAnsi"/>
          <w:b/>
        </w:rPr>
        <w:t>Nicotine</w:t>
      </w:r>
      <w:r w:rsidR="00BD710B" w:rsidRPr="002D6096">
        <w:rPr>
          <w:rFonts w:asciiTheme="majorHAnsi" w:hAnsiTheme="majorHAnsi" w:cstheme="majorHAnsi"/>
          <w:b/>
        </w:rPr>
        <w:t xml:space="preserve"> Standard</w:t>
      </w:r>
      <w:r w:rsidR="00BD710B">
        <w:rPr>
          <w:rFonts w:asciiTheme="majorHAnsi" w:hAnsiTheme="majorHAnsi" w:cstheme="majorHAnsi"/>
          <w:b/>
        </w:rPr>
        <w:t>s</w:t>
      </w:r>
      <w:r w:rsidR="00DD0426" w:rsidRPr="00C46CDF">
        <w:rPr>
          <w:rFonts w:ascii="Times New Roman" w:hAnsi="Times New Roman"/>
          <w:b/>
        </w:rPr>
        <w:t xml:space="preserve">; </w:t>
      </w:r>
      <w:r w:rsidRPr="00C46CDF">
        <w:rPr>
          <w:rFonts w:ascii="Times New Roman" w:hAnsi="Times New Roman"/>
          <w:szCs w:val="24"/>
        </w:rPr>
        <w:t>OMB Control Number</w:t>
      </w:r>
      <w:r w:rsidR="00374D82" w:rsidRPr="00C46CDF">
        <w:rPr>
          <w:rFonts w:ascii="Times New Roman" w:hAnsi="Times New Roman"/>
          <w:szCs w:val="24"/>
        </w:rPr>
        <w:t xml:space="preserve"> </w:t>
      </w:r>
      <w:r w:rsidR="007D7B23" w:rsidRPr="00C46CDF">
        <w:rPr>
          <w:rFonts w:ascii="Times New Roman" w:hAnsi="Times New Roman"/>
          <w:szCs w:val="24"/>
        </w:rPr>
        <w:t>0910-0796</w:t>
      </w:r>
      <w:r w:rsidR="0089024B" w:rsidRPr="00C46CDF">
        <w:rPr>
          <w:rFonts w:ascii="Times New Roman" w:hAnsi="Times New Roman"/>
          <w:szCs w:val="24"/>
        </w:rPr>
        <w:t>.</w:t>
      </w:r>
    </w:p>
    <w:p w14:paraId="4688E06F" w14:textId="77777777" w:rsidR="00957513" w:rsidRPr="00C46CDF" w:rsidRDefault="00957513" w:rsidP="00BA2160">
      <w:pPr>
        <w:pStyle w:val="Default"/>
        <w:ind w:firstLine="720"/>
        <w:rPr>
          <w:rFonts w:ascii="Arial" w:hAnsi="Arial" w:cs="Arial"/>
          <w:color w:val="auto"/>
        </w:rPr>
      </w:pPr>
    </w:p>
    <w:p w14:paraId="647C03C1" w14:textId="03A11D72" w:rsidR="0017329A" w:rsidRDefault="00957513" w:rsidP="00F46BA9">
      <w:pPr>
        <w:pStyle w:val="Default"/>
        <w:rPr>
          <w:b/>
        </w:rPr>
      </w:pPr>
      <w:r w:rsidRPr="002A7279">
        <w:t xml:space="preserve"> </w:t>
      </w:r>
      <w:r w:rsidRPr="00E07C91">
        <w:rPr>
          <w:b/>
        </w:rPr>
        <w:t>DESCRIPTION OF THIS SPECIFIC COLLECTION</w:t>
      </w:r>
    </w:p>
    <w:p w14:paraId="56F34D78" w14:textId="77777777" w:rsidR="00F46BA9" w:rsidRPr="00E07C91" w:rsidRDefault="00F46BA9" w:rsidP="00F46BA9">
      <w:pPr>
        <w:pStyle w:val="Default"/>
        <w:rPr>
          <w:b/>
        </w:rPr>
      </w:pPr>
    </w:p>
    <w:p w14:paraId="2F493498" w14:textId="0704208F" w:rsidR="00E07C91" w:rsidRPr="00527C3B" w:rsidRDefault="00957513" w:rsidP="00685ADD">
      <w:pPr>
        <w:pStyle w:val="Default"/>
        <w:numPr>
          <w:ilvl w:val="0"/>
          <w:numId w:val="2"/>
        </w:numPr>
        <w:spacing w:line="276" w:lineRule="auto"/>
        <w:ind w:left="360" w:right="-180"/>
        <w:rPr>
          <w:rFonts w:asciiTheme="minorHAnsi" w:hAnsiTheme="minorHAnsi" w:cstheme="minorHAnsi"/>
          <w:sz w:val="22"/>
          <w:szCs w:val="22"/>
        </w:rPr>
      </w:pPr>
      <w:r w:rsidRPr="00527C3B">
        <w:rPr>
          <w:rFonts w:asciiTheme="minorHAnsi" w:hAnsiTheme="minorHAnsi" w:cstheme="minorHAnsi"/>
          <w:b/>
          <w:sz w:val="22"/>
          <w:szCs w:val="22"/>
        </w:rPr>
        <w:t xml:space="preserve"> Statement of need: </w:t>
      </w:r>
    </w:p>
    <w:p w14:paraId="4461AFE4" w14:textId="72A5A287" w:rsidR="001E4BA0" w:rsidRPr="00527C3B" w:rsidRDefault="001E4BA0" w:rsidP="001E4BA0">
      <w:pPr>
        <w:pStyle w:val="Default"/>
        <w:spacing w:line="276" w:lineRule="auto"/>
        <w:ind w:left="360" w:right="-180"/>
        <w:rPr>
          <w:rFonts w:asciiTheme="minorHAnsi" w:hAnsiTheme="minorHAnsi" w:cstheme="minorHAnsi"/>
          <w:sz w:val="22"/>
          <w:szCs w:val="22"/>
        </w:rPr>
      </w:pPr>
    </w:p>
    <w:p w14:paraId="01D30E64" w14:textId="0C377D31" w:rsidR="008F482E" w:rsidRPr="00683A4B" w:rsidRDefault="00685ADD" w:rsidP="003048CA">
      <w:pPr>
        <w:rPr>
          <w:rFonts w:asciiTheme="minorHAnsi" w:hAnsiTheme="minorHAnsi" w:cstheme="minorHAnsi"/>
        </w:rPr>
      </w:pPr>
      <w:r w:rsidRPr="00683A4B">
        <w:rPr>
          <w:rFonts w:asciiTheme="minorHAnsi" w:hAnsiTheme="minorHAnsi" w:cstheme="minorHAnsi"/>
        </w:rPr>
        <w:t xml:space="preserve">On June 22, 2009, the Family Smoking Prevention and Tobacco Control Act (TCA) (Public Law 111-31) </w:t>
      </w:r>
      <w:r w:rsidR="009160F9" w:rsidRPr="00683A4B">
        <w:rPr>
          <w:rFonts w:asciiTheme="minorHAnsi" w:hAnsiTheme="minorHAnsi" w:cstheme="minorHAnsi"/>
        </w:rPr>
        <w:t xml:space="preserve">was signed </w:t>
      </w:r>
      <w:r w:rsidRPr="00683A4B">
        <w:rPr>
          <w:rFonts w:asciiTheme="minorHAnsi" w:hAnsiTheme="minorHAnsi" w:cstheme="minorHAnsi"/>
        </w:rPr>
        <w:t>into law. The TCA granted to the</w:t>
      </w:r>
      <w:r w:rsidR="005D7F6C" w:rsidRPr="00683A4B">
        <w:rPr>
          <w:rFonts w:asciiTheme="minorHAnsi" w:hAnsiTheme="minorHAnsi" w:cstheme="minorHAnsi"/>
        </w:rPr>
        <w:t xml:space="preserve"> Food and Drug Administration</w:t>
      </w:r>
      <w:r w:rsidRPr="00683A4B">
        <w:rPr>
          <w:rFonts w:asciiTheme="minorHAnsi" w:hAnsiTheme="minorHAnsi" w:cstheme="minorHAnsi"/>
        </w:rPr>
        <w:t xml:space="preserve"> </w:t>
      </w:r>
      <w:r w:rsidR="005D7F6C" w:rsidRPr="00683A4B">
        <w:rPr>
          <w:rFonts w:asciiTheme="minorHAnsi" w:hAnsiTheme="minorHAnsi" w:cstheme="minorHAnsi"/>
        </w:rPr>
        <w:t>(</w:t>
      </w:r>
      <w:r w:rsidRPr="00683A4B">
        <w:rPr>
          <w:rFonts w:asciiTheme="minorHAnsi" w:hAnsiTheme="minorHAnsi" w:cstheme="minorHAnsi"/>
        </w:rPr>
        <w:t>FDA</w:t>
      </w:r>
      <w:r w:rsidR="005D7F6C" w:rsidRPr="00683A4B">
        <w:rPr>
          <w:rFonts w:asciiTheme="minorHAnsi" w:hAnsiTheme="minorHAnsi" w:cstheme="minorHAnsi"/>
        </w:rPr>
        <w:t>)</w:t>
      </w:r>
      <w:r w:rsidRPr="00683A4B">
        <w:rPr>
          <w:rFonts w:asciiTheme="minorHAnsi" w:hAnsiTheme="minorHAnsi" w:cstheme="minorHAnsi"/>
        </w:rPr>
        <w:t xml:space="preserve"> important new authority to regulate the manufacture, marketing, and distribution of tobacco products; to inform the public on health-related issues; and to protect public health by reducing tobacco use and by preventing death and disease caused by tobacco use. </w:t>
      </w:r>
      <w:r w:rsidR="008F482E" w:rsidRPr="00683A4B">
        <w:rPr>
          <w:rFonts w:asciiTheme="minorHAnsi" w:hAnsiTheme="minorHAnsi" w:cstheme="minorHAnsi"/>
        </w:rPr>
        <w:t xml:space="preserve">FDA </w:t>
      </w:r>
      <w:r w:rsidR="0009447D">
        <w:rPr>
          <w:rFonts w:asciiTheme="minorHAnsi" w:hAnsiTheme="minorHAnsi" w:cstheme="minorHAnsi"/>
        </w:rPr>
        <w:t xml:space="preserve">is </w:t>
      </w:r>
      <w:r w:rsidR="0009447D" w:rsidRPr="0009447D">
        <w:rPr>
          <w:rFonts w:asciiTheme="minorHAnsi" w:hAnsiTheme="minorHAnsi" w:cstheme="minorHAnsi"/>
        </w:rPr>
        <w:t>consider</w:t>
      </w:r>
      <w:r w:rsidR="0009447D">
        <w:rPr>
          <w:rFonts w:asciiTheme="minorHAnsi" w:hAnsiTheme="minorHAnsi" w:cstheme="minorHAnsi"/>
        </w:rPr>
        <w:t>ing the development of</w:t>
      </w:r>
      <w:r w:rsidR="0009447D" w:rsidRPr="0009447D">
        <w:rPr>
          <w:rFonts w:asciiTheme="minorHAnsi" w:hAnsiTheme="minorHAnsi" w:cstheme="minorHAnsi"/>
        </w:rPr>
        <w:t xml:space="preserve"> a tobacco product standard to set the maximum nicotine level for cigarettes</w:t>
      </w:r>
      <w:r w:rsidR="0009447D">
        <w:rPr>
          <w:rFonts w:asciiTheme="minorHAnsi" w:hAnsiTheme="minorHAnsi" w:cstheme="minorHAnsi"/>
        </w:rPr>
        <w:t xml:space="preserve">.  FDA is considering </w:t>
      </w:r>
      <w:r w:rsidR="0009447D">
        <w:rPr>
          <w:rFonts w:asciiTheme="minorHAnsi" w:eastAsia="Times New Roman" w:hAnsiTheme="minorHAnsi" w:cstheme="minorHAnsi"/>
          <w:color w:val="000000"/>
        </w:rPr>
        <w:t>this action</w:t>
      </w:r>
      <w:r w:rsidR="008F482E" w:rsidRPr="00683A4B">
        <w:rPr>
          <w:rFonts w:asciiTheme="minorHAnsi" w:eastAsia="Times New Roman" w:hAnsiTheme="minorHAnsi" w:cstheme="minorHAnsi"/>
          <w:color w:val="000000"/>
        </w:rPr>
        <w:t xml:space="preserve"> to lower nicotine levels in combustible tobacco products to a minimally or non-addictive level in an effort to decrease combustible tobacco product use and nicotine dependence</w:t>
      </w:r>
      <w:r w:rsidR="008F482E" w:rsidRPr="00683A4B">
        <w:rPr>
          <w:rFonts w:asciiTheme="minorHAnsi" w:hAnsiTheme="minorHAnsi" w:cstheme="minorHAnsi"/>
        </w:rPr>
        <w:t xml:space="preserve">. </w:t>
      </w:r>
    </w:p>
    <w:p w14:paraId="2BED6231" w14:textId="77777777" w:rsidR="003B06C9" w:rsidRPr="00683A4B" w:rsidRDefault="003B06C9" w:rsidP="003B06C9">
      <w:pPr>
        <w:ind w:left="360"/>
        <w:rPr>
          <w:rFonts w:asciiTheme="minorHAnsi" w:eastAsia="Times New Roman" w:hAnsiTheme="minorHAnsi" w:cstheme="minorHAnsi"/>
          <w:color w:val="000000"/>
        </w:rPr>
      </w:pPr>
    </w:p>
    <w:p w14:paraId="35C0B14D" w14:textId="3A68088E" w:rsidR="008F482E" w:rsidRDefault="00A87B67" w:rsidP="00E377DD">
      <w:pPr>
        <w:rPr>
          <w:rFonts w:asciiTheme="minorHAnsi" w:eastAsia="Times New Roman" w:hAnsiTheme="minorHAnsi" w:cstheme="minorHAnsi"/>
          <w:color w:val="000000"/>
        </w:rPr>
      </w:pPr>
      <w:r w:rsidRPr="00683A4B">
        <w:rPr>
          <w:rFonts w:asciiTheme="minorHAnsi" w:eastAsia="Times New Roman" w:hAnsiTheme="minorHAnsi" w:cstheme="minorHAnsi"/>
          <w:color w:val="000000"/>
        </w:rPr>
        <w:t xml:space="preserve">Combustible tobacco use among adults is a critical public health concern. </w:t>
      </w:r>
      <w:r w:rsidR="003B06C9" w:rsidRPr="00683A4B">
        <w:rPr>
          <w:rFonts w:asciiTheme="minorHAnsi" w:eastAsia="Times New Roman" w:hAnsiTheme="minorHAnsi" w:cstheme="minorHAnsi"/>
          <w:color w:val="000000"/>
        </w:rPr>
        <w:t>In 2017, 14% of adults (estimated 34.2 million) aged 18 or older in the U.S. were current cigarette smokers (CDC, 2017a</w:t>
      </w:r>
      <w:r w:rsidR="003B06C9" w:rsidRPr="00683A4B">
        <w:rPr>
          <w:rFonts w:asciiTheme="minorHAnsi" w:eastAsia="Times New Roman" w:hAnsiTheme="minorHAnsi" w:cstheme="minorHAnsi"/>
          <w:color w:val="000000"/>
          <w:shd w:val="clear" w:color="auto" w:fill="FFFFFF"/>
        </w:rPr>
        <w:t>), defined by the National Health Interview Survey as “an adult who has smoked 100 cigarettes in his or her lifetime and who currently smokes cigarettes” (CDC, 2017b).</w:t>
      </w:r>
      <w:r w:rsidR="003B06C9" w:rsidRPr="00683A4B" w:rsidDel="00EB5B11">
        <w:rPr>
          <w:rFonts w:asciiTheme="minorHAnsi" w:eastAsia="Times New Roman" w:hAnsiTheme="minorHAnsi" w:cstheme="minorHAnsi"/>
          <w:color w:val="000000"/>
          <w:shd w:val="clear" w:color="auto" w:fill="FFFFFF"/>
        </w:rPr>
        <w:t xml:space="preserve"> </w:t>
      </w:r>
      <w:r w:rsidR="003B06C9" w:rsidRPr="00683A4B">
        <w:rPr>
          <w:rFonts w:asciiTheme="minorHAnsi" w:eastAsia="Times New Roman" w:hAnsiTheme="minorHAnsi" w:cstheme="minorHAnsi"/>
          <w:color w:val="000000"/>
          <w:shd w:val="clear" w:color="auto" w:fill="FFFFFF"/>
        </w:rPr>
        <w:t>W</w:t>
      </w:r>
      <w:r w:rsidR="003B06C9" w:rsidRPr="00683A4B">
        <w:rPr>
          <w:rFonts w:asciiTheme="minorHAnsi" w:eastAsia="Times New Roman" w:hAnsiTheme="minorHAnsi" w:cstheme="minorHAnsi"/>
          <w:color w:val="000000"/>
        </w:rPr>
        <w:t>hen broken out by age group, 16.5% of adults aged 45-64, 16.1% of adults aged 25-44, and 10.4% of adults 24 or younger reported smoking “every day” or “some days” (CDC, 2017a</w:t>
      </w:r>
      <w:r w:rsidR="003B06C9" w:rsidRPr="00683A4B">
        <w:rPr>
          <w:rFonts w:asciiTheme="minorHAnsi" w:eastAsia="Times New Roman" w:hAnsiTheme="minorHAnsi" w:cstheme="minorHAnsi"/>
          <w:color w:val="000000"/>
          <w:shd w:val="clear" w:color="auto" w:fill="FFFFFF"/>
        </w:rPr>
        <w:t>)</w:t>
      </w:r>
      <w:r w:rsidR="003B06C9" w:rsidRPr="00683A4B">
        <w:rPr>
          <w:rFonts w:asciiTheme="minorHAnsi" w:eastAsia="Times New Roman" w:hAnsiTheme="minorHAnsi" w:cstheme="minorHAnsi"/>
          <w:color w:val="000000"/>
        </w:rPr>
        <w:t>. These statistics show that adults of all ages are at-risk for use.</w:t>
      </w:r>
    </w:p>
    <w:p w14:paraId="441D1484" w14:textId="77777777" w:rsidR="00E377DD" w:rsidRPr="00683A4B" w:rsidRDefault="00E377DD" w:rsidP="00E377DD">
      <w:pPr>
        <w:rPr>
          <w:rFonts w:asciiTheme="minorHAnsi" w:hAnsiTheme="minorHAnsi" w:cstheme="minorHAnsi"/>
        </w:rPr>
      </w:pPr>
    </w:p>
    <w:p w14:paraId="18DBD46B" w14:textId="674E8639" w:rsidR="008F482E" w:rsidRPr="00683A4B" w:rsidRDefault="0099100D" w:rsidP="003048CA">
      <w:pPr>
        <w:rPr>
          <w:rFonts w:asciiTheme="minorHAnsi" w:hAnsiTheme="minorHAnsi" w:cstheme="minorHAnsi"/>
          <w:b/>
        </w:rPr>
      </w:pPr>
      <w:r w:rsidRPr="00683A4B">
        <w:rPr>
          <w:rFonts w:asciiTheme="minorHAnsi" w:hAnsiTheme="minorHAnsi" w:cstheme="minorHAnsi"/>
        </w:rPr>
        <w:t>The Food and Drug Administration (FDA) Center for Tobacco Products (CTP) is seeking OMB approval under generic clearance OMB No. 0910-0796 to conduct</w:t>
      </w:r>
      <w:r w:rsidR="008F482E" w:rsidRPr="00683A4B">
        <w:rPr>
          <w:rFonts w:asciiTheme="minorHAnsi" w:hAnsiTheme="minorHAnsi" w:cstheme="minorHAnsi"/>
        </w:rPr>
        <w:t xml:space="preserve"> a qualitative research study consisting of up to 30 focus groups to gain insights </w:t>
      </w:r>
      <w:r w:rsidR="00527C3B" w:rsidRPr="00683A4B">
        <w:rPr>
          <w:rFonts w:asciiTheme="minorHAnsi" w:hAnsiTheme="minorHAnsi" w:cstheme="minorHAnsi"/>
        </w:rPr>
        <w:t xml:space="preserve">to inform how OHCE should message about this </w:t>
      </w:r>
      <w:r w:rsidR="00AD1E6B">
        <w:rPr>
          <w:rFonts w:asciiTheme="minorHAnsi" w:hAnsiTheme="minorHAnsi" w:cstheme="minorHAnsi"/>
        </w:rPr>
        <w:t xml:space="preserve">potential </w:t>
      </w:r>
      <w:r w:rsidR="00527C3B" w:rsidRPr="00683A4B">
        <w:rPr>
          <w:rFonts w:asciiTheme="minorHAnsi" w:hAnsiTheme="minorHAnsi" w:cstheme="minorHAnsi"/>
        </w:rPr>
        <w:t xml:space="preserve">regulatory effort. </w:t>
      </w:r>
      <w:r w:rsidR="008F482E" w:rsidRPr="00683A4B">
        <w:rPr>
          <w:rFonts w:asciiTheme="minorHAnsi" w:hAnsiTheme="minorHAnsi" w:cstheme="minorHAnsi"/>
        </w:rPr>
        <w:t xml:space="preserve">Specifically, this study will use focus group discussions to explore the target audience’s thoughts around nicotine and tobacco products, as well as the potential regulatory effort. Approximately 30 focus groups with up to eight participants each will be conducted in various locations across the U.S. with a total sample of up to 240 adults. The research will be conducted with individuals aged 19 to 54 who either: 1) currently smoke cigarettes, 2) </w:t>
      </w:r>
      <w:r w:rsidR="00325FA2">
        <w:rPr>
          <w:rFonts w:asciiTheme="minorHAnsi" w:hAnsiTheme="minorHAnsi" w:cstheme="minorHAnsi"/>
        </w:rPr>
        <w:t xml:space="preserve">former cigarette smokers who </w:t>
      </w:r>
      <w:r w:rsidR="008F482E" w:rsidRPr="00683A4B">
        <w:rPr>
          <w:rFonts w:asciiTheme="minorHAnsi" w:hAnsiTheme="minorHAnsi" w:cstheme="minorHAnsi"/>
        </w:rPr>
        <w:t>currently use at least one nicotine product other than cigarettes (</w:t>
      </w:r>
      <w:r w:rsidR="00325FA2" w:rsidRPr="00683A4B">
        <w:rPr>
          <w:rFonts w:asciiTheme="minorHAnsi" w:hAnsiTheme="minorHAnsi" w:cstheme="minorHAnsi"/>
        </w:rPr>
        <w:t>prioritizing other non-combustible tobacco products and/or nicotine replacement therapy);</w:t>
      </w:r>
      <w:r w:rsidR="008F482E" w:rsidRPr="00683A4B">
        <w:rPr>
          <w:rFonts w:asciiTheme="minorHAnsi" w:hAnsiTheme="minorHAnsi" w:cstheme="minorHAnsi"/>
        </w:rPr>
        <w:t xml:space="preserve"> or 3)</w:t>
      </w:r>
      <w:r w:rsidR="00325FA2">
        <w:rPr>
          <w:rFonts w:asciiTheme="minorHAnsi" w:hAnsiTheme="minorHAnsi" w:cstheme="minorHAnsi"/>
        </w:rPr>
        <w:t xml:space="preserve"> former cigarettes smokers who</w:t>
      </w:r>
      <w:r w:rsidR="008F482E" w:rsidRPr="00683A4B">
        <w:rPr>
          <w:rFonts w:asciiTheme="minorHAnsi" w:hAnsiTheme="minorHAnsi" w:cstheme="minorHAnsi"/>
        </w:rPr>
        <w:t xml:space="preserve"> do not currently use any nicotine products. Individuals will be diverse in terms of race/ethnicity, gender, and geographical location</w:t>
      </w:r>
      <w:r w:rsidR="00AD1E6B">
        <w:rPr>
          <w:rFonts w:asciiTheme="minorHAnsi" w:hAnsiTheme="minorHAnsi" w:cstheme="minorHAnsi"/>
        </w:rPr>
        <w:t>; it is not our intention to come up with a nationally representative sample</w:t>
      </w:r>
      <w:r w:rsidR="008F482E" w:rsidRPr="00683A4B">
        <w:rPr>
          <w:rFonts w:asciiTheme="minorHAnsi" w:hAnsiTheme="minorHAnsi" w:cstheme="minorHAnsi"/>
        </w:rPr>
        <w:t>.</w:t>
      </w:r>
    </w:p>
    <w:p w14:paraId="76BB1424" w14:textId="77777777" w:rsidR="00957513" w:rsidRPr="00683A4B" w:rsidRDefault="00957513" w:rsidP="00162C39">
      <w:pPr>
        <w:pStyle w:val="Default"/>
        <w:spacing w:line="276" w:lineRule="auto"/>
        <w:ind w:right="-180"/>
        <w:rPr>
          <w:rFonts w:asciiTheme="minorHAnsi" w:hAnsiTheme="minorHAnsi" w:cstheme="minorHAnsi"/>
          <w:sz w:val="22"/>
          <w:szCs w:val="22"/>
        </w:rPr>
      </w:pPr>
    </w:p>
    <w:p w14:paraId="5DE4746E" w14:textId="2AC8EC26" w:rsidR="008F482E" w:rsidRPr="00683A4B" w:rsidRDefault="00957513" w:rsidP="008F482E">
      <w:pPr>
        <w:pStyle w:val="Default"/>
        <w:numPr>
          <w:ilvl w:val="0"/>
          <w:numId w:val="2"/>
        </w:numPr>
        <w:spacing w:line="276" w:lineRule="auto"/>
        <w:ind w:left="360" w:right="-180"/>
        <w:rPr>
          <w:rFonts w:asciiTheme="minorHAnsi" w:hAnsiTheme="minorHAnsi" w:cstheme="minorHAnsi"/>
          <w:sz w:val="22"/>
          <w:szCs w:val="22"/>
        </w:rPr>
      </w:pPr>
      <w:r w:rsidRPr="00683A4B">
        <w:rPr>
          <w:rFonts w:asciiTheme="minorHAnsi" w:hAnsiTheme="minorHAnsi" w:cstheme="minorHAnsi"/>
          <w:b/>
          <w:sz w:val="22"/>
          <w:szCs w:val="22"/>
        </w:rPr>
        <w:t xml:space="preserve">Intended use of information: </w:t>
      </w:r>
    </w:p>
    <w:p w14:paraId="0A792259" w14:textId="4A80188A" w:rsidR="008F482E" w:rsidRPr="00683A4B" w:rsidRDefault="00534B84" w:rsidP="003048CA">
      <w:pPr>
        <w:widowControl w:val="0"/>
        <w:rPr>
          <w:rFonts w:asciiTheme="minorHAnsi" w:hAnsiTheme="minorHAnsi" w:cstheme="minorHAnsi"/>
        </w:rPr>
      </w:pPr>
      <w:r w:rsidRPr="00683A4B">
        <w:rPr>
          <w:rFonts w:asciiTheme="minorHAnsi" w:hAnsiTheme="minorHAnsi" w:cstheme="minorHAnsi"/>
        </w:rPr>
        <w:t>Information obtained through this study will inform</w:t>
      </w:r>
      <w:r w:rsidR="008F482E" w:rsidRPr="00683A4B">
        <w:rPr>
          <w:rFonts w:asciiTheme="minorHAnsi" w:hAnsiTheme="minorHAnsi" w:cstheme="minorHAnsi"/>
        </w:rPr>
        <w:t xml:space="preserve"> communication strategies about this </w:t>
      </w:r>
      <w:r w:rsidR="00AD1E6B">
        <w:rPr>
          <w:rFonts w:asciiTheme="minorHAnsi" w:hAnsiTheme="minorHAnsi" w:cstheme="minorHAnsi"/>
        </w:rPr>
        <w:t xml:space="preserve">potential </w:t>
      </w:r>
      <w:r w:rsidR="008F482E" w:rsidRPr="00683A4B">
        <w:rPr>
          <w:rFonts w:asciiTheme="minorHAnsi" w:hAnsiTheme="minorHAnsi" w:cstheme="minorHAnsi"/>
        </w:rPr>
        <w:t xml:space="preserve"> </w:t>
      </w:r>
      <w:r w:rsidR="00173D1F">
        <w:rPr>
          <w:rFonts w:asciiTheme="minorHAnsi" w:hAnsiTheme="minorHAnsi" w:cstheme="minorHAnsi"/>
        </w:rPr>
        <w:t>nicotine product standard</w:t>
      </w:r>
      <w:r w:rsidR="008F482E" w:rsidRPr="00683A4B">
        <w:rPr>
          <w:rFonts w:asciiTheme="minorHAnsi" w:hAnsiTheme="minorHAnsi" w:cstheme="minorHAnsi"/>
        </w:rPr>
        <w:t xml:space="preserve">. Specifically, this research study is designed to assess </w:t>
      </w:r>
      <w:r w:rsidR="008F482E" w:rsidRPr="00683A4B">
        <w:rPr>
          <w:rFonts w:asciiTheme="minorHAnsi" w:eastAsia="Times New Roman" w:hAnsiTheme="minorHAnsi" w:cstheme="minorHAnsi"/>
          <w:color w:val="000000"/>
        </w:rPr>
        <w:t xml:space="preserve">1) general perceptions, </w:t>
      </w:r>
      <w:r w:rsidR="008F482E" w:rsidRPr="00683A4B">
        <w:rPr>
          <w:rFonts w:asciiTheme="minorHAnsi" w:eastAsia="Times New Roman" w:hAnsiTheme="minorHAnsi" w:cstheme="minorHAnsi"/>
          <w:color w:val="000000"/>
        </w:rPr>
        <w:lastRenderedPageBreak/>
        <w:t xml:space="preserve">misperceptions and </w:t>
      </w:r>
      <w:r w:rsidR="008F482E" w:rsidRPr="00683A4B">
        <w:rPr>
          <w:rFonts w:asciiTheme="minorHAnsi" w:eastAsia="Times New Roman" w:hAnsiTheme="minorHAnsi" w:cstheme="minorHAnsi"/>
          <w:bCs/>
          <w:color w:val="000000"/>
        </w:rPr>
        <w:t xml:space="preserve">knowledge of nicotine </w:t>
      </w:r>
      <w:r w:rsidR="008F482E" w:rsidRPr="00683A4B">
        <w:rPr>
          <w:rFonts w:asciiTheme="minorHAnsi" w:eastAsia="Times New Roman" w:hAnsiTheme="minorHAnsi" w:cstheme="minorHAnsi"/>
          <w:color w:val="000000"/>
        </w:rPr>
        <w:t xml:space="preserve">in cigarettes, other tobacco products, and FDA-approved nicotine medications 2) knowledge and perceptions of </w:t>
      </w:r>
      <w:r w:rsidR="008F482E" w:rsidRPr="00683A4B">
        <w:rPr>
          <w:rFonts w:asciiTheme="minorHAnsi" w:eastAsia="Times New Roman" w:hAnsiTheme="minorHAnsi" w:cstheme="minorHAnsi"/>
          <w:bCs/>
          <w:color w:val="000000"/>
        </w:rPr>
        <w:t xml:space="preserve">comparative risk of harm </w:t>
      </w:r>
      <w:r w:rsidR="008F482E" w:rsidRPr="00683A4B">
        <w:rPr>
          <w:rFonts w:asciiTheme="minorHAnsi" w:eastAsia="Times New Roman" w:hAnsiTheme="minorHAnsi" w:cstheme="minorHAnsi"/>
          <w:color w:val="000000"/>
        </w:rPr>
        <w:t xml:space="preserve">of nicotine delivery products and, 3) related perceptions and understanding of </w:t>
      </w:r>
      <w:r w:rsidR="00173D1F">
        <w:rPr>
          <w:rFonts w:asciiTheme="minorHAnsi" w:eastAsia="Times New Roman" w:hAnsiTheme="minorHAnsi" w:cstheme="minorHAnsi"/>
          <w:color w:val="000000"/>
        </w:rPr>
        <w:t>the standard</w:t>
      </w:r>
      <w:r w:rsidR="008F482E" w:rsidRPr="00683A4B">
        <w:rPr>
          <w:rFonts w:asciiTheme="minorHAnsi" w:eastAsia="Times New Roman" w:hAnsiTheme="minorHAnsi" w:cstheme="minorHAnsi"/>
          <w:bCs/>
          <w:color w:val="000000"/>
        </w:rPr>
        <w:t xml:space="preserve"> and </w:t>
      </w:r>
      <w:r w:rsidR="00173D1F">
        <w:rPr>
          <w:rFonts w:asciiTheme="minorHAnsi" w:eastAsia="Times New Roman" w:hAnsiTheme="minorHAnsi" w:cstheme="minorHAnsi"/>
          <w:bCs/>
          <w:color w:val="000000"/>
        </w:rPr>
        <w:t xml:space="preserve">of FDA </w:t>
      </w:r>
      <w:r w:rsidR="008F482E" w:rsidRPr="00683A4B">
        <w:rPr>
          <w:rFonts w:asciiTheme="minorHAnsi" w:eastAsia="Times New Roman" w:hAnsiTheme="minorHAnsi" w:cstheme="minorHAnsi"/>
          <w:bCs/>
          <w:color w:val="000000"/>
        </w:rPr>
        <w:t>authority.</w:t>
      </w:r>
      <w:r w:rsidR="008F482E" w:rsidRPr="00683A4B">
        <w:rPr>
          <w:rFonts w:asciiTheme="minorHAnsi" w:eastAsia="Times New Roman" w:hAnsiTheme="minorHAnsi" w:cstheme="minorHAnsi"/>
          <w:b/>
          <w:bCs/>
          <w:color w:val="000000"/>
        </w:rPr>
        <w:t xml:space="preserve"> </w:t>
      </w:r>
      <w:r w:rsidR="008F482E" w:rsidRPr="00683A4B">
        <w:rPr>
          <w:rFonts w:asciiTheme="minorHAnsi" w:hAnsiTheme="minorHAnsi" w:cstheme="minorHAnsi"/>
        </w:rPr>
        <w:t xml:space="preserve">To address these objectives, researchers will conduct focus groups with current and former adult cigarette smokers. </w:t>
      </w:r>
    </w:p>
    <w:p w14:paraId="7581D0A8" w14:textId="63B1D328" w:rsidR="00527C3B" w:rsidRPr="00683A4B" w:rsidRDefault="00527C3B" w:rsidP="00162C39">
      <w:pPr>
        <w:pStyle w:val="Default"/>
        <w:spacing w:line="276" w:lineRule="auto"/>
        <w:ind w:right="-180"/>
        <w:rPr>
          <w:rFonts w:asciiTheme="minorHAnsi" w:hAnsiTheme="minorHAnsi" w:cstheme="minorHAnsi"/>
          <w:sz w:val="22"/>
          <w:szCs w:val="22"/>
        </w:rPr>
      </w:pPr>
    </w:p>
    <w:p w14:paraId="6E91614C" w14:textId="0621C57D" w:rsidR="00E07C91" w:rsidRPr="00683A4B" w:rsidRDefault="00957513" w:rsidP="00E07C91">
      <w:pPr>
        <w:pStyle w:val="Default"/>
        <w:numPr>
          <w:ilvl w:val="0"/>
          <w:numId w:val="2"/>
        </w:numPr>
        <w:spacing w:line="276" w:lineRule="auto"/>
        <w:ind w:left="360" w:right="-180"/>
        <w:rPr>
          <w:rFonts w:asciiTheme="minorHAnsi" w:hAnsiTheme="minorHAnsi" w:cstheme="minorHAnsi"/>
          <w:sz w:val="22"/>
          <w:szCs w:val="22"/>
        </w:rPr>
      </w:pPr>
      <w:r w:rsidRPr="00683A4B">
        <w:rPr>
          <w:rFonts w:asciiTheme="minorHAnsi" w:hAnsiTheme="minorHAnsi" w:cstheme="minorHAnsi"/>
          <w:b/>
          <w:sz w:val="22"/>
          <w:szCs w:val="22"/>
        </w:rPr>
        <w:t xml:space="preserve">Description of respondents: </w:t>
      </w:r>
    </w:p>
    <w:p w14:paraId="5AFF0C55" w14:textId="17D55EDB" w:rsidR="008F482E" w:rsidRPr="00683A4B" w:rsidRDefault="008F482E" w:rsidP="008F482E">
      <w:pPr>
        <w:widowControl w:val="0"/>
        <w:rPr>
          <w:rFonts w:asciiTheme="minorHAnsi" w:hAnsiTheme="minorHAnsi" w:cstheme="minorHAnsi"/>
        </w:rPr>
      </w:pPr>
      <w:r w:rsidRPr="00683A4B">
        <w:rPr>
          <w:rFonts w:asciiTheme="minorHAnsi" w:hAnsiTheme="minorHAnsi" w:cstheme="minorHAnsi"/>
        </w:rPr>
        <w:t xml:space="preserve">This qualitative study will be composed of up to 30 focus groups, each with up to eight participants. </w:t>
      </w:r>
      <w:r w:rsidR="00D101DB">
        <w:rPr>
          <w:rFonts w:asciiTheme="minorHAnsi" w:hAnsiTheme="minorHAnsi" w:cstheme="minorHAnsi"/>
        </w:rPr>
        <w:t xml:space="preserve">Focus groups will take place in Indiana, Louisiana, Pennsylvania, North Carolina, and Atlanta. </w:t>
      </w:r>
      <w:r w:rsidRPr="00683A4B">
        <w:rPr>
          <w:rFonts w:asciiTheme="minorHAnsi" w:hAnsiTheme="minorHAnsi" w:cstheme="minorHAnsi"/>
        </w:rPr>
        <w:t xml:space="preserve">The research will be conducted with adults who are: </w:t>
      </w:r>
    </w:p>
    <w:p w14:paraId="05890049" w14:textId="64CB7240" w:rsidR="008F482E" w:rsidRPr="00683A4B" w:rsidRDefault="008F482E" w:rsidP="008F482E">
      <w:pPr>
        <w:pStyle w:val="ListParagraph"/>
        <w:widowControl w:val="0"/>
        <w:numPr>
          <w:ilvl w:val="0"/>
          <w:numId w:val="6"/>
        </w:numPr>
        <w:spacing w:after="240" w:line="240" w:lineRule="auto"/>
        <w:jc w:val="both"/>
        <w:rPr>
          <w:rFonts w:asciiTheme="minorHAnsi" w:hAnsiTheme="minorHAnsi" w:cstheme="minorHAnsi"/>
        </w:rPr>
      </w:pPr>
      <w:r w:rsidRPr="00683A4B">
        <w:rPr>
          <w:rFonts w:asciiTheme="minorHAnsi" w:hAnsiTheme="minorHAnsi" w:cstheme="minorHAnsi"/>
        </w:rPr>
        <w:t>Current smokers: Age 19-54 who ha</w:t>
      </w:r>
      <w:r w:rsidR="00725318">
        <w:rPr>
          <w:rFonts w:asciiTheme="minorHAnsi" w:hAnsiTheme="minorHAnsi" w:cstheme="minorHAnsi"/>
        </w:rPr>
        <w:t>ve</w:t>
      </w:r>
      <w:r w:rsidRPr="00683A4B">
        <w:rPr>
          <w:rFonts w:asciiTheme="minorHAnsi" w:hAnsiTheme="minorHAnsi" w:cstheme="minorHAnsi"/>
        </w:rPr>
        <w:t xml:space="preserve"> smoked at least 100 cigarettes in </w:t>
      </w:r>
      <w:r w:rsidR="0099229C">
        <w:rPr>
          <w:rFonts w:asciiTheme="minorHAnsi" w:hAnsiTheme="minorHAnsi" w:cstheme="minorHAnsi"/>
        </w:rPr>
        <w:t xml:space="preserve">their </w:t>
      </w:r>
      <w:r w:rsidRPr="00683A4B">
        <w:rPr>
          <w:rFonts w:asciiTheme="minorHAnsi" w:hAnsiTheme="minorHAnsi" w:cstheme="minorHAnsi"/>
        </w:rPr>
        <w:t>lifetime and who currently smoke cigarettes (measured by past 30 day use of cigarettes)</w:t>
      </w:r>
    </w:p>
    <w:p w14:paraId="73DC971B" w14:textId="617E3689" w:rsidR="008F482E" w:rsidRPr="00683A4B" w:rsidRDefault="008F482E" w:rsidP="008F482E">
      <w:pPr>
        <w:pStyle w:val="ListParagraph"/>
        <w:widowControl w:val="0"/>
        <w:numPr>
          <w:ilvl w:val="0"/>
          <w:numId w:val="6"/>
        </w:numPr>
        <w:spacing w:after="240" w:line="240" w:lineRule="auto"/>
        <w:jc w:val="both"/>
        <w:rPr>
          <w:rFonts w:asciiTheme="minorHAnsi" w:hAnsiTheme="minorHAnsi" w:cstheme="minorHAnsi"/>
        </w:rPr>
      </w:pPr>
      <w:r w:rsidRPr="00683A4B">
        <w:rPr>
          <w:rFonts w:asciiTheme="minorHAnsi" w:hAnsiTheme="minorHAnsi" w:cstheme="minorHAnsi"/>
        </w:rPr>
        <w:t>Former smokers: Age 25-54 who ha</w:t>
      </w:r>
      <w:r w:rsidR="0099229C">
        <w:rPr>
          <w:rFonts w:asciiTheme="minorHAnsi" w:hAnsiTheme="minorHAnsi" w:cstheme="minorHAnsi"/>
        </w:rPr>
        <w:t>ve</w:t>
      </w:r>
      <w:r w:rsidRPr="00683A4B">
        <w:rPr>
          <w:rFonts w:asciiTheme="minorHAnsi" w:hAnsiTheme="minorHAnsi" w:cstheme="minorHAnsi"/>
        </w:rPr>
        <w:t xml:space="preserve"> smoked at least 100 cigarettes in </w:t>
      </w:r>
      <w:r w:rsidR="0099229C">
        <w:rPr>
          <w:rFonts w:asciiTheme="minorHAnsi" w:hAnsiTheme="minorHAnsi" w:cstheme="minorHAnsi"/>
        </w:rPr>
        <w:t xml:space="preserve">their </w:t>
      </w:r>
      <w:r w:rsidRPr="00683A4B">
        <w:rPr>
          <w:rFonts w:asciiTheme="minorHAnsi" w:hAnsiTheme="minorHAnsi" w:cstheme="minorHAnsi"/>
        </w:rPr>
        <w:t xml:space="preserve">lifetime, quit smoking at least 6 months, but no longer than 5 years before the time of the focus groups, and </w:t>
      </w:r>
      <w:r w:rsidR="0099229C">
        <w:rPr>
          <w:rFonts w:asciiTheme="minorHAnsi" w:hAnsiTheme="minorHAnsi" w:cstheme="minorHAnsi"/>
        </w:rPr>
        <w:t>are</w:t>
      </w:r>
      <w:r w:rsidRPr="00683A4B">
        <w:rPr>
          <w:rFonts w:asciiTheme="minorHAnsi" w:hAnsiTheme="minorHAnsi" w:cstheme="minorHAnsi"/>
        </w:rPr>
        <w:t xml:space="preserve"> categorized as either:</w:t>
      </w:r>
    </w:p>
    <w:p w14:paraId="709DD58D" w14:textId="41FF0B73" w:rsidR="008F482E" w:rsidRPr="00683A4B" w:rsidRDefault="008F482E" w:rsidP="008F482E">
      <w:pPr>
        <w:pStyle w:val="ListParagraph"/>
        <w:widowControl w:val="0"/>
        <w:numPr>
          <w:ilvl w:val="1"/>
          <w:numId w:val="6"/>
        </w:numPr>
        <w:spacing w:after="240" w:line="240" w:lineRule="auto"/>
        <w:jc w:val="both"/>
        <w:rPr>
          <w:rFonts w:asciiTheme="minorHAnsi" w:hAnsiTheme="minorHAnsi" w:cstheme="minorHAnsi"/>
        </w:rPr>
      </w:pPr>
      <w:r w:rsidRPr="00683A4B">
        <w:rPr>
          <w:rFonts w:asciiTheme="minorHAnsi" w:hAnsiTheme="minorHAnsi" w:cstheme="minorHAnsi"/>
        </w:rPr>
        <w:t>Use Nicotine: Currently use at least one other nicotine product (prioritizing other non-combustible tobacco products and/or nicotine replacement therapy); or</w:t>
      </w:r>
    </w:p>
    <w:p w14:paraId="72166E0B" w14:textId="706700E8" w:rsidR="008F482E" w:rsidRPr="00683A4B" w:rsidRDefault="008F482E" w:rsidP="008F482E">
      <w:pPr>
        <w:pStyle w:val="ListParagraph"/>
        <w:widowControl w:val="0"/>
        <w:numPr>
          <w:ilvl w:val="1"/>
          <w:numId w:val="6"/>
        </w:numPr>
        <w:spacing w:after="240" w:line="240" w:lineRule="auto"/>
        <w:jc w:val="both"/>
        <w:rPr>
          <w:rFonts w:asciiTheme="minorHAnsi" w:hAnsiTheme="minorHAnsi" w:cstheme="minorHAnsi"/>
        </w:rPr>
      </w:pPr>
      <w:r w:rsidRPr="00683A4B">
        <w:rPr>
          <w:rFonts w:asciiTheme="minorHAnsi" w:hAnsiTheme="minorHAnsi" w:cstheme="minorHAnsi"/>
        </w:rPr>
        <w:t>Quit All Forms of Nicotine: Do not currently use any other nicotine products.</w:t>
      </w:r>
    </w:p>
    <w:p w14:paraId="0A8815CF" w14:textId="3A9AC515" w:rsidR="00957513" w:rsidRPr="00683A4B" w:rsidRDefault="008F482E" w:rsidP="00527C3B">
      <w:pPr>
        <w:pStyle w:val="Default"/>
        <w:spacing w:line="276" w:lineRule="auto"/>
        <w:ind w:right="-180"/>
        <w:rPr>
          <w:rFonts w:asciiTheme="minorHAnsi" w:hAnsiTheme="minorHAnsi" w:cstheme="minorHAnsi"/>
          <w:sz w:val="22"/>
          <w:szCs w:val="22"/>
        </w:rPr>
      </w:pPr>
      <w:r w:rsidRPr="00683A4B">
        <w:rPr>
          <w:rFonts w:asciiTheme="minorHAnsi" w:hAnsiTheme="minorHAnsi" w:cstheme="minorHAnsi"/>
          <w:sz w:val="22"/>
          <w:szCs w:val="22"/>
        </w:rPr>
        <w:t>The total sample size will be no more tha</w:t>
      </w:r>
      <w:r w:rsidR="0099229C">
        <w:rPr>
          <w:rFonts w:asciiTheme="minorHAnsi" w:hAnsiTheme="minorHAnsi" w:cstheme="minorHAnsi"/>
          <w:sz w:val="22"/>
          <w:szCs w:val="22"/>
        </w:rPr>
        <w:t>n</w:t>
      </w:r>
      <w:r w:rsidRPr="00683A4B">
        <w:rPr>
          <w:rFonts w:asciiTheme="minorHAnsi" w:hAnsiTheme="minorHAnsi" w:cstheme="minorHAnsi"/>
          <w:sz w:val="22"/>
          <w:szCs w:val="22"/>
        </w:rPr>
        <w:t xml:space="preserve"> 240 participants. Groups will be segmented by age (young adult 19-24, adult 25-39, older adult 40-54) and by use status. </w:t>
      </w:r>
      <w:r w:rsidR="000C3AA2" w:rsidRPr="00683A4B">
        <w:rPr>
          <w:rFonts w:asciiTheme="minorHAnsi" w:hAnsiTheme="minorHAnsi" w:cstheme="minorHAnsi"/>
          <w:sz w:val="22"/>
          <w:szCs w:val="22"/>
        </w:rPr>
        <w:t xml:space="preserve">Groups will be otherwise diverse by </w:t>
      </w:r>
      <w:r w:rsidR="00222F22" w:rsidRPr="00683A4B">
        <w:rPr>
          <w:rFonts w:asciiTheme="minorHAnsi" w:hAnsiTheme="minorHAnsi" w:cstheme="minorHAnsi"/>
          <w:sz w:val="22"/>
          <w:szCs w:val="22"/>
        </w:rPr>
        <w:t xml:space="preserve">other demographic variables (e.g., </w:t>
      </w:r>
      <w:r w:rsidRPr="00683A4B">
        <w:rPr>
          <w:rFonts w:asciiTheme="minorHAnsi" w:hAnsiTheme="minorHAnsi" w:cstheme="minorHAnsi"/>
          <w:sz w:val="22"/>
          <w:szCs w:val="22"/>
        </w:rPr>
        <w:t xml:space="preserve">gender, </w:t>
      </w:r>
      <w:r w:rsidR="00222F22" w:rsidRPr="00683A4B">
        <w:rPr>
          <w:rFonts w:asciiTheme="minorHAnsi" w:hAnsiTheme="minorHAnsi" w:cstheme="minorHAnsi"/>
          <w:sz w:val="22"/>
          <w:szCs w:val="22"/>
        </w:rPr>
        <w:t>race/ethnicity)</w:t>
      </w:r>
      <w:r w:rsidR="000C3AA2" w:rsidRPr="00683A4B">
        <w:rPr>
          <w:rFonts w:asciiTheme="minorHAnsi" w:hAnsiTheme="minorHAnsi" w:cstheme="minorHAnsi"/>
          <w:sz w:val="22"/>
          <w:szCs w:val="22"/>
        </w:rPr>
        <w:t>.</w:t>
      </w:r>
      <w:r w:rsidR="00D75CB3" w:rsidRPr="00683A4B">
        <w:rPr>
          <w:rFonts w:asciiTheme="minorHAnsi" w:hAnsiTheme="minorHAnsi" w:cstheme="minorHAnsi"/>
          <w:sz w:val="22"/>
          <w:szCs w:val="22"/>
        </w:rPr>
        <w:t xml:space="preserve"> </w:t>
      </w:r>
    </w:p>
    <w:p w14:paraId="334F55F6" w14:textId="77777777" w:rsidR="00685ADD" w:rsidRPr="00527C3B" w:rsidRDefault="00685ADD" w:rsidP="00685ADD">
      <w:pPr>
        <w:pStyle w:val="ListParagraph"/>
        <w:autoSpaceDE w:val="0"/>
        <w:autoSpaceDN w:val="0"/>
        <w:adjustRightInd w:val="0"/>
        <w:ind w:left="6030" w:right="-180"/>
        <w:rPr>
          <w:rFonts w:asciiTheme="minorHAnsi" w:hAnsiTheme="minorHAnsi" w:cstheme="minorHAnsi"/>
          <w:b/>
          <w:color w:val="000000"/>
        </w:rPr>
      </w:pPr>
    </w:p>
    <w:p w14:paraId="5F1C6EBC" w14:textId="39915BE5" w:rsidR="00957513" w:rsidRPr="00527C3B" w:rsidRDefault="00E07C91" w:rsidP="00E07C91">
      <w:pPr>
        <w:pStyle w:val="NoSpacing"/>
        <w:ind w:left="6030" w:hanging="6030"/>
        <w:rPr>
          <w:rFonts w:asciiTheme="minorHAnsi" w:hAnsiTheme="minorHAnsi" w:cstheme="minorHAnsi"/>
          <w:b/>
          <w:sz w:val="22"/>
          <w:szCs w:val="22"/>
        </w:rPr>
      </w:pPr>
      <w:r w:rsidRPr="00527C3B">
        <w:rPr>
          <w:rFonts w:asciiTheme="minorHAnsi" w:hAnsiTheme="minorHAnsi" w:cstheme="minorHAnsi"/>
          <w:b/>
          <w:sz w:val="22"/>
          <w:szCs w:val="22"/>
        </w:rPr>
        <w:t xml:space="preserve">4.   </w:t>
      </w:r>
      <w:r w:rsidR="002B6165" w:rsidRPr="00527C3B">
        <w:rPr>
          <w:rFonts w:asciiTheme="minorHAnsi" w:hAnsiTheme="minorHAnsi" w:cstheme="minorHAnsi"/>
          <w:b/>
          <w:sz w:val="22"/>
          <w:szCs w:val="22"/>
        </w:rPr>
        <w:t>Date(s) t</w:t>
      </w:r>
      <w:r w:rsidR="00957513" w:rsidRPr="00527C3B">
        <w:rPr>
          <w:rFonts w:asciiTheme="minorHAnsi" w:hAnsiTheme="minorHAnsi" w:cstheme="minorHAnsi"/>
          <w:b/>
          <w:sz w:val="22"/>
          <w:szCs w:val="22"/>
        </w:rPr>
        <w:t xml:space="preserve">o be conducted: </w:t>
      </w:r>
    </w:p>
    <w:p w14:paraId="0132CFC8" w14:textId="01E280B6" w:rsidR="00273C8B" w:rsidRPr="00527C3B" w:rsidRDefault="00957513" w:rsidP="003048CA">
      <w:pPr>
        <w:widowControl w:val="0"/>
        <w:autoSpaceDE w:val="0"/>
        <w:autoSpaceDN w:val="0"/>
        <w:adjustRightInd w:val="0"/>
        <w:rPr>
          <w:rFonts w:asciiTheme="minorHAnsi" w:hAnsiTheme="minorHAnsi" w:cstheme="minorHAnsi"/>
        </w:rPr>
      </w:pPr>
      <w:r w:rsidRPr="00527C3B">
        <w:rPr>
          <w:rFonts w:asciiTheme="minorHAnsi" w:hAnsiTheme="minorHAnsi" w:cstheme="minorHAnsi"/>
        </w:rPr>
        <w:t xml:space="preserve">The </w:t>
      </w:r>
      <w:r w:rsidR="00A846A2" w:rsidRPr="00527C3B">
        <w:rPr>
          <w:rFonts w:asciiTheme="minorHAnsi" w:hAnsiTheme="minorHAnsi" w:cstheme="minorHAnsi"/>
        </w:rPr>
        <w:t xml:space="preserve">study is projected to occur between </w:t>
      </w:r>
      <w:r w:rsidR="008F482E" w:rsidRPr="00527C3B">
        <w:rPr>
          <w:rFonts w:asciiTheme="minorHAnsi" w:hAnsiTheme="minorHAnsi" w:cstheme="minorHAnsi"/>
        </w:rPr>
        <w:t>September</w:t>
      </w:r>
      <w:r w:rsidR="00273C8B" w:rsidRPr="00527C3B">
        <w:rPr>
          <w:rFonts w:asciiTheme="minorHAnsi" w:hAnsiTheme="minorHAnsi" w:cstheme="minorHAnsi"/>
        </w:rPr>
        <w:t xml:space="preserve"> 2019</w:t>
      </w:r>
      <w:r w:rsidR="00DD0426" w:rsidRPr="00527C3B">
        <w:rPr>
          <w:rFonts w:asciiTheme="minorHAnsi" w:hAnsiTheme="minorHAnsi" w:cstheme="minorHAnsi"/>
        </w:rPr>
        <w:t xml:space="preserve"> and </w:t>
      </w:r>
      <w:r w:rsidR="008F482E" w:rsidRPr="00527C3B">
        <w:rPr>
          <w:rFonts w:asciiTheme="minorHAnsi" w:hAnsiTheme="minorHAnsi" w:cstheme="minorHAnsi"/>
        </w:rPr>
        <w:t xml:space="preserve">September </w:t>
      </w:r>
      <w:r w:rsidR="00273C8B" w:rsidRPr="00527C3B">
        <w:rPr>
          <w:rFonts w:asciiTheme="minorHAnsi" w:hAnsiTheme="minorHAnsi" w:cstheme="minorHAnsi"/>
        </w:rPr>
        <w:t xml:space="preserve">2020. </w:t>
      </w:r>
    </w:p>
    <w:p w14:paraId="4DAB532B" w14:textId="77777777" w:rsidR="00E07C91" w:rsidRPr="00527C3B" w:rsidRDefault="00E07C91" w:rsidP="00E07C91">
      <w:pPr>
        <w:pStyle w:val="ListParagraph"/>
        <w:autoSpaceDE w:val="0"/>
        <w:autoSpaceDN w:val="0"/>
        <w:adjustRightInd w:val="0"/>
        <w:ind w:left="6030" w:right="-180" w:hanging="5940"/>
        <w:rPr>
          <w:rFonts w:asciiTheme="minorHAnsi" w:hAnsiTheme="minorHAnsi" w:cstheme="minorHAnsi"/>
        </w:rPr>
      </w:pPr>
    </w:p>
    <w:p w14:paraId="4D0FE62A" w14:textId="1E71C2D2" w:rsidR="00527C3B" w:rsidRPr="003048CA" w:rsidRDefault="00957513" w:rsidP="00527C3B">
      <w:pPr>
        <w:pStyle w:val="ListParagraph"/>
        <w:numPr>
          <w:ilvl w:val="0"/>
          <w:numId w:val="5"/>
        </w:numPr>
        <w:autoSpaceDE w:val="0"/>
        <w:autoSpaceDN w:val="0"/>
        <w:adjustRightInd w:val="0"/>
        <w:ind w:right="-180"/>
        <w:rPr>
          <w:rFonts w:asciiTheme="minorHAnsi" w:hAnsiTheme="minorHAnsi" w:cstheme="minorHAnsi"/>
          <w:color w:val="000000"/>
        </w:rPr>
      </w:pPr>
      <w:r w:rsidRPr="00527C3B">
        <w:rPr>
          <w:rFonts w:asciiTheme="minorHAnsi" w:hAnsiTheme="minorHAnsi" w:cstheme="minorHAnsi"/>
          <w:b/>
          <w:color w:val="000000"/>
        </w:rPr>
        <w:t xml:space="preserve">How the </w:t>
      </w:r>
      <w:r w:rsidR="003766CC" w:rsidRPr="00527C3B">
        <w:rPr>
          <w:rFonts w:asciiTheme="minorHAnsi" w:hAnsiTheme="minorHAnsi" w:cstheme="minorHAnsi"/>
          <w:b/>
          <w:color w:val="000000"/>
        </w:rPr>
        <w:t>i</w:t>
      </w:r>
      <w:r w:rsidRPr="00527C3B">
        <w:rPr>
          <w:rFonts w:asciiTheme="minorHAnsi" w:hAnsiTheme="minorHAnsi" w:cstheme="minorHAnsi"/>
          <w:b/>
          <w:color w:val="000000"/>
        </w:rPr>
        <w:t xml:space="preserve">nformation is being collected: </w:t>
      </w:r>
    </w:p>
    <w:p w14:paraId="39286F23" w14:textId="67C97E83" w:rsidR="001467A6" w:rsidRDefault="00244EE2" w:rsidP="00527C3B">
      <w:pPr>
        <w:autoSpaceDE w:val="0"/>
        <w:autoSpaceDN w:val="0"/>
        <w:adjustRightInd w:val="0"/>
        <w:ind w:right="-180"/>
        <w:rPr>
          <w:rFonts w:asciiTheme="minorHAnsi" w:hAnsiTheme="minorHAnsi" w:cstheme="minorHAnsi"/>
        </w:rPr>
      </w:pPr>
      <w:r w:rsidRPr="00527C3B">
        <w:rPr>
          <w:rFonts w:asciiTheme="minorHAnsi" w:hAnsiTheme="minorHAnsi" w:cstheme="minorHAnsi"/>
          <w:color w:val="000000"/>
        </w:rPr>
        <w:t xml:space="preserve">The information will be </w:t>
      </w:r>
      <w:r w:rsidR="00C7271C" w:rsidRPr="00527C3B">
        <w:rPr>
          <w:rFonts w:asciiTheme="minorHAnsi" w:hAnsiTheme="minorHAnsi" w:cstheme="minorHAnsi"/>
          <w:color w:val="000000"/>
        </w:rPr>
        <w:t>collect</w:t>
      </w:r>
      <w:r w:rsidRPr="00527C3B">
        <w:rPr>
          <w:rFonts w:asciiTheme="minorHAnsi" w:hAnsiTheme="minorHAnsi" w:cstheme="minorHAnsi"/>
          <w:color w:val="000000"/>
        </w:rPr>
        <w:t>ed</w:t>
      </w:r>
      <w:r w:rsidR="00C7271C" w:rsidRPr="00527C3B">
        <w:rPr>
          <w:rFonts w:asciiTheme="minorHAnsi" w:hAnsiTheme="minorHAnsi" w:cstheme="minorHAnsi"/>
          <w:color w:val="000000"/>
        </w:rPr>
        <w:t xml:space="preserve"> through </w:t>
      </w:r>
      <w:r w:rsidR="00162C39" w:rsidRPr="00527C3B">
        <w:rPr>
          <w:rFonts w:asciiTheme="minorHAnsi" w:hAnsiTheme="minorHAnsi" w:cstheme="minorHAnsi"/>
          <w:color w:val="000000"/>
        </w:rPr>
        <w:t xml:space="preserve">up to </w:t>
      </w:r>
      <w:r w:rsidR="00413113" w:rsidRPr="00527C3B">
        <w:rPr>
          <w:rFonts w:asciiTheme="minorHAnsi" w:hAnsiTheme="minorHAnsi" w:cstheme="minorHAnsi"/>
          <w:color w:val="000000"/>
        </w:rPr>
        <w:t>30</w:t>
      </w:r>
      <w:r w:rsidR="00C7271C" w:rsidRPr="00527C3B">
        <w:rPr>
          <w:rFonts w:asciiTheme="minorHAnsi" w:hAnsiTheme="minorHAnsi" w:cstheme="minorHAnsi"/>
          <w:color w:val="000000"/>
        </w:rPr>
        <w:t xml:space="preserve"> in-person</w:t>
      </w:r>
      <w:r w:rsidR="000C3AA2" w:rsidRPr="00527C3B">
        <w:rPr>
          <w:rFonts w:asciiTheme="minorHAnsi" w:hAnsiTheme="minorHAnsi" w:cstheme="minorHAnsi"/>
          <w:color w:val="000000"/>
        </w:rPr>
        <w:t xml:space="preserve"> </w:t>
      </w:r>
      <w:r w:rsidR="00C7271C" w:rsidRPr="00527C3B">
        <w:rPr>
          <w:rFonts w:asciiTheme="minorHAnsi" w:hAnsiTheme="minorHAnsi" w:cstheme="minorHAnsi"/>
          <w:color w:val="000000"/>
        </w:rPr>
        <w:t>focus groups</w:t>
      </w:r>
      <w:r w:rsidRPr="00527C3B">
        <w:rPr>
          <w:rFonts w:asciiTheme="minorHAnsi" w:hAnsiTheme="minorHAnsi" w:cstheme="minorHAnsi"/>
          <w:color w:val="000000"/>
        </w:rPr>
        <w:t xml:space="preserve"> led by a professional moderator with experience leading focus groups</w:t>
      </w:r>
      <w:r w:rsidR="001467A6" w:rsidRPr="00527C3B">
        <w:rPr>
          <w:rFonts w:asciiTheme="minorHAnsi" w:hAnsiTheme="minorHAnsi" w:cstheme="minorHAnsi"/>
          <w:color w:val="000000"/>
        </w:rPr>
        <w:t xml:space="preserve"> on sensitive topics. </w:t>
      </w:r>
      <w:r w:rsidR="001467A6" w:rsidRPr="00527C3B">
        <w:rPr>
          <w:rFonts w:asciiTheme="minorHAnsi" w:hAnsiTheme="minorHAnsi" w:cstheme="minorHAnsi"/>
        </w:rPr>
        <w:t xml:space="preserve">Focus group moderators will administer a series of activities and ask questions using a semi-structured discussion guide, which is provided in the attachments. Moderators will encourage participants to respond openly and spontaneously. Focus groups will be audio recorded; they will be observed by FDA and research contractor staff. When possible, focus groups will be livestreamed, but not video recorded, to allow other members of the research team who are not in that location to remotely observe the sessions. </w:t>
      </w:r>
    </w:p>
    <w:p w14:paraId="38075AD5" w14:textId="77777777" w:rsidR="00527C3B" w:rsidRPr="00527C3B" w:rsidRDefault="00527C3B" w:rsidP="00527C3B">
      <w:pPr>
        <w:autoSpaceDE w:val="0"/>
        <w:autoSpaceDN w:val="0"/>
        <w:adjustRightInd w:val="0"/>
        <w:ind w:right="-180"/>
        <w:rPr>
          <w:rFonts w:asciiTheme="minorHAnsi" w:hAnsiTheme="minorHAnsi" w:cstheme="minorHAnsi"/>
          <w:color w:val="000000"/>
        </w:rPr>
      </w:pPr>
    </w:p>
    <w:p w14:paraId="5F3C6D5A" w14:textId="00094816" w:rsidR="001467A6" w:rsidRDefault="001467A6" w:rsidP="001467A6">
      <w:pPr>
        <w:widowControl w:val="0"/>
        <w:rPr>
          <w:rFonts w:asciiTheme="minorHAnsi" w:hAnsiTheme="minorHAnsi" w:cstheme="minorHAnsi"/>
        </w:rPr>
      </w:pPr>
      <w:r w:rsidRPr="00527C3B">
        <w:rPr>
          <w:rFonts w:asciiTheme="minorHAnsi" w:hAnsiTheme="minorHAnsi" w:cstheme="minorHAnsi"/>
          <w:u w:val="single"/>
        </w:rPr>
        <w:t>Check-In Survey:</w:t>
      </w:r>
      <w:r w:rsidRPr="00527C3B">
        <w:rPr>
          <w:rFonts w:asciiTheme="minorHAnsi" w:hAnsiTheme="minorHAnsi" w:cstheme="minorHAnsi"/>
        </w:rPr>
        <w:t xml:space="preserve"> This questionnaire will be completed individually and includes several self-report items to assess additional demographics, tobacco-related behaviors, and knowledge attitudes and beliefs around tobacco. There will be 3 unique check-in surveys depending on smoking status (current smoker, former smoker - quit cigarettes, and former smoker – quit nicotine) because there is the need to ask different tobacco-related behavior questions depending on smoking status</w:t>
      </w:r>
      <w:r w:rsidR="00527C3B">
        <w:rPr>
          <w:rFonts w:asciiTheme="minorHAnsi" w:hAnsiTheme="minorHAnsi" w:cstheme="minorHAnsi"/>
        </w:rPr>
        <w:t>.</w:t>
      </w:r>
      <w:r w:rsidRPr="00527C3B">
        <w:rPr>
          <w:rFonts w:asciiTheme="minorHAnsi" w:hAnsiTheme="minorHAnsi" w:cstheme="minorHAnsi"/>
        </w:rPr>
        <w:t xml:space="preserve"> </w:t>
      </w:r>
    </w:p>
    <w:p w14:paraId="348DA779" w14:textId="77777777" w:rsidR="00527C3B" w:rsidRPr="00527C3B" w:rsidRDefault="00527C3B" w:rsidP="001467A6">
      <w:pPr>
        <w:widowControl w:val="0"/>
        <w:rPr>
          <w:rFonts w:asciiTheme="minorHAnsi" w:hAnsiTheme="minorHAnsi" w:cstheme="minorHAnsi"/>
        </w:rPr>
      </w:pPr>
    </w:p>
    <w:p w14:paraId="2C3BF528" w14:textId="1909DA6D" w:rsidR="001467A6" w:rsidRPr="00527C3B" w:rsidRDefault="001467A6" w:rsidP="001467A6">
      <w:pPr>
        <w:widowControl w:val="0"/>
        <w:rPr>
          <w:rFonts w:asciiTheme="minorHAnsi" w:hAnsiTheme="minorHAnsi" w:cstheme="minorHAnsi"/>
        </w:rPr>
      </w:pPr>
      <w:r w:rsidRPr="00527C3B">
        <w:rPr>
          <w:rFonts w:asciiTheme="minorHAnsi" w:hAnsiTheme="minorHAnsi" w:cstheme="minorHAnsi"/>
          <w:u w:val="single"/>
        </w:rPr>
        <w:t>Study Introduction</w:t>
      </w:r>
      <w:r w:rsidRPr="00527C3B">
        <w:rPr>
          <w:rFonts w:asciiTheme="minorHAnsi" w:hAnsiTheme="minorHAnsi" w:cstheme="minorHAnsi"/>
        </w:rPr>
        <w:t xml:space="preserve">: Following the Check-In Survey, the moderator will explain the study purpose and provide general ground rules for participation in the focus group. </w:t>
      </w:r>
    </w:p>
    <w:p w14:paraId="2D255B2D" w14:textId="77777777" w:rsidR="00527C3B" w:rsidRDefault="00527C3B" w:rsidP="001467A6">
      <w:pPr>
        <w:rPr>
          <w:rFonts w:asciiTheme="minorHAnsi" w:hAnsiTheme="minorHAnsi" w:cstheme="minorHAnsi"/>
          <w:u w:val="single"/>
        </w:rPr>
      </w:pPr>
    </w:p>
    <w:p w14:paraId="1338C2BF" w14:textId="75AAE6E4" w:rsidR="001467A6" w:rsidRDefault="001467A6" w:rsidP="001467A6">
      <w:pPr>
        <w:rPr>
          <w:rFonts w:asciiTheme="minorHAnsi" w:hAnsiTheme="minorHAnsi" w:cstheme="minorHAnsi"/>
        </w:rPr>
      </w:pPr>
      <w:r w:rsidRPr="00527C3B">
        <w:rPr>
          <w:rFonts w:asciiTheme="minorHAnsi" w:hAnsiTheme="minorHAnsi" w:cstheme="minorHAnsi"/>
          <w:u w:val="single"/>
        </w:rPr>
        <w:t>General Discussion:</w:t>
      </w:r>
      <w:r w:rsidRPr="00527C3B">
        <w:rPr>
          <w:rFonts w:asciiTheme="minorHAnsi" w:hAnsiTheme="minorHAnsi" w:cstheme="minorHAnsi"/>
        </w:rPr>
        <w:t xml:space="preserve"> This segment will consist of a general discussion around tobacco use and norms, tobacco-related knowledge and product perceptions, and </w:t>
      </w:r>
      <w:r w:rsidR="001C23B6">
        <w:rPr>
          <w:rFonts w:asciiTheme="minorHAnsi" w:hAnsiTheme="minorHAnsi" w:cstheme="minorHAnsi"/>
        </w:rPr>
        <w:t>information and statements about</w:t>
      </w:r>
      <w:r w:rsidRPr="00527C3B">
        <w:rPr>
          <w:rFonts w:asciiTheme="minorHAnsi" w:hAnsiTheme="minorHAnsi" w:cstheme="minorHAnsi"/>
        </w:rPr>
        <w:t xml:space="preserve"> potential nicotine-related regulatory action from the FDA. The moderator will pose open-ended questions to the group and allow for conversation to occur organically. The discussion is designed to glean insights from adult current and former smokers to inform how the FDA will communicate the new nicotine-related product standard to the public. </w:t>
      </w:r>
    </w:p>
    <w:p w14:paraId="3868C060" w14:textId="77777777" w:rsidR="00F25FAF" w:rsidRPr="00527C3B" w:rsidRDefault="00F25FAF" w:rsidP="001467A6">
      <w:pPr>
        <w:rPr>
          <w:rFonts w:asciiTheme="minorHAnsi" w:hAnsiTheme="minorHAnsi" w:cstheme="minorHAnsi"/>
        </w:rPr>
      </w:pPr>
    </w:p>
    <w:p w14:paraId="0393CA3E" w14:textId="1CB5521C" w:rsidR="001467A6" w:rsidRPr="00527C3B" w:rsidRDefault="001467A6" w:rsidP="001467A6">
      <w:pPr>
        <w:rPr>
          <w:rFonts w:asciiTheme="minorHAnsi" w:hAnsiTheme="minorHAnsi" w:cstheme="minorHAnsi"/>
        </w:rPr>
      </w:pPr>
      <w:r w:rsidRPr="00527C3B">
        <w:rPr>
          <w:rFonts w:asciiTheme="minorHAnsi" w:hAnsiTheme="minorHAnsi" w:cstheme="minorHAnsi"/>
        </w:rPr>
        <w:t>Once participants complete all activities, recruitment staff will instruct participants to sign out and give each participant their incentive. Individuals will be asked to initial a Check-Out Form certifying they received their incentive. Check-Out Forms are used for internal accounting purposes only; however, no identifying information such as participant Unique ID will be collected on the Check-Out Forms. Once data collection and internal accounting are complete, the Check-Out Forms will be destroyed. Approximately a week after data collection, data entry for individual surveys will be completed.</w:t>
      </w:r>
    </w:p>
    <w:p w14:paraId="40DEA9E4" w14:textId="77777777" w:rsidR="001467A6" w:rsidRPr="00527C3B" w:rsidRDefault="001467A6" w:rsidP="00162C39">
      <w:pPr>
        <w:autoSpaceDE w:val="0"/>
        <w:autoSpaceDN w:val="0"/>
        <w:adjustRightInd w:val="0"/>
        <w:ind w:left="360" w:right="-180"/>
        <w:rPr>
          <w:rFonts w:asciiTheme="minorHAnsi" w:hAnsiTheme="minorHAnsi" w:cstheme="minorHAnsi"/>
          <w:color w:val="000000"/>
        </w:rPr>
      </w:pPr>
    </w:p>
    <w:p w14:paraId="4CAA1FEE" w14:textId="0A78AA99" w:rsidR="00957513" w:rsidRPr="00527C3B" w:rsidRDefault="00A846A2" w:rsidP="00527C3B">
      <w:pPr>
        <w:autoSpaceDE w:val="0"/>
        <w:autoSpaceDN w:val="0"/>
        <w:adjustRightInd w:val="0"/>
        <w:ind w:right="-180"/>
        <w:rPr>
          <w:rFonts w:asciiTheme="minorHAnsi" w:hAnsiTheme="minorHAnsi" w:cstheme="minorHAnsi"/>
          <w:color w:val="000000"/>
        </w:rPr>
      </w:pPr>
      <w:r w:rsidRPr="00527C3B">
        <w:rPr>
          <w:rFonts w:asciiTheme="minorHAnsi" w:hAnsiTheme="minorHAnsi" w:cstheme="minorHAnsi"/>
          <w:color w:val="000000"/>
        </w:rPr>
        <w:t>Data will be collected in professional meeting rooms or focus group facilities</w:t>
      </w:r>
      <w:r w:rsidR="00162C39" w:rsidRPr="00527C3B">
        <w:rPr>
          <w:rFonts w:asciiTheme="minorHAnsi" w:hAnsiTheme="minorHAnsi" w:cstheme="minorHAnsi"/>
          <w:color w:val="000000"/>
        </w:rPr>
        <w:t xml:space="preserve"> and will be audio recorded</w:t>
      </w:r>
      <w:r w:rsidRPr="00527C3B">
        <w:rPr>
          <w:rFonts w:asciiTheme="minorHAnsi" w:hAnsiTheme="minorHAnsi" w:cstheme="minorHAnsi"/>
        </w:rPr>
        <w:t>. Each focus group will last 9</w:t>
      </w:r>
      <w:r w:rsidR="001467A6" w:rsidRPr="00527C3B">
        <w:rPr>
          <w:rFonts w:asciiTheme="minorHAnsi" w:hAnsiTheme="minorHAnsi" w:cstheme="minorHAnsi"/>
        </w:rPr>
        <w:t>0</w:t>
      </w:r>
      <w:r w:rsidRPr="00527C3B">
        <w:rPr>
          <w:rFonts w:asciiTheme="minorHAnsi" w:hAnsiTheme="minorHAnsi" w:cstheme="minorHAnsi"/>
        </w:rPr>
        <w:t xml:space="preserve"> minutes. </w:t>
      </w:r>
      <w:r w:rsidR="003C5BA6" w:rsidRPr="00527C3B">
        <w:rPr>
          <w:rFonts w:asciiTheme="minorHAnsi" w:hAnsiTheme="minorHAnsi" w:cstheme="minorHAnsi"/>
          <w:color w:val="000000"/>
        </w:rPr>
        <w:t xml:space="preserve">The focus groups </w:t>
      </w:r>
      <w:r w:rsidR="00E139AA" w:rsidRPr="00527C3B">
        <w:rPr>
          <w:rFonts w:asciiTheme="minorHAnsi" w:hAnsiTheme="minorHAnsi" w:cstheme="minorHAnsi"/>
          <w:color w:val="000000"/>
        </w:rPr>
        <w:t xml:space="preserve">will </w:t>
      </w:r>
      <w:r w:rsidR="000A705F" w:rsidRPr="00527C3B">
        <w:rPr>
          <w:rFonts w:asciiTheme="minorHAnsi" w:hAnsiTheme="minorHAnsi" w:cstheme="minorHAnsi"/>
          <w:color w:val="000000"/>
        </w:rPr>
        <w:t xml:space="preserve">also </w:t>
      </w:r>
      <w:r w:rsidR="003C5BA6" w:rsidRPr="00527C3B">
        <w:rPr>
          <w:rFonts w:asciiTheme="minorHAnsi" w:hAnsiTheme="minorHAnsi" w:cstheme="minorHAnsi"/>
          <w:color w:val="000000"/>
        </w:rPr>
        <w:t>be ob</w:t>
      </w:r>
      <w:r w:rsidR="000A705F" w:rsidRPr="00527C3B">
        <w:rPr>
          <w:rFonts w:asciiTheme="minorHAnsi" w:hAnsiTheme="minorHAnsi" w:cstheme="minorHAnsi"/>
          <w:color w:val="000000"/>
        </w:rPr>
        <w:t xml:space="preserve">served by </w:t>
      </w:r>
      <w:r w:rsidR="00E139AA" w:rsidRPr="00527C3B">
        <w:rPr>
          <w:rFonts w:asciiTheme="minorHAnsi" w:hAnsiTheme="minorHAnsi" w:cstheme="minorHAnsi"/>
          <w:color w:val="000000"/>
        </w:rPr>
        <w:t xml:space="preserve">FDA </w:t>
      </w:r>
      <w:r w:rsidR="00192721" w:rsidRPr="00527C3B">
        <w:rPr>
          <w:rFonts w:asciiTheme="minorHAnsi" w:hAnsiTheme="minorHAnsi" w:cstheme="minorHAnsi"/>
          <w:color w:val="000000"/>
        </w:rPr>
        <w:t>and</w:t>
      </w:r>
      <w:r w:rsidR="00E139AA" w:rsidRPr="00527C3B">
        <w:rPr>
          <w:rFonts w:asciiTheme="minorHAnsi" w:hAnsiTheme="minorHAnsi" w:cstheme="minorHAnsi"/>
          <w:color w:val="000000"/>
        </w:rPr>
        <w:t xml:space="preserve"> campaign</w:t>
      </w:r>
      <w:r w:rsidR="000A705F" w:rsidRPr="00527C3B">
        <w:rPr>
          <w:rFonts w:asciiTheme="minorHAnsi" w:hAnsiTheme="minorHAnsi" w:cstheme="minorHAnsi"/>
          <w:color w:val="000000"/>
        </w:rPr>
        <w:t xml:space="preserve"> contractor</w:t>
      </w:r>
      <w:r w:rsidR="00192721" w:rsidRPr="00527C3B">
        <w:rPr>
          <w:rFonts w:asciiTheme="minorHAnsi" w:hAnsiTheme="minorHAnsi" w:cstheme="minorHAnsi"/>
          <w:color w:val="000000"/>
        </w:rPr>
        <w:t xml:space="preserve"> staff.</w:t>
      </w:r>
    </w:p>
    <w:p w14:paraId="3597C9A0" w14:textId="77777777" w:rsidR="00F26180" w:rsidRPr="00527C3B" w:rsidRDefault="00F26180" w:rsidP="00162C39">
      <w:pPr>
        <w:pStyle w:val="Default"/>
        <w:spacing w:line="276" w:lineRule="auto"/>
        <w:rPr>
          <w:rFonts w:asciiTheme="minorHAnsi" w:hAnsiTheme="minorHAnsi" w:cstheme="minorHAnsi"/>
          <w:sz w:val="22"/>
          <w:szCs w:val="22"/>
        </w:rPr>
      </w:pPr>
    </w:p>
    <w:p w14:paraId="1B1EC2A3" w14:textId="234D3AAE" w:rsidR="00957513" w:rsidRPr="00527C3B" w:rsidRDefault="00E139AA" w:rsidP="00E07C91">
      <w:pPr>
        <w:pStyle w:val="ListParagraph"/>
        <w:numPr>
          <w:ilvl w:val="0"/>
          <w:numId w:val="5"/>
        </w:numPr>
        <w:autoSpaceDE w:val="0"/>
        <w:autoSpaceDN w:val="0"/>
        <w:adjustRightInd w:val="0"/>
        <w:ind w:right="-180"/>
        <w:rPr>
          <w:rFonts w:asciiTheme="minorHAnsi" w:hAnsiTheme="minorHAnsi" w:cstheme="minorHAnsi"/>
          <w:color w:val="000000"/>
        </w:rPr>
      </w:pPr>
      <w:r w:rsidRPr="00527C3B">
        <w:rPr>
          <w:rFonts w:asciiTheme="minorHAnsi" w:hAnsiTheme="minorHAnsi" w:cstheme="minorHAnsi"/>
          <w:b/>
          <w:color w:val="000000"/>
        </w:rPr>
        <w:t>Confidentiality of respondents</w:t>
      </w:r>
      <w:r w:rsidR="00957513" w:rsidRPr="00527C3B">
        <w:rPr>
          <w:rFonts w:asciiTheme="minorHAnsi" w:hAnsiTheme="minorHAnsi" w:cstheme="minorHAnsi"/>
          <w:b/>
          <w:color w:val="000000"/>
        </w:rPr>
        <w:t xml:space="preserve">: </w:t>
      </w:r>
    </w:p>
    <w:p w14:paraId="061DB3F2" w14:textId="77777777" w:rsidR="00957513" w:rsidRPr="00527C3B" w:rsidRDefault="00E139AA" w:rsidP="00527C3B">
      <w:pPr>
        <w:autoSpaceDE w:val="0"/>
        <w:autoSpaceDN w:val="0"/>
        <w:adjustRightInd w:val="0"/>
        <w:ind w:right="-180"/>
        <w:rPr>
          <w:rFonts w:asciiTheme="minorHAnsi" w:hAnsiTheme="minorHAnsi" w:cstheme="minorHAnsi"/>
          <w:color w:val="000000"/>
        </w:rPr>
      </w:pPr>
      <w:r w:rsidRPr="00527C3B">
        <w:rPr>
          <w:rFonts w:asciiTheme="minorHAnsi" w:hAnsiTheme="minorHAnsi" w:cstheme="minorHAnsi"/>
        </w:rPr>
        <w:t>All data will be collected with an assurance that the respondents</w:t>
      </w:r>
      <w:r w:rsidR="00BA2160" w:rsidRPr="00527C3B">
        <w:rPr>
          <w:rFonts w:asciiTheme="minorHAnsi" w:hAnsiTheme="minorHAnsi" w:cstheme="minorHAnsi"/>
        </w:rPr>
        <w:t>’</w:t>
      </w:r>
      <w:r w:rsidRPr="00527C3B">
        <w:rPr>
          <w:rFonts w:asciiTheme="minorHAnsi" w:hAnsiTheme="minorHAnsi" w:cstheme="minorHAnsi"/>
        </w:rPr>
        <w:t xml:space="preserve"> responses will remain private to the extent allowable by law.  </w:t>
      </w:r>
    </w:p>
    <w:p w14:paraId="3C8CFE64" w14:textId="77777777" w:rsidR="00E5185C" w:rsidRPr="00527C3B" w:rsidRDefault="00E5185C" w:rsidP="00162C39">
      <w:pPr>
        <w:autoSpaceDE w:val="0"/>
        <w:autoSpaceDN w:val="0"/>
        <w:adjustRightInd w:val="0"/>
        <w:ind w:left="360" w:right="-180"/>
        <w:rPr>
          <w:rFonts w:asciiTheme="minorHAnsi" w:hAnsiTheme="minorHAnsi" w:cstheme="minorHAnsi"/>
          <w:color w:val="000000"/>
        </w:rPr>
      </w:pPr>
    </w:p>
    <w:p w14:paraId="42ACE795" w14:textId="2A0D3C80" w:rsidR="00E139AA" w:rsidRPr="00527C3B" w:rsidRDefault="001467A6" w:rsidP="00527C3B">
      <w:pPr>
        <w:autoSpaceDE w:val="0"/>
        <w:autoSpaceDN w:val="0"/>
        <w:adjustRightInd w:val="0"/>
        <w:ind w:right="-180"/>
        <w:rPr>
          <w:rFonts w:asciiTheme="minorHAnsi" w:hAnsiTheme="minorHAnsi" w:cstheme="minorHAnsi"/>
          <w:color w:val="000000"/>
        </w:rPr>
      </w:pPr>
      <w:r w:rsidRPr="00527C3B">
        <w:rPr>
          <w:rFonts w:asciiTheme="minorHAnsi" w:hAnsiTheme="minorHAnsi" w:cstheme="minorHAnsi"/>
          <w:color w:val="000000"/>
        </w:rPr>
        <w:t>A</w:t>
      </w:r>
      <w:r w:rsidR="00E5185C" w:rsidRPr="00527C3B">
        <w:rPr>
          <w:rFonts w:asciiTheme="minorHAnsi" w:hAnsiTheme="minorHAnsi" w:cstheme="minorHAnsi"/>
          <w:color w:val="000000"/>
        </w:rPr>
        <w:t xml:space="preserve">ll participants will </w:t>
      </w:r>
      <w:r w:rsidR="00482535" w:rsidRPr="00527C3B">
        <w:rPr>
          <w:rFonts w:asciiTheme="minorHAnsi" w:hAnsiTheme="minorHAnsi" w:cstheme="minorHAnsi"/>
          <w:color w:val="000000"/>
        </w:rPr>
        <w:t>complete a</w:t>
      </w:r>
      <w:r w:rsidR="00E5185C" w:rsidRPr="00527C3B">
        <w:rPr>
          <w:rFonts w:asciiTheme="minorHAnsi" w:hAnsiTheme="minorHAnsi" w:cstheme="minorHAnsi"/>
          <w:color w:val="000000"/>
        </w:rPr>
        <w:t xml:space="preserve"> </w:t>
      </w:r>
      <w:r w:rsidRPr="00527C3B">
        <w:rPr>
          <w:rFonts w:asciiTheme="minorHAnsi" w:hAnsiTheme="minorHAnsi" w:cstheme="minorHAnsi"/>
          <w:color w:val="000000"/>
        </w:rPr>
        <w:t>consent</w:t>
      </w:r>
      <w:r w:rsidR="00DA0794" w:rsidRPr="00527C3B">
        <w:rPr>
          <w:rFonts w:asciiTheme="minorHAnsi" w:hAnsiTheme="minorHAnsi" w:cstheme="minorHAnsi"/>
          <w:color w:val="000000"/>
        </w:rPr>
        <w:t xml:space="preserve"> </w:t>
      </w:r>
      <w:r w:rsidR="00E5185C" w:rsidRPr="00527C3B">
        <w:rPr>
          <w:rFonts w:asciiTheme="minorHAnsi" w:hAnsiTheme="minorHAnsi" w:cstheme="minorHAnsi"/>
          <w:color w:val="000000"/>
        </w:rPr>
        <w:t>form prior to</w:t>
      </w:r>
      <w:r w:rsidR="008A327A" w:rsidRPr="00527C3B">
        <w:rPr>
          <w:rFonts w:asciiTheme="minorHAnsi" w:hAnsiTheme="minorHAnsi" w:cstheme="minorHAnsi"/>
          <w:color w:val="000000"/>
        </w:rPr>
        <w:t xml:space="preserve"> </w:t>
      </w:r>
      <w:r w:rsidR="00E5185C" w:rsidRPr="00527C3B">
        <w:rPr>
          <w:rFonts w:asciiTheme="minorHAnsi" w:hAnsiTheme="minorHAnsi" w:cstheme="minorHAnsi"/>
          <w:color w:val="000000"/>
        </w:rPr>
        <w:t xml:space="preserve">participation. </w:t>
      </w:r>
      <w:r w:rsidRPr="00527C3B">
        <w:rPr>
          <w:rFonts w:asciiTheme="minorHAnsi" w:hAnsiTheme="minorHAnsi" w:cstheme="minorHAnsi"/>
          <w:color w:val="000000"/>
        </w:rPr>
        <w:t>Qualifying individuals</w:t>
      </w:r>
      <w:r w:rsidR="00E5185C" w:rsidRPr="00527C3B">
        <w:rPr>
          <w:rFonts w:asciiTheme="minorHAnsi" w:hAnsiTheme="minorHAnsi" w:cstheme="minorHAnsi"/>
          <w:color w:val="000000"/>
        </w:rPr>
        <w:t xml:space="preserve"> will provide verbal consent on the phone, and then be e-mailed the consent information that they will review to either sign electronically or during the check-in process on the day</w:t>
      </w:r>
      <w:r w:rsidR="00482535" w:rsidRPr="00527C3B">
        <w:rPr>
          <w:rFonts w:asciiTheme="minorHAnsi" w:hAnsiTheme="minorHAnsi" w:cstheme="minorHAnsi"/>
          <w:color w:val="000000"/>
        </w:rPr>
        <w:t xml:space="preserve"> of the focus group. </w:t>
      </w:r>
      <w:r w:rsidR="00E139AA" w:rsidRPr="00527C3B">
        <w:rPr>
          <w:rFonts w:asciiTheme="minorHAnsi" w:hAnsiTheme="minorHAnsi" w:cstheme="minorHAnsi"/>
          <w:color w:val="000000"/>
        </w:rPr>
        <w:t xml:space="preserve">Before each group begins, the </w:t>
      </w:r>
      <w:r w:rsidR="00E5185C" w:rsidRPr="00527C3B">
        <w:rPr>
          <w:rFonts w:asciiTheme="minorHAnsi" w:hAnsiTheme="minorHAnsi" w:cstheme="minorHAnsi"/>
          <w:color w:val="000000"/>
        </w:rPr>
        <w:t>moderator will obtain verbal as</w:t>
      </w:r>
      <w:r w:rsidR="00E139AA" w:rsidRPr="00527C3B">
        <w:rPr>
          <w:rFonts w:asciiTheme="minorHAnsi" w:hAnsiTheme="minorHAnsi" w:cstheme="minorHAnsi"/>
          <w:color w:val="000000"/>
        </w:rPr>
        <w:t>sent from the</w:t>
      </w:r>
      <w:r w:rsidR="00E5185C" w:rsidRPr="00527C3B">
        <w:rPr>
          <w:rFonts w:asciiTheme="minorHAnsi" w:hAnsiTheme="minorHAnsi" w:cstheme="minorHAnsi"/>
          <w:color w:val="000000"/>
        </w:rPr>
        <w:t xml:space="preserve"> </w:t>
      </w:r>
      <w:r w:rsidR="00E139AA" w:rsidRPr="00527C3B">
        <w:rPr>
          <w:rFonts w:asciiTheme="minorHAnsi" w:hAnsiTheme="minorHAnsi" w:cstheme="minorHAnsi"/>
          <w:color w:val="000000"/>
        </w:rPr>
        <w:t>participants to audiota</w:t>
      </w:r>
      <w:r w:rsidR="00E5185C" w:rsidRPr="00527C3B">
        <w:rPr>
          <w:rFonts w:asciiTheme="minorHAnsi" w:hAnsiTheme="minorHAnsi" w:cstheme="minorHAnsi"/>
          <w:color w:val="000000"/>
        </w:rPr>
        <w:t>pe the session. In the event as</w:t>
      </w:r>
      <w:r w:rsidR="00E139AA" w:rsidRPr="00527C3B">
        <w:rPr>
          <w:rFonts w:asciiTheme="minorHAnsi" w:hAnsiTheme="minorHAnsi" w:cstheme="minorHAnsi"/>
          <w:color w:val="000000"/>
        </w:rPr>
        <w:t>sent is not given, the contractor will refrain from audiotaping the session</w:t>
      </w:r>
      <w:r w:rsidR="008353AB" w:rsidRPr="00527C3B">
        <w:rPr>
          <w:rFonts w:asciiTheme="minorHAnsi" w:hAnsiTheme="minorHAnsi" w:cstheme="minorHAnsi"/>
          <w:color w:val="000000"/>
        </w:rPr>
        <w:t>, although live notes/transcriptions may still be taken</w:t>
      </w:r>
      <w:r w:rsidR="00E139AA" w:rsidRPr="00527C3B">
        <w:rPr>
          <w:rFonts w:asciiTheme="minorHAnsi" w:hAnsiTheme="minorHAnsi" w:cstheme="minorHAnsi"/>
          <w:color w:val="000000"/>
        </w:rPr>
        <w:t>.</w:t>
      </w:r>
      <w:r w:rsidR="00AF373F" w:rsidRPr="00527C3B">
        <w:rPr>
          <w:rFonts w:asciiTheme="minorHAnsi" w:hAnsiTheme="minorHAnsi" w:cstheme="minorHAnsi"/>
        </w:rPr>
        <w:t xml:space="preserve"> </w:t>
      </w:r>
      <w:r w:rsidR="00162C39" w:rsidRPr="00527C3B">
        <w:rPr>
          <w:rFonts w:asciiTheme="minorHAnsi" w:hAnsiTheme="minorHAnsi" w:cstheme="minorHAnsi"/>
        </w:rPr>
        <w:t>The</w:t>
      </w:r>
      <w:r w:rsidR="00DA4FDD">
        <w:rPr>
          <w:rFonts w:asciiTheme="minorHAnsi" w:hAnsiTheme="minorHAnsi" w:cstheme="minorHAnsi"/>
        </w:rPr>
        <w:t xml:space="preserve"> </w:t>
      </w:r>
      <w:r w:rsidRPr="00527C3B">
        <w:rPr>
          <w:rFonts w:asciiTheme="minorHAnsi" w:hAnsiTheme="minorHAnsi" w:cstheme="minorHAnsi"/>
        </w:rPr>
        <w:t xml:space="preserve">consent </w:t>
      </w:r>
      <w:r w:rsidR="00162C39" w:rsidRPr="00527C3B">
        <w:rPr>
          <w:rFonts w:asciiTheme="minorHAnsi" w:hAnsiTheme="minorHAnsi" w:cstheme="minorHAnsi"/>
        </w:rPr>
        <w:t>form</w:t>
      </w:r>
      <w:r w:rsidR="008A327A" w:rsidRPr="00527C3B">
        <w:rPr>
          <w:rFonts w:asciiTheme="minorHAnsi" w:hAnsiTheme="minorHAnsi" w:cstheme="minorHAnsi"/>
        </w:rPr>
        <w:t>s</w:t>
      </w:r>
      <w:r w:rsidR="00162C39" w:rsidRPr="00527C3B">
        <w:rPr>
          <w:rFonts w:asciiTheme="minorHAnsi" w:hAnsiTheme="minorHAnsi" w:cstheme="minorHAnsi"/>
        </w:rPr>
        <w:t xml:space="preserve"> will also contain a statement notifying participants that audio recording will occur.</w:t>
      </w:r>
    </w:p>
    <w:p w14:paraId="0F508DDB" w14:textId="77777777" w:rsidR="00E139AA" w:rsidRPr="00527C3B" w:rsidRDefault="00E139AA" w:rsidP="00162C39">
      <w:pPr>
        <w:pStyle w:val="Default"/>
        <w:spacing w:line="276" w:lineRule="auto"/>
        <w:ind w:left="360" w:right="-180"/>
        <w:rPr>
          <w:rFonts w:asciiTheme="minorHAnsi" w:hAnsiTheme="minorHAnsi" w:cstheme="minorHAnsi"/>
          <w:sz w:val="22"/>
          <w:szCs w:val="22"/>
        </w:rPr>
      </w:pPr>
    </w:p>
    <w:p w14:paraId="205EC3E2" w14:textId="2FC12DBD" w:rsidR="00E139AA" w:rsidRPr="00527C3B" w:rsidRDefault="00E139AA" w:rsidP="00527C3B">
      <w:pPr>
        <w:pStyle w:val="Default"/>
        <w:spacing w:line="276" w:lineRule="auto"/>
        <w:ind w:right="-180"/>
        <w:rPr>
          <w:rFonts w:asciiTheme="minorHAnsi" w:hAnsiTheme="minorHAnsi" w:cstheme="minorHAnsi"/>
          <w:sz w:val="22"/>
          <w:szCs w:val="22"/>
        </w:rPr>
      </w:pPr>
      <w:r w:rsidRPr="00527C3B">
        <w:rPr>
          <w:rFonts w:asciiTheme="minorHAnsi" w:hAnsiTheme="minorHAnsi" w:cstheme="minorHAnsi"/>
          <w:sz w:val="22"/>
          <w:szCs w:val="22"/>
        </w:rPr>
        <w:t xml:space="preserve">Neither independent contractors nor focus group agencies will share personal information regarding </w:t>
      </w:r>
      <w:r w:rsidR="00BA2160" w:rsidRPr="00527C3B">
        <w:rPr>
          <w:rFonts w:asciiTheme="minorHAnsi" w:hAnsiTheme="minorHAnsi" w:cstheme="minorHAnsi"/>
          <w:sz w:val="22"/>
          <w:szCs w:val="22"/>
        </w:rPr>
        <w:t>participants</w:t>
      </w:r>
      <w:r w:rsidRPr="00527C3B">
        <w:rPr>
          <w:rFonts w:asciiTheme="minorHAnsi" w:hAnsiTheme="minorHAnsi" w:cstheme="minorHAnsi"/>
          <w:sz w:val="22"/>
          <w:szCs w:val="22"/>
        </w:rPr>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14:paraId="6E8D66DA" w14:textId="77777777" w:rsidR="00957513" w:rsidRPr="00527C3B" w:rsidRDefault="00957513" w:rsidP="00162C39">
      <w:pPr>
        <w:autoSpaceDE w:val="0"/>
        <w:autoSpaceDN w:val="0"/>
        <w:adjustRightInd w:val="0"/>
        <w:ind w:right="-180"/>
        <w:rPr>
          <w:rFonts w:asciiTheme="minorHAnsi" w:hAnsiTheme="minorHAnsi" w:cstheme="minorHAnsi"/>
          <w:color w:val="000000"/>
        </w:rPr>
      </w:pPr>
    </w:p>
    <w:p w14:paraId="195FB845" w14:textId="319A1274" w:rsidR="009F1B31" w:rsidRPr="00527C3B" w:rsidRDefault="00957513" w:rsidP="009F1B31">
      <w:pPr>
        <w:pStyle w:val="ListParagraph"/>
        <w:numPr>
          <w:ilvl w:val="0"/>
          <w:numId w:val="5"/>
        </w:numPr>
        <w:autoSpaceDE w:val="0"/>
        <w:autoSpaceDN w:val="0"/>
        <w:adjustRightInd w:val="0"/>
        <w:ind w:right="-180"/>
        <w:rPr>
          <w:rFonts w:asciiTheme="minorHAnsi" w:hAnsiTheme="minorHAnsi" w:cstheme="minorHAnsi"/>
          <w:color w:val="000000"/>
        </w:rPr>
      </w:pPr>
      <w:r w:rsidRPr="00527C3B">
        <w:rPr>
          <w:rFonts w:asciiTheme="minorHAnsi" w:hAnsiTheme="minorHAnsi" w:cstheme="minorHAnsi"/>
          <w:b/>
          <w:color w:val="000000"/>
        </w:rPr>
        <w:t xml:space="preserve">Amount and justification for any proposed incentive: </w:t>
      </w:r>
    </w:p>
    <w:p w14:paraId="2E5B9DD9" w14:textId="77777777" w:rsidR="009B0E71" w:rsidRPr="00527C3B" w:rsidRDefault="009B0E71" w:rsidP="003C21A0">
      <w:pPr>
        <w:pStyle w:val="NoSpacing"/>
        <w:spacing w:line="276" w:lineRule="auto"/>
        <w:ind w:left="360"/>
        <w:jc w:val="both"/>
        <w:rPr>
          <w:rFonts w:asciiTheme="minorHAnsi" w:hAnsiTheme="minorHAnsi" w:cstheme="minorHAnsi"/>
          <w:sz w:val="22"/>
          <w:szCs w:val="22"/>
        </w:rPr>
      </w:pPr>
    </w:p>
    <w:p w14:paraId="0B2969AC" w14:textId="57C3273F" w:rsidR="00E139AA" w:rsidRPr="00527C3B" w:rsidRDefault="009F1B31" w:rsidP="00527C3B">
      <w:pPr>
        <w:pStyle w:val="NoSpacing"/>
        <w:spacing w:line="276" w:lineRule="auto"/>
        <w:jc w:val="both"/>
        <w:rPr>
          <w:rFonts w:asciiTheme="minorHAnsi" w:hAnsiTheme="minorHAnsi" w:cstheme="minorHAnsi"/>
          <w:sz w:val="22"/>
          <w:szCs w:val="22"/>
        </w:rPr>
      </w:pPr>
      <w:r w:rsidRPr="00527C3B">
        <w:rPr>
          <w:rFonts w:asciiTheme="minorHAnsi" w:hAnsiTheme="minorHAnsi" w:cstheme="minorHAnsi"/>
          <w:sz w:val="22"/>
          <w:szCs w:val="22"/>
        </w:rPr>
        <w:t>CTP will be offering a</w:t>
      </w:r>
      <w:r w:rsidR="00E139AA" w:rsidRPr="00527C3B">
        <w:rPr>
          <w:rFonts w:asciiTheme="minorHAnsi" w:hAnsiTheme="minorHAnsi" w:cstheme="minorHAnsi"/>
          <w:sz w:val="22"/>
          <w:szCs w:val="22"/>
        </w:rPr>
        <w:t xml:space="preserve"> $</w:t>
      </w:r>
      <w:r w:rsidR="001467A6" w:rsidRPr="00527C3B">
        <w:rPr>
          <w:rFonts w:asciiTheme="minorHAnsi" w:hAnsiTheme="minorHAnsi" w:cstheme="minorHAnsi"/>
          <w:sz w:val="22"/>
          <w:szCs w:val="22"/>
        </w:rPr>
        <w:t>7</w:t>
      </w:r>
      <w:r w:rsidR="003C21A0" w:rsidRPr="00527C3B">
        <w:rPr>
          <w:rFonts w:asciiTheme="minorHAnsi" w:hAnsiTheme="minorHAnsi" w:cstheme="minorHAnsi"/>
          <w:sz w:val="22"/>
          <w:szCs w:val="22"/>
        </w:rPr>
        <w:t>5</w:t>
      </w:r>
      <w:r w:rsidR="008D0734" w:rsidRPr="00527C3B">
        <w:rPr>
          <w:rFonts w:asciiTheme="minorHAnsi" w:hAnsiTheme="minorHAnsi" w:cstheme="minorHAnsi"/>
          <w:sz w:val="22"/>
          <w:szCs w:val="22"/>
        </w:rPr>
        <w:t xml:space="preserve"> </w:t>
      </w:r>
      <w:r w:rsidR="008A376B" w:rsidRPr="00527C3B">
        <w:rPr>
          <w:rFonts w:asciiTheme="minorHAnsi" w:hAnsiTheme="minorHAnsi" w:cstheme="minorHAnsi"/>
          <w:sz w:val="22"/>
          <w:szCs w:val="22"/>
        </w:rPr>
        <w:t>gift</w:t>
      </w:r>
      <w:r w:rsidR="00BC50D3" w:rsidRPr="00527C3B">
        <w:rPr>
          <w:rFonts w:asciiTheme="minorHAnsi" w:hAnsiTheme="minorHAnsi" w:cstheme="minorHAnsi"/>
          <w:sz w:val="22"/>
          <w:szCs w:val="22"/>
        </w:rPr>
        <w:t xml:space="preserve"> card</w:t>
      </w:r>
      <w:r w:rsidRPr="00527C3B">
        <w:rPr>
          <w:rFonts w:asciiTheme="minorHAnsi" w:hAnsiTheme="minorHAnsi" w:cstheme="minorHAnsi"/>
          <w:sz w:val="22"/>
          <w:szCs w:val="22"/>
        </w:rPr>
        <w:t xml:space="preserve"> to</w:t>
      </w:r>
      <w:r w:rsidR="003C21A0" w:rsidRPr="00527C3B">
        <w:rPr>
          <w:rFonts w:asciiTheme="minorHAnsi" w:hAnsiTheme="minorHAnsi" w:cstheme="minorHAnsi"/>
          <w:sz w:val="22"/>
          <w:szCs w:val="22"/>
        </w:rPr>
        <w:t xml:space="preserve"> participant</w:t>
      </w:r>
      <w:r w:rsidRPr="00527C3B">
        <w:rPr>
          <w:rFonts w:asciiTheme="minorHAnsi" w:hAnsiTheme="minorHAnsi" w:cstheme="minorHAnsi"/>
          <w:sz w:val="22"/>
          <w:szCs w:val="22"/>
        </w:rPr>
        <w:t>s</w:t>
      </w:r>
      <w:r w:rsidR="004F2800" w:rsidRPr="00527C3B">
        <w:rPr>
          <w:rFonts w:asciiTheme="minorHAnsi" w:hAnsiTheme="minorHAnsi" w:cstheme="minorHAnsi"/>
          <w:sz w:val="22"/>
          <w:szCs w:val="22"/>
        </w:rPr>
        <w:t>. The $</w:t>
      </w:r>
      <w:r w:rsidR="001467A6" w:rsidRPr="00527C3B">
        <w:rPr>
          <w:rFonts w:asciiTheme="minorHAnsi" w:hAnsiTheme="minorHAnsi" w:cstheme="minorHAnsi"/>
          <w:sz w:val="22"/>
          <w:szCs w:val="22"/>
        </w:rPr>
        <w:t>7</w:t>
      </w:r>
      <w:r w:rsidR="004F2800" w:rsidRPr="00527C3B">
        <w:rPr>
          <w:rFonts w:asciiTheme="minorHAnsi" w:hAnsiTheme="minorHAnsi" w:cstheme="minorHAnsi"/>
          <w:sz w:val="22"/>
          <w:szCs w:val="22"/>
        </w:rPr>
        <w:t>5</w:t>
      </w:r>
      <w:r w:rsidR="003C21A0" w:rsidRPr="00527C3B">
        <w:rPr>
          <w:rFonts w:asciiTheme="minorHAnsi" w:hAnsiTheme="minorHAnsi" w:cstheme="minorHAnsi"/>
          <w:sz w:val="22"/>
          <w:szCs w:val="22"/>
        </w:rPr>
        <w:t xml:space="preserve"> card for the participants i</w:t>
      </w:r>
      <w:r w:rsidR="00632649" w:rsidRPr="00527C3B">
        <w:rPr>
          <w:rFonts w:asciiTheme="minorHAnsi" w:hAnsiTheme="minorHAnsi" w:cstheme="minorHAnsi"/>
          <w:sz w:val="22"/>
          <w:szCs w:val="22"/>
        </w:rPr>
        <w:t>s</w:t>
      </w:r>
      <w:r w:rsidR="003C21A0" w:rsidRPr="00527C3B">
        <w:rPr>
          <w:rFonts w:asciiTheme="minorHAnsi" w:hAnsiTheme="minorHAnsi" w:cstheme="minorHAnsi"/>
          <w:sz w:val="22"/>
          <w:szCs w:val="22"/>
        </w:rPr>
        <w:t xml:space="preserve"> provided </w:t>
      </w:r>
      <w:r w:rsidR="008A376B" w:rsidRPr="00527C3B">
        <w:rPr>
          <w:rFonts w:asciiTheme="minorHAnsi" w:hAnsiTheme="minorHAnsi" w:cstheme="minorHAnsi"/>
          <w:sz w:val="22"/>
          <w:szCs w:val="22"/>
        </w:rPr>
        <w:t xml:space="preserve">as thanks </w:t>
      </w:r>
      <w:r w:rsidR="003C21A0" w:rsidRPr="00527C3B">
        <w:rPr>
          <w:rFonts w:asciiTheme="minorHAnsi" w:hAnsiTheme="minorHAnsi" w:cstheme="minorHAnsi"/>
          <w:sz w:val="22"/>
          <w:szCs w:val="22"/>
        </w:rPr>
        <w:t xml:space="preserve">for </w:t>
      </w:r>
      <w:r w:rsidR="00BC50D3" w:rsidRPr="00527C3B">
        <w:rPr>
          <w:rFonts w:asciiTheme="minorHAnsi" w:hAnsiTheme="minorHAnsi" w:cstheme="minorHAnsi"/>
          <w:sz w:val="22"/>
          <w:szCs w:val="22"/>
        </w:rPr>
        <w:t>their entire burde</w:t>
      </w:r>
      <w:r w:rsidR="002147ED" w:rsidRPr="00527C3B">
        <w:rPr>
          <w:rFonts w:asciiTheme="minorHAnsi" w:hAnsiTheme="minorHAnsi" w:cstheme="minorHAnsi"/>
          <w:sz w:val="22"/>
          <w:szCs w:val="22"/>
        </w:rPr>
        <w:t xml:space="preserve">n time, which includes </w:t>
      </w:r>
      <w:r w:rsidR="00BC50D3" w:rsidRPr="00527C3B">
        <w:rPr>
          <w:rFonts w:asciiTheme="minorHAnsi" w:hAnsiTheme="minorHAnsi" w:cstheme="minorHAnsi"/>
          <w:sz w:val="22"/>
          <w:szCs w:val="22"/>
        </w:rPr>
        <w:t>obtaining</w:t>
      </w:r>
      <w:r w:rsidR="001467A6" w:rsidRPr="00527C3B">
        <w:rPr>
          <w:rFonts w:asciiTheme="minorHAnsi" w:hAnsiTheme="minorHAnsi" w:cstheme="minorHAnsi"/>
          <w:sz w:val="22"/>
          <w:szCs w:val="22"/>
        </w:rPr>
        <w:t xml:space="preserve"> consent</w:t>
      </w:r>
      <w:r w:rsidR="00BC50D3" w:rsidRPr="00527C3B">
        <w:rPr>
          <w:rFonts w:asciiTheme="minorHAnsi" w:hAnsiTheme="minorHAnsi" w:cstheme="minorHAnsi"/>
          <w:sz w:val="22"/>
          <w:szCs w:val="22"/>
        </w:rPr>
        <w:t>, time needed to get to and from the interview facility, and participating in the 9</w:t>
      </w:r>
      <w:r w:rsidR="001467A6" w:rsidRPr="00527C3B">
        <w:rPr>
          <w:rFonts w:asciiTheme="minorHAnsi" w:hAnsiTheme="minorHAnsi" w:cstheme="minorHAnsi"/>
          <w:sz w:val="22"/>
          <w:szCs w:val="22"/>
        </w:rPr>
        <w:t>0</w:t>
      </w:r>
      <w:r w:rsidR="00BC50D3" w:rsidRPr="00527C3B">
        <w:rPr>
          <w:rFonts w:asciiTheme="minorHAnsi" w:hAnsiTheme="minorHAnsi" w:cstheme="minorHAnsi"/>
          <w:sz w:val="22"/>
          <w:szCs w:val="22"/>
        </w:rPr>
        <w:t>-minute focus group session</w:t>
      </w:r>
      <w:r w:rsidR="001467A6" w:rsidRPr="00527C3B">
        <w:rPr>
          <w:rFonts w:asciiTheme="minorHAnsi" w:hAnsiTheme="minorHAnsi" w:cstheme="minorHAnsi"/>
          <w:sz w:val="22"/>
          <w:szCs w:val="22"/>
        </w:rPr>
        <w:t>,</w:t>
      </w:r>
      <w:r w:rsidR="00BC50D3" w:rsidRPr="00527C3B">
        <w:rPr>
          <w:rFonts w:asciiTheme="minorHAnsi" w:hAnsiTheme="minorHAnsi" w:cstheme="minorHAnsi"/>
          <w:sz w:val="22"/>
          <w:szCs w:val="22"/>
        </w:rPr>
        <w:t xml:space="preserve"> </w:t>
      </w:r>
      <w:r w:rsidR="003C21A0" w:rsidRPr="00527C3B">
        <w:rPr>
          <w:rFonts w:asciiTheme="minorHAnsi" w:hAnsiTheme="minorHAnsi" w:cstheme="minorHAnsi"/>
          <w:sz w:val="22"/>
          <w:szCs w:val="22"/>
        </w:rPr>
        <w:t>and any disruption to the normal routine tha</w:t>
      </w:r>
      <w:r w:rsidR="00527C3B">
        <w:rPr>
          <w:rFonts w:asciiTheme="minorHAnsi" w:hAnsiTheme="minorHAnsi" w:cstheme="minorHAnsi"/>
          <w:sz w:val="22"/>
          <w:szCs w:val="22"/>
        </w:rPr>
        <w:t>t</w:t>
      </w:r>
      <w:r w:rsidR="001467A6" w:rsidRPr="00527C3B">
        <w:rPr>
          <w:rFonts w:asciiTheme="minorHAnsi" w:hAnsiTheme="minorHAnsi" w:cstheme="minorHAnsi"/>
          <w:sz w:val="22"/>
          <w:szCs w:val="22"/>
        </w:rPr>
        <w:t xml:space="preserve"> </w:t>
      </w:r>
      <w:r w:rsidR="003C21A0" w:rsidRPr="00527C3B">
        <w:rPr>
          <w:rFonts w:asciiTheme="minorHAnsi" w:hAnsiTheme="minorHAnsi" w:cstheme="minorHAnsi"/>
          <w:sz w:val="22"/>
          <w:szCs w:val="22"/>
        </w:rPr>
        <w:t xml:space="preserve">attending this focus group may result in. </w:t>
      </w:r>
    </w:p>
    <w:p w14:paraId="3986CE04" w14:textId="31B38134" w:rsidR="00BC50D3" w:rsidRPr="00527C3B" w:rsidRDefault="00BC50D3" w:rsidP="002147ED">
      <w:pPr>
        <w:pStyle w:val="Default"/>
        <w:spacing w:line="276" w:lineRule="auto"/>
        <w:rPr>
          <w:rFonts w:asciiTheme="minorHAnsi" w:hAnsiTheme="minorHAnsi" w:cstheme="minorHAnsi"/>
          <w:sz w:val="22"/>
          <w:szCs w:val="22"/>
        </w:rPr>
      </w:pPr>
    </w:p>
    <w:p w14:paraId="4AC0828C" w14:textId="58D6B71E" w:rsidR="002A7279" w:rsidRPr="00527C3B" w:rsidRDefault="00BC50D3" w:rsidP="00527C3B">
      <w:pPr>
        <w:pStyle w:val="Default"/>
        <w:spacing w:line="276" w:lineRule="auto"/>
        <w:rPr>
          <w:rFonts w:asciiTheme="minorHAnsi" w:hAnsiTheme="minorHAnsi" w:cstheme="minorHAnsi"/>
          <w:sz w:val="22"/>
          <w:szCs w:val="22"/>
        </w:rPr>
      </w:pPr>
      <w:r w:rsidRPr="00527C3B">
        <w:rPr>
          <w:rFonts w:asciiTheme="minorHAnsi" w:hAnsiTheme="minorHAnsi" w:cstheme="minorHAnsi"/>
          <w:sz w:val="22"/>
          <w:szCs w:val="22"/>
        </w:rPr>
        <w:t>As participants often have competing demands for their time, incentives are used to encourage participation in research.</w:t>
      </w:r>
      <w:r w:rsidRPr="00527C3B">
        <w:rPr>
          <w:rFonts w:asciiTheme="minorHAnsi" w:hAnsiTheme="minorHAnsi" w:cstheme="minorHAnsi"/>
          <w:sz w:val="22"/>
          <w:szCs w:val="22"/>
          <w:lang w:val="en"/>
        </w:rPr>
        <w:t xml:space="preserve"> </w:t>
      </w:r>
      <w:r w:rsidRPr="00527C3B">
        <w:rPr>
          <w:rFonts w:asciiTheme="minorHAnsi" w:hAnsiTheme="minorHAnsi" w:cstheme="minorHAnsi"/>
          <w:sz w:val="22"/>
          <w:szCs w:val="22"/>
        </w:rPr>
        <w:t xml:space="preserve">When applied in a reasonable manner, incentives are not an unjust inducement and are an approach that acknowledges respondents for their participation (Halpern, 2004).  </w:t>
      </w:r>
      <w:r w:rsidRPr="00527C3B">
        <w:rPr>
          <w:rFonts w:asciiTheme="minorHAnsi" w:hAnsiTheme="minorHAnsi" w:cstheme="minorHAnsi"/>
          <w:sz w:val="22"/>
          <w:szCs w:val="22"/>
          <w:lang w:val="en"/>
        </w:rPr>
        <w:t xml:space="preserve">Incentives </w:t>
      </w:r>
      <w:r w:rsidRPr="00527C3B">
        <w:rPr>
          <w:rFonts w:asciiTheme="minorHAnsi" w:hAnsiTheme="minorHAnsi" w:cstheme="minorHAnsi"/>
          <w:sz w:val="22"/>
          <w:szCs w:val="22"/>
        </w:rPr>
        <w:t xml:space="preserve">also </w:t>
      </w:r>
      <w:r w:rsidR="00AB39ED" w:rsidRPr="00527C3B">
        <w:rPr>
          <w:rFonts w:asciiTheme="minorHAnsi" w:hAnsiTheme="minorHAnsi" w:cstheme="minorHAnsi"/>
          <w:sz w:val="22"/>
          <w:szCs w:val="22"/>
          <w:lang w:val="en"/>
        </w:rPr>
        <w:t>help</w:t>
      </w:r>
      <w:r w:rsidRPr="00527C3B">
        <w:rPr>
          <w:rFonts w:asciiTheme="minorHAnsi" w:hAnsiTheme="minorHAnsi" w:cstheme="minorHAnsi"/>
          <w:sz w:val="22"/>
          <w:szCs w:val="22"/>
          <w:lang w:val="en"/>
        </w:rPr>
        <w:t xml:space="preserve"> ensure adequate representation among</w:t>
      </w:r>
      <w:r w:rsidRPr="00527C3B">
        <w:rPr>
          <w:rFonts w:asciiTheme="minorHAnsi" w:hAnsiTheme="minorHAnsi" w:cstheme="minorHAnsi"/>
          <w:sz w:val="22"/>
          <w:szCs w:val="22"/>
        </w:rPr>
        <w:t xml:space="preserve"> harder-to-recruit populations such as youth, low socio-economic groups, and high</w:t>
      </w:r>
      <w:r w:rsidR="00A81BD8">
        <w:rPr>
          <w:rFonts w:asciiTheme="minorHAnsi" w:hAnsiTheme="minorHAnsi" w:cstheme="minorHAnsi"/>
          <w:sz w:val="22"/>
          <w:szCs w:val="22"/>
        </w:rPr>
        <w:t>-</w:t>
      </w:r>
      <w:r w:rsidRPr="00527C3B">
        <w:rPr>
          <w:rFonts w:asciiTheme="minorHAnsi" w:hAnsiTheme="minorHAnsi" w:cstheme="minorHAnsi"/>
          <w:sz w:val="22"/>
          <w:szCs w:val="22"/>
        </w:rPr>
        <w:t xml:space="preserve">risk populations (current or former tobacco users and those susceptible to tobacco use) (Groth, 2010). </w:t>
      </w:r>
      <w:r w:rsidR="002A7279" w:rsidRPr="00527C3B">
        <w:rPr>
          <w:rFonts w:asciiTheme="minorHAnsi" w:hAnsiTheme="minorHAnsi" w:cstheme="minorHAnsi"/>
          <w:sz w:val="22"/>
          <w:szCs w:val="22"/>
        </w:rPr>
        <w:t>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w:t>
      </w:r>
    </w:p>
    <w:p w14:paraId="28C7EE6F" w14:textId="77777777" w:rsidR="00BC50D3" w:rsidRPr="00527C3B" w:rsidRDefault="00BC50D3" w:rsidP="00162C39">
      <w:pPr>
        <w:pStyle w:val="Default"/>
        <w:spacing w:line="276" w:lineRule="auto"/>
        <w:ind w:left="360"/>
        <w:rPr>
          <w:rFonts w:asciiTheme="minorHAnsi" w:hAnsiTheme="minorHAnsi" w:cstheme="minorHAnsi"/>
          <w:sz w:val="22"/>
          <w:szCs w:val="22"/>
        </w:rPr>
      </w:pPr>
    </w:p>
    <w:p w14:paraId="20B41794" w14:textId="2321B085" w:rsidR="00471F79" w:rsidRPr="00527C3B" w:rsidRDefault="00BC50D3" w:rsidP="003048CA">
      <w:pPr>
        <w:rPr>
          <w:rFonts w:asciiTheme="minorHAnsi" w:hAnsiTheme="minorHAnsi" w:cstheme="minorHAnsi"/>
        </w:rPr>
      </w:pPr>
      <w:r w:rsidRPr="00527C3B">
        <w:rPr>
          <w:rFonts w:asciiTheme="minorHAnsi" w:hAnsiTheme="minorHAnsi" w:cstheme="minorHAnsi"/>
        </w:rPr>
        <w:t>Additionally, in the market research community, incentives are standard practice for all work conducted and are suggested by organizations that set the standards for conducting ethical market research among human subjects (CASRO Code of Standards and Ethics for Survey Research)</w:t>
      </w:r>
      <w:r w:rsidR="00E14DAD" w:rsidRPr="00527C3B">
        <w:rPr>
          <w:rFonts w:asciiTheme="minorHAnsi" w:hAnsiTheme="minorHAnsi" w:cstheme="minorHAnsi"/>
        </w:rPr>
        <w:t>.  T</w:t>
      </w:r>
      <w:r w:rsidRPr="00527C3B">
        <w:rPr>
          <w:rFonts w:asciiTheme="minorHAnsi" w:hAnsiTheme="minorHAnsi" w:cstheme="minorHAnsi"/>
        </w:rPr>
        <w:t>he contra</w:t>
      </w:r>
      <w:r w:rsidR="002147ED" w:rsidRPr="00527C3B">
        <w:rPr>
          <w:rFonts w:asciiTheme="minorHAnsi" w:hAnsiTheme="minorHAnsi" w:cstheme="minorHAnsi"/>
        </w:rPr>
        <w:t xml:space="preserve">ctors conducting this research </w:t>
      </w:r>
      <w:r w:rsidRPr="00527C3B">
        <w:rPr>
          <w:rFonts w:asciiTheme="minorHAnsi" w:hAnsiTheme="minorHAnsi" w:cstheme="minorHAnsi"/>
        </w:rPr>
        <w:t xml:space="preserve">consistently use this type of incentive structure for studies conducted in schools with youth. An incentive less than </w:t>
      </w:r>
      <w:r w:rsidR="008D0734" w:rsidRPr="00527C3B">
        <w:rPr>
          <w:rFonts w:asciiTheme="minorHAnsi" w:hAnsiTheme="minorHAnsi" w:cstheme="minorHAnsi"/>
        </w:rPr>
        <w:t>the suggested amount</w:t>
      </w:r>
      <w:r w:rsidRPr="00527C3B">
        <w:rPr>
          <w:rFonts w:asciiTheme="minorHAnsi" w:hAnsiTheme="minorHAnsi" w:cstheme="minorHAnsi"/>
        </w:rPr>
        <w:t xml:space="preserve"> per </w:t>
      </w:r>
      <w:r w:rsidR="008D0734" w:rsidRPr="00527C3B">
        <w:rPr>
          <w:rFonts w:asciiTheme="minorHAnsi" w:hAnsiTheme="minorHAnsi" w:cstheme="minorHAnsi"/>
        </w:rPr>
        <w:t>focus group</w:t>
      </w:r>
      <w:r w:rsidRPr="00527C3B">
        <w:rPr>
          <w:rFonts w:asciiTheme="minorHAnsi" w:hAnsiTheme="minorHAnsi" w:cstheme="minorHAnsi"/>
        </w:rPr>
        <w:t xml:space="preserve"> will greatly inhibit the ability to successfully recruit participants who will show up for the </w:t>
      </w:r>
      <w:r w:rsidR="00E14DAD" w:rsidRPr="00527C3B">
        <w:rPr>
          <w:rFonts w:asciiTheme="minorHAnsi" w:hAnsiTheme="minorHAnsi" w:cstheme="minorHAnsi"/>
        </w:rPr>
        <w:t>focus group</w:t>
      </w:r>
      <w:r w:rsidRPr="00527C3B">
        <w:rPr>
          <w:rFonts w:asciiTheme="minorHAnsi" w:hAnsiTheme="minorHAnsi" w:cstheme="minorHAnsi"/>
        </w:rPr>
        <w:t xml:space="preserve"> session. As a minimal intervention study with low burden, the incentive amount is considered appropriate.   </w:t>
      </w:r>
    </w:p>
    <w:p w14:paraId="74769B7E" w14:textId="7A4D88DA" w:rsidR="00BC50D3" w:rsidRPr="00527C3B" w:rsidRDefault="00BC50D3" w:rsidP="00162C39">
      <w:pPr>
        <w:ind w:left="360"/>
        <w:rPr>
          <w:rFonts w:asciiTheme="minorHAnsi" w:hAnsiTheme="minorHAnsi" w:cstheme="minorHAnsi"/>
        </w:rPr>
      </w:pPr>
      <w:r w:rsidRPr="00527C3B">
        <w:rPr>
          <w:rFonts w:asciiTheme="minorHAnsi" w:hAnsiTheme="minorHAnsi" w:cstheme="minorHAnsi"/>
        </w:rPr>
        <w:t xml:space="preserve">                                                                                    </w:t>
      </w:r>
    </w:p>
    <w:p w14:paraId="416E142B" w14:textId="616597E6" w:rsidR="0047628D" w:rsidRPr="00527C3B" w:rsidRDefault="00BC50D3" w:rsidP="003048CA">
      <w:pPr>
        <w:pStyle w:val="Default"/>
        <w:spacing w:line="276" w:lineRule="auto"/>
        <w:rPr>
          <w:rFonts w:asciiTheme="minorHAnsi" w:hAnsiTheme="minorHAnsi" w:cstheme="minorHAnsi"/>
          <w:sz w:val="22"/>
          <w:szCs w:val="22"/>
        </w:rPr>
      </w:pPr>
      <w:r w:rsidRPr="00527C3B">
        <w:rPr>
          <w:rFonts w:asciiTheme="minorHAnsi" w:hAnsiTheme="minorHAnsi" w:cstheme="minorHAnsi"/>
          <w:sz w:val="22"/>
          <w:szCs w:val="22"/>
        </w:rPr>
        <w:t>The part</w:t>
      </w:r>
      <w:r w:rsidR="000075EC" w:rsidRPr="00527C3B">
        <w:rPr>
          <w:rFonts w:asciiTheme="minorHAnsi" w:hAnsiTheme="minorHAnsi" w:cstheme="minorHAnsi"/>
          <w:sz w:val="22"/>
          <w:szCs w:val="22"/>
        </w:rPr>
        <w:t xml:space="preserve">icipation </w:t>
      </w:r>
      <w:r w:rsidR="00222F22" w:rsidRPr="00527C3B">
        <w:rPr>
          <w:rFonts w:asciiTheme="minorHAnsi" w:hAnsiTheme="minorHAnsi" w:cstheme="minorHAnsi"/>
          <w:sz w:val="22"/>
          <w:szCs w:val="22"/>
        </w:rPr>
        <w:t xml:space="preserve">token of appreciation </w:t>
      </w:r>
      <w:r w:rsidR="000075EC" w:rsidRPr="00527C3B">
        <w:rPr>
          <w:rFonts w:asciiTheme="minorHAnsi" w:hAnsiTheme="minorHAnsi" w:cstheme="minorHAnsi"/>
          <w:sz w:val="22"/>
          <w:szCs w:val="22"/>
        </w:rPr>
        <w:t>will be issued</w:t>
      </w:r>
      <w:r w:rsidRPr="00527C3B">
        <w:rPr>
          <w:rFonts w:asciiTheme="minorHAnsi" w:hAnsiTheme="minorHAnsi" w:cstheme="minorHAnsi"/>
          <w:sz w:val="22"/>
          <w:szCs w:val="22"/>
        </w:rPr>
        <w:t xml:space="preserve"> directly to the participant via a prepaid debit card (participants will </w:t>
      </w:r>
      <w:r w:rsidRPr="00527C3B">
        <w:rPr>
          <w:rFonts w:asciiTheme="minorHAnsi" w:hAnsiTheme="minorHAnsi" w:cstheme="minorHAnsi"/>
          <w:bCs/>
          <w:sz w:val="22"/>
          <w:szCs w:val="22"/>
        </w:rPr>
        <w:t>not</w:t>
      </w:r>
      <w:r w:rsidRPr="00527C3B">
        <w:rPr>
          <w:rFonts w:asciiTheme="minorHAnsi" w:hAnsiTheme="minorHAnsi" w:cstheme="minorHAnsi"/>
          <w:sz w:val="22"/>
          <w:szCs w:val="22"/>
        </w:rPr>
        <w:t xml:space="preserve"> be required to pay any potential fees associated with activating the card). There are several benefits to paying participants with a debit card versus cash or check, including (1) Providing debit cards will prevent research staff from having to carry around large sums of cash , (2) Any sensitivity toward paying youth with cash is avoided (i.e., ability to use cash for illicit substances like drugs, alcohol or tobacco), and (3) Any issues preventing participants and/or their parent/guardian from cashing a check (e.g., no bank account) are avoided. </w:t>
      </w:r>
    </w:p>
    <w:p w14:paraId="1BC66D47" w14:textId="77777777" w:rsidR="00BC50D3" w:rsidRPr="00527C3B" w:rsidRDefault="00BC50D3" w:rsidP="00162C39">
      <w:pPr>
        <w:pStyle w:val="Default"/>
        <w:spacing w:line="276" w:lineRule="auto"/>
        <w:ind w:left="360" w:right="-180"/>
        <w:rPr>
          <w:rFonts w:asciiTheme="minorHAnsi" w:hAnsiTheme="minorHAnsi" w:cstheme="minorHAnsi"/>
          <w:sz w:val="22"/>
          <w:szCs w:val="22"/>
        </w:rPr>
      </w:pPr>
    </w:p>
    <w:p w14:paraId="5E89A3B3" w14:textId="7894C778" w:rsidR="009F1B31" w:rsidRPr="00527C3B" w:rsidRDefault="009F1B31" w:rsidP="009F1B31">
      <w:pPr>
        <w:pStyle w:val="Default"/>
        <w:spacing w:line="276" w:lineRule="auto"/>
        <w:ind w:left="360" w:right="-180"/>
        <w:rPr>
          <w:rFonts w:asciiTheme="minorHAnsi" w:hAnsiTheme="minorHAnsi" w:cstheme="minorHAnsi"/>
          <w:sz w:val="22"/>
          <w:szCs w:val="22"/>
        </w:rPr>
      </w:pPr>
      <w:r w:rsidRPr="00527C3B">
        <w:rPr>
          <w:rFonts w:asciiTheme="minorHAnsi" w:hAnsiTheme="minorHAnsi" w:cstheme="minorHAnsi"/>
          <w:sz w:val="22"/>
          <w:szCs w:val="22"/>
        </w:rPr>
        <w:t>In previous studies</w:t>
      </w:r>
      <w:r w:rsidR="00222F22" w:rsidRPr="00527C3B">
        <w:rPr>
          <w:rFonts w:asciiTheme="minorHAnsi" w:hAnsiTheme="minorHAnsi" w:cstheme="minorHAnsi"/>
          <w:sz w:val="22"/>
          <w:szCs w:val="22"/>
        </w:rPr>
        <w:t>,</w:t>
      </w:r>
      <w:r w:rsidRPr="00527C3B">
        <w:rPr>
          <w:rFonts w:asciiTheme="minorHAnsi" w:hAnsiTheme="minorHAnsi" w:cstheme="minorHAnsi"/>
          <w:sz w:val="22"/>
          <w:szCs w:val="22"/>
        </w:rPr>
        <w:t xml:space="preserve"> </w:t>
      </w:r>
      <w:r w:rsidR="00E14DAD" w:rsidRPr="00527C3B">
        <w:rPr>
          <w:rFonts w:asciiTheme="minorHAnsi" w:hAnsiTheme="minorHAnsi" w:cstheme="minorHAnsi"/>
          <w:sz w:val="22"/>
          <w:szCs w:val="22"/>
        </w:rPr>
        <w:t>CTP</w:t>
      </w:r>
      <w:r w:rsidR="00322B56" w:rsidRPr="00527C3B">
        <w:rPr>
          <w:rFonts w:asciiTheme="minorHAnsi" w:hAnsiTheme="minorHAnsi" w:cstheme="minorHAnsi"/>
          <w:sz w:val="22"/>
          <w:szCs w:val="22"/>
        </w:rPr>
        <w:t xml:space="preserve"> </w:t>
      </w:r>
      <w:r w:rsidRPr="00527C3B">
        <w:rPr>
          <w:rFonts w:asciiTheme="minorHAnsi" w:hAnsiTheme="minorHAnsi" w:cstheme="minorHAnsi"/>
          <w:sz w:val="22"/>
          <w:szCs w:val="22"/>
        </w:rPr>
        <w:t xml:space="preserve">has conducted with similar groups of </w:t>
      </w:r>
      <w:r w:rsidR="001467A6" w:rsidRPr="00527C3B">
        <w:rPr>
          <w:rFonts w:asciiTheme="minorHAnsi" w:hAnsiTheme="minorHAnsi" w:cstheme="minorHAnsi"/>
          <w:sz w:val="22"/>
          <w:szCs w:val="22"/>
        </w:rPr>
        <w:t>adults</w:t>
      </w:r>
      <w:r w:rsidRPr="00527C3B">
        <w:rPr>
          <w:rFonts w:asciiTheme="minorHAnsi" w:hAnsiTheme="minorHAnsi" w:cstheme="minorHAnsi"/>
          <w:sz w:val="22"/>
          <w:szCs w:val="22"/>
        </w:rPr>
        <w:t xml:space="preserve"> (e.g. </w:t>
      </w:r>
      <w:r w:rsidR="001467A6" w:rsidRPr="00527C3B">
        <w:rPr>
          <w:rFonts w:asciiTheme="minorHAnsi" w:hAnsiTheme="minorHAnsi" w:cstheme="minorHAnsi"/>
          <w:sz w:val="22"/>
          <w:szCs w:val="22"/>
        </w:rPr>
        <w:t>adult smokers</w:t>
      </w:r>
      <w:r w:rsidRPr="00527C3B">
        <w:rPr>
          <w:rFonts w:asciiTheme="minorHAnsi" w:hAnsiTheme="minorHAnsi" w:cstheme="minorHAnsi"/>
          <w:sz w:val="22"/>
          <w:szCs w:val="22"/>
        </w:rPr>
        <w:t xml:space="preserve">) using similar protocols (e.g. 90 minute focus groups in focus group facilities), </w:t>
      </w:r>
      <w:r w:rsidR="00E14DAD" w:rsidRPr="00527C3B">
        <w:rPr>
          <w:rFonts w:asciiTheme="minorHAnsi" w:hAnsiTheme="minorHAnsi" w:cstheme="minorHAnsi"/>
          <w:sz w:val="22"/>
          <w:szCs w:val="22"/>
        </w:rPr>
        <w:t>CTP</w:t>
      </w:r>
      <w:r w:rsidRPr="00527C3B">
        <w:rPr>
          <w:rFonts w:asciiTheme="minorHAnsi" w:hAnsiTheme="minorHAnsi" w:cstheme="minorHAnsi"/>
          <w:sz w:val="22"/>
          <w:szCs w:val="22"/>
        </w:rPr>
        <w:t xml:space="preserve"> has used </w:t>
      </w:r>
      <w:r w:rsidR="00E47AAC" w:rsidRPr="00527C3B">
        <w:rPr>
          <w:rFonts w:asciiTheme="minorHAnsi" w:hAnsiTheme="minorHAnsi" w:cstheme="minorHAnsi"/>
          <w:sz w:val="22"/>
          <w:szCs w:val="22"/>
        </w:rPr>
        <w:t xml:space="preserve">tokens of appreciation of this amount </w:t>
      </w:r>
      <w:r w:rsidRPr="00527C3B">
        <w:rPr>
          <w:rFonts w:asciiTheme="minorHAnsi" w:hAnsiTheme="minorHAnsi" w:cstheme="minorHAnsi"/>
          <w:sz w:val="22"/>
          <w:szCs w:val="22"/>
        </w:rPr>
        <w:t xml:space="preserve">and, with this </w:t>
      </w:r>
      <w:r w:rsidR="00E47AAC" w:rsidRPr="00527C3B">
        <w:rPr>
          <w:rFonts w:asciiTheme="minorHAnsi" w:hAnsiTheme="minorHAnsi" w:cstheme="minorHAnsi"/>
          <w:sz w:val="22"/>
          <w:szCs w:val="22"/>
        </w:rPr>
        <w:t>token of appreciation</w:t>
      </w:r>
      <w:r w:rsidRPr="00527C3B">
        <w:rPr>
          <w:rFonts w:asciiTheme="minorHAnsi" w:hAnsiTheme="minorHAnsi" w:cstheme="minorHAnsi"/>
          <w:sz w:val="22"/>
          <w:szCs w:val="22"/>
        </w:rPr>
        <w:t xml:space="preserve">, was successfully able to recruit and complete the focus groups within the relatively tight schedule for focus group research (4 geographic locations in 4 weeks). </w:t>
      </w:r>
    </w:p>
    <w:p w14:paraId="6159F21A" w14:textId="77777777" w:rsidR="009F1B31" w:rsidRPr="00527C3B" w:rsidRDefault="009F1B31" w:rsidP="009F1B31">
      <w:pPr>
        <w:pStyle w:val="Default"/>
        <w:spacing w:line="276" w:lineRule="auto"/>
        <w:ind w:left="360" w:right="-180"/>
        <w:rPr>
          <w:rFonts w:asciiTheme="minorHAnsi" w:hAnsiTheme="minorHAnsi" w:cstheme="minorHAnsi"/>
          <w:sz w:val="22"/>
          <w:szCs w:val="22"/>
        </w:rPr>
      </w:pPr>
    </w:p>
    <w:p w14:paraId="77C0A4C4" w14:textId="44DF6710" w:rsidR="00A211CA" w:rsidRPr="00A74FA6" w:rsidRDefault="009F1B31" w:rsidP="00A211CA">
      <w:pPr>
        <w:ind w:left="360"/>
      </w:pPr>
      <w:r w:rsidRPr="00527C3B">
        <w:rPr>
          <w:rFonts w:asciiTheme="minorHAnsi" w:hAnsiTheme="minorHAnsi" w:cstheme="minorHAnsi"/>
        </w:rPr>
        <w:t xml:space="preserve">The previous studies that </w:t>
      </w:r>
      <w:r w:rsidR="00E14DAD" w:rsidRPr="00527C3B">
        <w:rPr>
          <w:rFonts w:asciiTheme="minorHAnsi" w:hAnsiTheme="minorHAnsi" w:cstheme="minorHAnsi"/>
        </w:rPr>
        <w:t>CTP</w:t>
      </w:r>
      <w:r w:rsidRPr="00527C3B">
        <w:rPr>
          <w:rFonts w:asciiTheme="minorHAnsi" w:hAnsiTheme="minorHAnsi" w:cstheme="minorHAnsi"/>
        </w:rPr>
        <w:t xml:space="preserve"> has successfully used </w:t>
      </w:r>
      <w:r w:rsidR="00E47AAC" w:rsidRPr="00527C3B">
        <w:rPr>
          <w:rFonts w:asciiTheme="minorHAnsi" w:hAnsiTheme="minorHAnsi" w:cstheme="minorHAnsi"/>
        </w:rPr>
        <w:t xml:space="preserve">tokens of appreciation </w:t>
      </w:r>
      <w:r w:rsidRPr="00527C3B">
        <w:rPr>
          <w:rFonts w:asciiTheme="minorHAnsi" w:hAnsiTheme="minorHAnsi" w:cstheme="minorHAnsi"/>
        </w:rPr>
        <w:t>for focus groups in focus group facilities are as follows:</w:t>
      </w:r>
      <w:r w:rsidR="00A211CA">
        <w:rPr>
          <w:rFonts w:asciiTheme="minorHAnsi" w:hAnsiTheme="minorHAnsi" w:cstheme="minorHAnsi"/>
        </w:rPr>
        <w:t xml:space="preserve"> </w:t>
      </w:r>
      <w:r w:rsidR="00A211CA" w:rsidRPr="00311F0F">
        <w:t xml:space="preserve">Point-of-Sale </w:t>
      </w:r>
      <w:r w:rsidR="00A211CA">
        <w:t>Creative</w:t>
      </w:r>
      <w:r w:rsidR="00A211CA" w:rsidRPr="00311F0F">
        <w:t xml:space="preserve"> Concept Testing – Focus Groups with Current Adult Smokers</w:t>
      </w:r>
      <w:r w:rsidR="00A211CA">
        <w:t xml:space="preserve"> (</w:t>
      </w:r>
      <w:r w:rsidR="00A211CA" w:rsidRPr="00A211CA">
        <w:t>OMB Control Number 0910-0674</w:t>
      </w:r>
      <w:r w:rsidR="00A211CA">
        <w:t>)</w:t>
      </w:r>
      <w:r w:rsidR="00A211CA" w:rsidRPr="00A211CA">
        <w:t>.</w:t>
      </w:r>
    </w:p>
    <w:p w14:paraId="562D4771" w14:textId="77777777" w:rsidR="001A11D7" w:rsidRPr="00527C3B" w:rsidRDefault="001A11D7" w:rsidP="00162C39">
      <w:pPr>
        <w:pStyle w:val="Default"/>
        <w:spacing w:line="276" w:lineRule="auto"/>
        <w:ind w:left="360" w:right="-180"/>
        <w:rPr>
          <w:rFonts w:asciiTheme="minorHAnsi" w:hAnsiTheme="minorHAnsi" w:cstheme="minorHAnsi"/>
          <w:sz w:val="22"/>
          <w:szCs w:val="22"/>
        </w:rPr>
      </w:pPr>
    </w:p>
    <w:p w14:paraId="3412A2A5" w14:textId="77777777" w:rsidR="00957513" w:rsidRPr="00527C3B" w:rsidRDefault="00957513" w:rsidP="00E07C91">
      <w:pPr>
        <w:pStyle w:val="ListParagraph"/>
        <w:numPr>
          <w:ilvl w:val="0"/>
          <w:numId w:val="5"/>
        </w:numPr>
        <w:autoSpaceDE w:val="0"/>
        <w:autoSpaceDN w:val="0"/>
        <w:adjustRightInd w:val="0"/>
        <w:ind w:right="-180"/>
        <w:rPr>
          <w:rFonts w:asciiTheme="minorHAnsi" w:hAnsiTheme="minorHAnsi" w:cstheme="minorHAnsi"/>
          <w:color w:val="000000"/>
        </w:rPr>
      </w:pPr>
      <w:r w:rsidRPr="00527C3B">
        <w:rPr>
          <w:rFonts w:asciiTheme="minorHAnsi" w:hAnsiTheme="minorHAnsi" w:cstheme="minorHAnsi"/>
          <w:b/>
          <w:color w:val="000000"/>
        </w:rPr>
        <w:t xml:space="preserve">Questions of a </w:t>
      </w:r>
      <w:r w:rsidR="004D3D53" w:rsidRPr="00527C3B">
        <w:rPr>
          <w:rFonts w:asciiTheme="minorHAnsi" w:hAnsiTheme="minorHAnsi" w:cstheme="minorHAnsi"/>
          <w:b/>
          <w:color w:val="000000"/>
        </w:rPr>
        <w:t>s</w:t>
      </w:r>
      <w:r w:rsidRPr="00527C3B">
        <w:rPr>
          <w:rFonts w:asciiTheme="minorHAnsi" w:hAnsiTheme="minorHAnsi" w:cstheme="minorHAnsi"/>
          <w:b/>
          <w:color w:val="000000"/>
        </w:rPr>
        <w:t xml:space="preserve">ensitive </w:t>
      </w:r>
      <w:r w:rsidR="004D3D53" w:rsidRPr="00527C3B">
        <w:rPr>
          <w:rFonts w:asciiTheme="minorHAnsi" w:hAnsiTheme="minorHAnsi" w:cstheme="minorHAnsi"/>
          <w:b/>
          <w:color w:val="000000"/>
        </w:rPr>
        <w:t>n</w:t>
      </w:r>
      <w:r w:rsidRPr="00527C3B">
        <w:rPr>
          <w:rFonts w:asciiTheme="minorHAnsi" w:hAnsiTheme="minorHAnsi" w:cstheme="minorHAnsi"/>
          <w:b/>
          <w:color w:val="000000"/>
        </w:rPr>
        <w:t xml:space="preserve">ature: </w:t>
      </w:r>
    </w:p>
    <w:p w14:paraId="5A9D4554" w14:textId="0B6D53BD" w:rsidR="00F46BA9" w:rsidRDefault="00F46BA9" w:rsidP="00162C39">
      <w:pPr>
        <w:pStyle w:val="Default"/>
        <w:spacing w:line="276" w:lineRule="auto"/>
        <w:ind w:left="360" w:right="-180"/>
        <w:rPr>
          <w:rFonts w:asciiTheme="minorHAnsi" w:hAnsiTheme="minorHAnsi" w:cstheme="minorHAnsi"/>
          <w:sz w:val="22"/>
          <w:szCs w:val="22"/>
        </w:rPr>
      </w:pPr>
      <w:r w:rsidRPr="00F46BA9">
        <w:rPr>
          <w:rFonts w:asciiTheme="minorHAnsi" w:hAnsiTheme="minorHAnsi" w:cstheme="minorHAnsi"/>
          <w:sz w:val="22"/>
          <w:szCs w:val="22"/>
        </w:rPr>
        <w:t xml:space="preserve">It is important to include individuals with diverse characteristics. </w:t>
      </w:r>
      <w:r>
        <w:rPr>
          <w:rFonts w:asciiTheme="minorHAnsi" w:hAnsiTheme="minorHAnsi" w:cstheme="minorHAnsi"/>
          <w:sz w:val="22"/>
          <w:szCs w:val="22"/>
        </w:rPr>
        <w:t>P</w:t>
      </w:r>
      <w:r w:rsidRPr="00F46BA9">
        <w:rPr>
          <w:rFonts w:asciiTheme="minorHAnsi" w:hAnsiTheme="minorHAnsi" w:cstheme="minorHAnsi"/>
          <w:sz w:val="22"/>
          <w:szCs w:val="22"/>
        </w:rPr>
        <w:t>otential participants are informed screening questions are</w:t>
      </w:r>
      <w:r>
        <w:rPr>
          <w:rFonts w:asciiTheme="minorHAnsi" w:hAnsiTheme="minorHAnsi" w:cstheme="minorHAnsi"/>
          <w:sz w:val="22"/>
          <w:szCs w:val="22"/>
        </w:rPr>
        <w:t xml:space="preserve"> </w:t>
      </w:r>
      <w:r w:rsidRPr="00F46BA9">
        <w:rPr>
          <w:rFonts w:asciiTheme="minorHAnsi" w:hAnsiTheme="minorHAnsi" w:cstheme="minorHAnsi"/>
          <w:sz w:val="22"/>
          <w:szCs w:val="22"/>
        </w:rPr>
        <w:t>aske</w:t>
      </w:r>
      <w:r>
        <w:rPr>
          <w:rFonts w:asciiTheme="minorHAnsi" w:hAnsiTheme="minorHAnsi" w:cstheme="minorHAnsi"/>
          <w:sz w:val="22"/>
          <w:szCs w:val="22"/>
        </w:rPr>
        <w:t xml:space="preserve">d </w:t>
      </w:r>
      <w:r w:rsidRPr="00F46BA9">
        <w:rPr>
          <w:rFonts w:asciiTheme="minorHAnsi" w:hAnsiTheme="minorHAnsi" w:cstheme="minorHAnsi"/>
          <w:sz w:val="22"/>
          <w:szCs w:val="22"/>
        </w:rPr>
        <w:t>to make sure that the FDA speaks with the variety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10" w:history="1">
        <w:r w:rsidRPr="007879F8">
          <w:rPr>
            <w:rStyle w:val="Hyperlink"/>
            <w:rFonts w:asciiTheme="minorHAnsi" w:hAnsiTheme="minorHAnsi" w:cstheme="minorHAnsi"/>
            <w:sz w:val="22"/>
            <w:szCs w:val="22"/>
          </w:rPr>
          <w:t>http://www.whitehouse.gov/omb/fedreg/1997standards.html</w:t>
        </w:r>
      </w:hyperlink>
      <w:r w:rsidRPr="00F46BA9">
        <w:rPr>
          <w:rFonts w:asciiTheme="minorHAnsi" w:hAnsiTheme="minorHAnsi" w:cstheme="minorHAnsi"/>
          <w:sz w:val="22"/>
          <w:szCs w:val="22"/>
        </w:rPr>
        <w:t>).</w:t>
      </w:r>
    </w:p>
    <w:p w14:paraId="0F0C35C1" w14:textId="77777777" w:rsidR="00F52D8C" w:rsidRPr="00527C3B" w:rsidRDefault="00F52D8C" w:rsidP="00F46BA9">
      <w:pPr>
        <w:pStyle w:val="Default"/>
        <w:spacing w:line="276" w:lineRule="auto"/>
        <w:ind w:right="-180"/>
        <w:rPr>
          <w:rFonts w:asciiTheme="minorHAnsi" w:hAnsiTheme="minorHAnsi" w:cstheme="minorHAnsi"/>
          <w:sz w:val="22"/>
          <w:szCs w:val="22"/>
        </w:rPr>
      </w:pPr>
    </w:p>
    <w:p w14:paraId="03E685CD" w14:textId="11208CD9" w:rsidR="00F52D8C" w:rsidRPr="00527C3B" w:rsidRDefault="00F52D8C" w:rsidP="00325FA2">
      <w:pPr>
        <w:pStyle w:val="Default"/>
        <w:spacing w:line="276" w:lineRule="auto"/>
        <w:ind w:left="360" w:right="-180"/>
        <w:rPr>
          <w:rFonts w:asciiTheme="minorHAnsi" w:hAnsiTheme="minorHAnsi" w:cstheme="minorHAnsi"/>
          <w:sz w:val="22"/>
          <w:szCs w:val="22"/>
        </w:rPr>
      </w:pPr>
      <w:r w:rsidRPr="00527C3B">
        <w:rPr>
          <w:rFonts w:asciiTheme="minorHAnsi" w:hAnsiTheme="minorHAnsi" w:cstheme="minorHAnsi"/>
          <w:sz w:val="22"/>
          <w:szCs w:val="22"/>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527C3B">
        <w:rPr>
          <w:rFonts w:asciiTheme="minorHAnsi" w:hAnsiTheme="minorHAnsi" w:cstheme="minorHAnsi"/>
          <w:sz w:val="22"/>
          <w:szCs w:val="22"/>
        </w:rPr>
        <w:t>o that the messages, strategies</w:t>
      </w:r>
      <w:r w:rsidRPr="00527C3B">
        <w:rPr>
          <w:rFonts w:asciiTheme="minorHAnsi" w:hAnsiTheme="minorHAnsi" w:cstheme="minorHAnsi"/>
          <w:sz w:val="22"/>
          <w:szCs w:val="22"/>
        </w:rPr>
        <w:t xml:space="preserve"> and materials designed will be appropriate and sensitive. Questions of this nature, while not as personal as those about sexual behavior or religious beliefs, for instance,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66FFE856" w14:textId="77777777" w:rsidR="00F52D8C" w:rsidRPr="00527C3B" w:rsidRDefault="00F52D8C" w:rsidP="00162C39">
      <w:pPr>
        <w:pStyle w:val="Default"/>
        <w:spacing w:line="276" w:lineRule="auto"/>
        <w:ind w:left="360" w:right="-180"/>
        <w:rPr>
          <w:rFonts w:asciiTheme="minorHAnsi" w:hAnsiTheme="minorHAnsi" w:cstheme="minorHAnsi"/>
          <w:sz w:val="22"/>
          <w:szCs w:val="22"/>
        </w:rPr>
      </w:pPr>
    </w:p>
    <w:p w14:paraId="02811100" w14:textId="77777777" w:rsidR="00F52D8C" w:rsidRPr="00527C3B" w:rsidRDefault="00F52D8C" w:rsidP="00162C39">
      <w:pPr>
        <w:pStyle w:val="Default"/>
        <w:spacing w:line="276" w:lineRule="auto"/>
        <w:ind w:left="360" w:right="-180"/>
        <w:rPr>
          <w:rFonts w:asciiTheme="minorHAnsi" w:hAnsiTheme="minorHAnsi" w:cstheme="minorHAnsi"/>
          <w:sz w:val="22"/>
          <w:szCs w:val="22"/>
        </w:rPr>
      </w:pPr>
      <w:r w:rsidRPr="00527C3B">
        <w:rPr>
          <w:rFonts w:asciiTheme="minorHAnsi" w:hAnsiTheme="minorHAnsi" w:cstheme="minorHAnsi"/>
          <w:sz w:val="22"/>
          <w:szCs w:val="22"/>
        </w:rPr>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2C75D3BD" w14:textId="77777777" w:rsidR="00957513" w:rsidRPr="00527C3B" w:rsidRDefault="00957513" w:rsidP="00162C39">
      <w:pPr>
        <w:autoSpaceDE w:val="0"/>
        <w:autoSpaceDN w:val="0"/>
        <w:adjustRightInd w:val="0"/>
        <w:ind w:left="360" w:right="-180"/>
        <w:rPr>
          <w:rFonts w:asciiTheme="minorHAnsi" w:hAnsiTheme="minorHAnsi" w:cstheme="minorHAnsi"/>
          <w:color w:val="000000"/>
        </w:rPr>
      </w:pPr>
      <w:r w:rsidRPr="00527C3B">
        <w:rPr>
          <w:rFonts w:asciiTheme="minorHAnsi" w:hAnsiTheme="minorHAnsi" w:cstheme="minorHAnsi"/>
          <w:color w:val="000000"/>
        </w:rPr>
        <w:t xml:space="preserve"> </w:t>
      </w:r>
    </w:p>
    <w:p w14:paraId="3F48CFFB" w14:textId="77777777" w:rsidR="00957513" w:rsidRPr="00527C3B" w:rsidRDefault="000202E6" w:rsidP="00E07C91">
      <w:pPr>
        <w:pStyle w:val="ListParagraph"/>
        <w:numPr>
          <w:ilvl w:val="0"/>
          <w:numId w:val="5"/>
        </w:numPr>
        <w:autoSpaceDE w:val="0"/>
        <w:autoSpaceDN w:val="0"/>
        <w:adjustRightInd w:val="0"/>
        <w:ind w:right="-180"/>
        <w:rPr>
          <w:rFonts w:asciiTheme="minorHAnsi" w:hAnsiTheme="minorHAnsi" w:cstheme="minorHAnsi"/>
          <w:color w:val="000000"/>
        </w:rPr>
      </w:pPr>
      <w:r w:rsidRPr="00527C3B">
        <w:rPr>
          <w:rFonts w:asciiTheme="minorHAnsi" w:hAnsiTheme="minorHAnsi" w:cstheme="minorHAnsi"/>
          <w:b/>
          <w:color w:val="000000"/>
        </w:rPr>
        <w:t>Description of statistical methods</w:t>
      </w:r>
      <w:r w:rsidR="004D3D53" w:rsidRPr="00527C3B">
        <w:rPr>
          <w:rFonts w:asciiTheme="minorHAnsi" w:hAnsiTheme="minorHAnsi" w:cstheme="minorHAnsi"/>
          <w:b/>
          <w:color w:val="000000"/>
        </w:rPr>
        <w:t>:</w:t>
      </w:r>
      <w:r w:rsidR="00957513" w:rsidRPr="00527C3B">
        <w:rPr>
          <w:rFonts w:asciiTheme="minorHAnsi" w:hAnsiTheme="minorHAnsi" w:cstheme="minorHAnsi"/>
          <w:b/>
          <w:color w:val="000000"/>
        </w:rPr>
        <w:t xml:space="preserve"> </w:t>
      </w:r>
    </w:p>
    <w:p w14:paraId="398C68DE" w14:textId="1AC36E77" w:rsidR="00B72DAC" w:rsidRPr="00527C3B" w:rsidRDefault="003F2554" w:rsidP="00162C39">
      <w:pPr>
        <w:autoSpaceDE w:val="0"/>
        <w:autoSpaceDN w:val="0"/>
        <w:adjustRightInd w:val="0"/>
        <w:ind w:left="360" w:right="-180"/>
        <w:rPr>
          <w:rFonts w:asciiTheme="minorHAnsi" w:hAnsiTheme="minorHAnsi" w:cstheme="minorHAnsi"/>
          <w:color w:val="000000"/>
        </w:rPr>
      </w:pPr>
      <w:r w:rsidRPr="00527C3B">
        <w:rPr>
          <w:rFonts w:asciiTheme="minorHAnsi" w:hAnsiTheme="minorHAnsi" w:cstheme="minorHAnsi"/>
          <w:color w:val="000000"/>
        </w:rPr>
        <w:t>This research relies on qualitative methods and is not intended to yield results that are statistically projectable. Participants will be identified using standard telephone recruitment procedures that employ screening ques</w:t>
      </w:r>
      <w:r w:rsidR="00F24041" w:rsidRPr="00527C3B">
        <w:rPr>
          <w:rFonts w:asciiTheme="minorHAnsi" w:hAnsiTheme="minorHAnsi" w:cstheme="minorHAnsi"/>
          <w:color w:val="000000"/>
        </w:rPr>
        <w:t>tions about age; current</w:t>
      </w:r>
      <w:r w:rsidR="001467A6" w:rsidRPr="00527C3B">
        <w:rPr>
          <w:rFonts w:asciiTheme="minorHAnsi" w:hAnsiTheme="minorHAnsi" w:cstheme="minorHAnsi"/>
          <w:color w:val="000000"/>
        </w:rPr>
        <w:t xml:space="preserve"> and</w:t>
      </w:r>
      <w:r w:rsidR="00527C3B" w:rsidRPr="00527C3B">
        <w:rPr>
          <w:rFonts w:asciiTheme="minorHAnsi" w:hAnsiTheme="minorHAnsi" w:cstheme="minorHAnsi"/>
          <w:color w:val="000000"/>
        </w:rPr>
        <w:t xml:space="preserve"> </w:t>
      </w:r>
      <w:r w:rsidR="00F24041" w:rsidRPr="00527C3B">
        <w:rPr>
          <w:rFonts w:asciiTheme="minorHAnsi" w:hAnsiTheme="minorHAnsi" w:cstheme="minorHAnsi"/>
          <w:color w:val="000000"/>
        </w:rPr>
        <w:t>past</w:t>
      </w:r>
      <w:r w:rsidRPr="00527C3B">
        <w:rPr>
          <w:rFonts w:asciiTheme="minorHAnsi" w:hAnsiTheme="minorHAnsi" w:cstheme="minorHAnsi"/>
          <w:color w:val="000000"/>
        </w:rPr>
        <w:t xml:space="preserve"> tobacco use; race and ethnicity; and gender.</w:t>
      </w:r>
      <w:r w:rsidR="00413113" w:rsidRPr="00527C3B">
        <w:rPr>
          <w:rFonts w:asciiTheme="minorHAnsi" w:hAnsiTheme="minorHAnsi" w:cstheme="minorHAnsi"/>
          <w:color w:val="000000"/>
        </w:rPr>
        <w:t xml:space="preserve"> </w:t>
      </w:r>
      <w:r w:rsidRPr="00527C3B">
        <w:rPr>
          <w:rFonts w:asciiTheme="minorHAnsi" w:hAnsiTheme="minorHAnsi" w:cstheme="minorHAnsi"/>
          <w:color w:val="000000"/>
        </w:rPr>
        <w:t xml:space="preserve">Recruitment will continue until a representative sample of the required number of participants for each </w:t>
      </w:r>
      <w:r w:rsidR="00D776F7" w:rsidRPr="00527C3B">
        <w:rPr>
          <w:rFonts w:asciiTheme="minorHAnsi" w:hAnsiTheme="minorHAnsi" w:cstheme="minorHAnsi"/>
          <w:color w:val="000000"/>
        </w:rPr>
        <w:t>group</w:t>
      </w:r>
      <w:r w:rsidR="002A7279" w:rsidRPr="00527C3B">
        <w:rPr>
          <w:rFonts w:asciiTheme="minorHAnsi" w:hAnsiTheme="minorHAnsi" w:cstheme="minorHAnsi"/>
          <w:color w:val="000000"/>
        </w:rPr>
        <w:t xml:space="preserve"> is obtained.</w:t>
      </w:r>
    </w:p>
    <w:p w14:paraId="2DE67877" w14:textId="2AA8D922" w:rsidR="00A35A30" w:rsidRDefault="00A35A30">
      <w:pPr>
        <w:spacing w:line="240" w:lineRule="auto"/>
        <w:rPr>
          <w:rFonts w:asciiTheme="minorHAnsi" w:hAnsiTheme="minorHAnsi" w:cstheme="minorHAnsi"/>
          <w:b/>
          <w:color w:val="000000"/>
        </w:rPr>
      </w:pPr>
    </w:p>
    <w:p w14:paraId="2A9EA447" w14:textId="2310F0BE" w:rsidR="00E377DD" w:rsidRDefault="00E377DD">
      <w:pPr>
        <w:spacing w:line="240" w:lineRule="auto"/>
        <w:rPr>
          <w:rFonts w:asciiTheme="minorHAnsi" w:hAnsiTheme="minorHAnsi" w:cstheme="minorHAnsi"/>
          <w:b/>
          <w:color w:val="000000"/>
        </w:rPr>
      </w:pPr>
    </w:p>
    <w:p w14:paraId="5BF05E4C" w14:textId="2F5E6912" w:rsidR="00E377DD" w:rsidRDefault="00E377DD">
      <w:pPr>
        <w:spacing w:line="240" w:lineRule="auto"/>
        <w:rPr>
          <w:rFonts w:asciiTheme="minorHAnsi" w:hAnsiTheme="minorHAnsi" w:cstheme="minorHAnsi"/>
          <w:b/>
          <w:color w:val="000000"/>
        </w:rPr>
      </w:pPr>
    </w:p>
    <w:p w14:paraId="53F19AC0" w14:textId="76CA8EF7" w:rsidR="00E377DD" w:rsidRDefault="00E377DD">
      <w:pPr>
        <w:spacing w:line="240" w:lineRule="auto"/>
        <w:rPr>
          <w:rFonts w:asciiTheme="minorHAnsi" w:hAnsiTheme="minorHAnsi" w:cstheme="minorHAnsi"/>
          <w:b/>
          <w:color w:val="000000"/>
        </w:rPr>
      </w:pPr>
    </w:p>
    <w:p w14:paraId="53DB840E" w14:textId="2765DD56" w:rsidR="00E377DD" w:rsidRDefault="00E377DD">
      <w:pPr>
        <w:spacing w:line="240" w:lineRule="auto"/>
        <w:rPr>
          <w:rFonts w:asciiTheme="minorHAnsi" w:hAnsiTheme="minorHAnsi" w:cstheme="minorHAnsi"/>
          <w:b/>
          <w:color w:val="000000"/>
        </w:rPr>
      </w:pPr>
    </w:p>
    <w:p w14:paraId="09E8F454" w14:textId="48F1E3F3" w:rsidR="00E377DD" w:rsidRDefault="00E377DD">
      <w:pPr>
        <w:spacing w:line="240" w:lineRule="auto"/>
        <w:rPr>
          <w:rFonts w:asciiTheme="minorHAnsi" w:hAnsiTheme="minorHAnsi" w:cstheme="minorHAnsi"/>
          <w:b/>
          <w:color w:val="000000"/>
        </w:rPr>
      </w:pPr>
    </w:p>
    <w:p w14:paraId="02C2CC47" w14:textId="062381F5" w:rsidR="00E377DD" w:rsidRDefault="00E377DD">
      <w:pPr>
        <w:spacing w:line="240" w:lineRule="auto"/>
        <w:rPr>
          <w:rFonts w:asciiTheme="minorHAnsi" w:hAnsiTheme="minorHAnsi" w:cstheme="minorHAnsi"/>
          <w:b/>
          <w:color w:val="000000"/>
        </w:rPr>
      </w:pPr>
    </w:p>
    <w:p w14:paraId="1B3D5665" w14:textId="1B28289E" w:rsidR="00E377DD" w:rsidRDefault="00E377DD">
      <w:pPr>
        <w:spacing w:line="240" w:lineRule="auto"/>
        <w:rPr>
          <w:rFonts w:asciiTheme="minorHAnsi" w:hAnsiTheme="minorHAnsi" w:cstheme="minorHAnsi"/>
          <w:b/>
          <w:color w:val="000000"/>
        </w:rPr>
      </w:pPr>
    </w:p>
    <w:p w14:paraId="6EAAE803" w14:textId="2D939C89" w:rsidR="00E377DD" w:rsidRDefault="00E377DD">
      <w:pPr>
        <w:spacing w:line="240" w:lineRule="auto"/>
        <w:rPr>
          <w:rFonts w:asciiTheme="minorHAnsi" w:hAnsiTheme="minorHAnsi" w:cstheme="minorHAnsi"/>
          <w:b/>
          <w:color w:val="000000"/>
        </w:rPr>
      </w:pPr>
    </w:p>
    <w:p w14:paraId="12E9031F" w14:textId="77777777" w:rsidR="00E377DD" w:rsidRPr="00527C3B" w:rsidRDefault="00E377DD">
      <w:pPr>
        <w:spacing w:line="240" w:lineRule="auto"/>
        <w:rPr>
          <w:rFonts w:asciiTheme="minorHAnsi" w:hAnsiTheme="minorHAnsi" w:cstheme="minorHAnsi"/>
          <w:b/>
          <w:color w:val="000000"/>
        </w:rPr>
      </w:pPr>
    </w:p>
    <w:p w14:paraId="5D5249ED" w14:textId="77777777" w:rsidR="00E07C91" w:rsidRPr="00527C3B" w:rsidRDefault="00E07C91" w:rsidP="002A7192">
      <w:pPr>
        <w:spacing w:line="240" w:lineRule="auto"/>
        <w:rPr>
          <w:rFonts w:asciiTheme="minorHAnsi" w:hAnsiTheme="minorHAnsi" w:cstheme="minorHAnsi"/>
          <w:b/>
          <w:color w:val="000000"/>
        </w:rPr>
      </w:pPr>
    </w:p>
    <w:p w14:paraId="34921BD7" w14:textId="000510D3" w:rsidR="00F23A0D" w:rsidRPr="00A57BAF" w:rsidRDefault="00957513" w:rsidP="002A7192">
      <w:pPr>
        <w:spacing w:line="240" w:lineRule="auto"/>
        <w:rPr>
          <w:rFonts w:ascii="Times New Roman" w:hAnsi="Times New Roman"/>
          <w:i/>
          <w:color w:val="000000"/>
          <w:sz w:val="24"/>
          <w:szCs w:val="24"/>
        </w:rPr>
      </w:pPr>
      <w:r w:rsidRPr="00A57BAF">
        <w:rPr>
          <w:rFonts w:ascii="Times New Roman" w:hAnsi="Times New Roman"/>
          <w:b/>
          <w:color w:val="000000"/>
          <w:sz w:val="24"/>
          <w:szCs w:val="24"/>
        </w:rPr>
        <w:t xml:space="preserve">BURDEN HOUR COMPUTATION </w:t>
      </w:r>
      <w:r w:rsidR="004B7454" w:rsidRPr="00A57BAF">
        <w:rPr>
          <w:rFonts w:ascii="Times New Roman" w:hAnsi="Times New Roman"/>
          <w:i/>
          <w:color w:val="000000"/>
          <w:sz w:val="24"/>
          <w:szCs w:val="24"/>
        </w:rPr>
        <w:t>Number of respondents</w:t>
      </w:r>
      <w:r w:rsidRPr="00A57BAF">
        <w:rPr>
          <w:rFonts w:ascii="Times New Roman" w:hAnsi="Times New Roman"/>
          <w:i/>
          <w:color w:val="000000"/>
          <w:sz w:val="24"/>
          <w:szCs w:val="24"/>
        </w:rPr>
        <w:t xml:space="preserve"> (X) estimated response or participation time in min</w:t>
      </w:r>
      <w:r w:rsidR="002B6165" w:rsidRPr="00A57BAF">
        <w:rPr>
          <w:rFonts w:ascii="Times New Roman" w:hAnsi="Times New Roman"/>
          <w:i/>
          <w:color w:val="000000"/>
          <w:sz w:val="24"/>
          <w:szCs w:val="24"/>
        </w:rPr>
        <w:t>utes (/60) = annual burden hours</w:t>
      </w:r>
      <w:r w:rsidRPr="00A57BAF">
        <w:rPr>
          <w:rFonts w:ascii="Times New Roman" w:hAnsi="Times New Roman"/>
          <w:i/>
          <w:color w:val="000000"/>
          <w:sz w:val="24"/>
          <w:szCs w:val="24"/>
        </w:rPr>
        <w:t>:</w:t>
      </w:r>
    </w:p>
    <w:p w14:paraId="4934622C" w14:textId="77777777" w:rsidR="0093538B" w:rsidRPr="00A57BAF" w:rsidRDefault="0093538B" w:rsidP="002A7192">
      <w:pPr>
        <w:spacing w:line="240" w:lineRule="auto"/>
        <w:rPr>
          <w:rFonts w:ascii="Times New Roman" w:hAnsi="Times New Roman"/>
          <w:i/>
          <w:color w:val="000000"/>
          <w:sz w:val="24"/>
          <w:szCs w:val="24"/>
        </w:rPr>
      </w:pPr>
    </w:p>
    <w:p w14:paraId="74BF947B" w14:textId="3C3F7E5D" w:rsidR="00E07C91" w:rsidRPr="00A57BAF" w:rsidRDefault="00A26438" w:rsidP="002A7192">
      <w:pPr>
        <w:spacing w:line="240" w:lineRule="auto"/>
        <w:rPr>
          <w:rFonts w:ascii="Times New Roman" w:hAnsi="Times New Roman"/>
          <w:b/>
          <w:bCs/>
          <w:i/>
          <w:color w:val="000000"/>
          <w:sz w:val="24"/>
          <w:szCs w:val="24"/>
        </w:rPr>
      </w:pPr>
      <w:r w:rsidRPr="00A57BAF">
        <w:rPr>
          <w:rFonts w:ascii="Times New Roman" w:hAnsi="Times New Roman"/>
          <w:b/>
          <w:bCs/>
          <w:i/>
          <w:color w:val="000000"/>
          <w:sz w:val="24"/>
          <w:szCs w:val="24"/>
        </w:rPr>
        <w:t>Estimated Burden Hours:</w:t>
      </w:r>
    </w:p>
    <w:tbl>
      <w:tblPr>
        <w:tblStyle w:val="TableGrid1"/>
        <w:tblW w:w="0" w:type="auto"/>
        <w:tblLook w:val="00A0" w:firstRow="1" w:lastRow="0" w:firstColumn="1" w:lastColumn="0" w:noHBand="0" w:noVBand="0"/>
      </w:tblPr>
      <w:tblGrid>
        <w:gridCol w:w="1818"/>
        <w:gridCol w:w="1571"/>
        <w:gridCol w:w="1418"/>
        <w:gridCol w:w="1485"/>
        <w:gridCol w:w="1152"/>
        <w:gridCol w:w="1324"/>
        <w:gridCol w:w="808"/>
      </w:tblGrid>
      <w:tr w:rsidR="00ED45BF" w:rsidRPr="00A57BAF" w14:paraId="2B6DF2E6" w14:textId="77777777" w:rsidTr="001467A6">
        <w:tc>
          <w:tcPr>
            <w:tcW w:w="1819" w:type="dxa"/>
            <w:shd w:val="clear" w:color="auto" w:fill="BFBFBF" w:themeFill="background1" w:themeFillShade="BF"/>
            <w:vAlign w:val="center"/>
          </w:tcPr>
          <w:p w14:paraId="27777662" w14:textId="77777777" w:rsidR="00E07C91" w:rsidRPr="00A57BAF" w:rsidRDefault="00E07C91" w:rsidP="004F2800">
            <w:pPr>
              <w:spacing w:line="240" w:lineRule="auto"/>
              <w:jc w:val="center"/>
              <w:rPr>
                <w:b/>
                <w:sz w:val="20"/>
                <w:szCs w:val="24"/>
              </w:rPr>
            </w:pPr>
            <w:r w:rsidRPr="00A57BAF">
              <w:rPr>
                <w:b/>
                <w:sz w:val="20"/>
                <w:szCs w:val="24"/>
              </w:rPr>
              <w:t>Type of Respondent</w:t>
            </w:r>
          </w:p>
        </w:tc>
        <w:tc>
          <w:tcPr>
            <w:tcW w:w="1571" w:type="dxa"/>
            <w:shd w:val="clear" w:color="auto" w:fill="BFBFBF" w:themeFill="background1" w:themeFillShade="BF"/>
            <w:vAlign w:val="center"/>
          </w:tcPr>
          <w:p w14:paraId="2D0567BE" w14:textId="77777777" w:rsidR="00E07C91" w:rsidRPr="00A57BAF" w:rsidRDefault="00E07C91" w:rsidP="004F2800">
            <w:pPr>
              <w:spacing w:line="240" w:lineRule="auto"/>
              <w:jc w:val="center"/>
              <w:rPr>
                <w:b/>
                <w:sz w:val="20"/>
                <w:szCs w:val="24"/>
              </w:rPr>
            </w:pPr>
            <w:r w:rsidRPr="00A57BAF">
              <w:rPr>
                <w:b/>
                <w:sz w:val="20"/>
                <w:szCs w:val="24"/>
              </w:rPr>
              <w:t>Activity</w:t>
            </w:r>
          </w:p>
        </w:tc>
        <w:tc>
          <w:tcPr>
            <w:tcW w:w="0" w:type="auto"/>
            <w:shd w:val="clear" w:color="auto" w:fill="BFBFBF" w:themeFill="background1" w:themeFillShade="BF"/>
            <w:vAlign w:val="center"/>
          </w:tcPr>
          <w:p w14:paraId="4369AB35" w14:textId="77777777" w:rsidR="00E07C91" w:rsidRPr="00A57BAF" w:rsidRDefault="00E07C91" w:rsidP="004F2800">
            <w:pPr>
              <w:spacing w:line="240" w:lineRule="auto"/>
              <w:jc w:val="center"/>
              <w:rPr>
                <w:b/>
                <w:sz w:val="20"/>
                <w:szCs w:val="24"/>
              </w:rPr>
            </w:pPr>
            <w:r w:rsidRPr="00A57BAF">
              <w:rPr>
                <w:b/>
                <w:sz w:val="20"/>
                <w:szCs w:val="24"/>
              </w:rPr>
              <w:t>Number of Respondents</w:t>
            </w:r>
          </w:p>
        </w:tc>
        <w:tc>
          <w:tcPr>
            <w:tcW w:w="0" w:type="auto"/>
            <w:shd w:val="clear" w:color="auto" w:fill="BFBFBF" w:themeFill="background1" w:themeFillShade="BF"/>
            <w:vAlign w:val="center"/>
          </w:tcPr>
          <w:p w14:paraId="47D9D929" w14:textId="77777777" w:rsidR="00E07C91" w:rsidRPr="00A57BAF" w:rsidRDefault="00E07C91" w:rsidP="004F2800">
            <w:pPr>
              <w:spacing w:line="240" w:lineRule="auto"/>
              <w:jc w:val="center"/>
              <w:rPr>
                <w:b/>
                <w:sz w:val="20"/>
                <w:szCs w:val="24"/>
              </w:rPr>
            </w:pPr>
            <w:r w:rsidRPr="00A57BAF">
              <w:rPr>
                <w:b/>
                <w:sz w:val="20"/>
                <w:szCs w:val="24"/>
              </w:rPr>
              <w:t>Number of Responses per Respondent</w:t>
            </w:r>
          </w:p>
        </w:tc>
        <w:tc>
          <w:tcPr>
            <w:tcW w:w="0" w:type="auto"/>
            <w:shd w:val="clear" w:color="auto" w:fill="BFBFBF" w:themeFill="background1" w:themeFillShade="BF"/>
            <w:vAlign w:val="center"/>
          </w:tcPr>
          <w:p w14:paraId="0B6CC99F" w14:textId="77777777" w:rsidR="00E07C91" w:rsidRPr="00A57BAF" w:rsidRDefault="00E07C91" w:rsidP="004F2800">
            <w:pPr>
              <w:spacing w:line="240" w:lineRule="auto"/>
              <w:jc w:val="center"/>
              <w:rPr>
                <w:b/>
                <w:sz w:val="20"/>
                <w:szCs w:val="24"/>
              </w:rPr>
            </w:pPr>
            <w:r w:rsidRPr="00A57BAF">
              <w:rPr>
                <w:b/>
                <w:sz w:val="20"/>
                <w:szCs w:val="24"/>
              </w:rPr>
              <w:t>Total Responses</w:t>
            </w:r>
          </w:p>
        </w:tc>
        <w:tc>
          <w:tcPr>
            <w:tcW w:w="0" w:type="auto"/>
            <w:shd w:val="clear" w:color="auto" w:fill="BFBFBF" w:themeFill="background1" w:themeFillShade="BF"/>
            <w:vAlign w:val="center"/>
          </w:tcPr>
          <w:p w14:paraId="677F966D" w14:textId="77777777" w:rsidR="00E07C91" w:rsidRPr="00A57BAF" w:rsidRDefault="00E07C91" w:rsidP="004F2800">
            <w:pPr>
              <w:spacing w:line="240" w:lineRule="auto"/>
              <w:jc w:val="center"/>
              <w:rPr>
                <w:b/>
                <w:sz w:val="20"/>
                <w:szCs w:val="24"/>
              </w:rPr>
            </w:pPr>
            <w:r w:rsidRPr="00A57BAF">
              <w:rPr>
                <w:b/>
                <w:sz w:val="20"/>
                <w:szCs w:val="24"/>
              </w:rPr>
              <w:t>Average Burden per Response (in hours)</w:t>
            </w:r>
          </w:p>
        </w:tc>
        <w:tc>
          <w:tcPr>
            <w:tcW w:w="0" w:type="auto"/>
            <w:shd w:val="clear" w:color="auto" w:fill="BFBFBF" w:themeFill="background1" w:themeFillShade="BF"/>
            <w:vAlign w:val="center"/>
          </w:tcPr>
          <w:p w14:paraId="24BAC03F" w14:textId="77777777" w:rsidR="00E07C91" w:rsidRPr="00A57BAF" w:rsidRDefault="00E07C91" w:rsidP="004F2800">
            <w:pPr>
              <w:spacing w:line="240" w:lineRule="auto"/>
              <w:jc w:val="center"/>
              <w:rPr>
                <w:b/>
                <w:sz w:val="20"/>
                <w:szCs w:val="24"/>
              </w:rPr>
            </w:pPr>
            <w:r w:rsidRPr="00A57BAF">
              <w:rPr>
                <w:b/>
                <w:sz w:val="20"/>
                <w:szCs w:val="24"/>
              </w:rPr>
              <w:t>Total Hours</w:t>
            </w:r>
          </w:p>
        </w:tc>
      </w:tr>
      <w:tr w:rsidR="008A376B" w:rsidRPr="00A57BAF" w14:paraId="1493DF91" w14:textId="77777777" w:rsidTr="001467A6">
        <w:tc>
          <w:tcPr>
            <w:tcW w:w="1819" w:type="dxa"/>
            <w:vAlign w:val="center"/>
          </w:tcPr>
          <w:p w14:paraId="340C3C5E" w14:textId="40EADA7F" w:rsidR="00E07C91" w:rsidRPr="00A57BAF" w:rsidRDefault="001467A6" w:rsidP="009160F9">
            <w:pPr>
              <w:spacing w:before="240" w:after="240" w:line="240" w:lineRule="auto"/>
              <w:rPr>
                <w:sz w:val="24"/>
                <w:szCs w:val="24"/>
              </w:rPr>
            </w:pPr>
            <w:r>
              <w:rPr>
                <w:sz w:val="24"/>
                <w:szCs w:val="24"/>
              </w:rPr>
              <w:t>Possible Participant</w:t>
            </w:r>
          </w:p>
        </w:tc>
        <w:tc>
          <w:tcPr>
            <w:tcW w:w="1571" w:type="dxa"/>
            <w:vAlign w:val="center"/>
          </w:tcPr>
          <w:p w14:paraId="5474C1AE" w14:textId="77777777" w:rsidR="00E07C91" w:rsidRPr="00A57BAF" w:rsidRDefault="00E07C91" w:rsidP="009160F9">
            <w:pPr>
              <w:spacing w:before="240" w:after="240" w:line="240" w:lineRule="auto"/>
              <w:rPr>
                <w:sz w:val="24"/>
                <w:szCs w:val="24"/>
              </w:rPr>
            </w:pPr>
            <w:r w:rsidRPr="00A57BAF">
              <w:rPr>
                <w:sz w:val="24"/>
                <w:szCs w:val="24"/>
              </w:rPr>
              <w:t>Screener completion</w:t>
            </w:r>
          </w:p>
        </w:tc>
        <w:tc>
          <w:tcPr>
            <w:tcW w:w="0" w:type="auto"/>
            <w:vAlign w:val="center"/>
          </w:tcPr>
          <w:p w14:paraId="1E3720C1" w14:textId="01D970B0" w:rsidR="00E07C91" w:rsidRPr="00A57BAF" w:rsidRDefault="007C17D7" w:rsidP="009160F9">
            <w:pPr>
              <w:spacing w:before="240" w:after="240" w:line="240" w:lineRule="auto"/>
              <w:jc w:val="center"/>
              <w:rPr>
                <w:sz w:val="24"/>
                <w:szCs w:val="24"/>
              </w:rPr>
            </w:pPr>
            <w:r w:rsidRPr="00A57BAF">
              <w:rPr>
                <w:sz w:val="24"/>
                <w:szCs w:val="24"/>
              </w:rPr>
              <w:t>810</w:t>
            </w:r>
          </w:p>
        </w:tc>
        <w:tc>
          <w:tcPr>
            <w:tcW w:w="0" w:type="auto"/>
            <w:vAlign w:val="center"/>
          </w:tcPr>
          <w:p w14:paraId="43F05F35" w14:textId="77777777" w:rsidR="00E07C91" w:rsidRPr="00A57BAF" w:rsidRDefault="00E07C91" w:rsidP="009160F9">
            <w:pPr>
              <w:spacing w:before="240" w:after="240" w:line="240" w:lineRule="auto"/>
              <w:jc w:val="center"/>
              <w:rPr>
                <w:sz w:val="24"/>
                <w:szCs w:val="24"/>
              </w:rPr>
            </w:pPr>
            <w:r w:rsidRPr="00A57BAF">
              <w:rPr>
                <w:sz w:val="24"/>
                <w:szCs w:val="24"/>
              </w:rPr>
              <w:t>1</w:t>
            </w:r>
          </w:p>
        </w:tc>
        <w:tc>
          <w:tcPr>
            <w:tcW w:w="0" w:type="auto"/>
            <w:vAlign w:val="center"/>
          </w:tcPr>
          <w:p w14:paraId="77815EF3" w14:textId="58198835" w:rsidR="00E07C91" w:rsidRPr="00A57BAF" w:rsidRDefault="007C17D7" w:rsidP="009160F9">
            <w:pPr>
              <w:spacing w:before="240" w:after="240" w:line="240" w:lineRule="auto"/>
              <w:jc w:val="center"/>
              <w:rPr>
                <w:sz w:val="24"/>
                <w:szCs w:val="24"/>
              </w:rPr>
            </w:pPr>
            <w:r w:rsidRPr="00A57BAF">
              <w:rPr>
                <w:sz w:val="24"/>
                <w:szCs w:val="24"/>
              </w:rPr>
              <w:t>810</w:t>
            </w:r>
          </w:p>
        </w:tc>
        <w:tc>
          <w:tcPr>
            <w:tcW w:w="0" w:type="auto"/>
            <w:vAlign w:val="center"/>
          </w:tcPr>
          <w:p w14:paraId="3EAD0977" w14:textId="77777777" w:rsidR="009160F9" w:rsidRDefault="00E07C91" w:rsidP="009160F9">
            <w:pPr>
              <w:spacing w:before="120" w:after="120" w:line="240" w:lineRule="auto"/>
              <w:contextualSpacing/>
              <w:jc w:val="center"/>
              <w:rPr>
                <w:sz w:val="24"/>
                <w:szCs w:val="24"/>
              </w:rPr>
            </w:pPr>
            <w:r w:rsidRPr="00A57BAF">
              <w:rPr>
                <w:sz w:val="24"/>
                <w:szCs w:val="24"/>
              </w:rPr>
              <w:t>0.</w:t>
            </w:r>
            <w:r w:rsidR="007C17D7" w:rsidRPr="00A57BAF">
              <w:rPr>
                <w:sz w:val="24"/>
                <w:szCs w:val="24"/>
              </w:rPr>
              <w:t>13</w:t>
            </w:r>
          </w:p>
          <w:p w14:paraId="3924834B" w14:textId="14157171" w:rsidR="009160F9" w:rsidRPr="00A57BAF" w:rsidRDefault="009160F9" w:rsidP="009160F9">
            <w:pPr>
              <w:spacing w:before="120" w:after="120" w:line="240" w:lineRule="auto"/>
              <w:contextualSpacing/>
              <w:jc w:val="center"/>
              <w:rPr>
                <w:sz w:val="24"/>
                <w:szCs w:val="24"/>
              </w:rPr>
            </w:pPr>
            <w:r w:rsidRPr="002A42AB">
              <w:rPr>
                <w:sz w:val="18"/>
                <w:szCs w:val="24"/>
              </w:rPr>
              <w:t>(</w:t>
            </w:r>
            <w:r w:rsidR="00481962">
              <w:rPr>
                <w:sz w:val="18"/>
                <w:szCs w:val="24"/>
              </w:rPr>
              <w:t>8</w:t>
            </w:r>
            <w:r w:rsidRPr="002A42AB">
              <w:rPr>
                <w:sz w:val="18"/>
                <w:szCs w:val="24"/>
              </w:rPr>
              <w:t xml:space="preserve"> minutes)</w:t>
            </w:r>
          </w:p>
        </w:tc>
        <w:tc>
          <w:tcPr>
            <w:tcW w:w="0" w:type="auto"/>
            <w:vAlign w:val="center"/>
          </w:tcPr>
          <w:p w14:paraId="48CDA731" w14:textId="5B92E5B8" w:rsidR="00E07C91" w:rsidRPr="00A57BAF" w:rsidRDefault="007C17D7" w:rsidP="009160F9">
            <w:pPr>
              <w:spacing w:before="240" w:after="240" w:line="240" w:lineRule="auto"/>
              <w:jc w:val="center"/>
              <w:rPr>
                <w:sz w:val="24"/>
                <w:szCs w:val="24"/>
              </w:rPr>
            </w:pPr>
            <w:r w:rsidRPr="00A57BAF">
              <w:rPr>
                <w:sz w:val="24"/>
                <w:szCs w:val="24"/>
              </w:rPr>
              <w:t>10</w:t>
            </w:r>
            <w:r w:rsidR="00ED45BF">
              <w:rPr>
                <w:sz w:val="24"/>
                <w:szCs w:val="24"/>
              </w:rPr>
              <w:t>8</w:t>
            </w:r>
          </w:p>
        </w:tc>
      </w:tr>
      <w:tr w:rsidR="008A376B" w:rsidRPr="00A57BAF" w14:paraId="19B97418" w14:textId="77777777" w:rsidTr="001467A6">
        <w:tc>
          <w:tcPr>
            <w:tcW w:w="1819" w:type="dxa"/>
            <w:vMerge w:val="restart"/>
          </w:tcPr>
          <w:p w14:paraId="75DA974B" w14:textId="77777777" w:rsidR="00B84A7D" w:rsidRPr="00A57BAF" w:rsidRDefault="00B84A7D" w:rsidP="009160F9">
            <w:pPr>
              <w:spacing w:before="240" w:after="240" w:line="240" w:lineRule="auto"/>
              <w:rPr>
                <w:sz w:val="24"/>
                <w:szCs w:val="24"/>
              </w:rPr>
            </w:pPr>
            <w:r w:rsidRPr="00A57BAF">
              <w:rPr>
                <w:sz w:val="24"/>
                <w:szCs w:val="24"/>
              </w:rPr>
              <w:t>Participants</w:t>
            </w:r>
          </w:p>
        </w:tc>
        <w:tc>
          <w:tcPr>
            <w:tcW w:w="1571" w:type="dxa"/>
            <w:vAlign w:val="center"/>
          </w:tcPr>
          <w:p w14:paraId="69BA0A3F" w14:textId="6C3B2BA2" w:rsidR="001467A6" w:rsidRDefault="001467A6" w:rsidP="009160F9">
            <w:pPr>
              <w:spacing w:before="240" w:after="240" w:line="240" w:lineRule="auto"/>
              <w:rPr>
                <w:sz w:val="24"/>
                <w:szCs w:val="24"/>
              </w:rPr>
            </w:pPr>
            <w:r>
              <w:rPr>
                <w:sz w:val="24"/>
                <w:szCs w:val="24"/>
              </w:rPr>
              <w:t>Consent</w:t>
            </w:r>
          </w:p>
          <w:p w14:paraId="5DEB0557" w14:textId="0CCD00DF" w:rsidR="00B84A7D" w:rsidRPr="00A57BAF" w:rsidRDefault="00B84A7D" w:rsidP="009160F9">
            <w:pPr>
              <w:spacing w:before="240" w:after="240" w:line="240" w:lineRule="auto"/>
              <w:rPr>
                <w:sz w:val="24"/>
                <w:szCs w:val="24"/>
              </w:rPr>
            </w:pPr>
          </w:p>
        </w:tc>
        <w:tc>
          <w:tcPr>
            <w:tcW w:w="0" w:type="auto"/>
            <w:vAlign w:val="center"/>
          </w:tcPr>
          <w:p w14:paraId="1C38C66E" w14:textId="64C00D76" w:rsidR="00B84A7D" w:rsidRPr="00A57BAF" w:rsidRDefault="007C17D7" w:rsidP="009160F9">
            <w:pPr>
              <w:spacing w:before="240" w:after="240" w:line="240" w:lineRule="auto"/>
              <w:jc w:val="center"/>
              <w:rPr>
                <w:sz w:val="24"/>
                <w:szCs w:val="24"/>
              </w:rPr>
            </w:pPr>
            <w:r w:rsidRPr="00A57BAF">
              <w:rPr>
                <w:sz w:val="24"/>
                <w:szCs w:val="24"/>
              </w:rPr>
              <w:t>2</w:t>
            </w:r>
            <w:r w:rsidR="00527C3B">
              <w:rPr>
                <w:sz w:val="24"/>
                <w:szCs w:val="24"/>
              </w:rPr>
              <w:t>40</w:t>
            </w:r>
          </w:p>
        </w:tc>
        <w:tc>
          <w:tcPr>
            <w:tcW w:w="0" w:type="auto"/>
            <w:vAlign w:val="center"/>
          </w:tcPr>
          <w:p w14:paraId="49212C0C" w14:textId="77777777" w:rsidR="00B84A7D" w:rsidRPr="00A57BAF" w:rsidRDefault="00B84A7D" w:rsidP="009160F9">
            <w:pPr>
              <w:spacing w:before="240" w:after="240" w:line="240" w:lineRule="auto"/>
              <w:jc w:val="center"/>
              <w:rPr>
                <w:sz w:val="24"/>
                <w:szCs w:val="24"/>
              </w:rPr>
            </w:pPr>
            <w:r w:rsidRPr="00A57BAF">
              <w:rPr>
                <w:sz w:val="24"/>
                <w:szCs w:val="24"/>
              </w:rPr>
              <w:t>1</w:t>
            </w:r>
          </w:p>
        </w:tc>
        <w:tc>
          <w:tcPr>
            <w:tcW w:w="0" w:type="auto"/>
            <w:vAlign w:val="center"/>
          </w:tcPr>
          <w:p w14:paraId="18A3AA25" w14:textId="4EBDAB08" w:rsidR="00B84A7D" w:rsidRPr="00A57BAF" w:rsidRDefault="007C17D7" w:rsidP="009160F9">
            <w:pPr>
              <w:spacing w:before="240" w:after="240" w:line="240" w:lineRule="auto"/>
              <w:jc w:val="center"/>
              <w:rPr>
                <w:sz w:val="24"/>
                <w:szCs w:val="24"/>
              </w:rPr>
            </w:pPr>
            <w:r w:rsidRPr="00A57BAF">
              <w:rPr>
                <w:sz w:val="24"/>
                <w:szCs w:val="24"/>
              </w:rPr>
              <w:t>2</w:t>
            </w:r>
            <w:r w:rsidR="00527C3B">
              <w:rPr>
                <w:sz w:val="24"/>
                <w:szCs w:val="24"/>
              </w:rPr>
              <w:t>40</w:t>
            </w:r>
          </w:p>
        </w:tc>
        <w:tc>
          <w:tcPr>
            <w:tcW w:w="0" w:type="auto"/>
            <w:vAlign w:val="center"/>
          </w:tcPr>
          <w:p w14:paraId="32A485D4" w14:textId="77777777" w:rsidR="00B84A7D" w:rsidRDefault="00B84A7D" w:rsidP="009160F9">
            <w:pPr>
              <w:spacing w:before="120" w:after="120" w:line="240" w:lineRule="auto"/>
              <w:contextualSpacing/>
              <w:jc w:val="center"/>
              <w:rPr>
                <w:sz w:val="24"/>
                <w:szCs w:val="24"/>
              </w:rPr>
            </w:pPr>
            <w:r w:rsidRPr="00A57BAF">
              <w:rPr>
                <w:sz w:val="24"/>
                <w:szCs w:val="24"/>
              </w:rPr>
              <w:t>0.08</w:t>
            </w:r>
          </w:p>
          <w:p w14:paraId="59C3027D" w14:textId="724BD4EB" w:rsidR="009160F9" w:rsidRPr="00A57BAF" w:rsidRDefault="009160F9" w:rsidP="009160F9">
            <w:pPr>
              <w:spacing w:before="120" w:after="120" w:line="240" w:lineRule="auto"/>
              <w:contextualSpacing/>
              <w:jc w:val="center"/>
              <w:rPr>
                <w:sz w:val="24"/>
                <w:szCs w:val="24"/>
              </w:rPr>
            </w:pPr>
            <w:r w:rsidRPr="002A42AB">
              <w:rPr>
                <w:sz w:val="18"/>
                <w:szCs w:val="24"/>
              </w:rPr>
              <w:t>(</w:t>
            </w:r>
            <w:r w:rsidR="002A42AB" w:rsidRPr="002A42AB">
              <w:rPr>
                <w:sz w:val="18"/>
                <w:szCs w:val="24"/>
              </w:rPr>
              <w:t>5</w:t>
            </w:r>
            <w:r w:rsidRPr="002A42AB">
              <w:rPr>
                <w:sz w:val="18"/>
                <w:szCs w:val="24"/>
              </w:rPr>
              <w:t xml:space="preserve"> minutes)</w:t>
            </w:r>
          </w:p>
        </w:tc>
        <w:tc>
          <w:tcPr>
            <w:tcW w:w="0" w:type="auto"/>
            <w:vAlign w:val="center"/>
          </w:tcPr>
          <w:p w14:paraId="29436654" w14:textId="2D83B7FC" w:rsidR="00B84A7D" w:rsidRPr="00A57BAF" w:rsidRDefault="00ED45BF" w:rsidP="009160F9">
            <w:pPr>
              <w:spacing w:before="240" w:after="240" w:line="240" w:lineRule="auto"/>
              <w:jc w:val="center"/>
              <w:rPr>
                <w:sz w:val="24"/>
                <w:szCs w:val="24"/>
              </w:rPr>
            </w:pPr>
            <w:r>
              <w:rPr>
                <w:sz w:val="24"/>
                <w:szCs w:val="24"/>
              </w:rPr>
              <w:t>20</w:t>
            </w:r>
          </w:p>
        </w:tc>
      </w:tr>
      <w:tr w:rsidR="008A376B" w:rsidRPr="00A57BAF" w14:paraId="6431B7EB" w14:textId="77777777" w:rsidTr="001467A6">
        <w:trPr>
          <w:trHeight w:val="485"/>
        </w:trPr>
        <w:tc>
          <w:tcPr>
            <w:tcW w:w="1819" w:type="dxa"/>
            <w:vMerge/>
            <w:vAlign w:val="center"/>
          </w:tcPr>
          <w:p w14:paraId="253FA1FB" w14:textId="77777777" w:rsidR="00B84A7D" w:rsidRPr="00A57BAF" w:rsidRDefault="00B84A7D" w:rsidP="009160F9">
            <w:pPr>
              <w:spacing w:before="240" w:after="240" w:line="480" w:lineRule="auto"/>
              <w:ind w:left="360"/>
              <w:rPr>
                <w:sz w:val="24"/>
                <w:szCs w:val="24"/>
              </w:rPr>
            </w:pPr>
          </w:p>
        </w:tc>
        <w:tc>
          <w:tcPr>
            <w:tcW w:w="1571" w:type="dxa"/>
            <w:vAlign w:val="center"/>
          </w:tcPr>
          <w:p w14:paraId="64787F0A" w14:textId="77777777" w:rsidR="00ED45BF" w:rsidRDefault="00B84A7D" w:rsidP="009160F9">
            <w:pPr>
              <w:spacing w:before="240" w:after="240" w:line="240" w:lineRule="auto"/>
              <w:rPr>
                <w:sz w:val="24"/>
                <w:szCs w:val="24"/>
              </w:rPr>
            </w:pPr>
            <w:r w:rsidRPr="00A57BAF">
              <w:rPr>
                <w:sz w:val="24"/>
                <w:szCs w:val="24"/>
              </w:rPr>
              <w:t>Focus Group</w:t>
            </w:r>
            <w:r w:rsidR="00ED45BF">
              <w:rPr>
                <w:sz w:val="24"/>
                <w:szCs w:val="24"/>
              </w:rPr>
              <w:t xml:space="preserve"> </w:t>
            </w:r>
          </w:p>
          <w:p w14:paraId="1535DD53" w14:textId="30E1E0C4" w:rsidR="00B84A7D" w:rsidRPr="00A57BAF" w:rsidRDefault="00ED45BF" w:rsidP="009160F9">
            <w:pPr>
              <w:spacing w:before="240" w:after="240" w:line="240" w:lineRule="auto"/>
              <w:rPr>
                <w:sz w:val="24"/>
                <w:szCs w:val="24"/>
              </w:rPr>
            </w:pPr>
            <w:r>
              <w:rPr>
                <w:sz w:val="24"/>
                <w:szCs w:val="24"/>
              </w:rPr>
              <w:t>(includes check-in survey, study introduction, general discussion, and check out)</w:t>
            </w:r>
          </w:p>
        </w:tc>
        <w:tc>
          <w:tcPr>
            <w:tcW w:w="0" w:type="auto"/>
            <w:vAlign w:val="center"/>
          </w:tcPr>
          <w:p w14:paraId="4E786309" w14:textId="42CF1E75" w:rsidR="00B84A7D" w:rsidRPr="00A57BAF" w:rsidRDefault="007C17D7" w:rsidP="009160F9">
            <w:pPr>
              <w:spacing w:before="240" w:after="240" w:line="240" w:lineRule="auto"/>
              <w:jc w:val="center"/>
              <w:rPr>
                <w:sz w:val="24"/>
                <w:szCs w:val="24"/>
              </w:rPr>
            </w:pPr>
            <w:r w:rsidRPr="00A57BAF">
              <w:rPr>
                <w:sz w:val="24"/>
                <w:szCs w:val="24"/>
              </w:rPr>
              <w:t>2</w:t>
            </w:r>
            <w:r w:rsidR="00527C3B">
              <w:rPr>
                <w:sz w:val="24"/>
                <w:szCs w:val="24"/>
              </w:rPr>
              <w:t>40</w:t>
            </w:r>
          </w:p>
        </w:tc>
        <w:tc>
          <w:tcPr>
            <w:tcW w:w="0" w:type="auto"/>
            <w:vAlign w:val="center"/>
          </w:tcPr>
          <w:p w14:paraId="7B7C3EB6" w14:textId="77777777" w:rsidR="00B84A7D" w:rsidRPr="00A57BAF" w:rsidRDefault="00B84A7D" w:rsidP="009160F9">
            <w:pPr>
              <w:spacing w:before="240" w:after="240" w:line="240" w:lineRule="auto"/>
              <w:jc w:val="center"/>
              <w:rPr>
                <w:sz w:val="24"/>
                <w:szCs w:val="24"/>
              </w:rPr>
            </w:pPr>
            <w:r w:rsidRPr="00A57BAF">
              <w:rPr>
                <w:sz w:val="24"/>
                <w:szCs w:val="24"/>
              </w:rPr>
              <w:t>1</w:t>
            </w:r>
          </w:p>
        </w:tc>
        <w:tc>
          <w:tcPr>
            <w:tcW w:w="0" w:type="auto"/>
            <w:vAlign w:val="center"/>
          </w:tcPr>
          <w:p w14:paraId="687EC247" w14:textId="74BCE865" w:rsidR="00B84A7D" w:rsidRPr="00A57BAF" w:rsidRDefault="007C17D7" w:rsidP="009160F9">
            <w:pPr>
              <w:spacing w:before="240" w:after="240" w:line="240" w:lineRule="auto"/>
              <w:jc w:val="center"/>
              <w:rPr>
                <w:sz w:val="24"/>
                <w:szCs w:val="24"/>
              </w:rPr>
            </w:pPr>
            <w:r w:rsidRPr="00A57BAF">
              <w:rPr>
                <w:sz w:val="24"/>
                <w:szCs w:val="24"/>
              </w:rPr>
              <w:t>2</w:t>
            </w:r>
            <w:r w:rsidR="00527C3B">
              <w:rPr>
                <w:sz w:val="24"/>
                <w:szCs w:val="24"/>
              </w:rPr>
              <w:t>40</w:t>
            </w:r>
          </w:p>
        </w:tc>
        <w:tc>
          <w:tcPr>
            <w:tcW w:w="0" w:type="auto"/>
            <w:vAlign w:val="center"/>
          </w:tcPr>
          <w:p w14:paraId="6C765EAC" w14:textId="313606DB" w:rsidR="009160F9" w:rsidRDefault="00B84A7D" w:rsidP="009160F9">
            <w:pPr>
              <w:spacing w:before="120" w:after="120" w:line="240" w:lineRule="auto"/>
              <w:contextualSpacing/>
              <w:jc w:val="center"/>
              <w:rPr>
                <w:sz w:val="24"/>
                <w:szCs w:val="24"/>
              </w:rPr>
            </w:pPr>
            <w:r w:rsidRPr="00A57BAF">
              <w:rPr>
                <w:sz w:val="24"/>
                <w:szCs w:val="24"/>
              </w:rPr>
              <w:t>1.</w:t>
            </w:r>
            <w:r w:rsidR="00A211CA">
              <w:rPr>
                <w:sz w:val="24"/>
                <w:szCs w:val="24"/>
              </w:rPr>
              <w:t>5</w:t>
            </w:r>
          </w:p>
          <w:p w14:paraId="61F008DD" w14:textId="5394B9CB" w:rsidR="009160F9" w:rsidRPr="00A57BAF" w:rsidRDefault="009160F9" w:rsidP="009160F9">
            <w:pPr>
              <w:spacing w:before="120" w:after="120" w:line="240" w:lineRule="auto"/>
              <w:contextualSpacing/>
              <w:jc w:val="center"/>
              <w:rPr>
                <w:sz w:val="24"/>
                <w:szCs w:val="24"/>
              </w:rPr>
            </w:pPr>
            <w:r w:rsidRPr="002A42AB">
              <w:rPr>
                <w:sz w:val="18"/>
                <w:szCs w:val="24"/>
              </w:rPr>
              <w:t>(</w:t>
            </w:r>
            <w:r w:rsidR="002A42AB" w:rsidRPr="002A42AB">
              <w:rPr>
                <w:sz w:val="18"/>
                <w:szCs w:val="24"/>
              </w:rPr>
              <w:t>9</w:t>
            </w:r>
            <w:r w:rsidR="00A211CA">
              <w:rPr>
                <w:sz w:val="18"/>
                <w:szCs w:val="24"/>
              </w:rPr>
              <w:t>0</w:t>
            </w:r>
            <w:r w:rsidRPr="002A42AB">
              <w:rPr>
                <w:sz w:val="18"/>
                <w:szCs w:val="24"/>
              </w:rPr>
              <w:t xml:space="preserve"> minutes)</w:t>
            </w:r>
          </w:p>
        </w:tc>
        <w:tc>
          <w:tcPr>
            <w:tcW w:w="0" w:type="auto"/>
            <w:vAlign w:val="center"/>
          </w:tcPr>
          <w:p w14:paraId="5090F5C7" w14:textId="00B1BDE7" w:rsidR="00B84A7D" w:rsidRPr="00A57BAF" w:rsidRDefault="00A211CA" w:rsidP="009160F9">
            <w:pPr>
              <w:spacing w:before="240" w:after="240" w:line="240" w:lineRule="auto"/>
              <w:jc w:val="center"/>
              <w:rPr>
                <w:sz w:val="24"/>
                <w:szCs w:val="24"/>
              </w:rPr>
            </w:pPr>
            <w:r>
              <w:rPr>
                <w:sz w:val="24"/>
                <w:szCs w:val="24"/>
              </w:rPr>
              <w:t>360</w:t>
            </w:r>
          </w:p>
        </w:tc>
      </w:tr>
      <w:tr w:rsidR="008A376B" w:rsidRPr="00A57BAF" w14:paraId="22422420" w14:textId="77777777" w:rsidTr="00C55781">
        <w:tc>
          <w:tcPr>
            <w:tcW w:w="0" w:type="auto"/>
            <w:gridSpan w:val="2"/>
            <w:vAlign w:val="center"/>
          </w:tcPr>
          <w:p w14:paraId="6269B066" w14:textId="77777777" w:rsidR="00E07C91" w:rsidRPr="00A57BAF" w:rsidRDefault="00E07C91" w:rsidP="00C55781">
            <w:pPr>
              <w:spacing w:line="360" w:lineRule="auto"/>
              <w:ind w:left="360"/>
              <w:jc w:val="center"/>
              <w:rPr>
                <w:sz w:val="24"/>
                <w:szCs w:val="24"/>
              </w:rPr>
            </w:pPr>
            <w:r w:rsidRPr="00A57BAF">
              <w:rPr>
                <w:b/>
                <w:sz w:val="24"/>
                <w:szCs w:val="24"/>
              </w:rPr>
              <w:t>Total Annualized Hours</w:t>
            </w:r>
          </w:p>
        </w:tc>
        <w:tc>
          <w:tcPr>
            <w:tcW w:w="0" w:type="auto"/>
            <w:vAlign w:val="center"/>
          </w:tcPr>
          <w:p w14:paraId="0BA126D4" w14:textId="77777777" w:rsidR="00E07C91" w:rsidRPr="00A57BAF" w:rsidRDefault="00E07C91" w:rsidP="00C55781">
            <w:pPr>
              <w:spacing w:before="240" w:line="360" w:lineRule="auto"/>
              <w:ind w:left="360"/>
              <w:jc w:val="center"/>
              <w:rPr>
                <w:b/>
                <w:sz w:val="24"/>
                <w:szCs w:val="24"/>
              </w:rPr>
            </w:pPr>
          </w:p>
        </w:tc>
        <w:tc>
          <w:tcPr>
            <w:tcW w:w="0" w:type="auto"/>
            <w:vAlign w:val="center"/>
          </w:tcPr>
          <w:p w14:paraId="405B4A76" w14:textId="77777777" w:rsidR="00E07C91" w:rsidRPr="00A57BAF" w:rsidRDefault="00E07C91" w:rsidP="00C55781">
            <w:pPr>
              <w:spacing w:before="240" w:line="360" w:lineRule="auto"/>
              <w:ind w:left="360"/>
              <w:jc w:val="center"/>
              <w:rPr>
                <w:b/>
                <w:sz w:val="24"/>
                <w:szCs w:val="24"/>
              </w:rPr>
            </w:pPr>
          </w:p>
        </w:tc>
        <w:tc>
          <w:tcPr>
            <w:tcW w:w="0" w:type="auto"/>
            <w:vAlign w:val="center"/>
          </w:tcPr>
          <w:p w14:paraId="09447A98" w14:textId="77777777" w:rsidR="00E07C91" w:rsidRPr="00A57BAF" w:rsidRDefault="00E07C91" w:rsidP="00C55781">
            <w:pPr>
              <w:spacing w:before="240" w:line="360" w:lineRule="auto"/>
              <w:ind w:left="360"/>
              <w:jc w:val="center"/>
              <w:rPr>
                <w:b/>
                <w:sz w:val="24"/>
                <w:szCs w:val="24"/>
              </w:rPr>
            </w:pPr>
          </w:p>
        </w:tc>
        <w:tc>
          <w:tcPr>
            <w:tcW w:w="0" w:type="auto"/>
            <w:vAlign w:val="center"/>
          </w:tcPr>
          <w:p w14:paraId="231FD803" w14:textId="77777777" w:rsidR="00E07C91" w:rsidRPr="00A57BAF" w:rsidRDefault="00E07C91" w:rsidP="00C55781">
            <w:pPr>
              <w:spacing w:before="240" w:line="360" w:lineRule="auto"/>
              <w:jc w:val="center"/>
              <w:rPr>
                <w:b/>
                <w:sz w:val="24"/>
                <w:szCs w:val="24"/>
              </w:rPr>
            </w:pPr>
          </w:p>
        </w:tc>
        <w:tc>
          <w:tcPr>
            <w:tcW w:w="0" w:type="auto"/>
            <w:vAlign w:val="center"/>
          </w:tcPr>
          <w:p w14:paraId="17AEA6CF" w14:textId="3DCEFF31" w:rsidR="00E07C91" w:rsidRPr="00A57BAF" w:rsidRDefault="00ED45BF" w:rsidP="001969E7">
            <w:pPr>
              <w:spacing w:line="360" w:lineRule="auto"/>
              <w:rPr>
                <w:b/>
                <w:sz w:val="24"/>
                <w:szCs w:val="24"/>
              </w:rPr>
            </w:pPr>
            <w:r>
              <w:rPr>
                <w:b/>
                <w:sz w:val="24"/>
                <w:szCs w:val="24"/>
              </w:rPr>
              <w:t>488</w:t>
            </w:r>
          </w:p>
        </w:tc>
      </w:tr>
    </w:tbl>
    <w:p w14:paraId="74B03894" w14:textId="24C0E6B4" w:rsidR="00E07C91" w:rsidRPr="00A57BAF" w:rsidRDefault="00E07C91" w:rsidP="002A7192">
      <w:pPr>
        <w:spacing w:line="240" w:lineRule="auto"/>
        <w:rPr>
          <w:rFonts w:ascii="Times New Roman" w:hAnsi="Times New Roman"/>
          <w:b/>
          <w:bCs/>
          <w:i/>
          <w:color w:val="000000"/>
          <w:sz w:val="24"/>
          <w:szCs w:val="24"/>
        </w:rPr>
      </w:pPr>
    </w:p>
    <w:p w14:paraId="6B9D78DF" w14:textId="77777777" w:rsidR="00D03DFD" w:rsidRPr="00A57BAF" w:rsidRDefault="00D03DFD" w:rsidP="002A7192">
      <w:pPr>
        <w:spacing w:line="240" w:lineRule="auto"/>
        <w:rPr>
          <w:rFonts w:ascii="Times New Roman" w:hAnsi="Times New Roman"/>
          <w:b/>
          <w:sz w:val="24"/>
          <w:szCs w:val="24"/>
        </w:rPr>
      </w:pPr>
    </w:p>
    <w:p w14:paraId="5AD29FDE" w14:textId="43B25244" w:rsidR="000202E6" w:rsidRPr="00A57BAF" w:rsidRDefault="000202E6" w:rsidP="002B63C2">
      <w:pPr>
        <w:spacing w:line="240" w:lineRule="auto"/>
        <w:rPr>
          <w:rFonts w:ascii="Times New Roman" w:hAnsi="Times New Roman"/>
          <w:b/>
          <w:sz w:val="24"/>
          <w:szCs w:val="24"/>
        </w:rPr>
      </w:pPr>
      <w:r w:rsidRPr="0052107E">
        <w:rPr>
          <w:rFonts w:ascii="Times New Roman" w:hAnsi="Times New Roman"/>
          <w:b/>
          <w:sz w:val="24"/>
          <w:szCs w:val="24"/>
        </w:rPr>
        <w:t xml:space="preserve">REQUESTED APPROVAL DATE: </w:t>
      </w:r>
      <w:r w:rsidR="009B0E71" w:rsidRPr="0052107E">
        <w:rPr>
          <w:rFonts w:ascii="Times New Roman" w:hAnsi="Times New Roman"/>
          <w:b/>
          <w:sz w:val="24"/>
          <w:szCs w:val="24"/>
        </w:rPr>
        <w:t xml:space="preserve"> </w:t>
      </w:r>
      <w:r w:rsidR="00325FA2">
        <w:rPr>
          <w:rFonts w:ascii="Times New Roman" w:hAnsi="Times New Roman"/>
          <w:b/>
          <w:sz w:val="24"/>
          <w:szCs w:val="24"/>
        </w:rPr>
        <w:t>Sept 2</w:t>
      </w:r>
      <w:r w:rsidR="009B0E71" w:rsidRPr="0052107E">
        <w:rPr>
          <w:rFonts w:ascii="Times New Roman" w:hAnsi="Times New Roman"/>
          <w:b/>
          <w:sz w:val="24"/>
          <w:szCs w:val="24"/>
        </w:rPr>
        <w:t xml:space="preserve">, </w:t>
      </w:r>
      <w:r w:rsidR="00A26438" w:rsidRPr="0052107E">
        <w:rPr>
          <w:rFonts w:ascii="Times New Roman" w:hAnsi="Times New Roman"/>
          <w:b/>
          <w:sz w:val="24"/>
          <w:szCs w:val="24"/>
        </w:rPr>
        <w:t>201</w:t>
      </w:r>
      <w:r w:rsidR="00AC1D69" w:rsidRPr="0052107E">
        <w:rPr>
          <w:rFonts w:ascii="Times New Roman" w:hAnsi="Times New Roman"/>
          <w:b/>
          <w:sz w:val="24"/>
          <w:szCs w:val="24"/>
        </w:rPr>
        <w:t>9</w:t>
      </w:r>
    </w:p>
    <w:p w14:paraId="5D4BDD97" w14:textId="77777777" w:rsidR="000202E6" w:rsidRPr="00A57BAF" w:rsidRDefault="000202E6" w:rsidP="002A7192">
      <w:pPr>
        <w:spacing w:line="240" w:lineRule="auto"/>
        <w:rPr>
          <w:rFonts w:ascii="Times New Roman" w:hAnsi="Times New Roman"/>
          <w:b/>
          <w:sz w:val="24"/>
          <w:szCs w:val="24"/>
        </w:rPr>
      </w:pPr>
    </w:p>
    <w:p w14:paraId="4280D0CF" w14:textId="77777777" w:rsidR="000202E6" w:rsidRPr="00A57BAF" w:rsidRDefault="000202E6" w:rsidP="002A7192">
      <w:pPr>
        <w:spacing w:line="240" w:lineRule="auto"/>
        <w:rPr>
          <w:rFonts w:ascii="Times New Roman" w:hAnsi="Times New Roman"/>
          <w:b/>
          <w:sz w:val="24"/>
          <w:szCs w:val="24"/>
        </w:rPr>
      </w:pPr>
      <w:r w:rsidRPr="00A57BAF">
        <w:rPr>
          <w:rFonts w:ascii="Times New Roman" w:hAnsi="Times New Roman"/>
          <w:b/>
          <w:sz w:val="24"/>
          <w:szCs w:val="24"/>
        </w:rPr>
        <w:t xml:space="preserve">NAME OF PRA ANALYST &amp; PROGRAM CONTACT: </w:t>
      </w:r>
    </w:p>
    <w:p w14:paraId="62D75EB4" w14:textId="77777777" w:rsidR="000202E6" w:rsidRPr="00A57BAF" w:rsidRDefault="000202E6" w:rsidP="002A7192">
      <w:pPr>
        <w:spacing w:line="240" w:lineRule="auto"/>
        <w:rPr>
          <w:rFonts w:ascii="Times New Roman" w:hAnsi="Times New Roman"/>
          <w:b/>
          <w:sz w:val="24"/>
          <w:szCs w:val="24"/>
        </w:rPr>
      </w:pPr>
    </w:p>
    <w:p w14:paraId="2074F190" w14:textId="31870116" w:rsidR="008E24D5" w:rsidRPr="00A57BAF" w:rsidRDefault="00E87942" w:rsidP="00FC50E3">
      <w:pPr>
        <w:jc w:val="both"/>
        <w:rPr>
          <w:rFonts w:ascii="Times New Roman" w:hAnsi="Times New Roman"/>
          <w:b/>
          <w:sz w:val="24"/>
          <w:szCs w:val="24"/>
        </w:rPr>
      </w:pPr>
      <w:r w:rsidRPr="00A57BAF">
        <w:rPr>
          <w:rFonts w:ascii="Times New Roman" w:hAnsi="Times New Roman"/>
          <w:b/>
          <w:sz w:val="24"/>
          <w:szCs w:val="24"/>
        </w:rPr>
        <w:t>PRA Analyst</w:t>
      </w:r>
      <w:r w:rsidR="004F2800" w:rsidRPr="00A57BAF">
        <w:rPr>
          <w:rFonts w:ascii="Times New Roman" w:hAnsi="Times New Roman"/>
          <w:b/>
          <w:sz w:val="24"/>
          <w:szCs w:val="24"/>
        </w:rPr>
        <w:t>:</w:t>
      </w:r>
      <w:r w:rsidR="004F2800" w:rsidRPr="00A57BAF">
        <w:rPr>
          <w:rFonts w:ascii="Times New Roman" w:hAnsi="Times New Roman"/>
          <w:b/>
          <w:sz w:val="24"/>
          <w:szCs w:val="24"/>
        </w:rPr>
        <w:tab/>
      </w:r>
      <w:r w:rsidRPr="00A57BAF">
        <w:rPr>
          <w:rFonts w:ascii="Times New Roman" w:hAnsi="Times New Roman"/>
          <w:b/>
          <w:sz w:val="24"/>
          <w:szCs w:val="24"/>
        </w:rPr>
        <w:tab/>
      </w:r>
      <w:r w:rsidR="008E24D5" w:rsidRPr="00A57BAF">
        <w:rPr>
          <w:rFonts w:ascii="Times New Roman" w:hAnsi="Times New Roman"/>
          <w:b/>
          <w:sz w:val="24"/>
          <w:szCs w:val="24"/>
        </w:rPr>
        <w:t>Amber Sanford</w:t>
      </w:r>
    </w:p>
    <w:p w14:paraId="4163EAAB" w14:textId="77777777" w:rsidR="008E24D5" w:rsidRPr="00A57BAF" w:rsidRDefault="008E24D5" w:rsidP="008E24D5">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301-796-8867</w:t>
      </w:r>
    </w:p>
    <w:p w14:paraId="312E754B" w14:textId="1DA1D268" w:rsidR="008E24D5" w:rsidRPr="00A57BAF" w:rsidRDefault="008E24D5" w:rsidP="008E24D5">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r:id="rId11" w:history="1">
        <w:r w:rsidR="004F2800" w:rsidRPr="00A57BAF">
          <w:rPr>
            <w:rStyle w:val="Hyperlink"/>
            <w:rFonts w:ascii="Times New Roman" w:hAnsi="Times New Roman"/>
            <w:b/>
            <w:sz w:val="24"/>
            <w:szCs w:val="24"/>
          </w:rPr>
          <w:t>Amber.Sanford@fda.hhs.gov</w:t>
        </w:r>
      </w:hyperlink>
      <w:r w:rsidR="004F2800" w:rsidRPr="00A57BAF">
        <w:rPr>
          <w:rFonts w:ascii="Times New Roman" w:hAnsi="Times New Roman"/>
          <w:b/>
          <w:sz w:val="24"/>
          <w:szCs w:val="24"/>
        </w:rPr>
        <w:t xml:space="preserve"> </w:t>
      </w:r>
    </w:p>
    <w:p w14:paraId="36FC9CB2" w14:textId="77777777" w:rsidR="000202E6" w:rsidRPr="00A57BAF" w:rsidRDefault="000202E6" w:rsidP="002A7192">
      <w:pPr>
        <w:spacing w:line="240" w:lineRule="auto"/>
        <w:rPr>
          <w:rFonts w:ascii="Times New Roman" w:hAnsi="Times New Roman"/>
          <w:b/>
          <w:sz w:val="24"/>
          <w:szCs w:val="24"/>
        </w:rPr>
      </w:pPr>
    </w:p>
    <w:p w14:paraId="1A7E04C3" w14:textId="72794B96"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Program Contact</w:t>
      </w:r>
      <w:r w:rsidR="004F2800" w:rsidRPr="00A57BAF">
        <w:rPr>
          <w:rFonts w:ascii="Times New Roman" w:hAnsi="Times New Roman"/>
          <w:b/>
          <w:sz w:val="24"/>
          <w:szCs w:val="24"/>
        </w:rPr>
        <w:t>:</w:t>
      </w:r>
      <w:r w:rsidRPr="00A57BAF">
        <w:rPr>
          <w:rFonts w:ascii="Times New Roman" w:hAnsi="Times New Roman"/>
          <w:b/>
          <w:sz w:val="24"/>
          <w:szCs w:val="24"/>
        </w:rPr>
        <w:tab/>
      </w:r>
      <w:r w:rsidR="00BE1EFD">
        <w:rPr>
          <w:rFonts w:ascii="Times New Roman" w:hAnsi="Times New Roman"/>
          <w:b/>
          <w:sz w:val="24"/>
          <w:szCs w:val="24"/>
        </w:rPr>
        <w:t>Matt Walker</w:t>
      </w:r>
    </w:p>
    <w:p w14:paraId="6F89634F" w14:textId="3255B666"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240-402-</w:t>
      </w:r>
      <w:r w:rsidR="00325FA2">
        <w:rPr>
          <w:rFonts w:ascii="Times New Roman" w:hAnsi="Times New Roman"/>
          <w:b/>
          <w:sz w:val="24"/>
          <w:szCs w:val="24"/>
        </w:rPr>
        <w:t>3824</w:t>
      </w:r>
    </w:p>
    <w:p w14:paraId="04B3CFEE" w14:textId="36F27050"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r:id="rId12" w:history="1"/>
      <w:r w:rsidR="00325FA2">
        <w:rPr>
          <w:rFonts w:ascii="Times New Roman" w:hAnsi="Times New Roman"/>
          <w:b/>
          <w:sz w:val="24"/>
          <w:szCs w:val="24"/>
        </w:rPr>
        <w:t>Matthew.Walker@fda.hhs.gov</w:t>
      </w:r>
    </w:p>
    <w:p w14:paraId="20D1C1F2" w14:textId="77777777" w:rsidR="00410BEF" w:rsidRPr="00A57BAF" w:rsidRDefault="00410BEF" w:rsidP="00146303">
      <w:pPr>
        <w:spacing w:line="240" w:lineRule="auto"/>
        <w:rPr>
          <w:rFonts w:ascii="Times New Roman" w:hAnsi="Times New Roman"/>
          <w:b/>
          <w:sz w:val="24"/>
          <w:szCs w:val="24"/>
        </w:rPr>
      </w:pPr>
    </w:p>
    <w:p w14:paraId="09CAED4C" w14:textId="77777777" w:rsidR="00146303" w:rsidRPr="006578E6"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 xml:space="preserve">FDA CENTER: </w:t>
      </w:r>
      <w:r w:rsidRPr="00A57BAF">
        <w:rPr>
          <w:rFonts w:ascii="Times New Roman" w:hAnsi="Times New Roman"/>
          <w:b/>
          <w:sz w:val="24"/>
          <w:szCs w:val="24"/>
        </w:rPr>
        <w:tab/>
        <w:t>Center for Tobacco Products (FDA/CTP)</w:t>
      </w:r>
      <w:r w:rsidRPr="006578E6">
        <w:rPr>
          <w:rFonts w:ascii="Times New Roman" w:hAnsi="Times New Roman"/>
          <w:b/>
          <w:sz w:val="24"/>
          <w:szCs w:val="24"/>
        </w:rPr>
        <w:t xml:space="preserve"> </w:t>
      </w:r>
    </w:p>
    <w:p w14:paraId="61D699D0" w14:textId="28617DFB" w:rsidR="00410BEF" w:rsidRDefault="00410BEF" w:rsidP="00BA2160">
      <w:pPr>
        <w:spacing w:line="240" w:lineRule="auto"/>
        <w:rPr>
          <w:rFonts w:ascii="Times New Roman" w:hAnsi="Times New Roman"/>
          <w:sz w:val="24"/>
          <w:szCs w:val="24"/>
        </w:rPr>
      </w:pPr>
    </w:p>
    <w:p w14:paraId="76C08257" w14:textId="087C9377" w:rsidR="00410BEF" w:rsidRPr="00325FA2" w:rsidRDefault="00410BEF" w:rsidP="00410BEF">
      <w:pPr>
        <w:ind w:left="720" w:hanging="720"/>
        <w:rPr>
          <w:rFonts w:asciiTheme="minorHAnsi" w:hAnsiTheme="minorHAnsi" w:cstheme="minorHAnsi"/>
          <w:b/>
        </w:rPr>
      </w:pPr>
      <w:r w:rsidRPr="00325FA2">
        <w:rPr>
          <w:rFonts w:asciiTheme="minorHAnsi" w:hAnsiTheme="minorHAnsi" w:cstheme="minorHAnsi"/>
          <w:b/>
        </w:rPr>
        <w:t>REFERENCES:</w:t>
      </w:r>
    </w:p>
    <w:p w14:paraId="795DFB6B" w14:textId="77777777" w:rsidR="00487F8E" w:rsidRPr="00325FA2" w:rsidRDefault="00487F8E" w:rsidP="00487F8E">
      <w:pPr>
        <w:spacing w:after="240"/>
        <w:rPr>
          <w:rFonts w:asciiTheme="minorHAnsi" w:eastAsia="Times New Roman" w:hAnsiTheme="minorHAnsi" w:cstheme="minorHAnsi"/>
          <w:color w:val="000000" w:themeColor="text1"/>
          <w:shd w:val="clear" w:color="auto" w:fill="FFFFFF"/>
        </w:rPr>
      </w:pPr>
      <w:r w:rsidRPr="00325FA2">
        <w:rPr>
          <w:rFonts w:asciiTheme="minorHAnsi" w:eastAsia="Times New Roman" w:hAnsiTheme="minorHAnsi" w:cstheme="minorHAnsi"/>
          <w:color w:val="000000" w:themeColor="text1"/>
          <w:shd w:val="clear" w:color="auto" w:fill="FFFFFF"/>
        </w:rPr>
        <w:t xml:space="preserve">Abreu, D. A., &amp; Winters, F. (1999). Using monetary incentives to reduce attrition in the survey of income and program participation. In: U.S. Census Bureau. </w:t>
      </w:r>
      <w:r w:rsidRPr="00325FA2">
        <w:rPr>
          <w:rFonts w:asciiTheme="minorHAnsi" w:eastAsia="Times New Roman" w:hAnsiTheme="minorHAnsi" w:cstheme="minorHAnsi"/>
          <w:i/>
          <w:iCs/>
          <w:color w:val="000000" w:themeColor="text1"/>
          <w:shd w:val="clear" w:color="auto" w:fill="FFFFFF"/>
        </w:rPr>
        <w:t>Proceedings of the Survey Research Methods</w:t>
      </w:r>
      <w:r w:rsidRPr="00325FA2">
        <w:rPr>
          <w:rFonts w:asciiTheme="minorHAnsi" w:eastAsia="Times New Roman" w:hAnsiTheme="minorHAnsi" w:cstheme="minorHAnsi"/>
          <w:iCs/>
          <w:color w:val="000000" w:themeColor="text1"/>
          <w:shd w:val="clear" w:color="auto" w:fill="FFFFFF"/>
        </w:rPr>
        <w:t>,</w:t>
      </w:r>
      <w:r w:rsidRPr="00325FA2" w:rsidDel="00906383">
        <w:rPr>
          <w:rFonts w:asciiTheme="minorHAnsi" w:eastAsia="Times New Roman" w:hAnsiTheme="minorHAnsi" w:cstheme="minorHAnsi"/>
          <w:iCs/>
          <w:color w:val="000000" w:themeColor="text1"/>
          <w:shd w:val="clear" w:color="auto" w:fill="FFFFFF"/>
        </w:rPr>
        <w:t xml:space="preserve"> </w:t>
      </w:r>
      <w:r w:rsidRPr="00325FA2">
        <w:rPr>
          <w:rFonts w:asciiTheme="minorHAnsi" w:eastAsia="Times New Roman" w:hAnsiTheme="minorHAnsi" w:cstheme="minorHAnsi"/>
          <w:color w:val="000000" w:themeColor="text1"/>
          <w:shd w:val="clear" w:color="auto" w:fill="FFFFFF"/>
        </w:rPr>
        <w:t>533-538.</w:t>
      </w:r>
    </w:p>
    <w:p w14:paraId="2EF9389D" w14:textId="77777777" w:rsidR="00487F8E" w:rsidRPr="00325FA2" w:rsidRDefault="00487F8E" w:rsidP="00487F8E">
      <w:pPr>
        <w:spacing w:after="240"/>
        <w:rPr>
          <w:rFonts w:asciiTheme="minorHAnsi" w:eastAsia="Times New Roman" w:hAnsiTheme="minorHAnsi" w:cstheme="minorHAnsi"/>
          <w:color w:val="000000" w:themeColor="text1"/>
          <w:shd w:val="clear" w:color="auto" w:fill="FFFFFF"/>
        </w:rPr>
      </w:pPr>
      <w:r w:rsidRPr="00325FA2">
        <w:rPr>
          <w:rFonts w:asciiTheme="minorHAnsi" w:eastAsia="Times New Roman" w:hAnsiTheme="minorHAnsi" w:cstheme="minorHAnsi"/>
          <w:color w:val="000000" w:themeColor="text1"/>
          <w:shd w:val="clear" w:color="auto" w:fill="FFFFFF"/>
        </w:rPr>
        <w:t xml:space="preserve">Booker, C.L., Harding, S., Benzeval, M. (2011). A systematic review of the effect of retention methods in population-based cohort studies. </w:t>
      </w:r>
      <w:r w:rsidRPr="00325FA2">
        <w:rPr>
          <w:rFonts w:asciiTheme="minorHAnsi" w:eastAsia="Times New Roman" w:hAnsiTheme="minorHAnsi" w:cstheme="minorHAnsi"/>
          <w:i/>
          <w:color w:val="000000" w:themeColor="text1"/>
          <w:shd w:val="clear" w:color="auto" w:fill="FFFFFF"/>
        </w:rPr>
        <w:t>BMC Public Health, 11</w:t>
      </w:r>
      <w:r w:rsidRPr="00325FA2">
        <w:rPr>
          <w:rFonts w:asciiTheme="minorHAnsi" w:eastAsia="Times New Roman" w:hAnsiTheme="minorHAnsi" w:cstheme="minorHAnsi"/>
          <w:color w:val="000000" w:themeColor="text1"/>
          <w:shd w:val="clear" w:color="auto" w:fill="FFFFFF"/>
        </w:rPr>
        <w:t xml:space="preserve">, 249. Caldwell, P.H., Hamilton, S., Tan, A., &amp; </w:t>
      </w:r>
    </w:p>
    <w:p w14:paraId="4354E719" w14:textId="7426BD33" w:rsidR="00487F8E" w:rsidRDefault="00487F8E" w:rsidP="009724FB">
      <w:pPr>
        <w:rPr>
          <w:rFonts w:asciiTheme="minorHAnsi" w:eastAsia="Times New Roman" w:hAnsiTheme="minorHAnsi" w:cstheme="minorHAnsi"/>
          <w:color w:val="000000" w:themeColor="text1"/>
          <w:shd w:val="clear" w:color="auto" w:fill="FFFFFF"/>
        </w:rPr>
      </w:pPr>
      <w:r w:rsidRPr="00325FA2">
        <w:rPr>
          <w:rFonts w:asciiTheme="minorHAnsi" w:eastAsia="Times New Roman" w:hAnsiTheme="minorHAnsi" w:cstheme="minorHAnsi"/>
          <w:color w:val="000000" w:themeColor="text1"/>
          <w:shd w:val="clear" w:color="auto" w:fill="FFFFFF"/>
        </w:rPr>
        <w:t xml:space="preserve">Craig, J.C. (2010). Strategies for increasing recruitment to randomised controlled trials: Systematic review. </w:t>
      </w:r>
      <w:r w:rsidRPr="00325FA2">
        <w:rPr>
          <w:rFonts w:asciiTheme="minorHAnsi" w:eastAsia="Times New Roman" w:hAnsiTheme="minorHAnsi" w:cstheme="minorHAnsi"/>
          <w:i/>
          <w:color w:val="000000" w:themeColor="text1"/>
          <w:shd w:val="clear" w:color="auto" w:fill="FFFFFF"/>
        </w:rPr>
        <w:t>PLoS Medicine, 7</w:t>
      </w:r>
      <w:r w:rsidRPr="00325FA2">
        <w:rPr>
          <w:rFonts w:asciiTheme="minorHAnsi" w:eastAsia="Times New Roman" w:hAnsiTheme="minorHAnsi" w:cstheme="minorHAnsi"/>
          <w:color w:val="000000" w:themeColor="text1"/>
          <w:shd w:val="clear" w:color="auto" w:fill="FFFFFF"/>
        </w:rPr>
        <w:t>(11), e1000368.</w:t>
      </w:r>
    </w:p>
    <w:p w14:paraId="0D35444B" w14:textId="77777777" w:rsidR="009724FB" w:rsidRPr="00325FA2" w:rsidRDefault="009724FB" w:rsidP="009724FB">
      <w:pPr>
        <w:rPr>
          <w:rFonts w:asciiTheme="minorHAnsi" w:eastAsia="Times New Roman" w:hAnsiTheme="minorHAnsi" w:cstheme="minorHAnsi"/>
          <w:color w:val="000000" w:themeColor="text1"/>
          <w:shd w:val="clear" w:color="auto" w:fill="FFFFFF"/>
        </w:rPr>
      </w:pPr>
    </w:p>
    <w:p w14:paraId="4C29C456" w14:textId="1C54234F" w:rsidR="00487F8E" w:rsidRDefault="00487F8E" w:rsidP="009724FB">
      <w:pPr>
        <w:rPr>
          <w:rFonts w:asciiTheme="minorHAnsi" w:eastAsia="Times New Roman" w:hAnsiTheme="minorHAnsi" w:cstheme="minorHAnsi"/>
          <w:color w:val="000000" w:themeColor="text1"/>
          <w:shd w:val="clear" w:color="auto" w:fill="FFFFFF"/>
        </w:rPr>
      </w:pPr>
      <w:r w:rsidRPr="00325FA2">
        <w:rPr>
          <w:rFonts w:asciiTheme="minorHAnsi" w:eastAsia="Times New Roman" w:hAnsiTheme="minorHAnsi" w:cstheme="minorHAnsi"/>
          <w:color w:val="000000" w:themeColor="text1"/>
          <w:shd w:val="clear" w:color="auto" w:fill="FFFFFF"/>
        </w:rPr>
        <w:t>Castiglioni, L., Pforr, K., Krieger, U. (2008). The effect of incentives on response rates and panel attrition: Results of a controlled experiment.</w:t>
      </w:r>
      <w:r w:rsidRPr="00325FA2" w:rsidDel="00D42CBC">
        <w:rPr>
          <w:rFonts w:asciiTheme="minorHAnsi" w:eastAsia="Times New Roman" w:hAnsiTheme="minorHAnsi" w:cstheme="minorHAnsi"/>
          <w:color w:val="000000" w:themeColor="text1"/>
          <w:shd w:val="clear" w:color="auto" w:fill="FFFFFF"/>
        </w:rPr>
        <w:t xml:space="preserve"> </w:t>
      </w:r>
      <w:r w:rsidRPr="00325FA2">
        <w:rPr>
          <w:rFonts w:asciiTheme="minorHAnsi" w:eastAsia="Times New Roman" w:hAnsiTheme="minorHAnsi" w:cstheme="minorHAnsi"/>
          <w:i/>
          <w:iCs/>
          <w:color w:val="000000" w:themeColor="text1"/>
          <w:shd w:val="clear" w:color="auto" w:fill="FFFFFF"/>
        </w:rPr>
        <w:t xml:space="preserve">Survey Research Methods, </w:t>
      </w:r>
      <w:r w:rsidRPr="00325FA2">
        <w:rPr>
          <w:rFonts w:asciiTheme="minorHAnsi" w:eastAsia="Times New Roman" w:hAnsiTheme="minorHAnsi" w:cstheme="minorHAnsi"/>
          <w:i/>
          <w:color w:val="000000" w:themeColor="text1"/>
          <w:shd w:val="clear" w:color="auto" w:fill="FFFFFF"/>
        </w:rPr>
        <w:t>2</w:t>
      </w:r>
      <w:r w:rsidRPr="00325FA2">
        <w:rPr>
          <w:rFonts w:asciiTheme="minorHAnsi" w:eastAsia="Times New Roman" w:hAnsiTheme="minorHAnsi" w:cstheme="minorHAnsi"/>
          <w:color w:val="000000" w:themeColor="text1"/>
          <w:shd w:val="clear" w:color="auto" w:fill="FFFFFF"/>
        </w:rPr>
        <w:t>(3), 151-158.</w:t>
      </w:r>
    </w:p>
    <w:p w14:paraId="6DF16558" w14:textId="77777777" w:rsidR="009724FB" w:rsidRDefault="009724FB" w:rsidP="009724FB">
      <w:pPr>
        <w:widowControl w:val="0"/>
        <w:ind w:left="720" w:hanging="720"/>
        <w:rPr>
          <w:rFonts w:asciiTheme="majorHAnsi" w:hAnsiTheme="majorHAnsi" w:cstheme="majorHAnsi"/>
        </w:rPr>
      </w:pPr>
    </w:p>
    <w:p w14:paraId="7BA4E383" w14:textId="4F89A0FA" w:rsidR="009724FB" w:rsidRPr="009724FB" w:rsidRDefault="009724FB" w:rsidP="009724FB">
      <w:pPr>
        <w:widowControl w:val="0"/>
        <w:ind w:left="720" w:hanging="720"/>
        <w:rPr>
          <w:rFonts w:cs="Calibri"/>
        </w:rPr>
      </w:pPr>
      <w:r w:rsidRPr="009724FB">
        <w:rPr>
          <w:rFonts w:cs="Calibri"/>
        </w:rPr>
        <w:t>Centers for Disease Control and Prevention. (2017a). Current Cigarette Smoking Among Adults in</w:t>
      </w:r>
    </w:p>
    <w:p w14:paraId="71330827" w14:textId="77777777" w:rsidR="009724FB" w:rsidRPr="009724FB" w:rsidRDefault="009724FB" w:rsidP="009724FB">
      <w:pPr>
        <w:rPr>
          <w:rFonts w:cs="Calibri"/>
        </w:rPr>
      </w:pPr>
      <w:r w:rsidRPr="009724FB">
        <w:rPr>
          <w:rFonts w:cs="Calibri"/>
        </w:rPr>
        <w:t>the United States. Retrieved from</w:t>
      </w:r>
    </w:p>
    <w:p w14:paraId="13B5E69D" w14:textId="75A09562" w:rsidR="009724FB" w:rsidRPr="00345AFA" w:rsidRDefault="008629FF" w:rsidP="009724FB">
      <w:hyperlink r:id="rId13" w:history="1">
        <w:r w:rsidR="009724FB" w:rsidRPr="00D36EB3">
          <w:rPr>
            <w:rStyle w:val="Hyperlink"/>
          </w:rPr>
          <w:t>https://www.cdc.gov/tobacco/data_statistics/fact_sheets/adult_data/cig_smoking/index.htm</w:t>
        </w:r>
      </w:hyperlink>
    </w:p>
    <w:p w14:paraId="4E0249F4" w14:textId="77777777" w:rsidR="009724FB" w:rsidRDefault="009724FB" w:rsidP="009724FB"/>
    <w:p w14:paraId="445CCBBC" w14:textId="6F91F8CA" w:rsidR="009724FB" w:rsidRPr="00345AFA" w:rsidRDefault="009724FB" w:rsidP="009724FB">
      <w:r w:rsidRPr="00345AFA">
        <w:t>Centers for Disease Control and Prevention. (</w:t>
      </w:r>
      <w:r>
        <w:t>2017b</w:t>
      </w:r>
      <w:r w:rsidRPr="00345AFA">
        <w:t>) National Health Interview Survey: Adult Tobacco Use - Glossary.  Retrieved from https://www.cdc.gov/nchs/nhis/tobacco/tobacco_glossary.htm</w:t>
      </w:r>
    </w:p>
    <w:p w14:paraId="39A4462A" w14:textId="77777777" w:rsidR="009724FB" w:rsidRDefault="009724FB" w:rsidP="009724FB">
      <w:bookmarkStart w:id="1" w:name="_p61xng5f8rdh" w:colFirst="0" w:colLast="0"/>
      <w:bookmarkEnd w:id="1"/>
    </w:p>
    <w:p w14:paraId="3700B5B4" w14:textId="48DBF71F" w:rsidR="009724FB" w:rsidRPr="00345AFA" w:rsidRDefault="009724FB" w:rsidP="009724FB">
      <w:r w:rsidRPr="00345AFA">
        <w:t>Centers for Disease Control and Prevention. (2018). State Tobacco Activities Tracking and Evaluation (STATE) System. Retrieved from https://www.cdc.gov/statesystem/cigaretteuseadult.html</w:t>
      </w:r>
    </w:p>
    <w:p w14:paraId="0C59F5B0" w14:textId="77777777" w:rsidR="009724FB" w:rsidRDefault="009724FB" w:rsidP="009724FB">
      <w:pPr>
        <w:rPr>
          <w:rFonts w:asciiTheme="minorHAnsi" w:eastAsia="Times New Roman" w:hAnsiTheme="minorHAnsi" w:cstheme="minorHAnsi"/>
          <w:color w:val="000000" w:themeColor="text1"/>
          <w:shd w:val="clear" w:color="auto" w:fill="FFFFFF"/>
        </w:rPr>
      </w:pPr>
    </w:p>
    <w:p w14:paraId="525530A0" w14:textId="6E24944B" w:rsidR="00410BEF" w:rsidRPr="00325FA2" w:rsidRDefault="00410BEF" w:rsidP="009724FB">
      <w:pPr>
        <w:rPr>
          <w:rFonts w:asciiTheme="minorHAnsi" w:hAnsiTheme="minorHAnsi" w:cstheme="minorHAnsi"/>
        </w:rPr>
      </w:pPr>
      <w:r w:rsidRPr="00325FA2">
        <w:rPr>
          <w:rFonts w:asciiTheme="minorHAnsi" w:hAnsiTheme="minorHAnsi" w:cstheme="minorHAnsi"/>
        </w:rPr>
        <w:t xml:space="preserve">CASRO. (2013) </w:t>
      </w:r>
      <w:r w:rsidRPr="00325FA2">
        <w:rPr>
          <w:rFonts w:asciiTheme="minorHAnsi" w:hAnsiTheme="minorHAnsi" w:cstheme="minorHAnsi"/>
          <w:i/>
        </w:rPr>
        <w:t>CASRO Code of Standards and Ethics,</w:t>
      </w:r>
      <w:r w:rsidRPr="00325FA2">
        <w:rPr>
          <w:rFonts w:asciiTheme="minorHAnsi" w:hAnsiTheme="minorHAnsi" w:cstheme="minorHAnsi"/>
        </w:rPr>
        <w:t xml:space="preserve"> Available at:</w:t>
      </w:r>
    </w:p>
    <w:p w14:paraId="29374F0E" w14:textId="77777777" w:rsidR="00410BEF" w:rsidRPr="00325FA2" w:rsidRDefault="00410BEF" w:rsidP="009724FB">
      <w:pPr>
        <w:ind w:left="720" w:hanging="720"/>
        <w:rPr>
          <w:rFonts w:asciiTheme="minorHAnsi" w:hAnsiTheme="minorHAnsi" w:cstheme="minorHAnsi"/>
        </w:rPr>
      </w:pPr>
      <w:r w:rsidRPr="00325FA2">
        <w:rPr>
          <w:rStyle w:val="Hyperlink3"/>
          <w:rFonts w:asciiTheme="minorHAnsi" w:hAnsiTheme="minorHAnsi" w:cstheme="minorHAnsi"/>
          <w:sz w:val="22"/>
          <w:szCs w:val="22"/>
          <w:u w:val="single"/>
        </w:rPr>
        <w:t>http://www.casro.org/?page=TheCASROCode.</w:t>
      </w:r>
      <w:r w:rsidRPr="00325FA2">
        <w:rPr>
          <w:rFonts w:asciiTheme="minorHAnsi" w:hAnsiTheme="minorHAnsi" w:cstheme="minorHAnsi"/>
        </w:rPr>
        <w:t xml:space="preserve">  Accessed on: 06/07/2013.</w:t>
      </w:r>
    </w:p>
    <w:p w14:paraId="49E09943" w14:textId="77777777" w:rsidR="00410BEF" w:rsidRPr="00325FA2" w:rsidRDefault="00410BEF" w:rsidP="009724FB">
      <w:pPr>
        <w:ind w:left="720" w:hanging="720"/>
        <w:rPr>
          <w:rFonts w:asciiTheme="minorHAnsi" w:hAnsiTheme="minorHAnsi" w:cstheme="minorHAnsi"/>
        </w:rPr>
      </w:pPr>
    </w:p>
    <w:p w14:paraId="48647CA0" w14:textId="77777777" w:rsidR="00410BEF" w:rsidRPr="00325FA2" w:rsidRDefault="00410BEF" w:rsidP="009724FB">
      <w:pPr>
        <w:ind w:left="720" w:hanging="720"/>
        <w:rPr>
          <w:rFonts w:asciiTheme="minorHAnsi" w:hAnsiTheme="minorHAnsi" w:cstheme="minorHAnsi"/>
        </w:rPr>
      </w:pPr>
      <w:r w:rsidRPr="00325FA2">
        <w:rPr>
          <w:rFonts w:asciiTheme="minorHAnsi" w:hAnsiTheme="minorHAnsi" w:cstheme="minorHAnsi"/>
        </w:rPr>
        <w:t>Groth, S.W. (2010). Honorarium or coercion: use of incentives for participants in clinical</w:t>
      </w:r>
    </w:p>
    <w:p w14:paraId="520DE56F" w14:textId="77777777" w:rsidR="00410BEF" w:rsidRPr="00325FA2" w:rsidRDefault="00410BEF" w:rsidP="009724FB">
      <w:pPr>
        <w:ind w:left="720" w:hanging="720"/>
        <w:rPr>
          <w:rFonts w:asciiTheme="minorHAnsi" w:hAnsiTheme="minorHAnsi" w:cstheme="minorHAnsi"/>
        </w:rPr>
      </w:pPr>
      <w:r w:rsidRPr="00325FA2">
        <w:rPr>
          <w:rFonts w:asciiTheme="minorHAnsi" w:hAnsiTheme="minorHAnsi" w:cstheme="minorHAnsi"/>
        </w:rPr>
        <w:t>research</w:t>
      </w:r>
      <w:r w:rsidRPr="00325FA2">
        <w:rPr>
          <w:rFonts w:asciiTheme="minorHAnsi" w:hAnsiTheme="minorHAnsi" w:cstheme="minorHAnsi"/>
          <w:i/>
          <w:iCs/>
        </w:rPr>
        <w:t>. Journal of the New York State Nurses Association</w:t>
      </w:r>
      <w:r w:rsidRPr="00325FA2">
        <w:rPr>
          <w:rFonts w:asciiTheme="minorHAnsi" w:hAnsiTheme="minorHAnsi" w:cstheme="minorHAnsi"/>
        </w:rPr>
        <w:t xml:space="preserve">, </w:t>
      </w:r>
      <w:r w:rsidRPr="00325FA2">
        <w:rPr>
          <w:rFonts w:asciiTheme="minorHAnsi" w:hAnsiTheme="minorHAnsi" w:cstheme="minorHAnsi"/>
          <w:i/>
        </w:rPr>
        <w:t>41</w:t>
      </w:r>
      <w:r w:rsidRPr="00325FA2">
        <w:rPr>
          <w:rFonts w:asciiTheme="minorHAnsi" w:hAnsiTheme="minorHAnsi" w:cstheme="minorHAnsi"/>
        </w:rPr>
        <w:t>(1), 11.</w:t>
      </w:r>
    </w:p>
    <w:p w14:paraId="7A27AEF5" w14:textId="77777777" w:rsidR="00410BEF" w:rsidRPr="00325FA2" w:rsidRDefault="00410BEF" w:rsidP="009724FB">
      <w:pPr>
        <w:ind w:left="720" w:hanging="720"/>
        <w:rPr>
          <w:rFonts w:asciiTheme="minorHAnsi" w:hAnsiTheme="minorHAnsi" w:cstheme="minorHAnsi"/>
        </w:rPr>
      </w:pPr>
    </w:p>
    <w:p w14:paraId="5F6FF2D3" w14:textId="77777777" w:rsidR="00410BEF" w:rsidRPr="00325FA2" w:rsidRDefault="00410BEF" w:rsidP="009724FB">
      <w:pPr>
        <w:ind w:left="720" w:hanging="720"/>
        <w:rPr>
          <w:rFonts w:asciiTheme="minorHAnsi" w:hAnsiTheme="minorHAnsi" w:cstheme="minorHAnsi"/>
        </w:rPr>
      </w:pPr>
      <w:r w:rsidRPr="00325FA2">
        <w:rPr>
          <w:rFonts w:asciiTheme="minorHAnsi" w:hAnsiTheme="minorHAnsi" w:cstheme="minorHAnsi"/>
        </w:rPr>
        <w:t>Halpern, S.D., Karlawish, J.H., Casarett, D., Berlin, J.A., &amp; Asch, D.A. (2004). Empirical</w:t>
      </w:r>
    </w:p>
    <w:p w14:paraId="64C37260" w14:textId="77777777" w:rsidR="00410BEF" w:rsidRPr="00325FA2" w:rsidRDefault="00410BEF" w:rsidP="009724FB">
      <w:pPr>
        <w:ind w:left="720" w:hanging="720"/>
        <w:rPr>
          <w:rFonts w:asciiTheme="minorHAnsi" w:hAnsiTheme="minorHAnsi" w:cstheme="minorHAnsi"/>
        </w:rPr>
      </w:pPr>
      <w:r w:rsidRPr="00325FA2">
        <w:rPr>
          <w:rFonts w:asciiTheme="minorHAnsi" w:hAnsiTheme="minorHAnsi" w:cstheme="minorHAnsi"/>
        </w:rPr>
        <w:t>assessment of whether moderate payments are undue or unjust inducements for participation</w:t>
      </w:r>
    </w:p>
    <w:p w14:paraId="3907B207" w14:textId="77777777" w:rsidR="00410BEF" w:rsidRPr="00325FA2" w:rsidRDefault="00410BEF" w:rsidP="009724FB">
      <w:pPr>
        <w:ind w:left="720" w:hanging="720"/>
        <w:rPr>
          <w:rFonts w:asciiTheme="minorHAnsi" w:hAnsiTheme="minorHAnsi" w:cstheme="minorHAnsi"/>
        </w:rPr>
      </w:pPr>
      <w:r w:rsidRPr="00325FA2">
        <w:rPr>
          <w:rFonts w:asciiTheme="minorHAnsi" w:hAnsiTheme="minorHAnsi" w:cstheme="minorHAnsi"/>
        </w:rPr>
        <w:t xml:space="preserve">in clinical trials. </w:t>
      </w:r>
      <w:r w:rsidRPr="00325FA2">
        <w:rPr>
          <w:rFonts w:asciiTheme="minorHAnsi" w:hAnsiTheme="minorHAnsi" w:cstheme="minorHAnsi"/>
          <w:i/>
          <w:iCs/>
        </w:rPr>
        <w:t>Archives of Internal Medicine, 164</w:t>
      </w:r>
      <w:r w:rsidRPr="00325FA2">
        <w:rPr>
          <w:rFonts w:asciiTheme="minorHAnsi" w:hAnsiTheme="minorHAnsi" w:cstheme="minorHAnsi"/>
        </w:rPr>
        <w:t>(7), 801-803.</w:t>
      </w:r>
    </w:p>
    <w:p w14:paraId="7745989F" w14:textId="77777777" w:rsidR="00410BEF" w:rsidRPr="00325FA2" w:rsidRDefault="00410BEF" w:rsidP="009724FB">
      <w:pPr>
        <w:ind w:left="720" w:hanging="720"/>
        <w:rPr>
          <w:rFonts w:asciiTheme="minorHAnsi" w:hAnsiTheme="minorHAnsi" w:cstheme="minorHAnsi"/>
        </w:rPr>
      </w:pPr>
    </w:p>
    <w:p w14:paraId="43FD030C" w14:textId="77777777" w:rsidR="00410BEF" w:rsidRPr="00325FA2" w:rsidRDefault="00410BEF" w:rsidP="009724FB">
      <w:pPr>
        <w:ind w:left="720" w:hanging="720"/>
        <w:rPr>
          <w:rFonts w:asciiTheme="minorHAnsi" w:hAnsiTheme="minorHAnsi" w:cstheme="minorHAnsi"/>
        </w:rPr>
      </w:pPr>
      <w:r w:rsidRPr="00325FA2">
        <w:rPr>
          <w:rFonts w:asciiTheme="minorHAnsi" w:hAnsiTheme="minorHAnsi" w:cstheme="minorHAnsi"/>
        </w:rPr>
        <w:t xml:space="preserve">Morgan, D.L. &amp; A.N. Scannell. (1998) </w:t>
      </w:r>
      <w:r w:rsidRPr="00325FA2">
        <w:rPr>
          <w:rFonts w:asciiTheme="minorHAnsi" w:hAnsiTheme="minorHAnsi" w:cstheme="minorHAnsi"/>
          <w:i/>
        </w:rPr>
        <w:t>Planning Focus Groups</w:t>
      </w:r>
      <w:r w:rsidRPr="00325FA2">
        <w:rPr>
          <w:rFonts w:asciiTheme="minorHAnsi" w:hAnsiTheme="minorHAnsi" w:cstheme="minorHAnsi"/>
        </w:rPr>
        <w:t>. Thousand Oaks, CA: Sage.</w:t>
      </w:r>
    </w:p>
    <w:p w14:paraId="5C6AC3CA" w14:textId="2EC13299" w:rsidR="00410BEF" w:rsidRPr="00325FA2" w:rsidRDefault="00410BEF" w:rsidP="009724FB">
      <w:pPr>
        <w:rPr>
          <w:rFonts w:asciiTheme="minorHAnsi" w:eastAsia="Arial Unicode MS" w:hAnsiTheme="minorHAnsi" w:cstheme="minorHAnsi"/>
        </w:rPr>
      </w:pPr>
      <w:r w:rsidRPr="00325FA2">
        <w:rPr>
          <w:rFonts w:asciiTheme="minorHAnsi" w:eastAsia="Arial Unicode MS" w:hAnsiTheme="minorHAnsi" w:cstheme="minorHAnsi"/>
        </w:rPr>
        <w:t>National Institute on Drug Abuse (NIDA). (2009). Smokeless tobacco. (Topics in Brief).</w:t>
      </w:r>
    </w:p>
    <w:p w14:paraId="44BEF4F1" w14:textId="6CC7A7D3" w:rsidR="003B06C9" w:rsidRPr="00325FA2" w:rsidRDefault="003B06C9" w:rsidP="009724FB">
      <w:pPr>
        <w:rPr>
          <w:rFonts w:asciiTheme="minorHAnsi" w:eastAsia="Arial Unicode MS" w:hAnsiTheme="minorHAnsi" w:cstheme="minorHAnsi"/>
        </w:rPr>
      </w:pPr>
    </w:p>
    <w:p w14:paraId="018B0C3E" w14:textId="2983331E" w:rsidR="003B06C9" w:rsidRPr="00325FA2" w:rsidRDefault="003B06C9" w:rsidP="009724FB">
      <w:pPr>
        <w:widowControl w:val="0"/>
        <w:autoSpaceDE w:val="0"/>
        <w:autoSpaceDN w:val="0"/>
        <w:adjustRightInd w:val="0"/>
        <w:rPr>
          <w:rFonts w:asciiTheme="minorHAnsi" w:hAnsiTheme="minorHAnsi" w:cstheme="minorHAnsi"/>
          <w:color w:val="000000" w:themeColor="text1"/>
        </w:rPr>
      </w:pPr>
      <w:r w:rsidRPr="00325FA2">
        <w:rPr>
          <w:rFonts w:asciiTheme="minorHAnsi" w:hAnsiTheme="minorHAnsi" w:cstheme="minorHAnsi"/>
          <w:color w:val="000000" w:themeColor="text1"/>
        </w:rPr>
        <w:t xml:space="preserve">Patel, M.X., Doku, V., Tennakoon, L. (2003). Challenges in recruitment of research participants. </w:t>
      </w:r>
      <w:r w:rsidRPr="00325FA2">
        <w:rPr>
          <w:rFonts w:asciiTheme="minorHAnsi" w:hAnsiTheme="minorHAnsi" w:cstheme="minorHAnsi"/>
          <w:i/>
          <w:color w:val="000000" w:themeColor="text1"/>
        </w:rPr>
        <w:t>Advances in Psychiatric Treatment, 9</w:t>
      </w:r>
      <w:r w:rsidRPr="00325FA2">
        <w:rPr>
          <w:rFonts w:asciiTheme="minorHAnsi" w:hAnsiTheme="minorHAnsi" w:cstheme="minorHAnsi"/>
          <w:color w:val="000000" w:themeColor="text1"/>
        </w:rPr>
        <w:t>(3), 229-238.</w:t>
      </w:r>
    </w:p>
    <w:p w14:paraId="099B0E99" w14:textId="77777777" w:rsidR="003B06C9" w:rsidRPr="00325FA2" w:rsidRDefault="003B06C9" w:rsidP="009724FB">
      <w:pPr>
        <w:rPr>
          <w:rFonts w:asciiTheme="minorHAnsi" w:eastAsia="Times New Roman" w:hAnsiTheme="minorHAnsi" w:cstheme="minorHAnsi"/>
          <w:color w:val="000000" w:themeColor="text1"/>
          <w:shd w:val="clear" w:color="auto" w:fill="FFFFFF"/>
        </w:rPr>
      </w:pPr>
      <w:r w:rsidRPr="00325FA2">
        <w:rPr>
          <w:rFonts w:asciiTheme="minorHAnsi" w:eastAsia="Times New Roman" w:hAnsiTheme="minorHAnsi" w:cstheme="minorHAnsi"/>
          <w:color w:val="000000" w:themeColor="text1"/>
          <w:shd w:val="clear" w:color="auto" w:fill="FFFFFF"/>
        </w:rPr>
        <w:t xml:space="preserve">U.S. Department of Health and Human Services (USDHHS). (2014). </w:t>
      </w:r>
      <w:r w:rsidRPr="00325FA2">
        <w:rPr>
          <w:rFonts w:asciiTheme="minorHAnsi" w:eastAsia="Times New Roman" w:hAnsiTheme="minorHAnsi" w:cstheme="minorHAnsi"/>
          <w:i/>
          <w:iCs/>
          <w:color w:val="000000" w:themeColor="text1"/>
          <w:shd w:val="clear" w:color="auto" w:fill="FFFFFF"/>
        </w:rPr>
        <w:t>The Health Consequences of Smoking—50 Years of Progress: A Report of the Surgeon General</w:t>
      </w:r>
      <w:r w:rsidRPr="00325FA2">
        <w:rPr>
          <w:rFonts w:asciiTheme="minorHAnsi" w:eastAsia="Times New Roman" w:hAnsiTheme="minorHAnsi" w:cstheme="minorHAnsi"/>
          <w:color w:val="000000" w:themeColor="text1"/>
          <w:shd w:val="clear" w:color="auto" w:fill="FFFFFF"/>
        </w:rPr>
        <w:t>. Atlanta, GA: U.S. Department of Health and Human Services, Centers for Disease Control and Prevention, National Center for Chronic Disease Prevention and Health Promotion, Office on Smoking and Health.</w:t>
      </w:r>
    </w:p>
    <w:p w14:paraId="35B2DADD" w14:textId="77777777" w:rsidR="003B06C9" w:rsidRPr="00325FA2" w:rsidRDefault="003B06C9" w:rsidP="003B06C9">
      <w:pPr>
        <w:spacing w:after="240"/>
        <w:rPr>
          <w:rFonts w:asciiTheme="minorHAnsi" w:hAnsiTheme="minorHAnsi" w:cstheme="minorHAnsi"/>
          <w:color w:val="000000" w:themeColor="text1"/>
        </w:rPr>
      </w:pPr>
      <w:r w:rsidRPr="00325FA2">
        <w:rPr>
          <w:rFonts w:asciiTheme="minorHAnsi" w:hAnsiTheme="minorHAnsi" w:cstheme="minorHAnsi"/>
          <w:color w:val="000000" w:themeColor="text1"/>
        </w:rPr>
        <w:t xml:space="preserve">Walter, J.K., Burke, J.F., &amp; Davis, M.M. (2013). Research participation by low-income and racial/ethnic minority groups: How payment may change the balance. </w:t>
      </w:r>
      <w:r w:rsidRPr="00325FA2">
        <w:rPr>
          <w:rFonts w:asciiTheme="minorHAnsi" w:hAnsiTheme="minorHAnsi" w:cstheme="minorHAnsi"/>
          <w:i/>
          <w:color w:val="000000" w:themeColor="text1"/>
        </w:rPr>
        <w:t>Clinical and Translational Science, 6</w:t>
      </w:r>
      <w:r w:rsidRPr="00325FA2">
        <w:rPr>
          <w:rFonts w:asciiTheme="minorHAnsi" w:hAnsiTheme="minorHAnsi" w:cstheme="minorHAnsi"/>
          <w:color w:val="000000" w:themeColor="text1"/>
        </w:rPr>
        <w:t>, 363-371.</w:t>
      </w:r>
    </w:p>
    <w:p w14:paraId="427E4788" w14:textId="77777777" w:rsidR="003B06C9" w:rsidRPr="00325FA2" w:rsidRDefault="003B06C9" w:rsidP="00410BEF">
      <w:pPr>
        <w:rPr>
          <w:rFonts w:asciiTheme="minorHAnsi" w:eastAsia="Arial Unicode MS" w:hAnsiTheme="minorHAnsi" w:cstheme="minorHAnsi"/>
        </w:rPr>
      </w:pPr>
    </w:p>
    <w:p w14:paraId="6F785778" w14:textId="77777777" w:rsidR="00410BEF" w:rsidRPr="00325FA2" w:rsidRDefault="00410BEF" w:rsidP="00BA2160">
      <w:pPr>
        <w:spacing w:line="240" w:lineRule="auto"/>
        <w:rPr>
          <w:rFonts w:asciiTheme="minorHAnsi" w:hAnsiTheme="minorHAnsi" w:cstheme="minorHAnsi"/>
        </w:rPr>
      </w:pPr>
    </w:p>
    <w:sectPr w:rsidR="00410BEF" w:rsidRPr="00325FA2" w:rsidSect="00A12CC2">
      <w:headerReference w:type="default" r:id="rId14"/>
      <w:footerReference w:type="default" r:id="rId15"/>
      <w:headerReference w:type="first" r:id="rId16"/>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D88C4" w14:textId="77777777" w:rsidR="00367256" w:rsidRDefault="00367256" w:rsidP="007F414A">
      <w:pPr>
        <w:spacing w:line="240" w:lineRule="auto"/>
      </w:pPr>
      <w:r>
        <w:separator/>
      </w:r>
    </w:p>
  </w:endnote>
  <w:endnote w:type="continuationSeparator" w:id="0">
    <w:p w14:paraId="487530FA" w14:textId="77777777" w:rsidR="00367256" w:rsidRDefault="00367256" w:rsidP="007F414A">
      <w:pPr>
        <w:spacing w:line="240" w:lineRule="auto"/>
      </w:pPr>
      <w:r>
        <w:continuationSeparator/>
      </w:r>
    </w:p>
  </w:endnote>
  <w:endnote w:type="continuationNotice" w:id="1">
    <w:p w14:paraId="2C108CF5" w14:textId="77777777" w:rsidR="00367256" w:rsidRDefault="003672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7F532855" w:rsidR="00FC3AEB" w:rsidRPr="00BD2651" w:rsidRDefault="00FC3AEB">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8629FF">
      <w:rPr>
        <w:rFonts w:ascii="Times New Roman" w:hAnsi="Times New Roman"/>
        <w:noProof/>
      </w:rPr>
      <w:t>2</w:t>
    </w:r>
    <w:r w:rsidRPr="00BD2651">
      <w:rPr>
        <w:rFonts w:ascii="Times New Roman" w:hAnsi="Times New Roman"/>
        <w:noProof/>
      </w:rPr>
      <w:fldChar w:fldCharType="end"/>
    </w:r>
  </w:p>
  <w:p w14:paraId="45B2B6DD" w14:textId="77777777" w:rsidR="00FC3AEB" w:rsidRDefault="00FC3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6AA2F" w14:textId="77777777" w:rsidR="00367256" w:rsidRDefault="00367256" w:rsidP="007F414A">
      <w:pPr>
        <w:spacing w:line="240" w:lineRule="auto"/>
      </w:pPr>
      <w:r>
        <w:separator/>
      </w:r>
    </w:p>
  </w:footnote>
  <w:footnote w:type="continuationSeparator" w:id="0">
    <w:p w14:paraId="2D1D9630" w14:textId="77777777" w:rsidR="00367256" w:rsidRDefault="00367256" w:rsidP="007F414A">
      <w:pPr>
        <w:spacing w:line="240" w:lineRule="auto"/>
      </w:pPr>
      <w:r>
        <w:continuationSeparator/>
      </w:r>
    </w:p>
  </w:footnote>
  <w:footnote w:type="continuationNotice" w:id="1">
    <w:p w14:paraId="1409735F" w14:textId="77777777" w:rsidR="00367256" w:rsidRDefault="0036725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CE36" w14:textId="77777777" w:rsidR="00FC3AEB" w:rsidRPr="00DD0426" w:rsidRDefault="00FC3AEB" w:rsidP="009160F9">
    <w:pPr>
      <w:pBdr>
        <w:bottom w:val="single" w:sz="12" w:space="1" w:color="auto"/>
      </w:pBdr>
      <w:spacing w:line="240" w:lineRule="auto"/>
      <w:jc w:val="center"/>
      <w:rPr>
        <w:rFonts w:ascii="Times New Roman" w:hAnsi="Times New Roman"/>
        <w:b/>
        <w:sz w:val="24"/>
        <w:szCs w:val="24"/>
      </w:rPr>
    </w:pPr>
  </w:p>
  <w:p w14:paraId="1FB1F42E" w14:textId="77777777" w:rsidR="00FC3AEB" w:rsidRDefault="00FC3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1792" w14:textId="77777777" w:rsidR="00FC3AEB" w:rsidRPr="00DD0426" w:rsidRDefault="00FC3AEB"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FDA DOCUMENTATION FOR THE GENERAL CLEARANCE </w:t>
    </w:r>
  </w:p>
  <w:p w14:paraId="34673F1D" w14:textId="77ED1B24" w:rsidR="00FC3AEB" w:rsidRPr="00DD0426" w:rsidRDefault="00FC3AEB"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OF PRETESTING COMMUNICATIONS ON TOBACCO PRODUCTS </w:t>
    </w:r>
  </w:p>
  <w:p w14:paraId="1E861FF4" w14:textId="1A8498CD" w:rsidR="00FC3AEB" w:rsidRDefault="00FC3AEB"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(#0910-0796)</w:t>
    </w:r>
  </w:p>
  <w:p w14:paraId="6BE6BD0C" w14:textId="77777777" w:rsidR="00FC3AEB" w:rsidRDefault="00FC3AEB" w:rsidP="00D30702">
    <w:pPr>
      <w:pBdr>
        <w:bottom w:val="single" w:sz="12" w:space="1" w:color="auto"/>
      </w:pBdr>
      <w:spacing w:line="240" w:lineRule="auto"/>
      <w:jc w:val="center"/>
      <w:rPr>
        <w:rFonts w:ascii="Times New Roman" w:hAnsi="Times New Roman"/>
        <w:b/>
        <w:sz w:val="24"/>
        <w:szCs w:val="24"/>
      </w:rPr>
    </w:pPr>
  </w:p>
  <w:p w14:paraId="51870F2B" w14:textId="77777777" w:rsidR="00FC3AEB" w:rsidRDefault="00FC3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8108E"/>
    <w:multiLevelType w:val="hybridMultilevel"/>
    <w:tmpl w:val="74741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907397"/>
    <w:multiLevelType w:val="hybridMultilevel"/>
    <w:tmpl w:val="800E3D7C"/>
    <w:lvl w:ilvl="0" w:tplc="C7163386">
      <w:start w:val="1"/>
      <w:numFmt w:val="decimal"/>
      <w:lvlText w:val="%1."/>
      <w:lvlJc w:val="left"/>
      <w:pPr>
        <w:ind w:left="60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67DEF"/>
    <w:multiLevelType w:val="hybridMultilevel"/>
    <w:tmpl w:val="3D32F0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nsid w:val="5B4774D8"/>
    <w:multiLevelType w:val="hybridMultilevel"/>
    <w:tmpl w:val="703C0952"/>
    <w:lvl w:ilvl="0" w:tplc="ACBAF750">
      <w:start w:val="5"/>
      <w:numFmt w:val="decimal"/>
      <w:lvlText w:val="%1."/>
      <w:lvlJc w:val="left"/>
      <w:pPr>
        <w:ind w:left="6030" w:hanging="360"/>
      </w:pPr>
      <w:rPr>
        <w:rFonts w:hint="default"/>
        <w:b/>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5">
    <w:nsid w:val="67057711"/>
    <w:multiLevelType w:val="hybridMultilevel"/>
    <w:tmpl w:val="0E729840"/>
    <w:lvl w:ilvl="0" w:tplc="6038C6D0">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2B2D"/>
    <w:rsid w:val="000075EC"/>
    <w:rsid w:val="00007684"/>
    <w:rsid w:val="00010ECA"/>
    <w:rsid w:val="000202E6"/>
    <w:rsid w:val="000261CE"/>
    <w:rsid w:val="00032851"/>
    <w:rsid w:val="0004539E"/>
    <w:rsid w:val="00050DD6"/>
    <w:rsid w:val="00051F0C"/>
    <w:rsid w:val="000606B8"/>
    <w:rsid w:val="00060FEE"/>
    <w:rsid w:val="00073668"/>
    <w:rsid w:val="000756C7"/>
    <w:rsid w:val="0009447D"/>
    <w:rsid w:val="000A1F54"/>
    <w:rsid w:val="000A3612"/>
    <w:rsid w:val="000A476A"/>
    <w:rsid w:val="000A705F"/>
    <w:rsid w:val="000B0CA5"/>
    <w:rsid w:val="000C22A9"/>
    <w:rsid w:val="000C3AA2"/>
    <w:rsid w:val="000C6870"/>
    <w:rsid w:val="000D2613"/>
    <w:rsid w:val="000D2D25"/>
    <w:rsid w:val="000D62C0"/>
    <w:rsid w:val="000F617D"/>
    <w:rsid w:val="00107C31"/>
    <w:rsid w:val="00126E70"/>
    <w:rsid w:val="0014168F"/>
    <w:rsid w:val="00141CD3"/>
    <w:rsid w:val="00144DC4"/>
    <w:rsid w:val="00146303"/>
    <w:rsid w:val="001467A6"/>
    <w:rsid w:val="00162C39"/>
    <w:rsid w:val="00165BC1"/>
    <w:rsid w:val="0017329A"/>
    <w:rsid w:val="00173D1F"/>
    <w:rsid w:val="00177BB9"/>
    <w:rsid w:val="00190F50"/>
    <w:rsid w:val="00192721"/>
    <w:rsid w:val="00194707"/>
    <w:rsid w:val="001969E7"/>
    <w:rsid w:val="001A11D7"/>
    <w:rsid w:val="001A3543"/>
    <w:rsid w:val="001A5488"/>
    <w:rsid w:val="001A64CD"/>
    <w:rsid w:val="001A7886"/>
    <w:rsid w:val="001B21B5"/>
    <w:rsid w:val="001B49C5"/>
    <w:rsid w:val="001B7ADA"/>
    <w:rsid w:val="001C23B6"/>
    <w:rsid w:val="001C3408"/>
    <w:rsid w:val="001D0A34"/>
    <w:rsid w:val="001D1654"/>
    <w:rsid w:val="001D3C7F"/>
    <w:rsid w:val="001D4CB1"/>
    <w:rsid w:val="001E4BA0"/>
    <w:rsid w:val="001F3729"/>
    <w:rsid w:val="001F73E2"/>
    <w:rsid w:val="00213CCA"/>
    <w:rsid w:val="002147ED"/>
    <w:rsid w:val="00222F22"/>
    <w:rsid w:val="00236FA3"/>
    <w:rsid w:val="002413C2"/>
    <w:rsid w:val="002423B0"/>
    <w:rsid w:val="00244EE2"/>
    <w:rsid w:val="00253696"/>
    <w:rsid w:val="00265C99"/>
    <w:rsid w:val="00273C8B"/>
    <w:rsid w:val="00275DCE"/>
    <w:rsid w:val="0028666D"/>
    <w:rsid w:val="00291253"/>
    <w:rsid w:val="00293C71"/>
    <w:rsid w:val="002A09C5"/>
    <w:rsid w:val="002A32C6"/>
    <w:rsid w:val="002A42AB"/>
    <w:rsid w:val="002A62BC"/>
    <w:rsid w:val="002A7192"/>
    <w:rsid w:val="002A7279"/>
    <w:rsid w:val="002B1E3F"/>
    <w:rsid w:val="002B6165"/>
    <w:rsid w:val="002B63C2"/>
    <w:rsid w:val="002C1221"/>
    <w:rsid w:val="002C3053"/>
    <w:rsid w:val="002C4956"/>
    <w:rsid w:val="002E0458"/>
    <w:rsid w:val="002E2C04"/>
    <w:rsid w:val="002F1F1C"/>
    <w:rsid w:val="002F6062"/>
    <w:rsid w:val="003048CA"/>
    <w:rsid w:val="00315801"/>
    <w:rsid w:val="00322356"/>
    <w:rsid w:val="00322B56"/>
    <w:rsid w:val="00323CEA"/>
    <w:rsid w:val="00325FA2"/>
    <w:rsid w:val="003520CE"/>
    <w:rsid w:val="003534E9"/>
    <w:rsid w:val="00353F23"/>
    <w:rsid w:val="00360A91"/>
    <w:rsid w:val="003613B3"/>
    <w:rsid w:val="00367256"/>
    <w:rsid w:val="00374D82"/>
    <w:rsid w:val="003766CC"/>
    <w:rsid w:val="00392EA6"/>
    <w:rsid w:val="0039502F"/>
    <w:rsid w:val="003B06C9"/>
    <w:rsid w:val="003C21A0"/>
    <w:rsid w:val="003C3E80"/>
    <w:rsid w:val="003C5BA6"/>
    <w:rsid w:val="003D17BE"/>
    <w:rsid w:val="003D7F39"/>
    <w:rsid w:val="003E4427"/>
    <w:rsid w:val="003E6F60"/>
    <w:rsid w:val="003F1C82"/>
    <w:rsid w:val="003F2554"/>
    <w:rsid w:val="00410BEF"/>
    <w:rsid w:val="00412836"/>
    <w:rsid w:val="00413113"/>
    <w:rsid w:val="0042099B"/>
    <w:rsid w:val="0042517B"/>
    <w:rsid w:val="00425F49"/>
    <w:rsid w:val="00426566"/>
    <w:rsid w:val="0044129A"/>
    <w:rsid w:val="0044768D"/>
    <w:rsid w:val="00451DD6"/>
    <w:rsid w:val="00455F84"/>
    <w:rsid w:val="00456D10"/>
    <w:rsid w:val="00471F79"/>
    <w:rsid w:val="00472F40"/>
    <w:rsid w:val="00473190"/>
    <w:rsid w:val="004735BC"/>
    <w:rsid w:val="0047628D"/>
    <w:rsid w:val="00481962"/>
    <w:rsid w:val="00482535"/>
    <w:rsid w:val="0048710E"/>
    <w:rsid w:val="00487B2C"/>
    <w:rsid w:val="00487F8E"/>
    <w:rsid w:val="004A0AFB"/>
    <w:rsid w:val="004A2DC6"/>
    <w:rsid w:val="004A5EFB"/>
    <w:rsid w:val="004B7454"/>
    <w:rsid w:val="004B7DD0"/>
    <w:rsid w:val="004C6B4D"/>
    <w:rsid w:val="004D3D53"/>
    <w:rsid w:val="004D62A9"/>
    <w:rsid w:val="004F2800"/>
    <w:rsid w:val="004F7E8D"/>
    <w:rsid w:val="0051751E"/>
    <w:rsid w:val="0052107E"/>
    <w:rsid w:val="0052143D"/>
    <w:rsid w:val="005217D8"/>
    <w:rsid w:val="00527B86"/>
    <w:rsid w:val="00527C3B"/>
    <w:rsid w:val="00530034"/>
    <w:rsid w:val="00530A93"/>
    <w:rsid w:val="00534B84"/>
    <w:rsid w:val="005363BC"/>
    <w:rsid w:val="005377B5"/>
    <w:rsid w:val="00551AAE"/>
    <w:rsid w:val="00553CC1"/>
    <w:rsid w:val="00554991"/>
    <w:rsid w:val="005561D1"/>
    <w:rsid w:val="00557BCB"/>
    <w:rsid w:val="005639AE"/>
    <w:rsid w:val="00571C09"/>
    <w:rsid w:val="00575153"/>
    <w:rsid w:val="00582B9B"/>
    <w:rsid w:val="0058310B"/>
    <w:rsid w:val="005860FD"/>
    <w:rsid w:val="0059326E"/>
    <w:rsid w:val="00594EA4"/>
    <w:rsid w:val="005960F7"/>
    <w:rsid w:val="005B32CF"/>
    <w:rsid w:val="005B5425"/>
    <w:rsid w:val="005C057F"/>
    <w:rsid w:val="005C2AB8"/>
    <w:rsid w:val="005C4F4B"/>
    <w:rsid w:val="005D44E9"/>
    <w:rsid w:val="005D7F6C"/>
    <w:rsid w:val="005F5979"/>
    <w:rsid w:val="00615155"/>
    <w:rsid w:val="00615C8B"/>
    <w:rsid w:val="00632649"/>
    <w:rsid w:val="00635AA5"/>
    <w:rsid w:val="006510C6"/>
    <w:rsid w:val="00651F6B"/>
    <w:rsid w:val="00654FF2"/>
    <w:rsid w:val="00663C64"/>
    <w:rsid w:val="00671775"/>
    <w:rsid w:val="00683A4B"/>
    <w:rsid w:val="00685ADD"/>
    <w:rsid w:val="00696D3E"/>
    <w:rsid w:val="006A64B5"/>
    <w:rsid w:val="006B40B0"/>
    <w:rsid w:val="006C0E29"/>
    <w:rsid w:val="006C23D7"/>
    <w:rsid w:val="006D1B24"/>
    <w:rsid w:val="006D54BD"/>
    <w:rsid w:val="006D6D27"/>
    <w:rsid w:val="006E307B"/>
    <w:rsid w:val="006E4858"/>
    <w:rsid w:val="006E7DA9"/>
    <w:rsid w:val="006F2BEC"/>
    <w:rsid w:val="006F46F8"/>
    <w:rsid w:val="006F6F67"/>
    <w:rsid w:val="007068C6"/>
    <w:rsid w:val="00725318"/>
    <w:rsid w:val="00735052"/>
    <w:rsid w:val="00736D7D"/>
    <w:rsid w:val="00740DF6"/>
    <w:rsid w:val="00742B8E"/>
    <w:rsid w:val="00743394"/>
    <w:rsid w:val="00745B11"/>
    <w:rsid w:val="0074726D"/>
    <w:rsid w:val="00761AA0"/>
    <w:rsid w:val="00775E32"/>
    <w:rsid w:val="007849C9"/>
    <w:rsid w:val="00795EE2"/>
    <w:rsid w:val="007B4D76"/>
    <w:rsid w:val="007B64E2"/>
    <w:rsid w:val="007C17D7"/>
    <w:rsid w:val="007C5C96"/>
    <w:rsid w:val="007D7B23"/>
    <w:rsid w:val="007E500D"/>
    <w:rsid w:val="007E69B3"/>
    <w:rsid w:val="007E7AD4"/>
    <w:rsid w:val="007F1B4A"/>
    <w:rsid w:val="007F38E8"/>
    <w:rsid w:val="007F414A"/>
    <w:rsid w:val="007F7C36"/>
    <w:rsid w:val="00803BF5"/>
    <w:rsid w:val="00803E37"/>
    <w:rsid w:val="0080458F"/>
    <w:rsid w:val="008079B8"/>
    <w:rsid w:val="008110A3"/>
    <w:rsid w:val="00817D7A"/>
    <w:rsid w:val="00823843"/>
    <w:rsid w:val="008279EF"/>
    <w:rsid w:val="0083067F"/>
    <w:rsid w:val="008353AB"/>
    <w:rsid w:val="008629FF"/>
    <w:rsid w:val="00873211"/>
    <w:rsid w:val="00874D23"/>
    <w:rsid w:val="00880AC3"/>
    <w:rsid w:val="00882024"/>
    <w:rsid w:val="0089024B"/>
    <w:rsid w:val="00891DF9"/>
    <w:rsid w:val="008A327A"/>
    <w:rsid w:val="008A376B"/>
    <w:rsid w:val="008A412D"/>
    <w:rsid w:val="008A74DD"/>
    <w:rsid w:val="008B3046"/>
    <w:rsid w:val="008B3FA9"/>
    <w:rsid w:val="008D0734"/>
    <w:rsid w:val="008E2385"/>
    <w:rsid w:val="008E24D5"/>
    <w:rsid w:val="008F482E"/>
    <w:rsid w:val="00902888"/>
    <w:rsid w:val="009160F9"/>
    <w:rsid w:val="00925A6A"/>
    <w:rsid w:val="009326F8"/>
    <w:rsid w:val="0093538B"/>
    <w:rsid w:val="00943926"/>
    <w:rsid w:val="0095362C"/>
    <w:rsid w:val="00956625"/>
    <w:rsid w:val="00957513"/>
    <w:rsid w:val="00967D91"/>
    <w:rsid w:val="009724FB"/>
    <w:rsid w:val="009738F7"/>
    <w:rsid w:val="00974814"/>
    <w:rsid w:val="0099100D"/>
    <w:rsid w:val="0099229C"/>
    <w:rsid w:val="009951F9"/>
    <w:rsid w:val="009A7696"/>
    <w:rsid w:val="009B0E71"/>
    <w:rsid w:val="009C3F56"/>
    <w:rsid w:val="009D074E"/>
    <w:rsid w:val="009D52FB"/>
    <w:rsid w:val="009E68B6"/>
    <w:rsid w:val="009F1B31"/>
    <w:rsid w:val="009F2A76"/>
    <w:rsid w:val="00A076FE"/>
    <w:rsid w:val="00A12CC2"/>
    <w:rsid w:val="00A15F4D"/>
    <w:rsid w:val="00A211CA"/>
    <w:rsid w:val="00A26438"/>
    <w:rsid w:val="00A35A30"/>
    <w:rsid w:val="00A46085"/>
    <w:rsid w:val="00A50B00"/>
    <w:rsid w:val="00A51189"/>
    <w:rsid w:val="00A56143"/>
    <w:rsid w:val="00A57BAF"/>
    <w:rsid w:val="00A66478"/>
    <w:rsid w:val="00A70562"/>
    <w:rsid w:val="00A81BD8"/>
    <w:rsid w:val="00A81F19"/>
    <w:rsid w:val="00A835A8"/>
    <w:rsid w:val="00A846A2"/>
    <w:rsid w:val="00A87B67"/>
    <w:rsid w:val="00AA2CBA"/>
    <w:rsid w:val="00AB39ED"/>
    <w:rsid w:val="00AC1D69"/>
    <w:rsid w:val="00AD1E6B"/>
    <w:rsid w:val="00AE0ED3"/>
    <w:rsid w:val="00AE181C"/>
    <w:rsid w:val="00AE7C20"/>
    <w:rsid w:val="00AF0905"/>
    <w:rsid w:val="00AF31EB"/>
    <w:rsid w:val="00AF373F"/>
    <w:rsid w:val="00AF6255"/>
    <w:rsid w:val="00B00DB9"/>
    <w:rsid w:val="00B01FF2"/>
    <w:rsid w:val="00B14F0C"/>
    <w:rsid w:val="00B33742"/>
    <w:rsid w:val="00B468DA"/>
    <w:rsid w:val="00B52EDA"/>
    <w:rsid w:val="00B72DAC"/>
    <w:rsid w:val="00B73BF9"/>
    <w:rsid w:val="00B7490B"/>
    <w:rsid w:val="00B74B93"/>
    <w:rsid w:val="00B7581E"/>
    <w:rsid w:val="00B817BA"/>
    <w:rsid w:val="00B83FF3"/>
    <w:rsid w:val="00B84A7D"/>
    <w:rsid w:val="00B928B7"/>
    <w:rsid w:val="00B934AA"/>
    <w:rsid w:val="00BA2160"/>
    <w:rsid w:val="00BA7774"/>
    <w:rsid w:val="00BB2014"/>
    <w:rsid w:val="00BB25CB"/>
    <w:rsid w:val="00BB4671"/>
    <w:rsid w:val="00BB58BD"/>
    <w:rsid w:val="00BC50D3"/>
    <w:rsid w:val="00BD0A5D"/>
    <w:rsid w:val="00BD2651"/>
    <w:rsid w:val="00BD5BA1"/>
    <w:rsid w:val="00BD6030"/>
    <w:rsid w:val="00BD710B"/>
    <w:rsid w:val="00BE1EFD"/>
    <w:rsid w:val="00C041EB"/>
    <w:rsid w:val="00C12983"/>
    <w:rsid w:val="00C12C43"/>
    <w:rsid w:val="00C139F1"/>
    <w:rsid w:val="00C175AA"/>
    <w:rsid w:val="00C23873"/>
    <w:rsid w:val="00C247E9"/>
    <w:rsid w:val="00C25637"/>
    <w:rsid w:val="00C312A8"/>
    <w:rsid w:val="00C43B76"/>
    <w:rsid w:val="00C46CDF"/>
    <w:rsid w:val="00C548AF"/>
    <w:rsid w:val="00C55781"/>
    <w:rsid w:val="00C7271C"/>
    <w:rsid w:val="00C7391F"/>
    <w:rsid w:val="00C77BD7"/>
    <w:rsid w:val="00C81A7A"/>
    <w:rsid w:val="00C86468"/>
    <w:rsid w:val="00C90120"/>
    <w:rsid w:val="00C95887"/>
    <w:rsid w:val="00C96DD1"/>
    <w:rsid w:val="00CB0277"/>
    <w:rsid w:val="00CC412A"/>
    <w:rsid w:val="00CE3482"/>
    <w:rsid w:val="00CE7021"/>
    <w:rsid w:val="00D0018B"/>
    <w:rsid w:val="00D01A9E"/>
    <w:rsid w:val="00D03DFD"/>
    <w:rsid w:val="00D064F9"/>
    <w:rsid w:val="00D101DB"/>
    <w:rsid w:val="00D3038C"/>
    <w:rsid w:val="00D30702"/>
    <w:rsid w:val="00D316A9"/>
    <w:rsid w:val="00D34423"/>
    <w:rsid w:val="00D43A9C"/>
    <w:rsid w:val="00D466E1"/>
    <w:rsid w:val="00D63BCC"/>
    <w:rsid w:val="00D7021F"/>
    <w:rsid w:val="00D7548D"/>
    <w:rsid w:val="00D75CB3"/>
    <w:rsid w:val="00D776F7"/>
    <w:rsid w:val="00D80104"/>
    <w:rsid w:val="00D81020"/>
    <w:rsid w:val="00D81587"/>
    <w:rsid w:val="00D95FB9"/>
    <w:rsid w:val="00DA0794"/>
    <w:rsid w:val="00DA4FDD"/>
    <w:rsid w:val="00DA5BC5"/>
    <w:rsid w:val="00DB4229"/>
    <w:rsid w:val="00DB4D54"/>
    <w:rsid w:val="00DC7391"/>
    <w:rsid w:val="00DD0426"/>
    <w:rsid w:val="00DE5741"/>
    <w:rsid w:val="00DF10A9"/>
    <w:rsid w:val="00E01FB8"/>
    <w:rsid w:val="00E07C91"/>
    <w:rsid w:val="00E139AA"/>
    <w:rsid w:val="00E14DAD"/>
    <w:rsid w:val="00E31F2D"/>
    <w:rsid w:val="00E377DD"/>
    <w:rsid w:val="00E449B4"/>
    <w:rsid w:val="00E468DB"/>
    <w:rsid w:val="00E47AAC"/>
    <w:rsid w:val="00E47DA0"/>
    <w:rsid w:val="00E5185C"/>
    <w:rsid w:val="00E51DE7"/>
    <w:rsid w:val="00E52AEE"/>
    <w:rsid w:val="00E61DB2"/>
    <w:rsid w:val="00E70E79"/>
    <w:rsid w:val="00E71BD0"/>
    <w:rsid w:val="00E84529"/>
    <w:rsid w:val="00E87942"/>
    <w:rsid w:val="00E91ED4"/>
    <w:rsid w:val="00E92C4A"/>
    <w:rsid w:val="00EA2E63"/>
    <w:rsid w:val="00EB20D7"/>
    <w:rsid w:val="00ED36EA"/>
    <w:rsid w:val="00ED45BF"/>
    <w:rsid w:val="00EF5B31"/>
    <w:rsid w:val="00F02FD1"/>
    <w:rsid w:val="00F15634"/>
    <w:rsid w:val="00F237CA"/>
    <w:rsid w:val="00F23A0D"/>
    <w:rsid w:val="00F24041"/>
    <w:rsid w:val="00F24AEF"/>
    <w:rsid w:val="00F25FAF"/>
    <w:rsid w:val="00F26180"/>
    <w:rsid w:val="00F31854"/>
    <w:rsid w:val="00F3435C"/>
    <w:rsid w:val="00F37A21"/>
    <w:rsid w:val="00F46BA9"/>
    <w:rsid w:val="00F52D8C"/>
    <w:rsid w:val="00F65817"/>
    <w:rsid w:val="00F93905"/>
    <w:rsid w:val="00F941BD"/>
    <w:rsid w:val="00FA3DD0"/>
    <w:rsid w:val="00FA66FC"/>
    <w:rsid w:val="00FA7DDF"/>
    <w:rsid w:val="00FB41C0"/>
    <w:rsid w:val="00FC20F7"/>
    <w:rsid w:val="00FC3AEB"/>
    <w:rsid w:val="00FC50E3"/>
    <w:rsid w:val="00FC5827"/>
    <w:rsid w:val="00FC61C2"/>
    <w:rsid w:val="00FC6727"/>
    <w:rsid w:val="00FD150F"/>
    <w:rsid w:val="00FD7E04"/>
    <w:rsid w:val="00FE7B7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Sect Header,QuestionNumber,Bullet List,FooterText,cS List Paragraph"/>
    <w:basedOn w:val="Normal"/>
    <w:link w:val="ListParagraphChar"/>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8F482E"/>
    <w:rPr>
      <w:sz w:val="22"/>
      <w:szCs w:val="22"/>
    </w:rPr>
  </w:style>
  <w:style w:type="character" w:customStyle="1" w:styleId="UnresolvedMention1">
    <w:name w:val="Unresolved Mention1"/>
    <w:basedOn w:val="DefaultParagraphFont"/>
    <w:uiPriority w:val="99"/>
    <w:semiHidden/>
    <w:unhideWhenUsed/>
    <w:rsid w:val="00325FA2"/>
    <w:rPr>
      <w:color w:val="605E5C"/>
      <w:shd w:val="clear" w:color="auto" w:fill="E1DFDD"/>
    </w:rPr>
  </w:style>
  <w:style w:type="character" w:customStyle="1" w:styleId="UnresolvedMention">
    <w:name w:val="Unresolved Mention"/>
    <w:basedOn w:val="DefaultParagraphFont"/>
    <w:uiPriority w:val="99"/>
    <w:semiHidden/>
    <w:unhideWhenUsed/>
    <w:rsid w:val="00F46B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Sect Header,QuestionNumber,Bullet List,FooterText,cS List Paragraph"/>
    <w:basedOn w:val="Normal"/>
    <w:link w:val="ListParagraphChar"/>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8F482E"/>
    <w:rPr>
      <w:sz w:val="22"/>
      <w:szCs w:val="22"/>
    </w:rPr>
  </w:style>
  <w:style w:type="character" w:customStyle="1" w:styleId="UnresolvedMention1">
    <w:name w:val="Unresolved Mention1"/>
    <w:basedOn w:val="DefaultParagraphFont"/>
    <w:uiPriority w:val="99"/>
    <w:semiHidden/>
    <w:unhideWhenUsed/>
    <w:rsid w:val="00325FA2"/>
    <w:rPr>
      <w:color w:val="605E5C"/>
      <w:shd w:val="clear" w:color="auto" w:fill="E1DFDD"/>
    </w:rPr>
  </w:style>
  <w:style w:type="character" w:customStyle="1" w:styleId="UnresolvedMention">
    <w:name w:val="Unresolved Mention"/>
    <w:basedOn w:val="DefaultParagraphFont"/>
    <w:uiPriority w:val="99"/>
    <w:semiHidden/>
    <w:unhideWhenUsed/>
    <w:rsid w:val="00F4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65563822">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315717639">
      <w:bodyDiv w:val="1"/>
      <w:marLeft w:val="0"/>
      <w:marRight w:val="0"/>
      <w:marTop w:val="0"/>
      <w:marBottom w:val="0"/>
      <w:divBdr>
        <w:top w:val="none" w:sz="0" w:space="0" w:color="auto"/>
        <w:left w:val="none" w:sz="0" w:space="0" w:color="auto"/>
        <w:bottom w:val="none" w:sz="0" w:space="0" w:color="auto"/>
        <w:right w:val="none" w:sz="0" w:space="0" w:color="auto"/>
      </w:divBdr>
    </w:div>
    <w:div w:id="1776707364">
      <w:bodyDiv w:val="1"/>
      <w:marLeft w:val="0"/>
      <w:marRight w:val="0"/>
      <w:marTop w:val="0"/>
      <w:marBottom w:val="0"/>
      <w:divBdr>
        <w:top w:val="none" w:sz="0" w:space="0" w:color="auto"/>
        <w:left w:val="none" w:sz="0" w:space="0" w:color="auto"/>
        <w:bottom w:val="none" w:sz="0" w:space="0" w:color="auto"/>
        <w:right w:val="none" w:sz="0" w:space="0" w:color="auto"/>
      </w:divBdr>
    </w:div>
    <w:div w:id="17811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tobacco/data_statistics/fact_sheets/adult_data/cig_smoking/index.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ber.Sanford@fda.hhs.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whitehouse.gov/omb/fedreg/1997standard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9413-704B-4533-B1C4-29298ECC3FFC}">
  <ds:schemaRefs>
    <ds:schemaRef ds:uri="http://schemas.openxmlformats.org/officeDocument/2006/bibliography"/>
  </ds:schemaRefs>
</ds:datastoreItem>
</file>

<file path=customXml/itemProps2.xml><?xml version="1.0" encoding="utf-8"?>
<ds:datastoreItem xmlns:ds="http://schemas.openxmlformats.org/officeDocument/2006/customXml" ds:itemID="{2C261165-23A9-42C7-BBE2-4114BDB1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SYSTEM</cp:lastModifiedBy>
  <cp:revision>2</cp:revision>
  <cp:lastPrinted>2019-05-28T17:36:00Z</cp:lastPrinted>
  <dcterms:created xsi:type="dcterms:W3CDTF">2019-11-20T20:57:00Z</dcterms:created>
  <dcterms:modified xsi:type="dcterms:W3CDTF">2019-11-20T20:57:00Z</dcterms:modified>
</cp:coreProperties>
</file>