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06F7" w14:textId="1F9D2E9B" w:rsidR="00BC1E70" w:rsidRDefault="00103624" w:rsidP="00BC1E70">
      <w:pPr>
        <w:pStyle w:val="CM118"/>
        <w:spacing w:after="562" w:line="271" w:lineRule="atLeast"/>
        <w:contextualSpacing/>
        <w:jc w:val="center"/>
        <w:rPr>
          <w:rFonts w:ascii="Times New Roman" w:hAnsi="Times New Roman" w:cs="Times New Roman"/>
          <w:b/>
          <w:bCs/>
        </w:rPr>
      </w:pPr>
      <w:bookmarkStart w:id="0" w:name="_GoBack"/>
      <w:bookmarkEnd w:id="0"/>
      <w:r w:rsidRPr="00DA1E47">
        <w:rPr>
          <w:rFonts w:ascii="Times New Roman" w:hAnsi="Times New Roman" w:cs="Times New Roman"/>
          <w:b/>
          <w:bCs/>
        </w:rPr>
        <w:t xml:space="preserve">SUPPORTING </w:t>
      </w:r>
      <w:r w:rsidR="00BC1E70">
        <w:rPr>
          <w:rFonts w:ascii="Times New Roman" w:hAnsi="Times New Roman" w:cs="Times New Roman"/>
          <w:b/>
          <w:bCs/>
        </w:rPr>
        <w:t>STATEMEN</w:t>
      </w:r>
      <w:r w:rsidR="00C97B65">
        <w:rPr>
          <w:rFonts w:ascii="Times New Roman" w:hAnsi="Times New Roman" w:cs="Times New Roman"/>
          <w:b/>
          <w:bCs/>
        </w:rPr>
        <w:t>T</w:t>
      </w:r>
    </w:p>
    <w:p w14:paraId="1EFF8A27" w14:textId="77777777" w:rsidR="00BC1E70" w:rsidRDefault="0044204C" w:rsidP="00BC1E70">
      <w:pPr>
        <w:pStyle w:val="CM118"/>
        <w:spacing w:after="562" w:line="271" w:lineRule="atLeast"/>
        <w:contextualSpacing/>
        <w:jc w:val="center"/>
        <w:rPr>
          <w:rFonts w:ascii="Times New Roman" w:hAnsi="Times New Roman" w:cs="Times New Roman"/>
          <w:b/>
          <w:bCs/>
        </w:rPr>
      </w:pPr>
      <w:r>
        <w:rPr>
          <w:rFonts w:ascii="Times New Roman" w:hAnsi="Times New Roman" w:cs="Times New Roman"/>
          <w:b/>
          <w:bCs/>
        </w:rPr>
        <w:t>SOCIO-ECONOMIC SURVEY</w:t>
      </w:r>
      <w:r w:rsidR="00103624" w:rsidRPr="00DA1E47">
        <w:rPr>
          <w:rFonts w:ascii="Times New Roman" w:hAnsi="Times New Roman" w:cs="Times New Roman"/>
          <w:b/>
          <w:bCs/>
        </w:rPr>
        <w:t xml:space="preserve"> OF </w:t>
      </w:r>
      <w:r w:rsidR="00CB3D7C">
        <w:rPr>
          <w:rFonts w:ascii="Times New Roman" w:hAnsi="Times New Roman" w:cs="Times New Roman"/>
          <w:b/>
          <w:bCs/>
        </w:rPr>
        <w:t>HIRED CAPTAINS</w:t>
      </w:r>
      <w:r w:rsidR="00103624" w:rsidRPr="00DA1E47">
        <w:rPr>
          <w:rFonts w:ascii="Times New Roman" w:hAnsi="Times New Roman" w:cs="Times New Roman"/>
          <w:b/>
          <w:bCs/>
        </w:rPr>
        <w:t xml:space="preserve"> AND CREW IN NEW ENGLAND AND MID-ATLANTIC </w:t>
      </w:r>
      <w:r w:rsidR="00CB3D7C">
        <w:rPr>
          <w:rFonts w:ascii="Times New Roman" w:hAnsi="Times New Roman" w:cs="Times New Roman"/>
          <w:b/>
          <w:bCs/>
        </w:rPr>
        <w:t xml:space="preserve">COMMERCIAL </w:t>
      </w:r>
      <w:r w:rsidR="00103624" w:rsidRPr="00DA1E47">
        <w:rPr>
          <w:rFonts w:ascii="Times New Roman" w:hAnsi="Times New Roman" w:cs="Times New Roman"/>
          <w:b/>
          <w:bCs/>
        </w:rPr>
        <w:t xml:space="preserve">FISHERIES </w:t>
      </w:r>
    </w:p>
    <w:p w14:paraId="21C91022" w14:textId="737D0A42" w:rsidR="00103624" w:rsidRPr="00DA1E47" w:rsidRDefault="00103624" w:rsidP="00BC1E70">
      <w:pPr>
        <w:pStyle w:val="CM118"/>
        <w:spacing w:after="562" w:line="271" w:lineRule="atLeast"/>
        <w:contextualSpacing/>
        <w:jc w:val="center"/>
        <w:rPr>
          <w:rFonts w:ascii="Times New Roman" w:hAnsi="Times New Roman" w:cs="Times New Roman"/>
        </w:rPr>
      </w:pPr>
      <w:r w:rsidRPr="00DA1E47">
        <w:rPr>
          <w:rFonts w:ascii="Times New Roman" w:hAnsi="Times New Roman" w:cs="Times New Roman"/>
          <w:b/>
          <w:bCs/>
        </w:rPr>
        <w:t>OMB CONTROL NO. 0648-XXXX</w:t>
      </w:r>
    </w:p>
    <w:p w14:paraId="397CB980" w14:textId="77777777" w:rsidR="00103624" w:rsidRPr="00DA1E47" w:rsidRDefault="00103624" w:rsidP="00103624">
      <w:pPr>
        <w:pStyle w:val="CM119"/>
        <w:spacing w:after="275" w:line="276" w:lineRule="atLeast"/>
        <w:ind w:left="50"/>
        <w:rPr>
          <w:rFonts w:ascii="Times New Roman" w:hAnsi="Times New Roman" w:cs="Times New Roman"/>
        </w:rPr>
      </w:pPr>
      <w:r w:rsidRPr="00DA1E47">
        <w:rPr>
          <w:rFonts w:ascii="Times New Roman" w:hAnsi="Times New Roman" w:cs="Times New Roman"/>
          <w:b/>
          <w:bCs/>
        </w:rPr>
        <w:t xml:space="preserve">INTRODUCTION </w:t>
      </w:r>
    </w:p>
    <w:p w14:paraId="00E5327B" w14:textId="6A91C8EC" w:rsidR="00103624" w:rsidRDefault="00103624" w:rsidP="00103624">
      <w:pPr>
        <w:rPr>
          <w:bCs/>
        </w:rPr>
      </w:pPr>
      <w:r w:rsidRPr="00533CD4">
        <w:rPr>
          <w:bCs/>
        </w:rPr>
        <w:t xml:space="preserve">This request is for </w:t>
      </w:r>
      <w:r>
        <w:rPr>
          <w:bCs/>
        </w:rPr>
        <w:t xml:space="preserve">a reinstatement with change, of a previously approved collection (NO. 0648-0636) </w:t>
      </w:r>
      <w:r w:rsidR="00994855">
        <w:rPr>
          <w:bCs/>
        </w:rPr>
        <w:t>which was discontinued on 5/31/2014.</w:t>
      </w:r>
      <w:r>
        <w:rPr>
          <w:bCs/>
        </w:rPr>
        <w:t xml:space="preserve"> </w:t>
      </w:r>
      <w:r w:rsidR="001A0E7E">
        <w:rPr>
          <w:bCs/>
        </w:rPr>
        <w:t>In the previously approved collection, there were two surveys</w:t>
      </w:r>
      <w:r w:rsidR="00C952B7">
        <w:rPr>
          <w:bCs/>
        </w:rPr>
        <w:t>;</w:t>
      </w:r>
      <w:r w:rsidR="001A0E7E">
        <w:rPr>
          <w:bCs/>
        </w:rPr>
        <w:t xml:space="preserve"> one </w:t>
      </w:r>
      <w:r w:rsidR="00F8753A">
        <w:rPr>
          <w:bCs/>
        </w:rPr>
        <w:t xml:space="preserve">was </w:t>
      </w:r>
      <w:r w:rsidR="001A0E7E">
        <w:rPr>
          <w:bCs/>
        </w:rPr>
        <w:t xml:space="preserve">for vessel owners and the other </w:t>
      </w:r>
      <w:r w:rsidR="00F8753A">
        <w:rPr>
          <w:bCs/>
        </w:rPr>
        <w:t xml:space="preserve">was </w:t>
      </w:r>
      <w:r w:rsidR="001A0E7E">
        <w:rPr>
          <w:bCs/>
        </w:rPr>
        <w:t xml:space="preserve">for crew. </w:t>
      </w:r>
      <w:r w:rsidR="00C952B7">
        <w:rPr>
          <w:bCs/>
        </w:rPr>
        <w:t>However, the purpose of this</w:t>
      </w:r>
      <w:r w:rsidR="001A0E7E">
        <w:rPr>
          <w:bCs/>
        </w:rPr>
        <w:t xml:space="preserve"> data collection </w:t>
      </w:r>
      <w:r w:rsidR="00F8753A">
        <w:rPr>
          <w:bCs/>
        </w:rPr>
        <w:t xml:space="preserve">request </w:t>
      </w:r>
      <w:r w:rsidR="001A0E7E">
        <w:rPr>
          <w:bCs/>
        </w:rPr>
        <w:t>is to</w:t>
      </w:r>
      <w:r w:rsidR="00F8753A">
        <w:rPr>
          <w:bCs/>
        </w:rPr>
        <w:t xml:space="preserve"> repeat (with changes) the</w:t>
      </w:r>
      <w:r w:rsidR="001A0E7E">
        <w:rPr>
          <w:bCs/>
        </w:rPr>
        <w:t xml:space="preserve"> crew </w:t>
      </w:r>
      <w:r w:rsidR="00F8753A">
        <w:rPr>
          <w:bCs/>
        </w:rPr>
        <w:t xml:space="preserve">survey </w:t>
      </w:r>
      <w:r w:rsidR="001A0E7E">
        <w:rPr>
          <w:bCs/>
        </w:rPr>
        <w:t>only</w:t>
      </w:r>
      <w:r w:rsidR="00F8753A">
        <w:rPr>
          <w:bCs/>
        </w:rPr>
        <w:t xml:space="preserve"> because we do not need further information from vessel owners at this time</w:t>
      </w:r>
      <w:r w:rsidR="001A0E7E">
        <w:rPr>
          <w:bCs/>
        </w:rPr>
        <w:t xml:space="preserve">. Therefore, we made changes to the crew survey instrument only and modified the sampling approach. See section A15 for detailed changes. </w:t>
      </w:r>
    </w:p>
    <w:p w14:paraId="73CE3707" w14:textId="77777777" w:rsidR="00103624" w:rsidRPr="00103624" w:rsidRDefault="00103624" w:rsidP="00103624">
      <w:pPr>
        <w:rPr>
          <w:bCs/>
        </w:rPr>
      </w:pPr>
    </w:p>
    <w:p w14:paraId="4921F70A" w14:textId="38EA556F" w:rsidR="00103624" w:rsidRPr="00DA1E47" w:rsidRDefault="00103624" w:rsidP="00103624">
      <w:pPr>
        <w:pStyle w:val="CM119"/>
        <w:spacing w:after="275"/>
        <w:rPr>
          <w:rFonts w:ascii="Times New Roman" w:hAnsi="Times New Roman" w:cs="Times New Roman"/>
        </w:rPr>
      </w:pPr>
      <w:r w:rsidRPr="00DA1E47">
        <w:rPr>
          <w:rFonts w:ascii="Times New Roman" w:hAnsi="Times New Roman" w:cs="Times New Roman"/>
        </w:rPr>
        <w:t xml:space="preserve">The National Oceanic and Atmospheric Administration’s (NOAA) Northeast </w:t>
      </w:r>
      <w:r>
        <w:rPr>
          <w:rFonts w:ascii="Times New Roman" w:hAnsi="Times New Roman" w:cs="Times New Roman"/>
        </w:rPr>
        <w:t xml:space="preserve">Fisheries </w:t>
      </w:r>
      <w:r w:rsidRPr="00DA1E47">
        <w:rPr>
          <w:rFonts w:ascii="Times New Roman" w:hAnsi="Times New Roman" w:cs="Times New Roman"/>
        </w:rPr>
        <w:t xml:space="preserve">Science Center’s Social Science Branch (SSB) in Woods Hole, MA intends to survey </w:t>
      </w:r>
      <w:r>
        <w:rPr>
          <w:rFonts w:ascii="Times New Roman" w:hAnsi="Times New Roman" w:cs="Times New Roman"/>
        </w:rPr>
        <w:t>crew</w:t>
      </w:r>
      <w:r w:rsidRPr="00DA1E47">
        <w:rPr>
          <w:rFonts w:ascii="Times New Roman" w:hAnsi="Times New Roman" w:cs="Times New Roman"/>
        </w:rPr>
        <w:t xml:space="preserve"> </w:t>
      </w:r>
      <w:r>
        <w:rPr>
          <w:rFonts w:ascii="Times New Roman" w:hAnsi="Times New Roman" w:cs="Times New Roman"/>
        </w:rPr>
        <w:t xml:space="preserve">(including hired captains) </w:t>
      </w:r>
      <w:r w:rsidRPr="00DA1E47">
        <w:rPr>
          <w:rFonts w:ascii="Times New Roman" w:hAnsi="Times New Roman" w:cs="Times New Roman"/>
        </w:rPr>
        <w:t>in the commercial fishing industry in the Northeast Region (</w:t>
      </w:r>
      <w:r>
        <w:rPr>
          <w:rFonts w:ascii="Times New Roman" w:hAnsi="Times New Roman" w:cs="Times New Roman"/>
        </w:rPr>
        <w:t xml:space="preserve">i.e., </w:t>
      </w:r>
      <w:r w:rsidRPr="00DA1E47">
        <w:rPr>
          <w:rFonts w:ascii="Times New Roman" w:hAnsi="Times New Roman" w:cs="Times New Roman"/>
        </w:rPr>
        <w:t>New England and the Mid-Atlantic states). The survey will collect representative</w:t>
      </w:r>
      <w:r>
        <w:rPr>
          <w:rFonts w:ascii="Times New Roman" w:hAnsi="Times New Roman" w:cs="Times New Roman"/>
        </w:rPr>
        <w:t>,</w:t>
      </w:r>
      <w:r w:rsidRPr="00DA1E47">
        <w:rPr>
          <w:rFonts w:ascii="Times New Roman" w:hAnsi="Times New Roman" w:cs="Times New Roman"/>
        </w:rPr>
        <w:t xml:space="preserve"> </w:t>
      </w:r>
      <w:r>
        <w:rPr>
          <w:rFonts w:ascii="Times New Roman" w:hAnsi="Times New Roman" w:cs="Times New Roman"/>
        </w:rPr>
        <w:t xml:space="preserve">socio-economic </w:t>
      </w:r>
      <w:r w:rsidRPr="00DA1E47">
        <w:rPr>
          <w:rFonts w:ascii="Times New Roman" w:hAnsi="Times New Roman" w:cs="Times New Roman"/>
        </w:rPr>
        <w:t>data on crew</w:t>
      </w:r>
      <w:r>
        <w:rPr>
          <w:rFonts w:ascii="Times New Roman" w:hAnsi="Times New Roman" w:cs="Times New Roman"/>
        </w:rPr>
        <w:t xml:space="preserve"> and </w:t>
      </w:r>
      <w:r w:rsidRPr="00DA1E47">
        <w:rPr>
          <w:rFonts w:ascii="Times New Roman" w:hAnsi="Times New Roman" w:cs="Times New Roman"/>
        </w:rPr>
        <w:t xml:space="preserve">will be repeated </w:t>
      </w:r>
      <w:r>
        <w:rPr>
          <w:rFonts w:ascii="Times New Roman" w:hAnsi="Times New Roman" w:cs="Times New Roman"/>
        </w:rPr>
        <w:t>every 3-5 years</w:t>
      </w:r>
      <w:r w:rsidRPr="00DA1E47">
        <w:rPr>
          <w:rFonts w:ascii="Times New Roman" w:hAnsi="Times New Roman" w:cs="Times New Roman"/>
        </w:rPr>
        <w:t xml:space="preserve"> to allow for tracking trends over time. SSB intends to collect data from </w:t>
      </w:r>
      <w:r>
        <w:rPr>
          <w:rFonts w:ascii="Times New Roman" w:hAnsi="Times New Roman" w:cs="Times New Roman"/>
        </w:rPr>
        <w:t xml:space="preserve">a variety of ports and fishing sectors </w:t>
      </w:r>
      <w:r w:rsidRPr="00DA1E47">
        <w:rPr>
          <w:rFonts w:ascii="Times New Roman" w:hAnsi="Times New Roman" w:cs="Times New Roman"/>
        </w:rPr>
        <w:t xml:space="preserve">to </w:t>
      </w:r>
      <w:r>
        <w:rPr>
          <w:rFonts w:ascii="Times New Roman" w:hAnsi="Times New Roman" w:cs="Times New Roman"/>
        </w:rPr>
        <w:t>compare</w:t>
      </w:r>
      <w:r w:rsidRPr="00DA1E47">
        <w:rPr>
          <w:rFonts w:ascii="Times New Roman" w:hAnsi="Times New Roman" w:cs="Times New Roman"/>
        </w:rPr>
        <w:t xml:space="preserve"> baseline data</w:t>
      </w:r>
      <w:r>
        <w:rPr>
          <w:rFonts w:ascii="Times New Roman" w:hAnsi="Times New Roman" w:cs="Times New Roman"/>
        </w:rPr>
        <w:t xml:space="preserve"> collected in 2</w:t>
      </w:r>
      <w:r w:rsidR="001D6646">
        <w:rPr>
          <w:rFonts w:ascii="Times New Roman" w:hAnsi="Times New Roman" w:cs="Times New Roman"/>
        </w:rPr>
        <w:t>012-</w:t>
      </w:r>
      <w:r>
        <w:rPr>
          <w:rFonts w:ascii="Times New Roman" w:hAnsi="Times New Roman" w:cs="Times New Roman"/>
        </w:rPr>
        <w:t>2013.</w:t>
      </w:r>
      <w:r w:rsidRPr="00DA1E47">
        <w:rPr>
          <w:rFonts w:ascii="Times New Roman" w:hAnsi="Times New Roman" w:cs="Times New Roman"/>
        </w:rPr>
        <w:t xml:space="preserve"> </w:t>
      </w:r>
      <w:r w:rsidR="00105CA3">
        <w:rPr>
          <w:rFonts w:ascii="Times New Roman" w:hAnsi="Times New Roman" w:cs="Times New Roman"/>
        </w:rPr>
        <w:t>Since it has been 5 years since the previous data collection, it is critical that this PRA is processed as soon as possible so we can begin surve</w:t>
      </w:r>
      <w:r w:rsidR="00F0701F">
        <w:rPr>
          <w:rFonts w:ascii="Times New Roman" w:hAnsi="Times New Roman" w:cs="Times New Roman"/>
        </w:rPr>
        <w:t xml:space="preserve">ying crew by </w:t>
      </w:r>
      <w:r w:rsidR="00ED56B3">
        <w:rPr>
          <w:rFonts w:ascii="Times New Roman" w:hAnsi="Times New Roman" w:cs="Times New Roman"/>
        </w:rPr>
        <w:t>July 2018</w:t>
      </w:r>
      <w:r w:rsidR="00105CA3">
        <w:rPr>
          <w:rFonts w:ascii="Times New Roman" w:hAnsi="Times New Roman" w:cs="Times New Roman"/>
        </w:rPr>
        <w:t xml:space="preserve">. </w:t>
      </w:r>
      <w:r w:rsidR="00F0701F">
        <w:rPr>
          <w:rFonts w:ascii="Times New Roman" w:hAnsi="Times New Roman" w:cs="Times New Roman"/>
        </w:rPr>
        <w:t xml:space="preserve">It is imperative that we implement the survey as soon as possible to stay within the 3-5 year window to ensure continuity of the trend analyses. </w:t>
      </w:r>
    </w:p>
    <w:p w14:paraId="370F0470" w14:textId="77777777" w:rsidR="00103624" w:rsidRPr="00103624" w:rsidRDefault="00103624" w:rsidP="00103624">
      <w:pPr>
        <w:pStyle w:val="CM119"/>
        <w:spacing w:after="275" w:line="276" w:lineRule="atLeast"/>
        <w:ind w:left="50"/>
        <w:rPr>
          <w:rFonts w:ascii="Times New Roman" w:hAnsi="Times New Roman" w:cs="Times New Roman"/>
          <w:b/>
          <w:bCs/>
        </w:rPr>
      </w:pPr>
      <w:r>
        <w:rPr>
          <w:rFonts w:ascii="Times New Roman" w:hAnsi="Times New Roman" w:cs="Times New Roman"/>
          <w:b/>
          <w:bCs/>
        </w:rPr>
        <w:t>A. JUSTIFICATION</w:t>
      </w:r>
      <w:r>
        <w:rPr>
          <w:rFonts w:ascii="Times New Roman" w:hAnsi="Times New Roman" w:cs="Times New Roman"/>
        </w:rPr>
        <w:t xml:space="preserve"> </w:t>
      </w:r>
    </w:p>
    <w:p w14:paraId="562A134E" w14:textId="77777777" w:rsidR="00103624" w:rsidRPr="00DA1E47" w:rsidRDefault="00103624" w:rsidP="00103624">
      <w:pPr>
        <w:pStyle w:val="CM119"/>
        <w:spacing w:after="275" w:line="276" w:lineRule="atLeast"/>
        <w:ind w:left="50"/>
        <w:rPr>
          <w:rFonts w:ascii="Times New Roman" w:hAnsi="Times New Roman" w:cs="Times New Roman"/>
        </w:rPr>
      </w:pPr>
      <w:r w:rsidRPr="00DA1E47">
        <w:rPr>
          <w:rFonts w:ascii="Times New Roman" w:hAnsi="Times New Roman" w:cs="Times New Roman"/>
          <w:b/>
          <w:bCs/>
        </w:rPr>
        <w:t xml:space="preserve">1. </w:t>
      </w:r>
      <w:r w:rsidRPr="00DA1E47">
        <w:rPr>
          <w:rFonts w:ascii="Times New Roman" w:hAnsi="Times New Roman" w:cs="Times New Roman"/>
          <w:b/>
          <w:bCs/>
          <w:u w:val="single"/>
        </w:rPr>
        <w:t xml:space="preserve">Explain the circumstances that make the collection of information necessary. </w:t>
      </w:r>
    </w:p>
    <w:p w14:paraId="27337047" w14:textId="72A4D8E5" w:rsidR="00103624" w:rsidRPr="00DA1E47" w:rsidRDefault="00103624" w:rsidP="00103624">
      <w:pPr>
        <w:pStyle w:val="CM4"/>
        <w:rPr>
          <w:rFonts w:ascii="Times New Roman" w:hAnsi="Times New Roman" w:cs="Times New Roman"/>
        </w:rPr>
      </w:pPr>
      <w:r w:rsidRPr="00DA1E47">
        <w:rPr>
          <w:rFonts w:ascii="Times New Roman" w:hAnsi="Times New Roman" w:cs="Times New Roman"/>
        </w:rPr>
        <w:t xml:space="preserve">The </w:t>
      </w:r>
      <w:r w:rsidRPr="004D161A">
        <w:rPr>
          <w:rFonts w:ascii="Times New Roman" w:hAnsi="Times New Roman" w:cs="Times New Roman"/>
        </w:rPr>
        <w:t>purpose of th</w:t>
      </w:r>
      <w:r>
        <w:rPr>
          <w:rFonts w:ascii="Times New Roman" w:hAnsi="Times New Roman" w:cs="Times New Roman"/>
        </w:rPr>
        <w:t xml:space="preserve">is </w:t>
      </w:r>
      <w:r w:rsidRPr="004D161A">
        <w:rPr>
          <w:rFonts w:ascii="Times New Roman" w:hAnsi="Times New Roman" w:cs="Times New Roman"/>
        </w:rPr>
        <w:t>survey is to provide for the ongoing collection of social and economic data related to fisheries and their communities in the Northeast Region</w:t>
      </w:r>
      <w:r w:rsidRPr="00DA1E47">
        <w:rPr>
          <w:rFonts w:ascii="Times New Roman" w:hAnsi="Times New Roman" w:cs="Times New Roman"/>
        </w:rPr>
        <w:t xml:space="preserve">. These </w:t>
      </w:r>
      <w:r w:rsidRPr="004D161A">
        <w:rPr>
          <w:rFonts w:ascii="Times New Roman" w:hAnsi="Times New Roman" w:cs="Times New Roman"/>
        </w:rPr>
        <w:t xml:space="preserve">data are needed to support fishery performance measures developed by NOAA’s Northeast </w:t>
      </w:r>
      <w:r w:rsidR="004E1652">
        <w:rPr>
          <w:rFonts w:ascii="Times New Roman" w:hAnsi="Times New Roman" w:cs="Times New Roman"/>
        </w:rPr>
        <w:t xml:space="preserve">Fisheries </w:t>
      </w:r>
      <w:r w:rsidRPr="004D161A">
        <w:rPr>
          <w:rFonts w:ascii="Times New Roman" w:hAnsi="Times New Roman" w:cs="Times New Roman"/>
        </w:rPr>
        <w:t>Science Center’s Social Science Branch (SSB) in Woods Hole</w:t>
      </w:r>
      <w:r w:rsidRPr="00DA1E47">
        <w:rPr>
          <w:rFonts w:ascii="Times New Roman" w:hAnsi="Times New Roman" w:cs="Times New Roman"/>
        </w:rPr>
        <w:t xml:space="preserve">, MA. The measures are: financial viability, distributional outcomes, stewardship, governance and well-being. Table 1 provides definitions for each performance measure and specifies the indicators SSB intends to track for each measure. Although data to support some indicators are already routinely collected by </w:t>
      </w:r>
      <w:r>
        <w:rPr>
          <w:rFonts w:ascii="Times New Roman" w:hAnsi="Times New Roman" w:cs="Times New Roman"/>
        </w:rPr>
        <w:t>NOAA’s</w:t>
      </w:r>
      <w:r w:rsidRPr="00DA1E47">
        <w:rPr>
          <w:rFonts w:ascii="Times New Roman" w:hAnsi="Times New Roman" w:cs="Times New Roman"/>
        </w:rPr>
        <w:t xml:space="preserve"> </w:t>
      </w:r>
      <w:r>
        <w:rPr>
          <w:rFonts w:ascii="Times New Roman" w:hAnsi="Times New Roman" w:cs="Times New Roman"/>
        </w:rPr>
        <w:t>Fisheries</w:t>
      </w:r>
      <w:r w:rsidRPr="00DA1E47">
        <w:rPr>
          <w:rFonts w:ascii="Times New Roman" w:hAnsi="Times New Roman" w:cs="Times New Roman"/>
        </w:rPr>
        <w:t xml:space="preserve"> and </w:t>
      </w:r>
      <w:r>
        <w:rPr>
          <w:rFonts w:ascii="Times New Roman" w:hAnsi="Times New Roman" w:cs="Times New Roman"/>
        </w:rPr>
        <w:t xml:space="preserve">available from </w:t>
      </w:r>
      <w:r w:rsidRPr="00DA1E47">
        <w:rPr>
          <w:rFonts w:ascii="Times New Roman" w:hAnsi="Times New Roman" w:cs="Times New Roman"/>
        </w:rPr>
        <w:t xml:space="preserve">other publicly available sources, these </w:t>
      </w:r>
      <w:r w:rsidRPr="004D161A">
        <w:rPr>
          <w:rFonts w:ascii="Times New Roman" w:hAnsi="Times New Roman" w:cs="Times New Roman"/>
        </w:rPr>
        <w:t>data do not provide information for many of the indicators</w:t>
      </w:r>
      <w:r w:rsidRPr="00DA1E47">
        <w:rPr>
          <w:rFonts w:ascii="Times New Roman" w:hAnsi="Times New Roman" w:cs="Times New Roman"/>
        </w:rPr>
        <w:t xml:space="preserve">. Additionally, many of the indicators will require </w:t>
      </w:r>
      <w:r w:rsidRPr="004D161A">
        <w:rPr>
          <w:rFonts w:ascii="Times New Roman" w:hAnsi="Times New Roman" w:cs="Times New Roman"/>
        </w:rPr>
        <w:t>information that can be provided only by participants in the commercial fishing industry</w:t>
      </w:r>
      <w:r w:rsidRPr="00DA1E47">
        <w:rPr>
          <w:rFonts w:ascii="Times New Roman" w:hAnsi="Times New Roman" w:cs="Times New Roman"/>
        </w:rPr>
        <w:t xml:space="preserve">. </w:t>
      </w:r>
      <w:r>
        <w:rPr>
          <w:rFonts w:ascii="Times New Roman" w:hAnsi="Times New Roman" w:cs="Times New Roman"/>
        </w:rPr>
        <w:t>Therefore</w:t>
      </w:r>
      <w:r w:rsidRPr="00DA1E47">
        <w:rPr>
          <w:rFonts w:ascii="Times New Roman" w:hAnsi="Times New Roman" w:cs="Times New Roman"/>
        </w:rPr>
        <w:t xml:space="preserve">, </w:t>
      </w:r>
      <w:r>
        <w:rPr>
          <w:rFonts w:ascii="Times New Roman" w:hAnsi="Times New Roman" w:cs="Times New Roman"/>
        </w:rPr>
        <w:t xml:space="preserve">surveying participants in the commercial fishing industry will provide </w:t>
      </w:r>
      <w:r w:rsidRPr="00DA1E47">
        <w:rPr>
          <w:rFonts w:ascii="Times New Roman" w:hAnsi="Times New Roman" w:cs="Times New Roman"/>
        </w:rPr>
        <w:t xml:space="preserve">the best and most reliable source for information not currently available. </w:t>
      </w:r>
      <w:r w:rsidRPr="004D161A">
        <w:rPr>
          <w:rFonts w:ascii="Times New Roman" w:hAnsi="Times New Roman" w:cs="Times New Roman"/>
        </w:rPr>
        <w:t>Th</w:t>
      </w:r>
      <w:r>
        <w:rPr>
          <w:rFonts w:ascii="Times New Roman" w:hAnsi="Times New Roman" w:cs="Times New Roman"/>
        </w:rPr>
        <w:t>is</w:t>
      </w:r>
      <w:r w:rsidRPr="004D161A">
        <w:rPr>
          <w:rFonts w:ascii="Times New Roman" w:hAnsi="Times New Roman" w:cs="Times New Roman"/>
        </w:rPr>
        <w:t xml:space="preserve"> survey will </w:t>
      </w:r>
      <w:r>
        <w:rPr>
          <w:rFonts w:ascii="Times New Roman" w:hAnsi="Times New Roman" w:cs="Times New Roman"/>
        </w:rPr>
        <w:t xml:space="preserve">also </w:t>
      </w:r>
      <w:r w:rsidRPr="004D161A">
        <w:rPr>
          <w:rFonts w:ascii="Times New Roman" w:hAnsi="Times New Roman" w:cs="Times New Roman"/>
        </w:rPr>
        <w:t xml:space="preserve">fill in </w:t>
      </w:r>
      <w:r>
        <w:rPr>
          <w:rFonts w:ascii="Times New Roman" w:hAnsi="Times New Roman" w:cs="Times New Roman"/>
        </w:rPr>
        <w:t xml:space="preserve">knowledge </w:t>
      </w:r>
      <w:r w:rsidRPr="004D161A">
        <w:rPr>
          <w:rFonts w:ascii="Times New Roman" w:hAnsi="Times New Roman" w:cs="Times New Roman"/>
        </w:rPr>
        <w:t>gaps</w:t>
      </w:r>
      <w:r>
        <w:rPr>
          <w:rFonts w:ascii="Times New Roman" w:hAnsi="Times New Roman" w:cs="Times New Roman"/>
        </w:rPr>
        <w:t xml:space="preserve"> by</w:t>
      </w:r>
      <w:r w:rsidRPr="004D161A">
        <w:rPr>
          <w:rFonts w:ascii="Times New Roman" w:hAnsi="Times New Roman" w:cs="Times New Roman"/>
        </w:rPr>
        <w:t xml:space="preserve"> collecting trend data needed for </w:t>
      </w:r>
      <w:r>
        <w:rPr>
          <w:rFonts w:ascii="Times New Roman" w:hAnsi="Times New Roman" w:cs="Times New Roman"/>
        </w:rPr>
        <w:t>deeper</w:t>
      </w:r>
      <w:r w:rsidRPr="004D161A">
        <w:rPr>
          <w:rFonts w:ascii="Times New Roman" w:hAnsi="Times New Roman" w:cs="Times New Roman"/>
        </w:rPr>
        <w:t xml:space="preserve"> analys</w:t>
      </w:r>
      <w:r>
        <w:rPr>
          <w:rFonts w:ascii="Times New Roman" w:hAnsi="Times New Roman" w:cs="Times New Roman"/>
        </w:rPr>
        <w:t>e</w:t>
      </w:r>
      <w:r w:rsidRPr="004D161A">
        <w:rPr>
          <w:rFonts w:ascii="Times New Roman" w:hAnsi="Times New Roman" w:cs="Times New Roman"/>
        </w:rPr>
        <w:t xml:space="preserve">s of changes in fisheries, including impacts from changes in regulations. </w:t>
      </w:r>
    </w:p>
    <w:p w14:paraId="7B671E91" w14:textId="77777777" w:rsidR="00103624" w:rsidRPr="008B4A32" w:rsidRDefault="00103624" w:rsidP="00103624">
      <w:pPr>
        <w:pStyle w:val="CM120"/>
        <w:pageBreakBefore/>
        <w:spacing w:after="82"/>
        <w:rPr>
          <w:rFonts w:ascii="Times New Roman" w:hAnsi="Times New Roman" w:cs="Times New Roman"/>
          <w:bCs/>
          <w:sz w:val="20"/>
          <w:szCs w:val="20"/>
        </w:rPr>
      </w:pPr>
      <w:r w:rsidRPr="008B4A32">
        <w:rPr>
          <w:rFonts w:ascii="Times New Roman" w:hAnsi="Times New Roman" w:cs="Times New Roman"/>
          <w:bCs/>
          <w:sz w:val="20"/>
          <w:szCs w:val="20"/>
        </w:rPr>
        <w:lastRenderedPageBreak/>
        <w:t xml:space="preserve">Table 1. Performance Measures Definitions </w:t>
      </w:r>
    </w:p>
    <w:tbl>
      <w:tblPr>
        <w:tblStyle w:val="TableGrid"/>
        <w:tblW w:w="0" w:type="auto"/>
        <w:tblLook w:val="04A0" w:firstRow="1" w:lastRow="0" w:firstColumn="1" w:lastColumn="0" w:noHBand="0" w:noVBand="1"/>
      </w:tblPr>
      <w:tblGrid>
        <w:gridCol w:w="4675"/>
        <w:gridCol w:w="4675"/>
      </w:tblGrid>
      <w:tr w:rsidR="00103624" w14:paraId="787596E0" w14:textId="77777777" w:rsidTr="009277AA">
        <w:tc>
          <w:tcPr>
            <w:tcW w:w="4675" w:type="dxa"/>
          </w:tcPr>
          <w:p w14:paraId="3E0CAB85" w14:textId="77777777" w:rsidR="00103624" w:rsidRPr="00A91EA0" w:rsidRDefault="00103624" w:rsidP="009277AA">
            <w:pPr>
              <w:pStyle w:val="Default"/>
              <w:rPr>
                <w:rFonts w:ascii="Times New Roman" w:hAnsi="Times New Roman" w:cs="Times New Roman"/>
                <w:b/>
                <w:sz w:val="20"/>
                <w:szCs w:val="20"/>
              </w:rPr>
            </w:pPr>
            <w:r w:rsidRPr="00A91EA0">
              <w:rPr>
                <w:rFonts w:ascii="Times New Roman" w:hAnsi="Times New Roman" w:cs="Times New Roman"/>
                <w:b/>
                <w:sz w:val="20"/>
                <w:szCs w:val="20"/>
              </w:rPr>
              <w:t xml:space="preserve">Performance Measure </w:t>
            </w:r>
          </w:p>
        </w:tc>
        <w:tc>
          <w:tcPr>
            <w:tcW w:w="4675" w:type="dxa"/>
          </w:tcPr>
          <w:p w14:paraId="071CD720" w14:textId="77777777" w:rsidR="00103624" w:rsidRPr="00A91EA0" w:rsidRDefault="00103624" w:rsidP="009277AA">
            <w:pPr>
              <w:pStyle w:val="Default"/>
              <w:rPr>
                <w:rFonts w:ascii="Times New Roman" w:hAnsi="Times New Roman" w:cs="Times New Roman"/>
                <w:b/>
                <w:sz w:val="20"/>
                <w:szCs w:val="20"/>
              </w:rPr>
            </w:pPr>
            <w:r w:rsidRPr="00A91EA0">
              <w:rPr>
                <w:rFonts w:ascii="Times New Roman" w:hAnsi="Times New Roman" w:cs="Times New Roman"/>
                <w:b/>
                <w:sz w:val="20"/>
                <w:szCs w:val="20"/>
              </w:rPr>
              <w:t>Definition and Indicators</w:t>
            </w:r>
          </w:p>
        </w:tc>
      </w:tr>
      <w:tr w:rsidR="00103624" w14:paraId="7131CA4C" w14:textId="77777777" w:rsidTr="009277AA">
        <w:tc>
          <w:tcPr>
            <w:tcW w:w="4675" w:type="dxa"/>
          </w:tcPr>
          <w:p w14:paraId="522A0EAD" w14:textId="77777777" w:rsidR="00103624" w:rsidRPr="00A91EA0" w:rsidRDefault="00103624" w:rsidP="009277AA">
            <w:pPr>
              <w:pStyle w:val="Default"/>
              <w:rPr>
                <w:rFonts w:ascii="Times New Roman" w:hAnsi="Times New Roman" w:cs="Times New Roman"/>
                <w:sz w:val="20"/>
                <w:szCs w:val="20"/>
              </w:rPr>
            </w:pPr>
            <w:r w:rsidRPr="00C75075">
              <w:rPr>
                <w:rFonts w:ascii="Times New Roman" w:hAnsi="Times New Roman" w:cs="Times New Roman"/>
                <w:sz w:val="20"/>
                <w:szCs w:val="20"/>
              </w:rPr>
              <w:t>Financial Viability</w:t>
            </w:r>
          </w:p>
        </w:tc>
        <w:tc>
          <w:tcPr>
            <w:tcW w:w="4675" w:type="dxa"/>
          </w:tcPr>
          <w:p w14:paraId="3281F411" w14:textId="77777777" w:rsidR="00103624" w:rsidRDefault="00103624" w:rsidP="009277AA">
            <w:pPr>
              <w:pStyle w:val="Default"/>
              <w:rPr>
                <w:rFonts w:ascii="Times New Roman" w:hAnsi="Times New Roman" w:cs="Times New Roman"/>
                <w:sz w:val="20"/>
                <w:szCs w:val="20"/>
              </w:rPr>
            </w:pPr>
            <w:r w:rsidRPr="00A91EA0">
              <w:rPr>
                <w:rFonts w:ascii="Times New Roman" w:hAnsi="Times New Roman" w:cs="Times New Roman"/>
                <w:i/>
                <w:sz w:val="20"/>
                <w:szCs w:val="20"/>
              </w:rPr>
              <w:t>Definition</w:t>
            </w:r>
            <w:r>
              <w:rPr>
                <w:rFonts w:ascii="Times New Roman" w:hAnsi="Times New Roman" w:cs="Times New Roman"/>
                <w:sz w:val="20"/>
                <w:szCs w:val="20"/>
              </w:rPr>
              <w:t>: The financial condition of fishing vessel owners and crew, fishing households, business that provide fishing related goods and services (e.g., fuel, ice, gear, insurance), and businesses in the marketing chain (processors, dealers, retailers).</w:t>
            </w:r>
          </w:p>
          <w:p w14:paraId="3E7CF543" w14:textId="77777777" w:rsidR="00103624" w:rsidRDefault="00103624" w:rsidP="009277AA">
            <w:pPr>
              <w:pStyle w:val="Default"/>
              <w:rPr>
                <w:rFonts w:ascii="Times New Roman" w:hAnsi="Times New Roman" w:cs="Times New Roman"/>
                <w:sz w:val="20"/>
                <w:szCs w:val="20"/>
              </w:rPr>
            </w:pPr>
          </w:p>
          <w:p w14:paraId="5AD9D0F2"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i/>
                <w:sz w:val="20"/>
                <w:szCs w:val="20"/>
              </w:rPr>
              <w:t>Indicators</w:t>
            </w:r>
            <w:r>
              <w:rPr>
                <w:rFonts w:ascii="Times New Roman" w:hAnsi="Times New Roman" w:cs="Times New Roman"/>
                <w:sz w:val="20"/>
                <w:szCs w:val="20"/>
              </w:rPr>
              <w:t xml:space="preserve">: profitability and productivity; landings and distributions over time </w:t>
            </w:r>
          </w:p>
        </w:tc>
      </w:tr>
      <w:tr w:rsidR="00103624" w14:paraId="019F703E" w14:textId="77777777" w:rsidTr="009277AA">
        <w:tc>
          <w:tcPr>
            <w:tcW w:w="4675" w:type="dxa"/>
          </w:tcPr>
          <w:p w14:paraId="1E2AC584" w14:textId="77777777" w:rsidR="00103624" w:rsidRPr="00A91EA0" w:rsidRDefault="00103624" w:rsidP="009277AA">
            <w:pPr>
              <w:pStyle w:val="Default"/>
              <w:rPr>
                <w:rFonts w:ascii="Times New Roman" w:hAnsi="Times New Roman" w:cs="Times New Roman"/>
                <w:sz w:val="20"/>
                <w:szCs w:val="20"/>
              </w:rPr>
            </w:pPr>
            <w:r>
              <w:rPr>
                <w:rFonts w:ascii="Times New Roman" w:hAnsi="Times New Roman" w:cs="Times New Roman"/>
                <w:sz w:val="20"/>
                <w:szCs w:val="20"/>
              </w:rPr>
              <w:t>Distributional Outcomes</w:t>
            </w:r>
          </w:p>
        </w:tc>
        <w:tc>
          <w:tcPr>
            <w:tcW w:w="4675" w:type="dxa"/>
          </w:tcPr>
          <w:p w14:paraId="69E80ED3" w14:textId="77777777" w:rsidR="00103624" w:rsidRDefault="00103624" w:rsidP="009277AA">
            <w:pPr>
              <w:pStyle w:val="Default"/>
              <w:rPr>
                <w:rFonts w:ascii="Times New Roman" w:hAnsi="Times New Roman" w:cs="Times New Roman"/>
                <w:sz w:val="20"/>
                <w:szCs w:val="20"/>
              </w:rPr>
            </w:pPr>
            <w:r w:rsidRPr="00A91EA0">
              <w:rPr>
                <w:rFonts w:ascii="Times New Roman" w:hAnsi="Times New Roman" w:cs="Times New Roman"/>
                <w:i/>
                <w:sz w:val="20"/>
                <w:szCs w:val="20"/>
              </w:rPr>
              <w:t>Definition</w:t>
            </w:r>
            <w:r>
              <w:rPr>
                <w:rFonts w:ascii="Times New Roman" w:hAnsi="Times New Roman" w:cs="Times New Roman"/>
                <w:sz w:val="20"/>
                <w:szCs w:val="20"/>
              </w:rPr>
              <w:t>: The outcomes and implications related to how the benefits and costs of a catch share program are distributed among individuals, groups, and communities. Its major focus is on access/exclusion to quota and fishing opportunities, concentration of quota, and employment opportunities.</w:t>
            </w:r>
          </w:p>
          <w:p w14:paraId="068DA580" w14:textId="77777777" w:rsidR="00103624" w:rsidRDefault="00103624" w:rsidP="009277AA">
            <w:pPr>
              <w:pStyle w:val="Default"/>
              <w:rPr>
                <w:rFonts w:ascii="Times New Roman" w:hAnsi="Times New Roman" w:cs="Times New Roman"/>
                <w:sz w:val="20"/>
                <w:szCs w:val="20"/>
              </w:rPr>
            </w:pPr>
          </w:p>
          <w:p w14:paraId="0312C1BF"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i/>
                <w:sz w:val="20"/>
                <w:szCs w:val="20"/>
              </w:rPr>
              <w:t>Indicators</w:t>
            </w:r>
            <w:r>
              <w:rPr>
                <w:rFonts w:ascii="Times New Roman" w:hAnsi="Times New Roman" w:cs="Times New Roman"/>
                <w:sz w:val="20"/>
                <w:szCs w:val="20"/>
              </w:rPr>
              <w:t>: employment trends; ownership trends; price of quota/ability to purchase quota; community scale outcomes</w:t>
            </w:r>
          </w:p>
        </w:tc>
      </w:tr>
      <w:tr w:rsidR="00103624" w14:paraId="12DF0B40" w14:textId="77777777" w:rsidTr="009277AA">
        <w:tc>
          <w:tcPr>
            <w:tcW w:w="4675" w:type="dxa"/>
          </w:tcPr>
          <w:p w14:paraId="5CA1A250" w14:textId="77777777" w:rsidR="00103624" w:rsidRPr="00A91EA0" w:rsidRDefault="00103624" w:rsidP="009277AA">
            <w:pPr>
              <w:pStyle w:val="Default"/>
              <w:rPr>
                <w:rFonts w:ascii="Times New Roman" w:hAnsi="Times New Roman" w:cs="Times New Roman"/>
                <w:sz w:val="20"/>
                <w:szCs w:val="20"/>
              </w:rPr>
            </w:pPr>
            <w:r>
              <w:rPr>
                <w:rFonts w:ascii="Times New Roman" w:hAnsi="Times New Roman" w:cs="Times New Roman"/>
                <w:sz w:val="20"/>
                <w:szCs w:val="20"/>
              </w:rPr>
              <w:t>Stewardship</w:t>
            </w:r>
          </w:p>
        </w:tc>
        <w:tc>
          <w:tcPr>
            <w:tcW w:w="4675" w:type="dxa"/>
          </w:tcPr>
          <w:p w14:paraId="3FDCB2D8" w14:textId="77777777" w:rsidR="00103624" w:rsidRDefault="00103624" w:rsidP="009277AA">
            <w:pPr>
              <w:pStyle w:val="Default"/>
              <w:rPr>
                <w:rFonts w:ascii="Times New Roman" w:hAnsi="Times New Roman" w:cs="Times New Roman"/>
                <w:sz w:val="20"/>
                <w:szCs w:val="20"/>
              </w:rPr>
            </w:pPr>
            <w:r w:rsidRPr="00A91EA0">
              <w:rPr>
                <w:rFonts w:ascii="Times New Roman" w:hAnsi="Times New Roman" w:cs="Times New Roman"/>
                <w:i/>
                <w:sz w:val="20"/>
                <w:szCs w:val="20"/>
              </w:rPr>
              <w:t>Definition</w:t>
            </w:r>
            <w:r>
              <w:rPr>
                <w:rFonts w:ascii="Times New Roman" w:hAnsi="Times New Roman" w:cs="Times New Roman"/>
                <w:sz w:val="20"/>
                <w:szCs w:val="20"/>
              </w:rPr>
              <w:t xml:space="preserve">: The degree to which participants use the resource in a careful and responsible way. Additionally, the degree to which participants’ have a sense of stewardship. </w:t>
            </w:r>
          </w:p>
          <w:p w14:paraId="10C5E2C3" w14:textId="77777777" w:rsidR="00103624" w:rsidRDefault="00103624" w:rsidP="009277AA">
            <w:pPr>
              <w:pStyle w:val="Default"/>
              <w:rPr>
                <w:rFonts w:ascii="Times New Roman" w:hAnsi="Times New Roman" w:cs="Times New Roman"/>
                <w:sz w:val="20"/>
                <w:szCs w:val="20"/>
              </w:rPr>
            </w:pPr>
          </w:p>
          <w:p w14:paraId="12990199"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i/>
                <w:sz w:val="20"/>
                <w:szCs w:val="20"/>
              </w:rPr>
              <w:t>Indicators</w:t>
            </w:r>
            <w:r>
              <w:rPr>
                <w:rFonts w:ascii="Times New Roman" w:hAnsi="Times New Roman" w:cs="Times New Roman"/>
                <w:sz w:val="20"/>
                <w:szCs w:val="20"/>
              </w:rPr>
              <w:t>: compliance; bycatch/discards/highgrading; conservation ethic; activities that benefit the stock</w:t>
            </w:r>
          </w:p>
        </w:tc>
      </w:tr>
      <w:tr w:rsidR="00103624" w14:paraId="5BE02C6C" w14:textId="77777777" w:rsidTr="009277AA">
        <w:tc>
          <w:tcPr>
            <w:tcW w:w="4675" w:type="dxa"/>
          </w:tcPr>
          <w:p w14:paraId="11BF405D" w14:textId="77777777" w:rsidR="00103624" w:rsidRPr="00A91EA0" w:rsidRDefault="00103624" w:rsidP="009277AA">
            <w:pPr>
              <w:pStyle w:val="Default"/>
              <w:rPr>
                <w:rFonts w:ascii="Times New Roman" w:hAnsi="Times New Roman" w:cs="Times New Roman"/>
                <w:sz w:val="20"/>
                <w:szCs w:val="20"/>
              </w:rPr>
            </w:pPr>
            <w:r>
              <w:rPr>
                <w:rFonts w:ascii="Times New Roman" w:hAnsi="Times New Roman" w:cs="Times New Roman"/>
                <w:sz w:val="20"/>
                <w:szCs w:val="20"/>
              </w:rPr>
              <w:t>Governance</w:t>
            </w:r>
          </w:p>
        </w:tc>
        <w:tc>
          <w:tcPr>
            <w:tcW w:w="4675" w:type="dxa"/>
          </w:tcPr>
          <w:p w14:paraId="7114E668" w14:textId="77777777" w:rsidR="00103624" w:rsidRDefault="00103624" w:rsidP="009277AA">
            <w:pPr>
              <w:pStyle w:val="Default"/>
              <w:rPr>
                <w:rFonts w:ascii="Times New Roman" w:hAnsi="Times New Roman" w:cs="Times New Roman"/>
                <w:sz w:val="20"/>
                <w:szCs w:val="20"/>
              </w:rPr>
            </w:pPr>
            <w:r w:rsidRPr="00A91EA0">
              <w:rPr>
                <w:rFonts w:ascii="Times New Roman" w:hAnsi="Times New Roman" w:cs="Times New Roman"/>
                <w:i/>
                <w:sz w:val="20"/>
                <w:szCs w:val="20"/>
              </w:rPr>
              <w:t>Definition</w:t>
            </w:r>
            <w:r>
              <w:rPr>
                <w:rFonts w:ascii="Times New Roman" w:hAnsi="Times New Roman" w:cs="Times New Roman"/>
                <w:sz w:val="20"/>
                <w:szCs w:val="20"/>
              </w:rPr>
              <w:t xml:space="preserve">: The degree to which stakeholders participate in the process of decision making and implementation, the transparency and legitimacy of that process, the effectiveness and complexity of regulations, and the degree of adaptability/flexibility of the management process. An additional component is the cost to government to implement a management program and cost to participants. </w:t>
            </w:r>
          </w:p>
          <w:p w14:paraId="49D80D94" w14:textId="77777777" w:rsidR="00103624" w:rsidRDefault="00103624" w:rsidP="009277AA">
            <w:pPr>
              <w:pStyle w:val="Default"/>
              <w:rPr>
                <w:rFonts w:ascii="Times New Roman" w:hAnsi="Times New Roman" w:cs="Times New Roman"/>
                <w:sz w:val="20"/>
                <w:szCs w:val="20"/>
              </w:rPr>
            </w:pPr>
          </w:p>
          <w:p w14:paraId="008DD2E4"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i/>
                <w:sz w:val="20"/>
                <w:szCs w:val="20"/>
              </w:rPr>
              <w:t>Indicators</w:t>
            </w:r>
            <w:r>
              <w:rPr>
                <w:rFonts w:ascii="Times New Roman" w:hAnsi="Times New Roman" w:cs="Times New Roman"/>
                <w:sz w:val="20"/>
                <w:szCs w:val="20"/>
              </w:rPr>
              <w:t>: participation in governance; effectiveness; transparency/legitimacy; conflict; adaptability/flexibility; management costs; management complexity</w:t>
            </w:r>
          </w:p>
        </w:tc>
      </w:tr>
      <w:tr w:rsidR="00103624" w14:paraId="4312DC18" w14:textId="77777777" w:rsidTr="009277AA">
        <w:tc>
          <w:tcPr>
            <w:tcW w:w="4675" w:type="dxa"/>
          </w:tcPr>
          <w:p w14:paraId="421522E5" w14:textId="77777777" w:rsidR="00103624" w:rsidRPr="00A91EA0" w:rsidRDefault="00103624" w:rsidP="009277AA">
            <w:pPr>
              <w:pStyle w:val="Default"/>
              <w:rPr>
                <w:rFonts w:ascii="Times New Roman" w:hAnsi="Times New Roman" w:cs="Times New Roman"/>
                <w:sz w:val="20"/>
                <w:szCs w:val="20"/>
              </w:rPr>
            </w:pPr>
            <w:r>
              <w:rPr>
                <w:rFonts w:ascii="Times New Roman" w:hAnsi="Times New Roman" w:cs="Times New Roman"/>
                <w:sz w:val="20"/>
                <w:szCs w:val="20"/>
              </w:rPr>
              <w:t>Well-Being</w:t>
            </w:r>
          </w:p>
        </w:tc>
        <w:tc>
          <w:tcPr>
            <w:tcW w:w="4675" w:type="dxa"/>
          </w:tcPr>
          <w:p w14:paraId="3FE89391" w14:textId="77777777" w:rsidR="00103624" w:rsidRDefault="00103624" w:rsidP="009277AA">
            <w:pPr>
              <w:pStyle w:val="Default"/>
              <w:rPr>
                <w:rFonts w:ascii="Times New Roman" w:hAnsi="Times New Roman" w:cs="Times New Roman"/>
                <w:sz w:val="20"/>
                <w:szCs w:val="20"/>
              </w:rPr>
            </w:pPr>
            <w:r w:rsidRPr="00A91EA0">
              <w:rPr>
                <w:rFonts w:ascii="Times New Roman" w:hAnsi="Times New Roman" w:cs="Times New Roman"/>
                <w:i/>
                <w:sz w:val="20"/>
                <w:szCs w:val="20"/>
              </w:rPr>
              <w:t>Definition</w:t>
            </w:r>
            <w:r>
              <w:rPr>
                <w:rFonts w:ascii="Times New Roman" w:hAnsi="Times New Roman" w:cs="Times New Roman"/>
                <w:sz w:val="20"/>
                <w:szCs w:val="20"/>
              </w:rPr>
              <w:t>: The degree to which an individual, family, or larger social grouping (e.g., firm, community) can be characterized as being healthy (sound and functional), happy, and prosperous (Pollnac et al. 2006/08).</w:t>
            </w:r>
          </w:p>
          <w:p w14:paraId="5871FC7D" w14:textId="77777777" w:rsidR="00103624" w:rsidRDefault="00103624" w:rsidP="009277AA">
            <w:pPr>
              <w:pStyle w:val="Default"/>
              <w:rPr>
                <w:rFonts w:ascii="Times New Roman" w:hAnsi="Times New Roman" w:cs="Times New Roman"/>
                <w:sz w:val="20"/>
                <w:szCs w:val="20"/>
              </w:rPr>
            </w:pPr>
          </w:p>
          <w:p w14:paraId="27F026F2"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i/>
                <w:sz w:val="20"/>
                <w:szCs w:val="20"/>
              </w:rPr>
              <w:t>Indicators</w:t>
            </w:r>
            <w:r>
              <w:rPr>
                <w:rFonts w:ascii="Times New Roman" w:hAnsi="Times New Roman" w:cs="Times New Roman"/>
                <w:sz w:val="20"/>
                <w:szCs w:val="20"/>
              </w:rPr>
              <w:t>: health status and access to health insurance; community level indicators; port infrastructure; job satisfaction; changes in social networks and relationships; safety</w:t>
            </w:r>
          </w:p>
        </w:tc>
      </w:tr>
    </w:tbl>
    <w:p w14:paraId="459257D0" w14:textId="77777777" w:rsidR="00103624" w:rsidRPr="00A91EA0" w:rsidRDefault="00103624" w:rsidP="00103624">
      <w:pPr>
        <w:pStyle w:val="Default"/>
      </w:pPr>
    </w:p>
    <w:p w14:paraId="1A3FB143" w14:textId="77777777" w:rsidR="00103624" w:rsidRDefault="00103624" w:rsidP="00103624">
      <w:pPr>
        <w:pStyle w:val="CM119"/>
        <w:spacing w:after="275" w:line="273" w:lineRule="atLeast"/>
        <w:rPr>
          <w:rFonts w:ascii="Times New Roman" w:hAnsi="Times New Roman" w:cs="Times New Roman"/>
        </w:rPr>
      </w:pPr>
      <w:r w:rsidRPr="00C14655">
        <w:rPr>
          <w:rFonts w:ascii="Times New Roman" w:hAnsi="Times New Roman" w:cs="Times New Roman"/>
        </w:rPr>
        <w:t xml:space="preserve">These performance measures and indicators will be essential to assessing the social and economic impacts of various fishery management policies over the near and long term, including catch share systems. </w:t>
      </w:r>
      <w:r w:rsidRPr="00DA1E47">
        <w:rPr>
          <w:rFonts w:ascii="Times New Roman" w:hAnsi="Times New Roman" w:cs="Times New Roman"/>
        </w:rPr>
        <w:t xml:space="preserve">Currently, little data exist that allow for tracking the social impacts of </w:t>
      </w:r>
      <w:r w:rsidRPr="00DA1E47">
        <w:rPr>
          <w:rFonts w:ascii="Times New Roman" w:hAnsi="Times New Roman" w:cs="Times New Roman"/>
        </w:rPr>
        <w:lastRenderedPageBreak/>
        <w:t>fishery management policy and decisions over time in the Northeast Region, and insufficient economic trend data are available. In implementing policies and management programs, there is a</w:t>
      </w:r>
      <w:r w:rsidRPr="0099523B">
        <w:rPr>
          <w:rFonts w:ascii="Times New Roman" w:hAnsi="Times New Roman" w:cs="Times New Roman"/>
        </w:rPr>
        <w:t xml:space="preserve"> need to understand how such policies and programs will affect the social and economic characteristics of those involved in the commercial fishing industry.</w:t>
      </w:r>
      <w:r>
        <w:rPr>
          <w:rFonts w:ascii="Times New Roman" w:hAnsi="Times New Roman" w:cs="Times New Roman"/>
        </w:rPr>
        <w:t xml:space="preserve"> </w:t>
      </w:r>
      <w:r w:rsidRPr="00DA1E47">
        <w:rPr>
          <w:rFonts w:ascii="Times New Roman" w:hAnsi="Times New Roman" w:cs="Times New Roman"/>
        </w:rPr>
        <w:t xml:space="preserve">The </w:t>
      </w:r>
      <w:r w:rsidRPr="00DA1E47">
        <w:rPr>
          <w:rFonts w:ascii="Times New Roman" w:hAnsi="Times New Roman" w:cs="Times New Roman"/>
          <w:color w:val="0000FF"/>
          <w:u w:val="single"/>
        </w:rPr>
        <w:t xml:space="preserve">National Environmental Policy Act </w:t>
      </w:r>
      <w:r w:rsidRPr="00DA1E47">
        <w:rPr>
          <w:rFonts w:ascii="Times New Roman" w:hAnsi="Times New Roman" w:cs="Times New Roman"/>
        </w:rPr>
        <w:t xml:space="preserve">(NEPA) and the </w:t>
      </w:r>
      <w:r w:rsidRPr="00DA1E47">
        <w:rPr>
          <w:rFonts w:ascii="Times New Roman" w:hAnsi="Times New Roman" w:cs="Times New Roman"/>
          <w:color w:val="0000FF"/>
          <w:u w:val="single"/>
        </w:rPr>
        <w:t xml:space="preserve">Magnuson-Stevens Fishery Conservation and Management Act </w:t>
      </w:r>
      <w:r w:rsidRPr="00DA1E47">
        <w:rPr>
          <w:rFonts w:ascii="Times New Roman" w:hAnsi="Times New Roman" w:cs="Times New Roman"/>
        </w:rPr>
        <w:t>(MSA), as amended, both contain requirements for considering the social and economic impacts of fishery management decisions</w:t>
      </w:r>
      <w:r>
        <w:rPr>
          <w:rFonts w:ascii="Times New Roman" w:hAnsi="Times New Roman" w:cs="Times New Roman"/>
        </w:rPr>
        <w:t>.</w:t>
      </w:r>
    </w:p>
    <w:p w14:paraId="188023FF" w14:textId="77777777" w:rsidR="00103624" w:rsidRPr="00A91EA0" w:rsidRDefault="00103624" w:rsidP="00103624">
      <w:pPr>
        <w:pStyle w:val="CM119"/>
        <w:spacing w:after="275" w:line="273" w:lineRule="atLeast"/>
        <w:rPr>
          <w:rFonts w:ascii="Times New Roman" w:hAnsi="Times New Roman" w:cs="Times New Roman"/>
          <w:i/>
        </w:rPr>
      </w:pPr>
      <w:r w:rsidRPr="00A91EA0">
        <w:rPr>
          <w:rFonts w:ascii="Times New Roman" w:hAnsi="Times New Roman" w:cs="Times New Roman"/>
          <w:i/>
        </w:rPr>
        <w:t xml:space="preserve">Context for fishery management assessments </w:t>
      </w:r>
    </w:p>
    <w:p w14:paraId="06F19A26" w14:textId="77777777" w:rsidR="00103624" w:rsidRDefault="00103624" w:rsidP="00103624">
      <w:pPr>
        <w:pStyle w:val="Default"/>
        <w:spacing w:after="221"/>
        <w:ind w:firstLine="720"/>
        <w:rPr>
          <w:rFonts w:ascii="Times New Roman" w:hAnsi="Times New Roman" w:cs="Times New Roman"/>
          <w:b/>
          <w:bCs/>
          <w:color w:val="auto"/>
        </w:rPr>
      </w:pPr>
      <w:r w:rsidRPr="00DA1E47">
        <w:rPr>
          <w:rFonts w:ascii="Times New Roman" w:hAnsi="Times New Roman" w:cs="Times New Roman"/>
          <w:b/>
          <w:bCs/>
          <w:color w:val="auto"/>
        </w:rPr>
        <w:t xml:space="preserve">NEPA </w:t>
      </w:r>
    </w:p>
    <w:p w14:paraId="7DB3533B" w14:textId="77777777" w:rsidR="00103624" w:rsidRPr="00DA1E47" w:rsidRDefault="00103624" w:rsidP="00103624">
      <w:pPr>
        <w:pStyle w:val="Default"/>
        <w:spacing w:after="221"/>
        <w:rPr>
          <w:rFonts w:ascii="Times New Roman" w:hAnsi="Times New Roman" w:cs="Times New Roman"/>
          <w:color w:val="auto"/>
        </w:rPr>
      </w:pPr>
      <w:r w:rsidRPr="00A91EA0">
        <w:rPr>
          <w:rFonts w:ascii="Times New Roman" w:hAnsi="Times New Roman" w:cs="Times New Roman"/>
          <w:bCs/>
          <w:color w:val="auto"/>
        </w:rPr>
        <w:t xml:space="preserve">NEPA </w:t>
      </w:r>
      <w:r w:rsidRPr="00DA1E47">
        <w:rPr>
          <w:rFonts w:ascii="Times New Roman" w:hAnsi="Times New Roman" w:cs="Times New Roman"/>
          <w:color w:val="auto"/>
        </w:rPr>
        <w:t xml:space="preserve">requires federal agencies to consider the interactions of natural and human environments, and the impacts on both systems of any changes due to governmental activities or policies. This consideration is to be done through the use of ‘…a systematic, interdisciplinary approach that will insure the integrated use of the natural and social sciences…in planning and decision-making which may have an impact on man’s environment;’ (NEPA Section 102 (2) (A)). </w:t>
      </w:r>
      <w:r w:rsidRPr="00C14655">
        <w:rPr>
          <w:rFonts w:ascii="Times New Roman" w:hAnsi="Times New Roman" w:cs="Times New Roman"/>
          <w:color w:val="auto"/>
        </w:rPr>
        <w:t>Under NEPA, an Environmental Impact Statement (EIS) or Environmental Assessment (EA) is required to assess the impacts on the human environment of any federal activity</w:t>
      </w:r>
      <w:r w:rsidRPr="00DA1E47">
        <w:rPr>
          <w:rFonts w:ascii="Times New Roman" w:hAnsi="Times New Roman" w:cs="Times New Roman"/>
          <w:color w:val="auto"/>
        </w:rPr>
        <w:t xml:space="preserve">. NEPA specifies that “the term ‘human environment’ shall be interpreted comprehensively to include the natural and physical environment and the relationship of people with that environment” (Council on Environmental Quality NEPA Implementing Regulations 40 CFR 1508.14). </w:t>
      </w:r>
      <w:r w:rsidRPr="0099523B">
        <w:rPr>
          <w:rFonts w:ascii="Times New Roman" w:hAnsi="Times New Roman" w:cs="Times New Roman"/>
          <w:color w:val="auto"/>
        </w:rPr>
        <w:t>In addition, under 40 CFR 1508.7, CEQ Implementing Regulations make clear that regulators must consider cumulative impacts. These are defined as “the impact on the environment which results from the incremental impact of the action when added to other past, present, and reasonably foreseeable future actions regardless of what agency (Federal or non-Federal) or person undertakes such other actions. Cumulative impacts can result from individually minor but collectively significant actions taking place over a period of time.”</w:t>
      </w:r>
    </w:p>
    <w:p w14:paraId="638CFDCF" w14:textId="77777777" w:rsidR="00103624" w:rsidRPr="00A91EA0" w:rsidRDefault="00103624" w:rsidP="00103624">
      <w:pPr>
        <w:pStyle w:val="Default"/>
        <w:spacing w:after="221"/>
        <w:ind w:firstLine="720"/>
        <w:rPr>
          <w:rFonts w:ascii="Times New Roman" w:hAnsi="Times New Roman" w:cs="Times New Roman"/>
          <w:b/>
          <w:color w:val="auto"/>
        </w:rPr>
      </w:pPr>
      <w:r w:rsidRPr="00A91EA0">
        <w:rPr>
          <w:rFonts w:ascii="Times New Roman" w:hAnsi="Times New Roman" w:cs="Times New Roman"/>
          <w:b/>
          <w:color w:val="auto"/>
        </w:rPr>
        <w:t>MSA</w:t>
      </w:r>
    </w:p>
    <w:p w14:paraId="32F1E64F" w14:textId="77777777" w:rsidR="00103624" w:rsidRDefault="00103624" w:rsidP="00103624">
      <w:pPr>
        <w:pStyle w:val="Default"/>
        <w:spacing w:after="221"/>
        <w:rPr>
          <w:rFonts w:ascii="Times New Roman" w:hAnsi="Times New Roman" w:cs="Times New Roman"/>
          <w:color w:val="auto"/>
        </w:rPr>
      </w:pPr>
      <w:r w:rsidRPr="00C14655">
        <w:rPr>
          <w:rFonts w:ascii="Times New Roman" w:hAnsi="Times New Roman" w:cs="Times New Roman"/>
          <w:color w:val="auto"/>
        </w:rPr>
        <w:t xml:space="preserve">Under the </w:t>
      </w:r>
      <w:r w:rsidRPr="00A91EA0">
        <w:rPr>
          <w:rFonts w:ascii="Times New Roman" w:hAnsi="Times New Roman" w:cs="Times New Roman"/>
          <w:color w:val="auto"/>
        </w:rPr>
        <w:t>MSA</w:t>
      </w:r>
      <w:r w:rsidRPr="00C14655">
        <w:rPr>
          <w:rFonts w:ascii="Times New Roman" w:hAnsi="Times New Roman" w:cs="Times New Roman"/>
          <w:color w:val="auto"/>
        </w:rPr>
        <w:t xml:space="preserve"> there are a variety of requirements related to social, cultural and economic issues for fishermen and their communities</w:t>
      </w:r>
      <w:r w:rsidRPr="00DA1E47">
        <w:rPr>
          <w:rFonts w:ascii="Times New Roman" w:hAnsi="Times New Roman" w:cs="Times New Roman"/>
          <w:color w:val="auto"/>
        </w:rPr>
        <w:t xml:space="preserve">. </w:t>
      </w:r>
    </w:p>
    <w:p w14:paraId="051D4510" w14:textId="77777777" w:rsidR="00103624" w:rsidRDefault="00103624" w:rsidP="00103624">
      <w:pPr>
        <w:pStyle w:val="Default"/>
        <w:spacing w:after="221"/>
        <w:contextualSpacing/>
        <w:rPr>
          <w:rFonts w:ascii="Times New Roman" w:hAnsi="Times New Roman" w:cs="Times New Roman"/>
        </w:rPr>
      </w:pPr>
      <w:r w:rsidRPr="00C14655">
        <w:rPr>
          <w:rFonts w:ascii="Times New Roman" w:hAnsi="Times New Roman" w:cs="Times New Roman"/>
          <w:color w:val="auto"/>
        </w:rPr>
        <w:t>National Standard 8 (section 301(8))</w:t>
      </w:r>
      <w:r w:rsidRPr="00DA1E47">
        <w:rPr>
          <w:rFonts w:ascii="Times New Roman" w:hAnsi="Times New Roman" w:cs="Times New Roman"/>
          <w:color w:val="auto"/>
        </w:rPr>
        <w:t xml:space="preserve">, for instance, requires that: "Conservation and management measures shall, consistent with the conservation requirements of this Act (including the prevention of overfishing and rebuilding of overfished stocks), take into account the importance of fishery resources to fishing communities in order to (A) provide for the sustained participation of such communities, and </w:t>
      </w:r>
      <w:r w:rsidRPr="00DA1E47">
        <w:rPr>
          <w:rFonts w:ascii="Times New Roman" w:hAnsi="Times New Roman" w:cs="Times New Roman"/>
        </w:rPr>
        <w:t xml:space="preserve">(B) to the extent practicable, minimize adverse economic impacts on such communities. Section 303(b)(6) on limited entry requires examination of "(A) present participation in the fishery, (B) historical fishing practices in, and dependence on, the fishery, (C) the economics of the fishery, (D) the capability of fishing vessels used in the fishery to engage in other fisheries, (E) the cultural and social framework relevant to the fishery and any affected fishing communities, and (F) any other relevant considerations." </w:t>
      </w:r>
      <w:r w:rsidRPr="0099523B">
        <w:rPr>
          <w:rFonts w:ascii="Times New Roman" w:hAnsi="Times New Roman" w:cs="Times New Roman"/>
        </w:rPr>
        <w:t>Section 303(a)(9) on preparation of Fishery Impact Statements</w:t>
      </w:r>
      <w:r w:rsidRPr="00DA1E47">
        <w:rPr>
          <w:rFonts w:ascii="Times New Roman" w:hAnsi="Times New Roman" w:cs="Times New Roman"/>
        </w:rPr>
        <w:t xml:space="preserve"> notes they "shall assess, specify, and describe the likely effects, if any, of the conservation and management measures on--(A) participants in the fisheries and fishing communities affected by the plan or amendment; and (B) participants in the fisheries conducted in adjacent areas under the authority of another Council, after consultation with such Council and representatives of those participants."</w:t>
      </w:r>
    </w:p>
    <w:p w14:paraId="1EC04C9A" w14:textId="77777777" w:rsidR="00733BC5" w:rsidRDefault="00733BC5" w:rsidP="00103624">
      <w:pPr>
        <w:pStyle w:val="CM119"/>
        <w:spacing w:after="275"/>
        <w:ind w:right="282"/>
        <w:contextualSpacing/>
        <w:rPr>
          <w:rFonts w:ascii="Times New Roman" w:hAnsi="Times New Roman" w:cs="Times New Roman"/>
          <w:b/>
          <w:bCs/>
        </w:rPr>
      </w:pPr>
    </w:p>
    <w:p w14:paraId="45DA85B7" w14:textId="01CC896A" w:rsidR="00103624" w:rsidRPr="00DA1E47" w:rsidRDefault="00103624" w:rsidP="00103624">
      <w:pPr>
        <w:pStyle w:val="CM119"/>
        <w:spacing w:after="275"/>
        <w:ind w:right="282"/>
        <w:contextualSpacing/>
        <w:rPr>
          <w:rFonts w:ascii="Times New Roman" w:hAnsi="Times New Roman" w:cs="Times New Roman"/>
        </w:rPr>
      </w:pPr>
      <w:r w:rsidRPr="00DA1E47">
        <w:rPr>
          <w:rFonts w:ascii="Times New Roman" w:hAnsi="Times New Roman" w:cs="Times New Roman"/>
          <w:b/>
          <w:bCs/>
        </w:rPr>
        <w:t xml:space="preserve">2. </w:t>
      </w:r>
      <w:r w:rsidRPr="00DA1E47">
        <w:rPr>
          <w:rFonts w:ascii="Times New Roman" w:hAnsi="Times New Roman" w:cs="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DA1E47">
        <w:rPr>
          <w:rFonts w:ascii="Times New Roman" w:hAnsi="Times New Roman" w:cs="Times New Roman"/>
          <w:b/>
          <w:bCs/>
        </w:rPr>
        <w:t xml:space="preserve">. </w:t>
      </w:r>
    </w:p>
    <w:p w14:paraId="57934CA8" w14:textId="77777777" w:rsidR="00E928E4" w:rsidRDefault="00E928E4" w:rsidP="00E928E4">
      <w:pPr>
        <w:pStyle w:val="CM119"/>
        <w:spacing w:line="276" w:lineRule="atLeast"/>
        <w:rPr>
          <w:rFonts w:ascii="Times New Roman" w:hAnsi="Times New Roman" w:cs="Times New Roman"/>
          <w:u w:val="single"/>
        </w:rPr>
      </w:pPr>
    </w:p>
    <w:p w14:paraId="6B4885EF" w14:textId="04554DB8" w:rsidR="00103624" w:rsidRPr="00DA1E47" w:rsidRDefault="00103624" w:rsidP="00E928E4">
      <w:pPr>
        <w:pStyle w:val="CM119"/>
        <w:spacing w:after="275" w:line="276" w:lineRule="atLeast"/>
        <w:rPr>
          <w:rFonts w:ascii="Times New Roman" w:hAnsi="Times New Roman" w:cs="Times New Roman"/>
        </w:rPr>
      </w:pPr>
      <w:r w:rsidRPr="00DA1E47">
        <w:rPr>
          <w:rFonts w:ascii="Times New Roman" w:hAnsi="Times New Roman" w:cs="Times New Roman"/>
          <w:u w:val="single"/>
        </w:rPr>
        <w:t xml:space="preserve">Purpose </w:t>
      </w:r>
    </w:p>
    <w:p w14:paraId="58471477" w14:textId="77777777" w:rsidR="00103624" w:rsidRPr="00DA1E47" w:rsidRDefault="00103624" w:rsidP="00103624">
      <w:pPr>
        <w:pStyle w:val="CM119"/>
        <w:spacing w:after="275" w:line="278" w:lineRule="atLeast"/>
        <w:ind w:right="157"/>
        <w:rPr>
          <w:rFonts w:ascii="Times New Roman" w:hAnsi="Times New Roman" w:cs="Times New Roman"/>
        </w:rPr>
      </w:pPr>
      <w:r w:rsidRPr="00DA1E47">
        <w:rPr>
          <w:rFonts w:ascii="Times New Roman" w:hAnsi="Times New Roman" w:cs="Times New Roman"/>
        </w:rPr>
        <w:t xml:space="preserve">SSB intends to collect socio-economic data from crew </w:t>
      </w:r>
      <w:r>
        <w:rPr>
          <w:rFonts w:ascii="Times New Roman" w:hAnsi="Times New Roman" w:cs="Times New Roman"/>
        </w:rPr>
        <w:t xml:space="preserve">(including hired captains) </w:t>
      </w:r>
      <w:r w:rsidRPr="00DA1E47">
        <w:rPr>
          <w:rFonts w:ascii="Times New Roman" w:hAnsi="Times New Roman" w:cs="Times New Roman"/>
        </w:rPr>
        <w:t xml:space="preserve">involved in commercial fishing in New England and the Mid-Atlantic states. As noted above, the primary use of these data will be to track a set of defined performance measures and indicators over time. </w:t>
      </w:r>
      <w:r w:rsidRPr="0092372F">
        <w:rPr>
          <w:rFonts w:ascii="Times New Roman" w:hAnsi="Times New Roman" w:cs="Times New Roman"/>
        </w:rPr>
        <w:t xml:space="preserve">These performance measures and indicators </w:t>
      </w:r>
      <w:r>
        <w:rPr>
          <w:rFonts w:ascii="Times New Roman" w:hAnsi="Times New Roman" w:cs="Times New Roman"/>
        </w:rPr>
        <w:t>will</w:t>
      </w:r>
      <w:r w:rsidRPr="0092372F">
        <w:rPr>
          <w:rFonts w:ascii="Times New Roman" w:hAnsi="Times New Roman" w:cs="Times New Roman"/>
        </w:rPr>
        <w:t xml:space="preserve"> be used to assess the impacts of changes in fishery management policies by tracking changes in the indicators before and after implementation of the fishery management policies</w:t>
      </w:r>
      <w:r w:rsidRPr="00DA1E47">
        <w:rPr>
          <w:rFonts w:ascii="Times New Roman" w:hAnsi="Times New Roman" w:cs="Times New Roman"/>
        </w:rPr>
        <w:t xml:space="preserve">. Additionally, these data </w:t>
      </w:r>
      <w:r>
        <w:rPr>
          <w:rFonts w:ascii="Times New Roman" w:hAnsi="Times New Roman" w:cs="Times New Roman"/>
        </w:rPr>
        <w:t xml:space="preserve">will </w:t>
      </w:r>
      <w:r w:rsidRPr="00DA1E47">
        <w:rPr>
          <w:rFonts w:ascii="Times New Roman" w:hAnsi="Times New Roman" w:cs="Times New Roman"/>
        </w:rPr>
        <w:t xml:space="preserve">provide useful inputs into development of policies and strategies by </w:t>
      </w:r>
      <w:r w:rsidRPr="0092372F">
        <w:rPr>
          <w:rFonts w:ascii="Times New Roman" w:hAnsi="Times New Roman" w:cs="Times New Roman"/>
        </w:rPr>
        <w:t>providing representative social and economic information on participants in the Northeast commercial fishing industry</w:t>
      </w:r>
      <w:r w:rsidRPr="00DA1E47">
        <w:rPr>
          <w:rFonts w:ascii="Times New Roman" w:hAnsi="Times New Roman" w:cs="Times New Roman"/>
        </w:rPr>
        <w:t xml:space="preserve">. </w:t>
      </w:r>
    </w:p>
    <w:p w14:paraId="39E8EFC6" w14:textId="77777777" w:rsidR="00103624" w:rsidRPr="00DA1E47" w:rsidRDefault="00103624" w:rsidP="00103624">
      <w:pPr>
        <w:pStyle w:val="CM119"/>
        <w:spacing w:after="275" w:line="278" w:lineRule="atLeast"/>
        <w:ind w:right="157"/>
        <w:rPr>
          <w:rFonts w:ascii="Times New Roman" w:hAnsi="Times New Roman" w:cs="Times New Roman"/>
        </w:rPr>
      </w:pPr>
      <w:r w:rsidRPr="00DA1E47">
        <w:rPr>
          <w:rFonts w:ascii="Times New Roman" w:hAnsi="Times New Roman" w:cs="Times New Roman"/>
        </w:rPr>
        <w:t>SSB plans to develop reports and analyses using these data to examine trends and relationships in the data to better inform policy and understanding of the commercial fishing sector in the Northeast</w:t>
      </w:r>
      <w:r>
        <w:rPr>
          <w:rFonts w:ascii="Times New Roman" w:hAnsi="Times New Roman" w:cs="Times New Roman"/>
        </w:rPr>
        <w:t xml:space="preserve"> Region</w:t>
      </w:r>
      <w:r w:rsidRPr="00DA1E47">
        <w:rPr>
          <w:rFonts w:ascii="Times New Roman" w:hAnsi="Times New Roman" w:cs="Times New Roman"/>
        </w:rPr>
        <w:t xml:space="preserve">. These reports will be provided to the public and many of the reports will be valuable to the New England and Mid-Atlantic Fishery Management Councils in their decision-making processes. </w:t>
      </w:r>
    </w:p>
    <w:p w14:paraId="384350E7" w14:textId="77777777" w:rsidR="00103624" w:rsidRPr="00DA1E47" w:rsidRDefault="00103624" w:rsidP="000B44D4">
      <w:pPr>
        <w:pStyle w:val="CM119"/>
        <w:spacing w:after="275" w:line="273" w:lineRule="atLeast"/>
        <w:rPr>
          <w:rFonts w:ascii="Times New Roman" w:hAnsi="Times New Roman" w:cs="Times New Roman"/>
        </w:rPr>
      </w:pPr>
      <w:r w:rsidRPr="00DA1E47">
        <w:rPr>
          <w:rFonts w:ascii="Times New Roman" w:hAnsi="Times New Roman" w:cs="Times New Roman"/>
          <w:u w:val="single"/>
        </w:rPr>
        <w:t xml:space="preserve">Type of Information Collected and Rationale </w:t>
      </w:r>
    </w:p>
    <w:p w14:paraId="09837CD2" w14:textId="65127ABA" w:rsidR="00103624" w:rsidRPr="00DA1E47" w:rsidRDefault="00103624" w:rsidP="00103624">
      <w:pPr>
        <w:pStyle w:val="CM119"/>
        <w:spacing w:after="275" w:line="278" w:lineRule="atLeast"/>
        <w:ind w:right="157"/>
        <w:rPr>
          <w:rFonts w:ascii="Times New Roman" w:hAnsi="Times New Roman" w:cs="Times New Roman"/>
        </w:rPr>
      </w:pPr>
      <w:r w:rsidRPr="00DA1E47">
        <w:rPr>
          <w:rFonts w:ascii="Times New Roman" w:hAnsi="Times New Roman" w:cs="Times New Roman"/>
        </w:rPr>
        <w:t>Th</w:t>
      </w:r>
      <w:r>
        <w:rPr>
          <w:rFonts w:ascii="Times New Roman" w:hAnsi="Times New Roman" w:cs="Times New Roman"/>
        </w:rPr>
        <w:t>is</w:t>
      </w:r>
      <w:r w:rsidRPr="00DA1E47">
        <w:rPr>
          <w:rFonts w:ascii="Times New Roman" w:hAnsi="Times New Roman" w:cs="Times New Roman"/>
        </w:rPr>
        <w:t xml:space="preserve"> survey </w:t>
      </w:r>
      <w:r>
        <w:rPr>
          <w:rFonts w:ascii="Times New Roman" w:hAnsi="Times New Roman" w:cs="Times New Roman"/>
        </w:rPr>
        <w:t>is designed to obtain information from crew in the commercial fishing industry in the Northeastern U.S (Maine, New Hampshire, Massachusetts, Rhode Island, Connecticut, New York, New Jersey, Pennsylvania, Delaware, Maryland, Virginia, and North Carolina). Th</w:t>
      </w:r>
      <w:r w:rsidR="00B265AD">
        <w:rPr>
          <w:rFonts w:ascii="Times New Roman" w:hAnsi="Times New Roman" w:cs="Times New Roman"/>
        </w:rPr>
        <w:t>e survey protocol is organized into sections to help guide</w:t>
      </w:r>
      <w:r>
        <w:rPr>
          <w:rFonts w:ascii="Times New Roman" w:hAnsi="Times New Roman" w:cs="Times New Roman"/>
        </w:rPr>
        <w:t xml:space="preserve"> the collection of data. </w:t>
      </w:r>
      <w:r w:rsidRPr="00DA1E47">
        <w:rPr>
          <w:rFonts w:ascii="Times New Roman" w:hAnsi="Times New Roman" w:cs="Times New Roman"/>
        </w:rPr>
        <w:t xml:space="preserve">In what follows, we provide a brief description of the information being requested from the survey respondents and the reasons for collecting this information. </w:t>
      </w:r>
    </w:p>
    <w:p w14:paraId="14584208" w14:textId="77777777" w:rsidR="00103624" w:rsidRPr="00DA1E47" w:rsidRDefault="00103624" w:rsidP="00103624">
      <w:pPr>
        <w:pStyle w:val="CM119"/>
        <w:spacing w:after="275" w:line="280" w:lineRule="atLeast"/>
        <w:ind w:left="737"/>
        <w:rPr>
          <w:rFonts w:ascii="Times New Roman" w:hAnsi="Times New Roman" w:cs="Times New Roman"/>
        </w:rPr>
      </w:pPr>
      <w:r w:rsidRPr="00DA1E47">
        <w:rPr>
          <w:rFonts w:ascii="Times New Roman" w:hAnsi="Times New Roman" w:cs="Times New Roman"/>
          <w:i/>
          <w:iCs/>
        </w:rPr>
        <w:t xml:space="preserve">Primary fishery, fishing decisions, and vessel information </w:t>
      </w:r>
    </w:p>
    <w:p w14:paraId="18E9FA29" w14:textId="77777777" w:rsidR="00103624" w:rsidRPr="00DA1E47" w:rsidRDefault="00103624" w:rsidP="00103624">
      <w:pPr>
        <w:pStyle w:val="CM119"/>
        <w:spacing w:after="275" w:line="273" w:lineRule="atLeast"/>
        <w:rPr>
          <w:rFonts w:ascii="Times New Roman" w:hAnsi="Times New Roman" w:cs="Times New Roman"/>
        </w:rPr>
      </w:pPr>
      <w:r>
        <w:rPr>
          <w:rFonts w:ascii="Times New Roman" w:hAnsi="Times New Roman" w:cs="Times New Roman"/>
        </w:rPr>
        <w:t>The</w:t>
      </w:r>
      <w:r w:rsidRPr="00DA1E47">
        <w:rPr>
          <w:rFonts w:ascii="Times New Roman" w:hAnsi="Times New Roman" w:cs="Times New Roman"/>
        </w:rPr>
        <w:t xml:space="preserve"> survey ask</w:t>
      </w:r>
      <w:r>
        <w:rPr>
          <w:rFonts w:ascii="Times New Roman" w:hAnsi="Times New Roman" w:cs="Times New Roman"/>
        </w:rPr>
        <w:t>s</w:t>
      </w:r>
      <w:r w:rsidRPr="00DA1E47">
        <w:rPr>
          <w:rFonts w:ascii="Times New Roman" w:hAnsi="Times New Roman" w:cs="Times New Roman"/>
        </w:rPr>
        <w:t xml:space="preserve"> a series of questions that relate to the respondents’ primary fishery. </w:t>
      </w:r>
      <w:r>
        <w:rPr>
          <w:rFonts w:ascii="Times New Roman" w:hAnsi="Times New Roman" w:cs="Times New Roman"/>
        </w:rPr>
        <w:t>Specifically</w:t>
      </w:r>
      <w:r w:rsidRPr="00DA1E47">
        <w:rPr>
          <w:rFonts w:ascii="Times New Roman" w:hAnsi="Times New Roman" w:cs="Times New Roman"/>
        </w:rPr>
        <w:t xml:space="preserve">, </w:t>
      </w:r>
      <w:r w:rsidRPr="00BF233E">
        <w:rPr>
          <w:rFonts w:ascii="Times New Roman" w:hAnsi="Times New Roman" w:cs="Times New Roman"/>
        </w:rPr>
        <w:t xml:space="preserve">to identify which fishery they consider to be their primary fishery and why. </w:t>
      </w:r>
      <w:r>
        <w:rPr>
          <w:rFonts w:ascii="Times New Roman" w:hAnsi="Times New Roman" w:cs="Times New Roman"/>
        </w:rPr>
        <w:t>I</w:t>
      </w:r>
      <w:r w:rsidRPr="00DA1E47">
        <w:rPr>
          <w:rFonts w:ascii="Times New Roman" w:hAnsi="Times New Roman" w:cs="Times New Roman"/>
        </w:rPr>
        <w:t xml:space="preserve">t is important to understand what fishery a respondent considers to be his or her primary one to gauge how fishery management policies affect fishery participation decisions. Additionally, this information is useful in developing more precise sampling approaches in future years by allowing for better estimates of fishery participant populations based on self-reported primary fisheries. </w:t>
      </w:r>
    </w:p>
    <w:p w14:paraId="72954EDB" w14:textId="77777777" w:rsidR="00326B84" w:rsidRDefault="00103624" w:rsidP="00103624">
      <w:pPr>
        <w:pStyle w:val="CM119"/>
        <w:spacing w:after="275" w:line="276" w:lineRule="atLeast"/>
        <w:ind w:right="77"/>
        <w:rPr>
          <w:rFonts w:ascii="Times New Roman" w:hAnsi="Times New Roman" w:cs="Times New Roman"/>
        </w:rPr>
      </w:pPr>
      <w:r w:rsidRPr="00DA1E47">
        <w:rPr>
          <w:rFonts w:ascii="Times New Roman" w:hAnsi="Times New Roman" w:cs="Times New Roman"/>
        </w:rPr>
        <w:t xml:space="preserve">Information on fishing decisions such as trip length, number of crew, and ports are also helpful in understanding how fishery management policies affect the different sectors. Tracking </w:t>
      </w:r>
    </w:p>
    <w:p w14:paraId="632EB4C9" w14:textId="64FF1540" w:rsidR="00103624" w:rsidRPr="00DA1E47" w:rsidRDefault="00103624" w:rsidP="00103624">
      <w:pPr>
        <w:pStyle w:val="CM119"/>
        <w:spacing w:after="275" w:line="276" w:lineRule="atLeast"/>
        <w:ind w:right="77"/>
        <w:rPr>
          <w:rFonts w:ascii="Times New Roman" w:hAnsi="Times New Roman" w:cs="Times New Roman"/>
        </w:rPr>
      </w:pPr>
      <w:r w:rsidRPr="00DA1E47">
        <w:rPr>
          <w:rFonts w:ascii="Times New Roman" w:hAnsi="Times New Roman" w:cs="Times New Roman"/>
        </w:rPr>
        <w:t xml:space="preserve">changes in these factors in relation to changes in fishery management policies will allow for assessing how the policies have affected these decisions. </w:t>
      </w:r>
    </w:p>
    <w:p w14:paraId="11DA5E36" w14:textId="77777777" w:rsidR="00103624" w:rsidRPr="00D74E2A" w:rsidRDefault="00103624" w:rsidP="00103624">
      <w:pPr>
        <w:pStyle w:val="CM119"/>
        <w:spacing w:after="275" w:line="280" w:lineRule="atLeast"/>
        <w:ind w:left="737"/>
        <w:rPr>
          <w:rFonts w:ascii="Times New Roman" w:hAnsi="Times New Roman" w:cs="Times New Roman"/>
          <w:i/>
        </w:rPr>
      </w:pPr>
      <w:r w:rsidRPr="00D74E2A">
        <w:rPr>
          <w:rFonts w:ascii="Times New Roman" w:hAnsi="Times New Roman" w:cs="Times New Roman"/>
          <w:i/>
        </w:rPr>
        <w:t xml:space="preserve">Crew payment methods </w:t>
      </w:r>
    </w:p>
    <w:p w14:paraId="015CF345" w14:textId="77777777" w:rsidR="00103624" w:rsidRDefault="00103624" w:rsidP="00103624">
      <w:pPr>
        <w:pStyle w:val="CM15"/>
        <w:ind w:right="77"/>
        <w:rPr>
          <w:rFonts w:ascii="Times New Roman" w:hAnsi="Times New Roman" w:cs="Times New Roman"/>
        </w:rPr>
      </w:pPr>
      <w:r w:rsidRPr="00DA1E47">
        <w:rPr>
          <w:rFonts w:ascii="Times New Roman" w:hAnsi="Times New Roman" w:cs="Times New Roman"/>
        </w:rPr>
        <w:t xml:space="preserve">The nature of payment methods for crew on fishing vessels is unique and complex. Fishing crew are often paid a percentage of a trip’s catch value with deductions for various vessel expenses (e.g., fuel, food, etc.). </w:t>
      </w:r>
      <w:r w:rsidRPr="00BF233E">
        <w:rPr>
          <w:rFonts w:ascii="Times New Roman" w:hAnsi="Times New Roman" w:cs="Times New Roman"/>
        </w:rPr>
        <w:t>Crew payment methods reflect the contractual employment relation between crew and owners and ultimately the income earned by crew</w:t>
      </w:r>
      <w:r w:rsidRPr="00DA1E47">
        <w:rPr>
          <w:rFonts w:ascii="Times New Roman" w:hAnsi="Times New Roman" w:cs="Times New Roman"/>
        </w:rPr>
        <w:t>. Collecting this information is important for two reasons. First, a variety of methods are used (e.g., different formulas, deductions, etc.) and SSB is seeking to be able to better understand the breadth of payment structures in the industry. Second, these payment methods may change over time (e.g., in response to changes in fishery management policies)</w:t>
      </w:r>
      <w:r>
        <w:rPr>
          <w:rFonts w:ascii="Times New Roman" w:hAnsi="Times New Roman" w:cs="Times New Roman"/>
        </w:rPr>
        <w:t>,</w:t>
      </w:r>
      <w:r w:rsidRPr="00DA1E47">
        <w:rPr>
          <w:rFonts w:ascii="Times New Roman" w:hAnsi="Times New Roman" w:cs="Times New Roman"/>
        </w:rPr>
        <w:t xml:space="preserve"> which may result in significant impacts on fishing crew livelihoods. </w:t>
      </w:r>
    </w:p>
    <w:p w14:paraId="65ED53A3" w14:textId="77777777" w:rsidR="00103624" w:rsidRDefault="00103624" w:rsidP="00103624">
      <w:pPr>
        <w:pStyle w:val="Default"/>
      </w:pPr>
    </w:p>
    <w:p w14:paraId="5CAE8F8C" w14:textId="77777777" w:rsidR="00103624" w:rsidRPr="005A341C" w:rsidRDefault="00103624" w:rsidP="00103624">
      <w:pPr>
        <w:pStyle w:val="Default"/>
        <w:ind w:firstLine="720"/>
        <w:rPr>
          <w:rFonts w:ascii="Times New Roman" w:hAnsi="Times New Roman" w:cs="Times New Roman"/>
          <w:i/>
        </w:rPr>
      </w:pPr>
      <w:r w:rsidRPr="005A341C">
        <w:rPr>
          <w:rFonts w:ascii="Times New Roman" w:hAnsi="Times New Roman" w:cs="Times New Roman"/>
          <w:i/>
        </w:rPr>
        <w:t>Employment opportunities</w:t>
      </w:r>
    </w:p>
    <w:p w14:paraId="2FC5D26A" w14:textId="77777777" w:rsidR="00103624" w:rsidRDefault="00103624" w:rsidP="00103624">
      <w:pPr>
        <w:pStyle w:val="Default"/>
        <w:rPr>
          <w:rFonts w:ascii="Times New Roman" w:hAnsi="Times New Roman" w:cs="Times New Roman"/>
        </w:rPr>
      </w:pPr>
    </w:p>
    <w:p w14:paraId="5325FD34" w14:textId="77777777" w:rsidR="00103624" w:rsidRPr="001660C6" w:rsidRDefault="00103624" w:rsidP="00103624">
      <w:pPr>
        <w:pStyle w:val="Default"/>
        <w:rPr>
          <w:rFonts w:ascii="Times New Roman" w:hAnsi="Times New Roman" w:cs="Times New Roman"/>
        </w:rPr>
      </w:pPr>
      <w:r>
        <w:rPr>
          <w:rFonts w:ascii="Times New Roman" w:hAnsi="Times New Roman" w:cs="Times New Roman"/>
        </w:rPr>
        <w:t xml:space="preserve">The survey asks a number of questions related to employment opportunities such as the difficulty in finding employment, number of years with the same vessel/owner, and how they found their current position. These questions will allow SSB to track the impact that fishery management policies have on employment opportunities and to track these trends. </w:t>
      </w:r>
    </w:p>
    <w:p w14:paraId="736FA5C7" w14:textId="77777777" w:rsidR="00103624" w:rsidRPr="005A341C" w:rsidRDefault="00103624" w:rsidP="00103624">
      <w:pPr>
        <w:pStyle w:val="Default"/>
      </w:pPr>
    </w:p>
    <w:p w14:paraId="1D37C718" w14:textId="77777777" w:rsidR="00103624" w:rsidRPr="00DA1E47" w:rsidRDefault="00103624" w:rsidP="00103624">
      <w:pPr>
        <w:pStyle w:val="CM119"/>
        <w:spacing w:after="275" w:line="280" w:lineRule="atLeast"/>
        <w:ind w:left="737"/>
        <w:rPr>
          <w:rFonts w:ascii="Times New Roman" w:hAnsi="Times New Roman" w:cs="Times New Roman"/>
        </w:rPr>
      </w:pPr>
      <w:r w:rsidRPr="00DA1E47">
        <w:rPr>
          <w:rFonts w:ascii="Times New Roman" w:hAnsi="Times New Roman" w:cs="Times New Roman"/>
          <w:i/>
          <w:iCs/>
        </w:rPr>
        <w:t xml:space="preserve">Fishing income information </w:t>
      </w:r>
    </w:p>
    <w:p w14:paraId="7FDDAAAC" w14:textId="77777777" w:rsidR="00103624" w:rsidRPr="00DA1E47" w:rsidRDefault="00103624" w:rsidP="00103624">
      <w:pPr>
        <w:pStyle w:val="CM119"/>
        <w:spacing w:after="275" w:line="273" w:lineRule="atLeast"/>
        <w:rPr>
          <w:rFonts w:ascii="Times New Roman" w:hAnsi="Times New Roman" w:cs="Times New Roman"/>
        </w:rPr>
      </w:pPr>
      <w:r>
        <w:rPr>
          <w:rFonts w:ascii="Times New Roman" w:hAnsi="Times New Roman" w:cs="Times New Roman"/>
        </w:rPr>
        <w:t>This survey</w:t>
      </w:r>
      <w:r w:rsidRPr="00DA1E47">
        <w:rPr>
          <w:rFonts w:ascii="Times New Roman" w:hAnsi="Times New Roman" w:cs="Times New Roman"/>
        </w:rPr>
        <w:t xml:space="preserve"> ask</w:t>
      </w:r>
      <w:r>
        <w:rPr>
          <w:rFonts w:ascii="Times New Roman" w:hAnsi="Times New Roman" w:cs="Times New Roman"/>
        </w:rPr>
        <w:t>s</w:t>
      </w:r>
      <w:r w:rsidRPr="00DA1E47">
        <w:rPr>
          <w:rFonts w:ascii="Times New Roman" w:hAnsi="Times New Roman" w:cs="Times New Roman"/>
        </w:rPr>
        <w:t xml:space="preserve"> about the extent to which </w:t>
      </w:r>
      <w:r>
        <w:rPr>
          <w:rFonts w:ascii="Times New Roman" w:hAnsi="Times New Roman" w:cs="Times New Roman"/>
        </w:rPr>
        <w:t xml:space="preserve">commercial </w:t>
      </w:r>
      <w:r w:rsidRPr="00DA1E47">
        <w:rPr>
          <w:rFonts w:ascii="Times New Roman" w:hAnsi="Times New Roman" w:cs="Times New Roman"/>
        </w:rPr>
        <w:t xml:space="preserve">fishing represents a key component of respondents’ income, other sources of income, and extent to which current fishing income could sustain respondents’ over the short, medium, and long term. These </w:t>
      </w:r>
      <w:r w:rsidRPr="005A341C">
        <w:rPr>
          <w:rFonts w:ascii="Times New Roman" w:hAnsi="Times New Roman" w:cs="Times New Roman"/>
        </w:rPr>
        <w:t>questions are essential information in assessing the extent to which fishing represents a viable career</w:t>
      </w:r>
      <w:r>
        <w:rPr>
          <w:rFonts w:ascii="Times New Roman" w:hAnsi="Times New Roman" w:cs="Times New Roman"/>
        </w:rPr>
        <w:t xml:space="preserve"> for crew</w:t>
      </w:r>
      <w:r w:rsidRPr="005A341C">
        <w:rPr>
          <w:rFonts w:ascii="Times New Roman" w:hAnsi="Times New Roman" w:cs="Times New Roman"/>
        </w:rPr>
        <w:t xml:space="preserve">. </w:t>
      </w:r>
    </w:p>
    <w:p w14:paraId="75E98935" w14:textId="77777777" w:rsidR="00103624" w:rsidRPr="006F6776" w:rsidRDefault="00103624" w:rsidP="00103624">
      <w:pPr>
        <w:pStyle w:val="CM119"/>
        <w:spacing w:after="275" w:line="280" w:lineRule="atLeast"/>
        <w:ind w:left="737"/>
        <w:rPr>
          <w:rFonts w:ascii="Times New Roman" w:hAnsi="Times New Roman" w:cs="Times New Roman"/>
          <w:i/>
        </w:rPr>
      </w:pPr>
      <w:r w:rsidRPr="006F6776">
        <w:rPr>
          <w:rFonts w:ascii="Times New Roman" w:hAnsi="Times New Roman" w:cs="Times New Roman"/>
          <w:i/>
        </w:rPr>
        <w:t xml:space="preserve">Insurance </w:t>
      </w:r>
    </w:p>
    <w:p w14:paraId="1B41B8DB"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rPr>
        <w:t xml:space="preserve">The survey asks a number of questions about respondents’ insurance (health, vessel, etc.). Living or operating without insurance represents a risk to commercial fishermen. Not having insurance often indicates an </w:t>
      </w:r>
      <w:r w:rsidRPr="006F6776">
        <w:rPr>
          <w:rFonts w:ascii="Times New Roman" w:hAnsi="Times New Roman" w:cs="Times New Roman"/>
        </w:rPr>
        <w:t>inability to afford the insurance</w:t>
      </w:r>
      <w:r w:rsidRPr="00DA1E47">
        <w:rPr>
          <w:rFonts w:ascii="Times New Roman" w:hAnsi="Times New Roman" w:cs="Times New Roman"/>
        </w:rPr>
        <w:t xml:space="preserve">. Tracking trends in the extent to which owners and crew carry insurance provides an indication of the health of the fishing industry and of fishing as an occupation. </w:t>
      </w:r>
    </w:p>
    <w:p w14:paraId="435D741D" w14:textId="77777777" w:rsidR="00103624" w:rsidRPr="00DA1E47" w:rsidRDefault="00103624" w:rsidP="00103624">
      <w:pPr>
        <w:pStyle w:val="CM119"/>
        <w:spacing w:after="275" w:line="280" w:lineRule="atLeast"/>
        <w:ind w:left="737"/>
        <w:rPr>
          <w:rFonts w:ascii="Times New Roman" w:hAnsi="Times New Roman" w:cs="Times New Roman"/>
        </w:rPr>
      </w:pPr>
      <w:r w:rsidRPr="00DA1E47">
        <w:rPr>
          <w:rFonts w:ascii="Times New Roman" w:hAnsi="Times New Roman" w:cs="Times New Roman"/>
          <w:i/>
          <w:iCs/>
        </w:rPr>
        <w:t xml:space="preserve">Family involvement </w:t>
      </w:r>
    </w:p>
    <w:p w14:paraId="733C4C1B"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rPr>
        <w:t xml:space="preserve">Fishing has long been considered a family-oriented career and generations of families have often been involved in fishing. Thus, a </w:t>
      </w:r>
      <w:r w:rsidRPr="000D3D17">
        <w:rPr>
          <w:rFonts w:ascii="Times New Roman" w:hAnsi="Times New Roman" w:cs="Times New Roman"/>
        </w:rPr>
        <w:t>key social aspect of fishing is the trend away from fishing as a family-oriented business and occupation</w:t>
      </w:r>
      <w:r w:rsidRPr="00DA1E47">
        <w:rPr>
          <w:rFonts w:ascii="Times New Roman" w:hAnsi="Times New Roman" w:cs="Times New Roman"/>
        </w:rPr>
        <w:t xml:space="preserve">. The survey asks a series of questions about respondents’ family involvement in fishing. Tracking changes in family involvement is important to better understand the changing social landscape of fishing. Additionally, fishery management policies may have an impact of the familial nature of fishing and tracking trends in family involvement relative to fishery policies is also important. </w:t>
      </w:r>
    </w:p>
    <w:p w14:paraId="6B40A443" w14:textId="77777777" w:rsidR="00103624" w:rsidRPr="00DA1E47" w:rsidRDefault="00103624" w:rsidP="00103624">
      <w:pPr>
        <w:pStyle w:val="CM119"/>
        <w:spacing w:after="275" w:line="280" w:lineRule="atLeast"/>
        <w:ind w:left="737"/>
        <w:rPr>
          <w:rFonts w:ascii="Times New Roman" w:hAnsi="Times New Roman" w:cs="Times New Roman"/>
        </w:rPr>
      </w:pPr>
      <w:r w:rsidRPr="00DA1E47">
        <w:rPr>
          <w:rFonts w:ascii="Times New Roman" w:hAnsi="Times New Roman" w:cs="Times New Roman"/>
          <w:i/>
          <w:iCs/>
        </w:rPr>
        <w:t xml:space="preserve">Job satisfaction and quality of life </w:t>
      </w:r>
    </w:p>
    <w:p w14:paraId="29EA934E" w14:textId="77777777" w:rsidR="00103624" w:rsidRPr="00DA1E47" w:rsidRDefault="00103624" w:rsidP="00103624">
      <w:pPr>
        <w:pStyle w:val="CM118"/>
        <w:spacing w:after="275" w:line="276" w:lineRule="atLeast"/>
        <w:ind w:right="77"/>
      </w:pPr>
      <w:r>
        <w:rPr>
          <w:rFonts w:ascii="Times New Roman" w:hAnsi="Times New Roman" w:cs="Times New Roman"/>
        </w:rPr>
        <w:t>This</w:t>
      </w:r>
      <w:r w:rsidRPr="00DA1E47">
        <w:rPr>
          <w:rFonts w:ascii="Times New Roman" w:hAnsi="Times New Roman" w:cs="Times New Roman"/>
        </w:rPr>
        <w:t xml:space="preserve"> survey ask</w:t>
      </w:r>
      <w:r>
        <w:rPr>
          <w:rFonts w:ascii="Times New Roman" w:hAnsi="Times New Roman" w:cs="Times New Roman"/>
        </w:rPr>
        <w:t>s</w:t>
      </w:r>
      <w:r w:rsidRPr="00DA1E47">
        <w:rPr>
          <w:rFonts w:ascii="Times New Roman" w:hAnsi="Times New Roman" w:cs="Times New Roman"/>
        </w:rPr>
        <w:t xml:space="preserve"> a series of questions related </w:t>
      </w:r>
      <w:r>
        <w:rPr>
          <w:rFonts w:ascii="Times New Roman" w:hAnsi="Times New Roman" w:cs="Times New Roman"/>
        </w:rPr>
        <w:t xml:space="preserve">to </w:t>
      </w:r>
      <w:r w:rsidRPr="00DA1E47">
        <w:rPr>
          <w:rFonts w:ascii="Times New Roman" w:hAnsi="Times New Roman" w:cs="Times New Roman"/>
        </w:rPr>
        <w:t xml:space="preserve">job and career satisfaction and how well respondents perceive their </w:t>
      </w:r>
      <w:r w:rsidRPr="000D3D17">
        <w:rPr>
          <w:rFonts w:ascii="Times New Roman" w:hAnsi="Times New Roman" w:cs="Times New Roman"/>
        </w:rPr>
        <w:t>quality of life</w:t>
      </w:r>
      <w:r w:rsidRPr="00DA1E47">
        <w:rPr>
          <w:rFonts w:ascii="Times New Roman" w:hAnsi="Times New Roman" w:cs="Times New Roman"/>
        </w:rPr>
        <w:t xml:space="preserve">. Tracking trends in these areas will allow SSB to assess the extent to which “life as a fisherman” is improving or declining and the extent to which fishing management policies are improving or hurting “life as a fisherman.” </w:t>
      </w:r>
      <w:r w:rsidRPr="00DA1E47">
        <w:t xml:space="preserve"> </w:t>
      </w:r>
    </w:p>
    <w:p w14:paraId="2721DFA5" w14:textId="642A96CF" w:rsidR="00103624" w:rsidRPr="00DA1E47" w:rsidRDefault="00103624" w:rsidP="00103624">
      <w:pPr>
        <w:pStyle w:val="CM119"/>
        <w:spacing w:after="275"/>
        <w:ind w:firstLine="720"/>
        <w:rPr>
          <w:rFonts w:ascii="Times New Roman" w:hAnsi="Times New Roman" w:cs="Times New Roman"/>
        </w:rPr>
      </w:pPr>
      <w:r w:rsidRPr="00DA1E47">
        <w:rPr>
          <w:rFonts w:ascii="Times New Roman" w:hAnsi="Times New Roman" w:cs="Times New Roman"/>
          <w:i/>
          <w:iCs/>
        </w:rPr>
        <w:t xml:space="preserve">Governance </w:t>
      </w:r>
    </w:p>
    <w:p w14:paraId="598D7B48"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rPr>
        <w:t xml:space="preserve">Fish are a managed resource and the management process itself is complex and involves significant public participation. </w:t>
      </w:r>
      <w:r w:rsidRPr="00875DC6">
        <w:rPr>
          <w:rFonts w:ascii="Times New Roman" w:hAnsi="Times New Roman" w:cs="Times New Roman"/>
        </w:rPr>
        <w:t>The survey asks a series of questions about the extent to which respondents take part in the management process and their view of the process in terms of its equity, understandability, restrictiveness, adaptability, effectiveness, and other aspects</w:t>
      </w:r>
      <w:r w:rsidRPr="00DA1E47">
        <w:rPr>
          <w:rFonts w:ascii="Times New Roman" w:hAnsi="Times New Roman" w:cs="Times New Roman"/>
        </w:rPr>
        <w:t>. These questions will allow SSB to better understand perceptions of the fishery management process for different fisheries</w:t>
      </w:r>
      <w:r>
        <w:rPr>
          <w:rFonts w:ascii="Times New Roman" w:hAnsi="Times New Roman" w:cs="Times New Roman"/>
        </w:rPr>
        <w:t xml:space="preserve">, </w:t>
      </w:r>
      <w:r w:rsidRPr="00DA1E47">
        <w:rPr>
          <w:rFonts w:ascii="Times New Roman" w:hAnsi="Times New Roman" w:cs="Times New Roman"/>
        </w:rPr>
        <w:t>which are governed by different management policies</w:t>
      </w:r>
      <w:r>
        <w:rPr>
          <w:rFonts w:ascii="Times New Roman" w:hAnsi="Times New Roman" w:cs="Times New Roman"/>
        </w:rPr>
        <w:t>,</w:t>
      </w:r>
      <w:r w:rsidRPr="00DA1E47">
        <w:rPr>
          <w:rFonts w:ascii="Times New Roman" w:hAnsi="Times New Roman" w:cs="Times New Roman"/>
        </w:rPr>
        <w:t xml:space="preserve"> and to track trends in perceptions over time, especially in relation to changes in management policies. </w:t>
      </w:r>
    </w:p>
    <w:p w14:paraId="23BF57CB" w14:textId="77777777" w:rsidR="00103624" w:rsidRPr="00DA1E47" w:rsidRDefault="00103624" w:rsidP="00103624">
      <w:pPr>
        <w:pStyle w:val="CM119"/>
        <w:spacing w:after="275" w:line="280" w:lineRule="atLeast"/>
        <w:ind w:left="737"/>
        <w:rPr>
          <w:rFonts w:ascii="Times New Roman" w:hAnsi="Times New Roman" w:cs="Times New Roman"/>
        </w:rPr>
      </w:pPr>
      <w:r w:rsidRPr="00DA1E47">
        <w:rPr>
          <w:rFonts w:ascii="Times New Roman" w:hAnsi="Times New Roman" w:cs="Times New Roman"/>
          <w:i/>
          <w:iCs/>
        </w:rPr>
        <w:t xml:space="preserve">Conservation attitudes and perceptions of resource health </w:t>
      </w:r>
    </w:p>
    <w:p w14:paraId="7E97CA07" w14:textId="77777777" w:rsidR="00103624" w:rsidRPr="00DA1E47" w:rsidRDefault="00103624" w:rsidP="00103624">
      <w:pPr>
        <w:pStyle w:val="CM119"/>
        <w:spacing w:after="275" w:line="278" w:lineRule="atLeast"/>
        <w:ind w:right="157"/>
        <w:rPr>
          <w:rFonts w:ascii="Times New Roman" w:hAnsi="Times New Roman" w:cs="Times New Roman"/>
        </w:rPr>
      </w:pPr>
      <w:r>
        <w:rPr>
          <w:rFonts w:ascii="Times New Roman" w:hAnsi="Times New Roman" w:cs="Times New Roman"/>
        </w:rPr>
        <w:t>C</w:t>
      </w:r>
      <w:r w:rsidRPr="00DA1E47">
        <w:rPr>
          <w:rFonts w:ascii="Times New Roman" w:hAnsi="Times New Roman" w:cs="Times New Roman"/>
        </w:rPr>
        <w:t xml:space="preserve">rew </w:t>
      </w:r>
      <w:r w:rsidRPr="00875DC6">
        <w:rPr>
          <w:rFonts w:ascii="Times New Roman" w:hAnsi="Times New Roman" w:cs="Times New Roman"/>
        </w:rPr>
        <w:t>attitudes toward conservation are important for understanding how well the resource (fish) can be managed through the fishery management process</w:t>
      </w:r>
      <w:r w:rsidRPr="00DA1E47">
        <w:rPr>
          <w:rFonts w:ascii="Times New Roman" w:hAnsi="Times New Roman" w:cs="Times New Roman"/>
        </w:rPr>
        <w:t xml:space="preserve">. The survey will allow SSB to track trends in these attitudes over time and to assess how well different management approaches may work and whether changes in management approaches affected attitudes. </w:t>
      </w:r>
    </w:p>
    <w:p w14:paraId="202E7318"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rPr>
        <w:t xml:space="preserve">Related to conservation attitudes are </w:t>
      </w:r>
      <w:r w:rsidRPr="00875DC6">
        <w:rPr>
          <w:rFonts w:ascii="Times New Roman" w:hAnsi="Times New Roman" w:cs="Times New Roman"/>
        </w:rPr>
        <w:t>perceptions of the health of the resource</w:t>
      </w:r>
      <w:r w:rsidRPr="00DA1E47">
        <w:rPr>
          <w:rFonts w:ascii="Times New Roman" w:hAnsi="Times New Roman" w:cs="Times New Roman"/>
        </w:rPr>
        <w:t xml:space="preserve">. NOAA collects scientific data on resource health, but perceptions of resource health are also important. Restrictions placed on fisheries where there is a perception that the resource is healthy may involve significant public opposition. Additionally, fishermen perceptions of resource health may provide important </w:t>
      </w:r>
      <w:r w:rsidRPr="00875DC6">
        <w:rPr>
          <w:rFonts w:ascii="Times New Roman" w:hAnsi="Times New Roman" w:cs="Times New Roman"/>
        </w:rPr>
        <w:t>information on the actual resource health since they are interacting with the resource on a regular basis</w:t>
      </w:r>
      <w:r w:rsidRPr="00DA1E47">
        <w:rPr>
          <w:rFonts w:ascii="Times New Roman" w:hAnsi="Times New Roman" w:cs="Times New Roman"/>
        </w:rPr>
        <w:t xml:space="preserve">. </w:t>
      </w:r>
    </w:p>
    <w:p w14:paraId="31021FA2" w14:textId="77777777" w:rsidR="00103624" w:rsidRPr="00DA1E47" w:rsidRDefault="00103624" w:rsidP="00103624">
      <w:pPr>
        <w:pStyle w:val="CM119"/>
        <w:spacing w:after="275" w:line="280" w:lineRule="atLeast"/>
        <w:ind w:left="737"/>
        <w:rPr>
          <w:rFonts w:ascii="Times New Roman" w:hAnsi="Times New Roman" w:cs="Times New Roman"/>
        </w:rPr>
      </w:pPr>
      <w:r w:rsidRPr="00DA1E47">
        <w:rPr>
          <w:rFonts w:ascii="Times New Roman" w:hAnsi="Times New Roman" w:cs="Times New Roman"/>
          <w:i/>
          <w:iCs/>
        </w:rPr>
        <w:t xml:space="preserve">Demographics </w:t>
      </w:r>
    </w:p>
    <w:p w14:paraId="3984615E" w14:textId="77777777" w:rsidR="00103624" w:rsidRPr="00DA1E47" w:rsidRDefault="00103624" w:rsidP="00103624">
      <w:pPr>
        <w:pStyle w:val="CM119"/>
        <w:spacing w:after="275" w:line="276" w:lineRule="atLeast"/>
        <w:ind w:right="77"/>
        <w:rPr>
          <w:rFonts w:ascii="Times New Roman" w:hAnsi="Times New Roman" w:cs="Times New Roman"/>
        </w:rPr>
      </w:pPr>
      <w:r w:rsidRPr="00DA1E47">
        <w:rPr>
          <w:rFonts w:ascii="Times New Roman" w:hAnsi="Times New Roman" w:cs="Times New Roman"/>
        </w:rPr>
        <w:t xml:space="preserve">Collecting information on respondent demographics is important for two reasons. First, it will allow for better interpretation of the data that are collected. Second, trends in demographics </w:t>
      </w:r>
      <w:r>
        <w:rPr>
          <w:rFonts w:ascii="Times New Roman" w:hAnsi="Times New Roman" w:cs="Times New Roman"/>
        </w:rPr>
        <w:t xml:space="preserve">(e.g., </w:t>
      </w:r>
      <w:r w:rsidRPr="00DA1E47">
        <w:rPr>
          <w:rFonts w:ascii="Times New Roman" w:hAnsi="Times New Roman" w:cs="Times New Roman"/>
        </w:rPr>
        <w:t>age, income, ethnic group, etc.</w:t>
      </w:r>
      <w:r>
        <w:rPr>
          <w:rFonts w:ascii="Times New Roman" w:hAnsi="Times New Roman" w:cs="Times New Roman"/>
        </w:rPr>
        <w:t>)</w:t>
      </w:r>
      <w:r w:rsidRPr="00DA1E47">
        <w:rPr>
          <w:rFonts w:ascii="Times New Roman" w:hAnsi="Times New Roman" w:cs="Times New Roman"/>
        </w:rPr>
        <w:t xml:space="preserve"> can be tracked to assess how the demographic composition of the industry is changing over time, especially in response to changes in fishery management policies. </w:t>
      </w:r>
    </w:p>
    <w:p w14:paraId="269832FC"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u w:val="single"/>
        </w:rPr>
        <w:t xml:space="preserve">Public Dissemination </w:t>
      </w:r>
    </w:p>
    <w:p w14:paraId="37E8AD3D" w14:textId="77777777" w:rsidR="00103624" w:rsidRPr="00DA1E47" w:rsidRDefault="00103624" w:rsidP="00103624">
      <w:pPr>
        <w:pStyle w:val="CM13"/>
        <w:ind w:right="157"/>
        <w:rPr>
          <w:rFonts w:ascii="Times New Roman" w:hAnsi="Times New Roman" w:cs="Times New Roman"/>
        </w:rPr>
      </w:pPr>
      <w:r w:rsidRPr="00DA1E47">
        <w:rPr>
          <w:rFonts w:ascii="Times New Roman" w:hAnsi="Times New Roman" w:cs="Times New Roman"/>
        </w:rPr>
        <w:t xml:space="preserve">It is anticipated that the information collected will be disseminated to the public or used to support publicly disseminated information. As explained in the preceding paragraphs, the information gathered has utility. NOAA’s </w:t>
      </w:r>
      <w:r>
        <w:rPr>
          <w:rFonts w:ascii="Times New Roman" w:hAnsi="Times New Roman" w:cs="Times New Roman"/>
        </w:rPr>
        <w:t>SSB</w:t>
      </w:r>
      <w:r w:rsidRPr="00DA1E47">
        <w:rPr>
          <w:rFonts w:ascii="Times New Roman" w:hAnsi="Times New Roman" w:cs="Times New Roman"/>
        </w:rPr>
        <w:t xml:space="preserve"> in Woods Hole, MA will retain control over the information and safeguard it from improper access, modification, and destruction, consistent with NOAA standards for privacy and electronic information. See response to Question 10 of this Supporting Statement for more information on privacy. The information collection is designed to yield data that meet all applicable information quality guidelines. Prior to dissemination, the information will be subjected to quality control measures and a pre-dissemination review pursuant to </w:t>
      </w:r>
      <w:r w:rsidRPr="00DA1E47">
        <w:rPr>
          <w:rFonts w:ascii="Times New Roman" w:hAnsi="Times New Roman" w:cs="Times New Roman"/>
          <w:color w:val="0000FF"/>
          <w:u w:val="single"/>
        </w:rPr>
        <w:t>Section 515 of Public Law 106-554</w:t>
      </w:r>
      <w:r w:rsidRPr="00DA1E47">
        <w:rPr>
          <w:rFonts w:ascii="Times New Roman" w:hAnsi="Times New Roman" w:cs="Times New Roman"/>
        </w:rPr>
        <w:t xml:space="preserve">. </w:t>
      </w:r>
    </w:p>
    <w:p w14:paraId="744ABFC5" w14:textId="77777777" w:rsidR="00103624" w:rsidRDefault="00103624" w:rsidP="00103624">
      <w:pPr>
        <w:pStyle w:val="CM119"/>
        <w:spacing w:after="275" w:line="276" w:lineRule="atLeast"/>
        <w:ind w:right="288"/>
        <w:rPr>
          <w:rFonts w:ascii="Times New Roman" w:hAnsi="Times New Roman" w:cs="Times New Roman"/>
          <w:b/>
          <w:bCs/>
        </w:rPr>
      </w:pPr>
    </w:p>
    <w:p w14:paraId="72ABD4C3" w14:textId="6150F853" w:rsidR="00103624" w:rsidRPr="00DA1E47" w:rsidRDefault="00326B84" w:rsidP="00103624">
      <w:pPr>
        <w:pStyle w:val="CM119"/>
        <w:spacing w:after="275" w:line="276" w:lineRule="atLeast"/>
        <w:ind w:right="288"/>
        <w:rPr>
          <w:rFonts w:ascii="Times New Roman" w:hAnsi="Times New Roman" w:cs="Times New Roman"/>
        </w:rPr>
      </w:pPr>
      <w:r>
        <w:rPr>
          <w:rFonts w:ascii="Times New Roman" w:hAnsi="Times New Roman" w:cs="Times New Roman"/>
          <w:b/>
          <w:bCs/>
        </w:rPr>
        <w:t>3</w:t>
      </w:r>
      <w:r w:rsidR="00103624" w:rsidRPr="00DA1E47">
        <w:rPr>
          <w:rFonts w:ascii="Times New Roman" w:hAnsi="Times New Roman" w:cs="Times New Roman"/>
          <w:b/>
          <w:bCs/>
        </w:rPr>
        <w:t xml:space="preserve">. </w:t>
      </w:r>
      <w:r w:rsidR="00103624" w:rsidRPr="00DA1E47">
        <w:rPr>
          <w:rFonts w:ascii="Times New Roman" w:hAnsi="Times New Roman" w:cs="Times New Roman"/>
          <w:b/>
          <w:bCs/>
          <w:u w:val="single"/>
        </w:rPr>
        <w:t>Describe whether, and to what extent, the collection of information involves the use of automated, electronic, mechanical, or other technological techniques or other forms of information technology</w:t>
      </w:r>
      <w:r w:rsidR="00103624" w:rsidRPr="00DA1E47">
        <w:rPr>
          <w:rFonts w:ascii="Times New Roman" w:hAnsi="Times New Roman" w:cs="Times New Roman"/>
          <w:b/>
          <w:bCs/>
        </w:rPr>
        <w:t xml:space="preserve">. </w:t>
      </w:r>
    </w:p>
    <w:p w14:paraId="450E21C5" w14:textId="56C14408" w:rsidR="00103624" w:rsidRDefault="00103624" w:rsidP="00103624">
      <w:pPr>
        <w:pStyle w:val="Default"/>
        <w:rPr>
          <w:rFonts w:ascii="Times New Roman" w:hAnsi="Times New Roman" w:cs="Times New Roman"/>
        </w:rPr>
      </w:pPr>
      <w:r w:rsidRPr="00DA1E47">
        <w:rPr>
          <w:rFonts w:ascii="Times New Roman" w:hAnsi="Times New Roman" w:cs="Times New Roman"/>
        </w:rPr>
        <w:t xml:space="preserve">The data being collected under this survey will involve </w:t>
      </w:r>
      <w:r>
        <w:rPr>
          <w:rFonts w:ascii="Times New Roman" w:hAnsi="Times New Roman" w:cs="Times New Roman"/>
        </w:rPr>
        <w:t xml:space="preserve">some use of technology. Specifically, tablets will be used to record respondents’ answers to the survey questions. This will not only improve the accuracy of recording respondents’ answers but it will also reduce the amount of data cleaning and organizing required to prepare for analysis. </w:t>
      </w:r>
    </w:p>
    <w:p w14:paraId="4F5BD520" w14:textId="110C0DE3" w:rsidR="00AA11E4" w:rsidRDefault="00AA11E4" w:rsidP="00103624">
      <w:pPr>
        <w:pStyle w:val="Default"/>
        <w:rPr>
          <w:rFonts w:ascii="Times New Roman" w:hAnsi="Times New Roman" w:cs="Times New Roman"/>
        </w:rPr>
      </w:pPr>
    </w:p>
    <w:p w14:paraId="5C24A554" w14:textId="21007E94" w:rsidR="00733BC5" w:rsidRDefault="00AA11E4" w:rsidP="00733BC5">
      <w:pPr>
        <w:pStyle w:val="CM119"/>
        <w:spacing w:line="276" w:lineRule="atLeast"/>
        <w:ind w:right="475"/>
        <w:contextualSpacing/>
      </w:pPr>
      <w:r w:rsidRPr="00F5428C">
        <w:rPr>
          <w:rFonts w:ascii="Times New Roman" w:hAnsi="Times New Roman" w:cs="Times New Roman"/>
        </w:rPr>
        <w:t>SSB will also utilize freely available survey software in order to implement surveys on tablet</w:t>
      </w:r>
      <w:r>
        <w:rPr>
          <w:rFonts w:ascii="Times New Roman" w:hAnsi="Times New Roman" w:cs="Times New Roman"/>
        </w:rPr>
        <w:t xml:space="preserve"> </w:t>
      </w:r>
      <w:r w:rsidRPr="00F5428C">
        <w:rPr>
          <w:rFonts w:ascii="Times New Roman" w:hAnsi="Times New Roman" w:cs="Times New Roman"/>
        </w:rPr>
        <w:t>computers. This approach involves programming that will streamline survey implementation in</w:t>
      </w:r>
      <w:r>
        <w:rPr>
          <w:rFonts w:ascii="Times New Roman" w:hAnsi="Times New Roman" w:cs="Times New Roman"/>
        </w:rPr>
        <w:t xml:space="preserve"> </w:t>
      </w:r>
      <w:r w:rsidRPr="00F5428C">
        <w:rPr>
          <w:rFonts w:ascii="Times New Roman" w:hAnsi="Times New Roman" w:cs="Times New Roman"/>
        </w:rPr>
        <w:t>the field by incorporating question skip patterns, menus for answer options, and other ease of</w:t>
      </w:r>
      <w:r>
        <w:rPr>
          <w:rFonts w:ascii="Times New Roman" w:hAnsi="Times New Roman" w:cs="Times New Roman"/>
        </w:rPr>
        <w:t xml:space="preserve"> </w:t>
      </w:r>
      <w:r w:rsidRPr="00F5428C">
        <w:rPr>
          <w:rFonts w:ascii="Times New Roman" w:hAnsi="Times New Roman" w:cs="Times New Roman"/>
        </w:rPr>
        <w:t>access features common to survey software programs.</w:t>
      </w:r>
    </w:p>
    <w:p w14:paraId="2B04BA9D" w14:textId="77777777" w:rsidR="00733BC5" w:rsidRPr="00733BC5" w:rsidRDefault="00733BC5" w:rsidP="00733BC5">
      <w:pPr>
        <w:pStyle w:val="Default"/>
      </w:pPr>
    </w:p>
    <w:p w14:paraId="072CE92F" w14:textId="3FCAA4E4" w:rsidR="00103624" w:rsidRPr="00DA1E47" w:rsidRDefault="00103624" w:rsidP="00733BC5">
      <w:pPr>
        <w:pStyle w:val="CM119"/>
        <w:spacing w:line="273" w:lineRule="atLeast"/>
        <w:rPr>
          <w:rFonts w:ascii="Times New Roman" w:hAnsi="Times New Roman" w:cs="Times New Roman"/>
        </w:rPr>
      </w:pPr>
      <w:r w:rsidRPr="00DA1E47">
        <w:rPr>
          <w:rFonts w:ascii="Times New Roman" w:hAnsi="Times New Roman" w:cs="Times New Roman"/>
          <w:b/>
          <w:bCs/>
        </w:rPr>
        <w:t xml:space="preserve">4. </w:t>
      </w:r>
      <w:r w:rsidRPr="00DA1E47">
        <w:rPr>
          <w:rFonts w:ascii="Times New Roman" w:hAnsi="Times New Roman" w:cs="Times New Roman"/>
          <w:b/>
          <w:bCs/>
          <w:u w:val="single"/>
        </w:rPr>
        <w:t>Describe efforts to identify duplication</w:t>
      </w:r>
      <w:r w:rsidRPr="00DA1E47">
        <w:rPr>
          <w:rFonts w:ascii="Times New Roman" w:hAnsi="Times New Roman" w:cs="Times New Roman"/>
          <w:b/>
          <w:bCs/>
        </w:rPr>
        <w:t xml:space="preserve">. </w:t>
      </w:r>
    </w:p>
    <w:p w14:paraId="60FA64E6" w14:textId="53E756BE" w:rsidR="00103624" w:rsidRPr="00406D58" w:rsidRDefault="00506D05" w:rsidP="00103624">
      <w:pPr>
        <w:pStyle w:val="CM119"/>
        <w:spacing w:after="275" w:line="273" w:lineRule="atLeast"/>
        <w:rPr>
          <w:rFonts w:ascii="Times New Roman" w:hAnsi="Times New Roman" w:cs="Times New Roman"/>
        </w:rPr>
      </w:pPr>
      <w:r>
        <w:rPr>
          <w:rFonts w:ascii="Times New Roman" w:hAnsi="Times New Roman" w:cs="Times New Roman"/>
        </w:rPr>
        <w:br/>
      </w:r>
      <w:r w:rsidR="00406D58" w:rsidRPr="00406D58">
        <w:rPr>
          <w:rFonts w:ascii="Times New Roman" w:hAnsi="Times New Roman" w:cs="Times New Roman"/>
        </w:rPr>
        <w:t>W</w:t>
      </w:r>
      <w:r w:rsidR="00406D58">
        <w:rPr>
          <w:rFonts w:ascii="Times New Roman" w:hAnsi="Times New Roman" w:cs="Times New Roman"/>
        </w:rPr>
        <w:t xml:space="preserve">e are unaware of any other data collection efforts that would duplicate our efforts. </w:t>
      </w:r>
    </w:p>
    <w:p w14:paraId="00FDA792"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b/>
          <w:bCs/>
        </w:rPr>
        <w:t xml:space="preserve">5. </w:t>
      </w:r>
      <w:r w:rsidRPr="00DA1E47">
        <w:rPr>
          <w:rFonts w:ascii="Times New Roman" w:hAnsi="Times New Roman" w:cs="Times New Roman"/>
          <w:b/>
          <w:bCs/>
          <w:u w:val="single"/>
        </w:rPr>
        <w:t>If the collection of information involves small businesses or other small entities, describe the methods used to minimize burden</w:t>
      </w:r>
      <w:r w:rsidRPr="00DA1E47">
        <w:rPr>
          <w:rFonts w:ascii="Times New Roman" w:hAnsi="Times New Roman" w:cs="Times New Roman"/>
          <w:b/>
          <w:bCs/>
        </w:rPr>
        <w:t xml:space="preserve">. </w:t>
      </w:r>
    </w:p>
    <w:p w14:paraId="1E12419D" w14:textId="721E0D34" w:rsidR="00103624" w:rsidRPr="00F26827" w:rsidRDefault="00103624" w:rsidP="00103624">
      <w:pPr>
        <w:pStyle w:val="CM4"/>
        <w:rPr>
          <w:rFonts w:ascii="Times New Roman" w:hAnsi="Times New Roman" w:cs="Times New Roman"/>
        </w:rPr>
      </w:pPr>
      <w:r w:rsidRPr="00DA1E47">
        <w:rPr>
          <w:rFonts w:ascii="Times New Roman" w:hAnsi="Times New Roman" w:cs="Times New Roman"/>
        </w:rPr>
        <w:t xml:space="preserve">To minimize the burden while also maximizing information collected, SSB </w:t>
      </w:r>
      <w:r>
        <w:rPr>
          <w:rFonts w:ascii="Times New Roman" w:hAnsi="Times New Roman" w:cs="Times New Roman"/>
        </w:rPr>
        <w:t>modified</w:t>
      </w:r>
      <w:r w:rsidRPr="00DA1E47">
        <w:rPr>
          <w:rFonts w:ascii="Times New Roman" w:hAnsi="Times New Roman" w:cs="Times New Roman"/>
        </w:rPr>
        <w:t xml:space="preserve"> the </w:t>
      </w:r>
      <w:r>
        <w:rPr>
          <w:rFonts w:ascii="Times New Roman" w:hAnsi="Times New Roman" w:cs="Times New Roman"/>
        </w:rPr>
        <w:t xml:space="preserve">original </w:t>
      </w:r>
      <w:r w:rsidRPr="00DA1E47">
        <w:rPr>
          <w:rFonts w:ascii="Times New Roman" w:hAnsi="Times New Roman" w:cs="Times New Roman"/>
        </w:rPr>
        <w:t xml:space="preserve">survey </w:t>
      </w:r>
      <w:r>
        <w:rPr>
          <w:rFonts w:ascii="Times New Roman" w:hAnsi="Times New Roman" w:cs="Times New Roman"/>
        </w:rPr>
        <w:t xml:space="preserve">to improve the clarity of the questions based on feedback from the </w:t>
      </w:r>
      <w:r w:rsidR="00C95711">
        <w:rPr>
          <w:rFonts w:ascii="Times New Roman" w:hAnsi="Times New Roman" w:cs="Times New Roman"/>
        </w:rPr>
        <w:t>interviewers’</w:t>
      </w:r>
      <w:r>
        <w:rPr>
          <w:rFonts w:ascii="Times New Roman" w:hAnsi="Times New Roman" w:cs="Times New Roman"/>
        </w:rPr>
        <w:t xml:space="preserve"> experiences in the previous data collection. We also analyzed responses from the previous data collection and removed questions that did not elicit useful information</w:t>
      </w:r>
      <w:r w:rsidRPr="00DA1E47">
        <w:rPr>
          <w:rFonts w:ascii="Times New Roman" w:hAnsi="Times New Roman" w:cs="Times New Roman"/>
        </w:rPr>
        <w:t xml:space="preserve">. </w:t>
      </w:r>
      <w:r>
        <w:rPr>
          <w:rFonts w:ascii="Times New Roman" w:hAnsi="Times New Roman" w:cs="Times New Roman"/>
        </w:rPr>
        <w:t xml:space="preserve">Ultimately, the modifications not only improve the types of questions but also shorten the length of the survey and reduce the burden hours on respondents. </w:t>
      </w:r>
      <w:r w:rsidRPr="00F26827">
        <w:rPr>
          <w:rFonts w:ascii="Times New Roman" w:hAnsi="Times New Roman" w:cs="Times New Roman"/>
        </w:rPr>
        <w:t xml:space="preserve">Additionally, SSB has utilized statistical sampling methods to ensure that representative data are being collected at sufficient precision without having to conduct a census of the population. </w:t>
      </w:r>
    </w:p>
    <w:p w14:paraId="3D6BF901" w14:textId="77777777" w:rsidR="00103624" w:rsidRPr="00F26827" w:rsidRDefault="00103624" w:rsidP="00103624">
      <w:pPr>
        <w:pStyle w:val="Default"/>
        <w:rPr>
          <w:rFonts w:ascii="Times New Roman" w:hAnsi="Times New Roman" w:cs="Times New Roman"/>
          <w:color w:val="auto"/>
        </w:rPr>
      </w:pPr>
    </w:p>
    <w:p w14:paraId="723C7FF4" w14:textId="77777777" w:rsidR="00103624" w:rsidRPr="00DA1E47" w:rsidRDefault="00103624" w:rsidP="00103624">
      <w:pPr>
        <w:pStyle w:val="CM119"/>
        <w:spacing w:after="275" w:line="276" w:lineRule="atLeast"/>
        <w:ind w:right="77"/>
        <w:rPr>
          <w:rFonts w:ascii="Times New Roman" w:hAnsi="Times New Roman" w:cs="Times New Roman"/>
        </w:rPr>
      </w:pPr>
      <w:r w:rsidRPr="00DA1E47">
        <w:rPr>
          <w:rFonts w:ascii="Times New Roman" w:hAnsi="Times New Roman" w:cs="Times New Roman"/>
          <w:b/>
          <w:bCs/>
        </w:rPr>
        <w:t xml:space="preserve">6. </w:t>
      </w:r>
      <w:r w:rsidRPr="00DA1E47">
        <w:rPr>
          <w:rFonts w:ascii="Times New Roman" w:hAnsi="Times New Roman" w:cs="Times New Roman"/>
          <w:b/>
          <w:bCs/>
          <w:u w:val="single"/>
        </w:rPr>
        <w:t>Describe the consequences to the Federal program or policy activities if the collection is not conducted or is conducted less frequently</w:t>
      </w:r>
      <w:r w:rsidRPr="00DA1E47">
        <w:rPr>
          <w:rFonts w:ascii="Times New Roman" w:hAnsi="Times New Roman" w:cs="Times New Roman"/>
          <w:b/>
          <w:bCs/>
        </w:rPr>
        <w:t xml:space="preserve">. </w:t>
      </w:r>
    </w:p>
    <w:p w14:paraId="16059B0B" w14:textId="77777777" w:rsidR="00103624" w:rsidRPr="00DA1E47" w:rsidRDefault="00103624" w:rsidP="00103624">
      <w:pPr>
        <w:pStyle w:val="CM119"/>
        <w:spacing w:after="275" w:line="276" w:lineRule="atLeast"/>
        <w:ind w:right="77"/>
        <w:rPr>
          <w:rFonts w:ascii="Times New Roman" w:hAnsi="Times New Roman" w:cs="Times New Roman"/>
        </w:rPr>
      </w:pPr>
      <w:r w:rsidRPr="00DA1E47">
        <w:rPr>
          <w:rFonts w:ascii="Times New Roman" w:hAnsi="Times New Roman" w:cs="Times New Roman"/>
        </w:rPr>
        <w:t xml:space="preserve">Not conducting the collection would significantly reduce the ability of </w:t>
      </w:r>
      <w:r>
        <w:rPr>
          <w:rFonts w:ascii="Times New Roman" w:hAnsi="Times New Roman" w:cs="Times New Roman"/>
        </w:rPr>
        <w:t>NOAA Fisheries</w:t>
      </w:r>
      <w:r w:rsidRPr="00DA1E47">
        <w:rPr>
          <w:rFonts w:ascii="Times New Roman" w:hAnsi="Times New Roman" w:cs="Times New Roman"/>
        </w:rPr>
        <w:t xml:space="preserve"> to assess impacts of future fishery management policies. As described in Questions 1 and 2 above, the data being collected through </w:t>
      </w:r>
      <w:r>
        <w:rPr>
          <w:rFonts w:ascii="Times New Roman" w:hAnsi="Times New Roman" w:cs="Times New Roman"/>
        </w:rPr>
        <w:t>this</w:t>
      </w:r>
      <w:r w:rsidRPr="00DA1E47">
        <w:rPr>
          <w:rFonts w:ascii="Times New Roman" w:hAnsi="Times New Roman" w:cs="Times New Roman"/>
        </w:rPr>
        <w:t xml:space="preserve"> survey will allow SSB to </w:t>
      </w:r>
      <w:r w:rsidRPr="00875DC6">
        <w:rPr>
          <w:rFonts w:ascii="Times New Roman" w:hAnsi="Times New Roman" w:cs="Times New Roman"/>
        </w:rPr>
        <w:t>track important social and economic trends in the commercial fishing sector in relation to changes in fishery management practices</w:t>
      </w:r>
      <w:r w:rsidRPr="00DA1E47">
        <w:rPr>
          <w:rFonts w:ascii="Times New Roman" w:hAnsi="Times New Roman" w:cs="Times New Roman"/>
        </w:rPr>
        <w:t xml:space="preserve">. The data being collected through </w:t>
      </w:r>
      <w:r>
        <w:rPr>
          <w:rFonts w:ascii="Times New Roman" w:hAnsi="Times New Roman" w:cs="Times New Roman"/>
        </w:rPr>
        <w:t>this</w:t>
      </w:r>
      <w:r w:rsidRPr="00DA1E47">
        <w:rPr>
          <w:rFonts w:ascii="Times New Roman" w:hAnsi="Times New Roman" w:cs="Times New Roman"/>
        </w:rPr>
        <w:t xml:space="preserve"> survey </w:t>
      </w:r>
      <w:r>
        <w:rPr>
          <w:rFonts w:ascii="Times New Roman" w:hAnsi="Times New Roman" w:cs="Times New Roman"/>
        </w:rPr>
        <w:t>is</w:t>
      </w:r>
      <w:r w:rsidRPr="00DA1E47">
        <w:rPr>
          <w:rFonts w:ascii="Times New Roman" w:hAnsi="Times New Roman" w:cs="Times New Roman"/>
        </w:rPr>
        <w:t xml:space="preserve"> not available from existing sources. </w:t>
      </w:r>
    </w:p>
    <w:p w14:paraId="7A536DC0" w14:textId="77777777" w:rsidR="00326B84" w:rsidRDefault="00326B84" w:rsidP="00733BC5">
      <w:pPr>
        <w:pStyle w:val="CM119"/>
        <w:spacing w:after="275"/>
        <w:rPr>
          <w:rFonts w:ascii="Times New Roman" w:hAnsi="Times New Roman" w:cs="Times New Roman"/>
        </w:rPr>
      </w:pPr>
    </w:p>
    <w:p w14:paraId="7019C1F2" w14:textId="720F1575" w:rsidR="00103624" w:rsidRPr="00DA1E47" w:rsidRDefault="00103624" w:rsidP="00733BC5">
      <w:pPr>
        <w:pStyle w:val="CM119"/>
        <w:spacing w:after="275"/>
        <w:rPr>
          <w:rFonts w:ascii="Times New Roman" w:hAnsi="Times New Roman" w:cs="Times New Roman"/>
        </w:rPr>
      </w:pPr>
      <w:r>
        <w:rPr>
          <w:rFonts w:ascii="Times New Roman" w:hAnsi="Times New Roman" w:cs="Times New Roman"/>
        </w:rPr>
        <w:t xml:space="preserve">In order for </w:t>
      </w:r>
      <w:r w:rsidRPr="00DA1E47">
        <w:rPr>
          <w:rFonts w:ascii="Times New Roman" w:hAnsi="Times New Roman" w:cs="Times New Roman"/>
        </w:rPr>
        <w:t>NOAA to identify trends or changes in the measures and indicators</w:t>
      </w:r>
      <w:r>
        <w:rPr>
          <w:rFonts w:ascii="Times New Roman" w:hAnsi="Times New Roman" w:cs="Times New Roman"/>
        </w:rPr>
        <w:t xml:space="preserve">, </w:t>
      </w:r>
      <w:r w:rsidRPr="00DA1E47">
        <w:rPr>
          <w:rFonts w:ascii="Times New Roman" w:hAnsi="Times New Roman" w:cs="Times New Roman"/>
        </w:rPr>
        <w:t xml:space="preserve">SSB has set the frequency </w:t>
      </w:r>
      <w:r>
        <w:rPr>
          <w:rFonts w:ascii="Times New Roman" w:hAnsi="Times New Roman" w:cs="Times New Roman"/>
        </w:rPr>
        <w:t xml:space="preserve">of survey implementation </w:t>
      </w:r>
      <w:r w:rsidRPr="00DA1E47">
        <w:rPr>
          <w:rFonts w:ascii="Times New Roman" w:hAnsi="Times New Roman" w:cs="Times New Roman"/>
        </w:rPr>
        <w:t xml:space="preserve">at a minimally acceptable rate of </w:t>
      </w:r>
      <w:r>
        <w:rPr>
          <w:rFonts w:ascii="Times New Roman" w:hAnsi="Times New Roman" w:cs="Times New Roman"/>
        </w:rPr>
        <w:t>3-5 years</w:t>
      </w:r>
      <w:r w:rsidRPr="00DA1E47">
        <w:rPr>
          <w:rFonts w:ascii="Times New Roman" w:hAnsi="Times New Roman" w:cs="Times New Roman"/>
        </w:rPr>
        <w:t xml:space="preserve">. Thus, reducing the frequency below this level would not allow </w:t>
      </w:r>
      <w:r w:rsidRPr="00875DC6">
        <w:rPr>
          <w:rFonts w:ascii="Times New Roman" w:hAnsi="Times New Roman" w:cs="Times New Roman"/>
        </w:rPr>
        <w:t>NOAA to discern changes in the performance measures and indicators following changes in fishery management policies</w:t>
      </w:r>
      <w:r w:rsidRPr="00DA1E47">
        <w:rPr>
          <w:rFonts w:ascii="Times New Roman" w:hAnsi="Times New Roman" w:cs="Times New Roman"/>
        </w:rPr>
        <w:t xml:space="preserve">. Additionally, for the data to be valuable to the fishery management councils, data will need to be frequent enough to be relevant for council decisions. </w:t>
      </w:r>
      <w:r w:rsidR="00733BC5">
        <w:rPr>
          <w:rFonts w:ascii="Times New Roman" w:hAnsi="Times New Roman" w:cs="Times New Roman"/>
        </w:rPr>
        <w:t xml:space="preserve">Therefore, it is imperative that we implement the survey as soon as possible to stay within the 3-5 year window to ensure continuity of the trend analyses. </w:t>
      </w:r>
    </w:p>
    <w:p w14:paraId="27324FA9" w14:textId="77777777" w:rsidR="00103624" w:rsidRPr="00DA1E47" w:rsidRDefault="00103624" w:rsidP="00103624">
      <w:pPr>
        <w:pStyle w:val="CM119"/>
        <w:spacing w:after="275" w:line="276" w:lineRule="atLeast"/>
        <w:ind w:right="687"/>
        <w:rPr>
          <w:rFonts w:ascii="Times New Roman" w:hAnsi="Times New Roman" w:cs="Times New Roman"/>
        </w:rPr>
      </w:pPr>
      <w:r w:rsidRPr="00DA1E47">
        <w:rPr>
          <w:rFonts w:ascii="Times New Roman" w:hAnsi="Times New Roman" w:cs="Times New Roman"/>
          <w:b/>
          <w:bCs/>
        </w:rPr>
        <w:t xml:space="preserve">7. </w:t>
      </w:r>
      <w:r w:rsidRPr="00DA1E47">
        <w:rPr>
          <w:rFonts w:ascii="Times New Roman" w:hAnsi="Times New Roman" w:cs="Times New Roman"/>
          <w:b/>
          <w:bCs/>
          <w:u w:val="single"/>
        </w:rPr>
        <w:t>Explain any special circumstances that require the collection to be conducted in a manner inconsistent with OMB guidelines</w:t>
      </w:r>
      <w:r w:rsidRPr="00DA1E47">
        <w:rPr>
          <w:rFonts w:ascii="Times New Roman" w:hAnsi="Times New Roman" w:cs="Times New Roman"/>
          <w:b/>
          <w:bCs/>
        </w:rPr>
        <w:t xml:space="preserve">. </w:t>
      </w:r>
    </w:p>
    <w:p w14:paraId="5026CBDA" w14:textId="77777777" w:rsidR="00103624" w:rsidRPr="00DA1E47" w:rsidRDefault="00103624" w:rsidP="00103624">
      <w:pPr>
        <w:pStyle w:val="CM119"/>
        <w:spacing w:after="275" w:line="276" w:lineRule="atLeast"/>
        <w:ind w:left="50"/>
        <w:rPr>
          <w:rFonts w:ascii="Times New Roman" w:hAnsi="Times New Roman" w:cs="Times New Roman"/>
        </w:rPr>
      </w:pPr>
      <w:r w:rsidRPr="00DA1E47">
        <w:rPr>
          <w:rFonts w:ascii="Times New Roman" w:hAnsi="Times New Roman" w:cs="Times New Roman"/>
        </w:rPr>
        <w:t xml:space="preserve">The information collection is consistent with OMB Guidelines for Information Collections. </w:t>
      </w:r>
    </w:p>
    <w:p w14:paraId="7B6752A4"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b/>
          <w:bCs/>
        </w:rPr>
        <w:t xml:space="preserve">8. </w:t>
      </w:r>
      <w:r w:rsidRPr="00DA1E47">
        <w:rPr>
          <w:rFonts w:ascii="Times New Roman" w:hAnsi="Times New Roman" w:cs="Times New Roman"/>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DA1E47">
        <w:rPr>
          <w:rFonts w:ascii="Times New Roman" w:hAnsi="Times New Roman" w:cs="Times New Roman"/>
          <w:b/>
          <w:bCs/>
        </w:rPr>
        <w:t xml:space="preserve">. </w:t>
      </w:r>
      <w:r w:rsidRPr="00DA1E47">
        <w:rPr>
          <w:rFonts w:ascii="Times New Roman" w:hAnsi="Times New Roman" w:cs="Times New Roman"/>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A1E47">
        <w:rPr>
          <w:rFonts w:ascii="Times New Roman" w:hAnsi="Times New Roman" w:cs="Times New Roman"/>
          <w:b/>
          <w:bCs/>
        </w:rPr>
        <w:t xml:space="preserve">. </w:t>
      </w:r>
    </w:p>
    <w:p w14:paraId="45DA65B9" w14:textId="1A65304E" w:rsidR="00103624" w:rsidRPr="00DA1E47" w:rsidRDefault="00103624" w:rsidP="00103624">
      <w:pPr>
        <w:pStyle w:val="CM119"/>
        <w:spacing w:after="275" w:line="276" w:lineRule="atLeast"/>
        <w:ind w:right="907"/>
        <w:rPr>
          <w:rFonts w:ascii="Times New Roman" w:hAnsi="Times New Roman" w:cs="Times New Roman"/>
        </w:rPr>
      </w:pPr>
      <w:r w:rsidRPr="00DA1E47">
        <w:rPr>
          <w:rFonts w:ascii="Times New Roman" w:hAnsi="Times New Roman" w:cs="Times New Roman"/>
        </w:rPr>
        <w:t xml:space="preserve">A </w:t>
      </w:r>
      <w:r w:rsidRPr="00DA1E47">
        <w:rPr>
          <w:rFonts w:ascii="Times New Roman" w:hAnsi="Times New Roman" w:cs="Times New Roman"/>
          <w:u w:val="single"/>
        </w:rPr>
        <w:t xml:space="preserve">Federal Register </w:t>
      </w:r>
      <w:r w:rsidRPr="00DA1E47">
        <w:rPr>
          <w:rFonts w:ascii="Times New Roman" w:hAnsi="Times New Roman" w:cs="Times New Roman"/>
        </w:rPr>
        <w:t xml:space="preserve">Notice published on </w:t>
      </w:r>
      <w:r>
        <w:rPr>
          <w:rFonts w:ascii="Times New Roman" w:hAnsi="Times New Roman" w:cs="Times New Roman"/>
        </w:rPr>
        <w:t>February 21, 2018</w:t>
      </w:r>
      <w:r w:rsidRPr="00DA1E47">
        <w:rPr>
          <w:rFonts w:ascii="Times New Roman" w:hAnsi="Times New Roman" w:cs="Times New Roman"/>
        </w:rPr>
        <w:t xml:space="preserve"> (</w:t>
      </w:r>
      <w:r>
        <w:rPr>
          <w:rFonts w:ascii="Times New Roman" w:hAnsi="Times New Roman" w:cs="Times New Roman"/>
        </w:rPr>
        <w:t>83</w:t>
      </w:r>
      <w:r w:rsidRPr="00DA1E47">
        <w:rPr>
          <w:rFonts w:ascii="Times New Roman" w:hAnsi="Times New Roman" w:cs="Times New Roman"/>
        </w:rPr>
        <w:t xml:space="preserve"> FR </w:t>
      </w:r>
      <w:r w:rsidR="00E928E4">
        <w:rPr>
          <w:rFonts w:ascii="Times New Roman" w:hAnsi="Times New Roman" w:cs="Times New Roman"/>
        </w:rPr>
        <w:t>7456</w:t>
      </w:r>
      <w:r w:rsidRPr="00DA1E47">
        <w:rPr>
          <w:rFonts w:ascii="Times New Roman" w:hAnsi="Times New Roman" w:cs="Times New Roman"/>
        </w:rPr>
        <w:t xml:space="preserve">) solicited public comments. </w:t>
      </w:r>
    </w:p>
    <w:p w14:paraId="667D45B1" w14:textId="45279DAF" w:rsidR="00103624" w:rsidRPr="00DA1E47" w:rsidRDefault="00103624" w:rsidP="00103624">
      <w:pPr>
        <w:pStyle w:val="CM119"/>
        <w:spacing w:after="275" w:line="273" w:lineRule="atLeast"/>
        <w:rPr>
          <w:rFonts w:ascii="Times New Roman" w:hAnsi="Times New Roman" w:cs="Times New Roman"/>
        </w:rPr>
      </w:pPr>
      <w:r>
        <w:rPr>
          <w:rFonts w:ascii="Times New Roman" w:hAnsi="Times New Roman" w:cs="Times New Roman"/>
        </w:rPr>
        <w:t xml:space="preserve">NOAA Fisheries </w:t>
      </w:r>
      <w:r w:rsidRPr="00DA1E47">
        <w:rPr>
          <w:rFonts w:ascii="Times New Roman" w:hAnsi="Times New Roman" w:cs="Times New Roman"/>
        </w:rPr>
        <w:t xml:space="preserve">received </w:t>
      </w:r>
      <w:r>
        <w:rPr>
          <w:rFonts w:ascii="Times New Roman" w:hAnsi="Times New Roman" w:cs="Times New Roman"/>
        </w:rPr>
        <w:t>two public comments. The first was from a Jean Publi</w:t>
      </w:r>
      <w:r w:rsidR="00506D05">
        <w:rPr>
          <w:rFonts w:ascii="Times New Roman" w:hAnsi="Times New Roman" w:cs="Times New Roman"/>
        </w:rPr>
        <w:t>c</w:t>
      </w:r>
      <w:r>
        <w:rPr>
          <w:rFonts w:ascii="Times New Roman" w:hAnsi="Times New Roman" w:cs="Times New Roman"/>
        </w:rPr>
        <w:t xml:space="preserve">. It stated that more money should be spent on law enforcement and not on surveys, which are done too frequently and are a waste of tax dollars. We were not required to respond to the email. The second public comment was from a Marlaina Mutchko. She suggested that we consider moving towards easy-to-use technology, like Survey Monkey and email, to administer the surveys, which would help reduce the burden hours on participants. </w:t>
      </w:r>
      <w:r w:rsidRPr="00DA1E47">
        <w:rPr>
          <w:rFonts w:ascii="Times New Roman" w:hAnsi="Times New Roman" w:cs="Times New Roman"/>
        </w:rPr>
        <w:t xml:space="preserve">In </w:t>
      </w:r>
      <w:r>
        <w:rPr>
          <w:rFonts w:ascii="Times New Roman" w:hAnsi="Times New Roman" w:cs="Times New Roman"/>
        </w:rPr>
        <w:t xml:space="preserve">our </w:t>
      </w:r>
      <w:r w:rsidRPr="00DA1E47">
        <w:rPr>
          <w:rFonts w:ascii="Times New Roman" w:hAnsi="Times New Roman" w:cs="Times New Roman"/>
        </w:rPr>
        <w:t xml:space="preserve">response to </w:t>
      </w:r>
      <w:r>
        <w:rPr>
          <w:rFonts w:ascii="Times New Roman" w:hAnsi="Times New Roman" w:cs="Times New Roman"/>
        </w:rPr>
        <w:t>the public comment</w:t>
      </w:r>
      <w:r w:rsidRPr="00DA1E47">
        <w:rPr>
          <w:rFonts w:ascii="Times New Roman" w:hAnsi="Times New Roman" w:cs="Times New Roman"/>
        </w:rPr>
        <w:t xml:space="preserve">, </w:t>
      </w:r>
      <w:r>
        <w:rPr>
          <w:rFonts w:ascii="Times New Roman" w:hAnsi="Times New Roman" w:cs="Times New Roman"/>
        </w:rPr>
        <w:t xml:space="preserve">we explained that fishermen crews are a very hard-to-reach population. There is no “crew registry” with contact information (like with vessel owners) that we could use to identify the crew and send them a survey via email. As a result, we will need to administer the survey in person using an intercept approach. With this approach, interviewers will go to specific ports and seek out crew members to participate in the survey on-site. </w:t>
      </w:r>
    </w:p>
    <w:p w14:paraId="6EE78F2F" w14:textId="77777777" w:rsidR="00103624" w:rsidRPr="00DA1E47" w:rsidRDefault="00103624" w:rsidP="00103624">
      <w:pPr>
        <w:pStyle w:val="CM119"/>
        <w:spacing w:after="275" w:line="276" w:lineRule="atLeast"/>
        <w:ind w:right="1066"/>
        <w:rPr>
          <w:rFonts w:ascii="Times New Roman" w:hAnsi="Times New Roman" w:cs="Times New Roman"/>
        </w:rPr>
      </w:pPr>
      <w:r w:rsidRPr="00DA1E47">
        <w:rPr>
          <w:rFonts w:ascii="Times New Roman" w:hAnsi="Times New Roman" w:cs="Times New Roman"/>
          <w:b/>
          <w:bCs/>
        </w:rPr>
        <w:t xml:space="preserve">9. </w:t>
      </w:r>
      <w:r w:rsidRPr="00DA1E47">
        <w:rPr>
          <w:rFonts w:ascii="Times New Roman" w:hAnsi="Times New Roman" w:cs="Times New Roman"/>
          <w:b/>
          <w:bCs/>
          <w:u w:val="single"/>
        </w:rPr>
        <w:t>Explain any decisions to provide payments or gifts to respondents, other than remuneration of contractors or grantees</w:t>
      </w:r>
      <w:r w:rsidRPr="00DA1E47">
        <w:rPr>
          <w:rFonts w:ascii="Times New Roman" w:hAnsi="Times New Roman" w:cs="Times New Roman"/>
          <w:b/>
          <w:bCs/>
        </w:rPr>
        <w:t xml:space="preserve">. </w:t>
      </w:r>
    </w:p>
    <w:p w14:paraId="446CEFE4"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rPr>
        <w:t xml:space="preserve">No payments or gifts will be provided to respondents. </w:t>
      </w:r>
    </w:p>
    <w:p w14:paraId="223BD45F" w14:textId="77777777" w:rsidR="00103624" w:rsidRDefault="00103624" w:rsidP="00103624">
      <w:pPr>
        <w:pStyle w:val="CM119"/>
        <w:spacing w:after="275" w:line="276" w:lineRule="atLeast"/>
        <w:ind w:right="387"/>
        <w:rPr>
          <w:rFonts w:ascii="Times New Roman" w:hAnsi="Times New Roman" w:cs="Times New Roman"/>
        </w:rPr>
      </w:pPr>
      <w:r w:rsidRPr="00DA1E47">
        <w:rPr>
          <w:rFonts w:ascii="Times New Roman" w:hAnsi="Times New Roman" w:cs="Times New Roman"/>
          <w:b/>
          <w:bCs/>
        </w:rPr>
        <w:t xml:space="preserve">10. </w:t>
      </w:r>
      <w:r w:rsidRPr="00DA1E47">
        <w:rPr>
          <w:rFonts w:ascii="Times New Roman" w:hAnsi="Times New Roman" w:cs="Times New Roman"/>
          <w:b/>
          <w:bCs/>
          <w:u w:val="single"/>
        </w:rPr>
        <w:t>Describe any assurance of confidentiality provided to respondents and the basis for assurance in statute, regulation, or agency policy</w:t>
      </w:r>
      <w:r w:rsidRPr="00DA1E47">
        <w:rPr>
          <w:rFonts w:ascii="Times New Roman" w:hAnsi="Times New Roman" w:cs="Times New Roman"/>
          <w:b/>
          <w:bCs/>
        </w:rPr>
        <w:t>.</w:t>
      </w:r>
    </w:p>
    <w:p w14:paraId="6C4F127B" w14:textId="77777777" w:rsidR="00103624" w:rsidRPr="002E23B8" w:rsidRDefault="00103624" w:rsidP="00103624">
      <w:pPr>
        <w:pStyle w:val="CM119"/>
        <w:spacing w:after="275" w:line="276" w:lineRule="atLeast"/>
        <w:ind w:right="387"/>
        <w:rPr>
          <w:rFonts w:ascii="Times New Roman" w:hAnsi="Times New Roman" w:cs="Times New Roman"/>
        </w:rPr>
      </w:pPr>
      <w:r w:rsidRPr="002E23B8">
        <w:rPr>
          <w:rFonts w:ascii="Times New Roman" w:hAnsi="Times New Roman" w:cs="Times New Roman"/>
        </w:rPr>
        <w:t xml:space="preserve">Information collected is protected under the Privacy Act of 1974 (5 USC 552a), which prohibits disclosing information without the written consent of the subject individual, unless disclose is pursuant to one of twelve statutory exceptions. As stated on the survey instruments, the data collected will be kept anonymous and will not be released for public use except in aggregate statistical form. If the individual data are requested, it will be provided without identification as to its source. Because no proprietary regular business data are collected (i.e., landings or value, fishing grounds), there are no issues of confidentiality with regard to business information. </w:t>
      </w:r>
    </w:p>
    <w:p w14:paraId="3084EDF3" w14:textId="77777777" w:rsidR="00103624" w:rsidRPr="00DA1E47" w:rsidRDefault="00103624" w:rsidP="00103624">
      <w:pPr>
        <w:pStyle w:val="CM119"/>
        <w:spacing w:after="275" w:line="278" w:lineRule="atLeast"/>
        <w:ind w:right="157"/>
        <w:rPr>
          <w:rFonts w:ascii="Times New Roman" w:hAnsi="Times New Roman" w:cs="Times New Roman"/>
        </w:rPr>
      </w:pPr>
      <w:r w:rsidRPr="00DA1E47">
        <w:rPr>
          <w:rFonts w:ascii="Times New Roman" w:hAnsi="Times New Roman" w:cs="Times New Roman"/>
          <w:b/>
          <w:bCs/>
        </w:rPr>
        <w:t xml:space="preserve">11. </w:t>
      </w:r>
      <w:r w:rsidRPr="00DA1E47">
        <w:rPr>
          <w:rFonts w:ascii="Times New Roman" w:hAnsi="Times New Roman" w:cs="Times New Roman"/>
          <w:b/>
          <w:bCs/>
          <w:u w:val="single"/>
        </w:rPr>
        <w:t>Provide additional justification for any questions of a sensitive nature, such as sexual behavior and attitudes, religious beliefs, and other matters that are commonly considered private</w:t>
      </w:r>
      <w:r w:rsidRPr="00DA1E47">
        <w:rPr>
          <w:rFonts w:ascii="Times New Roman" w:hAnsi="Times New Roman" w:cs="Times New Roman"/>
          <w:b/>
          <w:bCs/>
        </w:rPr>
        <w:t xml:space="preserve">. </w:t>
      </w:r>
    </w:p>
    <w:p w14:paraId="76A94117"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rPr>
        <w:t>None of the questions being asked in the survey deal</w:t>
      </w:r>
      <w:r>
        <w:rPr>
          <w:rFonts w:ascii="Times New Roman" w:hAnsi="Times New Roman" w:cs="Times New Roman"/>
        </w:rPr>
        <w:t>s</w:t>
      </w:r>
      <w:r w:rsidRPr="00DA1E47">
        <w:rPr>
          <w:rFonts w:ascii="Times New Roman" w:hAnsi="Times New Roman" w:cs="Times New Roman"/>
        </w:rPr>
        <w:t xml:space="preserve"> with matters that are considered private. </w:t>
      </w:r>
    </w:p>
    <w:p w14:paraId="563309F0"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b/>
          <w:bCs/>
        </w:rPr>
        <w:t xml:space="preserve">12. </w:t>
      </w:r>
      <w:r w:rsidRPr="00DA1E47">
        <w:rPr>
          <w:rFonts w:ascii="Times New Roman" w:hAnsi="Times New Roman" w:cs="Times New Roman"/>
          <w:b/>
          <w:bCs/>
          <w:u w:val="single"/>
        </w:rPr>
        <w:t>Provide an estimate in hours of the burden of the collection of information</w:t>
      </w:r>
      <w:r w:rsidRPr="00DA1E47">
        <w:rPr>
          <w:rFonts w:ascii="Times New Roman" w:hAnsi="Times New Roman" w:cs="Times New Roman"/>
          <w:b/>
          <w:bCs/>
        </w:rPr>
        <w:t xml:space="preserve">. </w:t>
      </w:r>
    </w:p>
    <w:p w14:paraId="7F111C51" w14:textId="0ECC4570" w:rsidR="00103624" w:rsidRDefault="00103624" w:rsidP="00103624">
      <w:pPr>
        <w:pStyle w:val="CM4"/>
        <w:rPr>
          <w:rFonts w:ascii="Times New Roman" w:hAnsi="Times New Roman" w:cs="Times New Roman"/>
        </w:rPr>
      </w:pPr>
      <w:r w:rsidRPr="00DA1E47">
        <w:rPr>
          <w:rFonts w:ascii="Times New Roman" w:hAnsi="Times New Roman" w:cs="Times New Roman"/>
        </w:rPr>
        <w:t xml:space="preserve">Table 2 provides estimates of the total annual number of respondents, responses, burden hours, and the cost of burden hours. The surveys will involve collecting data from </w:t>
      </w:r>
      <w:r w:rsidR="00F913FC">
        <w:rPr>
          <w:rFonts w:ascii="Times New Roman" w:hAnsi="Times New Roman" w:cs="Times New Roman"/>
        </w:rPr>
        <w:t>1</w:t>
      </w:r>
      <w:r w:rsidR="00D02AE1">
        <w:rPr>
          <w:rFonts w:ascii="Times New Roman" w:hAnsi="Times New Roman" w:cs="Times New Roman"/>
        </w:rPr>
        <w:t>,</w:t>
      </w:r>
      <w:r w:rsidR="00F913FC">
        <w:rPr>
          <w:rFonts w:ascii="Times New Roman" w:hAnsi="Times New Roman" w:cs="Times New Roman"/>
        </w:rPr>
        <w:t>100</w:t>
      </w:r>
      <w:r w:rsidR="00F913FC" w:rsidRPr="00875DC6">
        <w:rPr>
          <w:rFonts w:ascii="Times New Roman" w:hAnsi="Times New Roman" w:cs="Times New Roman"/>
        </w:rPr>
        <w:t xml:space="preserve"> </w:t>
      </w:r>
      <w:r w:rsidRPr="00875DC6">
        <w:rPr>
          <w:rFonts w:ascii="Times New Roman" w:hAnsi="Times New Roman" w:cs="Times New Roman"/>
        </w:rPr>
        <w:t>respondents</w:t>
      </w:r>
      <w:r w:rsidRPr="00DA1E47">
        <w:rPr>
          <w:rFonts w:ascii="Times New Roman" w:hAnsi="Times New Roman" w:cs="Times New Roman"/>
        </w:rPr>
        <w:t xml:space="preserve"> with each respondent providing one response for a total of </w:t>
      </w:r>
      <w:r w:rsidR="00F913FC">
        <w:rPr>
          <w:rFonts w:ascii="Times New Roman" w:hAnsi="Times New Roman" w:cs="Times New Roman"/>
        </w:rPr>
        <w:t>1</w:t>
      </w:r>
      <w:r w:rsidR="00D02AE1">
        <w:rPr>
          <w:rFonts w:ascii="Times New Roman" w:hAnsi="Times New Roman" w:cs="Times New Roman"/>
        </w:rPr>
        <w:t>,</w:t>
      </w:r>
      <w:r w:rsidR="00F913FC">
        <w:rPr>
          <w:rFonts w:ascii="Times New Roman" w:hAnsi="Times New Roman" w:cs="Times New Roman"/>
        </w:rPr>
        <w:t>100</w:t>
      </w:r>
      <w:r w:rsidR="00F913FC" w:rsidRPr="00DA1E47">
        <w:rPr>
          <w:rFonts w:ascii="Times New Roman" w:hAnsi="Times New Roman" w:cs="Times New Roman"/>
        </w:rPr>
        <w:t xml:space="preserve"> </w:t>
      </w:r>
      <w:r w:rsidRPr="00DA1E47">
        <w:rPr>
          <w:rFonts w:ascii="Times New Roman" w:hAnsi="Times New Roman" w:cs="Times New Roman"/>
        </w:rPr>
        <w:t xml:space="preserve">responses </w:t>
      </w:r>
      <w:r w:rsidR="00DE3720">
        <w:rPr>
          <w:rFonts w:ascii="Times New Roman" w:hAnsi="Times New Roman" w:cs="Times New Roman"/>
        </w:rPr>
        <w:t>each time the survey is administered</w:t>
      </w:r>
      <w:r w:rsidRPr="00DA1E47">
        <w:rPr>
          <w:rFonts w:ascii="Times New Roman" w:hAnsi="Times New Roman" w:cs="Times New Roman"/>
        </w:rPr>
        <w:t xml:space="preserve">. SSB estimates that </w:t>
      </w:r>
      <w:r w:rsidRPr="00875DC6">
        <w:rPr>
          <w:rFonts w:ascii="Times New Roman" w:hAnsi="Times New Roman" w:cs="Times New Roman"/>
        </w:rPr>
        <w:t xml:space="preserve">each response will take </w:t>
      </w:r>
      <w:r>
        <w:rPr>
          <w:rFonts w:ascii="Times New Roman" w:hAnsi="Times New Roman" w:cs="Times New Roman"/>
        </w:rPr>
        <w:t>2</w:t>
      </w:r>
      <w:r w:rsidRPr="00875DC6">
        <w:rPr>
          <w:rFonts w:ascii="Times New Roman" w:hAnsi="Times New Roman" w:cs="Times New Roman"/>
        </w:rPr>
        <w:t>0 minutes to complete</w:t>
      </w:r>
      <w:r w:rsidRPr="00DA1E47">
        <w:rPr>
          <w:rFonts w:ascii="Times New Roman" w:hAnsi="Times New Roman" w:cs="Times New Roman"/>
        </w:rPr>
        <w:t xml:space="preserve">, resulting in a total burden hour estimate of </w:t>
      </w:r>
      <w:r w:rsidR="00F913FC">
        <w:rPr>
          <w:rFonts w:ascii="Times New Roman" w:hAnsi="Times New Roman" w:cs="Times New Roman"/>
        </w:rPr>
        <w:t>367</w:t>
      </w:r>
      <w:r w:rsidRPr="00DA1E47">
        <w:rPr>
          <w:rFonts w:ascii="Times New Roman" w:hAnsi="Times New Roman" w:cs="Times New Roman"/>
        </w:rPr>
        <w:t>. The labor cost associated with the estimated burden hours is $</w:t>
      </w:r>
      <w:r w:rsidR="00F913FC">
        <w:rPr>
          <w:rFonts w:ascii="Times New Roman" w:hAnsi="Times New Roman" w:cs="Times New Roman"/>
        </w:rPr>
        <w:t>4</w:t>
      </w:r>
      <w:r w:rsidR="00D02AE1">
        <w:rPr>
          <w:rFonts w:ascii="Times New Roman" w:hAnsi="Times New Roman" w:cs="Times New Roman"/>
        </w:rPr>
        <w:t>,</w:t>
      </w:r>
      <w:r w:rsidR="00F913FC">
        <w:rPr>
          <w:rFonts w:ascii="Times New Roman" w:hAnsi="Times New Roman" w:cs="Times New Roman"/>
        </w:rPr>
        <w:t>990.33</w:t>
      </w:r>
      <w:r w:rsidRPr="00DA1E47">
        <w:rPr>
          <w:rFonts w:ascii="Times New Roman" w:hAnsi="Times New Roman" w:cs="Times New Roman"/>
        </w:rPr>
        <w:t xml:space="preserve">, based on information from the Bureau of Labor Statistics (BLS) (see note [a] below Table 2). </w:t>
      </w:r>
    </w:p>
    <w:p w14:paraId="4E78515A" w14:textId="77777777" w:rsidR="00103624" w:rsidRDefault="00103624" w:rsidP="00103624">
      <w:pPr>
        <w:pStyle w:val="Default"/>
      </w:pPr>
    </w:p>
    <w:p w14:paraId="7CF7CA32" w14:textId="77777777" w:rsidR="00733BC5" w:rsidRDefault="00733BC5" w:rsidP="00103624">
      <w:pPr>
        <w:pStyle w:val="Default"/>
        <w:rPr>
          <w:rFonts w:ascii="Times New Roman" w:hAnsi="Times New Roman" w:cs="Times New Roman"/>
          <w:sz w:val="20"/>
          <w:szCs w:val="20"/>
        </w:rPr>
      </w:pPr>
    </w:p>
    <w:p w14:paraId="3B8D3283" w14:textId="5AE3B29D" w:rsidR="00103624" w:rsidRPr="00875DC6" w:rsidRDefault="00103624" w:rsidP="00103624">
      <w:pPr>
        <w:pStyle w:val="Default"/>
      </w:pPr>
      <w:r w:rsidRPr="00A91EA0">
        <w:rPr>
          <w:rFonts w:ascii="Times New Roman" w:hAnsi="Times New Roman" w:cs="Times New Roman"/>
          <w:sz w:val="20"/>
          <w:szCs w:val="20"/>
        </w:rPr>
        <w:t>Table 2. Estimates for the total number of respondents, responses, average time per response, burden hours, and total cost for responding.</w:t>
      </w:r>
    </w:p>
    <w:tbl>
      <w:tblPr>
        <w:tblpPr w:leftFromText="180" w:rightFromText="180" w:vertAnchor="text" w:horzAnchor="page" w:tblpX="1625" w:tblpY="199"/>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935"/>
        <w:gridCol w:w="1185"/>
        <w:gridCol w:w="1065"/>
        <w:gridCol w:w="1013"/>
        <w:gridCol w:w="967"/>
        <w:gridCol w:w="1170"/>
        <w:gridCol w:w="985"/>
        <w:gridCol w:w="1296"/>
      </w:tblGrid>
      <w:tr w:rsidR="00DA7071" w14:paraId="769A004D" w14:textId="77777777" w:rsidTr="002346A3">
        <w:trPr>
          <w:trHeight w:val="1196"/>
        </w:trPr>
        <w:tc>
          <w:tcPr>
            <w:tcW w:w="955" w:type="dxa"/>
            <w:shd w:val="clear" w:color="auto" w:fill="auto"/>
            <w:noWrap/>
            <w:vAlign w:val="bottom"/>
            <w:hideMark/>
          </w:tcPr>
          <w:p w14:paraId="32D79A57" w14:textId="77777777" w:rsidR="00103624" w:rsidRPr="002346A3" w:rsidRDefault="00103624" w:rsidP="00DA7071">
            <w:pPr>
              <w:rPr>
                <w:sz w:val="18"/>
                <w:szCs w:val="18"/>
              </w:rPr>
            </w:pPr>
          </w:p>
        </w:tc>
        <w:tc>
          <w:tcPr>
            <w:tcW w:w="935" w:type="dxa"/>
            <w:shd w:val="clear" w:color="auto" w:fill="auto"/>
            <w:vAlign w:val="bottom"/>
            <w:hideMark/>
          </w:tcPr>
          <w:p w14:paraId="1448D1C7" w14:textId="77777777" w:rsidR="00103624" w:rsidRPr="002346A3" w:rsidRDefault="00103624" w:rsidP="00DA7071">
            <w:pPr>
              <w:rPr>
                <w:rFonts w:eastAsia="Times New Roman"/>
                <w:color w:val="000000"/>
                <w:sz w:val="18"/>
                <w:szCs w:val="18"/>
              </w:rPr>
            </w:pPr>
            <w:r w:rsidRPr="002346A3">
              <w:rPr>
                <w:rFonts w:eastAsia="Times New Roman"/>
                <w:color w:val="000000"/>
                <w:sz w:val="18"/>
                <w:szCs w:val="18"/>
              </w:rPr>
              <w:t>Universe</w:t>
            </w:r>
          </w:p>
        </w:tc>
        <w:tc>
          <w:tcPr>
            <w:tcW w:w="1185" w:type="dxa"/>
            <w:shd w:val="clear" w:color="auto" w:fill="auto"/>
            <w:vAlign w:val="bottom"/>
            <w:hideMark/>
          </w:tcPr>
          <w:p w14:paraId="48A46E6C" w14:textId="087E71BB" w:rsidR="00103624" w:rsidRPr="002346A3" w:rsidRDefault="00103624" w:rsidP="00DA7071">
            <w:pPr>
              <w:rPr>
                <w:rFonts w:eastAsia="Times New Roman"/>
                <w:color w:val="000000"/>
                <w:sz w:val="18"/>
                <w:szCs w:val="18"/>
              </w:rPr>
            </w:pPr>
            <w:r w:rsidRPr="002346A3">
              <w:rPr>
                <w:rFonts w:eastAsia="Times New Roman"/>
                <w:color w:val="000000"/>
                <w:sz w:val="18"/>
                <w:szCs w:val="18"/>
              </w:rPr>
              <w:t xml:space="preserve">Total annual number of respondents </w:t>
            </w:r>
          </w:p>
        </w:tc>
        <w:tc>
          <w:tcPr>
            <w:tcW w:w="1065" w:type="dxa"/>
            <w:shd w:val="clear" w:color="auto" w:fill="auto"/>
            <w:vAlign w:val="bottom"/>
            <w:hideMark/>
          </w:tcPr>
          <w:p w14:paraId="672D08BD" w14:textId="77777777" w:rsidR="00103624" w:rsidRPr="002346A3" w:rsidRDefault="00103624" w:rsidP="00DA7071">
            <w:pPr>
              <w:rPr>
                <w:rFonts w:eastAsia="Times New Roman"/>
                <w:color w:val="000000"/>
                <w:sz w:val="18"/>
                <w:szCs w:val="18"/>
              </w:rPr>
            </w:pPr>
            <w:r w:rsidRPr="002346A3">
              <w:rPr>
                <w:rFonts w:eastAsia="Times New Roman"/>
                <w:color w:val="000000"/>
                <w:sz w:val="18"/>
                <w:szCs w:val="18"/>
              </w:rPr>
              <w:t>Responses per respondent</w:t>
            </w:r>
          </w:p>
        </w:tc>
        <w:tc>
          <w:tcPr>
            <w:tcW w:w="1013" w:type="dxa"/>
            <w:shd w:val="clear" w:color="auto" w:fill="auto"/>
            <w:vAlign w:val="bottom"/>
            <w:hideMark/>
          </w:tcPr>
          <w:p w14:paraId="45B51CE4" w14:textId="77777777" w:rsidR="00103624" w:rsidRPr="002346A3" w:rsidRDefault="00103624" w:rsidP="00DA7071">
            <w:pPr>
              <w:rPr>
                <w:rFonts w:eastAsia="Times New Roman"/>
                <w:color w:val="000000"/>
                <w:sz w:val="18"/>
                <w:szCs w:val="18"/>
              </w:rPr>
            </w:pPr>
            <w:r w:rsidRPr="002346A3">
              <w:rPr>
                <w:rFonts w:eastAsia="Times New Roman"/>
                <w:color w:val="000000"/>
                <w:sz w:val="18"/>
                <w:szCs w:val="18"/>
              </w:rPr>
              <w:t>Total number of annual responses, annualized</w:t>
            </w:r>
          </w:p>
        </w:tc>
        <w:tc>
          <w:tcPr>
            <w:tcW w:w="967" w:type="dxa"/>
            <w:shd w:val="clear" w:color="auto" w:fill="auto"/>
            <w:vAlign w:val="bottom"/>
            <w:hideMark/>
          </w:tcPr>
          <w:p w14:paraId="502235B0" w14:textId="77777777" w:rsidR="00103624" w:rsidRPr="002346A3" w:rsidRDefault="00103624" w:rsidP="00DA7071">
            <w:pPr>
              <w:rPr>
                <w:rFonts w:eastAsia="Times New Roman"/>
                <w:color w:val="000000"/>
                <w:sz w:val="18"/>
                <w:szCs w:val="18"/>
              </w:rPr>
            </w:pPr>
            <w:r w:rsidRPr="002346A3">
              <w:rPr>
                <w:rFonts w:eastAsia="Times New Roman"/>
                <w:color w:val="000000"/>
                <w:sz w:val="18"/>
                <w:szCs w:val="18"/>
              </w:rPr>
              <w:t>Average response time per response</w:t>
            </w:r>
          </w:p>
        </w:tc>
        <w:tc>
          <w:tcPr>
            <w:tcW w:w="1170" w:type="dxa"/>
            <w:shd w:val="clear" w:color="auto" w:fill="auto"/>
            <w:vAlign w:val="bottom"/>
            <w:hideMark/>
          </w:tcPr>
          <w:p w14:paraId="4B727921" w14:textId="77777777" w:rsidR="00103624" w:rsidRPr="002346A3" w:rsidRDefault="00103624" w:rsidP="00DA7071">
            <w:pPr>
              <w:rPr>
                <w:rFonts w:eastAsia="Times New Roman"/>
                <w:color w:val="000000"/>
                <w:sz w:val="18"/>
                <w:szCs w:val="18"/>
              </w:rPr>
            </w:pPr>
            <w:r w:rsidRPr="002346A3">
              <w:rPr>
                <w:rFonts w:eastAsia="Times New Roman"/>
                <w:color w:val="000000"/>
                <w:sz w:val="18"/>
                <w:szCs w:val="18"/>
              </w:rPr>
              <w:t>Total annualized time for responding (Burden Hours)</w:t>
            </w:r>
          </w:p>
        </w:tc>
        <w:tc>
          <w:tcPr>
            <w:tcW w:w="985" w:type="dxa"/>
            <w:shd w:val="clear" w:color="auto" w:fill="auto"/>
            <w:vAlign w:val="bottom"/>
            <w:hideMark/>
          </w:tcPr>
          <w:p w14:paraId="019DB8D0" w14:textId="77777777" w:rsidR="00103624" w:rsidRPr="002346A3" w:rsidRDefault="00103624" w:rsidP="00DA7071">
            <w:pPr>
              <w:rPr>
                <w:rFonts w:eastAsia="Times New Roman"/>
                <w:color w:val="000000"/>
                <w:sz w:val="18"/>
                <w:szCs w:val="18"/>
              </w:rPr>
            </w:pPr>
            <w:r w:rsidRPr="002346A3">
              <w:rPr>
                <w:rFonts w:eastAsia="Times New Roman"/>
                <w:color w:val="000000"/>
                <w:sz w:val="18"/>
                <w:szCs w:val="18"/>
              </w:rPr>
              <w:t>Average loaded hourly labor cost</w:t>
            </w:r>
          </w:p>
        </w:tc>
        <w:tc>
          <w:tcPr>
            <w:tcW w:w="1296" w:type="dxa"/>
          </w:tcPr>
          <w:p w14:paraId="1AC7C487" w14:textId="77777777" w:rsidR="00103624" w:rsidRPr="002346A3" w:rsidRDefault="00103624" w:rsidP="00DA7071">
            <w:pPr>
              <w:rPr>
                <w:rFonts w:eastAsia="Times New Roman"/>
                <w:color w:val="000000"/>
                <w:sz w:val="18"/>
                <w:szCs w:val="18"/>
              </w:rPr>
            </w:pPr>
          </w:p>
          <w:p w14:paraId="7CCB3506" w14:textId="77777777" w:rsidR="00103624" w:rsidRPr="002346A3" w:rsidRDefault="00103624" w:rsidP="00DA7071">
            <w:pPr>
              <w:rPr>
                <w:rFonts w:eastAsia="Times New Roman"/>
                <w:color w:val="000000"/>
                <w:sz w:val="18"/>
                <w:szCs w:val="18"/>
              </w:rPr>
            </w:pPr>
          </w:p>
          <w:p w14:paraId="1ABE258D" w14:textId="77777777" w:rsidR="00103624" w:rsidRPr="002346A3" w:rsidRDefault="00103624" w:rsidP="00DA7071">
            <w:pPr>
              <w:rPr>
                <w:rFonts w:eastAsia="Times New Roman"/>
                <w:color w:val="000000"/>
                <w:sz w:val="18"/>
                <w:szCs w:val="18"/>
              </w:rPr>
            </w:pPr>
          </w:p>
          <w:p w14:paraId="0BB33F8F" w14:textId="77777777" w:rsidR="00103624" w:rsidRPr="002346A3" w:rsidRDefault="00103624" w:rsidP="00DA7071">
            <w:pPr>
              <w:rPr>
                <w:rFonts w:eastAsia="Times New Roman"/>
                <w:color w:val="000000"/>
                <w:sz w:val="18"/>
                <w:szCs w:val="18"/>
              </w:rPr>
            </w:pPr>
            <w:r w:rsidRPr="002346A3">
              <w:rPr>
                <w:rFonts w:eastAsia="Times New Roman"/>
                <w:color w:val="000000"/>
                <w:sz w:val="18"/>
                <w:szCs w:val="18"/>
              </w:rPr>
              <w:t>Total labor cost for responding</w:t>
            </w:r>
          </w:p>
        </w:tc>
      </w:tr>
      <w:tr w:rsidR="00DA7071" w14:paraId="61AC5CF5" w14:textId="77777777" w:rsidTr="002346A3">
        <w:trPr>
          <w:trHeight w:val="600"/>
        </w:trPr>
        <w:tc>
          <w:tcPr>
            <w:tcW w:w="955" w:type="dxa"/>
            <w:shd w:val="clear" w:color="auto" w:fill="auto"/>
            <w:vAlign w:val="bottom"/>
            <w:hideMark/>
          </w:tcPr>
          <w:p w14:paraId="0D0A8263" w14:textId="77777777" w:rsidR="00103624" w:rsidRPr="002346A3" w:rsidRDefault="00103624" w:rsidP="00DA7071">
            <w:pPr>
              <w:rPr>
                <w:rFonts w:eastAsia="Times New Roman"/>
                <w:color w:val="000000"/>
                <w:sz w:val="18"/>
                <w:szCs w:val="18"/>
              </w:rPr>
            </w:pPr>
            <w:r w:rsidRPr="002346A3">
              <w:rPr>
                <w:rFonts w:eastAsia="Times New Roman"/>
                <w:color w:val="000000"/>
                <w:sz w:val="18"/>
                <w:szCs w:val="18"/>
              </w:rPr>
              <w:t>Crew, Northeast Region</w:t>
            </w:r>
          </w:p>
        </w:tc>
        <w:tc>
          <w:tcPr>
            <w:tcW w:w="935" w:type="dxa"/>
            <w:shd w:val="clear" w:color="auto" w:fill="auto"/>
            <w:noWrap/>
            <w:vAlign w:val="bottom"/>
            <w:hideMark/>
          </w:tcPr>
          <w:p w14:paraId="6738BF8B" w14:textId="77777777" w:rsidR="00103624" w:rsidRPr="002346A3" w:rsidRDefault="00103624" w:rsidP="00DA7071">
            <w:pPr>
              <w:jc w:val="right"/>
              <w:rPr>
                <w:rFonts w:eastAsia="Times New Roman"/>
                <w:color w:val="000000"/>
                <w:sz w:val="18"/>
                <w:szCs w:val="18"/>
              </w:rPr>
            </w:pPr>
            <w:r w:rsidRPr="002346A3">
              <w:rPr>
                <w:rFonts w:eastAsia="Times New Roman"/>
                <w:color w:val="000000"/>
                <w:sz w:val="18"/>
                <w:szCs w:val="18"/>
              </w:rPr>
              <w:t xml:space="preserve"> 21,616 </w:t>
            </w:r>
          </w:p>
        </w:tc>
        <w:tc>
          <w:tcPr>
            <w:tcW w:w="1185" w:type="dxa"/>
            <w:shd w:val="clear" w:color="auto" w:fill="auto"/>
            <w:noWrap/>
            <w:vAlign w:val="bottom"/>
            <w:hideMark/>
          </w:tcPr>
          <w:p w14:paraId="07191E74" w14:textId="75DDD58B" w:rsidR="00103624" w:rsidRPr="002346A3" w:rsidRDefault="00931D28" w:rsidP="00DA7071">
            <w:pPr>
              <w:jc w:val="right"/>
              <w:rPr>
                <w:rFonts w:eastAsia="Times New Roman"/>
                <w:color w:val="000000"/>
                <w:sz w:val="18"/>
                <w:szCs w:val="18"/>
              </w:rPr>
            </w:pPr>
            <w:r w:rsidRPr="002346A3">
              <w:rPr>
                <w:rFonts w:eastAsia="Times New Roman"/>
                <w:color w:val="000000"/>
                <w:sz w:val="18"/>
                <w:szCs w:val="18"/>
              </w:rPr>
              <w:t>1</w:t>
            </w:r>
            <w:r w:rsidR="00DA7071" w:rsidRPr="002346A3">
              <w:rPr>
                <w:rFonts w:eastAsia="Times New Roman"/>
                <w:color w:val="000000"/>
                <w:sz w:val="18"/>
                <w:szCs w:val="18"/>
              </w:rPr>
              <w:t>,</w:t>
            </w:r>
            <w:r w:rsidRPr="002346A3">
              <w:rPr>
                <w:rFonts w:eastAsia="Times New Roman"/>
                <w:color w:val="000000"/>
                <w:sz w:val="18"/>
                <w:szCs w:val="18"/>
              </w:rPr>
              <w:t>100</w:t>
            </w:r>
          </w:p>
        </w:tc>
        <w:tc>
          <w:tcPr>
            <w:tcW w:w="1065" w:type="dxa"/>
            <w:shd w:val="clear" w:color="auto" w:fill="auto"/>
            <w:noWrap/>
            <w:vAlign w:val="bottom"/>
            <w:hideMark/>
          </w:tcPr>
          <w:p w14:paraId="69B1EB48" w14:textId="77777777" w:rsidR="00103624" w:rsidRPr="002346A3" w:rsidRDefault="00103624" w:rsidP="00DA7071">
            <w:pPr>
              <w:jc w:val="right"/>
              <w:rPr>
                <w:rFonts w:eastAsia="Times New Roman"/>
                <w:color w:val="000000"/>
                <w:sz w:val="18"/>
                <w:szCs w:val="18"/>
              </w:rPr>
            </w:pPr>
            <w:r w:rsidRPr="002346A3">
              <w:rPr>
                <w:rFonts w:eastAsia="Times New Roman"/>
                <w:color w:val="000000"/>
                <w:sz w:val="18"/>
                <w:szCs w:val="18"/>
              </w:rPr>
              <w:t>1</w:t>
            </w:r>
          </w:p>
        </w:tc>
        <w:tc>
          <w:tcPr>
            <w:tcW w:w="1013" w:type="dxa"/>
            <w:shd w:val="clear" w:color="auto" w:fill="auto"/>
            <w:noWrap/>
            <w:vAlign w:val="bottom"/>
            <w:hideMark/>
          </w:tcPr>
          <w:p w14:paraId="699C0A43" w14:textId="5A5621B1" w:rsidR="00103624" w:rsidRPr="002346A3" w:rsidRDefault="00931D28" w:rsidP="00DA7071">
            <w:pPr>
              <w:jc w:val="right"/>
              <w:rPr>
                <w:rFonts w:eastAsia="Times New Roman"/>
                <w:color w:val="000000"/>
                <w:sz w:val="18"/>
                <w:szCs w:val="18"/>
              </w:rPr>
            </w:pPr>
            <w:r w:rsidRPr="002346A3">
              <w:rPr>
                <w:rFonts w:eastAsia="Times New Roman"/>
                <w:color w:val="000000"/>
                <w:sz w:val="18"/>
                <w:szCs w:val="18"/>
              </w:rPr>
              <w:t>1</w:t>
            </w:r>
            <w:r w:rsidR="00DA7071" w:rsidRPr="002346A3">
              <w:rPr>
                <w:rFonts w:eastAsia="Times New Roman"/>
                <w:color w:val="000000"/>
                <w:sz w:val="18"/>
                <w:szCs w:val="18"/>
              </w:rPr>
              <w:t>,</w:t>
            </w:r>
            <w:r w:rsidRPr="002346A3">
              <w:rPr>
                <w:rFonts w:eastAsia="Times New Roman"/>
                <w:color w:val="000000"/>
                <w:sz w:val="18"/>
                <w:szCs w:val="18"/>
              </w:rPr>
              <w:t>100</w:t>
            </w:r>
          </w:p>
        </w:tc>
        <w:tc>
          <w:tcPr>
            <w:tcW w:w="967" w:type="dxa"/>
            <w:shd w:val="clear" w:color="auto" w:fill="auto"/>
            <w:noWrap/>
            <w:vAlign w:val="bottom"/>
            <w:hideMark/>
          </w:tcPr>
          <w:p w14:paraId="224295C4" w14:textId="77777777" w:rsidR="00103624" w:rsidRPr="002346A3" w:rsidRDefault="00103624" w:rsidP="00DA7071">
            <w:pPr>
              <w:jc w:val="right"/>
              <w:rPr>
                <w:rFonts w:eastAsia="Times New Roman"/>
                <w:color w:val="000000"/>
                <w:sz w:val="18"/>
                <w:szCs w:val="18"/>
              </w:rPr>
            </w:pPr>
            <w:r w:rsidRPr="002346A3">
              <w:rPr>
                <w:rFonts w:eastAsia="Times New Roman"/>
                <w:color w:val="000000"/>
                <w:sz w:val="18"/>
                <w:szCs w:val="18"/>
              </w:rPr>
              <w:t>20 min.</w:t>
            </w:r>
          </w:p>
        </w:tc>
        <w:tc>
          <w:tcPr>
            <w:tcW w:w="1170" w:type="dxa"/>
            <w:shd w:val="clear" w:color="auto" w:fill="auto"/>
            <w:noWrap/>
            <w:vAlign w:val="bottom"/>
            <w:hideMark/>
          </w:tcPr>
          <w:p w14:paraId="6F78497B" w14:textId="3557683B" w:rsidR="00103624" w:rsidRPr="002346A3" w:rsidRDefault="00DA7071" w:rsidP="00DA7071">
            <w:pPr>
              <w:jc w:val="right"/>
              <w:rPr>
                <w:rFonts w:eastAsia="Times New Roman"/>
                <w:color w:val="000000"/>
                <w:sz w:val="18"/>
                <w:szCs w:val="18"/>
              </w:rPr>
            </w:pPr>
            <w:r w:rsidRPr="002346A3">
              <w:rPr>
                <w:rFonts w:eastAsia="Times New Roman"/>
                <w:color w:val="000000"/>
                <w:sz w:val="18"/>
                <w:szCs w:val="18"/>
              </w:rPr>
              <w:t>367</w:t>
            </w:r>
          </w:p>
        </w:tc>
        <w:tc>
          <w:tcPr>
            <w:tcW w:w="985" w:type="dxa"/>
            <w:shd w:val="clear" w:color="auto" w:fill="auto"/>
            <w:noWrap/>
            <w:vAlign w:val="bottom"/>
            <w:hideMark/>
          </w:tcPr>
          <w:p w14:paraId="74A7E63F" w14:textId="77777777" w:rsidR="00103624" w:rsidRPr="002346A3" w:rsidRDefault="00103624" w:rsidP="00DA7071">
            <w:pPr>
              <w:jc w:val="right"/>
              <w:rPr>
                <w:rFonts w:eastAsia="Times New Roman"/>
                <w:color w:val="000000"/>
                <w:sz w:val="18"/>
                <w:szCs w:val="18"/>
              </w:rPr>
            </w:pPr>
            <w:r w:rsidRPr="002346A3">
              <w:rPr>
                <w:rFonts w:eastAsia="Times New Roman"/>
                <w:color w:val="000000"/>
                <w:sz w:val="18"/>
                <w:szCs w:val="18"/>
              </w:rPr>
              <w:t>$13.61</w:t>
            </w:r>
          </w:p>
        </w:tc>
        <w:tc>
          <w:tcPr>
            <w:tcW w:w="1296" w:type="dxa"/>
          </w:tcPr>
          <w:p w14:paraId="6838F4BF" w14:textId="77777777" w:rsidR="00103624" w:rsidRPr="002346A3" w:rsidRDefault="00103624" w:rsidP="00DA7071">
            <w:pPr>
              <w:jc w:val="right"/>
              <w:rPr>
                <w:rFonts w:eastAsia="Times New Roman"/>
                <w:color w:val="000000"/>
                <w:sz w:val="18"/>
                <w:szCs w:val="18"/>
              </w:rPr>
            </w:pPr>
          </w:p>
          <w:p w14:paraId="6C1238F2" w14:textId="77777777" w:rsidR="00103624" w:rsidRPr="002346A3" w:rsidRDefault="00103624" w:rsidP="00DA7071">
            <w:pPr>
              <w:jc w:val="right"/>
              <w:rPr>
                <w:rFonts w:eastAsia="Times New Roman"/>
                <w:color w:val="000000"/>
                <w:sz w:val="18"/>
                <w:szCs w:val="18"/>
              </w:rPr>
            </w:pPr>
          </w:p>
          <w:p w14:paraId="121F9BE5" w14:textId="75466C9B" w:rsidR="00103624" w:rsidRPr="002346A3" w:rsidRDefault="00103624" w:rsidP="002346A3">
            <w:pPr>
              <w:jc w:val="right"/>
              <w:rPr>
                <w:rFonts w:eastAsia="Times New Roman"/>
                <w:color w:val="000000"/>
                <w:sz w:val="18"/>
                <w:szCs w:val="18"/>
              </w:rPr>
            </w:pPr>
            <w:r w:rsidRPr="002346A3">
              <w:rPr>
                <w:rFonts w:eastAsia="Times New Roman"/>
                <w:color w:val="000000"/>
                <w:sz w:val="18"/>
                <w:szCs w:val="18"/>
              </w:rPr>
              <w:t>$</w:t>
            </w:r>
            <w:r w:rsidR="00DA7071" w:rsidRPr="002346A3">
              <w:rPr>
                <w:rFonts w:eastAsia="Times New Roman"/>
                <w:color w:val="000000"/>
                <w:sz w:val="18"/>
                <w:szCs w:val="18"/>
              </w:rPr>
              <w:t>4,990.33</w:t>
            </w:r>
          </w:p>
        </w:tc>
      </w:tr>
    </w:tbl>
    <w:p w14:paraId="2C7708C2" w14:textId="77777777" w:rsidR="00103624" w:rsidRDefault="00103624" w:rsidP="00103624">
      <w:pPr>
        <w:pStyle w:val="CM120"/>
        <w:spacing w:after="82"/>
        <w:rPr>
          <w:rFonts w:ascii="Times New Roman" w:hAnsi="Times New Roman" w:cs="Times New Roman"/>
          <w:b/>
          <w:bCs/>
        </w:rPr>
      </w:pPr>
    </w:p>
    <w:p w14:paraId="6D97C793" w14:textId="77777777" w:rsidR="00103624" w:rsidRPr="00DA1E47" w:rsidRDefault="00103624" w:rsidP="00103624">
      <w:pPr>
        <w:pStyle w:val="Default"/>
        <w:rPr>
          <w:rFonts w:ascii="Times New Roman" w:hAnsi="Times New Roman" w:cs="Times New Roman"/>
          <w:color w:val="auto"/>
        </w:rPr>
      </w:pPr>
    </w:p>
    <w:p w14:paraId="72D04F15" w14:textId="77777777" w:rsidR="00103624" w:rsidRDefault="00103624" w:rsidP="00103624">
      <w:pPr>
        <w:pStyle w:val="CM111"/>
        <w:rPr>
          <w:rFonts w:ascii="Times New Roman" w:hAnsi="Times New Roman" w:cs="Times New Roman"/>
          <w:sz w:val="20"/>
          <w:szCs w:val="20"/>
        </w:rPr>
      </w:pPr>
      <w:r w:rsidRPr="00581E55">
        <w:rPr>
          <w:rFonts w:ascii="Times New Roman" w:hAnsi="Times New Roman" w:cs="Times New Roman"/>
          <w:sz w:val="20"/>
          <w:szCs w:val="20"/>
        </w:rPr>
        <w:t xml:space="preserve">[a] Labor costs are derived from BLS </w:t>
      </w:r>
      <w:hyperlink r:id="rId9" w:history="1">
        <w:r w:rsidRPr="00581E55">
          <w:rPr>
            <w:rStyle w:val="Hyperlink"/>
            <w:rFonts w:ascii="Times New Roman" w:hAnsi="Times New Roman" w:cs="Times New Roman"/>
            <w:sz w:val="20"/>
            <w:szCs w:val="20"/>
          </w:rPr>
          <w:t>https://www.bls.gov/oes/current/oes453011.htm</w:t>
        </w:r>
      </w:hyperlink>
      <w:r w:rsidRPr="00581E55">
        <w:rPr>
          <w:rFonts w:ascii="Times New Roman" w:hAnsi="Times New Roman" w:cs="Times New Roman"/>
          <w:sz w:val="20"/>
          <w:szCs w:val="20"/>
        </w:rPr>
        <w:t xml:space="preserve">. The value for crew is taken as the median rate ($13.61). The crew rate is not marked up since the crew will be taking the survey on their own time and thus their time will not incur overhead to their employer. </w:t>
      </w:r>
    </w:p>
    <w:p w14:paraId="3C76BC0F" w14:textId="77777777" w:rsidR="00103624" w:rsidRPr="008F05E3" w:rsidRDefault="00103624" w:rsidP="00103624">
      <w:pPr>
        <w:pStyle w:val="Default"/>
      </w:pPr>
    </w:p>
    <w:p w14:paraId="321966CA" w14:textId="77777777" w:rsidR="00103624" w:rsidRPr="00DA1E47" w:rsidRDefault="00103624" w:rsidP="00103624">
      <w:pPr>
        <w:pStyle w:val="CM119"/>
        <w:spacing w:after="275" w:line="278" w:lineRule="atLeast"/>
        <w:ind w:right="157"/>
        <w:rPr>
          <w:rFonts w:ascii="Times New Roman" w:hAnsi="Times New Roman" w:cs="Times New Roman"/>
        </w:rPr>
      </w:pPr>
      <w:r w:rsidRPr="00DA1E47">
        <w:rPr>
          <w:rFonts w:ascii="Times New Roman" w:hAnsi="Times New Roman" w:cs="Times New Roman"/>
          <w:b/>
          <w:bCs/>
        </w:rPr>
        <w:t xml:space="preserve">13. </w:t>
      </w:r>
      <w:r w:rsidRPr="00DA1E47">
        <w:rPr>
          <w:rFonts w:ascii="Times New Roman" w:hAnsi="Times New Roman" w:cs="Times New Roman"/>
          <w:b/>
          <w:bCs/>
          <w:u w:val="single"/>
        </w:rPr>
        <w:t>Provide an estimate of the total annual cost burden to the respondents or record-keepers resulting from the collection (excluding the value of the burden hours in Question 12 above)</w:t>
      </w:r>
      <w:r w:rsidRPr="00DA1E47">
        <w:rPr>
          <w:rFonts w:ascii="Times New Roman" w:hAnsi="Times New Roman" w:cs="Times New Roman"/>
          <w:b/>
          <w:bCs/>
        </w:rPr>
        <w:t xml:space="preserve">. </w:t>
      </w:r>
    </w:p>
    <w:p w14:paraId="138916F9"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rPr>
        <w:t xml:space="preserve">The </w:t>
      </w:r>
      <w:r>
        <w:rPr>
          <w:rFonts w:ascii="Times New Roman" w:hAnsi="Times New Roman" w:cs="Times New Roman"/>
        </w:rPr>
        <w:t>survey</w:t>
      </w:r>
      <w:r w:rsidRPr="00DA1E47">
        <w:rPr>
          <w:rFonts w:ascii="Times New Roman" w:hAnsi="Times New Roman" w:cs="Times New Roman"/>
        </w:rPr>
        <w:t xml:space="preserve"> do</w:t>
      </w:r>
      <w:r>
        <w:rPr>
          <w:rFonts w:ascii="Times New Roman" w:hAnsi="Times New Roman" w:cs="Times New Roman"/>
        </w:rPr>
        <w:t>es</w:t>
      </w:r>
      <w:r w:rsidRPr="00DA1E47">
        <w:rPr>
          <w:rFonts w:ascii="Times New Roman" w:hAnsi="Times New Roman" w:cs="Times New Roman"/>
        </w:rPr>
        <w:t xml:space="preserve"> not impose recordkeeping costs on the respondents</w:t>
      </w:r>
      <w:r>
        <w:rPr>
          <w:rFonts w:ascii="Times New Roman" w:hAnsi="Times New Roman" w:cs="Times New Roman"/>
        </w:rPr>
        <w:t xml:space="preserve"> since they</w:t>
      </w:r>
      <w:r w:rsidRPr="00DA1E47">
        <w:rPr>
          <w:rFonts w:ascii="Times New Roman" w:hAnsi="Times New Roman" w:cs="Times New Roman"/>
        </w:rPr>
        <w:t xml:space="preserve"> are in person. </w:t>
      </w:r>
    </w:p>
    <w:p w14:paraId="6DA66AA3" w14:textId="77777777" w:rsidR="00326B84" w:rsidRDefault="00326B84" w:rsidP="00103624">
      <w:pPr>
        <w:pStyle w:val="CM119"/>
        <w:spacing w:after="275" w:line="273" w:lineRule="atLeast"/>
        <w:rPr>
          <w:rFonts w:ascii="Times New Roman" w:hAnsi="Times New Roman" w:cs="Times New Roman"/>
          <w:b/>
          <w:bCs/>
        </w:rPr>
      </w:pPr>
    </w:p>
    <w:p w14:paraId="0D42FBCB" w14:textId="77777777" w:rsidR="00103624" w:rsidRPr="00DA1E47" w:rsidRDefault="00103624" w:rsidP="00103624">
      <w:pPr>
        <w:pStyle w:val="CM119"/>
        <w:spacing w:after="275" w:line="273" w:lineRule="atLeast"/>
        <w:rPr>
          <w:rFonts w:ascii="Times New Roman" w:hAnsi="Times New Roman" w:cs="Times New Roman"/>
        </w:rPr>
      </w:pPr>
      <w:r w:rsidRPr="00DA1E47">
        <w:rPr>
          <w:rFonts w:ascii="Times New Roman" w:hAnsi="Times New Roman" w:cs="Times New Roman"/>
          <w:b/>
          <w:bCs/>
        </w:rPr>
        <w:t xml:space="preserve">14. </w:t>
      </w:r>
      <w:r w:rsidRPr="00DA1E47">
        <w:rPr>
          <w:rFonts w:ascii="Times New Roman" w:hAnsi="Times New Roman" w:cs="Times New Roman"/>
          <w:b/>
          <w:bCs/>
          <w:u w:val="single"/>
        </w:rPr>
        <w:t>Provide estimates of annualized cost to the Federal government</w:t>
      </w:r>
      <w:r w:rsidRPr="00DA1E47">
        <w:rPr>
          <w:rFonts w:ascii="Times New Roman" w:hAnsi="Times New Roman" w:cs="Times New Roman"/>
          <w:b/>
          <w:bCs/>
        </w:rPr>
        <w:t xml:space="preserve">. </w:t>
      </w:r>
    </w:p>
    <w:p w14:paraId="5DC24A19" w14:textId="4359CFA8" w:rsidR="00103624" w:rsidRDefault="00103624" w:rsidP="00103624">
      <w:pPr>
        <w:pStyle w:val="Default"/>
      </w:pPr>
      <w:r w:rsidRPr="00DA1E47">
        <w:rPr>
          <w:rFonts w:ascii="Times New Roman" w:hAnsi="Times New Roman" w:cs="Times New Roman"/>
        </w:rPr>
        <w:t>SSB develop</w:t>
      </w:r>
      <w:r>
        <w:rPr>
          <w:rFonts w:ascii="Times New Roman" w:hAnsi="Times New Roman" w:cs="Times New Roman"/>
        </w:rPr>
        <w:t>ed</w:t>
      </w:r>
      <w:r w:rsidRPr="00DA1E47">
        <w:rPr>
          <w:rFonts w:ascii="Times New Roman" w:hAnsi="Times New Roman" w:cs="Times New Roman"/>
        </w:rPr>
        <w:t xml:space="preserve"> the survey</w:t>
      </w:r>
      <w:r>
        <w:rPr>
          <w:rFonts w:ascii="Times New Roman" w:hAnsi="Times New Roman" w:cs="Times New Roman"/>
        </w:rPr>
        <w:t xml:space="preserve"> and will administer it with the assistance of contractors and University of Rhode Island graduate students</w:t>
      </w:r>
      <w:r w:rsidRPr="00DA1E47">
        <w:rPr>
          <w:rFonts w:ascii="Times New Roman" w:hAnsi="Times New Roman" w:cs="Times New Roman"/>
        </w:rPr>
        <w:t xml:space="preserve">. </w:t>
      </w:r>
      <w:r>
        <w:rPr>
          <w:rFonts w:ascii="Times New Roman" w:hAnsi="Times New Roman" w:cs="Times New Roman"/>
        </w:rPr>
        <w:t>In addition to contractor costs, travel costs will be incurred to various field sites throughout the Northeast Region, and there will be costs for printing of surveys and for supplies. Data collection and processing, and report development will be conducted by both the contractor and NOAA Fisheries federal employees. The contract</w:t>
      </w:r>
      <w:r w:rsidR="00D50C51">
        <w:rPr>
          <w:rFonts w:ascii="Times New Roman" w:hAnsi="Times New Roman" w:cs="Times New Roman"/>
        </w:rPr>
        <w:t>or costs for the survey (Table 3</w:t>
      </w:r>
      <w:r>
        <w:rPr>
          <w:rFonts w:ascii="Times New Roman" w:hAnsi="Times New Roman" w:cs="Times New Roman"/>
        </w:rPr>
        <w:t xml:space="preserve">) are included below. Please see table below for itemized costs. In addition, one FTE (ZP-4) is expected to spend 320 hours overseeing the assessment. One FTE (ZP-3) staff will participate in the assessment for a total of 600 hours. Total FTE staff costs are $46,000 for the crew survey. </w:t>
      </w:r>
    </w:p>
    <w:p w14:paraId="01A1997F" w14:textId="77777777" w:rsidR="00103624" w:rsidRDefault="00103624" w:rsidP="00103624">
      <w:pPr>
        <w:pStyle w:val="Default"/>
      </w:pPr>
    </w:p>
    <w:p w14:paraId="2F8A4CA5" w14:textId="7FE8D14A" w:rsidR="00103624" w:rsidRPr="00A91EA0" w:rsidRDefault="008B4A32" w:rsidP="00103624">
      <w:pPr>
        <w:pStyle w:val="Default"/>
        <w:rPr>
          <w:rFonts w:ascii="Times New Roman" w:hAnsi="Times New Roman" w:cs="Times New Roman"/>
          <w:sz w:val="20"/>
          <w:szCs w:val="20"/>
        </w:rPr>
      </w:pPr>
      <w:r>
        <w:rPr>
          <w:rFonts w:ascii="Times New Roman" w:hAnsi="Times New Roman" w:cs="Times New Roman"/>
          <w:sz w:val="20"/>
          <w:szCs w:val="20"/>
        </w:rPr>
        <w:t>Table 3</w:t>
      </w:r>
      <w:r w:rsidR="00103624" w:rsidRPr="00A91EA0">
        <w:rPr>
          <w:rFonts w:ascii="Times New Roman" w:hAnsi="Times New Roman" w:cs="Times New Roman"/>
          <w:sz w:val="20"/>
          <w:szCs w:val="20"/>
        </w:rPr>
        <w:t>. Estimates of annualized costs to the Federal Government for crew survey implementation.</w:t>
      </w:r>
    </w:p>
    <w:tbl>
      <w:tblPr>
        <w:tblStyle w:val="TableGrid"/>
        <w:tblW w:w="0" w:type="auto"/>
        <w:tblLook w:val="04A0" w:firstRow="1" w:lastRow="0" w:firstColumn="1" w:lastColumn="0" w:noHBand="0" w:noVBand="1"/>
      </w:tblPr>
      <w:tblGrid>
        <w:gridCol w:w="4675"/>
        <w:gridCol w:w="4675"/>
      </w:tblGrid>
      <w:tr w:rsidR="00103624" w14:paraId="732F1807" w14:textId="77777777" w:rsidTr="009277AA">
        <w:tc>
          <w:tcPr>
            <w:tcW w:w="4675" w:type="dxa"/>
          </w:tcPr>
          <w:p w14:paraId="67AB0F8F" w14:textId="77777777" w:rsidR="00103624" w:rsidRPr="00A91EA0" w:rsidRDefault="00103624" w:rsidP="009277AA">
            <w:pPr>
              <w:pStyle w:val="Default"/>
              <w:rPr>
                <w:rFonts w:ascii="Times New Roman" w:hAnsi="Times New Roman" w:cs="Times New Roman"/>
                <w:b/>
                <w:sz w:val="20"/>
                <w:szCs w:val="20"/>
              </w:rPr>
            </w:pPr>
            <w:r w:rsidRPr="00A91EA0">
              <w:rPr>
                <w:rFonts w:ascii="Times New Roman" w:hAnsi="Times New Roman" w:cs="Times New Roman"/>
                <w:b/>
                <w:sz w:val="20"/>
                <w:szCs w:val="20"/>
              </w:rPr>
              <w:t xml:space="preserve">Crew Survey </w:t>
            </w:r>
          </w:p>
        </w:tc>
        <w:tc>
          <w:tcPr>
            <w:tcW w:w="4675" w:type="dxa"/>
          </w:tcPr>
          <w:p w14:paraId="2880E071" w14:textId="77777777" w:rsidR="00103624" w:rsidRPr="00A91EA0" w:rsidRDefault="00103624" w:rsidP="009277AA">
            <w:pPr>
              <w:pStyle w:val="Default"/>
              <w:rPr>
                <w:rFonts w:ascii="Times New Roman" w:hAnsi="Times New Roman" w:cs="Times New Roman"/>
                <w:b/>
                <w:sz w:val="20"/>
                <w:szCs w:val="20"/>
              </w:rPr>
            </w:pPr>
            <w:r w:rsidRPr="00A91EA0">
              <w:rPr>
                <w:rFonts w:ascii="Times New Roman" w:hAnsi="Times New Roman" w:cs="Times New Roman"/>
                <w:b/>
                <w:sz w:val="20"/>
                <w:szCs w:val="20"/>
              </w:rPr>
              <w:t>Cost</w:t>
            </w:r>
          </w:p>
        </w:tc>
      </w:tr>
      <w:tr w:rsidR="00103624" w14:paraId="6BE78A60" w14:textId="77777777" w:rsidTr="009277AA">
        <w:tc>
          <w:tcPr>
            <w:tcW w:w="4675" w:type="dxa"/>
          </w:tcPr>
          <w:p w14:paraId="70B9C198"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sz w:val="20"/>
                <w:szCs w:val="20"/>
              </w:rPr>
              <w:t>Contractor wages</w:t>
            </w:r>
          </w:p>
        </w:tc>
        <w:tc>
          <w:tcPr>
            <w:tcW w:w="4675" w:type="dxa"/>
          </w:tcPr>
          <w:p w14:paraId="2144EA91" w14:textId="77777777" w:rsidR="00103624" w:rsidRPr="00A91EA0" w:rsidRDefault="00103624" w:rsidP="009277AA">
            <w:pPr>
              <w:pStyle w:val="Default"/>
              <w:rPr>
                <w:rFonts w:ascii="Times New Roman" w:hAnsi="Times New Roman" w:cs="Times New Roman"/>
                <w:sz w:val="20"/>
                <w:szCs w:val="20"/>
              </w:rPr>
            </w:pPr>
            <w:r>
              <w:rPr>
                <w:rFonts w:ascii="Times New Roman" w:hAnsi="Times New Roman" w:cs="Times New Roman"/>
                <w:sz w:val="20"/>
                <w:szCs w:val="20"/>
              </w:rPr>
              <w:t>$ 130,000</w:t>
            </w:r>
          </w:p>
        </w:tc>
      </w:tr>
      <w:tr w:rsidR="00103624" w14:paraId="07CB8B55" w14:textId="77777777" w:rsidTr="009277AA">
        <w:tc>
          <w:tcPr>
            <w:tcW w:w="4675" w:type="dxa"/>
          </w:tcPr>
          <w:p w14:paraId="2CB46C94"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sz w:val="20"/>
                <w:szCs w:val="20"/>
              </w:rPr>
              <w:t>Contractor travel (lodging/per diem)</w:t>
            </w:r>
          </w:p>
        </w:tc>
        <w:tc>
          <w:tcPr>
            <w:tcW w:w="4675" w:type="dxa"/>
          </w:tcPr>
          <w:p w14:paraId="20B62C3B" w14:textId="77777777" w:rsidR="00103624" w:rsidRPr="00A91EA0" w:rsidRDefault="00103624" w:rsidP="009277AA">
            <w:pPr>
              <w:pStyle w:val="Default"/>
              <w:rPr>
                <w:rFonts w:ascii="Times New Roman" w:hAnsi="Times New Roman" w:cs="Times New Roman"/>
                <w:sz w:val="20"/>
                <w:szCs w:val="20"/>
              </w:rPr>
            </w:pPr>
            <w:r>
              <w:rPr>
                <w:rFonts w:ascii="Times New Roman" w:hAnsi="Times New Roman" w:cs="Times New Roman"/>
                <w:sz w:val="20"/>
                <w:szCs w:val="20"/>
              </w:rPr>
              <w:t>$   16,000</w:t>
            </w:r>
          </w:p>
        </w:tc>
      </w:tr>
      <w:tr w:rsidR="00103624" w14:paraId="5F2E621D" w14:textId="77777777" w:rsidTr="009277AA">
        <w:tc>
          <w:tcPr>
            <w:tcW w:w="4675" w:type="dxa"/>
          </w:tcPr>
          <w:p w14:paraId="26AD02B0"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sz w:val="20"/>
                <w:szCs w:val="20"/>
              </w:rPr>
              <w:t>SSB travel (lodging/per diem)</w:t>
            </w:r>
          </w:p>
        </w:tc>
        <w:tc>
          <w:tcPr>
            <w:tcW w:w="4675" w:type="dxa"/>
          </w:tcPr>
          <w:p w14:paraId="564CE65D" w14:textId="77777777" w:rsidR="00103624" w:rsidRPr="00A91EA0" w:rsidRDefault="00103624" w:rsidP="009277AA">
            <w:pPr>
              <w:pStyle w:val="Default"/>
              <w:rPr>
                <w:rFonts w:ascii="Times New Roman" w:hAnsi="Times New Roman" w:cs="Times New Roman"/>
                <w:sz w:val="20"/>
                <w:szCs w:val="20"/>
              </w:rPr>
            </w:pPr>
            <w:r>
              <w:rPr>
                <w:rFonts w:ascii="Times New Roman" w:hAnsi="Times New Roman" w:cs="Times New Roman"/>
                <w:sz w:val="20"/>
                <w:szCs w:val="20"/>
              </w:rPr>
              <w:t>$     9,000</w:t>
            </w:r>
          </w:p>
        </w:tc>
      </w:tr>
      <w:tr w:rsidR="00103624" w14:paraId="6D25CE1C" w14:textId="77777777" w:rsidTr="009277AA">
        <w:tc>
          <w:tcPr>
            <w:tcW w:w="4675" w:type="dxa"/>
          </w:tcPr>
          <w:p w14:paraId="1176D4B2"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sz w:val="20"/>
                <w:szCs w:val="20"/>
              </w:rPr>
              <w:t>Tablets</w:t>
            </w:r>
          </w:p>
        </w:tc>
        <w:tc>
          <w:tcPr>
            <w:tcW w:w="4675" w:type="dxa"/>
          </w:tcPr>
          <w:p w14:paraId="16CA6232"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sz w:val="20"/>
                <w:szCs w:val="20"/>
              </w:rPr>
              <w:t>$</w:t>
            </w:r>
            <w:r>
              <w:rPr>
                <w:rFonts w:ascii="Times New Roman" w:hAnsi="Times New Roman" w:cs="Times New Roman"/>
                <w:sz w:val="20"/>
                <w:szCs w:val="20"/>
              </w:rPr>
              <w:t xml:space="preserve">     8,000</w:t>
            </w:r>
          </w:p>
        </w:tc>
      </w:tr>
      <w:tr w:rsidR="00103624" w14:paraId="74078C5D" w14:textId="77777777" w:rsidTr="009277AA">
        <w:tc>
          <w:tcPr>
            <w:tcW w:w="4675" w:type="dxa"/>
          </w:tcPr>
          <w:p w14:paraId="5E60FFFB"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sz w:val="20"/>
                <w:szCs w:val="20"/>
              </w:rPr>
              <w:t>Printing</w:t>
            </w:r>
          </w:p>
        </w:tc>
        <w:tc>
          <w:tcPr>
            <w:tcW w:w="4675" w:type="dxa"/>
          </w:tcPr>
          <w:p w14:paraId="4A492B1B"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sz w:val="20"/>
                <w:szCs w:val="20"/>
              </w:rPr>
              <w:t>$</w:t>
            </w:r>
            <w:r>
              <w:rPr>
                <w:rFonts w:ascii="Times New Roman" w:hAnsi="Times New Roman" w:cs="Times New Roman"/>
                <w:sz w:val="20"/>
                <w:szCs w:val="20"/>
              </w:rPr>
              <w:t xml:space="preserve">        </w:t>
            </w:r>
            <w:r w:rsidRPr="00A91EA0">
              <w:rPr>
                <w:rFonts w:ascii="Times New Roman" w:hAnsi="Times New Roman" w:cs="Times New Roman"/>
                <w:sz w:val="20"/>
                <w:szCs w:val="20"/>
              </w:rPr>
              <w:t>500</w:t>
            </w:r>
          </w:p>
        </w:tc>
      </w:tr>
      <w:tr w:rsidR="00103624" w14:paraId="6A7DA798" w14:textId="77777777" w:rsidTr="009277AA">
        <w:trPr>
          <w:trHeight w:val="260"/>
        </w:trPr>
        <w:tc>
          <w:tcPr>
            <w:tcW w:w="4675" w:type="dxa"/>
          </w:tcPr>
          <w:p w14:paraId="60A0B8A8"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sz w:val="20"/>
                <w:szCs w:val="20"/>
              </w:rPr>
              <w:t>Total</w:t>
            </w:r>
          </w:p>
        </w:tc>
        <w:tc>
          <w:tcPr>
            <w:tcW w:w="4675" w:type="dxa"/>
          </w:tcPr>
          <w:p w14:paraId="10D8DC07" w14:textId="77777777" w:rsidR="00103624" w:rsidRPr="00A91EA0" w:rsidRDefault="00103624" w:rsidP="009277AA">
            <w:pPr>
              <w:pStyle w:val="Default"/>
              <w:rPr>
                <w:rFonts w:ascii="Times New Roman" w:hAnsi="Times New Roman" w:cs="Times New Roman"/>
                <w:sz w:val="20"/>
                <w:szCs w:val="20"/>
              </w:rPr>
            </w:pPr>
            <w:r w:rsidRPr="00A91EA0">
              <w:rPr>
                <w:rFonts w:ascii="Times New Roman" w:hAnsi="Times New Roman" w:cs="Times New Roman"/>
                <w:sz w:val="20"/>
                <w:szCs w:val="20"/>
              </w:rPr>
              <w:t>$</w:t>
            </w:r>
            <w:r>
              <w:rPr>
                <w:rFonts w:ascii="Times New Roman" w:hAnsi="Times New Roman" w:cs="Times New Roman"/>
                <w:sz w:val="20"/>
                <w:szCs w:val="20"/>
              </w:rPr>
              <w:t xml:space="preserve"> </w:t>
            </w:r>
            <w:r w:rsidRPr="00A91EA0">
              <w:rPr>
                <w:rFonts w:ascii="Times New Roman" w:hAnsi="Times New Roman" w:cs="Times New Roman"/>
                <w:sz w:val="20"/>
                <w:szCs w:val="20"/>
              </w:rPr>
              <w:t>1</w:t>
            </w:r>
            <w:r>
              <w:rPr>
                <w:rFonts w:ascii="Times New Roman" w:hAnsi="Times New Roman" w:cs="Times New Roman"/>
                <w:sz w:val="20"/>
                <w:szCs w:val="20"/>
              </w:rPr>
              <w:t>63</w:t>
            </w:r>
            <w:r w:rsidRPr="00A91EA0">
              <w:rPr>
                <w:rFonts w:ascii="Times New Roman" w:hAnsi="Times New Roman" w:cs="Times New Roman"/>
                <w:sz w:val="20"/>
                <w:szCs w:val="20"/>
              </w:rPr>
              <w:t>,</w:t>
            </w:r>
            <w:r>
              <w:rPr>
                <w:rFonts w:ascii="Times New Roman" w:hAnsi="Times New Roman" w:cs="Times New Roman"/>
                <w:sz w:val="20"/>
                <w:szCs w:val="20"/>
              </w:rPr>
              <w:t>500</w:t>
            </w:r>
          </w:p>
        </w:tc>
      </w:tr>
    </w:tbl>
    <w:p w14:paraId="7193751E" w14:textId="77777777" w:rsidR="00103624" w:rsidRPr="00526A44" w:rsidRDefault="00103624" w:rsidP="00103624">
      <w:pPr>
        <w:pStyle w:val="Default"/>
      </w:pPr>
    </w:p>
    <w:p w14:paraId="4100E640" w14:textId="77777777" w:rsidR="00103624" w:rsidRPr="00DA1E47" w:rsidRDefault="00103624" w:rsidP="00103624">
      <w:pPr>
        <w:pStyle w:val="CM119"/>
        <w:spacing w:after="275"/>
        <w:rPr>
          <w:rFonts w:ascii="Times New Roman" w:hAnsi="Times New Roman" w:cs="Times New Roman"/>
        </w:rPr>
      </w:pPr>
      <w:r w:rsidRPr="00DA1E47">
        <w:rPr>
          <w:rFonts w:ascii="Times New Roman" w:hAnsi="Times New Roman" w:cs="Times New Roman"/>
          <w:b/>
          <w:bCs/>
        </w:rPr>
        <w:t xml:space="preserve">15. </w:t>
      </w:r>
      <w:r w:rsidRPr="00DA1E47">
        <w:rPr>
          <w:rFonts w:ascii="Times New Roman" w:hAnsi="Times New Roman" w:cs="Times New Roman"/>
          <w:b/>
          <w:bCs/>
          <w:u w:val="single"/>
        </w:rPr>
        <w:t>Explain the reasons for any program changes or adjustments</w:t>
      </w:r>
      <w:r w:rsidRPr="00DA1E47">
        <w:rPr>
          <w:rFonts w:ascii="Times New Roman" w:hAnsi="Times New Roman" w:cs="Times New Roman"/>
          <w:b/>
          <w:bCs/>
        </w:rPr>
        <w:t xml:space="preserve">. </w:t>
      </w:r>
    </w:p>
    <w:p w14:paraId="31D57DF1" w14:textId="1E5CE990" w:rsidR="00C57F1E" w:rsidRDefault="00C57F1E" w:rsidP="00C57F1E">
      <w:pPr>
        <w:pStyle w:val="CM119"/>
        <w:spacing w:after="275" w:line="276" w:lineRule="atLeast"/>
        <w:ind w:right="475"/>
        <w:contextualSpacing/>
        <w:rPr>
          <w:rFonts w:ascii="Times New Roman" w:hAnsi="Times New Roman" w:cs="Times New Roman"/>
        </w:rPr>
      </w:pPr>
      <w:r w:rsidRPr="00C57F1E">
        <w:rPr>
          <w:rFonts w:ascii="Times New Roman" w:hAnsi="Times New Roman" w:cs="Times New Roman"/>
        </w:rPr>
        <w:t xml:space="preserve">In the previously approved collection, there were two surveys; one for vessel owners and the other for crew. Since we do not need further information from vessel owners at this time, we intend to repeat (with changes) the crew survey only. Therefore, we made changes to the crew survey instrument only and modified the sampling approach. </w:t>
      </w:r>
    </w:p>
    <w:p w14:paraId="0D9B005E" w14:textId="77777777" w:rsidR="00C57F1E" w:rsidRDefault="00C57F1E" w:rsidP="00103624">
      <w:pPr>
        <w:pStyle w:val="CM119"/>
        <w:spacing w:after="275" w:line="276" w:lineRule="atLeast"/>
        <w:ind w:right="475"/>
        <w:contextualSpacing/>
        <w:rPr>
          <w:rFonts w:ascii="Times New Roman" w:hAnsi="Times New Roman" w:cs="Times New Roman"/>
        </w:rPr>
      </w:pPr>
    </w:p>
    <w:p w14:paraId="31463C07" w14:textId="1202B9B5" w:rsidR="00103624" w:rsidRPr="00F5428C" w:rsidRDefault="00103624" w:rsidP="00103624">
      <w:pPr>
        <w:pStyle w:val="CM119"/>
        <w:spacing w:after="275" w:line="276" w:lineRule="atLeast"/>
        <w:ind w:right="475"/>
        <w:contextualSpacing/>
        <w:rPr>
          <w:rFonts w:ascii="Times New Roman" w:hAnsi="Times New Roman" w:cs="Times New Roman"/>
        </w:rPr>
      </w:pPr>
      <w:r w:rsidRPr="00F5428C">
        <w:rPr>
          <w:rFonts w:ascii="Times New Roman" w:hAnsi="Times New Roman" w:cs="Times New Roman"/>
        </w:rPr>
        <w:t xml:space="preserve">The survey has been modified to increase response rates </w:t>
      </w:r>
      <w:r w:rsidR="000B44D4">
        <w:rPr>
          <w:rFonts w:ascii="Times New Roman" w:hAnsi="Times New Roman" w:cs="Times New Roman"/>
        </w:rPr>
        <w:t xml:space="preserve">and minimize burden. During the </w:t>
      </w:r>
      <w:r w:rsidRPr="00F5428C">
        <w:rPr>
          <w:rFonts w:ascii="Times New Roman" w:hAnsi="Times New Roman" w:cs="Times New Roman"/>
        </w:rPr>
        <w:t>previous data collection, the survey took significantly longe</w:t>
      </w:r>
      <w:r w:rsidR="000B44D4">
        <w:rPr>
          <w:rFonts w:ascii="Times New Roman" w:hAnsi="Times New Roman" w:cs="Times New Roman"/>
        </w:rPr>
        <w:t xml:space="preserve">r to complete than anticipated, </w:t>
      </w:r>
      <w:r w:rsidRPr="00F5428C">
        <w:rPr>
          <w:rFonts w:ascii="Times New Roman" w:hAnsi="Times New Roman" w:cs="Times New Roman"/>
        </w:rPr>
        <w:t>resulting in reduced number of completed surveys. Therefore, the survey</w:t>
      </w:r>
      <w:r w:rsidR="000B44D4">
        <w:rPr>
          <w:rFonts w:ascii="Times New Roman" w:hAnsi="Times New Roman" w:cs="Times New Roman"/>
        </w:rPr>
        <w:t xml:space="preserve"> length has been </w:t>
      </w:r>
      <w:r w:rsidRPr="00F5428C">
        <w:rPr>
          <w:rFonts w:ascii="Times New Roman" w:hAnsi="Times New Roman" w:cs="Times New Roman"/>
        </w:rPr>
        <w:t>substantially reduced to include questions that provided the most useful information and remove</w:t>
      </w:r>
      <w:r>
        <w:rPr>
          <w:rFonts w:ascii="Times New Roman" w:hAnsi="Times New Roman" w:cs="Times New Roman"/>
        </w:rPr>
        <w:t xml:space="preserve"> </w:t>
      </w:r>
      <w:r w:rsidRPr="00F5428C">
        <w:rPr>
          <w:rFonts w:ascii="Times New Roman" w:hAnsi="Times New Roman" w:cs="Times New Roman"/>
        </w:rPr>
        <w:t>questions that were unclear or redundant. Open-ended questions in the previous version that had</w:t>
      </w:r>
      <w:r>
        <w:rPr>
          <w:rFonts w:ascii="Times New Roman" w:hAnsi="Times New Roman" w:cs="Times New Roman"/>
        </w:rPr>
        <w:t xml:space="preserve"> </w:t>
      </w:r>
      <w:r w:rsidRPr="00F5428C">
        <w:rPr>
          <w:rFonts w:ascii="Times New Roman" w:hAnsi="Times New Roman" w:cs="Times New Roman"/>
        </w:rPr>
        <w:t>elicited overly specific and detailed responses have been converted to closed-ended, single or</w:t>
      </w:r>
      <w:r>
        <w:rPr>
          <w:rFonts w:ascii="Times New Roman" w:hAnsi="Times New Roman" w:cs="Times New Roman"/>
        </w:rPr>
        <w:t xml:space="preserve"> </w:t>
      </w:r>
      <w:r w:rsidRPr="00F5428C">
        <w:rPr>
          <w:rFonts w:ascii="Times New Roman" w:hAnsi="Times New Roman" w:cs="Times New Roman"/>
        </w:rPr>
        <w:t>multiple choice questions. These closed-ended questions were crafted based on results from</w:t>
      </w:r>
      <w:r>
        <w:rPr>
          <w:rFonts w:ascii="Times New Roman" w:hAnsi="Times New Roman" w:cs="Times New Roman"/>
        </w:rPr>
        <w:t xml:space="preserve"> </w:t>
      </w:r>
      <w:r w:rsidRPr="00F5428C">
        <w:rPr>
          <w:rFonts w:ascii="Times New Roman" w:hAnsi="Times New Roman" w:cs="Times New Roman"/>
        </w:rPr>
        <w:t>descriptive information extracted from the previous survey data. Shifting from open-ended to</w:t>
      </w:r>
      <w:r>
        <w:rPr>
          <w:rFonts w:ascii="Times New Roman" w:hAnsi="Times New Roman" w:cs="Times New Roman"/>
        </w:rPr>
        <w:t xml:space="preserve"> </w:t>
      </w:r>
      <w:r w:rsidRPr="00F5428C">
        <w:rPr>
          <w:rFonts w:ascii="Times New Roman" w:hAnsi="Times New Roman" w:cs="Times New Roman"/>
        </w:rPr>
        <w:t>closed-ended questions also allows for easier data management and analyses after data collection</w:t>
      </w:r>
      <w:r>
        <w:rPr>
          <w:rFonts w:ascii="Times New Roman" w:hAnsi="Times New Roman" w:cs="Times New Roman"/>
        </w:rPr>
        <w:t xml:space="preserve"> </w:t>
      </w:r>
      <w:r w:rsidRPr="00F5428C">
        <w:rPr>
          <w:rFonts w:ascii="Times New Roman" w:hAnsi="Times New Roman" w:cs="Times New Roman"/>
        </w:rPr>
        <w:t>ends, thus reducing burden hours on SSB staff. These modifications not only improve the types</w:t>
      </w:r>
      <w:r>
        <w:rPr>
          <w:rFonts w:ascii="Times New Roman" w:hAnsi="Times New Roman" w:cs="Times New Roman"/>
        </w:rPr>
        <w:t xml:space="preserve"> </w:t>
      </w:r>
      <w:r w:rsidRPr="00F5428C">
        <w:rPr>
          <w:rFonts w:ascii="Times New Roman" w:hAnsi="Times New Roman" w:cs="Times New Roman"/>
        </w:rPr>
        <w:t>of questions being asked, but also shorten</w:t>
      </w:r>
      <w:r w:rsidR="00506D05">
        <w:rPr>
          <w:rFonts w:ascii="Times New Roman" w:hAnsi="Times New Roman" w:cs="Times New Roman"/>
        </w:rPr>
        <w:t xml:space="preserve"> </w:t>
      </w:r>
      <w:r w:rsidRPr="00F5428C">
        <w:rPr>
          <w:rFonts w:ascii="Times New Roman" w:hAnsi="Times New Roman" w:cs="Times New Roman"/>
        </w:rPr>
        <w:t xml:space="preserve">the </w:t>
      </w:r>
      <w:r w:rsidR="00506D05">
        <w:rPr>
          <w:rFonts w:ascii="Times New Roman" w:hAnsi="Times New Roman" w:cs="Times New Roman"/>
        </w:rPr>
        <w:t>length of the survey and reduce</w:t>
      </w:r>
      <w:r w:rsidRPr="00F5428C">
        <w:rPr>
          <w:rFonts w:ascii="Times New Roman" w:hAnsi="Times New Roman" w:cs="Times New Roman"/>
        </w:rPr>
        <w:t xml:space="preserve"> the burden hours</w:t>
      </w:r>
      <w:r>
        <w:rPr>
          <w:rFonts w:ascii="Times New Roman" w:hAnsi="Times New Roman" w:cs="Times New Roman"/>
        </w:rPr>
        <w:t xml:space="preserve"> </w:t>
      </w:r>
      <w:r w:rsidRPr="00F5428C">
        <w:rPr>
          <w:rFonts w:ascii="Times New Roman" w:hAnsi="Times New Roman" w:cs="Times New Roman"/>
        </w:rPr>
        <w:t>on respondents, too. These improvements may also result in more completed surveys, thus</w:t>
      </w:r>
      <w:r>
        <w:rPr>
          <w:rFonts w:ascii="Times New Roman" w:hAnsi="Times New Roman" w:cs="Times New Roman"/>
        </w:rPr>
        <w:t xml:space="preserve"> </w:t>
      </w:r>
      <w:r w:rsidRPr="00F5428C">
        <w:rPr>
          <w:rFonts w:ascii="Times New Roman" w:hAnsi="Times New Roman" w:cs="Times New Roman"/>
        </w:rPr>
        <w:t>increasing the response rate.</w:t>
      </w:r>
    </w:p>
    <w:p w14:paraId="6E79A917" w14:textId="77777777" w:rsidR="00103624" w:rsidRDefault="00103624" w:rsidP="00103624">
      <w:pPr>
        <w:pStyle w:val="CM119"/>
        <w:spacing w:after="275" w:line="276" w:lineRule="atLeast"/>
        <w:ind w:right="475"/>
        <w:contextualSpacing/>
        <w:rPr>
          <w:rFonts w:ascii="Times New Roman" w:hAnsi="Times New Roman" w:cs="Times New Roman"/>
        </w:rPr>
      </w:pPr>
    </w:p>
    <w:p w14:paraId="18B260BE" w14:textId="26BF7BD0" w:rsidR="00103624" w:rsidRDefault="00103624" w:rsidP="00AA11E4">
      <w:pPr>
        <w:pStyle w:val="CM119"/>
        <w:spacing w:after="275" w:line="276" w:lineRule="atLeast"/>
        <w:ind w:right="475"/>
        <w:contextualSpacing/>
        <w:rPr>
          <w:rFonts w:ascii="Times New Roman" w:hAnsi="Times New Roman" w:cs="Times New Roman"/>
        </w:rPr>
      </w:pPr>
      <w:r w:rsidRPr="00F5428C">
        <w:rPr>
          <w:rFonts w:ascii="Times New Roman" w:hAnsi="Times New Roman" w:cs="Times New Roman"/>
        </w:rPr>
        <w:t>Based upon the outcome of the previous data collection, the sampling strategy has been modified</w:t>
      </w:r>
      <w:r>
        <w:rPr>
          <w:rFonts w:ascii="Times New Roman" w:hAnsi="Times New Roman" w:cs="Times New Roman"/>
        </w:rPr>
        <w:t xml:space="preserve"> </w:t>
      </w:r>
      <w:r w:rsidRPr="00F5428C">
        <w:rPr>
          <w:rFonts w:ascii="Times New Roman" w:hAnsi="Times New Roman" w:cs="Times New Roman"/>
        </w:rPr>
        <w:t>to increase response rates, streamline the data collection effort, and ensure that the most active</w:t>
      </w:r>
      <w:r>
        <w:rPr>
          <w:rFonts w:ascii="Times New Roman" w:hAnsi="Times New Roman" w:cs="Times New Roman"/>
        </w:rPr>
        <w:t xml:space="preserve"> </w:t>
      </w:r>
      <w:r w:rsidRPr="00F5428C">
        <w:rPr>
          <w:rFonts w:ascii="Times New Roman" w:hAnsi="Times New Roman" w:cs="Times New Roman"/>
        </w:rPr>
        <w:t>ports are included in the sample. The previous data collection stratified by fishery first and then</w:t>
      </w:r>
      <w:r>
        <w:rPr>
          <w:rFonts w:ascii="Times New Roman" w:hAnsi="Times New Roman" w:cs="Times New Roman"/>
        </w:rPr>
        <w:t xml:space="preserve"> </w:t>
      </w:r>
      <w:r w:rsidRPr="00F5428C">
        <w:rPr>
          <w:rFonts w:ascii="Times New Roman" w:hAnsi="Times New Roman" w:cs="Times New Roman"/>
        </w:rPr>
        <w:t>sampled by port using a proportional method to give weight to larger ports. Unfortunately, this</w:t>
      </w:r>
      <w:r>
        <w:rPr>
          <w:rFonts w:ascii="Times New Roman" w:hAnsi="Times New Roman" w:cs="Times New Roman"/>
        </w:rPr>
        <w:t xml:space="preserve"> </w:t>
      </w:r>
      <w:r w:rsidRPr="00F5428C">
        <w:rPr>
          <w:rFonts w:ascii="Times New Roman" w:hAnsi="Times New Roman" w:cs="Times New Roman"/>
        </w:rPr>
        <w:t>approach did not achieve the expected response rates by fishery and missed key ports throughout</w:t>
      </w:r>
      <w:r>
        <w:rPr>
          <w:rFonts w:ascii="Times New Roman" w:hAnsi="Times New Roman" w:cs="Times New Roman"/>
        </w:rPr>
        <w:t xml:space="preserve"> </w:t>
      </w:r>
      <w:r w:rsidRPr="00F5428C">
        <w:rPr>
          <w:rFonts w:ascii="Times New Roman" w:hAnsi="Times New Roman" w:cs="Times New Roman"/>
        </w:rPr>
        <w:t>the region. Given that this population is difficult to reach and we are using an intercept method at</w:t>
      </w:r>
      <w:r>
        <w:rPr>
          <w:rFonts w:ascii="Times New Roman" w:hAnsi="Times New Roman" w:cs="Times New Roman"/>
        </w:rPr>
        <w:t xml:space="preserve"> </w:t>
      </w:r>
      <w:r w:rsidRPr="00F5428C">
        <w:rPr>
          <w:rFonts w:ascii="Times New Roman" w:hAnsi="Times New Roman" w:cs="Times New Roman"/>
        </w:rPr>
        <w:t>docks, we are not able to simultaneously target particular fisheries and ensure that the most</w:t>
      </w:r>
      <w:r>
        <w:rPr>
          <w:rFonts w:ascii="Times New Roman" w:hAnsi="Times New Roman" w:cs="Times New Roman"/>
        </w:rPr>
        <w:t xml:space="preserve"> </w:t>
      </w:r>
      <w:r w:rsidRPr="00F5428C">
        <w:rPr>
          <w:rFonts w:ascii="Times New Roman" w:hAnsi="Times New Roman" w:cs="Times New Roman"/>
        </w:rPr>
        <w:t>active ports are given priority in the survey. Therefore, we have decided to calculate an overall</w:t>
      </w:r>
      <w:r>
        <w:rPr>
          <w:rFonts w:ascii="Times New Roman" w:hAnsi="Times New Roman" w:cs="Times New Roman"/>
        </w:rPr>
        <w:t xml:space="preserve"> </w:t>
      </w:r>
      <w:r w:rsidRPr="00F5428C">
        <w:rPr>
          <w:rFonts w:ascii="Times New Roman" w:hAnsi="Times New Roman" w:cs="Times New Roman"/>
        </w:rPr>
        <w:t>sample size based on an estimate of the total employment of crew in the region, and then we will</w:t>
      </w:r>
      <w:r>
        <w:rPr>
          <w:rFonts w:ascii="Times New Roman" w:hAnsi="Times New Roman" w:cs="Times New Roman"/>
        </w:rPr>
        <w:t xml:space="preserve"> </w:t>
      </w:r>
      <w:r w:rsidRPr="00F5428C">
        <w:rPr>
          <w:rFonts w:ascii="Times New Roman" w:hAnsi="Times New Roman" w:cs="Times New Roman"/>
        </w:rPr>
        <w:t>select a proportionally-adjusted random sample of ports based on an indicator of commercial</w:t>
      </w:r>
      <w:r>
        <w:rPr>
          <w:rFonts w:ascii="Times New Roman" w:hAnsi="Times New Roman" w:cs="Times New Roman"/>
        </w:rPr>
        <w:t xml:space="preserve"> </w:t>
      </w:r>
      <w:r w:rsidRPr="00F5428C">
        <w:rPr>
          <w:rFonts w:ascii="Times New Roman" w:hAnsi="Times New Roman" w:cs="Times New Roman"/>
        </w:rPr>
        <w:t>activity. The indicator for commercial activity we will use incorporates multiple different</w:t>
      </w:r>
      <w:r>
        <w:rPr>
          <w:rFonts w:ascii="Times New Roman" w:hAnsi="Times New Roman" w:cs="Times New Roman"/>
        </w:rPr>
        <w:t xml:space="preserve"> </w:t>
      </w:r>
      <w:r w:rsidRPr="00F5428C">
        <w:rPr>
          <w:rFonts w:ascii="Times New Roman" w:hAnsi="Times New Roman" w:cs="Times New Roman"/>
        </w:rPr>
        <w:t>measures of fishing activity, including the value and pounds of landings and number commercial</w:t>
      </w:r>
      <w:r>
        <w:rPr>
          <w:rFonts w:ascii="Times New Roman" w:hAnsi="Times New Roman" w:cs="Times New Roman"/>
        </w:rPr>
        <w:t xml:space="preserve"> </w:t>
      </w:r>
      <w:r w:rsidRPr="00F5428C">
        <w:rPr>
          <w:rFonts w:ascii="Times New Roman" w:hAnsi="Times New Roman" w:cs="Times New Roman"/>
        </w:rPr>
        <w:t>fishing permits and dealers. This new approach streamlines the sample selection method and</w:t>
      </w:r>
      <w:r>
        <w:rPr>
          <w:rFonts w:ascii="Times New Roman" w:hAnsi="Times New Roman" w:cs="Times New Roman"/>
        </w:rPr>
        <w:t xml:space="preserve"> </w:t>
      </w:r>
      <w:r w:rsidRPr="00F5428C">
        <w:rPr>
          <w:rFonts w:ascii="Times New Roman" w:hAnsi="Times New Roman" w:cs="Times New Roman"/>
        </w:rPr>
        <w:t>improves the likelihood that we obtain a representative sample of crew involved in the most</w:t>
      </w:r>
      <w:r w:rsidR="00AA11E4">
        <w:rPr>
          <w:rFonts w:ascii="Times New Roman" w:hAnsi="Times New Roman" w:cs="Times New Roman"/>
        </w:rPr>
        <w:t xml:space="preserve"> </w:t>
      </w:r>
      <w:r w:rsidRPr="00F5428C">
        <w:rPr>
          <w:rFonts w:ascii="Times New Roman" w:hAnsi="Times New Roman" w:cs="Times New Roman"/>
        </w:rPr>
        <w:t>active commercial fisheries throughout the region.</w:t>
      </w:r>
    </w:p>
    <w:p w14:paraId="7ABC2E67" w14:textId="77777777" w:rsidR="00AA11E4" w:rsidRPr="00AA11E4" w:rsidRDefault="00AA11E4" w:rsidP="00AA11E4">
      <w:pPr>
        <w:pStyle w:val="Default"/>
      </w:pPr>
    </w:p>
    <w:p w14:paraId="0E3627B4" w14:textId="77777777" w:rsidR="00103624" w:rsidRPr="00DA1E47" w:rsidRDefault="00103624" w:rsidP="00103624">
      <w:pPr>
        <w:pStyle w:val="CM119"/>
        <w:spacing w:after="275" w:line="276" w:lineRule="atLeast"/>
        <w:ind w:right="482"/>
        <w:rPr>
          <w:rFonts w:ascii="Times New Roman" w:hAnsi="Times New Roman" w:cs="Times New Roman"/>
        </w:rPr>
      </w:pPr>
      <w:r w:rsidRPr="00DA1E47">
        <w:rPr>
          <w:rFonts w:ascii="Times New Roman" w:hAnsi="Times New Roman" w:cs="Times New Roman"/>
          <w:b/>
          <w:bCs/>
        </w:rPr>
        <w:t xml:space="preserve">16. </w:t>
      </w:r>
      <w:r w:rsidRPr="00DA1E47">
        <w:rPr>
          <w:rFonts w:ascii="Times New Roman" w:hAnsi="Times New Roman" w:cs="Times New Roman"/>
          <w:b/>
          <w:bCs/>
          <w:u w:val="single"/>
        </w:rPr>
        <w:t>For collections whose results will be published, outline the plans for tabulation and publication</w:t>
      </w:r>
      <w:r w:rsidRPr="00DA1E47">
        <w:rPr>
          <w:rFonts w:ascii="Times New Roman" w:hAnsi="Times New Roman" w:cs="Times New Roman"/>
          <w:b/>
          <w:bCs/>
        </w:rPr>
        <w:t xml:space="preserve">. </w:t>
      </w:r>
    </w:p>
    <w:p w14:paraId="4E9DCD3A" w14:textId="77777777" w:rsidR="00103624" w:rsidRPr="00DA1E47" w:rsidRDefault="00103624" w:rsidP="00103624">
      <w:pPr>
        <w:pStyle w:val="CM119"/>
        <w:spacing w:after="275" w:line="276" w:lineRule="atLeast"/>
        <w:ind w:right="282"/>
        <w:rPr>
          <w:rFonts w:ascii="Times New Roman" w:hAnsi="Times New Roman" w:cs="Times New Roman"/>
        </w:rPr>
      </w:pPr>
      <w:r w:rsidRPr="00DA1E47">
        <w:rPr>
          <w:rFonts w:ascii="Times New Roman" w:hAnsi="Times New Roman" w:cs="Times New Roman"/>
        </w:rPr>
        <w:t xml:space="preserve">SSB will develop both reports and tabulations based on the data collected under </w:t>
      </w:r>
      <w:r>
        <w:rPr>
          <w:rFonts w:ascii="Times New Roman" w:hAnsi="Times New Roman" w:cs="Times New Roman"/>
        </w:rPr>
        <w:t>this</w:t>
      </w:r>
      <w:r w:rsidRPr="00DA1E47">
        <w:rPr>
          <w:rFonts w:ascii="Times New Roman" w:hAnsi="Times New Roman" w:cs="Times New Roman"/>
        </w:rPr>
        <w:t xml:space="preserve"> survey. SSB will tabulate the responses from each survey question and provide cross-tabulations of survey questions when warranted. These tabulations will be provided on SSB’s web site. </w:t>
      </w:r>
    </w:p>
    <w:p w14:paraId="16D703B0" w14:textId="77777777" w:rsidR="00103624" w:rsidRPr="00DA1E47" w:rsidRDefault="00103624" w:rsidP="00103624">
      <w:pPr>
        <w:pStyle w:val="CM119"/>
        <w:spacing w:after="275" w:line="276" w:lineRule="atLeast"/>
        <w:ind w:right="282"/>
        <w:rPr>
          <w:rFonts w:ascii="Times New Roman" w:hAnsi="Times New Roman" w:cs="Times New Roman"/>
        </w:rPr>
      </w:pPr>
      <w:r w:rsidRPr="00DA1E47">
        <w:rPr>
          <w:rFonts w:ascii="Times New Roman" w:hAnsi="Times New Roman" w:cs="Times New Roman"/>
        </w:rPr>
        <w:t>In years following th</w:t>
      </w:r>
      <w:r>
        <w:rPr>
          <w:rFonts w:ascii="Times New Roman" w:hAnsi="Times New Roman" w:cs="Times New Roman"/>
        </w:rPr>
        <w:t>is data collection effort</w:t>
      </w:r>
      <w:r w:rsidRPr="00DA1E47">
        <w:rPr>
          <w:rFonts w:ascii="Times New Roman" w:hAnsi="Times New Roman" w:cs="Times New Roman"/>
        </w:rPr>
        <w:t xml:space="preserve">, SSB will perform statistical hypothesis tests to determine whether the underlying population values have changed over time. These tests will be standard Students </w:t>
      </w:r>
      <w:r w:rsidRPr="00DA1E47">
        <w:rPr>
          <w:rFonts w:ascii="Times New Roman" w:hAnsi="Times New Roman" w:cs="Times New Roman"/>
          <w:i/>
          <w:iCs/>
        </w:rPr>
        <w:t xml:space="preserve">t </w:t>
      </w:r>
      <w:r w:rsidRPr="00DA1E47">
        <w:rPr>
          <w:rFonts w:ascii="Times New Roman" w:hAnsi="Times New Roman" w:cs="Times New Roman"/>
        </w:rPr>
        <w:t xml:space="preserve">or </w:t>
      </w:r>
      <w:r w:rsidRPr="00DA1E47">
        <w:rPr>
          <w:rFonts w:ascii="Times New Roman" w:hAnsi="Times New Roman" w:cs="Times New Roman"/>
          <w:i/>
          <w:iCs/>
        </w:rPr>
        <w:t>F</w:t>
      </w:r>
      <w:r w:rsidRPr="00DA1E47">
        <w:rPr>
          <w:rFonts w:ascii="Times New Roman" w:hAnsi="Times New Roman" w:cs="Times New Roman"/>
        </w:rPr>
        <w:t xml:space="preserve">-statistic tests, depending on the data under consideration. </w:t>
      </w:r>
    </w:p>
    <w:p w14:paraId="51B533B4" w14:textId="77777777" w:rsidR="00103624" w:rsidRPr="00A91EA0" w:rsidRDefault="00103624" w:rsidP="00103624">
      <w:pPr>
        <w:pStyle w:val="Default"/>
      </w:pPr>
      <w:r w:rsidRPr="00DA1E47">
        <w:rPr>
          <w:rFonts w:ascii="Times New Roman" w:hAnsi="Times New Roman" w:cs="Times New Roman"/>
        </w:rPr>
        <w:t xml:space="preserve">Further detailed analyses may also be performed on these data. </w:t>
      </w:r>
      <w:r>
        <w:rPr>
          <w:rFonts w:ascii="Times New Roman" w:hAnsi="Times New Roman" w:cs="Times New Roman"/>
        </w:rPr>
        <w:t>This</w:t>
      </w:r>
      <w:r w:rsidRPr="00DA1E47">
        <w:rPr>
          <w:rFonts w:ascii="Times New Roman" w:hAnsi="Times New Roman" w:cs="Times New Roman"/>
        </w:rPr>
        <w:t xml:space="preserve"> could include linear regression, analysis of variance, and other more complex statistical methods used to investigate trends and hypotheses in the data. The specific analyses to be performed will be based on the summary statistics that are tabulated and on the analytical needs (e.g., current policy questions needing information). </w:t>
      </w:r>
    </w:p>
    <w:p w14:paraId="2F8D6625" w14:textId="77777777" w:rsidR="00103624" w:rsidRDefault="00103624" w:rsidP="00103624">
      <w:pPr>
        <w:pStyle w:val="CM4"/>
      </w:pPr>
    </w:p>
    <w:p w14:paraId="5E94668B" w14:textId="45B4FA4D" w:rsidR="00103624" w:rsidRDefault="00D50C51" w:rsidP="00103624">
      <w:pPr>
        <w:pStyle w:val="Default"/>
      </w:pPr>
      <w:r>
        <w:rPr>
          <w:rFonts w:ascii="Times New Roman" w:hAnsi="Times New Roman" w:cs="Times New Roman"/>
        </w:rPr>
        <w:t>Table 4</w:t>
      </w:r>
      <w:r w:rsidR="00103624" w:rsidRPr="00DA1E47">
        <w:rPr>
          <w:rFonts w:ascii="Times New Roman" w:hAnsi="Times New Roman" w:cs="Times New Roman"/>
        </w:rPr>
        <w:t xml:space="preserve"> provides a summary of the time line for completing </w:t>
      </w:r>
      <w:r w:rsidR="00103624">
        <w:rPr>
          <w:rFonts w:ascii="Times New Roman" w:hAnsi="Times New Roman" w:cs="Times New Roman"/>
        </w:rPr>
        <w:t>the</w:t>
      </w:r>
      <w:r w:rsidR="00103624" w:rsidRPr="00DA1E47">
        <w:rPr>
          <w:rFonts w:ascii="Times New Roman" w:hAnsi="Times New Roman" w:cs="Times New Roman"/>
        </w:rPr>
        <w:t xml:space="preserve"> </w:t>
      </w:r>
      <w:r w:rsidR="00103624">
        <w:rPr>
          <w:rFonts w:ascii="Times New Roman" w:hAnsi="Times New Roman" w:cs="Times New Roman"/>
        </w:rPr>
        <w:t>study, which</w:t>
      </w:r>
      <w:r w:rsidR="00103624" w:rsidRPr="00DA1E47">
        <w:rPr>
          <w:rFonts w:ascii="Times New Roman" w:hAnsi="Times New Roman" w:cs="Times New Roman"/>
        </w:rPr>
        <w:t xml:space="preserve"> will </w:t>
      </w:r>
      <w:r w:rsidR="00103624">
        <w:rPr>
          <w:rFonts w:ascii="Times New Roman" w:hAnsi="Times New Roman" w:cs="Times New Roman"/>
        </w:rPr>
        <w:t>take place over a 12 month period</w:t>
      </w:r>
      <w:r w:rsidR="00103624" w:rsidRPr="00DA1E47">
        <w:rPr>
          <w:rFonts w:ascii="Times New Roman" w:hAnsi="Times New Roman" w:cs="Times New Roman"/>
        </w:rPr>
        <w:t xml:space="preserve"> to ensure that crew from different fisheries are selected as part of the sample. </w:t>
      </w:r>
    </w:p>
    <w:p w14:paraId="0FCDC1EB" w14:textId="5FF94974" w:rsidR="00733BC5" w:rsidRDefault="00733BC5" w:rsidP="00103624">
      <w:pPr>
        <w:pStyle w:val="CM119"/>
        <w:spacing w:after="235"/>
        <w:jc w:val="both"/>
        <w:rPr>
          <w:rFonts w:ascii="Times New Roman" w:hAnsi="Times New Roman" w:cs="Times New Roman"/>
          <w:bCs/>
          <w:sz w:val="20"/>
          <w:szCs w:val="20"/>
        </w:rPr>
      </w:pPr>
    </w:p>
    <w:p w14:paraId="6174E6FE" w14:textId="6504ECC3" w:rsidR="00103624" w:rsidRPr="008516C9" w:rsidRDefault="008B4A32" w:rsidP="00103624">
      <w:pPr>
        <w:pStyle w:val="CM119"/>
        <w:spacing w:after="235"/>
        <w:jc w:val="both"/>
        <w:rPr>
          <w:rFonts w:ascii="Times New Roman" w:hAnsi="Times New Roman" w:cs="Times New Roman"/>
          <w:bCs/>
          <w:sz w:val="20"/>
          <w:szCs w:val="20"/>
        </w:rPr>
      </w:pPr>
      <w:r>
        <w:rPr>
          <w:rFonts w:ascii="Times New Roman" w:hAnsi="Times New Roman" w:cs="Times New Roman"/>
          <w:bCs/>
          <w:sz w:val="20"/>
          <w:szCs w:val="20"/>
        </w:rPr>
        <w:t>Table 4</w:t>
      </w:r>
      <w:r w:rsidR="00103624">
        <w:rPr>
          <w:rFonts w:ascii="Times New Roman" w:hAnsi="Times New Roman" w:cs="Times New Roman"/>
          <w:bCs/>
          <w:sz w:val="20"/>
          <w:szCs w:val="20"/>
        </w:rPr>
        <w:t xml:space="preserve">. </w:t>
      </w:r>
      <w:r w:rsidR="00103624" w:rsidRPr="008516C9">
        <w:rPr>
          <w:rFonts w:ascii="Times New Roman" w:hAnsi="Times New Roman" w:cs="Times New Roman"/>
          <w:bCs/>
          <w:sz w:val="20"/>
          <w:szCs w:val="20"/>
        </w:rPr>
        <w:t>Data Collection, Analysis, and Reporting Timeline</w:t>
      </w:r>
      <w:r w:rsidR="00103624">
        <w:rPr>
          <w:rFonts w:ascii="Times New Roman" w:hAnsi="Times New Roman" w:cs="Times New Roman"/>
          <w:bCs/>
          <w:sz w:val="20"/>
          <w:szCs w:val="20"/>
        </w:rPr>
        <w:t xml:space="preserve"> in Months. </w:t>
      </w:r>
    </w:p>
    <w:tbl>
      <w:tblPr>
        <w:tblStyle w:val="TableGrid"/>
        <w:tblW w:w="9445" w:type="dxa"/>
        <w:tblLook w:val="04A0" w:firstRow="1" w:lastRow="0" w:firstColumn="1" w:lastColumn="0" w:noHBand="0" w:noVBand="1"/>
      </w:tblPr>
      <w:tblGrid>
        <w:gridCol w:w="1452"/>
        <w:gridCol w:w="703"/>
        <w:gridCol w:w="630"/>
        <w:gridCol w:w="581"/>
        <w:gridCol w:w="619"/>
        <w:gridCol w:w="706"/>
        <w:gridCol w:w="619"/>
        <w:gridCol w:w="625"/>
        <w:gridCol w:w="626"/>
        <w:gridCol w:w="532"/>
        <w:gridCol w:w="623"/>
        <w:gridCol w:w="623"/>
        <w:gridCol w:w="555"/>
        <w:gridCol w:w="551"/>
      </w:tblGrid>
      <w:tr w:rsidR="00103624" w14:paraId="4A1F323C" w14:textId="77777777" w:rsidTr="009277AA">
        <w:trPr>
          <w:trHeight w:val="529"/>
        </w:trPr>
        <w:tc>
          <w:tcPr>
            <w:tcW w:w="1452" w:type="dxa"/>
          </w:tcPr>
          <w:p w14:paraId="5CCE799C"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Activity</w:t>
            </w:r>
          </w:p>
        </w:tc>
        <w:tc>
          <w:tcPr>
            <w:tcW w:w="703" w:type="dxa"/>
          </w:tcPr>
          <w:p w14:paraId="781C3F9E"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1</w:t>
            </w:r>
          </w:p>
        </w:tc>
        <w:tc>
          <w:tcPr>
            <w:tcW w:w="630" w:type="dxa"/>
          </w:tcPr>
          <w:p w14:paraId="6EC18A74"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2</w:t>
            </w:r>
          </w:p>
        </w:tc>
        <w:tc>
          <w:tcPr>
            <w:tcW w:w="581" w:type="dxa"/>
          </w:tcPr>
          <w:p w14:paraId="11E9804D"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3</w:t>
            </w:r>
          </w:p>
        </w:tc>
        <w:tc>
          <w:tcPr>
            <w:tcW w:w="619" w:type="dxa"/>
          </w:tcPr>
          <w:p w14:paraId="45EBBCB3"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4</w:t>
            </w:r>
          </w:p>
        </w:tc>
        <w:tc>
          <w:tcPr>
            <w:tcW w:w="706" w:type="dxa"/>
          </w:tcPr>
          <w:p w14:paraId="7FB2F7BD"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5</w:t>
            </w:r>
          </w:p>
        </w:tc>
        <w:tc>
          <w:tcPr>
            <w:tcW w:w="619" w:type="dxa"/>
          </w:tcPr>
          <w:p w14:paraId="0FD71043"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6</w:t>
            </w:r>
          </w:p>
        </w:tc>
        <w:tc>
          <w:tcPr>
            <w:tcW w:w="625" w:type="dxa"/>
          </w:tcPr>
          <w:p w14:paraId="4897A4E5"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7</w:t>
            </w:r>
          </w:p>
        </w:tc>
        <w:tc>
          <w:tcPr>
            <w:tcW w:w="626" w:type="dxa"/>
          </w:tcPr>
          <w:p w14:paraId="7C9DB4C3"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8</w:t>
            </w:r>
          </w:p>
        </w:tc>
        <w:tc>
          <w:tcPr>
            <w:tcW w:w="532" w:type="dxa"/>
          </w:tcPr>
          <w:p w14:paraId="492C994C"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9</w:t>
            </w:r>
          </w:p>
        </w:tc>
        <w:tc>
          <w:tcPr>
            <w:tcW w:w="623" w:type="dxa"/>
          </w:tcPr>
          <w:p w14:paraId="4F01C735"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10</w:t>
            </w:r>
          </w:p>
        </w:tc>
        <w:tc>
          <w:tcPr>
            <w:tcW w:w="623" w:type="dxa"/>
          </w:tcPr>
          <w:p w14:paraId="12442ADA"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11</w:t>
            </w:r>
          </w:p>
        </w:tc>
        <w:tc>
          <w:tcPr>
            <w:tcW w:w="555" w:type="dxa"/>
          </w:tcPr>
          <w:p w14:paraId="5C2CA491"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12</w:t>
            </w:r>
          </w:p>
        </w:tc>
        <w:tc>
          <w:tcPr>
            <w:tcW w:w="551" w:type="dxa"/>
          </w:tcPr>
          <w:p w14:paraId="37B2316F" w14:textId="77777777" w:rsidR="00103624" w:rsidRPr="008516C9" w:rsidRDefault="00103624" w:rsidP="009277AA">
            <w:pPr>
              <w:pStyle w:val="CM119"/>
              <w:spacing w:after="235"/>
              <w:jc w:val="center"/>
              <w:rPr>
                <w:rFonts w:ascii="Times New Roman" w:hAnsi="Times New Roman" w:cs="Times New Roman"/>
                <w:b/>
                <w:bCs/>
                <w:sz w:val="20"/>
                <w:szCs w:val="20"/>
              </w:rPr>
            </w:pPr>
            <w:r w:rsidRPr="008516C9">
              <w:rPr>
                <w:rFonts w:ascii="Times New Roman" w:hAnsi="Times New Roman" w:cs="Times New Roman"/>
                <w:b/>
                <w:bCs/>
                <w:sz w:val="20"/>
                <w:szCs w:val="20"/>
              </w:rPr>
              <w:t>13</w:t>
            </w:r>
          </w:p>
        </w:tc>
      </w:tr>
      <w:tr w:rsidR="00103624" w14:paraId="5E4B661E" w14:textId="77777777" w:rsidTr="009277AA">
        <w:trPr>
          <w:trHeight w:val="539"/>
        </w:trPr>
        <w:tc>
          <w:tcPr>
            <w:tcW w:w="1452" w:type="dxa"/>
          </w:tcPr>
          <w:p w14:paraId="29D70981" w14:textId="77777777" w:rsidR="00103624" w:rsidRPr="008516C9" w:rsidRDefault="00103624" w:rsidP="009277AA">
            <w:pPr>
              <w:pStyle w:val="CM119"/>
              <w:spacing w:after="235"/>
              <w:jc w:val="both"/>
              <w:rPr>
                <w:rFonts w:ascii="Times New Roman" w:hAnsi="Times New Roman" w:cs="Times New Roman"/>
                <w:b/>
                <w:bCs/>
                <w:sz w:val="20"/>
                <w:szCs w:val="20"/>
              </w:rPr>
            </w:pPr>
            <w:r w:rsidRPr="008516C9">
              <w:rPr>
                <w:rFonts w:ascii="Times New Roman" w:hAnsi="Times New Roman" w:cs="Times New Roman"/>
                <w:b/>
                <w:bCs/>
                <w:sz w:val="20"/>
                <w:szCs w:val="20"/>
              </w:rPr>
              <w:t>Prepare logistics</w:t>
            </w:r>
          </w:p>
        </w:tc>
        <w:tc>
          <w:tcPr>
            <w:tcW w:w="703" w:type="dxa"/>
            <w:shd w:val="clear" w:color="auto" w:fill="7F7F7F" w:themeFill="text1" w:themeFillTint="80"/>
          </w:tcPr>
          <w:p w14:paraId="39946E4F" w14:textId="77777777" w:rsidR="00103624" w:rsidRPr="008516C9" w:rsidRDefault="00103624" w:rsidP="009277AA">
            <w:pPr>
              <w:pStyle w:val="CM119"/>
              <w:spacing w:after="235"/>
              <w:jc w:val="both"/>
              <w:rPr>
                <w:rFonts w:ascii="Times New Roman" w:hAnsi="Times New Roman" w:cs="Times New Roman"/>
                <w:b/>
                <w:bCs/>
                <w:sz w:val="20"/>
                <w:szCs w:val="20"/>
                <w:highlight w:val="darkGray"/>
              </w:rPr>
            </w:pPr>
          </w:p>
        </w:tc>
        <w:tc>
          <w:tcPr>
            <w:tcW w:w="630" w:type="dxa"/>
            <w:shd w:val="clear" w:color="auto" w:fill="7F7F7F" w:themeFill="text1" w:themeFillTint="80"/>
          </w:tcPr>
          <w:p w14:paraId="0E589B61" w14:textId="77777777" w:rsidR="00103624" w:rsidRPr="008516C9" w:rsidRDefault="00103624" w:rsidP="009277AA">
            <w:pPr>
              <w:pStyle w:val="CM119"/>
              <w:spacing w:after="235"/>
              <w:jc w:val="both"/>
              <w:rPr>
                <w:rFonts w:ascii="Times New Roman" w:hAnsi="Times New Roman" w:cs="Times New Roman"/>
                <w:b/>
                <w:bCs/>
                <w:sz w:val="20"/>
                <w:szCs w:val="20"/>
                <w:highlight w:val="darkGray"/>
              </w:rPr>
            </w:pPr>
          </w:p>
        </w:tc>
        <w:tc>
          <w:tcPr>
            <w:tcW w:w="581" w:type="dxa"/>
            <w:shd w:val="clear" w:color="auto" w:fill="7F7F7F" w:themeFill="text1" w:themeFillTint="80"/>
          </w:tcPr>
          <w:p w14:paraId="784D8112" w14:textId="77777777" w:rsidR="00103624" w:rsidRPr="008516C9" w:rsidRDefault="00103624" w:rsidP="009277AA">
            <w:pPr>
              <w:pStyle w:val="CM119"/>
              <w:spacing w:after="235"/>
              <w:jc w:val="both"/>
              <w:rPr>
                <w:rFonts w:ascii="Times New Roman" w:hAnsi="Times New Roman" w:cs="Times New Roman"/>
                <w:b/>
                <w:bCs/>
                <w:sz w:val="20"/>
                <w:szCs w:val="20"/>
                <w:highlight w:val="darkGray"/>
              </w:rPr>
            </w:pPr>
          </w:p>
        </w:tc>
        <w:tc>
          <w:tcPr>
            <w:tcW w:w="619" w:type="dxa"/>
          </w:tcPr>
          <w:p w14:paraId="505D8F84"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706" w:type="dxa"/>
          </w:tcPr>
          <w:p w14:paraId="30579E16"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19" w:type="dxa"/>
          </w:tcPr>
          <w:p w14:paraId="2C587162"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5" w:type="dxa"/>
          </w:tcPr>
          <w:p w14:paraId="580289B4"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6" w:type="dxa"/>
          </w:tcPr>
          <w:p w14:paraId="746994B5"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32" w:type="dxa"/>
          </w:tcPr>
          <w:p w14:paraId="117AC730"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3" w:type="dxa"/>
          </w:tcPr>
          <w:p w14:paraId="2E38316A"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3" w:type="dxa"/>
          </w:tcPr>
          <w:p w14:paraId="3CCC7318"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55" w:type="dxa"/>
          </w:tcPr>
          <w:p w14:paraId="0A68336B"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51" w:type="dxa"/>
          </w:tcPr>
          <w:p w14:paraId="5A893F39" w14:textId="77777777" w:rsidR="00103624" w:rsidRPr="008516C9" w:rsidRDefault="00103624" w:rsidP="009277AA">
            <w:pPr>
              <w:pStyle w:val="CM119"/>
              <w:spacing w:after="235"/>
              <w:jc w:val="both"/>
              <w:rPr>
                <w:rFonts w:ascii="Times New Roman" w:hAnsi="Times New Roman" w:cs="Times New Roman"/>
                <w:b/>
                <w:bCs/>
                <w:sz w:val="20"/>
                <w:szCs w:val="20"/>
              </w:rPr>
            </w:pPr>
          </w:p>
        </w:tc>
      </w:tr>
      <w:tr w:rsidR="00103624" w14:paraId="3B4F24A9" w14:textId="77777777" w:rsidTr="009277AA">
        <w:trPr>
          <w:trHeight w:val="503"/>
        </w:trPr>
        <w:tc>
          <w:tcPr>
            <w:tcW w:w="1452" w:type="dxa"/>
          </w:tcPr>
          <w:p w14:paraId="0D9962C5" w14:textId="77777777" w:rsidR="00103624" w:rsidRPr="008516C9" w:rsidRDefault="00103624" w:rsidP="009277AA">
            <w:pPr>
              <w:pStyle w:val="CM119"/>
              <w:spacing w:after="235"/>
              <w:jc w:val="both"/>
              <w:rPr>
                <w:rFonts w:ascii="Times New Roman" w:hAnsi="Times New Roman" w:cs="Times New Roman"/>
                <w:b/>
                <w:bCs/>
                <w:sz w:val="20"/>
                <w:szCs w:val="20"/>
              </w:rPr>
            </w:pPr>
            <w:r w:rsidRPr="008516C9">
              <w:rPr>
                <w:rFonts w:ascii="Times New Roman" w:hAnsi="Times New Roman" w:cs="Times New Roman"/>
                <w:b/>
                <w:bCs/>
                <w:sz w:val="20"/>
                <w:szCs w:val="20"/>
              </w:rPr>
              <w:t>Perform Survey</w:t>
            </w:r>
          </w:p>
        </w:tc>
        <w:tc>
          <w:tcPr>
            <w:tcW w:w="703" w:type="dxa"/>
          </w:tcPr>
          <w:p w14:paraId="506ED930"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30" w:type="dxa"/>
          </w:tcPr>
          <w:p w14:paraId="478ED410"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81" w:type="dxa"/>
            <w:shd w:val="clear" w:color="auto" w:fill="7F7F7F" w:themeFill="text1" w:themeFillTint="80"/>
          </w:tcPr>
          <w:p w14:paraId="4D6A4A8B"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19" w:type="dxa"/>
            <w:shd w:val="clear" w:color="auto" w:fill="7F7F7F" w:themeFill="text1" w:themeFillTint="80"/>
          </w:tcPr>
          <w:p w14:paraId="01BAA372"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706" w:type="dxa"/>
            <w:shd w:val="clear" w:color="auto" w:fill="7F7F7F" w:themeFill="text1" w:themeFillTint="80"/>
          </w:tcPr>
          <w:p w14:paraId="701D03EF"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19" w:type="dxa"/>
            <w:shd w:val="clear" w:color="auto" w:fill="7F7F7F" w:themeFill="text1" w:themeFillTint="80"/>
          </w:tcPr>
          <w:p w14:paraId="242CD885"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5" w:type="dxa"/>
            <w:shd w:val="clear" w:color="auto" w:fill="7F7F7F" w:themeFill="text1" w:themeFillTint="80"/>
          </w:tcPr>
          <w:p w14:paraId="677B3810"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6" w:type="dxa"/>
            <w:shd w:val="clear" w:color="auto" w:fill="7F7F7F" w:themeFill="text1" w:themeFillTint="80"/>
          </w:tcPr>
          <w:p w14:paraId="7D229E2B"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32" w:type="dxa"/>
          </w:tcPr>
          <w:p w14:paraId="341AC817"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3" w:type="dxa"/>
          </w:tcPr>
          <w:p w14:paraId="027AE690"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3" w:type="dxa"/>
          </w:tcPr>
          <w:p w14:paraId="3FEBCB60"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55" w:type="dxa"/>
          </w:tcPr>
          <w:p w14:paraId="53E5EA08"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51" w:type="dxa"/>
          </w:tcPr>
          <w:p w14:paraId="365022AD" w14:textId="77777777" w:rsidR="00103624" w:rsidRPr="008516C9" w:rsidRDefault="00103624" w:rsidP="009277AA">
            <w:pPr>
              <w:pStyle w:val="CM119"/>
              <w:spacing w:after="235"/>
              <w:jc w:val="both"/>
              <w:rPr>
                <w:rFonts w:ascii="Times New Roman" w:hAnsi="Times New Roman" w:cs="Times New Roman"/>
                <w:b/>
                <w:bCs/>
                <w:sz w:val="20"/>
                <w:szCs w:val="20"/>
              </w:rPr>
            </w:pPr>
          </w:p>
        </w:tc>
      </w:tr>
      <w:tr w:rsidR="00103624" w14:paraId="40512414" w14:textId="77777777" w:rsidTr="009277AA">
        <w:trPr>
          <w:trHeight w:val="350"/>
        </w:trPr>
        <w:tc>
          <w:tcPr>
            <w:tcW w:w="1452" w:type="dxa"/>
          </w:tcPr>
          <w:p w14:paraId="663E2AC1" w14:textId="7598B383" w:rsidR="00103624" w:rsidRPr="008516C9" w:rsidRDefault="00AA11E4" w:rsidP="00AA11E4">
            <w:pPr>
              <w:pStyle w:val="CM119"/>
              <w:spacing w:after="235"/>
              <w:rPr>
                <w:rFonts w:ascii="Times New Roman" w:hAnsi="Times New Roman" w:cs="Times New Roman"/>
                <w:b/>
                <w:bCs/>
                <w:sz w:val="20"/>
                <w:szCs w:val="20"/>
              </w:rPr>
            </w:pPr>
            <w:r>
              <w:rPr>
                <w:rFonts w:ascii="Times New Roman" w:hAnsi="Times New Roman" w:cs="Times New Roman"/>
                <w:b/>
                <w:bCs/>
                <w:sz w:val="20"/>
                <w:szCs w:val="20"/>
              </w:rPr>
              <w:t xml:space="preserve">Clean </w:t>
            </w:r>
            <w:r w:rsidR="00103624">
              <w:rPr>
                <w:rFonts w:ascii="Times New Roman" w:hAnsi="Times New Roman" w:cs="Times New Roman"/>
                <w:b/>
                <w:bCs/>
                <w:sz w:val="20"/>
                <w:szCs w:val="20"/>
              </w:rPr>
              <w:t xml:space="preserve">and </w:t>
            </w:r>
            <w:r w:rsidR="00103624" w:rsidRPr="008516C9">
              <w:rPr>
                <w:rFonts w:ascii="Times New Roman" w:hAnsi="Times New Roman" w:cs="Times New Roman"/>
                <w:b/>
                <w:bCs/>
                <w:sz w:val="20"/>
                <w:szCs w:val="20"/>
              </w:rPr>
              <w:t>Analyze Data</w:t>
            </w:r>
          </w:p>
        </w:tc>
        <w:tc>
          <w:tcPr>
            <w:tcW w:w="703" w:type="dxa"/>
          </w:tcPr>
          <w:p w14:paraId="79FB1343"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30" w:type="dxa"/>
          </w:tcPr>
          <w:p w14:paraId="301EF9C9"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81" w:type="dxa"/>
          </w:tcPr>
          <w:p w14:paraId="2F616505"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19" w:type="dxa"/>
          </w:tcPr>
          <w:p w14:paraId="466D31DB"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706" w:type="dxa"/>
          </w:tcPr>
          <w:p w14:paraId="661E6B82"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19" w:type="dxa"/>
          </w:tcPr>
          <w:p w14:paraId="380F48F9"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5" w:type="dxa"/>
          </w:tcPr>
          <w:p w14:paraId="3D6F3DC4" w14:textId="77777777" w:rsidR="00103624" w:rsidRPr="00A91EA0" w:rsidRDefault="00103624" w:rsidP="009277AA">
            <w:pPr>
              <w:pStyle w:val="CM119"/>
              <w:spacing w:after="235"/>
              <w:jc w:val="both"/>
              <w:rPr>
                <w:rFonts w:ascii="Times New Roman" w:hAnsi="Times New Roman" w:cs="Times New Roman"/>
                <w:b/>
                <w:bCs/>
                <w:sz w:val="20"/>
                <w:szCs w:val="20"/>
                <w:highlight w:val="darkGray"/>
              </w:rPr>
            </w:pPr>
          </w:p>
        </w:tc>
        <w:tc>
          <w:tcPr>
            <w:tcW w:w="626" w:type="dxa"/>
            <w:shd w:val="clear" w:color="auto" w:fill="7F7F7F" w:themeFill="text1" w:themeFillTint="80"/>
          </w:tcPr>
          <w:p w14:paraId="6FA162B7" w14:textId="77777777" w:rsidR="00103624" w:rsidRPr="00A91EA0" w:rsidRDefault="00103624" w:rsidP="009277AA">
            <w:pPr>
              <w:pStyle w:val="CM119"/>
              <w:spacing w:after="235"/>
              <w:jc w:val="both"/>
              <w:rPr>
                <w:rFonts w:ascii="Times New Roman" w:hAnsi="Times New Roman" w:cs="Times New Roman"/>
                <w:b/>
                <w:bCs/>
                <w:sz w:val="20"/>
                <w:szCs w:val="20"/>
                <w:highlight w:val="darkGray"/>
              </w:rPr>
            </w:pPr>
          </w:p>
        </w:tc>
        <w:tc>
          <w:tcPr>
            <w:tcW w:w="532" w:type="dxa"/>
            <w:shd w:val="clear" w:color="auto" w:fill="7F7F7F" w:themeFill="text1" w:themeFillTint="80"/>
          </w:tcPr>
          <w:p w14:paraId="1D54F082"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3" w:type="dxa"/>
            <w:shd w:val="clear" w:color="auto" w:fill="7F7F7F" w:themeFill="text1" w:themeFillTint="80"/>
          </w:tcPr>
          <w:p w14:paraId="5E9B5F9A"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3" w:type="dxa"/>
          </w:tcPr>
          <w:p w14:paraId="09AF6F84"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55" w:type="dxa"/>
          </w:tcPr>
          <w:p w14:paraId="2A55C2E4"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51" w:type="dxa"/>
          </w:tcPr>
          <w:p w14:paraId="3722778D" w14:textId="77777777" w:rsidR="00103624" w:rsidRPr="008516C9" w:rsidRDefault="00103624" w:rsidP="009277AA">
            <w:pPr>
              <w:pStyle w:val="CM119"/>
              <w:spacing w:after="235"/>
              <w:jc w:val="both"/>
              <w:rPr>
                <w:rFonts w:ascii="Times New Roman" w:hAnsi="Times New Roman" w:cs="Times New Roman"/>
                <w:b/>
                <w:bCs/>
                <w:sz w:val="20"/>
                <w:szCs w:val="20"/>
              </w:rPr>
            </w:pPr>
          </w:p>
        </w:tc>
      </w:tr>
      <w:tr w:rsidR="00103624" w14:paraId="21033D0E" w14:textId="77777777" w:rsidTr="009277AA">
        <w:trPr>
          <w:trHeight w:val="674"/>
        </w:trPr>
        <w:tc>
          <w:tcPr>
            <w:tcW w:w="1452" w:type="dxa"/>
          </w:tcPr>
          <w:p w14:paraId="03E1F487" w14:textId="77777777" w:rsidR="00103624" w:rsidRPr="008516C9" w:rsidRDefault="00103624" w:rsidP="009277AA">
            <w:pPr>
              <w:pStyle w:val="CM119"/>
              <w:spacing w:after="235"/>
              <w:rPr>
                <w:rFonts w:ascii="Times New Roman" w:hAnsi="Times New Roman" w:cs="Times New Roman"/>
                <w:b/>
                <w:bCs/>
                <w:sz w:val="20"/>
                <w:szCs w:val="20"/>
              </w:rPr>
            </w:pPr>
            <w:r w:rsidRPr="008516C9">
              <w:rPr>
                <w:rFonts w:ascii="Times New Roman" w:hAnsi="Times New Roman" w:cs="Times New Roman"/>
                <w:b/>
                <w:bCs/>
                <w:sz w:val="20"/>
                <w:szCs w:val="20"/>
              </w:rPr>
              <w:t>Prepare Reports</w:t>
            </w:r>
            <w:r>
              <w:rPr>
                <w:rFonts w:ascii="Times New Roman" w:hAnsi="Times New Roman" w:cs="Times New Roman"/>
                <w:b/>
                <w:bCs/>
                <w:sz w:val="20"/>
                <w:szCs w:val="20"/>
              </w:rPr>
              <w:t xml:space="preserve"> </w:t>
            </w:r>
            <w:r w:rsidRPr="008516C9">
              <w:rPr>
                <w:rFonts w:ascii="Times New Roman" w:hAnsi="Times New Roman" w:cs="Times New Roman"/>
                <w:b/>
                <w:bCs/>
                <w:sz w:val="20"/>
                <w:szCs w:val="20"/>
              </w:rPr>
              <w:t>and Tabulations</w:t>
            </w:r>
          </w:p>
        </w:tc>
        <w:tc>
          <w:tcPr>
            <w:tcW w:w="703" w:type="dxa"/>
          </w:tcPr>
          <w:p w14:paraId="0E6E89AE"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30" w:type="dxa"/>
          </w:tcPr>
          <w:p w14:paraId="41A49940"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81" w:type="dxa"/>
          </w:tcPr>
          <w:p w14:paraId="6297F933"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19" w:type="dxa"/>
          </w:tcPr>
          <w:p w14:paraId="7B400845"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706" w:type="dxa"/>
          </w:tcPr>
          <w:p w14:paraId="628A2ABD"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19" w:type="dxa"/>
          </w:tcPr>
          <w:p w14:paraId="69966F3F"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5" w:type="dxa"/>
          </w:tcPr>
          <w:p w14:paraId="4B36B4E1"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6" w:type="dxa"/>
          </w:tcPr>
          <w:p w14:paraId="0CC5F249"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32" w:type="dxa"/>
          </w:tcPr>
          <w:p w14:paraId="20EC8621"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3" w:type="dxa"/>
            <w:shd w:val="clear" w:color="auto" w:fill="7F7F7F" w:themeFill="text1" w:themeFillTint="80"/>
          </w:tcPr>
          <w:p w14:paraId="2CE26EE4"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623" w:type="dxa"/>
            <w:shd w:val="clear" w:color="auto" w:fill="7F7F7F" w:themeFill="text1" w:themeFillTint="80"/>
          </w:tcPr>
          <w:p w14:paraId="05C4DE93"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55" w:type="dxa"/>
            <w:shd w:val="clear" w:color="auto" w:fill="7F7F7F" w:themeFill="text1" w:themeFillTint="80"/>
          </w:tcPr>
          <w:p w14:paraId="6C9B544A" w14:textId="77777777" w:rsidR="00103624" w:rsidRPr="008516C9" w:rsidRDefault="00103624" w:rsidP="009277AA">
            <w:pPr>
              <w:pStyle w:val="CM119"/>
              <w:spacing w:after="235"/>
              <w:jc w:val="both"/>
              <w:rPr>
                <w:rFonts w:ascii="Times New Roman" w:hAnsi="Times New Roman" w:cs="Times New Roman"/>
                <w:b/>
                <w:bCs/>
                <w:sz w:val="20"/>
                <w:szCs w:val="20"/>
              </w:rPr>
            </w:pPr>
          </w:p>
        </w:tc>
        <w:tc>
          <w:tcPr>
            <w:tcW w:w="551" w:type="dxa"/>
            <w:shd w:val="clear" w:color="auto" w:fill="7F7F7F" w:themeFill="text1" w:themeFillTint="80"/>
          </w:tcPr>
          <w:p w14:paraId="1DFD7F24" w14:textId="77777777" w:rsidR="00103624" w:rsidRPr="008516C9" w:rsidRDefault="00103624" w:rsidP="009277AA">
            <w:pPr>
              <w:pStyle w:val="CM119"/>
              <w:spacing w:after="235"/>
              <w:jc w:val="both"/>
              <w:rPr>
                <w:rFonts w:ascii="Times New Roman" w:hAnsi="Times New Roman" w:cs="Times New Roman"/>
                <w:b/>
                <w:bCs/>
                <w:sz w:val="20"/>
                <w:szCs w:val="20"/>
              </w:rPr>
            </w:pPr>
          </w:p>
        </w:tc>
      </w:tr>
    </w:tbl>
    <w:p w14:paraId="144A05AD" w14:textId="77777777" w:rsidR="00103624" w:rsidRPr="00DA1E47" w:rsidRDefault="00103624" w:rsidP="00103624">
      <w:pPr>
        <w:pStyle w:val="CM119"/>
        <w:spacing w:after="235"/>
        <w:jc w:val="both"/>
        <w:rPr>
          <w:rFonts w:ascii="Times New Roman" w:hAnsi="Times New Roman" w:cs="Times New Roman"/>
        </w:rPr>
      </w:pPr>
      <w:r w:rsidRPr="00DA1E47">
        <w:rPr>
          <w:rFonts w:ascii="Times New Roman" w:hAnsi="Times New Roman" w:cs="Times New Roman"/>
          <w:b/>
          <w:bCs/>
        </w:rPr>
        <w:t xml:space="preserve"> </w:t>
      </w:r>
    </w:p>
    <w:p w14:paraId="76C86B2D" w14:textId="77777777" w:rsidR="00103624" w:rsidRPr="00DA1E47" w:rsidRDefault="00103624" w:rsidP="00103624">
      <w:pPr>
        <w:pStyle w:val="CM119"/>
        <w:spacing w:after="275" w:line="278" w:lineRule="atLeast"/>
        <w:jc w:val="both"/>
        <w:rPr>
          <w:rFonts w:ascii="Times New Roman" w:hAnsi="Times New Roman" w:cs="Times New Roman"/>
        </w:rPr>
      </w:pPr>
      <w:r w:rsidRPr="00DA1E47">
        <w:rPr>
          <w:rFonts w:ascii="Times New Roman" w:hAnsi="Times New Roman" w:cs="Times New Roman"/>
          <w:b/>
          <w:bCs/>
        </w:rPr>
        <w:t xml:space="preserve">17. </w:t>
      </w:r>
      <w:r w:rsidRPr="00DA1E47">
        <w:rPr>
          <w:rFonts w:ascii="Times New Roman" w:hAnsi="Times New Roman" w:cs="Times New Roman"/>
          <w:b/>
          <w:bCs/>
          <w:u w:val="single"/>
        </w:rPr>
        <w:t>If seeking approval to not display the expiration date for OMB approval of the information collection, explain the reasons why display would be inappropriate</w:t>
      </w:r>
      <w:r w:rsidRPr="00DA1E47">
        <w:rPr>
          <w:rFonts w:ascii="Times New Roman" w:hAnsi="Times New Roman" w:cs="Times New Roman"/>
          <w:b/>
          <w:bCs/>
        </w:rPr>
        <w:t xml:space="preserve">. </w:t>
      </w:r>
    </w:p>
    <w:p w14:paraId="01C4996F" w14:textId="77777777" w:rsidR="00103624" w:rsidRPr="00DA1E47" w:rsidRDefault="00103624" w:rsidP="00103624">
      <w:pPr>
        <w:pStyle w:val="CM119"/>
        <w:spacing w:after="275" w:line="278" w:lineRule="atLeast"/>
        <w:jc w:val="both"/>
        <w:rPr>
          <w:rFonts w:ascii="Times New Roman" w:hAnsi="Times New Roman" w:cs="Times New Roman"/>
        </w:rPr>
      </w:pPr>
      <w:r w:rsidRPr="00DA1E47">
        <w:rPr>
          <w:rFonts w:ascii="Times New Roman" w:hAnsi="Times New Roman" w:cs="Times New Roman"/>
        </w:rPr>
        <w:t xml:space="preserve">Not applicable. The collection instrument will display the expiration date. </w:t>
      </w:r>
    </w:p>
    <w:p w14:paraId="6E3EE301" w14:textId="77777777" w:rsidR="00103624" w:rsidRPr="00DA1E47" w:rsidRDefault="00103624" w:rsidP="00103624">
      <w:pPr>
        <w:pStyle w:val="CM119"/>
        <w:spacing w:after="275" w:line="278" w:lineRule="atLeast"/>
        <w:jc w:val="both"/>
        <w:rPr>
          <w:rFonts w:ascii="Times New Roman" w:hAnsi="Times New Roman" w:cs="Times New Roman"/>
        </w:rPr>
      </w:pPr>
      <w:r w:rsidRPr="00DA1E47">
        <w:rPr>
          <w:rFonts w:ascii="Times New Roman" w:hAnsi="Times New Roman" w:cs="Times New Roman"/>
          <w:b/>
          <w:bCs/>
        </w:rPr>
        <w:t xml:space="preserve">18. </w:t>
      </w:r>
      <w:r w:rsidRPr="00DA1E47">
        <w:rPr>
          <w:rFonts w:ascii="Times New Roman" w:hAnsi="Times New Roman" w:cs="Times New Roman"/>
          <w:b/>
          <w:bCs/>
          <w:u w:val="single"/>
        </w:rPr>
        <w:t>Explain each exception to the certification statement</w:t>
      </w:r>
      <w:r w:rsidRPr="00DA1E47">
        <w:rPr>
          <w:rFonts w:ascii="Times New Roman" w:hAnsi="Times New Roman" w:cs="Times New Roman"/>
          <w:b/>
          <w:bCs/>
        </w:rPr>
        <w:t xml:space="preserve">. </w:t>
      </w:r>
    </w:p>
    <w:p w14:paraId="7D979998" w14:textId="50D1CB04" w:rsidR="00936C26" w:rsidRDefault="00103624" w:rsidP="00103624">
      <w:r w:rsidRPr="00DA1E47">
        <w:t>No exceptions are being requested.</w:t>
      </w:r>
    </w:p>
    <w:p w14:paraId="1B662C3A" w14:textId="39BB6365" w:rsidR="009277AA" w:rsidRDefault="009277AA" w:rsidP="00103624"/>
    <w:p w14:paraId="64E0E79D" w14:textId="23226EA5" w:rsidR="009277AA" w:rsidRDefault="009277AA" w:rsidP="00103624"/>
    <w:p w14:paraId="7297AEA4" w14:textId="77777777" w:rsidR="002346A3" w:rsidRDefault="002346A3" w:rsidP="009277AA">
      <w:pPr>
        <w:pStyle w:val="Heading1"/>
        <w:tabs>
          <w:tab w:val="left" w:pos="581"/>
        </w:tabs>
        <w:spacing w:before="76"/>
        <w:ind w:left="0"/>
      </w:pPr>
    </w:p>
    <w:p w14:paraId="4013B6C0" w14:textId="77777777" w:rsidR="002346A3" w:rsidRDefault="002346A3" w:rsidP="009277AA">
      <w:pPr>
        <w:pStyle w:val="Heading1"/>
        <w:tabs>
          <w:tab w:val="left" w:pos="581"/>
        </w:tabs>
        <w:spacing w:before="76"/>
        <w:ind w:left="0"/>
      </w:pPr>
    </w:p>
    <w:p w14:paraId="4F56B040" w14:textId="77777777" w:rsidR="002346A3" w:rsidRDefault="002346A3" w:rsidP="009277AA">
      <w:pPr>
        <w:pStyle w:val="Heading1"/>
        <w:tabs>
          <w:tab w:val="left" w:pos="581"/>
        </w:tabs>
        <w:spacing w:before="76"/>
        <w:ind w:left="0"/>
      </w:pPr>
    </w:p>
    <w:p w14:paraId="4BB4728C" w14:textId="77777777" w:rsidR="002346A3" w:rsidRDefault="002346A3" w:rsidP="009277AA">
      <w:pPr>
        <w:pStyle w:val="Heading1"/>
        <w:tabs>
          <w:tab w:val="left" w:pos="581"/>
        </w:tabs>
        <w:spacing w:before="76"/>
        <w:ind w:left="0"/>
      </w:pPr>
    </w:p>
    <w:p w14:paraId="649B42E4" w14:textId="77777777" w:rsidR="002346A3" w:rsidRDefault="002346A3" w:rsidP="009277AA">
      <w:pPr>
        <w:pStyle w:val="Heading1"/>
        <w:tabs>
          <w:tab w:val="left" w:pos="581"/>
        </w:tabs>
        <w:spacing w:before="76"/>
        <w:ind w:left="0"/>
      </w:pPr>
    </w:p>
    <w:p w14:paraId="33622375" w14:textId="77777777" w:rsidR="002346A3" w:rsidRDefault="002346A3" w:rsidP="009277AA">
      <w:pPr>
        <w:pStyle w:val="Heading1"/>
        <w:tabs>
          <w:tab w:val="left" w:pos="581"/>
        </w:tabs>
        <w:spacing w:before="76"/>
        <w:ind w:left="0"/>
      </w:pPr>
    </w:p>
    <w:p w14:paraId="56F7184B" w14:textId="77777777" w:rsidR="002346A3" w:rsidRDefault="002346A3" w:rsidP="009277AA">
      <w:pPr>
        <w:pStyle w:val="Heading1"/>
        <w:tabs>
          <w:tab w:val="left" w:pos="581"/>
        </w:tabs>
        <w:spacing w:before="76"/>
        <w:ind w:left="0"/>
      </w:pPr>
    </w:p>
    <w:sectPr w:rsidR="002346A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F1B97" w14:textId="77777777" w:rsidR="003222A8" w:rsidRDefault="003222A8" w:rsidP="009277AA">
      <w:r>
        <w:separator/>
      </w:r>
    </w:p>
  </w:endnote>
  <w:endnote w:type="continuationSeparator" w:id="0">
    <w:p w14:paraId="67852398" w14:textId="77777777" w:rsidR="003222A8" w:rsidRDefault="003222A8" w:rsidP="0092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37F1" w14:textId="77777777" w:rsidR="000C46DF" w:rsidRDefault="000C46D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045A333" wp14:editId="0A9289EA">
              <wp:simplePos x="0" y="0"/>
              <wp:positionH relativeFrom="page">
                <wp:posOffset>3708400</wp:posOffset>
              </wp:positionH>
              <wp:positionV relativeFrom="page">
                <wp:posOffset>9589770</wp:posOffset>
              </wp:positionV>
              <wp:extent cx="203200" cy="194310"/>
              <wp:effectExtent l="3175" t="0" r="317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59D5C" w14:textId="236408C1" w:rsidR="000C46DF" w:rsidRDefault="000C46DF">
                          <w:pPr>
                            <w:pStyle w:val="BodyText"/>
                            <w:spacing w:before="10"/>
                            <w:ind w:left="40"/>
                          </w:pPr>
                          <w:r>
                            <w:fldChar w:fldCharType="begin"/>
                          </w:r>
                          <w:r>
                            <w:instrText xml:space="preserve"> PAGE </w:instrText>
                          </w:r>
                          <w:r>
                            <w:fldChar w:fldCharType="separate"/>
                          </w:r>
                          <w:r w:rsidR="003705D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2pt;margin-top:755.1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p4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" filled="f" stroked="f">
              <v:textbox inset="0,0,0,0">
                <w:txbxContent>
                  <w:p w14:paraId="4C259D5C" w14:textId="236408C1" w:rsidR="000C46DF" w:rsidRDefault="000C46DF">
                    <w:pPr>
                      <w:pStyle w:val="BodyText"/>
                      <w:spacing w:before="10"/>
                      <w:ind w:left="40"/>
                    </w:pPr>
                    <w:r>
                      <w:fldChar w:fldCharType="begin"/>
                    </w:r>
                    <w:r>
                      <w:instrText xml:space="preserve"> PAGE </w:instrText>
                    </w:r>
                    <w:r>
                      <w:fldChar w:fldCharType="separate"/>
                    </w:r>
                    <w:r w:rsidR="003705D0">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BA67D" w14:textId="77777777" w:rsidR="003222A8" w:rsidRDefault="003222A8" w:rsidP="009277AA">
      <w:r>
        <w:separator/>
      </w:r>
    </w:p>
  </w:footnote>
  <w:footnote w:type="continuationSeparator" w:id="0">
    <w:p w14:paraId="5D94BEB3" w14:textId="77777777" w:rsidR="003222A8" w:rsidRDefault="003222A8" w:rsidP="00927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081B"/>
    <w:multiLevelType w:val="hybridMultilevel"/>
    <w:tmpl w:val="4AD66506"/>
    <w:lvl w:ilvl="0" w:tplc="262A6834">
      <w:start w:val="1"/>
      <w:numFmt w:val="lowerLetter"/>
      <w:lvlText w:val="[%1]"/>
      <w:lvlJc w:val="left"/>
      <w:pPr>
        <w:ind w:left="239" w:hanging="272"/>
      </w:pPr>
      <w:rPr>
        <w:rFonts w:ascii="Times New Roman" w:eastAsia="Times New Roman" w:hAnsi="Times New Roman" w:cs="Times New Roman" w:hint="default"/>
        <w:w w:val="99"/>
        <w:sz w:val="20"/>
        <w:szCs w:val="20"/>
      </w:rPr>
    </w:lvl>
    <w:lvl w:ilvl="1" w:tplc="FB407E28">
      <w:start w:val="1"/>
      <w:numFmt w:val="lowerLetter"/>
      <w:lvlText w:val="[%2]"/>
      <w:lvlJc w:val="left"/>
      <w:pPr>
        <w:ind w:left="1560" w:hanging="274"/>
      </w:pPr>
      <w:rPr>
        <w:rFonts w:ascii="Times New Roman" w:eastAsia="Times New Roman" w:hAnsi="Times New Roman" w:cs="Times New Roman" w:hint="default"/>
        <w:w w:val="99"/>
        <w:sz w:val="20"/>
        <w:szCs w:val="20"/>
      </w:rPr>
    </w:lvl>
    <w:lvl w:ilvl="2" w:tplc="6358812E">
      <w:numFmt w:val="bullet"/>
      <w:lvlText w:val="•"/>
      <w:lvlJc w:val="left"/>
      <w:pPr>
        <w:ind w:left="2448" w:hanging="274"/>
      </w:pPr>
      <w:rPr>
        <w:rFonts w:hint="default"/>
      </w:rPr>
    </w:lvl>
    <w:lvl w:ilvl="3" w:tplc="340E7308">
      <w:numFmt w:val="bullet"/>
      <w:lvlText w:val="•"/>
      <w:lvlJc w:val="left"/>
      <w:pPr>
        <w:ind w:left="3337" w:hanging="274"/>
      </w:pPr>
      <w:rPr>
        <w:rFonts w:hint="default"/>
      </w:rPr>
    </w:lvl>
    <w:lvl w:ilvl="4" w:tplc="91F29652">
      <w:numFmt w:val="bullet"/>
      <w:lvlText w:val="•"/>
      <w:lvlJc w:val="left"/>
      <w:pPr>
        <w:ind w:left="4226" w:hanging="274"/>
      </w:pPr>
      <w:rPr>
        <w:rFonts w:hint="default"/>
      </w:rPr>
    </w:lvl>
    <w:lvl w:ilvl="5" w:tplc="4D08BE3C">
      <w:numFmt w:val="bullet"/>
      <w:lvlText w:val="•"/>
      <w:lvlJc w:val="left"/>
      <w:pPr>
        <w:ind w:left="5115" w:hanging="274"/>
      </w:pPr>
      <w:rPr>
        <w:rFonts w:hint="default"/>
      </w:rPr>
    </w:lvl>
    <w:lvl w:ilvl="6" w:tplc="8334E1F2">
      <w:numFmt w:val="bullet"/>
      <w:lvlText w:val="•"/>
      <w:lvlJc w:val="left"/>
      <w:pPr>
        <w:ind w:left="6004" w:hanging="274"/>
      </w:pPr>
      <w:rPr>
        <w:rFonts w:hint="default"/>
      </w:rPr>
    </w:lvl>
    <w:lvl w:ilvl="7" w:tplc="A51CA52E">
      <w:numFmt w:val="bullet"/>
      <w:lvlText w:val="•"/>
      <w:lvlJc w:val="left"/>
      <w:pPr>
        <w:ind w:left="6893" w:hanging="274"/>
      </w:pPr>
      <w:rPr>
        <w:rFonts w:hint="default"/>
      </w:rPr>
    </w:lvl>
    <w:lvl w:ilvl="8" w:tplc="797AC9C0">
      <w:numFmt w:val="bullet"/>
      <w:lvlText w:val="•"/>
      <w:lvlJc w:val="left"/>
      <w:pPr>
        <w:ind w:left="7782" w:hanging="274"/>
      </w:pPr>
      <w:rPr>
        <w:rFonts w:hint="default"/>
      </w:rPr>
    </w:lvl>
  </w:abstractNum>
  <w:abstractNum w:abstractNumId="1">
    <w:nsid w:val="13002B3F"/>
    <w:multiLevelType w:val="hybridMultilevel"/>
    <w:tmpl w:val="83E44330"/>
    <w:lvl w:ilvl="0" w:tplc="19400D44">
      <w:numFmt w:val="bullet"/>
      <w:lvlText w:val=""/>
      <w:lvlJc w:val="left"/>
      <w:pPr>
        <w:ind w:left="379" w:hanging="181"/>
      </w:pPr>
      <w:rPr>
        <w:rFonts w:ascii="Symbol" w:eastAsia="Symbol" w:hAnsi="Symbol" w:cs="Symbol" w:hint="default"/>
        <w:w w:val="99"/>
        <w:sz w:val="20"/>
        <w:szCs w:val="20"/>
      </w:rPr>
    </w:lvl>
    <w:lvl w:ilvl="1" w:tplc="324854D4">
      <w:numFmt w:val="bullet"/>
      <w:lvlText w:val="•"/>
      <w:lvlJc w:val="left"/>
      <w:pPr>
        <w:ind w:left="659" w:hanging="181"/>
      </w:pPr>
      <w:rPr>
        <w:rFonts w:hint="default"/>
      </w:rPr>
    </w:lvl>
    <w:lvl w:ilvl="2" w:tplc="A9686794">
      <w:numFmt w:val="bullet"/>
      <w:lvlText w:val="•"/>
      <w:lvlJc w:val="left"/>
      <w:pPr>
        <w:ind w:left="939" w:hanging="181"/>
      </w:pPr>
      <w:rPr>
        <w:rFonts w:hint="default"/>
      </w:rPr>
    </w:lvl>
    <w:lvl w:ilvl="3" w:tplc="2A86BB66">
      <w:numFmt w:val="bullet"/>
      <w:lvlText w:val="•"/>
      <w:lvlJc w:val="left"/>
      <w:pPr>
        <w:ind w:left="1219" w:hanging="181"/>
      </w:pPr>
      <w:rPr>
        <w:rFonts w:hint="default"/>
      </w:rPr>
    </w:lvl>
    <w:lvl w:ilvl="4" w:tplc="E5FC964A">
      <w:numFmt w:val="bullet"/>
      <w:lvlText w:val="•"/>
      <w:lvlJc w:val="left"/>
      <w:pPr>
        <w:ind w:left="1499" w:hanging="181"/>
      </w:pPr>
      <w:rPr>
        <w:rFonts w:hint="default"/>
      </w:rPr>
    </w:lvl>
    <w:lvl w:ilvl="5" w:tplc="17B84098">
      <w:numFmt w:val="bullet"/>
      <w:lvlText w:val="•"/>
      <w:lvlJc w:val="left"/>
      <w:pPr>
        <w:ind w:left="1779" w:hanging="181"/>
      </w:pPr>
      <w:rPr>
        <w:rFonts w:hint="default"/>
      </w:rPr>
    </w:lvl>
    <w:lvl w:ilvl="6" w:tplc="8972611A">
      <w:numFmt w:val="bullet"/>
      <w:lvlText w:val="•"/>
      <w:lvlJc w:val="left"/>
      <w:pPr>
        <w:ind w:left="2058" w:hanging="181"/>
      </w:pPr>
      <w:rPr>
        <w:rFonts w:hint="default"/>
      </w:rPr>
    </w:lvl>
    <w:lvl w:ilvl="7" w:tplc="B4BAC81C">
      <w:numFmt w:val="bullet"/>
      <w:lvlText w:val="•"/>
      <w:lvlJc w:val="left"/>
      <w:pPr>
        <w:ind w:left="2338" w:hanging="181"/>
      </w:pPr>
      <w:rPr>
        <w:rFonts w:hint="default"/>
      </w:rPr>
    </w:lvl>
    <w:lvl w:ilvl="8" w:tplc="6318F648">
      <w:numFmt w:val="bullet"/>
      <w:lvlText w:val="•"/>
      <w:lvlJc w:val="left"/>
      <w:pPr>
        <w:ind w:left="2618" w:hanging="181"/>
      </w:pPr>
      <w:rPr>
        <w:rFonts w:hint="default"/>
      </w:rPr>
    </w:lvl>
  </w:abstractNum>
  <w:abstractNum w:abstractNumId="2">
    <w:nsid w:val="29B246B7"/>
    <w:multiLevelType w:val="hybridMultilevel"/>
    <w:tmpl w:val="414A02CA"/>
    <w:lvl w:ilvl="0" w:tplc="483EE484">
      <w:numFmt w:val="bullet"/>
      <w:lvlText w:val=""/>
      <w:lvlJc w:val="left"/>
      <w:pPr>
        <w:ind w:left="482" w:hanging="272"/>
      </w:pPr>
      <w:rPr>
        <w:rFonts w:ascii="Symbol" w:eastAsia="Symbol" w:hAnsi="Symbol" w:cs="Symbol" w:hint="default"/>
        <w:w w:val="99"/>
        <w:sz w:val="20"/>
        <w:szCs w:val="20"/>
      </w:rPr>
    </w:lvl>
    <w:lvl w:ilvl="1" w:tplc="1728DC34">
      <w:numFmt w:val="bullet"/>
      <w:lvlText w:val="•"/>
      <w:lvlJc w:val="left"/>
      <w:pPr>
        <w:ind w:left="833" w:hanging="272"/>
      </w:pPr>
      <w:rPr>
        <w:rFonts w:hint="default"/>
      </w:rPr>
    </w:lvl>
    <w:lvl w:ilvl="2" w:tplc="4EC8A5F8">
      <w:numFmt w:val="bullet"/>
      <w:lvlText w:val="•"/>
      <w:lvlJc w:val="left"/>
      <w:pPr>
        <w:ind w:left="1186" w:hanging="272"/>
      </w:pPr>
      <w:rPr>
        <w:rFonts w:hint="default"/>
      </w:rPr>
    </w:lvl>
    <w:lvl w:ilvl="3" w:tplc="8780CA84">
      <w:numFmt w:val="bullet"/>
      <w:lvlText w:val="•"/>
      <w:lvlJc w:val="left"/>
      <w:pPr>
        <w:ind w:left="1539" w:hanging="272"/>
      </w:pPr>
      <w:rPr>
        <w:rFonts w:hint="default"/>
      </w:rPr>
    </w:lvl>
    <w:lvl w:ilvl="4" w:tplc="9D5C8170">
      <w:numFmt w:val="bullet"/>
      <w:lvlText w:val="•"/>
      <w:lvlJc w:val="left"/>
      <w:pPr>
        <w:ind w:left="1892" w:hanging="272"/>
      </w:pPr>
      <w:rPr>
        <w:rFonts w:hint="default"/>
      </w:rPr>
    </w:lvl>
    <w:lvl w:ilvl="5" w:tplc="45DA1874">
      <w:numFmt w:val="bullet"/>
      <w:lvlText w:val="•"/>
      <w:lvlJc w:val="left"/>
      <w:pPr>
        <w:ind w:left="2245" w:hanging="272"/>
      </w:pPr>
      <w:rPr>
        <w:rFonts w:hint="default"/>
      </w:rPr>
    </w:lvl>
    <w:lvl w:ilvl="6" w:tplc="8B163CC6">
      <w:numFmt w:val="bullet"/>
      <w:lvlText w:val="•"/>
      <w:lvlJc w:val="left"/>
      <w:pPr>
        <w:ind w:left="2598" w:hanging="272"/>
      </w:pPr>
      <w:rPr>
        <w:rFonts w:hint="default"/>
      </w:rPr>
    </w:lvl>
    <w:lvl w:ilvl="7" w:tplc="F6CC7A6A">
      <w:numFmt w:val="bullet"/>
      <w:lvlText w:val="•"/>
      <w:lvlJc w:val="left"/>
      <w:pPr>
        <w:ind w:left="2951" w:hanging="272"/>
      </w:pPr>
      <w:rPr>
        <w:rFonts w:hint="default"/>
      </w:rPr>
    </w:lvl>
    <w:lvl w:ilvl="8" w:tplc="D7CAED22">
      <w:numFmt w:val="bullet"/>
      <w:lvlText w:val="•"/>
      <w:lvlJc w:val="left"/>
      <w:pPr>
        <w:ind w:left="3304" w:hanging="272"/>
      </w:pPr>
      <w:rPr>
        <w:rFonts w:hint="default"/>
      </w:rPr>
    </w:lvl>
  </w:abstractNum>
  <w:abstractNum w:abstractNumId="3">
    <w:nsid w:val="48C0355E"/>
    <w:multiLevelType w:val="hybridMultilevel"/>
    <w:tmpl w:val="1E0C1D0C"/>
    <w:lvl w:ilvl="0" w:tplc="99B05A78">
      <w:numFmt w:val="bullet"/>
      <w:lvlText w:val=""/>
      <w:lvlJc w:val="left"/>
      <w:pPr>
        <w:ind w:left="840" w:hanging="360"/>
      </w:pPr>
      <w:rPr>
        <w:rFonts w:ascii="Symbol" w:eastAsia="Symbol" w:hAnsi="Symbol" w:cs="Symbol" w:hint="default"/>
        <w:w w:val="100"/>
        <w:sz w:val="24"/>
        <w:szCs w:val="24"/>
      </w:rPr>
    </w:lvl>
    <w:lvl w:ilvl="1" w:tplc="3AA41FE8">
      <w:numFmt w:val="bullet"/>
      <w:lvlText w:val="•"/>
      <w:lvlJc w:val="left"/>
      <w:pPr>
        <w:ind w:left="1714" w:hanging="360"/>
      </w:pPr>
      <w:rPr>
        <w:rFonts w:hint="default"/>
      </w:rPr>
    </w:lvl>
    <w:lvl w:ilvl="2" w:tplc="7EAE37BA">
      <w:numFmt w:val="bullet"/>
      <w:lvlText w:val="•"/>
      <w:lvlJc w:val="left"/>
      <w:pPr>
        <w:ind w:left="2588" w:hanging="360"/>
      </w:pPr>
      <w:rPr>
        <w:rFonts w:hint="default"/>
      </w:rPr>
    </w:lvl>
    <w:lvl w:ilvl="3" w:tplc="5A4EC8F8">
      <w:numFmt w:val="bullet"/>
      <w:lvlText w:val="•"/>
      <w:lvlJc w:val="left"/>
      <w:pPr>
        <w:ind w:left="3462" w:hanging="360"/>
      </w:pPr>
      <w:rPr>
        <w:rFonts w:hint="default"/>
      </w:rPr>
    </w:lvl>
    <w:lvl w:ilvl="4" w:tplc="4C7CC2B8">
      <w:numFmt w:val="bullet"/>
      <w:lvlText w:val="•"/>
      <w:lvlJc w:val="left"/>
      <w:pPr>
        <w:ind w:left="4336" w:hanging="360"/>
      </w:pPr>
      <w:rPr>
        <w:rFonts w:hint="default"/>
      </w:rPr>
    </w:lvl>
    <w:lvl w:ilvl="5" w:tplc="A30EC44C">
      <w:numFmt w:val="bullet"/>
      <w:lvlText w:val="•"/>
      <w:lvlJc w:val="left"/>
      <w:pPr>
        <w:ind w:left="5210" w:hanging="360"/>
      </w:pPr>
      <w:rPr>
        <w:rFonts w:hint="default"/>
      </w:rPr>
    </w:lvl>
    <w:lvl w:ilvl="6" w:tplc="38D25638">
      <w:numFmt w:val="bullet"/>
      <w:lvlText w:val="•"/>
      <w:lvlJc w:val="left"/>
      <w:pPr>
        <w:ind w:left="6084" w:hanging="360"/>
      </w:pPr>
      <w:rPr>
        <w:rFonts w:hint="default"/>
      </w:rPr>
    </w:lvl>
    <w:lvl w:ilvl="7" w:tplc="025AA27E">
      <w:numFmt w:val="bullet"/>
      <w:lvlText w:val="•"/>
      <w:lvlJc w:val="left"/>
      <w:pPr>
        <w:ind w:left="6958" w:hanging="360"/>
      </w:pPr>
      <w:rPr>
        <w:rFonts w:hint="default"/>
      </w:rPr>
    </w:lvl>
    <w:lvl w:ilvl="8" w:tplc="41BC4FFE">
      <w:numFmt w:val="bullet"/>
      <w:lvlText w:val="•"/>
      <w:lvlJc w:val="left"/>
      <w:pPr>
        <w:ind w:left="7832" w:hanging="360"/>
      </w:pPr>
      <w:rPr>
        <w:rFonts w:hint="default"/>
      </w:rPr>
    </w:lvl>
  </w:abstractNum>
  <w:abstractNum w:abstractNumId="4">
    <w:nsid w:val="4A944188"/>
    <w:multiLevelType w:val="hybridMultilevel"/>
    <w:tmpl w:val="2C38DD90"/>
    <w:lvl w:ilvl="0" w:tplc="C972CBDC">
      <w:start w:val="2"/>
      <w:numFmt w:val="upperLetter"/>
      <w:lvlText w:val="%1."/>
      <w:lvlJc w:val="left"/>
      <w:pPr>
        <w:ind w:left="800" w:hanging="720"/>
        <w:jc w:val="right"/>
      </w:pPr>
      <w:rPr>
        <w:rFonts w:ascii="Times New Roman" w:eastAsia="Times New Roman" w:hAnsi="Times New Roman" w:cs="Times New Roman" w:hint="default"/>
        <w:b/>
        <w:bCs/>
        <w:spacing w:val="-1"/>
        <w:w w:val="99"/>
        <w:sz w:val="24"/>
        <w:szCs w:val="24"/>
      </w:rPr>
    </w:lvl>
    <w:lvl w:ilvl="1" w:tplc="199CB576">
      <w:start w:val="1"/>
      <w:numFmt w:val="decimal"/>
      <w:lvlText w:val="%2."/>
      <w:lvlJc w:val="left"/>
      <w:pPr>
        <w:ind w:left="160" w:hanging="300"/>
        <w:jc w:val="right"/>
      </w:pPr>
      <w:rPr>
        <w:rFonts w:ascii="Times New Roman" w:eastAsia="Times New Roman" w:hAnsi="Times New Roman" w:cs="Times New Roman" w:hint="default"/>
        <w:b/>
        <w:bCs/>
        <w:spacing w:val="-4"/>
        <w:w w:val="99"/>
        <w:sz w:val="24"/>
        <w:szCs w:val="24"/>
      </w:rPr>
    </w:lvl>
    <w:lvl w:ilvl="2" w:tplc="FE9AF0B0">
      <w:numFmt w:val="bullet"/>
      <w:lvlText w:val=""/>
      <w:lvlJc w:val="left"/>
      <w:pPr>
        <w:ind w:left="760" w:hanging="360"/>
      </w:pPr>
      <w:rPr>
        <w:rFonts w:ascii="Symbol" w:eastAsia="Symbol" w:hAnsi="Symbol" w:cs="Symbol" w:hint="default"/>
        <w:w w:val="100"/>
        <w:sz w:val="24"/>
        <w:szCs w:val="24"/>
      </w:rPr>
    </w:lvl>
    <w:lvl w:ilvl="3" w:tplc="147088CE">
      <w:numFmt w:val="bullet"/>
      <w:lvlText w:val="•"/>
      <w:lvlJc w:val="left"/>
      <w:pPr>
        <w:ind w:left="800" w:hanging="360"/>
      </w:pPr>
      <w:rPr>
        <w:rFonts w:hint="default"/>
      </w:rPr>
    </w:lvl>
    <w:lvl w:ilvl="4" w:tplc="D714AD92">
      <w:numFmt w:val="bullet"/>
      <w:lvlText w:val="•"/>
      <w:lvlJc w:val="left"/>
      <w:pPr>
        <w:ind w:left="2031" w:hanging="360"/>
      </w:pPr>
      <w:rPr>
        <w:rFonts w:hint="default"/>
      </w:rPr>
    </w:lvl>
    <w:lvl w:ilvl="5" w:tplc="6B70017E">
      <w:numFmt w:val="bullet"/>
      <w:lvlText w:val="•"/>
      <w:lvlJc w:val="left"/>
      <w:pPr>
        <w:ind w:left="3262" w:hanging="360"/>
      </w:pPr>
      <w:rPr>
        <w:rFonts w:hint="default"/>
      </w:rPr>
    </w:lvl>
    <w:lvl w:ilvl="6" w:tplc="93AEFCBC">
      <w:numFmt w:val="bullet"/>
      <w:lvlText w:val="•"/>
      <w:lvlJc w:val="left"/>
      <w:pPr>
        <w:ind w:left="4494" w:hanging="360"/>
      </w:pPr>
      <w:rPr>
        <w:rFonts w:hint="default"/>
      </w:rPr>
    </w:lvl>
    <w:lvl w:ilvl="7" w:tplc="51AED228">
      <w:numFmt w:val="bullet"/>
      <w:lvlText w:val="•"/>
      <w:lvlJc w:val="left"/>
      <w:pPr>
        <w:ind w:left="5725" w:hanging="360"/>
      </w:pPr>
      <w:rPr>
        <w:rFonts w:hint="default"/>
      </w:rPr>
    </w:lvl>
    <w:lvl w:ilvl="8" w:tplc="FE3E5050">
      <w:numFmt w:val="bullet"/>
      <w:lvlText w:val="•"/>
      <w:lvlJc w:val="left"/>
      <w:pPr>
        <w:ind w:left="6957" w:hanging="360"/>
      </w:pPr>
      <w:rPr>
        <w:rFonts w:hint="default"/>
      </w:rPr>
    </w:lvl>
  </w:abstractNum>
  <w:abstractNum w:abstractNumId="5">
    <w:nsid w:val="5F080B78"/>
    <w:multiLevelType w:val="hybridMultilevel"/>
    <w:tmpl w:val="590EC2D4"/>
    <w:lvl w:ilvl="0" w:tplc="CEB6C4CE">
      <w:numFmt w:val="bullet"/>
      <w:lvlText w:val=""/>
      <w:lvlJc w:val="left"/>
      <w:pPr>
        <w:ind w:left="457" w:hanging="272"/>
      </w:pPr>
      <w:rPr>
        <w:rFonts w:ascii="Symbol" w:eastAsia="Symbol" w:hAnsi="Symbol" w:cs="Symbol" w:hint="default"/>
        <w:w w:val="99"/>
        <w:sz w:val="20"/>
        <w:szCs w:val="20"/>
      </w:rPr>
    </w:lvl>
    <w:lvl w:ilvl="1" w:tplc="A4ACFA22">
      <w:numFmt w:val="bullet"/>
      <w:lvlText w:val="o"/>
      <w:lvlJc w:val="left"/>
      <w:pPr>
        <w:ind w:left="997" w:hanging="360"/>
      </w:pPr>
      <w:rPr>
        <w:rFonts w:ascii="Courier New" w:eastAsia="Courier New" w:hAnsi="Courier New" w:cs="Courier New" w:hint="default"/>
        <w:w w:val="99"/>
        <w:sz w:val="20"/>
        <w:szCs w:val="20"/>
      </w:rPr>
    </w:lvl>
    <w:lvl w:ilvl="2" w:tplc="7E8AFAC0">
      <w:numFmt w:val="bullet"/>
      <w:lvlText w:val="•"/>
      <w:lvlJc w:val="left"/>
      <w:pPr>
        <w:ind w:left="1331" w:hanging="360"/>
      </w:pPr>
      <w:rPr>
        <w:rFonts w:hint="default"/>
      </w:rPr>
    </w:lvl>
    <w:lvl w:ilvl="3" w:tplc="1BB8AB62">
      <w:numFmt w:val="bullet"/>
      <w:lvlText w:val="•"/>
      <w:lvlJc w:val="left"/>
      <w:pPr>
        <w:ind w:left="1663" w:hanging="360"/>
      </w:pPr>
      <w:rPr>
        <w:rFonts w:hint="default"/>
      </w:rPr>
    </w:lvl>
    <w:lvl w:ilvl="4" w:tplc="68E0E28E">
      <w:numFmt w:val="bullet"/>
      <w:lvlText w:val="•"/>
      <w:lvlJc w:val="left"/>
      <w:pPr>
        <w:ind w:left="1995" w:hanging="360"/>
      </w:pPr>
      <w:rPr>
        <w:rFonts w:hint="default"/>
      </w:rPr>
    </w:lvl>
    <w:lvl w:ilvl="5" w:tplc="16CE2794">
      <w:numFmt w:val="bullet"/>
      <w:lvlText w:val="•"/>
      <w:lvlJc w:val="left"/>
      <w:pPr>
        <w:ind w:left="2326" w:hanging="360"/>
      </w:pPr>
      <w:rPr>
        <w:rFonts w:hint="default"/>
      </w:rPr>
    </w:lvl>
    <w:lvl w:ilvl="6" w:tplc="D05ABA7A">
      <w:numFmt w:val="bullet"/>
      <w:lvlText w:val="•"/>
      <w:lvlJc w:val="left"/>
      <w:pPr>
        <w:ind w:left="2658" w:hanging="360"/>
      </w:pPr>
      <w:rPr>
        <w:rFonts w:hint="default"/>
      </w:rPr>
    </w:lvl>
    <w:lvl w:ilvl="7" w:tplc="4A2CFFFA">
      <w:numFmt w:val="bullet"/>
      <w:lvlText w:val="•"/>
      <w:lvlJc w:val="left"/>
      <w:pPr>
        <w:ind w:left="2990" w:hanging="360"/>
      </w:pPr>
      <w:rPr>
        <w:rFonts w:hint="default"/>
      </w:rPr>
    </w:lvl>
    <w:lvl w:ilvl="8" w:tplc="A6DAAC46">
      <w:numFmt w:val="bullet"/>
      <w:lvlText w:val="•"/>
      <w:lvlJc w:val="left"/>
      <w:pPr>
        <w:ind w:left="3322" w:hanging="360"/>
      </w:pPr>
      <w:rPr>
        <w:rFonts w:hint="default"/>
      </w:rPr>
    </w:lvl>
  </w:abstractNum>
  <w:abstractNum w:abstractNumId="6">
    <w:nsid w:val="62843D83"/>
    <w:multiLevelType w:val="hybridMultilevel"/>
    <w:tmpl w:val="21589058"/>
    <w:lvl w:ilvl="0" w:tplc="E850CEC2">
      <w:numFmt w:val="bullet"/>
      <w:lvlText w:val=""/>
      <w:lvlJc w:val="left"/>
      <w:pPr>
        <w:ind w:left="498" w:hanging="360"/>
      </w:pPr>
      <w:rPr>
        <w:rFonts w:ascii="Symbol" w:eastAsia="Symbol" w:hAnsi="Symbol" w:cs="Symbol" w:hint="default"/>
        <w:w w:val="99"/>
        <w:sz w:val="20"/>
        <w:szCs w:val="20"/>
      </w:rPr>
    </w:lvl>
    <w:lvl w:ilvl="1" w:tplc="7D0CABC0">
      <w:start w:val="1"/>
      <w:numFmt w:val="decimal"/>
      <w:lvlText w:val="(%2)"/>
      <w:lvlJc w:val="left"/>
      <w:pPr>
        <w:ind w:left="498" w:hanging="286"/>
      </w:pPr>
      <w:rPr>
        <w:rFonts w:ascii="Times New Roman" w:eastAsia="Times New Roman" w:hAnsi="Times New Roman" w:cs="Times New Roman" w:hint="default"/>
        <w:w w:val="99"/>
        <w:sz w:val="20"/>
        <w:szCs w:val="20"/>
      </w:rPr>
    </w:lvl>
    <w:lvl w:ilvl="2" w:tplc="88A6A8C8">
      <w:numFmt w:val="bullet"/>
      <w:lvlText w:val="•"/>
      <w:lvlJc w:val="left"/>
      <w:pPr>
        <w:ind w:left="1202" w:hanging="286"/>
      </w:pPr>
      <w:rPr>
        <w:rFonts w:hint="default"/>
      </w:rPr>
    </w:lvl>
    <w:lvl w:ilvl="3" w:tplc="984AD154">
      <w:numFmt w:val="bullet"/>
      <w:lvlText w:val="•"/>
      <w:lvlJc w:val="left"/>
      <w:pPr>
        <w:ind w:left="1553" w:hanging="286"/>
      </w:pPr>
      <w:rPr>
        <w:rFonts w:hint="default"/>
      </w:rPr>
    </w:lvl>
    <w:lvl w:ilvl="4" w:tplc="0BB20574">
      <w:numFmt w:val="bullet"/>
      <w:lvlText w:val="•"/>
      <w:lvlJc w:val="left"/>
      <w:pPr>
        <w:ind w:left="1904" w:hanging="286"/>
      </w:pPr>
      <w:rPr>
        <w:rFonts w:hint="default"/>
      </w:rPr>
    </w:lvl>
    <w:lvl w:ilvl="5" w:tplc="A30693D4">
      <w:numFmt w:val="bullet"/>
      <w:lvlText w:val="•"/>
      <w:lvlJc w:val="left"/>
      <w:pPr>
        <w:ind w:left="2255" w:hanging="286"/>
      </w:pPr>
      <w:rPr>
        <w:rFonts w:hint="default"/>
      </w:rPr>
    </w:lvl>
    <w:lvl w:ilvl="6" w:tplc="97C605B6">
      <w:numFmt w:val="bullet"/>
      <w:lvlText w:val="•"/>
      <w:lvlJc w:val="left"/>
      <w:pPr>
        <w:ind w:left="2606" w:hanging="286"/>
      </w:pPr>
      <w:rPr>
        <w:rFonts w:hint="default"/>
      </w:rPr>
    </w:lvl>
    <w:lvl w:ilvl="7" w:tplc="5DDE816A">
      <w:numFmt w:val="bullet"/>
      <w:lvlText w:val="•"/>
      <w:lvlJc w:val="left"/>
      <w:pPr>
        <w:ind w:left="2957" w:hanging="286"/>
      </w:pPr>
      <w:rPr>
        <w:rFonts w:hint="default"/>
      </w:rPr>
    </w:lvl>
    <w:lvl w:ilvl="8" w:tplc="55DC35E0">
      <w:numFmt w:val="bullet"/>
      <w:lvlText w:val="•"/>
      <w:lvlJc w:val="left"/>
      <w:pPr>
        <w:ind w:left="3308" w:hanging="286"/>
      </w:pPr>
      <w:rPr>
        <w:rFonts w:hint="default"/>
      </w:rPr>
    </w:lvl>
  </w:abstractNum>
  <w:abstractNum w:abstractNumId="7">
    <w:nsid w:val="781E72FB"/>
    <w:multiLevelType w:val="hybridMultilevel"/>
    <w:tmpl w:val="8A8CC932"/>
    <w:lvl w:ilvl="0" w:tplc="4176C218">
      <w:numFmt w:val="bullet"/>
      <w:lvlText w:val=""/>
      <w:lvlJc w:val="left"/>
      <w:pPr>
        <w:ind w:left="379" w:hanging="181"/>
      </w:pPr>
      <w:rPr>
        <w:rFonts w:ascii="Symbol" w:eastAsia="Symbol" w:hAnsi="Symbol" w:cs="Symbol" w:hint="default"/>
        <w:w w:val="99"/>
        <w:sz w:val="20"/>
        <w:szCs w:val="20"/>
      </w:rPr>
    </w:lvl>
    <w:lvl w:ilvl="1" w:tplc="96FCCEB6">
      <w:numFmt w:val="bullet"/>
      <w:lvlText w:val="•"/>
      <w:lvlJc w:val="left"/>
      <w:pPr>
        <w:ind w:left="659" w:hanging="181"/>
      </w:pPr>
      <w:rPr>
        <w:rFonts w:hint="default"/>
      </w:rPr>
    </w:lvl>
    <w:lvl w:ilvl="2" w:tplc="9ACC2C62">
      <w:numFmt w:val="bullet"/>
      <w:lvlText w:val="•"/>
      <w:lvlJc w:val="left"/>
      <w:pPr>
        <w:ind w:left="939" w:hanging="181"/>
      </w:pPr>
      <w:rPr>
        <w:rFonts w:hint="default"/>
      </w:rPr>
    </w:lvl>
    <w:lvl w:ilvl="3" w:tplc="3BB0365E">
      <w:numFmt w:val="bullet"/>
      <w:lvlText w:val="•"/>
      <w:lvlJc w:val="left"/>
      <w:pPr>
        <w:ind w:left="1219" w:hanging="181"/>
      </w:pPr>
      <w:rPr>
        <w:rFonts w:hint="default"/>
      </w:rPr>
    </w:lvl>
    <w:lvl w:ilvl="4" w:tplc="2C8A14F4">
      <w:numFmt w:val="bullet"/>
      <w:lvlText w:val="•"/>
      <w:lvlJc w:val="left"/>
      <w:pPr>
        <w:ind w:left="1499" w:hanging="181"/>
      </w:pPr>
      <w:rPr>
        <w:rFonts w:hint="default"/>
      </w:rPr>
    </w:lvl>
    <w:lvl w:ilvl="5" w:tplc="2FB0F6EC">
      <w:numFmt w:val="bullet"/>
      <w:lvlText w:val="•"/>
      <w:lvlJc w:val="left"/>
      <w:pPr>
        <w:ind w:left="1779" w:hanging="181"/>
      </w:pPr>
      <w:rPr>
        <w:rFonts w:hint="default"/>
      </w:rPr>
    </w:lvl>
    <w:lvl w:ilvl="6" w:tplc="65362A74">
      <w:numFmt w:val="bullet"/>
      <w:lvlText w:val="•"/>
      <w:lvlJc w:val="left"/>
      <w:pPr>
        <w:ind w:left="2058" w:hanging="181"/>
      </w:pPr>
      <w:rPr>
        <w:rFonts w:hint="default"/>
      </w:rPr>
    </w:lvl>
    <w:lvl w:ilvl="7" w:tplc="14381322">
      <w:numFmt w:val="bullet"/>
      <w:lvlText w:val="•"/>
      <w:lvlJc w:val="left"/>
      <w:pPr>
        <w:ind w:left="2338" w:hanging="181"/>
      </w:pPr>
      <w:rPr>
        <w:rFonts w:hint="default"/>
      </w:rPr>
    </w:lvl>
    <w:lvl w:ilvl="8" w:tplc="7DAA6F3C">
      <w:numFmt w:val="bullet"/>
      <w:lvlText w:val="•"/>
      <w:lvlJc w:val="left"/>
      <w:pPr>
        <w:ind w:left="2618" w:hanging="181"/>
      </w:pPr>
      <w:rPr>
        <w:rFonts w:hint="default"/>
      </w:rPr>
    </w:lvl>
  </w:abstractNum>
  <w:num w:numId="1">
    <w:abstractNumId w:val="3"/>
  </w:num>
  <w:num w:numId="2">
    <w:abstractNumId w:val="0"/>
  </w:num>
  <w:num w:numId="3">
    <w:abstractNumId w:val="1"/>
  </w:num>
  <w:num w:numId="4">
    <w:abstractNumId w:val="7"/>
  </w:num>
  <w:num w:numId="5">
    <w:abstractNumId w:val="4"/>
  </w:num>
  <w:num w:numId="6">
    <w:abstractNumId w:val="6"/>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 Gentile">
    <w15:presenceInfo w15:providerId="AD" w15:userId="S-1-5-21-1625102663-4013227018-1311561448-66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817"/>
    <w:rsid w:val="00073AB5"/>
    <w:rsid w:val="00090629"/>
    <w:rsid w:val="000B44D4"/>
    <w:rsid w:val="000C46DF"/>
    <w:rsid w:val="000E78A2"/>
    <w:rsid w:val="00101619"/>
    <w:rsid w:val="00103624"/>
    <w:rsid w:val="00104E50"/>
    <w:rsid w:val="00105CA3"/>
    <w:rsid w:val="001318F1"/>
    <w:rsid w:val="001A0E7E"/>
    <w:rsid w:val="001B0C4F"/>
    <w:rsid w:val="001D6646"/>
    <w:rsid w:val="002346A3"/>
    <w:rsid w:val="00293F89"/>
    <w:rsid w:val="002E20E2"/>
    <w:rsid w:val="00311656"/>
    <w:rsid w:val="003222A8"/>
    <w:rsid w:val="00326B84"/>
    <w:rsid w:val="00330C15"/>
    <w:rsid w:val="003705D0"/>
    <w:rsid w:val="00396A8D"/>
    <w:rsid w:val="003D2169"/>
    <w:rsid w:val="003E65E5"/>
    <w:rsid w:val="004033E7"/>
    <w:rsid w:val="00406D58"/>
    <w:rsid w:val="00407C69"/>
    <w:rsid w:val="0044204C"/>
    <w:rsid w:val="00443607"/>
    <w:rsid w:val="00445CDB"/>
    <w:rsid w:val="00474191"/>
    <w:rsid w:val="0048448E"/>
    <w:rsid w:val="004A32B0"/>
    <w:rsid w:val="004C25DA"/>
    <w:rsid w:val="004E1652"/>
    <w:rsid w:val="00506D05"/>
    <w:rsid w:val="00624E00"/>
    <w:rsid w:val="00630817"/>
    <w:rsid w:val="0063474D"/>
    <w:rsid w:val="00684271"/>
    <w:rsid w:val="00686762"/>
    <w:rsid w:val="00717FC3"/>
    <w:rsid w:val="00733BC5"/>
    <w:rsid w:val="00771E49"/>
    <w:rsid w:val="00804F6F"/>
    <w:rsid w:val="008451CF"/>
    <w:rsid w:val="008A0E1E"/>
    <w:rsid w:val="008B4A32"/>
    <w:rsid w:val="009277AA"/>
    <w:rsid w:val="00931D28"/>
    <w:rsid w:val="00936C26"/>
    <w:rsid w:val="009415A5"/>
    <w:rsid w:val="00975385"/>
    <w:rsid w:val="00994855"/>
    <w:rsid w:val="009C0140"/>
    <w:rsid w:val="009C28B9"/>
    <w:rsid w:val="00A04B5F"/>
    <w:rsid w:val="00A1158E"/>
    <w:rsid w:val="00AA11E4"/>
    <w:rsid w:val="00AE1B27"/>
    <w:rsid w:val="00B265AD"/>
    <w:rsid w:val="00BC1E70"/>
    <w:rsid w:val="00C57F1E"/>
    <w:rsid w:val="00C60A45"/>
    <w:rsid w:val="00C8553D"/>
    <w:rsid w:val="00C952B7"/>
    <w:rsid w:val="00C95711"/>
    <w:rsid w:val="00C97B65"/>
    <w:rsid w:val="00CB3D7C"/>
    <w:rsid w:val="00CE6DEA"/>
    <w:rsid w:val="00D02AE1"/>
    <w:rsid w:val="00D42438"/>
    <w:rsid w:val="00D50C51"/>
    <w:rsid w:val="00D778F5"/>
    <w:rsid w:val="00DA7071"/>
    <w:rsid w:val="00DC1DC9"/>
    <w:rsid w:val="00DC3B38"/>
    <w:rsid w:val="00DE3720"/>
    <w:rsid w:val="00E16C6E"/>
    <w:rsid w:val="00E928E4"/>
    <w:rsid w:val="00ED56B3"/>
    <w:rsid w:val="00EE18A6"/>
    <w:rsid w:val="00EE78D7"/>
    <w:rsid w:val="00EF1669"/>
    <w:rsid w:val="00F0701F"/>
    <w:rsid w:val="00F74BCD"/>
    <w:rsid w:val="00F8753A"/>
    <w:rsid w:val="00F911FE"/>
    <w:rsid w:val="00F913FC"/>
    <w:rsid w:val="00F95B18"/>
    <w:rsid w:val="00FE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24"/>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9277AA"/>
    <w:pPr>
      <w:widowControl w:val="0"/>
      <w:autoSpaceDE w:val="0"/>
      <w:autoSpaceDN w:val="0"/>
      <w:ind w:left="100"/>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362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18">
    <w:name w:val="CM118"/>
    <w:basedOn w:val="Default"/>
    <w:next w:val="Default"/>
    <w:uiPriority w:val="99"/>
    <w:rsid w:val="00103624"/>
    <w:rPr>
      <w:color w:val="auto"/>
    </w:rPr>
  </w:style>
  <w:style w:type="paragraph" w:customStyle="1" w:styleId="CM119">
    <w:name w:val="CM119"/>
    <w:basedOn w:val="Default"/>
    <w:next w:val="Default"/>
    <w:uiPriority w:val="99"/>
    <w:rsid w:val="00103624"/>
    <w:rPr>
      <w:color w:val="auto"/>
    </w:rPr>
  </w:style>
  <w:style w:type="paragraph" w:customStyle="1" w:styleId="CM4">
    <w:name w:val="CM4"/>
    <w:basedOn w:val="Default"/>
    <w:next w:val="Default"/>
    <w:uiPriority w:val="99"/>
    <w:rsid w:val="00103624"/>
    <w:pPr>
      <w:spacing w:line="273" w:lineRule="atLeast"/>
    </w:pPr>
    <w:rPr>
      <w:color w:val="auto"/>
    </w:rPr>
  </w:style>
  <w:style w:type="paragraph" w:customStyle="1" w:styleId="CM120">
    <w:name w:val="CM120"/>
    <w:basedOn w:val="Default"/>
    <w:next w:val="Default"/>
    <w:uiPriority w:val="99"/>
    <w:rsid w:val="00103624"/>
    <w:rPr>
      <w:color w:val="auto"/>
    </w:rPr>
  </w:style>
  <w:style w:type="paragraph" w:customStyle="1" w:styleId="CM13">
    <w:name w:val="CM13"/>
    <w:basedOn w:val="Default"/>
    <w:next w:val="Default"/>
    <w:uiPriority w:val="99"/>
    <w:rsid w:val="00103624"/>
    <w:pPr>
      <w:spacing w:line="278" w:lineRule="atLeast"/>
    </w:pPr>
    <w:rPr>
      <w:color w:val="auto"/>
    </w:rPr>
  </w:style>
  <w:style w:type="paragraph" w:customStyle="1" w:styleId="CM15">
    <w:name w:val="CM15"/>
    <w:basedOn w:val="Default"/>
    <w:next w:val="Default"/>
    <w:uiPriority w:val="99"/>
    <w:rsid w:val="00103624"/>
    <w:pPr>
      <w:spacing w:line="276" w:lineRule="atLeast"/>
    </w:pPr>
    <w:rPr>
      <w:color w:val="auto"/>
    </w:rPr>
  </w:style>
  <w:style w:type="paragraph" w:customStyle="1" w:styleId="CM111">
    <w:name w:val="CM111"/>
    <w:basedOn w:val="Default"/>
    <w:next w:val="Default"/>
    <w:uiPriority w:val="99"/>
    <w:rsid w:val="00103624"/>
    <w:pPr>
      <w:spacing w:line="203" w:lineRule="atLeast"/>
    </w:pPr>
    <w:rPr>
      <w:color w:val="auto"/>
    </w:rPr>
  </w:style>
  <w:style w:type="table" w:styleId="TableGrid">
    <w:name w:val="Table Grid"/>
    <w:basedOn w:val="TableNormal"/>
    <w:uiPriority w:val="39"/>
    <w:rsid w:val="0010362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624"/>
    <w:rPr>
      <w:sz w:val="18"/>
      <w:szCs w:val="18"/>
    </w:rPr>
  </w:style>
  <w:style w:type="paragraph" w:styleId="CommentText">
    <w:name w:val="annotation text"/>
    <w:basedOn w:val="Normal"/>
    <w:link w:val="CommentTextChar"/>
    <w:uiPriority w:val="99"/>
    <w:semiHidden/>
    <w:unhideWhenUsed/>
    <w:rsid w:val="00103624"/>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103624"/>
    <w:rPr>
      <w:rFonts w:eastAsiaTheme="minorEastAsia"/>
      <w:sz w:val="24"/>
      <w:szCs w:val="24"/>
    </w:rPr>
  </w:style>
  <w:style w:type="character" w:styleId="Hyperlink">
    <w:name w:val="Hyperlink"/>
    <w:basedOn w:val="DefaultParagraphFont"/>
    <w:uiPriority w:val="99"/>
    <w:unhideWhenUsed/>
    <w:rsid w:val="00103624"/>
    <w:rPr>
      <w:color w:val="0563C1" w:themeColor="hyperlink"/>
      <w:u w:val="single"/>
    </w:rPr>
  </w:style>
  <w:style w:type="paragraph" w:styleId="BalloonText">
    <w:name w:val="Balloon Text"/>
    <w:basedOn w:val="Normal"/>
    <w:link w:val="BalloonTextChar"/>
    <w:uiPriority w:val="99"/>
    <w:semiHidden/>
    <w:unhideWhenUsed/>
    <w:rsid w:val="00103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6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5711"/>
    <w:rPr>
      <w:rFonts w:ascii="Times New Roman" w:eastAsiaTheme="minorHAnsi" w:hAnsi="Times New Roman" w:cs="Times New Roman"/>
      <w:b/>
      <w:bCs/>
      <w:sz w:val="20"/>
      <w:szCs w:val="20"/>
    </w:rPr>
  </w:style>
  <w:style w:type="character" w:customStyle="1" w:styleId="CommentSubjectChar">
    <w:name w:val="Comment Subject Char"/>
    <w:basedOn w:val="CommentTextChar"/>
    <w:link w:val="CommentSubject"/>
    <w:uiPriority w:val="99"/>
    <w:semiHidden/>
    <w:rsid w:val="00C95711"/>
    <w:rPr>
      <w:rFonts w:ascii="Times New Roman" w:eastAsiaTheme="minorEastAsia" w:hAnsi="Times New Roman" w:cs="Times New Roman"/>
      <w:b/>
      <w:bCs/>
      <w:sz w:val="20"/>
      <w:szCs w:val="20"/>
    </w:rPr>
  </w:style>
  <w:style w:type="character" w:customStyle="1" w:styleId="Heading1Char">
    <w:name w:val="Heading 1 Char"/>
    <w:basedOn w:val="DefaultParagraphFont"/>
    <w:link w:val="Heading1"/>
    <w:uiPriority w:val="1"/>
    <w:rsid w:val="009277A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277AA"/>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9277AA"/>
    <w:rPr>
      <w:rFonts w:ascii="Times New Roman" w:eastAsia="Times New Roman" w:hAnsi="Times New Roman" w:cs="Times New Roman"/>
      <w:sz w:val="24"/>
      <w:szCs w:val="24"/>
    </w:rPr>
  </w:style>
  <w:style w:type="paragraph" w:styleId="ListParagraph">
    <w:name w:val="List Paragraph"/>
    <w:basedOn w:val="Normal"/>
    <w:uiPriority w:val="34"/>
    <w:qFormat/>
    <w:rsid w:val="009277AA"/>
    <w:pPr>
      <w:widowControl w:val="0"/>
      <w:autoSpaceDE w:val="0"/>
      <w:autoSpaceDN w:val="0"/>
      <w:ind w:left="820" w:hanging="360"/>
    </w:pPr>
    <w:rPr>
      <w:rFonts w:eastAsia="Times New Roman"/>
      <w:sz w:val="22"/>
      <w:szCs w:val="22"/>
    </w:rPr>
  </w:style>
  <w:style w:type="paragraph" w:customStyle="1" w:styleId="TableParagraph">
    <w:name w:val="Table Paragraph"/>
    <w:basedOn w:val="Normal"/>
    <w:uiPriority w:val="1"/>
    <w:qFormat/>
    <w:rsid w:val="009277AA"/>
    <w:pPr>
      <w:widowControl w:val="0"/>
      <w:autoSpaceDE w:val="0"/>
      <w:autoSpaceDN w:val="0"/>
    </w:pPr>
    <w:rPr>
      <w:rFonts w:eastAsia="Times New Roman"/>
      <w:sz w:val="22"/>
      <w:szCs w:val="22"/>
    </w:rPr>
  </w:style>
  <w:style w:type="paragraph" w:styleId="FootnoteText">
    <w:name w:val="footnote text"/>
    <w:basedOn w:val="Normal"/>
    <w:link w:val="FootnoteTextChar"/>
    <w:uiPriority w:val="99"/>
    <w:semiHidden/>
    <w:unhideWhenUsed/>
    <w:rsid w:val="009277AA"/>
    <w:pPr>
      <w:widowControl w:val="0"/>
      <w:autoSpaceDE w:val="0"/>
      <w:autoSpaceDN w:val="0"/>
    </w:pPr>
    <w:rPr>
      <w:rFonts w:eastAsia="Times New Roman"/>
      <w:sz w:val="20"/>
      <w:szCs w:val="20"/>
    </w:rPr>
  </w:style>
  <w:style w:type="character" w:customStyle="1" w:styleId="FootnoteTextChar">
    <w:name w:val="Footnote Text Char"/>
    <w:basedOn w:val="DefaultParagraphFont"/>
    <w:link w:val="FootnoteText"/>
    <w:uiPriority w:val="99"/>
    <w:semiHidden/>
    <w:rsid w:val="009277A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77AA"/>
    <w:rPr>
      <w:vertAlign w:val="superscript"/>
    </w:rPr>
  </w:style>
  <w:style w:type="paragraph" w:styleId="Header">
    <w:name w:val="header"/>
    <w:basedOn w:val="Normal"/>
    <w:link w:val="HeaderChar"/>
    <w:uiPriority w:val="99"/>
    <w:unhideWhenUsed/>
    <w:rsid w:val="000C46DF"/>
    <w:pPr>
      <w:widowControl w:val="0"/>
      <w:tabs>
        <w:tab w:val="center" w:pos="4680"/>
        <w:tab w:val="right" w:pos="9360"/>
      </w:tabs>
      <w:autoSpaceDE w:val="0"/>
      <w:autoSpaceDN w:val="0"/>
    </w:pPr>
    <w:rPr>
      <w:rFonts w:eastAsia="Times New Roman"/>
      <w:sz w:val="22"/>
      <w:szCs w:val="22"/>
    </w:rPr>
  </w:style>
  <w:style w:type="character" w:customStyle="1" w:styleId="HeaderChar">
    <w:name w:val="Header Char"/>
    <w:basedOn w:val="DefaultParagraphFont"/>
    <w:link w:val="Header"/>
    <w:uiPriority w:val="99"/>
    <w:rsid w:val="000C46D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24"/>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9277AA"/>
    <w:pPr>
      <w:widowControl w:val="0"/>
      <w:autoSpaceDE w:val="0"/>
      <w:autoSpaceDN w:val="0"/>
      <w:ind w:left="100"/>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362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18">
    <w:name w:val="CM118"/>
    <w:basedOn w:val="Default"/>
    <w:next w:val="Default"/>
    <w:uiPriority w:val="99"/>
    <w:rsid w:val="00103624"/>
    <w:rPr>
      <w:color w:val="auto"/>
    </w:rPr>
  </w:style>
  <w:style w:type="paragraph" w:customStyle="1" w:styleId="CM119">
    <w:name w:val="CM119"/>
    <w:basedOn w:val="Default"/>
    <w:next w:val="Default"/>
    <w:uiPriority w:val="99"/>
    <w:rsid w:val="00103624"/>
    <w:rPr>
      <w:color w:val="auto"/>
    </w:rPr>
  </w:style>
  <w:style w:type="paragraph" w:customStyle="1" w:styleId="CM4">
    <w:name w:val="CM4"/>
    <w:basedOn w:val="Default"/>
    <w:next w:val="Default"/>
    <w:uiPriority w:val="99"/>
    <w:rsid w:val="00103624"/>
    <w:pPr>
      <w:spacing w:line="273" w:lineRule="atLeast"/>
    </w:pPr>
    <w:rPr>
      <w:color w:val="auto"/>
    </w:rPr>
  </w:style>
  <w:style w:type="paragraph" w:customStyle="1" w:styleId="CM120">
    <w:name w:val="CM120"/>
    <w:basedOn w:val="Default"/>
    <w:next w:val="Default"/>
    <w:uiPriority w:val="99"/>
    <w:rsid w:val="00103624"/>
    <w:rPr>
      <w:color w:val="auto"/>
    </w:rPr>
  </w:style>
  <w:style w:type="paragraph" w:customStyle="1" w:styleId="CM13">
    <w:name w:val="CM13"/>
    <w:basedOn w:val="Default"/>
    <w:next w:val="Default"/>
    <w:uiPriority w:val="99"/>
    <w:rsid w:val="00103624"/>
    <w:pPr>
      <w:spacing w:line="278" w:lineRule="atLeast"/>
    </w:pPr>
    <w:rPr>
      <w:color w:val="auto"/>
    </w:rPr>
  </w:style>
  <w:style w:type="paragraph" w:customStyle="1" w:styleId="CM15">
    <w:name w:val="CM15"/>
    <w:basedOn w:val="Default"/>
    <w:next w:val="Default"/>
    <w:uiPriority w:val="99"/>
    <w:rsid w:val="00103624"/>
    <w:pPr>
      <w:spacing w:line="276" w:lineRule="atLeast"/>
    </w:pPr>
    <w:rPr>
      <w:color w:val="auto"/>
    </w:rPr>
  </w:style>
  <w:style w:type="paragraph" w:customStyle="1" w:styleId="CM111">
    <w:name w:val="CM111"/>
    <w:basedOn w:val="Default"/>
    <w:next w:val="Default"/>
    <w:uiPriority w:val="99"/>
    <w:rsid w:val="00103624"/>
    <w:pPr>
      <w:spacing w:line="203" w:lineRule="atLeast"/>
    </w:pPr>
    <w:rPr>
      <w:color w:val="auto"/>
    </w:rPr>
  </w:style>
  <w:style w:type="table" w:styleId="TableGrid">
    <w:name w:val="Table Grid"/>
    <w:basedOn w:val="TableNormal"/>
    <w:uiPriority w:val="39"/>
    <w:rsid w:val="0010362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624"/>
    <w:rPr>
      <w:sz w:val="18"/>
      <w:szCs w:val="18"/>
    </w:rPr>
  </w:style>
  <w:style w:type="paragraph" w:styleId="CommentText">
    <w:name w:val="annotation text"/>
    <w:basedOn w:val="Normal"/>
    <w:link w:val="CommentTextChar"/>
    <w:uiPriority w:val="99"/>
    <w:semiHidden/>
    <w:unhideWhenUsed/>
    <w:rsid w:val="00103624"/>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103624"/>
    <w:rPr>
      <w:rFonts w:eastAsiaTheme="minorEastAsia"/>
      <w:sz w:val="24"/>
      <w:szCs w:val="24"/>
    </w:rPr>
  </w:style>
  <w:style w:type="character" w:styleId="Hyperlink">
    <w:name w:val="Hyperlink"/>
    <w:basedOn w:val="DefaultParagraphFont"/>
    <w:uiPriority w:val="99"/>
    <w:unhideWhenUsed/>
    <w:rsid w:val="00103624"/>
    <w:rPr>
      <w:color w:val="0563C1" w:themeColor="hyperlink"/>
      <w:u w:val="single"/>
    </w:rPr>
  </w:style>
  <w:style w:type="paragraph" w:styleId="BalloonText">
    <w:name w:val="Balloon Text"/>
    <w:basedOn w:val="Normal"/>
    <w:link w:val="BalloonTextChar"/>
    <w:uiPriority w:val="99"/>
    <w:semiHidden/>
    <w:unhideWhenUsed/>
    <w:rsid w:val="00103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6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5711"/>
    <w:rPr>
      <w:rFonts w:ascii="Times New Roman" w:eastAsiaTheme="minorHAnsi" w:hAnsi="Times New Roman" w:cs="Times New Roman"/>
      <w:b/>
      <w:bCs/>
      <w:sz w:val="20"/>
      <w:szCs w:val="20"/>
    </w:rPr>
  </w:style>
  <w:style w:type="character" w:customStyle="1" w:styleId="CommentSubjectChar">
    <w:name w:val="Comment Subject Char"/>
    <w:basedOn w:val="CommentTextChar"/>
    <w:link w:val="CommentSubject"/>
    <w:uiPriority w:val="99"/>
    <w:semiHidden/>
    <w:rsid w:val="00C95711"/>
    <w:rPr>
      <w:rFonts w:ascii="Times New Roman" w:eastAsiaTheme="minorEastAsia" w:hAnsi="Times New Roman" w:cs="Times New Roman"/>
      <w:b/>
      <w:bCs/>
      <w:sz w:val="20"/>
      <w:szCs w:val="20"/>
    </w:rPr>
  </w:style>
  <w:style w:type="character" w:customStyle="1" w:styleId="Heading1Char">
    <w:name w:val="Heading 1 Char"/>
    <w:basedOn w:val="DefaultParagraphFont"/>
    <w:link w:val="Heading1"/>
    <w:uiPriority w:val="1"/>
    <w:rsid w:val="009277A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277AA"/>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9277AA"/>
    <w:rPr>
      <w:rFonts w:ascii="Times New Roman" w:eastAsia="Times New Roman" w:hAnsi="Times New Roman" w:cs="Times New Roman"/>
      <w:sz w:val="24"/>
      <w:szCs w:val="24"/>
    </w:rPr>
  </w:style>
  <w:style w:type="paragraph" w:styleId="ListParagraph">
    <w:name w:val="List Paragraph"/>
    <w:basedOn w:val="Normal"/>
    <w:uiPriority w:val="34"/>
    <w:qFormat/>
    <w:rsid w:val="009277AA"/>
    <w:pPr>
      <w:widowControl w:val="0"/>
      <w:autoSpaceDE w:val="0"/>
      <w:autoSpaceDN w:val="0"/>
      <w:ind w:left="820" w:hanging="360"/>
    </w:pPr>
    <w:rPr>
      <w:rFonts w:eastAsia="Times New Roman"/>
      <w:sz w:val="22"/>
      <w:szCs w:val="22"/>
    </w:rPr>
  </w:style>
  <w:style w:type="paragraph" w:customStyle="1" w:styleId="TableParagraph">
    <w:name w:val="Table Paragraph"/>
    <w:basedOn w:val="Normal"/>
    <w:uiPriority w:val="1"/>
    <w:qFormat/>
    <w:rsid w:val="009277AA"/>
    <w:pPr>
      <w:widowControl w:val="0"/>
      <w:autoSpaceDE w:val="0"/>
      <w:autoSpaceDN w:val="0"/>
    </w:pPr>
    <w:rPr>
      <w:rFonts w:eastAsia="Times New Roman"/>
      <w:sz w:val="22"/>
      <w:szCs w:val="22"/>
    </w:rPr>
  </w:style>
  <w:style w:type="paragraph" w:styleId="FootnoteText">
    <w:name w:val="footnote text"/>
    <w:basedOn w:val="Normal"/>
    <w:link w:val="FootnoteTextChar"/>
    <w:uiPriority w:val="99"/>
    <w:semiHidden/>
    <w:unhideWhenUsed/>
    <w:rsid w:val="009277AA"/>
    <w:pPr>
      <w:widowControl w:val="0"/>
      <w:autoSpaceDE w:val="0"/>
      <w:autoSpaceDN w:val="0"/>
    </w:pPr>
    <w:rPr>
      <w:rFonts w:eastAsia="Times New Roman"/>
      <w:sz w:val="20"/>
      <w:szCs w:val="20"/>
    </w:rPr>
  </w:style>
  <w:style w:type="character" w:customStyle="1" w:styleId="FootnoteTextChar">
    <w:name w:val="Footnote Text Char"/>
    <w:basedOn w:val="DefaultParagraphFont"/>
    <w:link w:val="FootnoteText"/>
    <w:uiPriority w:val="99"/>
    <w:semiHidden/>
    <w:rsid w:val="009277A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77AA"/>
    <w:rPr>
      <w:vertAlign w:val="superscript"/>
    </w:rPr>
  </w:style>
  <w:style w:type="paragraph" w:styleId="Header">
    <w:name w:val="header"/>
    <w:basedOn w:val="Normal"/>
    <w:link w:val="HeaderChar"/>
    <w:uiPriority w:val="99"/>
    <w:unhideWhenUsed/>
    <w:rsid w:val="000C46DF"/>
    <w:pPr>
      <w:widowControl w:val="0"/>
      <w:tabs>
        <w:tab w:val="center" w:pos="4680"/>
        <w:tab w:val="right" w:pos="9360"/>
      </w:tabs>
      <w:autoSpaceDE w:val="0"/>
      <w:autoSpaceDN w:val="0"/>
    </w:pPr>
    <w:rPr>
      <w:rFonts w:eastAsia="Times New Roman"/>
      <w:sz w:val="22"/>
      <w:szCs w:val="22"/>
    </w:rPr>
  </w:style>
  <w:style w:type="character" w:customStyle="1" w:styleId="HeaderChar">
    <w:name w:val="Header Char"/>
    <w:basedOn w:val="DefaultParagraphFont"/>
    <w:link w:val="Header"/>
    <w:uiPriority w:val="99"/>
    <w:rsid w:val="000C46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453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7A0B4-FFD8-436A-B137-B9231339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4753</Words>
  <Characters>27095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Gentile</dc:creator>
  <cp:keywords/>
  <dc:description/>
  <cp:lastModifiedBy>SYSTEM</cp:lastModifiedBy>
  <cp:revision>2</cp:revision>
  <cp:lastPrinted>2018-05-02T15:11:00Z</cp:lastPrinted>
  <dcterms:created xsi:type="dcterms:W3CDTF">2018-07-19T19:30:00Z</dcterms:created>
  <dcterms:modified xsi:type="dcterms:W3CDTF">2018-07-19T19:30:00Z</dcterms:modified>
</cp:coreProperties>
</file>