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7EC" w:rsidRPr="00471381" w:rsidRDefault="00572CE7" w:rsidP="00373ED8">
      <w:pPr>
        <w:tabs>
          <w:tab w:val="center" w:pos="4680"/>
        </w:tabs>
        <w:rPr>
          <w:rFonts w:ascii="Times New Roman" w:hAnsi="Times New Roman"/>
          <w:b/>
          <w:bCs/>
        </w:rPr>
      </w:pPr>
      <w:bookmarkStart w:id="0" w:name="_GoBack"/>
      <w:bookmarkEnd w:id="0"/>
      <w:r>
        <w:rPr>
          <w:rFonts w:ascii="Times New Roman" w:hAnsi="Times New Roman"/>
        </w:rPr>
        <w:t xml:space="preserve"> </w:t>
      </w:r>
      <w:r w:rsidR="00F919C2" w:rsidRPr="00471381">
        <w:rPr>
          <w:rFonts w:ascii="Times New Roman" w:hAnsi="Times New Roman"/>
        </w:rPr>
        <w:t xml:space="preserve">                                                         </w:t>
      </w:r>
      <w:r w:rsidR="00EA17EC" w:rsidRPr="00471381">
        <w:rPr>
          <w:rFonts w:ascii="Times New Roman" w:hAnsi="Times New Roman"/>
        </w:rPr>
        <w:tab/>
      </w:r>
      <w:r w:rsidR="00EA17EC" w:rsidRPr="00471381">
        <w:rPr>
          <w:rFonts w:ascii="Times New Roman" w:hAnsi="Times New Roman"/>
          <w:b/>
          <w:bCs/>
        </w:rPr>
        <w:t>Supporting Statement</w:t>
      </w:r>
      <w:r w:rsidR="005F2224" w:rsidRPr="00471381">
        <w:rPr>
          <w:rFonts w:ascii="Times New Roman" w:hAnsi="Times New Roman"/>
          <w:b/>
          <w:bCs/>
        </w:rPr>
        <w:t xml:space="preserve"> </w:t>
      </w:r>
    </w:p>
    <w:p w:rsidR="005C3213" w:rsidRPr="002C0D0D" w:rsidRDefault="005C3213" w:rsidP="00E262E3">
      <w:pPr>
        <w:jc w:val="center"/>
        <w:rPr>
          <w:rFonts w:ascii="Times New Roman" w:hAnsi="Times New Roman"/>
          <w:b/>
        </w:rPr>
      </w:pPr>
      <w:r w:rsidRPr="002C0D0D">
        <w:rPr>
          <w:rFonts w:ascii="Times New Roman" w:hAnsi="Times New Roman"/>
          <w:b/>
          <w:bCs/>
        </w:rPr>
        <w:t>Regulatory Capital Rules: Regulatory Capital, Supplementary Leverage Ratio</w:t>
      </w:r>
    </w:p>
    <w:p w:rsidR="00E67B7F" w:rsidRPr="00471381" w:rsidRDefault="00E67B7F" w:rsidP="00E67B7F">
      <w:pPr>
        <w:pStyle w:val="Heading1"/>
        <w:rPr>
          <w:rFonts w:ascii="Times New Roman" w:hAnsi="Times New Roman"/>
        </w:rPr>
      </w:pPr>
      <w:r w:rsidRPr="00471381">
        <w:rPr>
          <w:rFonts w:ascii="Times New Roman" w:hAnsi="Times New Roman"/>
        </w:rPr>
        <w:t xml:space="preserve">OMB Control No. </w:t>
      </w:r>
      <w:r w:rsidR="00340B54">
        <w:rPr>
          <w:rFonts w:ascii="Times New Roman" w:hAnsi="Times New Roman"/>
        </w:rPr>
        <w:t>3064-</w:t>
      </w:r>
      <w:r w:rsidR="00C33F19">
        <w:rPr>
          <w:rFonts w:ascii="Times New Roman" w:hAnsi="Times New Roman"/>
        </w:rPr>
        <w:t>0196</w:t>
      </w:r>
    </w:p>
    <w:p w:rsidR="00EA17EC" w:rsidRPr="00471381" w:rsidRDefault="00EA17EC" w:rsidP="00373ED8">
      <w:pPr>
        <w:rPr>
          <w:rFonts w:ascii="Times New Roman" w:hAnsi="Times New Roman"/>
        </w:rPr>
      </w:pPr>
    </w:p>
    <w:p w:rsidR="00EA17EC" w:rsidRDefault="009D23AE" w:rsidP="00373ED8">
      <w:pPr>
        <w:rPr>
          <w:rFonts w:ascii="Times New Roman" w:hAnsi="Times New Roman"/>
          <w:bCs/>
        </w:rPr>
      </w:pPr>
      <w:r w:rsidRPr="00FC311C">
        <w:rPr>
          <w:rFonts w:ascii="Times New Roman" w:hAnsi="Times New Roman"/>
          <w:b/>
          <w:snapToGrid w:val="0"/>
          <w:u w:val="single"/>
        </w:rPr>
        <w:t>INTRODUCTION</w:t>
      </w:r>
    </w:p>
    <w:p w:rsidR="009D23AE" w:rsidRDefault="009D23AE" w:rsidP="00373ED8">
      <w:pPr>
        <w:rPr>
          <w:rFonts w:ascii="Times New Roman" w:hAnsi="Times New Roman"/>
          <w:bCs/>
        </w:rPr>
      </w:pPr>
    </w:p>
    <w:p w:rsidR="009D23AE" w:rsidRDefault="009D23AE" w:rsidP="00373ED8">
      <w:pPr>
        <w:rPr>
          <w:rFonts w:ascii="Times New Roman" w:hAnsi="Times New Roman"/>
          <w:bCs/>
        </w:rPr>
      </w:pPr>
      <w:r w:rsidRPr="009D23AE">
        <w:rPr>
          <w:rFonts w:ascii="Times New Roman" w:hAnsi="Times New Roman"/>
          <w:snapToGrid w:val="0"/>
        </w:rPr>
        <w:t>The FDIC is requesting approval from the OMB to extend, without change, a currently approved information collection (OMB Control No. 3064-01</w:t>
      </w:r>
      <w:r>
        <w:rPr>
          <w:rFonts w:ascii="Times New Roman" w:hAnsi="Times New Roman"/>
          <w:snapToGrid w:val="0"/>
        </w:rPr>
        <w:t>96</w:t>
      </w:r>
      <w:r w:rsidRPr="009D23AE">
        <w:rPr>
          <w:rFonts w:ascii="Times New Roman" w:hAnsi="Times New Roman"/>
          <w:snapToGrid w:val="0"/>
        </w:rPr>
        <w:t xml:space="preserve">) comprised of disclosure requirements under </w:t>
      </w:r>
      <w:r>
        <w:rPr>
          <w:rFonts w:ascii="Times New Roman" w:hAnsi="Times New Roman"/>
          <w:snapToGrid w:val="0"/>
        </w:rPr>
        <w:t>a regulation issued by the</w:t>
      </w:r>
      <w:r w:rsidRPr="00E262E3">
        <w:rPr>
          <w:rFonts w:ascii="Times New Roman" w:hAnsi="Times New Roman"/>
        </w:rPr>
        <w:t xml:space="preserve"> Federal Deposit Insurance Corporation (“FDIC”), jointly with the Office of the Comptroller of the Currency (“OCC”) and the Board of Governors of the Federal Reserve System (“Board”)</w:t>
      </w:r>
      <w:r>
        <w:rPr>
          <w:rFonts w:ascii="Times New Roman" w:hAnsi="Times New Roman"/>
        </w:rPr>
        <w:t xml:space="preserve"> (collectively, “the agencies”)</w:t>
      </w:r>
      <w:r w:rsidRPr="00E262E3">
        <w:rPr>
          <w:rFonts w:ascii="Times New Roman" w:hAnsi="Times New Roman"/>
        </w:rPr>
        <w:t xml:space="preserve"> that implements enhanced supplementary leverage ratio standards for large, interconnected U.S. banking organizations</w:t>
      </w:r>
      <w:r>
        <w:rPr>
          <w:rFonts w:ascii="Times New Roman" w:hAnsi="Times New Roman"/>
        </w:rPr>
        <w:t xml:space="preserve"> that have at least $250 billion in total consolidated assets or total on-balance sheet foreign exposures of $10 billion or more (“covered banks”).   The information collection expires on August 31, 2018.</w:t>
      </w:r>
    </w:p>
    <w:p w:rsidR="009D23AE" w:rsidRPr="00471381" w:rsidRDefault="009D23AE" w:rsidP="00373ED8">
      <w:pPr>
        <w:rPr>
          <w:rFonts w:ascii="Times New Roman" w:hAnsi="Times New Roman"/>
          <w:bCs/>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A.</w:t>
      </w:r>
      <w:r w:rsidRPr="00471381">
        <w:rPr>
          <w:rFonts w:ascii="Times New Roman" w:hAnsi="Times New Roman"/>
        </w:rPr>
        <w:tab/>
      </w:r>
      <w:r w:rsidRPr="00471381">
        <w:rPr>
          <w:rFonts w:ascii="Times New Roman" w:hAnsi="Times New Roman"/>
          <w:u w:val="single"/>
        </w:rPr>
        <w:t>Justification.</w:t>
      </w:r>
    </w:p>
    <w:p w:rsidR="00EA17EC" w:rsidRPr="00471381" w:rsidRDefault="00EA17EC" w:rsidP="00AE1B64">
      <w:pPr>
        <w:rPr>
          <w:rFonts w:ascii="Times New Roman" w:hAnsi="Times New Roman"/>
        </w:rPr>
      </w:pPr>
    </w:p>
    <w:p w:rsidR="00EA17EC" w:rsidRDefault="00EA17EC" w:rsidP="00AE1B64">
      <w:pPr>
        <w:tabs>
          <w:tab w:val="left" w:pos="-1440"/>
        </w:tabs>
        <w:ind w:left="720" w:hanging="720"/>
        <w:rPr>
          <w:rFonts w:ascii="Times New Roman" w:hAnsi="Times New Roman"/>
          <w:u w:val="single"/>
        </w:rPr>
      </w:pPr>
      <w:r w:rsidRPr="00471381">
        <w:rPr>
          <w:rFonts w:ascii="Times New Roman" w:hAnsi="Times New Roman"/>
        </w:rPr>
        <w:t>1.</w:t>
      </w:r>
      <w:r w:rsidRPr="00471381">
        <w:rPr>
          <w:rFonts w:ascii="Times New Roman" w:hAnsi="Times New Roman"/>
        </w:rPr>
        <w:tab/>
      </w:r>
      <w:r w:rsidRPr="00471381">
        <w:rPr>
          <w:rFonts w:ascii="Times New Roman" w:hAnsi="Times New Roman"/>
          <w:u w:val="single"/>
        </w:rPr>
        <w:t>Circumstances that make the collection necessary:</w:t>
      </w:r>
    </w:p>
    <w:p w:rsidR="00AE1B64" w:rsidRDefault="00AE1B64" w:rsidP="00AE1B64">
      <w:pPr>
        <w:tabs>
          <w:tab w:val="left" w:pos="-1440"/>
        </w:tabs>
        <w:ind w:left="720" w:hanging="720"/>
        <w:rPr>
          <w:rFonts w:ascii="Times New Roman" w:hAnsi="Times New Roman"/>
          <w:u w:val="single"/>
        </w:rPr>
      </w:pPr>
    </w:p>
    <w:p w:rsidR="002C71DA" w:rsidRPr="00E262E3" w:rsidRDefault="004F6343" w:rsidP="002C0D0D">
      <w:pPr>
        <w:tabs>
          <w:tab w:val="left" w:pos="-1440"/>
        </w:tabs>
        <w:rPr>
          <w:rFonts w:ascii="Times New Roman" w:hAnsi="Times New Roman"/>
          <w:highlight w:val="yellow"/>
        </w:rPr>
      </w:pPr>
      <w:r w:rsidRPr="004F6343">
        <w:rPr>
          <w:rFonts w:ascii="Times New Roman" w:hAnsi="Times New Roman"/>
          <w:snapToGrid w:val="0"/>
        </w:rPr>
        <w:t>The supplementary leverage ratio regulations strengthen the definition of total leverage exposure and improve the measure of a banking organization’s on- and off-balance sheet exposures.  The rules are generally consistent with the Basel Committee on Banking Supervision’s 2014 revisions and promote consistency in the calculation of this ratio across jurisdictions.</w:t>
      </w:r>
    </w:p>
    <w:p w:rsidR="002C71DA" w:rsidRDefault="002C71DA" w:rsidP="00AE1B64">
      <w:pPr>
        <w:tabs>
          <w:tab w:val="left" w:pos="-1440"/>
        </w:tabs>
        <w:rPr>
          <w:rFonts w:ascii="Times New Roman" w:hAnsi="Times New Roman"/>
        </w:rPr>
      </w:pPr>
    </w:p>
    <w:p w:rsidR="00AE1B64" w:rsidRPr="00471381" w:rsidRDefault="00AE1B64" w:rsidP="00AE1B64">
      <w:pPr>
        <w:rPr>
          <w:rFonts w:ascii="Times New Roman" w:hAnsi="Times New Roman"/>
        </w:rPr>
      </w:pPr>
      <w:r w:rsidRPr="00471381">
        <w:rPr>
          <w:rFonts w:ascii="Times New Roman" w:hAnsi="Times New Roman"/>
        </w:rPr>
        <w:t>2.</w:t>
      </w:r>
      <w:r w:rsidRPr="00471381">
        <w:rPr>
          <w:rFonts w:ascii="Times New Roman" w:hAnsi="Times New Roman"/>
        </w:rPr>
        <w:tab/>
      </w:r>
      <w:r w:rsidRPr="00471381">
        <w:rPr>
          <w:rFonts w:ascii="Times New Roman" w:hAnsi="Times New Roman"/>
          <w:u w:val="single"/>
        </w:rPr>
        <w:t>Use of the information:</w:t>
      </w:r>
    </w:p>
    <w:p w:rsidR="00EA17EC" w:rsidRPr="00471381" w:rsidRDefault="00EA17EC" w:rsidP="00AE1B64">
      <w:pPr>
        <w:rPr>
          <w:rFonts w:ascii="Times New Roman" w:hAnsi="Times New Roman"/>
        </w:rPr>
      </w:pPr>
    </w:p>
    <w:p w:rsidR="005759C5" w:rsidRDefault="004F6343" w:rsidP="00AE1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4F6343">
        <w:rPr>
          <w:rFonts w:ascii="Times New Roman" w:hAnsi="Times New Roman"/>
        </w:rPr>
        <w:t xml:space="preserve">All banking organizations that are subject to the </w:t>
      </w:r>
      <w:r>
        <w:rPr>
          <w:rFonts w:ascii="Times New Roman" w:hAnsi="Times New Roman"/>
        </w:rPr>
        <w:t>FDIC</w:t>
      </w:r>
      <w:r w:rsidRPr="004F6343">
        <w:rPr>
          <w:rFonts w:ascii="Times New Roman" w:hAnsi="Times New Roman"/>
        </w:rPr>
        <w:t>’</w:t>
      </w:r>
      <w:r>
        <w:rPr>
          <w:rFonts w:ascii="Times New Roman" w:hAnsi="Times New Roman"/>
        </w:rPr>
        <w:t>s</w:t>
      </w:r>
      <w:r w:rsidRPr="004F6343">
        <w:rPr>
          <w:rFonts w:ascii="Times New Roman" w:hAnsi="Times New Roman"/>
        </w:rPr>
        <w:t xml:space="preserve"> advanced approaches risk-based capital rules</w:t>
      </w:r>
      <w:r w:rsidRPr="004F6343">
        <w:rPr>
          <w:rFonts w:ascii="Times New Roman" w:hAnsi="Times New Roman"/>
          <w:vertAlign w:val="superscript"/>
        </w:rPr>
        <w:footnoteReference w:id="1"/>
      </w:r>
      <w:r w:rsidRPr="004F6343">
        <w:rPr>
          <w:rFonts w:ascii="Times New Roman" w:hAnsi="Times New Roman"/>
        </w:rPr>
        <w:t xml:space="preserve"> are required to disclose their supplementary leverage ratios.</w:t>
      </w:r>
      <w:r w:rsidRPr="004F6343">
        <w:rPr>
          <w:rFonts w:ascii="Times New Roman" w:hAnsi="Times New Roman"/>
          <w:vertAlign w:val="superscript"/>
        </w:rPr>
        <w:footnoteReference w:id="2"/>
      </w:r>
      <w:r w:rsidRPr="004F6343">
        <w:rPr>
          <w:rFonts w:ascii="Times New Roman" w:hAnsi="Times New Roman"/>
        </w:rPr>
        <w:t xml:space="preserve">  Advanced approaches banking organizations must report their supplementary leverage ratios on the applicable regulatory reports.  The calculation and disclosure requirements for the supplementary leverage ratio in the federal banking agencies’ regulatory capital rules are generally consistent with international standards published by the Basel Committee on Banking Supervision.  These disclosures enhance the transparency and consistency of reporting requirements for the supplementary leverage ratio by all internationally active organizations.</w:t>
      </w:r>
    </w:p>
    <w:p w:rsidR="00471381" w:rsidRPr="00471381" w:rsidRDefault="00471381" w:rsidP="00AE1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471381">
        <w:rPr>
          <w:rFonts w:ascii="Times New Roman" w:hAnsi="Times New Roman"/>
        </w:rPr>
        <w:t xml:space="preserve">            </w:t>
      </w:r>
    </w:p>
    <w:p w:rsidR="00EA17EC" w:rsidRPr="00471381" w:rsidRDefault="00471381" w:rsidP="002C0D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471381">
        <w:rPr>
          <w:rFonts w:ascii="Times New Roman" w:hAnsi="Times New Roman"/>
        </w:rPr>
        <w:t xml:space="preserve">          </w:t>
      </w:r>
      <w:r w:rsidR="00EA17EC" w:rsidRPr="00471381">
        <w:rPr>
          <w:rFonts w:ascii="Times New Roman" w:hAnsi="Times New Roman"/>
        </w:rPr>
        <w:t>3.</w:t>
      </w:r>
      <w:r w:rsidR="00EA17EC" w:rsidRPr="00471381">
        <w:rPr>
          <w:rFonts w:ascii="Times New Roman" w:hAnsi="Times New Roman"/>
        </w:rPr>
        <w:tab/>
      </w:r>
      <w:r w:rsidR="00EA17EC" w:rsidRPr="00471381">
        <w:rPr>
          <w:rFonts w:ascii="Times New Roman" w:hAnsi="Times New Roman"/>
          <w:u w:val="single"/>
        </w:rPr>
        <w:t>Consideration of the use of improved information technology:</w:t>
      </w:r>
    </w:p>
    <w:p w:rsidR="00EA17EC" w:rsidRPr="00471381" w:rsidRDefault="00EA17EC" w:rsidP="00AE1B64">
      <w:pPr>
        <w:rPr>
          <w:rFonts w:ascii="Times New Roman" w:hAnsi="Times New Roman"/>
        </w:rPr>
      </w:pPr>
    </w:p>
    <w:p w:rsidR="008349A5" w:rsidRPr="00471381" w:rsidRDefault="00D061A7" w:rsidP="00AB5E7B">
      <w:pPr>
        <w:rPr>
          <w:rFonts w:ascii="Times New Roman" w:hAnsi="Times New Roman"/>
        </w:rPr>
      </w:pPr>
      <w:r w:rsidRPr="00471381">
        <w:rPr>
          <w:rFonts w:ascii="Times New Roman" w:hAnsi="Times New Roman"/>
        </w:rPr>
        <w:t>Respondents may use any type of improved information technology they have available to meet the requirements of this regulation.</w:t>
      </w:r>
    </w:p>
    <w:p w:rsidR="007A12D6" w:rsidRPr="00471381" w:rsidRDefault="007A12D6" w:rsidP="00AE1B64">
      <w:pPr>
        <w:ind w:left="720"/>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4.</w:t>
      </w:r>
      <w:r w:rsidRPr="00471381">
        <w:rPr>
          <w:rFonts w:ascii="Times New Roman" w:hAnsi="Times New Roman"/>
        </w:rPr>
        <w:tab/>
      </w:r>
      <w:r w:rsidRPr="00471381">
        <w:rPr>
          <w:rFonts w:ascii="Times New Roman" w:hAnsi="Times New Roman"/>
          <w:u w:val="single"/>
        </w:rPr>
        <w:t>Efforts to identify duplication:</w:t>
      </w:r>
    </w:p>
    <w:p w:rsidR="00EA17EC" w:rsidRPr="00471381" w:rsidRDefault="00EA17EC" w:rsidP="00AE1B64">
      <w:pPr>
        <w:rPr>
          <w:rFonts w:ascii="Times New Roman" w:hAnsi="Times New Roman"/>
        </w:rPr>
      </w:pPr>
    </w:p>
    <w:p w:rsidR="00EA17EC" w:rsidRPr="00471381" w:rsidRDefault="004F6343" w:rsidP="00AE1B64">
      <w:pPr>
        <w:rPr>
          <w:rFonts w:ascii="Times New Roman" w:hAnsi="Times New Roman"/>
        </w:rPr>
      </w:pPr>
      <w:r w:rsidRPr="004F6343">
        <w:rPr>
          <w:rFonts w:ascii="Times New Roman" w:hAnsi="Times New Roman"/>
        </w:rPr>
        <w:t xml:space="preserve">The required information is unique and is not duplicative of any other information already </w:t>
      </w:r>
      <w:r w:rsidRPr="004F6343">
        <w:rPr>
          <w:rFonts w:ascii="Times New Roman" w:hAnsi="Times New Roman"/>
        </w:rPr>
        <w:lastRenderedPageBreak/>
        <w:t>collected.</w:t>
      </w:r>
    </w:p>
    <w:p w:rsidR="00D061A7" w:rsidRPr="00471381" w:rsidRDefault="00D061A7" w:rsidP="00AE1B64">
      <w:pPr>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5.</w:t>
      </w:r>
      <w:r w:rsidRPr="00471381">
        <w:rPr>
          <w:rFonts w:ascii="Times New Roman" w:hAnsi="Times New Roman"/>
        </w:rPr>
        <w:tab/>
      </w:r>
      <w:r w:rsidRPr="00471381">
        <w:rPr>
          <w:rFonts w:ascii="Times New Roman" w:hAnsi="Times New Roman"/>
          <w:u w:val="single"/>
        </w:rPr>
        <w:t>Methods used to minimize burden if the collection has a significant impact on substantial number of small entities:</w:t>
      </w:r>
    </w:p>
    <w:p w:rsidR="00EA17EC" w:rsidRPr="00471381" w:rsidRDefault="00EA17EC" w:rsidP="00AE1B64">
      <w:pPr>
        <w:rPr>
          <w:rFonts w:ascii="Times New Roman" w:hAnsi="Times New Roman"/>
        </w:rPr>
      </w:pPr>
    </w:p>
    <w:p w:rsidR="00EA17EC" w:rsidRPr="00471381" w:rsidRDefault="00AB5E7B" w:rsidP="00AB5E7B">
      <w:pPr>
        <w:rPr>
          <w:rFonts w:ascii="Times New Roman" w:hAnsi="Times New Roman"/>
        </w:rPr>
      </w:pPr>
      <w:r w:rsidRPr="00AB5E7B">
        <w:rPr>
          <w:rFonts w:ascii="Times New Roman" w:hAnsi="Times New Roman"/>
        </w:rPr>
        <w:t xml:space="preserve">The rule only applies to institutions with </w:t>
      </w:r>
      <w:r w:rsidR="002C1339">
        <w:rPr>
          <w:rFonts w:ascii="Times New Roman" w:hAnsi="Times New Roman"/>
        </w:rPr>
        <w:t>$</w:t>
      </w:r>
      <w:r w:rsidRPr="00AB5E7B">
        <w:rPr>
          <w:rFonts w:ascii="Times New Roman" w:hAnsi="Times New Roman"/>
        </w:rPr>
        <w:t>250 billion in assets or $10 billion in foreign exposure (or a subsidiary thereof).  That is, the rule does not apply to any small businesses or other small entities.</w:t>
      </w:r>
      <w:r w:rsidR="0071607F">
        <w:rPr>
          <w:rFonts w:ascii="Times New Roman" w:hAnsi="Times New Roman"/>
        </w:rPr>
        <w:t xml:space="preserve"> </w:t>
      </w:r>
    </w:p>
    <w:p w:rsidR="00D061A7" w:rsidRPr="00471381" w:rsidRDefault="00D061A7" w:rsidP="00AE1B64">
      <w:pPr>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6.</w:t>
      </w:r>
      <w:r w:rsidRPr="00471381">
        <w:rPr>
          <w:rFonts w:ascii="Times New Roman" w:hAnsi="Times New Roman"/>
        </w:rPr>
        <w:tab/>
      </w:r>
      <w:r w:rsidRPr="00471381">
        <w:rPr>
          <w:rFonts w:ascii="Times New Roman" w:hAnsi="Times New Roman"/>
          <w:u w:val="single"/>
        </w:rPr>
        <w:t>Consequences to the Federal program if the collection were conducted less frequently:</w:t>
      </w:r>
    </w:p>
    <w:p w:rsidR="00EA17EC" w:rsidRPr="00471381" w:rsidRDefault="00EA17EC" w:rsidP="00AE1B64">
      <w:pPr>
        <w:rPr>
          <w:rFonts w:ascii="Times New Roman" w:hAnsi="Times New Roman"/>
        </w:rPr>
      </w:pPr>
    </w:p>
    <w:p w:rsidR="00D061A7" w:rsidRDefault="00D061A7" w:rsidP="00AE1B64">
      <w:pPr>
        <w:rPr>
          <w:rFonts w:ascii="Times New Roman" w:hAnsi="Times New Roman"/>
        </w:rPr>
      </w:pPr>
      <w:r w:rsidRPr="00471381">
        <w:rPr>
          <w:rFonts w:ascii="Times New Roman" w:hAnsi="Times New Roman"/>
        </w:rPr>
        <w:t>Less frequent collection would result in safety and soundness concerns.</w:t>
      </w:r>
    </w:p>
    <w:p w:rsidR="006164FC" w:rsidRPr="00471381" w:rsidRDefault="006164FC" w:rsidP="00AE1B64">
      <w:pPr>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7.</w:t>
      </w:r>
      <w:r w:rsidRPr="00471381">
        <w:rPr>
          <w:rFonts w:ascii="Times New Roman" w:hAnsi="Times New Roman"/>
        </w:rPr>
        <w:tab/>
      </w:r>
      <w:r w:rsidR="00AB5E7B" w:rsidRPr="00AB5E7B">
        <w:rPr>
          <w:rFonts w:ascii="Times New Roman" w:hAnsi="Times New Roman"/>
          <w:snapToGrid w:val="0"/>
          <w:szCs w:val="20"/>
          <w:u w:val="single"/>
        </w:rPr>
        <w:t>Special circumstances necessitating collection inconsistent with 5 CFR 1320.5(d)(2):</w:t>
      </w:r>
    </w:p>
    <w:p w:rsidR="00EA17EC" w:rsidRPr="00471381" w:rsidRDefault="00EA17EC" w:rsidP="00AE1B64">
      <w:pPr>
        <w:rPr>
          <w:rFonts w:ascii="Times New Roman" w:hAnsi="Times New Roman"/>
        </w:rPr>
      </w:pPr>
    </w:p>
    <w:p w:rsidR="00EA17EC" w:rsidRPr="00471381" w:rsidRDefault="00AB5E7B" w:rsidP="00AB5E7B">
      <w:pPr>
        <w:rPr>
          <w:rFonts w:ascii="Times New Roman" w:hAnsi="Times New Roman"/>
        </w:rPr>
      </w:pPr>
      <w:r w:rsidRPr="00AB5E7B">
        <w:rPr>
          <w:rFonts w:ascii="Times New Roman" w:hAnsi="Times New Roman"/>
          <w:snapToGrid w:val="0"/>
          <w:szCs w:val="20"/>
        </w:rPr>
        <w:t>There are no special circumstances. This information collection is conducted in accordance with the guidelines in 5 CFR 1320.5(d)(2).</w:t>
      </w:r>
    </w:p>
    <w:p w:rsidR="00EA17EC" w:rsidRPr="00471381" w:rsidRDefault="00EA17EC" w:rsidP="00AE1B64">
      <w:pPr>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8.</w:t>
      </w:r>
      <w:r w:rsidRPr="00471381">
        <w:rPr>
          <w:rFonts w:ascii="Times New Roman" w:hAnsi="Times New Roman"/>
        </w:rPr>
        <w:tab/>
      </w:r>
      <w:r w:rsidRPr="00471381">
        <w:rPr>
          <w:rFonts w:ascii="Times New Roman" w:hAnsi="Times New Roman"/>
          <w:u w:val="single"/>
        </w:rPr>
        <w:t>Efforts to consult with persons outside the agency:</w:t>
      </w:r>
    </w:p>
    <w:p w:rsidR="00EA17EC" w:rsidRPr="00471381" w:rsidRDefault="00EA17EC" w:rsidP="00AE1B64">
      <w:pPr>
        <w:widowControl/>
        <w:rPr>
          <w:rFonts w:ascii="Times New Roman" w:hAnsi="Times New Roman"/>
        </w:rPr>
      </w:pPr>
    </w:p>
    <w:p w:rsidR="00AB5E7B" w:rsidRDefault="00AB5E7B" w:rsidP="00AB5E7B">
      <w:pPr>
        <w:pStyle w:val="ListParagraph"/>
        <w:ind w:left="0"/>
        <w:rPr>
          <w:color w:val="000000"/>
        </w:rPr>
      </w:pPr>
      <w:r w:rsidRPr="00AB5E7B">
        <w:rPr>
          <w:rFonts w:eastAsia="Times New Roman" w:cs="Times New Roman"/>
          <w:snapToGrid w:val="0"/>
          <w:szCs w:val="24"/>
        </w:rPr>
        <w:t>A 60-day notice seeking public comment on the agencies renewal of the information collection was published on May 25, 2018 (83 FR 24306).  No comments were received.</w:t>
      </w:r>
    </w:p>
    <w:p w:rsidR="00D061A7" w:rsidRPr="00471381" w:rsidRDefault="00D061A7" w:rsidP="00AE1B64">
      <w:pPr>
        <w:rPr>
          <w:rFonts w:ascii="Times New Roman" w:hAnsi="Times New Roman"/>
        </w:rPr>
      </w:pPr>
    </w:p>
    <w:p w:rsidR="00EA17EC" w:rsidRPr="00471381" w:rsidRDefault="00EA17EC" w:rsidP="00AE1B64">
      <w:pPr>
        <w:rPr>
          <w:rFonts w:ascii="Times New Roman" w:hAnsi="Times New Roman"/>
          <w:u w:val="single"/>
        </w:rPr>
      </w:pPr>
      <w:r w:rsidRPr="00471381">
        <w:rPr>
          <w:rFonts w:ascii="Times New Roman" w:hAnsi="Times New Roman"/>
        </w:rPr>
        <w:t>9.</w:t>
      </w:r>
      <w:r w:rsidRPr="00471381">
        <w:rPr>
          <w:rFonts w:ascii="Times New Roman" w:hAnsi="Times New Roman"/>
        </w:rPr>
        <w:tab/>
      </w:r>
      <w:r w:rsidR="00AB5E7B" w:rsidRPr="00AB5E7B">
        <w:rPr>
          <w:rFonts w:ascii="Times New Roman" w:hAnsi="Times New Roman"/>
          <w:u w:val="single"/>
        </w:rPr>
        <w:t>Payment or Gift to Respondents</w:t>
      </w:r>
      <w:r w:rsidR="003265B3">
        <w:rPr>
          <w:rFonts w:ascii="Times New Roman" w:hAnsi="Times New Roman"/>
          <w:u w:val="single"/>
        </w:rPr>
        <w:t>:</w:t>
      </w:r>
    </w:p>
    <w:p w:rsidR="00EA17EC" w:rsidRPr="00471381" w:rsidRDefault="00EA17EC" w:rsidP="00AE1B64">
      <w:pPr>
        <w:rPr>
          <w:rFonts w:ascii="Times New Roman" w:hAnsi="Times New Roman"/>
          <w:u w:val="single"/>
        </w:rPr>
      </w:pPr>
    </w:p>
    <w:p w:rsidR="00EA17EC" w:rsidRPr="00471381" w:rsidRDefault="00AB5E7B" w:rsidP="00AB5E7B">
      <w:pPr>
        <w:rPr>
          <w:rFonts w:ascii="Times New Roman" w:hAnsi="Times New Roman"/>
        </w:rPr>
      </w:pPr>
      <w:r w:rsidRPr="00AB5E7B">
        <w:rPr>
          <w:rFonts w:ascii="Times New Roman" w:hAnsi="Times New Roman"/>
        </w:rPr>
        <w:t>No payments or gifts will be provided to respondents.</w:t>
      </w:r>
    </w:p>
    <w:p w:rsidR="003B45B3" w:rsidRPr="00471381" w:rsidRDefault="003B45B3" w:rsidP="00AE1B64">
      <w:pPr>
        <w:tabs>
          <w:tab w:val="left" w:pos="-1440"/>
        </w:tabs>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10.</w:t>
      </w:r>
      <w:r w:rsidRPr="00471381">
        <w:rPr>
          <w:rFonts w:ascii="Times New Roman" w:hAnsi="Times New Roman"/>
        </w:rPr>
        <w:tab/>
      </w:r>
      <w:r w:rsidRPr="00471381">
        <w:rPr>
          <w:rFonts w:ascii="Times New Roman" w:hAnsi="Times New Roman"/>
          <w:u w:val="single"/>
        </w:rPr>
        <w:t>Any assurance of confidentiality:</w:t>
      </w:r>
    </w:p>
    <w:p w:rsidR="00EA17EC" w:rsidRPr="00471381" w:rsidRDefault="00EA17EC" w:rsidP="00AE1B64">
      <w:pPr>
        <w:rPr>
          <w:rFonts w:ascii="Times New Roman" w:hAnsi="Times New Roman"/>
        </w:rPr>
      </w:pPr>
    </w:p>
    <w:p w:rsidR="00EA17EC" w:rsidRPr="00471381" w:rsidRDefault="00A34386" w:rsidP="00A34386">
      <w:pPr>
        <w:rPr>
          <w:rFonts w:ascii="Times New Roman" w:hAnsi="Times New Roman"/>
        </w:rPr>
      </w:pPr>
      <w:r w:rsidRPr="00A34386">
        <w:rPr>
          <w:rFonts w:ascii="Times New Roman" w:hAnsi="Times New Roman"/>
        </w:rPr>
        <w:t>No assurances of confidentiality have been made in the Rule. The information will be kept private to the extent permitted by law.</w:t>
      </w:r>
      <w:r w:rsidR="00EA17EC" w:rsidRPr="00471381">
        <w:rPr>
          <w:rFonts w:ascii="Times New Roman" w:hAnsi="Times New Roman"/>
        </w:rPr>
        <w:tab/>
      </w:r>
    </w:p>
    <w:p w:rsidR="00EA17EC" w:rsidRPr="00471381" w:rsidRDefault="00EA17EC" w:rsidP="00AE1B64">
      <w:pPr>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11.</w:t>
      </w:r>
      <w:r w:rsidRPr="00471381">
        <w:rPr>
          <w:rFonts w:ascii="Times New Roman" w:hAnsi="Times New Roman"/>
        </w:rPr>
        <w:tab/>
      </w:r>
      <w:r w:rsidRPr="00471381">
        <w:rPr>
          <w:rFonts w:ascii="Times New Roman" w:hAnsi="Times New Roman"/>
          <w:u w:val="single"/>
        </w:rPr>
        <w:t>Justification for questions of a sensitive nature:</w:t>
      </w:r>
    </w:p>
    <w:p w:rsidR="00EA17EC" w:rsidRPr="00471381" w:rsidRDefault="00EA17EC" w:rsidP="00AE1B64">
      <w:pPr>
        <w:rPr>
          <w:rFonts w:ascii="Times New Roman" w:hAnsi="Times New Roman"/>
        </w:rPr>
      </w:pPr>
    </w:p>
    <w:p w:rsidR="00FA5900" w:rsidRPr="00471381" w:rsidRDefault="00A34386" w:rsidP="00A34386">
      <w:pPr>
        <w:rPr>
          <w:rFonts w:ascii="Times New Roman" w:hAnsi="Times New Roman"/>
        </w:rPr>
      </w:pPr>
      <w:r w:rsidRPr="00A34386">
        <w:rPr>
          <w:rFonts w:ascii="Times New Roman" w:hAnsi="Times New Roman"/>
        </w:rPr>
        <w:t>None of the information required to be disclosed or maintained is of a sensitive nature.</w:t>
      </w:r>
    </w:p>
    <w:p w:rsidR="00EC188C" w:rsidRDefault="00EC188C">
      <w:pPr>
        <w:widowControl/>
        <w:autoSpaceDE/>
        <w:autoSpaceDN/>
        <w:adjustRightInd/>
        <w:rPr>
          <w:rFonts w:ascii="Times New Roman" w:hAnsi="Times New Roman"/>
        </w:rPr>
      </w:pPr>
    </w:p>
    <w:p w:rsidR="005C3213" w:rsidRDefault="00EA17EC" w:rsidP="00AE1B64">
      <w:pPr>
        <w:tabs>
          <w:tab w:val="left" w:pos="-1440"/>
        </w:tabs>
        <w:rPr>
          <w:rFonts w:ascii="Times New Roman" w:hAnsi="Times New Roman"/>
          <w:u w:val="single"/>
        </w:rPr>
      </w:pPr>
      <w:r w:rsidRPr="00471381">
        <w:rPr>
          <w:rFonts w:ascii="Times New Roman" w:hAnsi="Times New Roman"/>
        </w:rPr>
        <w:t>12.</w:t>
      </w:r>
      <w:r w:rsidRPr="00471381">
        <w:rPr>
          <w:rFonts w:ascii="Times New Roman" w:hAnsi="Times New Roman"/>
        </w:rPr>
        <w:tab/>
      </w:r>
      <w:r w:rsidR="00A04829" w:rsidRPr="00471381">
        <w:rPr>
          <w:rFonts w:ascii="Times New Roman" w:hAnsi="Times New Roman"/>
          <w:u w:val="single"/>
        </w:rPr>
        <w:t xml:space="preserve">Estimate of </w:t>
      </w:r>
      <w:r w:rsidR="00A04829" w:rsidRPr="004F7A59">
        <w:rPr>
          <w:rFonts w:ascii="Times New Roman" w:hAnsi="Times New Roman"/>
          <w:u w:val="single"/>
        </w:rPr>
        <w:t>Hour</w:t>
      </w:r>
      <w:r w:rsidR="005C3213">
        <w:rPr>
          <w:rFonts w:ascii="Times New Roman" w:hAnsi="Times New Roman"/>
          <w:u w:val="single"/>
        </w:rPr>
        <w:t>ly</w:t>
      </w:r>
      <w:r w:rsidR="00A04829" w:rsidRPr="004F7A59">
        <w:rPr>
          <w:rFonts w:ascii="Times New Roman" w:hAnsi="Times New Roman"/>
          <w:u w:val="single"/>
        </w:rPr>
        <w:t xml:space="preserve"> </w:t>
      </w:r>
      <w:r w:rsidRPr="004F7A59">
        <w:rPr>
          <w:rFonts w:ascii="Times New Roman" w:hAnsi="Times New Roman"/>
          <w:u w:val="single"/>
        </w:rPr>
        <w:t>B</w:t>
      </w:r>
      <w:r w:rsidRPr="00471381">
        <w:rPr>
          <w:rFonts w:ascii="Times New Roman" w:hAnsi="Times New Roman"/>
          <w:u w:val="single"/>
        </w:rPr>
        <w:t>urden</w:t>
      </w:r>
      <w:r w:rsidR="002C0D0D">
        <w:rPr>
          <w:rFonts w:ascii="Times New Roman" w:hAnsi="Times New Roman"/>
          <w:u w:val="single"/>
        </w:rPr>
        <w:t xml:space="preserve"> and Cost</w:t>
      </w:r>
    </w:p>
    <w:p w:rsidR="00A34386" w:rsidRDefault="00A34386" w:rsidP="009D23AE">
      <w:pPr>
        <w:tabs>
          <w:tab w:val="left" w:pos="-1440"/>
        </w:tabs>
        <w:jc w:val="center"/>
        <w:rPr>
          <w:rFonts w:ascii="Times New Roman" w:hAnsi="Times New Roman"/>
          <w:b/>
        </w:rPr>
      </w:pPr>
    </w:p>
    <w:p w:rsidR="009D23AE" w:rsidRDefault="009D23AE" w:rsidP="009D23AE">
      <w:pPr>
        <w:tabs>
          <w:tab w:val="left" w:pos="-1440"/>
        </w:tabs>
        <w:jc w:val="center"/>
        <w:rPr>
          <w:rFonts w:ascii="Times New Roman" w:hAnsi="Times New Roman"/>
          <w:u w:val="single"/>
        </w:rPr>
      </w:pPr>
      <w:r w:rsidRPr="009D23AE">
        <w:rPr>
          <w:rFonts w:ascii="Times New Roman" w:hAnsi="Times New Roman"/>
          <w:b/>
        </w:rPr>
        <w:t>Summary of Annual Burden</w:t>
      </w:r>
    </w:p>
    <w:p w:rsidR="009D23AE" w:rsidRDefault="009D23AE" w:rsidP="00AE1B64">
      <w:pPr>
        <w:tabs>
          <w:tab w:val="left" w:pos="-1440"/>
        </w:tabs>
        <w:rPr>
          <w:rFonts w:ascii="Times New Roman" w:hAnsi="Times New Roman"/>
          <w:u w:val="single"/>
        </w:rPr>
      </w:pPr>
    </w:p>
    <w:tbl>
      <w:tblPr>
        <w:tblW w:w="7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901"/>
        <w:gridCol w:w="1034"/>
        <w:gridCol w:w="968"/>
        <w:gridCol w:w="899"/>
        <w:gridCol w:w="968"/>
      </w:tblGrid>
      <w:tr w:rsidR="009D23AE" w:rsidRPr="009D23AE" w:rsidTr="006D35B9">
        <w:trPr>
          <w:trHeight w:val="612"/>
          <w:jc w:val="center"/>
        </w:trPr>
        <w:tc>
          <w:tcPr>
            <w:tcW w:w="2383" w:type="dxa"/>
            <w:shd w:val="clear" w:color="auto" w:fill="auto"/>
            <w:noWrap/>
            <w:vAlign w:val="bottom"/>
            <w:hideMark/>
          </w:tcPr>
          <w:p w:rsidR="009D23AE" w:rsidRPr="009D23AE" w:rsidRDefault="009D23AE" w:rsidP="009D23AE">
            <w:pPr>
              <w:widowControl/>
              <w:autoSpaceDE/>
              <w:autoSpaceDN/>
              <w:adjustRightInd/>
              <w:rPr>
                <w:rFonts w:ascii="Times New Roman" w:hAnsi="Times New Roman"/>
                <w:color w:val="000000"/>
                <w:sz w:val="16"/>
                <w:szCs w:val="16"/>
              </w:rPr>
            </w:pPr>
            <w:r w:rsidRPr="009D23AE">
              <w:rPr>
                <w:rFonts w:ascii="Times New Roman" w:hAnsi="Times New Roman"/>
                <w:color w:val="000000"/>
                <w:sz w:val="16"/>
                <w:szCs w:val="16"/>
              </w:rPr>
              <w:t> </w:t>
            </w:r>
          </w:p>
        </w:tc>
        <w:tc>
          <w:tcPr>
            <w:tcW w:w="856" w:type="dxa"/>
            <w:shd w:val="clear" w:color="auto" w:fill="auto"/>
            <w:vAlign w:val="center"/>
            <w:hideMark/>
          </w:tcPr>
          <w:p w:rsidR="009D23AE" w:rsidRPr="009D23AE" w:rsidRDefault="009D23AE" w:rsidP="009D23AE">
            <w:pPr>
              <w:widowControl/>
              <w:autoSpaceDE/>
              <w:autoSpaceDN/>
              <w:adjustRightInd/>
              <w:jc w:val="center"/>
              <w:rPr>
                <w:rFonts w:ascii="Times New Roman" w:hAnsi="Times New Roman"/>
                <w:color w:val="000000"/>
                <w:sz w:val="16"/>
                <w:szCs w:val="16"/>
              </w:rPr>
            </w:pPr>
            <w:r w:rsidRPr="009D23AE">
              <w:rPr>
                <w:rFonts w:ascii="Times New Roman" w:hAnsi="Times New Roman"/>
                <w:color w:val="000000"/>
                <w:sz w:val="16"/>
                <w:szCs w:val="16"/>
              </w:rPr>
              <w:t>Type of Burden</w:t>
            </w:r>
          </w:p>
        </w:tc>
        <w:tc>
          <w:tcPr>
            <w:tcW w:w="1034" w:type="dxa"/>
            <w:shd w:val="clear" w:color="auto" w:fill="auto"/>
            <w:vAlign w:val="center"/>
            <w:hideMark/>
          </w:tcPr>
          <w:p w:rsidR="009D23AE" w:rsidRPr="009D23AE" w:rsidRDefault="009D23AE" w:rsidP="009D23AE">
            <w:pPr>
              <w:widowControl/>
              <w:autoSpaceDE/>
              <w:autoSpaceDN/>
              <w:adjustRightInd/>
              <w:jc w:val="center"/>
              <w:rPr>
                <w:rFonts w:ascii="Times New Roman" w:hAnsi="Times New Roman"/>
                <w:color w:val="000000"/>
                <w:sz w:val="16"/>
                <w:szCs w:val="16"/>
              </w:rPr>
            </w:pPr>
            <w:r w:rsidRPr="009D23AE">
              <w:rPr>
                <w:rFonts w:ascii="Times New Roman" w:hAnsi="Times New Roman"/>
                <w:color w:val="000000"/>
                <w:sz w:val="16"/>
                <w:szCs w:val="16"/>
              </w:rPr>
              <w:t>Estimated Number of Respondents</w:t>
            </w:r>
          </w:p>
        </w:tc>
        <w:tc>
          <w:tcPr>
            <w:tcW w:w="990" w:type="dxa"/>
            <w:shd w:val="clear" w:color="auto" w:fill="auto"/>
            <w:vAlign w:val="center"/>
            <w:hideMark/>
          </w:tcPr>
          <w:p w:rsidR="009D23AE" w:rsidRPr="009D23AE" w:rsidRDefault="009D23AE" w:rsidP="009D23AE">
            <w:pPr>
              <w:widowControl/>
              <w:autoSpaceDE/>
              <w:autoSpaceDN/>
              <w:adjustRightInd/>
              <w:jc w:val="center"/>
              <w:rPr>
                <w:rFonts w:ascii="Times New Roman" w:hAnsi="Times New Roman"/>
                <w:color w:val="000000"/>
                <w:sz w:val="16"/>
                <w:szCs w:val="16"/>
              </w:rPr>
            </w:pPr>
            <w:r w:rsidRPr="009D23AE">
              <w:rPr>
                <w:rFonts w:ascii="Times New Roman" w:hAnsi="Times New Roman"/>
                <w:color w:val="000000"/>
                <w:sz w:val="16"/>
                <w:szCs w:val="16"/>
              </w:rPr>
              <w:t>Estimated Time per Response</w:t>
            </w:r>
          </w:p>
        </w:tc>
        <w:tc>
          <w:tcPr>
            <w:tcW w:w="900" w:type="dxa"/>
            <w:shd w:val="clear" w:color="auto" w:fill="auto"/>
            <w:vAlign w:val="center"/>
            <w:hideMark/>
          </w:tcPr>
          <w:p w:rsidR="009D23AE" w:rsidRPr="009D23AE" w:rsidRDefault="009D23AE" w:rsidP="009D23AE">
            <w:pPr>
              <w:widowControl/>
              <w:autoSpaceDE/>
              <w:autoSpaceDN/>
              <w:adjustRightInd/>
              <w:jc w:val="center"/>
              <w:rPr>
                <w:rFonts w:ascii="Times New Roman" w:hAnsi="Times New Roman"/>
                <w:color w:val="000000"/>
                <w:sz w:val="16"/>
                <w:szCs w:val="16"/>
              </w:rPr>
            </w:pPr>
            <w:r w:rsidRPr="009D23AE">
              <w:rPr>
                <w:rFonts w:ascii="Times New Roman" w:hAnsi="Times New Roman"/>
                <w:color w:val="000000"/>
                <w:sz w:val="16"/>
                <w:szCs w:val="16"/>
              </w:rPr>
              <w:t>Frequency of Response</w:t>
            </w:r>
          </w:p>
        </w:tc>
        <w:tc>
          <w:tcPr>
            <w:tcW w:w="990" w:type="dxa"/>
            <w:shd w:val="clear" w:color="auto" w:fill="auto"/>
            <w:vAlign w:val="center"/>
            <w:hideMark/>
          </w:tcPr>
          <w:p w:rsidR="009D23AE" w:rsidRPr="009D23AE" w:rsidRDefault="009D23AE" w:rsidP="009D23AE">
            <w:pPr>
              <w:widowControl/>
              <w:autoSpaceDE/>
              <w:autoSpaceDN/>
              <w:adjustRightInd/>
              <w:jc w:val="center"/>
              <w:rPr>
                <w:rFonts w:ascii="Times New Roman" w:hAnsi="Times New Roman"/>
                <w:color w:val="000000"/>
                <w:sz w:val="16"/>
                <w:szCs w:val="16"/>
              </w:rPr>
            </w:pPr>
            <w:r w:rsidRPr="009D23AE">
              <w:rPr>
                <w:rFonts w:ascii="Times New Roman" w:hAnsi="Times New Roman"/>
                <w:color w:val="000000"/>
                <w:sz w:val="16"/>
                <w:szCs w:val="16"/>
              </w:rPr>
              <w:t>Total Annual Estimated Burden Hours</w:t>
            </w:r>
          </w:p>
        </w:tc>
      </w:tr>
      <w:tr w:rsidR="009D23AE" w:rsidRPr="009D23AE" w:rsidTr="006D35B9">
        <w:trPr>
          <w:trHeight w:val="612"/>
          <w:jc w:val="center"/>
        </w:trPr>
        <w:tc>
          <w:tcPr>
            <w:tcW w:w="2383" w:type="dxa"/>
            <w:shd w:val="clear" w:color="auto" w:fill="auto"/>
            <w:vAlign w:val="center"/>
          </w:tcPr>
          <w:p w:rsidR="009D23AE" w:rsidRPr="009D23AE" w:rsidRDefault="009D23AE" w:rsidP="009D23AE">
            <w:pPr>
              <w:widowControl/>
              <w:autoSpaceDE/>
              <w:autoSpaceDN/>
              <w:adjustRightInd/>
              <w:rPr>
                <w:rFonts w:ascii="Times New Roman" w:hAnsi="Times New Roman"/>
                <w:b/>
                <w:bCs/>
                <w:color w:val="000000"/>
                <w:sz w:val="16"/>
                <w:szCs w:val="16"/>
              </w:rPr>
            </w:pPr>
            <w:r w:rsidRPr="009D23AE">
              <w:rPr>
                <w:rFonts w:ascii="Times New Roman" w:hAnsi="Times New Roman"/>
                <w:b/>
                <w:bCs/>
                <w:color w:val="000000"/>
                <w:sz w:val="16"/>
                <w:szCs w:val="16"/>
              </w:rPr>
              <w:t>12 CFR 324.172 and 173</w:t>
            </w:r>
          </w:p>
        </w:tc>
        <w:tc>
          <w:tcPr>
            <w:tcW w:w="856" w:type="dxa"/>
            <w:shd w:val="clear" w:color="auto" w:fill="auto"/>
            <w:vAlign w:val="center"/>
          </w:tcPr>
          <w:p w:rsidR="009D23AE" w:rsidRPr="009D23AE" w:rsidRDefault="009D23AE" w:rsidP="009D23AE">
            <w:pPr>
              <w:widowControl/>
              <w:autoSpaceDE/>
              <w:autoSpaceDN/>
              <w:adjustRightInd/>
              <w:jc w:val="center"/>
              <w:rPr>
                <w:rFonts w:ascii="Times New Roman" w:hAnsi="Times New Roman"/>
                <w:color w:val="000000"/>
                <w:sz w:val="16"/>
                <w:szCs w:val="16"/>
              </w:rPr>
            </w:pPr>
            <w:r w:rsidRPr="009D23AE">
              <w:rPr>
                <w:rFonts w:ascii="Times New Roman" w:hAnsi="Times New Roman"/>
                <w:color w:val="000000"/>
                <w:sz w:val="16"/>
                <w:szCs w:val="16"/>
              </w:rPr>
              <w:t>Disclosure</w:t>
            </w:r>
          </w:p>
        </w:tc>
        <w:tc>
          <w:tcPr>
            <w:tcW w:w="1034" w:type="dxa"/>
            <w:shd w:val="clear" w:color="auto" w:fill="auto"/>
            <w:vAlign w:val="center"/>
          </w:tcPr>
          <w:p w:rsidR="009D23AE" w:rsidRPr="009D23AE" w:rsidRDefault="009D23AE" w:rsidP="009D23AE">
            <w:pPr>
              <w:widowControl/>
              <w:autoSpaceDE/>
              <w:autoSpaceDN/>
              <w:adjustRightInd/>
              <w:jc w:val="center"/>
              <w:rPr>
                <w:rFonts w:ascii="Times New Roman" w:hAnsi="Times New Roman"/>
                <w:color w:val="000000"/>
                <w:sz w:val="16"/>
                <w:szCs w:val="16"/>
              </w:rPr>
            </w:pPr>
            <w:r w:rsidRPr="009D23AE">
              <w:rPr>
                <w:rFonts w:ascii="Times New Roman" w:hAnsi="Times New Roman"/>
                <w:color w:val="000000"/>
                <w:sz w:val="16"/>
                <w:szCs w:val="16"/>
              </w:rPr>
              <w:t>2</w:t>
            </w:r>
          </w:p>
        </w:tc>
        <w:tc>
          <w:tcPr>
            <w:tcW w:w="990" w:type="dxa"/>
            <w:shd w:val="clear" w:color="auto" w:fill="auto"/>
            <w:vAlign w:val="center"/>
          </w:tcPr>
          <w:p w:rsidR="009D23AE" w:rsidRPr="009D23AE" w:rsidRDefault="009D23AE" w:rsidP="009D23AE">
            <w:pPr>
              <w:widowControl/>
              <w:autoSpaceDE/>
              <w:autoSpaceDN/>
              <w:adjustRightInd/>
              <w:jc w:val="center"/>
              <w:rPr>
                <w:rFonts w:ascii="Times New Roman" w:hAnsi="Times New Roman"/>
                <w:color w:val="000000"/>
                <w:sz w:val="16"/>
                <w:szCs w:val="16"/>
              </w:rPr>
            </w:pPr>
            <w:r w:rsidRPr="009D23AE">
              <w:rPr>
                <w:rFonts w:ascii="Times New Roman" w:hAnsi="Times New Roman"/>
                <w:color w:val="000000"/>
                <w:sz w:val="16"/>
                <w:szCs w:val="16"/>
              </w:rPr>
              <w:t>5 hours</w:t>
            </w:r>
          </w:p>
        </w:tc>
        <w:tc>
          <w:tcPr>
            <w:tcW w:w="900" w:type="dxa"/>
            <w:shd w:val="clear" w:color="auto" w:fill="auto"/>
            <w:vAlign w:val="center"/>
          </w:tcPr>
          <w:p w:rsidR="009D23AE" w:rsidRPr="009D23AE" w:rsidRDefault="009D23AE" w:rsidP="009D23AE">
            <w:pPr>
              <w:widowControl/>
              <w:autoSpaceDE/>
              <w:autoSpaceDN/>
              <w:adjustRightInd/>
              <w:jc w:val="center"/>
              <w:rPr>
                <w:rFonts w:ascii="Times New Roman" w:hAnsi="Times New Roman"/>
                <w:color w:val="000000"/>
                <w:sz w:val="16"/>
                <w:szCs w:val="16"/>
              </w:rPr>
            </w:pPr>
            <w:r w:rsidRPr="009D23AE">
              <w:rPr>
                <w:rFonts w:ascii="Times New Roman" w:hAnsi="Times New Roman"/>
                <w:color w:val="000000"/>
                <w:sz w:val="16"/>
                <w:szCs w:val="16"/>
              </w:rPr>
              <w:t>Quarterly</w:t>
            </w:r>
          </w:p>
        </w:tc>
        <w:tc>
          <w:tcPr>
            <w:tcW w:w="990" w:type="dxa"/>
            <w:shd w:val="clear" w:color="auto" w:fill="auto"/>
            <w:vAlign w:val="center"/>
          </w:tcPr>
          <w:p w:rsidR="009D23AE" w:rsidRPr="009D23AE" w:rsidRDefault="009D23AE" w:rsidP="009D23AE">
            <w:pPr>
              <w:widowControl/>
              <w:autoSpaceDE/>
              <w:autoSpaceDN/>
              <w:adjustRightInd/>
              <w:jc w:val="center"/>
              <w:rPr>
                <w:rFonts w:ascii="Times New Roman" w:hAnsi="Times New Roman"/>
                <w:color w:val="000000"/>
                <w:sz w:val="16"/>
                <w:szCs w:val="16"/>
              </w:rPr>
            </w:pPr>
            <w:r w:rsidRPr="009D23AE">
              <w:rPr>
                <w:rFonts w:ascii="Times New Roman" w:hAnsi="Times New Roman"/>
                <w:color w:val="000000"/>
                <w:sz w:val="16"/>
                <w:szCs w:val="16"/>
              </w:rPr>
              <w:t>40</w:t>
            </w:r>
          </w:p>
        </w:tc>
      </w:tr>
      <w:tr w:rsidR="009D23AE" w:rsidRPr="009D23AE" w:rsidTr="006D35B9">
        <w:trPr>
          <w:trHeight w:val="612"/>
          <w:jc w:val="center"/>
        </w:trPr>
        <w:tc>
          <w:tcPr>
            <w:tcW w:w="2383" w:type="dxa"/>
            <w:shd w:val="clear" w:color="auto" w:fill="auto"/>
            <w:vAlign w:val="center"/>
          </w:tcPr>
          <w:p w:rsidR="009D23AE" w:rsidRPr="009D23AE" w:rsidRDefault="009D23AE" w:rsidP="009D23AE">
            <w:pPr>
              <w:widowControl/>
              <w:autoSpaceDE/>
              <w:autoSpaceDN/>
              <w:adjustRightInd/>
              <w:rPr>
                <w:rFonts w:ascii="Times New Roman" w:hAnsi="Times New Roman"/>
                <w:b/>
                <w:bCs/>
                <w:color w:val="000000"/>
                <w:sz w:val="16"/>
                <w:szCs w:val="16"/>
              </w:rPr>
            </w:pPr>
            <w:r w:rsidRPr="009D23AE">
              <w:rPr>
                <w:rFonts w:ascii="Times New Roman" w:hAnsi="Times New Roman"/>
                <w:b/>
                <w:bCs/>
                <w:color w:val="000000"/>
                <w:sz w:val="18"/>
                <w:szCs w:val="16"/>
              </w:rPr>
              <w:t>Total Estimated Annual Burden</w:t>
            </w:r>
          </w:p>
        </w:tc>
        <w:tc>
          <w:tcPr>
            <w:tcW w:w="856" w:type="dxa"/>
            <w:shd w:val="clear" w:color="auto" w:fill="auto"/>
            <w:vAlign w:val="center"/>
          </w:tcPr>
          <w:p w:rsidR="009D23AE" w:rsidRPr="009D23AE" w:rsidRDefault="009D23AE" w:rsidP="009D23AE">
            <w:pPr>
              <w:widowControl/>
              <w:autoSpaceDE/>
              <w:autoSpaceDN/>
              <w:adjustRightInd/>
              <w:jc w:val="center"/>
              <w:rPr>
                <w:rFonts w:ascii="Times New Roman" w:hAnsi="Times New Roman"/>
                <w:color w:val="000000"/>
                <w:sz w:val="16"/>
                <w:szCs w:val="16"/>
              </w:rPr>
            </w:pPr>
          </w:p>
        </w:tc>
        <w:tc>
          <w:tcPr>
            <w:tcW w:w="1034" w:type="dxa"/>
            <w:shd w:val="clear" w:color="auto" w:fill="auto"/>
            <w:vAlign w:val="center"/>
          </w:tcPr>
          <w:p w:rsidR="009D23AE" w:rsidRPr="009D23AE" w:rsidRDefault="009D23AE" w:rsidP="009D23AE">
            <w:pPr>
              <w:widowControl/>
              <w:autoSpaceDE/>
              <w:autoSpaceDN/>
              <w:adjustRightInd/>
              <w:jc w:val="center"/>
              <w:rPr>
                <w:rFonts w:ascii="Times New Roman" w:hAnsi="Times New Roman"/>
                <w:color w:val="000000"/>
                <w:sz w:val="16"/>
                <w:szCs w:val="16"/>
              </w:rPr>
            </w:pPr>
          </w:p>
        </w:tc>
        <w:tc>
          <w:tcPr>
            <w:tcW w:w="990" w:type="dxa"/>
            <w:shd w:val="clear" w:color="auto" w:fill="auto"/>
            <w:vAlign w:val="center"/>
          </w:tcPr>
          <w:p w:rsidR="009D23AE" w:rsidRPr="009D23AE" w:rsidRDefault="009D23AE" w:rsidP="009D23AE">
            <w:pPr>
              <w:widowControl/>
              <w:autoSpaceDE/>
              <w:autoSpaceDN/>
              <w:adjustRightInd/>
              <w:jc w:val="center"/>
              <w:rPr>
                <w:rFonts w:ascii="Times New Roman" w:hAnsi="Times New Roman"/>
                <w:color w:val="000000"/>
                <w:sz w:val="16"/>
                <w:szCs w:val="16"/>
              </w:rPr>
            </w:pPr>
          </w:p>
        </w:tc>
        <w:tc>
          <w:tcPr>
            <w:tcW w:w="900" w:type="dxa"/>
            <w:shd w:val="clear" w:color="auto" w:fill="auto"/>
            <w:vAlign w:val="center"/>
          </w:tcPr>
          <w:p w:rsidR="009D23AE" w:rsidRPr="009D23AE" w:rsidRDefault="009D23AE" w:rsidP="009D23AE">
            <w:pPr>
              <w:widowControl/>
              <w:autoSpaceDE/>
              <w:autoSpaceDN/>
              <w:adjustRightInd/>
              <w:jc w:val="center"/>
              <w:rPr>
                <w:rFonts w:ascii="Times New Roman" w:hAnsi="Times New Roman"/>
                <w:color w:val="000000"/>
                <w:sz w:val="16"/>
                <w:szCs w:val="16"/>
              </w:rPr>
            </w:pPr>
          </w:p>
        </w:tc>
        <w:tc>
          <w:tcPr>
            <w:tcW w:w="990" w:type="dxa"/>
            <w:shd w:val="clear" w:color="auto" w:fill="auto"/>
            <w:vAlign w:val="center"/>
          </w:tcPr>
          <w:p w:rsidR="009D23AE" w:rsidRPr="009D23AE" w:rsidRDefault="009D23AE" w:rsidP="009D23AE">
            <w:pPr>
              <w:widowControl/>
              <w:autoSpaceDE/>
              <w:autoSpaceDN/>
              <w:adjustRightInd/>
              <w:jc w:val="center"/>
              <w:rPr>
                <w:rFonts w:ascii="Times New Roman" w:hAnsi="Times New Roman"/>
                <w:b/>
                <w:color w:val="000000"/>
                <w:sz w:val="16"/>
                <w:szCs w:val="16"/>
              </w:rPr>
            </w:pPr>
            <w:r w:rsidRPr="009D23AE">
              <w:rPr>
                <w:rFonts w:ascii="Times New Roman" w:hAnsi="Times New Roman"/>
                <w:b/>
                <w:color w:val="000000"/>
                <w:sz w:val="18"/>
                <w:szCs w:val="16"/>
              </w:rPr>
              <w:t>40</w:t>
            </w:r>
          </w:p>
        </w:tc>
      </w:tr>
    </w:tbl>
    <w:p w:rsidR="005C3213" w:rsidRDefault="005C3213" w:rsidP="00AE1B64">
      <w:pPr>
        <w:tabs>
          <w:tab w:val="left" w:pos="-1440"/>
        </w:tabs>
        <w:rPr>
          <w:rFonts w:ascii="Times New Roman" w:hAnsi="Times New Roman"/>
          <w:u w:val="single"/>
        </w:rPr>
      </w:pPr>
    </w:p>
    <w:p w:rsidR="00E03115" w:rsidRDefault="005C3213" w:rsidP="009D23AE">
      <w:pPr>
        <w:tabs>
          <w:tab w:val="left" w:pos="-1440"/>
        </w:tabs>
        <w:rPr>
          <w:rFonts w:ascii="Times New Roman" w:hAnsi="Times New Roman"/>
        </w:rPr>
      </w:pPr>
      <w:r w:rsidRPr="002C0D0D">
        <w:rPr>
          <w:rFonts w:ascii="Times New Roman" w:hAnsi="Times New Roman"/>
        </w:rPr>
        <w:tab/>
      </w:r>
      <w:r w:rsidR="00E03115" w:rsidRPr="002C0D0D">
        <w:rPr>
          <w:rFonts w:ascii="Times New Roman" w:hAnsi="Times New Roman"/>
          <w:i/>
        </w:rPr>
        <w:t xml:space="preserve">Cost of </w:t>
      </w:r>
      <w:r w:rsidR="00C56AF6" w:rsidRPr="002C0D0D">
        <w:rPr>
          <w:rFonts w:ascii="Times New Roman" w:hAnsi="Times New Roman"/>
          <w:i/>
        </w:rPr>
        <w:t>Hou</w:t>
      </w:r>
      <w:r w:rsidR="00C56AF6">
        <w:rPr>
          <w:rFonts w:ascii="Times New Roman" w:hAnsi="Times New Roman"/>
          <w:i/>
        </w:rPr>
        <w:t>rl</w:t>
      </w:r>
      <w:r w:rsidR="00C56AF6" w:rsidRPr="002C0D0D">
        <w:rPr>
          <w:rFonts w:ascii="Times New Roman" w:hAnsi="Times New Roman"/>
          <w:i/>
        </w:rPr>
        <w:t>y</w:t>
      </w:r>
      <w:r w:rsidR="00E03115" w:rsidRPr="002C0D0D">
        <w:rPr>
          <w:rFonts w:ascii="Times New Roman" w:hAnsi="Times New Roman"/>
          <w:i/>
        </w:rPr>
        <w:t xml:space="preserve"> Burden</w:t>
      </w:r>
      <w:r w:rsidR="00E03115">
        <w:rPr>
          <w:rFonts w:ascii="Times New Roman" w:hAnsi="Times New Roman"/>
        </w:rPr>
        <w:t xml:space="preserve">:  </w:t>
      </w:r>
      <w:r w:rsidR="009D23AE">
        <w:rPr>
          <w:rFonts w:ascii="Times New Roman" w:hAnsi="Times New Roman"/>
        </w:rPr>
        <w:t>40</w:t>
      </w:r>
      <w:r w:rsidR="00E03115">
        <w:rPr>
          <w:rFonts w:ascii="Times New Roman" w:hAnsi="Times New Roman"/>
        </w:rPr>
        <w:t xml:space="preserve"> hours x $ </w:t>
      </w:r>
      <w:r w:rsidR="00F33EE4">
        <w:rPr>
          <w:rFonts w:ascii="Times New Roman" w:hAnsi="Times New Roman"/>
        </w:rPr>
        <w:t>110.00</w:t>
      </w:r>
      <w:r w:rsidR="00E03115">
        <w:rPr>
          <w:rFonts w:ascii="Times New Roman" w:hAnsi="Times New Roman"/>
        </w:rPr>
        <w:t xml:space="preserve"> per hour = $</w:t>
      </w:r>
      <w:r w:rsidR="00F33EE4">
        <w:rPr>
          <w:rFonts w:ascii="Times New Roman" w:hAnsi="Times New Roman"/>
        </w:rPr>
        <w:t>4,400.00</w:t>
      </w:r>
    </w:p>
    <w:p w:rsidR="00E03115" w:rsidRDefault="00E03115" w:rsidP="002C0D0D">
      <w:pPr>
        <w:tabs>
          <w:tab w:val="left" w:pos="-1440"/>
        </w:tabs>
        <w:ind w:left="1440" w:hanging="720"/>
        <w:rPr>
          <w:rFonts w:ascii="Times New Roman" w:hAnsi="Times New Roman"/>
        </w:rPr>
      </w:pPr>
    </w:p>
    <w:p w:rsidR="00E03115" w:rsidRDefault="00E03115" w:rsidP="002C0D0D">
      <w:pPr>
        <w:tabs>
          <w:tab w:val="left" w:pos="8640"/>
        </w:tabs>
        <w:ind w:left="630"/>
        <w:rPr>
          <w:rFonts w:ascii="Times New Roman" w:hAnsi="Times New Roman"/>
        </w:rPr>
      </w:pPr>
      <w:r>
        <w:rPr>
          <w:rFonts w:ascii="Times New Roman" w:hAnsi="Times New Roman"/>
        </w:rPr>
        <w:t>To estimate compensation costs associated with the collection, we used $</w:t>
      </w:r>
      <w:r w:rsidR="00F33EE4">
        <w:rPr>
          <w:rFonts w:ascii="Times New Roman" w:hAnsi="Times New Roman"/>
        </w:rPr>
        <w:t>110</w:t>
      </w:r>
      <w:r>
        <w:rPr>
          <w:rFonts w:ascii="Times New Roman" w:hAnsi="Times New Roman"/>
        </w:rPr>
        <w:t xml:space="preserve"> per hour, which is based on May 201</w:t>
      </w:r>
      <w:r w:rsidR="00F33EE4">
        <w:rPr>
          <w:rFonts w:ascii="Times New Roman" w:hAnsi="Times New Roman"/>
        </w:rPr>
        <w:t>8</w:t>
      </w:r>
      <w:r>
        <w:rPr>
          <w:rFonts w:ascii="Times New Roman" w:hAnsi="Times New Roman"/>
        </w:rPr>
        <w:t xml:space="preserve"> Bureau of Labor Statistics wage data for the average of the 90</w:t>
      </w:r>
      <w:r>
        <w:rPr>
          <w:rFonts w:ascii="Times New Roman" w:hAnsi="Times New Roman"/>
          <w:vertAlign w:val="superscript"/>
        </w:rPr>
        <w:t>th</w:t>
      </w:r>
      <w:r>
        <w:rPr>
          <w:rFonts w:ascii="Times New Roman" w:hAnsi="Times New Roman"/>
        </w:rPr>
        <w:t xml:space="preserve"> percentile for seven occupations (</w:t>
      </w:r>
      <w:r w:rsidRPr="00296AC3">
        <w:rPr>
          <w:rFonts w:ascii="Times New Roman" w:hAnsi="Times New Roman"/>
          <w:i/>
        </w:rPr>
        <w:t>i.e.</w:t>
      </w:r>
      <w:r>
        <w:rPr>
          <w:rFonts w:ascii="Times New Roman" w:hAnsi="Times New Roman"/>
        </w:rPr>
        <w:t>, accountants and auditors, compliance officers, financial analysts, lawyers, management occupations, software developers, and statisticians) plus an additional 3</w:t>
      </w:r>
      <w:r w:rsidR="00F33EE4">
        <w:rPr>
          <w:rFonts w:ascii="Times New Roman" w:hAnsi="Times New Roman"/>
        </w:rPr>
        <w:t>5</w:t>
      </w:r>
      <w:r>
        <w:rPr>
          <w:rFonts w:ascii="Times New Roman" w:hAnsi="Times New Roman"/>
        </w:rPr>
        <w:t xml:space="preserve"> percent to cover adjustments and private sector benefits.  According to Bureau of Labor Statistics employer costs of employee benefits data, thirty</w:t>
      </w:r>
      <w:r w:rsidR="00F33EE4">
        <w:rPr>
          <w:rFonts w:ascii="Times New Roman" w:hAnsi="Times New Roman"/>
        </w:rPr>
        <w:t xml:space="preserve"> five</w:t>
      </w:r>
      <w:r>
        <w:rPr>
          <w:rFonts w:ascii="Times New Roman" w:hAnsi="Times New Roman"/>
        </w:rPr>
        <w:t xml:space="preserve"> percent represents the average private sector costs of employee benefits.</w:t>
      </w:r>
    </w:p>
    <w:p w:rsidR="00E03115" w:rsidRDefault="00E03115" w:rsidP="00373ED8">
      <w:pPr>
        <w:tabs>
          <w:tab w:val="left" w:pos="-1440"/>
        </w:tabs>
        <w:ind w:left="720" w:hanging="720"/>
        <w:rPr>
          <w:rFonts w:ascii="Times New Roman" w:hAnsi="Times New Roman"/>
        </w:rPr>
      </w:pPr>
    </w:p>
    <w:p w:rsidR="00EA17EC" w:rsidRPr="00471381" w:rsidRDefault="00EA17EC" w:rsidP="00373ED8">
      <w:pPr>
        <w:tabs>
          <w:tab w:val="left" w:pos="-1440"/>
        </w:tabs>
        <w:ind w:left="720" w:hanging="720"/>
        <w:rPr>
          <w:rFonts w:ascii="Times New Roman" w:hAnsi="Times New Roman"/>
        </w:rPr>
      </w:pPr>
      <w:r w:rsidRPr="00471381">
        <w:rPr>
          <w:rFonts w:ascii="Times New Roman" w:hAnsi="Times New Roman"/>
        </w:rPr>
        <w:t>13.</w:t>
      </w:r>
      <w:r w:rsidRPr="00471381">
        <w:rPr>
          <w:rFonts w:ascii="Times New Roman" w:hAnsi="Times New Roman"/>
        </w:rPr>
        <w:tab/>
      </w:r>
      <w:r w:rsidR="00A34386" w:rsidRPr="00A34386">
        <w:rPr>
          <w:rFonts w:ascii="Times New Roman" w:hAnsi="Times New Roman"/>
          <w:u w:val="single"/>
        </w:rPr>
        <w:t>Estimate of Annualized Costs to Respondents:</w:t>
      </w:r>
    </w:p>
    <w:p w:rsidR="00EA17EC" w:rsidRPr="00471381" w:rsidRDefault="00EA17EC" w:rsidP="00373ED8">
      <w:pPr>
        <w:ind w:firstLine="720"/>
        <w:rPr>
          <w:rFonts w:ascii="Times New Roman" w:hAnsi="Times New Roman"/>
        </w:rPr>
      </w:pPr>
    </w:p>
    <w:p w:rsidR="00EA17EC" w:rsidRPr="00471381" w:rsidRDefault="00EA17EC" w:rsidP="00373ED8">
      <w:pPr>
        <w:ind w:firstLine="720"/>
        <w:rPr>
          <w:rFonts w:ascii="Times New Roman" w:hAnsi="Times New Roman"/>
        </w:rPr>
      </w:pPr>
      <w:r w:rsidRPr="00471381">
        <w:rPr>
          <w:rFonts w:ascii="Times New Roman" w:hAnsi="Times New Roman"/>
        </w:rPr>
        <w:t>None.</w:t>
      </w:r>
    </w:p>
    <w:p w:rsidR="00EA17EC" w:rsidRPr="00471381" w:rsidRDefault="00EA17EC" w:rsidP="00373ED8">
      <w:pPr>
        <w:rPr>
          <w:rFonts w:ascii="Times New Roman" w:hAnsi="Times New Roman"/>
        </w:rPr>
      </w:pPr>
    </w:p>
    <w:p w:rsidR="00EA17EC" w:rsidRPr="00471381" w:rsidRDefault="00EA17EC" w:rsidP="00373ED8">
      <w:pPr>
        <w:rPr>
          <w:rFonts w:ascii="Times New Roman" w:hAnsi="Times New Roman"/>
        </w:rPr>
      </w:pPr>
      <w:r w:rsidRPr="00471381">
        <w:rPr>
          <w:rFonts w:ascii="Times New Roman" w:hAnsi="Times New Roman"/>
        </w:rPr>
        <w:t xml:space="preserve">14.  </w:t>
      </w:r>
      <w:r w:rsidR="00486DE9">
        <w:rPr>
          <w:rFonts w:ascii="Times New Roman" w:hAnsi="Times New Roman"/>
        </w:rPr>
        <w:tab/>
      </w:r>
      <w:r w:rsidRPr="00471381">
        <w:rPr>
          <w:rFonts w:ascii="Times New Roman" w:hAnsi="Times New Roman"/>
          <w:u w:val="single"/>
        </w:rPr>
        <w:t>Estimate of annualized costs to the government:</w:t>
      </w:r>
    </w:p>
    <w:p w:rsidR="00EA17EC" w:rsidRPr="00471381" w:rsidRDefault="00EA17EC" w:rsidP="00373ED8">
      <w:pPr>
        <w:rPr>
          <w:rFonts w:ascii="Times New Roman" w:hAnsi="Times New Roman"/>
        </w:rPr>
      </w:pPr>
    </w:p>
    <w:p w:rsidR="00EA17EC" w:rsidRPr="00471381" w:rsidRDefault="00EA17EC" w:rsidP="00373ED8">
      <w:pPr>
        <w:ind w:firstLine="720"/>
        <w:rPr>
          <w:rFonts w:ascii="Times New Roman" w:hAnsi="Times New Roman"/>
        </w:rPr>
      </w:pPr>
      <w:r w:rsidRPr="00471381">
        <w:rPr>
          <w:rFonts w:ascii="Times New Roman" w:hAnsi="Times New Roman"/>
        </w:rPr>
        <w:t>None.</w:t>
      </w:r>
    </w:p>
    <w:p w:rsidR="00EA17EC" w:rsidRPr="00471381" w:rsidRDefault="00EA17EC" w:rsidP="00373ED8">
      <w:pPr>
        <w:rPr>
          <w:rFonts w:ascii="Times New Roman" w:hAnsi="Times New Roman"/>
        </w:rPr>
      </w:pPr>
    </w:p>
    <w:p w:rsidR="00EA17EC" w:rsidRPr="00471381" w:rsidRDefault="00EA17EC" w:rsidP="00373ED8">
      <w:pPr>
        <w:tabs>
          <w:tab w:val="left" w:pos="-1440"/>
        </w:tabs>
        <w:ind w:left="720" w:hanging="720"/>
        <w:rPr>
          <w:rFonts w:ascii="Times New Roman" w:hAnsi="Times New Roman"/>
          <w:u w:val="single"/>
        </w:rPr>
      </w:pPr>
      <w:r w:rsidRPr="00471381">
        <w:rPr>
          <w:rFonts w:ascii="Times New Roman" w:hAnsi="Times New Roman"/>
        </w:rPr>
        <w:t>15.</w:t>
      </w:r>
      <w:r w:rsidRPr="00471381">
        <w:rPr>
          <w:rFonts w:ascii="Times New Roman" w:hAnsi="Times New Roman"/>
        </w:rPr>
        <w:tab/>
      </w:r>
      <w:r w:rsidR="00A34386" w:rsidRPr="00FC311C">
        <w:rPr>
          <w:rFonts w:ascii="Times New Roman" w:hAnsi="Times New Roman"/>
          <w:snapToGrid w:val="0"/>
          <w:szCs w:val="20"/>
          <w:u w:val="single"/>
        </w:rPr>
        <w:t>Reason for Change in Burden</w:t>
      </w:r>
      <w:r w:rsidR="00A34386">
        <w:rPr>
          <w:rFonts w:ascii="Times New Roman" w:hAnsi="Times New Roman"/>
          <w:snapToGrid w:val="0"/>
          <w:szCs w:val="20"/>
          <w:u w:val="single"/>
        </w:rPr>
        <w:t>:</w:t>
      </w:r>
    </w:p>
    <w:p w:rsidR="00344D0B" w:rsidRPr="00471381" w:rsidRDefault="00344D0B" w:rsidP="000D602E">
      <w:pPr>
        <w:tabs>
          <w:tab w:val="left" w:pos="-1440"/>
        </w:tabs>
        <w:rPr>
          <w:rFonts w:ascii="Times New Roman" w:hAnsi="Times New Roman"/>
          <w:u w:val="single"/>
        </w:rPr>
      </w:pPr>
    </w:p>
    <w:p w:rsidR="00010C0A" w:rsidRDefault="00010C0A" w:rsidP="00010C0A">
      <w:pPr>
        <w:ind w:left="720"/>
        <w:rPr>
          <w:rFonts w:ascii="Times New Roman" w:hAnsi="Times New Roman"/>
          <w:iCs/>
        </w:rPr>
      </w:pPr>
      <w:r w:rsidRPr="00010C0A">
        <w:rPr>
          <w:rFonts w:ascii="Times New Roman" w:hAnsi="Times New Roman"/>
          <w:iCs/>
        </w:rPr>
        <w:t>There has been no change in the method or substance of this information collection.  The number of institutions subject to the disclosure requirements has decreased from eight (8) to two (2)</w:t>
      </w:r>
      <w:r>
        <w:rPr>
          <w:rFonts w:ascii="Times New Roman" w:hAnsi="Times New Roman"/>
          <w:iCs/>
        </w:rPr>
        <w:t xml:space="preserve"> resulting in a decrease in estimated annual burden of 120 hours (from 160 to 40).</w:t>
      </w:r>
    </w:p>
    <w:p w:rsidR="006A0AE9" w:rsidRPr="00471381" w:rsidRDefault="00010C0A" w:rsidP="00010C0A">
      <w:pPr>
        <w:ind w:left="720"/>
        <w:rPr>
          <w:rFonts w:ascii="Times New Roman" w:hAnsi="Times New Roman"/>
          <w:color w:val="000000"/>
        </w:rPr>
      </w:pPr>
      <w:r w:rsidRPr="00471381">
        <w:rPr>
          <w:rFonts w:ascii="Times New Roman" w:hAnsi="Times New Roman"/>
          <w:color w:val="000000"/>
        </w:rPr>
        <w:t xml:space="preserve"> </w:t>
      </w:r>
    </w:p>
    <w:p w:rsidR="00EA17EC" w:rsidRPr="00471381" w:rsidRDefault="00EA17EC" w:rsidP="00373ED8">
      <w:pPr>
        <w:tabs>
          <w:tab w:val="left" w:pos="-1440"/>
        </w:tabs>
        <w:ind w:left="720" w:hanging="720"/>
        <w:rPr>
          <w:rFonts w:ascii="Times New Roman" w:hAnsi="Times New Roman"/>
        </w:rPr>
      </w:pPr>
      <w:r w:rsidRPr="00471381">
        <w:rPr>
          <w:rFonts w:ascii="Times New Roman" w:hAnsi="Times New Roman"/>
        </w:rPr>
        <w:t>16.</w:t>
      </w:r>
      <w:r w:rsidRPr="00471381">
        <w:rPr>
          <w:rFonts w:ascii="Times New Roman" w:hAnsi="Times New Roman"/>
        </w:rPr>
        <w:tab/>
      </w:r>
      <w:r w:rsidRPr="00471381">
        <w:rPr>
          <w:rFonts w:ascii="Times New Roman" w:hAnsi="Times New Roman"/>
          <w:u w:val="single"/>
        </w:rPr>
        <w:t>Information regarding collections whose results are planned to be published for statistical use:</w:t>
      </w:r>
    </w:p>
    <w:p w:rsidR="00EA17EC" w:rsidRPr="00471381" w:rsidRDefault="00EA17EC" w:rsidP="00373ED8">
      <w:pPr>
        <w:rPr>
          <w:rFonts w:ascii="Times New Roman" w:hAnsi="Times New Roman"/>
        </w:rPr>
      </w:pPr>
    </w:p>
    <w:p w:rsidR="00EA17EC" w:rsidRPr="00471381" w:rsidRDefault="00EA17EC" w:rsidP="00373ED8">
      <w:pPr>
        <w:ind w:firstLine="720"/>
        <w:rPr>
          <w:rFonts w:ascii="Times New Roman" w:hAnsi="Times New Roman"/>
        </w:rPr>
      </w:pPr>
      <w:r w:rsidRPr="00471381">
        <w:rPr>
          <w:rFonts w:ascii="Times New Roman" w:hAnsi="Times New Roman"/>
        </w:rPr>
        <w:t xml:space="preserve">The </w:t>
      </w:r>
      <w:r w:rsidR="008E7DA1">
        <w:rPr>
          <w:rFonts w:ascii="Times New Roman" w:hAnsi="Times New Roman"/>
        </w:rPr>
        <w:t>FDI</w:t>
      </w:r>
      <w:r w:rsidRPr="00471381">
        <w:rPr>
          <w:rFonts w:ascii="Times New Roman" w:hAnsi="Times New Roman"/>
        </w:rPr>
        <w:t>C has no plans to publish the information for statistical use.</w:t>
      </w:r>
    </w:p>
    <w:p w:rsidR="00EA17EC" w:rsidRPr="00471381" w:rsidRDefault="00EA17EC" w:rsidP="00373ED8">
      <w:pPr>
        <w:rPr>
          <w:rFonts w:ascii="Times New Roman" w:hAnsi="Times New Roman"/>
        </w:rPr>
      </w:pPr>
    </w:p>
    <w:p w:rsidR="00EA17EC" w:rsidRPr="00471381" w:rsidRDefault="00EA17EC" w:rsidP="00373ED8">
      <w:pPr>
        <w:rPr>
          <w:rFonts w:ascii="Times New Roman" w:hAnsi="Times New Roman"/>
          <w:u w:val="single"/>
        </w:rPr>
      </w:pPr>
      <w:r w:rsidRPr="00471381">
        <w:rPr>
          <w:rFonts w:ascii="Times New Roman" w:hAnsi="Times New Roman"/>
        </w:rPr>
        <w:t>17.</w:t>
      </w:r>
      <w:r w:rsidRPr="00471381">
        <w:rPr>
          <w:rFonts w:ascii="Times New Roman" w:hAnsi="Times New Roman"/>
        </w:rPr>
        <w:tab/>
      </w:r>
      <w:r w:rsidRPr="00471381">
        <w:rPr>
          <w:rFonts w:ascii="Times New Roman" w:hAnsi="Times New Roman"/>
          <w:u w:val="single"/>
        </w:rPr>
        <w:t>Display of expiration date.</w:t>
      </w:r>
    </w:p>
    <w:p w:rsidR="00EA17EC" w:rsidRPr="00471381" w:rsidRDefault="00EA17EC" w:rsidP="00373ED8">
      <w:pPr>
        <w:ind w:firstLine="720"/>
        <w:rPr>
          <w:rFonts w:ascii="Times New Roman" w:hAnsi="Times New Roman"/>
          <w:u w:val="single"/>
        </w:rPr>
      </w:pPr>
    </w:p>
    <w:p w:rsidR="00EA17EC" w:rsidRPr="00471381" w:rsidRDefault="00EA17EC" w:rsidP="00373ED8">
      <w:pPr>
        <w:ind w:firstLine="720"/>
        <w:rPr>
          <w:rFonts w:ascii="Times New Roman" w:hAnsi="Times New Roman"/>
        </w:rPr>
      </w:pPr>
      <w:r w:rsidRPr="00471381">
        <w:rPr>
          <w:rFonts w:ascii="Times New Roman" w:hAnsi="Times New Roman"/>
        </w:rPr>
        <w:t>Not applicable.</w:t>
      </w:r>
    </w:p>
    <w:p w:rsidR="00EA17EC" w:rsidRPr="00471381" w:rsidRDefault="00EA17EC" w:rsidP="00373ED8">
      <w:pPr>
        <w:rPr>
          <w:rFonts w:ascii="Times New Roman" w:hAnsi="Times New Roman"/>
        </w:rPr>
      </w:pPr>
    </w:p>
    <w:p w:rsidR="00EA17EC" w:rsidRPr="00471381" w:rsidRDefault="00EA17EC" w:rsidP="00373ED8">
      <w:pPr>
        <w:rPr>
          <w:rFonts w:ascii="Times New Roman" w:hAnsi="Times New Roman"/>
        </w:rPr>
      </w:pPr>
      <w:r w:rsidRPr="00471381">
        <w:rPr>
          <w:rFonts w:ascii="Times New Roman" w:hAnsi="Times New Roman"/>
        </w:rPr>
        <w:t>18.</w:t>
      </w:r>
      <w:r w:rsidRPr="00471381">
        <w:rPr>
          <w:rFonts w:ascii="Times New Roman" w:hAnsi="Times New Roman"/>
        </w:rPr>
        <w:tab/>
      </w:r>
      <w:r w:rsidRPr="00471381">
        <w:rPr>
          <w:rFonts w:ascii="Times New Roman" w:hAnsi="Times New Roman"/>
          <w:u w:val="single"/>
        </w:rPr>
        <w:t>Exceptions to certification statement.</w:t>
      </w:r>
    </w:p>
    <w:p w:rsidR="00EA17EC" w:rsidRPr="00471381" w:rsidRDefault="00EA17EC" w:rsidP="00373ED8">
      <w:pPr>
        <w:rPr>
          <w:rFonts w:ascii="Times New Roman" w:hAnsi="Times New Roman"/>
        </w:rPr>
      </w:pPr>
    </w:p>
    <w:p w:rsidR="00EA17EC" w:rsidRPr="00471381" w:rsidRDefault="00EA17EC" w:rsidP="00373ED8">
      <w:pPr>
        <w:ind w:firstLine="720"/>
        <w:rPr>
          <w:rFonts w:ascii="Times New Roman" w:hAnsi="Times New Roman"/>
          <w:u w:val="single"/>
        </w:rPr>
      </w:pPr>
      <w:r w:rsidRPr="00471381">
        <w:rPr>
          <w:rFonts w:ascii="Times New Roman" w:hAnsi="Times New Roman"/>
        </w:rPr>
        <w:t xml:space="preserve">None. </w:t>
      </w:r>
    </w:p>
    <w:p w:rsidR="00EA17EC" w:rsidRPr="00471381" w:rsidRDefault="00EA17EC" w:rsidP="00373ED8">
      <w:pPr>
        <w:rPr>
          <w:rFonts w:ascii="Times New Roman" w:hAnsi="Times New Roman"/>
          <w:u w:val="single"/>
        </w:rPr>
      </w:pPr>
    </w:p>
    <w:p w:rsidR="00EA17EC" w:rsidRPr="00471381" w:rsidRDefault="00EA17EC" w:rsidP="00373ED8">
      <w:pPr>
        <w:tabs>
          <w:tab w:val="left" w:pos="-1440"/>
        </w:tabs>
        <w:ind w:left="720" w:hanging="720"/>
        <w:rPr>
          <w:rFonts w:ascii="Times New Roman" w:hAnsi="Times New Roman"/>
          <w:u w:val="single"/>
        </w:rPr>
      </w:pPr>
      <w:r w:rsidRPr="00471381">
        <w:rPr>
          <w:rFonts w:ascii="Times New Roman" w:hAnsi="Times New Roman"/>
        </w:rPr>
        <w:t>B.</w:t>
      </w:r>
      <w:r w:rsidRPr="00471381">
        <w:rPr>
          <w:rFonts w:ascii="Times New Roman" w:hAnsi="Times New Roman"/>
        </w:rPr>
        <w:tab/>
      </w:r>
      <w:r w:rsidRPr="00471381">
        <w:rPr>
          <w:rFonts w:ascii="Times New Roman" w:hAnsi="Times New Roman"/>
          <w:u w:val="single"/>
        </w:rPr>
        <w:t>Collections of Information Employing Statistical Methods.</w:t>
      </w:r>
    </w:p>
    <w:p w:rsidR="00EA17EC" w:rsidRPr="00471381" w:rsidRDefault="00EA17EC" w:rsidP="00373ED8">
      <w:pPr>
        <w:rPr>
          <w:rFonts w:ascii="Times New Roman" w:hAnsi="Times New Roman"/>
          <w:u w:val="single"/>
        </w:rPr>
      </w:pPr>
    </w:p>
    <w:p w:rsidR="00EA17EC" w:rsidRPr="00471381" w:rsidRDefault="00EA17EC" w:rsidP="00373ED8">
      <w:pPr>
        <w:ind w:firstLine="720"/>
        <w:rPr>
          <w:rFonts w:ascii="Times New Roman" w:hAnsi="Times New Roman"/>
        </w:rPr>
      </w:pPr>
      <w:r w:rsidRPr="00471381">
        <w:rPr>
          <w:rFonts w:ascii="Times New Roman" w:hAnsi="Times New Roman"/>
        </w:rPr>
        <w:t>Not applicable.</w:t>
      </w:r>
    </w:p>
    <w:p w:rsidR="00EA17EC" w:rsidRPr="00B02EF3" w:rsidRDefault="00EA17EC" w:rsidP="00B02EF3">
      <w:pPr>
        <w:rPr>
          <w:rFonts w:ascii="Times New Roman" w:hAnsi="Times New Roman"/>
        </w:rPr>
      </w:pPr>
    </w:p>
    <w:sectPr w:rsidR="00EA17EC" w:rsidRPr="00B02EF3" w:rsidSect="00F01C5E">
      <w:headerReference w:type="default" r:id="rId9"/>
      <w:footerReference w:type="even" r:id="rId10"/>
      <w:footerReference w:type="default" r:id="rId11"/>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B9D" w:rsidRDefault="00C42B9D">
      <w:r>
        <w:separator/>
      </w:r>
    </w:p>
  </w:endnote>
  <w:endnote w:type="continuationSeparator" w:id="0">
    <w:p w:rsidR="00C42B9D" w:rsidRDefault="00C42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56" w:rsidRDefault="00357878" w:rsidP="00087F1F">
    <w:pPr>
      <w:pStyle w:val="Footer"/>
      <w:framePr w:wrap="around" w:vAnchor="text" w:hAnchor="margin" w:xAlign="center" w:y="1"/>
      <w:rPr>
        <w:rStyle w:val="PageNumber"/>
      </w:rPr>
    </w:pPr>
    <w:r>
      <w:rPr>
        <w:rStyle w:val="PageNumber"/>
      </w:rPr>
      <w:fldChar w:fldCharType="begin"/>
    </w:r>
    <w:r w:rsidR="00721656">
      <w:rPr>
        <w:rStyle w:val="PageNumber"/>
      </w:rPr>
      <w:instrText xml:space="preserve">PAGE  </w:instrText>
    </w:r>
    <w:r>
      <w:rPr>
        <w:rStyle w:val="PageNumber"/>
      </w:rPr>
      <w:fldChar w:fldCharType="end"/>
    </w:r>
  </w:p>
  <w:p w:rsidR="00721656" w:rsidRDefault="007216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56" w:rsidRPr="00296AC3" w:rsidRDefault="00357878" w:rsidP="00087F1F">
    <w:pPr>
      <w:pStyle w:val="Footer"/>
      <w:framePr w:wrap="around" w:vAnchor="text" w:hAnchor="margin" w:xAlign="center" w:y="1"/>
      <w:rPr>
        <w:rStyle w:val="PageNumber"/>
        <w:rFonts w:ascii="Times New Roman" w:hAnsi="Times New Roman"/>
      </w:rPr>
    </w:pPr>
    <w:r w:rsidRPr="00296AC3">
      <w:rPr>
        <w:rStyle w:val="PageNumber"/>
        <w:rFonts w:ascii="Times New Roman" w:hAnsi="Times New Roman"/>
      </w:rPr>
      <w:fldChar w:fldCharType="begin"/>
    </w:r>
    <w:r w:rsidR="00721656" w:rsidRPr="00296AC3">
      <w:rPr>
        <w:rStyle w:val="PageNumber"/>
        <w:rFonts w:ascii="Times New Roman" w:hAnsi="Times New Roman"/>
      </w:rPr>
      <w:instrText xml:space="preserve">PAGE  </w:instrText>
    </w:r>
    <w:r w:rsidRPr="00296AC3">
      <w:rPr>
        <w:rStyle w:val="PageNumber"/>
        <w:rFonts w:ascii="Times New Roman" w:hAnsi="Times New Roman"/>
      </w:rPr>
      <w:fldChar w:fldCharType="separate"/>
    </w:r>
    <w:r w:rsidR="002C1339">
      <w:rPr>
        <w:rStyle w:val="PageNumber"/>
        <w:rFonts w:ascii="Times New Roman" w:hAnsi="Times New Roman"/>
        <w:noProof/>
      </w:rPr>
      <w:t>2</w:t>
    </w:r>
    <w:r w:rsidRPr="00296AC3">
      <w:rPr>
        <w:rStyle w:val="PageNumber"/>
        <w:rFonts w:ascii="Times New Roman" w:hAnsi="Times New Roman"/>
      </w:rPr>
      <w:fldChar w:fldCharType="end"/>
    </w:r>
  </w:p>
  <w:p w:rsidR="00721656" w:rsidRDefault="007216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B9D" w:rsidRDefault="00C42B9D">
      <w:r>
        <w:separator/>
      </w:r>
    </w:p>
  </w:footnote>
  <w:footnote w:type="continuationSeparator" w:id="0">
    <w:p w:rsidR="00C42B9D" w:rsidRDefault="00C42B9D">
      <w:r>
        <w:continuationSeparator/>
      </w:r>
    </w:p>
  </w:footnote>
  <w:footnote w:id="1">
    <w:p w:rsidR="004F6343" w:rsidRDefault="004F6343" w:rsidP="004F6343">
      <w:pPr>
        <w:pStyle w:val="FootnoteText"/>
      </w:pPr>
      <w:r>
        <w:rPr>
          <w:rStyle w:val="FootnoteReference"/>
        </w:rPr>
        <w:footnoteRef/>
      </w:r>
      <w:r>
        <w:t xml:space="preserve"> 12 CFR part 374</w:t>
      </w:r>
    </w:p>
  </w:footnote>
  <w:footnote w:id="2">
    <w:p w:rsidR="004F6343" w:rsidRDefault="004F6343" w:rsidP="004F6343">
      <w:pPr>
        <w:pStyle w:val="FootnoteText"/>
      </w:pPr>
      <w:r>
        <w:rPr>
          <w:rStyle w:val="FootnoteReference"/>
        </w:rPr>
        <w:footnoteRef/>
      </w:r>
      <w:r>
        <w:t xml:space="preserve"> 12 CFR 374.10(c), 374.172(d), and 374.173.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56" w:rsidRDefault="00721656"/>
  <w:p w:rsidR="00721656" w:rsidRDefault="0072165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7137"/>
    <w:multiLevelType w:val="hybridMultilevel"/>
    <w:tmpl w:val="2126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C3B61"/>
    <w:multiLevelType w:val="hybridMultilevel"/>
    <w:tmpl w:val="250A375A"/>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80A2405"/>
    <w:multiLevelType w:val="hybridMultilevel"/>
    <w:tmpl w:val="092C1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7BD0B0B"/>
    <w:multiLevelType w:val="hybridMultilevel"/>
    <w:tmpl w:val="AAFCF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DE4704B"/>
    <w:multiLevelType w:val="hybridMultilevel"/>
    <w:tmpl w:val="1D409022"/>
    <w:lvl w:ilvl="0" w:tplc="991E90EE">
      <w:start w:val="1"/>
      <w:numFmt w:val="bullet"/>
      <w:lvlText w:val=""/>
      <w:lvlJc w:val="left"/>
      <w:pPr>
        <w:tabs>
          <w:tab w:val="num" w:pos="2106"/>
        </w:tabs>
        <w:ind w:left="210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E553376"/>
    <w:multiLevelType w:val="hybridMultilevel"/>
    <w:tmpl w:val="A1BA0F8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18C7D97"/>
    <w:multiLevelType w:val="hybridMultilevel"/>
    <w:tmpl w:val="CC7C5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42929AC"/>
    <w:multiLevelType w:val="hybridMultilevel"/>
    <w:tmpl w:val="12522958"/>
    <w:lvl w:ilvl="0" w:tplc="991E90E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7D242070"/>
    <w:multiLevelType w:val="hybridMultilevel"/>
    <w:tmpl w:val="1F76782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D2C5665"/>
    <w:multiLevelType w:val="hybridMultilevel"/>
    <w:tmpl w:val="823CA4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FA10D68"/>
    <w:multiLevelType w:val="hybridMultilevel"/>
    <w:tmpl w:val="27E4E45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num>
  <w:num w:numId="7">
    <w:abstractNumId w:val="6"/>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03C"/>
    <w:rsid w:val="0000014C"/>
    <w:rsid w:val="00010C0A"/>
    <w:rsid w:val="000348F8"/>
    <w:rsid w:val="000453EB"/>
    <w:rsid w:val="00087F1F"/>
    <w:rsid w:val="000915DD"/>
    <w:rsid w:val="000971BE"/>
    <w:rsid w:val="000A105C"/>
    <w:rsid w:val="000D602E"/>
    <w:rsid w:val="000E510A"/>
    <w:rsid w:val="00106526"/>
    <w:rsid w:val="00136AC6"/>
    <w:rsid w:val="001403B3"/>
    <w:rsid w:val="001635C1"/>
    <w:rsid w:val="00164BC1"/>
    <w:rsid w:val="0016712A"/>
    <w:rsid w:val="001771FE"/>
    <w:rsid w:val="00186793"/>
    <w:rsid w:val="001924CE"/>
    <w:rsid w:val="001A1BDF"/>
    <w:rsid w:val="001B282D"/>
    <w:rsid w:val="001D028F"/>
    <w:rsid w:val="001D6A9B"/>
    <w:rsid w:val="001D7A47"/>
    <w:rsid w:val="001E02AE"/>
    <w:rsid w:val="001E68C3"/>
    <w:rsid w:val="00202514"/>
    <w:rsid w:val="00204553"/>
    <w:rsid w:val="0022097C"/>
    <w:rsid w:val="00240373"/>
    <w:rsid w:val="00294E05"/>
    <w:rsid w:val="00296AC3"/>
    <w:rsid w:val="002A359A"/>
    <w:rsid w:val="002B6089"/>
    <w:rsid w:val="002B6E8E"/>
    <w:rsid w:val="002C0D0D"/>
    <w:rsid w:val="002C1339"/>
    <w:rsid w:val="002C47CD"/>
    <w:rsid w:val="002C71DA"/>
    <w:rsid w:val="002C73B8"/>
    <w:rsid w:val="002D73D8"/>
    <w:rsid w:val="002E0DD5"/>
    <w:rsid w:val="002F549C"/>
    <w:rsid w:val="00305A30"/>
    <w:rsid w:val="00307470"/>
    <w:rsid w:val="00307D6A"/>
    <w:rsid w:val="00315977"/>
    <w:rsid w:val="0032536B"/>
    <w:rsid w:val="003265B3"/>
    <w:rsid w:val="00331859"/>
    <w:rsid w:val="003342B6"/>
    <w:rsid w:val="00340B54"/>
    <w:rsid w:val="00344D0B"/>
    <w:rsid w:val="0035537C"/>
    <w:rsid w:val="00357878"/>
    <w:rsid w:val="0036427A"/>
    <w:rsid w:val="00373ED8"/>
    <w:rsid w:val="00375B0B"/>
    <w:rsid w:val="00380888"/>
    <w:rsid w:val="00382642"/>
    <w:rsid w:val="00391009"/>
    <w:rsid w:val="003A5AF4"/>
    <w:rsid w:val="003B45B3"/>
    <w:rsid w:val="003C2A86"/>
    <w:rsid w:val="003F6363"/>
    <w:rsid w:val="00422BAE"/>
    <w:rsid w:val="00434E1A"/>
    <w:rsid w:val="00440C41"/>
    <w:rsid w:val="00442AE0"/>
    <w:rsid w:val="00443E6B"/>
    <w:rsid w:val="00464677"/>
    <w:rsid w:val="0046618F"/>
    <w:rsid w:val="00471381"/>
    <w:rsid w:val="00486DE9"/>
    <w:rsid w:val="004915AB"/>
    <w:rsid w:val="00492B27"/>
    <w:rsid w:val="00495B4D"/>
    <w:rsid w:val="004B3230"/>
    <w:rsid w:val="004C486D"/>
    <w:rsid w:val="004F6343"/>
    <w:rsid w:val="004F7A59"/>
    <w:rsid w:val="00500358"/>
    <w:rsid w:val="00531EB9"/>
    <w:rsid w:val="00572CE7"/>
    <w:rsid w:val="005759C5"/>
    <w:rsid w:val="00584D06"/>
    <w:rsid w:val="00585685"/>
    <w:rsid w:val="005A6600"/>
    <w:rsid w:val="005A6A67"/>
    <w:rsid w:val="005B0880"/>
    <w:rsid w:val="005B15B3"/>
    <w:rsid w:val="005B4065"/>
    <w:rsid w:val="005C3213"/>
    <w:rsid w:val="005D017A"/>
    <w:rsid w:val="005D7286"/>
    <w:rsid w:val="005E5398"/>
    <w:rsid w:val="005F2224"/>
    <w:rsid w:val="006023E3"/>
    <w:rsid w:val="00602E5F"/>
    <w:rsid w:val="006062D4"/>
    <w:rsid w:val="006164FC"/>
    <w:rsid w:val="00620335"/>
    <w:rsid w:val="00630182"/>
    <w:rsid w:val="00631F74"/>
    <w:rsid w:val="0063340F"/>
    <w:rsid w:val="0064380D"/>
    <w:rsid w:val="00645D67"/>
    <w:rsid w:val="00647188"/>
    <w:rsid w:val="00651021"/>
    <w:rsid w:val="00662669"/>
    <w:rsid w:val="0067139A"/>
    <w:rsid w:val="006776BD"/>
    <w:rsid w:val="00681B4F"/>
    <w:rsid w:val="00683D1B"/>
    <w:rsid w:val="00690B8A"/>
    <w:rsid w:val="00691C16"/>
    <w:rsid w:val="00695E5A"/>
    <w:rsid w:val="006A0172"/>
    <w:rsid w:val="006A0AE9"/>
    <w:rsid w:val="006A2DE9"/>
    <w:rsid w:val="006B248D"/>
    <w:rsid w:val="006B6BC9"/>
    <w:rsid w:val="006D0DDB"/>
    <w:rsid w:val="006D33C2"/>
    <w:rsid w:val="00706B9C"/>
    <w:rsid w:val="0071607F"/>
    <w:rsid w:val="007164DD"/>
    <w:rsid w:val="00721656"/>
    <w:rsid w:val="0075143D"/>
    <w:rsid w:val="00764BA9"/>
    <w:rsid w:val="00766A67"/>
    <w:rsid w:val="00777581"/>
    <w:rsid w:val="007800F7"/>
    <w:rsid w:val="00783D56"/>
    <w:rsid w:val="00790477"/>
    <w:rsid w:val="00793D1A"/>
    <w:rsid w:val="007A12D6"/>
    <w:rsid w:val="007B7D30"/>
    <w:rsid w:val="00800BC5"/>
    <w:rsid w:val="00802328"/>
    <w:rsid w:val="00822CA0"/>
    <w:rsid w:val="008349A5"/>
    <w:rsid w:val="00834D7B"/>
    <w:rsid w:val="008431F8"/>
    <w:rsid w:val="00846AB9"/>
    <w:rsid w:val="00851B76"/>
    <w:rsid w:val="00857E85"/>
    <w:rsid w:val="008612BA"/>
    <w:rsid w:val="00865155"/>
    <w:rsid w:val="00890725"/>
    <w:rsid w:val="00891805"/>
    <w:rsid w:val="008A619F"/>
    <w:rsid w:val="008B6732"/>
    <w:rsid w:val="008E7DA1"/>
    <w:rsid w:val="009016DB"/>
    <w:rsid w:val="009072BB"/>
    <w:rsid w:val="00916514"/>
    <w:rsid w:val="009236AB"/>
    <w:rsid w:val="00923BFE"/>
    <w:rsid w:val="00934CFC"/>
    <w:rsid w:val="00937BF8"/>
    <w:rsid w:val="0094182F"/>
    <w:rsid w:val="009679AC"/>
    <w:rsid w:val="00970EDA"/>
    <w:rsid w:val="00972C7A"/>
    <w:rsid w:val="009833CB"/>
    <w:rsid w:val="00990B52"/>
    <w:rsid w:val="009B39DC"/>
    <w:rsid w:val="009C2833"/>
    <w:rsid w:val="009D23AE"/>
    <w:rsid w:val="009D7FEC"/>
    <w:rsid w:val="009E3364"/>
    <w:rsid w:val="009F1182"/>
    <w:rsid w:val="009F515F"/>
    <w:rsid w:val="00A04829"/>
    <w:rsid w:val="00A1207D"/>
    <w:rsid w:val="00A24402"/>
    <w:rsid w:val="00A34386"/>
    <w:rsid w:val="00A42F4E"/>
    <w:rsid w:val="00A53B50"/>
    <w:rsid w:val="00A549EC"/>
    <w:rsid w:val="00A87148"/>
    <w:rsid w:val="00A91744"/>
    <w:rsid w:val="00AA3E77"/>
    <w:rsid w:val="00AB2FCB"/>
    <w:rsid w:val="00AB571B"/>
    <w:rsid w:val="00AB5E7B"/>
    <w:rsid w:val="00AC3B5E"/>
    <w:rsid w:val="00AE1B64"/>
    <w:rsid w:val="00B02EF3"/>
    <w:rsid w:val="00B04B76"/>
    <w:rsid w:val="00B27249"/>
    <w:rsid w:val="00B32622"/>
    <w:rsid w:val="00B46F07"/>
    <w:rsid w:val="00B57DB6"/>
    <w:rsid w:val="00B80B6D"/>
    <w:rsid w:val="00B843DF"/>
    <w:rsid w:val="00B924C1"/>
    <w:rsid w:val="00B925AB"/>
    <w:rsid w:val="00BA19E0"/>
    <w:rsid w:val="00BA28F7"/>
    <w:rsid w:val="00BD1427"/>
    <w:rsid w:val="00BD30A0"/>
    <w:rsid w:val="00BD37B4"/>
    <w:rsid w:val="00BE2FE5"/>
    <w:rsid w:val="00BE5D92"/>
    <w:rsid w:val="00BE73EE"/>
    <w:rsid w:val="00BF7430"/>
    <w:rsid w:val="00C15B4D"/>
    <w:rsid w:val="00C2768E"/>
    <w:rsid w:val="00C27911"/>
    <w:rsid w:val="00C33F19"/>
    <w:rsid w:val="00C42B9D"/>
    <w:rsid w:val="00C56AF6"/>
    <w:rsid w:val="00C74802"/>
    <w:rsid w:val="00C94DAC"/>
    <w:rsid w:val="00C96381"/>
    <w:rsid w:val="00CA433A"/>
    <w:rsid w:val="00CC1ABF"/>
    <w:rsid w:val="00CC3347"/>
    <w:rsid w:val="00CD6943"/>
    <w:rsid w:val="00CF1CEC"/>
    <w:rsid w:val="00CF36D1"/>
    <w:rsid w:val="00D00BAD"/>
    <w:rsid w:val="00D061A7"/>
    <w:rsid w:val="00D102B3"/>
    <w:rsid w:val="00D12B0D"/>
    <w:rsid w:val="00D2740F"/>
    <w:rsid w:val="00D3059E"/>
    <w:rsid w:val="00D37F01"/>
    <w:rsid w:val="00D43DCD"/>
    <w:rsid w:val="00D522BD"/>
    <w:rsid w:val="00D72CD5"/>
    <w:rsid w:val="00D81536"/>
    <w:rsid w:val="00D97538"/>
    <w:rsid w:val="00DD05A5"/>
    <w:rsid w:val="00DF51E3"/>
    <w:rsid w:val="00E021BB"/>
    <w:rsid w:val="00E03115"/>
    <w:rsid w:val="00E20EA6"/>
    <w:rsid w:val="00E262E3"/>
    <w:rsid w:val="00E34636"/>
    <w:rsid w:val="00E36E75"/>
    <w:rsid w:val="00E55BD1"/>
    <w:rsid w:val="00E67B7F"/>
    <w:rsid w:val="00E67E57"/>
    <w:rsid w:val="00E77D5A"/>
    <w:rsid w:val="00E820E5"/>
    <w:rsid w:val="00E82251"/>
    <w:rsid w:val="00E85FBE"/>
    <w:rsid w:val="00EA17EC"/>
    <w:rsid w:val="00EA2835"/>
    <w:rsid w:val="00EA4151"/>
    <w:rsid w:val="00EA715B"/>
    <w:rsid w:val="00EB1837"/>
    <w:rsid w:val="00EC188C"/>
    <w:rsid w:val="00EC6A3B"/>
    <w:rsid w:val="00ED0AD1"/>
    <w:rsid w:val="00EF2338"/>
    <w:rsid w:val="00F01C5E"/>
    <w:rsid w:val="00F04D5C"/>
    <w:rsid w:val="00F05794"/>
    <w:rsid w:val="00F10019"/>
    <w:rsid w:val="00F17B20"/>
    <w:rsid w:val="00F33EE4"/>
    <w:rsid w:val="00F34380"/>
    <w:rsid w:val="00F50C7A"/>
    <w:rsid w:val="00F5216D"/>
    <w:rsid w:val="00F63A22"/>
    <w:rsid w:val="00F919C2"/>
    <w:rsid w:val="00F9781B"/>
    <w:rsid w:val="00FA2B32"/>
    <w:rsid w:val="00FA5900"/>
    <w:rsid w:val="00FA6C9F"/>
    <w:rsid w:val="00FA703C"/>
    <w:rsid w:val="00FB7D1D"/>
    <w:rsid w:val="00FC1194"/>
    <w:rsid w:val="00FC3D5F"/>
    <w:rsid w:val="00FD4DCD"/>
    <w:rsid w:val="00FF55A6"/>
    <w:rsid w:val="00FF6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33A"/>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A433A"/>
    <w:pPr>
      <w:keepNext/>
      <w:tabs>
        <w:tab w:val="center" w:pos="4680"/>
      </w:tabs>
      <w:jc w:val="center"/>
      <w:outlineLvl w:val="0"/>
    </w:pPr>
    <w:rPr>
      <w:rFonts w:ascii="Arial Narrow" w:hAnsi="Arial Narrow"/>
      <w:b/>
      <w:bCs/>
    </w:rPr>
  </w:style>
  <w:style w:type="paragraph" w:styleId="Heading2">
    <w:name w:val="heading 2"/>
    <w:basedOn w:val="Normal"/>
    <w:next w:val="Normal"/>
    <w:qFormat/>
    <w:rsid w:val="00CA433A"/>
    <w:pPr>
      <w:keepNext/>
      <w:widowControl/>
      <w:autoSpaceDE/>
      <w:autoSpaceDN/>
      <w:adjustRightInd/>
      <w:spacing w:after="58"/>
      <w:jc w:val="right"/>
      <w:outlineLvl w:val="1"/>
    </w:pPr>
    <w:rPr>
      <w:rFonts w:ascii="Times" w:hAnsi="Times"/>
      <w:i/>
      <w:snapToGrid w:val="0"/>
      <w:szCs w:val="20"/>
    </w:rPr>
  </w:style>
  <w:style w:type="paragraph" w:styleId="Heading5">
    <w:name w:val="heading 5"/>
    <w:basedOn w:val="Normal"/>
    <w:next w:val="Normal"/>
    <w:link w:val="Heading5Char"/>
    <w:semiHidden/>
    <w:unhideWhenUsed/>
    <w:qFormat/>
    <w:rsid w:val="0047138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12,Nota"/>
    <w:rsid w:val="00CA433A"/>
  </w:style>
  <w:style w:type="paragraph" w:styleId="Header">
    <w:name w:val="header"/>
    <w:basedOn w:val="Normal"/>
    <w:rsid w:val="00CA433A"/>
    <w:pPr>
      <w:tabs>
        <w:tab w:val="center" w:pos="4320"/>
        <w:tab w:val="right" w:pos="8640"/>
      </w:tabs>
      <w:autoSpaceDE/>
      <w:autoSpaceDN/>
      <w:adjustRightInd/>
    </w:pPr>
    <w:rPr>
      <w:snapToGrid w:val="0"/>
      <w:szCs w:val="20"/>
    </w:rPr>
  </w:style>
  <w:style w:type="paragraph" w:styleId="BodyText">
    <w:name w:val="Body Text"/>
    <w:basedOn w:val="Normal"/>
    <w:rsid w:val="00CA433A"/>
    <w:rPr>
      <w:rFonts w:ascii="Times New Roman" w:hAnsi="Times New Roman"/>
      <w:b/>
      <w:bCs/>
    </w:rPr>
  </w:style>
  <w:style w:type="paragraph" w:styleId="Footer">
    <w:name w:val="footer"/>
    <w:basedOn w:val="Normal"/>
    <w:rsid w:val="00CA433A"/>
    <w:pPr>
      <w:tabs>
        <w:tab w:val="center" w:pos="4320"/>
        <w:tab w:val="right" w:pos="8640"/>
      </w:tabs>
    </w:pPr>
  </w:style>
  <w:style w:type="character" w:styleId="PageNumber">
    <w:name w:val="page number"/>
    <w:basedOn w:val="DefaultParagraphFont"/>
    <w:rsid w:val="00CA433A"/>
  </w:style>
  <w:style w:type="paragraph" w:styleId="BodyTextIndent">
    <w:name w:val="Body Text Indent"/>
    <w:basedOn w:val="Normal"/>
    <w:rsid w:val="00CA433A"/>
    <w:pPr>
      <w:widowControl/>
      <w:ind w:firstLine="720"/>
    </w:pPr>
    <w:rPr>
      <w:rFonts w:ascii="Times New Roman" w:hAnsi="Times New Roman"/>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Footnote Text Char1"/>
    <w:basedOn w:val="Normal"/>
    <w:link w:val="FootnoteTextChar"/>
    <w:uiPriority w:val="99"/>
    <w:rsid w:val="00B02EF3"/>
    <w:pPr>
      <w:widowControl/>
      <w:autoSpaceDE/>
      <w:autoSpaceDN/>
      <w:adjustRightInd/>
    </w:pPr>
    <w:rPr>
      <w:rFonts w:ascii="Times New Roman" w:hAnsi="Times New Roman"/>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locked/>
    <w:rsid w:val="00972C7A"/>
  </w:style>
  <w:style w:type="paragraph" w:styleId="CommentText">
    <w:name w:val="annotation text"/>
    <w:basedOn w:val="Normal"/>
    <w:link w:val="CommentTextChar1"/>
    <w:uiPriority w:val="99"/>
    <w:unhideWhenUsed/>
    <w:rsid w:val="00972C7A"/>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rsid w:val="00972C7A"/>
    <w:rPr>
      <w:rFonts w:ascii="Courier" w:hAnsi="Courier"/>
    </w:rPr>
  </w:style>
  <w:style w:type="paragraph" w:customStyle="1" w:styleId="Default">
    <w:name w:val="Default"/>
    <w:rsid w:val="00972C7A"/>
    <w:pPr>
      <w:autoSpaceDE w:val="0"/>
      <w:autoSpaceDN w:val="0"/>
      <w:adjustRightInd w:val="0"/>
    </w:pPr>
    <w:rPr>
      <w:color w:val="000000"/>
      <w:sz w:val="24"/>
      <w:szCs w:val="24"/>
    </w:rPr>
  </w:style>
  <w:style w:type="character" w:styleId="CommentReference">
    <w:name w:val="annotation reference"/>
    <w:uiPriority w:val="99"/>
    <w:unhideWhenUsed/>
    <w:rsid w:val="00972C7A"/>
    <w:rPr>
      <w:rFonts w:ascii="Times New Roman" w:hAnsi="Times New Roman" w:cs="Times New Roman" w:hint="default"/>
      <w:sz w:val="16"/>
    </w:rPr>
  </w:style>
  <w:style w:type="character" w:customStyle="1" w:styleId="CommentTextChar1">
    <w:name w:val="Comment Text Char1"/>
    <w:link w:val="CommentText"/>
    <w:uiPriority w:val="99"/>
    <w:locked/>
    <w:rsid w:val="00972C7A"/>
  </w:style>
  <w:style w:type="character" w:customStyle="1" w:styleId="documentbody1">
    <w:name w:val="documentbody1"/>
    <w:rsid w:val="00972C7A"/>
    <w:rPr>
      <w:rFonts w:ascii="Verdana" w:hAnsi="Verdana" w:hint="default"/>
      <w:sz w:val="19"/>
      <w:szCs w:val="19"/>
    </w:rPr>
  </w:style>
  <w:style w:type="paragraph" w:styleId="NormalWeb">
    <w:name w:val="Normal (Web)"/>
    <w:basedOn w:val="Normal"/>
    <w:uiPriority w:val="99"/>
    <w:rsid w:val="00373ED8"/>
    <w:pPr>
      <w:widowControl/>
      <w:autoSpaceDE/>
      <w:autoSpaceDN/>
      <w:adjustRightInd/>
      <w:spacing w:before="100" w:beforeAutospacing="1" w:after="100" w:afterAutospacing="1"/>
    </w:pPr>
    <w:rPr>
      <w:rFonts w:ascii="Times New Roman" w:eastAsia="Calibri" w:hAnsi="Times New Roman"/>
    </w:rPr>
  </w:style>
  <w:style w:type="paragraph" w:styleId="NoSpacing">
    <w:name w:val="No Spacing"/>
    <w:uiPriority w:val="99"/>
    <w:qFormat/>
    <w:rsid w:val="00373ED8"/>
    <w:rPr>
      <w:rFonts w:ascii="Calibri" w:eastAsia="Calibri" w:hAnsi="Calibri"/>
      <w:sz w:val="22"/>
      <w:szCs w:val="22"/>
    </w:rPr>
  </w:style>
  <w:style w:type="paragraph" w:styleId="ListParagraph">
    <w:name w:val="List Paragraph"/>
    <w:basedOn w:val="Normal"/>
    <w:uiPriority w:val="34"/>
    <w:qFormat/>
    <w:rsid w:val="00D81536"/>
    <w:pPr>
      <w:widowControl/>
      <w:autoSpaceDE/>
      <w:autoSpaceDN/>
      <w:adjustRightInd/>
      <w:ind w:left="720"/>
      <w:contextualSpacing/>
    </w:pPr>
    <w:rPr>
      <w:rFonts w:ascii="Times New Roman" w:eastAsiaTheme="minorHAnsi" w:hAnsi="Times New Roman" w:cstheme="minorBidi"/>
      <w:szCs w:val="22"/>
    </w:rPr>
  </w:style>
  <w:style w:type="paragraph" w:styleId="BalloonText">
    <w:name w:val="Balloon Text"/>
    <w:basedOn w:val="Normal"/>
    <w:link w:val="BalloonTextChar"/>
    <w:rsid w:val="001924CE"/>
    <w:rPr>
      <w:rFonts w:ascii="Tahoma" w:hAnsi="Tahoma" w:cs="Tahoma"/>
      <w:sz w:val="16"/>
      <w:szCs w:val="16"/>
    </w:rPr>
  </w:style>
  <w:style w:type="character" w:customStyle="1" w:styleId="BalloonTextChar">
    <w:name w:val="Balloon Text Char"/>
    <w:basedOn w:val="DefaultParagraphFont"/>
    <w:link w:val="BalloonText"/>
    <w:rsid w:val="001924CE"/>
    <w:rPr>
      <w:rFonts w:ascii="Tahoma" w:hAnsi="Tahoma" w:cs="Tahoma"/>
      <w:sz w:val="16"/>
      <w:szCs w:val="16"/>
    </w:rPr>
  </w:style>
  <w:style w:type="character" w:styleId="Emphasis">
    <w:name w:val="Emphasis"/>
    <w:basedOn w:val="DefaultParagraphFont"/>
    <w:uiPriority w:val="20"/>
    <w:qFormat/>
    <w:rsid w:val="005A6A67"/>
    <w:rPr>
      <w:i/>
      <w:iCs/>
    </w:rPr>
  </w:style>
  <w:style w:type="paragraph" w:styleId="CommentSubject">
    <w:name w:val="annotation subject"/>
    <w:basedOn w:val="CommentText"/>
    <w:next w:val="CommentText"/>
    <w:link w:val="CommentSubjectChar"/>
    <w:rsid w:val="0046618F"/>
    <w:pPr>
      <w:widowControl w:val="0"/>
      <w:autoSpaceDE w:val="0"/>
      <w:autoSpaceDN w:val="0"/>
      <w:adjustRightInd w:val="0"/>
    </w:pPr>
    <w:rPr>
      <w:rFonts w:ascii="Courier" w:hAnsi="Courier"/>
      <w:b/>
      <w:bCs/>
    </w:rPr>
  </w:style>
  <w:style w:type="character" w:customStyle="1" w:styleId="CommentSubjectChar">
    <w:name w:val="Comment Subject Char"/>
    <w:basedOn w:val="CommentTextChar1"/>
    <w:link w:val="CommentSubject"/>
    <w:rsid w:val="0046618F"/>
    <w:rPr>
      <w:rFonts w:ascii="Courier" w:hAnsi="Courier"/>
      <w:b/>
      <w:bCs/>
    </w:rPr>
  </w:style>
  <w:style w:type="character" w:customStyle="1" w:styleId="Heading5Char">
    <w:name w:val="Heading 5 Char"/>
    <w:basedOn w:val="DefaultParagraphFont"/>
    <w:link w:val="Heading5"/>
    <w:semiHidden/>
    <w:rsid w:val="00471381"/>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471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33A"/>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A433A"/>
    <w:pPr>
      <w:keepNext/>
      <w:tabs>
        <w:tab w:val="center" w:pos="4680"/>
      </w:tabs>
      <w:jc w:val="center"/>
      <w:outlineLvl w:val="0"/>
    </w:pPr>
    <w:rPr>
      <w:rFonts w:ascii="Arial Narrow" w:hAnsi="Arial Narrow"/>
      <w:b/>
      <w:bCs/>
    </w:rPr>
  </w:style>
  <w:style w:type="paragraph" w:styleId="Heading2">
    <w:name w:val="heading 2"/>
    <w:basedOn w:val="Normal"/>
    <w:next w:val="Normal"/>
    <w:qFormat/>
    <w:rsid w:val="00CA433A"/>
    <w:pPr>
      <w:keepNext/>
      <w:widowControl/>
      <w:autoSpaceDE/>
      <w:autoSpaceDN/>
      <w:adjustRightInd/>
      <w:spacing w:after="58"/>
      <w:jc w:val="right"/>
      <w:outlineLvl w:val="1"/>
    </w:pPr>
    <w:rPr>
      <w:rFonts w:ascii="Times" w:hAnsi="Times"/>
      <w:i/>
      <w:snapToGrid w:val="0"/>
      <w:szCs w:val="20"/>
    </w:rPr>
  </w:style>
  <w:style w:type="paragraph" w:styleId="Heading5">
    <w:name w:val="heading 5"/>
    <w:basedOn w:val="Normal"/>
    <w:next w:val="Normal"/>
    <w:link w:val="Heading5Char"/>
    <w:semiHidden/>
    <w:unhideWhenUsed/>
    <w:qFormat/>
    <w:rsid w:val="0047138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12,Nota"/>
    <w:rsid w:val="00CA433A"/>
  </w:style>
  <w:style w:type="paragraph" w:styleId="Header">
    <w:name w:val="header"/>
    <w:basedOn w:val="Normal"/>
    <w:rsid w:val="00CA433A"/>
    <w:pPr>
      <w:tabs>
        <w:tab w:val="center" w:pos="4320"/>
        <w:tab w:val="right" w:pos="8640"/>
      </w:tabs>
      <w:autoSpaceDE/>
      <w:autoSpaceDN/>
      <w:adjustRightInd/>
    </w:pPr>
    <w:rPr>
      <w:snapToGrid w:val="0"/>
      <w:szCs w:val="20"/>
    </w:rPr>
  </w:style>
  <w:style w:type="paragraph" w:styleId="BodyText">
    <w:name w:val="Body Text"/>
    <w:basedOn w:val="Normal"/>
    <w:rsid w:val="00CA433A"/>
    <w:rPr>
      <w:rFonts w:ascii="Times New Roman" w:hAnsi="Times New Roman"/>
      <w:b/>
      <w:bCs/>
    </w:rPr>
  </w:style>
  <w:style w:type="paragraph" w:styleId="Footer">
    <w:name w:val="footer"/>
    <w:basedOn w:val="Normal"/>
    <w:rsid w:val="00CA433A"/>
    <w:pPr>
      <w:tabs>
        <w:tab w:val="center" w:pos="4320"/>
        <w:tab w:val="right" w:pos="8640"/>
      </w:tabs>
    </w:pPr>
  </w:style>
  <w:style w:type="character" w:styleId="PageNumber">
    <w:name w:val="page number"/>
    <w:basedOn w:val="DefaultParagraphFont"/>
    <w:rsid w:val="00CA433A"/>
  </w:style>
  <w:style w:type="paragraph" w:styleId="BodyTextIndent">
    <w:name w:val="Body Text Indent"/>
    <w:basedOn w:val="Normal"/>
    <w:rsid w:val="00CA433A"/>
    <w:pPr>
      <w:widowControl/>
      <w:ind w:firstLine="720"/>
    </w:pPr>
    <w:rPr>
      <w:rFonts w:ascii="Times New Roman" w:hAnsi="Times New Roman"/>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Footnote Text Char1"/>
    <w:basedOn w:val="Normal"/>
    <w:link w:val="FootnoteTextChar"/>
    <w:uiPriority w:val="99"/>
    <w:rsid w:val="00B02EF3"/>
    <w:pPr>
      <w:widowControl/>
      <w:autoSpaceDE/>
      <w:autoSpaceDN/>
      <w:adjustRightInd/>
    </w:pPr>
    <w:rPr>
      <w:rFonts w:ascii="Times New Roman" w:hAnsi="Times New Roman"/>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locked/>
    <w:rsid w:val="00972C7A"/>
  </w:style>
  <w:style w:type="paragraph" w:styleId="CommentText">
    <w:name w:val="annotation text"/>
    <w:basedOn w:val="Normal"/>
    <w:link w:val="CommentTextChar1"/>
    <w:uiPriority w:val="99"/>
    <w:unhideWhenUsed/>
    <w:rsid w:val="00972C7A"/>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rsid w:val="00972C7A"/>
    <w:rPr>
      <w:rFonts w:ascii="Courier" w:hAnsi="Courier"/>
    </w:rPr>
  </w:style>
  <w:style w:type="paragraph" w:customStyle="1" w:styleId="Default">
    <w:name w:val="Default"/>
    <w:rsid w:val="00972C7A"/>
    <w:pPr>
      <w:autoSpaceDE w:val="0"/>
      <w:autoSpaceDN w:val="0"/>
      <w:adjustRightInd w:val="0"/>
    </w:pPr>
    <w:rPr>
      <w:color w:val="000000"/>
      <w:sz w:val="24"/>
      <w:szCs w:val="24"/>
    </w:rPr>
  </w:style>
  <w:style w:type="character" w:styleId="CommentReference">
    <w:name w:val="annotation reference"/>
    <w:uiPriority w:val="99"/>
    <w:unhideWhenUsed/>
    <w:rsid w:val="00972C7A"/>
    <w:rPr>
      <w:rFonts w:ascii="Times New Roman" w:hAnsi="Times New Roman" w:cs="Times New Roman" w:hint="default"/>
      <w:sz w:val="16"/>
    </w:rPr>
  </w:style>
  <w:style w:type="character" w:customStyle="1" w:styleId="CommentTextChar1">
    <w:name w:val="Comment Text Char1"/>
    <w:link w:val="CommentText"/>
    <w:uiPriority w:val="99"/>
    <w:locked/>
    <w:rsid w:val="00972C7A"/>
  </w:style>
  <w:style w:type="character" w:customStyle="1" w:styleId="documentbody1">
    <w:name w:val="documentbody1"/>
    <w:rsid w:val="00972C7A"/>
    <w:rPr>
      <w:rFonts w:ascii="Verdana" w:hAnsi="Verdana" w:hint="default"/>
      <w:sz w:val="19"/>
      <w:szCs w:val="19"/>
    </w:rPr>
  </w:style>
  <w:style w:type="paragraph" w:styleId="NormalWeb">
    <w:name w:val="Normal (Web)"/>
    <w:basedOn w:val="Normal"/>
    <w:uiPriority w:val="99"/>
    <w:rsid w:val="00373ED8"/>
    <w:pPr>
      <w:widowControl/>
      <w:autoSpaceDE/>
      <w:autoSpaceDN/>
      <w:adjustRightInd/>
      <w:spacing w:before="100" w:beforeAutospacing="1" w:after="100" w:afterAutospacing="1"/>
    </w:pPr>
    <w:rPr>
      <w:rFonts w:ascii="Times New Roman" w:eastAsia="Calibri" w:hAnsi="Times New Roman"/>
    </w:rPr>
  </w:style>
  <w:style w:type="paragraph" w:styleId="NoSpacing">
    <w:name w:val="No Spacing"/>
    <w:uiPriority w:val="99"/>
    <w:qFormat/>
    <w:rsid w:val="00373ED8"/>
    <w:rPr>
      <w:rFonts w:ascii="Calibri" w:eastAsia="Calibri" w:hAnsi="Calibri"/>
      <w:sz w:val="22"/>
      <w:szCs w:val="22"/>
    </w:rPr>
  </w:style>
  <w:style w:type="paragraph" w:styleId="ListParagraph">
    <w:name w:val="List Paragraph"/>
    <w:basedOn w:val="Normal"/>
    <w:uiPriority w:val="34"/>
    <w:qFormat/>
    <w:rsid w:val="00D81536"/>
    <w:pPr>
      <w:widowControl/>
      <w:autoSpaceDE/>
      <w:autoSpaceDN/>
      <w:adjustRightInd/>
      <w:ind w:left="720"/>
      <w:contextualSpacing/>
    </w:pPr>
    <w:rPr>
      <w:rFonts w:ascii="Times New Roman" w:eastAsiaTheme="minorHAnsi" w:hAnsi="Times New Roman" w:cstheme="minorBidi"/>
      <w:szCs w:val="22"/>
    </w:rPr>
  </w:style>
  <w:style w:type="paragraph" w:styleId="BalloonText">
    <w:name w:val="Balloon Text"/>
    <w:basedOn w:val="Normal"/>
    <w:link w:val="BalloonTextChar"/>
    <w:rsid w:val="001924CE"/>
    <w:rPr>
      <w:rFonts w:ascii="Tahoma" w:hAnsi="Tahoma" w:cs="Tahoma"/>
      <w:sz w:val="16"/>
      <w:szCs w:val="16"/>
    </w:rPr>
  </w:style>
  <w:style w:type="character" w:customStyle="1" w:styleId="BalloonTextChar">
    <w:name w:val="Balloon Text Char"/>
    <w:basedOn w:val="DefaultParagraphFont"/>
    <w:link w:val="BalloonText"/>
    <w:rsid w:val="001924CE"/>
    <w:rPr>
      <w:rFonts w:ascii="Tahoma" w:hAnsi="Tahoma" w:cs="Tahoma"/>
      <w:sz w:val="16"/>
      <w:szCs w:val="16"/>
    </w:rPr>
  </w:style>
  <w:style w:type="character" w:styleId="Emphasis">
    <w:name w:val="Emphasis"/>
    <w:basedOn w:val="DefaultParagraphFont"/>
    <w:uiPriority w:val="20"/>
    <w:qFormat/>
    <w:rsid w:val="005A6A67"/>
    <w:rPr>
      <w:i/>
      <w:iCs/>
    </w:rPr>
  </w:style>
  <w:style w:type="paragraph" w:styleId="CommentSubject">
    <w:name w:val="annotation subject"/>
    <w:basedOn w:val="CommentText"/>
    <w:next w:val="CommentText"/>
    <w:link w:val="CommentSubjectChar"/>
    <w:rsid w:val="0046618F"/>
    <w:pPr>
      <w:widowControl w:val="0"/>
      <w:autoSpaceDE w:val="0"/>
      <w:autoSpaceDN w:val="0"/>
      <w:adjustRightInd w:val="0"/>
    </w:pPr>
    <w:rPr>
      <w:rFonts w:ascii="Courier" w:hAnsi="Courier"/>
      <w:b/>
      <w:bCs/>
    </w:rPr>
  </w:style>
  <w:style w:type="character" w:customStyle="1" w:styleId="CommentSubjectChar">
    <w:name w:val="Comment Subject Char"/>
    <w:basedOn w:val="CommentTextChar1"/>
    <w:link w:val="CommentSubject"/>
    <w:rsid w:val="0046618F"/>
    <w:rPr>
      <w:rFonts w:ascii="Courier" w:hAnsi="Courier"/>
      <w:b/>
      <w:bCs/>
    </w:rPr>
  </w:style>
  <w:style w:type="character" w:customStyle="1" w:styleId="Heading5Char">
    <w:name w:val="Heading 5 Char"/>
    <w:basedOn w:val="DefaultParagraphFont"/>
    <w:link w:val="Heading5"/>
    <w:semiHidden/>
    <w:rsid w:val="00471381"/>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471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19800">
      <w:bodyDiv w:val="1"/>
      <w:marLeft w:val="0"/>
      <w:marRight w:val="0"/>
      <w:marTop w:val="0"/>
      <w:marBottom w:val="0"/>
      <w:divBdr>
        <w:top w:val="none" w:sz="0" w:space="0" w:color="auto"/>
        <w:left w:val="none" w:sz="0" w:space="0" w:color="auto"/>
        <w:bottom w:val="none" w:sz="0" w:space="0" w:color="auto"/>
        <w:right w:val="none" w:sz="0" w:space="0" w:color="auto"/>
      </w:divBdr>
    </w:div>
    <w:div w:id="463931160">
      <w:bodyDiv w:val="1"/>
      <w:marLeft w:val="0"/>
      <w:marRight w:val="0"/>
      <w:marTop w:val="0"/>
      <w:marBottom w:val="0"/>
      <w:divBdr>
        <w:top w:val="none" w:sz="0" w:space="0" w:color="auto"/>
        <w:left w:val="none" w:sz="0" w:space="0" w:color="auto"/>
        <w:bottom w:val="none" w:sz="0" w:space="0" w:color="auto"/>
        <w:right w:val="none" w:sz="0" w:space="0" w:color="auto"/>
      </w:divBdr>
    </w:div>
    <w:div w:id="69665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F5B94-648D-4B2C-A1FE-9D7851691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SYSTEM</cp:lastModifiedBy>
  <cp:revision>2</cp:revision>
  <cp:lastPrinted>2014-04-16T22:55:00Z</cp:lastPrinted>
  <dcterms:created xsi:type="dcterms:W3CDTF">2018-08-09T16:34:00Z</dcterms:created>
  <dcterms:modified xsi:type="dcterms:W3CDTF">2018-08-09T16:34:00Z</dcterms:modified>
</cp:coreProperties>
</file>