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p>
    <w:p w:rsidR="002D133A" w:rsidRDefault="00642AA6" w:rsidP="00642AA6">
      <w:pPr>
        <w:suppressAutoHyphens/>
        <w:jc w:val="center"/>
        <w:rPr>
          <w:rFonts w:ascii="Times New Roman" w:hAnsi="Times New Roman"/>
          <w:b/>
        </w:rPr>
      </w:pPr>
      <w:r>
        <w:rPr>
          <w:rFonts w:ascii="Times New Roman" w:hAnsi="Times New Roman"/>
          <w:b/>
        </w:rPr>
        <w:t>Amendments to the Swap Data Access Provisions of Part 49 and Certain Other Matters</w:t>
      </w:r>
    </w:p>
    <w:p w:rsidR="00642AA6" w:rsidRDefault="00642AA6" w:rsidP="00642AA6">
      <w:pPr>
        <w:suppressAutoHyphens/>
        <w:jc w:val="center"/>
        <w:rPr>
          <w:rFonts w:ascii="Times New Roman" w:hAnsi="Times New Roman"/>
        </w:rPr>
      </w:pPr>
    </w:p>
    <w:p w:rsidR="002D133A" w:rsidRDefault="002D133A">
      <w:pPr>
        <w:tabs>
          <w:tab w:val="center" w:pos="4680"/>
        </w:tabs>
        <w:suppressAutoHyphens/>
        <w:rPr>
          <w:rFonts w:ascii="Times New Roman" w:hAnsi="Times New Roman"/>
        </w:rPr>
      </w:pPr>
      <w:r>
        <w:rPr>
          <w:rFonts w:ascii="Times New Roman" w:hAnsi="Times New Roman"/>
        </w:rPr>
        <w:tab/>
        <w:t>OMB CONTROL NUMBER 3038-</w:t>
      </w:r>
      <w:r w:rsidR="00642AA6">
        <w:rPr>
          <w:rFonts w:ascii="Times New Roman" w:hAnsi="Times New Roman"/>
        </w:rPr>
        <w:t>0086</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642AA6">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D133A" w:rsidRDefault="002D133A">
      <w:pPr>
        <w:tabs>
          <w:tab w:val="left" w:pos="-720"/>
        </w:tabs>
        <w:suppressAutoHyphens/>
        <w:rPr>
          <w:rFonts w:ascii="Times New Roman" w:hAnsi="Times New Roman"/>
        </w:rPr>
      </w:pPr>
    </w:p>
    <w:p w:rsidR="00765429" w:rsidRDefault="00C67A9E" w:rsidP="000F7FF6">
      <w:pPr>
        <w:widowControl w:val="0"/>
        <w:ind w:firstLine="720"/>
        <w:rPr>
          <w:rFonts w:ascii="Times New Roman" w:eastAsia="Calibri" w:hAnsi="Times New Roman"/>
          <w:szCs w:val="24"/>
        </w:rPr>
      </w:pPr>
      <w:r w:rsidRPr="00C67A9E">
        <w:rPr>
          <w:rFonts w:ascii="Times New Roman" w:eastAsia="Calibri" w:hAnsi="Times New Roman"/>
          <w:szCs w:val="24"/>
        </w:rPr>
        <w:t>Title VII of the Dodd-Frank Act</w:t>
      </w:r>
      <w:r w:rsidRPr="00C67A9E">
        <w:rPr>
          <w:rFonts w:ascii="Times New Roman" w:eastAsia="Calibri" w:hAnsi="Times New Roman"/>
          <w:szCs w:val="24"/>
          <w:vertAlign w:val="superscript"/>
        </w:rPr>
        <w:footnoteReference w:id="2"/>
      </w:r>
      <w:r w:rsidRPr="00C67A9E">
        <w:rPr>
          <w:rFonts w:ascii="Times New Roman" w:eastAsia="Calibri" w:hAnsi="Times New Roman"/>
          <w:szCs w:val="24"/>
        </w:rPr>
        <w:t xml:space="preserve"> amended the Commodity Exchange Act (“CEA” or the “Act”)</w:t>
      </w:r>
      <w:r w:rsidRPr="00C67A9E">
        <w:rPr>
          <w:rFonts w:ascii="Times New Roman" w:eastAsia="Calibri" w:hAnsi="Times New Roman"/>
          <w:szCs w:val="24"/>
          <w:vertAlign w:val="superscript"/>
        </w:rPr>
        <w:footnoteReference w:id="3"/>
      </w:r>
      <w:r w:rsidRPr="00C67A9E">
        <w:rPr>
          <w:rFonts w:ascii="Times New Roman" w:eastAsia="Calibri" w:hAnsi="Times New Roman"/>
          <w:szCs w:val="24"/>
        </w:rPr>
        <w:t xml:space="preserve"> to establish a comprehensive new regulatory framework for swaps including, in new CEA </w:t>
      </w:r>
      <w:r w:rsidR="008C173B">
        <w:rPr>
          <w:rFonts w:ascii="Times New Roman" w:eastAsia="Calibri" w:hAnsi="Times New Roman"/>
          <w:szCs w:val="24"/>
        </w:rPr>
        <w:t>§</w:t>
      </w:r>
      <w:r w:rsidRPr="00C67A9E">
        <w:rPr>
          <w:rFonts w:ascii="Times New Roman" w:eastAsia="Calibri" w:hAnsi="Times New Roman"/>
          <w:szCs w:val="24"/>
        </w:rPr>
        <w:t xml:space="preserve"> 21, the registration and regulation of Swap Data Repositories (“SDRs”).</w:t>
      </w:r>
      <w:r w:rsidRPr="00C67A9E">
        <w:rPr>
          <w:rFonts w:ascii="Times New Roman" w:eastAsia="Calibri" w:hAnsi="Times New Roman"/>
          <w:szCs w:val="24"/>
          <w:vertAlign w:val="superscript"/>
        </w:rPr>
        <w:footnoteReference w:id="4"/>
      </w:r>
      <w:r w:rsidRPr="00C67A9E">
        <w:rPr>
          <w:rFonts w:ascii="Times New Roman" w:eastAsia="Calibri" w:hAnsi="Times New Roman"/>
          <w:szCs w:val="24"/>
        </w:rPr>
        <w:t xml:space="preserve"> CEA </w:t>
      </w:r>
      <w:r w:rsidR="004C0434">
        <w:rPr>
          <w:rFonts w:ascii="Times New Roman" w:eastAsia="Calibri" w:hAnsi="Times New Roman"/>
          <w:szCs w:val="24"/>
        </w:rPr>
        <w:t>§</w:t>
      </w:r>
      <w:r w:rsidRPr="00C67A9E">
        <w:rPr>
          <w:rFonts w:ascii="Times New Roman" w:eastAsia="Calibri" w:hAnsi="Times New Roman"/>
          <w:szCs w:val="24"/>
        </w:rPr>
        <w:t xml:space="preserve"> 21 imposes on SDRs, among other duties and responsibilities, the duty to maintain the privacy of all swap transaction information received from a swap dealer, counterparty, or any other registered entity.</w:t>
      </w:r>
      <w:r w:rsidRPr="00C67A9E">
        <w:rPr>
          <w:rFonts w:ascii="Times New Roman" w:eastAsia="Calibri" w:hAnsi="Times New Roman"/>
          <w:szCs w:val="24"/>
          <w:vertAlign w:val="superscript"/>
        </w:rPr>
        <w:footnoteReference w:id="5"/>
      </w:r>
      <w:r w:rsidRPr="00C67A9E">
        <w:rPr>
          <w:rFonts w:ascii="Times New Roman" w:eastAsia="Calibri" w:hAnsi="Times New Roman"/>
          <w:szCs w:val="24"/>
        </w:rPr>
        <w:t xml:space="preserve"> </w:t>
      </w:r>
      <w:r w:rsidR="004F5D0A">
        <w:rPr>
          <w:rFonts w:ascii="Times New Roman" w:eastAsia="Calibri" w:hAnsi="Times New Roman"/>
          <w:szCs w:val="24"/>
        </w:rPr>
        <w:t xml:space="preserve">Additionally, </w:t>
      </w:r>
      <w:r w:rsidRPr="00C67A9E">
        <w:rPr>
          <w:rFonts w:ascii="Times New Roman" w:eastAsia="Calibri" w:hAnsi="Times New Roman"/>
          <w:szCs w:val="24"/>
        </w:rPr>
        <w:t xml:space="preserve">CEA </w:t>
      </w:r>
      <w:r w:rsidR="008C173B">
        <w:rPr>
          <w:rFonts w:ascii="Times New Roman" w:eastAsia="Calibri" w:hAnsi="Times New Roman"/>
          <w:szCs w:val="24"/>
        </w:rPr>
        <w:t>§</w:t>
      </w:r>
      <w:r w:rsidRPr="00C67A9E">
        <w:rPr>
          <w:rFonts w:ascii="Times New Roman" w:eastAsia="Calibri" w:hAnsi="Times New Roman"/>
          <w:szCs w:val="24"/>
        </w:rPr>
        <w:t xml:space="preserve"> 21(c)(7) directs SDRs to make swap data available “on a confidential basis pursuant to section 8 [of the CEA]”</w:t>
      </w:r>
      <w:r w:rsidRPr="00C67A9E">
        <w:rPr>
          <w:rFonts w:ascii="Times New Roman" w:eastAsia="Calibri" w:hAnsi="Times New Roman"/>
          <w:szCs w:val="24"/>
          <w:vertAlign w:val="superscript"/>
        </w:rPr>
        <w:footnoteReference w:id="6"/>
      </w:r>
      <w:r w:rsidRPr="00C67A9E">
        <w:rPr>
          <w:rFonts w:ascii="Times New Roman" w:eastAsia="Calibri" w:hAnsi="Times New Roman"/>
          <w:szCs w:val="24"/>
        </w:rPr>
        <w:t xml:space="preserve"> to certain enumerated domestic authorities and any other person the Commission determines to be appropriate, which may include certain types of foreign authorities.</w:t>
      </w:r>
      <w:r w:rsidRPr="00C67A9E">
        <w:rPr>
          <w:rFonts w:ascii="Times New Roman" w:eastAsia="Calibri" w:hAnsi="Times New Roman"/>
          <w:szCs w:val="24"/>
          <w:vertAlign w:val="superscript"/>
        </w:rPr>
        <w:footnoteReference w:id="7"/>
      </w:r>
      <w:r w:rsidRPr="00C67A9E">
        <w:rPr>
          <w:rFonts w:ascii="Times New Roman" w:eastAsia="Calibri" w:hAnsi="Times New Roman"/>
          <w:szCs w:val="24"/>
        </w:rPr>
        <w:t xml:space="preserve"> As originally enacted, CEA </w:t>
      </w:r>
      <w:r w:rsidR="004C0434">
        <w:rPr>
          <w:rFonts w:ascii="Times New Roman" w:eastAsia="Calibri" w:hAnsi="Times New Roman"/>
          <w:szCs w:val="24"/>
        </w:rPr>
        <w:t>§§</w:t>
      </w:r>
      <w:r w:rsidRPr="00C67A9E">
        <w:rPr>
          <w:rFonts w:ascii="Times New Roman" w:eastAsia="Calibri" w:hAnsi="Times New Roman"/>
          <w:szCs w:val="24"/>
        </w:rPr>
        <w:t xml:space="preserve"> 21(d)(1) and (2) mandated that, prior to receipt of any requested data or information from an SDR, </w:t>
      </w:r>
      <w:r w:rsidR="008C173B">
        <w:rPr>
          <w:rFonts w:ascii="Times New Roman" w:eastAsia="Calibri" w:hAnsi="Times New Roman"/>
          <w:szCs w:val="24"/>
        </w:rPr>
        <w:t xml:space="preserve">domestic and foreign </w:t>
      </w:r>
      <w:r w:rsidR="004751B9">
        <w:rPr>
          <w:rFonts w:ascii="Times New Roman" w:eastAsia="Calibri" w:hAnsi="Times New Roman"/>
          <w:szCs w:val="24"/>
        </w:rPr>
        <w:t>authorities</w:t>
      </w:r>
      <w:r w:rsidR="008C173B">
        <w:rPr>
          <w:rFonts w:ascii="Times New Roman" w:eastAsia="Calibri" w:hAnsi="Times New Roman"/>
          <w:szCs w:val="24"/>
        </w:rPr>
        <w:t xml:space="preserve"> described in CEA </w:t>
      </w:r>
      <w:r w:rsidR="004C0434">
        <w:rPr>
          <w:rFonts w:ascii="Times New Roman" w:eastAsia="Calibri" w:hAnsi="Times New Roman"/>
          <w:szCs w:val="24"/>
        </w:rPr>
        <w:t>§</w:t>
      </w:r>
      <w:r w:rsidRPr="00C67A9E">
        <w:rPr>
          <w:rFonts w:ascii="Times New Roman" w:eastAsia="Calibri" w:hAnsi="Times New Roman"/>
          <w:szCs w:val="24"/>
        </w:rPr>
        <w:t xml:space="preserve"> 21(c)(7) agree in writing to abide by the confidentiality requirements described in CEA </w:t>
      </w:r>
      <w:r w:rsidR="004C0434">
        <w:rPr>
          <w:rFonts w:ascii="Times New Roman" w:eastAsia="Calibri" w:hAnsi="Times New Roman"/>
          <w:szCs w:val="24"/>
        </w:rPr>
        <w:t>§</w:t>
      </w:r>
      <w:r w:rsidRPr="00C67A9E">
        <w:rPr>
          <w:rFonts w:ascii="Times New Roman" w:eastAsia="Calibri" w:hAnsi="Times New Roman"/>
          <w:szCs w:val="24"/>
        </w:rPr>
        <w:t xml:space="preserve"> 8 and, separately, to indemnify the SDR and the Commission for “any expenses arising from litigation relating to the information provided under section 8.”</w:t>
      </w:r>
      <w:r w:rsidRPr="00C67A9E">
        <w:rPr>
          <w:rFonts w:ascii="Times New Roman" w:eastAsia="Calibri" w:hAnsi="Times New Roman"/>
          <w:szCs w:val="24"/>
          <w:vertAlign w:val="superscript"/>
        </w:rPr>
        <w:footnoteReference w:id="8"/>
      </w:r>
      <w:r w:rsidRPr="00C67A9E">
        <w:rPr>
          <w:rFonts w:ascii="Times New Roman" w:eastAsia="Calibri" w:hAnsi="Times New Roman"/>
          <w:szCs w:val="24"/>
        </w:rPr>
        <w:t xml:space="preserve"> </w:t>
      </w:r>
    </w:p>
    <w:p w:rsidR="000F7FF6" w:rsidRDefault="000F7FF6" w:rsidP="000F7FF6">
      <w:pPr>
        <w:widowControl w:val="0"/>
        <w:ind w:firstLine="720"/>
        <w:rPr>
          <w:rFonts w:ascii="Times New Roman" w:eastAsia="Calibri" w:hAnsi="Times New Roman"/>
          <w:szCs w:val="24"/>
        </w:rPr>
      </w:pPr>
    </w:p>
    <w:p w:rsidR="00AC38DF" w:rsidRDefault="00765429" w:rsidP="000F7FF6">
      <w:pPr>
        <w:widowControl w:val="0"/>
        <w:ind w:firstLine="720"/>
        <w:rPr>
          <w:rFonts w:ascii="Times New Roman" w:hAnsi="Times New Roman"/>
        </w:rPr>
      </w:pPr>
      <w:r w:rsidRPr="00765429">
        <w:rPr>
          <w:rFonts w:ascii="Times New Roman" w:eastAsia="Calibri" w:hAnsi="Times New Roman"/>
          <w:szCs w:val="24"/>
        </w:rPr>
        <w:t xml:space="preserve">The </w:t>
      </w:r>
      <w:r w:rsidR="008C173B" w:rsidRPr="008C173B">
        <w:rPr>
          <w:rFonts w:ascii="Times New Roman" w:eastAsia="Calibri" w:hAnsi="Times New Roman"/>
          <w:szCs w:val="24"/>
        </w:rPr>
        <w:t>Fixing America’s Surface Transportation Act of 2015 (“FAST Act”)</w:t>
      </w:r>
      <w:r w:rsidRPr="00765429">
        <w:rPr>
          <w:rFonts w:ascii="Times New Roman" w:eastAsia="Calibri" w:hAnsi="Times New Roman"/>
          <w:szCs w:val="24"/>
        </w:rPr>
        <w:t xml:space="preserve">, enacted in </w:t>
      </w:r>
      <w:r w:rsidRPr="00765429">
        <w:rPr>
          <w:rFonts w:ascii="Times New Roman" w:eastAsia="Calibri" w:hAnsi="Times New Roman"/>
          <w:szCs w:val="24"/>
        </w:rPr>
        <w:lastRenderedPageBreak/>
        <w:t xml:space="preserve">December 2015, </w:t>
      </w:r>
      <w:r w:rsidR="008C173B">
        <w:rPr>
          <w:rFonts w:ascii="Times New Roman" w:eastAsia="Calibri" w:hAnsi="Times New Roman"/>
          <w:szCs w:val="24"/>
        </w:rPr>
        <w:t>amended</w:t>
      </w:r>
      <w:r w:rsidRPr="00765429">
        <w:rPr>
          <w:rFonts w:ascii="Times New Roman" w:eastAsia="Calibri" w:hAnsi="Times New Roman"/>
          <w:szCs w:val="24"/>
        </w:rPr>
        <w:t xml:space="preserve"> CEA </w:t>
      </w:r>
      <w:r w:rsidR="004C0434">
        <w:rPr>
          <w:rFonts w:ascii="Times New Roman" w:eastAsia="Calibri" w:hAnsi="Times New Roman"/>
          <w:szCs w:val="24"/>
        </w:rPr>
        <w:t>§§</w:t>
      </w:r>
      <w:r w:rsidRPr="00765429">
        <w:rPr>
          <w:rFonts w:ascii="Times New Roman" w:eastAsia="Calibri" w:hAnsi="Times New Roman"/>
          <w:szCs w:val="24"/>
        </w:rPr>
        <w:t xml:space="preserve"> 21(c)(7) and </w:t>
      </w:r>
      <w:r w:rsidR="008C173B">
        <w:rPr>
          <w:rFonts w:ascii="Times New Roman" w:eastAsia="Calibri" w:hAnsi="Times New Roman"/>
          <w:szCs w:val="24"/>
        </w:rPr>
        <w:t>21(d), including by repealing t</w:t>
      </w:r>
      <w:r w:rsidR="008C173B" w:rsidRPr="008C173B">
        <w:rPr>
          <w:rFonts w:ascii="Times New Roman" w:eastAsia="Calibri" w:hAnsi="Times New Roman"/>
          <w:szCs w:val="24"/>
        </w:rPr>
        <w:t>he indemnification requirement</w:t>
      </w:r>
      <w:r w:rsidR="008C173B">
        <w:rPr>
          <w:rFonts w:ascii="Times New Roman" w:eastAsia="Calibri" w:hAnsi="Times New Roman"/>
          <w:szCs w:val="24"/>
        </w:rPr>
        <w:t xml:space="preserve"> formerly set forth in </w:t>
      </w:r>
      <w:r w:rsidR="004C0434">
        <w:rPr>
          <w:rFonts w:ascii="Times New Roman" w:eastAsia="Calibri" w:hAnsi="Times New Roman"/>
          <w:szCs w:val="24"/>
        </w:rPr>
        <w:t>§</w:t>
      </w:r>
      <w:r w:rsidR="008C173B">
        <w:rPr>
          <w:rFonts w:ascii="Times New Roman" w:eastAsia="Calibri" w:hAnsi="Times New Roman"/>
          <w:szCs w:val="24"/>
        </w:rPr>
        <w:t xml:space="preserve"> 21(d)</w:t>
      </w:r>
      <w:r w:rsidR="008C173B" w:rsidRPr="008C173B">
        <w:rPr>
          <w:rFonts w:ascii="Times New Roman" w:eastAsia="Calibri" w:hAnsi="Times New Roman"/>
          <w:szCs w:val="24"/>
        </w:rPr>
        <w:t>.</w:t>
      </w:r>
      <w:r w:rsidR="008C173B">
        <w:rPr>
          <w:rStyle w:val="FootnoteReference"/>
          <w:rFonts w:ascii="Times New Roman" w:eastAsia="Calibri" w:hAnsi="Times New Roman"/>
          <w:szCs w:val="24"/>
        </w:rPr>
        <w:footnoteReference w:id="9"/>
      </w:r>
      <w:r w:rsidR="008C173B" w:rsidRPr="008C173B">
        <w:rPr>
          <w:rFonts w:ascii="Times New Roman" w:eastAsia="Calibri" w:hAnsi="Times New Roman"/>
          <w:szCs w:val="24"/>
        </w:rPr>
        <w:t xml:space="preserve"> </w:t>
      </w:r>
      <w:r w:rsidR="008C173B">
        <w:rPr>
          <w:rFonts w:ascii="Times New Roman" w:eastAsia="Calibri" w:hAnsi="Times New Roman"/>
          <w:szCs w:val="24"/>
        </w:rPr>
        <w:t xml:space="preserve"> </w:t>
      </w:r>
      <w:r w:rsidR="00C67A9E" w:rsidRPr="00C67A9E">
        <w:rPr>
          <w:rFonts w:ascii="Times New Roman" w:eastAsia="Calibri" w:hAnsi="Times New Roman"/>
          <w:szCs w:val="24"/>
        </w:rPr>
        <w:t xml:space="preserve">Congress’s repeal of the indemnification requirement gave rise to the amendments </w:t>
      </w:r>
      <w:r w:rsidR="00030FA7">
        <w:rPr>
          <w:rFonts w:ascii="Times New Roman" w:eastAsia="Calibri" w:hAnsi="Times New Roman"/>
          <w:szCs w:val="24"/>
        </w:rPr>
        <w:t>adopted</w:t>
      </w:r>
      <w:r w:rsidR="00030FA7" w:rsidRPr="00C67A9E">
        <w:rPr>
          <w:rFonts w:ascii="Times New Roman" w:eastAsia="Calibri" w:hAnsi="Times New Roman"/>
          <w:szCs w:val="24"/>
        </w:rPr>
        <w:t xml:space="preserve"> </w:t>
      </w:r>
      <w:r w:rsidR="00C67A9E" w:rsidRPr="00C67A9E">
        <w:rPr>
          <w:rFonts w:ascii="Times New Roman" w:eastAsia="Calibri" w:hAnsi="Times New Roman"/>
          <w:szCs w:val="24"/>
        </w:rPr>
        <w:t>in th</w:t>
      </w:r>
      <w:r w:rsidR="00030FA7">
        <w:rPr>
          <w:rFonts w:ascii="Times New Roman" w:eastAsia="Calibri" w:hAnsi="Times New Roman"/>
          <w:szCs w:val="24"/>
        </w:rPr>
        <w:t>e rulemaking described in th</w:t>
      </w:r>
      <w:r w:rsidR="00C67A9E" w:rsidRPr="00C67A9E">
        <w:rPr>
          <w:rFonts w:ascii="Times New Roman" w:eastAsia="Calibri" w:hAnsi="Times New Roman"/>
          <w:szCs w:val="24"/>
        </w:rPr>
        <w:t xml:space="preserve">is </w:t>
      </w:r>
      <w:r w:rsidR="00030FA7">
        <w:rPr>
          <w:rFonts w:ascii="Times New Roman" w:eastAsia="Calibri" w:hAnsi="Times New Roman"/>
          <w:szCs w:val="24"/>
        </w:rPr>
        <w:t>Supporting Statement</w:t>
      </w:r>
      <w:r w:rsidR="00C67A9E" w:rsidRPr="00C67A9E">
        <w:rPr>
          <w:rFonts w:ascii="Times New Roman" w:eastAsia="Calibri" w:hAnsi="Times New Roman"/>
          <w:szCs w:val="24"/>
        </w:rPr>
        <w:t>.</w:t>
      </w:r>
      <w:r w:rsidR="00642AA6">
        <w:rPr>
          <w:rFonts w:ascii="Times New Roman" w:hAnsi="Times New Roman"/>
        </w:rPr>
        <w:t xml:space="preserve">  </w:t>
      </w:r>
      <w:r>
        <w:rPr>
          <w:rFonts w:ascii="Times New Roman" w:hAnsi="Times New Roman"/>
        </w:rPr>
        <w:t>Th</w:t>
      </w:r>
      <w:r w:rsidR="004C0434">
        <w:rPr>
          <w:rFonts w:ascii="Times New Roman" w:hAnsi="Times New Roman"/>
        </w:rPr>
        <w:t>e FAST Act modified CEA §</w:t>
      </w:r>
      <w:r>
        <w:rPr>
          <w:rFonts w:ascii="Times New Roman" w:hAnsi="Times New Roman"/>
        </w:rPr>
        <w:t xml:space="preserve"> 21(c)(7) by </w:t>
      </w:r>
      <w:r w:rsidR="004C0434">
        <w:rPr>
          <w:rFonts w:ascii="Times New Roman" w:hAnsi="Times New Roman"/>
        </w:rPr>
        <w:t xml:space="preserve">(1) </w:t>
      </w:r>
      <w:r>
        <w:rPr>
          <w:rFonts w:ascii="Times New Roman" w:hAnsi="Times New Roman"/>
        </w:rPr>
        <w:t xml:space="preserve">adding </w:t>
      </w:r>
      <w:r w:rsidRPr="00765429">
        <w:rPr>
          <w:rFonts w:ascii="Times New Roman" w:hAnsi="Times New Roman"/>
        </w:rPr>
        <w:t xml:space="preserve">a new category of “other foreign authorities” to the non-exclusive list of entities contained in CEA </w:t>
      </w:r>
      <w:r w:rsidR="004C0434">
        <w:rPr>
          <w:rFonts w:ascii="Times New Roman" w:hAnsi="Times New Roman"/>
        </w:rPr>
        <w:t>§</w:t>
      </w:r>
      <w:r w:rsidRPr="00765429">
        <w:rPr>
          <w:rFonts w:ascii="Times New Roman" w:hAnsi="Times New Roman"/>
        </w:rPr>
        <w:t xml:space="preserve"> 21(c)(7) that the Commission may deem to be appropriate to </w:t>
      </w:r>
      <w:r>
        <w:rPr>
          <w:rFonts w:ascii="Times New Roman" w:hAnsi="Times New Roman"/>
        </w:rPr>
        <w:t xml:space="preserve">receive access to SDR swap data and </w:t>
      </w:r>
      <w:r w:rsidR="004C0434">
        <w:rPr>
          <w:rFonts w:ascii="Times New Roman" w:hAnsi="Times New Roman"/>
        </w:rPr>
        <w:t xml:space="preserve">(2) </w:t>
      </w:r>
      <w:r>
        <w:rPr>
          <w:rFonts w:ascii="Times New Roman" w:hAnsi="Times New Roman"/>
        </w:rPr>
        <w:t xml:space="preserve">changing the reference in CEA </w:t>
      </w:r>
      <w:r w:rsidR="004C0434">
        <w:rPr>
          <w:rFonts w:ascii="Times New Roman" w:hAnsi="Times New Roman"/>
        </w:rPr>
        <w:t>§</w:t>
      </w:r>
      <w:r>
        <w:rPr>
          <w:rFonts w:ascii="Times New Roman" w:hAnsi="Times New Roman"/>
        </w:rPr>
        <w:t xml:space="preserve"> 21(c)(7) </w:t>
      </w:r>
      <w:r w:rsidRPr="00765429">
        <w:rPr>
          <w:rFonts w:ascii="Times New Roman" w:hAnsi="Times New Roman"/>
        </w:rPr>
        <w:t>to “swap data” rather than “all data” in describing the information that SDRs must make available other regulators.</w:t>
      </w:r>
    </w:p>
    <w:p w:rsidR="000F7FF6" w:rsidRDefault="000F7FF6" w:rsidP="000F7FF6">
      <w:pPr>
        <w:widowControl w:val="0"/>
        <w:ind w:firstLine="720"/>
        <w:rPr>
          <w:rFonts w:ascii="Times New Roman" w:hAnsi="Times New Roman"/>
        </w:rPr>
      </w:pPr>
    </w:p>
    <w:p w:rsidR="00642AA6" w:rsidRDefault="00ED5E26" w:rsidP="000F7FF6">
      <w:pPr>
        <w:widowControl w:val="0"/>
        <w:ind w:firstLine="720"/>
        <w:rPr>
          <w:rFonts w:ascii="Times New Roman" w:hAnsi="Times New Roman"/>
        </w:rPr>
      </w:pPr>
      <w:r>
        <w:rPr>
          <w:rFonts w:ascii="Times New Roman" w:hAnsi="Times New Roman"/>
        </w:rPr>
        <w:t>On</w:t>
      </w:r>
      <w:r w:rsidR="002B2B25">
        <w:rPr>
          <w:rFonts w:ascii="Times New Roman" w:hAnsi="Times New Roman"/>
        </w:rPr>
        <w:t xml:space="preserve"> January 25</w:t>
      </w:r>
      <w:r>
        <w:rPr>
          <w:rFonts w:ascii="Times New Roman" w:hAnsi="Times New Roman"/>
        </w:rPr>
        <w:t>, 201</w:t>
      </w:r>
      <w:r w:rsidR="002B2B25">
        <w:rPr>
          <w:rFonts w:ascii="Times New Roman" w:hAnsi="Times New Roman"/>
        </w:rPr>
        <w:t>7</w:t>
      </w:r>
      <w:r>
        <w:rPr>
          <w:rFonts w:ascii="Times New Roman" w:hAnsi="Times New Roman"/>
        </w:rPr>
        <w:t>, t</w:t>
      </w:r>
      <w:r w:rsidR="006F5D92">
        <w:rPr>
          <w:rFonts w:ascii="Times New Roman" w:hAnsi="Times New Roman"/>
        </w:rPr>
        <w:t xml:space="preserve">he Commission published a Notice of Proposed Rulemaking to </w:t>
      </w:r>
      <w:r w:rsidR="006F5D92" w:rsidRPr="006F5D92">
        <w:rPr>
          <w:rFonts w:ascii="Times New Roman" w:hAnsi="Times New Roman"/>
        </w:rPr>
        <w:t>address these modifications</w:t>
      </w:r>
      <w:r w:rsidR="006F5D92">
        <w:rPr>
          <w:rFonts w:ascii="Times New Roman" w:hAnsi="Times New Roman"/>
        </w:rPr>
        <w:t xml:space="preserve"> and certain other matters</w:t>
      </w:r>
      <w:r w:rsidR="00030FA7">
        <w:rPr>
          <w:rFonts w:ascii="Times New Roman" w:hAnsi="Times New Roman"/>
        </w:rPr>
        <w:t>, which the Commission is adopting largely as proposed</w:t>
      </w:r>
      <w:r w:rsidR="006F5D92" w:rsidRPr="006F5D92">
        <w:rPr>
          <w:rFonts w:ascii="Times New Roman" w:hAnsi="Times New Roman"/>
        </w:rPr>
        <w:t>.</w:t>
      </w:r>
      <w:r w:rsidR="006F5D92">
        <w:rPr>
          <w:rFonts w:ascii="Times New Roman" w:hAnsi="Times New Roman"/>
        </w:rPr>
        <w:t xml:space="preserve"> </w:t>
      </w:r>
      <w:r w:rsidR="004C0434">
        <w:rPr>
          <w:rFonts w:ascii="Times New Roman" w:hAnsi="Times New Roman"/>
        </w:rPr>
        <w:t xml:space="preserve"> </w:t>
      </w:r>
      <w:r w:rsidR="00AC38DF" w:rsidRPr="00AC38DF">
        <w:rPr>
          <w:rFonts w:ascii="Times New Roman" w:hAnsi="Times New Roman"/>
        </w:rPr>
        <w:t>To the extent the modifications to part 49 introduce new information collections that were not previously incorporated into Information Collection 3038-0086, the Commission is revis</w:t>
      </w:r>
      <w:r w:rsidR="00030FA7">
        <w:rPr>
          <w:rFonts w:ascii="Times New Roman" w:hAnsi="Times New Roman"/>
        </w:rPr>
        <w:t>ing</w:t>
      </w:r>
      <w:r w:rsidR="00AC38DF" w:rsidRPr="00AC38DF">
        <w:rPr>
          <w:rFonts w:ascii="Times New Roman" w:hAnsi="Times New Roman"/>
        </w:rPr>
        <w:t xml:space="preserve"> Information Collection 3038-0086 to account for the new information collections.</w:t>
      </w:r>
      <w:r w:rsidR="00AC38DF">
        <w:rPr>
          <w:rFonts w:ascii="Times New Roman" w:hAnsi="Times New Roman"/>
        </w:rPr>
        <w:t xml:space="preserve"> M</w:t>
      </w:r>
      <w:r w:rsidR="00AC38DF" w:rsidRPr="00AC38DF">
        <w:rPr>
          <w:rFonts w:ascii="Times New Roman" w:hAnsi="Times New Roman"/>
        </w:rPr>
        <w:t xml:space="preserve">any of the information collections discussed in </w:t>
      </w:r>
      <w:r w:rsidR="002C594F">
        <w:rPr>
          <w:rFonts w:ascii="Times New Roman" w:hAnsi="Times New Roman"/>
        </w:rPr>
        <w:t xml:space="preserve">existing </w:t>
      </w:r>
      <w:r w:rsidR="00AC38DF" w:rsidRPr="00AC38DF">
        <w:rPr>
          <w:rFonts w:ascii="Times New Roman" w:hAnsi="Times New Roman"/>
        </w:rPr>
        <w:t>Information Collection 3038-0086 are not implicated or modified by the Commission’s revisions to part 49 in this release. The Commission, therefore, is not revis</w:t>
      </w:r>
      <w:r w:rsidR="00030FA7">
        <w:rPr>
          <w:rFonts w:ascii="Times New Roman" w:hAnsi="Times New Roman"/>
        </w:rPr>
        <w:t>ing</w:t>
      </w:r>
      <w:r w:rsidR="00AC38DF" w:rsidRPr="00AC38DF">
        <w:rPr>
          <w:rFonts w:ascii="Times New Roman" w:hAnsi="Times New Roman"/>
        </w:rPr>
        <w:t xml:space="preserve"> the estimated burdens associated with </w:t>
      </w:r>
      <w:r w:rsidR="00076AD8">
        <w:rPr>
          <w:rFonts w:ascii="Times New Roman" w:hAnsi="Times New Roman"/>
        </w:rPr>
        <w:t>those</w:t>
      </w:r>
      <w:r w:rsidR="00AC38DF" w:rsidRPr="00AC38DF">
        <w:rPr>
          <w:rFonts w:ascii="Times New Roman" w:hAnsi="Times New Roman"/>
        </w:rPr>
        <w:t xml:space="preserve"> information collections. New or revised information collections contained in the revisions to part 49 will affect SDRs as well as entities that request access to SDR swap data pursuant to these provisions.</w:t>
      </w:r>
      <w:r w:rsidR="00C362CC">
        <w:rPr>
          <w:rFonts w:ascii="Times New Roman" w:hAnsi="Times New Roman"/>
        </w:rPr>
        <w:t xml:space="preserve"> The following regulations require collections of information:</w:t>
      </w:r>
    </w:p>
    <w:p w:rsidR="000F7FF6" w:rsidRDefault="000F7FF6" w:rsidP="000F7FF6">
      <w:pPr>
        <w:widowControl w:val="0"/>
        <w:ind w:firstLine="720"/>
        <w:rPr>
          <w:rFonts w:ascii="Times New Roman" w:hAnsi="Times New Roman"/>
        </w:rPr>
      </w:pPr>
    </w:p>
    <w:p w:rsidR="00C362CC" w:rsidRDefault="00F45B2D" w:rsidP="00E05875">
      <w:pPr>
        <w:widowControl w:val="0"/>
        <w:numPr>
          <w:ilvl w:val="0"/>
          <w:numId w:val="1"/>
        </w:numPr>
        <w:spacing w:after="240"/>
        <w:ind w:left="0" w:firstLine="720"/>
        <w:rPr>
          <w:rFonts w:ascii="Times New Roman" w:hAnsi="Times New Roman"/>
        </w:rPr>
      </w:pPr>
      <w:r>
        <w:rPr>
          <w:rFonts w:ascii="Times New Roman" w:hAnsi="Times New Roman"/>
        </w:rPr>
        <w:t>§</w:t>
      </w:r>
      <w:r w:rsidR="00C362CC">
        <w:rPr>
          <w:rFonts w:ascii="Times New Roman" w:hAnsi="Times New Roman"/>
        </w:rPr>
        <w:t xml:space="preserve"> </w:t>
      </w:r>
      <w:r w:rsidR="000F7FF6">
        <w:rPr>
          <w:rFonts w:ascii="Times New Roman" w:hAnsi="Times New Roman"/>
        </w:rPr>
        <w:t xml:space="preserve">49.18(a) would require that </w:t>
      </w:r>
      <w:r>
        <w:rPr>
          <w:rFonts w:ascii="Times New Roman" w:hAnsi="Times New Roman"/>
        </w:rPr>
        <w:t>each</w:t>
      </w:r>
      <w:r w:rsidR="000F7FF6">
        <w:rPr>
          <w:rFonts w:ascii="Times New Roman" w:hAnsi="Times New Roman"/>
        </w:rPr>
        <w:t xml:space="preserve"> entity seeking access to SDR swap data must execute </w:t>
      </w:r>
      <w:r>
        <w:rPr>
          <w:rFonts w:ascii="Times New Roman" w:hAnsi="Times New Roman"/>
        </w:rPr>
        <w:t xml:space="preserve">a </w:t>
      </w:r>
      <w:r w:rsidR="000F7FF6">
        <w:rPr>
          <w:rFonts w:ascii="Times New Roman" w:hAnsi="Times New Roman"/>
        </w:rPr>
        <w:t>confidentiality arrangement with the Commi</w:t>
      </w:r>
      <w:r>
        <w:rPr>
          <w:rFonts w:ascii="Times New Roman" w:hAnsi="Times New Roman"/>
        </w:rPr>
        <w:t>ssion prior to receiving access;</w:t>
      </w:r>
    </w:p>
    <w:p w:rsidR="000F7FF6" w:rsidRDefault="00F45B2D" w:rsidP="00E05875">
      <w:pPr>
        <w:widowControl w:val="0"/>
        <w:numPr>
          <w:ilvl w:val="0"/>
          <w:numId w:val="1"/>
        </w:numPr>
        <w:spacing w:after="240"/>
        <w:ind w:left="0" w:firstLine="720"/>
        <w:rPr>
          <w:rFonts w:ascii="Times New Roman" w:hAnsi="Times New Roman"/>
        </w:rPr>
      </w:pPr>
      <w:r>
        <w:rPr>
          <w:rFonts w:ascii="Times New Roman" w:hAnsi="Times New Roman"/>
        </w:rPr>
        <w:t>§</w:t>
      </w:r>
      <w:r w:rsidR="000F7FF6">
        <w:rPr>
          <w:rFonts w:ascii="Times New Roman" w:hAnsi="Times New Roman"/>
        </w:rPr>
        <w:t xml:space="preserve"> 49.17(h) requires those entities that are not enumerated in </w:t>
      </w:r>
      <w:r>
        <w:rPr>
          <w:rFonts w:ascii="Times New Roman" w:hAnsi="Times New Roman"/>
        </w:rPr>
        <w:t>§</w:t>
      </w:r>
      <w:r w:rsidR="000F7FF6">
        <w:rPr>
          <w:rFonts w:ascii="Times New Roman" w:hAnsi="Times New Roman"/>
        </w:rPr>
        <w:t xml:space="preserve"> 49.17(b)(1) to </w:t>
      </w:r>
      <w:r w:rsidR="00BF6EFD">
        <w:rPr>
          <w:rFonts w:ascii="Times New Roman" w:hAnsi="Times New Roman"/>
        </w:rPr>
        <w:t xml:space="preserve">submit an application to receive a determination from the Commission that the entity is appropriate </w:t>
      </w:r>
      <w:r>
        <w:rPr>
          <w:rFonts w:ascii="Times New Roman" w:hAnsi="Times New Roman"/>
        </w:rPr>
        <w:t xml:space="preserve">(such entities are referred to, respectively, as ADRs (for appropriate domestic regulators) and AFRs (for appropriate foreign regulators)) </w:t>
      </w:r>
      <w:r w:rsidR="00BF6EFD">
        <w:rPr>
          <w:rFonts w:ascii="Times New Roman" w:hAnsi="Times New Roman"/>
        </w:rPr>
        <w:t xml:space="preserve">to </w:t>
      </w:r>
      <w:r>
        <w:rPr>
          <w:rFonts w:ascii="Times New Roman" w:hAnsi="Times New Roman"/>
        </w:rPr>
        <w:t>receive access to SDR swap data;</w:t>
      </w:r>
    </w:p>
    <w:p w:rsidR="00BF6EFD" w:rsidRDefault="00F45B2D" w:rsidP="00E05875">
      <w:pPr>
        <w:widowControl w:val="0"/>
        <w:numPr>
          <w:ilvl w:val="0"/>
          <w:numId w:val="1"/>
        </w:numPr>
        <w:spacing w:after="240"/>
        <w:ind w:left="0" w:firstLine="720"/>
        <w:rPr>
          <w:rFonts w:ascii="Times New Roman" w:hAnsi="Times New Roman"/>
        </w:rPr>
      </w:pPr>
      <w:r>
        <w:rPr>
          <w:rFonts w:ascii="Times New Roman" w:hAnsi="Times New Roman"/>
        </w:rPr>
        <w:t>§</w:t>
      </w:r>
      <w:r w:rsidR="004F5D0A">
        <w:rPr>
          <w:rFonts w:ascii="Times New Roman" w:hAnsi="Times New Roman"/>
        </w:rPr>
        <w:t xml:space="preserve"> 49.17(d)</w:t>
      </w:r>
      <w:r w:rsidR="00D119CE">
        <w:rPr>
          <w:rFonts w:ascii="Times New Roman" w:hAnsi="Times New Roman"/>
        </w:rPr>
        <w:t>(4)</w:t>
      </w:r>
      <w:r w:rsidR="004F5D0A">
        <w:rPr>
          <w:rFonts w:ascii="Times New Roman" w:hAnsi="Times New Roman"/>
        </w:rPr>
        <w:t xml:space="preserve">(i) requires </w:t>
      </w:r>
      <w:r w:rsidR="004F5D0A" w:rsidRPr="004F5D0A">
        <w:rPr>
          <w:rFonts w:ascii="Times New Roman" w:hAnsi="Times New Roman"/>
        </w:rPr>
        <w:t xml:space="preserve">SDRs to maintain records of all information related to the initial and all subsequent requests for </w:t>
      </w:r>
      <w:r>
        <w:rPr>
          <w:rFonts w:ascii="Times New Roman" w:hAnsi="Times New Roman"/>
        </w:rPr>
        <w:t>data from each requesting entity; and</w:t>
      </w:r>
    </w:p>
    <w:p w:rsidR="004F5D0A" w:rsidRDefault="00F45B2D" w:rsidP="00E05875">
      <w:pPr>
        <w:widowControl w:val="0"/>
        <w:numPr>
          <w:ilvl w:val="0"/>
          <w:numId w:val="1"/>
        </w:numPr>
        <w:spacing w:after="240"/>
        <w:ind w:left="0" w:firstLine="720"/>
        <w:rPr>
          <w:rFonts w:ascii="Times New Roman" w:hAnsi="Times New Roman"/>
        </w:rPr>
      </w:pPr>
      <w:r>
        <w:rPr>
          <w:rFonts w:ascii="Times New Roman" w:hAnsi="Times New Roman"/>
        </w:rPr>
        <w:t>§</w:t>
      </w:r>
      <w:r w:rsidR="004F5D0A">
        <w:rPr>
          <w:rFonts w:ascii="Times New Roman" w:hAnsi="Times New Roman"/>
        </w:rPr>
        <w:t xml:space="preserve"> 49.17(d)</w:t>
      </w:r>
      <w:r w:rsidR="00D119CE">
        <w:rPr>
          <w:rFonts w:ascii="Times New Roman" w:hAnsi="Times New Roman"/>
        </w:rPr>
        <w:t>(4)</w:t>
      </w:r>
      <w:r w:rsidR="004F5D0A">
        <w:rPr>
          <w:rFonts w:ascii="Times New Roman" w:hAnsi="Times New Roman"/>
        </w:rPr>
        <w:t xml:space="preserve">(iii) </w:t>
      </w:r>
      <w:r w:rsidR="005E640B">
        <w:rPr>
          <w:rFonts w:ascii="Times New Roman" w:hAnsi="Times New Roman"/>
        </w:rPr>
        <w:t xml:space="preserve">requires SDRs to determine </w:t>
      </w:r>
      <w:r w:rsidR="005E640B" w:rsidRPr="005E640B">
        <w:rPr>
          <w:rFonts w:ascii="Times New Roman" w:hAnsi="Times New Roman"/>
        </w:rPr>
        <w:t xml:space="preserve">that the swap data to which </w:t>
      </w:r>
      <w:r>
        <w:rPr>
          <w:rFonts w:ascii="Times New Roman" w:hAnsi="Times New Roman"/>
        </w:rPr>
        <w:t>an</w:t>
      </w:r>
      <w:r w:rsidR="005E640B" w:rsidRPr="005E640B">
        <w:rPr>
          <w:rFonts w:ascii="Times New Roman" w:hAnsi="Times New Roman"/>
        </w:rPr>
        <w:t xml:space="preserve"> </w:t>
      </w:r>
      <w:r>
        <w:rPr>
          <w:rFonts w:ascii="Times New Roman" w:hAnsi="Times New Roman"/>
        </w:rPr>
        <w:t>ADR</w:t>
      </w:r>
      <w:r w:rsidR="005E640B" w:rsidRPr="005E640B">
        <w:rPr>
          <w:rFonts w:ascii="Times New Roman" w:hAnsi="Times New Roman"/>
        </w:rPr>
        <w:t xml:space="preserve"> or </w:t>
      </w:r>
      <w:r>
        <w:rPr>
          <w:rFonts w:ascii="Times New Roman" w:hAnsi="Times New Roman"/>
        </w:rPr>
        <w:t>AFR</w:t>
      </w:r>
      <w:r w:rsidR="005E640B" w:rsidRPr="005E640B">
        <w:rPr>
          <w:rFonts w:ascii="Times New Roman" w:hAnsi="Times New Roman"/>
        </w:rPr>
        <w:t xml:space="preserve"> seeks access is within the then-current scope of such </w:t>
      </w:r>
      <w:r>
        <w:rPr>
          <w:rFonts w:ascii="Times New Roman" w:hAnsi="Times New Roman"/>
        </w:rPr>
        <w:t>ADR</w:t>
      </w:r>
      <w:r w:rsidR="005E640B" w:rsidRPr="005E640B">
        <w:rPr>
          <w:rFonts w:ascii="Times New Roman" w:hAnsi="Times New Roman"/>
        </w:rPr>
        <w:t xml:space="preserve">’s or </w:t>
      </w:r>
      <w:r>
        <w:rPr>
          <w:rFonts w:ascii="Times New Roman" w:hAnsi="Times New Roman"/>
        </w:rPr>
        <w:t>AFR</w:t>
      </w:r>
      <w:r w:rsidR="005E640B" w:rsidRPr="005E640B">
        <w:rPr>
          <w:rFonts w:ascii="Times New Roman" w:hAnsi="Times New Roman"/>
        </w:rPr>
        <w:t xml:space="preserve">’s jurisdiction, as </w:t>
      </w:r>
      <w:r>
        <w:rPr>
          <w:rFonts w:ascii="Times New Roman" w:hAnsi="Times New Roman"/>
        </w:rPr>
        <w:t xml:space="preserve">set forth in a description of jurisdiction </w:t>
      </w:r>
      <w:r w:rsidR="005E640B" w:rsidRPr="005E640B">
        <w:rPr>
          <w:rFonts w:ascii="Times New Roman" w:hAnsi="Times New Roman"/>
        </w:rPr>
        <w:t>appended to the confidentiality arrangement required by § 49.18(a)</w:t>
      </w:r>
      <w:r>
        <w:rPr>
          <w:rFonts w:ascii="Times New Roman" w:hAnsi="Times New Roman"/>
        </w:rPr>
        <w:t>,</w:t>
      </w:r>
      <w:r w:rsidR="005E640B">
        <w:rPr>
          <w:rFonts w:ascii="Times New Roman" w:hAnsi="Times New Roman"/>
        </w:rPr>
        <w:t xml:space="preserve"> prior to providing</w:t>
      </w:r>
      <w:r w:rsidR="005E640B" w:rsidRPr="005E640B">
        <w:rPr>
          <w:rFonts w:ascii="Times New Roman" w:hAnsi="Times New Roman"/>
        </w:rPr>
        <w:t xml:space="preserve"> access to swap data maintained by the </w:t>
      </w:r>
      <w:r>
        <w:rPr>
          <w:rFonts w:ascii="Times New Roman" w:hAnsi="Times New Roman"/>
        </w:rPr>
        <w:t>SDR</w:t>
      </w:r>
      <w:r w:rsidR="005E640B">
        <w:rPr>
          <w:rFonts w:ascii="Times New Roman" w:hAnsi="Times New Roman"/>
        </w:rPr>
        <w:t>.</w:t>
      </w:r>
      <w:r w:rsidR="005E640B" w:rsidRPr="005E640B">
        <w:rPr>
          <w:rFonts w:ascii="Times New Roman" w:hAnsi="Times New Roman"/>
        </w:rPr>
        <w:t xml:space="preserve"> </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w:t>
      </w:r>
      <w:r w:rsidR="00076AD8">
        <w:rPr>
          <w:rFonts w:ascii="Times New Roman" w:hAnsi="Times New Roman"/>
          <w:u w:val="single"/>
        </w:rPr>
        <w:t>m, and for what purpose the data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2D133A" w:rsidRDefault="002D133A">
      <w:pPr>
        <w:tabs>
          <w:tab w:val="left" w:pos="-720"/>
        </w:tabs>
        <w:suppressAutoHyphens/>
        <w:spacing w:line="480" w:lineRule="auto"/>
        <w:rPr>
          <w:rFonts w:ascii="Times New Roman" w:hAnsi="Times New Roman"/>
        </w:rPr>
      </w:pPr>
      <w:r>
        <w:rPr>
          <w:rFonts w:ascii="Times New Roman" w:hAnsi="Times New Roman"/>
        </w:rPr>
        <w:lastRenderedPageBreak/>
        <w:tab/>
      </w:r>
    </w:p>
    <w:p w:rsidR="00F45B2D" w:rsidRDefault="00076AD8" w:rsidP="005F51FD">
      <w:pPr>
        <w:widowControl w:val="0"/>
        <w:ind w:firstLine="720"/>
        <w:rPr>
          <w:rFonts w:ascii="Times New Roman" w:hAnsi="Times New Roman"/>
        </w:rPr>
      </w:pPr>
      <w:r>
        <w:rPr>
          <w:rFonts w:ascii="Times New Roman" w:hAnsi="Times New Roman"/>
        </w:rPr>
        <w:t>The information collections contained in the Commission’s rulemaking would allow for swap data access for regulatory purposes to be granted to domestic and foreign regulators including the: Board of Governors of the Federal Reserve System</w:t>
      </w:r>
      <w:r w:rsidR="00F45B2D">
        <w:rPr>
          <w:rFonts w:ascii="Times New Roman" w:hAnsi="Times New Roman"/>
        </w:rPr>
        <w:t>;</w:t>
      </w:r>
      <w:r>
        <w:rPr>
          <w:rFonts w:ascii="Times New Roman" w:hAnsi="Times New Roman"/>
        </w:rPr>
        <w:t xml:space="preserve"> Office of the Comptroller of the Currency</w:t>
      </w:r>
      <w:r w:rsidR="00F45B2D">
        <w:rPr>
          <w:rFonts w:ascii="Times New Roman" w:hAnsi="Times New Roman"/>
        </w:rPr>
        <w:t>;</w:t>
      </w:r>
      <w:r>
        <w:rPr>
          <w:rFonts w:ascii="Times New Roman" w:hAnsi="Times New Roman"/>
        </w:rPr>
        <w:t xml:space="preserve"> Federal Deposit Insurance Corporation</w:t>
      </w:r>
      <w:r w:rsidR="00F45B2D">
        <w:rPr>
          <w:rFonts w:ascii="Times New Roman" w:hAnsi="Times New Roman"/>
        </w:rPr>
        <w:t>;</w:t>
      </w:r>
      <w:r>
        <w:rPr>
          <w:rFonts w:ascii="Times New Roman" w:hAnsi="Times New Roman"/>
        </w:rPr>
        <w:t xml:space="preserve">  Farm Credit Administration and Federal Housing Finance Agency</w:t>
      </w:r>
      <w:r w:rsidR="00F45B2D">
        <w:rPr>
          <w:rFonts w:ascii="Times New Roman" w:hAnsi="Times New Roman"/>
        </w:rPr>
        <w:t>;</w:t>
      </w:r>
      <w:r>
        <w:rPr>
          <w:rFonts w:ascii="Times New Roman" w:hAnsi="Times New Roman"/>
        </w:rPr>
        <w:t xml:space="preserve"> Financial Stability Oversight Council</w:t>
      </w:r>
      <w:r w:rsidR="00F45B2D">
        <w:rPr>
          <w:rFonts w:ascii="Times New Roman" w:hAnsi="Times New Roman"/>
        </w:rPr>
        <w:t>;</w:t>
      </w:r>
      <w:r>
        <w:rPr>
          <w:rFonts w:ascii="Times New Roman" w:hAnsi="Times New Roman"/>
        </w:rPr>
        <w:t xml:space="preserve"> Securities and Exchange Commission</w:t>
      </w:r>
      <w:r w:rsidR="00F45B2D">
        <w:rPr>
          <w:rFonts w:ascii="Times New Roman" w:hAnsi="Times New Roman"/>
        </w:rPr>
        <w:t>;</w:t>
      </w:r>
      <w:r>
        <w:rPr>
          <w:rFonts w:ascii="Times New Roman" w:hAnsi="Times New Roman"/>
        </w:rPr>
        <w:t xml:space="preserve"> Department of Justice</w:t>
      </w:r>
      <w:r w:rsidR="00F45B2D">
        <w:rPr>
          <w:rFonts w:ascii="Times New Roman" w:hAnsi="Times New Roman"/>
        </w:rPr>
        <w:t>;</w:t>
      </w:r>
      <w:r>
        <w:rPr>
          <w:rFonts w:ascii="Times New Roman" w:hAnsi="Times New Roman"/>
        </w:rPr>
        <w:t xml:space="preserve"> and any other person the Commission determines to be appropriate, including foreign financial supervisors, foreign central banks, foreign ministries</w:t>
      </w:r>
      <w:r w:rsidR="00F45B2D">
        <w:rPr>
          <w:rFonts w:ascii="Times New Roman" w:hAnsi="Times New Roman"/>
        </w:rPr>
        <w:t xml:space="preserve"> and other foreign authorities</w:t>
      </w:r>
      <w:r>
        <w:rPr>
          <w:rFonts w:ascii="Times New Roman" w:hAnsi="Times New Roman"/>
        </w:rPr>
        <w:t>.  Swap d</w:t>
      </w:r>
      <w:r w:rsidRPr="00076AD8">
        <w:rPr>
          <w:rFonts w:ascii="Times New Roman" w:hAnsi="Times New Roman"/>
        </w:rPr>
        <w:t xml:space="preserve">ata access by </w:t>
      </w:r>
      <w:r w:rsidR="00F45B2D">
        <w:rPr>
          <w:rFonts w:ascii="Times New Roman" w:hAnsi="Times New Roman"/>
        </w:rPr>
        <w:t xml:space="preserve">other </w:t>
      </w:r>
      <w:r w:rsidRPr="00076AD8">
        <w:rPr>
          <w:rFonts w:ascii="Times New Roman" w:hAnsi="Times New Roman"/>
        </w:rPr>
        <w:t>regulators has the potential to provide other authorities with more complete information with which to monitor risk exposures and should be expected to promote global market stability.</w:t>
      </w:r>
    </w:p>
    <w:p w:rsidR="00F45B2D" w:rsidRDefault="00F45B2D" w:rsidP="005F51FD">
      <w:pPr>
        <w:widowControl w:val="0"/>
        <w:ind w:firstLine="720"/>
        <w:rPr>
          <w:rFonts w:ascii="Times New Roman" w:hAnsi="Times New Roman"/>
        </w:rPr>
      </w:pPr>
    </w:p>
    <w:p w:rsidR="00076AD8" w:rsidRDefault="00F45B2D" w:rsidP="005F51FD">
      <w:pPr>
        <w:widowControl w:val="0"/>
        <w:ind w:firstLine="720"/>
        <w:rPr>
          <w:rFonts w:ascii="Times New Roman" w:hAnsi="Times New Roman"/>
        </w:rPr>
      </w:pPr>
      <w:r>
        <w:rPr>
          <w:rFonts w:ascii="Times New Roman" w:hAnsi="Times New Roman"/>
        </w:rPr>
        <w:t>The Commission has not received information from the current collection because, to date, no other regulators have taken advantage of the existing swap data access provisions, so the reporting and recordkeeping provisions related to the collection were not triggered.</w:t>
      </w:r>
    </w:p>
    <w:p w:rsidR="005F51FD" w:rsidRDefault="005F51FD" w:rsidP="005F51FD">
      <w:pPr>
        <w:widowControl w:val="0"/>
        <w:ind w:firstLine="720"/>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76AD8" w:rsidRDefault="00076AD8">
      <w:pPr>
        <w:tabs>
          <w:tab w:val="left" w:pos="-720"/>
          <w:tab w:val="left" w:pos="0"/>
        </w:tabs>
        <w:suppressAutoHyphens/>
        <w:ind w:left="720" w:hanging="720"/>
        <w:rPr>
          <w:rFonts w:ascii="Times New Roman" w:hAnsi="Times New Roman"/>
        </w:rPr>
      </w:pPr>
    </w:p>
    <w:p w:rsidR="00076AD8" w:rsidRDefault="00076AD8" w:rsidP="00076AD8">
      <w:pPr>
        <w:tabs>
          <w:tab w:val="left" w:pos="-720"/>
          <w:tab w:val="left" w:pos="0"/>
        </w:tabs>
        <w:suppressAutoHyphens/>
        <w:rPr>
          <w:rFonts w:ascii="Times New Roman" w:hAnsi="Times New Roman"/>
        </w:rPr>
      </w:pPr>
      <w:r>
        <w:rPr>
          <w:rFonts w:ascii="Times New Roman" w:hAnsi="Times New Roman"/>
        </w:rPr>
        <w:tab/>
        <w:t xml:space="preserve">All the information collection requirements </w:t>
      </w:r>
      <w:r w:rsidR="00F45B2D">
        <w:rPr>
          <w:rFonts w:ascii="Times New Roman" w:hAnsi="Times New Roman"/>
        </w:rPr>
        <w:t xml:space="preserve">are expected to </w:t>
      </w:r>
      <w:r>
        <w:rPr>
          <w:rFonts w:ascii="Times New Roman" w:hAnsi="Times New Roman"/>
        </w:rPr>
        <w:t>involve the use of electronic collection protocols</w:t>
      </w:r>
      <w:r w:rsidR="00F45B2D">
        <w:rPr>
          <w:rFonts w:ascii="Times New Roman" w:hAnsi="Times New Roman"/>
        </w:rPr>
        <w:t>, particularly given the large amount of data available to be accessed</w:t>
      </w:r>
      <w:r>
        <w:rPr>
          <w:rFonts w:ascii="Times New Roman" w:hAnsi="Times New Roman"/>
        </w:rPr>
        <w:t xml:space="preserve">.  All required submissions may be submitted electronically.  </w:t>
      </w:r>
      <w:r w:rsidR="00F45B2D">
        <w:rPr>
          <w:rFonts w:ascii="Times New Roman" w:hAnsi="Times New Roman"/>
        </w:rPr>
        <w:t xml:space="preserve">The Commission is permitting SDRs, ADRs and AFRs </w:t>
      </w:r>
      <w:r w:rsidR="002610A4">
        <w:rPr>
          <w:rFonts w:ascii="Times New Roman" w:hAnsi="Times New Roman"/>
        </w:rPr>
        <w:t>a wide amoun</w:t>
      </w:r>
      <w:r w:rsidR="00F45B2D">
        <w:rPr>
          <w:rFonts w:ascii="Times New Roman" w:hAnsi="Times New Roman"/>
        </w:rPr>
        <w:t xml:space="preserve">t of discretion in determining how to </w:t>
      </w:r>
      <w:r w:rsidR="002610A4">
        <w:rPr>
          <w:rFonts w:ascii="Times New Roman" w:hAnsi="Times New Roman"/>
        </w:rPr>
        <w:t>provide swap data access.</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076AD8" w:rsidRDefault="00076AD8">
      <w:pPr>
        <w:tabs>
          <w:tab w:val="left" w:pos="-720"/>
          <w:tab w:val="left" w:pos="0"/>
        </w:tabs>
        <w:suppressAutoHyphens/>
        <w:ind w:left="720" w:hanging="720"/>
        <w:rPr>
          <w:rFonts w:ascii="Times New Roman" w:hAnsi="Times New Roman"/>
        </w:rPr>
      </w:pPr>
    </w:p>
    <w:p w:rsidR="00076AD8" w:rsidRDefault="00076AD8" w:rsidP="00076AD8">
      <w:pPr>
        <w:tabs>
          <w:tab w:val="left" w:pos="-720"/>
          <w:tab w:val="left" w:pos="0"/>
        </w:tabs>
        <w:suppressAutoHyphens/>
        <w:rPr>
          <w:rFonts w:ascii="Times New Roman" w:hAnsi="Times New Roman"/>
        </w:rPr>
      </w:pPr>
      <w:r>
        <w:rPr>
          <w:rFonts w:ascii="Times New Roman" w:hAnsi="Times New Roman"/>
        </w:rPr>
        <w:tab/>
      </w:r>
      <w:r w:rsidRPr="00076AD8">
        <w:rPr>
          <w:rFonts w:ascii="Times New Roman" w:hAnsi="Times New Roman"/>
        </w:rPr>
        <w:t xml:space="preserve">The regulations </w:t>
      </w:r>
      <w:r>
        <w:rPr>
          <w:rFonts w:ascii="Times New Roman" w:hAnsi="Times New Roman"/>
        </w:rPr>
        <w:t xml:space="preserve">would modify the existing requirements for SDRs providing access to swap data to other regulators. </w:t>
      </w:r>
      <w:r w:rsidR="004429DD">
        <w:rPr>
          <w:rFonts w:ascii="Times New Roman" w:hAnsi="Times New Roman"/>
        </w:rPr>
        <w:t xml:space="preserve">These modifications are, in part, necessary as the result of changes to the CEA made by the FAST Act. The modifications are necessary to </w:t>
      </w:r>
      <w:r w:rsidR="004429DD" w:rsidRPr="004429DD">
        <w:rPr>
          <w:rFonts w:ascii="Times New Roman" w:hAnsi="Times New Roman"/>
        </w:rPr>
        <w:t>provide other authorities with information to assist with the oversight of the global swaps market and market participants.</w:t>
      </w:r>
      <w:r w:rsidR="004429DD">
        <w:rPr>
          <w:rFonts w:ascii="Times New Roman" w:hAnsi="Times New Roman"/>
        </w:rPr>
        <w:t xml:space="preserve"> </w:t>
      </w:r>
      <w:r w:rsidR="002610A4">
        <w:rPr>
          <w:rFonts w:ascii="Times New Roman" w:hAnsi="Times New Roman"/>
        </w:rPr>
        <w:t xml:space="preserve"> The swap data in question is unique</w:t>
      </w:r>
      <w:r w:rsidR="007C602D">
        <w:rPr>
          <w:rFonts w:ascii="Times New Roman" w:hAnsi="Times New Roman"/>
        </w:rPr>
        <w:t>,</w:t>
      </w:r>
      <w:r w:rsidR="002610A4">
        <w:rPr>
          <w:rFonts w:ascii="Times New Roman" w:hAnsi="Times New Roman"/>
        </w:rPr>
        <w:t xml:space="preserve"> so there is no “similar information” available.  In any case, seeking the swap data in question is voluntary.  To the extent the Commission is requiring collections, it is from the entity best placed to provide the necessary information.  For example, ADRs and AFRs themselves are best place</w:t>
      </w:r>
      <w:r w:rsidR="004175DC">
        <w:rPr>
          <w:rFonts w:ascii="Times New Roman" w:hAnsi="Times New Roman"/>
        </w:rPr>
        <w:t>d</w:t>
      </w:r>
      <w:r w:rsidR="002610A4">
        <w:rPr>
          <w:rFonts w:ascii="Times New Roman" w:hAnsi="Times New Roman"/>
        </w:rPr>
        <w:t xml:space="preserve"> to know of a change to their jurisdiction and, therefore, are best place</w:t>
      </w:r>
      <w:r w:rsidR="004175DC">
        <w:rPr>
          <w:rFonts w:ascii="Times New Roman" w:hAnsi="Times New Roman"/>
        </w:rPr>
        <w:t>d</w:t>
      </w:r>
      <w:r w:rsidR="002610A4">
        <w:rPr>
          <w:rFonts w:ascii="Times New Roman" w:hAnsi="Times New Roman"/>
        </w:rPr>
        <w:t xml:space="preserve"> to inform the Commission and SDRs of that change.</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2D133A" w:rsidRDefault="002D133A">
      <w:pPr>
        <w:tabs>
          <w:tab w:val="left" w:pos="-720"/>
        </w:tabs>
        <w:suppressAutoHyphens/>
        <w:rPr>
          <w:rFonts w:ascii="Times New Roman" w:hAnsi="Times New Roman"/>
        </w:rPr>
      </w:pPr>
    </w:p>
    <w:p w:rsidR="004429DD" w:rsidRDefault="004429DD">
      <w:pPr>
        <w:tabs>
          <w:tab w:val="left" w:pos="-720"/>
        </w:tabs>
        <w:suppressAutoHyphens/>
        <w:rPr>
          <w:rFonts w:ascii="Times New Roman" w:hAnsi="Times New Roman"/>
        </w:rPr>
      </w:pPr>
      <w:r>
        <w:rPr>
          <w:rFonts w:ascii="Times New Roman" w:hAnsi="Times New Roman"/>
        </w:rPr>
        <w:tab/>
      </w:r>
      <w:r w:rsidRPr="004429DD">
        <w:rPr>
          <w:rFonts w:ascii="Times New Roman" w:hAnsi="Times New Roman"/>
        </w:rPr>
        <w:t xml:space="preserve">The rules </w:t>
      </w:r>
      <w:r w:rsidR="00030FA7">
        <w:rPr>
          <w:rFonts w:ascii="Times New Roman" w:hAnsi="Times New Roman"/>
        </w:rPr>
        <w:t>described</w:t>
      </w:r>
      <w:r w:rsidR="00030FA7" w:rsidRPr="004429DD">
        <w:rPr>
          <w:rFonts w:ascii="Times New Roman" w:hAnsi="Times New Roman"/>
        </w:rPr>
        <w:t xml:space="preserve"> </w:t>
      </w:r>
      <w:r w:rsidRPr="004429DD">
        <w:rPr>
          <w:rFonts w:ascii="Times New Roman" w:hAnsi="Times New Roman"/>
        </w:rPr>
        <w:t>herein will have a direct effect on the operations of SDRs and certain domestic and foreign regulators seeking access to swap data reported to, and maintained, by SDRs.</w:t>
      </w:r>
      <w:r>
        <w:rPr>
          <w:rFonts w:ascii="Times New Roman" w:hAnsi="Times New Roman"/>
        </w:rPr>
        <w:t xml:space="preserve"> </w:t>
      </w:r>
      <w:r w:rsidR="002610A4">
        <w:rPr>
          <w:rFonts w:ascii="Times New Roman" w:hAnsi="Times New Roman"/>
        </w:rPr>
        <w:t xml:space="preserve">The Commission expects that no SDRs, AFRs and ADRs are small entities.  </w:t>
      </w:r>
      <w:r>
        <w:rPr>
          <w:rFonts w:ascii="Times New Roman" w:hAnsi="Times New Roman"/>
        </w:rPr>
        <w:t>T</w:t>
      </w:r>
      <w:r w:rsidRPr="004429DD">
        <w:rPr>
          <w:rFonts w:ascii="Times New Roman" w:hAnsi="Times New Roman"/>
        </w:rPr>
        <w:t xml:space="preserve">he </w:t>
      </w:r>
      <w:r w:rsidR="00030FA7">
        <w:rPr>
          <w:rFonts w:ascii="Times New Roman" w:hAnsi="Times New Roman"/>
        </w:rPr>
        <w:t>final rules</w:t>
      </w:r>
      <w:r w:rsidR="00030FA7" w:rsidRPr="004429DD">
        <w:rPr>
          <w:rFonts w:ascii="Times New Roman" w:hAnsi="Times New Roman"/>
        </w:rPr>
        <w:t xml:space="preserve"> </w:t>
      </w:r>
      <w:r w:rsidR="00030FA7">
        <w:rPr>
          <w:rFonts w:ascii="Times New Roman" w:hAnsi="Times New Roman"/>
        </w:rPr>
        <w:t xml:space="preserve">are </w:t>
      </w:r>
      <w:r w:rsidR="002610A4">
        <w:rPr>
          <w:rFonts w:ascii="Times New Roman" w:hAnsi="Times New Roman"/>
        </w:rPr>
        <w:t xml:space="preserve">not applicable to, and should not </w:t>
      </w:r>
      <w:r w:rsidRPr="004429DD">
        <w:rPr>
          <w:rFonts w:ascii="Times New Roman" w:hAnsi="Times New Roman"/>
        </w:rPr>
        <w:t>have a significant economic impact on</w:t>
      </w:r>
      <w:r w:rsidR="002610A4">
        <w:rPr>
          <w:rFonts w:ascii="Times New Roman" w:hAnsi="Times New Roman"/>
        </w:rPr>
        <w:t>,</w:t>
      </w:r>
      <w:r w:rsidRPr="004429DD">
        <w:rPr>
          <w:rFonts w:ascii="Times New Roman" w:hAnsi="Times New Roman"/>
        </w:rPr>
        <w:t xml:space="preserve"> a substantial number of small entities.</w:t>
      </w:r>
    </w:p>
    <w:p w:rsidR="004429DD" w:rsidRDefault="004429D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077AF2" w:rsidRDefault="00077AF2">
      <w:pPr>
        <w:tabs>
          <w:tab w:val="left" w:pos="-720"/>
          <w:tab w:val="left" w:pos="0"/>
        </w:tabs>
        <w:suppressAutoHyphens/>
        <w:ind w:left="720" w:hanging="720"/>
        <w:rPr>
          <w:rFonts w:ascii="Times New Roman" w:hAnsi="Times New Roman"/>
        </w:rPr>
      </w:pPr>
    </w:p>
    <w:p w:rsidR="00077AF2" w:rsidRDefault="00077AF2" w:rsidP="00077AF2">
      <w:pPr>
        <w:tabs>
          <w:tab w:val="left" w:pos="-720"/>
          <w:tab w:val="left" w:pos="0"/>
        </w:tabs>
        <w:suppressAutoHyphens/>
        <w:rPr>
          <w:rFonts w:ascii="Times New Roman" w:hAnsi="Times New Roman"/>
        </w:rPr>
      </w:pPr>
      <w:r>
        <w:rPr>
          <w:rFonts w:ascii="Times New Roman" w:hAnsi="Times New Roman"/>
        </w:rPr>
        <w:tab/>
        <w:t xml:space="preserve">The requirements contained in the rulemaking are intended </w:t>
      </w:r>
      <w:r w:rsidRPr="00077AF2">
        <w:rPr>
          <w:rFonts w:ascii="Times New Roman" w:hAnsi="Times New Roman"/>
        </w:rPr>
        <w:t>to balance the goal of effective and consistent global regulation of swaps with the mandate of CEA sections 21(c)(7) and (d) that swap data be made available to a limited universe of regulators on a confidential basis pursuant to CEA section 8.</w:t>
      </w:r>
      <w:r>
        <w:rPr>
          <w:rFonts w:ascii="Times New Roman" w:hAnsi="Times New Roman"/>
        </w:rPr>
        <w:t xml:space="preserve"> The modifications of the existing regulations are necessary to </w:t>
      </w:r>
      <w:r w:rsidRPr="00077AF2">
        <w:rPr>
          <w:rFonts w:ascii="Times New Roman" w:hAnsi="Times New Roman"/>
        </w:rPr>
        <w:t>provide the Commission and other authorities with more complete information with which to monitor risk exposures and should be expected to promote global market stability through enhanced regulatory transparency.</w:t>
      </w:r>
      <w:r w:rsidR="002610A4">
        <w:rPr>
          <w:rFonts w:ascii="Times New Roman" w:hAnsi="Times New Roman"/>
        </w:rPr>
        <w:t xml:space="preserve">  In several cases, the requirements call for only a single collection, so reducing the frequency of the collection is impossible without abandoning the </w:t>
      </w:r>
      <w:r w:rsidR="00A90977">
        <w:rPr>
          <w:rFonts w:ascii="Times New Roman" w:hAnsi="Times New Roman"/>
        </w:rPr>
        <w:t>benefits</w:t>
      </w:r>
      <w:r w:rsidR="002610A4">
        <w:rPr>
          <w:rFonts w:ascii="Times New Roman" w:hAnsi="Times New Roman"/>
        </w:rPr>
        <w:t xml:space="preserve"> of the collection entirely.</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427724" w:rsidRDefault="00427724">
      <w:pPr>
        <w:tabs>
          <w:tab w:val="left" w:pos="-720"/>
          <w:tab w:val="left" w:pos="0"/>
          <w:tab w:val="left" w:pos="720"/>
        </w:tabs>
        <w:suppressAutoHyphens/>
        <w:ind w:left="1440" w:hanging="1440"/>
        <w:rPr>
          <w:rFonts w:ascii="Times New Roman" w:hAnsi="Times New Roman"/>
          <w:u w:val="single"/>
        </w:rPr>
      </w:pPr>
    </w:p>
    <w:p w:rsidR="00427724" w:rsidRDefault="00427724" w:rsidP="00427724">
      <w:pPr>
        <w:tabs>
          <w:tab w:val="left" w:pos="-720"/>
          <w:tab w:val="left" w:pos="0"/>
          <w:tab w:val="left" w:pos="720"/>
        </w:tabs>
        <w:suppressAutoHyphens/>
        <w:rPr>
          <w:rFonts w:ascii="Times New Roman" w:hAnsi="Times New Roman"/>
        </w:rPr>
      </w:pPr>
      <w:r>
        <w:rPr>
          <w:rFonts w:ascii="Times New Roman" w:hAnsi="Times New Roman"/>
        </w:rPr>
        <w:tab/>
      </w:r>
      <w:r w:rsidRPr="00427724">
        <w:rPr>
          <w:rFonts w:ascii="Times New Roman" w:hAnsi="Times New Roman"/>
        </w:rPr>
        <w:t xml:space="preserve">The </w:t>
      </w:r>
      <w:r>
        <w:rPr>
          <w:rFonts w:ascii="Times New Roman" w:hAnsi="Times New Roman"/>
        </w:rPr>
        <w:t xml:space="preserve">rule modifications do not specifically require respondents to report information to the agency more often than quarterly. However, </w:t>
      </w:r>
      <w:r w:rsidR="00701FF1">
        <w:rPr>
          <w:rFonts w:ascii="Times New Roman" w:hAnsi="Times New Roman"/>
        </w:rPr>
        <w:t>§ 49.17(d)(4)(i)</w:t>
      </w:r>
      <w:r>
        <w:rPr>
          <w:rFonts w:ascii="Times New Roman" w:hAnsi="Times New Roman"/>
        </w:rPr>
        <w:t xml:space="preserve"> require</w:t>
      </w:r>
      <w:r w:rsidR="00030FA7">
        <w:rPr>
          <w:rFonts w:ascii="Times New Roman" w:hAnsi="Times New Roman"/>
        </w:rPr>
        <w:t>s</w:t>
      </w:r>
      <w:r>
        <w:rPr>
          <w:rFonts w:ascii="Times New Roman" w:hAnsi="Times New Roman"/>
        </w:rPr>
        <w:t xml:space="preserve"> </w:t>
      </w:r>
      <w:r w:rsidR="00701FF1">
        <w:rPr>
          <w:rFonts w:ascii="Times New Roman" w:hAnsi="Times New Roman"/>
        </w:rPr>
        <w:t>each SDR</w:t>
      </w:r>
      <w:r w:rsidR="00701FF1" w:rsidRPr="00701FF1">
        <w:rPr>
          <w:rFonts w:ascii="Times New Roman" w:hAnsi="Times New Roman"/>
        </w:rPr>
        <w:t xml:space="preserve"> </w:t>
      </w:r>
      <w:r>
        <w:rPr>
          <w:rFonts w:ascii="Times New Roman" w:hAnsi="Times New Roman"/>
        </w:rPr>
        <w:t xml:space="preserve">to </w:t>
      </w:r>
      <w:r w:rsidR="001C34A9">
        <w:rPr>
          <w:rFonts w:ascii="Times New Roman" w:hAnsi="Times New Roman"/>
        </w:rPr>
        <w:t xml:space="preserve">notify the Commission promptly </w:t>
      </w:r>
      <w:r w:rsidR="00701FF1" w:rsidRPr="00701FF1">
        <w:rPr>
          <w:rFonts w:ascii="Times New Roman" w:hAnsi="Times New Roman"/>
        </w:rPr>
        <w:t xml:space="preserve">after receiving an initial request from an </w:t>
      </w:r>
      <w:r w:rsidR="002610A4">
        <w:rPr>
          <w:rFonts w:ascii="Times New Roman" w:hAnsi="Times New Roman"/>
        </w:rPr>
        <w:t>ADR</w:t>
      </w:r>
      <w:r w:rsidR="00701FF1">
        <w:rPr>
          <w:rFonts w:ascii="Times New Roman" w:hAnsi="Times New Roman"/>
        </w:rPr>
        <w:t xml:space="preserve"> </w:t>
      </w:r>
      <w:r w:rsidR="00701FF1" w:rsidRPr="00701FF1">
        <w:rPr>
          <w:rFonts w:ascii="Times New Roman" w:hAnsi="Times New Roman"/>
        </w:rPr>
        <w:t xml:space="preserve">or </w:t>
      </w:r>
      <w:r w:rsidR="002610A4">
        <w:rPr>
          <w:rFonts w:ascii="Times New Roman" w:hAnsi="Times New Roman"/>
        </w:rPr>
        <w:t>AFR</w:t>
      </w:r>
      <w:r w:rsidR="00701FF1">
        <w:rPr>
          <w:rFonts w:ascii="Times New Roman" w:hAnsi="Times New Roman"/>
        </w:rPr>
        <w:t xml:space="preserve"> </w:t>
      </w:r>
      <w:r w:rsidR="00701FF1" w:rsidRPr="00701FF1">
        <w:rPr>
          <w:rFonts w:ascii="Times New Roman" w:hAnsi="Times New Roman"/>
        </w:rPr>
        <w:t xml:space="preserve">to gain access to swap data maintained by such </w:t>
      </w:r>
      <w:r w:rsidR="00701FF1">
        <w:rPr>
          <w:rFonts w:ascii="Times New Roman" w:hAnsi="Times New Roman"/>
        </w:rPr>
        <w:t>SDR</w:t>
      </w:r>
      <w:r w:rsidR="00701FF1" w:rsidRPr="00701FF1">
        <w:rPr>
          <w:rFonts w:ascii="Times New Roman" w:hAnsi="Times New Roman"/>
        </w:rPr>
        <w:t xml:space="preserve"> and promptly after receiving any request that does not comport with the scope of </w:t>
      </w:r>
      <w:r w:rsidR="00701FF1">
        <w:rPr>
          <w:rFonts w:ascii="Times New Roman" w:hAnsi="Times New Roman"/>
        </w:rPr>
        <w:t>the ADR’s or AFR’s jurisdiction</w:t>
      </w:r>
      <w:r w:rsidR="00701FF1" w:rsidRPr="00701FF1">
        <w:rPr>
          <w:rFonts w:ascii="Times New Roman" w:hAnsi="Times New Roman"/>
        </w:rPr>
        <w:t>.</w:t>
      </w:r>
      <w:r w:rsidR="00701FF1">
        <w:rPr>
          <w:rFonts w:ascii="Times New Roman" w:hAnsi="Times New Roman"/>
        </w:rPr>
        <w:t xml:space="preserve">  Also, § 49.17(d)(4)(iii) require</w:t>
      </w:r>
      <w:r w:rsidR="0028035D">
        <w:rPr>
          <w:rFonts w:ascii="Times New Roman" w:hAnsi="Times New Roman"/>
        </w:rPr>
        <w:t>s</w:t>
      </w:r>
      <w:r w:rsidR="00701FF1" w:rsidRPr="00701FF1">
        <w:rPr>
          <w:rFonts w:ascii="Times New Roman" w:hAnsi="Times New Roman"/>
        </w:rPr>
        <w:t xml:space="preserve"> </w:t>
      </w:r>
      <w:r w:rsidR="00701FF1">
        <w:rPr>
          <w:rFonts w:ascii="Times New Roman" w:hAnsi="Times New Roman"/>
        </w:rPr>
        <w:t>each</w:t>
      </w:r>
      <w:r w:rsidR="00701FF1" w:rsidRPr="00701FF1">
        <w:rPr>
          <w:rFonts w:ascii="Times New Roman" w:hAnsi="Times New Roman"/>
        </w:rPr>
        <w:t xml:space="preserve"> </w:t>
      </w:r>
      <w:r w:rsidR="00701FF1">
        <w:rPr>
          <w:rFonts w:ascii="Times New Roman" w:hAnsi="Times New Roman"/>
        </w:rPr>
        <w:t>ADR</w:t>
      </w:r>
      <w:r w:rsidR="00701FF1" w:rsidRPr="00701FF1">
        <w:rPr>
          <w:rFonts w:ascii="Times New Roman" w:hAnsi="Times New Roman"/>
        </w:rPr>
        <w:t xml:space="preserve"> </w:t>
      </w:r>
      <w:r w:rsidR="00701FF1">
        <w:rPr>
          <w:rFonts w:ascii="Times New Roman" w:hAnsi="Times New Roman"/>
        </w:rPr>
        <w:t>and</w:t>
      </w:r>
      <w:r w:rsidR="00701FF1" w:rsidRPr="00701FF1">
        <w:rPr>
          <w:rFonts w:ascii="Times New Roman" w:hAnsi="Times New Roman"/>
        </w:rPr>
        <w:t xml:space="preserve"> </w:t>
      </w:r>
      <w:r w:rsidR="00701FF1">
        <w:rPr>
          <w:rFonts w:ascii="Times New Roman" w:hAnsi="Times New Roman"/>
        </w:rPr>
        <w:t>AFR</w:t>
      </w:r>
      <w:r w:rsidR="00701FF1" w:rsidRPr="00701FF1">
        <w:rPr>
          <w:rFonts w:ascii="Times New Roman" w:hAnsi="Times New Roman"/>
        </w:rPr>
        <w:t xml:space="preserve"> that has executed a confidentiality arrangement with the Commission pursuant to § 49.18(a) and provided such confidentiality arrangement to one or more </w:t>
      </w:r>
      <w:r w:rsidR="00701FF1">
        <w:rPr>
          <w:rFonts w:ascii="Times New Roman" w:hAnsi="Times New Roman"/>
        </w:rPr>
        <w:t>SDRs</w:t>
      </w:r>
      <w:r w:rsidR="00701FF1" w:rsidRPr="00701FF1">
        <w:rPr>
          <w:rFonts w:ascii="Times New Roman" w:hAnsi="Times New Roman"/>
        </w:rPr>
        <w:t xml:space="preserve"> </w:t>
      </w:r>
      <w:r w:rsidR="00701FF1">
        <w:rPr>
          <w:rFonts w:ascii="Times New Roman" w:hAnsi="Times New Roman"/>
        </w:rPr>
        <w:t>to</w:t>
      </w:r>
      <w:r w:rsidR="00701FF1" w:rsidRPr="00701FF1">
        <w:rPr>
          <w:rFonts w:ascii="Times New Roman" w:hAnsi="Times New Roman"/>
        </w:rPr>
        <w:t xml:space="preserve"> notify the Commission and each such </w:t>
      </w:r>
      <w:r w:rsidR="00701FF1">
        <w:rPr>
          <w:rFonts w:ascii="Times New Roman" w:hAnsi="Times New Roman"/>
        </w:rPr>
        <w:t>SDR</w:t>
      </w:r>
      <w:r w:rsidR="00701FF1" w:rsidRPr="00701FF1">
        <w:rPr>
          <w:rFonts w:ascii="Times New Roman" w:hAnsi="Times New Roman"/>
        </w:rPr>
        <w:t xml:space="preserve"> of any change to such </w:t>
      </w:r>
      <w:r w:rsidR="00701FF1">
        <w:rPr>
          <w:rFonts w:ascii="Times New Roman" w:hAnsi="Times New Roman"/>
        </w:rPr>
        <w:t>ADR</w:t>
      </w:r>
      <w:r w:rsidR="00701FF1" w:rsidRPr="00701FF1">
        <w:rPr>
          <w:rFonts w:ascii="Times New Roman" w:hAnsi="Times New Roman"/>
        </w:rPr>
        <w:t xml:space="preserve">’s or </w:t>
      </w:r>
      <w:r w:rsidR="00701FF1">
        <w:rPr>
          <w:rFonts w:ascii="Times New Roman" w:hAnsi="Times New Roman"/>
        </w:rPr>
        <w:t>AFR</w:t>
      </w:r>
      <w:r w:rsidR="00701FF1" w:rsidRPr="00701FF1">
        <w:rPr>
          <w:rFonts w:ascii="Times New Roman" w:hAnsi="Times New Roman"/>
        </w:rPr>
        <w:t>’s scope of jurisdiction</w:t>
      </w:r>
      <w:r w:rsidR="00701FF1">
        <w:rPr>
          <w:rFonts w:ascii="Times New Roman" w:hAnsi="Times New Roman"/>
        </w:rPr>
        <w:t>.  § 49.18(c) require</w:t>
      </w:r>
      <w:r w:rsidR="0028035D">
        <w:rPr>
          <w:rFonts w:ascii="Times New Roman" w:hAnsi="Times New Roman"/>
        </w:rPr>
        <w:t>s</w:t>
      </w:r>
      <w:r w:rsidR="00701FF1">
        <w:rPr>
          <w:rFonts w:ascii="Times New Roman" w:hAnsi="Times New Roman"/>
        </w:rPr>
        <w:t xml:space="preserve"> an</w:t>
      </w:r>
      <w:r w:rsidR="00701FF1" w:rsidRPr="00701FF1">
        <w:rPr>
          <w:rFonts w:ascii="Times New Roman" w:hAnsi="Times New Roman"/>
        </w:rPr>
        <w:t xml:space="preserve"> </w:t>
      </w:r>
      <w:r w:rsidR="00701FF1">
        <w:rPr>
          <w:rFonts w:ascii="Times New Roman" w:hAnsi="Times New Roman"/>
        </w:rPr>
        <w:t>SDR to</w:t>
      </w:r>
      <w:r w:rsidR="00701FF1" w:rsidRPr="00701FF1">
        <w:rPr>
          <w:rFonts w:ascii="Times New Roman" w:hAnsi="Times New Roman"/>
        </w:rPr>
        <w:t xml:space="preserve"> immediately report to the Commission any known failure to fulfill the terms of a confidentiality arrangement that </w:t>
      </w:r>
      <w:r w:rsidR="00701FF1">
        <w:rPr>
          <w:rFonts w:ascii="Times New Roman" w:hAnsi="Times New Roman"/>
        </w:rPr>
        <w:t>the SDR</w:t>
      </w:r>
      <w:r w:rsidR="00701FF1" w:rsidRPr="00701FF1">
        <w:rPr>
          <w:rFonts w:ascii="Times New Roman" w:hAnsi="Times New Roman"/>
        </w:rPr>
        <w:t xml:space="preserve"> receives pursuant to § 49.18(a).</w:t>
      </w:r>
    </w:p>
    <w:p w:rsidR="002610A4" w:rsidRDefault="002610A4" w:rsidP="00427724">
      <w:pPr>
        <w:tabs>
          <w:tab w:val="left" w:pos="-720"/>
          <w:tab w:val="left" w:pos="0"/>
          <w:tab w:val="left" w:pos="720"/>
        </w:tabs>
        <w:suppressAutoHyphens/>
        <w:rPr>
          <w:rFonts w:ascii="Times New Roman" w:hAnsi="Times New Roman"/>
        </w:rPr>
      </w:pPr>
    </w:p>
    <w:p w:rsidR="002610A4" w:rsidRPr="00427724" w:rsidRDefault="002610A4" w:rsidP="002610A4">
      <w:pPr>
        <w:tabs>
          <w:tab w:val="left" w:pos="-720"/>
          <w:tab w:val="left" w:pos="0"/>
          <w:tab w:val="left" w:pos="720"/>
        </w:tabs>
        <w:suppressAutoHyphens/>
        <w:ind w:firstLine="720"/>
        <w:rPr>
          <w:rFonts w:ascii="Times New Roman" w:hAnsi="Times New Roman"/>
        </w:rPr>
      </w:pPr>
      <w:r>
        <w:rPr>
          <w:rFonts w:ascii="Times New Roman" w:hAnsi="Times New Roman"/>
        </w:rPr>
        <w:t xml:space="preserve">Although each of these collections (except for the collection prompted by an </w:t>
      </w:r>
      <w:r w:rsidR="00A90977">
        <w:rPr>
          <w:rFonts w:ascii="Times New Roman" w:hAnsi="Times New Roman"/>
        </w:rPr>
        <w:t>initial</w:t>
      </w:r>
      <w:r>
        <w:rPr>
          <w:rFonts w:ascii="Times New Roman" w:hAnsi="Times New Roman"/>
        </w:rPr>
        <w:t xml:space="preserve"> request for </w:t>
      </w:r>
      <w:r w:rsidR="00A90977">
        <w:rPr>
          <w:rFonts w:ascii="Times New Roman" w:hAnsi="Times New Roman"/>
        </w:rPr>
        <w:t>swap data</w:t>
      </w:r>
      <w:r>
        <w:rPr>
          <w:rFonts w:ascii="Times New Roman" w:hAnsi="Times New Roman"/>
        </w:rPr>
        <w:t xml:space="preserve">) </w:t>
      </w:r>
      <w:r w:rsidR="00A90977">
        <w:rPr>
          <w:rFonts w:ascii="Times New Roman" w:hAnsi="Times New Roman"/>
        </w:rPr>
        <w:t>theoretically</w:t>
      </w:r>
      <w:r>
        <w:rPr>
          <w:rFonts w:ascii="Times New Roman" w:hAnsi="Times New Roman"/>
        </w:rPr>
        <w:t xml:space="preserve"> could occur more frequently than quarterly, the Commission does not believe that is likely.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C05EB5" w:rsidP="0028035D">
      <w:pPr>
        <w:tabs>
          <w:tab w:val="left" w:pos="-720"/>
          <w:tab w:val="left" w:pos="0"/>
          <w:tab w:val="left" w:pos="720"/>
        </w:tabs>
        <w:suppressAutoHyphens/>
        <w:rPr>
          <w:rFonts w:ascii="Times New Roman" w:hAnsi="Times New Roman"/>
        </w:rPr>
      </w:pPr>
      <w:r>
        <w:rPr>
          <w:rFonts w:ascii="Times New Roman" w:hAnsi="Times New Roman"/>
        </w:rPr>
        <w:tab/>
      </w:r>
      <w:r w:rsidR="003F5279">
        <w:rPr>
          <w:rFonts w:ascii="Times New Roman" w:hAnsi="Times New Roman"/>
        </w:rPr>
        <w:t xml:space="preserve">The collection </w:t>
      </w:r>
      <w:r w:rsidR="00E258F5">
        <w:rPr>
          <w:rFonts w:ascii="Times New Roman" w:hAnsi="Times New Roman"/>
        </w:rPr>
        <w:t xml:space="preserve">as adopted </w:t>
      </w:r>
      <w:r w:rsidR="003F5279">
        <w:rPr>
          <w:rFonts w:ascii="Times New Roman" w:hAnsi="Times New Roman"/>
        </w:rPr>
        <w:t xml:space="preserve">(in </w:t>
      </w:r>
      <w:r w:rsidR="00F1439D">
        <w:rPr>
          <w:rFonts w:ascii="Times New Roman" w:hAnsi="Times New Roman"/>
        </w:rPr>
        <w:t>§ 49.17(d)(4)(i)) require</w:t>
      </w:r>
      <w:r w:rsidR="00E258F5">
        <w:rPr>
          <w:rFonts w:ascii="Times New Roman" w:hAnsi="Times New Roman"/>
        </w:rPr>
        <w:t>s</w:t>
      </w:r>
      <w:r w:rsidR="00F1439D">
        <w:rPr>
          <w:rFonts w:ascii="Times New Roman" w:hAnsi="Times New Roman"/>
        </w:rPr>
        <w:t xml:space="preserve"> each</w:t>
      </w:r>
      <w:r w:rsidR="00F1439D" w:rsidRPr="00F1439D">
        <w:rPr>
          <w:rFonts w:ascii="Times New Roman" w:hAnsi="Times New Roman"/>
        </w:rPr>
        <w:t xml:space="preserve"> </w:t>
      </w:r>
      <w:r w:rsidR="00F1439D">
        <w:rPr>
          <w:rFonts w:ascii="Times New Roman" w:hAnsi="Times New Roman"/>
        </w:rPr>
        <w:t>SDR</w:t>
      </w:r>
      <w:r w:rsidR="00F1439D" w:rsidRPr="00F1439D">
        <w:rPr>
          <w:rFonts w:ascii="Times New Roman" w:hAnsi="Times New Roman"/>
        </w:rPr>
        <w:t xml:space="preserve"> </w:t>
      </w:r>
      <w:r w:rsidR="00F1439D">
        <w:rPr>
          <w:rFonts w:ascii="Times New Roman" w:hAnsi="Times New Roman"/>
        </w:rPr>
        <w:t>to</w:t>
      </w:r>
      <w:r w:rsidR="00F1439D" w:rsidRPr="00F1439D">
        <w:rPr>
          <w:rFonts w:ascii="Times New Roman" w:hAnsi="Times New Roman"/>
        </w:rPr>
        <w:t xml:space="preserve"> notify the Commission </w:t>
      </w:r>
      <w:r w:rsidR="00F1439D">
        <w:rPr>
          <w:rFonts w:ascii="Times New Roman" w:hAnsi="Times New Roman"/>
        </w:rPr>
        <w:t>“</w:t>
      </w:r>
      <w:r w:rsidR="00F1439D" w:rsidRPr="00F1439D">
        <w:rPr>
          <w:rFonts w:ascii="Times New Roman" w:hAnsi="Times New Roman"/>
        </w:rPr>
        <w:t>promptly</w:t>
      </w:r>
      <w:r w:rsidR="00F1439D">
        <w:rPr>
          <w:rFonts w:ascii="Times New Roman" w:hAnsi="Times New Roman"/>
        </w:rPr>
        <w:t>”</w:t>
      </w:r>
      <w:r w:rsidR="00F1439D" w:rsidRPr="00F1439D">
        <w:rPr>
          <w:rFonts w:ascii="Times New Roman" w:hAnsi="Times New Roman"/>
        </w:rPr>
        <w:t xml:space="preserve"> after receiving an initial request from an </w:t>
      </w:r>
      <w:r w:rsidR="00F1439D">
        <w:rPr>
          <w:rFonts w:ascii="Times New Roman" w:hAnsi="Times New Roman"/>
        </w:rPr>
        <w:t>ADR</w:t>
      </w:r>
      <w:r w:rsidR="00F1439D" w:rsidRPr="00F1439D">
        <w:rPr>
          <w:rFonts w:ascii="Times New Roman" w:hAnsi="Times New Roman"/>
        </w:rPr>
        <w:t xml:space="preserve"> or </w:t>
      </w:r>
      <w:r w:rsidR="00F1439D">
        <w:rPr>
          <w:rFonts w:ascii="Times New Roman" w:hAnsi="Times New Roman"/>
        </w:rPr>
        <w:t>AFR</w:t>
      </w:r>
      <w:r w:rsidR="00F1439D" w:rsidRPr="00F1439D">
        <w:rPr>
          <w:rFonts w:ascii="Times New Roman" w:hAnsi="Times New Roman"/>
        </w:rPr>
        <w:t xml:space="preserve"> to gain access to swap data maintained by such </w:t>
      </w:r>
      <w:r w:rsidR="00F1439D">
        <w:rPr>
          <w:rFonts w:ascii="Times New Roman" w:hAnsi="Times New Roman"/>
        </w:rPr>
        <w:t>SDR</w:t>
      </w:r>
      <w:r w:rsidR="00F1439D" w:rsidRPr="00F1439D">
        <w:rPr>
          <w:rFonts w:ascii="Times New Roman" w:hAnsi="Times New Roman"/>
        </w:rPr>
        <w:t xml:space="preserve"> and promptly after receiving any request that does not comport with the scope of the ADR’s or AFR’s jurisdiction</w:t>
      </w:r>
      <w:r w:rsidR="00F1439D">
        <w:rPr>
          <w:rFonts w:ascii="Times New Roman" w:hAnsi="Times New Roman"/>
        </w:rPr>
        <w:t xml:space="preserve">, in each case </w:t>
      </w:r>
      <w:r w:rsidR="003F5279">
        <w:rPr>
          <w:rFonts w:ascii="Times New Roman" w:hAnsi="Times New Roman"/>
        </w:rPr>
        <w:t>electronically</w:t>
      </w:r>
      <w:r w:rsidR="00F1439D" w:rsidRPr="00F1439D">
        <w:rPr>
          <w:rFonts w:ascii="Times New Roman" w:hAnsi="Times New Roman"/>
        </w:rPr>
        <w:t xml:space="preserve"> in a format specified by the Secretary of the Commission</w:t>
      </w:r>
      <w:r w:rsidR="003F5279">
        <w:rPr>
          <w:rFonts w:ascii="Times New Roman" w:hAnsi="Times New Roman"/>
        </w:rPr>
        <w:t xml:space="preserve"> (pursuant to § 49.17(d)(4)(ii))</w:t>
      </w:r>
      <w:r w:rsidR="00F1439D">
        <w:rPr>
          <w:rFonts w:ascii="Times New Roman" w:hAnsi="Times New Roman"/>
        </w:rPr>
        <w:t>. In the case of notice of an initial request, the Commission desires to be informed of each ADR and AFR requesting SDR access so the Commission can check that each requesting ADR and AFR is the subject of a determination order granting such access is permitted to access such data</w:t>
      </w:r>
      <w:r w:rsidR="008C54A5">
        <w:rPr>
          <w:rFonts w:ascii="Times New Roman" w:hAnsi="Times New Roman"/>
        </w:rPr>
        <w:t xml:space="preserve"> and so the </w:t>
      </w:r>
      <w:r w:rsidR="00BB6762">
        <w:rPr>
          <w:rFonts w:ascii="Times New Roman" w:hAnsi="Times New Roman"/>
        </w:rPr>
        <w:t>Commission</w:t>
      </w:r>
      <w:r w:rsidR="008C54A5">
        <w:rPr>
          <w:rFonts w:ascii="Times New Roman" w:hAnsi="Times New Roman"/>
        </w:rPr>
        <w:t xml:space="preserve"> is generally aware of which ADRs and AFRs have access to SDR swap data</w:t>
      </w:r>
      <w:r w:rsidR="00F1439D">
        <w:rPr>
          <w:rFonts w:ascii="Times New Roman" w:hAnsi="Times New Roman"/>
        </w:rPr>
        <w:t>.</w:t>
      </w:r>
      <w:r w:rsidR="008C54A5" w:rsidRPr="008C54A5">
        <w:rPr>
          <w:rFonts w:ascii="Times New Roman" w:hAnsi="Times New Roman"/>
        </w:rPr>
        <w:t xml:space="preserve"> </w:t>
      </w:r>
      <w:r w:rsidR="008C54A5">
        <w:rPr>
          <w:rFonts w:ascii="Times New Roman" w:hAnsi="Times New Roman"/>
        </w:rPr>
        <w:t>In the case of notice of</w:t>
      </w:r>
      <w:r w:rsidR="008C54A5" w:rsidRPr="008C54A5">
        <w:rPr>
          <w:rFonts w:ascii="Times New Roman" w:hAnsi="Times New Roman"/>
        </w:rPr>
        <w:t xml:space="preserve"> </w:t>
      </w:r>
      <w:r w:rsidR="003F5279">
        <w:rPr>
          <w:rFonts w:ascii="Times New Roman" w:hAnsi="Times New Roman"/>
        </w:rPr>
        <w:t xml:space="preserve">a </w:t>
      </w:r>
      <w:r w:rsidR="008C54A5" w:rsidRPr="00F1439D">
        <w:rPr>
          <w:rFonts w:ascii="Times New Roman" w:hAnsi="Times New Roman"/>
        </w:rPr>
        <w:t>request that does not comport with the scope of the ADR’s or AFR’s jurisdiction</w:t>
      </w:r>
      <w:r w:rsidR="008C54A5">
        <w:rPr>
          <w:rFonts w:ascii="Times New Roman" w:hAnsi="Times New Roman"/>
        </w:rPr>
        <w:t xml:space="preserve">, the Commission wishes to be made aware of such requests as soon as practicable so the Commission can consider </w:t>
      </w:r>
      <w:r w:rsidR="00BB6762">
        <w:rPr>
          <w:rFonts w:ascii="Times New Roman" w:hAnsi="Times New Roman"/>
        </w:rPr>
        <w:t>appropriate</w:t>
      </w:r>
      <w:r w:rsidR="008C54A5">
        <w:rPr>
          <w:rFonts w:ascii="Times New Roman" w:hAnsi="Times New Roman"/>
        </w:rPr>
        <w:t xml:space="preserve"> remedial action to cease the improper dissemination of SDR swap data and consider appropriate</w:t>
      </w:r>
      <w:r w:rsidR="00F03973">
        <w:rPr>
          <w:rFonts w:ascii="Times New Roman" w:hAnsi="Times New Roman"/>
        </w:rPr>
        <w:t xml:space="preserve"> punitive and re</w:t>
      </w:r>
      <w:r w:rsidR="008C54A5">
        <w:rPr>
          <w:rFonts w:ascii="Times New Roman" w:hAnsi="Times New Roman"/>
        </w:rPr>
        <w:t>m</w:t>
      </w:r>
      <w:r w:rsidR="00F03973">
        <w:rPr>
          <w:rFonts w:ascii="Times New Roman" w:hAnsi="Times New Roman"/>
        </w:rPr>
        <w:t>ed</w:t>
      </w:r>
      <w:r w:rsidR="008C54A5">
        <w:rPr>
          <w:rFonts w:ascii="Times New Roman" w:hAnsi="Times New Roman"/>
        </w:rPr>
        <w:t>ial measures.</w:t>
      </w:r>
    </w:p>
    <w:p w:rsidR="00F03973" w:rsidRDefault="00F03973" w:rsidP="00F1439D">
      <w:pPr>
        <w:tabs>
          <w:tab w:val="left" w:pos="-720"/>
          <w:tab w:val="left" w:pos="0"/>
          <w:tab w:val="left" w:pos="720"/>
        </w:tabs>
        <w:suppressAutoHyphens/>
        <w:rPr>
          <w:rFonts w:ascii="Times New Roman" w:hAnsi="Times New Roman"/>
        </w:rPr>
      </w:pPr>
    </w:p>
    <w:p w:rsidR="00F03973" w:rsidRDefault="00C05EB5" w:rsidP="00F1439D">
      <w:pPr>
        <w:tabs>
          <w:tab w:val="left" w:pos="-720"/>
          <w:tab w:val="left" w:pos="0"/>
          <w:tab w:val="left" w:pos="720"/>
        </w:tabs>
        <w:suppressAutoHyphens/>
        <w:rPr>
          <w:rFonts w:ascii="Times New Roman" w:hAnsi="Times New Roman"/>
        </w:rPr>
      </w:pPr>
      <w:r>
        <w:rPr>
          <w:rFonts w:ascii="Times New Roman" w:hAnsi="Times New Roman"/>
        </w:rPr>
        <w:tab/>
      </w:r>
      <w:r w:rsidR="00F03973">
        <w:rPr>
          <w:rFonts w:ascii="Times New Roman" w:hAnsi="Times New Roman"/>
        </w:rPr>
        <w:t>§ 49.17(d)(4)(iii) would require a</w:t>
      </w:r>
      <w:r w:rsidR="00F03973" w:rsidRPr="00F03973">
        <w:rPr>
          <w:rFonts w:ascii="Times New Roman" w:hAnsi="Times New Roman"/>
        </w:rPr>
        <w:t xml:space="preserve">n </w:t>
      </w:r>
      <w:r w:rsidR="00F03973">
        <w:rPr>
          <w:rFonts w:ascii="Times New Roman" w:hAnsi="Times New Roman"/>
        </w:rPr>
        <w:t>ADR or AFR</w:t>
      </w:r>
      <w:r w:rsidR="00F03973" w:rsidRPr="00F03973">
        <w:rPr>
          <w:rFonts w:ascii="Times New Roman" w:hAnsi="Times New Roman"/>
        </w:rPr>
        <w:t xml:space="preserve"> that has executed a confidentiality arrangement with the Commission pursuant to § 49.18(a) and provided such confidentiality arrangement to one or more </w:t>
      </w:r>
      <w:r w:rsidR="00F03973">
        <w:rPr>
          <w:rFonts w:ascii="Times New Roman" w:hAnsi="Times New Roman"/>
        </w:rPr>
        <w:t>SDRs</w:t>
      </w:r>
      <w:r w:rsidR="00F03973" w:rsidRPr="00F03973">
        <w:rPr>
          <w:rFonts w:ascii="Times New Roman" w:hAnsi="Times New Roman"/>
        </w:rPr>
        <w:t xml:space="preserve"> </w:t>
      </w:r>
      <w:r w:rsidR="00F03973">
        <w:rPr>
          <w:rFonts w:ascii="Times New Roman" w:hAnsi="Times New Roman"/>
        </w:rPr>
        <w:t>to</w:t>
      </w:r>
      <w:r w:rsidR="00F03973" w:rsidRPr="00F03973">
        <w:rPr>
          <w:rFonts w:ascii="Times New Roman" w:hAnsi="Times New Roman"/>
        </w:rPr>
        <w:t xml:space="preserve"> notify the Commission and each such </w:t>
      </w:r>
      <w:r w:rsidR="00F03973">
        <w:rPr>
          <w:rFonts w:ascii="Times New Roman" w:hAnsi="Times New Roman"/>
        </w:rPr>
        <w:t>SDR</w:t>
      </w:r>
      <w:r w:rsidR="00F03973" w:rsidRPr="00F03973">
        <w:rPr>
          <w:rFonts w:ascii="Times New Roman" w:hAnsi="Times New Roman"/>
        </w:rPr>
        <w:t xml:space="preserve"> of any change to such </w:t>
      </w:r>
      <w:r w:rsidR="00F03973">
        <w:rPr>
          <w:rFonts w:ascii="Times New Roman" w:hAnsi="Times New Roman"/>
        </w:rPr>
        <w:t>ADR’s or AFR’s</w:t>
      </w:r>
      <w:r w:rsidR="00F03973" w:rsidRPr="00F03973">
        <w:rPr>
          <w:rFonts w:ascii="Times New Roman" w:hAnsi="Times New Roman"/>
        </w:rPr>
        <w:t xml:space="preserve"> scope of jurisdiction as described in such confidentiality arrangement. </w:t>
      </w:r>
      <w:r w:rsidR="00F03973">
        <w:rPr>
          <w:rFonts w:ascii="Times New Roman" w:hAnsi="Times New Roman"/>
        </w:rPr>
        <w:t xml:space="preserve">While the collection does not specifically require that this notice occur within 30 days or be in </w:t>
      </w:r>
      <w:r w:rsidR="00BB6762">
        <w:rPr>
          <w:rFonts w:ascii="Times New Roman" w:hAnsi="Times New Roman"/>
        </w:rPr>
        <w:t>writing, the</w:t>
      </w:r>
      <w:r w:rsidR="00F03973">
        <w:rPr>
          <w:rFonts w:ascii="Times New Roman" w:hAnsi="Times New Roman"/>
        </w:rPr>
        <w:t xml:space="preserve"> Commission would expect both.  The Commission wants prompt notice so that it may quickly consider </w:t>
      </w:r>
      <w:r w:rsidR="00F03973" w:rsidRPr="00F03973">
        <w:rPr>
          <w:rFonts w:ascii="Times New Roman" w:hAnsi="Times New Roman"/>
        </w:rPr>
        <w:t>direct</w:t>
      </w:r>
      <w:r w:rsidR="00F03973">
        <w:rPr>
          <w:rFonts w:ascii="Times New Roman" w:hAnsi="Times New Roman"/>
        </w:rPr>
        <w:t>ing</w:t>
      </w:r>
      <w:r w:rsidR="00F03973" w:rsidRPr="00F03973">
        <w:rPr>
          <w:rFonts w:ascii="Times New Roman" w:hAnsi="Times New Roman"/>
        </w:rPr>
        <w:t xml:space="preserve"> a</w:t>
      </w:r>
      <w:r w:rsidR="00F03973">
        <w:rPr>
          <w:rFonts w:ascii="Times New Roman" w:hAnsi="Times New Roman"/>
        </w:rPr>
        <w:t>n</w:t>
      </w:r>
      <w:r w:rsidR="00F03973" w:rsidRPr="00F03973">
        <w:rPr>
          <w:rFonts w:ascii="Times New Roman" w:hAnsi="Times New Roman"/>
        </w:rPr>
        <w:t xml:space="preserve"> </w:t>
      </w:r>
      <w:r w:rsidR="00F03973">
        <w:rPr>
          <w:rFonts w:ascii="Times New Roman" w:hAnsi="Times New Roman"/>
        </w:rPr>
        <w:t>SDR</w:t>
      </w:r>
      <w:r w:rsidR="00F03973" w:rsidRPr="00F03973">
        <w:rPr>
          <w:rFonts w:ascii="Times New Roman" w:hAnsi="Times New Roman"/>
        </w:rPr>
        <w:t xml:space="preserve"> to suspend, limit, or revoke access to swap data maintained by such </w:t>
      </w:r>
      <w:r w:rsidR="00F03973">
        <w:rPr>
          <w:rFonts w:ascii="Times New Roman" w:hAnsi="Times New Roman"/>
        </w:rPr>
        <w:t>SDR</w:t>
      </w:r>
      <w:r w:rsidR="00F03973" w:rsidRPr="00F03973">
        <w:rPr>
          <w:rFonts w:ascii="Times New Roman" w:hAnsi="Times New Roman"/>
        </w:rPr>
        <w:t xml:space="preserve"> based on any such change </w:t>
      </w:r>
      <w:r w:rsidR="00F03973">
        <w:rPr>
          <w:rFonts w:ascii="Times New Roman" w:hAnsi="Times New Roman"/>
        </w:rPr>
        <w:t>in the</w:t>
      </w:r>
      <w:r w:rsidR="00F03973" w:rsidRPr="00F03973">
        <w:rPr>
          <w:rFonts w:ascii="Times New Roman" w:hAnsi="Times New Roman"/>
        </w:rPr>
        <w:t xml:space="preserve"> scope of </w:t>
      </w:r>
      <w:r w:rsidR="00F03973">
        <w:rPr>
          <w:rFonts w:ascii="Times New Roman" w:hAnsi="Times New Roman"/>
        </w:rPr>
        <w:t>an ADR’s or AFR’s</w:t>
      </w:r>
      <w:r w:rsidR="00F03973" w:rsidRPr="00F03973">
        <w:rPr>
          <w:rFonts w:ascii="Times New Roman" w:hAnsi="Times New Roman"/>
        </w:rPr>
        <w:t xml:space="preserve"> </w:t>
      </w:r>
      <w:r w:rsidR="00F03973">
        <w:rPr>
          <w:rFonts w:ascii="Times New Roman" w:hAnsi="Times New Roman"/>
        </w:rPr>
        <w:t>jurisdiction in order to prevent or cease the improper dissemination of SDR swap data</w:t>
      </w:r>
      <w:r w:rsidR="00F03973" w:rsidRPr="00F03973">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5F51FD">
      <w:pPr>
        <w:tabs>
          <w:tab w:val="left" w:pos="-720"/>
          <w:tab w:val="left" w:pos="0"/>
          <w:tab w:val="left" w:pos="720"/>
        </w:tabs>
        <w:suppressAutoHyphens/>
        <w:ind w:left="1440" w:hanging="1440"/>
        <w:rPr>
          <w:rFonts w:ascii="Times New Roman" w:hAnsi="Times New Roman"/>
        </w:rPr>
      </w:pPr>
      <w:r>
        <w:rPr>
          <w:rFonts w:ascii="Times New Roman" w:hAnsi="Times New Roman"/>
        </w:rPr>
        <w:t>Not applicable:  the collection does not require this.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810C89" w:rsidRDefault="00810C89" w:rsidP="00810C89">
      <w:pPr>
        <w:tabs>
          <w:tab w:val="left" w:pos="-720"/>
          <w:tab w:val="left" w:pos="0"/>
          <w:tab w:val="left" w:pos="720"/>
        </w:tabs>
        <w:suppressAutoHyphens/>
        <w:rPr>
          <w:rFonts w:ascii="Times New Roman" w:hAnsi="Times New Roman"/>
        </w:rPr>
      </w:pPr>
      <w:r>
        <w:rPr>
          <w:rFonts w:ascii="Times New Roman" w:hAnsi="Times New Roman"/>
        </w:rPr>
        <w:t>While § 49.17(d)(4)(i) contains a recordkeeping requirement</w:t>
      </w:r>
      <w:r w:rsidR="00ED5E26">
        <w:rPr>
          <w:rFonts w:ascii="Times New Roman" w:hAnsi="Times New Roman"/>
        </w:rPr>
        <w:t xml:space="preserve"> that extend</w:t>
      </w:r>
      <w:r w:rsidR="0028035D">
        <w:rPr>
          <w:rFonts w:ascii="Times New Roman" w:hAnsi="Times New Roman"/>
        </w:rPr>
        <w:t>s</w:t>
      </w:r>
      <w:r w:rsidR="00ED5E26">
        <w:rPr>
          <w:rFonts w:ascii="Times New Roman" w:hAnsi="Times New Roman"/>
        </w:rPr>
        <w:t xml:space="preserve"> beyond three years</w:t>
      </w:r>
      <w:r>
        <w:rPr>
          <w:rFonts w:ascii="Times New Roman" w:hAnsi="Times New Roman"/>
        </w:rPr>
        <w:t>, that requirement was alre</w:t>
      </w:r>
      <w:r w:rsidR="00ED5E26">
        <w:rPr>
          <w:rFonts w:ascii="Times New Roman" w:hAnsi="Times New Roman"/>
        </w:rPr>
        <w:t>ady contained implicitly in § 45.</w:t>
      </w:r>
      <w:r>
        <w:rPr>
          <w:rFonts w:ascii="Times New Roman" w:hAnsi="Times New Roman"/>
        </w:rPr>
        <w:t>2</w:t>
      </w:r>
      <w:r w:rsidR="00ED5E26">
        <w:rPr>
          <w:rFonts w:ascii="Times New Roman" w:hAnsi="Times New Roman"/>
        </w:rPr>
        <w:t>(f), which requires SDRs to keep full, complete and systematic records of all activities relating to their business as SDRs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5F51FD">
      <w:pPr>
        <w:tabs>
          <w:tab w:val="left" w:pos="-720"/>
          <w:tab w:val="left" w:pos="0"/>
          <w:tab w:val="left" w:pos="720"/>
        </w:tabs>
        <w:suppressAutoHyphens/>
        <w:ind w:left="1440" w:hanging="1440"/>
        <w:rPr>
          <w:rFonts w:ascii="Times New Roman" w:hAnsi="Times New Roman"/>
        </w:rPr>
      </w:pPr>
      <w:r>
        <w:rPr>
          <w:rFonts w:ascii="Times New Roman" w:hAnsi="Times New Roman"/>
        </w:rPr>
        <w:t>Not applicable:  the collection is not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5F51FD" w:rsidRDefault="005F51FD">
      <w:pPr>
        <w:tabs>
          <w:tab w:val="left" w:pos="-720"/>
          <w:tab w:val="left" w:pos="0"/>
          <w:tab w:val="left" w:pos="720"/>
        </w:tabs>
        <w:suppressAutoHyphens/>
        <w:ind w:left="1440" w:hanging="1440"/>
        <w:rPr>
          <w:rFonts w:ascii="Times New Roman" w:hAnsi="Times New Roman"/>
        </w:rPr>
      </w:pPr>
    </w:p>
    <w:p w:rsidR="005F51FD" w:rsidRDefault="005F51FD">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Not applicable:  the collection does not </w:t>
      </w:r>
      <w:r w:rsidRPr="005F51FD">
        <w:rPr>
          <w:rFonts w:ascii="Times New Roman" w:hAnsi="Times New Roman"/>
        </w:rPr>
        <w:t>requir</w:t>
      </w:r>
      <w:r>
        <w:rPr>
          <w:rFonts w:ascii="Times New Roman" w:hAnsi="Times New Roman"/>
        </w:rPr>
        <w:t>e</w:t>
      </w:r>
      <w:r w:rsidRPr="005F51FD">
        <w:rPr>
          <w:rFonts w:ascii="Times New Roman" w:hAnsi="Times New Roman"/>
        </w:rPr>
        <w:t xml:space="preserve"> the use of a statistical data classification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10C89" w:rsidRDefault="00810C89">
      <w:pPr>
        <w:tabs>
          <w:tab w:val="left" w:pos="-720"/>
          <w:tab w:val="left" w:pos="0"/>
          <w:tab w:val="left" w:pos="720"/>
        </w:tabs>
        <w:suppressAutoHyphens/>
        <w:ind w:left="1440" w:hanging="1440"/>
        <w:rPr>
          <w:rFonts w:ascii="Times New Roman" w:hAnsi="Times New Roman"/>
        </w:rPr>
      </w:pPr>
    </w:p>
    <w:p w:rsidR="00810C89" w:rsidRDefault="00C05EB5" w:rsidP="00810C89">
      <w:pPr>
        <w:tabs>
          <w:tab w:val="left" w:pos="-720"/>
          <w:tab w:val="left" w:pos="0"/>
          <w:tab w:val="left" w:pos="720"/>
        </w:tabs>
        <w:suppressAutoHyphens/>
        <w:rPr>
          <w:rFonts w:ascii="Times New Roman" w:hAnsi="Times New Roman"/>
        </w:rPr>
      </w:pPr>
      <w:r>
        <w:rPr>
          <w:rFonts w:ascii="Times New Roman" w:hAnsi="Times New Roman"/>
        </w:rPr>
        <w:tab/>
      </w:r>
      <w:r w:rsidR="00A13095" w:rsidRPr="00A13095">
        <w:rPr>
          <w:rFonts w:ascii="Times New Roman" w:hAnsi="Times New Roman"/>
        </w:rPr>
        <w:t xml:space="preserve">Appendix B </w:t>
      </w:r>
      <w:r w:rsidR="00A13095">
        <w:rPr>
          <w:rFonts w:ascii="Times New Roman" w:hAnsi="Times New Roman"/>
        </w:rPr>
        <w:t xml:space="preserve">to </w:t>
      </w:r>
      <w:r w:rsidR="00A13095" w:rsidRPr="00A13095">
        <w:rPr>
          <w:rFonts w:ascii="Times New Roman" w:hAnsi="Times New Roman"/>
        </w:rPr>
        <w:t xml:space="preserve">Part 49 </w:t>
      </w:r>
      <w:r w:rsidR="00A13095">
        <w:rPr>
          <w:rFonts w:ascii="Times New Roman" w:hAnsi="Times New Roman"/>
        </w:rPr>
        <w:t xml:space="preserve">of the CFTC’s regulations contains a </w:t>
      </w:r>
      <w:r w:rsidR="00BC644F">
        <w:rPr>
          <w:rFonts w:ascii="Times New Roman" w:hAnsi="Times New Roman"/>
        </w:rPr>
        <w:t xml:space="preserve">form of confidentiality agreement </w:t>
      </w:r>
      <w:r w:rsidR="00ED5E26">
        <w:rPr>
          <w:rFonts w:ascii="Times New Roman" w:hAnsi="Times New Roman"/>
        </w:rPr>
        <w:t>pursuant to</w:t>
      </w:r>
      <w:r w:rsidR="00A13095">
        <w:rPr>
          <w:rFonts w:ascii="Times New Roman" w:hAnsi="Times New Roman"/>
        </w:rPr>
        <w:t xml:space="preserve"> which ADRs and AFRs would </w:t>
      </w:r>
      <w:r w:rsidR="00BC644F">
        <w:rPr>
          <w:rFonts w:ascii="Times New Roman" w:hAnsi="Times New Roman"/>
        </w:rPr>
        <w:t xml:space="preserve">undertake to maintain the confidentiality of SDR swap data they receive. The form of confidentiality agreement contains a number of confidentiality safeguards with which ADRs and AFRs signing the confidentiality agreement undertake to comply. </w:t>
      </w:r>
      <w:r w:rsidR="00B259F6">
        <w:rPr>
          <w:rFonts w:ascii="Times New Roman" w:hAnsi="Times New Roman"/>
        </w:rPr>
        <w:t xml:space="preserve"> </w:t>
      </w:r>
      <w:r w:rsidR="00BC644F">
        <w:rPr>
          <w:rFonts w:ascii="Times New Roman" w:hAnsi="Times New Roman"/>
        </w:rPr>
        <w:t xml:space="preserve">Also, § </w:t>
      </w:r>
      <w:r w:rsidR="00B259F6">
        <w:rPr>
          <w:rFonts w:ascii="Times New Roman" w:hAnsi="Times New Roman"/>
        </w:rPr>
        <w:t xml:space="preserve">49.17(h)(2) requires </w:t>
      </w:r>
      <w:r w:rsidR="00ED5E26">
        <w:rPr>
          <w:rFonts w:ascii="Times New Roman" w:hAnsi="Times New Roman"/>
        </w:rPr>
        <w:t xml:space="preserve">each </w:t>
      </w:r>
      <w:r w:rsidR="00B259F6">
        <w:rPr>
          <w:rFonts w:ascii="Times New Roman" w:hAnsi="Times New Roman"/>
        </w:rPr>
        <w:t xml:space="preserve">applicant for access to SDR swap data to </w:t>
      </w:r>
      <w:r w:rsidR="00B259F6" w:rsidRPr="00B259F6">
        <w:rPr>
          <w:rFonts w:ascii="Times New Roman" w:hAnsi="Times New Roman"/>
        </w:rPr>
        <w:t>provide sufficient detail in its application to permit th</w:t>
      </w:r>
      <w:r w:rsidR="00B259F6">
        <w:rPr>
          <w:rFonts w:ascii="Times New Roman" w:hAnsi="Times New Roman"/>
        </w:rPr>
        <w:t xml:space="preserve">e Commission to analyze whether, among other things, </w:t>
      </w:r>
      <w:r w:rsidR="00B259F6" w:rsidRPr="00B259F6">
        <w:rPr>
          <w:rFonts w:ascii="Times New Roman" w:hAnsi="Times New Roman"/>
        </w:rPr>
        <w:t>the applicant employs appropriate confidentiality safeguards to ensure that any swap data such applicant receives from a</w:t>
      </w:r>
      <w:r w:rsidR="00ED5E26">
        <w:rPr>
          <w:rFonts w:ascii="Times New Roman" w:hAnsi="Times New Roman"/>
        </w:rPr>
        <w:t>n</w:t>
      </w:r>
      <w:r w:rsidR="00B259F6" w:rsidRPr="00B259F6">
        <w:rPr>
          <w:rFonts w:ascii="Times New Roman" w:hAnsi="Times New Roman"/>
        </w:rPr>
        <w:t xml:space="preserve"> </w:t>
      </w:r>
      <w:r w:rsidR="00ED5E26">
        <w:rPr>
          <w:rFonts w:ascii="Times New Roman" w:hAnsi="Times New Roman"/>
        </w:rPr>
        <w:t>SDR</w:t>
      </w:r>
      <w:r w:rsidR="00B259F6" w:rsidRPr="00B259F6">
        <w:rPr>
          <w:rFonts w:ascii="Times New Roman" w:hAnsi="Times New Roman"/>
        </w:rPr>
        <w:t xml:space="preserve"> will not, except as allowed for in the form of confidentiality arrangement set forth in Appendix B to Part 49</w:t>
      </w:r>
      <w:r w:rsidR="00B259F6">
        <w:rPr>
          <w:rFonts w:ascii="Times New Roman" w:hAnsi="Times New Roman"/>
        </w:rPr>
        <w:t xml:space="preserve"> of the CFTC’s regulations</w:t>
      </w:r>
      <w:r w:rsidR="00B259F6" w:rsidRPr="00B259F6">
        <w:rPr>
          <w:rFonts w:ascii="Times New Roman" w:hAnsi="Times New Roman"/>
        </w:rPr>
        <w:t>, be disclosed</w:t>
      </w:r>
      <w:r w:rsidR="00B259F6">
        <w:rPr>
          <w:rFonts w:ascii="Times New Roman" w:hAnsi="Times New Roman"/>
        </w:rPr>
        <w:t>. While the collection would include some conditions to other agencies getting access to SDR swap data, such as</w:t>
      </w:r>
      <w:r w:rsidR="00ED5E26">
        <w:rPr>
          <w:rFonts w:ascii="Times New Roman" w:hAnsi="Times New Roman"/>
        </w:rPr>
        <w:t xml:space="preserve">—(1) </w:t>
      </w:r>
      <w:r w:rsidR="00B259F6">
        <w:rPr>
          <w:rFonts w:ascii="Times New Roman" w:hAnsi="Times New Roman"/>
        </w:rPr>
        <w:t xml:space="preserve">having to demonstrate that the SDR swap data they seek are within the scope of their jurisdiction, </w:t>
      </w:r>
      <w:r w:rsidR="00ED5E26">
        <w:rPr>
          <w:rFonts w:ascii="Times New Roman" w:hAnsi="Times New Roman"/>
        </w:rPr>
        <w:t xml:space="preserve">(2) </w:t>
      </w:r>
      <w:r w:rsidR="00B259F6">
        <w:rPr>
          <w:rFonts w:ascii="Times New Roman" w:hAnsi="Times New Roman"/>
        </w:rPr>
        <w:t xml:space="preserve">requiring agencies not enumerated by Congress in the Commodity Exchange Act to apply for determinations that they are appropriate recipients of SDR swap data, and </w:t>
      </w:r>
      <w:r w:rsidR="00ED5E26">
        <w:rPr>
          <w:rFonts w:ascii="Times New Roman" w:hAnsi="Times New Roman"/>
        </w:rPr>
        <w:t xml:space="preserve">(3) </w:t>
      </w:r>
      <w:r w:rsidR="00B259F6">
        <w:rPr>
          <w:rFonts w:ascii="Times New Roman" w:hAnsi="Times New Roman"/>
        </w:rPr>
        <w:t>a prohibition on recipients of SDR swap data sharing such swap data with other parties, subject to narrow exceptions</w:t>
      </w:r>
      <w:r w:rsidR="00ED5E26">
        <w:rPr>
          <w:rFonts w:ascii="Times New Roman" w:hAnsi="Times New Roman"/>
        </w:rPr>
        <w:t>—</w:t>
      </w:r>
      <w:r w:rsidR="00B259F6">
        <w:rPr>
          <w:rFonts w:ascii="Times New Roman" w:hAnsi="Times New Roman"/>
        </w:rPr>
        <w:t>such safeguards are necessary to implement the Congressional directive in CEA §§ 21(c)(7) and (d) that only those non-enumerated regulators that the CFTC determines are appropriate should have access to SDR swap data and only if such access is pursuant to the confidentiality safeguards of CEA § 8.</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D202BF" w:rsidRDefault="00D202BF">
      <w:pPr>
        <w:tabs>
          <w:tab w:val="left" w:pos="-720"/>
          <w:tab w:val="left" w:pos="0"/>
          <w:tab w:val="left" w:pos="720"/>
        </w:tabs>
        <w:suppressAutoHyphens/>
        <w:ind w:left="1440" w:hanging="1440"/>
        <w:rPr>
          <w:rFonts w:ascii="Times New Roman" w:hAnsi="Times New Roman"/>
        </w:rPr>
      </w:pPr>
    </w:p>
    <w:p w:rsidR="00D202BF" w:rsidRDefault="00C05EB5" w:rsidP="00D202BF">
      <w:pPr>
        <w:tabs>
          <w:tab w:val="left" w:pos="-720"/>
          <w:tab w:val="left" w:pos="0"/>
          <w:tab w:val="left" w:pos="720"/>
        </w:tabs>
        <w:suppressAutoHyphens/>
        <w:rPr>
          <w:rFonts w:ascii="Times New Roman" w:hAnsi="Times New Roman"/>
        </w:rPr>
      </w:pPr>
      <w:r>
        <w:rPr>
          <w:rFonts w:ascii="Times New Roman" w:hAnsi="Times New Roman"/>
        </w:rPr>
        <w:tab/>
      </w:r>
      <w:r w:rsidR="00B259F6">
        <w:rPr>
          <w:rFonts w:ascii="Times New Roman" w:hAnsi="Times New Roman"/>
        </w:rPr>
        <w:t xml:space="preserve">The collection does not require submission of </w:t>
      </w:r>
      <w:r w:rsidR="00B259F6" w:rsidRPr="00B259F6">
        <w:rPr>
          <w:rFonts w:ascii="Times New Roman" w:hAnsi="Times New Roman"/>
        </w:rPr>
        <w:t>proprietary trade secrets, or other confidential information</w:t>
      </w:r>
      <w:r w:rsidR="00B259F6">
        <w:rPr>
          <w:rFonts w:ascii="Times New Roman" w:hAnsi="Times New Roman"/>
        </w:rPr>
        <w:t xml:space="preserve">; the </w:t>
      </w:r>
      <w:r w:rsidR="00ED5E26">
        <w:rPr>
          <w:rFonts w:ascii="Times New Roman" w:hAnsi="Times New Roman"/>
        </w:rPr>
        <w:t>CEA</w:t>
      </w:r>
      <w:r w:rsidR="00B259F6">
        <w:rPr>
          <w:rFonts w:ascii="Times New Roman" w:hAnsi="Times New Roman"/>
        </w:rPr>
        <w:t xml:space="preserve"> requires market participants to report their swap data to SDRs and requires SDRs to permit ADRs and AFRs to access such data</w:t>
      </w:r>
      <w:r w:rsidR="00355209">
        <w:rPr>
          <w:rFonts w:ascii="Times New Roman" w:hAnsi="Times New Roman"/>
        </w:rPr>
        <w:t>, but pursuant to the confidentiality safeguards of CEA § 8.  The Commission is implement</w:t>
      </w:r>
      <w:r w:rsidR="0028035D">
        <w:rPr>
          <w:rFonts w:ascii="Times New Roman" w:hAnsi="Times New Roman"/>
        </w:rPr>
        <w:t>ing</w:t>
      </w:r>
      <w:r w:rsidR="00355209">
        <w:rPr>
          <w:rFonts w:ascii="Times New Roman" w:hAnsi="Times New Roman"/>
        </w:rPr>
        <w:t xml:space="preserve"> the safeguards discussed throughout the responses to Question 7 to protect the information’s confidentiality.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 xml:space="preserve">If applicable, provide a copy and identify the date and page number of publication in the Federal Register of the agency's notice required by 5 C.F.R. 1320.8(d), soliciting comments on the information collection prior to submission to OMB.  </w:t>
      </w:r>
      <w:r w:rsidRPr="0053537D">
        <w:rPr>
          <w:rFonts w:ascii="Times New Roman" w:hAnsi="Times New Roman"/>
          <w:u w:val="single"/>
        </w:rPr>
        <w:t>Summarize public comments received in response to that notice and describe actions taken by the agency in response to these comments.</w:t>
      </w:r>
      <w:r>
        <w:rPr>
          <w:rFonts w:ascii="Times New Roman" w:hAnsi="Times New Roman"/>
          <w:u w:val="single"/>
        </w:rPr>
        <w:t xml:space="preserve">  Specifically address comments received on cost and hour burden.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133A" w:rsidRDefault="002D133A">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7DBB" w:rsidRDefault="002D7DBB">
      <w:pPr>
        <w:tabs>
          <w:tab w:val="left" w:pos="-720"/>
          <w:tab w:val="left" w:pos="0"/>
        </w:tabs>
        <w:suppressAutoHyphens/>
        <w:ind w:left="720" w:hanging="720"/>
        <w:rPr>
          <w:rFonts w:ascii="Times New Roman" w:hAnsi="Times New Roman"/>
        </w:rPr>
      </w:pPr>
    </w:p>
    <w:p w:rsidR="00D43994" w:rsidRDefault="002D7DBB" w:rsidP="00D43994">
      <w:pPr>
        <w:tabs>
          <w:tab w:val="left" w:pos="-720"/>
          <w:tab w:val="left" w:pos="0"/>
        </w:tabs>
        <w:suppressAutoHyphens/>
        <w:rPr>
          <w:rFonts w:ascii="Times New Roman" w:hAnsi="Times New Roman"/>
        </w:rPr>
      </w:pPr>
      <w:r>
        <w:rPr>
          <w:rFonts w:ascii="Times New Roman" w:hAnsi="Times New Roman"/>
        </w:rPr>
        <w:tab/>
        <w:t xml:space="preserve">The Commission </w:t>
      </w:r>
      <w:r w:rsidR="0028035D">
        <w:rPr>
          <w:rFonts w:ascii="Times New Roman" w:hAnsi="Times New Roman"/>
        </w:rPr>
        <w:t xml:space="preserve">received one substantive comment </w:t>
      </w:r>
      <w:r w:rsidR="00712BBB">
        <w:rPr>
          <w:rFonts w:ascii="Times New Roman" w:hAnsi="Times New Roman"/>
        </w:rPr>
        <w:t>(</w:t>
      </w:r>
      <w:r w:rsidR="00712BBB" w:rsidRPr="00712BBB">
        <w:rPr>
          <w:rFonts w:ascii="Times New Roman" w:hAnsi="Times New Roman"/>
          <w:u w:val="single"/>
        </w:rPr>
        <w:t>see</w:t>
      </w:r>
      <w:r w:rsidR="00712BBB">
        <w:rPr>
          <w:rFonts w:ascii="Times New Roman" w:hAnsi="Times New Roman"/>
        </w:rPr>
        <w:t xml:space="preserve"> </w:t>
      </w:r>
    </w:p>
    <w:p w:rsidR="00D43994" w:rsidRDefault="00FB3ECC" w:rsidP="00D43994">
      <w:pPr>
        <w:tabs>
          <w:tab w:val="left" w:pos="-720"/>
          <w:tab w:val="left" w:pos="0"/>
        </w:tabs>
        <w:suppressAutoHyphens/>
        <w:rPr>
          <w:rFonts w:ascii="Times New Roman" w:hAnsi="Times New Roman"/>
        </w:rPr>
      </w:pPr>
      <w:hyperlink r:id="rId12" w:history="1">
        <w:r w:rsidR="00D43994">
          <w:rPr>
            <w:rStyle w:val="Hyperlink"/>
            <w:rFonts w:ascii="Helvetica" w:hAnsi="Helvetica" w:cs="Helvetica"/>
          </w:rPr>
          <w:t>61160KatherineDelp.pdf</w:t>
        </w:r>
      </w:hyperlink>
      <w:r w:rsidR="00D43994">
        <w:rPr>
          <w:rFonts w:ascii="Helvetica" w:hAnsi="Helvetica" w:cs="Helvetica"/>
          <w:color w:val="4A4A4A"/>
        </w:rPr>
        <w:t>),</w:t>
      </w:r>
    </w:p>
    <w:p w:rsidR="002D7DBB" w:rsidRDefault="00D43994" w:rsidP="002D7DBB">
      <w:pPr>
        <w:tabs>
          <w:tab w:val="left" w:pos="-720"/>
          <w:tab w:val="left" w:pos="0"/>
        </w:tabs>
        <w:suppressAutoHyphens/>
        <w:rPr>
          <w:rFonts w:ascii="Times New Roman" w:hAnsi="Times New Roman"/>
        </w:rPr>
      </w:pPr>
      <w:r>
        <w:rPr>
          <w:rFonts w:ascii="Times New Roman" w:hAnsi="Times New Roman"/>
        </w:rPr>
        <w:t xml:space="preserve"> </w:t>
      </w:r>
      <w:r w:rsidR="00712BBB">
        <w:rPr>
          <w:rFonts w:ascii="Times New Roman" w:hAnsi="Times New Roman"/>
        </w:rPr>
        <w:t xml:space="preserve"> </w:t>
      </w:r>
      <w:r w:rsidR="0028035D">
        <w:rPr>
          <w:rFonts w:ascii="Times New Roman" w:hAnsi="Times New Roman"/>
        </w:rPr>
        <w:t>in response to its</w:t>
      </w:r>
      <w:r w:rsidR="002D7DBB">
        <w:rPr>
          <w:rFonts w:ascii="Times New Roman" w:hAnsi="Times New Roman"/>
        </w:rPr>
        <w:t xml:space="preserve"> notice requesting public comment on its proposed rulemaking in the Federal Register (</w:t>
      </w:r>
      <w:r w:rsidR="001A5153">
        <w:rPr>
          <w:rFonts w:ascii="Times New Roman" w:hAnsi="Times New Roman"/>
        </w:rPr>
        <w:t>82 FR 8369</w:t>
      </w:r>
      <w:r w:rsidR="002D7DBB">
        <w:rPr>
          <w:rFonts w:ascii="Times New Roman" w:hAnsi="Times New Roman"/>
        </w:rPr>
        <w:t>) on</w:t>
      </w:r>
      <w:r w:rsidR="001A5153">
        <w:rPr>
          <w:rFonts w:ascii="Times New Roman" w:hAnsi="Times New Roman"/>
        </w:rPr>
        <w:t xml:space="preserve"> January 25</w:t>
      </w:r>
      <w:r w:rsidR="002D7DBB">
        <w:rPr>
          <w:rFonts w:ascii="Times New Roman" w:hAnsi="Times New Roman"/>
        </w:rPr>
        <w:t>, 201</w:t>
      </w:r>
      <w:r w:rsidR="001A5153">
        <w:rPr>
          <w:rFonts w:ascii="Times New Roman" w:hAnsi="Times New Roman"/>
        </w:rPr>
        <w:t>7</w:t>
      </w:r>
      <w:r w:rsidR="00DC1DFB">
        <w:rPr>
          <w:rFonts w:ascii="Times New Roman" w:hAnsi="Times New Roman"/>
        </w:rPr>
        <w:t>, and engaged in subsequent communications with the commenters (together the “Comments”)</w:t>
      </w:r>
      <w:r w:rsidR="002D7DBB">
        <w:rPr>
          <w:rFonts w:ascii="Times New Roman" w:hAnsi="Times New Roman"/>
        </w:rPr>
        <w:t>.</w:t>
      </w:r>
      <w:r w:rsidR="000923BC">
        <w:rPr>
          <w:rFonts w:ascii="Times New Roman" w:hAnsi="Times New Roman"/>
        </w:rPr>
        <w:t xml:space="preserve"> </w:t>
      </w:r>
      <w:r w:rsidR="00DC1DFB">
        <w:rPr>
          <w:rFonts w:ascii="Times New Roman" w:hAnsi="Times New Roman"/>
        </w:rPr>
        <w:t xml:space="preserve">These Comments </w:t>
      </w:r>
      <w:r w:rsidR="000923BC">
        <w:rPr>
          <w:rFonts w:ascii="Times New Roman" w:hAnsi="Times New Roman"/>
        </w:rPr>
        <w:t xml:space="preserve">suggested </w:t>
      </w:r>
      <w:r w:rsidR="00DC1DFB">
        <w:rPr>
          <w:rFonts w:ascii="Times New Roman" w:hAnsi="Times New Roman"/>
        </w:rPr>
        <w:t xml:space="preserve">three </w:t>
      </w:r>
      <w:r w:rsidR="000923BC">
        <w:rPr>
          <w:rFonts w:ascii="Times New Roman" w:hAnsi="Times New Roman"/>
        </w:rPr>
        <w:t>modifications to the Commission’s proposed PRA estimate</w:t>
      </w:r>
      <w:r w:rsidR="00EE77C3">
        <w:rPr>
          <w:rFonts w:ascii="Times New Roman" w:hAnsi="Times New Roman"/>
        </w:rPr>
        <w:t>s</w:t>
      </w:r>
      <w:r w:rsidR="000923BC">
        <w:rPr>
          <w:rFonts w:ascii="Times New Roman" w:hAnsi="Times New Roman"/>
        </w:rPr>
        <w:t xml:space="preserve">. The Commission, as discussed below, is accepting the </w:t>
      </w:r>
      <w:r w:rsidR="00DC1DFB">
        <w:rPr>
          <w:rFonts w:ascii="Times New Roman" w:hAnsi="Times New Roman"/>
        </w:rPr>
        <w:t xml:space="preserve">three </w:t>
      </w:r>
      <w:r w:rsidR="000923BC">
        <w:rPr>
          <w:rFonts w:ascii="Times New Roman" w:hAnsi="Times New Roman"/>
        </w:rPr>
        <w:t xml:space="preserve">PRA related suggestions set out in the </w:t>
      </w:r>
      <w:r w:rsidR="00DC1DFB">
        <w:rPr>
          <w:rFonts w:ascii="Times New Roman" w:hAnsi="Times New Roman"/>
        </w:rPr>
        <w:t>Comments</w:t>
      </w:r>
      <w:r w:rsidR="000923BC">
        <w:rPr>
          <w:rFonts w:ascii="Times New Roman" w:hAnsi="Times New Roman"/>
        </w:rPr>
        <w:t xml:space="preserve"> and modifying its estimates accordingly.</w:t>
      </w:r>
    </w:p>
    <w:p w:rsidR="000923BC" w:rsidRDefault="000923BC" w:rsidP="002D7DBB">
      <w:pPr>
        <w:tabs>
          <w:tab w:val="left" w:pos="-720"/>
          <w:tab w:val="left" w:pos="0"/>
        </w:tabs>
        <w:suppressAutoHyphens/>
        <w:rPr>
          <w:rFonts w:ascii="Times New Roman" w:hAnsi="Times New Roman"/>
        </w:rPr>
      </w:pPr>
    </w:p>
    <w:p w:rsidR="002D133A" w:rsidRDefault="000923BC" w:rsidP="000923BC">
      <w:pPr>
        <w:tabs>
          <w:tab w:val="left" w:pos="-720"/>
        </w:tabs>
        <w:suppressAutoHyphens/>
        <w:ind w:firstLine="720"/>
        <w:rPr>
          <w:rFonts w:ascii="Times New Roman" w:hAnsi="Times New Roman"/>
        </w:rPr>
      </w:pPr>
      <w:r w:rsidRPr="000923BC">
        <w:rPr>
          <w:rFonts w:ascii="Times New Roman" w:hAnsi="Times New Roman"/>
        </w:rPr>
        <w:t xml:space="preserve">The Commission estimated in the NPRM that the burden on an SDR associated with setting up access restrictions to match a requesting entity’s scope of jurisdiction will include 20 hours of programmer analyst time, five hours of senior programming time, and one hour of attorney time, for a total of 26 hours. The Commission received one comment estimating the burden on SDRs associated with setting up access restrictions to match a requesting entity’s scope of jurisdiction. The commenter, an SDR, estimated the initial set up time </w:t>
      </w:r>
      <w:r w:rsidR="00DC1DFB">
        <w:rPr>
          <w:rFonts w:ascii="Times New Roman" w:hAnsi="Times New Roman"/>
        </w:rPr>
        <w:t xml:space="preserve">per SDR </w:t>
      </w:r>
      <w:r w:rsidRPr="000923BC">
        <w:rPr>
          <w:rFonts w:ascii="Times New Roman" w:hAnsi="Times New Roman"/>
        </w:rPr>
        <w:t>to be between 400 and 950 hours</w:t>
      </w:r>
      <w:r w:rsidR="00DC1DFB">
        <w:rPr>
          <w:rFonts w:ascii="Times New Roman" w:hAnsi="Times New Roman"/>
        </w:rPr>
        <w:t xml:space="preserve"> in the aggregate for all ADRs and AFRs</w:t>
      </w:r>
      <w:r w:rsidRPr="000923BC">
        <w:rPr>
          <w:rFonts w:ascii="Times New Roman" w:hAnsi="Times New Roman"/>
        </w:rPr>
        <w:t xml:space="preserve">. The Commission believes it is reasonable to accept the commenter’s estimate of 950 hours, as it is an SDR and, as such, is familiar with the time required for setting up such access restrictions. Consequently, for PRA purposes, the Commission estimates that each SDR would incur a total burden of </w:t>
      </w:r>
      <w:r w:rsidR="00DC1DFB">
        <w:rPr>
          <w:rFonts w:ascii="Times New Roman" w:hAnsi="Times New Roman"/>
        </w:rPr>
        <w:t>3,800</w:t>
      </w:r>
      <w:r w:rsidRPr="000923BC">
        <w:rPr>
          <w:rFonts w:ascii="Times New Roman" w:hAnsi="Times New Roman"/>
        </w:rPr>
        <w:t xml:space="preserve"> hours (i.e., the product </w:t>
      </w:r>
      <w:r w:rsidR="00DC1DFB">
        <w:rPr>
          <w:rFonts w:ascii="Times New Roman" w:hAnsi="Times New Roman"/>
        </w:rPr>
        <w:t>4 SDRs and</w:t>
      </w:r>
      <w:r w:rsidRPr="000923BC">
        <w:rPr>
          <w:rFonts w:ascii="Times New Roman" w:hAnsi="Times New Roman"/>
        </w:rPr>
        <w:t xml:space="preserve"> 950 hours of time) associated with setting up access for </w:t>
      </w:r>
      <w:r w:rsidR="00DC1DFB">
        <w:rPr>
          <w:rFonts w:ascii="Times New Roman" w:hAnsi="Times New Roman"/>
        </w:rPr>
        <w:t>all</w:t>
      </w:r>
      <w:r w:rsidR="00DC1DFB" w:rsidRPr="000923BC">
        <w:rPr>
          <w:rFonts w:ascii="Times New Roman" w:hAnsi="Times New Roman"/>
        </w:rPr>
        <w:t xml:space="preserve"> </w:t>
      </w:r>
      <w:r w:rsidRPr="000923BC">
        <w:rPr>
          <w:rFonts w:ascii="Times New Roman" w:hAnsi="Times New Roman"/>
        </w:rPr>
        <w:t>ADR</w:t>
      </w:r>
      <w:r w:rsidR="00DC1DFB">
        <w:rPr>
          <w:rFonts w:ascii="Times New Roman" w:hAnsi="Times New Roman"/>
        </w:rPr>
        <w:t>s</w:t>
      </w:r>
      <w:r w:rsidRPr="000923BC">
        <w:rPr>
          <w:rFonts w:ascii="Times New Roman" w:hAnsi="Times New Roman"/>
        </w:rPr>
        <w:t xml:space="preserve"> </w:t>
      </w:r>
      <w:r w:rsidR="00DC1DFB">
        <w:rPr>
          <w:rFonts w:ascii="Times New Roman" w:hAnsi="Times New Roman"/>
        </w:rPr>
        <w:t>and</w:t>
      </w:r>
      <w:r w:rsidRPr="000923BC">
        <w:rPr>
          <w:rFonts w:ascii="Times New Roman" w:hAnsi="Times New Roman"/>
        </w:rPr>
        <w:t xml:space="preserve"> AFR</w:t>
      </w:r>
      <w:r w:rsidR="00DC1DFB">
        <w:rPr>
          <w:rFonts w:ascii="Times New Roman" w:hAnsi="Times New Roman"/>
        </w:rPr>
        <w:t>s</w:t>
      </w:r>
      <w:r w:rsidRPr="000923BC">
        <w:rPr>
          <w:rFonts w:ascii="Times New Roman" w:hAnsi="Times New Roman"/>
        </w:rPr>
        <w:t xml:space="preserve">. </w:t>
      </w:r>
    </w:p>
    <w:p w:rsidR="000923BC" w:rsidRDefault="000923BC" w:rsidP="000923BC">
      <w:pPr>
        <w:tabs>
          <w:tab w:val="left" w:pos="-720"/>
        </w:tabs>
        <w:suppressAutoHyphens/>
        <w:ind w:firstLine="720"/>
        <w:rPr>
          <w:rFonts w:ascii="Times New Roman" w:hAnsi="Times New Roman"/>
        </w:rPr>
      </w:pPr>
    </w:p>
    <w:p w:rsidR="000923BC" w:rsidRDefault="000923BC" w:rsidP="000923BC">
      <w:pPr>
        <w:tabs>
          <w:tab w:val="left" w:pos="-720"/>
        </w:tabs>
        <w:suppressAutoHyphens/>
        <w:ind w:firstLine="720"/>
        <w:rPr>
          <w:rFonts w:ascii="Times New Roman" w:hAnsi="Times New Roman"/>
        </w:rPr>
      </w:pPr>
      <w:r w:rsidRPr="000923BC">
        <w:rPr>
          <w:rFonts w:ascii="Times New Roman" w:hAnsi="Times New Roman"/>
        </w:rPr>
        <w:t xml:space="preserve">The Commission received one comment related to setup burdens associated with its proposed recordkeeping requirements. </w:t>
      </w:r>
      <w:r w:rsidR="00DC1DFB">
        <w:rPr>
          <w:rFonts w:ascii="Times New Roman" w:hAnsi="Times New Roman"/>
        </w:rPr>
        <w:t>The SDR Letter provided estimates for recordkeeping setup costs. CME subsequently provided updated estimates of those setup costs, which CME now estimates would be approximately 1,100 to 1,440 hours</w:t>
      </w:r>
      <w:r w:rsidRPr="000923BC">
        <w:rPr>
          <w:rFonts w:ascii="Times New Roman" w:hAnsi="Times New Roman"/>
        </w:rPr>
        <w:t>. The Commission believes it is reasonable to accept the commenter’s estimate of 1,</w:t>
      </w:r>
      <w:r w:rsidR="00DC1DFB">
        <w:rPr>
          <w:rFonts w:ascii="Times New Roman" w:hAnsi="Times New Roman"/>
        </w:rPr>
        <w:t>440</w:t>
      </w:r>
      <w:r w:rsidRPr="000923BC">
        <w:rPr>
          <w:rFonts w:ascii="Times New Roman" w:hAnsi="Times New Roman"/>
        </w:rPr>
        <w:t xml:space="preserve"> hours, as it is an SDR and, as such, is familiar with the burdens related to setup time associated with the recordkeeping requirements. Therefore, the Commission estimates that initially each SDR may incur a burden of </w:t>
      </w:r>
      <w:r w:rsidR="00DC1DFB">
        <w:rPr>
          <w:rFonts w:ascii="Times New Roman" w:hAnsi="Times New Roman"/>
        </w:rPr>
        <w:t>1,440</w:t>
      </w:r>
      <w:r w:rsidRPr="000923BC">
        <w:rPr>
          <w:rFonts w:ascii="Times New Roman" w:hAnsi="Times New Roman"/>
        </w:rPr>
        <w:t xml:space="preserve"> hours associated with these recordkeeping requirements, for a total of </w:t>
      </w:r>
      <w:r w:rsidR="00DC1DFB">
        <w:rPr>
          <w:rFonts w:ascii="Times New Roman" w:hAnsi="Times New Roman"/>
        </w:rPr>
        <w:t>5,760</w:t>
      </w:r>
      <w:r w:rsidRPr="000923BC">
        <w:rPr>
          <w:rFonts w:ascii="Times New Roman" w:hAnsi="Times New Roman"/>
        </w:rPr>
        <w:t xml:space="preserve"> hours (i.e., the product of four SDRs and </w:t>
      </w:r>
      <w:r w:rsidR="00DC1DFB">
        <w:rPr>
          <w:rFonts w:ascii="Times New Roman" w:hAnsi="Times New Roman"/>
        </w:rPr>
        <w:t>1,440</w:t>
      </w:r>
      <w:r w:rsidRPr="000923BC">
        <w:rPr>
          <w:rFonts w:ascii="Times New Roman" w:hAnsi="Times New Roman"/>
        </w:rPr>
        <w:t xml:space="preserve"> hours).</w:t>
      </w:r>
    </w:p>
    <w:p w:rsidR="0073198B" w:rsidRDefault="0073198B" w:rsidP="000923BC">
      <w:pPr>
        <w:tabs>
          <w:tab w:val="left" w:pos="-720"/>
        </w:tabs>
        <w:suppressAutoHyphens/>
        <w:ind w:firstLine="720"/>
        <w:rPr>
          <w:rFonts w:ascii="Times New Roman" w:hAnsi="Times New Roman"/>
        </w:rPr>
      </w:pPr>
    </w:p>
    <w:p w:rsidR="00DC1DFB" w:rsidRDefault="00DC1DFB" w:rsidP="000923BC">
      <w:pPr>
        <w:tabs>
          <w:tab w:val="left" w:pos="-720"/>
        </w:tabs>
        <w:suppressAutoHyphens/>
        <w:ind w:firstLine="720"/>
        <w:rPr>
          <w:rFonts w:ascii="Times New Roman" w:hAnsi="Times New Roman"/>
        </w:rPr>
      </w:pPr>
      <w:r w:rsidRPr="000923BC">
        <w:rPr>
          <w:rFonts w:ascii="Times New Roman" w:hAnsi="Times New Roman"/>
        </w:rPr>
        <w:t xml:space="preserve">The Commission received one comment related to </w:t>
      </w:r>
      <w:r>
        <w:rPr>
          <w:rFonts w:ascii="Times New Roman" w:hAnsi="Times New Roman"/>
        </w:rPr>
        <w:t>the annual</w:t>
      </w:r>
      <w:r w:rsidRPr="000923BC">
        <w:rPr>
          <w:rFonts w:ascii="Times New Roman" w:hAnsi="Times New Roman"/>
        </w:rPr>
        <w:t xml:space="preserve"> burdens associated with its proposed recordkeeping requirements</w:t>
      </w:r>
      <w:r w:rsidR="0026234A">
        <w:rPr>
          <w:rFonts w:ascii="Times New Roman" w:hAnsi="Times New Roman"/>
        </w:rPr>
        <w:t>. In the NPRM, the Commission had estimated that each SDR would incur an annual recordkeeping burden of 280 hours. CME subsequently commented that this annual recordkeeping burden should be estimated at 480 hours. The Commission is adopting this estimate.</w:t>
      </w:r>
    </w:p>
    <w:p w:rsidR="000923BC" w:rsidRDefault="000923BC">
      <w:pPr>
        <w:tabs>
          <w:tab w:val="left" w:pos="-720"/>
        </w:tabs>
        <w:suppressAutoHyphens/>
        <w:rPr>
          <w:rFonts w:ascii="Times New Roman" w:hAnsi="Times New Roman"/>
        </w:rPr>
      </w:pPr>
    </w:p>
    <w:p w:rsidR="000923BC" w:rsidRDefault="000923BC">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7DBB">
      <w:pPr>
        <w:tabs>
          <w:tab w:val="left" w:pos="-720"/>
        </w:tabs>
        <w:suppressAutoHyphens/>
        <w:rPr>
          <w:rFonts w:ascii="Times New Roman" w:hAnsi="Times New Roman"/>
        </w:rPr>
      </w:pPr>
      <w:r>
        <w:rPr>
          <w:rFonts w:ascii="Times New Roman" w:hAnsi="Times New Roman"/>
        </w:rPr>
        <w:tab/>
      </w:r>
      <w:r w:rsidR="00ED5E26">
        <w:rPr>
          <w:rFonts w:ascii="Times New Roman" w:hAnsi="Times New Roman"/>
        </w:rPr>
        <w:t>No payment or gift was provided to respondents</w:t>
      </w:r>
      <w:r>
        <w:rPr>
          <w:rFonts w:ascii="Times New Roman" w:hAnsi="Times New Roman"/>
        </w:rPr>
        <w:t>.</w:t>
      </w:r>
      <w:r w:rsidR="002D133A">
        <w:rPr>
          <w:rFonts w:ascii="Times New Roman" w:hAnsi="Times New Roman"/>
        </w:rPr>
        <w:t xml:space="preserve">  </w:t>
      </w:r>
    </w:p>
    <w:p w:rsidR="002D7DBB" w:rsidRDefault="002D7DB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7DBB" w:rsidRDefault="00891517" w:rsidP="002D7DBB">
      <w:pPr>
        <w:tabs>
          <w:tab w:val="left" w:pos="-720"/>
        </w:tabs>
        <w:suppressAutoHyphens/>
        <w:ind w:firstLine="720"/>
        <w:rPr>
          <w:rFonts w:ascii="Times New Roman" w:hAnsi="Times New Roman"/>
        </w:rPr>
      </w:pPr>
      <w:r>
        <w:rPr>
          <w:rFonts w:ascii="Times New Roman" w:hAnsi="Times New Roman"/>
        </w:rPr>
        <w:t>No such assurance of confidentiality was provided.  On the contrary, the NPRM advises potential respondents that:</w:t>
      </w:r>
    </w:p>
    <w:p w:rsidR="00891517" w:rsidRDefault="00891517" w:rsidP="002D7DBB">
      <w:pPr>
        <w:tabs>
          <w:tab w:val="left" w:pos="-720"/>
        </w:tabs>
        <w:suppressAutoHyphens/>
        <w:ind w:firstLine="720"/>
        <w:rPr>
          <w:rFonts w:ascii="Times New Roman" w:hAnsi="Times New Roman"/>
        </w:rPr>
      </w:pPr>
    </w:p>
    <w:p w:rsidR="00891517" w:rsidRDefault="00891517" w:rsidP="00891517">
      <w:pPr>
        <w:tabs>
          <w:tab w:val="left" w:pos="-720"/>
        </w:tabs>
        <w:suppressAutoHyphens/>
        <w:ind w:left="1440" w:right="1440"/>
        <w:jc w:val="both"/>
        <w:rPr>
          <w:rFonts w:ascii="Times New Roman" w:hAnsi="Times New Roman"/>
        </w:rPr>
      </w:pPr>
      <w:r w:rsidRPr="00891517">
        <w:rPr>
          <w:rFonts w:ascii="Times New Roman" w:hAnsi="Times New Roman"/>
        </w:rPr>
        <w:t xml:space="preserve">You should submit only information that you wish to make available publicly. If you wish the Commission to consider information that you believe is exempt from disclosure under the Freedom of Information Act, a petition for confidential treatment of the exempt information may be submitted according to the procedures established in § 145.9 of </w:t>
      </w:r>
      <w:r>
        <w:rPr>
          <w:rFonts w:ascii="Times New Roman" w:hAnsi="Times New Roman"/>
        </w:rPr>
        <w:t>the Commission’s regulations.</w:t>
      </w:r>
    </w:p>
    <w:p w:rsidR="00891517" w:rsidRDefault="00891517" w:rsidP="00891517">
      <w:pPr>
        <w:tabs>
          <w:tab w:val="left" w:pos="-720"/>
        </w:tabs>
        <w:suppressAutoHyphens/>
        <w:ind w:firstLine="720"/>
        <w:rPr>
          <w:rFonts w:ascii="Times New Roman" w:hAnsi="Times New Roman"/>
        </w:rPr>
      </w:pPr>
    </w:p>
    <w:p w:rsidR="00891517" w:rsidRDefault="00891517" w:rsidP="00891517">
      <w:pPr>
        <w:tabs>
          <w:tab w:val="left" w:pos="-720"/>
        </w:tabs>
        <w:suppressAutoHyphens/>
        <w:ind w:left="1440" w:right="1440"/>
        <w:jc w:val="both"/>
        <w:rPr>
          <w:rFonts w:ascii="Times New Roman" w:hAnsi="Times New Roman"/>
        </w:rPr>
      </w:pPr>
      <w:r>
        <w:rPr>
          <w:rFonts w:ascii="Times New Roman" w:hAnsi="Times New Roman"/>
        </w:rPr>
        <w:t xml:space="preserve">. . . </w:t>
      </w:r>
    </w:p>
    <w:p w:rsidR="00891517" w:rsidRPr="00891517" w:rsidRDefault="00891517" w:rsidP="00891517">
      <w:pPr>
        <w:tabs>
          <w:tab w:val="left" w:pos="-720"/>
        </w:tabs>
        <w:suppressAutoHyphens/>
        <w:ind w:firstLine="720"/>
        <w:rPr>
          <w:rFonts w:ascii="Times New Roman" w:hAnsi="Times New Roman"/>
        </w:rPr>
      </w:pPr>
    </w:p>
    <w:p w:rsidR="00891517" w:rsidRDefault="00891517" w:rsidP="00891517">
      <w:pPr>
        <w:tabs>
          <w:tab w:val="left" w:pos="-720"/>
        </w:tabs>
        <w:suppressAutoHyphens/>
        <w:ind w:left="1440" w:right="1440"/>
        <w:jc w:val="both"/>
        <w:rPr>
          <w:rFonts w:ascii="Times New Roman" w:hAnsi="Times New Roman"/>
        </w:rPr>
      </w:pPr>
      <w:r w:rsidRPr="00891517">
        <w:rPr>
          <w:rFonts w:ascii="Times New Roman" w:hAnsi="Times New Roman"/>
        </w:rPr>
        <w:t>All submissions that have been redacted or removed that contain comments on the merits of the rulemaking will be retained in the public comment file and will be considered as required under the Administrative Procedure Act and other applicable laws, and may be accessible under the Freedom of Information Act.</w:t>
      </w:r>
    </w:p>
    <w:p w:rsidR="002D7DBB" w:rsidRDefault="002D7DBB">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7DBB" w:rsidRDefault="002D7DBB">
      <w:pPr>
        <w:tabs>
          <w:tab w:val="left" w:pos="-720"/>
        </w:tabs>
        <w:suppressAutoHyphens/>
        <w:ind w:left="720" w:hanging="720"/>
        <w:rPr>
          <w:rFonts w:ascii="Times New Roman" w:hAnsi="Times New Roman"/>
        </w:rPr>
      </w:pPr>
    </w:p>
    <w:p w:rsidR="002D7DBB" w:rsidRDefault="002D7DBB" w:rsidP="002D7DBB">
      <w:pPr>
        <w:tabs>
          <w:tab w:val="left" w:pos="-720"/>
        </w:tabs>
        <w:suppressAutoHyphens/>
        <w:rPr>
          <w:rFonts w:ascii="Times New Roman" w:hAnsi="Times New Roman"/>
        </w:rPr>
      </w:pPr>
      <w:r>
        <w:rPr>
          <w:rFonts w:ascii="Times New Roman" w:hAnsi="Times New Roman"/>
        </w:rPr>
        <w:tab/>
        <w:t>The regulations covered by the collections do not require the giving of private information of a sensitive nature, as that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BB6762">
        <w:rPr>
          <w:rFonts w:ascii="Times New Roman" w:hAnsi="Times New Roman"/>
        </w:rPr>
        <w:t>out</w:t>
      </w:r>
      <w:r>
        <w:rPr>
          <w:rFonts w:ascii="Times New Roman" w:hAnsi="Times New Roman"/>
        </w:rPr>
        <w:t xml:space="preserve"> or paying outside parties for information collection activities should not be included here.  Instead, this cost should be included in Item 13.</w:t>
      </w:r>
    </w:p>
    <w:p w:rsidR="00286897" w:rsidRDefault="00286897">
      <w:pPr>
        <w:tabs>
          <w:tab w:val="left" w:pos="-720"/>
          <w:tab w:val="left" w:pos="0"/>
          <w:tab w:val="left" w:pos="720"/>
        </w:tabs>
        <w:suppressAutoHyphens/>
        <w:ind w:left="1440" w:hanging="1440"/>
        <w:rPr>
          <w:rFonts w:ascii="Times New Roman" w:hAnsi="Times New Roman"/>
        </w:rPr>
      </w:pPr>
    </w:p>
    <w:p w:rsidR="00286897" w:rsidRDefault="00286897" w:rsidP="006A1027">
      <w:pPr>
        <w:pStyle w:val="FRBodyText"/>
        <w:spacing w:line="240" w:lineRule="auto"/>
      </w:pPr>
      <w:r>
        <w:t xml:space="preserve">The modifications to part 49 </w:t>
      </w:r>
      <w:r w:rsidR="0028035D">
        <w:t>described here</w:t>
      </w:r>
      <w:r>
        <w:t xml:space="preserve">in are intended to provide a process by which </w:t>
      </w:r>
      <w:r w:rsidR="004F6104">
        <w:t>ADRs</w:t>
      </w:r>
      <w:r>
        <w:t xml:space="preserve"> </w:t>
      </w:r>
      <w:r w:rsidR="004F6104">
        <w:t>and</w:t>
      </w:r>
      <w:r>
        <w:t xml:space="preserve"> </w:t>
      </w:r>
      <w:r w:rsidR="004F6104">
        <w:t>AFRs</w:t>
      </w:r>
      <w:r>
        <w:t xml:space="preserve"> may obtain access to SDR swap data. The information collections associated with this process are intended to ensure that SDR swap data is only accessed by appropriate entities and that the confidentiality of any accessed SDR swap data is adequately protected. The ultimate </w:t>
      </w:r>
      <w:r w:rsidR="004F6104">
        <w:t>goal</w:t>
      </w:r>
      <w:r>
        <w:t xml:space="preserve"> of this process is to provide other authorities with information to assist with the oversight of the global swaps market and market participants.</w:t>
      </w:r>
    </w:p>
    <w:p w:rsidR="00ED57BB" w:rsidRDefault="00ED57BB" w:rsidP="006A1027">
      <w:pPr>
        <w:pStyle w:val="FRBodyText"/>
        <w:spacing w:line="240" w:lineRule="auto"/>
      </w:pPr>
    </w:p>
    <w:p w:rsidR="00286897" w:rsidRDefault="00286897" w:rsidP="006A1027">
      <w:pPr>
        <w:pStyle w:val="FRBodyText"/>
        <w:spacing w:line="240" w:lineRule="auto"/>
      </w:pPr>
      <w:r>
        <w:rPr>
          <w:u w:val="single"/>
        </w:rPr>
        <w:t>ADR/AFRs</w:t>
      </w:r>
      <w:r>
        <w:t xml:space="preserve">. Pursuant to § 49.18(a), every requesting entity seeking access to SDR swap data </w:t>
      </w:r>
      <w:r w:rsidR="0028035D">
        <w:t>is</w:t>
      </w:r>
      <w:r w:rsidR="00087259">
        <w:t xml:space="preserve"> required to </w:t>
      </w:r>
      <w:r>
        <w:t xml:space="preserve">execute a confidentiality arrangement with the Commission prior to receiving access. This requirement applies to both those entities that are specifically enumerated as appropriate in </w:t>
      </w:r>
      <w:r w:rsidR="004F6104">
        <w:t xml:space="preserve">current § 49.17(b)(1) </w:t>
      </w:r>
      <w:r>
        <w:t xml:space="preserve">(“Enumerated ADRs”) and those entities that require a determination from the Commission that they are appropriate entities to receive access to SDR swap data, regardless of whether the requesting entity is a domestic or foreign entity. </w:t>
      </w:r>
    </w:p>
    <w:p w:rsidR="00ED57BB" w:rsidRDefault="00ED57BB" w:rsidP="006A1027">
      <w:pPr>
        <w:pStyle w:val="FRBodyText"/>
        <w:spacing w:line="240" w:lineRule="auto"/>
      </w:pPr>
    </w:p>
    <w:p w:rsidR="00286897" w:rsidRDefault="00286897" w:rsidP="006A1027">
      <w:pPr>
        <w:pStyle w:val="FRBodyText"/>
        <w:spacing w:line="240" w:lineRule="auto"/>
      </w:pPr>
      <w:r w:rsidRPr="005C1BFA">
        <w:t xml:space="preserve">In addition to executing a confidentiality </w:t>
      </w:r>
      <w:r>
        <w:t>arrangement</w:t>
      </w:r>
      <w:r w:rsidRPr="005C1BFA">
        <w:t xml:space="preserve">, </w:t>
      </w:r>
      <w:r>
        <w:t xml:space="preserve">requesting </w:t>
      </w:r>
      <w:r w:rsidRPr="005C1BFA">
        <w:t xml:space="preserve">entities </w:t>
      </w:r>
      <w:r>
        <w:t xml:space="preserve">that are not Enumerated ADRs </w:t>
      </w:r>
      <w:r w:rsidRPr="005C1BFA">
        <w:t>will</w:t>
      </w:r>
      <w:r>
        <w:t xml:space="preserve"> be required to seek a determination order from the Commission to have access to SDR swap data. Such determination orders will describe SDR swap data that is appropriate for the entity to access, based on the requesting entity’s scope of jurisdiction. For Enumerated ADRs, the Commission is requir</w:t>
      </w:r>
      <w:r w:rsidR="0028035D">
        <w:t>ing</w:t>
      </w:r>
      <w:r>
        <w:t xml:space="preserve"> that the confidentiality arrangement describe the requesting entity’s scope of jurisdiction. The Commission believes the use of the form of confidentiality arrangement set out in Appendix B to part 49</w:t>
      </w:r>
      <w:r w:rsidR="007C602D">
        <w:t>, which is required unless the Commission permits a deviation from the form,</w:t>
      </w:r>
      <w:r>
        <w:t xml:space="preserve"> will provide an efficient means to satisfy the </w:t>
      </w:r>
      <w:r w:rsidR="004F6104">
        <w:t xml:space="preserve">confidentiality arrangement </w:t>
      </w:r>
      <w:r>
        <w:t>requirements of § 49.18(a).</w:t>
      </w:r>
      <w:r w:rsidR="00976BA3">
        <w:t xml:space="preserve"> The Commission expects most ADRs and AFRs to use the form and that, even if the Commission permits deviations from the form, such deviations likely would not be completely different from the form, thus retaining much of the efficiency benefits of using a form of confidentiality arrangement.</w:t>
      </w:r>
    </w:p>
    <w:p w:rsidR="00ED57BB" w:rsidRDefault="00ED57BB" w:rsidP="006A1027">
      <w:pPr>
        <w:pStyle w:val="FRBodyText"/>
        <w:spacing w:line="240" w:lineRule="auto"/>
      </w:pPr>
    </w:p>
    <w:p w:rsidR="00286897" w:rsidRDefault="004F6104" w:rsidP="006A1027">
      <w:pPr>
        <w:pStyle w:val="FRBodyText"/>
        <w:spacing w:line="240" w:lineRule="auto"/>
      </w:pPr>
      <w:r>
        <w:t xml:space="preserve">For PRA purposes, the Commission </w:t>
      </w:r>
      <w:r w:rsidR="00286897">
        <w:t>believes that it is reasonable to assume that 300 total entities will seek access to SDR swap data. This estimate is based on the Commission’s experience in receiving data requests from other regulators and its experience in coordinating and cooperating with other regulators.</w:t>
      </w:r>
      <w:r w:rsidR="00286897">
        <w:rPr>
          <w:rStyle w:val="FootnoteReference"/>
        </w:rPr>
        <w:footnoteReference w:id="10"/>
      </w:r>
      <w:r w:rsidR="00286897">
        <w:t xml:space="preserve"> For PRA purposes, the Commission assumes there are four SDRs, which is the number of SDRs that are provisionally registered with the Commission. As the confidentiality arrangement will be between the ADR or AFR and the Commission and delivered to the SDR, AFRs and ADRs need not execute a separate confidentiality arrangement for each SDR. Accordingly, the Commission estimates, for PRA purposes, that the total number of confidentiality arrangements that will be executed under the rules is 300. Given that the Commission will have published a form of confidentiality arrangement as an appendix to part 49, the Commission estimates that the review and execution of each confidentiality arrangement by an ADR or AFR will take approximately 40 hours</w:t>
      </w:r>
      <w:r w:rsidR="00976BA3">
        <w:t xml:space="preserve"> (even allowing for some possible deviations from the form, as mentioned above)</w:t>
      </w:r>
      <w:r w:rsidR="00286897">
        <w:t>, for a total burden of 12,000 hours.</w:t>
      </w:r>
      <w:r w:rsidR="00D16859">
        <w:rPr>
          <w:rStyle w:val="FootnoteReference"/>
        </w:rPr>
        <w:footnoteReference w:id="11"/>
      </w:r>
      <w:r w:rsidR="00286897">
        <w:t xml:space="preserve"> </w:t>
      </w:r>
    </w:p>
    <w:p w:rsidR="00ED57BB" w:rsidRDefault="00ED57BB" w:rsidP="006A1027">
      <w:pPr>
        <w:pStyle w:val="FRBodyText"/>
        <w:spacing w:line="240" w:lineRule="auto"/>
      </w:pPr>
    </w:p>
    <w:p w:rsidR="00286897" w:rsidRDefault="00286897" w:rsidP="006A1027">
      <w:pPr>
        <w:pStyle w:val="FRBodyText"/>
        <w:spacing w:line="240" w:lineRule="auto"/>
      </w:pPr>
      <w:r>
        <w:t>An entity that seeks access to SDR swap data must be considered appropriate by the Commission prior to that entity receiving access to SDR swap data. For Enumerated ADRs, there is no burden associated with seeking to be deemed appropriate by the Commission as they are already enumerated as such</w:t>
      </w:r>
      <w:r w:rsidR="004F6104">
        <w:t xml:space="preserve"> in current § 49.17(b)(1)</w:t>
      </w:r>
      <w:r>
        <w:t xml:space="preserve">. Those entities that are not Enumerated ADRs will be required to receive a </w:t>
      </w:r>
      <w:r w:rsidR="004F6104">
        <w:t xml:space="preserve">Commission </w:t>
      </w:r>
      <w:r>
        <w:t>Determination Order prior to receiving access to SDR swap data. The process for obtaining such a Determination Order is set out in general terms in § 49.17(h) and requires the requesting entity to prepare and submit an application to the Commission. The preparation and submi</w:t>
      </w:r>
      <w:r w:rsidR="004F6104">
        <w:t>ssion</w:t>
      </w:r>
      <w:r>
        <w:t xml:space="preserve"> of this application consti</w:t>
      </w:r>
      <w:r w:rsidR="004F6104">
        <w:t xml:space="preserve">tutes an information collection </w:t>
      </w:r>
      <w:r>
        <w:t>under the PRA.</w:t>
      </w:r>
    </w:p>
    <w:p w:rsidR="00ED57BB" w:rsidRDefault="00ED57BB" w:rsidP="006A1027">
      <w:pPr>
        <w:pStyle w:val="FRBodyText"/>
        <w:spacing w:line="240" w:lineRule="auto"/>
      </w:pPr>
    </w:p>
    <w:p w:rsidR="00286897" w:rsidRDefault="00286897" w:rsidP="006A1027">
      <w:pPr>
        <w:pStyle w:val="FRBodyText"/>
        <w:spacing w:line="240" w:lineRule="auto"/>
      </w:pPr>
      <w:r>
        <w:t>As discussed above, the Commission believes that for PRA purposes it is reasonable to assume that 300 domestic and foreign entities will seek access to SDR swap data. Very few of these entities are specifically enumerated in § 49.17(b)(1). The Commission estimates, for PRA purposes, that each such requesting entity would expend 100 hours in connection with filing an application to receive an appropriateness determination, for a total initial burden of no more than 30,000 hours, calculated as the product of 300 domestic and foreign entities seeking access to SDR swap data and 100 hours per application).</w:t>
      </w:r>
      <w:r w:rsidR="00D16859">
        <w:rPr>
          <w:rStyle w:val="FootnoteReference"/>
        </w:rPr>
        <w:footnoteReference w:id="12"/>
      </w:r>
      <w:r>
        <w:t xml:space="preserve"> This estimate considers the relevant information that would be required to be provided in such an application, including information regarding the entity’s scope of jurisdiction, mutual assistance provided to the Commission, and the existence of cooperation related to an MOU or similar information sharing arrangement with the Commission, as well as any other information relevant for the Commission’s determination. </w:t>
      </w:r>
    </w:p>
    <w:p w:rsidR="00ED57BB" w:rsidRDefault="00ED57BB" w:rsidP="006A1027">
      <w:pPr>
        <w:pStyle w:val="FRBodyText"/>
        <w:spacing w:line="240" w:lineRule="auto"/>
      </w:pPr>
    </w:p>
    <w:p w:rsidR="00286897" w:rsidRDefault="00286897" w:rsidP="006A1027">
      <w:pPr>
        <w:pStyle w:val="FRBodyText"/>
        <w:spacing w:line="240" w:lineRule="auto"/>
      </w:pPr>
      <w:r w:rsidRPr="009474E1">
        <w:rPr>
          <w:u w:val="single"/>
        </w:rPr>
        <w:t>Swap Data Repositories</w:t>
      </w:r>
      <w:r w:rsidR="00087259">
        <w:t>. As discussed throughout the rule</w:t>
      </w:r>
      <w:r w:rsidRPr="009474E1">
        <w:t xml:space="preserve">, SDRs are required to facilitate access to SDR swap data by requesting entities, provided certain conditions are met. This requirement may implicate PRA collections and burdens, some of which are already addressed in the existing OMB Control Number 3038-0086, and some of which constitute new collections, as discussed below. Currently, the burden on SDRs of making data available to ADRs and AFRs is accounted for in </w:t>
      </w:r>
      <w:r w:rsidR="00087259">
        <w:t xml:space="preserve">the existing </w:t>
      </w:r>
      <w:r w:rsidRPr="009474E1">
        <w:t xml:space="preserve">OMB Control Number 3038-0086, as this is an existing obligation under existing § 49.17(d). However, the rules </w:t>
      </w:r>
      <w:r w:rsidR="0028035D">
        <w:t>described</w:t>
      </w:r>
      <w:r w:rsidRPr="009474E1">
        <w:t xml:space="preserve"> </w:t>
      </w:r>
      <w:r w:rsidR="0028035D">
        <w:t>here</w:t>
      </w:r>
      <w:r w:rsidRPr="009474E1">
        <w:t xml:space="preserve">in clarify and modify the requirements imposed on SDRs in providing access to SDR swap data to ADRs and AFRs. Consequently the Commission is revising Information Collection 3038-0086 to account for these modifications. </w:t>
      </w:r>
    </w:p>
    <w:p w:rsidR="00ED57BB" w:rsidRPr="00EB6B4E" w:rsidRDefault="00ED57BB" w:rsidP="006A1027">
      <w:pPr>
        <w:pStyle w:val="FRBodyText"/>
        <w:spacing w:line="240" w:lineRule="auto"/>
        <w:rPr>
          <w:highlight w:val="red"/>
        </w:rPr>
      </w:pPr>
    </w:p>
    <w:p w:rsidR="00286897" w:rsidRDefault="00286897" w:rsidP="006A1027">
      <w:pPr>
        <w:pStyle w:val="FRBodyText"/>
        <w:spacing w:line="240" w:lineRule="auto"/>
      </w:pPr>
      <w:r>
        <w:t>T</w:t>
      </w:r>
      <w:r w:rsidRPr="009474E1">
        <w:t xml:space="preserve">he Commission expects to limit a requesting entity’s access to SDR swap data based on the entity’s </w:t>
      </w:r>
      <w:r>
        <w:t>scope of jurisdiction</w:t>
      </w:r>
      <w:r w:rsidRPr="009474E1">
        <w:t>. In connection with this limitation, the Commission expects SDRs to incur burdens and costs associated with setting up access to SDR swap data that is consistent with a</w:t>
      </w:r>
      <w:r>
        <w:t>n</w:t>
      </w:r>
      <w:r w:rsidRPr="009474E1">
        <w:t xml:space="preserve"> </w:t>
      </w:r>
      <w:r>
        <w:t>ADR or AFR</w:t>
      </w:r>
      <w:r w:rsidRPr="009474E1">
        <w:t xml:space="preserve">’s </w:t>
      </w:r>
      <w:r>
        <w:t>scope of jurisdiction</w:t>
      </w:r>
      <w:r w:rsidRPr="009474E1">
        <w:t xml:space="preserve">. The Commission </w:t>
      </w:r>
      <w:r>
        <w:t>expects</w:t>
      </w:r>
      <w:r w:rsidRPr="009474E1">
        <w:t xml:space="preserve"> </w:t>
      </w:r>
      <w:r>
        <w:t>that each confidentiality arrangement</w:t>
      </w:r>
      <w:r w:rsidRPr="009474E1">
        <w:t xml:space="preserve"> will identify</w:t>
      </w:r>
      <w:r>
        <w:t>, either directly or through the attached Determination Order,</w:t>
      </w:r>
      <w:r w:rsidRPr="009474E1">
        <w:t xml:space="preserve"> the scope of access that is appropriate for a given requesting entity. The Commission expects SDRs to use these limitations to program their systems to reflect the scope of the </w:t>
      </w:r>
      <w:r>
        <w:t>ADR or AFR</w:t>
      </w:r>
      <w:r w:rsidRPr="009474E1">
        <w:t xml:space="preserve">’s access to SDR swap data. These limits </w:t>
      </w:r>
      <w:r>
        <w:t>set out in the confidentiality arrangement</w:t>
      </w:r>
      <w:r w:rsidRPr="009474E1">
        <w:t xml:space="preserve"> are expected to reduce the burdens on SDRs of assessing whether a request satisfies the relevant conditions, particularly with regard to whether SDR swap data relates to persons or activities within the requesting entity’s </w:t>
      </w:r>
      <w:r>
        <w:t>scope of jurisdiction</w:t>
      </w:r>
      <w:r w:rsidRPr="009474E1">
        <w:t>. The Commission estimate</w:t>
      </w:r>
      <w:r w:rsidR="00BF65A8">
        <w:t>d</w:t>
      </w:r>
      <w:r w:rsidRPr="009474E1">
        <w:t xml:space="preserve"> </w:t>
      </w:r>
      <w:r w:rsidR="00AF4C11">
        <w:t xml:space="preserve">in the NPRM </w:t>
      </w:r>
      <w:r w:rsidRPr="009474E1">
        <w:t xml:space="preserve">that the burden on an SDR associated with setting up access restrictions to match a requesting entity’s </w:t>
      </w:r>
      <w:r>
        <w:t>scope of jurisdiction</w:t>
      </w:r>
      <w:r w:rsidRPr="009474E1">
        <w:t xml:space="preserve"> will include 20 hours of programmer analyst time, five hours of senior programming time, and one hour of attorney time, for a total of 26 hours. </w:t>
      </w:r>
      <w:r w:rsidR="00BF65A8">
        <w:t xml:space="preserve">The Commission received one comment estimating the burden on SDRs associated with setting up </w:t>
      </w:r>
      <w:r w:rsidR="00BF65A8" w:rsidRPr="006127C0">
        <w:t>access restrictions to match a requesting entity’s scope of jurisdiction</w:t>
      </w:r>
      <w:r w:rsidR="00BF65A8">
        <w:t>.</w:t>
      </w:r>
      <w:r w:rsidR="00BF65A8" w:rsidRPr="006127C0">
        <w:t xml:space="preserve"> </w:t>
      </w:r>
      <w:r w:rsidR="00BF65A8">
        <w:t xml:space="preserve">The commenter, an SDR, estimated the initial set up </w:t>
      </w:r>
      <w:r w:rsidR="00EE7B13">
        <w:t xml:space="preserve">time </w:t>
      </w:r>
      <w:r w:rsidR="0026234A">
        <w:t xml:space="preserve">per SDR </w:t>
      </w:r>
      <w:r w:rsidR="00BF65A8">
        <w:t>to be between 400 and 950 hours</w:t>
      </w:r>
      <w:r w:rsidR="0026234A">
        <w:t>, which it later clarified applied to all ADRs and AFRs in the aggregate</w:t>
      </w:r>
      <w:r w:rsidR="00BF65A8">
        <w:t xml:space="preserve">. The Commission believes it is reasonable to accept the commenter’s estimate of 950 hours, as it is an SDR and, as such, is familiar with the </w:t>
      </w:r>
      <w:r w:rsidR="00EE7B13">
        <w:t xml:space="preserve">time </w:t>
      </w:r>
      <w:r w:rsidR="00BF65A8">
        <w:t xml:space="preserve">required </w:t>
      </w:r>
      <w:r w:rsidR="00EE7B13">
        <w:t xml:space="preserve">to </w:t>
      </w:r>
      <w:r w:rsidR="00BF65A8">
        <w:t>set up such access restrictions.</w:t>
      </w:r>
      <w:r w:rsidR="00BF65A8" w:rsidRPr="006127C0">
        <w:t xml:space="preserve"> Consequently, for PRA purposes, the Commission estimates that each SDR would incur a total burden of </w:t>
      </w:r>
      <w:r w:rsidR="003705F5">
        <w:t>3,800</w:t>
      </w:r>
      <w:r w:rsidR="00BF65A8">
        <w:t xml:space="preserve"> </w:t>
      </w:r>
      <w:r w:rsidR="00BF65A8" w:rsidRPr="006127C0">
        <w:t xml:space="preserve">hours (i.e., the product of </w:t>
      </w:r>
      <w:r w:rsidR="003705F5">
        <w:t xml:space="preserve">4 SDRs </w:t>
      </w:r>
      <w:r w:rsidR="00BF65A8" w:rsidRPr="006127C0">
        <w:t xml:space="preserve">and </w:t>
      </w:r>
      <w:r w:rsidR="00BF65A8">
        <w:t>950</w:t>
      </w:r>
      <w:r w:rsidR="00BF65A8" w:rsidRPr="006127C0">
        <w:t xml:space="preserve"> hours of time) associated with setting up access for each ADR or AFR. The burdens associated with these permissioning requirements are addressed in revised OMB Control Number 3038-0086.</w:t>
      </w:r>
      <w:r w:rsidR="00D16859">
        <w:rPr>
          <w:rStyle w:val="FootnoteReference"/>
        </w:rPr>
        <w:footnoteReference w:id="13"/>
      </w:r>
      <w:r w:rsidRPr="009474E1">
        <w:t xml:space="preserve"> </w:t>
      </w:r>
    </w:p>
    <w:p w:rsidR="00ED57BB" w:rsidRPr="00EB6B4E" w:rsidRDefault="00ED57BB" w:rsidP="006A1027">
      <w:pPr>
        <w:pStyle w:val="FRBodyText"/>
        <w:spacing w:line="240" w:lineRule="auto"/>
        <w:rPr>
          <w:highlight w:val="red"/>
        </w:rPr>
      </w:pPr>
    </w:p>
    <w:p w:rsidR="00286897" w:rsidRDefault="00286897" w:rsidP="006A1027">
      <w:pPr>
        <w:pStyle w:val="FRBodyText"/>
        <w:spacing w:line="240" w:lineRule="auto"/>
      </w:pPr>
      <w:r w:rsidRPr="005C4CE0">
        <w:t xml:space="preserve">SDRs </w:t>
      </w:r>
      <w:r w:rsidR="00951A71">
        <w:t>would</w:t>
      </w:r>
      <w:r w:rsidRPr="005C4CE0">
        <w:t xml:space="preserve"> </w:t>
      </w:r>
      <w:r>
        <w:t xml:space="preserve">also </w:t>
      </w:r>
      <w:r w:rsidRPr="005C4CE0">
        <w:t>be required to provide electronic notice to the Commission of the first request for data from a particular requesting entity</w:t>
      </w:r>
      <w:r>
        <w:t xml:space="preserve"> </w:t>
      </w:r>
      <w:r w:rsidRPr="000C7428">
        <w:t>and promptly after receiving any request that does not comport with the scope of the ADR’s or AFR’s jurisdiction</w:t>
      </w:r>
      <w:r w:rsidRPr="005C4CE0">
        <w:t xml:space="preserve">. In addition to notifying the Commission of the </w:t>
      </w:r>
      <w:r>
        <w:t>foregoing</w:t>
      </w:r>
      <w:r w:rsidRPr="005C4CE0">
        <w:t>, the Commissi</w:t>
      </w:r>
      <w:r w:rsidR="00760606">
        <w:t xml:space="preserve">on is </w:t>
      </w:r>
      <w:r w:rsidR="0028035D">
        <w:t>requiring</w:t>
      </w:r>
      <w:r w:rsidR="00760606">
        <w:t xml:space="preserve">, in </w:t>
      </w:r>
      <w:r>
        <w:t xml:space="preserve">§ 49.17(d)(4)(i), SDRs to </w:t>
      </w:r>
      <w:r w:rsidRPr="005C4CE0">
        <w:t>maintain records of all information related to the initial and all subsequent requests for data from the requesting entity. These records shall include, at a minimum, the identity of the request</w:t>
      </w:r>
      <w:r w:rsidR="00760606">
        <w:t>or or person accessing the data,</w:t>
      </w:r>
      <w:r w:rsidRPr="005C4CE0">
        <w:t xml:space="preserve"> the date, time and substance of the request or access</w:t>
      </w:r>
      <w:r w:rsidR="00760606">
        <w:t>,</w:t>
      </w:r>
      <w:r w:rsidRPr="005C4CE0">
        <w:t xml:space="preserve"> and copies of all data reports or other aggregation of data provided in connection with the request or access. The SDR shall maintain this information for a period of no less than five years after the date of such request and shall provide this information to the Commission upon request.</w:t>
      </w:r>
    </w:p>
    <w:p w:rsidR="00ED57BB" w:rsidRPr="005C4CE0" w:rsidRDefault="00ED57BB" w:rsidP="006A1027">
      <w:pPr>
        <w:pStyle w:val="FRBodyText"/>
        <w:spacing w:line="240" w:lineRule="auto"/>
      </w:pPr>
    </w:p>
    <w:p w:rsidR="00286897" w:rsidRDefault="00286897" w:rsidP="006A1027">
      <w:pPr>
        <w:pStyle w:val="FRBodyText"/>
        <w:spacing w:line="240" w:lineRule="auto"/>
      </w:pPr>
      <w:r w:rsidRPr="005C4CE0">
        <w:t>Currently, OMB Control Number 3038-0086 estimates burdens associated with various registration, reporting, recordkeeping, and disclosure requirements to which SDRs are subject. The recordkeeping requirements relating to requesting entities’ data requests constitute an information collection for PRA purposes and require the Commission to revise the recordkeeping burden estimates contained in OMB Control Number 3038-0086. The reporting and recordkeeping requirements in th</w:t>
      </w:r>
      <w:r w:rsidR="0028035D">
        <w:t>e final rules</w:t>
      </w:r>
      <w:r w:rsidRPr="005C4CE0">
        <w:t xml:space="preserve"> m</w:t>
      </w:r>
      <w:r>
        <w:t>ay potentially impact each SDR.</w:t>
      </w:r>
    </w:p>
    <w:p w:rsidR="00FB23BB" w:rsidRDefault="00FB23BB" w:rsidP="006A1027">
      <w:pPr>
        <w:pStyle w:val="FRBodyText"/>
        <w:spacing w:line="240" w:lineRule="auto"/>
      </w:pPr>
    </w:p>
    <w:p w:rsidR="00286897" w:rsidRDefault="00286897" w:rsidP="006A1027">
      <w:pPr>
        <w:pStyle w:val="FRBodyText"/>
        <w:spacing w:line="240" w:lineRule="auto"/>
      </w:pPr>
      <w:r w:rsidRPr="005C4CE0">
        <w:t>SDRs already have the ability to communicate electronically with the Commission and are subject to significant recordkeeping requirements pursuant to §</w:t>
      </w:r>
      <w:r w:rsidR="00760606" w:rsidRPr="005C4CE0">
        <w:t>§</w:t>
      </w:r>
      <w:r w:rsidRPr="005C4CE0">
        <w:t xml:space="preserve"> </w:t>
      </w:r>
      <w:r w:rsidR="00760606">
        <w:t xml:space="preserve">45.2(f) and </w:t>
      </w:r>
      <w:r w:rsidRPr="005C4CE0">
        <w:t xml:space="preserve">49.12. Therefore, the requirements should not result in SDRs having to incur initial </w:t>
      </w:r>
      <w:r w:rsidR="00EE7B13">
        <w:t>burdens</w:t>
      </w:r>
      <w:r w:rsidR="00EE7B13" w:rsidRPr="005C4CE0">
        <w:t xml:space="preserve"> </w:t>
      </w:r>
      <w:r w:rsidRPr="005C4CE0">
        <w:t>to implement systems to properly notify the Commission when a requesting entity submits a data request for the first time that are in excess of what is already accounted for in OMB Control Number 3038-0086</w:t>
      </w:r>
      <w:r>
        <w:t xml:space="preserve">. </w:t>
      </w:r>
      <w:r w:rsidRPr="005C4CE0">
        <w:t>The Commission estimate</w:t>
      </w:r>
      <w:r w:rsidR="00AF4C11">
        <w:t>d</w:t>
      </w:r>
      <w:r w:rsidRPr="005C4CE0">
        <w:t xml:space="preserve"> </w:t>
      </w:r>
      <w:r w:rsidR="00AF4C11">
        <w:t xml:space="preserve">in the NPRM </w:t>
      </w:r>
      <w:r w:rsidRPr="005C4CE0">
        <w:t>that initially each SDR may incur a burden of 360 hours associated with these proposed recordkeeping requirements, for a total of 1,440 hours</w:t>
      </w:r>
      <w:r>
        <w:t xml:space="preserve"> (i.e., the product of four SDRs</w:t>
      </w:r>
      <w:r w:rsidRPr="005C4CE0">
        <w:t xml:space="preserve"> and 360 hours). Additionally, the Commission estimate</w:t>
      </w:r>
      <w:r w:rsidR="00AF4C11">
        <w:t>d in the NPRM</w:t>
      </w:r>
      <w:r w:rsidRPr="005C4CE0">
        <w:t xml:space="preserve"> that each SDR would incur an annual burden of 280 hours associated with the recordkeeping requirements, for a total of 1,120 hours annually  (i.e., the product of </w:t>
      </w:r>
      <w:r>
        <w:t>four SDRs</w:t>
      </w:r>
      <w:r w:rsidRPr="005C4CE0">
        <w:t xml:space="preserve"> and 280 hours). </w:t>
      </w:r>
    </w:p>
    <w:p w:rsidR="00AF4C11" w:rsidRDefault="00AF4C11" w:rsidP="006A1027">
      <w:pPr>
        <w:pStyle w:val="FRBodyText"/>
        <w:spacing w:line="240" w:lineRule="auto"/>
      </w:pPr>
    </w:p>
    <w:p w:rsidR="00AF4C11" w:rsidRDefault="00AF4C11" w:rsidP="006A1027">
      <w:pPr>
        <w:pStyle w:val="FRBodyText"/>
        <w:spacing w:line="240" w:lineRule="auto"/>
      </w:pPr>
      <w:r>
        <w:t xml:space="preserve">The Commission received </w:t>
      </w:r>
      <w:r w:rsidR="003705F5">
        <w:t xml:space="preserve">two </w:t>
      </w:r>
      <w:r>
        <w:t>comment</w:t>
      </w:r>
      <w:r w:rsidR="003705F5">
        <w:t>s</w:t>
      </w:r>
      <w:r>
        <w:t xml:space="preserve"> related to setup </w:t>
      </w:r>
      <w:r w:rsidR="00EE7B13">
        <w:t xml:space="preserve">burdens </w:t>
      </w:r>
      <w:r>
        <w:t>associated with its proposed recordkeeping requirements. The commenter noted that the Commission’s estimated annual burden of 280 hours</w:t>
      </w:r>
      <w:r w:rsidR="003705F5">
        <w:t xml:space="preserve"> should be 480 hours. This commenter also stated that</w:t>
      </w:r>
      <w:r>
        <w:t xml:space="preserve"> the setup </w:t>
      </w:r>
      <w:r w:rsidR="00EE7B13">
        <w:t xml:space="preserve">time </w:t>
      </w:r>
      <w:r>
        <w:t>associated with such recordkeeping requirements would involve a</w:t>
      </w:r>
      <w:r w:rsidR="003705F5">
        <w:t>n annual</w:t>
      </w:r>
      <w:r>
        <w:t xml:space="preserve"> burden of approximately </w:t>
      </w:r>
      <w:r w:rsidR="003705F5">
        <w:t xml:space="preserve">1,100 </w:t>
      </w:r>
      <w:r>
        <w:t>to 1,</w:t>
      </w:r>
      <w:r w:rsidR="003705F5">
        <w:t>440</w:t>
      </w:r>
      <w:r>
        <w:t xml:space="preserve"> hours. The Commission believes it is reasonable to accept the commenter’s estimate of </w:t>
      </w:r>
      <w:r w:rsidR="003705F5">
        <w:t>1,440</w:t>
      </w:r>
      <w:r>
        <w:t xml:space="preserve"> hours, as it is an SDR and, as such, is familiar with the </w:t>
      </w:r>
      <w:r w:rsidR="00EE7B13">
        <w:t xml:space="preserve">burdens </w:t>
      </w:r>
      <w:r>
        <w:t xml:space="preserve">related to setup </w:t>
      </w:r>
      <w:r w:rsidR="00EE7B13">
        <w:t xml:space="preserve">time </w:t>
      </w:r>
      <w:r>
        <w:t>associated with the recordkeeping requirements. Therefore, t</w:t>
      </w:r>
      <w:r w:rsidRPr="006127C0">
        <w:t xml:space="preserve">he Commission estimates that initially each SDR may incur a burden of </w:t>
      </w:r>
      <w:r w:rsidR="003705F5">
        <w:t>1,440</w:t>
      </w:r>
      <w:r w:rsidRPr="006127C0">
        <w:t xml:space="preserve"> hours associated with these recordkeeping requirements, for a total of </w:t>
      </w:r>
      <w:r w:rsidR="003705F5">
        <w:t>5,760</w:t>
      </w:r>
      <w:r w:rsidRPr="006127C0">
        <w:t xml:space="preserve"> hours (i.e., the product of four SDRs and </w:t>
      </w:r>
      <w:r w:rsidR="003705F5">
        <w:t>1,440</w:t>
      </w:r>
      <w:r w:rsidRPr="006127C0">
        <w:t xml:space="preserve"> hours).</w:t>
      </w:r>
    </w:p>
    <w:p w:rsidR="00ED57BB" w:rsidRDefault="00ED57BB" w:rsidP="006A1027">
      <w:pPr>
        <w:pStyle w:val="FRBodyText"/>
        <w:spacing w:line="240" w:lineRule="auto"/>
      </w:pPr>
    </w:p>
    <w:p w:rsidR="00F26E49" w:rsidRDefault="00286897" w:rsidP="006A1027">
      <w:pPr>
        <w:pStyle w:val="FRBodyText"/>
        <w:spacing w:line="240" w:lineRule="auto"/>
      </w:pPr>
      <w:r>
        <w:t xml:space="preserve">Finally, </w:t>
      </w:r>
      <w:r w:rsidR="00ED033B">
        <w:t>the existing</w:t>
      </w:r>
      <w:r>
        <w:t xml:space="preserve"> Information Collection 3038-0086 accounts for the </w:t>
      </w:r>
      <w:r w:rsidR="00EE7B13">
        <w:t xml:space="preserve">burdens </w:t>
      </w:r>
      <w:r>
        <w:t xml:space="preserve">to SDRs of executing a “Confidentiality and Indemnification Agreement” with each requesting ADR and AFR. Under the Commission’s </w:t>
      </w:r>
      <w:r w:rsidR="005C3D45">
        <w:t>final rules</w:t>
      </w:r>
      <w:r>
        <w:t xml:space="preserve">, the SDR is no longer required to execute such an agreement with the ADRs or AFRs. The confidentiality arrangement </w:t>
      </w:r>
      <w:r w:rsidR="00EE7B13">
        <w:t xml:space="preserve">will </w:t>
      </w:r>
      <w:r>
        <w:t xml:space="preserve">be between the requesting ADR or AFR and the Commission. Accordingly, the total burden to SDRs, as currently reflected in Information Collection 3038-0086, is reduced by the </w:t>
      </w:r>
      <w:r w:rsidR="00EE7B13">
        <w:t xml:space="preserve">burden </w:t>
      </w:r>
      <w:r>
        <w:t>to execute such agreements</w:t>
      </w:r>
      <w:r w:rsidR="00ED033B">
        <w:t>, which the Commission estimates to be 100 hours per agreement for each SDR</w:t>
      </w:r>
      <w:r w:rsidR="00951A71">
        <w:t>, for a total reduction of 12</w:t>
      </w:r>
      <w:r w:rsidR="00FF7BEB">
        <w:t>0</w:t>
      </w:r>
      <w:r w:rsidR="00951A71">
        <w:t>,000 burden hours (i.e., the product of four SDRs, 100 hours, and 300 entities).</w:t>
      </w:r>
      <w:r w:rsidR="00FB23BB">
        <w:t xml:space="preserve"> </w:t>
      </w:r>
    </w:p>
    <w:p w:rsidR="00F26E49" w:rsidRDefault="00F26E49" w:rsidP="006A1027">
      <w:pPr>
        <w:pStyle w:val="FRBodyText"/>
        <w:spacing w:line="240" w:lineRule="auto"/>
      </w:pPr>
    </w:p>
    <w:p w:rsidR="00286897" w:rsidRDefault="00FB23BB" w:rsidP="006A1027">
      <w:pPr>
        <w:pStyle w:val="FRBodyText"/>
        <w:spacing w:line="240" w:lineRule="auto"/>
      </w:pPr>
      <w:r>
        <w:rPr>
          <w:rFonts w:eastAsia="Calibri"/>
        </w:rPr>
        <w:t>This collection of information also modifies the existing collection by reducing the estimated number of SDRs from six to four, to more accurately reflect the current state of the market.</w:t>
      </w:r>
      <w:r w:rsidR="00F26E49">
        <w:rPr>
          <w:rFonts w:eastAsia="Calibri"/>
        </w:rPr>
        <w:t xml:space="preserve"> This collection does not otherwise modify the burden estimates, including those contained in the registration and disclosure estimates, set forth in the Information Collection 3038-0086 renewal dated April 2, 2015.</w:t>
      </w:r>
    </w:p>
    <w:p w:rsidR="00ED57BB" w:rsidRDefault="00ED57BB" w:rsidP="006A1027">
      <w:pPr>
        <w:pStyle w:val="FRBodyText"/>
        <w:spacing w:line="240" w:lineRule="auto"/>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recordkeepers resulting </w:t>
      </w:r>
      <w:r w:rsidR="00BB6762">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779C2" w:rsidRDefault="007779C2">
      <w:pPr>
        <w:tabs>
          <w:tab w:val="left" w:pos="-720"/>
          <w:tab w:val="left" w:pos="0"/>
          <w:tab w:val="left" w:pos="720"/>
        </w:tabs>
        <w:suppressAutoHyphens/>
        <w:ind w:left="1440" w:hanging="1440"/>
        <w:rPr>
          <w:rFonts w:ascii="Times New Roman" w:hAnsi="Times New Roman"/>
        </w:rPr>
      </w:pPr>
    </w:p>
    <w:p w:rsidR="007779C2" w:rsidRDefault="007779C2" w:rsidP="007779C2">
      <w:pPr>
        <w:tabs>
          <w:tab w:val="left" w:pos="-720"/>
          <w:tab w:val="left" w:pos="0"/>
          <w:tab w:val="left" w:pos="720"/>
        </w:tabs>
        <w:suppressAutoHyphens/>
        <w:rPr>
          <w:rFonts w:ascii="Times New Roman" w:hAnsi="Times New Roman"/>
        </w:rPr>
      </w:pPr>
      <w:r>
        <w:rPr>
          <w:rFonts w:ascii="Times New Roman" w:hAnsi="Times New Roman"/>
        </w:rPr>
        <w:tab/>
        <w:t xml:space="preserve">As discussed in response to Question 12, </w:t>
      </w:r>
      <w:r w:rsidR="004C5622">
        <w:rPr>
          <w:rFonts w:ascii="Times New Roman" w:hAnsi="Times New Roman"/>
        </w:rPr>
        <w:t xml:space="preserve">this rule is estimated to </w:t>
      </w:r>
      <w:r w:rsidR="009E7331">
        <w:rPr>
          <w:rFonts w:ascii="Times New Roman" w:hAnsi="Times New Roman"/>
        </w:rPr>
        <w:t>decrease</w:t>
      </w:r>
      <w:r w:rsidR="004C5622">
        <w:rPr>
          <w:rFonts w:ascii="Times New Roman" w:hAnsi="Times New Roman"/>
        </w:rPr>
        <w:t xml:space="preserve"> the </w:t>
      </w:r>
      <w:r>
        <w:rPr>
          <w:rFonts w:ascii="Times New Roman" w:hAnsi="Times New Roman"/>
        </w:rPr>
        <w:t xml:space="preserve">annual cost burden to respondents </w:t>
      </w:r>
      <w:r w:rsidR="004C5622">
        <w:rPr>
          <w:rFonts w:ascii="Times New Roman" w:hAnsi="Times New Roman"/>
        </w:rPr>
        <w:t xml:space="preserve">by an amount of </w:t>
      </w:r>
      <w:r w:rsidR="004C5622" w:rsidRPr="004751B9">
        <w:rPr>
          <w:rFonts w:ascii="Times New Roman" w:hAnsi="Times New Roman"/>
        </w:rPr>
        <w:t>$</w:t>
      </w:r>
      <w:r w:rsidR="002E07E0" w:rsidRPr="002E07E0">
        <w:rPr>
          <w:rFonts w:ascii="Times New Roman" w:hAnsi="Times New Roman"/>
        </w:rPr>
        <w:t>19,074,265.6</w:t>
      </w:r>
      <w:r w:rsidR="004C5622">
        <w:rPr>
          <w:rFonts w:ascii="Times New Roman" w:hAnsi="Times New Roman"/>
        </w:rPr>
        <w:t xml:space="preserve">, bringing the total estimated aggregated annual cost burden for Information Collection 3038-0086 to </w:t>
      </w:r>
      <w:r w:rsidR="004C5622" w:rsidRPr="004751B9">
        <w:rPr>
          <w:rFonts w:ascii="Times New Roman" w:hAnsi="Times New Roman"/>
        </w:rPr>
        <w:t>$</w:t>
      </w:r>
      <w:r w:rsidR="002E07E0" w:rsidRPr="002E07E0">
        <w:rPr>
          <w:rFonts w:ascii="Times New Roman" w:hAnsi="Times New Roman"/>
        </w:rPr>
        <w:t>61,904,104.4</w:t>
      </w:r>
      <w:r w:rsidR="004C5622">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0663C2" w:rsidRDefault="000663C2">
      <w:pPr>
        <w:tabs>
          <w:tab w:val="left" w:pos="-720"/>
        </w:tabs>
        <w:suppressAutoHyphens/>
        <w:ind w:left="720" w:hanging="720"/>
        <w:rPr>
          <w:rFonts w:ascii="Times New Roman" w:hAnsi="Times New Roman"/>
        </w:rPr>
      </w:pPr>
    </w:p>
    <w:p w:rsidR="000663C2" w:rsidRPr="00566F08" w:rsidRDefault="000663C2" w:rsidP="000663C2">
      <w:pPr>
        <w:tabs>
          <w:tab w:val="left" w:pos="-720"/>
        </w:tabs>
        <w:spacing w:after="240"/>
        <w:ind w:right="180"/>
        <w:rPr>
          <w:rFonts w:ascii="Times New Roman" w:hAnsi="Times New Roman"/>
        </w:rPr>
      </w:pPr>
      <w:r>
        <w:rPr>
          <w:rFonts w:ascii="Times New Roman" w:hAnsi="Times New Roman"/>
        </w:rPr>
        <w:tab/>
      </w:r>
      <w:r w:rsidRPr="00566F08">
        <w:rPr>
          <w:rFonts w:ascii="Times New Roman" w:hAnsi="Times New Roman"/>
        </w:rPr>
        <w:t>The Commission will have costs relating to the need of Commission staff to review and analyze the coll</w:t>
      </w:r>
      <w:r>
        <w:rPr>
          <w:rFonts w:ascii="Times New Roman" w:hAnsi="Times New Roman"/>
        </w:rPr>
        <w:t>ected documents and information, as well as costs associated with issuing determination orders under the rule</w:t>
      </w:r>
      <w:r w:rsidRPr="00566F08">
        <w:rPr>
          <w:rFonts w:ascii="Times New Roman" w:hAnsi="Times New Roman"/>
        </w:rPr>
        <w:t>.</w:t>
      </w:r>
    </w:p>
    <w:p w:rsidR="002D133A" w:rsidRDefault="000663C2" w:rsidP="00D44C1C">
      <w:pPr>
        <w:tabs>
          <w:tab w:val="left" w:pos="-720"/>
        </w:tabs>
        <w:spacing w:after="240"/>
        <w:ind w:right="90"/>
        <w:rPr>
          <w:rFonts w:ascii="Times New Roman" w:hAnsi="Times New Roman"/>
        </w:rPr>
      </w:pPr>
      <w:r w:rsidRPr="00566F08">
        <w:rPr>
          <w:rFonts w:ascii="Times New Roman" w:hAnsi="Times New Roman"/>
        </w:rPr>
        <w:tab/>
        <w:t xml:space="preserve">With respect to Commission staff analyzing and reviewing the collected </w:t>
      </w:r>
      <w:r w:rsidR="00CF18F8">
        <w:rPr>
          <w:rFonts w:ascii="Times New Roman" w:hAnsi="Times New Roman"/>
        </w:rPr>
        <w:t xml:space="preserve">documents and </w:t>
      </w:r>
      <w:r w:rsidRPr="00566F08">
        <w:rPr>
          <w:rFonts w:ascii="Times New Roman" w:hAnsi="Times New Roman"/>
        </w:rPr>
        <w:t xml:space="preserve">information, </w:t>
      </w:r>
      <w:r w:rsidR="008E1112">
        <w:rPr>
          <w:rFonts w:ascii="Times New Roman" w:hAnsi="Times New Roman"/>
        </w:rPr>
        <w:t xml:space="preserve">and with respect to the costs associated with issuing determination orders, </w:t>
      </w:r>
      <w:r w:rsidRPr="00566F08">
        <w:rPr>
          <w:rFonts w:ascii="Times New Roman" w:hAnsi="Times New Roman"/>
        </w:rPr>
        <w:t xml:space="preserve">existing staff may be used to perform </w:t>
      </w:r>
      <w:r w:rsidR="008E1112">
        <w:rPr>
          <w:rFonts w:ascii="Times New Roman" w:hAnsi="Times New Roman"/>
        </w:rPr>
        <w:t>these functions</w:t>
      </w:r>
      <w:r w:rsidRPr="00566F08">
        <w:rPr>
          <w:rFonts w:ascii="Times New Roman" w:hAnsi="Times New Roman"/>
        </w:rPr>
        <w:t xml:space="preserve">.  However, Commission staff estimates that potentially </w:t>
      </w:r>
      <w:r w:rsidR="008E1112">
        <w:rPr>
          <w:rFonts w:ascii="Times New Roman" w:hAnsi="Times New Roman"/>
        </w:rPr>
        <w:t>three</w:t>
      </w:r>
      <w:r w:rsidRPr="00566F08">
        <w:rPr>
          <w:rFonts w:ascii="Times New Roman" w:hAnsi="Times New Roman"/>
        </w:rPr>
        <w:t xml:space="preserve"> employees may be dedicated full-time to</w:t>
      </w:r>
      <w:r w:rsidR="008E1112">
        <w:rPr>
          <w:rFonts w:ascii="Times New Roman" w:hAnsi="Times New Roman"/>
        </w:rPr>
        <w:t xml:space="preserve"> these functions</w:t>
      </w:r>
      <w:r w:rsidRPr="00566F08">
        <w:rPr>
          <w:rFonts w:ascii="Times New Roman" w:hAnsi="Times New Roman"/>
        </w:rPr>
        <w:t>.  The estimated annual cost to the Commission per new hire is $120,829.</w:t>
      </w:r>
      <w:r w:rsidRPr="001B76B9">
        <w:rPr>
          <w:rStyle w:val="FootnoteReference"/>
          <w:rFonts w:ascii="Times New Roman" w:hAnsi="Times New Roman"/>
        </w:rPr>
        <w:footnoteReference w:id="14"/>
      </w:r>
      <w:r w:rsidRPr="001B76B9">
        <w:rPr>
          <w:rFonts w:ascii="Times New Roman" w:hAnsi="Times New Roman"/>
        </w:rPr>
        <w:t xml:space="preserve">  Therefore, </w:t>
      </w:r>
      <w:r w:rsidR="000C5288">
        <w:rPr>
          <w:rFonts w:ascii="Times New Roman" w:hAnsi="Times New Roman"/>
        </w:rPr>
        <w:t>if three</w:t>
      </w:r>
      <w:r w:rsidR="000C5288" w:rsidRPr="00566F08">
        <w:rPr>
          <w:rFonts w:ascii="Times New Roman" w:hAnsi="Times New Roman"/>
        </w:rPr>
        <w:t xml:space="preserve"> employees </w:t>
      </w:r>
      <w:r w:rsidR="000C5288">
        <w:rPr>
          <w:rFonts w:ascii="Times New Roman" w:hAnsi="Times New Roman"/>
        </w:rPr>
        <w:t>were in fact</w:t>
      </w:r>
      <w:r w:rsidR="000C5288" w:rsidRPr="00566F08">
        <w:rPr>
          <w:rFonts w:ascii="Times New Roman" w:hAnsi="Times New Roman"/>
        </w:rPr>
        <w:t xml:space="preserve"> dedicated full-time to</w:t>
      </w:r>
      <w:r w:rsidR="000C5288">
        <w:rPr>
          <w:rFonts w:ascii="Times New Roman" w:hAnsi="Times New Roman"/>
        </w:rPr>
        <w:t xml:space="preserve"> these functions,</w:t>
      </w:r>
      <w:r w:rsidR="000C5288" w:rsidRPr="001B76B9">
        <w:rPr>
          <w:rFonts w:ascii="Times New Roman" w:hAnsi="Times New Roman"/>
        </w:rPr>
        <w:t xml:space="preserve"> </w:t>
      </w:r>
      <w:r w:rsidRPr="001B76B9">
        <w:rPr>
          <w:rFonts w:ascii="Times New Roman" w:hAnsi="Times New Roman"/>
        </w:rPr>
        <w:t xml:space="preserve">the total annual aggregate staff cost to the Commission </w:t>
      </w:r>
      <w:r w:rsidR="000C5288">
        <w:rPr>
          <w:rFonts w:ascii="Times New Roman" w:hAnsi="Times New Roman"/>
        </w:rPr>
        <w:t>would be</w:t>
      </w:r>
      <w:r w:rsidR="000C5288" w:rsidRPr="001B76B9">
        <w:rPr>
          <w:rFonts w:ascii="Times New Roman" w:hAnsi="Times New Roman"/>
        </w:rPr>
        <w:t xml:space="preserve"> </w:t>
      </w:r>
      <w:r w:rsidRPr="001B76B9">
        <w:rPr>
          <w:rFonts w:ascii="Times New Roman" w:hAnsi="Times New Roman"/>
        </w:rPr>
        <w:t>$</w:t>
      </w:r>
      <w:r w:rsidR="008E1112">
        <w:rPr>
          <w:rFonts w:ascii="Times New Roman" w:hAnsi="Times New Roman"/>
        </w:rPr>
        <w:t>362</w:t>
      </w:r>
      <w:r w:rsidR="008572DC">
        <w:rPr>
          <w:rFonts w:ascii="Times New Roman" w:hAnsi="Times New Roman"/>
        </w:rPr>
        <w:t>,487</w:t>
      </w:r>
      <w:r w:rsidRPr="00870897">
        <w:rPr>
          <w:rFonts w:ascii="Times New Roman" w:hAnsi="Times New Roman"/>
        </w:rPr>
        <w:t>.</w:t>
      </w:r>
      <w:r w:rsidRPr="00271D65">
        <w:rPr>
          <w:rFonts w:ascii="Times New Roman" w:hAnsi="Times New Roman"/>
        </w:rPr>
        <w:tab/>
      </w:r>
      <w:r w:rsidRPr="00870897">
        <w:rPr>
          <w:rFonts w:ascii="Times New Roman" w:hAnsi="Times New Roman"/>
        </w:rPr>
        <w:tab/>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8075A" w:rsidRDefault="0028075A">
      <w:pPr>
        <w:tabs>
          <w:tab w:val="left" w:pos="-720"/>
          <w:tab w:val="left" w:pos="0"/>
        </w:tabs>
        <w:suppressAutoHyphens/>
        <w:ind w:left="720" w:hanging="720"/>
        <w:rPr>
          <w:rFonts w:ascii="Times New Roman" w:hAnsi="Times New Roman"/>
        </w:rPr>
      </w:pPr>
    </w:p>
    <w:p w:rsidR="0028075A" w:rsidRDefault="0028075A" w:rsidP="0028075A">
      <w:pPr>
        <w:tabs>
          <w:tab w:val="left" w:pos="-720"/>
          <w:tab w:val="left" w:pos="0"/>
        </w:tabs>
        <w:suppressAutoHyphens/>
        <w:rPr>
          <w:rFonts w:ascii="Times New Roman" w:hAnsi="Times New Roman"/>
        </w:rPr>
      </w:pPr>
      <w:r>
        <w:rPr>
          <w:rFonts w:ascii="Times New Roman" w:hAnsi="Times New Roman"/>
        </w:rPr>
        <w:tab/>
        <w:t>On April 2, 2015, the Commission submitted a renewal of collection 3038-0086, which included adjustments to burden hours to account for market changes since the initial finalization of part 49. The present submission and Supporting Statement uses that submission as a baseline for changes and adjustments to burden hours and costs.</w:t>
      </w:r>
    </w:p>
    <w:p w:rsidR="0028075A" w:rsidRDefault="0028075A" w:rsidP="0028075A">
      <w:pPr>
        <w:tabs>
          <w:tab w:val="left" w:pos="-720"/>
          <w:tab w:val="left" w:pos="0"/>
        </w:tabs>
        <w:suppressAutoHyphens/>
        <w:rPr>
          <w:rFonts w:ascii="Times New Roman" w:hAnsi="Times New Roman"/>
        </w:rPr>
      </w:pPr>
    </w:p>
    <w:p w:rsidR="009B251A" w:rsidRDefault="0028075A" w:rsidP="0028075A">
      <w:pPr>
        <w:tabs>
          <w:tab w:val="left" w:pos="-720"/>
          <w:tab w:val="left" w:pos="0"/>
        </w:tabs>
        <w:suppressAutoHyphens/>
        <w:rPr>
          <w:rFonts w:ascii="Times New Roman" w:eastAsia="Calibri" w:hAnsi="Times New Roman"/>
          <w:szCs w:val="24"/>
        </w:rPr>
      </w:pPr>
      <w:r>
        <w:rPr>
          <w:rFonts w:ascii="Times New Roman" w:hAnsi="Times New Roman"/>
        </w:rPr>
        <w:tab/>
        <w:t xml:space="preserve">The present submission includes adjustments to burden hours to account </w:t>
      </w:r>
      <w:r w:rsidR="00402472">
        <w:rPr>
          <w:rFonts w:ascii="Times New Roman" w:hAnsi="Times New Roman"/>
        </w:rPr>
        <w:t xml:space="preserve">for new obligations on ADRs and AFRs seeking access to SDR swap data, as well as new obligations on SDRs. Some of the changes contained in the </w:t>
      </w:r>
      <w:r w:rsidR="005C3D45">
        <w:rPr>
          <w:rFonts w:ascii="Times New Roman" w:hAnsi="Times New Roman"/>
        </w:rPr>
        <w:t xml:space="preserve">rule </w:t>
      </w:r>
      <w:r w:rsidR="00402472">
        <w:rPr>
          <w:rFonts w:ascii="Times New Roman" w:hAnsi="Times New Roman"/>
        </w:rPr>
        <w:t xml:space="preserve">are a result of the implementation of the FAST Act, which removed the statutory requirement that an ADR or AFR indemnify the Commission and SDR for all </w:t>
      </w:r>
      <w:r w:rsidR="00402472" w:rsidRPr="00C67A9E">
        <w:rPr>
          <w:rFonts w:ascii="Times New Roman" w:eastAsia="Calibri" w:hAnsi="Times New Roman"/>
          <w:szCs w:val="24"/>
        </w:rPr>
        <w:t>expenses arising from litigation relating to the information provided under section 8</w:t>
      </w:r>
      <w:r w:rsidR="00402472">
        <w:rPr>
          <w:rFonts w:ascii="Times New Roman" w:eastAsia="Calibri" w:hAnsi="Times New Roman"/>
          <w:szCs w:val="24"/>
        </w:rPr>
        <w:t>.</w:t>
      </w:r>
      <w:r w:rsidR="00D50746">
        <w:rPr>
          <w:rFonts w:ascii="Times New Roman" w:eastAsia="Calibri" w:hAnsi="Times New Roman"/>
          <w:szCs w:val="24"/>
        </w:rPr>
        <w:t xml:space="preserve"> </w:t>
      </w:r>
    </w:p>
    <w:p w:rsidR="009B251A" w:rsidRDefault="009B251A" w:rsidP="0028075A">
      <w:pPr>
        <w:tabs>
          <w:tab w:val="left" w:pos="-720"/>
          <w:tab w:val="left" w:pos="0"/>
        </w:tabs>
        <w:suppressAutoHyphens/>
        <w:rPr>
          <w:rFonts w:ascii="Times New Roman" w:eastAsia="Calibri" w:hAnsi="Times New Roman"/>
          <w:szCs w:val="24"/>
        </w:rPr>
      </w:pPr>
      <w:r>
        <w:rPr>
          <w:rFonts w:ascii="Times New Roman" w:eastAsia="Calibri" w:hAnsi="Times New Roman"/>
          <w:szCs w:val="24"/>
        </w:rPr>
        <w:tab/>
      </w:r>
    </w:p>
    <w:p w:rsidR="0028075A" w:rsidRDefault="009B251A" w:rsidP="0028075A">
      <w:pPr>
        <w:tabs>
          <w:tab w:val="left" w:pos="-720"/>
          <w:tab w:val="left" w:pos="0"/>
        </w:tabs>
        <w:suppressAutoHyphens/>
        <w:rPr>
          <w:rFonts w:ascii="Times New Roman" w:eastAsia="Calibri" w:hAnsi="Times New Roman"/>
          <w:szCs w:val="24"/>
        </w:rPr>
      </w:pPr>
      <w:r>
        <w:rPr>
          <w:rFonts w:ascii="Times New Roman" w:eastAsia="Calibri" w:hAnsi="Times New Roman"/>
          <w:szCs w:val="24"/>
        </w:rPr>
        <w:tab/>
      </w:r>
      <w:r w:rsidR="00D50746">
        <w:rPr>
          <w:rFonts w:ascii="Times New Roman" w:eastAsia="Calibri" w:hAnsi="Times New Roman"/>
          <w:szCs w:val="24"/>
        </w:rPr>
        <w:t>Other changes to the existing part 49 rules modify the process by which entities are determined to be appropriate to receive access to SDR swap data, as well as</w:t>
      </w:r>
      <w:r>
        <w:rPr>
          <w:rFonts w:ascii="Times New Roman" w:eastAsia="Calibri" w:hAnsi="Times New Roman"/>
          <w:szCs w:val="24"/>
        </w:rPr>
        <w:t xml:space="preserve"> require ADRs and AFR</w:t>
      </w:r>
      <w:r w:rsidR="001B6EB5">
        <w:rPr>
          <w:rFonts w:ascii="Times New Roman" w:eastAsia="Calibri" w:hAnsi="Times New Roman"/>
          <w:szCs w:val="24"/>
        </w:rPr>
        <w:t>s</w:t>
      </w:r>
      <w:r w:rsidR="00D50746">
        <w:rPr>
          <w:rFonts w:ascii="Times New Roman" w:eastAsia="Calibri" w:hAnsi="Times New Roman"/>
          <w:szCs w:val="24"/>
        </w:rPr>
        <w:t xml:space="preserve"> </w:t>
      </w:r>
      <w:r>
        <w:rPr>
          <w:rFonts w:ascii="Times New Roman" w:eastAsia="Calibri" w:hAnsi="Times New Roman"/>
          <w:szCs w:val="24"/>
        </w:rPr>
        <w:t xml:space="preserve">to execute a confidentiality arrangement with the Commission prior to receiving access to SDR swap data. </w:t>
      </w:r>
    </w:p>
    <w:p w:rsidR="009B251A" w:rsidRDefault="009B251A" w:rsidP="0028075A">
      <w:pPr>
        <w:tabs>
          <w:tab w:val="left" w:pos="-720"/>
          <w:tab w:val="left" w:pos="0"/>
        </w:tabs>
        <w:suppressAutoHyphens/>
        <w:rPr>
          <w:rFonts w:ascii="Times New Roman" w:eastAsia="Calibri" w:hAnsi="Times New Roman"/>
          <w:szCs w:val="24"/>
        </w:rPr>
      </w:pPr>
    </w:p>
    <w:p w:rsidR="009B251A" w:rsidRDefault="009B251A" w:rsidP="0028075A">
      <w:pPr>
        <w:tabs>
          <w:tab w:val="left" w:pos="-720"/>
          <w:tab w:val="left" w:pos="0"/>
        </w:tabs>
        <w:suppressAutoHyphens/>
        <w:rPr>
          <w:rFonts w:ascii="Times New Roman" w:eastAsia="Calibri" w:hAnsi="Times New Roman"/>
          <w:szCs w:val="24"/>
        </w:rPr>
      </w:pPr>
      <w:r>
        <w:rPr>
          <w:rFonts w:ascii="Times New Roman" w:eastAsia="Calibri" w:hAnsi="Times New Roman"/>
          <w:szCs w:val="24"/>
        </w:rPr>
        <w:tab/>
        <w:t>Additionally, the changes w</w:t>
      </w:r>
      <w:r w:rsidR="005C3D45">
        <w:rPr>
          <w:rFonts w:ascii="Times New Roman" w:eastAsia="Calibri" w:hAnsi="Times New Roman"/>
          <w:szCs w:val="24"/>
        </w:rPr>
        <w:t>ill</w:t>
      </w:r>
      <w:r>
        <w:rPr>
          <w:rFonts w:ascii="Times New Roman" w:eastAsia="Calibri" w:hAnsi="Times New Roman"/>
          <w:szCs w:val="24"/>
        </w:rPr>
        <w:t xml:space="preserve"> require SDRs to incur costs to ensure that swap data provided to ADRs or AFRs </w:t>
      </w:r>
      <w:r w:rsidR="007A50AE">
        <w:rPr>
          <w:rFonts w:ascii="Times New Roman" w:eastAsia="Calibri" w:hAnsi="Times New Roman"/>
          <w:szCs w:val="24"/>
        </w:rPr>
        <w:t xml:space="preserve">is within the scope of the requesting entity’s jurisdiction. SDRs may also </w:t>
      </w:r>
      <w:r w:rsidR="007A50AE" w:rsidRPr="004975C9">
        <w:rPr>
          <w:rFonts w:ascii="Times New Roman" w:eastAsia="Calibri" w:hAnsi="Times New Roman"/>
          <w:szCs w:val="24"/>
        </w:rPr>
        <w:t>incur increased costs</w:t>
      </w:r>
      <w:r w:rsidR="007A50AE">
        <w:rPr>
          <w:rFonts w:ascii="Times New Roman" w:eastAsia="Calibri" w:hAnsi="Times New Roman"/>
          <w:szCs w:val="24"/>
        </w:rPr>
        <w:t xml:space="preserve"> associated with their recordkeeping requirements. Finally, the changes w</w:t>
      </w:r>
      <w:r w:rsidR="005C3D45">
        <w:rPr>
          <w:rFonts w:ascii="Times New Roman" w:eastAsia="Calibri" w:hAnsi="Times New Roman"/>
          <w:szCs w:val="24"/>
        </w:rPr>
        <w:t>ill</w:t>
      </w:r>
      <w:r w:rsidR="007A50AE">
        <w:rPr>
          <w:rFonts w:ascii="Times New Roman" w:eastAsia="Calibri" w:hAnsi="Times New Roman"/>
          <w:szCs w:val="24"/>
        </w:rPr>
        <w:t xml:space="preserve"> reduce the burden to SDRs associated with executing a confidentiality arrangement with ADRs and AFRs, as the Commission, under the </w:t>
      </w:r>
      <w:r w:rsidR="005C3D45">
        <w:rPr>
          <w:rFonts w:ascii="Times New Roman" w:eastAsia="Calibri" w:hAnsi="Times New Roman"/>
          <w:szCs w:val="24"/>
        </w:rPr>
        <w:t>rule</w:t>
      </w:r>
      <w:r w:rsidR="007A50AE">
        <w:rPr>
          <w:rFonts w:ascii="Times New Roman" w:eastAsia="Calibri" w:hAnsi="Times New Roman"/>
          <w:szCs w:val="24"/>
        </w:rPr>
        <w:t xml:space="preserve">, </w:t>
      </w:r>
      <w:r w:rsidR="005C3D45">
        <w:rPr>
          <w:rFonts w:ascii="Times New Roman" w:eastAsia="Calibri" w:hAnsi="Times New Roman"/>
          <w:szCs w:val="24"/>
        </w:rPr>
        <w:t xml:space="preserve">will </w:t>
      </w:r>
      <w:r w:rsidR="007A50AE">
        <w:rPr>
          <w:rFonts w:ascii="Times New Roman" w:eastAsia="Calibri" w:hAnsi="Times New Roman"/>
          <w:szCs w:val="24"/>
        </w:rPr>
        <w:t xml:space="preserve">be party to the arrangement rather </w:t>
      </w:r>
      <w:r w:rsidR="00BB6762">
        <w:rPr>
          <w:rFonts w:ascii="Times New Roman" w:eastAsia="Calibri" w:hAnsi="Times New Roman"/>
          <w:szCs w:val="24"/>
        </w:rPr>
        <w:t>than</w:t>
      </w:r>
      <w:r w:rsidR="007A50AE">
        <w:rPr>
          <w:rFonts w:ascii="Times New Roman" w:eastAsia="Calibri" w:hAnsi="Times New Roman"/>
          <w:szCs w:val="24"/>
        </w:rPr>
        <w:t xml:space="preserve"> the individual SDRs.</w:t>
      </w:r>
    </w:p>
    <w:p w:rsidR="00224354" w:rsidRDefault="00224354" w:rsidP="0028075A">
      <w:pPr>
        <w:tabs>
          <w:tab w:val="left" w:pos="-720"/>
          <w:tab w:val="left" w:pos="0"/>
        </w:tabs>
        <w:suppressAutoHyphens/>
        <w:rPr>
          <w:rFonts w:ascii="Times New Roman" w:eastAsia="Calibri" w:hAnsi="Times New Roman"/>
          <w:szCs w:val="24"/>
        </w:rPr>
      </w:pPr>
    </w:p>
    <w:p w:rsidR="00937859" w:rsidRDefault="00224354" w:rsidP="00AC0BE2">
      <w:pPr>
        <w:tabs>
          <w:tab w:val="left" w:pos="-720"/>
          <w:tab w:val="left" w:pos="0"/>
        </w:tabs>
        <w:suppressAutoHyphens/>
        <w:rPr>
          <w:rFonts w:ascii="Times New Roman" w:hAnsi="Times New Roman"/>
        </w:rPr>
      </w:pPr>
      <w:r>
        <w:rPr>
          <w:rFonts w:ascii="Times New Roman" w:eastAsia="Calibri" w:hAnsi="Times New Roman"/>
          <w:szCs w:val="24"/>
        </w:rPr>
        <w:tab/>
        <w:t>This collection of information also modifies the existing collection by reducing the estimated number of SDRs from six to four, to more accurately reflect the current state of the market.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7A50AE" w:rsidRDefault="007A50AE">
      <w:pPr>
        <w:tabs>
          <w:tab w:val="left" w:pos="-720"/>
          <w:tab w:val="left" w:pos="0"/>
        </w:tabs>
        <w:suppressAutoHyphens/>
        <w:ind w:left="720" w:hanging="720"/>
        <w:rPr>
          <w:rFonts w:ascii="Times New Roman" w:hAnsi="Times New Roman"/>
        </w:rPr>
      </w:pPr>
    </w:p>
    <w:p w:rsidR="007A50AE" w:rsidRDefault="007A50AE" w:rsidP="006A5EBB">
      <w:pPr>
        <w:tabs>
          <w:tab w:val="left" w:pos="-720"/>
          <w:tab w:val="left" w:pos="0"/>
        </w:tabs>
        <w:suppressAutoHyphens/>
        <w:ind w:firstLine="720"/>
        <w:rPr>
          <w:rFonts w:ascii="Times New Roman" w:hAnsi="Times New Roman"/>
        </w:rPr>
      </w:pPr>
      <w:r>
        <w:rPr>
          <w:rFonts w:ascii="Times New Roman" w:hAnsi="Times New Roman"/>
        </w:rPr>
        <w:t>T</w:t>
      </w:r>
      <w:r w:rsidR="006A5EBB">
        <w:rPr>
          <w:rFonts w:ascii="Times New Roman" w:hAnsi="Times New Roman"/>
        </w:rPr>
        <w:t xml:space="preserve">he </w:t>
      </w:r>
      <w:r w:rsidR="006A5EBB" w:rsidRPr="006A5EBB">
        <w:rPr>
          <w:rFonts w:ascii="Times New Roman" w:eastAsia="Calibri" w:hAnsi="Times New Roman"/>
          <w:szCs w:val="24"/>
        </w:rPr>
        <w:t>Commission</w:t>
      </w:r>
      <w:r w:rsidR="006A5EBB">
        <w:rPr>
          <w:rFonts w:ascii="Times New Roman" w:hAnsi="Times New Roman"/>
        </w:rPr>
        <w:t xml:space="preserve"> doesn’t plan to publish the results of the</w:t>
      </w:r>
      <w:r w:rsidR="006A5EBB" w:rsidRPr="006A5EBB">
        <w:rPr>
          <w:rFonts w:ascii="Times New Roman" w:hAnsi="Times New Roman"/>
        </w:rPr>
        <w:t xml:space="preserve"> collection of information for statistical use</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2D133A" w:rsidRDefault="002D133A">
      <w:pPr>
        <w:tabs>
          <w:tab w:val="left" w:pos="-720"/>
        </w:tabs>
        <w:suppressAutoHyphens/>
        <w:rPr>
          <w:rFonts w:ascii="Times New Roman" w:hAnsi="Times New Roman"/>
        </w:rPr>
      </w:pPr>
    </w:p>
    <w:p w:rsidR="007A50AE" w:rsidRDefault="006A5EBB" w:rsidP="006A5EBB">
      <w:pPr>
        <w:tabs>
          <w:tab w:val="left" w:pos="-720"/>
          <w:tab w:val="left" w:pos="0"/>
        </w:tabs>
        <w:suppressAutoHyphens/>
        <w:ind w:firstLine="720"/>
        <w:rPr>
          <w:rFonts w:ascii="Times New Roman" w:hAnsi="Times New Roman"/>
        </w:rPr>
      </w:pPr>
      <w:r>
        <w:rPr>
          <w:rFonts w:ascii="Times New Roman" w:hAnsi="Times New Roman"/>
        </w:rPr>
        <w:t xml:space="preserve">The </w:t>
      </w:r>
      <w:r w:rsidRPr="006A5EBB">
        <w:rPr>
          <w:rFonts w:ascii="Times New Roman" w:eastAsia="Calibri" w:hAnsi="Times New Roman"/>
          <w:szCs w:val="24"/>
        </w:rPr>
        <w:t>Commission</w:t>
      </w:r>
      <w:r>
        <w:rPr>
          <w:rFonts w:ascii="Times New Roman" w:eastAsia="Calibri" w:hAnsi="Times New Roman"/>
          <w:szCs w:val="24"/>
        </w:rPr>
        <w:t xml:space="preserve"> isn’t seeking approval to not display the expiration date for OMB approval of the information collection</w:t>
      </w:r>
      <w:r w:rsidR="007A50AE">
        <w:rPr>
          <w:rFonts w:ascii="Times New Roman" w:hAnsi="Times New Roman"/>
        </w:rPr>
        <w:t>.</w:t>
      </w:r>
    </w:p>
    <w:p w:rsidR="007A50AE" w:rsidRDefault="007A50A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7A50AE" w:rsidRDefault="007A50AE">
      <w:pPr>
        <w:tabs>
          <w:tab w:val="left" w:pos="-720"/>
          <w:tab w:val="left" w:pos="0"/>
        </w:tabs>
        <w:suppressAutoHyphens/>
        <w:ind w:left="720" w:hanging="720"/>
        <w:rPr>
          <w:rFonts w:ascii="Times New Roman" w:hAnsi="Times New Roman"/>
        </w:rPr>
      </w:pPr>
    </w:p>
    <w:p w:rsidR="007A50AE" w:rsidRDefault="006A5EBB" w:rsidP="006A5EBB">
      <w:pPr>
        <w:tabs>
          <w:tab w:val="left" w:pos="-720"/>
          <w:tab w:val="left" w:pos="0"/>
        </w:tabs>
        <w:suppressAutoHyphens/>
        <w:ind w:firstLine="720"/>
        <w:rPr>
          <w:rFonts w:ascii="Times New Roman" w:hAnsi="Times New Roman"/>
        </w:rPr>
      </w:pPr>
      <w:r>
        <w:rPr>
          <w:rFonts w:ascii="Times New Roman" w:hAnsi="Times New Roman"/>
        </w:rPr>
        <w:t>There are no exceptions to the certification statement in Item 19</w:t>
      </w:r>
      <w:r w:rsidR="007A50AE">
        <w:rPr>
          <w:rFonts w:ascii="Times New Roman" w:hAnsi="Times New Roman"/>
        </w:rPr>
        <w:t>.</w:t>
      </w:r>
    </w:p>
    <w:p w:rsidR="0053537D" w:rsidRDefault="002D133A" w:rsidP="0053537D">
      <w:pPr>
        <w:jc w:val="center"/>
        <w:rPr>
          <w:rFonts w:ascii="Times New Roman" w:hAnsi="Times New Roman"/>
        </w:rPr>
      </w:pPr>
      <w:r>
        <w:rPr>
          <w:rFonts w:ascii="Times New Roman" w:hAnsi="Times New Roman"/>
        </w:rPr>
        <w:tab/>
      </w:r>
    </w:p>
    <w:p w:rsidR="0053537D" w:rsidRDefault="0053537D">
      <w:pPr>
        <w:rPr>
          <w:rFonts w:ascii="Times New Roman" w:hAnsi="Times New Roman"/>
        </w:rPr>
      </w:pPr>
      <w:r>
        <w:rPr>
          <w:rFonts w:ascii="Times New Roman" w:hAnsi="Times New Roman"/>
        </w:rPr>
        <w:br w:type="page"/>
      </w:r>
    </w:p>
    <w:p w:rsidR="000C0809" w:rsidRDefault="000C0809" w:rsidP="0053537D">
      <w:pPr>
        <w:jc w:val="center"/>
        <w:rPr>
          <w:rFonts w:ascii="Times New Roman" w:hAnsi="Times New Roman"/>
          <w:szCs w:val="24"/>
        </w:rPr>
      </w:pPr>
      <w:r w:rsidRPr="000C0809">
        <w:rPr>
          <w:rFonts w:ascii="Times New Roman" w:hAnsi="Times New Roman"/>
          <w:szCs w:val="24"/>
        </w:rPr>
        <w:t>Attachment A</w:t>
      </w:r>
    </w:p>
    <w:p w:rsidR="00E725BB" w:rsidRDefault="00E725BB" w:rsidP="000C0809">
      <w:pPr>
        <w:jc w:val="center"/>
        <w:rPr>
          <w:rFonts w:ascii="Times New Roman" w:hAnsi="Times New Roman"/>
          <w:szCs w:val="24"/>
        </w:rPr>
      </w:pPr>
    </w:p>
    <w:p w:rsidR="00E725BB" w:rsidRPr="00A9182E" w:rsidRDefault="00E725BB" w:rsidP="00E725BB">
      <w:pPr>
        <w:jc w:val="center"/>
        <w:rPr>
          <w:rFonts w:ascii="Times New Roman" w:hAnsi="Times New Roman"/>
          <w:b/>
          <w:sz w:val="20"/>
        </w:rPr>
      </w:pPr>
      <w:r w:rsidRPr="00A9182E">
        <w:rPr>
          <w:rFonts w:ascii="Times New Roman" w:hAnsi="Times New Roman"/>
          <w:b/>
          <w:sz w:val="20"/>
        </w:rPr>
        <w:t>OMB Control Number 3038-</w:t>
      </w:r>
      <w:r>
        <w:rPr>
          <w:rFonts w:ascii="Times New Roman" w:hAnsi="Times New Roman"/>
          <w:b/>
          <w:sz w:val="20"/>
        </w:rPr>
        <w:t>0086</w:t>
      </w:r>
      <w:r w:rsidRPr="00A9182E">
        <w:rPr>
          <w:rFonts w:ascii="Times New Roman" w:hAnsi="Times New Roman"/>
          <w:b/>
          <w:sz w:val="20"/>
        </w:rPr>
        <w:t xml:space="preserve"> </w:t>
      </w:r>
    </w:p>
    <w:p w:rsidR="00EE1F5E" w:rsidRDefault="00EE1F5E" w:rsidP="000C0809">
      <w:pPr>
        <w:jc w:val="center"/>
        <w:rPr>
          <w:rFonts w:ascii="Times New Roman" w:hAnsi="Times New Roman"/>
          <w:szCs w:val="24"/>
        </w:rPr>
      </w:pPr>
    </w:p>
    <w:p w:rsidR="00EE1F5E" w:rsidRPr="00F26E49" w:rsidRDefault="00EE1F5E" w:rsidP="00EE1F5E">
      <w:pPr>
        <w:jc w:val="center"/>
        <w:rPr>
          <w:rFonts w:ascii="Times New Roman" w:hAnsi="Times New Roman"/>
          <w:szCs w:val="24"/>
          <w:u w:val="single"/>
        </w:rPr>
      </w:pPr>
      <w:r w:rsidRPr="00F26E49">
        <w:rPr>
          <w:rFonts w:ascii="Times New Roman" w:hAnsi="Times New Roman"/>
          <w:szCs w:val="24"/>
          <w:u w:val="single"/>
        </w:rPr>
        <w:t xml:space="preserve">Reporting Burden </w:t>
      </w:r>
    </w:p>
    <w:p w:rsidR="00E725BB" w:rsidRDefault="00E725BB" w:rsidP="00EE1F5E">
      <w:pPr>
        <w:jc w:val="center"/>
        <w:rPr>
          <w:rFonts w:ascii="Times New Roman" w:hAnsi="Times New Roman"/>
          <w:sz w:val="20"/>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81"/>
        <w:gridCol w:w="1189"/>
        <w:gridCol w:w="1117"/>
        <w:gridCol w:w="1521"/>
        <w:gridCol w:w="1386"/>
        <w:gridCol w:w="1131"/>
        <w:gridCol w:w="1090"/>
        <w:gridCol w:w="1175"/>
      </w:tblGrid>
      <w:tr w:rsidR="004F60B5" w:rsidTr="00E725BB">
        <w:tc>
          <w:tcPr>
            <w:tcW w:w="1018"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Prior Est’d # of Covered Entities</w:t>
            </w:r>
          </w:p>
          <w:p w:rsidR="00E725BB" w:rsidRDefault="00E725BB" w:rsidP="00E725BB">
            <w:pPr>
              <w:pStyle w:val="BodyTextIndent"/>
              <w:ind w:left="0" w:firstLine="0"/>
              <w:jc w:val="center"/>
              <w:rPr>
                <w:sz w:val="20"/>
                <w:szCs w:val="20"/>
              </w:rPr>
            </w:pPr>
          </w:p>
        </w:tc>
        <w:tc>
          <w:tcPr>
            <w:tcW w:w="1230"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Prior Est’d Total Annual Burden Hours per respondent</w:t>
            </w:r>
          </w:p>
        </w:tc>
        <w:tc>
          <w:tcPr>
            <w:tcW w:w="118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Prior Est’d Total</w:t>
            </w:r>
          </w:p>
          <w:p w:rsidR="00E725BB" w:rsidRDefault="00E725BB" w:rsidP="00E725BB">
            <w:pPr>
              <w:pStyle w:val="BodyTextIndent"/>
              <w:ind w:left="0" w:firstLine="0"/>
              <w:jc w:val="center"/>
              <w:rPr>
                <w:sz w:val="20"/>
                <w:szCs w:val="20"/>
              </w:rPr>
            </w:pPr>
            <w:r>
              <w:rPr>
                <w:sz w:val="20"/>
                <w:szCs w:val="20"/>
              </w:rPr>
              <w:t>Annual Burden Hrs. per fiscal year</w:t>
            </w:r>
          </w:p>
          <w:p w:rsidR="00E725BB" w:rsidRDefault="00E725BB" w:rsidP="00E725BB">
            <w:pPr>
              <w:pStyle w:val="BodyTextIndent"/>
              <w:ind w:left="0" w:firstLine="0"/>
              <w:jc w:val="center"/>
              <w:rPr>
                <w:sz w:val="20"/>
                <w:szCs w:val="20"/>
              </w:rPr>
            </w:pPr>
          </w:p>
          <w:p w:rsidR="00E725BB" w:rsidRDefault="00E725BB" w:rsidP="00E725BB">
            <w:pPr>
              <w:pStyle w:val="BodyTextIndent"/>
              <w:ind w:left="0" w:firstLine="0"/>
              <w:jc w:val="center"/>
              <w:rPr>
                <w:sz w:val="20"/>
                <w:szCs w:val="20"/>
              </w:rPr>
            </w:pPr>
          </w:p>
        </w:tc>
        <w:tc>
          <w:tcPr>
            <w:tcW w:w="1592"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Prior Estimated Annual Cost per Respondent</w:t>
            </w:r>
          </w:p>
          <w:p w:rsidR="00E725BB" w:rsidRDefault="00E725BB" w:rsidP="00E725BB">
            <w:pPr>
              <w:pStyle w:val="BodyTextIndent"/>
              <w:ind w:left="0" w:firstLine="0"/>
              <w:jc w:val="center"/>
              <w:rPr>
                <w:sz w:val="20"/>
                <w:szCs w:val="20"/>
              </w:rPr>
            </w:pPr>
            <w:r>
              <w:rPr>
                <w:sz w:val="20"/>
                <w:szCs w:val="20"/>
              </w:rPr>
              <w:t>For Hr.</w:t>
            </w:r>
          </w:p>
          <w:p w:rsidR="00E725BB" w:rsidRDefault="00E725BB" w:rsidP="00E725BB">
            <w:pPr>
              <w:pStyle w:val="BodyTextIndent"/>
              <w:ind w:left="0" w:firstLine="0"/>
              <w:jc w:val="center"/>
              <w:rPr>
                <w:sz w:val="20"/>
                <w:szCs w:val="20"/>
              </w:rPr>
            </w:pPr>
            <w:r>
              <w:rPr>
                <w:sz w:val="20"/>
                <w:szCs w:val="20"/>
              </w:rPr>
              <w:t>Burden</w:t>
            </w:r>
          </w:p>
          <w:p w:rsidR="00E725BB" w:rsidRDefault="00E725BB" w:rsidP="00A703C5">
            <w:pPr>
              <w:pStyle w:val="BodyTextIndent"/>
              <w:ind w:left="0" w:firstLine="0"/>
              <w:jc w:val="center"/>
              <w:rPr>
                <w:sz w:val="20"/>
                <w:szCs w:val="20"/>
              </w:rPr>
            </w:pPr>
            <w:r>
              <w:rPr>
                <w:sz w:val="20"/>
                <w:szCs w:val="20"/>
              </w:rPr>
              <w:t>($)</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Updated Est’d # of Covered Entities</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Updated Est’d Total Annual Burden Hours per respondent</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Updated Est’d Total</w:t>
            </w:r>
          </w:p>
          <w:p w:rsidR="00E725BB" w:rsidRDefault="00E725BB" w:rsidP="00E725BB">
            <w:pPr>
              <w:pStyle w:val="BodyTextIndent"/>
              <w:ind w:left="0" w:firstLine="0"/>
              <w:jc w:val="center"/>
              <w:rPr>
                <w:sz w:val="20"/>
                <w:szCs w:val="20"/>
              </w:rPr>
            </w:pPr>
            <w:r>
              <w:rPr>
                <w:sz w:val="20"/>
                <w:szCs w:val="20"/>
              </w:rPr>
              <w:t>Annual Burden Hrs. per fiscal year</w:t>
            </w:r>
          </w:p>
          <w:p w:rsidR="00E725BB" w:rsidRDefault="00E725BB" w:rsidP="00E725BB">
            <w:pPr>
              <w:pStyle w:val="BodyTextIndent"/>
              <w:ind w:left="0" w:firstLine="0"/>
              <w:jc w:val="center"/>
              <w:rPr>
                <w:sz w:val="20"/>
                <w:szCs w:val="20"/>
              </w:rPr>
            </w:pPr>
          </w:p>
          <w:p w:rsidR="00E725BB" w:rsidRDefault="00E725BB" w:rsidP="00E725BB">
            <w:pPr>
              <w:pStyle w:val="BodyTextIndent"/>
              <w:ind w:left="0" w:firstLine="0"/>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r>
              <w:rPr>
                <w:sz w:val="20"/>
                <w:szCs w:val="20"/>
              </w:rPr>
              <w:t>Updated Estimated Annual Cost per Respondent</w:t>
            </w:r>
          </w:p>
          <w:p w:rsidR="00E725BB" w:rsidRDefault="00E725BB" w:rsidP="00E725BB">
            <w:pPr>
              <w:pStyle w:val="BodyTextIndent"/>
              <w:ind w:left="0" w:firstLine="0"/>
              <w:jc w:val="center"/>
              <w:rPr>
                <w:sz w:val="20"/>
                <w:szCs w:val="20"/>
              </w:rPr>
            </w:pPr>
            <w:r>
              <w:rPr>
                <w:sz w:val="20"/>
                <w:szCs w:val="20"/>
              </w:rPr>
              <w:t>For Hr.</w:t>
            </w:r>
          </w:p>
          <w:p w:rsidR="00E725BB" w:rsidRDefault="00E725BB" w:rsidP="00E725BB">
            <w:pPr>
              <w:pStyle w:val="BodyTextIndent"/>
              <w:ind w:left="0" w:firstLine="0"/>
              <w:jc w:val="center"/>
              <w:rPr>
                <w:sz w:val="20"/>
                <w:szCs w:val="20"/>
              </w:rPr>
            </w:pPr>
            <w:r>
              <w:rPr>
                <w:sz w:val="20"/>
                <w:szCs w:val="20"/>
              </w:rPr>
              <w:t>Burden</w:t>
            </w:r>
          </w:p>
          <w:p w:rsidR="00E725BB" w:rsidRDefault="00E725BB" w:rsidP="00A703C5">
            <w:pPr>
              <w:pStyle w:val="BodyTextIndent"/>
              <w:ind w:left="0" w:firstLine="0"/>
              <w:jc w:val="center"/>
              <w:rPr>
                <w:sz w:val="20"/>
                <w:szCs w:val="20"/>
              </w:rPr>
            </w:pPr>
            <w:r>
              <w:rPr>
                <w:sz w:val="20"/>
                <w:szCs w:val="20"/>
              </w:rPr>
              <w:t>($)</w:t>
            </w:r>
          </w:p>
        </w:tc>
      </w:tr>
      <w:tr w:rsidR="004F60B5" w:rsidTr="00E725BB">
        <w:tc>
          <w:tcPr>
            <w:tcW w:w="1018"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6 (SDRs)</w:t>
            </w:r>
          </w:p>
        </w:tc>
        <w:tc>
          <w:tcPr>
            <w:tcW w:w="1230"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Initially: 40</w:t>
            </w:r>
            <w:r w:rsidR="00C8775C">
              <w:rPr>
                <w:sz w:val="20"/>
                <w:szCs w:val="20"/>
              </w:rPr>
              <w:t>,</w:t>
            </w:r>
            <w:r>
              <w:rPr>
                <w:sz w:val="20"/>
                <w:szCs w:val="20"/>
              </w:rPr>
              <w:t>725</w:t>
            </w:r>
          </w:p>
          <w:p w:rsidR="00E725BB" w:rsidRDefault="00E725BB" w:rsidP="00E725BB">
            <w:pPr>
              <w:pStyle w:val="BodyTextIndent"/>
              <w:ind w:left="0" w:firstLine="0"/>
              <w:jc w:val="center"/>
              <w:rPr>
                <w:sz w:val="20"/>
                <w:szCs w:val="20"/>
              </w:rPr>
            </w:pPr>
            <w:r>
              <w:rPr>
                <w:sz w:val="20"/>
                <w:szCs w:val="20"/>
              </w:rPr>
              <w:t>Ongoing:</w:t>
            </w:r>
          </w:p>
          <w:p w:rsidR="00E725BB" w:rsidRDefault="00E725BB" w:rsidP="00E725BB">
            <w:pPr>
              <w:pStyle w:val="BodyTextIndent"/>
              <w:ind w:left="0" w:firstLine="0"/>
              <w:jc w:val="center"/>
              <w:rPr>
                <w:sz w:val="20"/>
                <w:szCs w:val="20"/>
              </w:rPr>
            </w:pPr>
            <w:r>
              <w:rPr>
                <w:sz w:val="20"/>
                <w:szCs w:val="20"/>
              </w:rPr>
              <w:t>15</w:t>
            </w:r>
            <w:r w:rsidR="00C8775C">
              <w:rPr>
                <w:sz w:val="20"/>
                <w:szCs w:val="20"/>
              </w:rPr>
              <w:t>,</w:t>
            </w:r>
            <w:r>
              <w:rPr>
                <w:sz w:val="20"/>
                <w:szCs w:val="20"/>
              </w:rPr>
              <w:t>325</w:t>
            </w:r>
          </w:p>
        </w:tc>
        <w:tc>
          <w:tcPr>
            <w:tcW w:w="1182"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jc w:val="center"/>
              <w:rPr>
                <w:sz w:val="20"/>
                <w:szCs w:val="20"/>
              </w:rPr>
            </w:pPr>
            <w:r>
              <w:rPr>
                <w:sz w:val="20"/>
                <w:szCs w:val="20"/>
              </w:rPr>
              <w:t>Initially: 244,350</w:t>
            </w:r>
          </w:p>
          <w:p w:rsidR="00E725BB" w:rsidRDefault="00E725BB" w:rsidP="00E725BB">
            <w:pPr>
              <w:pStyle w:val="BodyTextIndent"/>
              <w:ind w:left="0" w:firstLine="0"/>
              <w:jc w:val="center"/>
              <w:rPr>
                <w:sz w:val="20"/>
                <w:szCs w:val="20"/>
              </w:rPr>
            </w:pPr>
            <w:r>
              <w:rPr>
                <w:sz w:val="20"/>
                <w:szCs w:val="20"/>
              </w:rPr>
              <w:t>Ongoing: 91,950</w:t>
            </w:r>
          </w:p>
        </w:tc>
        <w:tc>
          <w:tcPr>
            <w:tcW w:w="1592" w:type="dxa"/>
            <w:tcBorders>
              <w:top w:val="single" w:sz="4" w:space="0" w:color="auto"/>
              <w:left w:val="single" w:sz="4" w:space="0" w:color="auto"/>
              <w:bottom w:val="single" w:sz="4" w:space="0" w:color="auto"/>
              <w:right w:val="single" w:sz="4" w:space="0" w:color="auto"/>
            </w:tcBorders>
            <w:hideMark/>
          </w:tcPr>
          <w:p w:rsidR="00E725BB" w:rsidRDefault="00E725BB" w:rsidP="00E725BB">
            <w:pPr>
              <w:pStyle w:val="BodyTextIndent"/>
              <w:ind w:left="0" w:firstLine="0"/>
              <w:rPr>
                <w:sz w:val="20"/>
                <w:szCs w:val="20"/>
              </w:rPr>
            </w:pPr>
            <w:r>
              <w:rPr>
                <w:sz w:val="20"/>
                <w:szCs w:val="20"/>
              </w:rPr>
              <w:t>Initially: $2,407,254.75</w:t>
            </w:r>
          </w:p>
          <w:p w:rsidR="00E725BB" w:rsidRDefault="00E725BB" w:rsidP="00E725BB">
            <w:pPr>
              <w:pStyle w:val="BodyTextIndent"/>
              <w:ind w:left="0" w:firstLine="0"/>
              <w:rPr>
                <w:sz w:val="20"/>
                <w:szCs w:val="20"/>
              </w:rPr>
            </w:pPr>
            <w:r>
              <w:rPr>
                <w:sz w:val="20"/>
                <w:szCs w:val="20"/>
              </w:rPr>
              <w:t>Ongoing: $905,860.75</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4 (SDRs)</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4F60B5" w:rsidP="00E725BB">
            <w:pPr>
              <w:pStyle w:val="BodyTextIndent"/>
              <w:ind w:left="0" w:firstLine="0"/>
              <w:rPr>
                <w:sz w:val="20"/>
                <w:szCs w:val="20"/>
              </w:rPr>
            </w:pPr>
            <w:r>
              <w:rPr>
                <w:sz w:val="20"/>
                <w:szCs w:val="20"/>
              </w:rPr>
              <w:t>17,525</w:t>
            </w:r>
          </w:p>
          <w:p w:rsidR="00E725BB" w:rsidRDefault="00E725BB" w:rsidP="00E725BB">
            <w:pPr>
              <w:pStyle w:val="BodyTextIndent"/>
              <w:ind w:left="0" w:firstLine="0"/>
              <w:rPr>
                <w:sz w:val="20"/>
                <w:szCs w:val="20"/>
              </w:rPr>
            </w:pPr>
            <w:r>
              <w:rPr>
                <w:sz w:val="20"/>
                <w:szCs w:val="20"/>
              </w:rPr>
              <w:t>Ongoing:</w:t>
            </w:r>
          </w:p>
          <w:p w:rsidR="00BC6B4A" w:rsidRDefault="00BC6B4A" w:rsidP="00E725BB">
            <w:pPr>
              <w:pStyle w:val="BodyTextIndent"/>
              <w:ind w:left="0" w:firstLine="0"/>
              <w:rPr>
                <w:sz w:val="20"/>
                <w:szCs w:val="20"/>
              </w:rPr>
            </w:pPr>
            <w:r>
              <w:rPr>
                <w:sz w:val="20"/>
                <w:szCs w:val="20"/>
              </w:rPr>
              <w:t>15</w:t>
            </w:r>
            <w:r w:rsidR="005535D3">
              <w:rPr>
                <w:sz w:val="20"/>
                <w:szCs w:val="20"/>
              </w:rPr>
              <w:t>,</w:t>
            </w:r>
            <w:r>
              <w:rPr>
                <w:sz w:val="20"/>
                <w:szCs w:val="20"/>
              </w:rPr>
              <w:t>325</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4F60B5" w:rsidP="00E725BB">
            <w:pPr>
              <w:pStyle w:val="BodyTextIndent"/>
              <w:ind w:left="0" w:firstLine="0"/>
              <w:rPr>
                <w:sz w:val="20"/>
                <w:szCs w:val="20"/>
              </w:rPr>
            </w:pPr>
            <w:r>
              <w:rPr>
                <w:sz w:val="20"/>
                <w:szCs w:val="20"/>
              </w:rPr>
              <w:t>70,100</w:t>
            </w:r>
          </w:p>
          <w:p w:rsidR="00E725BB" w:rsidRDefault="00E725BB" w:rsidP="00E725BB">
            <w:pPr>
              <w:pStyle w:val="BodyTextIndent"/>
              <w:ind w:left="0" w:firstLine="0"/>
              <w:rPr>
                <w:sz w:val="20"/>
                <w:szCs w:val="20"/>
              </w:rPr>
            </w:pPr>
            <w:r>
              <w:rPr>
                <w:sz w:val="20"/>
                <w:szCs w:val="20"/>
              </w:rPr>
              <w:t>Ongoing:</w:t>
            </w:r>
          </w:p>
          <w:p w:rsidR="00BC6B4A" w:rsidRDefault="00BC6B4A" w:rsidP="00E725BB">
            <w:pPr>
              <w:pStyle w:val="BodyTextIndent"/>
              <w:ind w:left="0" w:firstLine="0"/>
              <w:rPr>
                <w:sz w:val="20"/>
                <w:szCs w:val="20"/>
              </w:rPr>
            </w:pPr>
            <w:r>
              <w:rPr>
                <w:sz w:val="20"/>
                <w:szCs w:val="20"/>
              </w:rPr>
              <w:t>61,300</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C05EB5" w:rsidP="00E725BB">
            <w:pPr>
              <w:pStyle w:val="BodyTextIndent"/>
              <w:ind w:left="0" w:firstLine="0"/>
              <w:rPr>
                <w:sz w:val="20"/>
                <w:szCs w:val="20"/>
              </w:rPr>
            </w:pPr>
            <w:r>
              <w:rPr>
                <w:sz w:val="20"/>
                <w:szCs w:val="20"/>
              </w:rPr>
              <w:t>$</w:t>
            </w:r>
            <w:r w:rsidR="004F60B5">
              <w:rPr>
                <w:sz w:val="20"/>
                <w:szCs w:val="20"/>
              </w:rPr>
              <w:t>1,260,948</w:t>
            </w:r>
          </w:p>
          <w:p w:rsidR="00E725BB" w:rsidRDefault="00E725BB" w:rsidP="00E725BB">
            <w:pPr>
              <w:pStyle w:val="BodyTextIndent"/>
              <w:ind w:left="0" w:firstLine="0"/>
              <w:rPr>
                <w:sz w:val="20"/>
                <w:szCs w:val="20"/>
              </w:rPr>
            </w:pPr>
            <w:r>
              <w:rPr>
                <w:sz w:val="20"/>
                <w:szCs w:val="20"/>
              </w:rPr>
              <w:t>Ongoing:</w:t>
            </w:r>
          </w:p>
          <w:p w:rsidR="00BC6B4A" w:rsidRDefault="00C05EB5" w:rsidP="00E725BB">
            <w:pPr>
              <w:pStyle w:val="BodyTextIndent"/>
              <w:ind w:left="0" w:firstLine="0"/>
              <w:rPr>
                <w:sz w:val="20"/>
                <w:szCs w:val="20"/>
              </w:rPr>
            </w:pPr>
            <w:r>
              <w:rPr>
                <w:sz w:val="20"/>
                <w:szCs w:val="20"/>
              </w:rPr>
              <w:t>$905,861</w:t>
            </w:r>
          </w:p>
        </w:tc>
      </w:tr>
      <w:tr w:rsidR="004F60B5" w:rsidTr="00E725BB">
        <w:tc>
          <w:tcPr>
            <w:tcW w:w="1018"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p>
        </w:tc>
        <w:tc>
          <w:tcPr>
            <w:tcW w:w="1230"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p>
        </w:tc>
        <w:tc>
          <w:tcPr>
            <w:tcW w:w="118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jc w:val="center"/>
              <w:rPr>
                <w:sz w:val="20"/>
                <w:szCs w:val="20"/>
              </w:rPr>
            </w:pPr>
          </w:p>
        </w:tc>
        <w:tc>
          <w:tcPr>
            <w:tcW w:w="159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300 (ADRs/AFRs)</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116A0F" w:rsidP="00E725BB">
            <w:pPr>
              <w:pStyle w:val="BodyTextIndent"/>
              <w:ind w:left="0" w:firstLine="0"/>
              <w:rPr>
                <w:sz w:val="20"/>
                <w:szCs w:val="20"/>
              </w:rPr>
            </w:pPr>
            <w:r>
              <w:rPr>
                <w:sz w:val="20"/>
                <w:szCs w:val="20"/>
              </w:rPr>
              <w:t>140</w:t>
            </w:r>
          </w:p>
          <w:p w:rsidR="00E725BB" w:rsidRDefault="00E725BB" w:rsidP="00E725BB">
            <w:pPr>
              <w:pStyle w:val="BodyTextIndent"/>
              <w:ind w:left="0" w:firstLine="0"/>
              <w:rPr>
                <w:sz w:val="20"/>
                <w:szCs w:val="20"/>
              </w:rPr>
            </w:pPr>
            <w:r>
              <w:rPr>
                <w:sz w:val="20"/>
                <w:szCs w:val="20"/>
              </w:rPr>
              <w:t>Ongoing:</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116A0F" w:rsidP="00E725BB">
            <w:pPr>
              <w:pStyle w:val="BodyTextIndent"/>
              <w:ind w:left="0" w:firstLine="0"/>
              <w:rPr>
                <w:sz w:val="20"/>
                <w:szCs w:val="20"/>
              </w:rPr>
            </w:pPr>
            <w:r>
              <w:rPr>
                <w:sz w:val="20"/>
                <w:szCs w:val="20"/>
              </w:rPr>
              <w:t>42,000</w:t>
            </w:r>
          </w:p>
          <w:p w:rsidR="00E725BB" w:rsidRDefault="00E725BB" w:rsidP="00E725BB">
            <w:pPr>
              <w:pStyle w:val="BodyTextIndent"/>
              <w:ind w:left="0" w:firstLine="0"/>
              <w:rPr>
                <w:sz w:val="20"/>
                <w:szCs w:val="20"/>
              </w:rPr>
            </w:pPr>
            <w:r>
              <w:rPr>
                <w:sz w:val="20"/>
                <w:szCs w:val="20"/>
              </w:rPr>
              <w:t>Ongoing:</w:t>
            </w:r>
          </w:p>
        </w:tc>
        <w:tc>
          <w:tcPr>
            <w:tcW w:w="1142" w:type="dxa"/>
            <w:tcBorders>
              <w:top w:val="single" w:sz="4" w:space="0" w:color="auto"/>
              <w:left w:val="single" w:sz="4" w:space="0" w:color="auto"/>
              <w:bottom w:val="single" w:sz="4" w:space="0" w:color="auto"/>
              <w:right w:val="single" w:sz="4" w:space="0" w:color="auto"/>
            </w:tcBorders>
          </w:tcPr>
          <w:p w:rsidR="00E725BB" w:rsidRDefault="00E725BB" w:rsidP="00E725BB">
            <w:pPr>
              <w:pStyle w:val="BodyTextIndent"/>
              <w:ind w:left="0" w:firstLine="0"/>
              <w:rPr>
                <w:sz w:val="20"/>
                <w:szCs w:val="20"/>
              </w:rPr>
            </w:pPr>
            <w:r>
              <w:rPr>
                <w:sz w:val="20"/>
                <w:szCs w:val="20"/>
              </w:rPr>
              <w:t>Initially:</w:t>
            </w:r>
          </w:p>
          <w:p w:rsidR="00E725BB" w:rsidRDefault="00C05EB5" w:rsidP="00E725BB">
            <w:pPr>
              <w:pStyle w:val="BodyTextIndent"/>
              <w:ind w:left="0" w:firstLine="0"/>
              <w:rPr>
                <w:sz w:val="20"/>
                <w:szCs w:val="20"/>
              </w:rPr>
            </w:pPr>
            <w:r>
              <w:rPr>
                <w:sz w:val="20"/>
                <w:szCs w:val="20"/>
              </w:rPr>
              <w:t>$41,440</w:t>
            </w:r>
          </w:p>
          <w:p w:rsidR="00E725BB" w:rsidRDefault="00E725BB" w:rsidP="00E725BB">
            <w:pPr>
              <w:pStyle w:val="BodyTextIndent"/>
              <w:ind w:left="0" w:firstLine="0"/>
              <w:rPr>
                <w:sz w:val="20"/>
                <w:szCs w:val="20"/>
              </w:rPr>
            </w:pPr>
            <w:r>
              <w:rPr>
                <w:sz w:val="20"/>
                <w:szCs w:val="20"/>
              </w:rPr>
              <w:t>Ongoing:</w:t>
            </w:r>
          </w:p>
        </w:tc>
      </w:tr>
    </w:tbl>
    <w:p w:rsidR="00E725BB" w:rsidRDefault="00E725BB" w:rsidP="00E725BB">
      <w:pPr>
        <w:pStyle w:val="BodyTextIndent"/>
      </w:pPr>
    </w:p>
    <w:p w:rsidR="00E725BB" w:rsidRDefault="00E725BB" w:rsidP="00E725BB">
      <w:pPr>
        <w:pStyle w:val="BodyTextIndent"/>
        <w:ind w:left="0" w:firstLine="0"/>
        <w:rPr>
          <w:u w:val="single"/>
        </w:rPr>
      </w:pPr>
    </w:p>
    <w:p w:rsidR="00E725BB" w:rsidRPr="00F26E49" w:rsidRDefault="00116A0F" w:rsidP="00E725BB">
      <w:pPr>
        <w:pStyle w:val="BodyTextIndent"/>
        <w:ind w:left="0" w:firstLine="0"/>
        <w:rPr>
          <w:sz w:val="20"/>
          <w:szCs w:val="20"/>
        </w:rPr>
      </w:pPr>
      <w:r w:rsidRPr="00F26E49">
        <w:rPr>
          <w:sz w:val="20"/>
          <w:szCs w:val="20"/>
          <w:u w:val="single"/>
        </w:rPr>
        <w:t xml:space="preserve">Prior </w:t>
      </w:r>
      <w:r w:rsidR="00E725BB" w:rsidRPr="00F26E49">
        <w:rPr>
          <w:sz w:val="20"/>
          <w:szCs w:val="20"/>
          <w:u w:val="single"/>
        </w:rPr>
        <w:t>Estimated Total Annual Burden Hours</w:t>
      </w:r>
      <w:r w:rsidR="00E725BB" w:rsidRPr="00F26E49">
        <w:rPr>
          <w:sz w:val="20"/>
          <w:szCs w:val="20"/>
        </w:rPr>
        <w:t>: 244,350 initial annual burden hours; 91,950 ongoing annual burden hours</w:t>
      </w:r>
    </w:p>
    <w:p w:rsidR="00E725BB" w:rsidRPr="00F26E49" w:rsidRDefault="00E725BB" w:rsidP="00E725BB">
      <w:pPr>
        <w:tabs>
          <w:tab w:val="left" w:pos="-720"/>
        </w:tabs>
        <w:suppressAutoHyphens/>
        <w:rPr>
          <w:rFonts w:ascii="Times New Roman" w:hAnsi="Times New Roman"/>
          <w:sz w:val="20"/>
        </w:rPr>
      </w:pPr>
    </w:p>
    <w:p w:rsidR="00116A0F" w:rsidRPr="00F26E49" w:rsidRDefault="00116A0F" w:rsidP="00E725BB">
      <w:pPr>
        <w:tabs>
          <w:tab w:val="left" w:pos="-720"/>
        </w:tabs>
        <w:suppressAutoHyphens/>
        <w:rPr>
          <w:rFonts w:ascii="Times New Roman" w:hAnsi="Times New Roman"/>
          <w:sz w:val="20"/>
        </w:rPr>
      </w:pPr>
      <w:r w:rsidRPr="00F26E49">
        <w:rPr>
          <w:rFonts w:ascii="Times New Roman" w:hAnsi="Times New Roman"/>
          <w:sz w:val="20"/>
          <w:u w:val="single"/>
        </w:rPr>
        <w:t>Updated Estimated Total Annual Burden Hours</w:t>
      </w:r>
      <w:r w:rsidRPr="00F26E49">
        <w:rPr>
          <w:rFonts w:ascii="Times New Roman" w:hAnsi="Times New Roman"/>
          <w:sz w:val="20"/>
        </w:rPr>
        <w:t xml:space="preserve">: </w:t>
      </w:r>
      <w:r w:rsidR="004F60B5">
        <w:rPr>
          <w:rFonts w:ascii="Times New Roman" w:hAnsi="Times New Roman"/>
          <w:sz w:val="20"/>
        </w:rPr>
        <w:t>112,100</w:t>
      </w:r>
      <w:r w:rsidRPr="00F26E49">
        <w:rPr>
          <w:rFonts w:ascii="Times New Roman" w:hAnsi="Times New Roman"/>
          <w:sz w:val="20"/>
        </w:rPr>
        <w:t xml:space="preserve"> initial annual burden hours; 61,300 ongoing burden hours.</w:t>
      </w:r>
    </w:p>
    <w:p w:rsidR="00E725BB" w:rsidRPr="00F26E49" w:rsidRDefault="00E725BB" w:rsidP="0001525C">
      <w:pPr>
        <w:rPr>
          <w:rFonts w:ascii="Times New Roman" w:hAnsi="Times New Roman"/>
          <w:sz w:val="20"/>
        </w:rPr>
      </w:pPr>
    </w:p>
    <w:p w:rsidR="00A9182E" w:rsidRPr="00F26E49" w:rsidRDefault="00636D07" w:rsidP="00A9182E">
      <w:pPr>
        <w:jc w:val="center"/>
        <w:rPr>
          <w:rFonts w:ascii="Times New Roman" w:hAnsi="Times New Roman"/>
          <w:szCs w:val="24"/>
          <w:u w:val="single"/>
        </w:rPr>
      </w:pPr>
      <w:r w:rsidRPr="00F26E49">
        <w:rPr>
          <w:rFonts w:ascii="Times New Roman" w:hAnsi="Times New Roman"/>
          <w:szCs w:val="24"/>
          <w:u w:val="single"/>
        </w:rPr>
        <w:t>Recordkeeping Burden</w:t>
      </w:r>
    </w:p>
    <w:p w:rsidR="00A9182E" w:rsidRPr="00EE1F5E" w:rsidRDefault="00A9182E" w:rsidP="00A9182E">
      <w:pPr>
        <w:jc w:val="center"/>
        <w:rPr>
          <w:rFonts w:ascii="Times New Roman" w:hAnsi="Times New Roman"/>
          <w:sz w:val="16"/>
          <w:szCs w:val="16"/>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83"/>
        <w:gridCol w:w="1191"/>
        <w:gridCol w:w="1119"/>
        <w:gridCol w:w="1458"/>
        <w:gridCol w:w="1386"/>
        <w:gridCol w:w="1131"/>
        <w:gridCol w:w="1092"/>
        <w:gridCol w:w="1230"/>
      </w:tblGrid>
      <w:tr w:rsidR="00794EB9" w:rsidTr="00794EB9">
        <w:tc>
          <w:tcPr>
            <w:tcW w:w="983"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Prior Est’d # of Covered Entities</w:t>
            </w:r>
          </w:p>
          <w:p w:rsidR="00636D07" w:rsidRDefault="00636D07" w:rsidP="00ED5E26">
            <w:pPr>
              <w:pStyle w:val="BodyTextIndent"/>
              <w:ind w:left="0" w:firstLine="0"/>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Prior Est’d Total Annual Burden Hours per respondent</w:t>
            </w:r>
          </w:p>
        </w:tc>
        <w:tc>
          <w:tcPr>
            <w:tcW w:w="1119"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Prior Est’d Total</w:t>
            </w:r>
          </w:p>
          <w:p w:rsidR="00636D07" w:rsidRDefault="00636D07" w:rsidP="00ED5E26">
            <w:pPr>
              <w:pStyle w:val="BodyTextIndent"/>
              <w:ind w:left="0" w:firstLine="0"/>
              <w:jc w:val="center"/>
              <w:rPr>
                <w:sz w:val="20"/>
                <w:szCs w:val="20"/>
              </w:rPr>
            </w:pPr>
            <w:r>
              <w:rPr>
                <w:sz w:val="20"/>
                <w:szCs w:val="20"/>
              </w:rPr>
              <w:t>Annual Burden Hrs. per fiscal year</w:t>
            </w:r>
          </w:p>
          <w:p w:rsidR="00636D07" w:rsidRDefault="00636D07" w:rsidP="00ED5E26">
            <w:pPr>
              <w:pStyle w:val="BodyTextIndent"/>
              <w:ind w:left="0" w:firstLine="0"/>
              <w:jc w:val="center"/>
              <w:rPr>
                <w:sz w:val="20"/>
                <w:szCs w:val="20"/>
              </w:rPr>
            </w:pPr>
          </w:p>
          <w:p w:rsidR="00636D07" w:rsidRDefault="00636D07" w:rsidP="00ED5E26">
            <w:pPr>
              <w:pStyle w:val="BodyTextIndent"/>
              <w:ind w:left="0" w:firstLine="0"/>
              <w:jc w:val="center"/>
              <w:rPr>
                <w:sz w:val="20"/>
                <w:szCs w:val="20"/>
              </w:rPr>
            </w:pPr>
          </w:p>
        </w:tc>
        <w:tc>
          <w:tcPr>
            <w:tcW w:w="1458"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Prior Estimated Annual Cost per Respondent</w:t>
            </w:r>
          </w:p>
          <w:p w:rsidR="00636D07" w:rsidRDefault="00636D07" w:rsidP="00ED5E26">
            <w:pPr>
              <w:pStyle w:val="BodyTextIndent"/>
              <w:ind w:left="0" w:firstLine="0"/>
              <w:jc w:val="center"/>
              <w:rPr>
                <w:sz w:val="20"/>
                <w:szCs w:val="20"/>
              </w:rPr>
            </w:pPr>
            <w:r>
              <w:rPr>
                <w:sz w:val="20"/>
                <w:szCs w:val="20"/>
              </w:rPr>
              <w:t>For Hr.</w:t>
            </w:r>
          </w:p>
          <w:p w:rsidR="00636D07" w:rsidRDefault="00636D07" w:rsidP="00ED5E26">
            <w:pPr>
              <w:pStyle w:val="BodyTextIndent"/>
              <w:ind w:left="0" w:firstLine="0"/>
              <w:jc w:val="center"/>
              <w:rPr>
                <w:sz w:val="20"/>
                <w:szCs w:val="20"/>
              </w:rPr>
            </w:pPr>
            <w:r>
              <w:rPr>
                <w:sz w:val="20"/>
                <w:szCs w:val="20"/>
              </w:rPr>
              <w:t>Burden</w:t>
            </w:r>
          </w:p>
          <w:p w:rsidR="00636D07" w:rsidRDefault="00636D07" w:rsidP="00A703C5">
            <w:pPr>
              <w:pStyle w:val="BodyTextIndent"/>
              <w:ind w:left="0" w:firstLine="0"/>
              <w:jc w:val="center"/>
              <w:rPr>
                <w:sz w:val="20"/>
                <w:szCs w:val="20"/>
              </w:rPr>
            </w:pPr>
            <w:r>
              <w:rPr>
                <w:sz w:val="20"/>
                <w:szCs w:val="20"/>
              </w:rPr>
              <w:t>($)</w:t>
            </w:r>
          </w:p>
        </w:tc>
        <w:tc>
          <w:tcPr>
            <w:tcW w:w="1386"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Updated Est’d # of Covered Entities</w:t>
            </w:r>
          </w:p>
        </w:tc>
        <w:tc>
          <w:tcPr>
            <w:tcW w:w="1131"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Updated Est’d Total Annual Burden Hours per respondent</w:t>
            </w:r>
          </w:p>
        </w:tc>
        <w:tc>
          <w:tcPr>
            <w:tcW w:w="1092"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Updated Est’d Total</w:t>
            </w:r>
          </w:p>
          <w:p w:rsidR="00636D07" w:rsidRDefault="00636D07" w:rsidP="00ED5E26">
            <w:pPr>
              <w:pStyle w:val="BodyTextIndent"/>
              <w:ind w:left="0" w:firstLine="0"/>
              <w:jc w:val="center"/>
              <w:rPr>
                <w:sz w:val="20"/>
                <w:szCs w:val="20"/>
              </w:rPr>
            </w:pPr>
            <w:r>
              <w:rPr>
                <w:sz w:val="20"/>
                <w:szCs w:val="20"/>
              </w:rPr>
              <w:t>Annual Burden Hrs. per fiscal year</w:t>
            </w:r>
          </w:p>
          <w:p w:rsidR="00636D07" w:rsidRDefault="00636D07" w:rsidP="00ED5E26">
            <w:pPr>
              <w:pStyle w:val="BodyTextIndent"/>
              <w:ind w:left="0" w:firstLine="0"/>
              <w:jc w:val="center"/>
              <w:rPr>
                <w:sz w:val="20"/>
                <w:szCs w:val="20"/>
              </w:rPr>
            </w:pPr>
          </w:p>
          <w:p w:rsidR="00636D07" w:rsidRDefault="00636D07" w:rsidP="00ED5E26">
            <w:pPr>
              <w:pStyle w:val="BodyTextIndent"/>
              <w:ind w:left="0" w:firstLine="0"/>
              <w:jc w:val="center"/>
              <w:rPr>
                <w:sz w:val="20"/>
                <w:szCs w:val="20"/>
              </w:rPr>
            </w:pPr>
          </w:p>
        </w:tc>
        <w:tc>
          <w:tcPr>
            <w:tcW w:w="1230"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jc w:val="center"/>
              <w:rPr>
                <w:sz w:val="20"/>
                <w:szCs w:val="20"/>
              </w:rPr>
            </w:pPr>
            <w:r>
              <w:rPr>
                <w:sz w:val="20"/>
                <w:szCs w:val="20"/>
              </w:rPr>
              <w:t>Updated Estimated Annual Cost per Respondent</w:t>
            </w:r>
          </w:p>
          <w:p w:rsidR="00636D07" w:rsidRDefault="00636D07" w:rsidP="00ED5E26">
            <w:pPr>
              <w:pStyle w:val="BodyTextIndent"/>
              <w:ind w:left="0" w:firstLine="0"/>
              <w:jc w:val="center"/>
              <w:rPr>
                <w:sz w:val="20"/>
                <w:szCs w:val="20"/>
              </w:rPr>
            </w:pPr>
            <w:r>
              <w:rPr>
                <w:sz w:val="20"/>
                <w:szCs w:val="20"/>
              </w:rPr>
              <w:t>For Hr.</w:t>
            </w:r>
          </w:p>
          <w:p w:rsidR="00636D07" w:rsidRDefault="00636D07" w:rsidP="00ED5E26">
            <w:pPr>
              <w:pStyle w:val="BodyTextIndent"/>
              <w:ind w:left="0" w:firstLine="0"/>
              <w:jc w:val="center"/>
              <w:rPr>
                <w:sz w:val="20"/>
                <w:szCs w:val="20"/>
              </w:rPr>
            </w:pPr>
            <w:r>
              <w:rPr>
                <w:sz w:val="20"/>
                <w:szCs w:val="20"/>
              </w:rPr>
              <w:t>Burden</w:t>
            </w:r>
          </w:p>
          <w:p w:rsidR="00636D07" w:rsidRDefault="00636D07" w:rsidP="00A703C5">
            <w:pPr>
              <w:pStyle w:val="BodyTextIndent"/>
              <w:ind w:left="0" w:firstLine="0"/>
              <w:jc w:val="center"/>
              <w:rPr>
                <w:sz w:val="20"/>
                <w:szCs w:val="20"/>
              </w:rPr>
            </w:pPr>
            <w:r>
              <w:rPr>
                <w:sz w:val="20"/>
                <w:szCs w:val="20"/>
              </w:rPr>
              <w:t>($)</w:t>
            </w:r>
          </w:p>
        </w:tc>
      </w:tr>
      <w:tr w:rsidR="00794EB9" w:rsidTr="00794EB9">
        <w:tc>
          <w:tcPr>
            <w:tcW w:w="983"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6 (SDRs)</w:t>
            </w:r>
          </w:p>
        </w:tc>
        <w:tc>
          <w:tcPr>
            <w:tcW w:w="1191"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Initially: 300</w:t>
            </w:r>
          </w:p>
          <w:p w:rsidR="00636D07" w:rsidRDefault="00636D07" w:rsidP="00ED5E26">
            <w:pPr>
              <w:pStyle w:val="BodyTextIndent"/>
              <w:ind w:left="0" w:firstLine="0"/>
              <w:jc w:val="center"/>
              <w:rPr>
                <w:sz w:val="20"/>
                <w:szCs w:val="20"/>
              </w:rPr>
            </w:pPr>
            <w:r>
              <w:rPr>
                <w:sz w:val="20"/>
                <w:szCs w:val="20"/>
              </w:rPr>
              <w:t>Ongoing:</w:t>
            </w:r>
          </w:p>
          <w:p w:rsidR="00636D07" w:rsidRDefault="00D111E4" w:rsidP="00ED5E26">
            <w:pPr>
              <w:pStyle w:val="BodyTextIndent"/>
              <w:ind w:left="0" w:firstLine="0"/>
              <w:jc w:val="center"/>
              <w:rPr>
                <w:sz w:val="20"/>
                <w:szCs w:val="20"/>
              </w:rPr>
            </w:pPr>
            <w:r>
              <w:rPr>
                <w:sz w:val="20"/>
                <w:szCs w:val="20"/>
              </w:rPr>
              <w:t>254</w:t>
            </w:r>
          </w:p>
        </w:tc>
        <w:tc>
          <w:tcPr>
            <w:tcW w:w="1119"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jc w:val="center"/>
              <w:rPr>
                <w:sz w:val="20"/>
                <w:szCs w:val="20"/>
              </w:rPr>
            </w:pPr>
            <w:r>
              <w:rPr>
                <w:sz w:val="20"/>
                <w:szCs w:val="20"/>
              </w:rPr>
              <w:t xml:space="preserve">Initially: </w:t>
            </w:r>
            <w:r w:rsidR="00D111E4">
              <w:rPr>
                <w:sz w:val="20"/>
                <w:szCs w:val="20"/>
              </w:rPr>
              <w:t>1,800</w:t>
            </w:r>
          </w:p>
          <w:p w:rsidR="00636D07" w:rsidRDefault="00636D07" w:rsidP="00D111E4">
            <w:pPr>
              <w:pStyle w:val="BodyTextIndent"/>
              <w:ind w:left="0" w:firstLine="0"/>
              <w:jc w:val="center"/>
              <w:rPr>
                <w:sz w:val="20"/>
                <w:szCs w:val="20"/>
              </w:rPr>
            </w:pPr>
            <w:r>
              <w:rPr>
                <w:sz w:val="20"/>
                <w:szCs w:val="20"/>
              </w:rPr>
              <w:t xml:space="preserve">Ongoing: </w:t>
            </w:r>
            <w:r w:rsidR="00D111E4">
              <w:rPr>
                <w:sz w:val="20"/>
                <w:szCs w:val="20"/>
              </w:rPr>
              <w:t>1,524</w:t>
            </w:r>
          </w:p>
        </w:tc>
        <w:tc>
          <w:tcPr>
            <w:tcW w:w="1458" w:type="dxa"/>
            <w:tcBorders>
              <w:top w:val="single" w:sz="4" w:space="0" w:color="auto"/>
              <w:left w:val="single" w:sz="4" w:space="0" w:color="auto"/>
              <w:bottom w:val="single" w:sz="4" w:space="0" w:color="auto"/>
              <w:right w:val="single" w:sz="4" w:space="0" w:color="auto"/>
            </w:tcBorders>
            <w:hideMark/>
          </w:tcPr>
          <w:p w:rsidR="00636D07" w:rsidRDefault="00636D07" w:rsidP="00ED5E26">
            <w:pPr>
              <w:pStyle w:val="BodyTextIndent"/>
              <w:ind w:left="0" w:firstLine="0"/>
              <w:rPr>
                <w:sz w:val="20"/>
                <w:szCs w:val="20"/>
              </w:rPr>
            </w:pPr>
            <w:r>
              <w:rPr>
                <w:sz w:val="20"/>
                <w:szCs w:val="20"/>
              </w:rPr>
              <w:t>Initially: $</w:t>
            </w:r>
            <w:r w:rsidR="00D111E4">
              <w:rPr>
                <w:sz w:val="20"/>
                <w:szCs w:val="20"/>
              </w:rPr>
              <w:t>17,733</w:t>
            </w:r>
          </w:p>
          <w:p w:rsidR="00636D07" w:rsidRDefault="00636D07" w:rsidP="00D111E4">
            <w:pPr>
              <w:pStyle w:val="BodyTextIndent"/>
              <w:ind w:left="0" w:firstLine="0"/>
              <w:rPr>
                <w:sz w:val="20"/>
                <w:szCs w:val="20"/>
              </w:rPr>
            </w:pPr>
            <w:r>
              <w:rPr>
                <w:sz w:val="20"/>
                <w:szCs w:val="20"/>
              </w:rPr>
              <w:t>Ongoing: $</w:t>
            </w:r>
            <w:r w:rsidR="00D111E4">
              <w:rPr>
                <w:sz w:val="20"/>
                <w:szCs w:val="20"/>
              </w:rPr>
              <w:t>15,014</w:t>
            </w:r>
          </w:p>
        </w:tc>
        <w:tc>
          <w:tcPr>
            <w:tcW w:w="1386"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4 (SDRs)</w:t>
            </w:r>
          </w:p>
        </w:tc>
        <w:tc>
          <w:tcPr>
            <w:tcW w:w="1131"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Initially:</w:t>
            </w:r>
          </w:p>
          <w:p w:rsidR="00636D07" w:rsidRDefault="004F60B5" w:rsidP="00ED5E26">
            <w:pPr>
              <w:pStyle w:val="BodyTextIndent"/>
              <w:ind w:left="0" w:firstLine="0"/>
              <w:rPr>
                <w:sz w:val="20"/>
                <w:szCs w:val="20"/>
              </w:rPr>
            </w:pPr>
            <w:r>
              <w:rPr>
                <w:sz w:val="20"/>
                <w:szCs w:val="20"/>
              </w:rPr>
              <w:t>1,740</w:t>
            </w:r>
          </w:p>
          <w:p w:rsidR="00636D07" w:rsidRDefault="00636D07" w:rsidP="00ED5E26">
            <w:pPr>
              <w:pStyle w:val="BodyTextIndent"/>
              <w:ind w:left="0" w:firstLine="0"/>
              <w:rPr>
                <w:sz w:val="20"/>
                <w:szCs w:val="20"/>
              </w:rPr>
            </w:pPr>
            <w:r>
              <w:rPr>
                <w:sz w:val="20"/>
                <w:szCs w:val="20"/>
              </w:rPr>
              <w:t>Ongoing:</w:t>
            </w:r>
          </w:p>
          <w:p w:rsidR="00636D07" w:rsidRDefault="00D111E4" w:rsidP="00ED5E26">
            <w:pPr>
              <w:pStyle w:val="BodyTextIndent"/>
              <w:ind w:left="0" w:firstLine="0"/>
              <w:rPr>
                <w:sz w:val="20"/>
                <w:szCs w:val="20"/>
              </w:rPr>
            </w:pPr>
            <w:r>
              <w:rPr>
                <w:sz w:val="20"/>
                <w:szCs w:val="20"/>
              </w:rPr>
              <w:t>534</w:t>
            </w:r>
          </w:p>
        </w:tc>
        <w:tc>
          <w:tcPr>
            <w:tcW w:w="1092"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Initially:</w:t>
            </w:r>
          </w:p>
          <w:p w:rsidR="00D111E4" w:rsidRDefault="004F60B5" w:rsidP="00ED5E26">
            <w:pPr>
              <w:pStyle w:val="BodyTextIndent"/>
              <w:ind w:left="0" w:firstLine="0"/>
              <w:rPr>
                <w:sz w:val="20"/>
                <w:szCs w:val="20"/>
              </w:rPr>
            </w:pPr>
            <w:r>
              <w:rPr>
                <w:sz w:val="20"/>
                <w:szCs w:val="20"/>
              </w:rPr>
              <w:t>6,960</w:t>
            </w:r>
          </w:p>
          <w:p w:rsidR="00636D07" w:rsidRDefault="00636D07" w:rsidP="00ED5E26">
            <w:pPr>
              <w:pStyle w:val="BodyTextIndent"/>
              <w:ind w:left="0" w:firstLine="0"/>
              <w:rPr>
                <w:sz w:val="20"/>
                <w:szCs w:val="20"/>
              </w:rPr>
            </w:pPr>
            <w:r>
              <w:rPr>
                <w:sz w:val="20"/>
                <w:szCs w:val="20"/>
              </w:rPr>
              <w:t>Ongoing:</w:t>
            </w:r>
          </w:p>
          <w:p w:rsidR="00636D07" w:rsidRDefault="00D111E4" w:rsidP="00ED5E26">
            <w:pPr>
              <w:pStyle w:val="BodyTextIndent"/>
              <w:ind w:left="0" w:firstLine="0"/>
              <w:rPr>
                <w:sz w:val="20"/>
                <w:szCs w:val="20"/>
              </w:rPr>
            </w:pPr>
            <w:r>
              <w:rPr>
                <w:sz w:val="20"/>
                <w:szCs w:val="20"/>
              </w:rPr>
              <w:t>2,136</w:t>
            </w:r>
          </w:p>
        </w:tc>
        <w:tc>
          <w:tcPr>
            <w:tcW w:w="1230" w:type="dxa"/>
            <w:tcBorders>
              <w:top w:val="single" w:sz="4" w:space="0" w:color="auto"/>
              <w:left w:val="single" w:sz="4" w:space="0" w:color="auto"/>
              <w:bottom w:val="single" w:sz="4" w:space="0" w:color="auto"/>
              <w:right w:val="single" w:sz="4" w:space="0" w:color="auto"/>
            </w:tcBorders>
          </w:tcPr>
          <w:p w:rsidR="00636D07" w:rsidRDefault="00636D07" w:rsidP="00ED5E26">
            <w:pPr>
              <w:pStyle w:val="BodyTextIndent"/>
              <w:ind w:left="0" w:firstLine="0"/>
              <w:rPr>
                <w:sz w:val="20"/>
                <w:szCs w:val="20"/>
              </w:rPr>
            </w:pPr>
            <w:r>
              <w:rPr>
                <w:sz w:val="20"/>
                <w:szCs w:val="20"/>
              </w:rPr>
              <w:t>Initially:</w:t>
            </w:r>
          </w:p>
          <w:p w:rsidR="00636D07" w:rsidRDefault="00C8775C" w:rsidP="00ED5E26">
            <w:pPr>
              <w:pStyle w:val="BodyTextIndent"/>
              <w:ind w:left="0" w:firstLine="0"/>
              <w:rPr>
                <w:sz w:val="20"/>
                <w:szCs w:val="20"/>
              </w:rPr>
            </w:pPr>
            <w:r>
              <w:rPr>
                <w:sz w:val="20"/>
                <w:szCs w:val="20"/>
              </w:rPr>
              <w:t>$</w:t>
            </w:r>
            <w:r w:rsidR="004F60B5">
              <w:rPr>
                <w:sz w:val="20"/>
                <w:szCs w:val="20"/>
              </w:rPr>
              <w:t>102,851</w:t>
            </w:r>
          </w:p>
          <w:p w:rsidR="00636D07" w:rsidRDefault="00636D07" w:rsidP="00ED5E26">
            <w:pPr>
              <w:pStyle w:val="BodyTextIndent"/>
              <w:ind w:left="0" w:firstLine="0"/>
              <w:rPr>
                <w:sz w:val="20"/>
                <w:szCs w:val="20"/>
              </w:rPr>
            </w:pPr>
            <w:r>
              <w:rPr>
                <w:sz w:val="20"/>
                <w:szCs w:val="20"/>
              </w:rPr>
              <w:t>Ongoing:</w:t>
            </w:r>
          </w:p>
          <w:p w:rsidR="00636D07" w:rsidRDefault="00C8775C" w:rsidP="00C8775C">
            <w:pPr>
              <w:pStyle w:val="BodyTextIndent"/>
              <w:ind w:left="0" w:firstLine="0"/>
              <w:rPr>
                <w:sz w:val="20"/>
                <w:szCs w:val="20"/>
              </w:rPr>
            </w:pPr>
            <w:r>
              <w:rPr>
                <w:sz w:val="20"/>
                <w:szCs w:val="20"/>
              </w:rPr>
              <w:t>$31,565</w:t>
            </w:r>
          </w:p>
        </w:tc>
      </w:tr>
    </w:tbl>
    <w:p w:rsidR="00A9182E" w:rsidRPr="00EE1F5E" w:rsidRDefault="00A9182E" w:rsidP="00A9182E">
      <w:pPr>
        <w:jc w:val="center"/>
        <w:rPr>
          <w:rFonts w:ascii="Times New Roman" w:hAnsi="Times New Roman"/>
          <w:sz w:val="18"/>
          <w:szCs w:val="18"/>
        </w:rPr>
      </w:pPr>
    </w:p>
    <w:p w:rsidR="000C0809" w:rsidRDefault="000C080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r w:rsidRPr="00794EB9">
        <w:rPr>
          <w:rFonts w:ascii="Times New Roman" w:hAnsi="Times New Roman"/>
          <w:sz w:val="20"/>
          <w:u w:val="single"/>
        </w:rPr>
        <w:t>Prior Estimated Total Annual Burden Hours</w:t>
      </w:r>
      <w:r>
        <w:rPr>
          <w:rFonts w:ascii="Times New Roman" w:hAnsi="Times New Roman"/>
          <w:sz w:val="20"/>
        </w:rPr>
        <w:t>: 1,800 initial annual burden hours; 1,524 ongoing annual burden hours</w:t>
      </w: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r w:rsidRPr="00794EB9">
        <w:rPr>
          <w:rFonts w:ascii="Times New Roman" w:hAnsi="Times New Roman"/>
          <w:sz w:val="20"/>
          <w:u w:val="single"/>
        </w:rPr>
        <w:t>Updated Estimated Total Annual Burden Hours</w:t>
      </w:r>
      <w:r>
        <w:rPr>
          <w:rFonts w:ascii="Times New Roman" w:hAnsi="Times New Roman"/>
          <w:sz w:val="20"/>
        </w:rPr>
        <w:t xml:space="preserve">: </w:t>
      </w:r>
      <w:r w:rsidR="004F60B5">
        <w:rPr>
          <w:rFonts w:ascii="Times New Roman" w:hAnsi="Times New Roman"/>
          <w:sz w:val="20"/>
        </w:rPr>
        <w:t>6,960</w:t>
      </w:r>
      <w:r>
        <w:rPr>
          <w:rFonts w:ascii="Times New Roman" w:hAnsi="Times New Roman"/>
          <w:sz w:val="20"/>
        </w:rPr>
        <w:t xml:space="preserve"> initial annual burden hours; 2,136 ongoing annual burden hours</w:t>
      </w: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p w:rsidR="00F26E49" w:rsidRPr="00F26E49" w:rsidRDefault="00F26E49" w:rsidP="00F26E49">
      <w:pPr>
        <w:pStyle w:val="BodyTextIndent"/>
        <w:jc w:val="center"/>
      </w:pPr>
      <w:r w:rsidRPr="00F26E49">
        <w:rPr>
          <w:u w:val="single"/>
        </w:rPr>
        <w:t>Registration Annual Hour and Cost Burden</w:t>
      </w:r>
      <w:r w:rsidRPr="006A5EBB">
        <w:rPr>
          <w:rStyle w:val="FootnoteReference"/>
        </w:rPr>
        <w:footnoteReference w:id="15"/>
      </w:r>
      <w:r w:rsidRPr="00F26E49">
        <w:rPr>
          <w:u w:val="single"/>
        </w:rPr>
        <w:t xml:space="preserve"> </w:t>
      </w:r>
    </w:p>
    <w:p w:rsidR="00F26E49" w:rsidRDefault="00F26E49" w:rsidP="00F26E49">
      <w:pPr>
        <w:pStyle w:val="BodyTextIndent"/>
      </w:pPr>
    </w:p>
    <w:p w:rsidR="00F26E49" w:rsidRDefault="00F26E49" w:rsidP="00F26E49">
      <w:pPr>
        <w:pStyle w:val="BodyTextIndent"/>
      </w:pPr>
    </w:p>
    <w:tbl>
      <w:tblPr>
        <w:tblW w:w="7816"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12"/>
        <w:gridCol w:w="1800"/>
        <w:gridCol w:w="1871"/>
        <w:gridCol w:w="1293"/>
        <w:gridCol w:w="1440"/>
      </w:tblGrid>
      <w:tr w:rsidR="00F26E49" w:rsidTr="00F26E49">
        <w:trPr>
          <w:jc w:val="center"/>
        </w:trPr>
        <w:tc>
          <w:tcPr>
            <w:tcW w:w="1412"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Est’d # of Covered Entities</w:t>
            </w:r>
          </w:p>
          <w:p w:rsidR="00F26E49" w:rsidRDefault="00F26E49">
            <w:pPr>
              <w:pStyle w:val="BodyTextIndent"/>
              <w:ind w:left="0" w:firstLine="0"/>
              <w:jc w:val="center"/>
              <w:rPr>
                <w:sz w:val="20"/>
                <w:szCs w:val="20"/>
              </w:rPr>
            </w:pPr>
            <w:r>
              <w:rPr>
                <w:sz w:val="20"/>
                <w:szCs w:val="20"/>
              </w:rPr>
              <w:t>(a)</w:t>
            </w:r>
          </w:p>
        </w:tc>
        <w:tc>
          <w:tcPr>
            <w:tcW w:w="180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Estimated Total Number of Hrs of Annual Burden in a Fiscal Year for all SDRs</w:t>
            </w:r>
          </w:p>
        </w:tc>
        <w:tc>
          <w:tcPr>
            <w:tcW w:w="1871"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Estimated Annual Cost per Respondent to complete Form SDR or filings associated with registration Form SDR</w:t>
            </w:r>
            <w:r>
              <w:rPr>
                <w:rStyle w:val="FootnoteReference"/>
                <w:sz w:val="20"/>
                <w:szCs w:val="20"/>
              </w:rPr>
              <w:footnoteReference w:id="16"/>
            </w:r>
          </w:p>
        </w:tc>
        <w:tc>
          <w:tcPr>
            <w:tcW w:w="1293"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 xml:space="preserve">Estimated </w:t>
            </w:r>
          </w:p>
          <w:p w:rsidR="00F26E49" w:rsidRDefault="00F26E49">
            <w:pPr>
              <w:pStyle w:val="BodyTextIndent"/>
              <w:ind w:left="0" w:firstLine="0"/>
              <w:jc w:val="center"/>
              <w:rPr>
                <w:sz w:val="20"/>
                <w:szCs w:val="20"/>
              </w:rPr>
            </w:pPr>
            <w:r>
              <w:rPr>
                <w:sz w:val="20"/>
                <w:szCs w:val="20"/>
              </w:rPr>
              <w:t>Start- Up Costs per covered entity</w:t>
            </w:r>
          </w:p>
          <w:p w:rsidR="00F26E49" w:rsidRDefault="00F26E49" w:rsidP="00701F84">
            <w:pPr>
              <w:pStyle w:val="BodyTextIndent"/>
              <w:ind w:left="0" w:firstLine="0"/>
              <w:jc w:val="center"/>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 xml:space="preserve">Estimated </w:t>
            </w:r>
          </w:p>
          <w:p w:rsidR="00F26E49" w:rsidRDefault="00F26E49">
            <w:pPr>
              <w:pStyle w:val="BodyTextIndent"/>
              <w:ind w:left="0" w:firstLine="0"/>
              <w:jc w:val="center"/>
              <w:rPr>
                <w:sz w:val="20"/>
                <w:szCs w:val="20"/>
              </w:rPr>
            </w:pPr>
            <w:r>
              <w:rPr>
                <w:sz w:val="20"/>
                <w:szCs w:val="20"/>
              </w:rPr>
              <w:t>Operating Costs per covered entity</w:t>
            </w:r>
          </w:p>
          <w:p w:rsidR="00F26E49" w:rsidRDefault="00F26E49">
            <w:pPr>
              <w:pStyle w:val="BodyTextIndent"/>
              <w:ind w:left="0" w:firstLine="0"/>
              <w:jc w:val="center"/>
              <w:rPr>
                <w:sz w:val="20"/>
                <w:szCs w:val="20"/>
              </w:rPr>
            </w:pPr>
            <w:r>
              <w:rPr>
                <w:sz w:val="20"/>
                <w:szCs w:val="20"/>
              </w:rPr>
              <w:t>($)</w:t>
            </w:r>
          </w:p>
        </w:tc>
      </w:tr>
      <w:tr w:rsidR="00F26E49" w:rsidTr="00F26E49">
        <w:trPr>
          <w:jc w:val="center"/>
        </w:trPr>
        <w:tc>
          <w:tcPr>
            <w:tcW w:w="1412"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4</w:t>
            </w:r>
          </w:p>
        </w:tc>
        <w:tc>
          <w:tcPr>
            <w:tcW w:w="180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44" w:hanging="44"/>
              <w:rPr>
                <w:sz w:val="20"/>
                <w:szCs w:val="20"/>
              </w:rPr>
            </w:pPr>
            <w:r>
              <w:rPr>
                <w:sz w:val="20"/>
                <w:szCs w:val="20"/>
              </w:rPr>
              <w:t xml:space="preserve">Initial: </w:t>
            </w:r>
            <w:r w:rsidR="00701F84">
              <w:rPr>
                <w:sz w:val="20"/>
                <w:szCs w:val="20"/>
              </w:rPr>
              <w:t>1,600</w:t>
            </w:r>
            <w:r>
              <w:rPr>
                <w:rStyle w:val="FootnoteReference"/>
                <w:sz w:val="20"/>
                <w:szCs w:val="20"/>
              </w:rPr>
              <w:footnoteReference w:id="17"/>
            </w:r>
          </w:p>
          <w:p w:rsidR="00F26E49" w:rsidRDefault="00701F84">
            <w:pPr>
              <w:pStyle w:val="BodyTextIndent"/>
              <w:rPr>
                <w:sz w:val="20"/>
                <w:szCs w:val="20"/>
              </w:rPr>
            </w:pPr>
            <w:r>
              <w:rPr>
                <w:sz w:val="20"/>
                <w:szCs w:val="20"/>
              </w:rPr>
              <w:t>Ongoing: 190</w:t>
            </w:r>
          </w:p>
        </w:tc>
        <w:tc>
          <w:tcPr>
            <w:tcW w:w="1871"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Initial: $41,988.00</w:t>
            </w:r>
          </w:p>
          <w:p w:rsidR="00F26E49" w:rsidRDefault="00F26E49" w:rsidP="009E7331">
            <w:pPr>
              <w:pStyle w:val="BodyTextIndent"/>
              <w:ind w:left="0" w:firstLine="0"/>
              <w:jc w:val="center"/>
              <w:rPr>
                <w:sz w:val="20"/>
                <w:szCs w:val="20"/>
              </w:rPr>
            </w:pPr>
            <w:r>
              <w:rPr>
                <w:sz w:val="20"/>
                <w:szCs w:val="20"/>
              </w:rPr>
              <w:t>Ongoing: $4</w:t>
            </w:r>
            <w:r w:rsidR="009E7331">
              <w:rPr>
                <w:sz w:val="20"/>
                <w:szCs w:val="20"/>
              </w:rPr>
              <w:t>,</w:t>
            </w:r>
            <w:r>
              <w:rPr>
                <w:sz w:val="20"/>
                <w:szCs w:val="20"/>
              </w:rPr>
              <w:t>811.13</w:t>
            </w:r>
          </w:p>
        </w:tc>
        <w:tc>
          <w:tcPr>
            <w:tcW w:w="1293"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rPr>
                <w:sz w:val="20"/>
                <w:szCs w:val="20"/>
              </w:rPr>
            </w:pPr>
            <w:r>
              <w:rPr>
                <w:sz w:val="20"/>
                <w:szCs w:val="20"/>
              </w:rPr>
              <w:t>$2-6 million</w:t>
            </w:r>
          </w:p>
        </w:tc>
        <w:tc>
          <w:tcPr>
            <w:tcW w:w="1440" w:type="dxa"/>
            <w:tcBorders>
              <w:top w:val="single" w:sz="4" w:space="0" w:color="auto"/>
              <w:left w:val="single" w:sz="4" w:space="0" w:color="auto"/>
              <w:bottom w:val="single" w:sz="4" w:space="0" w:color="auto"/>
              <w:right w:val="single" w:sz="4" w:space="0" w:color="auto"/>
            </w:tcBorders>
            <w:hideMark/>
          </w:tcPr>
          <w:p w:rsidR="00F26E49" w:rsidRDefault="00F26E49">
            <w:pPr>
              <w:pStyle w:val="BodyTextIndent"/>
              <w:ind w:left="0" w:firstLine="0"/>
              <w:jc w:val="center"/>
              <w:rPr>
                <w:sz w:val="20"/>
                <w:szCs w:val="20"/>
              </w:rPr>
            </w:pPr>
            <w:r>
              <w:rPr>
                <w:sz w:val="20"/>
                <w:szCs w:val="20"/>
              </w:rPr>
              <w:t xml:space="preserve">$2-4 </w:t>
            </w:r>
          </w:p>
          <w:p w:rsidR="00F26E49" w:rsidRDefault="00F26E49">
            <w:pPr>
              <w:pStyle w:val="BodyTextIndent"/>
              <w:ind w:left="0" w:firstLine="0"/>
              <w:jc w:val="center"/>
              <w:rPr>
                <w:sz w:val="20"/>
                <w:szCs w:val="20"/>
              </w:rPr>
            </w:pPr>
            <w:r>
              <w:rPr>
                <w:sz w:val="20"/>
                <w:szCs w:val="20"/>
              </w:rPr>
              <w:t>million</w:t>
            </w:r>
          </w:p>
        </w:tc>
      </w:tr>
    </w:tbl>
    <w:p w:rsidR="00F26E49" w:rsidRDefault="00F26E49" w:rsidP="00F26E49">
      <w:pPr>
        <w:pStyle w:val="BodyTextIndent"/>
      </w:pPr>
    </w:p>
    <w:p w:rsidR="00F26E49" w:rsidRDefault="00F26E49" w:rsidP="00F26E49">
      <w:pPr>
        <w:pStyle w:val="BodyTextIndent"/>
      </w:pPr>
    </w:p>
    <w:p w:rsidR="00F26E49" w:rsidRPr="00701F84" w:rsidRDefault="00F26E49" w:rsidP="00701F84">
      <w:pPr>
        <w:pStyle w:val="BodyTextIndent"/>
        <w:ind w:left="0" w:firstLine="0"/>
        <w:rPr>
          <w:sz w:val="20"/>
          <w:szCs w:val="20"/>
        </w:rPr>
      </w:pPr>
      <w:r w:rsidRPr="00701F84">
        <w:rPr>
          <w:sz w:val="20"/>
          <w:szCs w:val="20"/>
          <w:u w:val="single"/>
        </w:rPr>
        <w:t>Estimated Total Annual Burden Hours</w:t>
      </w:r>
      <w:r w:rsidRPr="00701F84">
        <w:rPr>
          <w:sz w:val="20"/>
          <w:szCs w:val="20"/>
        </w:rPr>
        <w:t xml:space="preserve">: </w:t>
      </w:r>
      <w:r w:rsidR="0024274D">
        <w:rPr>
          <w:sz w:val="20"/>
          <w:szCs w:val="20"/>
        </w:rPr>
        <w:t>1,600</w:t>
      </w:r>
      <w:r w:rsidRPr="00701F84">
        <w:rPr>
          <w:sz w:val="20"/>
          <w:szCs w:val="20"/>
        </w:rPr>
        <w:t xml:space="preserve"> initial annual b</w:t>
      </w:r>
      <w:r w:rsidR="00701F84" w:rsidRPr="00701F84">
        <w:rPr>
          <w:sz w:val="20"/>
          <w:szCs w:val="20"/>
        </w:rPr>
        <w:t xml:space="preserve">urden hours; </w:t>
      </w:r>
      <w:r w:rsidR="0024274D">
        <w:rPr>
          <w:sz w:val="20"/>
          <w:szCs w:val="20"/>
        </w:rPr>
        <w:t>190</w:t>
      </w:r>
      <w:r w:rsidR="0024274D" w:rsidRPr="00701F84">
        <w:rPr>
          <w:sz w:val="20"/>
          <w:szCs w:val="20"/>
        </w:rPr>
        <w:t xml:space="preserve"> </w:t>
      </w:r>
      <w:r w:rsidR="00701F84" w:rsidRPr="00701F84">
        <w:rPr>
          <w:sz w:val="20"/>
          <w:szCs w:val="20"/>
        </w:rPr>
        <w:t xml:space="preserve">ongoing annual </w:t>
      </w:r>
      <w:r w:rsidRPr="00701F84">
        <w:rPr>
          <w:sz w:val="20"/>
          <w:szCs w:val="20"/>
        </w:rPr>
        <w:t>burden hours</w:t>
      </w:r>
    </w:p>
    <w:p w:rsidR="00701F84" w:rsidRDefault="00701F84">
      <w:pPr>
        <w:rPr>
          <w:rFonts w:ascii="Times New Roman" w:hAnsi="Times New Roman"/>
          <w:sz w:val="20"/>
        </w:rPr>
      </w:pPr>
    </w:p>
    <w:p w:rsidR="00701F84" w:rsidRDefault="00701F84" w:rsidP="00701F84">
      <w:pPr>
        <w:tabs>
          <w:tab w:val="left" w:pos="-720"/>
        </w:tabs>
        <w:suppressAutoHyphens/>
        <w:jc w:val="center"/>
        <w:rPr>
          <w:rFonts w:ascii="Times New Roman" w:hAnsi="Times New Roman"/>
          <w:u w:val="single"/>
        </w:rPr>
      </w:pPr>
      <w:r w:rsidRPr="00701F84">
        <w:rPr>
          <w:rFonts w:ascii="Times New Roman" w:hAnsi="Times New Roman"/>
          <w:u w:val="single"/>
        </w:rPr>
        <w:t>Disclosure</w:t>
      </w:r>
      <w:r>
        <w:rPr>
          <w:rFonts w:ascii="Times New Roman" w:hAnsi="Times New Roman"/>
          <w:u w:val="single"/>
        </w:rPr>
        <w:t xml:space="preserve"> Burden</w:t>
      </w:r>
      <w:r>
        <w:rPr>
          <w:rStyle w:val="FootnoteReference"/>
          <w:rFonts w:ascii="Times New Roman" w:hAnsi="Times New Roman"/>
          <w:u w:val="single"/>
        </w:rPr>
        <w:footnoteReference w:id="18"/>
      </w:r>
    </w:p>
    <w:p w:rsidR="00701F84" w:rsidRPr="00701F84" w:rsidRDefault="00701F84" w:rsidP="00701F84">
      <w:pPr>
        <w:tabs>
          <w:tab w:val="left" w:pos="-720"/>
        </w:tabs>
        <w:suppressAutoHyphens/>
        <w:jc w:val="center"/>
        <w:rPr>
          <w:rFonts w:ascii="Times New Roman" w:hAnsi="Times New Roman"/>
        </w:rPr>
      </w:pPr>
    </w:p>
    <w:tbl>
      <w:tblPr>
        <w:tblW w:w="0" w:type="auto"/>
        <w:jc w:val="center"/>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943"/>
        <w:gridCol w:w="1399"/>
        <w:gridCol w:w="1598"/>
        <w:gridCol w:w="2893"/>
      </w:tblGrid>
      <w:tr w:rsidR="00701F84" w:rsidTr="00701F84">
        <w:trPr>
          <w:trHeight w:val="1250"/>
          <w:jc w:val="center"/>
        </w:trPr>
        <w:tc>
          <w:tcPr>
            <w:tcW w:w="1943" w:type="dxa"/>
            <w:tcBorders>
              <w:top w:val="single" w:sz="4" w:space="0" w:color="auto"/>
              <w:left w:val="single" w:sz="4" w:space="0" w:color="auto"/>
              <w:bottom w:val="single" w:sz="4" w:space="0" w:color="auto"/>
              <w:right w:val="single" w:sz="4" w:space="0" w:color="auto"/>
            </w:tcBorders>
          </w:tcPr>
          <w:p w:rsidR="00701F84" w:rsidRDefault="00701F84">
            <w:pPr>
              <w:pStyle w:val="BodyTextIndent"/>
              <w:ind w:left="0" w:firstLine="0"/>
              <w:jc w:val="center"/>
              <w:rPr>
                <w:sz w:val="20"/>
                <w:szCs w:val="20"/>
              </w:rPr>
            </w:pPr>
            <w:r>
              <w:rPr>
                <w:sz w:val="20"/>
                <w:szCs w:val="20"/>
              </w:rPr>
              <w:t>Est’d # of Covered Entities</w:t>
            </w:r>
          </w:p>
          <w:p w:rsidR="00701F84" w:rsidRDefault="00701F84">
            <w:pPr>
              <w:pStyle w:val="BodyTextIndent"/>
              <w:ind w:left="0" w:firstLine="0"/>
              <w:jc w:val="center"/>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701F84" w:rsidRDefault="00701F84">
            <w:pPr>
              <w:pStyle w:val="BodyTextIndent"/>
              <w:ind w:left="0" w:firstLine="0"/>
              <w:jc w:val="center"/>
              <w:rPr>
                <w:sz w:val="20"/>
                <w:szCs w:val="20"/>
              </w:rPr>
            </w:pPr>
            <w:r>
              <w:rPr>
                <w:sz w:val="20"/>
                <w:szCs w:val="20"/>
              </w:rPr>
              <w:t>Est’d Total</w:t>
            </w:r>
          </w:p>
          <w:p w:rsidR="00701F84" w:rsidRDefault="00701F84">
            <w:pPr>
              <w:pStyle w:val="BodyTextIndent"/>
              <w:ind w:left="0" w:firstLine="0"/>
              <w:jc w:val="center"/>
              <w:rPr>
                <w:sz w:val="20"/>
                <w:szCs w:val="20"/>
              </w:rPr>
            </w:pPr>
            <w:r>
              <w:rPr>
                <w:sz w:val="20"/>
                <w:szCs w:val="20"/>
              </w:rPr>
              <w:t>Annual Burden Hrs. per response</w:t>
            </w:r>
          </w:p>
          <w:p w:rsidR="00701F84" w:rsidRDefault="00701F84">
            <w:pPr>
              <w:pStyle w:val="BodyTextIndent"/>
              <w:ind w:left="0" w:firstLine="0"/>
              <w:jc w:val="center"/>
              <w:rPr>
                <w:sz w:val="20"/>
                <w:szCs w:val="20"/>
              </w:rPr>
            </w:pPr>
          </w:p>
          <w:p w:rsidR="00701F84" w:rsidRDefault="00701F84">
            <w:pPr>
              <w:pStyle w:val="BodyTextIndent"/>
              <w:ind w:left="0" w:firstLine="0"/>
              <w:jc w:val="center"/>
              <w:rPr>
                <w:sz w:val="20"/>
                <w:szCs w:val="20"/>
              </w:rPr>
            </w:pPr>
          </w:p>
        </w:tc>
        <w:tc>
          <w:tcPr>
            <w:tcW w:w="1598"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jc w:val="center"/>
              <w:rPr>
                <w:sz w:val="20"/>
                <w:szCs w:val="20"/>
              </w:rPr>
            </w:pPr>
            <w:r>
              <w:rPr>
                <w:sz w:val="20"/>
                <w:szCs w:val="20"/>
              </w:rPr>
              <w:t>Estimated Total Number of Hrs of Annual Burden in a Fiscal Year</w:t>
            </w:r>
          </w:p>
        </w:tc>
        <w:tc>
          <w:tcPr>
            <w:tcW w:w="2893"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jc w:val="center"/>
              <w:rPr>
                <w:sz w:val="20"/>
                <w:szCs w:val="20"/>
              </w:rPr>
            </w:pPr>
            <w:r>
              <w:rPr>
                <w:sz w:val="20"/>
                <w:szCs w:val="20"/>
              </w:rPr>
              <w:t>Estimated Annual Cost per Respondent</w:t>
            </w:r>
          </w:p>
          <w:p w:rsidR="00701F84" w:rsidRDefault="00701F84" w:rsidP="00701F84">
            <w:pPr>
              <w:pStyle w:val="BodyTextIndent"/>
              <w:ind w:left="0" w:firstLine="0"/>
              <w:jc w:val="center"/>
              <w:rPr>
                <w:sz w:val="20"/>
                <w:szCs w:val="20"/>
              </w:rPr>
            </w:pPr>
            <w:r>
              <w:rPr>
                <w:sz w:val="20"/>
                <w:szCs w:val="20"/>
              </w:rPr>
              <w:t>For Hr. Burden ($)</w:t>
            </w:r>
          </w:p>
        </w:tc>
      </w:tr>
      <w:tr w:rsidR="00701F84" w:rsidTr="00701F84">
        <w:trPr>
          <w:trHeight w:val="150"/>
          <w:jc w:val="center"/>
        </w:trPr>
        <w:tc>
          <w:tcPr>
            <w:tcW w:w="1943"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jc w:val="center"/>
              <w:rPr>
                <w:sz w:val="20"/>
                <w:szCs w:val="20"/>
              </w:rPr>
            </w:pPr>
            <w:r>
              <w:rPr>
                <w:sz w:val="20"/>
                <w:szCs w:val="20"/>
              </w:rPr>
              <w:t>4</w:t>
            </w:r>
          </w:p>
        </w:tc>
        <w:tc>
          <w:tcPr>
            <w:tcW w:w="1399"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rPr>
                <w:sz w:val="20"/>
                <w:szCs w:val="20"/>
              </w:rPr>
            </w:pPr>
            <w:r>
              <w:rPr>
                <w:sz w:val="20"/>
                <w:szCs w:val="20"/>
              </w:rPr>
              <w:t>Initially: 100</w:t>
            </w:r>
          </w:p>
          <w:p w:rsidR="00701F84" w:rsidRDefault="00701F84">
            <w:pPr>
              <w:pStyle w:val="BodyTextIndent"/>
              <w:ind w:left="0" w:firstLine="0"/>
              <w:rPr>
                <w:sz w:val="20"/>
                <w:szCs w:val="20"/>
              </w:rPr>
            </w:pPr>
            <w:r>
              <w:rPr>
                <w:sz w:val="20"/>
                <w:szCs w:val="20"/>
              </w:rPr>
              <w:t>Ongoing: 1</w:t>
            </w:r>
          </w:p>
        </w:tc>
        <w:tc>
          <w:tcPr>
            <w:tcW w:w="1598"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rPr>
                <w:sz w:val="20"/>
                <w:szCs w:val="20"/>
              </w:rPr>
            </w:pPr>
            <w:r>
              <w:rPr>
                <w:sz w:val="20"/>
                <w:szCs w:val="20"/>
              </w:rPr>
              <w:t>Initially: 400</w:t>
            </w:r>
          </w:p>
          <w:p w:rsidR="00701F84" w:rsidRDefault="00701F84" w:rsidP="00701F84">
            <w:pPr>
              <w:pStyle w:val="BodyTextIndent"/>
              <w:ind w:left="0" w:firstLine="0"/>
              <w:rPr>
                <w:sz w:val="20"/>
                <w:szCs w:val="20"/>
              </w:rPr>
            </w:pPr>
            <w:r>
              <w:rPr>
                <w:sz w:val="20"/>
                <w:szCs w:val="20"/>
              </w:rPr>
              <w:t>Ongoing: 4</w:t>
            </w:r>
          </w:p>
        </w:tc>
        <w:tc>
          <w:tcPr>
            <w:tcW w:w="2893" w:type="dxa"/>
            <w:tcBorders>
              <w:top w:val="single" w:sz="4" w:space="0" w:color="auto"/>
              <w:left w:val="single" w:sz="4" w:space="0" w:color="auto"/>
              <w:bottom w:val="single" w:sz="4" w:space="0" w:color="auto"/>
              <w:right w:val="single" w:sz="4" w:space="0" w:color="auto"/>
            </w:tcBorders>
            <w:hideMark/>
          </w:tcPr>
          <w:p w:rsidR="00701F84" w:rsidRDefault="00701F84">
            <w:pPr>
              <w:pStyle w:val="BodyTextIndent"/>
              <w:ind w:left="0" w:firstLine="0"/>
              <w:rPr>
                <w:sz w:val="20"/>
                <w:szCs w:val="20"/>
              </w:rPr>
            </w:pPr>
            <w:r>
              <w:rPr>
                <w:sz w:val="20"/>
                <w:szCs w:val="20"/>
              </w:rPr>
              <w:t>Initially:  $19,897.00</w:t>
            </w:r>
          </w:p>
          <w:p w:rsidR="00701F84" w:rsidRDefault="00701F84" w:rsidP="00701F84">
            <w:pPr>
              <w:pStyle w:val="BodyTextIndent"/>
              <w:ind w:left="0" w:firstLine="0"/>
              <w:rPr>
                <w:sz w:val="20"/>
                <w:szCs w:val="20"/>
              </w:rPr>
            </w:pPr>
            <w:r>
              <w:rPr>
                <w:sz w:val="20"/>
                <w:szCs w:val="20"/>
              </w:rPr>
              <w:t>Ongoing: $104.97</w:t>
            </w:r>
          </w:p>
        </w:tc>
      </w:tr>
    </w:tbl>
    <w:p w:rsidR="00701F84" w:rsidRDefault="00701F84" w:rsidP="00701F84">
      <w:pPr>
        <w:pStyle w:val="BodyTextIndent"/>
        <w:ind w:left="0" w:firstLine="0"/>
      </w:pPr>
    </w:p>
    <w:p w:rsidR="00701F84" w:rsidRDefault="00701F84" w:rsidP="00701F84">
      <w:pPr>
        <w:pStyle w:val="BodyTextIndent"/>
        <w:ind w:left="0" w:firstLine="0"/>
      </w:pPr>
    </w:p>
    <w:p w:rsidR="00701F84" w:rsidRPr="00701F84" w:rsidRDefault="00701F84" w:rsidP="00701F84">
      <w:pPr>
        <w:pStyle w:val="BodyTextIndent"/>
        <w:ind w:left="0" w:firstLine="0"/>
        <w:rPr>
          <w:sz w:val="20"/>
          <w:szCs w:val="20"/>
        </w:rPr>
      </w:pPr>
      <w:r w:rsidRPr="00701F84">
        <w:rPr>
          <w:sz w:val="20"/>
          <w:szCs w:val="20"/>
          <w:u w:val="single"/>
        </w:rPr>
        <w:t>Estimated Total Annual Burden Hours</w:t>
      </w:r>
      <w:r w:rsidRPr="00701F84">
        <w:rPr>
          <w:sz w:val="20"/>
          <w:szCs w:val="20"/>
        </w:rPr>
        <w:t xml:space="preserve">: </w:t>
      </w:r>
      <w:r w:rsidR="00DD4B9F">
        <w:rPr>
          <w:sz w:val="20"/>
          <w:szCs w:val="20"/>
        </w:rPr>
        <w:t>4</w:t>
      </w:r>
      <w:r w:rsidRPr="00701F84">
        <w:rPr>
          <w:sz w:val="20"/>
          <w:szCs w:val="20"/>
        </w:rPr>
        <w:t xml:space="preserve">00 initial annual burden hours; </w:t>
      </w:r>
      <w:r w:rsidR="00DD4B9F">
        <w:rPr>
          <w:sz w:val="20"/>
          <w:szCs w:val="20"/>
        </w:rPr>
        <w:t>4</w:t>
      </w:r>
      <w:r w:rsidRPr="00701F84">
        <w:rPr>
          <w:sz w:val="20"/>
          <w:szCs w:val="20"/>
        </w:rPr>
        <w:t xml:space="preserve"> ongoing annual burden hours</w:t>
      </w:r>
    </w:p>
    <w:p w:rsidR="008E5743" w:rsidRDefault="008E5743">
      <w:pPr>
        <w:rPr>
          <w:rFonts w:ascii="Times New Roman" w:hAnsi="Times New Roman"/>
          <w:sz w:val="20"/>
        </w:rPr>
      </w:pPr>
      <w:r>
        <w:rPr>
          <w:rFonts w:ascii="Times New Roman" w:hAnsi="Times New Roman"/>
          <w:sz w:val="20"/>
        </w:rPr>
        <w:br w:type="page"/>
      </w:r>
    </w:p>
    <w:p w:rsidR="00794EB9" w:rsidRDefault="00794EB9" w:rsidP="00636D07">
      <w:pPr>
        <w:tabs>
          <w:tab w:val="left" w:pos="-720"/>
        </w:tabs>
        <w:suppressAutoHyphens/>
        <w:rPr>
          <w:rFonts w:ascii="Times New Roman" w:hAnsi="Times New Roman"/>
          <w:sz w:val="20"/>
        </w:rPr>
      </w:pPr>
    </w:p>
    <w:p w:rsidR="00794EB9" w:rsidRDefault="00794EB9" w:rsidP="00636D07">
      <w:pPr>
        <w:tabs>
          <w:tab w:val="left" w:pos="-720"/>
        </w:tabs>
        <w:suppressAutoHyphens/>
        <w:rPr>
          <w:rFonts w:ascii="Times New Roman" w:hAnsi="Times New Roman"/>
          <w:sz w:val="20"/>
        </w:rPr>
      </w:pPr>
    </w:p>
    <w:tbl>
      <w:tblPr>
        <w:tblpPr w:leftFromText="180" w:rightFromText="180" w:vertAnchor="text" w:horzAnchor="margin" w:tblpXSpec="center" w:tblpY="-356"/>
        <w:tblW w:w="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89"/>
        <w:gridCol w:w="2100"/>
      </w:tblGrid>
      <w:tr w:rsidR="00794EB9" w:rsidRPr="00636D07" w:rsidTr="005535D3">
        <w:trPr>
          <w:trHeight w:val="474"/>
        </w:trPr>
        <w:tc>
          <w:tcPr>
            <w:tcW w:w="5849" w:type="dxa"/>
            <w:gridSpan w:val="3"/>
            <w:shd w:val="clear" w:color="auto" w:fill="D9D9D9" w:themeFill="background1" w:themeFillShade="D9"/>
            <w:vAlign w:val="center"/>
          </w:tcPr>
          <w:p w:rsidR="00794EB9" w:rsidRPr="00636D07" w:rsidRDefault="00794EB9" w:rsidP="00794EB9">
            <w:pPr>
              <w:jc w:val="center"/>
              <w:rPr>
                <w:rFonts w:ascii="Times New Roman" w:hAnsi="Times New Roman"/>
                <w:color w:val="000000"/>
                <w:sz w:val="20"/>
              </w:rPr>
            </w:pPr>
            <w:r w:rsidRPr="00636D07">
              <w:rPr>
                <w:rFonts w:ascii="Times New Roman" w:hAnsi="Times New Roman"/>
                <w:color w:val="000000"/>
                <w:sz w:val="20"/>
              </w:rPr>
              <w:t>Annual Burden Hours</w:t>
            </w:r>
          </w:p>
        </w:tc>
      </w:tr>
      <w:tr w:rsidR="005535D3" w:rsidRPr="00636D07" w:rsidTr="005535D3">
        <w:trPr>
          <w:trHeight w:val="755"/>
        </w:trPr>
        <w:tc>
          <w:tcPr>
            <w:tcW w:w="1960" w:type="dxa"/>
            <w:shd w:val="clear" w:color="auto" w:fill="auto"/>
            <w:vAlign w:val="center"/>
            <w:hideMark/>
          </w:tcPr>
          <w:p w:rsidR="005535D3" w:rsidRPr="00636D07" w:rsidRDefault="005535D3" w:rsidP="00794EB9">
            <w:pPr>
              <w:rPr>
                <w:rFonts w:ascii="Times New Roman" w:hAnsi="Times New Roman"/>
                <w:color w:val="000000"/>
                <w:sz w:val="20"/>
              </w:rPr>
            </w:pPr>
            <w:r w:rsidRPr="00636D07">
              <w:rPr>
                <w:rFonts w:ascii="Times New Roman" w:hAnsi="Times New Roman"/>
                <w:color w:val="000000"/>
                <w:sz w:val="20"/>
              </w:rPr>
              <w:t>Entity</w:t>
            </w:r>
          </w:p>
        </w:tc>
        <w:tc>
          <w:tcPr>
            <w:tcW w:w="1789" w:type="dxa"/>
          </w:tcPr>
          <w:p w:rsidR="005535D3" w:rsidRPr="00636D07" w:rsidRDefault="005535D3" w:rsidP="00794EB9">
            <w:pPr>
              <w:jc w:val="center"/>
              <w:rPr>
                <w:rFonts w:ascii="Times New Roman" w:hAnsi="Times New Roman"/>
                <w:color w:val="000000"/>
                <w:sz w:val="20"/>
              </w:rPr>
            </w:pPr>
            <w:r w:rsidRPr="00636D07">
              <w:rPr>
                <w:rFonts w:ascii="Times New Roman" w:hAnsi="Times New Roman"/>
                <w:color w:val="000000"/>
                <w:sz w:val="20"/>
              </w:rPr>
              <w:t>Prior aggregate annual burden hours (all entities)</w:t>
            </w:r>
          </w:p>
        </w:tc>
        <w:tc>
          <w:tcPr>
            <w:tcW w:w="2100" w:type="dxa"/>
            <w:vAlign w:val="center"/>
          </w:tcPr>
          <w:p w:rsidR="005535D3" w:rsidRPr="00636D07" w:rsidRDefault="005535D3" w:rsidP="00794EB9">
            <w:pPr>
              <w:jc w:val="center"/>
              <w:rPr>
                <w:rFonts w:ascii="Times New Roman" w:hAnsi="Times New Roman"/>
                <w:color w:val="000000"/>
                <w:sz w:val="20"/>
              </w:rPr>
            </w:pPr>
            <w:r w:rsidRPr="00636D07">
              <w:rPr>
                <w:rFonts w:ascii="Times New Roman" w:hAnsi="Times New Roman"/>
                <w:color w:val="000000"/>
                <w:sz w:val="20"/>
              </w:rPr>
              <w:t>Aggregate annual burden hours  (all entities)</w:t>
            </w:r>
          </w:p>
        </w:tc>
      </w:tr>
      <w:tr w:rsidR="005535D3" w:rsidRPr="00636D07" w:rsidTr="005535D3">
        <w:trPr>
          <w:trHeight w:val="363"/>
        </w:trPr>
        <w:tc>
          <w:tcPr>
            <w:tcW w:w="1960" w:type="dxa"/>
            <w:shd w:val="clear" w:color="auto" w:fill="auto"/>
            <w:vAlign w:val="center"/>
            <w:hideMark/>
          </w:tcPr>
          <w:p w:rsidR="005535D3" w:rsidRPr="00636D07" w:rsidRDefault="005535D3" w:rsidP="001C1E34">
            <w:pPr>
              <w:jc w:val="right"/>
              <w:rPr>
                <w:rFonts w:ascii="Times New Roman" w:hAnsi="Times New Roman"/>
                <w:color w:val="000000"/>
                <w:sz w:val="20"/>
              </w:rPr>
            </w:pPr>
            <w:r w:rsidRPr="00636D07">
              <w:rPr>
                <w:rFonts w:ascii="Times New Roman" w:hAnsi="Times New Roman"/>
                <w:color w:val="000000"/>
                <w:sz w:val="20"/>
              </w:rPr>
              <w:t>4 SDRs</w:t>
            </w:r>
          </w:p>
        </w:tc>
        <w:tc>
          <w:tcPr>
            <w:tcW w:w="1789" w:type="dxa"/>
            <w:vAlign w:val="center"/>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340,230</w:t>
            </w:r>
          </w:p>
        </w:tc>
        <w:tc>
          <w:tcPr>
            <w:tcW w:w="2100" w:type="dxa"/>
            <w:vAlign w:val="center"/>
          </w:tcPr>
          <w:p w:rsidR="005535D3" w:rsidRPr="00636D07" w:rsidRDefault="001B03FC" w:rsidP="005535D3">
            <w:pPr>
              <w:jc w:val="right"/>
              <w:rPr>
                <w:rFonts w:ascii="Times New Roman" w:hAnsi="Times New Roman"/>
                <w:color w:val="000000"/>
                <w:sz w:val="20"/>
              </w:rPr>
            </w:pPr>
            <w:r>
              <w:rPr>
                <w:rFonts w:ascii="Times New Roman" w:hAnsi="Times New Roman"/>
                <w:color w:val="000000"/>
                <w:sz w:val="20"/>
              </w:rPr>
              <w:t>142,690</w:t>
            </w:r>
          </w:p>
        </w:tc>
      </w:tr>
      <w:tr w:rsidR="005535D3" w:rsidRPr="00636D07" w:rsidTr="005535D3">
        <w:trPr>
          <w:trHeight w:val="345"/>
        </w:trPr>
        <w:tc>
          <w:tcPr>
            <w:tcW w:w="1960" w:type="dxa"/>
            <w:shd w:val="clear" w:color="auto" w:fill="auto"/>
            <w:vAlign w:val="center"/>
            <w:hideMark/>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300 ADRs/AFRs</w:t>
            </w:r>
          </w:p>
        </w:tc>
        <w:tc>
          <w:tcPr>
            <w:tcW w:w="1789" w:type="dxa"/>
            <w:vAlign w:val="center"/>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0</w:t>
            </w:r>
          </w:p>
        </w:tc>
        <w:tc>
          <w:tcPr>
            <w:tcW w:w="2100" w:type="dxa"/>
            <w:vAlign w:val="center"/>
          </w:tcPr>
          <w:p w:rsidR="005535D3" w:rsidRPr="00636D07" w:rsidRDefault="005535D3" w:rsidP="001C1E34">
            <w:pPr>
              <w:jc w:val="right"/>
              <w:rPr>
                <w:rFonts w:ascii="Times New Roman" w:hAnsi="Times New Roman"/>
                <w:color w:val="000000"/>
                <w:sz w:val="20"/>
              </w:rPr>
            </w:pPr>
            <w:r>
              <w:rPr>
                <w:rFonts w:ascii="Times New Roman" w:hAnsi="Times New Roman"/>
                <w:color w:val="000000"/>
                <w:sz w:val="20"/>
              </w:rPr>
              <w:t>42,000</w:t>
            </w:r>
          </w:p>
        </w:tc>
      </w:tr>
    </w:tbl>
    <w:tbl>
      <w:tblPr>
        <w:tblpPr w:leftFromText="180" w:rightFromText="180" w:vertAnchor="text" w:horzAnchor="margin" w:tblpXSpec="center" w:tblpY="1800"/>
        <w:tblW w:w="5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26"/>
        <w:gridCol w:w="1500"/>
        <w:gridCol w:w="1758"/>
      </w:tblGrid>
      <w:tr w:rsidR="000D62F3" w:rsidRPr="00794EB9" w:rsidTr="000D62F3">
        <w:trPr>
          <w:trHeight w:val="472"/>
        </w:trPr>
        <w:tc>
          <w:tcPr>
            <w:tcW w:w="5950" w:type="dxa"/>
            <w:gridSpan w:val="4"/>
            <w:shd w:val="clear" w:color="auto" w:fill="D9D9D9" w:themeFill="background1" w:themeFillShade="D9"/>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Annual Costs</w:t>
            </w:r>
          </w:p>
        </w:tc>
      </w:tr>
      <w:tr w:rsidR="000D62F3" w:rsidRPr="00794EB9" w:rsidTr="000D62F3">
        <w:trPr>
          <w:trHeight w:val="1043"/>
        </w:trPr>
        <w:tc>
          <w:tcPr>
            <w:tcW w:w="1406" w:type="dxa"/>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Entity</w:t>
            </w:r>
          </w:p>
        </w:tc>
        <w:tc>
          <w:tcPr>
            <w:tcW w:w="1393" w:type="dxa"/>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Prior aggregate annual cost    (all entities)</w:t>
            </w:r>
          </w:p>
        </w:tc>
        <w:tc>
          <w:tcPr>
            <w:tcW w:w="1393" w:type="dxa"/>
            <w:vAlign w:val="center"/>
          </w:tcPr>
          <w:p w:rsidR="000D62F3" w:rsidRPr="00794EB9" w:rsidRDefault="000D62F3" w:rsidP="000D62F3">
            <w:pPr>
              <w:jc w:val="center"/>
              <w:rPr>
                <w:rFonts w:ascii="Times New Roman" w:hAnsi="Times New Roman"/>
                <w:color w:val="000000"/>
                <w:sz w:val="20"/>
              </w:rPr>
            </w:pPr>
            <w:r w:rsidRPr="00794EB9">
              <w:rPr>
                <w:rFonts w:ascii="Times New Roman" w:hAnsi="Times New Roman"/>
                <w:sz w:val="20"/>
              </w:rPr>
              <w:footnoteReference w:customMarkFollows="1" w:id="19"/>
              <w:t>Additional annual costs (per entity)</w:t>
            </w:r>
          </w:p>
        </w:tc>
        <w:tc>
          <w:tcPr>
            <w:tcW w:w="1758" w:type="dxa"/>
            <w:shd w:val="clear" w:color="auto" w:fill="auto"/>
            <w:vAlign w:val="center"/>
            <w:hideMark/>
          </w:tcPr>
          <w:p w:rsidR="000D62F3" w:rsidRPr="00794EB9" w:rsidRDefault="000D62F3" w:rsidP="000D62F3">
            <w:pPr>
              <w:jc w:val="center"/>
              <w:rPr>
                <w:rFonts w:ascii="Times New Roman" w:hAnsi="Times New Roman"/>
                <w:color w:val="000000"/>
                <w:sz w:val="20"/>
              </w:rPr>
            </w:pPr>
            <w:r w:rsidRPr="00794EB9">
              <w:rPr>
                <w:rFonts w:ascii="Times New Roman" w:hAnsi="Times New Roman"/>
                <w:color w:val="000000"/>
                <w:sz w:val="20"/>
              </w:rPr>
              <w:t>Amended aggregate cost (all entities)</w:t>
            </w:r>
          </w:p>
        </w:tc>
      </w:tr>
      <w:tr w:rsidR="000D62F3" w:rsidRPr="00794EB9" w:rsidTr="000D62F3">
        <w:trPr>
          <w:trHeight w:val="358"/>
        </w:trPr>
        <w:tc>
          <w:tcPr>
            <w:tcW w:w="1406" w:type="dxa"/>
            <w:vAlign w:val="center"/>
          </w:tcPr>
          <w:p w:rsidR="000D62F3" w:rsidRPr="00794EB9" w:rsidRDefault="000D62F3" w:rsidP="000D62F3">
            <w:pPr>
              <w:jc w:val="right"/>
              <w:rPr>
                <w:rFonts w:ascii="Times New Roman" w:hAnsi="Times New Roman"/>
                <w:color w:val="000000"/>
                <w:sz w:val="20"/>
              </w:rPr>
            </w:pPr>
            <w:r w:rsidRPr="00794EB9">
              <w:rPr>
                <w:rFonts w:ascii="Times New Roman" w:hAnsi="Times New Roman"/>
                <w:color w:val="000000"/>
                <w:sz w:val="20"/>
              </w:rPr>
              <w:t>4 SDRs</w:t>
            </w:r>
          </w:p>
        </w:tc>
        <w:tc>
          <w:tcPr>
            <w:tcW w:w="1393"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80,978,370</w:t>
            </w:r>
          </w:p>
        </w:tc>
        <w:tc>
          <w:tcPr>
            <w:tcW w:w="1393" w:type="dxa"/>
            <w:vAlign w:val="center"/>
          </w:tcPr>
          <w:p w:rsidR="000D62F3" w:rsidRPr="00794EB9" w:rsidRDefault="006007DE" w:rsidP="009E7331">
            <w:pPr>
              <w:jc w:val="right"/>
              <w:rPr>
                <w:rFonts w:ascii="Times New Roman" w:hAnsi="Times New Roman"/>
                <w:color w:val="000000"/>
                <w:sz w:val="20"/>
              </w:rPr>
            </w:pPr>
            <w:r>
              <w:rPr>
                <w:rFonts w:ascii="Times New Roman" w:hAnsi="Times New Roman"/>
                <w:color w:val="000000"/>
                <w:sz w:val="20"/>
              </w:rPr>
              <w:t>(31,506,265.60)</w:t>
            </w:r>
          </w:p>
        </w:tc>
        <w:tc>
          <w:tcPr>
            <w:tcW w:w="1758" w:type="dxa"/>
            <w:shd w:val="clear" w:color="auto" w:fill="auto"/>
            <w:noWrap/>
            <w:vAlign w:val="center"/>
          </w:tcPr>
          <w:p w:rsidR="000D62F3" w:rsidRPr="00794EB9" w:rsidRDefault="006007DE" w:rsidP="000D62F3">
            <w:pPr>
              <w:jc w:val="right"/>
              <w:rPr>
                <w:rFonts w:ascii="Times New Roman" w:hAnsi="Times New Roman"/>
                <w:color w:val="000000"/>
                <w:sz w:val="20"/>
              </w:rPr>
            </w:pPr>
            <w:r w:rsidRPr="006007DE">
              <w:rPr>
                <w:rFonts w:ascii="Times New Roman" w:hAnsi="Times New Roman"/>
                <w:color w:val="000000"/>
                <w:sz w:val="20"/>
              </w:rPr>
              <w:t>49,472,104.4</w:t>
            </w:r>
            <w:r>
              <w:rPr>
                <w:rFonts w:ascii="Times New Roman" w:hAnsi="Times New Roman"/>
                <w:color w:val="000000"/>
                <w:sz w:val="20"/>
              </w:rPr>
              <w:t>0</w:t>
            </w:r>
          </w:p>
        </w:tc>
      </w:tr>
      <w:tr w:rsidR="000D62F3" w:rsidRPr="00794EB9" w:rsidTr="000D62F3">
        <w:trPr>
          <w:trHeight w:val="358"/>
        </w:trPr>
        <w:tc>
          <w:tcPr>
            <w:tcW w:w="1406"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300 ADRs/AFRs</w:t>
            </w:r>
          </w:p>
        </w:tc>
        <w:tc>
          <w:tcPr>
            <w:tcW w:w="1393"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0</w:t>
            </w:r>
          </w:p>
        </w:tc>
        <w:tc>
          <w:tcPr>
            <w:tcW w:w="1393" w:type="dxa"/>
            <w:vAlign w:val="center"/>
          </w:tcPr>
          <w:p w:rsidR="000D62F3" w:rsidRPr="00794EB9" w:rsidRDefault="000D62F3" w:rsidP="000D62F3">
            <w:pPr>
              <w:jc w:val="right"/>
              <w:rPr>
                <w:rFonts w:ascii="Times New Roman" w:hAnsi="Times New Roman"/>
                <w:color w:val="000000"/>
                <w:sz w:val="20"/>
              </w:rPr>
            </w:pPr>
            <w:r>
              <w:rPr>
                <w:rFonts w:ascii="Times New Roman" w:hAnsi="Times New Roman"/>
                <w:color w:val="000000"/>
                <w:sz w:val="20"/>
              </w:rPr>
              <w:t>12,432,000</w:t>
            </w:r>
          </w:p>
        </w:tc>
        <w:tc>
          <w:tcPr>
            <w:tcW w:w="1758" w:type="dxa"/>
            <w:shd w:val="clear" w:color="auto" w:fill="auto"/>
            <w:noWrap/>
            <w:vAlign w:val="center"/>
          </w:tcPr>
          <w:p w:rsidR="000D62F3" w:rsidRPr="00794EB9" w:rsidRDefault="000D62F3" w:rsidP="005F1D22">
            <w:pPr>
              <w:jc w:val="right"/>
              <w:rPr>
                <w:rFonts w:ascii="Times New Roman" w:hAnsi="Times New Roman"/>
                <w:color w:val="000000"/>
                <w:sz w:val="20"/>
              </w:rPr>
            </w:pPr>
            <w:r>
              <w:rPr>
                <w:rFonts w:ascii="Times New Roman" w:hAnsi="Times New Roman"/>
                <w:color w:val="000000"/>
                <w:sz w:val="20"/>
              </w:rPr>
              <w:t>12,432,000</w:t>
            </w:r>
          </w:p>
        </w:tc>
      </w:tr>
    </w:tbl>
    <w:p w:rsidR="00794EB9" w:rsidRPr="00A9182E" w:rsidRDefault="00794EB9" w:rsidP="008E5743">
      <w:pPr>
        <w:tabs>
          <w:tab w:val="left" w:pos="-720"/>
        </w:tabs>
        <w:suppressAutoHyphens/>
        <w:rPr>
          <w:rFonts w:ascii="Times New Roman" w:hAnsi="Times New Roman"/>
          <w:sz w:val="20"/>
        </w:rPr>
      </w:pPr>
    </w:p>
    <w:sectPr w:rsidR="00794EB9" w:rsidRPr="00A9182E">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6F" w:rsidRDefault="00CE636F">
      <w:pPr>
        <w:spacing w:line="20" w:lineRule="exact"/>
      </w:pPr>
    </w:p>
  </w:endnote>
  <w:endnote w:type="continuationSeparator" w:id="0">
    <w:p w:rsidR="00CE636F" w:rsidRDefault="00CE636F">
      <w:r>
        <w:t xml:space="preserve"> </w:t>
      </w:r>
    </w:p>
  </w:endnote>
  <w:endnote w:type="continuationNotice" w:id="1">
    <w:p w:rsidR="00CE636F" w:rsidRDefault="00CE63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321496"/>
      <w:docPartObj>
        <w:docPartGallery w:val="Page Numbers (Bottom of Page)"/>
        <w:docPartUnique/>
      </w:docPartObj>
    </w:sdtPr>
    <w:sdtEndPr>
      <w:rPr>
        <w:rFonts w:ascii="Times New Roman" w:hAnsi="Times New Roman"/>
        <w:noProof/>
      </w:rPr>
    </w:sdtEndPr>
    <w:sdtContent>
      <w:p w:rsidR="00DC1DFB" w:rsidRPr="00760606" w:rsidRDefault="00DC1DFB">
        <w:pPr>
          <w:pStyle w:val="Footer"/>
          <w:jc w:val="center"/>
          <w:rPr>
            <w:rFonts w:ascii="Times New Roman" w:hAnsi="Times New Roman"/>
          </w:rPr>
        </w:pPr>
        <w:r w:rsidRPr="00760606">
          <w:rPr>
            <w:rFonts w:ascii="Times New Roman" w:hAnsi="Times New Roman"/>
          </w:rPr>
          <w:fldChar w:fldCharType="begin"/>
        </w:r>
        <w:r w:rsidRPr="00760606">
          <w:rPr>
            <w:rFonts w:ascii="Times New Roman" w:hAnsi="Times New Roman"/>
          </w:rPr>
          <w:instrText xml:space="preserve"> PAGE   \* MERGEFORMAT </w:instrText>
        </w:r>
        <w:r w:rsidRPr="00760606">
          <w:rPr>
            <w:rFonts w:ascii="Times New Roman" w:hAnsi="Times New Roman"/>
          </w:rPr>
          <w:fldChar w:fldCharType="separate"/>
        </w:r>
        <w:r w:rsidR="00FB3ECC">
          <w:rPr>
            <w:rFonts w:ascii="Times New Roman" w:hAnsi="Times New Roman"/>
            <w:noProof/>
          </w:rPr>
          <w:t>1</w:t>
        </w:r>
        <w:r w:rsidRPr="00760606">
          <w:rPr>
            <w:rFonts w:ascii="Times New Roman" w:hAnsi="Times New Roman"/>
            <w:noProof/>
          </w:rPr>
          <w:fldChar w:fldCharType="end"/>
        </w:r>
      </w:p>
    </w:sdtContent>
  </w:sdt>
  <w:p w:rsidR="00DC1DFB" w:rsidRDefault="00DC1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6F" w:rsidRDefault="00CE636F">
      <w:r>
        <w:separator/>
      </w:r>
    </w:p>
  </w:footnote>
  <w:footnote w:type="continuationSeparator" w:id="0">
    <w:p w:rsidR="00CE636F" w:rsidRDefault="00CE636F">
      <w:r>
        <w:t>(..continued)</w:t>
      </w:r>
    </w:p>
  </w:footnote>
  <w:footnote w:type="continuationNotice" w:id="1">
    <w:p w:rsidR="00CE636F" w:rsidRDefault="00CE636F"/>
  </w:footnote>
  <w:footnote w:id="2">
    <w:p w:rsidR="00DC1DFB" w:rsidRPr="00701F84" w:rsidRDefault="00DC1DFB"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w:t>
      </w:r>
      <w:r w:rsidRPr="00701F84">
        <w:rPr>
          <w:rFonts w:ascii="Times New Roman" w:hAnsi="Times New Roman"/>
          <w:sz w:val="20"/>
          <w:u w:val="single"/>
        </w:rPr>
        <w:t>See</w:t>
      </w:r>
      <w:r w:rsidRPr="00701F84">
        <w:rPr>
          <w:rFonts w:ascii="Times New Roman" w:hAnsi="Times New Roman"/>
          <w:sz w:val="20"/>
        </w:rPr>
        <w:t xml:space="preserve"> Dodd-Frank Wall Street Reform and Consumer Protection Act, Pub. L. 111-203, 124 Stat. 1376 (2010).</w:t>
      </w:r>
    </w:p>
  </w:footnote>
  <w:footnote w:id="3">
    <w:p w:rsidR="00DC1DFB" w:rsidRPr="00701F84" w:rsidRDefault="00DC1DFB"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7 U.S.C. 1 </w:t>
      </w:r>
      <w:r w:rsidRPr="00701F84">
        <w:rPr>
          <w:rFonts w:ascii="Times New Roman" w:hAnsi="Times New Roman"/>
          <w:sz w:val="20"/>
          <w:u w:val="single"/>
        </w:rPr>
        <w:t>et seq</w:t>
      </w:r>
      <w:r w:rsidRPr="00701F84">
        <w:rPr>
          <w:rFonts w:ascii="Times New Roman" w:hAnsi="Times New Roman"/>
          <w:sz w:val="20"/>
        </w:rPr>
        <w:t>.</w:t>
      </w:r>
    </w:p>
  </w:footnote>
  <w:footnote w:id="4">
    <w:p w:rsidR="00DC1DFB" w:rsidRPr="00701F84" w:rsidRDefault="00DC1DFB"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w:t>
      </w:r>
      <w:r w:rsidRPr="00701F84">
        <w:rPr>
          <w:rFonts w:ascii="Times New Roman" w:hAnsi="Times New Roman"/>
          <w:sz w:val="20"/>
          <w:u w:val="single"/>
        </w:rPr>
        <w:t>See</w:t>
      </w:r>
      <w:r w:rsidRPr="00701F84">
        <w:rPr>
          <w:rFonts w:ascii="Times New Roman" w:hAnsi="Times New Roman"/>
          <w:sz w:val="20"/>
        </w:rPr>
        <w:t xml:space="preserve"> Dodd-Frank Act </w:t>
      </w:r>
      <w:r>
        <w:rPr>
          <w:rFonts w:ascii="Times New Roman" w:hAnsi="Times New Roman"/>
          <w:sz w:val="20"/>
        </w:rPr>
        <w:t>§</w:t>
      </w:r>
      <w:r w:rsidRPr="00701F84">
        <w:rPr>
          <w:rFonts w:ascii="Times New Roman" w:hAnsi="Times New Roman"/>
          <w:sz w:val="20"/>
        </w:rPr>
        <w:t xml:space="preserve"> 728 (adding new CEA section 21, 7 U.S.C. </w:t>
      </w:r>
      <w:r>
        <w:rPr>
          <w:rFonts w:ascii="Times New Roman" w:hAnsi="Times New Roman"/>
          <w:sz w:val="20"/>
        </w:rPr>
        <w:t xml:space="preserve">§ </w:t>
      </w:r>
      <w:r w:rsidRPr="00701F84">
        <w:rPr>
          <w:rFonts w:ascii="Times New Roman" w:hAnsi="Times New Roman"/>
          <w:sz w:val="20"/>
        </w:rPr>
        <w:t xml:space="preserve">24(a), to establish a registration requirement and regulatory regime for SDRs).  </w:t>
      </w:r>
    </w:p>
  </w:footnote>
  <w:footnote w:id="5">
    <w:p w:rsidR="00DC1DFB" w:rsidRPr="00701F84" w:rsidRDefault="00DC1DFB"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7 U.S.C. </w:t>
      </w:r>
      <w:r>
        <w:rPr>
          <w:rFonts w:ascii="Times New Roman" w:hAnsi="Times New Roman"/>
          <w:sz w:val="20"/>
        </w:rPr>
        <w:t xml:space="preserve">§ </w:t>
      </w:r>
      <w:r w:rsidRPr="00701F84">
        <w:rPr>
          <w:rFonts w:ascii="Times New Roman" w:hAnsi="Times New Roman"/>
          <w:sz w:val="20"/>
        </w:rPr>
        <w:t>24a(c)(6).</w:t>
      </w:r>
    </w:p>
  </w:footnote>
  <w:footnote w:id="6">
    <w:p w:rsidR="00DC1DFB" w:rsidRPr="00701F84" w:rsidRDefault="00DC1DFB"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CEA section 8 describes circumstances under which public disclosure of information in the Commission’s possession is permitted and prohibited. 7 U.S.C. </w:t>
      </w:r>
      <w:r>
        <w:rPr>
          <w:rFonts w:ascii="Times New Roman" w:hAnsi="Times New Roman"/>
          <w:sz w:val="20"/>
        </w:rPr>
        <w:t xml:space="preserve">§ </w:t>
      </w:r>
      <w:r w:rsidRPr="00701F84">
        <w:rPr>
          <w:rFonts w:ascii="Times New Roman" w:hAnsi="Times New Roman"/>
          <w:sz w:val="20"/>
        </w:rPr>
        <w:t>12(e).</w:t>
      </w:r>
    </w:p>
  </w:footnote>
  <w:footnote w:id="7">
    <w:p w:rsidR="00DC1DFB" w:rsidRPr="00701F84" w:rsidRDefault="00DC1DFB" w:rsidP="00C67A9E">
      <w:pPr>
        <w:pStyle w:val="FootnoteText"/>
        <w:spacing w:after="24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w:t>
      </w:r>
      <w:r w:rsidRPr="00701F84">
        <w:rPr>
          <w:rFonts w:ascii="Times New Roman" w:hAnsi="Times New Roman"/>
          <w:sz w:val="20"/>
          <w:u w:val="single"/>
        </w:rPr>
        <w:t>See</w:t>
      </w:r>
      <w:r w:rsidRPr="00701F84">
        <w:rPr>
          <w:rFonts w:ascii="Times New Roman" w:hAnsi="Times New Roman"/>
          <w:sz w:val="20"/>
        </w:rPr>
        <w:t xml:space="preserve"> 7 U.S.C. </w:t>
      </w:r>
      <w:r>
        <w:rPr>
          <w:rFonts w:ascii="Times New Roman" w:hAnsi="Times New Roman"/>
          <w:sz w:val="20"/>
        </w:rPr>
        <w:t xml:space="preserve">§ </w:t>
      </w:r>
      <w:r w:rsidRPr="00701F84">
        <w:rPr>
          <w:rFonts w:ascii="Times New Roman" w:hAnsi="Times New Roman"/>
          <w:sz w:val="20"/>
        </w:rPr>
        <w:t xml:space="preserve">24a(c)(7). </w:t>
      </w:r>
      <w:r w:rsidRPr="00701F84">
        <w:rPr>
          <w:rFonts w:ascii="Times New Roman" w:hAnsi="Times New Roman"/>
          <w:sz w:val="20"/>
          <w:u w:val="single"/>
        </w:rPr>
        <w:t>See</w:t>
      </w:r>
      <w:r w:rsidRPr="00701F84">
        <w:rPr>
          <w:rFonts w:ascii="Times New Roman" w:hAnsi="Times New Roman"/>
          <w:sz w:val="20"/>
        </w:rPr>
        <w:t xml:space="preserve"> </w:t>
      </w:r>
      <w:r w:rsidRPr="00701F84">
        <w:rPr>
          <w:rFonts w:ascii="Times New Roman" w:hAnsi="Times New Roman"/>
          <w:sz w:val="20"/>
          <w:u w:val="single"/>
        </w:rPr>
        <w:t>also</w:t>
      </w:r>
      <w:r w:rsidRPr="00701F84">
        <w:rPr>
          <w:rFonts w:ascii="Times New Roman" w:hAnsi="Times New Roman"/>
          <w:sz w:val="20"/>
        </w:rPr>
        <w:t xml:space="preserve"> Commission, Final Rulemaking: Swap Data Recordkeeping and Reporting Requirements, 77 FR 2136, Jan. 13, 2012 (“Data Final Rules”). The Data Final Rules set forth, among others, regulations governing SDR data collection and reporting responsibilities under part 45 of the Commission’s regulations.</w:t>
      </w:r>
    </w:p>
  </w:footnote>
  <w:footnote w:id="8">
    <w:p w:rsidR="00DC1DFB" w:rsidRPr="00701F84" w:rsidRDefault="00DC1DFB" w:rsidP="00C67A9E">
      <w:pPr>
        <w:pStyle w:val="FootnoteText"/>
        <w:spacing w:after="240"/>
        <w:jc w:val="both"/>
        <w:rPr>
          <w:rFonts w:ascii="Times New Roman" w:hAnsi="Times New Roman"/>
          <w:sz w:val="20"/>
        </w:rPr>
      </w:pPr>
      <w:r w:rsidRPr="00701F84">
        <w:rPr>
          <w:rStyle w:val="FootnoteReference"/>
          <w:rFonts w:ascii="Times New Roman" w:hAnsi="Times New Roman"/>
          <w:sz w:val="20"/>
        </w:rPr>
        <w:footnoteRef/>
      </w:r>
      <w:r>
        <w:rPr>
          <w:rFonts w:ascii="Times New Roman" w:hAnsi="Times New Roman"/>
          <w:sz w:val="20"/>
        </w:rPr>
        <w:t xml:space="preserve"> 7 U.S.C. § 24a(d).</w:t>
      </w:r>
    </w:p>
  </w:footnote>
  <w:footnote w:id="9">
    <w:p w:rsidR="00DC1DFB" w:rsidRDefault="00DC1DFB" w:rsidP="008C173B">
      <w:pPr>
        <w:pStyle w:val="FootnoteText"/>
        <w:spacing w:after="240"/>
        <w:jc w:val="both"/>
      </w:pPr>
      <w:r w:rsidRPr="008C173B">
        <w:rPr>
          <w:rStyle w:val="FootnoteReference"/>
        </w:rPr>
        <w:footnoteRef/>
      </w:r>
      <w:r w:rsidRPr="008C173B">
        <w:rPr>
          <w:rFonts w:ascii="Times New Roman" w:hAnsi="Times New Roman"/>
          <w:sz w:val="20"/>
        </w:rPr>
        <w:t xml:space="preserve"> </w:t>
      </w:r>
      <w:r w:rsidRPr="008C173B">
        <w:rPr>
          <w:rFonts w:ascii="Times New Roman" w:hAnsi="Times New Roman"/>
          <w:sz w:val="20"/>
          <w:u w:val="single"/>
        </w:rPr>
        <w:t>See</w:t>
      </w:r>
      <w:r w:rsidRPr="008C173B">
        <w:rPr>
          <w:rFonts w:ascii="Times New Roman" w:hAnsi="Times New Roman"/>
          <w:sz w:val="20"/>
        </w:rPr>
        <w:t xml:space="preserve"> Pub. L. No. 114-94, section 86001(b)(2).</w:t>
      </w:r>
    </w:p>
  </w:footnote>
  <w:footnote w:id="10">
    <w:p w:rsidR="00DC1DFB" w:rsidRPr="00701F84" w:rsidRDefault="00DC1DFB" w:rsidP="00286897">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The Commission estimates that up to approximately 30 authorities in the United States may seek to access swap data from SDRs. In the context of potential AFRs, the Commission believes that most requests will come from authorities in G20 countries, each of which will have no more</w:t>
      </w:r>
      <w:r>
        <w:rPr>
          <w:rFonts w:ascii="Times New Roman" w:hAnsi="Times New Roman"/>
          <w:sz w:val="20"/>
        </w:rPr>
        <w:t>,</w:t>
      </w:r>
      <w:r w:rsidRPr="00701F84">
        <w:rPr>
          <w:rFonts w:ascii="Times New Roman" w:hAnsi="Times New Roman"/>
          <w:sz w:val="20"/>
        </w:rPr>
        <w:t xml:space="preserve"> and likely fewer</w:t>
      </w:r>
      <w:r>
        <w:rPr>
          <w:rFonts w:ascii="Times New Roman" w:hAnsi="Times New Roman"/>
          <w:sz w:val="20"/>
        </w:rPr>
        <w:t>,</w:t>
      </w:r>
      <w:r w:rsidRPr="00701F84">
        <w:rPr>
          <w:rFonts w:ascii="Times New Roman" w:hAnsi="Times New Roman"/>
          <w:sz w:val="20"/>
        </w:rPr>
        <w:t xml:space="preserve"> than 30 authorities that may request swap data from SDRs. In addition, certain authorities from outside the G20 also may request swap data from SDRs. Accounting for all of these entities, the Commission estimates that there likely will be a total of no more than 300 relevant domestic and foreign authorities that may request swap data from SDRs.</w:t>
      </w:r>
    </w:p>
  </w:footnote>
  <w:footnote w:id="11">
    <w:p w:rsidR="00DC1DFB" w:rsidRPr="00701F84" w:rsidRDefault="00DC1DFB">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For this activity</w:t>
      </w:r>
      <w:r>
        <w:rPr>
          <w:rFonts w:ascii="Times New Roman" w:hAnsi="Times New Roman"/>
          <w:sz w:val="20"/>
        </w:rPr>
        <w:t>,</w:t>
      </w:r>
      <w:r w:rsidRPr="00701F84">
        <w:rPr>
          <w:rFonts w:ascii="Times New Roman" w:hAnsi="Times New Roman"/>
          <w:sz w:val="20"/>
        </w:rPr>
        <w:t xml:space="preserve"> the Commission uses the SIFMA Report on Management and Professional Earnings in the Securities Industry to estimate costs. The SIFMA Report for 2013, states the mean salary for a compliance attorney is $100,840 with an average bonus of $26,666. This gives $127,506 in average total compensation for a compliance attorney.  This number is divided by 2,000 annual working hours and multiplied by 5.35 to account for overhead to get approximately $341 per hour.  </w:t>
      </w:r>
    </w:p>
  </w:footnote>
  <w:footnote w:id="12">
    <w:p w:rsidR="00DC1DFB" w:rsidRPr="00701F84" w:rsidRDefault="00DC1DFB">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The wage rate used here, as well as for other requirements, unless otherwise stated, is the estimated wage rate used in the prior renewal of Information Collection 3038-0086. This rate is a composite (blended) wage rate by averaging the mean annual salaries of an Assistant/Associate General Counsel, an Assistant Compliance Director, and a Programmer (Senior) as published in the 2013 SIFMA Report and dividing that figure by 2,000 annual working hours to arrive at the hourly rate of $59.11.</w:t>
      </w:r>
    </w:p>
  </w:footnote>
  <w:footnote w:id="13">
    <w:p w:rsidR="00DC1DFB" w:rsidRPr="00701F84" w:rsidRDefault="00DC1DFB">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The hourly wage rate used to estimate the costs associated with these requirements is $296, which is a weighted average of salaries and bonuses across different professions from the SIFMA Report on Management &amp; Professional Earnings in the Securities Industry 2013, modified to account for an 2000-hour work-year and multiplied by 5.35 to account for overhead and other benefits.  The Commission estimated appropriate wage rate is a weighted national average of salary and bonuses for professionals with the following titles (and their relative weight): “programmer (senior)” (10% weight); “programmer” (30%); “compliance advisor (intermediate)” (20%); “compliance attorney” (30%), and “assistant/associate general counsel” (10%).</w:t>
      </w:r>
    </w:p>
  </w:footnote>
  <w:footnote w:id="14">
    <w:p w:rsidR="00DC1DFB" w:rsidRPr="00701F84" w:rsidRDefault="00DC1DFB" w:rsidP="000663C2">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This figure is a composite of the salaries for economists (Grade 11-13) and attorneys (Grade 11-14) in the Commission’s Division of Market Oversight.  In obtaining the composite, Commission staff used the CFTC 2015 Washington Pay Chart (with adjusted locality pay).  This figure does not include employee benefits.</w:t>
      </w:r>
    </w:p>
  </w:footnote>
  <w:footnote w:id="15">
    <w:p w:rsidR="00DC1DFB" w:rsidRPr="00701F84" w:rsidRDefault="00DC1DFB">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Other than modifying the estimated number of covered entities and related estimates, the registration estimates in this table are identical to those found in the Information Collection 3038-0086 renewal dated April 2, 2015.</w:t>
      </w:r>
    </w:p>
  </w:footnote>
  <w:footnote w:id="16">
    <w:p w:rsidR="00DC1DFB" w:rsidRPr="00701F84" w:rsidRDefault="00DC1DFB" w:rsidP="00F26E49">
      <w:pPr>
        <w:pStyle w:val="FootnoteText"/>
        <w:spacing w:before="120" w:after="12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In arriving at a wage rate for the hourly costs imposed, Commission staff used the Report on Management &amp; Professional Earnings in the Securities Industry - 2013 published by the Securities Industry and Financial Markets Associations  (2013 Report).  The wage rate used was determined by 1) calculating the average hourly rate for a paralegal by taking the mean salary for a paralegal (excluding bonuses) and dividing that figure by 2000 annual working hours to arrive at a hourly rate of $31.00, and 2) calculating a composite (blended) wage rate averaging the mean annual salaries (excluding bonuses) of a Compliance Attorney and a Deputy General Counsel, as published in the 2013 report and dividing that figure by 2000 annual working hours to arrive at the hourly rate of $73.97.  Adding these two figures, the wage rate used in this calculation is $104.97.  The Commission has not collected data relevant to this estimate.</w:t>
      </w:r>
    </w:p>
  </w:footnote>
  <w:footnote w:id="17">
    <w:p w:rsidR="00DC1DFB" w:rsidRPr="00701F84" w:rsidRDefault="00DC1DFB" w:rsidP="00F26E49">
      <w:pPr>
        <w:pStyle w:val="FootnoteText"/>
        <w:spacing w:before="120" w:after="120"/>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As described above, </w:t>
      </w:r>
      <w:r>
        <w:rPr>
          <w:rFonts w:ascii="Times New Roman" w:hAnsi="Times New Roman"/>
          <w:sz w:val="20"/>
        </w:rPr>
        <w:t>SDRs located outside the U.S.</w:t>
      </w:r>
      <w:r w:rsidRPr="00701F84">
        <w:rPr>
          <w:rFonts w:ascii="Times New Roman" w:hAnsi="Times New Roman"/>
          <w:sz w:val="20"/>
        </w:rPr>
        <w:t xml:space="preserve"> have an additional initial obligation to file an opinion of counsel.  Such opinion of counsel is estimated to require 20 hours to complete and will most likely be completed by an outside legal service </w:t>
      </w:r>
      <w:r>
        <w:rPr>
          <w:rFonts w:ascii="Times New Roman" w:hAnsi="Times New Roman"/>
          <w:sz w:val="20"/>
        </w:rPr>
        <w:t xml:space="preserve">provider </w:t>
      </w:r>
      <w:r w:rsidRPr="00701F84">
        <w:rPr>
          <w:rFonts w:ascii="Times New Roman" w:hAnsi="Times New Roman"/>
          <w:sz w:val="20"/>
        </w:rPr>
        <w:t>estimated to cost $400 per hour.  Therefore, the total cost to complete an opinion of counsel is estimated to be $8,000 in addition to the initial cost estimated in the table.</w:t>
      </w:r>
    </w:p>
  </w:footnote>
  <w:footnote w:id="18">
    <w:p w:rsidR="00DC1DFB" w:rsidRPr="00701F84" w:rsidRDefault="00DC1DFB">
      <w:pPr>
        <w:pStyle w:val="FootnoteText"/>
        <w:rPr>
          <w:rFonts w:ascii="Times New Roman" w:hAnsi="Times New Roman"/>
          <w:sz w:val="20"/>
        </w:rPr>
      </w:pPr>
      <w:r w:rsidRPr="00701F84">
        <w:rPr>
          <w:rStyle w:val="FootnoteReference"/>
          <w:rFonts w:ascii="Times New Roman" w:hAnsi="Times New Roman"/>
          <w:sz w:val="20"/>
        </w:rPr>
        <w:footnoteRef/>
      </w:r>
      <w:r w:rsidRPr="00701F84">
        <w:rPr>
          <w:rFonts w:ascii="Times New Roman" w:hAnsi="Times New Roman"/>
          <w:sz w:val="20"/>
        </w:rPr>
        <w:t xml:space="preserve"> Other than modifying the estimated number of covered entities and related estimates, the registration estimates in this table are identical to those found in the Information Collection 3038-0086 renewal dated April 2, 2015.</w:t>
      </w:r>
    </w:p>
  </w:footnote>
  <w:footnote w:id="19">
    <w:p w:rsidR="00DC1DFB" w:rsidRPr="00701F84" w:rsidRDefault="00DC1DFB" w:rsidP="000D62F3">
      <w:pPr>
        <w:rPr>
          <w:rFonts w:ascii="Times New Roman" w:hAnsi="Times New Roman"/>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D55FB"/>
    <w:multiLevelType w:val="hybridMultilevel"/>
    <w:tmpl w:val="1C4CD9EC"/>
    <w:lvl w:ilvl="0" w:tplc="A59E1FA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525C"/>
    <w:rsid w:val="0003066E"/>
    <w:rsid w:val="00030FA7"/>
    <w:rsid w:val="00053A78"/>
    <w:rsid w:val="000663C2"/>
    <w:rsid w:val="00076AD8"/>
    <w:rsid w:val="00077AF2"/>
    <w:rsid w:val="00087259"/>
    <w:rsid w:val="000923BC"/>
    <w:rsid w:val="000B11AE"/>
    <w:rsid w:val="000C0809"/>
    <w:rsid w:val="000C5288"/>
    <w:rsid w:val="000D234D"/>
    <w:rsid w:val="000D62F3"/>
    <w:rsid w:val="000E5F32"/>
    <w:rsid w:val="000F7FF6"/>
    <w:rsid w:val="00116A0F"/>
    <w:rsid w:val="00121EAB"/>
    <w:rsid w:val="00165432"/>
    <w:rsid w:val="00166817"/>
    <w:rsid w:val="001A1B61"/>
    <w:rsid w:val="001A5153"/>
    <w:rsid w:val="001B03FC"/>
    <w:rsid w:val="001B6EB5"/>
    <w:rsid w:val="001C1E34"/>
    <w:rsid w:val="001C34A9"/>
    <w:rsid w:val="001D67C3"/>
    <w:rsid w:val="00200E1C"/>
    <w:rsid w:val="00224354"/>
    <w:rsid w:val="0024048A"/>
    <w:rsid w:val="0024274D"/>
    <w:rsid w:val="002610A4"/>
    <w:rsid w:val="002621DC"/>
    <w:rsid w:val="0026234A"/>
    <w:rsid w:val="00267BB3"/>
    <w:rsid w:val="0028035D"/>
    <w:rsid w:val="0028075A"/>
    <w:rsid w:val="00286897"/>
    <w:rsid w:val="002B2B25"/>
    <w:rsid w:val="002C594F"/>
    <w:rsid w:val="002D133A"/>
    <w:rsid w:val="002D7DBB"/>
    <w:rsid w:val="002E07E0"/>
    <w:rsid w:val="00322BB8"/>
    <w:rsid w:val="00324E77"/>
    <w:rsid w:val="00337589"/>
    <w:rsid w:val="00355209"/>
    <w:rsid w:val="00361A1A"/>
    <w:rsid w:val="003705F5"/>
    <w:rsid w:val="00382D02"/>
    <w:rsid w:val="003A6C33"/>
    <w:rsid w:val="003B66AF"/>
    <w:rsid w:val="003D1695"/>
    <w:rsid w:val="003F5279"/>
    <w:rsid w:val="00402472"/>
    <w:rsid w:val="004175DC"/>
    <w:rsid w:val="00426907"/>
    <w:rsid w:val="00427724"/>
    <w:rsid w:val="004429DD"/>
    <w:rsid w:val="00456DD1"/>
    <w:rsid w:val="00467C14"/>
    <w:rsid w:val="004751B9"/>
    <w:rsid w:val="004975C9"/>
    <w:rsid w:val="004C0434"/>
    <w:rsid w:val="004C4DB0"/>
    <w:rsid w:val="004C5622"/>
    <w:rsid w:val="004D62C3"/>
    <w:rsid w:val="004E4E84"/>
    <w:rsid w:val="004F5D0A"/>
    <w:rsid w:val="004F60B5"/>
    <w:rsid w:val="004F6104"/>
    <w:rsid w:val="00501112"/>
    <w:rsid w:val="0053537D"/>
    <w:rsid w:val="005535D3"/>
    <w:rsid w:val="0056503C"/>
    <w:rsid w:val="005C3D45"/>
    <w:rsid w:val="005D0BC9"/>
    <w:rsid w:val="005D63F4"/>
    <w:rsid w:val="005E640B"/>
    <w:rsid w:val="005F1D22"/>
    <w:rsid w:val="005F51FD"/>
    <w:rsid w:val="006007DE"/>
    <w:rsid w:val="00626B6E"/>
    <w:rsid w:val="00636D07"/>
    <w:rsid w:val="00642AA6"/>
    <w:rsid w:val="00674780"/>
    <w:rsid w:val="00691513"/>
    <w:rsid w:val="006A1027"/>
    <w:rsid w:val="006A3B0F"/>
    <w:rsid w:val="006A5EBB"/>
    <w:rsid w:val="006F47E1"/>
    <w:rsid w:val="006F5D92"/>
    <w:rsid w:val="00701F84"/>
    <w:rsid w:val="00701FF1"/>
    <w:rsid w:val="00712BBB"/>
    <w:rsid w:val="0071798A"/>
    <w:rsid w:val="0073198B"/>
    <w:rsid w:val="00737B16"/>
    <w:rsid w:val="00755FEF"/>
    <w:rsid w:val="00760606"/>
    <w:rsid w:val="00765429"/>
    <w:rsid w:val="007779C2"/>
    <w:rsid w:val="00794EB9"/>
    <w:rsid w:val="007A50AE"/>
    <w:rsid w:val="007C602D"/>
    <w:rsid w:val="007D51EA"/>
    <w:rsid w:val="007D6831"/>
    <w:rsid w:val="007E668A"/>
    <w:rsid w:val="00810C89"/>
    <w:rsid w:val="008572DC"/>
    <w:rsid w:val="00891517"/>
    <w:rsid w:val="00892E25"/>
    <w:rsid w:val="008C173B"/>
    <w:rsid w:val="008C4796"/>
    <w:rsid w:val="008C54A5"/>
    <w:rsid w:val="008E1112"/>
    <w:rsid w:val="008E5743"/>
    <w:rsid w:val="008E5969"/>
    <w:rsid w:val="00937859"/>
    <w:rsid w:val="00951A71"/>
    <w:rsid w:val="0095498A"/>
    <w:rsid w:val="00973FE9"/>
    <w:rsid w:val="009740F3"/>
    <w:rsid w:val="00976BA3"/>
    <w:rsid w:val="009A5FF9"/>
    <w:rsid w:val="009B251A"/>
    <w:rsid w:val="009D2FDE"/>
    <w:rsid w:val="009E6EA2"/>
    <w:rsid w:val="009E7331"/>
    <w:rsid w:val="009F20C0"/>
    <w:rsid w:val="00A13095"/>
    <w:rsid w:val="00A43BD9"/>
    <w:rsid w:val="00A546F4"/>
    <w:rsid w:val="00A650CE"/>
    <w:rsid w:val="00A703C5"/>
    <w:rsid w:val="00A90909"/>
    <w:rsid w:val="00A90977"/>
    <w:rsid w:val="00A9182E"/>
    <w:rsid w:val="00A96C4F"/>
    <w:rsid w:val="00AC0BE2"/>
    <w:rsid w:val="00AC38DF"/>
    <w:rsid w:val="00AC78D1"/>
    <w:rsid w:val="00AD5CD8"/>
    <w:rsid w:val="00AF4C11"/>
    <w:rsid w:val="00B047DB"/>
    <w:rsid w:val="00B04F06"/>
    <w:rsid w:val="00B259F6"/>
    <w:rsid w:val="00B26524"/>
    <w:rsid w:val="00B80A9A"/>
    <w:rsid w:val="00BA0C50"/>
    <w:rsid w:val="00BA193A"/>
    <w:rsid w:val="00BB6762"/>
    <w:rsid w:val="00BC644F"/>
    <w:rsid w:val="00BC6B4A"/>
    <w:rsid w:val="00BE1319"/>
    <w:rsid w:val="00BF65A8"/>
    <w:rsid w:val="00BF6EFD"/>
    <w:rsid w:val="00C05EB5"/>
    <w:rsid w:val="00C063C0"/>
    <w:rsid w:val="00C30090"/>
    <w:rsid w:val="00C362CC"/>
    <w:rsid w:val="00C41BDC"/>
    <w:rsid w:val="00C660DD"/>
    <w:rsid w:val="00C67A9E"/>
    <w:rsid w:val="00C8775C"/>
    <w:rsid w:val="00CE636F"/>
    <w:rsid w:val="00CF18F8"/>
    <w:rsid w:val="00D050AB"/>
    <w:rsid w:val="00D111E4"/>
    <w:rsid w:val="00D119CE"/>
    <w:rsid w:val="00D16859"/>
    <w:rsid w:val="00D202BF"/>
    <w:rsid w:val="00D22B84"/>
    <w:rsid w:val="00D40AB8"/>
    <w:rsid w:val="00D43994"/>
    <w:rsid w:val="00D44C1C"/>
    <w:rsid w:val="00D50746"/>
    <w:rsid w:val="00D518FD"/>
    <w:rsid w:val="00D94151"/>
    <w:rsid w:val="00DC1DFB"/>
    <w:rsid w:val="00DD4B9F"/>
    <w:rsid w:val="00E05875"/>
    <w:rsid w:val="00E1491F"/>
    <w:rsid w:val="00E258F5"/>
    <w:rsid w:val="00E61623"/>
    <w:rsid w:val="00E725BB"/>
    <w:rsid w:val="00E72F11"/>
    <w:rsid w:val="00E7571F"/>
    <w:rsid w:val="00E761C9"/>
    <w:rsid w:val="00E93610"/>
    <w:rsid w:val="00EA52CE"/>
    <w:rsid w:val="00EB398E"/>
    <w:rsid w:val="00EB4933"/>
    <w:rsid w:val="00ED033B"/>
    <w:rsid w:val="00ED57BB"/>
    <w:rsid w:val="00ED5E26"/>
    <w:rsid w:val="00ED6C64"/>
    <w:rsid w:val="00EE1F5E"/>
    <w:rsid w:val="00EE77C3"/>
    <w:rsid w:val="00EE7B13"/>
    <w:rsid w:val="00EF70D2"/>
    <w:rsid w:val="00F03973"/>
    <w:rsid w:val="00F1087A"/>
    <w:rsid w:val="00F1439D"/>
    <w:rsid w:val="00F15693"/>
    <w:rsid w:val="00F26E49"/>
    <w:rsid w:val="00F27202"/>
    <w:rsid w:val="00F45B2D"/>
    <w:rsid w:val="00FB23BB"/>
    <w:rsid w:val="00FB3ECC"/>
    <w:rsid w:val="00FB7A62"/>
    <w:rsid w:val="00FE24B9"/>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qFormat="1"/>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style>
  <w:style w:type="character" w:styleId="FootnoteReference">
    <w:name w:val="footnote reference"/>
    <w:aliases w:val="fr,Style 19,Style 16,Style 35,Style 39,Style 14,12"/>
    <w:uiPriority w:val="99"/>
    <w:qForma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uiPriority w:val="99"/>
    <w:semiHidden/>
    <w:unhideWhenUsed/>
    <w:rsid w:val="00A9182E"/>
    <w:rPr>
      <w:sz w:val="16"/>
      <w:szCs w:val="16"/>
    </w:rPr>
  </w:style>
  <w:style w:type="paragraph" w:styleId="CommentText">
    <w:name w:val="annotation text"/>
    <w:basedOn w:val="Normal"/>
    <w:link w:val="CommentTextChar"/>
    <w:uiPriority w:val="99"/>
    <w:semiHidden/>
    <w:unhideWhenUsed/>
    <w:rsid w:val="00A9182E"/>
    <w:rPr>
      <w:rFonts w:ascii="Times New Roman" w:eastAsia="Calibri" w:hAnsi="Times New Roman"/>
      <w:sz w:val="20"/>
    </w:rPr>
  </w:style>
  <w:style w:type="character" w:customStyle="1" w:styleId="CommentTextChar">
    <w:name w:val="Comment Text Char"/>
    <w:link w:val="CommentText"/>
    <w:uiPriority w:val="99"/>
    <w:semiHidden/>
    <w:rsid w:val="00A9182E"/>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A9182E"/>
    <w:rPr>
      <w:rFonts w:ascii="Courier" w:hAnsi="Courier"/>
      <w:sz w:val="24"/>
    </w:rPr>
  </w:style>
  <w:style w:type="paragraph" w:styleId="BalloonText">
    <w:name w:val="Balloon Text"/>
    <w:basedOn w:val="Normal"/>
    <w:link w:val="BalloonTextChar"/>
    <w:uiPriority w:val="99"/>
    <w:semiHidden/>
    <w:unhideWhenUsed/>
    <w:rsid w:val="00A9182E"/>
    <w:rPr>
      <w:rFonts w:ascii="Tahoma" w:hAnsi="Tahoma" w:cs="Tahoma"/>
      <w:sz w:val="16"/>
      <w:szCs w:val="16"/>
    </w:rPr>
  </w:style>
  <w:style w:type="character" w:customStyle="1" w:styleId="BalloonTextChar">
    <w:name w:val="Balloon Text Char"/>
    <w:link w:val="BalloonText"/>
    <w:uiPriority w:val="99"/>
    <w:semiHidden/>
    <w:rsid w:val="00A9182E"/>
    <w:rPr>
      <w:rFonts w:ascii="Tahoma" w:hAnsi="Tahoma" w:cs="Tahoma"/>
      <w:sz w:val="16"/>
      <w:szCs w:val="16"/>
    </w:rPr>
  </w:style>
  <w:style w:type="paragraph" w:styleId="PlainText">
    <w:name w:val="Plain Text"/>
    <w:basedOn w:val="Normal"/>
    <w:link w:val="PlainTextChar"/>
    <w:uiPriority w:val="99"/>
    <w:unhideWhenUsed/>
    <w:rsid w:val="00642AA6"/>
    <w:rPr>
      <w:rFonts w:ascii="Calibri" w:hAnsi="Calibri"/>
      <w:color w:val="1F497D"/>
      <w:sz w:val="22"/>
      <w:szCs w:val="21"/>
    </w:rPr>
  </w:style>
  <w:style w:type="character" w:customStyle="1" w:styleId="PlainTextChar">
    <w:name w:val="Plain Text Char"/>
    <w:link w:val="PlainText"/>
    <w:uiPriority w:val="99"/>
    <w:rsid w:val="00642AA6"/>
    <w:rPr>
      <w:rFonts w:ascii="Calibri" w:hAnsi="Calibri"/>
      <w:color w:val="1F497D"/>
      <w:sz w:val="22"/>
      <w:szCs w:val="21"/>
    </w:rPr>
  </w:style>
  <w:style w:type="paragraph" w:customStyle="1" w:styleId="FRBodyText">
    <w:name w:val="FR Body Text"/>
    <w:basedOn w:val="Normal"/>
    <w:link w:val="FRBodyTextChar"/>
    <w:qFormat/>
    <w:rsid w:val="00286897"/>
    <w:pPr>
      <w:spacing w:line="480" w:lineRule="auto"/>
      <w:ind w:firstLine="720"/>
    </w:pPr>
    <w:rPr>
      <w:rFonts w:ascii="Times New Roman" w:eastAsiaTheme="minorHAnsi" w:hAnsi="Times New Roman"/>
      <w:szCs w:val="24"/>
    </w:rPr>
  </w:style>
  <w:style w:type="character" w:customStyle="1" w:styleId="FRBodyTextChar">
    <w:name w:val="FR Body Text Char"/>
    <w:basedOn w:val="DefaultParagraphFont"/>
    <w:link w:val="FRBodyText"/>
    <w:rsid w:val="00286897"/>
    <w:rPr>
      <w:rFonts w:eastAsiaTheme="minorHAnsi"/>
      <w:sz w:val="24"/>
      <w:szCs w:val="24"/>
    </w:rPr>
  </w:style>
  <w:style w:type="paragraph" w:styleId="Header">
    <w:name w:val="header"/>
    <w:basedOn w:val="Normal"/>
    <w:link w:val="HeaderChar"/>
    <w:uiPriority w:val="99"/>
    <w:unhideWhenUsed/>
    <w:rsid w:val="00E72F11"/>
    <w:pPr>
      <w:tabs>
        <w:tab w:val="center" w:pos="4680"/>
        <w:tab w:val="right" w:pos="9360"/>
      </w:tabs>
    </w:pPr>
  </w:style>
  <w:style w:type="character" w:customStyle="1" w:styleId="HeaderChar">
    <w:name w:val="Header Char"/>
    <w:basedOn w:val="DefaultParagraphFont"/>
    <w:link w:val="Header"/>
    <w:uiPriority w:val="99"/>
    <w:rsid w:val="00E72F11"/>
    <w:rPr>
      <w:rFonts w:ascii="Courier" w:hAnsi="Courier"/>
      <w:sz w:val="24"/>
    </w:rPr>
  </w:style>
  <w:style w:type="paragraph" w:styleId="Footer">
    <w:name w:val="footer"/>
    <w:basedOn w:val="Normal"/>
    <w:link w:val="FooterChar"/>
    <w:uiPriority w:val="99"/>
    <w:unhideWhenUsed/>
    <w:rsid w:val="00E72F11"/>
    <w:pPr>
      <w:tabs>
        <w:tab w:val="center" w:pos="4680"/>
        <w:tab w:val="right" w:pos="9360"/>
      </w:tabs>
    </w:pPr>
  </w:style>
  <w:style w:type="character" w:customStyle="1" w:styleId="FooterChar">
    <w:name w:val="Footer Char"/>
    <w:basedOn w:val="DefaultParagraphFont"/>
    <w:link w:val="Footer"/>
    <w:uiPriority w:val="99"/>
    <w:rsid w:val="00E72F11"/>
    <w:rPr>
      <w:rFonts w:ascii="Courier" w:hAnsi="Courier"/>
      <w:sz w:val="24"/>
    </w:rPr>
  </w:style>
  <w:style w:type="paragraph" w:styleId="BodyTextIndent">
    <w:name w:val="Body Text Indent"/>
    <w:basedOn w:val="Normal"/>
    <w:link w:val="BodyTextIndentChar"/>
    <w:unhideWhenUsed/>
    <w:rsid w:val="00E725BB"/>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E725BB"/>
    <w:rPr>
      <w:sz w:val="24"/>
      <w:szCs w:val="24"/>
    </w:rPr>
  </w:style>
  <w:style w:type="paragraph" w:styleId="CommentSubject">
    <w:name w:val="annotation subject"/>
    <w:basedOn w:val="CommentText"/>
    <w:next w:val="CommentText"/>
    <w:link w:val="CommentSubjectChar"/>
    <w:uiPriority w:val="99"/>
    <w:semiHidden/>
    <w:unhideWhenUsed/>
    <w:rsid w:val="003D1695"/>
    <w:rPr>
      <w:rFonts w:ascii="Courier" w:eastAsia="Times New Roman" w:hAnsi="Courier"/>
      <w:b/>
      <w:bCs/>
    </w:rPr>
  </w:style>
  <w:style w:type="character" w:customStyle="1" w:styleId="CommentSubjectChar">
    <w:name w:val="Comment Subject Char"/>
    <w:basedOn w:val="CommentTextChar"/>
    <w:link w:val="CommentSubject"/>
    <w:uiPriority w:val="99"/>
    <w:semiHidden/>
    <w:rsid w:val="003D1695"/>
    <w:rPr>
      <w:rFonts w:ascii="Courier" w:eastAsia="Calibri" w:hAnsi="Courier"/>
      <w:b/>
      <w:bCs/>
    </w:rPr>
  </w:style>
  <w:style w:type="character" w:styleId="Hyperlink">
    <w:name w:val="Hyperlink"/>
    <w:basedOn w:val="DefaultParagraphFont"/>
    <w:uiPriority w:val="99"/>
    <w:unhideWhenUsed/>
    <w:rsid w:val="00D43994"/>
    <w:rPr>
      <w:strike w:val="0"/>
      <w:dstrike w:val="0"/>
      <w:color w:val="2471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qFormat="1"/>
    <w:lsdException w:name="footnote reference" w:qFormat="1"/>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style>
  <w:style w:type="character" w:styleId="FootnoteReference">
    <w:name w:val="footnote reference"/>
    <w:aliases w:val="fr,Style 19,Style 16,Style 35,Style 39,Style 14,12"/>
    <w:uiPriority w:val="99"/>
    <w:qForma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uiPriority w:val="99"/>
    <w:semiHidden/>
    <w:unhideWhenUsed/>
    <w:rsid w:val="00A9182E"/>
    <w:rPr>
      <w:sz w:val="16"/>
      <w:szCs w:val="16"/>
    </w:rPr>
  </w:style>
  <w:style w:type="paragraph" w:styleId="CommentText">
    <w:name w:val="annotation text"/>
    <w:basedOn w:val="Normal"/>
    <w:link w:val="CommentTextChar"/>
    <w:uiPriority w:val="99"/>
    <w:semiHidden/>
    <w:unhideWhenUsed/>
    <w:rsid w:val="00A9182E"/>
    <w:rPr>
      <w:rFonts w:ascii="Times New Roman" w:eastAsia="Calibri" w:hAnsi="Times New Roman"/>
      <w:sz w:val="20"/>
    </w:rPr>
  </w:style>
  <w:style w:type="character" w:customStyle="1" w:styleId="CommentTextChar">
    <w:name w:val="Comment Text Char"/>
    <w:link w:val="CommentText"/>
    <w:uiPriority w:val="99"/>
    <w:semiHidden/>
    <w:rsid w:val="00A9182E"/>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sid w:val="00A9182E"/>
    <w:rPr>
      <w:rFonts w:ascii="Courier" w:hAnsi="Courier"/>
      <w:sz w:val="24"/>
    </w:rPr>
  </w:style>
  <w:style w:type="paragraph" w:styleId="BalloonText">
    <w:name w:val="Balloon Text"/>
    <w:basedOn w:val="Normal"/>
    <w:link w:val="BalloonTextChar"/>
    <w:uiPriority w:val="99"/>
    <w:semiHidden/>
    <w:unhideWhenUsed/>
    <w:rsid w:val="00A9182E"/>
    <w:rPr>
      <w:rFonts w:ascii="Tahoma" w:hAnsi="Tahoma" w:cs="Tahoma"/>
      <w:sz w:val="16"/>
      <w:szCs w:val="16"/>
    </w:rPr>
  </w:style>
  <w:style w:type="character" w:customStyle="1" w:styleId="BalloonTextChar">
    <w:name w:val="Balloon Text Char"/>
    <w:link w:val="BalloonText"/>
    <w:uiPriority w:val="99"/>
    <w:semiHidden/>
    <w:rsid w:val="00A9182E"/>
    <w:rPr>
      <w:rFonts w:ascii="Tahoma" w:hAnsi="Tahoma" w:cs="Tahoma"/>
      <w:sz w:val="16"/>
      <w:szCs w:val="16"/>
    </w:rPr>
  </w:style>
  <w:style w:type="paragraph" w:styleId="PlainText">
    <w:name w:val="Plain Text"/>
    <w:basedOn w:val="Normal"/>
    <w:link w:val="PlainTextChar"/>
    <w:uiPriority w:val="99"/>
    <w:unhideWhenUsed/>
    <w:rsid w:val="00642AA6"/>
    <w:rPr>
      <w:rFonts w:ascii="Calibri" w:hAnsi="Calibri"/>
      <w:color w:val="1F497D"/>
      <w:sz w:val="22"/>
      <w:szCs w:val="21"/>
    </w:rPr>
  </w:style>
  <w:style w:type="character" w:customStyle="1" w:styleId="PlainTextChar">
    <w:name w:val="Plain Text Char"/>
    <w:link w:val="PlainText"/>
    <w:uiPriority w:val="99"/>
    <w:rsid w:val="00642AA6"/>
    <w:rPr>
      <w:rFonts w:ascii="Calibri" w:hAnsi="Calibri"/>
      <w:color w:val="1F497D"/>
      <w:sz w:val="22"/>
      <w:szCs w:val="21"/>
    </w:rPr>
  </w:style>
  <w:style w:type="paragraph" w:customStyle="1" w:styleId="FRBodyText">
    <w:name w:val="FR Body Text"/>
    <w:basedOn w:val="Normal"/>
    <w:link w:val="FRBodyTextChar"/>
    <w:qFormat/>
    <w:rsid w:val="00286897"/>
    <w:pPr>
      <w:spacing w:line="480" w:lineRule="auto"/>
      <w:ind w:firstLine="720"/>
    </w:pPr>
    <w:rPr>
      <w:rFonts w:ascii="Times New Roman" w:eastAsiaTheme="minorHAnsi" w:hAnsi="Times New Roman"/>
      <w:szCs w:val="24"/>
    </w:rPr>
  </w:style>
  <w:style w:type="character" w:customStyle="1" w:styleId="FRBodyTextChar">
    <w:name w:val="FR Body Text Char"/>
    <w:basedOn w:val="DefaultParagraphFont"/>
    <w:link w:val="FRBodyText"/>
    <w:rsid w:val="00286897"/>
    <w:rPr>
      <w:rFonts w:eastAsiaTheme="minorHAnsi"/>
      <w:sz w:val="24"/>
      <w:szCs w:val="24"/>
    </w:rPr>
  </w:style>
  <w:style w:type="paragraph" w:styleId="Header">
    <w:name w:val="header"/>
    <w:basedOn w:val="Normal"/>
    <w:link w:val="HeaderChar"/>
    <w:uiPriority w:val="99"/>
    <w:unhideWhenUsed/>
    <w:rsid w:val="00E72F11"/>
    <w:pPr>
      <w:tabs>
        <w:tab w:val="center" w:pos="4680"/>
        <w:tab w:val="right" w:pos="9360"/>
      </w:tabs>
    </w:pPr>
  </w:style>
  <w:style w:type="character" w:customStyle="1" w:styleId="HeaderChar">
    <w:name w:val="Header Char"/>
    <w:basedOn w:val="DefaultParagraphFont"/>
    <w:link w:val="Header"/>
    <w:uiPriority w:val="99"/>
    <w:rsid w:val="00E72F11"/>
    <w:rPr>
      <w:rFonts w:ascii="Courier" w:hAnsi="Courier"/>
      <w:sz w:val="24"/>
    </w:rPr>
  </w:style>
  <w:style w:type="paragraph" w:styleId="Footer">
    <w:name w:val="footer"/>
    <w:basedOn w:val="Normal"/>
    <w:link w:val="FooterChar"/>
    <w:uiPriority w:val="99"/>
    <w:unhideWhenUsed/>
    <w:rsid w:val="00E72F11"/>
    <w:pPr>
      <w:tabs>
        <w:tab w:val="center" w:pos="4680"/>
        <w:tab w:val="right" w:pos="9360"/>
      </w:tabs>
    </w:pPr>
  </w:style>
  <w:style w:type="character" w:customStyle="1" w:styleId="FooterChar">
    <w:name w:val="Footer Char"/>
    <w:basedOn w:val="DefaultParagraphFont"/>
    <w:link w:val="Footer"/>
    <w:uiPriority w:val="99"/>
    <w:rsid w:val="00E72F11"/>
    <w:rPr>
      <w:rFonts w:ascii="Courier" w:hAnsi="Courier"/>
      <w:sz w:val="24"/>
    </w:rPr>
  </w:style>
  <w:style w:type="paragraph" w:styleId="BodyTextIndent">
    <w:name w:val="Body Text Indent"/>
    <w:basedOn w:val="Normal"/>
    <w:link w:val="BodyTextIndentChar"/>
    <w:unhideWhenUsed/>
    <w:rsid w:val="00E725BB"/>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E725BB"/>
    <w:rPr>
      <w:sz w:val="24"/>
      <w:szCs w:val="24"/>
    </w:rPr>
  </w:style>
  <w:style w:type="paragraph" w:styleId="CommentSubject">
    <w:name w:val="annotation subject"/>
    <w:basedOn w:val="CommentText"/>
    <w:next w:val="CommentText"/>
    <w:link w:val="CommentSubjectChar"/>
    <w:uiPriority w:val="99"/>
    <w:semiHidden/>
    <w:unhideWhenUsed/>
    <w:rsid w:val="003D1695"/>
    <w:rPr>
      <w:rFonts w:ascii="Courier" w:eastAsia="Times New Roman" w:hAnsi="Courier"/>
      <w:b/>
      <w:bCs/>
    </w:rPr>
  </w:style>
  <w:style w:type="character" w:customStyle="1" w:styleId="CommentSubjectChar">
    <w:name w:val="Comment Subject Char"/>
    <w:basedOn w:val="CommentTextChar"/>
    <w:link w:val="CommentSubject"/>
    <w:uiPriority w:val="99"/>
    <w:semiHidden/>
    <w:rsid w:val="003D1695"/>
    <w:rPr>
      <w:rFonts w:ascii="Courier" w:eastAsia="Calibri" w:hAnsi="Courier"/>
      <w:b/>
      <w:bCs/>
    </w:rPr>
  </w:style>
  <w:style w:type="character" w:styleId="Hyperlink">
    <w:name w:val="Hyperlink"/>
    <w:basedOn w:val="DefaultParagraphFont"/>
    <w:uiPriority w:val="99"/>
    <w:unhideWhenUsed/>
    <w:rsid w:val="00D43994"/>
    <w:rPr>
      <w:strike w:val="0"/>
      <w:dstrike w:val="0"/>
      <w:color w:val="2471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2157">
      <w:bodyDiv w:val="1"/>
      <w:marLeft w:val="0"/>
      <w:marRight w:val="0"/>
      <w:marTop w:val="0"/>
      <w:marBottom w:val="0"/>
      <w:divBdr>
        <w:top w:val="none" w:sz="0" w:space="0" w:color="auto"/>
        <w:left w:val="none" w:sz="0" w:space="0" w:color="auto"/>
        <w:bottom w:val="none" w:sz="0" w:space="0" w:color="auto"/>
        <w:right w:val="none" w:sz="0" w:space="0" w:color="auto"/>
      </w:divBdr>
    </w:div>
    <w:div w:id="1365473051">
      <w:bodyDiv w:val="1"/>
      <w:marLeft w:val="0"/>
      <w:marRight w:val="0"/>
      <w:marTop w:val="0"/>
      <w:marBottom w:val="0"/>
      <w:divBdr>
        <w:top w:val="none" w:sz="0" w:space="0" w:color="auto"/>
        <w:left w:val="none" w:sz="0" w:space="0" w:color="auto"/>
        <w:bottom w:val="none" w:sz="0" w:space="0" w:color="auto"/>
        <w:right w:val="none" w:sz="0" w:space="0" w:color="auto"/>
      </w:divBdr>
    </w:div>
    <w:div w:id="16956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javascript:__doPostBack('ctl00$ctl00$cphContentMain$MainContent$gvAttachments$ctl00$ctl04$gac_AssetAttach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9D28765341810F01AEF36B1ED6" ma:contentTypeVersion="0" ma:contentTypeDescription="Create a new document." ma:contentTypeScope="" ma:versionID="23ed24135212c225ced1c5f027e131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2942-2147-424F-B995-6CF21E83833E}">
  <ds:schemaRefs>
    <ds:schemaRef ds:uri="http://schemas.microsoft.com/sharepoint/v3/contenttype/forms"/>
  </ds:schemaRefs>
</ds:datastoreItem>
</file>

<file path=customXml/itemProps2.xml><?xml version="1.0" encoding="utf-8"?>
<ds:datastoreItem xmlns:ds="http://schemas.openxmlformats.org/officeDocument/2006/customXml" ds:itemID="{973055AD-FFFC-4457-A9CB-E194A8F3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836E96-4C12-4AD0-B68F-D0C72790D6FA}">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E68534E-D88C-437B-9C3F-C8FA8419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6763</Words>
  <Characters>38551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45224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SYSTEM</cp:lastModifiedBy>
  <cp:revision>2</cp:revision>
  <cp:lastPrinted>2016-11-17T14:40:00Z</cp:lastPrinted>
  <dcterms:created xsi:type="dcterms:W3CDTF">2018-06-05T19:56:00Z</dcterms:created>
  <dcterms:modified xsi:type="dcterms:W3CDTF">2018-06-05T19:56:00Z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0x010100941C4C9D28765341810F01AEF36B1ED6</vt:lpwstr>
  </property>
</Properties>
</file>