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63C5C3" w14:textId="77777777" w:rsidR="00A73D65" w:rsidRPr="002452B7" w:rsidRDefault="00A73D65" w:rsidP="00A73D65">
      <w:pPr>
        <w:jc w:val="center"/>
        <w:rPr>
          <w:rFonts w:ascii="Times New Roman" w:hAnsi="Times New Roman"/>
          <w:szCs w:val="24"/>
        </w:rPr>
      </w:pPr>
      <w:bookmarkStart w:id="0" w:name="_GoBack"/>
      <w:bookmarkEnd w:id="0"/>
      <w:r w:rsidRPr="002452B7">
        <w:rPr>
          <w:rFonts w:ascii="Times New Roman" w:hAnsi="Times New Roman"/>
          <w:szCs w:val="24"/>
        </w:rPr>
        <w:t>SUPPORTING STATEMENT FOR NEW INFORMATION COLLECTIONS</w:t>
      </w:r>
      <w:r w:rsidR="00A67278" w:rsidRPr="002452B7">
        <w:rPr>
          <w:rFonts w:ascii="Times New Roman" w:hAnsi="Times New Roman"/>
          <w:szCs w:val="24"/>
        </w:rPr>
        <w:fldChar w:fldCharType="begin"/>
      </w:r>
      <w:r w:rsidRPr="002452B7">
        <w:rPr>
          <w:rFonts w:ascii="Times New Roman" w:hAnsi="Times New Roman"/>
          <w:szCs w:val="24"/>
        </w:rPr>
        <w:instrText xml:space="preserve">PRIVATE </w:instrText>
      </w:r>
      <w:r w:rsidR="00A67278" w:rsidRPr="002452B7">
        <w:rPr>
          <w:rFonts w:ascii="Times New Roman" w:hAnsi="Times New Roman"/>
          <w:szCs w:val="24"/>
        </w:rPr>
        <w:fldChar w:fldCharType="end"/>
      </w:r>
    </w:p>
    <w:p w14:paraId="15A6ABC7" w14:textId="77777777" w:rsidR="00A73D65" w:rsidRPr="002452B7" w:rsidRDefault="00A73D65" w:rsidP="00A73D65">
      <w:pPr>
        <w:jc w:val="center"/>
        <w:rPr>
          <w:rFonts w:ascii="Times New Roman" w:hAnsi="Times New Roman"/>
          <w:szCs w:val="24"/>
        </w:rPr>
      </w:pPr>
    </w:p>
    <w:p w14:paraId="3618A4EB" w14:textId="77777777" w:rsidR="00A73D65" w:rsidRPr="002452B7" w:rsidRDefault="00A73D65" w:rsidP="00A73D65">
      <w:pPr>
        <w:pStyle w:val="Title"/>
        <w:spacing w:after="240"/>
        <w:rPr>
          <w:b w:val="0"/>
          <w:sz w:val="24"/>
          <w:szCs w:val="24"/>
        </w:rPr>
      </w:pPr>
      <w:r w:rsidRPr="002452B7">
        <w:rPr>
          <w:b w:val="0"/>
          <w:sz w:val="24"/>
          <w:szCs w:val="24"/>
        </w:rPr>
        <w:t xml:space="preserve">Part 20 – </w:t>
      </w:r>
      <w:r w:rsidR="00A416A2" w:rsidRPr="002452B7">
        <w:rPr>
          <w:b w:val="0"/>
          <w:sz w:val="24"/>
          <w:szCs w:val="24"/>
        </w:rPr>
        <w:t>Large Trader Reporting for Physical Commodity Swaps</w:t>
      </w:r>
    </w:p>
    <w:p w14:paraId="6A7BAAFA" w14:textId="77777777" w:rsidR="00A73D65" w:rsidRPr="002452B7" w:rsidRDefault="00A82CCF" w:rsidP="00A73D65">
      <w:pPr>
        <w:jc w:val="center"/>
        <w:rPr>
          <w:rFonts w:ascii="Times New Roman" w:hAnsi="Times New Roman"/>
          <w:szCs w:val="24"/>
        </w:rPr>
      </w:pPr>
      <w:r>
        <w:rPr>
          <w:rFonts w:ascii="Times New Roman" w:hAnsi="Times New Roman"/>
          <w:szCs w:val="24"/>
        </w:rPr>
        <w:t>OMB CONTROL NUMBER 3038-</w:t>
      </w:r>
      <w:r w:rsidR="00F56BDC">
        <w:rPr>
          <w:rFonts w:ascii="Times New Roman" w:hAnsi="Times New Roman"/>
          <w:szCs w:val="24"/>
        </w:rPr>
        <w:t>0095</w:t>
      </w:r>
    </w:p>
    <w:p w14:paraId="255B3055" w14:textId="77777777" w:rsidR="00A73D65" w:rsidRPr="002452B7" w:rsidRDefault="00A73D65" w:rsidP="00A73D65">
      <w:pPr>
        <w:rPr>
          <w:rFonts w:ascii="Times New Roman" w:hAnsi="Times New Roman"/>
          <w:szCs w:val="24"/>
        </w:rPr>
      </w:pPr>
    </w:p>
    <w:p w14:paraId="3659FBDB" w14:textId="77777777" w:rsidR="00A73D65" w:rsidRPr="002452B7" w:rsidRDefault="00A82CCF" w:rsidP="00A73D65">
      <w:pPr>
        <w:tabs>
          <w:tab w:val="left" w:pos="-720"/>
        </w:tabs>
        <w:suppressAutoHyphens/>
        <w:rPr>
          <w:rFonts w:ascii="Times New Roman" w:hAnsi="Times New Roman"/>
          <w:szCs w:val="24"/>
        </w:rPr>
      </w:pPr>
      <w:r>
        <w:rPr>
          <w:rFonts w:ascii="Times New Roman" w:hAnsi="Times New Roman"/>
          <w:szCs w:val="24"/>
          <w:u w:val="single"/>
        </w:rPr>
        <w:t>Justification</w:t>
      </w:r>
    </w:p>
    <w:p w14:paraId="351FC545" w14:textId="77777777" w:rsidR="00A73D65" w:rsidRPr="002452B7" w:rsidRDefault="00A73D65" w:rsidP="00A73D65">
      <w:pPr>
        <w:tabs>
          <w:tab w:val="left" w:pos="-720"/>
        </w:tabs>
        <w:suppressAutoHyphens/>
        <w:rPr>
          <w:rFonts w:ascii="Times New Roman" w:hAnsi="Times New Roman"/>
          <w:szCs w:val="24"/>
        </w:rPr>
      </w:pPr>
    </w:p>
    <w:p w14:paraId="1EDFB133" w14:textId="77777777" w:rsidR="00A73D65" w:rsidRPr="00C46F96" w:rsidRDefault="00A82CCF" w:rsidP="00A73D65">
      <w:pPr>
        <w:pStyle w:val="ListParagraph"/>
        <w:numPr>
          <w:ilvl w:val="0"/>
          <w:numId w:val="1"/>
        </w:numPr>
        <w:tabs>
          <w:tab w:val="left" w:pos="-720"/>
          <w:tab w:val="left" w:pos="0"/>
        </w:tabs>
        <w:suppressAutoHyphens/>
        <w:rPr>
          <w:b/>
          <w:szCs w:val="24"/>
          <w:u w:val="single"/>
        </w:rPr>
      </w:pPr>
      <w:r w:rsidRPr="00C46F96">
        <w:rPr>
          <w:b/>
          <w:szCs w:val="24"/>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069DAFCC" w14:textId="77777777" w:rsidR="00A73D65" w:rsidRPr="002452B7" w:rsidRDefault="00A73D65" w:rsidP="00A73D65">
      <w:pPr>
        <w:tabs>
          <w:tab w:val="left" w:pos="-720"/>
          <w:tab w:val="left" w:pos="0"/>
        </w:tabs>
        <w:suppressAutoHyphens/>
        <w:rPr>
          <w:rFonts w:ascii="Times New Roman" w:hAnsi="Times New Roman"/>
          <w:szCs w:val="24"/>
        </w:rPr>
      </w:pPr>
    </w:p>
    <w:p w14:paraId="6A6DD669" w14:textId="77777777" w:rsidR="00A67278" w:rsidRDefault="00A82CCF">
      <w:pPr>
        <w:tabs>
          <w:tab w:val="left" w:pos="-720"/>
          <w:tab w:val="left" w:pos="0"/>
        </w:tabs>
        <w:suppressAutoHyphens/>
        <w:rPr>
          <w:rFonts w:ascii="Times New Roman" w:hAnsi="Times New Roman"/>
          <w:szCs w:val="24"/>
        </w:rPr>
      </w:pPr>
      <w:r>
        <w:rPr>
          <w:rFonts w:ascii="Times New Roman" w:hAnsi="Times New Roman"/>
          <w:szCs w:val="24"/>
        </w:rPr>
        <w:tab/>
        <w:t>On July 21, 2010, the Dodd-Frank Wall Street Reform and Consumer Protection Act (“Dodd-Frank Act”) went into effect.</w:t>
      </w:r>
      <w:r>
        <w:rPr>
          <w:rStyle w:val="FootnoteReference"/>
          <w:rFonts w:ascii="Times New Roman" w:hAnsi="Times New Roman"/>
          <w:szCs w:val="24"/>
        </w:rPr>
        <w:footnoteReference w:id="1"/>
      </w:r>
      <w:r w:rsidRPr="00A82CCF">
        <w:rPr>
          <w:rFonts w:ascii="Times New Roman" w:hAnsi="Times New Roman"/>
          <w:szCs w:val="24"/>
        </w:rPr>
        <w:t xml:space="preserve">  Title VII of the Dodd-Frank Act amends the Commodity Exchange Act (“Act” or “CEA”)</w:t>
      </w:r>
      <w:r>
        <w:rPr>
          <w:rStyle w:val="FootnoteReference"/>
          <w:rFonts w:ascii="Times New Roman" w:hAnsi="Times New Roman"/>
          <w:szCs w:val="24"/>
        </w:rPr>
        <w:footnoteReference w:id="2"/>
      </w:r>
      <w:r w:rsidRPr="00A82CCF">
        <w:rPr>
          <w:rFonts w:ascii="Times New Roman" w:hAnsi="Times New Roman"/>
          <w:szCs w:val="24"/>
        </w:rPr>
        <w:t xml:space="preserve"> to establish a comprehensive new regulatory framework for swaps and security-based swaps.  On </w:t>
      </w:r>
      <w:r w:rsidR="00177F06">
        <w:rPr>
          <w:rFonts w:ascii="Times New Roman" w:hAnsi="Times New Roman"/>
          <w:szCs w:val="24"/>
        </w:rPr>
        <w:t>July 22, 2011</w:t>
      </w:r>
      <w:r w:rsidRPr="00A82CCF">
        <w:rPr>
          <w:rFonts w:ascii="Times New Roman" w:hAnsi="Times New Roman"/>
          <w:szCs w:val="24"/>
        </w:rPr>
        <w:t xml:space="preserve">, the Commodity Futures Trading Commission (“CFTC” or “Commission”) </w:t>
      </w:r>
      <w:r w:rsidR="00177F06">
        <w:rPr>
          <w:rFonts w:ascii="Times New Roman" w:hAnsi="Times New Roman"/>
          <w:szCs w:val="24"/>
        </w:rPr>
        <w:t xml:space="preserve">adopted </w:t>
      </w:r>
      <w:r w:rsidR="00380471">
        <w:rPr>
          <w:rFonts w:ascii="Times New Roman" w:hAnsi="Times New Roman"/>
          <w:szCs w:val="24"/>
        </w:rPr>
        <w:t>r</w:t>
      </w:r>
      <w:r w:rsidR="00177F06" w:rsidRPr="00A82CCF">
        <w:rPr>
          <w:rFonts w:ascii="Times New Roman" w:hAnsi="Times New Roman"/>
          <w:szCs w:val="24"/>
        </w:rPr>
        <w:t>eporting</w:t>
      </w:r>
      <w:r w:rsidRPr="00A82CCF">
        <w:rPr>
          <w:rFonts w:ascii="Times New Roman" w:hAnsi="Times New Roman"/>
          <w:szCs w:val="24"/>
        </w:rPr>
        <w:t xml:space="preserve"> </w:t>
      </w:r>
      <w:r w:rsidR="00380471">
        <w:rPr>
          <w:rFonts w:ascii="Times New Roman" w:hAnsi="Times New Roman"/>
          <w:szCs w:val="24"/>
        </w:rPr>
        <w:t>r</w:t>
      </w:r>
      <w:r w:rsidRPr="00A82CCF">
        <w:rPr>
          <w:rFonts w:ascii="Times New Roman" w:hAnsi="Times New Roman"/>
          <w:szCs w:val="24"/>
        </w:rPr>
        <w:t>ules that, in addition to establishing recordkeeping requirements, require routine swaps position reports from clearing organizations, clearing members and swap dealers and apply non-routine reporting requirement</w:t>
      </w:r>
      <w:r w:rsidR="005415F5">
        <w:rPr>
          <w:rFonts w:ascii="Times New Roman" w:hAnsi="Times New Roman"/>
          <w:szCs w:val="24"/>
        </w:rPr>
        <w:t>s to large swaps traders.  The r</w:t>
      </w:r>
      <w:r w:rsidRPr="00A82CCF">
        <w:rPr>
          <w:rFonts w:ascii="Times New Roman" w:hAnsi="Times New Roman"/>
          <w:szCs w:val="24"/>
        </w:rPr>
        <w:t xml:space="preserve">eporting </w:t>
      </w:r>
      <w:r w:rsidR="005415F5">
        <w:rPr>
          <w:rFonts w:ascii="Times New Roman" w:hAnsi="Times New Roman"/>
          <w:szCs w:val="24"/>
        </w:rPr>
        <w:t>r</w:t>
      </w:r>
      <w:r w:rsidR="00380471">
        <w:rPr>
          <w:rFonts w:ascii="Times New Roman" w:hAnsi="Times New Roman"/>
          <w:szCs w:val="24"/>
        </w:rPr>
        <w:t>ules</w:t>
      </w:r>
      <w:r w:rsidR="005415F5">
        <w:rPr>
          <w:rFonts w:ascii="Times New Roman" w:hAnsi="Times New Roman"/>
          <w:szCs w:val="24"/>
        </w:rPr>
        <w:t xml:space="preserve"> (“Reporting Rules”)</w:t>
      </w:r>
      <w:r w:rsidR="00380471">
        <w:rPr>
          <w:rFonts w:ascii="Times New Roman" w:hAnsi="Times New Roman"/>
          <w:szCs w:val="24"/>
        </w:rPr>
        <w:t xml:space="preserve">, primarily set out in </w:t>
      </w:r>
      <w:r w:rsidRPr="00A82CCF">
        <w:rPr>
          <w:rFonts w:ascii="Times New Roman" w:hAnsi="Times New Roman"/>
          <w:szCs w:val="24"/>
        </w:rPr>
        <w:t>part 20 of the Commission’s regulations</w:t>
      </w:r>
      <w:r w:rsidR="00380471">
        <w:rPr>
          <w:rFonts w:ascii="Times New Roman" w:hAnsi="Times New Roman"/>
          <w:szCs w:val="24"/>
        </w:rPr>
        <w:t>,</w:t>
      </w:r>
      <w:r w:rsidRPr="00A82CCF">
        <w:rPr>
          <w:rFonts w:ascii="Times New Roman" w:hAnsi="Times New Roman"/>
          <w:szCs w:val="24"/>
        </w:rPr>
        <w:t xml:space="preserve"> were adopted primarily pursuant to sections 4t, 4a and </w:t>
      </w:r>
      <w:r w:rsidR="00F7590C">
        <w:rPr>
          <w:rFonts w:ascii="Times New Roman" w:hAnsi="Times New Roman"/>
          <w:szCs w:val="24"/>
        </w:rPr>
        <w:t>8a(5)</w:t>
      </w:r>
      <w:r w:rsidRPr="00A82CCF">
        <w:rPr>
          <w:rFonts w:ascii="Times New Roman" w:hAnsi="Times New Roman"/>
          <w:szCs w:val="24"/>
        </w:rPr>
        <w:t xml:space="preserve"> of the Act.</w:t>
      </w:r>
    </w:p>
    <w:p w14:paraId="12C767EB" w14:textId="77777777" w:rsidR="00A67278" w:rsidRDefault="00A67278">
      <w:pPr>
        <w:tabs>
          <w:tab w:val="left" w:pos="-720"/>
          <w:tab w:val="left" w:pos="0"/>
        </w:tabs>
        <w:suppressAutoHyphens/>
        <w:rPr>
          <w:rFonts w:ascii="Times New Roman" w:hAnsi="Times New Roman"/>
          <w:szCs w:val="24"/>
        </w:rPr>
      </w:pPr>
    </w:p>
    <w:p w14:paraId="06EA59D2" w14:textId="77777777" w:rsidR="00A67278" w:rsidRDefault="00A82CCF">
      <w:pPr>
        <w:tabs>
          <w:tab w:val="left" w:pos="-720"/>
          <w:tab w:val="left" w:pos="0"/>
        </w:tabs>
        <w:suppressAutoHyphens/>
        <w:rPr>
          <w:rFonts w:ascii="Times New Roman" w:hAnsi="Times New Roman"/>
          <w:szCs w:val="24"/>
        </w:rPr>
      </w:pPr>
      <w:r w:rsidRPr="00A82CCF">
        <w:rPr>
          <w:rFonts w:ascii="Times New Roman" w:hAnsi="Times New Roman"/>
          <w:szCs w:val="24"/>
        </w:rPr>
        <w:tab/>
        <w:t xml:space="preserve">Section 4t of the Act </w:t>
      </w:r>
      <w:r w:rsidR="004B202A" w:rsidRPr="00A82CCF">
        <w:rPr>
          <w:rFonts w:ascii="Times New Roman" w:hAnsi="Times New Roman"/>
          <w:szCs w:val="24"/>
        </w:rPr>
        <w:t>authorize</w:t>
      </w:r>
      <w:r w:rsidR="004B202A">
        <w:rPr>
          <w:rFonts w:ascii="Times New Roman" w:hAnsi="Times New Roman"/>
          <w:szCs w:val="24"/>
        </w:rPr>
        <w:t>d</w:t>
      </w:r>
      <w:r w:rsidR="004B202A" w:rsidRPr="00A82CCF">
        <w:rPr>
          <w:rFonts w:ascii="Times New Roman" w:hAnsi="Times New Roman"/>
          <w:szCs w:val="24"/>
        </w:rPr>
        <w:t xml:space="preserve"> </w:t>
      </w:r>
      <w:r w:rsidRPr="00A82CCF">
        <w:rPr>
          <w:rFonts w:ascii="Times New Roman" w:hAnsi="Times New Roman"/>
          <w:szCs w:val="24"/>
        </w:rPr>
        <w:t xml:space="preserve">the Commission to establish a large trader reporting system for significant price discovery function swaps.  All swaps subject to the </w:t>
      </w:r>
      <w:r w:rsidR="000B0B70">
        <w:rPr>
          <w:rFonts w:ascii="Times New Roman" w:hAnsi="Times New Roman"/>
          <w:szCs w:val="24"/>
        </w:rPr>
        <w:t>R</w:t>
      </w:r>
      <w:r w:rsidRPr="00A82CCF">
        <w:rPr>
          <w:rFonts w:ascii="Times New Roman" w:hAnsi="Times New Roman"/>
          <w:szCs w:val="24"/>
        </w:rPr>
        <w:t xml:space="preserve">eporting </w:t>
      </w:r>
      <w:r w:rsidR="000B0B70">
        <w:rPr>
          <w:rFonts w:ascii="Times New Roman" w:hAnsi="Times New Roman"/>
          <w:szCs w:val="24"/>
        </w:rPr>
        <w:t>R</w:t>
      </w:r>
      <w:r w:rsidRPr="00A82CCF">
        <w:rPr>
          <w:rFonts w:ascii="Times New Roman" w:hAnsi="Times New Roman"/>
          <w:szCs w:val="24"/>
        </w:rPr>
        <w:t xml:space="preserve">ules are linked to futures contracts listed on fully regulated commodity futures exchanges (a “designated contract market” or “DCM”) and are significant price discovery function swaps.  Section 4a of the CEA, as amended by the Dodd-Frank Act, </w:t>
      </w:r>
      <w:r w:rsidR="004B202A" w:rsidRPr="00A82CCF">
        <w:rPr>
          <w:rFonts w:ascii="Times New Roman" w:hAnsi="Times New Roman"/>
          <w:szCs w:val="24"/>
        </w:rPr>
        <w:t>direct</w:t>
      </w:r>
      <w:r w:rsidR="004B202A">
        <w:rPr>
          <w:rFonts w:ascii="Times New Roman" w:hAnsi="Times New Roman"/>
          <w:szCs w:val="24"/>
        </w:rPr>
        <w:t>ed</w:t>
      </w:r>
      <w:r w:rsidR="004B202A" w:rsidRPr="00A82CCF">
        <w:rPr>
          <w:rFonts w:ascii="Times New Roman" w:hAnsi="Times New Roman"/>
          <w:szCs w:val="24"/>
        </w:rPr>
        <w:t xml:space="preserve"> </w:t>
      </w:r>
      <w:r w:rsidRPr="00A82CCF">
        <w:rPr>
          <w:rFonts w:ascii="Times New Roman" w:hAnsi="Times New Roman"/>
          <w:szCs w:val="24"/>
        </w:rPr>
        <w:t>the Commission to establish position limits, as appropriate, for physical commodity swaps</w:t>
      </w:r>
      <w:r w:rsidR="009143A6">
        <w:rPr>
          <w:rFonts w:ascii="Times New Roman" w:hAnsi="Times New Roman"/>
          <w:szCs w:val="24"/>
        </w:rPr>
        <w:t xml:space="preserve">. </w:t>
      </w:r>
      <w:r w:rsidRPr="00A82CCF">
        <w:rPr>
          <w:rFonts w:ascii="Times New Roman" w:hAnsi="Times New Roman"/>
          <w:szCs w:val="24"/>
        </w:rPr>
        <w:t xml:space="preserve">Swaps position reports are a necessary component of an effective surveillance </w:t>
      </w:r>
      <w:r w:rsidR="009143A6" w:rsidRPr="00A82CCF">
        <w:rPr>
          <w:rFonts w:ascii="Times New Roman" w:hAnsi="Times New Roman"/>
          <w:szCs w:val="24"/>
        </w:rPr>
        <w:t>program and</w:t>
      </w:r>
      <w:r w:rsidRPr="00A82CCF">
        <w:rPr>
          <w:rFonts w:ascii="Times New Roman" w:hAnsi="Times New Roman"/>
          <w:szCs w:val="24"/>
        </w:rPr>
        <w:t xml:space="preserve"> necessary for the implementation of all surveillance based regulatory programs (including market, financial and trading surveillance programs).  Accordingly, the Commission </w:t>
      </w:r>
      <w:r w:rsidR="00F56BDC" w:rsidRPr="00A82CCF">
        <w:rPr>
          <w:rFonts w:ascii="Times New Roman" w:hAnsi="Times New Roman"/>
          <w:szCs w:val="24"/>
        </w:rPr>
        <w:t>adopt</w:t>
      </w:r>
      <w:r w:rsidR="00F56BDC">
        <w:rPr>
          <w:rFonts w:ascii="Times New Roman" w:hAnsi="Times New Roman"/>
          <w:szCs w:val="24"/>
        </w:rPr>
        <w:t>ed</w:t>
      </w:r>
      <w:r w:rsidR="00F56BDC" w:rsidRPr="00A82CCF">
        <w:rPr>
          <w:rFonts w:ascii="Times New Roman" w:hAnsi="Times New Roman"/>
          <w:szCs w:val="24"/>
        </w:rPr>
        <w:t xml:space="preserve"> </w:t>
      </w:r>
      <w:r w:rsidRPr="00A82CCF">
        <w:rPr>
          <w:rFonts w:ascii="Times New Roman" w:hAnsi="Times New Roman"/>
          <w:szCs w:val="24"/>
        </w:rPr>
        <w:t xml:space="preserve">the subject swap reporting requirements pursuant to its authority in sections 4t and 4a of the CEA, and section </w:t>
      </w:r>
      <w:r w:rsidR="00F7590C">
        <w:rPr>
          <w:rFonts w:ascii="Times New Roman" w:hAnsi="Times New Roman"/>
          <w:szCs w:val="24"/>
        </w:rPr>
        <w:t>8a(5)</w:t>
      </w:r>
      <w:r w:rsidRPr="00A82CCF">
        <w:rPr>
          <w:rFonts w:ascii="Times New Roman" w:hAnsi="Times New Roman"/>
          <w:szCs w:val="24"/>
        </w:rPr>
        <w:t xml:space="preserve"> of the Act, a general rulemaking authority provision that allows the Commission to promulgate such regulations as, in the judgment of the Commission, are reasonably necessary to effectuate any of the provisions or to accomplish any of the purposes of the CEA.  </w:t>
      </w:r>
    </w:p>
    <w:p w14:paraId="678490A6" w14:textId="77777777" w:rsidR="00A73D65" w:rsidRPr="002452B7" w:rsidRDefault="00A73D65" w:rsidP="00A73D65">
      <w:pPr>
        <w:tabs>
          <w:tab w:val="left" w:pos="-720"/>
          <w:tab w:val="left" w:pos="0"/>
        </w:tabs>
        <w:suppressAutoHyphens/>
        <w:rPr>
          <w:rFonts w:ascii="Times New Roman" w:hAnsi="Times New Roman"/>
          <w:szCs w:val="24"/>
        </w:rPr>
      </w:pPr>
    </w:p>
    <w:p w14:paraId="63AE1575" w14:textId="77777777" w:rsidR="00A416A2" w:rsidRPr="002452B7" w:rsidRDefault="00A82CCF" w:rsidP="00A73D65">
      <w:pPr>
        <w:tabs>
          <w:tab w:val="left" w:pos="-720"/>
          <w:tab w:val="left" w:pos="0"/>
        </w:tabs>
        <w:suppressAutoHyphens/>
        <w:rPr>
          <w:rFonts w:ascii="Times New Roman" w:hAnsi="Times New Roman"/>
          <w:szCs w:val="24"/>
        </w:rPr>
      </w:pPr>
      <w:r w:rsidRPr="00A82CCF">
        <w:rPr>
          <w:rFonts w:ascii="Times New Roman" w:hAnsi="Times New Roman"/>
          <w:szCs w:val="24"/>
        </w:rPr>
        <w:tab/>
      </w:r>
      <w:r w:rsidR="00F56BDC">
        <w:rPr>
          <w:rFonts w:ascii="Times New Roman" w:hAnsi="Times New Roman"/>
          <w:szCs w:val="24"/>
        </w:rPr>
        <w:t>P</w:t>
      </w:r>
      <w:r w:rsidR="00F56BDC" w:rsidRPr="00A82CCF">
        <w:rPr>
          <w:rFonts w:ascii="Times New Roman" w:hAnsi="Times New Roman"/>
          <w:szCs w:val="24"/>
        </w:rPr>
        <w:t xml:space="preserve">art </w:t>
      </w:r>
      <w:r w:rsidRPr="00A82CCF">
        <w:rPr>
          <w:rFonts w:ascii="Times New Roman" w:hAnsi="Times New Roman"/>
          <w:szCs w:val="24"/>
        </w:rPr>
        <w:t xml:space="preserve">20 of the Commission’s regulations requires clearing organizations and any persons that are “reporting entities” to file swaps position data with the Commission.  The Reporting Rules collect clearing member reports from clearing organizations.  The Reporting Rules also require position reports from reporting entities for principal and counterparty positions in cleared </w:t>
      </w:r>
      <w:r w:rsidRPr="00A82CCF">
        <w:rPr>
          <w:rFonts w:ascii="Times New Roman" w:hAnsi="Times New Roman"/>
          <w:szCs w:val="24"/>
        </w:rPr>
        <w:lastRenderedPageBreak/>
        <w:t xml:space="preserve">and uncleared physical commodity swaps.  Reporting entities are those persons that are either “clearing members” or “swap dealers” that are otherwise not clearing members.  For purposes of part 20, reporting parties are required to submit data on positions on a futures equivalent basis so as to allow the Commission to assess a trader’s market impact across differently structured but linked derivatives instruments and markets.   </w:t>
      </w:r>
    </w:p>
    <w:p w14:paraId="287A0B96" w14:textId="77777777" w:rsidR="00A73D65" w:rsidRPr="002452B7" w:rsidRDefault="00A82CCF" w:rsidP="00A73D65">
      <w:pPr>
        <w:tabs>
          <w:tab w:val="left" w:pos="-720"/>
          <w:tab w:val="left" w:pos="0"/>
        </w:tabs>
        <w:suppressAutoHyphens/>
        <w:rPr>
          <w:rFonts w:ascii="Times New Roman" w:hAnsi="Times New Roman"/>
          <w:szCs w:val="24"/>
        </w:rPr>
      </w:pPr>
      <w:r w:rsidRPr="00A82CCF">
        <w:rPr>
          <w:rFonts w:ascii="Times New Roman" w:hAnsi="Times New Roman"/>
          <w:szCs w:val="24"/>
        </w:rPr>
        <w:tab/>
      </w:r>
    </w:p>
    <w:p w14:paraId="6D1B4A6A" w14:textId="77777777" w:rsidR="00A73D65" w:rsidRPr="00C46F96" w:rsidRDefault="00A82CCF" w:rsidP="00A73D65">
      <w:pPr>
        <w:pStyle w:val="ListParagraph"/>
        <w:numPr>
          <w:ilvl w:val="0"/>
          <w:numId w:val="1"/>
        </w:numPr>
        <w:tabs>
          <w:tab w:val="left" w:pos="-720"/>
        </w:tabs>
        <w:suppressAutoHyphens/>
        <w:rPr>
          <w:b/>
          <w:szCs w:val="24"/>
        </w:rPr>
      </w:pPr>
      <w:r w:rsidRPr="00C46F96">
        <w:rPr>
          <w:b/>
          <w:szCs w:val="24"/>
          <w:u w:val="single"/>
        </w:rPr>
        <w:t>Indicate how, by whom, and for what purpose the data would be used.  Except for a new collection, indicate the actual use the agency has made of the information received from the current collection</w:t>
      </w:r>
      <w:r w:rsidRPr="00C46F96">
        <w:rPr>
          <w:b/>
          <w:szCs w:val="24"/>
        </w:rPr>
        <w:t>.</w:t>
      </w:r>
    </w:p>
    <w:p w14:paraId="4B02A4F1" w14:textId="77777777" w:rsidR="00A73D65" w:rsidRPr="002452B7" w:rsidRDefault="00A73D65" w:rsidP="00A73D65">
      <w:pPr>
        <w:tabs>
          <w:tab w:val="left" w:pos="-720"/>
        </w:tabs>
        <w:suppressAutoHyphens/>
        <w:rPr>
          <w:rFonts w:ascii="Times New Roman" w:hAnsi="Times New Roman"/>
          <w:szCs w:val="24"/>
        </w:rPr>
      </w:pPr>
    </w:p>
    <w:p w14:paraId="3F7E82B3" w14:textId="77777777" w:rsidR="00A73D65" w:rsidRPr="002452B7" w:rsidRDefault="00A82CCF" w:rsidP="00A73D65">
      <w:pPr>
        <w:tabs>
          <w:tab w:val="left" w:pos="-720"/>
        </w:tabs>
        <w:suppressAutoHyphens/>
        <w:rPr>
          <w:rFonts w:ascii="Times New Roman" w:hAnsi="Times New Roman"/>
          <w:szCs w:val="24"/>
        </w:rPr>
      </w:pPr>
      <w:r w:rsidRPr="00A82CCF">
        <w:rPr>
          <w:rFonts w:ascii="Times New Roman" w:hAnsi="Times New Roman"/>
          <w:szCs w:val="24"/>
        </w:rPr>
        <w:tab/>
        <w:t xml:space="preserve">The part 20 Reporting Rules for physical commodity swaps, in conjunction with the Commission’s current large trader reporting system for commodity futures and options, </w:t>
      </w:r>
      <w:r w:rsidR="00F56BDC">
        <w:rPr>
          <w:rFonts w:ascii="Times New Roman" w:hAnsi="Times New Roman"/>
          <w:szCs w:val="24"/>
        </w:rPr>
        <w:t>are</w:t>
      </w:r>
      <w:r w:rsidRPr="00A82CCF">
        <w:rPr>
          <w:rFonts w:ascii="Times New Roman" w:hAnsi="Times New Roman"/>
          <w:szCs w:val="24"/>
        </w:rPr>
        <w:t xml:space="preserve"> used by the Commission to support its market, financial and trading abuse surveillance programs.</w:t>
      </w:r>
    </w:p>
    <w:p w14:paraId="7368DC00" w14:textId="77777777" w:rsidR="00A73D65" w:rsidRPr="002452B7" w:rsidRDefault="00A73D65" w:rsidP="00A73D65">
      <w:pPr>
        <w:tabs>
          <w:tab w:val="left" w:pos="-720"/>
        </w:tabs>
        <w:suppressAutoHyphens/>
        <w:rPr>
          <w:rFonts w:ascii="Times New Roman" w:hAnsi="Times New Roman"/>
          <w:szCs w:val="24"/>
        </w:rPr>
      </w:pPr>
    </w:p>
    <w:p w14:paraId="18CCD713" w14:textId="77777777" w:rsidR="00A73D65" w:rsidRPr="00C46F96" w:rsidRDefault="00A82CCF" w:rsidP="00A73D65">
      <w:pPr>
        <w:pStyle w:val="ListParagraph"/>
        <w:numPr>
          <w:ilvl w:val="0"/>
          <w:numId w:val="1"/>
        </w:numPr>
        <w:tabs>
          <w:tab w:val="left" w:pos="-720"/>
          <w:tab w:val="left" w:pos="0"/>
        </w:tabs>
        <w:suppressAutoHyphens/>
        <w:rPr>
          <w:b/>
          <w:szCs w:val="24"/>
          <w:u w:val="single"/>
        </w:rPr>
      </w:pPr>
      <w:r w:rsidRPr="00C46F96">
        <w:rPr>
          <w:b/>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563BD1C" w14:textId="77777777" w:rsidR="00A73D65" w:rsidRPr="002452B7" w:rsidRDefault="00A73D65" w:rsidP="00A73D65">
      <w:pPr>
        <w:tabs>
          <w:tab w:val="left" w:pos="-720"/>
          <w:tab w:val="left" w:pos="0"/>
        </w:tabs>
        <w:suppressAutoHyphens/>
        <w:rPr>
          <w:rFonts w:ascii="Times New Roman" w:hAnsi="Times New Roman"/>
          <w:szCs w:val="24"/>
        </w:rPr>
      </w:pPr>
    </w:p>
    <w:p w14:paraId="5E5AA067" w14:textId="77777777" w:rsidR="00A73D65" w:rsidRPr="002452B7" w:rsidRDefault="00A82CCF" w:rsidP="00A73D65">
      <w:pPr>
        <w:tabs>
          <w:tab w:val="left" w:pos="-720"/>
          <w:tab w:val="left" w:pos="0"/>
        </w:tabs>
        <w:suppressAutoHyphens/>
        <w:rPr>
          <w:rFonts w:ascii="Times New Roman" w:hAnsi="Times New Roman"/>
          <w:szCs w:val="24"/>
        </w:rPr>
      </w:pPr>
      <w:r w:rsidRPr="00A82CCF">
        <w:rPr>
          <w:rFonts w:ascii="Times New Roman" w:hAnsi="Times New Roman"/>
          <w:szCs w:val="24"/>
        </w:rPr>
        <w:tab/>
        <w:t xml:space="preserve">  The Commission is committed to utilizing technology in order to reduce reporting burdens for respondents.  Accordingly, the Commission has provided for the electronic transmissio</w:t>
      </w:r>
      <w:r w:rsidR="00C05FBE">
        <w:rPr>
          <w:rFonts w:ascii="Times New Roman" w:hAnsi="Times New Roman"/>
          <w:szCs w:val="24"/>
        </w:rPr>
        <w:t>n of the required submissions. The updated estimates of percentage of responses provided electronically in this collection reflects the ongoing efforts of the Commission to utilize technology to reduce burdens for respondents.</w:t>
      </w:r>
    </w:p>
    <w:p w14:paraId="55C88953" w14:textId="77777777" w:rsidR="00A73D65" w:rsidRPr="002452B7" w:rsidRDefault="00A73D65" w:rsidP="00A73D65">
      <w:pPr>
        <w:tabs>
          <w:tab w:val="left" w:pos="-720"/>
        </w:tabs>
        <w:suppressAutoHyphens/>
        <w:rPr>
          <w:rFonts w:ascii="Times New Roman" w:hAnsi="Times New Roman"/>
          <w:szCs w:val="24"/>
        </w:rPr>
      </w:pPr>
    </w:p>
    <w:p w14:paraId="0949234D" w14:textId="77777777" w:rsidR="00A73D65" w:rsidRPr="00C46F96" w:rsidRDefault="00A82CCF" w:rsidP="00A73D65">
      <w:pPr>
        <w:pStyle w:val="ListParagraph"/>
        <w:numPr>
          <w:ilvl w:val="0"/>
          <w:numId w:val="1"/>
        </w:numPr>
        <w:tabs>
          <w:tab w:val="left" w:pos="-720"/>
          <w:tab w:val="left" w:pos="0"/>
        </w:tabs>
        <w:suppressAutoHyphens/>
        <w:rPr>
          <w:b/>
          <w:szCs w:val="24"/>
        </w:rPr>
      </w:pPr>
      <w:r w:rsidRPr="00C46F96">
        <w:rPr>
          <w:b/>
          <w:szCs w:val="24"/>
          <w:u w:val="single"/>
        </w:rPr>
        <w:t>Describe efforts to identify duplication.  Show specifically why any similar information already available cannot be used or modified for use for the purposes described in Item 2 above</w:t>
      </w:r>
      <w:r w:rsidRPr="00C46F96">
        <w:rPr>
          <w:b/>
          <w:szCs w:val="24"/>
        </w:rPr>
        <w:t>.</w:t>
      </w:r>
    </w:p>
    <w:p w14:paraId="55DBF4E6" w14:textId="77777777" w:rsidR="00A73D65" w:rsidRPr="002452B7" w:rsidRDefault="00A73D65" w:rsidP="00A73D65">
      <w:pPr>
        <w:tabs>
          <w:tab w:val="left" w:pos="-720"/>
          <w:tab w:val="left" w:pos="0"/>
        </w:tabs>
        <w:suppressAutoHyphens/>
        <w:rPr>
          <w:rFonts w:ascii="Times New Roman" w:hAnsi="Times New Roman"/>
          <w:szCs w:val="24"/>
        </w:rPr>
      </w:pPr>
    </w:p>
    <w:p w14:paraId="724EF0AC" w14:textId="77777777" w:rsidR="005C46F8" w:rsidRPr="005C46F8" w:rsidRDefault="00C05FBE" w:rsidP="005C46F8">
      <w:pPr>
        <w:tabs>
          <w:tab w:val="left" w:pos="-720"/>
          <w:tab w:val="left" w:pos="0"/>
        </w:tabs>
        <w:suppressAutoHyphens/>
        <w:rPr>
          <w:rFonts w:ascii="Times New Roman" w:hAnsi="Times New Roman"/>
          <w:szCs w:val="24"/>
        </w:rPr>
      </w:pPr>
      <w:r>
        <w:rPr>
          <w:rFonts w:ascii="Times New Roman" w:hAnsi="Times New Roman"/>
          <w:szCs w:val="24"/>
        </w:rPr>
        <w:tab/>
      </w:r>
      <w:r w:rsidR="005C46F8" w:rsidRPr="005C46F8">
        <w:rPr>
          <w:rFonts w:ascii="Times New Roman" w:hAnsi="Times New Roman"/>
          <w:szCs w:val="24"/>
        </w:rPr>
        <w:t>The required information is not already collected by the Commission for any other purpose, collected by any other agency, or available for public disclosure through any other source.</w:t>
      </w:r>
    </w:p>
    <w:p w14:paraId="5973DD82" w14:textId="77777777" w:rsidR="00A73D65" w:rsidRPr="002452B7" w:rsidRDefault="00A82CCF" w:rsidP="00C05FBE">
      <w:pPr>
        <w:tabs>
          <w:tab w:val="left" w:pos="-720"/>
          <w:tab w:val="left" w:pos="0"/>
        </w:tabs>
        <w:suppressAutoHyphens/>
        <w:rPr>
          <w:rFonts w:ascii="Times New Roman" w:hAnsi="Times New Roman"/>
          <w:szCs w:val="24"/>
        </w:rPr>
      </w:pPr>
      <w:r w:rsidRPr="00A82CCF">
        <w:rPr>
          <w:rFonts w:ascii="Times New Roman" w:hAnsi="Times New Roman"/>
          <w:szCs w:val="24"/>
        </w:rPr>
        <w:t xml:space="preserve"> </w:t>
      </w:r>
    </w:p>
    <w:p w14:paraId="4D05BB23" w14:textId="77777777" w:rsidR="00A73D65" w:rsidRPr="002452B7" w:rsidRDefault="00A73D65" w:rsidP="00A73D65">
      <w:pPr>
        <w:tabs>
          <w:tab w:val="left" w:pos="-720"/>
        </w:tabs>
        <w:suppressAutoHyphens/>
        <w:rPr>
          <w:rFonts w:ascii="Times New Roman" w:hAnsi="Times New Roman"/>
          <w:szCs w:val="24"/>
        </w:rPr>
      </w:pPr>
    </w:p>
    <w:p w14:paraId="6FE911AB" w14:textId="77777777" w:rsidR="00A73D65" w:rsidRPr="00C46F96" w:rsidRDefault="00A82CCF" w:rsidP="00A73D65">
      <w:pPr>
        <w:pStyle w:val="ListParagraph"/>
        <w:numPr>
          <w:ilvl w:val="0"/>
          <w:numId w:val="1"/>
        </w:numPr>
        <w:tabs>
          <w:tab w:val="left" w:pos="-720"/>
          <w:tab w:val="left" w:pos="0"/>
        </w:tabs>
        <w:suppressAutoHyphens/>
        <w:rPr>
          <w:b/>
          <w:szCs w:val="24"/>
        </w:rPr>
      </w:pPr>
      <w:r w:rsidRPr="00C46F96">
        <w:rPr>
          <w:b/>
          <w:szCs w:val="24"/>
          <w:u w:val="single"/>
        </w:rPr>
        <w:t>If the collection of information involves small business or other small entities (Item 5 of OMB Form 83-I), describe the methods used to minimize burden</w:t>
      </w:r>
      <w:r w:rsidRPr="00C46F96">
        <w:rPr>
          <w:b/>
          <w:szCs w:val="24"/>
        </w:rPr>
        <w:t>.</w:t>
      </w:r>
    </w:p>
    <w:p w14:paraId="5B57B2CC" w14:textId="77777777" w:rsidR="00A73D65" w:rsidRPr="002452B7" w:rsidRDefault="00A73D65" w:rsidP="00A73D65">
      <w:pPr>
        <w:tabs>
          <w:tab w:val="left" w:pos="-720"/>
          <w:tab w:val="left" w:pos="0"/>
        </w:tabs>
        <w:suppressAutoHyphens/>
        <w:rPr>
          <w:rFonts w:ascii="Times New Roman" w:hAnsi="Times New Roman"/>
          <w:szCs w:val="24"/>
        </w:rPr>
      </w:pPr>
    </w:p>
    <w:p w14:paraId="4E7328AE" w14:textId="77777777" w:rsidR="00A73D65" w:rsidRPr="002452B7" w:rsidRDefault="00A82CCF" w:rsidP="00594B44">
      <w:pPr>
        <w:ind w:firstLine="720"/>
        <w:rPr>
          <w:rFonts w:ascii="Times New Roman" w:hAnsi="Times New Roman"/>
          <w:szCs w:val="24"/>
        </w:rPr>
      </w:pPr>
      <w:r w:rsidRPr="00A82CCF">
        <w:rPr>
          <w:rFonts w:ascii="Times New Roman" w:hAnsi="Times New Roman"/>
          <w:szCs w:val="24"/>
        </w:rPr>
        <w:t>The part 20 Reporting Rules do not impose daily reporting requirements on small businesses or other small entities. The Commission has previously determined that derivatives clearing organizations</w:t>
      </w:r>
      <w:r>
        <w:rPr>
          <w:rStyle w:val="FootnoteReference"/>
          <w:rFonts w:ascii="Times New Roman" w:hAnsi="Times New Roman"/>
          <w:szCs w:val="24"/>
        </w:rPr>
        <w:footnoteReference w:id="3"/>
      </w:r>
      <w:r w:rsidRPr="00A82CCF">
        <w:rPr>
          <w:rFonts w:ascii="Times New Roman" w:hAnsi="Times New Roman"/>
          <w:szCs w:val="24"/>
        </w:rPr>
        <w:t xml:space="preserve"> and futures commission merchants</w:t>
      </w:r>
      <w:r>
        <w:rPr>
          <w:rStyle w:val="FootnoteReference"/>
          <w:rFonts w:ascii="Times New Roman" w:hAnsi="Times New Roman"/>
          <w:szCs w:val="24"/>
        </w:rPr>
        <w:footnoteReference w:id="4"/>
      </w:r>
      <w:r w:rsidRPr="00A82CCF">
        <w:rPr>
          <w:rFonts w:ascii="Times New Roman" w:hAnsi="Times New Roman"/>
          <w:szCs w:val="24"/>
        </w:rPr>
        <w:t xml:space="preserve"> are not “small entities” for purposes </w:t>
      </w:r>
      <w:r w:rsidRPr="00A82CCF">
        <w:rPr>
          <w:rFonts w:ascii="Times New Roman" w:hAnsi="Times New Roman"/>
          <w:szCs w:val="24"/>
        </w:rPr>
        <w:lastRenderedPageBreak/>
        <w:t xml:space="preserve">of the Regulatory Flexibility Act (“RFA”).  </w:t>
      </w:r>
      <w:r w:rsidR="00594B44">
        <w:rPr>
          <w:rFonts w:ascii="Times New Roman" w:hAnsi="Times New Roman"/>
          <w:szCs w:val="24"/>
        </w:rPr>
        <w:t>In addition, the C</w:t>
      </w:r>
      <w:r w:rsidR="00594B44" w:rsidRPr="00594B44">
        <w:rPr>
          <w:rFonts w:ascii="Times New Roman" w:hAnsi="Times New Roman"/>
          <w:szCs w:val="24"/>
        </w:rPr>
        <w:t xml:space="preserve">ommission </w:t>
      </w:r>
      <w:r w:rsidR="00594B44">
        <w:rPr>
          <w:rFonts w:ascii="Times New Roman" w:hAnsi="Times New Roman"/>
          <w:szCs w:val="24"/>
        </w:rPr>
        <w:t xml:space="preserve">has recently noted </w:t>
      </w:r>
      <w:r w:rsidR="00594B44" w:rsidRPr="00594B44">
        <w:rPr>
          <w:rFonts w:ascii="Times New Roman" w:hAnsi="Times New Roman"/>
          <w:szCs w:val="24"/>
        </w:rPr>
        <w:t>that</w:t>
      </w:r>
      <w:r w:rsidR="00594B44">
        <w:rPr>
          <w:rFonts w:ascii="Times New Roman" w:hAnsi="Times New Roman"/>
          <w:szCs w:val="24"/>
        </w:rPr>
        <w:t xml:space="preserve"> </w:t>
      </w:r>
      <w:r w:rsidR="00594B44" w:rsidRPr="00594B44">
        <w:rPr>
          <w:rFonts w:ascii="Times New Roman" w:hAnsi="Times New Roman"/>
          <w:szCs w:val="24"/>
        </w:rPr>
        <w:t xml:space="preserve">entities who meet the </w:t>
      </w:r>
      <w:r w:rsidR="00594B44">
        <w:rPr>
          <w:rFonts w:ascii="Times New Roman" w:hAnsi="Times New Roman"/>
          <w:szCs w:val="24"/>
        </w:rPr>
        <w:t xml:space="preserve">part 20 </w:t>
      </w:r>
      <w:r w:rsidR="00594B44" w:rsidRPr="00594B44">
        <w:rPr>
          <w:rFonts w:ascii="Times New Roman" w:hAnsi="Times New Roman"/>
          <w:szCs w:val="24"/>
        </w:rPr>
        <w:t>Reporting Rules’</w:t>
      </w:r>
      <w:r w:rsidR="00594B44">
        <w:rPr>
          <w:rFonts w:ascii="Times New Roman" w:hAnsi="Times New Roman"/>
          <w:szCs w:val="24"/>
        </w:rPr>
        <w:t xml:space="preserve"> </w:t>
      </w:r>
      <w:r w:rsidR="00594B44" w:rsidRPr="00594B44">
        <w:rPr>
          <w:rFonts w:ascii="Times New Roman" w:hAnsi="Times New Roman"/>
          <w:szCs w:val="24"/>
        </w:rPr>
        <w:t>non-discretionary quantitative threshold</w:t>
      </w:r>
      <w:r w:rsidR="00594B44">
        <w:rPr>
          <w:rFonts w:ascii="Times New Roman" w:hAnsi="Times New Roman"/>
          <w:szCs w:val="24"/>
        </w:rPr>
        <w:t xml:space="preserve"> </w:t>
      </w:r>
      <w:r w:rsidR="00594B44" w:rsidRPr="00594B44">
        <w:rPr>
          <w:rFonts w:ascii="Times New Roman" w:hAnsi="Times New Roman"/>
          <w:szCs w:val="24"/>
        </w:rPr>
        <w:t xml:space="preserve">will </w:t>
      </w:r>
      <w:r w:rsidR="00594B44">
        <w:rPr>
          <w:rFonts w:ascii="Times New Roman" w:hAnsi="Times New Roman"/>
          <w:szCs w:val="24"/>
        </w:rPr>
        <w:t xml:space="preserve">not </w:t>
      </w:r>
      <w:r w:rsidR="00594B44" w:rsidRPr="00594B44">
        <w:rPr>
          <w:rFonts w:ascii="Times New Roman" w:hAnsi="Times New Roman"/>
          <w:szCs w:val="24"/>
        </w:rPr>
        <w:t>constitute small entities for RFA</w:t>
      </w:r>
      <w:r w:rsidR="00594B44">
        <w:rPr>
          <w:rFonts w:ascii="Times New Roman" w:hAnsi="Times New Roman"/>
          <w:szCs w:val="24"/>
        </w:rPr>
        <w:t xml:space="preserve"> </w:t>
      </w:r>
      <w:r w:rsidR="00594B44" w:rsidRPr="00594B44">
        <w:rPr>
          <w:rFonts w:ascii="Times New Roman" w:hAnsi="Times New Roman"/>
          <w:szCs w:val="24"/>
        </w:rPr>
        <w:t>purposes.</w:t>
      </w:r>
      <w:r w:rsidR="003F1CE4">
        <w:rPr>
          <w:rStyle w:val="FootnoteReference"/>
          <w:rFonts w:ascii="Times New Roman" w:hAnsi="Times New Roman"/>
          <w:szCs w:val="24"/>
        </w:rPr>
        <w:footnoteReference w:id="5"/>
      </w:r>
      <w:r w:rsidR="00594B44" w:rsidRPr="00A82CCF" w:rsidDel="00C41037">
        <w:rPr>
          <w:rFonts w:ascii="Times New Roman" w:hAnsi="Times New Roman"/>
          <w:szCs w:val="24"/>
        </w:rPr>
        <w:t xml:space="preserve"> </w:t>
      </w:r>
      <w:r w:rsidRPr="00A82CCF">
        <w:rPr>
          <w:rFonts w:ascii="Times New Roman" w:hAnsi="Times New Roman"/>
          <w:szCs w:val="24"/>
        </w:rPr>
        <w:t xml:space="preserve"> </w:t>
      </w:r>
    </w:p>
    <w:p w14:paraId="32EC7C9E" w14:textId="77777777" w:rsidR="00A73D65" w:rsidRPr="002452B7" w:rsidRDefault="00A73D65" w:rsidP="00A73D65">
      <w:pPr>
        <w:pStyle w:val="ListParagraph"/>
        <w:tabs>
          <w:tab w:val="left" w:pos="-720"/>
          <w:tab w:val="left" w:pos="0"/>
        </w:tabs>
        <w:suppressAutoHyphens/>
        <w:rPr>
          <w:szCs w:val="24"/>
        </w:rPr>
      </w:pPr>
    </w:p>
    <w:p w14:paraId="35759855" w14:textId="77777777" w:rsidR="00A73D65" w:rsidRPr="00C46F96" w:rsidRDefault="00A82CCF" w:rsidP="00A73D65">
      <w:pPr>
        <w:pStyle w:val="ListParagraph"/>
        <w:numPr>
          <w:ilvl w:val="0"/>
          <w:numId w:val="1"/>
        </w:numPr>
        <w:tabs>
          <w:tab w:val="left" w:pos="-720"/>
          <w:tab w:val="left" w:pos="0"/>
        </w:tabs>
        <w:suppressAutoHyphens/>
        <w:rPr>
          <w:b/>
          <w:szCs w:val="24"/>
        </w:rPr>
      </w:pPr>
      <w:r w:rsidRPr="00C46F96">
        <w:rPr>
          <w:b/>
          <w:szCs w:val="24"/>
          <w:u w:val="single"/>
        </w:rPr>
        <w:t xml:space="preserve">Describe the consequence to the Federal Program or policy </w:t>
      </w:r>
      <w:r w:rsidRPr="00C46F96">
        <w:rPr>
          <w:b/>
          <w:szCs w:val="24"/>
        </w:rPr>
        <w:tab/>
      </w:r>
      <w:r w:rsidRPr="00C46F96">
        <w:rPr>
          <w:b/>
          <w:szCs w:val="24"/>
          <w:u w:val="single"/>
        </w:rPr>
        <w:t>activities if the collection were conducted less frequently as well as any technical or legal obstacles to reducing burden</w:t>
      </w:r>
      <w:r w:rsidRPr="00C46F96">
        <w:rPr>
          <w:b/>
          <w:szCs w:val="24"/>
        </w:rPr>
        <w:t>.</w:t>
      </w:r>
    </w:p>
    <w:p w14:paraId="7B61D409" w14:textId="77777777" w:rsidR="00A73D65" w:rsidRPr="002452B7" w:rsidRDefault="00A73D65" w:rsidP="00A73D65">
      <w:pPr>
        <w:tabs>
          <w:tab w:val="left" w:pos="-720"/>
          <w:tab w:val="left" w:pos="0"/>
        </w:tabs>
        <w:suppressAutoHyphens/>
        <w:rPr>
          <w:rFonts w:ascii="Times New Roman" w:hAnsi="Times New Roman"/>
          <w:szCs w:val="24"/>
        </w:rPr>
      </w:pPr>
    </w:p>
    <w:p w14:paraId="73105155" w14:textId="77777777" w:rsidR="00A73D65" w:rsidRPr="002452B7" w:rsidRDefault="00A82CCF" w:rsidP="00A73D65">
      <w:pPr>
        <w:tabs>
          <w:tab w:val="left" w:pos="-720"/>
          <w:tab w:val="left" w:pos="0"/>
        </w:tabs>
        <w:suppressAutoHyphens/>
        <w:rPr>
          <w:rFonts w:ascii="Times New Roman" w:hAnsi="Times New Roman"/>
          <w:szCs w:val="24"/>
        </w:rPr>
      </w:pPr>
      <w:r w:rsidRPr="00A82CCF">
        <w:rPr>
          <w:rFonts w:ascii="Times New Roman" w:hAnsi="Times New Roman"/>
          <w:szCs w:val="24"/>
        </w:rPr>
        <w:tab/>
        <w:t>The Commission would not be able to carry out its oversight responsibilities for the swap markets.  The collection requirements are essential to the Commission’s mission as mandated by the CEA, in particular, the amendments put forth in the Dodd-Frank Act.  The Commission need</w:t>
      </w:r>
      <w:r w:rsidR="001229E5">
        <w:rPr>
          <w:rFonts w:ascii="Times New Roman" w:hAnsi="Times New Roman"/>
          <w:szCs w:val="24"/>
        </w:rPr>
        <w:t>s</w:t>
      </w:r>
      <w:r w:rsidRPr="00A82CCF">
        <w:rPr>
          <w:rFonts w:ascii="Times New Roman" w:hAnsi="Times New Roman"/>
          <w:szCs w:val="24"/>
        </w:rPr>
        <w:t xml:space="preserve"> the swap reporting data on a daily basis for surveillance purposes.  These market activities require surveillance on a daily basis because situations such as attempted manipulations or congestion or the accumulation of large impactful positions can develop rapidly and require equally rapid responses by the Commission.  Adequate surveillance would be critically hindered, if transactional and position reports were received on less than a daily basis.</w:t>
      </w:r>
    </w:p>
    <w:p w14:paraId="540D11A7" w14:textId="77777777" w:rsidR="00A73D65" w:rsidRPr="002452B7" w:rsidRDefault="00A73D65" w:rsidP="00A73D65">
      <w:pPr>
        <w:pStyle w:val="ListParagraph"/>
        <w:tabs>
          <w:tab w:val="left" w:pos="-720"/>
          <w:tab w:val="left" w:pos="0"/>
        </w:tabs>
        <w:suppressAutoHyphens/>
        <w:ind w:left="0"/>
        <w:rPr>
          <w:szCs w:val="24"/>
        </w:rPr>
      </w:pPr>
    </w:p>
    <w:p w14:paraId="146B238A" w14:textId="77777777" w:rsidR="00A73D65" w:rsidRPr="00C46F96" w:rsidRDefault="00A82CCF" w:rsidP="00C46F96">
      <w:pPr>
        <w:pStyle w:val="ListParagraph"/>
        <w:numPr>
          <w:ilvl w:val="0"/>
          <w:numId w:val="1"/>
        </w:numPr>
        <w:tabs>
          <w:tab w:val="left" w:pos="-720"/>
          <w:tab w:val="left" w:pos="0"/>
        </w:tabs>
        <w:suppressAutoHyphens/>
        <w:rPr>
          <w:b/>
          <w:szCs w:val="24"/>
        </w:rPr>
      </w:pPr>
      <w:r w:rsidRPr="00C46F96">
        <w:rPr>
          <w:b/>
          <w:szCs w:val="24"/>
          <w:u w:val="single"/>
        </w:rPr>
        <w:t>Explain any special circumstances that require the collection to be conducted in a manner</w:t>
      </w:r>
      <w:r w:rsidRPr="00C46F96">
        <w:rPr>
          <w:b/>
          <w:szCs w:val="24"/>
        </w:rPr>
        <w:t>:</w:t>
      </w:r>
    </w:p>
    <w:p w14:paraId="6D3F1FE0" w14:textId="77777777" w:rsidR="00A73D65" w:rsidRPr="00C46F96" w:rsidRDefault="00A73D65" w:rsidP="00C46F96">
      <w:pPr>
        <w:tabs>
          <w:tab w:val="left" w:pos="-720"/>
        </w:tabs>
        <w:suppressAutoHyphens/>
        <w:rPr>
          <w:rFonts w:ascii="Times New Roman" w:hAnsi="Times New Roman"/>
          <w:b/>
          <w:szCs w:val="24"/>
        </w:rPr>
      </w:pPr>
    </w:p>
    <w:p w14:paraId="29B6BDCD" w14:textId="77777777" w:rsidR="00A73D65" w:rsidRPr="002452B7" w:rsidRDefault="00A82CCF" w:rsidP="00A73D65">
      <w:pPr>
        <w:tabs>
          <w:tab w:val="left" w:pos="-720"/>
          <w:tab w:val="left" w:pos="0"/>
          <w:tab w:val="left" w:pos="720"/>
        </w:tabs>
        <w:suppressAutoHyphens/>
        <w:ind w:left="1440" w:hanging="1440"/>
        <w:rPr>
          <w:rFonts w:ascii="Times New Roman" w:hAnsi="Times New Roman"/>
          <w:szCs w:val="24"/>
          <w:u w:val="single"/>
        </w:rPr>
      </w:pPr>
      <w:r w:rsidRPr="00A82CCF">
        <w:rPr>
          <w:rFonts w:ascii="Times New Roman" w:hAnsi="Times New Roman"/>
          <w:szCs w:val="24"/>
        </w:rPr>
        <w:tab/>
        <w:t>-</w:t>
      </w:r>
      <w:r w:rsidRPr="00A82CCF">
        <w:rPr>
          <w:rFonts w:ascii="Times New Roman" w:hAnsi="Times New Roman"/>
          <w:szCs w:val="24"/>
        </w:rPr>
        <w:tab/>
      </w:r>
      <w:r w:rsidRPr="00A82CCF">
        <w:rPr>
          <w:rFonts w:ascii="Times New Roman" w:hAnsi="Times New Roman"/>
          <w:szCs w:val="24"/>
          <w:u w:val="single"/>
        </w:rPr>
        <w:t>requiring respondents to report information to the agency more often than quarterly;</w:t>
      </w:r>
    </w:p>
    <w:p w14:paraId="629C2AD3" w14:textId="77777777" w:rsidR="00A73D65" w:rsidRPr="002452B7" w:rsidRDefault="00A82CCF" w:rsidP="00A73D65">
      <w:pPr>
        <w:tabs>
          <w:tab w:val="left" w:pos="-720"/>
          <w:tab w:val="left" w:pos="0"/>
          <w:tab w:val="left" w:pos="720"/>
        </w:tabs>
        <w:suppressAutoHyphens/>
        <w:ind w:left="1440" w:hanging="1440"/>
        <w:rPr>
          <w:rFonts w:ascii="Times New Roman" w:hAnsi="Times New Roman"/>
          <w:szCs w:val="24"/>
        </w:rPr>
      </w:pPr>
      <w:r w:rsidRPr="00A82CCF">
        <w:rPr>
          <w:rFonts w:ascii="Times New Roman" w:hAnsi="Times New Roman"/>
          <w:szCs w:val="24"/>
        </w:rPr>
        <w:tab/>
      </w:r>
      <w:r w:rsidRPr="00A82CCF">
        <w:rPr>
          <w:rFonts w:ascii="Times New Roman" w:hAnsi="Times New Roman"/>
          <w:szCs w:val="24"/>
        </w:rPr>
        <w:tab/>
      </w:r>
    </w:p>
    <w:p w14:paraId="1C23DA30" w14:textId="77777777" w:rsidR="00A73D65" w:rsidRPr="002452B7" w:rsidRDefault="00A82CCF" w:rsidP="00A73D65">
      <w:pPr>
        <w:tabs>
          <w:tab w:val="left" w:pos="-720"/>
          <w:tab w:val="left" w:pos="0"/>
          <w:tab w:val="left" w:pos="720"/>
        </w:tabs>
        <w:suppressAutoHyphens/>
        <w:ind w:left="1440" w:hanging="1440"/>
        <w:rPr>
          <w:rFonts w:ascii="Times New Roman" w:hAnsi="Times New Roman"/>
          <w:szCs w:val="24"/>
        </w:rPr>
      </w:pPr>
      <w:r w:rsidRPr="00A82CCF">
        <w:rPr>
          <w:rFonts w:ascii="Times New Roman" w:hAnsi="Times New Roman"/>
          <w:szCs w:val="24"/>
        </w:rPr>
        <w:tab/>
      </w:r>
      <w:r w:rsidRPr="00A82CCF">
        <w:rPr>
          <w:rFonts w:ascii="Times New Roman" w:hAnsi="Times New Roman"/>
          <w:szCs w:val="24"/>
        </w:rPr>
        <w:tab/>
        <w:t>See response to question 6.</w:t>
      </w:r>
    </w:p>
    <w:p w14:paraId="26762EBE" w14:textId="77777777" w:rsidR="00A73D65" w:rsidRPr="002452B7" w:rsidRDefault="00A73D65" w:rsidP="00A73D65">
      <w:pPr>
        <w:tabs>
          <w:tab w:val="left" w:pos="-720"/>
        </w:tabs>
        <w:suppressAutoHyphens/>
        <w:rPr>
          <w:rFonts w:ascii="Times New Roman" w:hAnsi="Times New Roman"/>
          <w:szCs w:val="24"/>
        </w:rPr>
      </w:pPr>
    </w:p>
    <w:p w14:paraId="1EEBF78E" w14:textId="77777777" w:rsidR="00A73D65" w:rsidRPr="002452B7" w:rsidRDefault="00A82CCF" w:rsidP="00A73D65">
      <w:pPr>
        <w:tabs>
          <w:tab w:val="left" w:pos="-720"/>
          <w:tab w:val="left" w:pos="0"/>
          <w:tab w:val="left" w:pos="720"/>
        </w:tabs>
        <w:suppressAutoHyphens/>
        <w:ind w:left="1440" w:hanging="1440"/>
        <w:rPr>
          <w:rFonts w:ascii="Times New Roman" w:hAnsi="Times New Roman"/>
          <w:szCs w:val="24"/>
          <w:u w:val="single"/>
        </w:rPr>
      </w:pPr>
      <w:r w:rsidRPr="00A82CCF">
        <w:rPr>
          <w:rFonts w:ascii="Times New Roman" w:hAnsi="Times New Roman"/>
          <w:szCs w:val="24"/>
        </w:rPr>
        <w:tab/>
        <w:t>-</w:t>
      </w:r>
      <w:r w:rsidRPr="00A82CCF">
        <w:rPr>
          <w:rFonts w:ascii="Times New Roman" w:hAnsi="Times New Roman"/>
          <w:szCs w:val="24"/>
        </w:rPr>
        <w:tab/>
      </w:r>
      <w:r w:rsidRPr="00A82CCF">
        <w:rPr>
          <w:rFonts w:ascii="Times New Roman" w:hAnsi="Times New Roman"/>
          <w:szCs w:val="24"/>
          <w:u w:val="single"/>
        </w:rPr>
        <w:t>requiring respondents to prepare a written response to a collection of information in fewer than 30 days after receipt of it:</w:t>
      </w:r>
    </w:p>
    <w:p w14:paraId="5D84D5D4" w14:textId="77777777" w:rsidR="00A73D65" w:rsidRPr="002452B7" w:rsidRDefault="00A73D65" w:rsidP="00A73D65">
      <w:pPr>
        <w:tabs>
          <w:tab w:val="left" w:pos="-720"/>
          <w:tab w:val="left" w:pos="0"/>
          <w:tab w:val="left" w:pos="720"/>
        </w:tabs>
        <w:suppressAutoHyphens/>
        <w:ind w:left="1440" w:hanging="1440"/>
        <w:rPr>
          <w:rFonts w:ascii="Times New Roman" w:hAnsi="Times New Roman"/>
          <w:szCs w:val="24"/>
          <w:u w:val="single"/>
        </w:rPr>
      </w:pPr>
    </w:p>
    <w:p w14:paraId="4C0C1EA6" w14:textId="77777777" w:rsidR="00A73D65" w:rsidRPr="002452B7" w:rsidRDefault="00A82CCF" w:rsidP="00A73D65">
      <w:pPr>
        <w:tabs>
          <w:tab w:val="left" w:pos="-720"/>
          <w:tab w:val="left" w:pos="0"/>
          <w:tab w:val="left" w:pos="720"/>
        </w:tabs>
        <w:suppressAutoHyphens/>
        <w:rPr>
          <w:rFonts w:ascii="Times New Roman" w:hAnsi="Times New Roman"/>
          <w:szCs w:val="24"/>
        </w:rPr>
      </w:pPr>
      <w:r w:rsidRPr="00A82CCF">
        <w:rPr>
          <w:rFonts w:ascii="Times New Roman" w:hAnsi="Times New Roman"/>
          <w:szCs w:val="24"/>
        </w:rPr>
        <w:tab/>
        <w:t xml:space="preserve">The Commission generally regulates the trading of commodity derivatives, including futures and swaps, which are used to price a wide range of physical and financial commodity transactions.  These transactions are vital to national and international commerce.  The exercise of regulatory oversight for the purpose of conducting market surveillance, financial surveillance, and monitoring of trading for abusive conduct, by necessity, requires the collection of transaction-related and position information on a daily basis.   </w:t>
      </w:r>
    </w:p>
    <w:p w14:paraId="0800B115" w14:textId="77777777" w:rsidR="00A73D65" w:rsidRPr="002452B7" w:rsidRDefault="00A73D65" w:rsidP="00A73D65">
      <w:pPr>
        <w:tabs>
          <w:tab w:val="left" w:pos="-720"/>
        </w:tabs>
        <w:suppressAutoHyphens/>
        <w:rPr>
          <w:rFonts w:ascii="Times New Roman" w:hAnsi="Times New Roman"/>
          <w:szCs w:val="24"/>
        </w:rPr>
      </w:pPr>
    </w:p>
    <w:p w14:paraId="1D961FE3" w14:textId="77777777" w:rsidR="00A73D65" w:rsidRPr="002452B7" w:rsidRDefault="00A82CCF" w:rsidP="00A73D65">
      <w:pPr>
        <w:tabs>
          <w:tab w:val="left" w:pos="-720"/>
          <w:tab w:val="left" w:pos="0"/>
          <w:tab w:val="left" w:pos="720"/>
        </w:tabs>
        <w:suppressAutoHyphens/>
        <w:ind w:left="1440" w:hanging="1440"/>
        <w:rPr>
          <w:rFonts w:ascii="Times New Roman" w:hAnsi="Times New Roman"/>
          <w:szCs w:val="24"/>
        </w:rPr>
      </w:pPr>
      <w:r w:rsidRPr="00A82CCF">
        <w:rPr>
          <w:rFonts w:ascii="Times New Roman" w:hAnsi="Times New Roman"/>
          <w:szCs w:val="24"/>
        </w:rPr>
        <w:tab/>
        <w:t>-</w:t>
      </w:r>
      <w:r w:rsidRPr="00A82CCF">
        <w:rPr>
          <w:rFonts w:ascii="Times New Roman" w:hAnsi="Times New Roman"/>
          <w:szCs w:val="24"/>
        </w:rPr>
        <w:tab/>
      </w:r>
      <w:r w:rsidRPr="00A82CCF">
        <w:rPr>
          <w:rFonts w:ascii="Times New Roman" w:hAnsi="Times New Roman"/>
          <w:szCs w:val="24"/>
          <w:u w:val="single"/>
        </w:rPr>
        <w:t>requiring respondents to submit more that an original and two copies of any document</w:t>
      </w:r>
      <w:r w:rsidRPr="00A82CCF">
        <w:rPr>
          <w:rFonts w:ascii="Times New Roman" w:hAnsi="Times New Roman"/>
          <w:szCs w:val="24"/>
        </w:rPr>
        <w:t>;</w:t>
      </w:r>
    </w:p>
    <w:p w14:paraId="23521637" w14:textId="77777777" w:rsidR="00A73D65" w:rsidRPr="002452B7" w:rsidRDefault="00A73D65" w:rsidP="00A73D65">
      <w:pPr>
        <w:tabs>
          <w:tab w:val="left" w:pos="-720"/>
          <w:tab w:val="left" w:pos="0"/>
          <w:tab w:val="left" w:pos="720"/>
        </w:tabs>
        <w:suppressAutoHyphens/>
        <w:ind w:left="1440" w:hanging="1440"/>
        <w:rPr>
          <w:rFonts w:ascii="Times New Roman" w:hAnsi="Times New Roman"/>
          <w:szCs w:val="24"/>
        </w:rPr>
      </w:pPr>
    </w:p>
    <w:p w14:paraId="1F2B1226" w14:textId="77777777" w:rsidR="00A73D65" w:rsidRPr="002452B7" w:rsidRDefault="00A82CCF" w:rsidP="00A73D65">
      <w:pPr>
        <w:tabs>
          <w:tab w:val="left" w:pos="-720"/>
          <w:tab w:val="left" w:pos="0"/>
          <w:tab w:val="left" w:pos="720"/>
        </w:tabs>
        <w:suppressAutoHyphens/>
        <w:ind w:left="1440" w:hanging="1440"/>
        <w:rPr>
          <w:rFonts w:ascii="Times New Roman" w:hAnsi="Times New Roman"/>
          <w:szCs w:val="24"/>
        </w:rPr>
      </w:pPr>
      <w:r w:rsidRPr="00A82CCF">
        <w:rPr>
          <w:rFonts w:ascii="Times New Roman" w:hAnsi="Times New Roman"/>
          <w:szCs w:val="24"/>
        </w:rPr>
        <w:tab/>
        <w:t>Respondents are required to submit only a single copy to the Commission.</w:t>
      </w:r>
    </w:p>
    <w:p w14:paraId="5264114C" w14:textId="77777777" w:rsidR="00A73D65" w:rsidRPr="002452B7" w:rsidRDefault="00A73D65" w:rsidP="00A73D65">
      <w:pPr>
        <w:tabs>
          <w:tab w:val="left" w:pos="-720"/>
        </w:tabs>
        <w:suppressAutoHyphens/>
        <w:rPr>
          <w:rFonts w:ascii="Times New Roman" w:hAnsi="Times New Roman"/>
          <w:szCs w:val="24"/>
        </w:rPr>
      </w:pPr>
    </w:p>
    <w:p w14:paraId="63F8741D" w14:textId="77777777" w:rsidR="00A73D65" w:rsidRPr="002452B7" w:rsidRDefault="00A82CCF" w:rsidP="00A73D65">
      <w:pPr>
        <w:tabs>
          <w:tab w:val="left" w:pos="-720"/>
          <w:tab w:val="left" w:pos="0"/>
          <w:tab w:val="left" w:pos="720"/>
        </w:tabs>
        <w:suppressAutoHyphens/>
        <w:ind w:left="1440" w:hanging="1440"/>
        <w:rPr>
          <w:rFonts w:ascii="Times New Roman" w:hAnsi="Times New Roman"/>
          <w:szCs w:val="24"/>
        </w:rPr>
      </w:pPr>
      <w:r w:rsidRPr="00A82CCF">
        <w:rPr>
          <w:rFonts w:ascii="Times New Roman" w:hAnsi="Times New Roman"/>
          <w:szCs w:val="24"/>
        </w:rPr>
        <w:tab/>
        <w:t>-</w:t>
      </w:r>
      <w:r w:rsidRPr="00A82CCF">
        <w:rPr>
          <w:rFonts w:ascii="Times New Roman" w:hAnsi="Times New Roman"/>
          <w:szCs w:val="24"/>
        </w:rPr>
        <w:tab/>
      </w:r>
      <w:r w:rsidRPr="00A82CCF">
        <w:rPr>
          <w:rFonts w:ascii="Times New Roman" w:hAnsi="Times New Roman"/>
          <w:szCs w:val="24"/>
          <w:u w:val="single"/>
        </w:rPr>
        <w:t>requiring respondents to retain records other than health, medical, government contract, grant-in-aid, or tax records, for more than three years</w:t>
      </w:r>
      <w:r w:rsidRPr="00A82CCF">
        <w:rPr>
          <w:rFonts w:ascii="Times New Roman" w:hAnsi="Times New Roman"/>
          <w:szCs w:val="24"/>
        </w:rPr>
        <w:t>;</w:t>
      </w:r>
    </w:p>
    <w:p w14:paraId="4D8B5EC4" w14:textId="77777777" w:rsidR="00A73D65" w:rsidRPr="002452B7" w:rsidRDefault="00A73D65" w:rsidP="00A73D65">
      <w:pPr>
        <w:tabs>
          <w:tab w:val="left" w:pos="-720"/>
        </w:tabs>
        <w:suppressAutoHyphens/>
        <w:rPr>
          <w:rFonts w:ascii="Times New Roman" w:hAnsi="Times New Roman"/>
          <w:szCs w:val="24"/>
        </w:rPr>
      </w:pPr>
    </w:p>
    <w:p w14:paraId="76BF640F" w14:textId="77777777" w:rsidR="00C63E7D" w:rsidRPr="002452B7" w:rsidRDefault="00A82CCF" w:rsidP="00A73D65">
      <w:pPr>
        <w:rPr>
          <w:rFonts w:ascii="Times New Roman" w:hAnsi="Times New Roman"/>
          <w:szCs w:val="24"/>
        </w:rPr>
      </w:pPr>
      <w:r w:rsidRPr="00A82CCF">
        <w:rPr>
          <w:rFonts w:ascii="Times New Roman" w:hAnsi="Times New Roman"/>
          <w:szCs w:val="24"/>
        </w:rPr>
        <w:tab/>
        <w:t>Regulation 20.6 impose</w:t>
      </w:r>
      <w:r w:rsidR="001229E5">
        <w:rPr>
          <w:rFonts w:ascii="Times New Roman" w:hAnsi="Times New Roman"/>
          <w:szCs w:val="24"/>
        </w:rPr>
        <w:t>s</w:t>
      </w:r>
      <w:r w:rsidRPr="00A82CCF">
        <w:rPr>
          <w:rFonts w:ascii="Times New Roman" w:hAnsi="Times New Roman"/>
          <w:szCs w:val="24"/>
        </w:rPr>
        <w:t xml:space="preserve"> recordkeeping and production requirements on reporting clearing organizations, reporting entities, and persons with large swaps positions.  Regulation 20.6 require</w:t>
      </w:r>
      <w:r w:rsidR="001229E5">
        <w:rPr>
          <w:rFonts w:ascii="Times New Roman" w:hAnsi="Times New Roman"/>
          <w:szCs w:val="24"/>
        </w:rPr>
        <w:t>s</w:t>
      </w:r>
      <w:r w:rsidRPr="00A82CCF">
        <w:rPr>
          <w:rFonts w:ascii="Times New Roman" w:hAnsi="Times New Roman"/>
          <w:szCs w:val="24"/>
        </w:rPr>
        <w:t xml:space="preserve"> clearing organizations and reporting entities to keep records of transactions in paired swaps or swaptions, as well as records showing methods used to convert swaps an</w:t>
      </w:r>
      <w:r w:rsidR="00CE6202">
        <w:rPr>
          <w:rFonts w:ascii="Times New Roman" w:hAnsi="Times New Roman"/>
          <w:szCs w:val="24"/>
        </w:rPr>
        <w:t>d</w:t>
      </w:r>
      <w:r w:rsidRPr="00A82CCF">
        <w:rPr>
          <w:rFonts w:ascii="Times New Roman" w:hAnsi="Times New Roman"/>
          <w:szCs w:val="24"/>
        </w:rPr>
        <w:t xml:space="preserve"> swap</w:t>
      </w:r>
      <w:r w:rsidR="00CE6202">
        <w:rPr>
          <w:rFonts w:ascii="Times New Roman" w:hAnsi="Times New Roman"/>
          <w:szCs w:val="24"/>
        </w:rPr>
        <w:t>tions</w:t>
      </w:r>
      <w:r w:rsidRPr="00A82CCF">
        <w:rPr>
          <w:rFonts w:ascii="Times New Roman" w:hAnsi="Times New Roman"/>
          <w:szCs w:val="24"/>
        </w:rPr>
        <w:t xml:space="preserve"> into futures equivalents.  </w:t>
      </w:r>
    </w:p>
    <w:p w14:paraId="276E9201" w14:textId="77777777" w:rsidR="00C63E7D" w:rsidRPr="002452B7" w:rsidRDefault="00C63E7D" w:rsidP="00A73D65">
      <w:pPr>
        <w:rPr>
          <w:rFonts w:ascii="Times New Roman" w:hAnsi="Times New Roman"/>
          <w:szCs w:val="24"/>
        </w:rPr>
      </w:pPr>
    </w:p>
    <w:p w14:paraId="57E40242" w14:textId="77777777" w:rsidR="00A73D65" w:rsidRPr="002452B7" w:rsidRDefault="00A82CCF" w:rsidP="00777E0A">
      <w:pPr>
        <w:ind w:firstLine="720"/>
        <w:rPr>
          <w:rFonts w:ascii="Times New Roman" w:hAnsi="Times New Roman"/>
          <w:szCs w:val="24"/>
        </w:rPr>
      </w:pPr>
      <w:r w:rsidRPr="00A82CCF">
        <w:rPr>
          <w:rFonts w:ascii="Times New Roman" w:hAnsi="Times New Roman"/>
          <w:szCs w:val="24"/>
        </w:rPr>
        <w:t>Regulation 20.6 require</w:t>
      </w:r>
      <w:r w:rsidR="001229E5">
        <w:rPr>
          <w:rFonts w:ascii="Times New Roman" w:hAnsi="Times New Roman"/>
          <w:szCs w:val="24"/>
        </w:rPr>
        <w:t>s</w:t>
      </w:r>
      <w:r w:rsidRPr="00A82CCF">
        <w:rPr>
          <w:rFonts w:ascii="Times New Roman" w:hAnsi="Times New Roman"/>
          <w:szCs w:val="24"/>
        </w:rPr>
        <w:t xml:space="preserve"> persons with large swaps positions to maintain books and records showing all records for relevant transactions and positions.  In addition, such persons are required to keep books and records on “transactions in the cash commodity” and its products and byproducts, and “all commercial activities” that are hedged or risk-mitigated using paired swaps and swaptions.  These recordkeeping requirements are very similar to those in current regulation 18.05.  </w:t>
      </w:r>
    </w:p>
    <w:p w14:paraId="61378C45" w14:textId="77777777" w:rsidR="00A73D65" w:rsidRPr="002452B7" w:rsidRDefault="00A73D65" w:rsidP="00A73D65">
      <w:pPr>
        <w:rPr>
          <w:rFonts w:ascii="Times New Roman" w:hAnsi="Times New Roman"/>
          <w:szCs w:val="24"/>
        </w:rPr>
      </w:pPr>
    </w:p>
    <w:p w14:paraId="2B0D1B4B" w14:textId="77777777" w:rsidR="00A73D65" w:rsidRPr="002452B7" w:rsidRDefault="00A82CCF" w:rsidP="00A73D65">
      <w:pPr>
        <w:ind w:firstLine="720"/>
        <w:rPr>
          <w:rFonts w:ascii="Times New Roman" w:hAnsi="Times New Roman"/>
          <w:szCs w:val="24"/>
        </w:rPr>
      </w:pPr>
      <w:r w:rsidRPr="00A82CCF">
        <w:rPr>
          <w:rFonts w:ascii="Times New Roman" w:hAnsi="Times New Roman"/>
          <w:szCs w:val="24"/>
        </w:rPr>
        <w:t xml:space="preserve">The recordkeeping duties imposed by regulation 20.6 for clearing organizations and reporting entities are to be in accordance with regulation 1.31.  </w:t>
      </w:r>
      <w:r w:rsidR="00355D75" w:rsidRPr="00355D75">
        <w:rPr>
          <w:rFonts w:ascii="Times New Roman" w:hAnsi="Times New Roman"/>
          <w:szCs w:val="24"/>
        </w:rPr>
        <w:t>Commission Regulation 1.31(b) expressly requires that books and records required to be kept by the CEA or Commission regulations be retained for certain specified periods.  Other than with respect to oral communications and records exclusively created and maintained on paper, the shortest of these periods is five years from the date of creation.</w:t>
      </w:r>
      <w:r w:rsidR="003F1CE4">
        <w:rPr>
          <w:rStyle w:val="FootnoteReference"/>
          <w:rFonts w:ascii="Times New Roman" w:hAnsi="Times New Roman"/>
          <w:szCs w:val="24"/>
        </w:rPr>
        <w:footnoteReference w:id="6"/>
      </w:r>
    </w:p>
    <w:p w14:paraId="30DCD920" w14:textId="77777777" w:rsidR="00A73D65" w:rsidRPr="002452B7" w:rsidRDefault="00A73D65" w:rsidP="00A73D65">
      <w:pPr>
        <w:ind w:firstLine="720"/>
        <w:rPr>
          <w:rFonts w:ascii="Times New Roman" w:hAnsi="Times New Roman"/>
          <w:szCs w:val="24"/>
        </w:rPr>
      </w:pPr>
    </w:p>
    <w:p w14:paraId="2382620A" w14:textId="77777777" w:rsidR="00A73D65" w:rsidRPr="002452B7" w:rsidRDefault="00A82CCF" w:rsidP="00A73D65">
      <w:pPr>
        <w:ind w:firstLine="720"/>
        <w:rPr>
          <w:rFonts w:ascii="Times New Roman" w:hAnsi="Times New Roman"/>
          <w:szCs w:val="24"/>
        </w:rPr>
      </w:pPr>
      <w:r w:rsidRPr="00A82CCF">
        <w:rPr>
          <w:rFonts w:ascii="Times New Roman" w:hAnsi="Times New Roman"/>
          <w:szCs w:val="24"/>
        </w:rPr>
        <w:t xml:space="preserve">These recordkeeping requirements allow the Commission to have access to records that would enable surveillance staff to reconstruct the transaction history of reported positions.  These requirements ensure that data records submitted to the Commission could be audited.  In addition, these records would enable Commission staff to better reconstruct trading activity that may have had a material impact on the commodity derivatives markets.  </w:t>
      </w:r>
    </w:p>
    <w:p w14:paraId="5BF7E310" w14:textId="77777777" w:rsidR="00C7580D" w:rsidRPr="002452B7" w:rsidRDefault="00C7580D" w:rsidP="00A73D65">
      <w:pPr>
        <w:ind w:firstLine="720"/>
        <w:rPr>
          <w:rFonts w:ascii="Times New Roman" w:hAnsi="Times New Roman"/>
          <w:szCs w:val="24"/>
        </w:rPr>
      </w:pPr>
    </w:p>
    <w:p w14:paraId="4FCEB6F3" w14:textId="77777777" w:rsidR="00C7580D" w:rsidRPr="002452B7" w:rsidRDefault="00A82CCF" w:rsidP="00A73D65">
      <w:pPr>
        <w:ind w:firstLine="720"/>
        <w:rPr>
          <w:rFonts w:ascii="Times New Roman" w:hAnsi="Times New Roman"/>
          <w:szCs w:val="24"/>
        </w:rPr>
      </w:pPr>
      <w:r w:rsidRPr="00A82CCF">
        <w:rPr>
          <w:rFonts w:ascii="Times New Roman" w:hAnsi="Times New Roman"/>
          <w:szCs w:val="24"/>
        </w:rPr>
        <w:t>Large traders that are not clearing organizations or reporting entities can retain records and produce them for inspection using the record retention format that such persons have developed in the normal course of their business operations.</w:t>
      </w:r>
    </w:p>
    <w:p w14:paraId="484D75D3" w14:textId="77777777" w:rsidR="00A73D65" w:rsidRPr="002452B7" w:rsidRDefault="00A73D65" w:rsidP="00A73D65">
      <w:pPr>
        <w:rPr>
          <w:rFonts w:ascii="Times New Roman" w:hAnsi="Times New Roman"/>
          <w:szCs w:val="24"/>
        </w:rPr>
      </w:pPr>
    </w:p>
    <w:p w14:paraId="5EADE88E" w14:textId="77777777" w:rsidR="00A73D65" w:rsidRPr="002452B7" w:rsidRDefault="00A82CCF" w:rsidP="00A73D65">
      <w:pPr>
        <w:tabs>
          <w:tab w:val="left" w:pos="-720"/>
          <w:tab w:val="left" w:pos="0"/>
          <w:tab w:val="left" w:pos="720"/>
        </w:tabs>
        <w:suppressAutoHyphens/>
        <w:ind w:left="1440" w:hanging="1440"/>
        <w:rPr>
          <w:rFonts w:ascii="Times New Roman" w:hAnsi="Times New Roman"/>
          <w:szCs w:val="24"/>
        </w:rPr>
      </w:pPr>
      <w:r w:rsidRPr="00A82CCF">
        <w:rPr>
          <w:rFonts w:ascii="Times New Roman" w:hAnsi="Times New Roman"/>
          <w:szCs w:val="24"/>
        </w:rPr>
        <w:tab/>
        <w:t>-</w:t>
      </w:r>
      <w:r w:rsidRPr="00A82CCF">
        <w:rPr>
          <w:rFonts w:ascii="Times New Roman" w:hAnsi="Times New Roman"/>
          <w:szCs w:val="24"/>
        </w:rPr>
        <w:tab/>
      </w:r>
      <w:r w:rsidRPr="00A82CCF">
        <w:rPr>
          <w:rFonts w:ascii="Times New Roman" w:hAnsi="Times New Roman"/>
          <w:szCs w:val="24"/>
          <w:u w:val="single"/>
        </w:rPr>
        <w:t>In connection with a statistical survey, that is not designed to produce valid and reliable results that can be generalized to the universe of study</w:t>
      </w:r>
      <w:r w:rsidRPr="00A82CCF">
        <w:rPr>
          <w:rFonts w:ascii="Times New Roman" w:hAnsi="Times New Roman"/>
          <w:szCs w:val="24"/>
        </w:rPr>
        <w:t>;</w:t>
      </w:r>
    </w:p>
    <w:p w14:paraId="50BF85AC" w14:textId="77777777" w:rsidR="00A73D65" w:rsidRPr="002452B7" w:rsidRDefault="00A73D65" w:rsidP="00A73D65">
      <w:pPr>
        <w:tabs>
          <w:tab w:val="left" w:pos="-720"/>
          <w:tab w:val="left" w:pos="0"/>
          <w:tab w:val="left" w:pos="720"/>
        </w:tabs>
        <w:suppressAutoHyphens/>
        <w:ind w:left="1440" w:hanging="1440"/>
        <w:rPr>
          <w:rFonts w:ascii="Times New Roman" w:hAnsi="Times New Roman"/>
          <w:szCs w:val="24"/>
        </w:rPr>
      </w:pPr>
    </w:p>
    <w:p w14:paraId="5E77FB83" w14:textId="77777777" w:rsidR="00A73D65" w:rsidRPr="002452B7" w:rsidRDefault="00A82CCF" w:rsidP="00A73D65">
      <w:pPr>
        <w:keepNext/>
        <w:ind w:firstLine="720"/>
        <w:rPr>
          <w:rFonts w:ascii="Times New Roman" w:hAnsi="Times New Roman"/>
          <w:szCs w:val="24"/>
        </w:rPr>
      </w:pPr>
      <w:r w:rsidRPr="00A82CCF">
        <w:rPr>
          <w:rFonts w:ascii="Times New Roman" w:hAnsi="Times New Roman"/>
          <w:szCs w:val="24"/>
        </w:rPr>
        <w:t xml:space="preserve">The Reporting Rules do not involve statistical surveys. </w:t>
      </w:r>
    </w:p>
    <w:p w14:paraId="3BF8BD3D" w14:textId="77777777" w:rsidR="00A73D65" w:rsidRPr="002452B7" w:rsidRDefault="00A73D65" w:rsidP="00A73D65">
      <w:pPr>
        <w:tabs>
          <w:tab w:val="left" w:pos="-720"/>
        </w:tabs>
        <w:suppressAutoHyphens/>
        <w:rPr>
          <w:rFonts w:ascii="Times New Roman" w:hAnsi="Times New Roman"/>
          <w:szCs w:val="24"/>
        </w:rPr>
      </w:pPr>
    </w:p>
    <w:p w14:paraId="50808F2C" w14:textId="77777777" w:rsidR="00A73D65" w:rsidRPr="002452B7" w:rsidRDefault="00A82CCF" w:rsidP="00A73D65">
      <w:pPr>
        <w:tabs>
          <w:tab w:val="left" w:pos="-720"/>
          <w:tab w:val="left" w:pos="0"/>
          <w:tab w:val="left" w:pos="720"/>
        </w:tabs>
        <w:suppressAutoHyphens/>
        <w:ind w:left="1440" w:hanging="1440"/>
        <w:rPr>
          <w:rFonts w:ascii="Times New Roman" w:hAnsi="Times New Roman"/>
          <w:szCs w:val="24"/>
        </w:rPr>
      </w:pPr>
      <w:r w:rsidRPr="00A82CCF">
        <w:rPr>
          <w:rFonts w:ascii="Times New Roman" w:hAnsi="Times New Roman"/>
          <w:szCs w:val="24"/>
        </w:rPr>
        <w:tab/>
        <w:t>-</w:t>
      </w:r>
      <w:r w:rsidRPr="00A82CCF">
        <w:rPr>
          <w:rFonts w:ascii="Times New Roman" w:hAnsi="Times New Roman"/>
          <w:szCs w:val="24"/>
        </w:rPr>
        <w:tab/>
      </w:r>
      <w:r w:rsidRPr="00A82CCF">
        <w:rPr>
          <w:rFonts w:ascii="Times New Roman" w:hAnsi="Times New Roman"/>
          <w:szCs w:val="24"/>
          <w:u w:val="single"/>
        </w:rPr>
        <w:t>requiring the use of a statistical data classification that has not been reviewed and approved by OMB</w:t>
      </w:r>
      <w:r w:rsidRPr="00A82CCF">
        <w:rPr>
          <w:rFonts w:ascii="Times New Roman" w:hAnsi="Times New Roman"/>
          <w:szCs w:val="24"/>
        </w:rPr>
        <w:t>;</w:t>
      </w:r>
    </w:p>
    <w:p w14:paraId="6F0165CB" w14:textId="77777777" w:rsidR="00A73D65" w:rsidRPr="002452B7" w:rsidRDefault="00A73D65" w:rsidP="00A73D65">
      <w:pPr>
        <w:tabs>
          <w:tab w:val="left" w:pos="-720"/>
          <w:tab w:val="left" w:pos="0"/>
          <w:tab w:val="left" w:pos="720"/>
        </w:tabs>
        <w:suppressAutoHyphens/>
        <w:ind w:left="1440" w:hanging="1440"/>
        <w:rPr>
          <w:rFonts w:ascii="Times New Roman" w:hAnsi="Times New Roman"/>
          <w:szCs w:val="24"/>
        </w:rPr>
      </w:pPr>
    </w:p>
    <w:p w14:paraId="23AB22A5" w14:textId="77777777" w:rsidR="00A73D65" w:rsidRPr="002452B7" w:rsidRDefault="00A82CCF" w:rsidP="00A73D65">
      <w:pPr>
        <w:keepNext/>
        <w:ind w:firstLine="720"/>
        <w:rPr>
          <w:rFonts w:ascii="Times New Roman" w:hAnsi="Times New Roman"/>
          <w:szCs w:val="24"/>
        </w:rPr>
      </w:pPr>
      <w:r w:rsidRPr="00A82CCF">
        <w:rPr>
          <w:rFonts w:ascii="Times New Roman" w:hAnsi="Times New Roman"/>
          <w:szCs w:val="24"/>
        </w:rPr>
        <w:t>The Reporting Rules do not involve statistical data classifications.</w:t>
      </w:r>
    </w:p>
    <w:p w14:paraId="775CDE31" w14:textId="77777777" w:rsidR="00A73D65" w:rsidRPr="002452B7" w:rsidRDefault="00A73D65" w:rsidP="00A73D65">
      <w:pPr>
        <w:tabs>
          <w:tab w:val="left" w:pos="-720"/>
        </w:tabs>
        <w:suppressAutoHyphens/>
        <w:rPr>
          <w:rFonts w:ascii="Times New Roman" w:hAnsi="Times New Roman"/>
          <w:szCs w:val="24"/>
        </w:rPr>
      </w:pPr>
    </w:p>
    <w:p w14:paraId="40C4FE3A" w14:textId="77777777" w:rsidR="00A73D65" w:rsidRPr="002452B7" w:rsidRDefault="00A82CCF" w:rsidP="00A73D65">
      <w:pPr>
        <w:tabs>
          <w:tab w:val="left" w:pos="-720"/>
          <w:tab w:val="left" w:pos="0"/>
          <w:tab w:val="left" w:pos="720"/>
        </w:tabs>
        <w:suppressAutoHyphens/>
        <w:ind w:left="1440" w:hanging="1440"/>
        <w:rPr>
          <w:rFonts w:ascii="Times New Roman" w:hAnsi="Times New Roman"/>
          <w:szCs w:val="24"/>
        </w:rPr>
      </w:pPr>
      <w:r w:rsidRPr="00A82CCF">
        <w:rPr>
          <w:rFonts w:ascii="Times New Roman" w:hAnsi="Times New Roman"/>
          <w:szCs w:val="24"/>
        </w:rPr>
        <w:tab/>
        <w:t>-</w:t>
      </w:r>
      <w:r w:rsidRPr="00A82CCF">
        <w:rPr>
          <w:rFonts w:ascii="Times New Roman" w:hAnsi="Times New Roman"/>
          <w:szCs w:val="24"/>
        </w:rPr>
        <w:tab/>
      </w:r>
      <w:r w:rsidRPr="00A82CCF">
        <w:rPr>
          <w:rFonts w:ascii="Times New Roman" w:hAnsi="Times New Roman"/>
          <w:szCs w:val="24"/>
          <w:u w:val="single"/>
        </w:rPr>
        <w:t xml:space="preserve">that includes a pledge of confidentiality that is not supported by authority established in statue or regulation, that is not supported by disclosure and data security policies that are consistent with the pledge, or which unnecessarily </w:t>
      </w:r>
      <w:r w:rsidRPr="00777E0A">
        <w:rPr>
          <w:rFonts w:ascii="Times New Roman" w:hAnsi="Times New Roman"/>
          <w:szCs w:val="24"/>
          <w:u w:val="single"/>
        </w:rPr>
        <w:t>impedes sharing of data with other agencies for compatible confidential use; or</w:t>
      </w:r>
    </w:p>
    <w:p w14:paraId="6059DDCC" w14:textId="77777777" w:rsidR="00A73D65" w:rsidRPr="002452B7" w:rsidRDefault="00A73D65" w:rsidP="00A73D65">
      <w:pPr>
        <w:tabs>
          <w:tab w:val="left" w:pos="-720"/>
        </w:tabs>
        <w:suppressAutoHyphens/>
        <w:rPr>
          <w:rFonts w:ascii="Times New Roman" w:hAnsi="Times New Roman"/>
          <w:szCs w:val="24"/>
        </w:rPr>
      </w:pPr>
    </w:p>
    <w:p w14:paraId="729EB612" w14:textId="77777777" w:rsidR="00A73D65" w:rsidRPr="002452B7" w:rsidRDefault="00A82CCF" w:rsidP="00A73D65">
      <w:pPr>
        <w:tabs>
          <w:tab w:val="left" w:pos="-720"/>
        </w:tabs>
        <w:suppressAutoHyphens/>
        <w:rPr>
          <w:rFonts w:ascii="Times New Roman" w:hAnsi="Times New Roman"/>
          <w:szCs w:val="24"/>
        </w:rPr>
      </w:pPr>
      <w:r w:rsidRPr="00A82CCF">
        <w:rPr>
          <w:rFonts w:ascii="Times New Roman" w:hAnsi="Times New Roman"/>
          <w:szCs w:val="24"/>
        </w:rPr>
        <w:tab/>
        <w:t>The Reporting Rules do not directly involve any specific pledge of confidentiality regarding the collection of data (see answer to question 10).</w:t>
      </w:r>
    </w:p>
    <w:p w14:paraId="4DBBBE02" w14:textId="77777777" w:rsidR="00A73D65" w:rsidRPr="002452B7" w:rsidRDefault="00A73D65" w:rsidP="00A73D65">
      <w:pPr>
        <w:tabs>
          <w:tab w:val="left" w:pos="-720"/>
        </w:tabs>
        <w:suppressAutoHyphens/>
        <w:rPr>
          <w:rFonts w:ascii="Times New Roman" w:hAnsi="Times New Roman"/>
          <w:szCs w:val="24"/>
        </w:rPr>
      </w:pPr>
    </w:p>
    <w:p w14:paraId="36753B1A" w14:textId="77777777" w:rsidR="00A73D65" w:rsidRPr="002452B7" w:rsidRDefault="00A82CCF" w:rsidP="00A73D65">
      <w:pPr>
        <w:tabs>
          <w:tab w:val="left" w:pos="-720"/>
          <w:tab w:val="left" w:pos="0"/>
          <w:tab w:val="left" w:pos="720"/>
        </w:tabs>
        <w:suppressAutoHyphens/>
        <w:ind w:left="1440" w:hanging="1440"/>
        <w:rPr>
          <w:rFonts w:ascii="Times New Roman" w:hAnsi="Times New Roman"/>
          <w:szCs w:val="24"/>
        </w:rPr>
      </w:pPr>
      <w:r w:rsidRPr="00A82CCF">
        <w:rPr>
          <w:rFonts w:ascii="Times New Roman" w:hAnsi="Times New Roman"/>
          <w:szCs w:val="24"/>
        </w:rPr>
        <w:tab/>
        <w:t>-</w:t>
      </w:r>
      <w:r w:rsidRPr="00A82CCF">
        <w:rPr>
          <w:rFonts w:ascii="Times New Roman" w:hAnsi="Times New Roman"/>
          <w:szCs w:val="24"/>
        </w:rPr>
        <w:tab/>
      </w:r>
      <w:r w:rsidRPr="00A82CCF">
        <w:rPr>
          <w:rFonts w:ascii="Times New Roman" w:hAnsi="Times New Roman"/>
          <w:szCs w:val="24"/>
          <w:u w:val="single"/>
        </w:rPr>
        <w:t>requiring respondents to submit proprietary trade secrets, or other confidential information unless the agency can demonstrate that it has instituted procedures to protect the information's confidentiality to the extent permitted by law</w:t>
      </w:r>
      <w:r w:rsidRPr="00A82CCF">
        <w:rPr>
          <w:rFonts w:ascii="Times New Roman" w:hAnsi="Times New Roman"/>
          <w:szCs w:val="24"/>
        </w:rPr>
        <w:t>.</w:t>
      </w:r>
    </w:p>
    <w:p w14:paraId="4A692F42" w14:textId="77777777" w:rsidR="00A73D65" w:rsidRPr="002452B7" w:rsidRDefault="00A73D65" w:rsidP="00A73D65">
      <w:pPr>
        <w:tabs>
          <w:tab w:val="left" w:pos="-720"/>
        </w:tabs>
        <w:suppressAutoHyphens/>
        <w:rPr>
          <w:rFonts w:ascii="Times New Roman" w:hAnsi="Times New Roman"/>
          <w:szCs w:val="24"/>
        </w:rPr>
      </w:pPr>
    </w:p>
    <w:p w14:paraId="4046D683" w14:textId="77777777" w:rsidR="00C2608D" w:rsidRDefault="00CE6202" w:rsidP="00777E0A">
      <w:pPr>
        <w:tabs>
          <w:tab w:val="left" w:pos="-720"/>
          <w:tab w:val="left" w:pos="0"/>
        </w:tabs>
        <w:suppressAutoHyphens/>
        <w:rPr>
          <w:rFonts w:ascii="Times New Roman" w:hAnsi="Times New Roman"/>
          <w:b/>
          <w:szCs w:val="24"/>
          <w:u w:val="single"/>
        </w:rPr>
      </w:pPr>
      <w:r>
        <w:rPr>
          <w:rFonts w:ascii="Times New Roman" w:hAnsi="Times New Roman"/>
          <w:szCs w:val="24"/>
        </w:rPr>
        <w:tab/>
      </w:r>
      <w:r w:rsidR="00A82CCF" w:rsidRPr="00A82CCF">
        <w:rPr>
          <w:rFonts w:ascii="Times New Roman" w:hAnsi="Times New Roman"/>
          <w:szCs w:val="24"/>
        </w:rPr>
        <w:t xml:space="preserve">The Reporting Rules do require the submission of data involving confidential information or proprietary trade secrets.  </w:t>
      </w:r>
      <w:r w:rsidR="00355D75" w:rsidRPr="00355D75">
        <w:rPr>
          <w:rFonts w:ascii="Times New Roman" w:hAnsi="Times New Roman"/>
          <w:szCs w:val="24"/>
        </w:rPr>
        <w:t>The Commission has procedures to protect the confidentiality of an applicant’s or registrant’s data.  These are set forth in the Commission’s regulations at parts 145 and 147 of title 17 of the Code of Federal Regulations.</w:t>
      </w:r>
      <w:r w:rsidR="00562A6E" w:rsidRPr="002452B7" w:rsidDel="00562A6E">
        <w:rPr>
          <w:rFonts w:ascii="Times New Roman" w:hAnsi="Times New Roman"/>
          <w:szCs w:val="24"/>
        </w:rPr>
        <w:t xml:space="preserve"> </w:t>
      </w:r>
    </w:p>
    <w:p w14:paraId="78A029C4" w14:textId="77777777" w:rsidR="00562A6E" w:rsidRPr="002452B7" w:rsidRDefault="00562A6E" w:rsidP="00583F74">
      <w:pPr>
        <w:tabs>
          <w:tab w:val="left" w:pos="-720"/>
          <w:tab w:val="left" w:pos="0"/>
        </w:tabs>
        <w:suppressAutoHyphens/>
        <w:ind w:left="360"/>
        <w:rPr>
          <w:rFonts w:ascii="Times New Roman" w:hAnsi="Times New Roman"/>
          <w:szCs w:val="24"/>
          <w:u w:val="single"/>
        </w:rPr>
      </w:pPr>
    </w:p>
    <w:p w14:paraId="336F3DAA" w14:textId="77777777" w:rsidR="00A73D65" w:rsidRPr="00C46F96" w:rsidRDefault="00562A6E" w:rsidP="00A73D65">
      <w:pPr>
        <w:pStyle w:val="ListParagraph"/>
        <w:numPr>
          <w:ilvl w:val="0"/>
          <w:numId w:val="1"/>
        </w:numPr>
        <w:tabs>
          <w:tab w:val="left" w:pos="-720"/>
          <w:tab w:val="left" w:pos="0"/>
        </w:tabs>
        <w:suppressAutoHyphens/>
        <w:rPr>
          <w:b/>
          <w:szCs w:val="24"/>
          <w:u w:val="single"/>
        </w:rPr>
      </w:pPr>
      <w:r w:rsidRPr="00562A6E">
        <w:rPr>
          <w:b/>
          <w:szCs w:val="24"/>
          <w:u w:val="single"/>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Pr>
          <w:b/>
          <w:szCs w:val="24"/>
          <w:u w:val="single"/>
        </w:rPr>
        <w:t xml:space="preserve">. </w:t>
      </w:r>
    </w:p>
    <w:p w14:paraId="4D9D672B" w14:textId="77777777" w:rsidR="00562A6E" w:rsidRPr="002452B7" w:rsidRDefault="00562A6E" w:rsidP="00A73D65">
      <w:pPr>
        <w:tabs>
          <w:tab w:val="left" w:pos="-720"/>
          <w:tab w:val="left" w:pos="0"/>
        </w:tabs>
        <w:suppressAutoHyphens/>
        <w:rPr>
          <w:rFonts w:ascii="Times New Roman" w:hAnsi="Times New Roman"/>
          <w:szCs w:val="24"/>
        </w:rPr>
      </w:pPr>
    </w:p>
    <w:p w14:paraId="2A8BB03E" w14:textId="77777777" w:rsidR="00050A55" w:rsidRDefault="00583F74" w:rsidP="00562A6E">
      <w:pPr>
        <w:ind w:firstLine="720"/>
        <w:rPr>
          <w:rFonts w:ascii="Times New Roman" w:hAnsi="Times New Roman"/>
          <w:szCs w:val="24"/>
        </w:rPr>
      </w:pPr>
      <w:r w:rsidRPr="00562A6E">
        <w:rPr>
          <w:rFonts w:ascii="Times New Roman" w:hAnsi="Times New Roman"/>
          <w:i/>
          <w:szCs w:val="24"/>
        </w:rPr>
        <w:t xml:space="preserve">A </w:t>
      </w:r>
      <w:r w:rsidR="001229E5" w:rsidRPr="00562A6E">
        <w:rPr>
          <w:rFonts w:ascii="Times New Roman" w:hAnsi="Times New Roman"/>
          <w:i/>
          <w:szCs w:val="24"/>
        </w:rPr>
        <w:t xml:space="preserve">Notice of Intent to </w:t>
      </w:r>
      <w:r w:rsidR="000D6547" w:rsidRPr="00562A6E">
        <w:rPr>
          <w:rFonts w:ascii="Times New Roman" w:hAnsi="Times New Roman"/>
          <w:i/>
          <w:szCs w:val="24"/>
        </w:rPr>
        <w:t>Extend</w:t>
      </w:r>
      <w:r w:rsidR="001229E5" w:rsidRPr="00562A6E">
        <w:rPr>
          <w:rFonts w:ascii="Times New Roman" w:hAnsi="Times New Roman"/>
          <w:i/>
          <w:szCs w:val="24"/>
        </w:rPr>
        <w:t xml:space="preserve"> Collection 3038-0095</w:t>
      </w:r>
      <w:r w:rsidR="00050A55">
        <w:rPr>
          <w:rFonts w:ascii="Times New Roman" w:hAnsi="Times New Roman"/>
          <w:szCs w:val="24"/>
        </w:rPr>
        <w:t>, Large Trader Reporting for Physical Commodity Swaps,</w:t>
      </w:r>
      <w:r w:rsidR="00CE6202">
        <w:rPr>
          <w:rFonts w:ascii="Times New Roman" w:hAnsi="Times New Roman"/>
          <w:i/>
          <w:szCs w:val="24"/>
        </w:rPr>
        <w:t xml:space="preserve"> </w:t>
      </w:r>
      <w:r w:rsidR="00A82CCF" w:rsidRPr="00A82CCF">
        <w:rPr>
          <w:rFonts w:ascii="Times New Roman" w:hAnsi="Times New Roman"/>
          <w:szCs w:val="24"/>
        </w:rPr>
        <w:t>w</w:t>
      </w:r>
      <w:r w:rsidR="001229E5">
        <w:rPr>
          <w:rFonts w:ascii="Times New Roman" w:hAnsi="Times New Roman"/>
          <w:szCs w:val="24"/>
        </w:rPr>
        <w:t>as</w:t>
      </w:r>
      <w:r w:rsidR="00A82CCF" w:rsidRPr="00A82CCF">
        <w:rPr>
          <w:rFonts w:ascii="Times New Roman" w:hAnsi="Times New Roman"/>
          <w:szCs w:val="24"/>
        </w:rPr>
        <w:t xml:space="preserve"> published </w:t>
      </w:r>
      <w:r w:rsidR="00050A55">
        <w:rPr>
          <w:rFonts w:ascii="Times New Roman" w:hAnsi="Times New Roman"/>
          <w:szCs w:val="24"/>
        </w:rPr>
        <w:t xml:space="preserve">for a 60-day public comment period </w:t>
      </w:r>
      <w:r w:rsidR="00A82CCF" w:rsidRPr="00A82CCF">
        <w:rPr>
          <w:rFonts w:ascii="Times New Roman" w:hAnsi="Times New Roman"/>
          <w:szCs w:val="24"/>
        </w:rPr>
        <w:t>in the Federal</w:t>
      </w:r>
      <w:r w:rsidR="00050A55">
        <w:rPr>
          <w:rFonts w:ascii="Times New Roman" w:hAnsi="Times New Roman"/>
          <w:szCs w:val="24"/>
        </w:rPr>
        <w:t xml:space="preserve"> </w:t>
      </w:r>
      <w:r w:rsidR="00A82CCF" w:rsidRPr="00A82CCF">
        <w:rPr>
          <w:rFonts w:ascii="Times New Roman" w:hAnsi="Times New Roman"/>
          <w:szCs w:val="24"/>
        </w:rPr>
        <w:t xml:space="preserve">Register </w:t>
      </w:r>
      <w:r w:rsidR="00F37CD2">
        <w:rPr>
          <w:rFonts w:ascii="Times New Roman" w:hAnsi="Times New Roman"/>
          <w:szCs w:val="24"/>
        </w:rPr>
        <w:t>(“Notice”)</w:t>
      </w:r>
      <w:r w:rsidR="00050A55">
        <w:rPr>
          <w:rFonts w:ascii="Times New Roman" w:hAnsi="Times New Roman"/>
          <w:szCs w:val="24"/>
        </w:rPr>
        <w:t xml:space="preserve">, </w:t>
      </w:r>
      <w:r w:rsidRPr="00777E0A">
        <w:rPr>
          <w:rFonts w:ascii="Times New Roman" w:hAnsi="Times New Roman"/>
          <w:szCs w:val="24"/>
        </w:rPr>
        <w:t>83</w:t>
      </w:r>
      <w:r w:rsidR="000D6547">
        <w:rPr>
          <w:rFonts w:ascii="Times New Roman" w:hAnsi="Times New Roman"/>
          <w:szCs w:val="24"/>
        </w:rPr>
        <w:t xml:space="preserve"> FR </w:t>
      </w:r>
      <w:r w:rsidRPr="00777E0A">
        <w:rPr>
          <w:rFonts w:ascii="Times New Roman" w:hAnsi="Times New Roman"/>
          <w:szCs w:val="24"/>
        </w:rPr>
        <w:t>5761</w:t>
      </w:r>
      <w:r w:rsidR="007A74AC" w:rsidRPr="007A74AC" w:rsidDel="007A74AC">
        <w:rPr>
          <w:rFonts w:ascii="Times New Roman" w:hAnsi="Times New Roman"/>
          <w:szCs w:val="24"/>
        </w:rPr>
        <w:t xml:space="preserve"> </w:t>
      </w:r>
      <w:r w:rsidR="00A82CCF" w:rsidRPr="00A82CCF">
        <w:rPr>
          <w:rFonts w:ascii="Times New Roman" w:hAnsi="Times New Roman"/>
          <w:szCs w:val="24"/>
        </w:rPr>
        <w:t>(</w:t>
      </w:r>
      <w:r w:rsidR="000D6547">
        <w:rPr>
          <w:rFonts w:ascii="Times New Roman" w:hAnsi="Times New Roman"/>
          <w:szCs w:val="24"/>
        </w:rPr>
        <w:t>Feb</w:t>
      </w:r>
      <w:r w:rsidR="00DA432C">
        <w:rPr>
          <w:rFonts w:ascii="Times New Roman" w:hAnsi="Times New Roman"/>
          <w:szCs w:val="24"/>
        </w:rPr>
        <w:t>.</w:t>
      </w:r>
      <w:r w:rsidR="000D6547">
        <w:rPr>
          <w:rFonts w:ascii="Times New Roman" w:hAnsi="Times New Roman"/>
          <w:szCs w:val="24"/>
        </w:rPr>
        <w:t xml:space="preserve"> 9, </w:t>
      </w:r>
      <w:r w:rsidR="007A74AC" w:rsidRPr="00A82CCF">
        <w:rPr>
          <w:rFonts w:ascii="Times New Roman" w:hAnsi="Times New Roman"/>
          <w:szCs w:val="24"/>
        </w:rPr>
        <w:t>201</w:t>
      </w:r>
      <w:r w:rsidR="000D6547">
        <w:rPr>
          <w:rFonts w:ascii="Times New Roman" w:hAnsi="Times New Roman"/>
          <w:szCs w:val="24"/>
        </w:rPr>
        <w:t>8</w:t>
      </w:r>
      <w:r w:rsidR="00A82CCF" w:rsidRPr="00A82CCF">
        <w:rPr>
          <w:rFonts w:ascii="Times New Roman" w:hAnsi="Times New Roman"/>
          <w:szCs w:val="24"/>
        </w:rPr>
        <w:t>).</w:t>
      </w:r>
      <w:r>
        <w:rPr>
          <w:rFonts w:ascii="Times New Roman" w:hAnsi="Times New Roman"/>
          <w:szCs w:val="24"/>
        </w:rPr>
        <w:t xml:space="preserve"> </w:t>
      </w:r>
    </w:p>
    <w:p w14:paraId="4BF50946" w14:textId="77777777" w:rsidR="00050A55" w:rsidRDefault="00050A55" w:rsidP="00562A6E">
      <w:pPr>
        <w:ind w:firstLine="720"/>
        <w:rPr>
          <w:rFonts w:ascii="Times New Roman" w:hAnsi="Times New Roman"/>
          <w:szCs w:val="24"/>
        </w:rPr>
      </w:pPr>
    </w:p>
    <w:p w14:paraId="1271989A" w14:textId="77777777" w:rsidR="00050A55" w:rsidRDefault="00050A55" w:rsidP="00050A55">
      <w:pPr>
        <w:tabs>
          <w:tab w:val="left" w:pos="-720"/>
          <w:tab w:val="left" w:pos="0"/>
        </w:tabs>
        <w:suppressAutoHyphens/>
        <w:ind w:left="360"/>
        <w:rPr>
          <w:rFonts w:ascii="Times New Roman" w:hAnsi="Times New Roman"/>
          <w:szCs w:val="24"/>
          <w:u w:val="single"/>
        </w:rPr>
      </w:pPr>
      <w:r w:rsidRPr="00562A6E">
        <w:rPr>
          <w:rFonts w:ascii="Times New Roman" w:hAnsi="Times New Roman"/>
          <w:b/>
          <w:szCs w:val="24"/>
          <w:u w:val="single"/>
        </w:rPr>
        <w:t>Describe efforts to consult with persons outside the agency to obtain their views on the availability of data, frequency of collection, the clarity of instructions and recordkeeping disclosure, or reporting format (if any, and on the data elements to be recorded, disclosed,</w:t>
      </w:r>
      <w:r>
        <w:rPr>
          <w:rFonts w:ascii="Times New Roman" w:hAnsi="Times New Roman"/>
          <w:b/>
          <w:szCs w:val="24"/>
          <w:u w:val="single"/>
        </w:rPr>
        <w:t xml:space="preserve"> </w:t>
      </w:r>
      <w:r w:rsidRPr="00562A6E">
        <w:rPr>
          <w:rFonts w:ascii="Times New Roman" w:hAnsi="Times New Roman"/>
          <w:b/>
          <w:szCs w:val="24"/>
          <w:u w:val="single"/>
        </w:rPr>
        <w:t>or reported</w:t>
      </w:r>
      <w:r w:rsidRPr="00A82CCF">
        <w:rPr>
          <w:rFonts w:ascii="Times New Roman" w:hAnsi="Times New Roman"/>
          <w:szCs w:val="24"/>
          <w:u w:val="single"/>
        </w:rPr>
        <w:t>.</w:t>
      </w:r>
    </w:p>
    <w:p w14:paraId="2AF7FB14" w14:textId="77777777" w:rsidR="00050A55" w:rsidRDefault="00050A55" w:rsidP="00777E0A">
      <w:pPr>
        <w:rPr>
          <w:rFonts w:ascii="Times New Roman" w:hAnsi="Times New Roman"/>
          <w:szCs w:val="24"/>
        </w:rPr>
      </w:pPr>
    </w:p>
    <w:p w14:paraId="0667EB69" w14:textId="77777777" w:rsidR="00A73D65" w:rsidRPr="002452B7" w:rsidRDefault="00583F74" w:rsidP="00777E0A">
      <w:pPr>
        <w:ind w:firstLine="720"/>
        <w:rPr>
          <w:rFonts w:ascii="Times New Roman" w:hAnsi="Times New Roman"/>
          <w:szCs w:val="24"/>
          <w:u w:val="single"/>
        </w:rPr>
      </w:pPr>
      <w:r>
        <w:rPr>
          <w:rFonts w:ascii="Times New Roman" w:hAnsi="Times New Roman"/>
          <w:szCs w:val="24"/>
        </w:rPr>
        <w:t>The Notice requested comment on this information collection prior to submission to OMB. No relevant comments were received.</w:t>
      </w:r>
      <w:r w:rsidR="00F37CD2">
        <w:rPr>
          <w:rFonts w:ascii="Times New Roman" w:hAnsi="Times New Roman"/>
          <w:szCs w:val="24"/>
        </w:rPr>
        <w:t xml:space="preserve"> </w:t>
      </w:r>
      <w:r w:rsidR="007D5821">
        <w:rPr>
          <w:rFonts w:ascii="Times New Roman" w:hAnsi="Times New Roman"/>
          <w:szCs w:val="24"/>
        </w:rPr>
        <w:t>Nevertheless, c</w:t>
      </w:r>
      <w:r w:rsidR="00F37CD2" w:rsidRPr="00A82CCF">
        <w:rPr>
          <w:rFonts w:ascii="Times New Roman" w:hAnsi="Times New Roman"/>
          <w:szCs w:val="24"/>
        </w:rPr>
        <w:t>ontact with the reporting entities and market participants is maintained on a continuous basis to resolve reporting problems and address concerns.</w:t>
      </w:r>
    </w:p>
    <w:p w14:paraId="5BBED703" w14:textId="77777777" w:rsidR="00A73D65" w:rsidRPr="002452B7" w:rsidRDefault="00A82CCF" w:rsidP="00A73D65">
      <w:pPr>
        <w:tabs>
          <w:tab w:val="left" w:pos="-720"/>
        </w:tabs>
        <w:suppressAutoHyphens/>
        <w:rPr>
          <w:rFonts w:ascii="Times New Roman" w:hAnsi="Times New Roman"/>
          <w:szCs w:val="24"/>
          <w:u w:val="single"/>
        </w:rPr>
      </w:pPr>
      <w:r w:rsidRPr="00A82CCF">
        <w:rPr>
          <w:rFonts w:ascii="Times New Roman" w:hAnsi="Times New Roman"/>
          <w:szCs w:val="24"/>
        </w:rPr>
        <w:tab/>
        <w:t xml:space="preserve">  </w:t>
      </w:r>
    </w:p>
    <w:p w14:paraId="434B6CF3" w14:textId="77777777" w:rsidR="00A73D65" w:rsidRPr="00562A6E" w:rsidRDefault="00A82CCF" w:rsidP="00777E0A">
      <w:pPr>
        <w:tabs>
          <w:tab w:val="left" w:pos="-720"/>
          <w:tab w:val="left" w:pos="0"/>
        </w:tabs>
        <w:suppressAutoHyphens/>
        <w:ind w:left="450" w:hanging="450"/>
        <w:rPr>
          <w:rFonts w:ascii="Times New Roman" w:hAnsi="Times New Roman"/>
          <w:b/>
          <w:szCs w:val="24"/>
        </w:rPr>
      </w:pPr>
      <w:r w:rsidRPr="00A82CCF">
        <w:rPr>
          <w:rFonts w:ascii="Times New Roman" w:hAnsi="Times New Roman"/>
          <w:szCs w:val="24"/>
        </w:rPr>
        <w:tab/>
      </w:r>
      <w:r w:rsidRPr="00562A6E">
        <w:rPr>
          <w:rFonts w:ascii="Times New Roman" w:hAnsi="Times New Roman"/>
          <w:b/>
          <w:szCs w:val="24"/>
          <w:u w:val="single"/>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r w:rsidRPr="00562A6E">
        <w:rPr>
          <w:rFonts w:ascii="Times New Roman" w:hAnsi="Times New Roman"/>
          <w:b/>
          <w:szCs w:val="24"/>
        </w:rPr>
        <w:t>.</w:t>
      </w:r>
    </w:p>
    <w:p w14:paraId="3F9F7E78" w14:textId="77777777" w:rsidR="00A73D65" w:rsidRPr="002452B7" w:rsidRDefault="00A73D65" w:rsidP="00A73D65">
      <w:pPr>
        <w:tabs>
          <w:tab w:val="left" w:pos="-720"/>
        </w:tabs>
        <w:suppressAutoHyphens/>
        <w:rPr>
          <w:rFonts w:ascii="Times New Roman" w:hAnsi="Times New Roman"/>
          <w:szCs w:val="24"/>
        </w:rPr>
      </w:pPr>
    </w:p>
    <w:p w14:paraId="64C3936A" w14:textId="77777777" w:rsidR="00A73D65" w:rsidRPr="002452B7" w:rsidRDefault="007D5821" w:rsidP="00A73D65">
      <w:pPr>
        <w:ind w:left="720"/>
        <w:rPr>
          <w:rFonts w:ascii="Times New Roman" w:hAnsi="Times New Roman"/>
          <w:szCs w:val="24"/>
        </w:rPr>
      </w:pPr>
      <w:r w:rsidRPr="00562A6E">
        <w:rPr>
          <w:rFonts w:ascii="Times New Roman" w:hAnsi="Times New Roman"/>
          <w:i/>
          <w:szCs w:val="24"/>
        </w:rPr>
        <w:t>See</w:t>
      </w:r>
      <w:r>
        <w:rPr>
          <w:rFonts w:ascii="Times New Roman" w:hAnsi="Times New Roman"/>
          <w:szCs w:val="24"/>
        </w:rPr>
        <w:t xml:space="preserve"> response in 8. N</w:t>
      </w:r>
      <w:r w:rsidR="00A82CCF" w:rsidRPr="00A82CCF">
        <w:rPr>
          <w:rFonts w:ascii="Times New Roman" w:hAnsi="Times New Roman"/>
          <w:szCs w:val="24"/>
        </w:rPr>
        <w:t xml:space="preserve">o circumstances </w:t>
      </w:r>
      <w:r>
        <w:rPr>
          <w:rFonts w:ascii="Times New Roman" w:hAnsi="Times New Roman"/>
          <w:szCs w:val="24"/>
        </w:rPr>
        <w:t xml:space="preserve">that may preclude consultation </w:t>
      </w:r>
      <w:r w:rsidR="00A82CCF" w:rsidRPr="00A82CCF">
        <w:rPr>
          <w:rFonts w:ascii="Times New Roman" w:hAnsi="Times New Roman"/>
          <w:szCs w:val="24"/>
        </w:rPr>
        <w:t>are anticipated.</w:t>
      </w:r>
    </w:p>
    <w:p w14:paraId="3DFB30D6" w14:textId="77777777" w:rsidR="00A73D65" w:rsidRPr="002452B7" w:rsidRDefault="00A73D65" w:rsidP="00A73D65">
      <w:pPr>
        <w:tabs>
          <w:tab w:val="left" w:pos="-720"/>
        </w:tabs>
        <w:suppressAutoHyphens/>
        <w:rPr>
          <w:rFonts w:ascii="Times New Roman" w:hAnsi="Times New Roman"/>
          <w:szCs w:val="24"/>
        </w:rPr>
      </w:pPr>
    </w:p>
    <w:p w14:paraId="688D47B9" w14:textId="77777777" w:rsidR="00A73D65" w:rsidRPr="00C46F96" w:rsidRDefault="00A82CCF" w:rsidP="00A73D65">
      <w:pPr>
        <w:pStyle w:val="ListParagraph"/>
        <w:numPr>
          <w:ilvl w:val="0"/>
          <w:numId w:val="1"/>
        </w:numPr>
        <w:tabs>
          <w:tab w:val="left" w:pos="-720"/>
          <w:tab w:val="left" w:pos="0"/>
        </w:tabs>
        <w:suppressAutoHyphens/>
        <w:rPr>
          <w:b/>
          <w:szCs w:val="24"/>
        </w:rPr>
      </w:pPr>
      <w:r w:rsidRPr="00C46F96">
        <w:rPr>
          <w:b/>
          <w:szCs w:val="24"/>
          <w:u w:val="single"/>
        </w:rPr>
        <w:t>Explain any decision to provide any payment or gift to respondents, other than remuneration of contractors or grantees</w:t>
      </w:r>
      <w:r w:rsidRPr="00C46F96">
        <w:rPr>
          <w:b/>
          <w:szCs w:val="24"/>
        </w:rPr>
        <w:t>.</w:t>
      </w:r>
    </w:p>
    <w:p w14:paraId="0F057713" w14:textId="77777777" w:rsidR="00A73D65" w:rsidRPr="002452B7" w:rsidRDefault="00A73D65" w:rsidP="00A73D65">
      <w:pPr>
        <w:tabs>
          <w:tab w:val="left" w:pos="-720"/>
          <w:tab w:val="left" w:pos="0"/>
        </w:tabs>
        <w:suppressAutoHyphens/>
        <w:rPr>
          <w:rFonts w:ascii="Times New Roman" w:hAnsi="Times New Roman"/>
          <w:szCs w:val="24"/>
        </w:rPr>
      </w:pPr>
    </w:p>
    <w:p w14:paraId="5FB5D8D6" w14:textId="77777777" w:rsidR="00A73D65" w:rsidRPr="002452B7" w:rsidRDefault="00A82CCF" w:rsidP="00A73D65">
      <w:pPr>
        <w:ind w:firstLine="720"/>
        <w:rPr>
          <w:rFonts w:ascii="Times New Roman" w:hAnsi="Times New Roman"/>
          <w:szCs w:val="24"/>
        </w:rPr>
      </w:pPr>
      <w:r w:rsidRPr="00A82CCF">
        <w:rPr>
          <w:rFonts w:ascii="Times New Roman" w:hAnsi="Times New Roman"/>
          <w:szCs w:val="24"/>
        </w:rPr>
        <w:t>This question does not apply.</w:t>
      </w:r>
      <w:r w:rsidR="00DA432C">
        <w:rPr>
          <w:rFonts w:ascii="Times New Roman" w:hAnsi="Times New Roman"/>
          <w:szCs w:val="24"/>
        </w:rPr>
        <w:t xml:space="preserve"> The Commission has neither considered nor made any payment or gift to a respondent.</w:t>
      </w:r>
    </w:p>
    <w:p w14:paraId="5E4C67C7" w14:textId="77777777" w:rsidR="00A73D65" w:rsidRPr="002452B7" w:rsidRDefault="00A82CCF" w:rsidP="00A73D65">
      <w:pPr>
        <w:tabs>
          <w:tab w:val="left" w:pos="-720"/>
        </w:tabs>
        <w:suppressAutoHyphens/>
        <w:rPr>
          <w:rFonts w:ascii="Times New Roman" w:hAnsi="Times New Roman"/>
          <w:szCs w:val="24"/>
        </w:rPr>
      </w:pPr>
      <w:r w:rsidRPr="00A82CCF">
        <w:rPr>
          <w:rFonts w:ascii="Times New Roman" w:hAnsi="Times New Roman"/>
          <w:szCs w:val="24"/>
        </w:rPr>
        <w:t xml:space="preserve">  </w:t>
      </w:r>
    </w:p>
    <w:p w14:paraId="3436158F" w14:textId="77777777" w:rsidR="00A73D65" w:rsidRPr="00C46F96" w:rsidRDefault="00A82CCF" w:rsidP="00A73D65">
      <w:pPr>
        <w:pStyle w:val="ListParagraph"/>
        <w:numPr>
          <w:ilvl w:val="0"/>
          <w:numId w:val="1"/>
        </w:numPr>
        <w:tabs>
          <w:tab w:val="left" w:pos="-720"/>
          <w:tab w:val="left" w:pos="0"/>
        </w:tabs>
        <w:suppressAutoHyphens/>
        <w:rPr>
          <w:b/>
          <w:szCs w:val="24"/>
        </w:rPr>
      </w:pPr>
      <w:r w:rsidRPr="00C46F96">
        <w:rPr>
          <w:b/>
          <w:szCs w:val="24"/>
          <w:u w:val="single"/>
        </w:rPr>
        <w:t>Describe any assurance of confidentiality provided to respondents and the basis for the assurance in statute, regulations, or agency policy</w:t>
      </w:r>
      <w:r w:rsidRPr="00C46F96">
        <w:rPr>
          <w:b/>
          <w:szCs w:val="24"/>
        </w:rPr>
        <w:t>.</w:t>
      </w:r>
    </w:p>
    <w:p w14:paraId="19E5E7BE" w14:textId="77777777" w:rsidR="00A73D65" w:rsidRPr="00C46F96" w:rsidRDefault="00A73D65" w:rsidP="00A73D65">
      <w:pPr>
        <w:tabs>
          <w:tab w:val="left" w:pos="-720"/>
          <w:tab w:val="left" w:pos="0"/>
        </w:tabs>
        <w:suppressAutoHyphens/>
        <w:rPr>
          <w:rFonts w:ascii="Times New Roman" w:hAnsi="Times New Roman"/>
          <w:b/>
          <w:szCs w:val="24"/>
        </w:rPr>
      </w:pPr>
    </w:p>
    <w:p w14:paraId="23F820DE" w14:textId="77777777" w:rsidR="00A73D65" w:rsidRPr="002452B7" w:rsidRDefault="00A82CCF" w:rsidP="00A73D65">
      <w:pPr>
        <w:tabs>
          <w:tab w:val="left" w:pos="-720"/>
          <w:tab w:val="left" w:pos="0"/>
        </w:tabs>
        <w:suppressAutoHyphens/>
        <w:rPr>
          <w:rFonts w:ascii="Times New Roman" w:hAnsi="Times New Roman"/>
          <w:szCs w:val="24"/>
        </w:rPr>
      </w:pPr>
      <w:r w:rsidRPr="00A82CCF">
        <w:rPr>
          <w:rFonts w:ascii="Times New Roman" w:hAnsi="Times New Roman"/>
          <w:szCs w:val="24"/>
        </w:rPr>
        <w:tab/>
      </w:r>
      <w:r w:rsidR="00A4050E" w:rsidRPr="00A4050E">
        <w:rPr>
          <w:rFonts w:ascii="Times New Roman" w:hAnsi="Times New Roman"/>
          <w:szCs w:val="24"/>
        </w:rPr>
        <w:t xml:space="preserve">The Commission does not provide respondents with an assurance of confidentiality beyond that provided by applicable law. </w:t>
      </w:r>
      <w:r w:rsidRPr="00A82CCF">
        <w:rPr>
          <w:rFonts w:ascii="Times New Roman" w:hAnsi="Times New Roman"/>
          <w:szCs w:val="24"/>
        </w:rPr>
        <w:t>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w:t>
      </w:r>
      <w:r w:rsidR="00DA432C">
        <w:rPr>
          <w:rFonts w:ascii="Times New Roman" w:hAnsi="Times New Roman"/>
          <w:szCs w:val="24"/>
        </w:rPr>
        <w:t xml:space="preserve">” The Commission has procedures to protect the confidentiality of an applicant’s or registrant’s data. These are set forth in the Commission’s regulations at </w:t>
      </w:r>
      <w:r w:rsidR="00F37CD2">
        <w:rPr>
          <w:rFonts w:ascii="Times New Roman" w:hAnsi="Times New Roman"/>
          <w:szCs w:val="24"/>
        </w:rPr>
        <w:t>parts 145 and 147 of title 17 of the Code of Federal Regulations.</w:t>
      </w:r>
    </w:p>
    <w:p w14:paraId="0111AB03" w14:textId="77777777" w:rsidR="00A73D65" w:rsidRPr="002452B7" w:rsidRDefault="00A82CCF" w:rsidP="00A73D65">
      <w:pPr>
        <w:tabs>
          <w:tab w:val="left" w:pos="-720"/>
        </w:tabs>
        <w:suppressAutoHyphens/>
        <w:rPr>
          <w:rFonts w:ascii="Times New Roman" w:hAnsi="Times New Roman"/>
          <w:szCs w:val="24"/>
        </w:rPr>
      </w:pPr>
      <w:r w:rsidRPr="00A82CCF">
        <w:rPr>
          <w:rFonts w:ascii="Times New Roman" w:hAnsi="Times New Roman"/>
          <w:szCs w:val="24"/>
        </w:rPr>
        <w:tab/>
        <w:t xml:space="preserve">  </w:t>
      </w:r>
    </w:p>
    <w:p w14:paraId="1DDA34B6" w14:textId="77777777" w:rsidR="00A73D65" w:rsidRPr="00C46F96" w:rsidRDefault="00A82CCF" w:rsidP="00A73D65">
      <w:pPr>
        <w:pStyle w:val="ListParagraph"/>
        <w:numPr>
          <w:ilvl w:val="0"/>
          <w:numId w:val="1"/>
        </w:numPr>
        <w:tabs>
          <w:tab w:val="left" w:pos="-720"/>
        </w:tabs>
        <w:suppressAutoHyphens/>
        <w:rPr>
          <w:b/>
          <w:szCs w:val="24"/>
        </w:rPr>
      </w:pPr>
      <w:r w:rsidRPr="00C46F96">
        <w:rPr>
          <w:b/>
          <w:szCs w:val="24"/>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C46F96">
        <w:rPr>
          <w:b/>
          <w:szCs w:val="24"/>
        </w:rPr>
        <w:t>.</w:t>
      </w:r>
    </w:p>
    <w:p w14:paraId="5724DA72" w14:textId="77777777" w:rsidR="00A73D65" w:rsidRPr="002452B7" w:rsidRDefault="00A73D65" w:rsidP="00A73D65">
      <w:pPr>
        <w:tabs>
          <w:tab w:val="left" w:pos="-720"/>
        </w:tabs>
        <w:suppressAutoHyphens/>
        <w:rPr>
          <w:rFonts w:ascii="Times New Roman" w:hAnsi="Times New Roman"/>
          <w:szCs w:val="24"/>
        </w:rPr>
      </w:pPr>
    </w:p>
    <w:p w14:paraId="3BDD32D3" w14:textId="77777777" w:rsidR="00A73D65" w:rsidRPr="002452B7" w:rsidRDefault="00A82CCF" w:rsidP="00A73D65">
      <w:pPr>
        <w:tabs>
          <w:tab w:val="left" w:pos="-720"/>
        </w:tabs>
        <w:suppressAutoHyphens/>
        <w:rPr>
          <w:rFonts w:ascii="Times New Roman" w:hAnsi="Times New Roman"/>
          <w:szCs w:val="24"/>
        </w:rPr>
      </w:pPr>
      <w:r w:rsidRPr="00A82CCF">
        <w:rPr>
          <w:rFonts w:ascii="Times New Roman" w:hAnsi="Times New Roman"/>
          <w:szCs w:val="24"/>
        </w:rPr>
        <w:tab/>
        <w:t>This question does not apply.</w:t>
      </w:r>
      <w:r w:rsidR="00F37CD2">
        <w:rPr>
          <w:rFonts w:ascii="Times New Roman" w:hAnsi="Times New Roman"/>
          <w:szCs w:val="24"/>
        </w:rPr>
        <w:t xml:space="preserve"> The regulation does not request or require the provision of sensitive information, as that term is used in Item 11.</w:t>
      </w:r>
    </w:p>
    <w:p w14:paraId="2FF39DEC" w14:textId="77777777" w:rsidR="00A73D65" w:rsidRPr="002452B7" w:rsidRDefault="00A73D65" w:rsidP="00A73D65">
      <w:pPr>
        <w:tabs>
          <w:tab w:val="left" w:pos="-720"/>
        </w:tabs>
        <w:suppressAutoHyphens/>
        <w:rPr>
          <w:rFonts w:ascii="Times New Roman" w:hAnsi="Times New Roman"/>
          <w:szCs w:val="24"/>
        </w:rPr>
      </w:pPr>
    </w:p>
    <w:p w14:paraId="2FFE3556" w14:textId="77777777" w:rsidR="00A73D65" w:rsidRPr="00C46F96" w:rsidRDefault="00A82CCF" w:rsidP="00A73D65">
      <w:pPr>
        <w:pStyle w:val="ListParagraph"/>
        <w:numPr>
          <w:ilvl w:val="0"/>
          <w:numId w:val="1"/>
        </w:numPr>
        <w:tabs>
          <w:tab w:val="left" w:pos="-720"/>
          <w:tab w:val="left" w:pos="0"/>
        </w:tabs>
        <w:suppressAutoHyphens/>
        <w:rPr>
          <w:b/>
          <w:szCs w:val="24"/>
        </w:rPr>
      </w:pPr>
      <w:r w:rsidRPr="00C46F96">
        <w:rPr>
          <w:b/>
          <w:szCs w:val="24"/>
          <w:u w:val="single"/>
        </w:rPr>
        <w:t>Provide estimates of the hour burden of the collection of information.  The Statement should</w:t>
      </w:r>
      <w:r w:rsidRPr="00C46F96">
        <w:rPr>
          <w:b/>
          <w:szCs w:val="24"/>
        </w:rPr>
        <w:t>:</w:t>
      </w:r>
    </w:p>
    <w:p w14:paraId="4650EC79" w14:textId="77777777" w:rsidR="00A73D65" w:rsidRPr="00C46F96" w:rsidRDefault="00A73D65" w:rsidP="00A73D65">
      <w:pPr>
        <w:tabs>
          <w:tab w:val="left" w:pos="-720"/>
        </w:tabs>
        <w:suppressAutoHyphens/>
        <w:rPr>
          <w:rFonts w:ascii="Times New Roman" w:hAnsi="Times New Roman"/>
          <w:b/>
          <w:szCs w:val="24"/>
        </w:rPr>
      </w:pPr>
    </w:p>
    <w:p w14:paraId="298CBBB2" w14:textId="77777777" w:rsidR="00A73D65" w:rsidRPr="00C46F96" w:rsidRDefault="00A82CCF" w:rsidP="00A73D65">
      <w:pPr>
        <w:numPr>
          <w:ilvl w:val="1"/>
          <w:numId w:val="2"/>
        </w:numPr>
        <w:tabs>
          <w:tab w:val="left" w:pos="-720"/>
          <w:tab w:val="left" w:pos="0"/>
          <w:tab w:val="left" w:pos="720"/>
        </w:tabs>
        <w:suppressAutoHyphens/>
        <w:rPr>
          <w:rFonts w:ascii="Times New Roman" w:hAnsi="Times New Roman"/>
          <w:b/>
          <w:szCs w:val="24"/>
          <w:u w:val="single"/>
        </w:rPr>
      </w:pPr>
      <w:r w:rsidRPr="00C46F96">
        <w:rPr>
          <w:rFonts w:ascii="Times New Roman" w:hAnsi="Times New Roman"/>
          <w:b/>
          <w:szCs w:val="24"/>
          <w:u w:val="single"/>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1709580F" w14:textId="77777777" w:rsidR="00A73D65" w:rsidRPr="00C46F96" w:rsidRDefault="00A73D65" w:rsidP="00A73D65">
      <w:pPr>
        <w:tabs>
          <w:tab w:val="left" w:pos="-720"/>
          <w:tab w:val="left" w:pos="0"/>
          <w:tab w:val="left" w:pos="720"/>
        </w:tabs>
        <w:suppressAutoHyphens/>
        <w:ind w:left="720"/>
        <w:rPr>
          <w:rFonts w:ascii="Times New Roman" w:hAnsi="Times New Roman"/>
          <w:b/>
          <w:szCs w:val="24"/>
          <w:u w:val="single"/>
        </w:rPr>
      </w:pPr>
    </w:p>
    <w:p w14:paraId="5C83FA5C" w14:textId="77777777" w:rsidR="00A73D65" w:rsidRPr="00C46F96" w:rsidRDefault="00A82CCF" w:rsidP="00A73D65">
      <w:pPr>
        <w:numPr>
          <w:ilvl w:val="1"/>
          <w:numId w:val="2"/>
        </w:numPr>
        <w:tabs>
          <w:tab w:val="left" w:pos="-720"/>
          <w:tab w:val="left" w:pos="0"/>
          <w:tab w:val="left" w:pos="720"/>
        </w:tabs>
        <w:suppressAutoHyphens/>
        <w:rPr>
          <w:rFonts w:ascii="Times New Roman" w:hAnsi="Times New Roman"/>
          <w:b/>
          <w:szCs w:val="24"/>
          <w:u w:val="single"/>
        </w:rPr>
      </w:pPr>
      <w:r w:rsidRPr="00C46F96">
        <w:rPr>
          <w:rFonts w:ascii="Times New Roman" w:hAnsi="Times New Roman"/>
          <w:b/>
          <w:szCs w:val="24"/>
          <w:u w:val="single"/>
        </w:rPr>
        <w:t>If the request for approval covers more than one form, provide separate hour burden estimates for each form and aggregate the hour burdens in Item 13 of OMB Form 83-I.</w:t>
      </w:r>
    </w:p>
    <w:p w14:paraId="4E287D21" w14:textId="77777777" w:rsidR="00A73D65" w:rsidRPr="00C46F96" w:rsidRDefault="00A73D65" w:rsidP="00A73D65">
      <w:pPr>
        <w:tabs>
          <w:tab w:val="left" w:pos="-720"/>
        </w:tabs>
        <w:suppressAutoHyphens/>
        <w:rPr>
          <w:rFonts w:ascii="Times New Roman" w:hAnsi="Times New Roman"/>
          <w:b/>
          <w:szCs w:val="24"/>
          <w:u w:val="single"/>
        </w:rPr>
      </w:pPr>
    </w:p>
    <w:p w14:paraId="02552F70" w14:textId="77777777" w:rsidR="00A73D65" w:rsidRPr="00C46F96" w:rsidRDefault="00A82CCF" w:rsidP="00A73D65">
      <w:pPr>
        <w:numPr>
          <w:ilvl w:val="1"/>
          <w:numId w:val="2"/>
        </w:numPr>
        <w:tabs>
          <w:tab w:val="left" w:pos="-720"/>
          <w:tab w:val="left" w:pos="0"/>
          <w:tab w:val="left" w:pos="720"/>
        </w:tabs>
        <w:suppressAutoHyphens/>
        <w:rPr>
          <w:rFonts w:ascii="Times New Roman" w:hAnsi="Times New Roman"/>
          <w:b/>
          <w:szCs w:val="24"/>
          <w:u w:val="single"/>
        </w:rPr>
      </w:pPr>
      <w:r w:rsidRPr="00C46F96">
        <w:rPr>
          <w:rFonts w:ascii="Times New Roman" w:hAnsi="Times New Roman"/>
          <w:b/>
          <w:szCs w:val="24"/>
          <w:u w:val="single"/>
        </w:rPr>
        <w:t>Provide estimates of annualized cost to respondents for the hours burdens for collections of information, identifying and using appropriate wage rate categories.  The cost of contracting or paying outside parties for information collection activities should not be included here.  Instead, this cost should be included in Item 13.</w:t>
      </w:r>
    </w:p>
    <w:p w14:paraId="19098400" w14:textId="77777777" w:rsidR="00A73D65" w:rsidRPr="002452B7" w:rsidRDefault="00A73D65" w:rsidP="00A73D65">
      <w:pPr>
        <w:tabs>
          <w:tab w:val="left" w:pos="-720"/>
        </w:tabs>
        <w:suppressAutoHyphens/>
        <w:rPr>
          <w:rFonts w:ascii="Times New Roman" w:hAnsi="Times New Roman"/>
          <w:szCs w:val="24"/>
        </w:rPr>
      </w:pPr>
    </w:p>
    <w:p w14:paraId="1D19C334" w14:textId="77777777" w:rsidR="0066751B" w:rsidRDefault="00A82CCF" w:rsidP="00A73D65">
      <w:pPr>
        <w:rPr>
          <w:rFonts w:ascii="Times New Roman" w:hAnsi="Times New Roman"/>
          <w:szCs w:val="24"/>
        </w:rPr>
      </w:pPr>
      <w:r w:rsidRPr="00A82CCF">
        <w:rPr>
          <w:rFonts w:ascii="Times New Roman" w:hAnsi="Times New Roman"/>
          <w:szCs w:val="24"/>
        </w:rPr>
        <w:tab/>
      </w:r>
      <w:r w:rsidR="0066751B" w:rsidRPr="00562A6E">
        <w:rPr>
          <w:rFonts w:ascii="Times New Roman" w:hAnsi="Times New Roman"/>
          <w:i/>
          <w:szCs w:val="24"/>
        </w:rPr>
        <w:t>See</w:t>
      </w:r>
      <w:r w:rsidR="0066751B">
        <w:rPr>
          <w:rFonts w:ascii="Times New Roman" w:hAnsi="Times New Roman"/>
          <w:szCs w:val="24"/>
        </w:rPr>
        <w:t xml:space="preserve"> Attachment A. As set forth in greater detail below and also in Attachment A, the annual respondent burden for this information collection during the renewal period is estimated as follows:</w:t>
      </w:r>
    </w:p>
    <w:p w14:paraId="00626C26" w14:textId="77777777" w:rsidR="0066751B" w:rsidRDefault="0066751B" w:rsidP="00A73D65">
      <w:pPr>
        <w:rPr>
          <w:rFonts w:ascii="Times New Roman" w:hAnsi="Times New Roman"/>
          <w:szCs w:val="24"/>
        </w:rPr>
      </w:pPr>
    </w:p>
    <w:p w14:paraId="5ADBA181" w14:textId="731A591C" w:rsidR="0066751B" w:rsidRDefault="0066751B" w:rsidP="00A73D65">
      <w:pPr>
        <w:rPr>
          <w:rFonts w:ascii="Times New Roman" w:hAnsi="Times New Roman"/>
          <w:szCs w:val="24"/>
        </w:rPr>
      </w:pPr>
      <w:r>
        <w:rPr>
          <w:rFonts w:ascii="Times New Roman" w:hAnsi="Times New Roman"/>
          <w:szCs w:val="24"/>
        </w:rPr>
        <w:tab/>
        <w:t>Estimated Number of Respondents: 4,824</w:t>
      </w:r>
      <w:r>
        <w:rPr>
          <w:rFonts w:ascii="Times New Roman" w:hAnsi="Times New Roman"/>
          <w:szCs w:val="24"/>
        </w:rPr>
        <w:br/>
      </w:r>
      <w:r>
        <w:rPr>
          <w:rFonts w:ascii="Times New Roman" w:hAnsi="Times New Roman"/>
          <w:szCs w:val="24"/>
        </w:rPr>
        <w:tab/>
        <w:t>Estimated Average Annual Burden Hours per Respondent: 1.5</w:t>
      </w:r>
      <w:r w:rsidR="00BF468B">
        <w:rPr>
          <w:rFonts w:ascii="Times New Roman" w:hAnsi="Times New Roman"/>
          <w:szCs w:val="24"/>
        </w:rPr>
        <w:t>7</w:t>
      </w:r>
      <w:r>
        <w:rPr>
          <w:rFonts w:ascii="Times New Roman" w:hAnsi="Times New Roman"/>
          <w:szCs w:val="24"/>
        </w:rPr>
        <w:br/>
      </w:r>
      <w:r>
        <w:rPr>
          <w:rFonts w:ascii="Times New Roman" w:hAnsi="Times New Roman"/>
          <w:szCs w:val="24"/>
        </w:rPr>
        <w:tab/>
        <w:t xml:space="preserve">Estimated Total Annual Burden Hours: </w:t>
      </w:r>
      <w:r w:rsidR="00BF468B">
        <w:rPr>
          <w:rFonts w:ascii="Times New Roman" w:hAnsi="Times New Roman"/>
          <w:szCs w:val="24"/>
        </w:rPr>
        <w:t>60,382</w:t>
      </w:r>
      <w:r>
        <w:rPr>
          <w:rFonts w:ascii="Times New Roman" w:hAnsi="Times New Roman"/>
          <w:szCs w:val="24"/>
        </w:rPr>
        <w:br/>
      </w:r>
      <w:r>
        <w:rPr>
          <w:rFonts w:ascii="Times New Roman" w:hAnsi="Times New Roman"/>
          <w:szCs w:val="24"/>
        </w:rPr>
        <w:tab/>
        <w:t>Estimated Annual Burden Cost</w:t>
      </w:r>
      <w:r w:rsidRPr="003F1F30">
        <w:rPr>
          <w:rFonts w:ascii="Times New Roman" w:hAnsi="Times New Roman"/>
          <w:szCs w:val="24"/>
        </w:rPr>
        <w:t>: $</w:t>
      </w:r>
      <w:r w:rsidR="00523BED" w:rsidRPr="003F1F30">
        <w:rPr>
          <w:rFonts w:ascii="Times New Roman" w:hAnsi="Times New Roman"/>
          <w:szCs w:val="24"/>
        </w:rPr>
        <w:t>4,50</w:t>
      </w:r>
      <w:r w:rsidR="001B14D2">
        <w:rPr>
          <w:rFonts w:ascii="Times New Roman" w:hAnsi="Times New Roman"/>
          <w:szCs w:val="24"/>
        </w:rPr>
        <w:t>4</w:t>
      </w:r>
      <w:r w:rsidRPr="003F1F30">
        <w:rPr>
          <w:rFonts w:ascii="Times New Roman" w:hAnsi="Times New Roman"/>
          <w:szCs w:val="24"/>
        </w:rPr>
        <w:t>,</w:t>
      </w:r>
      <w:r w:rsidR="001B14D2">
        <w:rPr>
          <w:rFonts w:ascii="Times New Roman" w:hAnsi="Times New Roman"/>
          <w:szCs w:val="24"/>
        </w:rPr>
        <w:t>508</w:t>
      </w:r>
      <w:r w:rsidR="001B14D2" w:rsidRPr="003F1F30">
        <w:rPr>
          <w:rFonts w:ascii="Times New Roman" w:hAnsi="Times New Roman"/>
          <w:szCs w:val="24"/>
        </w:rPr>
        <w:t xml:space="preserve"> </w:t>
      </w:r>
      <w:r w:rsidRPr="003F1F30">
        <w:rPr>
          <w:rFonts w:ascii="Times New Roman" w:hAnsi="Times New Roman"/>
          <w:szCs w:val="24"/>
        </w:rPr>
        <w:br/>
      </w:r>
      <w:r w:rsidR="000C2526">
        <w:rPr>
          <w:rFonts w:ascii="Times New Roman" w:hAnsi="Times New Roman"/>
          <w:szCs w:val="24"/>
        </w:rPr>
        <w:t xml:space="preserve">            </w:t>
      </w:r>
      <w:r>
        <w:rPr>
          <w:rFonts w:ascii="Times New Roman" w:hAnsi="Times New Roman"/>
          <w:szCs w:val="24"/>
        </w:rPr>
        <w:t xml:space="preserve">Frequency of Collection: </w:t>
      </w:r>
      <w:r w:rsidR="00A12EE5" w:rsidRPr="00BF468B">
        <w:rPr>
          <w:rFonts w:ascii="Times New Roman" w:hAnsi="Times New Roman"/>
          <w:szCs w:val="24"/>
        </w:rPr>
        <w:t xml:space="preserve">The position reports are daily, the 102s/40s are on occasion. </w:t>
      </w:r>
      <w:r>
        <w:rPr>
          <w:rFonts w:ascii="Times New Roman" w:hAnsi="Times New Roman"/>
          <w:szCs w:val="24"/>
        </w:rPr>
        <w:br/>
      </w:r>
    </w:p>
    <w:p w14:paraId="36CFB871" w14:textId="77777777" w:rsidR="00A73D65" w:rsidRPr="002452B7" w:rsidRDefault="00A82CCF" w:rsidP="00562A6E">
      <w:pPr>
        <w:ind w:firstLine="720"/>
        <w:rPr>
          <w:rFonts w:ascii="Times New Roman" w:hAnsi="Times New Roman"/>
          <w:szCs w:val="24"/>
        </w:rPr>
      </w:pPr>
      <w:r w:rsidRPr="00A82CCF">
        <w:rPr>
          <w:rFonts w:ascii="Times New Roman" w:hAnsi="Times New Roman"/>
          <w:szCs w:val="24"/>
        </w:rPr>
        <w:t>The part 20 Reporting Rules result in the collection of information on “paired swaps and swaptions” positions as defined in regulation 20.1.  Specifically, part 20 provides for three kinds of reports:</w:t>
      </w:r>
    </w:p>
    <w:p w14:paraId="59E3A276" w14:textId="77777777" w:rsidR="00A73D65" w:rsidRPr="002452B7" w:rsidRDefault="00A73D65" w:rsidP="00A73D65">
      <w:pPr>
        <w:rPr>
          <w:rFonts w:ascii="Times New Roman" w:hAnsi="Times New Roman"/>
          <w:szCs w:val="24"/>
        </w:rPr>
      </w:pPr>
    </w:p>
    <w:p w14:paraId="0CDC79CA" w14:textId="77777777" w:rsidR="00A73D65" w:rsidRPr="002452B7" w:rsidRDefault="00A82CCF" w:rsidP="00A73D65">
      <w:pPr>
        <w:pStyle w:val="ListParagraph"/>
        <w:numPr>
          <w:ilvl w:val="0"/>
          <w:numId w:val="5"/>
        </w:numPr>
        <w:ind w:left="1800" w:right="1440"/>
        <w:jc w:val="both"/>
        <w:rPr>
          <w:szCs w:val="24"/>
        </w:rPr>
      </w:pPr>
      <w:r w:rsidRPr="00A82CCF">
        <w:rPr>
          <w:szCs w:val="24"/>
        </w:rPr>
        <w:t xml:space="preserve">Under regulation 20.3, swap “clearing organizations” provide daily reports of relevant position and clearing data.  </w:t>
      </w:r>
    </w:p>
    <w:p w14:paraId="0138E399" w14:textId="77777777" w:rsidR="00A73D65" w:rsidRPr="002452B7" w:rsidRDefault="00A73D65" w:rsidP="00A73D65">
      <w:pPr>
        <w:pStyle w:val="ListParagraph"/>
        <w:ind w:left="1800" w:right="1440"/>
        <w:jc w:val="both"/>
        <w:rPr>
          <w:szCs w:val="24"/>
        </w:rPr>
      </w:pPr>
    </w:p>
    <w:p w14:paraId="7E80144F" w14:textId="77777777" w:rsidR="00A73D65" w:rsidRPr="002452B7" w:rsidRDefault="00A82CCF" w:rsidP="00A73D65">
      <w:pPr>
        <w:pStyle w:val="ListParagraph"/>
        <w:numPr>
          <w:ilvl w:val="0"/>
          <w:numId w:val="5"/>
        </w:numPr>
        <w:ind w:left="1800" w:right="1440"/>
        <w:jc w:val="both"/>
        <w:rPr>
          <w:szCs w:val="24"/>
        </w:rPr>
      </w:pPr>
      <w:r w:rsidRPr="00A82CCF">
        <w:rPr>
          <w:szCs w:val="24"/>
        </w:rPr>
        <w:t xml:space="preserve">Under regulation 20.4, “reporting entities” produce position reports on a daily basis on their own and individual counterparty accounts.  Within this class of “reporting entities,” there are two categories of “reporting entities:” (a) “clearing members” and (b) “swap dealers” that are not clearing members.  </w:t>
      </w:r>
    </w:p>
    <w:p w14:paraId="12980F97" w14:textId="77777777" w:rsidR="00A73D65" w:rsidRPr="002452B7" w:rsidRDefault="00A73D65" w:rsidP="00A73D65">
      <w:pPr>
        <w:pStyle w:val="ListParagraph"/>
        <w:ind w:left="1800" w:right="1440"/>
        <w:jc w:val="both"/>
        <w:rPr>
          <w:szCs w:val="24"/>
        </w:rPr>
      </w:pPr>
    </w:p>
    <w:p w14:paraId="6E9AE0A8" w14:textId="77777777" w:rsidR="00A73D65" w:rsidRPr="002452B7" w:rsidRDefault="00A82CCF" w:rsidP="00A73D65">
      <w:pPr>
        <w:pStyle w:val="ListParagraph"/>
        <w:numPr>
          <w:ilvl w:val="0"/>
          <w:numId w:val="5"/>
        </w:numPr>
        <w:ind w:left="1800" w:right="1440"/>
        <w:jc w:val="both"/>
        <w:rPr>
          <w:szCs w:val="24"/>
        </w:rPr>
      </w:pPr>
      <w:r w:rsidRPr="00A82CCF">
        <w:rPr>
          <w:szCs w:val="24"/>
        </w:rPr>
        <w:t xml:space="preserve">Finally, under regulation 20.5, all “reporting entities” submit identifying information to the Commission on new reportable accounts through a 102S filing on an as appropriate basis, </w:t>
      </w:r>
      <w:r w:rsidRPr="00A82CCF">
        <w:rPr>
          <w:szCs w:val="24"/>
          <w:u w:val="single"/>
        </w:rPr>
        <w:t>i</w:t>
      </w:r>
      <w:r w:rsidRPr="00A82CCF">
        <w:rPr>
          <w:szCs w:val="24"/>
        </w:rPr>
        <w:t>.</w:t>
      </w:r>
      <w:r w:rsidRPr="00A82CCF">
        <w:rPr>
          <w:szCs w:val="24"/>
          <w:u w:val="single"/>
        </w:rPr>
        <w:t>e</w:t>
      </w:r>
      <w:r w:rsidRPr="00A82CCF">
        <w:rPr>
          <w:szCs w:val="24"/>
        </w:rPr>
        <w:t xml:space="preserve">. whenever the reportable entity has a new reportable account.  </w:t>
      </w:r>
    </w:p>
    <w:p w14:paraId="46A96DD7" w14:textId="77777777" w:rsidR="00A73D65" w:rsidRPr="002452B7" w:rsidRDefault="00A73D65" w:rsidP="00A73D65">
      <w:pPr>
        <w:pStyle w:val="ListParagraph"/>
        <w:ind w:left="1800" w:right="1440"/>
        <w:jc w:val="both"/>
        <w:rPr>
          <w:szCs w:val="24"/>
        </w:rPr>
      </w:pPr>
    </w:p>
    <w:p w14:paraId="6CE79EA7" w14:textId="77777777" w:rsidR="00A73D65" w:rsidRDefault="00A82CCF" w:rsidP="00A73D65">
      <w:pPr>
        <w:ind w:firstLine="720"/>
        <w:rPr>
          <w:rFonts w:ascii="Times New Roman" w:hAnsi="Times New Roman"/>
          <w:szCs w:val="24"/>
        </w:rPr>
      </w:pPr>
      <w:r w:rsidRPr="00A82CCF">
        <w:rPr>
          <w:rFonts w:ascii="Times New Roman" w:hAnsi="Times New Roman"/>
          <w:szCs w:val="24"/>
        </w:rPr>
        <w:t>In addition to these reporting requirements, regulation 20.6 would impose recordkeeping requirements for (1) clearing organizations, (2) reporting entities, and (3) persons with large positions in paired swaps or swaptions.  Regulation 20.6(a) require</w:t>
      </w:r>
      <w:r w:rsidR="001229E5">
        <w:rPr>
          <w:rFonts w:ascii="Times New Roman" w:hAnsi="Times New Roman"/>
          <w:szCs w:val="24"/>
        </w:rPr>
        <w:t>s</w:t>
      </w:r>
      <w:r w:rsidRPr="00A82CCF">
        <w:rPr>
          <w:rFonts w:ascii="Times New Roman" w:hAnsi="Times New Roman"/>
          <w:szCs w:val="24"/>
        </w:rPr>
        <w:t xml:space="preserve"> clearing organizations to maintain all records of transactions in paired swaps or swaptions on clearing organizations, as well as methods used to convert swaps and swaptions into futures equivalents.  Regulation 20.6(b) require reporting entities to maintain all records of transactions in paired swaps or swaptions on clearing organizations, as well as methods used to convert swaps and swaptions into futures equivalents.  Large paired swap traders also have to retain records in paired swaps as well as some related cash market transactional data.  These provisions extend those recordkeeping requirements currently applicable to those traders holding reportable positions in futures contracts, as currently found in regulation 18.05, to those traders holding positions in paired swaps.</w:t>
      </w:r>
    </w:p>
    <w:p w14:paraId="345EBF89" w14:textId="77777777" w:rsidR="00EA3286" w:rsidRDefault="00EA3286" w:rsidP="00A73D65">
      <w:pPr>
        <w:ind w:firstLine="720"/>
        <w:rPr>
          <w:rFonts w:ascii="Times New Roman" w:hAnsi="Times New Roman"/>
          <w:szCs w:val="24"/>
        </w:rPr>
      </w:pPr>
    </w:p>
    <w:p w14:paraId="796570A1" w14:textId="77777777" w:rsidR="00EA3286" w:rsidRPr="002452B7" w:rsidRDefault="00EA3286" w:rsidP="00EA3286">
      <w:pPr>
        <w:ind w:firstLine="720"/>
        <w:rPr>
          <w:rFonts w:ascii="Times New Roman" w:hAnsi="Times New Roman"/>
          <w:szCs w:val="24"/>
        </w:rPr>
      </w:pPr>
      <w:r w:rsidRPr="00A82CCF">
        <w:rPr>
          <w:rFonts w:ascii="Times New Roman" w:hAnsi="Times New Roman"/>
          <w:szCs w:val="24"/>
        </w:rPr>
        <w:t xml:space="preserve">The Commission estimates that implementing part 20 would create a total annual reporting and recordkeeping hour burden of </w:t>
      </w:r>
      <w:r>
        <w:rPr>
          <w:rFonts w:ascii="Times New Roman" w:hAnsi="Times New Roman"/>
          <w:szCs w:val="24"/>
        </w:rPr>
        <w:t>60,382</w:t>
      </w:r>
      <w:r w:rsidRPr="00A82CCF">
        <w:rPr>
          <w:rFonts w:ascii="Times New Roman" w:hAnsi="Times New Roman"/>
          <w:szCs w:val="24"/>
        </w:rPr>
        <w:t xml:space="preserve"> hours across </w:t>
      </w:r>
      <w:r>
        <w:rPr>
          <w:rFonts w:ascii="Times New Roman" w:hAnsi="Times New Roman"/>
          <w:szCs w:val="24"/>
        </w:rPr>
        <w:t>4,824</w:t>
      </w:r>
      <w:r w:rsidRPr="00A82CCF">
        <w:rPr>
          <w:rFonts w:ascii="Times New Roman" w:hAnsi="Times New Roman"/>
          <w:szCs w:val="24"/>
        </w:rPr>
        <w:t xml:space="preserve"> firms: </w:t>
      </w:r>
      <w:r>
        <w:rPr>
          <w:rFonts w:ascii="Times New Roman" w:hAnsi="Times New Roman"/>
          <w:szCs w:val="24"/>
        </w:rPr>
        <w:t>1</w:t>
      </w:r>
      <w:r w:rsidRPr="00A82CCF">
        <w:rPr>
          <w:rFonts w:ascii="Times New Roman" w:hAnsi="Times New Roman"/>
          <w:szCs w:val="24"/>
        </w:rPr>
        <w:t xml:space="preserve"> clearing organization; </w:t>
      </w:r>
      <w:r>
        <w:rPr>
          <w:rFonts w:ascii="Times New Roman" w:hAnsi="Times New Roman"/>
          <w:szCs w:val="24"/>
        </w:rPr>
        <w:t>67</w:t>
      </w:r>
      <w:r w:rsidRPr="00A82CCF">
        <w:rPr>
          <w:rFonts w:ascii="Times New Roman" w:hAnsi="Times New Roman"/>
          <w:szCs w:val="24"/>
        </w:rPr>
        <w:t xml:space="preserve"> clearing member </w:t>
      </w:r>
      <w:r>
        <w:rPr>
          <w:rFonts w:ascii="Times New Roman" w:hAnsi="Times New Roman"/>
          <w:szCs w:val="24"/>
        </w:rPr>
        <w:t>or</w:t>
      </w:r>
      <w:r w:rsidRPr="00A82CCF">
        <w:rPr>
          <w:rFonts w:ascii="Times New Roman" w:hAnsi="Times New Roman"/>
          <w:szCs w:val="24"/>
        </w:rPr>
        <w:t xml:space="preserve"> swap dealer report</w:t>
      </w:r>
      <w:r>
        <w:rPr>
          <w:rFonts w:ascii="Times New Roman" w:hAnsi="Times New Roman"/>
          <w:szCs w:val="24"/>
        </w:rPr>
        <w:t>ing</w:t>
      </w:r>
      <w:r w:rsidRPr="00A82CCF">
        <w:rPr>
          <w:rFonts w:ascii="Times New Roman" w:hAnsi="Times New Roman"/>
          <w:szCs w:val="24"/>
        </w:rPr>
        <w:t xml:space="preserve"> entities; and </w:t>
      </w:r>
      <w:r>
        <w:rPr>
          <w:rFonts w:ascii="Times New Roman" w:hAnsi="Times New Roman"/>
          <w:szCs w:val="24"/>
        </w:rPr>
        <w:t>4,756</w:t>
      </w:r>
      <w:r w:rsidRPr="00A82CCF">
        <w:rPr>
          <w:rFonts w:ascii="Times New Roman" w:hAnsi="Times New Roman"/>
          <w:szCs w:val="24"/>
        </w:rPr>
        <w:t xml:space="preserve"> firms that would hold reportable accounts in swaps.  Based on a weighted average wage rate of $74.</w:t>
      </w:r>
      <w:r>
        <w:rPr>
          <w:rFonts w:ascii="Times New Roman" w:hAnsi="Times New Roman"/>
          <w:szCs w:val="24"/>
        </w:rPr>
        <w:t>73</w:t>
      </w:r>
      <w:r w:rsidRPr="00A82CCF">
        <w:rPr>
          <w:rFonts w:ascii="Times New Roman" w:hAnsi="Times New Roman"/>
          <w:szCs w:val="24"/>
        </w:rPr>
        <w:t>,</w:t>
      </w:r>
      <w:r>
        <w:rPr>
          <w:rStyle w:val="FootnoteReference"/>
          <w:rFonts w:ascii="Times New Roman" w:hAnsi="Times New Roman"/>
          <w:szCs w:val="24"/>
        </w:rPr>
        <w:footnoteReference w:id="7"/>
      </w:r>
      <w:r w:rsidRPr="00A82CCF">
        <w:rPr>
          <w:rFonts w:ascii="Times New Roman" w:hAnsi="Times New Roman"/>
          <w:szCs w:val="24"/>
        </w:rPr>
        <w:t xml:space="preserve"> this would amount to an annualized labor cost of $</w:t>
      </w:r>
      <w:r>
        <w:rPr>
          <w:rFonts w:ascii="Times New Roman" w:hAnsi="Times New Roman"/>
          <w:szCs w:val="24"/>
        </w:rPr>
        <w:t>4.5</w:t>
      </w:r>
      <w:r w:rsidRPr="00A82CCF">
        <w:rPr>
          <w:rFonts w:ascii="Times New Roman" w:hAnsi="Times New Roman"/>
          <w:szCs w:val="24"/>
        </w:rPr>
        <w:t xml:space="preserve"> million.</w:t>
      </w:r>
      <w:r>
        <w:rPr>
          <w:rStyle w:val="FootnoteReference"/>
          <w:rFonts w:ascii="Times New Roman" w:hAnsi="Times New Roman"/>
          <w:szCs w:val="24"/>
        </w:rPr>
        <w:footnoteReference w:id="8"/>
      </w:r>
      <w:r w:rsidRPr="00A82CCF">
        <w:rPr>
          <w:rFonts w:ascii="Times New Roman" w:hAnsi="Times New Roman"/>
          <w:szCs w:val="24"/>
        </w:rPr>
        <w:t xml:space="preserve">  </w:t>
      </w:r>
    </w:p>
    <w:p w14:paraId="14D900D1" w14:textId="77777777" w:rsidR="00A73D65" w:rsidRPr="002452B7" w:rsidRDefault="00A73D65" w:rsidP="00A73D65">
      <w:pPr>
        <w:ind w:firstLine="720"/>
        <w:rPr>
          <w:rFonts w:ascii="Times New Roman" w:hAnsi="Times New Roman"/>
          <w:szCs w:val="24"/>
        </w:rPr>
      </w:pPr>
    </w:p>
    <w:p w14:paraId="64011789" w14:textId="77777777" w:rsidR="00A73D65" w:rsidRPr="002452B7" w:rsidRDefault="00A82CCF" w:rsidP="00A73D65">
      <w:pPr>
        <w:rPr>
          <w:rFonts w:ascii="Times New Roman" w:hAnsi="Times New Roman"/>
          <w:szCs w:val="24"/>
          <w:u w:val="single"/>
        </w:rPr>
      </w:pPr>
      <w:r w:rsidRPr="00A82CCF">
        <w:rPr>
          <w:rFonts w:ascii="Times New Roman" w:hAnsi="Times New Roman"/>
          <w:szCs w:val="24"/>
        </w:rPr>
        <w:tab/>
      </w:r>
      <w:r w:rsidRPr="00A82CCF">
        <w:rPr>
          <w:rFonts w:ascii="Times New Roman" w:hAnsi="Times New Roman"/>
          <w:szCs w:val="24"/>
          <w:u w:val="single"/>
        </w:rPr>
        <w:t>Reporting burdens:</w:t>
      </w:r>
    </w:p>
    <w:p w14:paraId="18F0C12A" w14:textId="77777777" w:rsidR="00A73D65" w:rsidRPr="002452B7" w:rsidRDefault="00A82CCF" w:rsidP="00A73D65">
      <w:pPr>
        <w:pStyle w:val="ListParagraph"/>
        <w:tabs>
          <w:tab w:val="left" w:pos="1794"/>
        </w:tabs>
        <w:rPr>
          <w:szCs w:val="24"/>
        </w:rPr>
      </w:pPr>
      <w:r w:rsidRPr="00A82CCF">
        <w:rPr>
          <w:szCs w:val="24"/>
        </w:rPr>
        <w:tab/>
      </w:r>
    </w:p>
    <w:p w14:paraId="672F1E81" w14:textId="77777777" w:rsidR="00A73D65" w:rsidRPr="002452B7" w:rsidRDefault="00A82CCF" w:rsidP="00A73D65">
      <w:pPr>
        <w:pStyle w:val="ListParagraph"/>
        <w:numPr>
          <w:ilvl w:val="0"/>
          <w:numId w:val="4"/>
        </w:numPr>
        <w:rPr>
          <w:szCs w:val="24"/>
        </w:rPr>
      </w:pPr>
      <w:r w:rsidRPr="00A82CCF">
        <w:rPr>
          <w:szCs w:val="24"/>
        </w:rPr>
        <w:t>Regulation 20.3 clearing organization reports account</w:t>
      </w:r>
      <w:r w:rsidR="001229E5">
        <w:rPr>
          <w:szCs w:val="24"/>
        </w:rPr>
        <w:t>s</w:t>
      </w:r>
      <w:r w:rsidRPr="00A82CCF">
        <w:rPr>
          <w:szCs w:val="24"/>
        </w:rPr>
        <w:t xml:space="preserve"> for </w:t>
      </w:r>
      <w:r w:rsidR="00434B2C">
        <w:rPr>
          <w:szCs w:val="24"/>
        </w:rPr>
        <w:t xml:space="preserve">390 </w:t>
      </w:r>
      <w:r w:rsidRPr="00A82CCF">
        <w:rPr>
          <w:szCs w:val="24"/>
        </w:rPr>
        <w:t xml:space="preserve">of these annual reporting and hours.  These hours would be spread across </w:t>
      </w:r>
      <w:r w:rsidR="00434B2C">
        <w:rPr>
          <w:szCs w:val="24"/>
        </w:rPr>
        <w:t>1</w:t>
      </w:r>
      <w:r w:rsidR="00F56714" w:rsidRPr="00A82CCF">
        <w:rPr>
          <w:szCs w:val="24"/>
        </w:rPr>
        <w:t xml:space="preserve"> </w:t>
      </w:r>
      <w:r w:rsidR="00434B2C">
        <w:rPr>
          <w:szCs w:val="24"/>
        </w:rPr>
        <w:t>respondent</w:t>
      </w:r>
      <w:r w:rsidRPr="00A82CCF">
        <w:rPr>
          <w:szCs w:val="24"/>
        </w:rPr>
        <w:t xml:space="preserve">.  </w:t>
      </w:r>
    </w:p>
    <w:p w14:paraId="15B22830" w14:textId="77777777" w:rsidR="00A73D65" w:rsidRPr="002452B7" w:rsidRDefault="00A73D65" w:rsidP="00A73D65">
      <w:pPr>
        <w:pStyle w:val="ListParagraph"/>
        <w:rPr>
          <w:szCs w:val="24"/>
        </w:rPr>
      </w:pPr>
    </w:p>
    <w:p w14:paraId="6EBC6D6F" w14:textId="77777777" w:rsidR="00A73D65" w:rsidRDefault="00A82CCF" w:rsidP="00434B2C">
      <w:pPr>
        <w:pStyle w:val="ListParagraph"/>
        <w:numPr>
          <w:ilvl w:val="0"/>
          <w:numId w:val="4"/>
        </w:numPr>
        <w:rPr>
          <w:szCs w:val="24"/>
        </w:rPr>
      </w:pPr>
      <w:r w:rsidRPr="00A82CCF">
        <w:rPr>
          <w:szCs w:val="24"/>
        </w:rPr>
        <w:t xml:space="preserve">Regulation 20.4 reporting entity reports </w:t>
      </w:r>
      <w:r w:rsidR="00434B2C">
        <w:rPr>
          <w:szCs w:val="24"/>
        </w:rPr>
        <w:t xml:space="preserve">account for 26,130 of these annual reporting </w:t>
      </w:r>
      <w:r w:rsidR="00434B2C" w:rsidRPr="00A82CCF">
        <w:rPr>
          <w:szCs w:val="24"/>
        </w:rPr>
        <w:t xml:space="preserve">hours.  These hours would be spread across </w:t>
      </w:r>
      <w:r w:rsidR="00434B2C">
        <w:rPr>
          <w:szCs w:val="24"/>
        </w:rPr>
        <w:t>67</w:t>
      </w:r>
      <w:r w:rsidR="00434B2C" w:rsidRPr="00A82CCF">
        <w:rPr>
          <w:szCs w:val="24"/>
        </w:rPr>
        <w:t xml:space="preserve"> clearing member </w:t>
      </w:r>
      <w:r w:rsidR="00434B2C">
        <w:rPr>
          <w:szCs w:val="24"/>
        </w:rPr>
        <w:t>or</w:t>
      </w:r>
      <w:r w:rsidR="00434B2C" w:rsidRPr="00A82CCF">
        <w:rPr>
          <w:szCs w:val="24"/>
        </w:rPr>
        <w:t xml:space="preserve"> swap dealer report</w:t>
      </w:r>
      <w:r w:rsidR="00434B2C">
        <w:rPr>
          <w:szCs w:val="24"/>
        </w:rPr>
        <w:t>ing</w:t>
      </w:r>
      <w:r w:rsidR="00434B2C" w:rsidRPr="00A82CCF">
        <w:rPr>
          <w:szCs w:val="24"/>
        </w:rPr>
        <w:t xml:space="preserve"> entities.  </w:t>
      </w:r>
    </w:p>
    <w:p w14:paraId="4DBF3DC6" w14:textId="77777777" w:rsidR="00434B2C" w:rsidRPr="00434B2C" w:rsidRDefault="00434B2C" w:rsidP="00434B2C">
      <w:pPr>
        <w:rPr>
          <w:szCs w:val="24"/>
        </w:rPr>
      </w:pPr>
    </w:p>
    <w:p w14:paraId="3CB1B7E9" w14:textId="77777777" w:rsidR="00A73D65" w:rsidRPr="002452B7" w:rsidRDefault="00A82CCF" w:rsidP="00A73D65">
      <w:pPr>
        <w:pStyle w:val="ListParagraph"/>
        <w:numPr>
          <w:ilvl w:val="0"/>
          <w:numId w:val="4"/>
        </w:numPr>
        <w:rPr>
          <w:szCs w:val="24"/>
        </w:rPr>
      </w:pPr>
      <w:r w:rsidRPr="00A82CCF">
        <w:rPr>
          <w:szCs w:val="24"/>
        </w:rPr>
        <w:t>Regulation 20.5 reporting entity 102S submissions create</w:t>
      </w:r>
      <w:r w:rsidR="001229E5">
        <w:rPr>
          <w:szCs w:val="24"/>
        </w:rPr>
        <w:t>s</w:t>
      </w:r>
      <w:r w:rsidRPr="00A82CCF">
        <w:rPr>
          <w:szCs w:val="24"/>
        </w:rPr>
        <w:t xml:space="preserve"> an annual reporting burden of </w:t>
      </w:r>
      <w:r w:rsidR="00434B2C">
        <w:rPr>
          <w:szCs w:val="24"/>
        </w:rPr>
        <w:t>16,722</w:t>
      </w:r>
      <w:r w:rsidRPr="00A82CCF">
        <w:rPr>
          <w:szCs w:val="24"/>
        </w:rPr>
        <w:t xml:space="preserve"> hours spread across </w:t>
      </w:r>
      <w:r w:rsidR="00434B2C">
        <w:rPr>
          <w:szCs w:val="24"/>
        </w:rPr>
        <w:t>4</w:t>
      </w:r>
      <w:r w:rsidR="00F56714">
        <w:rPr>
          <w:szCs w:val="24"/>
        </w:rPr>
        <w:t>,</w:t>
      </w:r>
      <w:r w:rsidR="00434B2C">
        <w:rPr>
          <w:szCs w:val="24"/>
        </w:rPr>
        <w:t>756</w:t>
      </w:r>
      <w:r w:rsidR="00F56714" w:rsidRPr="00A82CCF">
        <w:rPr>
          <w:szCs w:val="24"/>
        </w:rPr>
        <w:t xml:space="preserve"> </w:t>
      </w:r>
      <w:r w:rsidRPr="00A82CCF">
        <w:rPr>
          <w:szCs w:val="24"/>
        </w:rPr>
        <w:t xml:space="preserve">firms.  </w:t>
      </w:r>
    </w:p>
    <w:p w14:paraId="08E93D77" w14:textId="77777777" w:rsidR="00A73D65" w:rsidRPr="002452B7" w:rsidRDefault="00A73D65" w:rsidP="00A73D65">
      <w:pPr>
        <w:pStyle w:val="ListParagraph"/>
        <w:rPr>
          <w:szCs w:val="24"/>
        </w:rPr>
      </w:pPr>
    </w:p>
    <w:p w14:paraId="76E7AD35" w14:textId="77777777" w:rsidR="00A73D65" w:rsidRPr="002452B7" w:rsidRDefault="00A82CCF" w:rsidP="00A73D65">
      <w:pPr>
        <w:pStyle w:val="ListParagraph"/>
        <w:numPr>
          <w:ilvl w:val="0"/>
          <w:numId w:val="4"/>
        </w:numPr>
        <w:rPr>
          <w:szCs w:val="24"/>
        </w:rPr>
      </w:pPr>
      <w:r w:rsidRPr="00A82CCF">
        <w:rPr>
          <w:szCs w:val="24"/>
        </w:rPr>
        <w:t xml:space="preserve">40S submissions by persons with reportable positions under regulation 20.5(b) in paired swaps create an annual reporting burden of </w:t>
      </w:r>
      <w:r w:rsidR="00F56714" w:rsidRPr="00A82CCF">
        <w:rPr>
          <w:szCs w:val="24"/>
        </w:rPr>
        <w:t>1</w:t>
      </w:r>
      <w:r w:rsidR="008F1C22">
        <w:rPr>
          <w:szCs w:val="24"/>
        </w:rPr>
        <w:t>,58</w:t>
      </w:r>
      <w:r w:rsidR="00F56714">
        <w:rPr>
          <w:szCs w:val="24"/>
        </w:rPr>
        <w:t>0</w:t>
      </w:r>
      <w:r w:rsidR="00F56714" w:rsidRPr="00A82CCF">
        <w:rPr>
          <w:szCs w:val="24"/>
        </w:rPr>
        <w:t xml:space="preserve"> </w:t>
      </w:r>
      <w:r w:rsidRPr="00A82CCF">
        <w:rPr>
          <w:szCs w:val="24"/>
        </w:rPr>
        <w:t xml:space="preserve">hours and would affect </w:t>
      </w:r>
      <w:r w:rsidR="008F1C22">
        <w:rPr>
          <w:szCs w:val="24"/>
        </w:rPr>
        <w:t>4,756</w:t>
      </w:r>
      <w:r w:rsidR="00F56714" w:rsidRPr="00A82CCF">
        <w:rPr>
          <w:szCs w:val="24"/>
        </w:rPr>
        <w:t xml:space="preserve"> </w:t>
      </w:r>
      <w:r w:rsidRPr="00A82CCF">
        <w:rPr>
          <w:szCs w:val="24"/>
        </w:rPr>
        <w:t xml:space="preserve">firms.  </w:t>
      </w:r>
    </w:p>
    <w:p w14:paraId="30ECC630" w14:textId="77777777" w:rsidR="00A73D65" w:rsidRPr="002452B7" w:rsidRDefault="00A73D65" w:rsidP="00A73D65">
      <w:pPr>
        <w:pStyle w:val="ListParagraph"/>
        <w:rPr>
          <w:szCs w:val="24"/>
        </w:rPr>
      </w:pPr>
    </w:p>
    <w:p w14:paraId="067BE3B3" w14:textId="77777777" w:rsidR="00A73D65" w:rsidRPr="002452B7" w:rsidRDefault="00A82CCF" w:rsidP="00A73D65">
      <w:pPr>
        <w:ind w:left="360"/>
        <w:rPr>
          <w:rFonts w:ascii="Times New Roman" w:hAnsi="Times New Roman"/>
          <w:szCs w:val="24"/>
          <w:u w:val="single"/>
        </w:rPr>
      </w:pPr>
      <w:r w:rsidRPr="00A82CCF">
        <w:rPr>
          <w:rFonts w:ascii="Times New Roman" w:hAnsi="Times New Roman"/>
          <w:szCs w:val="24"/>
        </w:rPr>
        <w:tab/>
      </w:r>
      <w:r w:rsidRPr="00A82CCF">
        <w:rPr>
          <w:rFonts w:ascii="Times New Roman" w:hAnsi="Times New Roman"/>
          <w:szCs w:val="24"/>
          <w:u w:val="single"/>
        </w:rPr>
        <w:t>Recordkeeping burdens:</w:t>
      </w:r>
    </w:p>
    <w:p w14:paraId="59DB0FB6" w14:textId="77777777" w:rsidR="00A73D65" w:rsidRPr="002452B7" w:rsidRDefault="00A73D65" w:rsidP="00A73D65">
      <w:pPr>
        <w:rPr>
          <w:rFonts w:ascii="Times New Roman" w:hAnsi="Times New Roman"/>
          <w:szCs w:val="24"/>
          <w:u w:val="single"/>
        </w:rPr>
      </w:pPr>
    </w:p>
    <w:p w14:paraId="43F6901C" w14:textId="77777777" w:rsidR="00A73D65" w:rsidRPr="002452B7" w:rsidRDefault="00A82CCF" w:rsidP="00A73D65">
      <w:pPr>
        <w:pStyle w:val="ListParagraph"/>
        <w:numPr>
          <w:ilvl w:val="0"/>
          <w:numId w:val="4"/>
        </w:numPr>
        <w:rPr>
          <w:szCs w:val="24"/>
        </w:rPr>
      </w:pPr>
      <w:r w:rsidRPr="00A82CCF">
        <w:rPr>
          <w:szCs w:val="24"/>
        </w:rPr>
        <w:t xml:space="preserve">Regulation 20.6(a) recordkeeping duties for clearing organizations account for </w:t>
      </w:r>
      <w:r w:rsidR="008F1C22">
        <w:rPr>
          <w:szCs w:val="24"/>
        </w:rPr>
        <w:t>2</w:t>
      </w:r>
      <w:r w:rsidR="00F56714">
        <w:rPr>
          <w:szCs w:val="24"/>
        </w:rPr>
        <w:t>0</w:t>
      </w:r>
      <w:r w:rsidR="00F56714" w:rsidRPr="00A82CCF">
        <w:rPr>
          <w:szCs w:val="24"/>
        </w:rPr>
        <w:t xml:space="preserve"> </w:t>
      </w:r>
      <w:r w:rsidRPr="00A82CCF">
        <w:rPr>
          <w:szCs w:val="24"/>
        </w:rPr>
        <w:t xml:space="preserve">of these annual recordkeeping hours.  These hours would be spread across </w:t>
      </w:r>
      <w:r w:rsidR="008F1C22">
        <w:rPr>
          <w:szCs w:val="24"/>
        </w:rPr>
        <w:t>1</w:t>
      </w:r>
      <w:r w:rsidR="00F56714" w:rsidRPr="00A82CCF">
        <w:rPr>
          <w:szCs w:val="24"/>
        </w:rPr>
        <w:t xml:space="preserve"> </w:t>
      </w:r>
      <w:r w:rsidR="008F1C22">
        <w:rPr>
          <w:szCs w:val="24"/>
        </w:rPr>
        <w:t>firm</w:t>
      </w:r>
      <w:r w:rsidRPr="00A82CCF">
        <w:rPr>
          <w:szCs w:val="24"/>
        </w:rPr>
        <w:t xml:space="preserve">.  </w:t>
      </w:r>
    </w:p>
    <w:p w14:paraId="65035797" w14:textId="77777777" w:rsidR="00A73D65" w:rsidRPr="002452B7" w:rsidRDefault="00A73D65" w:rsidP="00A73D65">
      <w:pPr>
        <w:pStyle w:val="ListParagraph"/>
        <w:rPr>
          <w:szCs w:val="24"/>
        </w:rPr>
      </w:pPr>
    </w:p>
    <w:p w14:paraId="4C441864" w14:textId="77777777" w:rsidR="00A73D65" w:rsidRPr="002452B7" w:rsidRDefault="00A82CCF" w:rsidP="00A73D65">
      <w:pPr>
        <w:pStyle w:val="ListParagraph"/>
        <w:numPr>
          <w:ilvl w:val="0"/>
          <w:numId w:val="4"/>
        </w:numPr>
        <w:rPr>
          <w:szCs w:val="24"/>
        </w:rPr>
      </w:pPr>
      <w:r w:rsidRPr="00A82CCF">
        <w:rPr>
          <w:szCs w:val="24"/>
        </w:rPr>
        <w:t xml:space="preserve">Regulation 20.6(b) reporting entity recordkeeping duties </w:t>
      </w:r>
      <w:r w:rsidR="008F1C22" w:rsidRPr="00A82CCF">
        <w:rPr>
          <w:szCs w:val="24"/>
        </w:rPr>
        <w:t xml:space="preserve">account for </w:t>
      </w:r>
      <w:r w:rsidR="008F1C22">
        <w:rPr>
          <w:szCs w:val="24"/>
        </w:rPr>
        <w:t>1,340</w:t>
      </w:r>
      <w:r w:rsidR="008F1C22" w:rsidRPr="00A82CCF">
        <w:rPr>
          <w:szCs w:val="24"/>
        </w:rPr>
        <w:t xml:space="preserve"> of these annual recordkeeping hours.  These hours would be spread across </w:t>
      </w:r>
      <w:r w:rsidR="008F1C22">
        <w:rPr>
          <w:szCs w:val="24"/>
        </w:rPr>
        <w:t>67</w:t>
      </w:r>
      <w:r w:rsidR="008F1C22" w:rsidRPr="00A82CCF">
        <w:rPr>
          <w:szCs w:val="24"/>
        </w:rPr>
        <w:t xml:space="preserve"> clearing member </w:t>
      </w:r>
      <w:r w:rsidR="008F1C22">
        <w:rPr>
          <w:szCs w:val="24"/>
        </w:rPr>
        <w:t>or</w:t>
      </w:r>
      <w:r w:rsidR="008F1C22" w:rsidRPr="00A82CCF">
        <w:rPr>
          <w:szCs w:val="24"/>
        </w:rPr>
        <w:t xml:space="preserve"> swap dealer report</w:t>
      </w:r>
      <w:r w:rsidR="008F1C22">
        <w:rPr>
          <w:szCs w:val="24"/>
        </w:rPr>
        <w:t>ing</w:t>
      </w:r>
      <w:r w:rsidR="008F1C22" w:rsidRPr="00A82CCF">
        <w:rPr>
          <w:szCs w:val="24"/>
        </w:rPr>
        <w:t xml:space="preserve"> entities.  </w:t>
      </w:r>
    </w:p>
    <w:p w14:paraId="6B689AAE" w14:textId="77777777" w:rsidR="00A73D65" w:rsidRPr="002452B7" w:rsidRDefault="00A73D65" w:rsidP="00A73D65">
      <w:pPr>
        <w:pStyle w:val="ListParagraph"/>
        <w:rPr>
          <w:szCs w:val="24"/>
        </w:rPr>
      </w:pPr>
    </w:p>
    <w:p w14:paraId="2702E3B3" w14:textId="0BBAB7E7" w:rsidR="00A73D65" w:rsidRPr="002452B7" w:rsidRDefault="00A82CCF" w:rsidP="00A73D65">
      <w:pPr>
        <w:pStyle w:val="ListParagraph"/>
        <w:numPr>
          <w:ilvl w:val="0"/>
          <w:numId w:val="4"/>
        </w:numPr>
        <w:rPr>
          <w:szCs w:val="24"/>
        </w:rPr>
      </w:pPr>
      <w:r w:rsidRPr="00A82CCF">
        <w:rPr>
          <w:szCs w:val="24"/>
        </w:rPr>
        <w:t xml:space="preserve">Regulation 20.6(c) recordkeeping duties large swaps traders create an annual reporting and recordkeeping burden of </w:t>
      </w:r>
      <w:r w:rsidR="008F1C22">
        <w:rPr>
          <w:szCs w:val="24"/>
        </w:rPr>
        <w:t>14,200</w:t>
      </w:r>
      <w:r w:rsidRPr="00A82CCF">
        <w:rPr>
          <w:szCs w:val="24"/>
        </w:rPr>
        <w:t xml:space="preserve"> hours spread across </w:t>
      </w:r>
      <w:r w:rsidR="008F1C22">
        <w:rPr>
          <w:szCs w:val="24"/>
        </w:rPr>
        <w:t>4,756</w:t>
      </w:r>
      <w:r w:rsidR="00F56714" w:rsidRPr="00A82CCF">
        <w:rPr>
          <w:szCs w:val="24"/>
        </w:rPr>
        <w:t xml:space="preserve"> </w:t>
      </w:r>
      <w:r w:rsidRPr="00A82CCF">
        <w:rPr>
          <w:szCs w:val="24"/>
        </w:rPr>
        <w:t xml:space="preserve">firms.  </w:t>
      </w:r>
      <w:r w:rsidR="003B53E9">
        <w:rPr>
          <w:szCs w:val="24"/>
        </w:rPr>
        <w:br/>
      </w:r>
    </w:p>
    <w:p w14:paraId="5FCB1C77" w14:textId="4F0C5B5A" w:rsidR="00A73D65" w:rsidRPr="002452B7" w:rsidRDefault="003B53E9" w:rsidP="00A73D65">
      <w:pPr>
        <w:tabs>
          <w:tab w:val="left" w:pos="-720"/>
        </w:tabs>
        <w:suppressAutoHyphens/>
        <w:rPr>
          <w:rFonts w:ascii="Times New Roman" w:hAnsi="Times New Roman"/>
          <w:szCs w:val="24"/>
        </w:rPr>
      </w:pPr>
      <w:r>
        <w:rPr>
          <w:rFonts w:ascii="Times New Roman" w:hAnsi="Times New Roman"/>
          <w:szCs w:val="24"/>
        </w:rPr>
        <w:tab/>
      </w:r>
      <w:r w:rsidR="00A82CCF" w:rsidRPr="00A82CCF">
        <w:rPr>
          <w:rFonts w:ascii="Times New Roman" w:hAnsi="Times New Roman"/>
          <w:szCs w:val="24"/>
        </w:rPr>
        <w:t xml:space="preserve">In </w:t>
      </w:r>
      <w:r w:rsidR="00A82CCF" w:rsidRPr="00A82CCF">
        <w:rPr>
          <w:rFonts w:ascii="Times New Roman" w:hAnsi="Times New Roman"/>
          <w:szCs w:val="24"/>
          <w:u w:val="single"/>
        </w:rPr>
        <w:t>Attachment A</w:t>
      </w:r>
      <w:r w:rsidR="00A82CCF" w:rsidRPr="00A82CCF">
        <w:rPr>
          <w:rFonts w:ascii="Times New Roman" w:hAnsi="Times New Roman"/>
          <w:szCs w:val="24"/>
        </w:rPr>
        <w:t xml:space="preserve"> the Commission has provided the key assumptions and calculations used to derive labor burden estimates.  </w:t>
      </w:r>
      <w:r>
        <w:rPr>
          <w:rFonts w:ascii="Times New Roman" w:hAnsi="Times New Roman"/>
          <w:szCs w:val="24"/>
        </w:rPr>
        <w:br/>
      </w:r>
    </w:p>
    <w:p w14:paraId="13C996E4" w14:textId="77777777" w:rsidR="00A73D65" w:rsidRPr="00C46F96" w:rsidRDefault="00A82CCF" w:rsidP="00A73D65">
      <w:pPr>
        <w:pStyle w:val="ListParagraph"/>
        <w:numPr>
          <w:ilvl w:val="0"/>
          <w:numId w:val="1"/>
        </w:numPr>
        <w:tabs>
          <w:tab w:val="left" w:pos="-720"/>
          <w:tab w:val="left" w:pos="0"/>
        </w:tabs>
        <w:suppressAutoHyphens/>
        <w:rPr>
          <w:b/>
          <w:szCs w:val="24"/>
        </w:rPr>
      </w:pPr>
      <w:r w:rsidRPr="00C46F96">
        <w:rPr>
          <w:b/>
          <w:szCs w:val="24"/>
          <w:u w:val="single"/>
        </w:rPr>
        <w:t>Provide an estimate of the total annual cost burden to respondents or recordkeepers resulting from the collection of information.  (Do not include the cost of any hour burden shown in Items 12 and 14)</w:t>
      </w:r>
      <w:r w:rsidRPr="00C46F96">
        <w:rPr>
          <w:b/>
          <w:szCs w:val="24"/>
        </w:rPr>
        <w:t>.</w:t>
      </w:r>
    </w:p>
    <w:p w14:paraId="37AE6E10" w14:textId="77777777" w:rsidR="00A73D65" w:rsidRPr="00C46F96" w:rsidRDefault="00A73D65" w:rsidP="00A73D65">
      <w:pPr>
        <w:tabs>
          <w:tab w:val="left" w:pos="-720"/>
        </w:tabs>
        <w:suppressAutoHyphens/>
        <w:rPr>
          <w:rFonts w:ascii="Times New Roman" w:hAnsi="Times New Roman"/>
          <w:b/>
          <w:szCs w:val="24"/>
        </w:rPr>
      </w:pPr>
    </w:p>
    <w:p w14:paraId="39C12F5C" w14:textId="77777777" w:rsidR="00A73D65" w:rsidRPr="00C46F96" w:rsidRDefault="00A82CCF" w:rsidP="00A73D65">
      <w:pPr>
        <w:numPr>
          <w:ilvl w:val="1"/>
          <w:numId w:val="3"/>
        </w:numPr>
        <w:tabs>
          <w:tab w:val="left" w:pos="-720"/>
          <w:tab w:val="left" w:pos="0"/>
          <w:tab w:val="left" w:pos="720"/>
        </w:tabs>
        <w:suppressAutoHyphens/>
        <w:rPr>
          <w:rFonts w:ascii="Times New Roman" w:hAnsi="Times New Roman"/>
          <w:b/>
          <w:szCs w:val="24"/>
          <w:u w:val="single"/>
        </w:rPr>
      </w:pPr>
      <w:r w:rsidRPr="00C46F96">
        <w:rPr>
          <w:rFonts w:ascii="Times New Roman" w:hAnsi="Times New Roman"/>
          <w:b/>
          <w:szCs w:val="24"/>
          <w:u w:val="single"/>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4342A434" w14:textId="77777777" w:rsidR="00A73D65" w:rsidRPr="00C46F96" w:rsidRDefault="00A73D65" w:rsidP="00A73D65">
      <w:pPr>
        <w:tabs>
          <w:tab w:val="left" w:pos="-720"/>
        </w:tabs>
        <w:suppressAutoHyphens/>
        <w:rPr>
          <w:rFonts w:ascii="Times New Roman" w:hAnsi="Times New Roman"/>
          <w:b/>
          <w:szCs w:val="24"/>
          <w:u w:val="single"/>
        </w:rPr>
      </w:pPr>
    </w:p>
    <w:p w14:paraId="6EA2392D" w14:textId="77777777" w:rsidR="00A73D65" w:rsidRPr="00C46F96" w:rsidRDefault="00A82CCF" w:rsidP="00A73D65">
      <w:pPr>
        <w:numPr>
          <w:ilvl w:val="1"/>
          <w:numId w:val="3"/>
        </w:numPr>
        <w:tabs>
          <w:tab w:val="left" w:pos="-720"/>
          <w:tab w:val="left" w:pos="0"/>
          <w:tab w:val="left" w:pos="720"/>
        </w:tabs>
        <w:suppressAutoHyphens/>
        <w:rPr>
          <w:rFonts w:ascii="Times New Roman" w:hAnsi="Times New Roman"/>
          <w:b/>
          <w:szCs w:val="24"/>
          <w:u w:val="single"/>
        </w:rPr>
      </w:pPr>
      <w:r w:rsidRPr="00C46F96">
        <w:rPr>
          <w:rFonts w:ascii="Times New Roman" w:hAnsi="Times New Roman"/>
          <w:b/>
          <w:szCs w:val="24"/>
          <w:u w:val="single"/>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14:paraId="60786ED4" w14:textId="77777777" w:rsidR="00A73D65" w:rsidRPr="00C46F96" w:rsidRDefault="00A73D65" w:rsidP="00A73D65">
      <w:pPr>
        <w:tabs>
          <w:tab w:val="left" w:pos="-720"/>
        </w:tabs>
        <w:suppressAutoHyphens/>
        <w:rPr>
          <w:rFonts w:ascii="Times New Roman" w:hAnsi="Times New Roman"/>
          <w:b/>
          <w:szCs w:val="24"/>
          <w:u w:val="single"/>
        </w:rPr>
      </w:pPr>
    </w:p>
    <w:p w14:paraId="0740A20C" w14:textId="77777777" w:rsidR="00A73D65" w:rsidRPr="00C46F96" w:rsidRDefault="00A82CCF" w:rsidP="00A73D65">
      <w:pPr>
        <w:numPr>
          <w:ilvl w:val="1"/>
          <w:numId w:val="3"/>
        </w:numPr>
        <w:tabs>
          <w:tab w:val="left" w:pos="-720"/>
          <w:tab w:val="left" w:pos="0"/>
          <w:tab w:val="left" w:pos="720"/>
        </w:tabs>
        <w:suppressAutoHyphens/>
        <w:rPr>
          <w:rFonts w:ascii="Times New Roman" w:hAnsi="Times New Roman"/>
          <w:b/>
          <w:szCs w:val="24"/>
          <w:u w:val="single"/>
        </w:rPr>
      </w:pPr>
      <w:r w:rsidRPr="00C46F96">
        <w:rPr>
          <w:rFonts w:ascii="Times New Roman" w:hAnsi="Times New Roman"/>
          <w:b/>
          <w:szCs w:val="24"/>
          <w:u w:val="single"/>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55955078" w14:textId="77777777" w:rsidR="00A73D65" w:rsidRPr="002452B7" w:rsidRDefault="00A73D65" w:rsidP="00A73D65">
      <w:pPr>
        <w:tabs>
          <w:tab w:val="left" w:pos="-720"/>
          <w:tab w:val="left" w:pos="0"/>
          <w:tab w:val="left" w:pos="720"/>
        </w:tabs>
        <w:suppressAutoHyphens/>
        <w:rPr>
          <w:rFonts w:ascii="Times New Roman" w:hAnsi="Times New Roman"/>
          <w:szCs w:val="24"/>
        </w:rPr>
      </w:pPr>
    </w:p>
    <w:p w14:paraId="5C3CE894" w14:textId="77777777" w:rsidR="00A73D65" w:rsidRPr="002452B7" w:rsidRDefault="00A82CCF" w:rsidP="00A73D65">
      <w:pPr>
        <w:tabs>
          <w:tab w:val="left" w:pos="-720"/>
        </w:tabs>
        <w:suppressAutoHyphens/>
        <w:rPr>
          <w:rFonts w:ascii="Times New Roman" w:hAnsi="Times New Roman"/>
          <w:szCs w:val="24"/>
        </w:rPr>
      </w:pPr>
      <w:r w:rsidRPr="00A82CCF">
        <w:rPr>
          <w:rFonts w:ascii="Times New Roman" w:hAnsi="Times New Roman"/>
          <w:szCs w:val="24"/>
        </w:rPr>
        <w:tab/>
        <w:t>The Commission estimates that the total annualized capital, operational, and maintenance costs associated with complying with the part 20 would be approximately $3</w:t>
      </w:r>
      <w:r w:rsidR="001E6B64">
        <w:rPr>
          <w:rFonts w:ascii="Times New Roman" w:hAnsi="Times New Roman"/>
          <w:szCs w:val="24"/>
        </w:rPr>
        <w:t>8.3</w:t>
      </w:r>
      <w:r w:rsidRPr="00A82CCF">
        <w:rPr>
          <w:rFonts w:ascii="Times New Roman" w:hAnsi="Times New Roman"/>
          <w:szCs w:val="24"/>
        </w:rPr>
        <w:t xml:space="preserve"> million.</w:t>
      </w:r>
      <w:r>
        <w:rPr>
          <w:rStyle w:val="FootnoteReference"/>
          <w:rFonts w:ascii="Times New Roman" w:hAnsi="Times New Roman"/>
          <w:szCs w:val="24"/>
        </w:rPr>
        <w:footnoteReference w:id="9"/>
      </w:r>
      <w:r w:rsidRPr="00A82CCF">
        <w:rPr>
          <w:rFonts w:ascii="Times New Roman" w:hAnsi="Times New Roman"/>
          <w:szCs w:val="24"/>
        </w:rPr>
        <w:t xml:space="preserve">  Of this $3</w:t>
      </w:r>
      <w:r w:rsidR="001E6B64">
        <w:rPr>
          <w:rFonts w:ascii="Times New Roman" w:hAnsi="Times New Roman"/>
          <w:szCs w:val="24"/>
        </w:rPr>
        <w:t>8</w:t>
      </w:r>
      <w:r w:rsidR="00841A11">
        <w:rPr>
          <w:rFonts w:ascii="Times New Roman" w:hAnsi="Times New Roman"/>
          <w:szCs w:val="24"/>
        </w:rPr>
        <w:t>.</w:t>
      </w:r>
      <w:r w:rsidR="001E6B64">
        <w:rPr>
          <w:rFonts w:ascii="Times New Roman" w:hAnsi="Times New Roman"/>
          <w:szCs w:val="24"/>
        </w:rPr>
        <w:t>3</w:t>
      </w:r>
      <w:r w:rsidRPr="00A82CCF">
        <w:rPr>
          <w:rFonts w:ascii="Times New Roman" w:hAnsi="Times New Roman"/>
          <w:szCs w:val="24"/>
        </w:rPr>
        <w:t xml:space="preserve"> million, $</w:t>
      </w:r>
      <w:r w:rsidR="00841A11">
        <w:rPr>
          <w:rFonts w:ascii="Times New Roman" w:hAnsi="Times New Roman"/>
          <w:szCs w:val="24"/>
        </w:rPr>
        <w:t>15.63</w:t>
      </w:r>
      <w:r w:rsidRPr="00A82CCF">
        <w:rPr>
          <w:rFonts w:ascii="Times New Roman" w:hAnsi="Times New Roman"/>
          <w:szCs w:val="24"/>
        </w:rPr>
        <w:t xml:space="preserve"> million is from annualized capital and start-up costs and $</w:t>
      </w:r>
      <w:r w:rsidR="00841A11">
        <w:rPr>
          <w:rFonts w:ascii="Times New Roman" w:hAnsi="Times New Roman"/>
          <w:szCs w:val="24"/>
        </w:rPr>
        <w:t>22.</w:t>
      </w:r>
      <w:r w:rsidR="001E6B64">
        <w:rPr>
          <w:rFonts w:ascii="Times New Roman" w:hAnsi="Times New Roman"/>
          <w:szCs w:val="24"/>
        </w:rPr>
        <w:t>6</w:t>
      </w:r>
      <w:r w:rsidR="00841A11">
        <w:rPr>
          <w:rFonts w:ascii="Times New Roman" w:hAnsi="Times New Roman"/>
          <w:szCs w:val="24"/>
        </w:rPr>
        <w:t>3</w:t>
      </w:r>
      <w:r w:rsidR="001F1A00">
        <w:rPr>
          <w:rFonts w:ascii="Times New Roman" w:hAnsi="Times New Roman"/>
          <w:szCs w:val="24"/>
        </w:rPr>
        <w:t xml:space="preserve"> </w:t>
      </w:r>
      <w:r w:rsidRPr="00A82CCF">
        <w:rPr>
          <w:rFonts w:ascii="Times New Roman" w:hAnsi="Times New Roman"/>
          <w:szCs w:val="24"/>
        </w:rPr>
        <w:t>million is from operating and maintenance costs.</w:t>
      </w:r>
      <w:r w:rsidR="00330FCE">
        <w:rPr>
          <w:rStyle w:val="FootnoteReference"/>
          <w:rFonts w:ascii="Times New Roman" w:hAnsi="Times New Roman"/>
          <w:szCs w:val="24"/>
        </w:rPr>
        <w:footnoteReference w:id="10"/>
      </w:r>
      <w:r w:rsidRPr="00A82CCF">
        <w:rPr>
          <w:rFonts w:ascii="Times New Roman" w:hAnsi="Times New Roman"/>
          <w:szCs w:val="24"/>
        </w:rPr>
        <w:t xml:space="preserve">  These cost estimates are based on Commission staff’s estimated costs to acquire needed equipment and contracted expertise to develop the reports and recordkeeping capabilities required by part 20.  </w:t>
      </w:r>
    </w:p>
    <w:p w14:paraId="27B35F91" w14:textId="77777777" w:rsidR="00A73D65" w:rsidRPr="002452B7" w:rsidRDefault="00A73D65" w:rsidP="00A73D65">
      <w:pPr>
        <w:ind w:firstLine="720"/>
        <w:rPr>
          <w:rFonts w:ascii="Times New Roman" w:hAnsi="Times New Roman"/>
          <w:szCs w:val="24"/>
        </w:rPr>
      </w:pPr>
    </w:p>
    <w:p w14:paraId="4BCB1305" w14:textId="77777777" w:rsidR="00EA3286" w:rsidRDefault="00A82CCF" w:rsidP="00A73D65">
      <w:pPr>
        <w:rPr>
          <w:rFonts w:ascii="Times New Roman" w:hAnsi="Times New Roman"/>
          <w:szCs w:val="24"/>
        </w:rPr>
      </w:pPr>
      <w:r w:rsidRPr="00A82CCF">
        <w:rPr>
          <w:rFonts w:ascii="Times New Roman" w:hAnsi="Times New Roman"/>
          <w:szCs w:val="24"/>
        </w:rPr>
        <w:tab/>
      </w:r>
    </w:p>
    <w:p w14:paraId="1184905A" w14:textId="77777777" w:rsidR="00EA3286" w:rsidRDefault="00EA3286" w:rsidP="00A73D65">
      <w:pPr>
        <w:rPr>
          <w:rFonts w:ascii="Times New Roman" w:hAnsi="Times New Roman"/>
          <w:szCs w:val="24"/>
        </w:rPr>
      </w:pPr>
    </w:p>
    <w:p w14:paraId="27660370" w14:textId="48A588F9" w:rsidR="00A73D65" w:rsidRPr="002452B7" w:rsidRDefault="00A82CCF" w:rsidP="00EA3286">
      <w:pPr>
        <w:ind w:firstLine="720"/>
        <w:rPr>
          <w:rFonts w:ascii="Times New Roman" w:hAnsi="Times New Roman"/>
          <w:szCs w:val="24"/>
          <w:u w:val="single"/>
        </w:rPr>
      </w:pPr>
      <w:r w:rsidRPr="00A82CCF">
        <w:rPr>
          <w:rFonts w:ascii="Times New Roman" w:hAnsi="Times New Roman"/>
          <w:szCs w:val="24"/>
          <w:u w:val="single"/>
        </w:rPr>
        <w:t>Reporting burdens:</w:t>
      </w:r>
    </w:p>
    <w:p w14:paraId="0F9E974A" w14:textId="77777777" w:rsidR="00A73D65" w:rsidRPr="002452B7" w:rsidRDefault="00A73D65" w:rsidP="00A73D65">
      <w:pPr>
        <w:rPr>
          <w:rFonts w:ascii="Times New Roman" w:hAnsi="Times New Roman"/>
          <w:szCs w:val="24"/>
          <w:u w:val="single"/>
        </w:rPr>
      </w:pPr>
    </w:p>
    <w:p w14:paraId="521E9CD1" w14:textId="77777777" w:rsidR="00A73D65" w:rsidRPr="002452B7" w:rsidRDefault="00A82CCF" w:rsidP="00A73D65">
      <w:pPr>
        <w:pStyle w:val="ListParagraph"/>
        <w:numPr>
          <w:ilvl w:val="0"/>
          <w:numId w:val="7"/>
        </w:numPr>
        <w:rPr>
          <w:szCs w:val="24"/>
        </w:rPr>
      </w:pPr>
      <w:r w:rsidRPr="00A82CCF">
        <w:rPr>
          <w:szCs w:val="24"/>
        </w:rPr>
        <w:t>Regulation 20.3 clearing organization reports would result in annualized capital/start-up costs of approximately $</w:t>
      </w:r>
      <w:r w:rsidR="00D7152D">
        <w:rPr>
          <w:szCs w:val="24"/>
        </w:rPr>
        <w:t>25</w:t>
      </w:r>
      <w:r w:rsidRPr="00A82CCF">
        <w:rPr>
          <w:szCs w:val="24"/>
        </w:rPr>
        <w:t>,000 and operating, and maintenance costs of $</w:t>
      </w:r>
      <w:r w:rsidR="00D7152D">
        <w:rPr>
          <w:szCs w:val="24"/>
        </w:rPr>
        <w:t>25</w:t>
      </w:r>
      <w:r w:rsidRPr="00A82CCF">
        <w:rPr>
          <w:szCs w:val="24"/>
        </w:rPr>
        <w:t>,000.</w:t>
      </w:r>
    </w:p>
    <w:p w14:paraId="7B72DAD5" w14:textId="77777777" w:rsidR="00A73D65" w:rsidRPr="002452B7" w:rsidRDefault="00A73D65" w:rsidP="00A73D65">
      <w:pPr>
        <w:pStyle w:val="ListParagraph"/>
        <w:rPr>
          <w:szCs w:val="24"/>
        </w:rPr>
      </w:pPr>
    </w:p>
    <w:p w14:paraId="00422694" w14:textId="77777777" w:rsidR="00A73D65" w:rsidRPr="002452B7" w:rsidRDefault="00A82CCF" w:rsidP="00A73D65">
      <w:pPr>
        <w:pStyle w:val="ListParagraph"/>
        <w:numPr>
          <w:ilvl w:val="0"/>
          <w:numId w:val="7"/>
        </w:numPr>
        <w:rPr>
          <w:szCs w:val="24"/>
        </w:rPr>
      </w:pPr>
      <w:r w:rsidRPr="00A82CCF">
        <w:rPr>
          <w:szCs w:val="24"/>
        </w:rPr>
        <w:t xml:space="preserve">Regulation 20.4 reporting entity reports would </w:t>
      </w:r>
      <w:r w:rsidR="00D7152D" w:rsidRPr="00A82CCF">
        <w:rPr>
          <w:szCs w:val="24"/>
        </w:rPr>
        <w:t>result in annualized capital/start-up costs of approximately $</w:t>
      </w:r>
      <w:r w:rsidR="00D7152D">
        <w:rPr>
          <w:szCs w:val="24"/>
        </w:rPr>
        <w:t>12,000,000</w:t>
      </w:r>
      <w:r w:rsidR="00D7152D" w:rsidRPr="00A82CCF">
        <w:rPr>
          <w:szCs w:val="24"/>
        </w:rPr>
        <w:t xml:space="preserve"> and operating, and maintenance costs of $</w:t>
      </w:r>
      <w:r w:rsidR="00D7152D">
        <w:rPr>
          <w:szCs w:val="24"/>
        </w:rPr>
        <w:t>4</w:t>
      </w:r>
      <w:r w:rsidR="00D7152D" w:rsidRPr="00A82CCF">
        <w:rPr>
          <w:szCs w:val="24"/>
        </w:rPr>
        <w:t>,000</w:t>
      </w:r>
      <w:r w:rsidR="00D7152D">
        <w:rPr>
          <w:szCs w:val="24"/>
        </w:rPr>
        <w:t>,000</w:t>
      </w:r>
      <w:r w:rsidR="00D7152D" w:rsidRPr="00A82CCF">
        <w:rPr>
          <w:szCs w:val="24"/>
        </w:rPr>
        <w:t>.</w:t>
      </w:r>
    </w:p>
    <w:p w14:paraId="04CE9F5C" w14:textId="77777777" w:rsidR="00A73D65" w:rsidRPr="002452B7" w:rsidRDefault="00A73D65" w:rsidP="00A73D65">
      <w:pPr>
        <w:pStyle w:val="ListParagraph"/>
        <w:ind w:left="1440"/>
        <w:rPr>
          <w:szCs w:val="24"/>
        </w:rPr>
      </w:pPr>
    </w:p>
    <w:p w14:paraId="05C44A9E" w14:textId="77777777" w:rsidR="00A73D65" w:rsidRPr="002452B7" w:rsidRDefault="00A82CCF" w:rsidP="00A73D65">
      <w:pPr>
        <w:pStyle w:val="ListParagraph"/>
        <w:numPr>
          <w:ilvl w:val="0"/>
          <w:numId w:val="7"/>
        </w:numPr>
        <w:rPr>
          <w:szCs w:val="24"/>
        </w:rPr>
      </w:pPr>
      <w:r w:rsidRPr="00A82CCF">
        <w:rPr>
          <w:szCs w:val="24"/>
        </w:rPr>
        <w:t>Regulation 20.5 reporting entity 102S submissions would create operating and maintenance costs of approximately $1</w:t>
      </w:r>
      <w:r w:rsidR="00D7152D">
        <w:rPr>
          <w:szCs w:val="24"/>
        </w:rPr>
        <w:t>.5</w:t>
      </w:r>
      <w:r w:rsidRPr="00A82CCF">
        <w:rPr>
          <w:szCs w:val="24"/>
        </w:rPr>
        <w:t xml:space="preserve"> million spread across </w:t>
      </w:r>
      <w:r w:rsidR="00D7152D">
        <w:rPr>
          <w:szCs w:val="24"/>
        </w:rPr>
        <w:t>4</w:t>
      </w:r>
      <w:r w:rsidR="00F56714">
        <w:rPr>
          <w:szCs w:val="24"/>
        </w:rPr>
        <w:t>,</w:t>
      </w:r>
      <w:r w:rsidR="00D7152D">
        <w:rPr>
          <w:szCs w:val="24"/>
        </w:rPr>
        <w:t>756</w:t>
      </w:r>
      <w:r w:rsidR="00F56714" w:rsidRPr="00A82CCF">
        <w:rPr>
          <w:szCs w:val="24"/>
        </w:rPr>
        <w:t xml:space="preserve"> </w:t>
      </w:r>
      <w:r w:rsidRPr="00A82CCF">
        <w:rPr>
          <w:szCs w:val="24"/>
        </w:rPr>
        <w:t xml:space="preserve">reporting entities.  </w:t>
      </w:r>
    </w:p>
    <w:p w14:paraId="566F481B" w14:textId="77777777" w:rsidR="00A73D65" w:rsidRPr="002452B7" w:rsidRDefault="00A73D65" w:rsidP="00A73D65">
      <w:pPr>
        <w:pStyle w:val="ListParagraph"/>
        <w:rPr>
          <w:szCs w:val="24"/>
        </w:rPr>
      </w:pPr>
    </w:p>
    <w:p w14:paraId="062E0A06" w14:textId="77777777" w:rsidR="00A73D65" w:rsidRPr="002452B7" w:rsidRDefault="00A82CCF" w:rsidP="00A73D65">
      <w:pPr>
        <w:pStyle w:val="ListParagraph"/>
        <w:numPr>
          <w:ilvl w:val="0"/>
          <w:numId w:val="7"/>
        </w:numPr>
        <w:rPr>
          <w:szCs w:val="24"/>
        </w:rPr>
      </w:pPr>
      <w:r w:rsidRPr="00A82CCF">
        <w:rPr>
          <w:szCs w:val="24"/>
        </w:rPr>
        <w:t>40S submissions by persons with reportable positions under regulation 20.5(b) in paired swaps would result in an annualized $1.</w:t>
      </w:r>
      <w:r w:rsidR="00D7152D">
        <w:rPr>
          <w:szCs w:val="24"/>
        </w:rPr>
        <w:t>8</w:t>
      </w:r>
      <w:r w:rsidRPr="00A82CCF">
        <w:rPr>
          <w:szCs w:val="24"/>
        </w:rPr>
        <w:t xml:space="preserve"> million in capital and start-up costs and $</w:t>
      </w:r>
      <w:r w:rsidR="00D7152D">
        <w:rPr>
          <w:szCs w:val="24"/>
        </w:rPr>
        <w:t>6</w:t>
      </w:r>
      <w:r w:rsidRPr="00A82CCF">
        <w:rPr>
          <w:szCs w:val="24"/>
        </w:rPr>
        <w:t xml:space="preserve">00,000 in operating and maintenance costs spread across </w:t>
      </w:r>
      <w:r w:rsidR="00D7152D">
        <w:rPr>
          <w:szCs w:val="24"/>
        </w:rPr>
        <w:t>4,756</w:t>
      </w:r>
      <w:r w:rsidR="00F56714" w:rsidRPr="00A82CCF">
        <w:rPr>
          <w:szCs w:val="24"/>
        </w:rPr>
        <w:t xml:space="preserve"> </w:t>
      </w:r>
      <w:r w:rsidRPr="00A82CCF">
        <w:rPr>
          <w:szCs w:val="24"/>
        </w:rPr>
        <w:t xml:space="preserve">firms.  </w:t>
      </w:r>
    </w:p>
    <w:p w14:paraId="2F432F38" w14:textId="77777777" w:rsidR="00A73D65" w:rsidRPr="002452B7" w:rsidRDefault="00A73D65" w:rsidP="00A73D65">
      <w:pPr>
        <w:pStyle w:val="ListParagraph"/>
        <w:rPr>
          <w:szCs w:val="24"/>
        </w:rPr>
      </w:pPr>
    </w:p>
    <w:p w14:paraId="3F77432C" w14:textId="77777777" w:rsidR="00A73D65" w:rsidRPr="002452B7" w:rsidRDefault="00A82CCF" w:rsidP="002B3489">
      <w:pPr>
        <w:ind w:left="720"/>
        <w:rPr>
          <w:rFonts w:ascii="Times New Roman" w:hAnsi="Times New Roman"/>
          <w:szCs w:val="24"/>
          <w:u w:val="single"/>
        </w:rPr>
      </w:pPr>
      <w:r w:rsidRPr="00A82CCF">
        <w:rPr>
          <w:rFonts w:ascii="Times New Roman" w:hAnsi="Times New Roman"/>
          <w:szCs w:val="24"/>
          <w:u w:val="single"/>
        </w:rPr>
        <w:t>Recordkeeping burdens:</w:t>
      </w:r>
    </w:p>
    <w:p w14:paraId="5D58C1EE" w14:textId="77777777" w:rsidR="00A73D65" w:rsidRPr="002452B7" w:rsidRDefault="00A73D65" w:rsidP="00A73D65">
      <w:pPr>
        <w:pStyle w:val="ListParagraph"/>
        <w:rPr>
          <w:szCs w:val="24"/>
        </w:rPr>
      </w:pPr>
    </w:p>
    <w:p w14:paraId="3114A439" w14:textId="77777777" w:rsidR="00A73D65" w:rsidRPr="002452B7" w:rsidRDefault="00A82CCF" w:rsidP="00A73D65">
      <w:pPr>
        <w:pStyle w:val="ListParagraph"/>
        <w:numPr>
          <w:ilvl w:val="0"/>
          <w:numId w:val="7"/>
        </w:numPr>
        <w:rPr>
          <w:szCs w:val="24"/>
        </w:rPr>
      </w:pPr>
      <w:r w:rsidRPr="00A82CCF">
        <w:rPr>
          <w:szCs w:val="24"/>
        </w:rPr>
        <w:t>Regulation 20.6(a) recordkeeping duties for clearing organizations would result in approximately $</w:t>
      </w:r>
      <w:r w:rsidR="00954A32">
        <w:rPr>
          <w:szCs w:val="24"/>
        </w:rPr>
        <w:t>5</w:t>
      </w:r>
      <w:r w:rsidRPr="00A82CCF">
        <w:rPr>
          <w:szCs w:val="24"/>
        </w:rPr>
        <w:t xml:space="preserve">00,000 in operating, and maintenance costs.  </w:t>
      </w:r>
    </w:p>
    <w:p w14:paraId="7FECF399" w14:textId="77777777" w:rsidR="00A73D65" w:rsidRPr="002452B7" w:rsidRDefault="00A73D65" w:rsidP="00A73D65">
      <w:pPr>
        <w:pStyle w:val="ListParagraph"/>
        <w:rPr>
          <w:szCs w:val="24"/>
        </w:rPr>
      </w:pPr>
    </w:p>
    <w:p w14:paraId="404A2D11" w14:textId="77777777" w:rsidR="00A73D65" w:rsidRPr="00816F11" w:rsidRDefault="00A82CCF" w:rsidP="00816F11">
      <w:pPr>
        <w:pStyle w:val="ListParagraph"/>
        <w:numPr>
          <w:ilvl w:val="0"/>
          <w:numId w:val="7"/>
        </w:numPr>
        <w:rPr>
          <w:szCs w:val="24"/>
        </w:rPr>
      </w:pPr>
      <w:r w:rsidRPr="00816F11">
        <w:rPr>
          <w:szCs w:val="24"/>
        </w:rPr>
        <w:t xml:space="preserve">Regulation 20.6(b) </w:t>
      </w:r>
      <w:r w:rsidR="00954A32">
        <w:rPr>
          <w:szCs w:val="24"/>
        </w:rPr>
        <w:t>c</w:t>
      </w:r>
      <w:r w:rsidRPr="00816F11">
        <w:rPr>
          <w:szCs w:val="24"/>
        </w:rPr>
        <w:t xml:space="preserve">learing member </w:t>
      </w:r>
      <w:r w:rsidR="00816F11" w:rsidRPr="00816F11">
        <w:rPr>
          <w:szCs w:val="24"/>
        </w:rPr>
        <w:t xml:space="preserve">and swap dealer reporting entity </w:t>
      </w:r>
      <w:r w:rsidRPr="00816F11">
        <w:rPr>
          <w:szCs w:val="24"/>
        </w:rPr>
        <w:t xml:space="preserve">recordkeeping </w:t>
      </w:r>
      <w:r w:rsidR="00954A32">
        <w:rPr>
          <w:szCs w:val="24"/>
        </w:rPr>
        <w:t xml:space="preserve">duties </w:t>
      </w:r>
      <w:r w:rsidRPr="00816F11">
        <w:rPr>
          <w:szCs w:val="24"/>
        </w:rPr>
        <w:t>would create operating, and maintenance costs of approximately $</w:t>
      </w:r>
      <w:r w:rsidR="00954A32">
        <w:rPr>
          <w:szCs w:val="24"/>
        </w:rPr>
        <w:t>4</w:t>
      </w:r>
      <w:r w:rsidRPr="00816F11">
        <w:rPr>
          <w:szCs w:val="24"/>
        </w:rPr>
        <w:t xml:space="preserve"> million.    </w:t>
      </w:r>
    </w:p>
    <w:p w14:paraId="78AFC202" w14:textId="77777777" w:rsidR="00A73D65" w:rsidRPr="002452B7" w:rsidRDefault="00A73D65" w:rsidP="00A73D65">
      <w:pPr>
        <w:pStyle w:val="ListParagraph"/>
        <w:ind w:left="1440"/>
        <w:rPr>
          <w:szCs w:val="24"/>
        </w:rPr>
      </w:pPr>
    </w:p>
    <w:p w14:paraId="09B2C8F5" w14:textId="77777777" w:rsidR="00A73D65" w:rsidRPr="002452B7" w:rsidRDefault="00A82CCF" w:rsidP="00A73D65">
      <w:pPr>
        <w:pStyle w:val="ListParagraph"/>
        <w:numPr>
          <w:ilvl w:val="0"/>
          <w:numId w:val="7"/>
        </w:numPr>
        <w:rPr>
          <w:szCs w:val="24"/>
        </w:rPr>
      </w:pPr>
      <w:r w:rsidRPr="00A82CCF">
        <w:rPr>
          <w:szCs w:val="24"/>
        </w:rPr>
        <w:t>Regulation 20.6(c) recordkeeping duties for persons with large positions in swaps (these firms were previously were not reportable) would create annualized capital/start-up costs of $1.</w:t>
      </w:r>
      <w:r w:rsidR="00954A32">
        <w:rPr>
          <w:szCs w:val="24"/>
        </w:rPr>
        <w:t>8</w:t>
      </w:r>
      <w:r w:rsidRPr="00A82CCF">
        <w:rPr>
          <w:szCs w:val="24"/>
        </w:rPr>
        <w:t xml:space="preserve"> million and operating and maintenance costs of approximately $</w:t>
      </w:r>
      <w:r w:rsidR="00954A32">
        <w:rPr>
          <w:szCs w:val="24"/>
        </w:rPr>
        <w:t>12</w:t>
      </w:r>
      <w:r w:rsidRPr="00A82CCF">
        <w:rPr>
          <w:szCs w:val="24"/>
        </w:rPr>
        <w:t xml:space="preserve"> million.  </w:t>
      </w:r>
    </w:p>
    <w:p w14:paraId="2AD406CB" w14:textId="77777777" w:rsidR="00A73D65" w:rsidRPr="002452B7" w:rsidRDefault="00A73D65" w:rsidP="00A73D65">
      <w:pPr>
        <w:tabs>
          <w:tab w:val="left" w:pos="-720"/>
        </w:tabs>
        <w:suppressAutoHyphens/>
        <w:rPr>
          <w:rFonts w:ascii="Times New Roman" w:hAnsi="Times New Roman"/>
          <w:szCs w:val="24"/>
        </w:rPr>
      </w:pPr>
    </w:p>
    <w:p w14:paraId="23155E88" w14:textId="27967327" w:rsidR="00A73D65" w:rsidRPr="002452B7" w:rsidRDefault="00EA3286" w:rsidP="00EA3286">
      <w:pPr>
        <w:tabs>
          <w:tab w:val="left" w:pos="-720"/>
        </w:tabs>
        <w:suppressAutoHyphens/>
        <w:ind w:left="90"/>
        <w:rPr>
          <w:rFonts w:ascii="Times New Roman" w:hAnsi="Times New Roman"/>
          <w:szCs w:val="24"/>
        </w:rPr>
      </w:pPr>
      <w:r>
        <w:rPr>
          <w:rFonts w:ascii="Times New Roman" w:hAnsi="Times New Roman"/>
          <w:szCs w:val="24"/>
        </w:rPr>
        <w:t xml:space="preserve"> </w:t>
      </w:r>
      <w:r>
        <w:rPr>
          <w:rFonts w:ascii="Times New Roman" w:hAnsi="Times New Roman"/>
          <w:szCs w:val="24"/>
        </w:rPr>
        <w:tab/>
      </w:r>
      <w:r w:rsidR="00A82CCF" w:rsidRPr="00A82CCF">
        <w:rPr>
          <w:rFonts w:ascii="Times New Roman" w:hAnsi="Times New Roman"/>
          <w:szCs w:val="24"/>
        </w:rPr>
        <w:t xml:space="preserve">In </w:t>
      </w:r>
      <w:r w:rsidR="00A82CCF" w:rsidRPr="00A82CCF">
        <w:rPr>
          <w:rFonts w:ascii="Times New Roman" w:hAnsi="Times New Roman"/>
          <w:szCs w:val="24"/>
          <w:u w:val="single"/>
        </w:rPr>
        <w:t>Attachment B</w:t>
      </w:r>
      <w:r w:rsidR="00A82CCF" w:rsidRPr="00A82CCF">
        <w:rPr>
          <w:rFonts w:ascii="Times New Roman" w:hAnsi="Times New Roman"/>
          <w:szCs w:val="24"/>
        </w:rPr>
        <w:t xml:space="preserve"> the Commission has provided the key assumptions and calculations used to derive these figures.  </w:t>
      </w:r>
    </w:p>
    <w:p w14:paraId="05D85782" w14:textId="77777777" w:rsidR="00A73D65" w:rsidRPr="002452B7" w:rsidRDefault="00A73D65" w:rsidP="00A73D65">
      <w:pPr>
        <w:tabs>
          <w:tab w:val="left" w:pos="-720"/>
        </w:tabs>
        <w:suppressAutoHyphens/>
        <w:rPr>
          <w:rFonts w:ascii="Times New Roman" w:hAnsi="Times New Roman"/>
          <w:szCs w:val="24"/>
        </w:rPr>
      </w:pPr>
    </w:p>
    <w:p w14:paraId="57A1D05F" w14:textId="77777777" w:rsidR="00A73D65" w:rsidRPr="00C46F96" w:rsidRDefault="00A82CCF" w:rsidP="00A73D65">
      <w:pPr>
        <w:pStyle w:val="ListParagraph"/>
        <w:numPr>
          <w:ilvl w:val="0"/>
          <w:numId w:val="1"/>
        </w:numPr>
        <w:tabs>
          <w:tab w:val="left" w:pos="-720"/>
        </w:tabs>
        <w:suppressAutoHyphens/>
        <w:rPr>
          <w:b/>
          <w:szCs w:val="24"/>
        </w:rPr>
      </w:pPr>
      <w:r w:rsidRPr="00C46F96">
        <w:rPr>
          <w:b/>
          <w:szCs w:val="24"/>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14:paraId="75C3A48D" w14:textId="77777777" w:rsidR="00A73D65" w:rsidRPr="00C46F96" w:rsidRDefault="00A73D65" w:rsidP="00A73D65">
      <w:pPr>
        <w:tabs>
          <w:tab w:val="left" w:pos="-720"/>
        </w:tabs>
        <w:suppressAutoHyphens/>
        <w:rPr>
          <w:rFonts w:ascii="Times New Roman" w:hAnsi="Times New Roman"/>
          <w:b/>
          <w:szCs w:val="24"/>
        </w:rPr>
      </w:pPr>
    </w:p>
    <w:p w14:paraId="46CEAE50" w14:textId="51CC69CC" w:rsidR="00A73D65" w:rsidRPr="002452B7" w:rsidRDefault="00A82CCF" w:rsidP="00A73D65">
      <w:pPr>
        <w:ind w:firstLine="720"/>
        <w:rPr>
          <w:rFonts w:ascii="Times New Roman" w:hAnsi="Times New Roman"/>
          <w:szCs w:val="24"/>
        </w:rPr>
      </w:pPr>
      <w:r w:rsidRPr="00A82CCF">
        <w:rPr>
          <w:rFonts w:ascii="Times New Roman" w:hAnsi="Times New Roman"/>
          <w:szCs w:val="24"/>
        </w:rPr>
        <w:t xml:space="preserve">The Commission estimates that the equivalent of approximately </w:t>
      </w:r>
      <w:r w:rsidR="0074006A">
        <w:rPr>
          <w:rFonts w:ascii="Times New Roman" w:hAnsi="Times New Roman"/>
          <w:szCs w:val="24"/>
        </w:rPr>
        <w:t>10</w:t>
      </w:r>
      <w:r w:rsidR="00EA3286">
        <w:rPr>
          <w:rFonts w:ascii="Times New Roman" w:hAnsi="Times New Roman"/>
          <w:szCs w:val="24"/>
        </w:rPr>
        <w:t xml:space="preserve"> </w:t>
      </w:r>
      <w:r w:rsidR="00F56714">
        <w:rPr>
          <w:rFonts w:ascii="Times New Roman" w:hAnsi="Times New Roman"/>
          <w:szCs w:val="24"/>
        </w:rPr>
        <w:t xml:space="preserve">full-time </w:t>
      </w:r>
      <w:r w:rsidRPr="00A82CCF">
        <w:rPr>
          <w:rFonts w:ascii="Times New Roman" w:hAnsi="Times New Roman"/>
          <w:szCs w:val="24"/>
        </w:rPr>
        <w:t xml:space="preserve">staff members will be needed to process and monitor the reports provided for in the part 20.  The staff needed would include industry economists, statisticians, </w:t>
      </w:r>
      <w:r w:rsidR="0074006A">
        <w:rPr>
          <w:rFonts w:ascii="Times New Roman" w:hAnsi="Times New Roman"/>
          <w:szCs w:val="24"/>
        </w:rPr>
        <w:t xml:space="preserve">attorneys, </w:t>
      </w:r>
      <w:r w:rsidRPr="00A82CCF">
        <w:rPr>
          <w:rFonts w:ascii="Times New Roman" w:hAnsi="Times New Roman"/>
          <w:szCs w:val="24"/>
        </w:rPr>
        <w:t>and information technology staff, including computer programmers.  These estimates are based on estimated labor costs associated with processing analogous reports that would be received pursuant to part 20.  At an average CT-1</w:t>
      </w:r>
      <w:r w:rsidR="0074006A">
        <w:rPr>
          <w:rFonts w:ascii="Times New Roman" w:hAnsi="Times New Roman"/>
          <w:szCs w:val="24"/>
        </w:rPr>
        <w:t>3</w:t>
      </w:r>
      <w:r w:rsidRPr="00A82CCF">
        <w:rPr>
          <w:rFonts w:ascii="Times New Roman" w:hAnsi="Times New Roman"/>
          <w:szCs w:val="24"/>
        </w:rPr>
        <w:t xml:space="preserve"> pay grade for Commission employees in Washington, D.C. for </w:t>
      </w:r>
      <w:r w:rsidR="00746FC0" w:rsidRPr="00BF468B">
        <w:rPr>
          <w:rFonts w:ascii="Times New Roman" w:hAnsi="Times New Roman"/>
          <w:szCs w:val="24"/>
        </w:rPr>
        <w:t>20</w:t>
      </w:r>
      <w:r w:rsidR="00050A55" w:rsidRPr="00BF468B">
        <w:rPr>
          <w:rFonts w:ascii="Times New Roman" w:hAnsi="Times New Roman"/>
          <w:szCs w:val="24"/>
        </w:rPr>
        <w:t>18</w:t>
      </w:r>
      <w:r w:rsidRPr="00A82CCF">
        <w:rPr>
          <w:rFonts w:ascii="Times New Roman" w:hAnsi="Times New Roman"/>
          <w:szCs w:val="24"/>
        </w:rPr>
        <w:t xml:space="preserve">, or </w:t>
      </w:r>
      <w:r w:rsidR="0074006A" w:rsidRPr="00A82CCF">
        <w:rPr>
          <w:rFonts w:ascii="Times New Roman" w:hAnsi="Times New Roman"/>
          <w:szCs w:val="24"/>
        </w:rPr>
        <w:t>$</w:t>
      </w:r>
      <w:r w:rsidR="0074006A">
        <w:rPr>
          <w:rFonts w:ascii="Times New Roman" w:hAnsi="Times New Roman"/>
          <w:szCs w:val="24"/>
        </w:rPr>
        <w:t>14</w:t>
      </w:r>
      <w:r w:rsidR="00BF468B">
        <w:rPr>
          <w:rFonts w:ascii="Times New Roman" w:hAnsi="Times New Roman"/>
          <w:szCs w:val="24"/>
        </w:rPr>
        <w:t>5</w:t>
      </w:r>
      <w:r w:rsidR="0074006A">
        <w:rPr>
          <w:rFonts w:ascii="Times New Roman" w:hAnsi="Times New Roman"/>
          <w:szCs w:val="24"/>
        </w:rPr>
        <w:t>,</w:t>
      </w:r>
      <w:r w:rsidR="00BF468B">
        <w:rPr>
          <w:rFonts w:ascii="Times New Roman" w:hAnsi="Times New Roman"/>
          <w:szCs w:val="24"/>
        </w:rPr>
        <w:t>92</w:t>
      </w:r>
      <w:r w:rsidR="0074006A">
        <w:rPr>
          <w:rFonts w:ascii="Times New Roman" w:hAnsi="Times New Roman"/>
          <w:szCs w:val="24"/>
        </w:rPr>
        <w:t>5</w:t>
      </w:r>
      <w:r w:rsidR="0074006A" w:rsidRPr="00A82CCF">
        <w:rPr>
          <w:rFonts w:ascii="Times New Roman" w:hAnsi="Times New Roman"/>
          <w:szCs w:val="24"/>
        </w:rPr>
        <w:t xml:space="preserve">, </w:t>
      </w:r>
      <w:r w:rsidRPr="00A82CCF">
        <w:rPr>
          <w:rFonts w:ascii="Times New Roman" w:hAnsi="Times New Roman"/>
          <w:szCs w:val="24"/>
        </w:rPr>
        <w:t xml:space="preserve">multiplied by 1.3 to account for overhead and other benefits, each employee would cost the Commission approximately </w:t>
      </w:r>
      <w:r w:rsidR="0074006A" w:rsidRPr="00A82CCF">
        <w:rPr>
          <w:rFonts w:ascii="Times New Roman" w:hAnsi="Times New Roman"/>
          <w:szCs w:val="24"/>
        </w:rPr>
        <w:t>$</w:t>
      </w:r>
      <w:r w:rsidR="0074006A">
        <w:rPr>
          <w:rFonts w:ascii="Times New Roman" w:hAnsi="Times New Roman"/>
          <w:szCs w:val="24"/>
        </w:rPr>
        <w:t>189</w:t>
      </w:r>
      <w:r w:rsidR="00BF468B">
        <w:rPr>
          <w:rFonts w:ascii="Times New Roman" w:hAnsi="Times New Roman"/>
          <w:szCs w:val="24"/>
        </w:rPr>
        <w:t>,702</w:t>
      </w:r>
      <w:r w:rsidR="005916BD">
        <w:rPr>
          <w:rFonts w:ascii="Times New Roman" w:hAnsi="Times New Roman"/>
          <w:szCs w:val="24"/>
        </w:rPr>
        <w:t xml:space="preserve"> </w:t>
      </w:r>
      <w:r w:rsidRPr="00A82CCF">
        <w:rPr>
          <w:rFonts w:ascii="Times New Roman" w:hAnsi="Times New Roman"/>
          <w:szCs w:val="24"/>
        </w:rPr>
        <w:t>or $</w:t>
      </w:r>
      <w:r w:rsidR="00050A55">
        <w:rPr>
          <w:rFonts w:ascii="Times New Roman" w:hAnsi="Times New Roman"/>
          <w:szCs w:val="24"/>
        </w:rPr>
        <w:t xml:space="preserve"> </w:t>
      </w:r>
      <w:r w:rsidR="0074006A">
        <w:rPr>
          <w:rFonts w:ascii="Times New Roman" w:hAnsi="Times New Roman"/>
          <w:szCs w:val="24"/>
        </w:rPr>
        <w:t>1.</w:t>
      </w:r>
      <w:r w:rsidR="00CE5140">
        <w:rPr>
          <w:rFonts w:ascii="Times New Roman" w:hAnsi="Times New Roman"/>
          <w:szCs w:val="24"/>
        </w:rPr>
        <w:t>9</w:t>
      </w:r>
      <w:r w:rsidR="0074006A">
        <w:rPr>
          <w:rFonts w:ascii="Times New Roman" w:hAnsi="Times New Roman"/>
          <w:szCs w:val="24"/>
        </w:rPr>
        <w:t xml:space="preserve"> </w:t>
      </w:r>
      <w:r w:rsidRPr="00A82CCF">
        <w:rPr>
          <w:rFonts w:ascii="Times New Roman" w:hAnsi="Times New Roman"/>
          <w:szCs w:val="24"/>
        </w:rPr>
        <w:t xml:space="preserve">million per year in labor costs.  </w:t>
      </w:r>
    </w:p>
    <w:p w14:paraId="02020650" w14:textId="77777777" w:rsidR="00A73D65" w:rsidRPr="002452B7" w:rsidRDefault="00A73D65" w:rsidP="00562A6E">
      <w:pPr>
        <w:pStyle w:val="CommentText"/>
        <w:rPr>
          <w:rFonts w:ascii="Times New Roman" w:hAnsi="Times New Roman"/>
          <w:szCs w:val="24"/>
        </w:rPr>
      </w:pPr>
    </w:p>
    <w:p w14:paraId="22B8D6F9" w14:textId="77777777" w:rsidR="00A73D65" w:rsidRPr="002452B7" w:rsidRDefault="00A73D65" w:rsidP="00A73D65">
      <w:pPr>
        <w:tabs>
          <w:tab w:val="left" w:pos="-720"/>
        </w:tabs>
        <w:suppressAutoHyphens/>
        <w:rPr>
          <w:rFonts w:ascii="Times New Roman" w:hAnsi="Times New Roman"/>
          <w:szCs w:val="24"/>
        </w:rPr>
      </w:pPr>
    </w:p>
    <w:p w14:paraId="281BD2DF" w14:textId="77777777" w:rsidR="00A73D65" w:rsidRPr="00C46F96" w:rsidRDefault="00A82CCF" w:rsidP="00A73D65">
      <w:pPr>
        <w:pStyle w:val="ListParagraph"/>
        <w:numPr>
          <w:ilvl w:val="0"/>
          <w:numId w:val="1"/>
        </w:numPr>
        <w:tabs>
          <w:tab w:val="left" w:pos="-720"/>
          <w:tab w:val="left" w:pos="0"/>
        </w:tabs>
        <w:suppressAutoHyphens/>
        <w:rPr>
          <w:b/>
          <w:szCs w:val="24"/>
        </w:rPr>
      </w:pPr>
      <w:r w:rsidRPr="00C46F96">
        <w:rPr>
          <w:b/>
          <w:szCs w:val="24"/>
          <w:u w:val="single"/>
        </w:rPr>
        <w:t>Explain the reasons for any program changes or adjustments reported in Items 13 or 14 of the OMB Form 83-I</w:t>
      </w:r>
      <w:r w:rsidRPr="00C46F96">
        <w:rPr>
          <w:b/>
          <w:szCs w:val="24"/>
        </w:rPr>
        <w:t>.</w:t>
      </w:r>
    </w:p>
    <w:p w14:paraId="4E757945" w14:textId="77777777" w:rsidR="00A73D65" w:rsidRPr="002452B7" w:rsidRDefault="00A73D65" w:rsidP="00A73D65">
      <w:pPr>
        <w:tabs>
          <w:tab w:val="left" w:pos="-720"/>
          <w:tab w:val="left" w:pos="0"/>
        </w:tabs>
        <w:suppressAutoHyphens/>
        <w:rPr>
          <w:rFonts w:ascii="Times New Roman" w:hAnsi="Times New Roman"/>
          <w:szCs w:val="24"/>
        </w:rPr>
      </w:pPr>
    </w:p>
    <w:p w14:paraId="1D304ED0" w14:textId="64DA26E7" w:rsidR="00B612B1" w:rsidRPr="00B612B1" w:rsidRDefault="00A82CCF" w:rsidP="00B612B1">
      <w:pPr>
        <w:tabs>
          <w:tab w:val="left" w:pos="-720"/>
          <w:tab w:val="left" w:pos="0"/>
        </w:tabs>
        <w:suppressAutoHyphens/>
        <w:rPr>
          <w:rFonts w:ascii="Times New Roman" w:hAnsi="Times New Roman"/>
          <w:szCs w:val="24"/>
        </w:rPr>
      </w:pPr>
      <w:r w:rsidRPr="00A82CCF">
        <w:rPr>
          <w:rFonts w:ascii="Times New Roman" w:hAnsi="Times New Roman"/>
          <w:szCs w:val="24"/>
        </w:rPr>
        <w:tab/>
      </w:r>
      <w:r w:rsidR="000642EA" w:rsidRPr="000642EA">
        <w:rPr>
          <w:rFonts w:ascii="Times New Roman" w:hAnsi="Times New Roman"/>
          <w:szCs w:val="24"/>
        </w:rPr>
        <w:t xml:space="preserve">The extension is updating the total burden based on reported data. The number of affected firms has been updated in this collection and they total 4,824 respondents (comprised of 1 clearing organization, 67 clearing member and swap dealer reporting entities and 4,756 firms that would hold reportable accounts in swaps). The number of respondents and the time required per response directly correlates to the changes in the burden totals of this collection renewal. </w:t>
      </w:r>
      <w:r w:rsidR="00B612B1">
        <w:rPr>
          <w:rFonts w:ascii="Times New Roman" w:hAnsi="Times New Roman"/>
          <w:szCs w:val="24"/>
        </w:rPr>
        <w:t>(</w:t>
      </w:r>
      <w:r w:rsidR="00B612B1" w:rsidRPr="00B612B1">
        <w:rPr>
          <w:rFonts w:ascii="Times New Roman" w:hAnsi="Times New Roman"/>
          <w:i/>
          <w:szCs w:val="24"/>
        </w:rPr>
        <w:t>See</w:t>
      </w:r>
      <w:r w:rsidR="00B612B1">
        <w:rPr>
          <w:rFonts w:ascii="Times New Roman" w:hAnsi="Times New Roman"/>
          <w:i/>
          <w:szCs w:val="24"/>
        </w:rPr>
        <w:t xml:space="preserve"> </w:t>
      </w:r>
      <w:r w:rsidR="00B612B1" w:rsidRPr="00B612B1">
        <w:rPr>
          <w:rFonts w:ascii="Times New Roman" w:hAnsi="Times New Roman"/>
          <w:szCs w:val="24"/>
        </w:rPr>
        <w:t>Attachment A</w:t>
      </w:r>
      <w:r w:rsidR="00B612B1">
        <w:rPr>
          <w:rFonts w:ascii="Times New Roman" w:hAnsi="Times New Roman"/>
          <w:szCs w:val="24"/>
        </w:rPr>
        <w:t>.</w:t>
      </w:r>
      <w:r w:rsidR="00B612B1" w:rsidRPr="00B612B1">
        <w:rPr>
          <w:rFonts w:ascii="Times New Roman" w:hAnsi="Times New Roman"/>
          <w:szCs w:val="24"/>
        </w:rPr>
        <w:t>)</w:t>
      </w:r>
    </w:p>
    <w:p w14:paraId="614C41B3" w14:textId="77777777" w:rsidR="00B612B1" w:rsidRPr="00B612B1" w:rsidRDefault="00B612B1" w:rsidP="00B612B1">
      <w:pPr>
        <w:tabs>
          <w:tab w:val="left" w:pos="-720"/>
          <w:tab w:val="left" w:pos="0"/>
        </w:tabs>
        <w:suppressAutoHyphens/>
        <w:rPr>
          <w:rFonts w:ascii="Times New Roman" w:hAnsi="Times New Roman"/>
          <w:szCs w:val="24"/>
        </w:rPr>
      </w:pPr>
    </w:p>
    <w:p w14:paraId="7F9ECD50" w14:textId="0EC47B40" w:rsidR="00B612B1" w:rsidRDefault="00B612B1" w:rsidP="00B612B1">
      <w:pPr>
        <w:tabs>
          <w:tab w:val="left" w:pos="-720"/>
          <w:tab w:val="left" w:pos="0"/>
        </w:tabs>
        <w:suppressAutoHyphens/>
        <w:rPr>
          <w:rFonts w:ascii="Times New Roman" w:hAnsi="Times New Roman"/>
          <w:szCs w:val="24"/>
        </w:rPr>
      </w:pPr>
      <w:r>
        <w:rPr>
          <w:rFonts w:ascii="Times New Roman" w:hAnsi="Times New Roman"/>
          <w:szCs w:val="24"/>
        </w:rPr>
        <w:tab/>
      </w:r>
      <w:r w:rsidRPr="00B612B1">
        <w:rPr>
          <w:rFonts w:ascii="Times New Roman" w:hAnsi="Times New Roman"/>
          <w:szCs w:val="24"/>
        </w:rPr>
        <w:t xml:space="preserve">The pending renewal is correcting a computational error made in ROCIS in the previous renewal of the collection regarding the total number of responses.  The total number of responses entered in ROCIS should have been 88,768 (as indicated in the 2014 supporting statement and the amended 30-Day FRN filed by the CFTC on 12/14/14), instead of the recorded 3,998 – which was the total annual number of respondents.  For the pending renewal, the total number of respondents has now increased to 4,824 (from 3,998 in 2014) and the total annual number of responses has decreased to 38,408 (from 88,768 in 2014).  The reduction in the number of responses has caused the total burden hours also to decrease.  </w:t>
      </w:r>
    </w:p>
    <w:p w14:paraId="02078788" w14:textId="77777777" w:rsidR="00A73D65" w:rsidRPr="002452B7" w:rsidRDefault="00A73D65" w:rsidP="00A73D65">
      <w:pPr>
        <w:tabs>
          <w:tab w:val="left" w:pos="-720"/>
        </w:tabs>
        <w:suppressAutoHyphens/>
        <w:rPr>
          <w:rFonts w:ascii="Times New Roman" w:hAnsi="Times New Roman"/>
          <w:szCs w:val="24"/>
        </w:rPr>
      </w:pPr>
    </w:p>
    <w:p w14:paraId="75E71B75" w14:textId="77777777" w:rsidR="00A73D65" w:rsidRPr="00C46F96" w:rsidRDefault="00A82CCF" w:rsidP="00A73D65">
      <w:pPr>
        <w:pStyle w:val="ListParagraph"/>
        <w:numPr>
          <w:ilvl w:val="0"/>
          <w:numId w:val="1"/>
        </w:numPr>
        <w:tabs>
          <w:tab w:val="left" w:pos="-720"/>
          <w:tab w:val="left" w:pos="0"/>
        </w:tabs>
        <w:suppressAutoHyphens/>
        <w:rPr>
          <w:b/>
          <w:szCs w:val="24"/>
        </w:rPr>
      </w:pPr>
      <w:r w:rsidRPr="00C46F96">
        <w:rPr>
          <w:b/>
          <w:szCs w:val="24"/>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sidRPr="00C46F96">
        <w:rPr>
          <w:b/>
          <w:szCs w:val="24"/>
        </w:rPr>
        <w:t>.</w:t>
      </w:r>
    </w:p>
    <w:p w14:paraId="3E155A68" w14:textId="77777777" w:rsidR="00A73D65" w:rsidRPr="002452B7" w:rsidRDefault="00A73D65" w:rsidP="00A73D65">
      <w:pPr>
        <w:tabs>
          <w:tab w:val="left" w:pos="-720"/>
          <w:tab w:val="left" w:pos="0"/>
        </w:tabs>
        <w:suppressAutoHyphens/>
        <w:rPr>
          <w:rFonts w:ascii="Times New Roman" w:hAnsi="Times New Roman"/>
          <w:szCs w:val="24"/>
        </w:rPr>
      </w:pPr>
    </w:p>
    <w:p w14:paraId="543A1EC6" w14:textId="77777777" w:rsidR="00A73D65" w:rsidRPr="002452B7" w:rsidRDefault="00A82CCF" w:rsidP="00A73D65">
      <w:pPr>
        <w:tabs>
          <w:tab w:val="left" w:pos="-720"/>
          <w:tab w:val="left" w:pos="0"/>
        </w:tabs>
        <w:suppressAutoHyphens/>
        <w:rPr>
          <w:rFonts w:ascii="Times New Roman" w:hAnsi="Times New Roman"/>
          <w:szCs w:val="24"/>
        </w:rPr>
      </w:pPr>
      <w:r w:rsidRPr="00A82CCF">
        <w:rPr>
          <w:rFonts w:ascii="Times New Roman" w:hAnsi="Times New Roman"/>
          <w:szCs w:val="24"/>
        </w:rPr>
        <w:tab/>
        <w:t>This question does not apply.</w:t>
      </w:r>
    </w:p>
    <w:p w14:paraId="54BB6759" w14:textId="77777777" w:rsidR="00A73D65" w:rsidRPr="002452B7" w:rsidRDefault="00A73D65" w:rsidP="00A73D65">
      <w:pPr>
        <w:tabs>
          <w:tab w:val="left" w:pos="-720"/>
        </w:tabs>
        <w:suppressAutoHyphens/>
        <w:rPr>
          <w:rFonts w:ascii="Times New Roman" w:hAnsi="Times New Roman"/>
          <w:szCs w:val="24"/>
        </w:rPr>
      </w:pPr>
    </w:p>
    <w:p w14:paraId="34789DDF" w14:textId="77777777" w:rsidR="00A73D65" w:rsidRPr="00C46F96" w:rsidRDefault="00A82CCF" w:rsidP="00A73D65">
      <w:pPr>
        <w:pStyle w:val="ListParagraph"/>
        <w:numPr>
          <w:ilvl w:val="0"/>
          <w:numId w:val="1"/>
        </w:numPr>
        <w:tabs>
          <w:tab w:val="left" w:pos="-720"/>
          <w:tab w:val="left" w:pos="0"/>
        </w:tabs>
        <w:suppressAutoHyphens/>
        <w:rPr>
          <w:b/>
          <w:szCs w:val="24"/>
        </w:rPr>
      </w:pPr>
      <w:r w:rsidRPr="00C46F96">
        <w:rPr>
          <w:b/>
          <w:szCs w:val="24"/>
          <w:u w:val="single"/>
        </w:rPr>
        <w:t>If seeking approval to not display the expiration date for OMB approval of the information collection, explain the reasons that display would be inappropriate</w:t>
      </w:r>
      <w:r w:rsidRPr="00C46F96">
        <w:rPr>
          <w:b/>
          <w:szCs w:val="24"/>
        </w:rPr>
        <w:t>.</w:t>
      </w:r>
    </w:p>
    <w:p w14:paraId="124D3401" w14:textId="77777777" w:rsidR="00A73D65" w:rsidRPr="002452B7" w:rsidRDefault="00A73D65" w:rsidP="009A34A1">
      <w:pPr>
        <w:tabs>
          <w:tab w:val="left" w:pos="-720"/>
          <w:tab w:val="left" w:pos="0"/>
          <w:tab w:val="left" w:pos="5130"/>
        </w:tabs>
        <w:suppressAutoHyphens/>
        <w:rPr>
          <w:rFonts w:ascii="Times New Roman" w:hAnsi="Times New Roman"/>
          <w:szCs w:val="24"/>
        </w:rPr>
      </w:pPr>
    </w:p>
    <w:p w14:paraId="36D0C27C" w14:textId="77777777" w:rsidR="00A73D65" w:rsidRPr="002452B7" w:rsidRDefault="00A82CCF" w:rsidP="00A73D65">
      <w:pPr>
        <w:ind w:firstLine="720"/>
        <w:rPr>
          <w:rFonts w:ascii="Times New Roman" w:hAnsi="Times New Roman"/>
          <w:szCs w:val="24"/>
        </w:rPr>
      </w:pPr>
      <w:r w:rsidRPr="00A82CCF">
        <w:rPr>
          <w:rFonts w:ascii="Times New Roman" w:hAnsi="Times New Roman"/>
          <w:szCs w:val="24"/>
        </w:rPr>
        <w:t>This question does not apply.</w:t>
      </w:r>
    </w:p>
    <w:p w14:paraId="01C1EAC3" w14:textId="77777777" w:rsidR="00A73D65" w:rsidRPr="002452B7" w:rsidRDefault="00A73D65" w:rsidP="00A73D65">
      <w:pPr>
        <w:tabs>
          <w:tab w:val="left" w:pos="-720"/>
        </w:tabs>
        <w:suppressAutoHyphens/>
        <w:rPr>
          <w:rFonts w:ascii="Times New Roman" w:hAnsi="Times New Roman"/>
          <w:szCs w:val="24"/>
        </w:rPr>
      </w:pPr>
    </w:p>
    <w:p w14:paraId="0757FAE8" w14:textId="77777777" w:rsidR="00A73D65" w:rsidRPr="00C46F96" w:rsidRDefault="00A82CCF" w:rsidP="00A73D65">
      <w:pPr>
        <w:pStyle w:val="ListParagraph"/>
        <w:numPr>
          <w:ilvl w:val="0"/>
          <w:numId w:val="1"/>
        </w:numPr>
        <w:tabs>
          <w:tab w:val="left" w:pos="-720"/>
          <w:tab w:val="left" w:pos="0"/>
        </w:tabs>
        <w:suppressAutoHyphens/>
        <w:rPr>
          <w:b/>
          <w:szCs w:val="24"/>
        </w:rPr>
      </w:pPr>
      <w:r w:rsidRPr="00C46F96">
        <w:rPr>
          <w:b/>
          <w:szCs w:val="24"/>
          <w:u w:val="single"/>
        </w:rPr>
        <w:t xml:space="preserve">Explain each exception to the certification statement identified in Item 19, </w:t>
      </w:r>
      <w:r w:rsidR="002B3489">
        <w:rPr>
          <w:b/>
          <w:szCs w:val="24"/>
          <w:u w:val="single"/>
        </w:rPr>
        <w:t>“</w:t>
      </w:r>
      <w:r w:rsidRPr="00C46F96">
        <w:rPr>
          <w:b/>
          <w:szCs w:val="24"/>
          <w:u w:val="single"/>
        </w:rPr>
        <w:t>Certification for Paperwork Reduction Act Submissions,</w:t>
      </w:r>
      <w:r w:rsidR="002B3489">
        <w:rPr>
          <w:b/>
          <w:szCs w:val="24"/>
          <w:u w:val="single"/>
        </w:rPr>
        <w:t>”</w:t>
      </w:r>
      <w:r w:rsidRPr="00C46F96">
        <w:rPr>
          <w:b/>
          <w:szCs w:val="24"/>
          <w:u w:val="single"/>
        </w:rPr>
        <w:t xml:space="preserve"> of OMB Form 83-I</w:t>
      </w:r>
      <w:r w:rsidRPr="00C46F96">
        <w:rPr>
          <w:b/>
          <w:szCs w:val="24"/>
        </w:rPr>
        <w:t>.</w:t>
      </w:r>
    </w:p>
    <w:p w14:paraId="5541555F" w14:textId="77777777" w:rsidR="00A73D65" w:rsidRPr="002452B7" w:rsidRDefault="00A73D65" w:rsidP="00A73D65">
      <w:pPr>
        <w:tabs>
          <w:tab w:val="left" w:pos="-720"/>
          <w:tab w:val="left" w:pos="0"/>
        </w:tabs>
        <w:suppressAutoHyphens/>
        <w:rPr>
          <w:rFonts w:ascii="Times New Roman" w:hAnsi="Times New Roman"/>
          <w:szCs w:val="24"/>
        </w:rPr>
      </w:pPr>
    </w:p>
    <w:p w14:paraId="46750C19" w14:textId="77777777" w:rsidR="00A73D65" w:rsidRPr="002452B7" w:rsidRDefault="00A82CCF" w:rsidP="00A73D65">
      <w:pPr>
        <w:tabs>
          <w:tab w:val="left" w:pos="-720"/>
          <w:tab w:val="left" w:pos="0"/>
        </w:tabs>
        <w:suppressAutoHyphens/>
        <w:rPr>
          <w:rFonts w:ascii="Times New Roman" w:hAnsi="Times New Roman"/>
          <w:szCs w:val="24"/>
        </w:rPr>
      </w:pPr>
      <w:r w:rsidRPr="00A82CCF">
        <w:rPr>
          <w:rFonts w:ascii="Times New Roman" w:hAnsi="Times New Roman"/>
          <w:szCs w:val="24"/>
        </w:rPr>
        <w:tab/>
      </w:r>
      <w:r w:rsidR="000C2526">
        <w:rPr>
          <w:rFonts w:ascii="Times New Roman" w:hAnsi="Times New Roman"/>
          <w:szCs w:val="24"/>
        </w:rPr>
        <w:t xml:space="preserve"> This question does not apply</w:t>
      </w:r>
      <w:r w:rsidRPr="00A82CCF">
        <w:rPr>
          <w:rFonts w:ascii="Times New Roman" w:hAnsi="Times New Roman"/>
          <w:szCs w:val="24"/>
        </w:rPr>
        <w:t>.</w:t>
      </w:r>
    </w:p>
    <w:p w14:paraId="135DE989" w14:textId="77777777" w:rsidR="00A73D65" w:rsidRPr="002452B7" w:rsidRDefault="00A73D65" w:rsidP="00A73D65">
      <w:pPr>
        <w:rPr>
          <w:rFonts w:ascii="Times New Roman" w:hAnsi="Times New Roman"/>
          <w:szCs w:val="24"/>
        </w:rPr>
        <w:sectPr w:rsidR="00A73D65" w:rsidRPr="002452B7" w:rsidSect="008804C4">
          <w:footerReference w:type="default" r:id="rId12"/>
          <w:pgSz w:w="12240" w:h="15840"/>
          <w:pgMar w:top="1440" w:right="1440" w:bottom="1440" w:left="1440" w:header="720" w:footer="720" w:gutter="0"/>
          <w:cols w:space="720"/>
          <w:docGrid w:linePitch="360"/>
        </w:sectPr>
      </w:pPr>
    </w:p>
    <w:p w14:paraId="14D4E711" w14:textId="77777777" w:rsidR="00A73D65" w:rsidRPr="002452B7" w:rsidRDefault="00A82CCF" w:rsidP="00A73D65">
      <w:pPr>
        <w:pStyle w:val="Title"/>
        <w:spacing w:after="240"/>
        <w:rPr>
          <w:sz w:val="24"/>
          <w:szCs w:val="24"/>
        </w:rPr>
      </w:pPr>
      <w:r w:rsidRPr="00A82CCF">
        <w:rPr>
          <w:sz w:val="24"/>
          <w:szCs w:val="24"/>
        </w:rPr>
        <w:t>Attachment A</w:t>
      </w:r>
    </w:p>
    <w:p w14:paraId="46B136CA" w14:textId="77777777" w:rsidR="00A73D65" w:rsidRPr="002452B7" w:rsidRDefault="00A82CCF" w:rsidP="00A73D65">
      <w:pPr>
        <w:pStyle w:val="Title"/>
        <w:tabs>
          <w:tab w:val="center" w:pos="7200"/>
        </w:tabs>
        <w:rPr>
          <w:sz w:val="24"/>
          <w:szCs w:val="24"/>
        </w:rPr>
      </w:pPr>
      <w:r w:rsidRPr="00A82CCF">
        <w:rPr>
          <w:sz w:val="24"/>
          <w:szCs w:val="24"/>
        </w:rPr>
        <w:t>13. Annual Reporting and Recordkeeping Hour Burden</w:t>
      </w:r>
    </w:p>
    <w:p w14:paraId="178FC564" w14:textId="77777777" w:rsidR="00A73D65" w:rsidRPr="002452B7" w:rsidRDefault="00A73D65" w:rsidP="00A73D65">
      <w:pPr>
        <w:pStyle w:val="Title"/>
        <w:tabs>
          <w:tab w:val="center" w:pos="7200"/>
        </w:tabs>
        <w:rPr>
          <w:sz w:val="24"/>
          <w:szCs w:val="24"/>
        </w:rPr>
      </w:pPr>
    </w:p>
    <w:p w14:paraId="01945749" w14:textId="77777777" w:rsidR="00A73D65" w:rsidRPr="002452B7" w:rsidRDefault="00A82CCF" w:rsidP="00A73D65">
      <w:pPr>
        <w:pStyle w:val="Title"/>
        <w:spacing w:after="240"/>
        <w:rPr>
          <w:sz w:val="24"/>
          <w:szCs w:val="24"/>
        </w:rPr>
      </w:pPr>
      <w:r w:rsidRPr="00A82CCF">
        <w:rPr>
          <w:sz w:val="24"/>
          <w:szCs w:val="24"/>
        </w:rPr>
        <w:t>Part 20 – Large Trader Reporting for Physical Commodity Swaps</w:t>
      </w:r>
    </w:p>
    <w:p w14:paraId="32E549B6" w14:textId="77777777" w:rsidR="00A73D65" w:rsidRPr="002452B7" w:rsidRDefault="00A82CCF" w:rsidP="00A73D65">
      <w:pPr>
        <w:pStyle w:val="Title"/>
        <w:spacing w:after="480"/>
        <w:rPr>
          <w:sz w:val="24"/>
          <w:szCs w:val="24"/>
        </w:rPr>
      </w:pPr>
      <w:r w:rsidRPr="00A82CCF">
        <w:rPr>
          <w:sz w:val="24"/>
          <w:szCs w:val="24"/>
        </w:rPr>
        <w:t>OMB Collection File 3038-</w:t>
      </w:r>
      <w:r w:rsidR="0076109F">
        <w:rPr>
          <w:sz w:val="24"/>
          <w:szCs w:val="24"/>
        </w:rPr>
        <w:t xml:space="preserve"> 0095</w:t>
      </w:r>
    </w:p>
    <w:p w14:paraId="21499BD1" w14:textId="77777777" w:rsidR="00DD79B8" w:rsidRDefault="00DD79B8" w:rsidP="002B78D9">
      <w:pPr>
        <w:rPr>
          <w:rFonts w:ascii="Times New Roman" w:hAnsi="Times New Roman"/>
          <w:sz w:val="23"/>
          <w:szCs w:val="23"/>
        </w:rPr>
        <w:sectPr w:rsidR="00DD79B8" w:rsidSect="008804C4">
          <w:footerReference w:type="default" r:id="rId13"/>
          <w:endnotePr>
            <w:numFmt w:val="chicago"/>
          </w:endnotePr>
          <w:pgSz w:w="15840" w:h="12240" w:orient="landscape" w:code="1"/>
          <w:pgMar w:top="1440" w:right="1440" w:bottom="1440" w:left="1440" w:header="720" w:footer="720" w:gutter="0"/>
          <w:cols w:space="720"/>
          <w:docGrid w:linePitch="360"/>
        </w:sectPr>
      </w:pPr>
    </w:p>
    <w:tbl>
      <w:tblPr>
        <w:tblW w:w="0" w:type="auto"/>
        <w:tblInd w:w="93" w:type="dxa"/>
        <w:tblLook w:val="04A0" w:firstRow="1" w:lastRow="0" w:firstColumn="1" w:lastColumn="0" w:noHBand="0" w:noVBand="1"/>
      </w:tblPr>
      <w:tblGrid>
        <w:gridCol w:w="1978"/>
        <w:gridCol w:w="1543"/>
        <w:gridCol w:w="1622"/>
        <w:gridCol w:w="1349"/>
        <w:gridCol w:w="1842"/>
        <w:gridCol w:w="2377"/>
        <w:gridCol w:w="2372"/>
      </w:tblGrid>
      <w:tr w:rsidR="00D977B9" w:rsidRPr="00D977B9" w14:paraId="2765B7BA" w14:textId="77777777" w:rsidTr="00D977B9">
        <w:trPr>
          <w:trHeight w:val="600"/>
        </w:trPr>
        <w:tc>
          <w:tcPr>
            <w:tcW w:w="0" w:type="auto"/>
            <w:gridSpan w:val="7"/>
            <w:tcBorders>
              <w:top w:val="nil"/>
              <w:left w:val="nil"/>
              <w:bottom w:val="single" w:sz="8" w:space="0" w:color="auto"/>
              <w:right w:val="nil"/>
            </w:tcBorders>
            <w:shd w:val="clear" w:color="auto" w:fill="auto"/>
            <w:noWrap/>
            <w:vAlign w:val="center"/>
          </w:tcPr>
          <w:p w14:paraId="1FEB77F5" w14:textId="77777777" w:rsidR="00D977B9" w:rsidRPr="00D977B9" w:rsidRDefault="00D977B9" w:rsidP="00D977B9">
            <w:pPr>
              <w:jc w:val="center"/>
              <w:rPr>
                <w:rFonts w:ascii="Times New Roman" w:hAnsi="Times New Roman"/>
                <w:color w:val="000000"/>
                <w:szCs w:val="24"/>
              </w:rPr>
            </w:pPr>
          </w:p>
        </w:tc>
      </w:tr>
      <w:tr w:rsidR="00D977B9" w:rsidRPr="00D977B9" w14:paraId="48DA677F" w14:textId="77777777" w:rsidTr="00D977B9">
        <w:trPr>
          <w:trHeight w:val="1275"/>
        </w:trPr>
        <w:tc>
          <w:tcPr>
            <w:tcW w:w="0" w:type="auto"/>
            <w:tcBorders>
              <w:top w:val="single" w:sz="8" w:space="0" w:color="auto"/>
              <w:left w:val="single" w:sz="8" w:space="0" w:color="auto"/>
              <w:bottom w:val="nil"/>
              <w:right w:val="single" w:sz="8" w:space="0" w:color="000000"/>
            </w:tcBorders>
            <w:shd w:val="clear" w:color="auto" w:fill="auto"/>
            <w:vAlign w:val="center"/>
            <w:hideMark/>
          </w:tcPr>
          <w:p w14:paraId="044621DE" w14:textId="77777777" w:rsidR="00D977B9" w:rsidRPr="00D977B9" w:rsidRDefault="00D977B9" w:rsidP="00D977B9">
            <w:pPr>
              <w:jc w:val="center"/>
              <w:rPr>
                <w:rFonts w:ascii="Times New Roman" w:hAnsi="Times New Roman"/>
                <w:b/>
                <w:bCs/>
                <w:color w:val="000000"/>
                <w:szCs w:val="24"/>
              </w:rPr>
            </w:pPr>
            <w:r w:rsidRPr="00D977B9">
              <w:rPr>
                <w:rFonts w:ascii="Times New Roman" w:hAnsi="Times New Roman"/>
                <w:b/>
                <w:bCs/>
                <w:color w:val="000000"/>
                <w:szCs w:val="24"/>
              </w:rPr>
              <w:t>Type of respondent</w:t>
            </w:r>
          </w:p>
        </w:tc>
        <w:tc>
          <w:tcPr>
            <w:tcW w:w="0" w:type="auto"/>
            <w:tcBorders>
              <w:top w:val="nil"/>
              <w:left w:val="nil"/>
              <w:bottom w:val="nil"/>
              <w:right w:val="single" w:sz="8" w:space="0" w:color="auto"/>
            </w:tcBorders>
            <w:shd w:val="clear" w:color="auto" w:fill="auto"/>
            <w:vAlign w:val="center"/>
            <w:hideMark/>
          </w:tcPr>
          <w:p w14:paraId="118E01D4" w14:textId="77777777" w:rsidR="00D977B9" w:rsidRPr="00D977B9" w:rsidRDefault="00D977B9" w:rsidP="00D977B9">
            <w:pPr>
              <w:jc w:val="center"/>
              <w:rPr>
                <w:rFonts w:ascii="Times New Roman" w:hAnsi="Times New Roman"/>
                <w:b/>
                <w:bCs/>
                <w:color w:val="000000"/>
                <w:szCs w:val="24"/>
              </w:rPr>
            </w:pPr>
            <w:r w:rsidRPr="00D977B9">
              <w:rPr>
                <w:rFonts w:ascii="Times New Roman" w:hAnsi="Times New Roman"/>
                <w:b/>
                <w:bCs/>
                <w:color w:val="000000"/>
                <w:szCs w:val="24"/>
              </w:rPr>
              <w:t>Applicable CFTC Regulation Section (17 CFR)</w:t>
            </w:r>
          </w:p>
        </w:tc>
        <w:tc>
          <w:tcPr>
            <w:tcW w:w="0" w:type="auto"/>
            <w:tcBorders>
              <w:top w:val="nil"/>
              <w:left w:val="nil"/>
              <w:bottom w:val="nil"/>
              <w:right w:val="single" w:sz="8" w:space="0" w:color="auto"/>
            </w:tcBorders>
            <w:shd w:val="clear" w:color="auto" w:fill="auto"/>
            <w:vAlign w:val="center"/>
            <w:hideMark/>
          </w:tcPr>
          <w:p w14:paraId="0FE8D861" w14:textId="77777777" w:rsidR="00D977B9" w:rsidRPr="00D977B9" w:rsidRDefault="00D977B9" w:rsidP="00D977B9">
            <w:pPr>
              <w:jc w:val="center"/>
              <w:rPr>
                <w:rFonts w:ascii="Times New Roman" w:hAnsi="Times New Roman"/>
                <w:b/>
                <w:bCs/>
                <w:color w:val="000000"/>
                <w:szCs w:val="24"/>
              </w:rPr>
            </w:pPr>
            <w:r w:rsidRPr="00D977B9">
              <w:rPr>
                <w:rFonts w:ascii="Times New Roman" w:hAnsi="Times New Roman"/>
                <w:b/>
                <w:bCs/>
                <w:color w:val="000000"/>
                <w:szCs w:val="24"/>
              </w:rPr>
              <w:t>Total Number of Respondents</w:t>
            </w:r>
          </w:p>
        </w:tc>
        <w:tc>
          <w:tcPr>
            <w:tcW w:w="0" w:type="auto"/>
            <w:tcBorders>
              <w:top w:val="nil"/>
              <w:left w:val="nil"/>
              <w:bottom w:val="nil"/>
              <w:right w:val="single" w:sz="8" w:space="0" w:color="auto"/>
            </w:tcBorders>
            <w:shd w:val="clear" w:color="auto" w:fill="auto"/>
            <w:vAlign w:val="center"/>
            <w:hideMark/>
          </w:tcPr>
          <w:p w14:paraId="72C1BF77" w14:textId="77777777" w:rsidR="00D977B9" w:rsidRPr="00D977B9" w:rsidRDefault="00D977B9" w:rsidP="00D977B9">
            <w:pPr>
              <w:jc w:val="center"/>
              <w:rPr>
                <w:rFonts w:ascii="Times New Roman" w:hAnsi="Times New Roman"/>
                <w:b/>
                <w:bCs/>
                <w:color w:val="000000"/>
                <w:szCs w:val="24"/>
              </w:rPr>
            </w:pPr>
            <w:r w:rsidRPr="00D977B9">
              <w:rPr>
                <w:rFonts w:ascii="Times New Roman" w:hAnsi="Times New Roman"/>
                <w:b/>
                <w:bCs/>
                <w:color w:val="000000"/>
                <w:szCs w:val="24"/>
              </w:rPr>
              <w:t>Total Annual Responses</w:t>
            </w:r>
          </w:p>
        </w:tc>
        <w:tc>
          <w:tcPr>
            <w:tcW w:w="0" w:type="auto"/>
            <w:tcBorders>
              <w:top w:val="nil"/>
              <w:left w:val="nil"/>
              <w:bottom w:val="nil"/>
              <w:right w:val="single" w:sz="8" w:space="0" w:color="auto"/>
            </w:tcBorders>
            <w:shd w:val="clear" w:color="auto" w:fill="auto"/>
            <w:vAlign w:val="center"/>
            <w:hideMark/>
          </w:tcPr>
          <w:p w14:paraId="0DDB1F99" w14:textId="77777777" w:rsidR="00D977B9" w:rsidRPr="00D977B9" w:rsidRDefault="00D977B9" w:rsidP="00D977B9">
            <w:pPr>
              <w:jc w:val="center"/>
              <w:rPr>
                <w:rFonts w:ascii="Times New Roman" w:hAnsi="Times New Roman"/>
                <w:b/>
                <w:bCs/>
                <w:color w:val="000000"/>
                <w:szCs w:val="24"/>
              </w:rPr>
            </w:pPr>
            <w:r w:rsidRPr="00D977B9">
              <w:rPr>
                <w:rFonts w:ascii="Times New Roman" w:hAnsi="Times New Roman"/>
                <w:b/>
                <w:bCs/>
                <w:color w:val="000000"/>
                <w:szCs w:val="24"/>
              </w:rPr>
              <w:t>Percentage of Responses Collected Electronically</w:t>
            </w:r>
          </w:p>
        </w:tc>
        <w:tc>
          <w:tcPr>
            <w:tcW w:w="0" w:type="auto"/>
            <w:tcBorders>
              <w:top w:val="nil"/>
              <w:left w:val="nil"/>
              <w:bottom w:val="nil"/>
              <w:right w:val="single" w:sz="8" w:space="0" w:color="auto"/>
            </w:tcBorders>
            <w:shd w:val="clear" w:color="auto" w:fill="auto"/>
            <w:vAlign w:val="center"/>
            <w:hideMark/>
          </w:tcPr>
          <w:p w14:paraId="2A57E6E8" w14:textId="77777777" w:rsidR="00D977B9" w:rsidRPr="00D977B9" w:rsidRDefault="00D977B9" w:rsidP="00D977B9">
            <w:pPr>
              <w:jc w:val="center"/>
              <w:rPr>
                <w:rFonts w:ascii="Times New Roman" w:hAnsi="Times New Roman"/>
                <w:b/>
                <w:bCs/>
                <w:color w:val="000000"/>
                <w:szCs w:val="24"/>
              </w:rPr>
            </w:pPr>
            <w:r w:rsidRPr="00D977B9">
              <w:rPr>
                <w:rFonts w:ascii="Times New Roman" w:hAnsi="Times New Roman"/>
                <w:b/>
                <w:bCs/>
                <w:color w:val="000000"/>
                <w:szCs w:val="24"/>
              </w:rPr>
              <w:t>Total Annual Hours Requested</w:t>
            </w:r>
          </w:p>
        </w:tc>
        <w:tc>
          <w:tcPr>
            <w:tcW w:w="0" w:type="auto"/>
            <w:tcBorders>
              <w:top w:val="nil"/>
              <w:left w:val="nil"/>
              <w:bottom w:val="nil"/>
              <w:right w:val="single" w:sz="8" w:space="0" w:color="auto"/>
            </w:tcBorders>
            <w:shd w:val="clear" w:color="auto" w:fill="auto"/>
            <w:vAlign w:val="center"/>
            <w:hideMark/>
          </w:tcPr>
          <w:p w14:paraId="09422036" w14:textId="77777777" w:rsidR="00D977B9" w:rsidRPr="00D977B9" w:rsidRDefault="00D977B9" w:rsidP="00D977B9">
            <w:pPr>
              <w:jc w:val="center"/>
              <w:rPr>
                <w:rFonts w:ascii="Times New Roman" w:hAnsi="Times New Roman"/>
                <w:b/>
                <w:bCs/>
                <w:color w:val="000000"/>
                <w:szCs w:val="24"/>
              </w:rPr>
            </w:pPr>
            <w:r w:rsidRPr="00D977B9">
              <w:rPr>
                <w:rFonts w:ascii="Times New Roman" w:hAnsi="Times New Roman"/>
                <w:b/>
                <w:bCs/>
                <w:color w:val="000000"/>
                <w:szCs w:val="24"/>
              </w:rPr>
              <w:t>Total Annualized Labor Costs</w:t>
            </w:r>
          </w:p>
        </w:tc>
      </w:tr>
      <w:tr w:rsidR="00D977B9" w:rsidRPr="00D977B9" w14:paraId="6ABB425E" w14:textId="77777777" w:rsidTr="00D977B9">
        <w:trPr>
          <w:trHeight w:val="450"/>
        </w:trPr>
        <w:tc>
          <w:tcPr>
            <w:tcW w:w="0" w:type="auto"/>
            <w:tcBorders>
              <w:top w:val="single" w:sz="8" w:space="0" w:color="auto"/>
              <w:left w:val="single" w:sz="8" w:space="0" w:color="auto"/>
              <w:bottom w:val="single" w:sz="4" w:space="0" w:color="auto"/>
              <w:right w:val="single" w:sz="4" w:space="0" w:color="auto"/>
            </w:tcBorders>
            <w:shd w:val="clear" w:color="auto" w:fill="auto"/>
            <w:vAlign w:val="center"/>
            <w:hideMark/>
          </w:tcPr>
          <w:p w14:paraId="7DC14F98" w14:textId="77777777" w:rsidR="00D977B9" w:rsidRPr="00D977B9" w:rsidRDefault="00D977B9" w:rsidP="00D977B9">
            <w:pPr>
              <w:rPr>
                <w:rFonts w:ascii="Times New Roman" w:hAnsi="Times New Roman"/>
                <w:szCs w:val="24"/>
              </w:rPr>
            </w:pPr>
            <w:r w:rsidRPr="00D977B9">
              <w:rPr>
                <w:rFonts w:ascii="Times New Roman" w:hAnsi="Times New Roman"/>
                <w:szCs w:val="24"/>
              </w:rPr>
              <w:t xml:space="preserve">Clearing organization reports </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7C177FF6"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20.3</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2C95096A"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1</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6C96E386"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                             260 </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73A37879"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100%</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6151B044"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                             390 </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15E419B7"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 $                     29,145 </w:t>
            </w:r>
          </w:p>
        </w:tc>
      </w:tr>
      <w:tr w:rsidR="00D977B9" w:rsidRPr="00D977B9" w14:paraId="1F977853" w14:textId="77777777" w:rsidTr="00D977B9">
        <w:trPr>
          <w:trHeight w:val="660"/>
        </w:trPr>
        <w:tc>
          <w:tcPr>
            <w:tcW w:w="0" w:type="auto"/>
            <w:tcBorders>
              <w:top w:val="single" w:sz="4" w:space="0" w:color="auto"/>
              <w:left w:val="single" w:sz="8" w:space="0" w:color="auto"/>
              <w:bottom w:val="single" w:sz="4" w:space="0" w:color="auto"/>
              <w:right w:val="single" w:sz="4" w:space="0" w:color="auto"/>
            </w:tcBorders>
            <w:shd w:val="clear" w:color="auto" w:fill="auto"/>
            <w:vAlign w:val="center"/>
            <w:hideMark/>
          </w:tcPr>
          <w:p w14:paraId="2CEDF587" w14:textId="77777777" w:rsidR="00D977B9" w:rsidRPr="00D977B9" w:rsidRDefault="00D977B9" w:rsidP="00D977B9">
            <w:pPr>
              <w:rPr>
                <w:rFonts w:ascii="Times New Roman" w:hAnsi="Times New Roman"/>
                <w:szCs w:val="24"/>
              </w:rPr>
            </w:pPr>
            <w:r w:rsidRPr="00D977B9">
              <w:rPr>
                <w:rFonts w:ascii="Times New Roman" w:hAnsi="Times New Roman"/>
                <w:szCs w:val="24"/>
              </w:rPr>
              <w:t>Clearing member and swap dealer non-clearing member reporting entity reports</w:t>
            </w:r>
          </w:p>
        </w:tc>
        <w:tc>
          <w:tcPr>
            <w:tcW w:w="0" w:type="auto"/>
            <w:tcBorders>
              <w:top w:val="nil"/>
              <w:left w:val="nil"/>
              <w:bottom w:val="single" w:sz="4" w:space="0" w:color="auto"/>
              <w:right w:val="single" w:sz="4" w:space="0" w:color="auto"/>
            </w:tcBorders>
            <w:shd w:val="clear" w:color="auto" w:fill="auto"/>
            <w:vAlign w:val="center"/>
            <w:hideMark/>
          </w:tcPr>
          <w:p w14:paraId="3FF10CAB"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20.4</w:t>
            </w:r>
          </w:p>
        </w:tc>
        <w:tc>
          <w:tcPr>
            <w:tcW w:w="0" w:type="auto"/>
            <w:tcBorders>
              <w:top w:val="nil"/>
              <w:left w:val="nil"/>
              <w:bottom w:val="single" w:sz="4" w:space="0" w:color="auto"/>
              <w:right w:val="single" w:sz="4" w:space="0" w:color="auto"/>
            </w:tcBorders>
            <w:shd w:val="clear" w:color="auto" w:fill="auto"/>
            <w:vAlign w:val="center"/>
            <w:hideMark/>
          </w:tcPr>
          <w:p w14:paraId="1D7FC0AF"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67</w:t>
            </w:r>
          </w:p>
        </w:tc>
        <w:tc>
          <w:tcPr>
            <w:tcW w:w="0" w:type="auto"/>
            <w:tcBorders>
              <w:top w:val="nil"/>
              <w:left w:val="nil"/>
              <w:bottom w:val="single" w:sz="4" w:space="0" w:color="auto"/>
              <w:right w:val="single" w:sz="4" w:space="0" w:color="auto"/>
            </w:tcBorders>
            <w:shd w:val="clear" w:color="auto" w:fill="auto"/>
            <w:vAlign w:val="center"/>
            <w:hideMark/>
          </w:tcPr>
          <w:p w14:paraId="490FB4C4"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                        17,420 </w:t>
            </w:r>
          </w:p>
        </w:tc>
        <w:tc>
          <w:tcPr>
            <w:tcW w:w="0" w:type="auto"/>
            <w:tcBorders>
              <w:top w:val="nil"/>
              <w:left w:val="nil"/>
              <w:bottom w:val="single" w:sz="4" w:space="0" w:color="auto"/>
              <w:right w:val="single" w:sz="4" w:space="0" w:color="auto"/>
            </w:tcBorders>
            <w:shd w:val="clear" w:color="auto" w:fill="auto"/>
            <w:noWrap/>
            <w:vAlign w:val="center"/>
            <w:hideMark/>
          </w:tcPr>
          <w:p w14:paraId="7A96B012"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100%</w:t>
            </w:r>
          </w:p>
        </w:tc>
        <w:tc>
          <w:tcPr>
            <w:tcW w:w="0" w:type="auto"/>
            <w:tcBorders>
              <w:top w:val="nil"/>
              <w:left w:val="nil"/>
              <w:bottom w:val="single" w:sz="4" w:space="0" w:color="auto"/>
              <w:right w:val="single" w:sz="4" w:space="0" w:color="auto"/>
            </w:tcBorders>
            <w:shd w:val="clear" w:color="auto" w:fill="auto"/>
            <w:noWrap/>
            <w:vAlign w:val="center"/>
            <w:hideMark/>
          </w:tcPr>
          <w:p w14:paraId="01ED9FD3"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                        26,130 </w:t>
            </w:r>
          </w:p>
        </w:tc>
        <w:tc>
          <w:tcPr>
            <w:tcW w:w="0" w:type="auto"/>
            <w:tcBorders>
              <w:top w:val="nil"/>
              <w:left w:val="nil"/>
              <w:bottom w:val="single" w:sz="4" w:space="0" w:color="auto"/>
              <w:right w:val="single" w:sz="8" w:space="0" w:color="auto"/>
            </w:tcBorders>
            <w:shd w:val="clear" w:color="auto" w:fill="auto"/>
            <w:noWrap/>
            <w:vAlign w:val="center"/>
            <w:hideMark/>
          </w:tcPr>
          <w:p w14:paraId="141909BE"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 $                1,944,856 </w:t>
            </w:r>
          </w:p>
        </w:tc>
      </w:tr>
      <w:tr w:rsidR="00D977B9" w:rsidRPr="00D977B9" w14:paraId="5857A814" w14:textId="77777777" w:rsidTr="00D977B9">
        <w:trPr>
          <w:trHeight w:val="450"/>
        </w:trPr>
        <w:tc>
          <w:tcPr>
            <w:tcW w:w="0" w:type="auto"/>
            <w:gridSpan w:val="3"/>
            <w:tcBorders>
              <w:top w:val="single" w:sz="4" w:space="0" w:color="auto"/>
              <w:left w:val="single" w:sz="8" w:space="0" w:color="auto"/>
              <w:bottom w:val="single" w:sz="8" w:space="0" w:color="auto"/>
              <w:right w:val="single" w:sz="4" w:space="0" w:color="auto"/>
            </w:tcBorders>
            <w:shd w:val="clear" w:color="auto" w:fill="auto"/>
            <w:vAlign w:val="center"/>
            <w:hideMark/>
          </w:tcPr>
          <w:p w14:paraId="10EFB869"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Subtotal Reports</w:t>
            </w:r>
          </w:p>
        </w:tc>
        <w:tc>
          <w:tcPr>
            <w:tcW w:w="0" w:type="auto"/>
            <w:tcBorders>
              <w:top w:val="nil"/>
              <w:left w:val="nil"/>
              <w:bottom w:val="single" w:sz="8" w:space="0" w:color="auto"/>
              <w:right w:val="single" w:sz="4" w:space="0" w:color="auto"/>
            </w:tcBorders>
            <w:shd w:val="clear" w:color="auto" w:fill="auto"/>
            <w:vAlign w:val="center"/>
            <w:hideMark/>
          </w:tcPr>
          <w:p w14:paraId="578246B8"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                        17,680 </w:t>
            </w:r>
          </w:p>
        </w:tc>
        <w:tc>
          <w:tcPr>
            <w:tcW w:w="0" w:type="auto"/>
            <w:tcBorders>
              <w:top w:val="nil"/>
              <w:left w:val="nil"/>
              <w:bottom w:val="single" w:sz="8" w:space="0" w:color="auto"/>
              <w:right w:val="single" w:sz="4" w:space="0" w:color="auto"/>
            </w:tcBorders>
            <w:shd w:val="clear" w:color="auto" w:fill="auto"/>
            <w:vAlign w:val="center"/>
            <w:hideMark/>
          </w:tcPr>
          <w:p w14:paraId="3BDFF1FC" w14:textId="77777777" w:rsidR="00D977B9" w:rsidRPr="00D977B9" w:rsidRDefault="00D977B9" w:rsidP="00D977B9">
            <w:pPr>
              <w:jc w:val="center"/>
              <w:rPr>
                <w:rFonts w:ascii="Times New Roman" w:hAnsi="Times New Roman"/>
                <w:szCs w:val="24"/>
              </w:rPr>
            </w:pPr>
            <w:r w:rsidRPr="00D977B9">
              <w:rPr>
                <w:rFonts w:ascii="Times New Roman" w:hAnsi="Times New Roman"/>
                <w:szCs w:val="24"/>
              </w:rPr>
              <w:t> </w:t>
            </w:r>
          </w:p>
        </w:tc>
        <w:tc>
          <w:tcPr>
            <w:tcW w:w="0" w:type="auto"/>
            <w:tcBorders>
              <w:top w:val="nil"/>
              <w:left w:val="nil"/>
              <w:bottom w:val="single" w:sz="8" w:space="0" w:color="auto"/>
              <w:right w:val="single" w:sz="4" w:space="0" w:color="auto"/>
            </w:tcBorders>
            <w:shd w:val="clear" w:color="auto" w:fill="auto"/>
            <w:noWrap/>
            <w:vAlign w:val="center"/>
            <w:hideMark/>
          </w:tcPr>
          <w:p w14:paraId="19533507"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                        26,520 </w:t>
            </w:r>
          </w:p>
        </w:tc>
        <w:tc>
          <w:tcPr>
            <w:tcW w:w="0" w:type="auto"/>
            <w:tcBorders>
              <w:top w:val="nil"/>
              <w:left w:val="nil"/>
              <w:bottom w:val="single" w:sz="8" w:space="0" w:color="auto"/>
              <w:right w:val="single" w:sz="8" w:space="0" w:color="auto"/>
            </w:tcBorders>
            <w:shd w:val="clear" w:color="auto" w:fill="auto"/>
            <w:noWrap/>
            <w:vAlign w:val="center"/>
            <w:hideMark/>
          </w:tcPr>
          <w:p w14:paraId="28261746"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 $                1,974,001 </w:t>
            </w:r>
          </w:p>
        </w:tc>
      </w:tr>
      <w:tr w:rsidR="00D977B9" w:rsidRPr="00D977B9" w14:paraId="6697A46A" w14:textId="77777777" w:rsidTr="00D977B9">
        <w:trPr>
          <w:trHeight w:val="450"/>
        </w:trPr>
        <w:tc>
          <w:tcPr>
            <w:tcW w:w="0" w:type="auto"/>
            <w:gridSpan w:val="2"/>
            <w:tcBorders>
              <w:top w:val="nil"/>
              <w:left w:val="single" w:sz="8" w:space="0" w:color="auto"/>
              <w:bottom w:val="nil"/>
              <w:right w:val="nil"/>
            </w:tcBorders>
            <w:shd w:val="clear" w:color="auto" w:fill="auto"/>
            <w:vAlign w:val="center"/>
            <w:hideMark/>
          </w:tcPr>
          <w:p w14:paraId="35D7E454" w14:textId="77777777" w:rsidR="00D977B9" w:rsidRPr="00D977B9" w:rsidRDefault="00D977B9" w:rsidP="00D977B9">
            <w:pPr>
              <w:jc w:val="center"/>
              <w:rPr>
                <w:rFonts w:ascii="Times New Roman" w:hAnsi="Times New Roman"/>
                <w:b/>
                <w:bCs/>
                <w:szCs w:val="24"/>
              </w:rPr>
            </w:pPr>
            <w:r w:rsidRPr="00D977B9">
              <w:rPr>
                <w:rFonts w:ascii="Times New Roman" w:hAnsi="Times New Roman"/>
                <w:b/>
                <w:bCs/>
                <w:szCs w:val="24"/>
              </w:rPr>
              <w:t> </w:t>
            </w:r>
          </w:p>
        </w:tc>
        <w:tc>
          <w:tcPr>
            <w:tcW w:w="0" w:type="auto"/>
            <w:tcBorders>
              <w:top w:val="nil"/>
              <w:left w:val="nil"/>
              <w:bottom w:val="nil"/>
              <w:right w:val="nil"/>
            </w:tcBorders>
            <w:shd w:val="clear" w:color="auto" w:fill="auto"/>
            <w:vAlign w:val="center"/>
            <w:hideMark/>
          </w:tcPr>
          <w:p w14:paraId="365F34EC" w14:textId="77777777" w:rsidR="00D977B9" w:rsidRPr="00D977B9" w:rsidRDefault="00D977B9" w:rsidP="00D977B9">
            <w:pPr>
              <w:jc w:val="center"/>
              <w:rPr>
                <w:rFonts w:ascii="Times New Roman" w:hAnsi="Times New Roman"/>
                <w:szCs w:val="24"/>
              </w:rPr>
            </w:pPr>
          </w:p>
        </w:tc>
        <w:tc>
          <w:tcPr>
            <w:tcW w:w="0" w:type="auto"/>
            <w:tcBorders>
              <w:top w:val="nil"/>
              <w:left w:val="nil"/>
              <w:bottom w:val="nil"/>
              <w:right w:val="nil"/>
            </w:tcBorders>
            <w:shd w:val="clear" w:color="auto" w:fill="auto"/>
            <w:vAlign w:val="center"/>
            <w:hideMark/>
          </w:tcPr>
          <w:p w14:paraId="7D7E035E" w14:textId="77777777" w:rsidR="00D977B9" w:rsidRPr="00D977B9" w:rsidRDefault="00D977B9" w:rsidP="00D977B9">
            <w:pPr>
              <w:jc w:val="center"/>
              <w:rPr>
                <w:rFonts w:ascii="Times New Roman" w:hAnsi="Times New Roman"/>
                <w:szCs w:val="24"/>
              </w:rPr>
            </w:pPr>
          </w:p>
        </w:tc>
        <w:tc>
          <w:tcPr>
            <w:tcW w:w="0" w:type="auto"/>
            <w:tcBorders>
              <w:top w:val="nil"/>
              <w:left w:val="nil"/>
              <w:bottom w:val="nil"/>
              <w:right w:val="nil"/>
            </w:tcBorders>
            <w:shd w:val="clear" w:color="auto" w:fill="auto"/>
            <w:vAlign w:val="center"/>
            <w:hideMark/>
          </w:tcPr>
          <w:p w14:paraId="665431D8" w14:textId="77777777" w:rsidR="00D977B9" w:rsidRPr="00D977B9" w:rsidRDefault="00D977B9" w:rsidP="00D977B9">
            <w:pPr>
              <w:jc w:val="center"/>
              <w:rPr>
                <w:rFonts w:ascii="Times New Roman" w:hAnsi="Times New Roman"/>
                <w:szCs w:val="24"/>
              </w:rPr>
            </w:pPr>
          </w:p>
        </w:tc>
        <w:tc>
          <w:tcPr>
            <w:tcW w:w="0" w:type="auto"/>
            <w:tcBorders>
              <w:top w:val="nil"/>
              <w:left w:val="nil"/>
              <w:bottom w:val="nil"/>
              <w:right w:val="nil"/>
            </w:tcBorders>
            <w:shd w:val="clear" w:color="auto" w:fill="auto"/>
            <w:noWrap/>
            <w:vAlign w:val="center"/>
            <w:hideMark/>
          </w:tcPr>
          <w:p w14:paraId="47091FAF" w14:textId="77777777" w:rsidR="00D977B9" w:rsidRPr="00D977B9" w:rsidRDefault="00D977B9" w:rsidP="00D977B9">
            <w:pPr>
              <w:jc w:val="right"/>
              <w:rPr>
                <w:rFonts w:ascii="Times New Roman" w:hAnsi="Times New Roman"/>
                <w:b/>
                <w:bCs/>
                <w:szCs w:val="24"/>
              </w:rPr>
            </w:pPr>
          </w:p>
        </w:tc>
        <w:tc>
          <w:tcPr>
            <w:tcW w:w="0" w:type="auto"/>
            <w:tcBorders>
              <w:top w:val="nil"/>
              <w:left w:val="nil"/>
              <w:bottom w:val="nil"/>
              <w:right w:val="single" w:sz="8" w:space="0" w:color="auto"/>
            </w:tcBorders>
            <w:shd w:val="clear" w:color="auto" w:fill="auto"/>
            <w:noWrap/>
            <w:vAlign w:val="center"/>
            <w:hideMark/>
          </w:tcPr>
          <w:p w14:paraId="44114BD9" w14:textId="77777777" w:rsidR="00D977B9" w:rsidRPr="00D977B9" w:rsidRDefault="00D977B9" w:rsidP="00D977B9">
            <w:pPr>
              <w:jc w:val="right"/>
              <w:rPr>
                <w:rFonts w:ascii="Times New Roman" w:hAnsi="Times New Roman"/>
                <w:b/>
                <w:bCs/>
                <w:szCs w:val="24"/>
              </w:rPr>
            </w:pPr>
            <w:r w:rsidRPr="00D977B9">
              <w:rPr>
                <w:rFonts w:ascii="Times New Roman" w:hAnsi="Times New Roman"/>
                <w:b/>
                <w:bCs/>
                <w:szCs w:val="24"/>
              </w:rPr>
              <w:t> </w:t>
            </w:r>
          </w:p>
        </w:tc>
      </w:tr>
      <w:tr w:rsidR="00D977B9" w:rsidRPr="00D977B9" w14:paraId="192F279B" w14:textId="77777777" w:rsidTr="00D977B9">
        <w:trPr>
          <w:trHeight w:val="450"/>
        </w:trPr>
        <w:tc>
          <w:tcPr>
            <w:tcW w:w="0" w:type="auto"/>
            <w:tcBorders>
              <w:top w:val="single" w:sz="8" w:space="0" w:color="auto"/>
              <w:left w:val="single" w:sz="8" w:space="0" w:color="auto"/>
              <w:bottom w:val="single" w:sz="4" w:space="0" w:color="auto"/>
              <w:right w:val="single" w:sz="4" w:space="0" w:color="auto"/>
            </w:tcBorders>
            <w:shd w:val="clear" w:color="auto" w:fill="auto"/>
            <w:vAlign w:val="center"/>
            <w:hideMark/>
          </w:tcPr>
          <w:p w14:paraId="628B5584" w14:textId="77777777" w:rsidR="00D977B9" w:rsidRPr="00D977B9" w:rsidRDefault="00D977B9" w:rsidP="00D977B9">
            <w:pPr>
              <w:rPr>
                <w:rFonts w:ascii="Times New Roman" w:hAnsi="Times New Roman"/>
                <w:szCs w:val="24"/>
              </w:rPr>
            </w:pPr>
            <w:r w:rsidRPr="00D977B9">
              <w:rPr>
                <w:rFonts w:ascii="Times New Roman" w:hAnsi="Times New Roman"/>
                <w:szCs w:val="24"/>
              </w:rPr>
              <w:t>102S Filings</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165C8F15"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20.5</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77E9E235"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                          4,756 </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6297F354"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                        11,148 </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7A5EC2E4"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100%</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20679BD1"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                        16,722 </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41D1657C"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 $                1,249,635 </w:t>
            </w:r>
          </w:p>
        </w:tc>
      </w:tr>
      <w:tr w:rsidR="00D977B9" w:rsidRPr="00D977B9" w14:paraId="6E81A6BB" w14:textId="77777777" w:rsidTr="00D977B9">
        <w:trPr>
          <w:trHeight w:val="450"/>
        </w:trPr>
        <w:tc>
          <w:tcPr>
            <w:tcW w:w="0" w:type="auto"/>
            <w:tcBorders>
              <w:top w:val="single" w:sz="4" w:space="0" w:color="auto"/>
              <w:left w:val="single" w:sz="8" w:space="0" w:color="auto"/>
              <w:bottom w:val="single" w:sz="4" w:space="0" w:color="auto"/>
              <w:right w:val="single" w:sz="4" w:space="0" w:color="auto"/>
            </w:tcBorders>
            <w:shd w:val="clear" w:color="auto" w:fill="auto"/>
            <w:vAlign w:val="center"/>
            <w:hideMark/>
          </w:tcPr>
          <w:p w14:paraId="410F2BD1" w14:textId="77777777" w:rsidR="00D977B9" w:rsidRPr="00D977B9" w:rsidRDefault="00D977B9" w:rsidP="00D977B9">
            <w:pPr>
              <w:rPr>
                <w:rFonts w:ascii="Times New Roman" w:hAnsi="Times New Roman"/>
                <w:szCs w:val="24"/>
              </w:rPr>
            </w:pPr>
            <w:r w:rsidRPr="00D977B9">
              <w:rPr>
                <w:rFonts w:ascii="Times New Roman" w:hAnsi="Times New Roman"/>
                <w:szCs w:val="24"/>
              </w:rPr>
              <w:t>40S Filings</w:t>
            </w:r>
          </w:p>
        </w:tc>
        <w:tc>
          <w:tcPr>
            <w:tcW w:w="0" w:type="auto"/>
            <w:tcBorders>
              <w:top w:val="nil"/>
              <w:left w:val="nil"/>
              <w:bottom w:val="single" w:sz="4" w:space="0" w:color="auto"/>
              <w:right w:val="single" w:sz="4" w:space="0" w:color="auto"/>
            </w:tcBorders>
            <w:shd w:val="clear" w:color="auto" w:fill="auto"/>
            <w:vAlign w:val="center"/>
            <w:hideMark/>
          </w:tcPr>
          <w:p w14:paraId="7E10C7D7"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20.5</w:t>
            </w:r>
          </w:p>
        </w:tc>
        <w:tc>
          <w:tcPr>
            <w:tcW w:w="0" w:type="auto"/>
            <w:tcBorders>
              <w:top w:val="nil"/>
              <w:left w:val="nil"/>
              <w:bottom w:val="single" w:sz="4" w:space="0" w:color="auto"/>
              <w:right w:val="single" w:sz="4" w:space="0" w:color="auto"/>
            </w:tcBorders>
            <w:shd w:val="clear" w:color="auto" w:fill="auto"/>
            <w:vAlign w:val="center"/>
            <w:hideMark/>
          </w:tcPr>
          <w:p w14:paraId="64CF77EB"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                          4,756 </w:t>
            </w:r>
          </w:p>
        </w:tc>
        <w:tc>
          <w:tcPr>
            <w:tcW w:w="0" w:type="auto"/>
            <w:tcBorders>
              <w:top w:val="nil"/>
              <w:left w:val="nil"/>
              <w:bottom w:val="single" w:sz="4" w:space="0" w:color="auto"/>
              <w:right w:val="single" w:sz="4" w:space="0" w:color="auto"/>
            </w:tcBorders>
            <w:shd w:val="clear" w:color="auto" w:fill="auto"/>
            <w:vAlign w:val="center"/>
            <w:hideMark/>
          </w:tcPr>
          <w:p w14:paraId="0638531B"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                          4,756 </w:t>
            </w:r>
          </w:p>
        </w:tc>
        <w:tc>
          <w:tcPr>
            <w:tcW w:w="0" w:type="auto"/>
            <w:tcBorders>
              <w:top w:val="nil"/>
              <w:left w:val="nil"/>
              <w:bottom w:val="single" w:sz="4" w:space="0" w:color="auto"/>
              <w:right w:val="single" w:sz="4" w:space="0" w:color="auto"/>
            </w:tcBorders>
            <w:shd w:val="clear" w:color="auto" w:fill="auto"/>
            <w:noWrap/>
            <w:vAlign w:val="center"/>
            <w:hideMark/>
          </w:tcPr>
          <w:p w14:paraId="39D8F964"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100%</w:t>
            </w:r>
          </w:p>
        </w:tc>
        <w:tc>
          <w:tcPr>
            <w:tcW w:w="0" w:type="auto"/>
            <w:tcBorders>
              <w:top w:val="nil"/>
              <w:left w:val="nil"/>
              <w:bottom w:val="single" w:sz="4" w:space="0" w:color="auto"/>
              <w:right w:val="single" w:sz="4" w:space="0" w:color="auto"/>
            </w:tcBorders>
            <w:shd w:val="clear" w:color="auto" w:fill="auto"/>
            <w:noWrap/>
            <w:vAlign w:val="center"/>
            <w:hideMark/>
          </w:tcPr>
          <w:p w14:paraId="53E44F36"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                          1,580 </w:t>
            </w:r>
          </w:p>
        </w:tc>
        <w:tc>
          <w:tcPr>
            <w:tcW w:w="0" w:type="auto"/>
            <w:tcBorders>
              <w:top w:val="nil"/>
              <w:left w:val="nil"/>
              <w:bottom w:val="single" w:sz="4" w:space="0" w:color="auto"/>
              <w:right w:val="single" w:sz="8" w:space="0" w:color="auto"/>
            </w:tcBorders>
            <w:shd w:val="clear" w:color="auto" w:fill="auto"/>
            <w:noWrap/>
            <w:vAlign w:val="center"/>
            <w:hideMark/>
          </w:tcPr>
          <w:p w14:paraId="78BFBB4E"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 $                   118,073 </w:t>
            </w:r>
          </w:p>
        </w:tc>
      </w:tr>
      <w:tr w:rsidR="00D977B9" w:rsidRPr="00D977B9" w14:paraId="1CE93608" w14:textId="77777777" w:rsidTr="00D977B9">
        <w:trPr>
          <w:trHeight w:val="450"/>
        </w:trPr>
        <w:tc>
          <w:tcPr>
            <w:tcW w:w="0" w:type="auto"/>
            <w:gridSpan w:val="3"/>
            <w:tcBorders>
              <w:top w:val="single" w:sz="4" w:space="0" w:color="auto"/>
              <w:left w:val="single" w:sz="8" w:space="0" w:color="auto"/>
              <w:bottom w:val="nil"/>
              <w:right w:val="single" w:sz="4" w:space="0" w:color="auto"/>
            </w:tcBorders>
            <w:shd w:val="clear" w:color="auto" w:fill="auto"/>
            <w:vAlign w:val="center"/>
            <w:hideMark/>
          </w:tcPr>
          <w:p w14:paraId="7EE63676"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Subtotal Filing Reponses</w:t>
            </w:r>
          </w:p>
        </w:tc>
        <w:tc>
          <w:tcPr>
            <w:tcW w:w="0" w:type="auto"/>
            <w:tcBorders>
              <w:top w:val="nil"/>
              <w:left w:val="nil"/>
              <w:bottom w:val="nil"/>
              <w:right w:val="single" w:sz="4" w:space="0" w:color="auto"/>
            </w:tcBorders>
            <w:shd w:val="clear" w:color="auto" w:fill="auto"/>
            <w:vAlign w:val="center"/>
            <w:hideMark/>
          </w:tcPr>
          <w:p w14:paraId="60C447AC"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                        15,904 </w:t>
            </w:r>
          </w:p>
        </w:tc>
        <w:tc>
          <w:tcPr>
            <w:tcW w:w="0" w:type="auto"/>
            <w:tcBorders>
              <w:top w:val="nil"/>
              <w:left w:val="nil"/>
              <w:bottom w:val="nil"/>
              <w:right w:val="single" w:sz="4" w:space="0" w:color="auto"/>
            </w:tcBorders>
            <w:shd w:val="clear" w:color="auto" w:fill="auto"/>
            <w:noWrap/>
            <w:vAlign w:val="center"/>
            <w:hideMark/>
          </w:tcPr>
          <w:p w14:paraId="64FE8698"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w:t>
            </w:r>
          </w:p>
        </w:tc>
        <w:tc>
          <w:tcPr>
            <w:tcW w:w="0" w:type="auto"/>
            <w:tcBorders>
              <w:top w:val="nil"/>
              <w:left w:val="nil"/>
              <w:bottom w:val="nil"/>
              <w:right w:val="single" w:sz="4" w:space="0" w:color="auto"/>
            </w:tcBorders>
            <w:shd w:val="clear" w:color="auto" w:fill="auto"/>
            <w:noWrap/>
            <w:vAlign w:val="center"/>
            <w:hideMark/>
          </w:tcPr>
          <w:p w14:paraId="137E71C1"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w:t>
            </w:r>
          </w:p>
        </w:tc>
        <w:tc>
          <w:tcPr>
            <w:tcW w:w="0" w:type="auto"/>
            <w:tcBorders>
              <w:top w:val="nil"/>
              <w:left w:val="nil"/>
              <w:bottom w:val="nil"/>
              <w:right w:val="single" w:sz="8" w:space="0" w:color="auto"/>
            </w:tcBorders>
            <w:shd w:val="clear" w:color="auto" w:fill="auto"/>
            <w:noWrap/>
            <w:vAlign w:val="center"/>
            <w:hideMark/>
          </w:tcPr>
          <w:p w14:paraId="74DEA83E"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 $                1,367,708 </w:t>
            </w:r>
          </w:p>
        </w:tc>
      </w:tr>
      <w:tr w:rsidR="00D977B9" w:rsidRPr="00D977B9" w14:paraId="2069C141" w14:textId="77777777" w:rsidTr="00D977B9">
        <w:trPr>
          <w:trHeight w:val="450"/>
        </w:trPr>
        <w:tc>
          <w:tcPr>
            <w:tcW w:w="0" w:type="auto"/>
            <w:gridSpan w:val="3"/>
            <w:tcBorders>
              <w:top w:val="single" w:sz="8" w:space="0" w:color="auto"/>
              <w:left w:val="single" w:sz="8" w:space="0" w:color="auto"/>
              <w:bottom w:val="single" w:sz="8" w:space="0" w:color="auto"/>
              <w:right w:val="single" w:sz="4" w:space="0" w:color="auto"/>
            </w:tcBorders>
            <w:shd w:val="clear" w:color="000000" w:fill="BFBFBF"/>
            <w:vAlign w:val="center"/>
            <w:hideMark/>
          </w:tcPr>
          <w:p w14:paraId="39CA8CC6" w14:textId="77777777" w:rsidR="00D977B9" w:rsidRPr="00D977B9" w:rsidRDefault="00D977B9" w:rsidP="00D977B9">
            <w:pPr>
              <w:rPr>
                <w:rFonts w:ascii="Times New Roman" w:hAnsi="Times New Roman"/>
                <w:b/>
                <w:bCs/>
                <w:szCs w:val="24"/>
              </w:rPr>
            </w:pPr>
            <w:r w:rsidRPr="00D977B9">
              <w:rPr>
                <w:rFonts w:ascii="Times New Roman" w:hAnsi="Times New Roman"/>
                <w:b/>
                <w:bCs/>
                <w:szCs w:val="24"/>
              </w:rPr>
              <w:t>Total Reporting</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2A8766CA" w14:textId="77777777" w:rsidR="00D977B9" w:rsidRPr="00D977B9" w:rsidRDefault="00D977B9" w:rsidP="00D977B9">
            <w:pPr>
              <w:jc w:val="right"/>
              <w:rPr>
                <w:rFonts w:ascii="Times New Roman" w:hAnsi="Times New Roman"/>
                <w:b/>
                <w:bCs/>
                <w:szCs w:val="24"/>
              </w:rPr>
            </w:pPr>
            <w:r w:rsidRPr="00D977B9">
              <w:rPr>
                <w:rFonts w:ascii="Times New Roman" w:hAnsi="Times New Roman"/>
                <w:b/>
                <w:bCs/>
                <w:szCs w:val="24"/>
              </w:rPr>
              <w:t xml:space="preserve">                        33,584 </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277F2B93" w14:textId="77777777" w:rsidR="00D977B9" w:rsidRPr="00D977B9" w:rsidRDefault="00D977B9" w:rsidP="00D977B9">
            <w:pPr>
              <w:rPr>
                <w:rFonts w:ascii="Times New Roman" w:hAnsi="Times New Roman"/>
                <w:szCs w:val="24"/>
              </w:rPr>
            </w:pPr>
            <w:r w:rsidRPr="00D977B9">
              <w:rPr>
                <w:rFonts w:ascii="Times New Roman" w:hAnsi="Times New Roman"/>
                <w:szCs w:val="24"/>
              </w:rPr>
              <w:t> </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14:paraId="54B77839" w14:textId="77777777" w:rsidR="00D977B9" w:rsidRPr="00D977B9" w:rsidRDefault="00D977B9" w:rsidP="00D977B9">
            <w:pPr>
              <w:jc w:val="right"/>
              <w:rPr>
                <w:rFonts w:ascii="Times New Roman" w:hAnsi="Times New Roman"/>
                <w:b/>
                <w:bCs/>
                <w:szCs w:val="24"/>
              </w:rPr>
            </w:pPr>
            <w:r w:rsidRPr="00D977B9">
              <w:rPr>
                <w:rFonts w:ascii="Times New Roman" w:hAnsi="Times New Roman"/>
                <w:b/>
                <w:bCs/>
                <w:szCs w:val="24"/>
              </w:rPr>
              <w:t xml:space="preserve">                        44,822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D8C0A09" w14:textId="77777777" w:rsidR="00D977B9" w:rsidRPr="00D977B9" w:rsidRDefault="00D977B9" w:rsidP="00D977B9">
            <w:pPr>
              <w:jc w:val="right"/>
              <w:rPr>
                <w:rFonts w:ascii="Times New Roman" w:hAnsi="Times New Roman"/>
                <w:b/>
                <w:bCs/>
                <w:szCs w:val="24"/>
              </w:rPr>
            </w:pPr>
            <w:r w:rsidRPr="00D977B9">
              <w:rPr>
                <w:rFonts w:ascii="Times New Roman" w:hAnsi="Times New Roman"/>
                <w:b/>
                <w:bCs/>
                <w:szCs w:val="24"/>
              </w:rPr>
              <w:t xml:space="preserve"> $                3,341,709 </w:t>
            </w:r>
          </w:p>
        </w:tc>
      </w:tr>
      <w:tr w:rsidR="00D977B9" w:rsidRPr="00D977B9" w14:paraId="7260AF0C" w14:textId="77777777" w:rsidTr="00D977B9">
        <w:trPr>
          <w:trHeight w:val="450"/>
        </w:trPr>
        <w:tc>
          <w:tcPr>
            <w:tcW w:w="0" w:type="auto"/>
            <w:gridSpan w:val="3"/>
            <w:tcBorders>
              <w:top w:val="nil"/>
              <w:left w:val="single" w:sz="8" w:space="0" w:color="auto"/>
              <w:bottom w:val="nil"/>
              <w:right w:val="nil"/>
            </w:tcBorders>
            <w:shd w:val="clear" w:color="auto" w:fill="auto"/>
            <w:vAlign w:val="center"/>
            <w:hideMark/>
          </w:tcPr>
          <w:p w14:paraId="1427A71E" w14:textId="77777777" w:rsidR="00D977B9" w:rsidRPr="00D977B9" w:rsidRDefault="00D977B9" w:rsidP="00D977B9">
            <w:pPr>
              <w:rPr>
                <w:rFonts w:ascii="Times New Roman" w:hAnsi="Times New Roman"/>
                <w:b/>
                <w:bCs/>
                <w:szCs w:val="24"/>
              </w:rPr>
            </w:pPr>
            <w:r w:rsidRPr="00D977B9">
              <w:rPr>
                <w:rFonts w:ascii="Times New Roman" w:hAnsi="Times New Roman"/>
                <w:b/>
                <w:bCs/>
                <w:szCs w:val="24"/>
              </w:rPr>
              <w:t> </w:t>
            </w:r>
          </w:p>
        </w:tc>
        <w:tc>
          <w:tcPr>
            <w:tcW w:w="0" w:type="auto"/>
            <w:tcBorders>
              <w:top w:val="nil"/>
              <w:left w:val="nil"/>
              <w:bottom w:val="nil"/>
              <w:right w:val="nil"/>
            </w:tcBorders>
            <w:shd w:val="clear" w:color="auto" w:fill="auto"/>
            <w:vAlign w:val="center"/>
            <w:hideMark/>
          </w:tcPr>
          <w:p w14:paraId="5042EED5" w14:textId="77777777" w:rsidR="00D977B9" w:rsidRPr="00D977B9" w:rsidRDefault="00D977B9" w:rsidP="00D977B9">
            <w:pPr>
              <w:jc w:val="right"/>
              <w:rPr>
                <w:rFonts w:ascii="Times New Roman" w:hAnsi="Times New Roman"/>
                <w:b/>
                <w:bCs/>
                <w:szCs w:val="24"/>
              </w:rPr>
            </w:pPr>
          </w:p>
        </w:tc>
        <w:tc>
          <w:tcPr>
            <w:tcW w:w="0" w:type="auto"/>
            <w:tcBorders>
              <w:top w:val="nil"/>
              <w:left w:val="nil"/>
              <w:bottom w:val="nil"/>
              <w:right w:val="nil"/>
            </w:tcBorders>
            <w:shd w:val="clear" w:color="auto" w:fill="auto"/>
            <w:vAlign w:val="center"/>
            <w:hideMark/>
          </w:tcPr>
          <w:p w14:paraId="32D13F6A" w14:textId="77777777" w:rsidR="00D977B9" w:rsidRPr="00D977B9" w:rsidRDefault="00D977B9" w:rsidP="00D977B9">
            <w:pPr>
              <w:rPr>
                <w:rFonts w:ascii="Times New Roman" w:hAnsi="Times New Roman"/>
                <w:szCs w:val="24"/>
              </w:rPr>
            </w:pPr>
          </w:p>
        </w:tc>
        <w:tc>
          <w:tcPr>
            <w:tcW w:w="0" w:type="auto"/>
            <w:tcBorders>
              <w:top w:val="nil"/>
              <w:left w:val="nil"/>
              <w:bottom w:val="nil"/>
              <w:right w:val="nil"/>
            </w:tcBorders>
            <w:shd w:val="clear" w:color="auto" w:fill="auto"/>
            <w:noWrap/>
            <w:vAlign w:val="center"/>
            <w:hideMark/>
          </w:tcPr>
          <w:p w14:paraId="207A9DC7" w14:textId="77777777" w:rsidR="00D977B9" w:rsidRPr="00D977B9" w:rsidRDefault="00D977B9" w:rsidP="00D977B9">
            <w:pPr>
              <w:jc w:val="right"/>
              <w:rPr>
                <w:rFonts w:ascii="Times New Roman" w:hAnsi="Times New Roman"/>
                <w:b/>
                <w:bCs/>
                <w:szCs w:val="24"/>
              </w:rPr>
            </w:pPr>
          </w:p>
        </w:tc>
        <w:tc>
          <w:tcPr>
            <w:tcW w:w="0" w:type="auto"/>
            <w:tcBorders>
              <w:top w:val="nil"/>
              <w:left w:val="nil"/>
              <w:bottom w:val="nil"/>
              <w:right w:val="single" w:sz="8" w:space="0" w:color="auto"/>
            </w:tcBorders>
            <w:shd w:val="clear" w:color="auto" w:fill="auto"/>
            <w:noWrap/>
            <w:vAlign w:val="center"/>
            <w:hideMark/>
          </w:tcPr>
          <w:p w14:paraId="1B038DB9" w14:textId="77777777" w:rsidR="00D977B9" w:rsidRPr="00D977B9" w:rsidRDefault="00D977B9" w:rsidP="00D977B9">
            <w:pPr>
              <w:jc w:val="right"/>
              <w:rPr>
                <w:rFonts w:ascii="Times New Roman" w:hAnsi="Times New Roman"/>
                <w:b/>
                <w:bCs/>
                <w:szCs w:val="24"/>
              </w:rPr>
            </w:pPr>
            <w:r w:rsidRPr="00D977B9">
              <w:rPr>
                <w:rFonts w:ascii="Times New Roman" w:hAnsi="Times New Roman"/>
                <w:b/>
                <w:bCs/>
                <w:szCs w:val="24"/>
              </w:rPr>
              <w:t> </w:t>
            </w:r>
          </w:p>
        </w:tc>
      </w:tr>
      <w:tr w:rsidR="00D977B9" w:rsidRPr="00D977B9" w14:paraId="06C8DAA7" w14:textId="77777777" w:rsidTr="00D977B9">
        <w:trPr>
          <w:trHeight w:val="450"/>
        </w:trPr>
        <w:tc>
          <w:tcPr>
            <w:tcW w:w="0" w:type="auto"/>
            <w:tcBorders>
              <w:top w:val="single" w:sz="8" w:space="0" w:color="auto"/>
              <w:left w:val="single" w:sz="8" w:space="0" w:color="auto"/>
              <w:bottom w:val="single" w:sz="4" w:space="0" w:color="auto"/>
              <w:right w:val="single" w:sz="4" w:space="0" w:color="auto"/>
            </w:tcBorders>
            <w:shd w:val="clear" w:color="auto" w:fill="auto"/>
            <w:vAlign w:val="center"/>
            <w:hideMark/>
          </w:tcPr>
          <w:p w14:paraId="02284C16" w14:textId="77777777" w:rsidR="00D977B9" w:rsidRPr="00D977B9" w:rsidRDefault="00D977B9" w:rsidP="00D977B9">
            <w:pPr>
              <w:rPr>
                <w:rFonts w:ascii="Times New Roman" w:hAnsi="Times New Roman"/>
                <w:szCs w:val="24"/>
              </w:rPr>
            </w:pPr>
            <w:r w:rsidRPr="00D977B9">
              <w:rPr>
                <w:rFonts w:ascii="Times New Roman" w:hAnsi="Times New Roman"/>
                <w:szCs w:val="24"/>
              </w:rPr>
              <w:t>Clearing organization recordkeeping</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5EFB8AAF"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20.6(a)</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7304393C"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1</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0414A597"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                                 1 </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27214FD3"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100%</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44000D72"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                               20 </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5110A64E"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 $                       1,495 </w:t>
            </w:r>
          </w:p>
        </w:tc>
      </w:tr>
      <w:tr w:rsidR="00D977B9" w:rsidRPr="00D977B9" w14:paraId="675F500D" w14:textId="77777777" w:rsidTr="00D977B9">
        <w:trPr>
          <w:trHeight w:val="660"/>
        </w:trPr>
        <w:tc>
          <w:tcPr>
            <w:tcW w:w="0" w:type="auto"/>
            <w:tcBorders>
              <w:top w:val="single" w:sz="4" w:space="0" w:color="auto"/>
              <w:left w:val="single" w:sz="8" w:space="0" w:color="auto"/>
              <w:bottom w:val="single" w:sz="4" w:space="0" w:color="auto"/>
              <w:right w:val="single" w:sz="4" w:space="0" w:color="auto"/>
            </w:tcBorders>
            <w:shd w:val="clear" w:color="auto" w:fill="auto"/>
            <w:vAlign w:val="center"/>
            <w:hideMark/>
          </w:tcPr>
          <w:p w14:paraId="6278E3C0" w14:textId="77777777" w:rsidR="00D977B9" w:rsidRPr="00D977B9" w:rsidRDefault="00D977B9" w:rsidP="00D977B9">
            <w:pPr>
              <w:rPr>
                <w:rFonts w:ascii="Times New Roman" w:hAnsi="Times New Roman"/>
                <w:szCs w:val="24"/>
              </w:rPr>
            </w:pPr>
            <w:r w:rsidRPr="00D977B9">
              <w:rPr>
                <w:rFonts w:ascii="Times New Roman" w:hAnsi="Times New Roman"/>
                <w:szCs w:val="24"/>
              </w:rPr>
              <w:t>Clearing member and swap dealer non-clearing member reporting entity recordkeeping</w:t>
            </w:r>
          </w:p>
        </w:tc>
        <w:tc>
          <w:tcPr>
            <w:tcW w:w="0" w:type="auto"/>
            <w:tcBorders>
              <w:top w:val="nil"/>
              <w:left w:val="nil"/>
              <w:bottom w:val="single" w:sz="4" w:space="0" w:color="auto"/>
              <w:right w:val="single" w:sz="4" w:space="0" w:color="auto"/>
            </w:tcBorders>
            <w:shd w:val="clear" w:color="auto" w:fill="auto"/>
            <w:vAlign w:val="center"/>
            <w:hideMark/>
          </w:tcPr>
          <w:p w14:paraId="52C62799"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20.6(b)</w:t>
            </w:r>
          </w:p>
        </w:tc>
        <w:tc>
          <w:tcPr>
            <w:tcW w:w="0" w:type="auto"/>
            <w:tcBorders>
              <w:top w:val="nil"/>
              <w:left w:val="nil"/>
              <w:bottom w:val="single" w:sz="4" w:space="0" w:color="auto"/>
              <w:right w:val="single" w:sz="4" w:space="0" w:color="auto"/>
            </w:tcBorders>
            <w:shd w:val="clear" w:color="auto" w:fill="auto"/>
            <w:vAlign w:val="center"/>
            <w:hideMark/>
          </w:tcPr>
          <w:p w14:paraId="16E9F32C"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67</w:t>
            </w:r>
          </w:p>
        </w:tc>
        <w:tc>
          <w:tcPr>
            <w:tcW w:w="0" w:type="auto"/>
            <w:tcBorders>
              <w:top w:val="nil"/>
              <w:left w:val="nil"/>
              <w:bottom w:val="single" w:sz="4" w:space="0" w:color="auto"/>
              <w:right w:val="single" w:sz="4" w:space="0" w:color="auto"/>
            </w:tcBorders>
            <w:shd w:val="clear" w:color="auto" w:fill="auto"/>
            <w:vAlign w:val="center"/>
            <w:hideMark/>
          </w:tcPr>
          <w:p w14:paraId="2822A99D"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                               67 </w:t>
            </w:r>
          </w:p>
        </w:tc>
        <w:tc>
          <w:tcPr>
            <w:tcW w:w="0" w:type="auto"/>
            <w:tcBorders>
              <w:top w:val="nil"/>
              <w:left w:val="nil"/>
              <w:bottom w:val="single" w:sz="4" w:space="0" w:color="auto"/>
              <w:right w:val="single" w:sz="4" w:space="0" w:color="auto"/>
            </w:tcBorders>
            <w:shd w:val="clear" w:color="auto" w:fill="auto"/>
            <w:noWrap/>
            <w:vAlign w:val="center"/>
            <w:hideMark/>
          </w:tcPr>
          <w:p w14:paraId="54D1C294"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100%</w:t>
            </w:r>
          </w:p>
        </w:tc>
        <w:tc>
          <w:tcPr>
            <w:tcW w:w="0" w:type="auto"/>
            <w:tcBorders>
              <w:top w:val="nil"/>
              <w:left w:val="nil"/>
              <w:bottom w:val="single" w:sz="4" w:space="0" w:color="auto"/>
              <w:right w:val="single" w:sz="4" w:space="0" w:color="auto"/>
            </w:tcBorders>
            <w:shd w:val="clear" w:color="auto" w:fill="auto"/>
            <w:noWrap/>
            <w:vAlign w:val="center"/>
            <w:hideMark/>
          </w:tcPr>
          <w:p w14:paraId="0E2279BE"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                          1,340 </w:t>
            </w:r>
          </w:p>
        </w:tc>
        <w:tc>
          <w:tcPr>
            <w:tcW w:w="0" w:type="auto"/>
            <w:tcBorders>
              <w:top w:val="nil"/>
              <w:left w:val="nil"/>
              <w:bottom w:val="single" w:sz="4" w:space="0" w:color="auto"/>
              <w:right w:val="single" w:sz="8" w:space="0" w:color="auto"/>
            </w:tcBorders>
            <w:shd w:val="clear" w:color="auto" w:fill="auto"/>
            <w:noWrap/>
            <w:vAlign w:val="center"/>
            <w:hideMark/>
          </w:tcPr>
          <w:p w14:paraId="5BA5168F"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 $                   100,138 </w:t>
            </w:r>
          </w:p>
        </w:tc>
      </w:tr>
      <w:tr w:rsidR="00D977B9" w:rsidRPr="00D977B9" w14:paraId="05125C88" w14:textId="77777777" w:rsidTr="00D977B9">
        <w:trPr>
          <w:trHeight w:val="450"/>
        </w:trPr>
        <w:tc>
          <w:tcPr>
            <w:tcW w:w="0" w:type="auto"/>
            <w:tcBorders>
              <w:top w:val="single" w:sz="4" w:space="0" w:color="auto"/>
              <w:left w:val="single" w:sz="8" w:space="0" w:color="auto"/>
              <w:bottom w:val="nil"/>
              <w:right w:val="single" w:sz="4" w:space="0" w:color="auto"/>
            </w:tcBorders>
            <w:shd w:val="clear" w:color="auto" w:fill="auto"/>
            <w:vAlign w:val="center"/>
            <w:hideMark/>
          </w:tcPr>
          <w:p w14:paraId="4E8EF656" w14:textId="77777777" w:rsidR="00D977B9" w:rsidRPr="00D977B9" w:rsidRDefault="00D977B9" w:rsidP="00D977B9">
            <w:pPr>
              <w:rPr>
                <w:rFonts w:ascii="Times New Roman" w:hAnsi="Times New Roman"/>
                <w:szCs w:val="24"/>
              </w:rPr>
            </w:pPr>
            <w:r w:rsidRPr="00D977B9">
              <w:rPr>
                <w:rFonts w:ascii="Times New Roman" w:hAnsi="Times New Roman"/>
                <w:szCs w:val="24"/>
              </w:rPr>
              <w:t>Large swap traders</w:t>
            </w:r>
          </w:p>
        </w:tc>
        <w:tc>
          <w:tcPr>
            <w:tcW w:w="0" w:type="auto"/>
            <w:tcBorders>
              <w:top w:val="nil"/>
              <w:left w:val="nil"/>
              <w:bottom w:val="nil"/>
              <w:right w:val="single" w:sz="4" w:space="0" w:color="auto"/>
            </w:tcBorders>
            <w:shd w:val="clear" w:color="auto" w:fill="auto"/>
            <w:vAlign w:val="center"/>
            <w:hideMark/>
          </w:tcPr>
          <w:p w14:paraId="5D8D257F"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20.6(b)</w:t>
            </w:r>
          </w:p>
        </w:tc>
        <w:tc>
          <w:tcPr>
            <w:tcW w:w="0" w:type="auto"/>
            <w:tcBorders>
              <w:top w:val="nil"/>
              <w:left w:val="nil"/>
              <w:bottom w:val="nil"/>
              <w:right w:val="single" w:sz="4" w:space="0" w:color="auto"/>
            </w:tcBorders>
            <w:shd w:val="clear" w:color="auto" w:fill="auto"/>
            <w:vAlign w:val="center"/>
            <w:hideMark/>
          </w:tcPr>
          <w:p w14:paraId="0AE45454"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                          4,756 </w:t>
            </w:r>
          </w:p>
        </w:tc>
        <w:tc>
          <w:tcPr>
            <w:tcW w:w="0" w:type="auto"/>
            <w:tcBorders>
              <w:top w:val="nil"/>
              <w:left w:val="nil"/>
              <w:bottom w:val="nil"/>
              <w:right w:val="single" w:sz="4" w:space="0" w:color="auto"/>
            </w:tcBorders>
            <w:shd w:val="clear" w:color="auto" w:fill="auto"/>
            <w:vAlign w:val="center"/>
            <w:hideMark/>
          </w:tcPr>
          <w:p w14:paraId="7483D029"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                          4,756 </w:t>
            </w:r>
          </w:p>
        </w:tc>
        <w:tc>
          <w:tcPr>
            <w:tcW w:w="0" w:type="auto"/>
            <w:tcBorders>
              <w:top w:val="nil"/>
              <w:left w:val="nil"/>
              <w:bottom w:val="nil"/>
              <w:right w:val="single" w:sz="4" w:space="0" w:color="auto"/>
            </w:tcBorders>
            <w:shd w:val="clear" w:color="auto" w:fill="auto"/>
            <w:noWrap/>
            <w:vAlign w:val="center"/>
            <w:hideMark/>
          </w:tcPr>
          <w:p w14:paraId="7FD5B731"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100%</w:t>
            </w:r>
          </w:p>
        </w:tc>
        <w:tc>
          <w:tcPr>
            <w:tcW w:w="0" w:type="auto"/>
            <w:tcBorders>
              <w:top w:val="nil"/>
              <w:left w:val="nil"/>
              <w:bottom w:val="nil"/>
              <w:right w:val="single" w:sz="4" w:space="0" w:color="auto"/>
            </w:tcBorders>
            <w:shd w:val="clear" w:color="auto" w:fill="auto"/>
            <w:noWrap/>
            <w:vAlign w:val="center"/>
            <w:hideMark/>
          </w:tcPr>
          <w:p w14:paraId="44E1CE35"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                        14,200 </w:t>
            </w:r>
          </w:p>
        </w:tc>
        <w:tc>
          <w:tcPr>
            <w:tcW w:w="0" w:type="auto"/>
            <w:tcBorders>
              <w:top w:val="nil"/>
              <w:left w:val="nil"/>
              <w:bottom w:val="nil"/>
              <w:right w:val="single" w:sz="8" w:space="0" w:color="auto"/>
            </w:tcBorders>
            <w:shd w:val="clear" w:color="auto" w:fill="auto"/>
            <w:noWrap/>
            <w:vAlign w:val="center"/>
            <w:hideMark/>
          </w:tcPr>
          <w:p w14:paraId="25B0A764"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 $                1,061,166 </w:t>
            </w:r>
          </w:p>
        </w:tc>
      </w:tr>
      <w:tr w:rsidR="00D977B9" w:rsidRPr="00D977B9" w14:paraId="784889EA" w14:textId="77777777" w:rsidTr="00D977B9">
        <w:trPr>
          <w:trHeight w:val="450"/>
        </w:trPr>
        <w:tc>
          <w:tcPr>
            <w:tcW w:w="0" w:type="auto"/>
            <w:gridSpan w:val="3"/>
            <w:tcBorders>
              <w:top w:val="single" w:sz="8" w:space="0" w:color="auto"/>
              <w:left w:val="single" w:sz="8" w:space="0" w:color="auto"/>
              <w:bottom w:val="single" w:sz="8" w:space="0" w:color="auto"/>
              <w:right w:val="single" w:sz="4" w:space="0" w:color="auto"/>
            </w:tcBorders>
            <w:shd w:val="clear" w:color="000000" w:fill="BFBFBF"/>
            <w:vAlign w:val="center"/>
            <w:hideMark/>
          </w:tcPr>
          <w:p w14:paraId="2C747F89" w14:textId="77777777" w:rsidR="00D977B9" w:rsidRPr="00D977B9" w:rsidRDefault="00D977B9" w:rsidP="00D977B9">
            <w:pPr>
              <w:rPr>
                <w:rFonts w:ascii="Times New Roman" w:hAnsi="Times New Roman"/>
                <w:b/>
                <w:bCs/>
                <w:szCs w:val="24"/>
              </w:rPr>
            </w:pPr>
            <w:r w:rsidRPr="00D977B9">
              <w:rPr>
                <w:rFonts w:ascii="Times New Roman" w:hAnsi="Times New Roman"/>
                <w:b/>
                <w:bCs/>
                <w:szCs w:val="24"/>
              </w:rPr>
              <w:t> Total Recordkeeping</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0C4D721B" w14:textId="77777777" w:rsidR="00D977B9" w:rsidRPr="00D977B9" w:rsidRDefault="00D977B9" w:rsidP="00D977B9">
            <w:pPr>
              <w:jc w:val="right"/>
              <w:rPr>
                <w:rFonts w:ascii="Times New Roman" w:hAnsi="Times New Roman"/>
                <w:b/>
                <w:bCs/>
                <w:szCs w:val="24"/>
              </w:rPr>
            </w:pPr>
            <w:r w:rsidRPr="00D977B9">
              <w:rPr>
                <w:rFonts w:ascii="Times New Roman" w:hAnsi="Times New Roman"/>
                <w:b/>
                <w:bCs/>
                <w:szCs w:val="24"/>
              </w:rPr>
              <w:t xml:space="preserve">                          4,824 </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121F264A" w14:textId="77777777" w:rsidR="00D977B9" w:rsidRPr="00D977B9" w:rsidRDefault="00D977B9" w:rsidP="00D977B9">
            <w:pPr>
              <w:jc w:val="right"/>
              <w:rPr>
                <w:rFonts w:ascii="Times New Roman" w:hAnsi="Times New Roman"/>
                <w:b/>
                <w:bCs/>
                <w:szCs w:val="24"/>
              </w:rPr>
            </w:pPr>
            <w:r w:rsidRPr="00D977B9">
              <w:rPr>
                <w:rFonts w:ascii="Times New Roman" w:hAnsi="Times New Roman"/>
                <w:b/>
                <w:bCs/>
                <w:szCs w:val="24"/>
              </w:rPr>
              <w:t> </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14:paraId="500CAC5D" w14:textId="77777777" w:rsidR="00D977B9" w:rsidRPr="00D977B9" w:rsidRDefault="00D977B9" w:rsidP="00D977B9">
            <w:pPr>
              <w:jc w:val="right"/>
              <w:rPr>
                <w:rFonts w:ascii="Times New Roman" w:hAnsi="Times New Roman"/>
                <w:b/>
                <w:bCs/>
                <w:szCs w:val="24"/>
              </w:rPr>
            </w:pPr>
            <w:r w:rsidRPr="00D977B9">
              <w:rPr>
                <w:rFonts w:ascii="Times New Roman" w:hAnsi="Times New Roman"/>
                <w:b/>
                <w:bCs/>
                <w:szCs w:val="24"/>
              </w:rPr>
              <w:t xml:space="preserve">                        15,560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13D5091" w14:textId="77777777" w:rsidR="00D977B9" w:rsidRPr="00D977B9" w:rsidRDefault="00D977B9" w:rsidP="00D977B9">
            <w:pPr>
              <w:jc w:val="right"/>
              <w:rPr>
                <w:rFonts w:ascii="Times New Roman" w:hAnsi="Times New Roman"/>
                <w:b/>
                <w:bCs/>
                <w:szCs w:val="24"/>
              </w:rPr>
            </w:pPr>
            <w:r w:rsidRPr="00D977B9">
              <w:rPr>
                <w:rFonts w:ascii="Times New Roman" w:hAnsi="Times New Roman"/>
                <w:b/>
                <w:bCs/>
                <w:szCs w:val="24"/>
              </w:rPr>
              <w:t xml:space="preserve"> $                1,162,799 </w:t>
            </w:r>
          </w:p>
        </w:tc>
      </w:tr>
      <w:tr w:rsidR="00D977B9" w:rsidRPr="00D977B9" w14:paraId="3EAFB184" w14:textId="77777777" w:rsidTr="00D977B9">
        <w:trPr>
          <w:trHeight w:val="450"/>
        </w:trPr>
        <w:tc>
          <w:tcPr>
            <w:tcW w:w="0" w:type="auto"/>
            <w:tcBorders>
              <w:top w:val="nil"/>
              <w:left w:val="single" w:sz="8" w:space="0" w:color="auto"/>
              <w:bottom w:val="nil"/>
              <w:right w:val="nil"/>
            </w:tcBorders>
            <w:shd w:val="clear" w:color="auto" w:fill="auto"/>
            <w:vAlign w:val="center"/>
            <w:hideMark/>
          </w:tcPr>
          <w:p w14:paraId="11DFBB8A" w14:textId="77777777" w:rsidR="00D977B9" w:rsidRPr="00D977B9" w:rsidRDefault="00D977B9" w:rsidP="00D977B9">
            <w:pPr>
              <w:rPr>
                <w:rFonts w:ascii="Times New Roman" w:hAnsi="Times New Roman"/>
                <w:szCs w:val="24"/>
              </w:rPr>
            </w:pPr>
            <w:r w:rsidRPr="00D977B9">
              <w:rPr>
                <w:rFonts w:ascii="Times New Roman" w:hAnsi="Times New Roman"/>
                <w:szCs w:val="24"/>
              </w:rPr>
              <w:t> </w:t>
            </w:r>
          </w:p>
        </w:tc>
        <w:tc>
          <w:tcPr>
            <w:tcW w:w="0" w:type="auto"/>
            <w:tcBorders>
              <w:top w:val="nil"/>
              <w:left w:val="nil"/>
              <w:bottom w:val="nil"/>
              <w:right w:val="nil"/>
            </w:tcBorders>
            <w:shd w:val="clear" w:color="auto" w:fill="auto"/>
            <w:vAlign w:val="center"/>
            <w:hideMark/>
          </w:tcPr>
          <w:p w14:paraId="4F2A5567" w14:textId="77777777" w:rsidR="00D977B9" w:rsidRPr="00D977B9" w:rsidRDefault="00D977B9" w:rsidP="00D977B9">
            <w:pPr>
              <w:jc w:val="right"/>
              <w:rPr>
                <w:rFonts w:ascii="Times New Roman" w:hAnsi="Times New Roman"/>
                <w:szCs w:val="24"/>
              </w:rPr>
            </w:pPr>
          </w:p>
        </w:tc>
        <w:tc>
          <w:tcPr>
            <w:tcW w:w="0" w:type="auto"/>
            <w:tcBorders>
              <w:top w:val="nil"/>
              <w:left w:val="nil"/>
              <w:bottom w:val="nil"/>
              <w:right w:val="nil"/>
            </w:tcBorders>
            <w:shd w:val="clear" w:color="auto" w:fill="auto"/>
            <w:vAlign w:val="center"/>
            <w:hideMark/>
          </w:tcPr>
          <w:p w14:paraId="261B3A12" w14:textId="77777777" w:rsidR="00D977B9" w:rsidRPr="00D977B9" w:rsidRDefault="00D977B9" w:rsidP="00D977B9">
            <w:pPr>
              <w:jc w:val="right"/>
              <w:rPr>
                <w:rFonts w:ascii="Times New Roman" w:hAnsi="Times New Roman"/>
                <w:szCs w:val="24"/>
              </w:rPr>
            </w:pPr>
          </w:p>
        </w:tc>
        <w:tc>
          <w:tcPr>
            <w:tcW w:w="0" w:type="auto"/>
            <w:tcBorders>
              <w:top w:val="nil"/>
              <w:left w:val="nil"/>
              <w:bottom w:val="nil"/>
              <w:right w:val="nil"/>
            </w:tcBorders>
            <w:shd w:val="clear" w:color="auto" w:fill="auto"/>
            <w:vAlign w:val="center"/>
            <w:hideMark/>
          </w:tcPr>
          <w:p w14:paraId="7D8F7C5B" w14:textId="77777777" w:rsidR="00D977B9" w:rsidRPr="00D977B9" w:rsidRDefault="00D977B9" w:rsidP="00D977B9">
            <w:pPr>
              <w:jc w:val="right"/>
              <w:rPr>
                <w:rFonts w:ascii="Times New Roman" w:hAnsi="Times New Roman"/>
                <w:szCs w:val="24"/>
              </w:rPr>
            </w:pPr>
          </w:p>
        </w:tc>
        <w:tc>
          <w:tcPr>
            <w:tcW w:w="0" w:type="auto"/>
            <w:tcBorders>
              <w:top w:val="nil"/>
              <w:left w:val="nil"/>
              <w:bottom w:val="nil"/>
              <w:right w:val="nil"/>
            </w:tcBorders>
            <w:shd w:val="clear" w:color="auto" w:fill="auto"/>
            <w:noWrap/>
            <w:vAlign w:val="center"/>
            <w:hideMark/>
          </w:tcPr>
          <w:p w14:paraId="04A2BBA1" w14:textId="77777777" w:rsidR="00D977B9" w:rsidRPr="00D977B9" w:rsidRDefault="00D977B9" w:rsidP="00D977B9">
            <w:pPr>
              <w:jc w:val="right"/>
              <w:rPr>
                <w:rFonts w:ascii="Times New Roman" w:hAnsi="Times New Roman"/>
                <w:szCs w:val="24"/>
              </w:rPr>
            </w:pPr>
          </w:p>
        </w:tc>
        <w:tc>
          <w:tcPr>
            <w:tcW w:w="0" w:type="auto"/>
            <w:tcBorders>
              <w:top w:val="nil"/>
              <w:left w:val="nil"/>
              <w:bottom w:val="nil"/>
              <w:right w:val="nil"/>
            </w:tcBorders>
            <w:shd w:val="clear" w:color="auto" w:fill="auto"/>
            <w:noWrap/>
            <w:vAlign w:val="center"/>
            <w:hideMark/>
          </w:tcPr>
          <w:p w14:paraId="7204B9AC" w14:textId="77777777" w:rsidR="00D977B9" w:rsidRPr="00D977B9" w:rsidRDefault="00D977B9" w:rsidP="00D977B9">
            <w:pPr>
              <w:jc w:val="right"/>
              <w:rPr>
                <w:rFonts w:ascii="Times New Roman" w:hAnsi="Times New Roman"/>
                <w:szCs w:val="24"/>
              </w:rPr>
            </w:pPr>
          </w:p>
        </w:tc>
        <w:tc>
          <w:tcPr>
            <w:tcW w:w="0" w:type="auto"/>
            <w:tcBorders>
              <w:top w:val="nil"/>
              <w:left w:val="nil"/>
              <w:bottom w:val="nil"/>
              <w:right w:val="single" w:sz="8" w:space="0" w:color="auto"/>
            </w:tcBorders>
            <w:shd w:val="clear" w:color="auto" w:fill="auto"/>
            <w:noWrap/>
            <w:vAlign w:val="center"/>
            <w:hideMark/>
          </w:tcPr>
          <w:p w14:paraId="3A53DF70"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w:t>
            </w:r>
          </w:p>
        </w:tc>
      </w:tr>
      <w:tr w:rsidR="00D977B9" w:rsidRPr="00D977B9" w14:paraId="04DF4B59" w14:textId="77777777" w:rsidTr="00D977B9">
        <w:trPr>
          <w:trHeight w:val="450"/>
        </w:trPr>
        <w:tc>
          <w:tcPr>
            <w:tcW w:w="0" w:type="auto"/>
            <w:gridSpan w:val="3"/>
            <w:tcBorders>
              <w:top w:val="single" w:sz="8" w:space="0" w:color="auto"/>
              <w:left w:val="single" w:sz="8" w:space="0" w:color="auto"/>
              <w:bottom w:val="single" w:sz="8" w:space="0" w:color="auto"/>
              <w:right w:val="single" w:sz="4" w:space="0" w:color="auto"/>
            </w:tcBorders>
            <w:shd w:val="clear" w:color="000000" w:fill="BFBFBF"/>
            <w:vAlign w:val="center"/>
            <w:hideMark/>
          </w:tcPr>
          <w:p w14:paraId="7539E905" w14:textId="77777777" w:rsidR="00D977B9" w:rsidRPr="00D977B9" w:rsidRDefault="00D977B9" w:rsidP="00D977B9">
            <w:pPr>
              <w:rPr>
                <w:rFonts w:ascii="Times New Roman" w:hAnsi="Times New Roman"/>
                <w:b/>
                <w:bCs/>
                <w:szCs w:val="24"/>
              </w:rPr>
            </w:pPr>
            <w:r w:rsidRPr="00D977B9">
              <w:rPr>
                <w:rFonts w:ascii="Times New Roman" w:hAnsi="Times New Roman"/>
                <w:b/>
                <w:bCs/>
                <w:szCs w:val="24"/>
              </w:rPr>
              <w:t xml:space="preserve">Total </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49AD5D60" w14:textId="77777777" w:rsidR="00D977B9" w:rsidRPr="00D977B9" w:rsidRDefault="00D977B9" w:rsidP="00D977B9">
            <w:pPr>
              <w:jc w:val="right"/>
              <w:rPr>
                <w:rFonts w:ascii="Times New Roman" w:hAnsi="Times New Roman"/>
                <w:b/>
                <w:bCs/>
                <w:szCs w:val="24"/>
              </w:rPr>
            </w:pPr>
            <w:r w:rsidRPr="00D977B9">
              <w:rPr>
                <w:rFonts w:ascii="Times New Roman" w:hAnsi="Times New Roman"/>
                <w:b/>
                <w:bCs/>
                <w:szCs w:val="24"/>
              </w:rPr>
              <w:t xml:space="preserve">                        38,408 </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14:paraId="1AE40FC2" w14:textId="77777777" w:rsidR="00D977B9" w:rsidRPr="00D977B9" w:rsidRDefault="00D977B9" w:rsidP="00D977B9">
            <w:pPr>
              <w:jc w:val="right"/>
              <w:rPr>
                <w:rFonts w:ascii="Times New Roman" w:hAnsi="Times New Roman"/>
                <w:b/>
                <w:bCs/>
                <w:szCs w:val="24"/>
              </w:rPr>
            </w:pPr>
            <w:r w:rsidRPr="00D977B9">
              <w:rPr>
                <w:rFonts w:ascii="Times New Roman" w:hAnsi="Times New Roman"/>
                <w:b/>
                <w:bCs/>
                <w:szCs w:val="24"/>
              </w:rPr>
              <w:t> </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14:paraId="3A3D3DD3" w14:textId="77777777" w:rsidR="00D977B9" w:rsidRPr="00D977B9" w:rsidRDefault="00D977B9" w:rsidP="00D977B9">
            <w:pPr>
              <w:jc w:val="right"/>
              <w:rPr>
                <w:rFonts w:ascii="Times New Roman" w:hAnsi="Times New Roman"/>
                <w:b/>
                <w:bCs/>
                <w:szCs w:val="24"/>
              </w:rPr>
            </w:pPr>
            <w:r w:rsidRPr="00D977B9">
              <w:rPr>
                <w:rFonts w:ascii="Times New Roman" w:hAnsi="Times New Roman"/>
                <w:b/>
                <w:bCs/>
                <w:szCs w:val="24"/>
              </w:rPr>
              <w:t xml:space="preserve">                        60,382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5A7991E8" w14:textId="77777777" w:rsidR="00D977B9" w:rsidRPr="00D977B9" w:rsidRDefault="00D977B9" w:rsidP="00D977B9">
            <w:pPr>
              <w:jc w:val="right"/>
              <w:rPr>
                <w:rFonts w:ascii="Times New Roman" w:hAnsi="Times New Roman"/>
                <w:b/>
                <w:bCs/>
                <w:szCs w:val="24"/>
              </w:rPr>
            </w:pPr>
            <w:r w:rsidRPr="00D977B9">
              <w:rPr>
                <w:rFonts w:ascii="Times New Roman" w:hAnsi="Times New Roman"/>
                <w:b/>
                <w:bCs/>
                <w:szCs w:val="24"/>
              </w:rPr>
              <w:t xml:space="preserve"> $                4,504,508 </w:t>
            </w:r>
          </w:p>
        </w:tc>
      </w:tr>
    </w:tbl>
    <w:p w14:paraId="055A558D" w14:textId="77777777" w:rsidR="00A73D65" w:rsidRPr="002452B7" w:rsidRDefault="00A73D65" w:rsidP="00A73D65">
      <w:pPr>
        <w:pStyle w:val="Title"/>
        <w:tabs>
          <w:tab w:val="center" w:pos="7200"/>
        </w:tabs>
        <w:spacing w:after="480"/>
        <w:jc w:val="left"/>
        <w:rPr>
          <w:b w:val="0"/>
          <w:sz w:val="24"/>
          <w:szCs w:val="24"/>
        </w:rPr>
      </w:pPr>
    </w:p>
    <w:p w14:paraId="7590A8E2" w14:textId="77777777" w:rsidR="00A73D65" w:rsidRPr="002452B7" w:rsidRDefault="00A82CCF" w:rsidP="00A73D65">
      <w:pPr>
        <w:rPr>
          <w:rFonts w:ascii="Times New Roman" w:hAnsi="Times New Roman"/>
          <w:szCs w:val="24"/>
        </w:rPr>
      </w:pPr>
      <w:r w:rsidRPr="00A82CCF">
        <w:rPr>
          <w:rFonts w:ascii="Times New Roman" w:hAnsi="Times New Roman"/>
          <w:szCs w:val="24"/>
        </w:rPr>
        <w:br w:type="page"/>
      </w:r>
    </w:p>
    <w:p w14:paraId="49ABDBD0" w14:textId="77777777" w:rsidR="00A73D65" w:rsidRPr="002452B7" w:rsidRDefault="00A82CCF" w:rsidP="00A73D65">
      <w:pPr>
        <w:pStyle w:val="Title"/>
        <w:spacing w:after="240"/>
        <w:rPr>
          <w:sz w:val="24"/>
          <w:szCs w:val="24"/>
        </w:rPr>
      </w:pPr>
      <w:r w:rsidRPr="00A82CCF">
        <w:rPr>
          <w:sz w:val="24"/>
          <w:szCs w:val="24"/>
        </w:rPr>
        <w:t>Attachment B</w:t>
      </w:r>
    </w:p>
    <w:p w14:paraId="611CA230" w14:textId="77777777" w:rsidR="00A73D65" w:rsidRPr="002452B7" w:rsidRDefault="00A82CCF" w:rsidP="00A73D65">
      <w:pPr>
        <w:pStyle w:val="Title"/>
        <w:tabs>
          <w:tab w:val="center" w:pos="7200"/>
        </w:tabs>
        <w:rPr>
          <w:sz w:val="24"/>
          <w:szCs w:val="24"/>
        </w:rPr>
      </w:pPr>
      <w:r w:rsidRPr="00A82CCF">
        <w:rPr>
          <w:sz w:val="24"/>
          <w:szCs w:val="24"/>
        </w:rPr>
        <w:t>14.  Annual Reporting and Recordkeeping Cost Burden</w:t>
      </w:r>
    </w:p>
    <w:p w14:paraId="2286ED4C" w14:textId="77777777" w:rsidR="00A73D65" w:rsidRPr="002452B7" w:rsidRDefault="00A73D65" w:rsidP="00A73D65">
      <w:pPr>
        <w:pStyle w:val="Title"/>
        <w:tabs>
          <w:tab w:val="center" w:pos="7200"/>
        </w:tabs>
        <w:rPr>
          <w:sz w:val="24"/>
          <w:szCs w:val="24"/>
        </w:rPr>
      </w:pPr>
    </w:p>
    <w:p w14:paraId="2D4A38A1" w14:textId="77777777" w:rsidR="00A73D65" w:rsidRPr="002452B7" w:rsidRDefault="00A82CCF" w:rsidP="00A73D65">
      <w:pPr>
        <w:pStyle w:val="Title"/>
        <w:spacing w:after="240"/>
        <w:rPr>
          <w:sz w:val="24"/>
          <w:szCs w:val="24"/>
        </w:rPr>
      </w:pPr>
      <w:r w:rsidRPr="00A82CCF">
        <w:rPr>
          <w:sz w:val="24"/>
          <w:szCs w:val="24"/>
        </w:rPr>
        <w:t>Part 20 – Large Trader Reporting for Physical Commodity Swaps</w:t>
      </w:r>
    </w:p>
    <w:p w14:paraId="136B3EED" w14:textId="77777777" w:rsidR="00A73D65" w:rsidRDefault="00A82CCF" w:rsidP="00A73D65">
      <w:pPr>
        <w:pStyle w:val="Title"/>
        <w:spacing w:after="480"/>
        <w:rPr>
          <w:sz w:val="24"/>
          <w:szCs w:val="24"/>
        </w:rPr>
      </w:pPr>
      <w:r w:rsidRPr="00A82CCF">
        <w:rPr>
          <w:sz w:val="24"/>
          <w:szCs w:val="24"/>
        </w:rPr>
        <w:t>OMB Collection File 3038-</w:t>
      </w:r>
      <w:r w:rsidR="0076109F">
        <w:rPr>
          <w:sz w:val="24"/>
          <w:szCs w:val="24"/>
        </w:rPr>
        <w:t xml:space="preserve"> 0095</w:t>
      </w:r>
    </w:p>
    <w:p w14:paraId="1459B3B0" w14:textId="77777777" w:rsidR="00A73D65" w:rsidRPr="0076109F" w:rsidRDefault="00A73D65" w:rsidP="00A73D65">
      <w:pPr>
        <w:pStyle w:val="Title"/>
        <w:tabs>
          <w:tab w:val="center" w:pos="7200"/>
        </w:tabs>
        <w:spacing w:after="120"/>
        <w:ind w:left="1440"/>
        <w:jc w:val="left"/>
        <w:rPr>
          <w:b w:val="0"/>
          <w:sz w:val="22"/>
          <w:szCs w:val="22"/>
        </w:rPr>
      </w:pPr>
    </w:p>
    <w:tbl>
      <w:tblPr>
        <w:tblW w:w="0" w:type="auto"/>
        <w:tblInd w:w="93" w:type="dxa"/>
        <w:tblLook w:val="04A0" w:firstRow="1" w:lastRow="0" w:firstColumn="1" w:lastColumn="0" w:noHBand="0" w:noVBand="1"/>
      </w:tblPr>
      <w:tblGrid>
        <w:gridCol w:w="2413"/>
        <w:gridCol w:w="1773"/>
        <w:gridCol w:w="1733"/>
        <w:gridCol w:w="1964"/>
        <w:gridCol w:w="2042"/>
        <w:gridCol w:w="1679"/>
        <w:gridCol w:w="1479"/>
      </w:tblGrid>
      <w:tr w:rsidR="00D977B9" w:rsidRPr="00D977B9" w14:paraId="17A6686F" w14:textId="77777777" w:rsidTr="00D977B9">
        <w:trPr>
          <w:trHeight w:val="1215"/>
        </w:trPr>
        <w:tc>
          <w:tcPr>
            <w:tcW w:w="0" w:type="auto"/>
            <w:tcBorders>
              <w:top w:val="single" w:sz="8" w:space="0" w:color="auto"/>
              <w:left w:val="single" w:sz="8" w:space="0" w:color="auto"/>
              <w:bottom w:val="nil"/>
              <w:right w:val="single" w:sz="8" w:space="0" w:color="auto"/>
            </w:tcBorders>
            <w:shd w:val="clear" w:color="auto" w:fill="auto"/>
            <w:vAlign w:val="center"/>
            <w:hideMark/>
          </w:tcPr>
          <w:p w14:paraId="504F1325" w14:textId="77777777" w:rsidR="00D977B9" w:rsidRPr="00D977B9" w:rsidRDefault="00D977B9" w:rsidP="00D977B9">
            <w:pPr>
              <w:jc w:val="center"/>
              <w:rPr>
                <w:rFonts w:ascii="Times New Roman" w:hAnsi="Times New Roman"/>
                <w:b/>
                <w:bCs/>
                <w:color w:val="000000"/>
                <w:szCs w:val="24"/>
              </w:rPr>
            </w:pPr>
            <w:r w:rsidRPr="00D977B9">
              <w:rPr>
                <w:rFonts w:ascii="Times New Roman" w:hAnsi="Times New Roman"/>
                <w:b/>
                <w:bCs/>
                <w:color w:val="000000"/>
                <w:szCs w:val="24"/>
              </w:rPr>
              <w:t>Type of respondent</w:t>
            </w:r>
          </w:p>
        </w:tc>
        <w:tc>
          <w:tcPr>
            <w:tcW w:w="0" w:type="auto"/>
            <w:tcBorders>
              <w:top w:val="single" w:sz="8" w:space="0" w:color="auto"/>
              <w:left w:val="nil"/>
              <w:bottom w:val="nil"/>
              <w:right w:val="single" w:sz="8" w:space="0" w:color="auto"/>
            </w:tcBorders>
            <w:shd w:val="clear" w:color="auto" w:fill="auto"/>
            <w:vAlign w:val="center"/>
            <w:hideMark/>
          </w:tcPr>
          <w:p w14:paraId="049E52BA" w14:textId="77777777" w:rsidR="00D977B9" w:rsidRPr="00D977B9" w:rsidRDefault="00D977B9" w:rsidP="00D977B9">
            <w:pPr>
              <w:jc w:val="center"/>
              <w:rPr>
                <w:rFonts w:ascii="Times New Roman" w:hAnsi="Times New Roman"/>
                <w:b/>
                <w:bCs/>
                <w:color w:val="000000"/>
                <w:szCs w:val="24"/>
              </w:rPr>
            </w:pPr>
            <w:r w:rsidRPr="00D977B9">
              <w:rPr>
                <w:rFonts w:ascii="Times New Roman" w:hAnsi="Times New Roman"/>
                <w:b/>
                <w:bCs/>
                <w:color w:val="000000"/>
                <w:szCs w:val="24"/>
              </w:rPr>
              <w:t>Applicable CFTC Regulation Section (17 CFR)</w:t>
            </w:r>
          </w:p>
        </w:tc>
        <w:tc>
          <w:tcPr>
            <w:tcW w:w="0" w:type="auto"/>
            <w:tcBorders>
              <w:top w:val="single" w:sz="8" w:space="0" w:color="auto"/>
              <w:left w:val="nil"/>
              <w:bottom w:val="nil"/>
              <w:right w:val="single" w:sz="8" w:space="0" w:color="auto"/>
            </w:tcBorders>
            <w:shd w:val="clear" w:color="auto" w:fill="auto"/>
            <w:vAlign w:val="center"/>
            <w:hideMark/>
          </w:tcPr>
          <w:p w14:paraId="48D86CB5" w14:textId="77777777" w:rsidR="00D977B9" w:rsidRPr="00D977B9" w:rsidRDefault="00D977B9" w:rsidP="00D977B9">
            <w:pPr>
              <w:jc w:val="center"/>
              <w:rPr>
                <w:rFonts w:ascii="Times New Roman" w:hAnsi="Times New Roman"/>
                <w:b/>
                <w:bCs/>
                <w:color w:val="000000"/>
                <w:szCs w:val="24"/>
              </w:rPr>
            </w:pPr>
            <w:r w:rsidRPr="00D977B9">
              <w:rPr>
                <w:rFonts w:ascii="Times New Roman" w:hAnsi="Times New Roman"/>
                <w:b/>
                <w:bCs/>
                <w:color w:val="000000"/>
                <w:szCs w:val="24"/>
              </w:rPr>
              <w:t xml:space="preserve">Total Number of Respondents  </w:t>
            </w:r>
          </w:p>
        </w:tc>
        <w:tc>
          <w:tcPr>
            <w:tcW w:w="0" w:type="auto"/>
            <w:tcBorders>
              <w:top w:val="single" w:sz="8" w:space="0" w:color="auto"/>
              <w:left w:val="nil"/>
              <w:bottom w:val="nil"/>
              <w:right w:val="single" w:sz="8" w:space="0" w:color="auto"/>
            </w:tcBorders>
            <w:shd w:val="clear" w:color="auto" w:fill="auto"/>
            <w:vAlign w:val="center"/>
            <w:hideMark/>
          </w:tcPr>
          <w:p w14:paraId="31CF2C01" w14:textId="77777777" w:rsidR="00D977B9" w:rsidRPr="00D977B9" w:rsidRDefault="00D977B9" w:rsidP="00D977B9">
            <w:pPr>
              <w:jc w:val="center"/>
              <w:rPr>
                <w:rFonts w:ascii="Times New Roman" w:hAnsi="Times New Roman"/>
                <w:b/>
                <w:bCs/>
                <w:color w:val="000000"/>
                <w:szCs w:val="24"/>
              </w:rPr>
            </w:pPr>
            <w:r w:rsidRPr="00D977B9">
              <w:rPr>
                <w:rFonts w:ascii="Times New Roman" w:hAnsi="Times New Roman"/>
                <w:b/>
                <w:bCs/>
                <w:color w:val="000000"/>
                <w:szCs w:val="24"/>
              </w:rPr>
              <w:t>Total Annualized Capital/Start-up Costs</w:t>
            </w:r>
          </w:p>
        </w:tc>
        <w:tc>
          <w:tcPr>
            <w:tcW w:w="0" w:type="auto"/>
            <w:tcBorders>
              <w:top w:val="single" w:sz="8" w:space="0" w:color="auto"/>
              <w:left w:val="nil"/>
              <w:bottom w:val="nil"/>
              <w:right w:val="single" w:sz="8" w:space="0" w:color="auto"/>
            </w:tcBorders>
            <w:shd w:val="clear" w:color="auto" w:fill="auto"/>
            <w:vAlign w:val="center"/>
            <w:hideMark/>
          </w:tcPr>
          <w:p w14:paraId="73D7EA71" w14:textId="77777777" w:rsidR="00D977B9" w:rsidRPr="00D977B9" w:rsidRDefault="00D977B9" w:rsidP="00D977B9">
            <w:pPr>
              <w:jc w:val="center"/>
              <w:rPr>
                <w:rFonts w:ascii="Times New Roman" w:hAnsi="Times New Roman"/>
                <w:b/>
                <w:bCs/>
                <w:color w:val="000000"/>
                <w:szCs w:val="24"/>
              </w:rPr>
            </w:pPr>
            <w:r w:rsidRPr="00D977B9">
              <w:rPr>
                <w:rFonts w:ascii="Times New Roman" w:hAnsi="Times New Roman"/>
                <w:b/>
                <w:bCs/>
                <w:color w:val="000000"/>
                <w:szCs w:val="24"/>
              </w:rPr>
              <w:t>Total Annual Costs (Operating &amp; Maintenance)</w:t>
            </w:r>
          </w:p>
        </w:tc>
        <w:tc>
          <w:tcPr>
            <w:tcW w:w="0" w:type="auto"/>
            <w:tcBorders>
              <w:top w:val="single" w:sz="8" w:space="0" w:color="auto"/>
              <w:left w:val="nil"/>
              <w:bottom w:val="nil"/>
              <w:right w:val="single" w:sz="8" w:space="0" w:color="auto"/>
            </w:tcBorders>
            <w:shd w:val="clear" w:color="auto" w:fill="auto"/>
            <w:vAlign w:val="center"/>
            <w:hideMark/>
          </w:tcPr>
          <w:p w14:paraId="3D49E737" w14:textId="77777777" w:rsidR="00D977B9" w:rsidRPr="00D977B9" w:rsidRDefault="00D977B9" w:rsidP="00D977B9">
            <w:pPr>
              <w:jc w:val="center"/>
              <w:rPr>
                <w:rFonts w:ascii="Times New Roman" w:hAnsi="Times New Roman"/>
                <w:b/>
                <w:bCs/>
                <w:color w:val="000000"/>
                <w:szCs w:val="24"/>
              </w:rPr>
            </w:pPr>
            <w:r w:rsidRPr="00D977B9">
              <w:rPr>
                <w:rFonts w:ascii="Times New Roman" w:hAnsi="Times New Roman"/>
                <w:b/>
                <w:bCs/>
                <w:color w:val="000000"/>
                <w:szCs w:val="24"/>
              </w:rPr>
              <w:t>Total Annualized Cost Requested</w:t>
            </w:r>
          </w:p>
        </w:tc>
        <w:tc>
          <w:tcPr>
            <w:tcW w:w="0" w:type="auto"/>
            <w:tcBorders>
              <w:top w:val="single" w:sz="8" w:space="0" w:color="auto"/>
              <w:left w:val="nil"/>
              <w:bottom w:val="nil"/>
              <w:right w:val="single" w:sz="8" w:space="0" w:color="auto"/>
            </w:tcBorders>
            <w:shd w:val="clear" w:color="auto" w:fill="auto"/>
            <w:vAlign w:val="center"/>
            <w:hideMark/>
          </w:tcPr>
          <w:p w14:paraId="5737EDB0" w14:textId="77777777" w:rsidR="00D977B9" w:rsidRPr="00D977B9" w:rsidRDefault="00D977B9" w:rsidP="00D977B9">
            <w:pPr>
              <w:jc w:val="center"/>
              <w:rPr>
                <w:rFonts w:ascii="Times New Roman" w:hAnsi="Times New Roman"/>
                <w:b/>
                <w:bCs/>
                <w:color w:val="000000"/>
                <w:szCs w:val="24"/>
              </w:rPr>
            </w:pPr>
            <w:r w:rsidRPr="00D977B9">
              <w:rPr>
                <w:rFonts w:ascii="Times New Roman" w:hAnsi="Times New Roman"/>
                <w:b/>
                <w:bCs/>
                <w:color w:val="000000"/>
                <w:szCs w:val="24"/>
              </w:rPr>
              <w:t xml:space="preserve">Average Annual Capital + O&amp;M Costs </w:t>
            </w:r>
          </w:p>
        </w:tc>
      </w:tr>
      <w:tr w:rsidR="00D977B9" w:rsidRPr="00D977B9" w14:paraId="0490E6E5" w14:textId="77777777" w:rsidTr="00D977B9">
        <w:trPr>
          <w:trHeight w:val="450"/>
        </w:trPr>
        <w:tc>
          <w:tcPr>
            <w:tcW w:w="0" w:type="auto"/>
            <w:tcBorders>
              <w:top w:val="single" w:sz="8" w:space="0" w:color="auto"/>
              <w:left w:val="single" w:sz="8" w:space="0" w:color="auto"/>
              <w:bottom w:val="single" w:sz="4" w:space="0" w:color="auto"/>
              <w:right w:val="single" w:sz="4" w:space="0" w:color="auto"/>
            </w:tcBorders>
            <w:shd w:val="clear" w:color="auto" w:fill="auto"/>
            <w:vAlign w:val="center"/>
            <w:hideMark/>
          </w:tcPr>
          <w:p w14:paraId="66012896" w14:textId="77777777" w:rsidR="00D977B9" w:rsidRPr="00D977B9" w:rsidRDefault="00D977B9" w:rsidP="00D977B9">
            <w:pPr>
              <w:rPr>
                <w:rFonts w:ascii="Times New Roman" w:hAnsi="Times New Roman"/>
                <w:szCs w:val="24"/>
              </w:rPr>
            </w:pPr>
            <w:r w:rsidRPr="00D977B9">
              <w:rPr>
                <w:rFonts w:ascii="Times New Roman" w:hAnsi="Times New Roman"/>
                <w:szCs w:val="24"/>
              </w:rPr>
              <w:t xml:space="preserve">Clearing organization reports </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557F0085"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20.3</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0443DC17"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                                 1 </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3A5F15CE"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$25,000 </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6CD44332"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$25,000 </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2622BA52"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$50,000 </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1D5297A9"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$50,000 </w:t>
            </w:r>
          </w:p>
        </w:tc>
      </w:tr>
      <w:tr w:rsidR="00D977B9" w:rsidRPr="00D977B9" w14:paraId="61DA8804" w14:textId="77777777" w:rsidTr="00D977B9">
        <w:trPr>
          <w:trHeight w:val="66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5F69105" w14:textId="77777777" w:rsidR="00D977B9" w:rsidRPr="00D977B9" w:rsidRDefault="00D977B9" w:rsidP="00D977B9">
            <w:pPr>
              <w:rPr>
                <w:rFonts w:ascii="Times New Roman" w:hAnsi="Times New Roman"/>
                <w:szCs w:val="24"/>
              </w:rPr>
            </w:pPr>
            <w:r w:rsidRPr="00D977B9">
              <w:rPr>
                <w:rFonts w:ascii="Times New Roman" w:hAnsi="Times New Roman"/>
                <w:szCs w:val="24"/>
              </w:rPr>
              <w:t>Clearing member and swap dealer non-clearing member reporting entity reports</w:t>
            </w:r>
          </w:p>
        </w:tc>
        <w:tc>
          <w:tcPr>
            <w:tcW w:w="0" w:type="auto"/>
            <w:tcBorders>
              <w:top w:val="nil"/>
              <w:left w:val="nil"/>
              <w:bottom w:val="single" w:sz="4" w:space="0" w:color="auto"/>
              <w:right w:val="single" w:sz="4" w:space="0" w:color="auto"/>
            </w:tcBorders>
            <w:shd w:val="clear" w:color="auto" w:fill="auto"/>
            <w:noWrap/>
            <w:vAlign w:val="center"/>
            <w:hideMark/>
          </w:tcPr>
          <w:p w14:paraId="1F263EA4"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20.4</w:t>
            </w:r>
          </w:p>
        </w:tc>
        <w:tc>
          <w:tcPr>
            <w:tcW w:w="0" w:type="auto"/>
            <w:tcBorders>
              <w:top w:val="nil"/>
              <w:left w:val="nil"/>
              <w:bottom w:val="single" w:sz="4" w:space="0" w:color="auto"/>
              <w:right w:val="single" w:sz="4" w:space="0" w:color="auto"/>
            </w:tcBorders>
            <w:shd w:val="clear" w:color="auto" w:fill="auto"/>
            <w:vAlign w:val="center"/>
            <w:hideMark/>
          </w:tcPr>
          <w:p w14:paraId="193DDA8B"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                               67 </w:t>
            </w:r>
          </w:p>
        </w:tc>
        <w:tc>
          <w:tcPr>
            <w:tcW w:w="0" w:type="auto"/>
            <w:tcBorders>
              <w:top w:val="nil"/>
              <w:left w:val="nil"/>
              <w:bottom w:val="single" w:sz="4" w:space="0" w:color="auto"/>
              <w:right w:val="single" w:sz="4" w:space="0" w:color="auto"/>
            </w:tcBorders>
            <w:shd w:val="clear" w:color="auto" w:fill="auto"/>
            <w:noWrap/>
            <w:vAlign w:val="center"/>
            <w:hideMark/>
          </w:tcPr>
          <w:p w14:paraId="74F5CC7A"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$12,000,000 </w:t>
            </w:r>
          </w:p>
        </w:tc>
        <w:tc>
          <w:tcPr>
            <w:tcW w:w="0" w:type="auto"/>
            <w:tcBorders>
              <w:top w:val="nil"/>
              <w:left w:val="nil"/>
              <w:bottom w:val="single" w:sz="4" w:space="0" w:color="auto"/>
              <w:right w:val="single" w:sz="4" w:space="0" w:color="auto"/>
            </w:tcBorders>
            <w:shd w:val="clear" w:color="auto" w:fill="auto"/>
            <w:vAlign w:val="center"/>
            <w:hideMark/>
          </w:tcPr>
          <w:p w14:paraId="14B25730"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$4,000,000 </w:t>
            </w:r>
          </w:p>
        </w:tc>
        <w:tc>
          <w:tcPr>
            <w:tcW w:w="0" w:type="auto"/>
            <w:tcBorders>
              <w:top w:val="nil"/>
              <w:left w:val="nil"/>
              <w:bottom w:val="single" w:sz="4" w:space="0" w:color="auto"/>
              <w:right w:val="single" w:sz="4" w:space="0" w:color="auto"/>
            </w:tcBorders>
            <w:shd w:val="clear" w:color="auto" w:fill="auto"/>
            <w:noWrap/>
            <w:vAlign w:val="center"/>
            <w:hideMark/>
          </w:tcPr>
          <w:p w14:paraId="18C79173"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$16,000,000 </w:t>
            </w:r>
          </w:p>
        </w:tc>
        <w:tc>
          <w:tcPr>
            <w:tcW w:w="0" w:type="auto"/>
            <w:tcBorders>
              <w:top w:val="nil"/>
              <w:left w:val="nil"/>
              <w:bottom w:val="single" w:sz="4" w:space="0" w:color="auto"/>
              <w:right w:val="single" w:sz="8" w:space="0" w:color="auto"/>
            </w:tcBorders>
            <w:shd w:val="clear" w:color="auto" w:fill="auto"/>
            <w:noWrap/>
            <w:vAlign w:val="center"/>
            <w:hideMark/>
          </w:tcPr>
          <w:p w14:paraId="3B23A76B"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$238,806 </w:t>
            </w:r>
          </w:p>
        </w:tc>
      </w:tr>
      <w:tr w:rsidR="00D977B9" w:rsidRPr="00D977B9" w14:paraId="72C41B1E" w14:textId="77777777" w:rsidTr="00D977B9">
        <w:trPr>
          <w:trHeight w:val="45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17A0DA9F" w14:textId="77777777" w:rsidR="00D977B9" w:rsidRPr="00D977B9" w:rsidRDefault="00D977B9" w:rsidP="00D977B9">
            <w:pPr>
              <w:rPr>
                <w:rFonts w:ascii="Times New Roman" w:hAnsi="Times New Roman"/>
                <w:szCs w:val="24"/>
              </w:rPr>
            </w:pPr>
            <w:r w:rsidRPr="00D977B9">
              <w:rPr>
                <w:rFonts w:ascii="Times New Roman" w:hAnsi="Times New Roman"/>
                <w:szCs w:val="24"/>
              </w:rPr>
              <w:t>102S Filings</w:t>
            </w:r>
          </w:p>
        </w:tc>
        <w:tc>
          <w:tcPr>
            <w:tcW w:w="0" w:type="auto"/>
            <w:tcBorders>
              <w:top w:val="nil"/>
              <w:left w:val="nil"/>
              <w:bottom w:val="single" w:sz="4" w:space="0" w:color="auto"/>
              <w:right w:val="single" w:sz="4" w:space="0" w:color="auto"/>
            </w:tcBorders>
            <w:shd w:val="clear" w:color="auto" w:fill="auto"/>
            <w:vAlign w:val="center"/>
            <w:hideMark/>
          </w:tcPr>
          <w:p w14:paraId="10EFBF16"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20.5</w:t>
            </w:r>
          </w:p>
        </w:tc>
        <w:tc>
          <w:tcPr>
            <w:tcW w:w="0" w:type="auto"/>
            <w:tcBorders>
              <w:top w:val="nil"/>
              <w:left w:val="nil"/>
              <w:bottom w:val="single" w:sz="4" w:space="0" w:color="auto"/>
              <w:right w:val="single" w:sz="4" w:space="0" w:color="auto"/>
            </w:tcBorders>
            <w:shd w:val="clear" w:color="auto" w:fill="auto"/>
            <w:vAlign w:val="center"/>
            <w:hideMark/>
          </w:tcPr>
          <w:p w14:paraId="588260BE"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                          4,756 </w:t>
            </w:r>
          </w:p>
        </w:tc>
        <w:tc>
          <w:tcPr>
            <w:tcW w:w="0" w:type="auto"/>
            <w:tcBorders>
              <w:top w:val="nil"/>
              <w:left w:val="nil"/>
              <w:bottom w:val="single" w:sz="4" w:space="0" w:color="auto"/>
              <w:right w:val="single" w:sz="4" w:space="0" w:color="auto"/>
            </w:tcBorders>
            <w:shd w:val="clear" w:color="auto" w:fill="auto"/>
            <w:noWrap/>
            <w:vAlign w:val="center"/>
            <w:hideMark/>
          </w:tcPr>
          <w:p w14:paraId="1CC64A3E"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$0 </w:t>
            </w:r>
          </w:p>
        </w:tc>
        <w:tc>
          <w:tcPr>
            <w:tcW w:w="0" w:type="auto"/>
            <w:tcBorders>
              <w:top w:val="nil"/>
              <w:left w:val="nil"/>
              <w:bottom w:val="single" w:sz="4" w:space="0" w:color="auto"/>
              <w:right w:val="single" w:sz="4" w:space="0" w:color="auto"/>
            </w:tcBorders>
            <w:shd w:val="clear" w:color="auto" w:fill="auto"/>
            <w:vAlign w:val="center"/>
            <w:hideMark/>
          </w:tcPr>
          <w:p w14:paraId="7E1AF19B"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$1,500,000 </w:t>
            </w:r>
          </w:p>
        </w:tc>
        <w:tc>
          <w:tcPr>
            <w:tcW w:w="0" w:type="auto"/>
            <w:tcBorders>
              <w:top w:val="nil"/>
              <w:left w:val="nil"/>
              <w:bottom w:val="single" w:sz="4" w:space="0" w:color="auto"/>
              <w:right w:val="single" w:sz="4" w:space="0" w:color="auto"/>
            </w:tcBorders>
            <w:shd w:val="clear" w:color="auto" w:fill="auto"/>
            <w:noWrap/>
            <w:vAlign w:val="center"/>
            <w:hideMark/>
          </w:tcPr>
          <w:p w14:paraId="6AB3B347"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$1,500,000 </w:t>
            </w:r>
          </w:p>
        </w:tc>
        <w:tc>
          <w:tcPr>
            <w:tcW w:w="0" w:type="auto"/>
            <w:tcBorders>
              <w:top w:val="nil"/>
              <w:left w:val="nil"/>
              <w:bottom w:val="single" w:sz="4" w:space="0" w:color="auto"/>
              <w:right w:val="single" w:sz="8" w:space="0" w:color="auto"/>
            </w:tcBorders>
            <w:shd w:val="clear" w:color="auto" w:fill="auto"/>
            <w:noWrap/>
            <w:vAlign w:val="center"/>
            <w:hideMark/>
          </w:tcPr>
          <w:p w14:paraId="0AF1A142"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$315 </w:t>
            </w:r>
          </w:p>
        </w:tc>
      </w:tr>
      <w:tr w:rsidR="00D977B9" w:rsidRPr="00D977B9" w14:paraId="2852258A" w14:textId="77777777" w:rsidTr="00D977B9">
        <w:trPr>
          <w:trHeight w:val="450"/>
        </w:trPr>
        <w:tc>
          <w:tcPr>
            <w:tcW w:w="0" w:type="auto"/>
            <w:tcBorders>
              <w:top w:val="nil"/>
              <w:left w:val="single" w:sz="8" w:space="0" w:color="auto"/>
              <w:bottom w:val="nil"/>
              <w:right w:val="single" w:sz="4" w:space="0" w:color="auto"/>
            </w:tcBorders>
            <w:shd w:val="clear" w:color="auto" w:fill="auto"/>
            <w:vAlign w:val="center"/>
            <w:hideMark/>
          </w:tcPr>
          <w:p w14:paraId="68514C4D" w14:textId="77777777" w:rsidR="00D977B9" w:rsidRPr="00D977B9" w:rsidRDefault="00D977B9" w:rsidP="00D977B9">
            <w:pPr>
              <w:rPr>
                <w:rFonts w:ascii="Times New Roman" w:hAnsi="Times New Roman"/>
                <w:szCs w:val="24"/>
              </w:rPr>
            </w:pPr>
            <w:r w:rsidRPr="00D977B9">
              <w:rPr>
                <w:rFonts w:ascii="Times New Roman" w:hAnsi="Times New Roman"/>
                <w:szCs w:val="24"/>
              </w:rPr>
              <w:t>40S Filings</w:t>
            </w:r>
          </w:p>
        </w:tc>
        <w:tc>
          <w:tcPr>
            <w:tcW w:w="0" w:type="auto"/>
            <w:tcBorders>
              <w:top w:val="nil"/>
              <w:left w:val="nil"/>
              <w:bottom w:val="nil"/>
              <w:right w:val="single" w:sz="4" w:space="0" w:color="auto"/>
            </w:tcBorders>
            <w:shd w:val="clear" w:color="auto" w:fill="auto"/>
            <w:vAlign w:val="center"/>
            <w:hideMark/>
          </w:tcPr>
          <w:p w14:paraId="11E9104D"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20.5</w:t>
            </w:r>
          </w:p>
        </w:tc>
        <w:tc>
          <w:tcPr>
            <w:tcW w:w="0" w:type="auto"/>
            <w:tcBorders>
              <w:top w:val="nil"/>
              <w:left w:val="nil"/>
              <w:bottom w:val="nil"/>
              <w:right w:val="single" w:sz="4" w:space="0" w:color="auto"/>
            </w:tcBorders>
            <w:shd w:val="clear" w:color="auto" w:fill="auto"/>
            <w:vAlign w:val="center"/>
            <w:hideMark/>
          </w:tcPr>
          <w:p w14:paraId="352303C9"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                          4,756 </w:t>
            </w:r>
          </w:p>
        </w:tc>
        <w:tc>
          <w:tcPr>
            <w:tcW w:w="0" w:type="auto"/>
            <w:tcBorders>
              <w:top w:val="nil"/>
              <w:left w:val="nil"/>
              <w:bottom w:val="nil"/>
              <w:right w:val="single" w:sz="4" w:space="0" w:color="auto"/>
            </w:tcBorders>
            <w:shd w:val="clear" w:color="auto" w:fill="auto"/>
            <w:noWrap/>
            <w:vAlign w:val="center"/>
            <w:hideMark/>
          </w:tcPr>
          <w:p w14:paraId="1B54F723"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$1,800,000 </w:t>
            </w:r>
          </w:p>
        </w:tc>
        <w:tc>
          <w:tcPr>
            <w:tcW w:w="0" w:type="auto"/>
            <w:tcBorders>
              <w:top w:val="nil"/>
              <w:left w:val="nil"/>
              <w:bottom w:val="nil"/>
              <w:right w:val="single" w:sz="4" w:space="0" w:color="auto"/>
            </w:tcBorders>
            <w:shd w:val="clear" w:color="auto" w:fill="auto"/>
            <w:vAlign w:val="center"/>
            <w:hideMark/>
          </w:tcPr>
          <w:p w14:paraId="2599A746"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$600,000 </w:t>
            </w:r>
          </w:p>
        </w:tc>
        <w:tc>
          <w:tcPr>
            <w:tcW w:w="0" w:type="auto"/>
            <w:tcBorders>
              <w:top w:val="nil"/>
              <w:left w:val="nil"/>
              <w:bottom w:val="nil"/>
              <w:right w:val="single" w:sz="4" w:space="0" w:color="auto"/>
            </w:tcBorders>
            <w:shd w:val="clear" w:color="auto" w:fill="auto"/>
            <w:noWrap/>
            <w:vAlign w:val="center"/>
            <w:hideMark/>
          </w:tcPr>
          <w:p w14:paraId="12B2ECB1"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$2,400,000 </w:t>
            </w:r>
          </w:p>
        </w:tc>
        <w:tc>
          <w:tcPr>
            <w:tcW w:w="0" w:type="auto"/>
            <w:tcBorders>
              <w:top w:val="nil"/>
              <w:left w:val="nil"/>
              <w:bottom w:val="nil"/>
              <w:right w:val="single" w:sz="8" w:space="0" w:color="auto"/>
            </w:tcBorders>
            <w:shd w:val="clear" w:color="auto" w:fill="auto"/>
            <w:noWrap/>
            <w:vAlign w:val="center"/>
            <w:hideMark/>
          </w:tcPr>
          <w:p w14:paraId="752F07FB"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$505 </w:t>
            </w:r>
          </w:p>
        </w:tc>
      </w:tr>
      <w:tr w:rsidR="00D977B9" w:rsidRPr="00D977B9" w14:paraId="3F6A26F3" w14:textId="77777777" w:rsidTr="00D977B9">
        <w:trPr>
          <w:trHeight w:val="450"/>
        </w:trPr>
        <w:tc>
          <w:tcPr>
            <w:tcW w:w="0" w:type="auto"/>
            <w:gridSpan w:val="3"/>
            <w:tcBorders>
              <w:top w:val="single" w:sz="8" w:space="0" w:color="auto"/>
              <w:left w:val="single" w:sz="8" w:space="0" w:color="auto"/>
              <w:bottom w:val="single" w:sz="8" w:space="0" w:color="auto"/>
              <w:right w:val="single" w:sz="4" w:space="0" w:color="auto"/>
            </w:tcBorders>
            <w:shd w:val="clear" w:color="000000" w:fill="BFBFBF"/>
            <w:vAlign w:val="center"/>
            <w:hideMark/>
          </w:tcPr>
          <w:p w14:paraId="7276F4A0" w14:textId="77777777" w:rsidR="00D977B9" w:rsidRPr="00D977B9" w:rsidRDefault="00D977B9" w:rsidP="00D977B9">
            <w:pPr>
              <w:rPr>
                <w:rFonts w:ascii="Times New Roman" w:hAnsi="Times New Roman"/>
                <w:b/>
                <w:bCs/>
                <w:szCs w:val="24"/>
              </w:rPr>
            </w:pPr>
            <w:r w:rsidRPr="00D977B9">
              <w:rPr>
                <w:rFonts w:ascii="Times New Roman" w:hAnsi="Times New Roman"/>
                <w:b/>
                <w:bCs/>
                <w:szCs w:val="24"/>
              </w:rPr>
              <w:t>Total Reporting</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14:paraId="589381A1" w14:textId="77777777" w:rsidR="00D977B9" w:rsidRPr="00D977B9" w:rsidRDefault="00D977B9" w:rsidP="00D977B9">
            <w:pPr>
              <w:jc w:val="right"/>
              <w:rPr>
                <w:rFonts w:ascii="Times New Roman" w:hAnsi="Times New Roman"/>
                <w:b/>
                <w:bCs/>
                <w:szCs w:val="24"/>
              </w:rPr>
            </w:pPr>
            <w:r w:rsidRPr="00D977B9">
              <w:rPr>
                <w:rFonts w:ascii="Times New Roman" w:hAnsi="Times New Roman"/>
                <w:b/>
                <w:bCs/>
                <w:szCs w:val="24"/>
              </w:rPr>
              <w:t xml:space="preserve">$13,825,000 </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2DE0DFB8" w14:textId="77777777" w:rsidR="00D977B9" w:rsidRPr="00D977B9" w:rsidRDefault="00D977B9" w:rsidP="00D977B9">
            <w:pPr>
              <w:jc w:val="right"/>
              <w:rPr>
                <w:rFonts w:ascii="Times New Roman" w:hAnsi="Times New Roman"/>
                <w:b/>
                <w:bCs/>
                <w:szCs w:val="24"/>
              </w:rPr>
            </w:pPr>
            <w:r w:rsidRPr="00D977B9">
              <w:rPr>
                <w:rFonts w:ascii="Times New Roman" w:hAnsi="Times New Roman"/>
                <w:b/>
                <w:bCs/>
                <w:szCs w:val="24"/>
              </w:rPr>
              <w:t xml:space="preserve">$6,125,000 </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14:paraId="26F374B4"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64D0F594"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w:t>
            </w:r>
          </w:p>
        </w:tc>
      </w:tr>
      <w:tr w:rsidR="00D977B9" w:rsidRPr="00D977B9" w14:paraId="507A434A" w14:textId="77777777" w:rsidTr="00D977B9">
        <w:trPr>
          <w:trHeight w:val="450"/>
        </w:trPr>
        <w:tc>
          <w:tcPr>
            <w:tcW w:w="0" w:type="auto"/>
            <w:gridSpan w:val="7"/>
            <w:tcBorders>
              <w:top w:val="nil"/>
              <w:left w:val="single" w:sz="8" w:space="0" w:color="auto"/>
              <w:bottom w:val="nil"/>
              <w:right w:val="single" w:sz="8" w:space="0" w:color="000000"/>
            </w:tcBorders>
            <w:shd w:val="clear" w:color="auto" w:fill="auto"/>
            <w:vAlign w:val="center"/>
            <w:hideMark/>
          </w:tcPr>
          <w:p w14:paraId="66651F9A" w14:textId="77777777" w:rsidR="00D977B9" w:rsidRPr="00D977B9" w:rsidRDefault="00D977B9" w:rsidP="00D977B9">
            <w:pPr>
              <w:jc w:val="center"/>
              <w:rPr>
                <w:rFonts w:ascii="Times New Roman" w:hAnsi="Times New Roman"/>
                <w:b/>
                <w:bCs/>
                <w:szCs w:val="24"/>
              </w:rPr>
            </w:pPr>
            <w:r w:rsidRPr="00D977B9">
              <w:rPr>
                <w:rFonts w:ascii="Times New Roman" w:hAnsi="Times New Roman"/>
                <w:b/>
                <w:bCs/>
                <w:szCs w:val="24"/>
              </w:rPr>
              <w:t> </w:t>
            </w:r>
          </w:p>
        </w:tc>
      </w:tr>
      <w:tr w:rsidR="00D977B9" w:rsidRPr="00D977B9" w14:paraId="79309A44" w14:textId="77777777" w:rsidTr="00D977B9">
        <w:trPr>
          <w:trHeight w:val="450"/>
        </w:trPr>
        <w:tc>
          <w:tcPr>
            <w:tcW w:w="0" w:type="auto"/>
            <w:tcBorders>
              <w:top w:val="single" w:sz="8" w:space="0" w:color="auto"/>
              <w:left w:val="single" w:sz="8" w:space="0" w:color="auto"/>
              <w:bottom w:val="single" w:sz="4" w:space="0" w:color="auto"/>
              <w:right w:val="nil"/>
            </w:tcBorders>
            <w:shd w:val="clear" w:color="auto" w:fill="auto"/>
            <w:vAlign w:val="center"/>
            <w:hideMark/>
          </w:tcPr>
          <w:p w14:paraId="7D7460BF" w14:textId="77777777" w:rsidR="00D977B9" w:rsidRPr="00D977B9" w:rsidRDefault="00D977B9" w:rsidP="00D977B9">
            <w:pPr>
              <w:rPr>
                <w:rFonts w:ascii="Times New Roman" w:hAnsi="Times New Roman"/>
                <w:szCs w:val="24"/>
              </w:rPr>
            </w:pPr>
            <w:r w:rsidRPr="00D977B9">
              <w:rPr>
                <w:rFonts w:ascii="Times New Roman" w:hAnsi="Times New Roman"/>
                <w:szCs w:val="24"/>
              </w:rPr>
              <w:t>Clearing organization recordkeeping</w:t>
            </w:r>
          </w:p>
        </w:tc>
        <w:tc>
          <w:tcPr>
            <w:tcW w:w="0" w:type="auto"/>
            <w:tcBorders>
              <w:top w:val="single" w:sz="8" w:space="0" w:color="auto"/>
              <w:left w:val="single" w:sz="4" w:space="0" w:color="auto"/>
              <w:bottom w:val="single" w:sz="4" w:space="0" w:color="auto"/>
              <w:right w:val="single" w:sz="4" w:space="0" w:color="auto"/>
            </w:tcBorders>
            <w:shd w:val="clear" w:color="auto" w:fill="auto"/>
            <w:vAlign w:val="center"/>
            <w:hideMark/>
          </w:tcPr>
          <w:p w14:paraId="74B06AAE"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20.6(a)</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2EF9999C"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1</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3886CE03"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$0 </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269A28DA"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$500,000 </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031DEBEC"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$500,000 </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2DF05D1B"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$500,000 </w:t>
            </w:r>
          </w:p>
        </w:tc>
      </w:tr>
      <w:tr w:rsidR="00D977B9" w:rsidRPr="00D977B9" w14:paraId="26E7A15D" w14:textId="77777777" w:rsidTr="00D977B9">
        <w:trPr>
          <w:trHeight w:val="66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89B2228" w14:textId="77777777" w:rsidR="00D977B9" w:rsidRPr="00D977B9" w:rsidRDefault="00D977B9" w:rsidP="00D977B9">
            <w:pPr>
              <w:rPr>
                <w:rFonts w:ascii="Times New Roman" w:hAnsi="Times New Roman"/>
                <w:szCs w:val="24"/>
              </w:rPr>
            </w:pPr>
            <w:r w:rsidRPr="00D977B9">
              <w:rPr>
                <w:rFonts w:ascii="Times New Roman" w:hAnsi="Times New Roman"/>
                <w:szCs w:val="24"/>
              </w:rPr>
              <w:t>Clearing member and swap dealer non-clearing member reporting entity recordkeeping</w:t>
            </w:r>
          </w:p>
        </w:tc>
        <w:tc>
          <w:tcPr>
            <w:tcW w:w="0" w:type="auto"/>
            <w:tcBorders>
              <w:top w:val="nil"/>
              <w:left w:val="nil"/>
              <w:bottom w:val="single" w:sz="4" w:space="0" w:color="auto"/>
              <w:right w:val="single" w:sz="4" w:space="0" w:color="auto"/>
            </w:tcBorders>
            <w:shd w:val="clear" w:color="auto" w:fill="auto"/>
            <w:vAlign w:val="center"/>
            <w:hideMark/>
          </w:tcPr>
          <w:p w14:paraId="527A3152"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20.6(b)</w:t>
            </w:r>
          </w:p>
        </w:tc>
        <w:tc>
          <w:tcPr>
            <w:tcW w:w="0" w:type="auto"/>
            <w:tcBorders>
              <w:top w:val="nil"/>
              <w:left w:val="nil"/>
              <w:bottom w:val="single" w:sz="4" w:space="0" w:color="auto"/>
              <w:right w:val="single" w:sz="4" w:space="0" w:color="auto"/>
            </w:tcBorders>
            <w:shd w:val="clear" w:color="auto" w:fill="auto"/>
            <w:vAlign w:val="center"/>
            <w:hideMark/>
          </w:tcPr>
          <w:p w14:paraId="34C2F9FF"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                               67 </w:t>
            </w:r>
          </w:p>
        </w:tc>
        <w:tc>
          <w:tcPr>
            <w:tcW w:w="0" w:type="auto"/>
            <w:tcBorders>
              <w:top w:val="nil"/>
              <w:left w:val="nil"/>
              <w:bottom w:val="single" w:sz="4" w:space="0" w:color="auto"/>
              <w:right w:val="single" w:sz="4" w:space="0" w:color="auto"/>
            </w:tcBorders>
            <w:shd w:val="clear" w:color="auto" w:fill="auto"/>
            <w:noWrap/>
            <w:vAlign w:val="center"/>
            <w:hideMark/>
          </w:tcPr>
          <w:p w14:paraId="36FD71FF"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$0 </w:t>
            </w:r>
          </w:p>
        </w:tc>
        <w:tc>
          <w:tcPr>
            <w:tcW w:w="0" w:type="auto"/>
            <w:tcBorders>
              <w:top w:val="nil"/>
              <w:left w:val="nil"/>
              <w:bottom w:val="single" w:sz="4" w:space="0" w:color="auto"/>
              <w:right w:val="single" w:sz="4" w:space="0" w:color="auto"/>
            </w:tcBorders>
            <w:shd w:val="clear" w:color="auto" w:fill="auto"/>
            <w:vAlign w:val="center"/>
            <w:hideMark/>
          </w:tcPr>
          <w:p w14:paraId="340B0C9E"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$4,000,000 </w:t>
            </w:r>
          </w:p>
        </w:tc>
        <w:tc>
          <w:tcPr>
            <w:tcW w:w="0" w:type="auto"/>
            <w:tcBorders>
              <w:top w:val="nil"/>
              <w:left w:val="nil"/>
              <w:bottom w:val="single" w:sz="4" w:space="0" w:color="auto"/>
              <w:right w:val="single" w:sz="4" w:space="0" w:color="auto"/>
            </w:tcBorders>
            <w:shd w:val="clear" w:color="auto" w:fill="auto"/>
            <w:noWrap/>
            <w:vAlign w:val="center"/>
            <w:hideMark/>
          </w:tcPr>
          <w:p w14:paraId="26EFE018"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$4,000,000 </w:t>
            </w:r>
          </w:p>
        </w:tc>
        <w:tc>
          <w:tcPr>
            <w:tcW w:w="0" w:type="auto"/>
            <w:tcBorders>
              <w:top w:val="nil"/>
              <w:left w:val="nil"/>
              <w:bottom w:val="single" w:sz="4" w:space="0" w:color="auto"/>
              <w:right w:val="single" w:sz="8" w:space="0" w:color="auto"/>
            </w:tcBorders>
            <w:shd w:val="clear" w:color="auto" w:fill="auto"/>
            <w:noWrap/>
            <w:vAlign w:val="center"/>
            <w:hideMark/>
          </w:tcPr>
          <w:p w14:paraId="5B74B243"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$59,701 </w:t>
            </w:r>
          </w:p>
        </w:tc>
      </w:tr>
      <w:tr w:rsidR="00D977B9" w:rsidRPr="00D977B9" w14:paraId="2285CB9A" w14:textId="77777777" w:rsidTr="00D977B9">
        <w:trPr>
          <w:trHeight w:val="450"/>
        </w:trPr>
        <w:tc>
          <w:tcPr>
            <w:tcW w:w="0" w:type="auto"/>
            <w:tcBorders>
              <w:top w:val="nil"/>
              <w:left w:val="single" w:sz="8" w:space="0" w:color="auto"/>
              <w:bottom w:val="single" w:sz="8" w:space="0" w:color="auto"/>
              <w:right w:val="single" w:sz="4" w:space="0" w:color="auto"/>
            </w:tcBorders>
            <w:shd w:val="clear" w:color="auto" w:fill="auto"/>
            <w:vAlign w:val="center"/>
            <w:hideMark/>
          </w:tcPr>
          <w:p w14:paraId="1F262B47" w14:textId="77777777" w:rsidR="00D977B9" w:rsidRPr="00D977B9" w:rsidRDefault="00D977B9" w:rsidP="00D977B9">
            <w:pPr>
              <w:rPr>
                <w:rFonts w:ascii="Times New Roman" w:hAnsi="Times New Roman"/>
                <w:szCs w:val="24"/>
              </w:rPr>
            </w:pPr>
            <w:r w:rsidRPr="00D977B9">
              <w:rPr>
                <w:rFonts w:ascii="Times New Roman" w:hAnsi="Times New Roman"/>
                <w:szCs w:val="24"/>
              </w:rPr>
              <w:t>Large swap traders</w:t>
            </w:r>
          </w:p>
        </w:tc>
        <w:tc>
          <w:tcPr>
            <w:tcW w:w="0" w:type="auto"/>
            <w:tcBorders>
              <w:top w:val="nil"/>
              <w:left w:val="nil"/>
              <w:bottom w:val="single" w:sz="8" w:space="0" w:color="auto"/>
              <w:right w:val="single" w:sz="4" w:space="0" w:color="auto"/>
            </w:tcBorders>
            <w:shd w:val="clear" w:color="auto" w:fill="auto"/>
            <w:vAlign w:val="center"/>
            <w:hideMark/>
          </w:tcPr>
          <w:p w14:paraId="16570901"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20.6(b)</w:t>
            </w:r>
          </w:p>
        </w:tc>
        <w:tc>
          <w:tcPr>
            <w:tcW w:w="0" w:type="auto"/>
            <w:tcBorders>
              <w:top w:val="nil"/>
              <w:left w:val="nil"/>
              <w:bottom w:val="single" w:sz="8" w:space="0" w:color="auto"/>
              <w:right w:val="single" w:sz="4" w:space="0" w:color="auto"/>
            </w:tcBorders>
            <w:shd w:val="clear" w:color="auto" w:fill="auto"/>
            <w:vAlign w:val="center"/>
            <w:hideMark/>
          </w:tcPr>
          <w:p w14:paraId="24012669"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                          4,756 </w:t>
            </w:r>
          </w:p>
        </w:tc>
        <w:tc>
          <w:tcPr>
            <w:tcW w:w="0" w:type="auto"/>
            <w:tcBorders>
              <w:top w:val="nil"/>
              <w:left w:val="nil"/>
              <w:bottom w:val="single" w:sz="8" w:space="0" w:color="auto"/>
              <w:right w:val="single" w:sz="4" w:space="0" w:color="auto"/>
            </w:tcBorders>
            <w:shd w:val="clear" w:color="auto" w:fill="auto"/>
            <w:noWrap/>
            <w:vAlign w:val="center"/>
            <w:hideMark/>
          </w:tcPr>
          <w:p w14:paraId="5B2B42B7"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$1,800,000 </w:t>
            </w:r>
          </w:p>
        </w:tc>
        <w:tc>
          <w:tcPr>
            <w:tcW w:w="0" w:type="auto"/>
            <w:tcBorders>
              <w:top w:val="nil"/>
              <w:left w:val="nil"/>
              <w:bottom w:val="single" w:sz="8" w:space="0" w:color="auto"/>
              <w:right w:val="single" w:sz="4" w:space="0" w:color="auto"/>
            </w:tcBorders>
            <w:shd w:val="clear" w:color="auto" w:fill="auto"/>
            <w:vAlign w:val="center"/>
            <w:hideMark/>
          </w:tcPr>
          <w:p w14:paraId="25AB45A4"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$12,000,000 </w:t>
            </w:r>
          </w:p>
        </w:tc>
        <w:tc>
          <w:tcPr>
            <w:tcW w:w="0" w:type="auto"/>
            <w:tcBorders>
              <w:top w:val="nil"/>
              <w:left w:val="nil"/>
              <w:bottom w:val="single" w:sz="8" w:space="0" w:color="auto"/>
              <w:right w:val="single" w:sz="4" w:space="0" w:color="auto"/>
            </w:tcBorders>
            <w:shd w:val="clear" w:color="auto" w:fill="auto"/>
            <w:noWrap/>
            <w:vAlign w:val="center"/>
            <w:hideMark/>
          </w:tcPr>
          <w:p w14:paraId="369B7248"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$13,800,000 </w:t>
            </w:r>
          </w:p>
        </w:tc>
        <w:tc>
          <w:tcPr>
            <w:tcW w:w="0" w:type="auto"/>
            <w:tcBorders>
              <w:top w:val="nil"/>
              <w:left w:val="nil"/>
              <w:bottom w:val="single" w:sz="8" w:space="0" w:color="auto"/>
              <w:right w:val="single" w:sz="8" w:space="0" w:color="auto"/>
            </w:tcBorders>
            <w:shd w:val="clear" w:color="auto" w:fill="auto"/>
            <w:noWrap/>
            <w:vAlign w:val="center"/>
            <w:hideMark/>
          </w:tcPr>
          <w:p w14:paraId="047BF57F"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xml:space="preserve">$2,902 </w:t>
            </w:r>
          </w:p>
        </w:tc>
      </w:tr>
      <w:tr w:rsidR="00D977B9" w:rsidRPr="00D977B9" w14:paraId="345A1EE7" w14:textId="77777777" w:rsidTr="00D977B9">
        <w:trPr>
          <w:trHeight w:val="450"/>
        </w:trPr>
        <w:tc>
          <w:tcPr>
            <w:tcW w:w="0" w:type="auto"/>
            <w:gridSpan w:val="3"/>
            <w:tcBorders>
              <w:top w:val="single" w:sz="8" w:space="0" w:color="auto"/>
              <w:left w:val="single" w:sz="8" w:space="0" w:color="auto"/>
              <w:bottom w:val="single" w:sz="8" w:space="0" w:color="auto"/>
              <w:right w:val="single" w:sz="4" w:space="0" w:color="auto"/>
            </w:tcBorders>
            <w:shd w:val="clear" w:color="000000" w:fill="BFBFBF"/>
            <w:vAlign w:val="center"/>
            <w:hideMark/>
          </w:tcPr>
          <w:p w14:paraId="01E08AD9" w14:textId="77777777" w:rsidR="00D977B9" w:rsidRPr="00D977B9" w:rsidRDefault="00D977B9" w:rsidP="00D977B9">
            <w:pPr>
              <w:rPr>
                <w:rFonts w:ascii="Times New Roman" w:hAnsi="Times New Roman"/>
                <w:b/>
                <w:bCs/>
                <w:szCs w:val="24"/>
              </w:rPr>
            </w:pPr>
            <w:r w:rsidRPr="00D977B9">
              <w:rPr>
                <w:rFonts w:ascii="Times New Roman" w:hAnsi="Times New Roman"/>
                <w:b/>
                <w:bCs/>
                <w:szCs w:val="24"/>
              </w:rPr>
              <w:t>Total Recordkeeping</w:t>
            </w:r>
          </w:p>
        </w:tc>
        <w:tc>
          <w:tcPr>
            <w:tcW w:w="0" w:type="auto"/>
            <w:tcBorders>
              <w:top w:val="nil"/>
              <w:left w:val="nil"/>
              <w:bottom w:val="single" w:sz="8" w:space="0" w:color="auto"/>
              <w:right w:val="single" w:sz="4" w:space="0" w:color="auto"/>
            </w:tcBorders>
            <w:shd w:val="clear" w:color="auto" w:fill="auto"/>
            <w:noWrap/>
            <w:vAlign w:val="center"/>
            <w:hideMark/>
          </w:tcPr>
          <w:p w14:paraId="1E3B4747" w14:textId="77777777" w:rsidR="00D977B9" w:rsidRPr="00D977B9" w:rsidRDefault="00D977B9" w:rsidP="00D977B9">
            <w:pPr>
              <w:jc w:val="right"/>
              <w:rPr>
                <w:rFonts w:ascii="Times New Roman" w:hAnsi="Times New Roman"/>
                <w:b/>
                <w:bCs/>
                <w:szCs w:val="24"/>
              </w:rPr>
            </w:pPr>
            <w:r w:rsidRPr="00D977B9">
              <w:rPr>
                <w:rFonts w:ascii="Times New Roman" w:hAnsi="Times New Roman"/>
                <w:b/>
                <w:bCs/>
                <w:szCs w:val="24"/>
              </w:rPr>
              <w:t xml:space="preserve">$1,800,000 </w:t>
            </w:r>
          </w:p>
        </w:tc>
        <w:tc>
          <w:tcPr>
            <w:tcW w:w="0" w:type="auto"/>
            <w:tcBorders>
              <w:top w:val="nil"/>
              <w:left w:val="nil"/>
              <w:bottom w:val="single" w:sz="8" w:space="0" w:color="auto"/>
              <w:right w:val="single" w:sz="4" w:space="0" w:color="auto"/>
            </w:tcBorders>
            <w:shd w:val="clear" w:color="auto" w:fill="auto"/>
            <w:vAlign w:val="center"/>
            <w:hideMark/>
          </w:tcPr>
          <w:p w14:paraId="632A3B38" w14:textId="77777777" w:rsidR="00D977B9" w:rsidRPr="00D977B9" w:rsidRDefault="00D977B9" w:rsidP="00D977B9">
            <w:pPr>
              <w:jc w:val="right"/>
              <w:rPr>
                <w:rFonts w:ascii="Times New Roman" w:hAnsi="Times New Roman"/>
                <w:b/>
                <w:bCs/>
                <w:szCs w:val="24"/>
              </w:rPr>
            </w:pPr>
            <w:r w:rsidRPr="00D977B9">
              <w:rPr>
                <w:rFonts w:ascii="Times New Roman" w:hAnsi="Times New Roman"/>
                <w:b/>
                <w:bCs/>
                <w:szCs w:val="24"/>
              </w:rPr>
              <w:t xml:space="preserve">$16,500,000 </w:t>
            </w:r>
          </w:p>
        </w:tc>
        <w:tc>
          <w:tcPr>
            <w:tcW w:w="0" w:type="auto"/>
            <w:tcBorders>
              <w:top w:val="nil"/>
              <w:left w:val="nil"/>
              <w:bottom w:val="single" w:sz="8" w:space="0" w:color="auto"/>
              <w:right w:val="single" w:sz="4" w:space="0" w:color="auto"/>
            </w:tcBorders>
            <w:shd w:val="clear" w:color="auto" w:fill="auto"/>
            <w:noWrap/>
            <w:vAlign w:val="center"/>
            <w:hideMark/>
          </w:tcPr>
          <w:p w14:paraId="662ECEAC"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w:t>
            </w:r>
          </w:p>
        </w:tc>
        <w:tc>
          <w:tcPr>
            <w:tcW w:w="0" w:type="auto"/>
            <w:tcBorders>
              <w:top w:val="nil"/>
              <w:left w:val="nil"/>
              <w:bottom w:val="single" w:sz="8" w:space="0" w:color="auto"/>
              <w:right w:val="single" w:sz="8" w:space="0" w:color="auto"/>
            </w:tcBorders>
            <w:shd w:val="clear" w:color="auto" w:fill="auto"/>
            <w:noWrap/>
            <w:vAlign w:val="center"/>
            <w:hideMark/>
          </w:tcPr>
          <w:p w14:paraId="2CBB9BF0"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w:t>
            </w:r>
          </w:p>
        </w:tc>
      </w:tr>
      <w:tr w:rsidR="00D977B9" w:rsidRPr="00D977B9" w14:paraId="0C55A903" w14:textId="77777777" w:rsidTr="00D977B9">
        <w:trPr>
          <w:trHeight w:val="450"/>
        </w:trPr>
        <w:tc>
          <w:tcPr>
            <w:tcW w:w="0" w:type="auto"/>
            <w:gridSpan w:val="7"/>
            <w:tcBorders>
              <w:top w:val="nil"/>
              <w:left w:val="single" w:sz="8" w:space="0" w:color="auto"/>
              <w:bottom w:val="nil"/>
              <w:right w:val="single" w:sz="8" w:space="0" w:color="000000"/>
            </w:tcBorders>
            <w:shd w:val="clear" w:color="auto" w:fill="auto"/>
            <w:vAlign w:val="center"/>
            <w:hideMark/>
          </w:tcPr>
          <w:p w14:paraId="00606029" w14:textId="77777777" w:rsidR="00D977B9" w:rsidRPr="00D977B9" w:rsidRDefault="00D977B9" w:rsidP="00D977B9">
            <w:pPr>
              <w:jc w:val="center"/>
              <w:rPr>
                <w:rFonts w:ascii="Times New Roman" w:hAnsi="Times New Roman"/>
                <w:szCs w:val="24"/>
              </w:rPr>
            </w:pPr>
            <w:r w:rsidRPr="00D977B9">
              <w:rPr>
                <w:rFonts w:ascii="Times New Roman" w:hAnsi="Times New Roman"/>
                <w:szCs w:val="24"/>
              </w:rPr>
              <w:t> </w:t>
            </w:r>
          </w:p>
        </w:tc>
      </w:tr>
      <w:tr w:rsidR="00D977B9" w:rsidRPr="00D977B9" w14:paraId="1A4D27B6" w14:textId="77777777" w:rsidTr="00D977B9">
        <w:trPr>
          <w:trHeight w:val="450"/>
        </w:trPr>
        <w:tc>
          <w:tcPr>
            <w:tcW w:w="0" w:type="auto"/>
            <w:gridSpan w:val="3"/>
            <w:tcBorders>
              <w:top w:val="single" w:sz="8" w:space="0" w:color="auto"/>
              <w:left w:val="single" w:sz="8" w:space="0" w:color="auto"/>
              <w:bottom w:val="single" w:sz="4" w:space="0" w:color="auto"/>
              <w:right w:val="single" w:sz="4" w:space="0" w:color="auto"/>
            </w:tcBorders>
            <w:shd w:val="clear" w:color="000000" w:fill="BFBFBF"/>
            <w:vAlign w:val="center"/>
            <w:hideMark/>
          </w:tcPr>
          <w:p w14:paraId="4D41A0B2" w14:textId="77777777" w:rsidR="00D977B9" w:rsidRPr="00D977B9" w:rsidRDefault="00D977B9" w:rsidP="00D977B9">
            <w:pPr>
              <w:rPr>
                <w:rFonts w:ascii="Times New Roman" w:hAnsi="Times New Roman"/>
                <w:b/>
                <w:bCs/>
                <w:szCs w:val="24"/>
              </w:rPr>
            </w:pPr>
            <w:r w:rsidRPr="00D977B9">
              <w:rPr>
                <w:rFonts w:ascii="Times New Roman" w:hAnsi="Times New Roman"/>
                <w:b/>
                <w:bCs/>
                <w:szCs w:val="24"/>
              </w:rPr>
              <w:t>Total Annualized Startup Costs</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69BEB541" w14:textId="77777777" w:rsidR="00D977B9" w:rsidRPr="00D977B9" w:rsidRDefault="00D977B9" w:rsidP="00D977B9">
            <w:pPr>
              <w:jc w:val="right"/>
              <w:rPr>
                <w:rFonts w:ascii="Times New Roman" w:hAnsi="Times New Roman"/>
                <w:b/>
                <w:bCs/>
                <w:szCs w:val="24"/>
              </w:rPr>
            </w:pPr>
            <w:r w:rsidRPr="00D977B9">
              <w:rPr>
                <w:rFonts w:ascii="Times New Roman" w:hAnsi="Times New Roman"/>
                <w:b/>
                <w:bCs/>
                <w:szCs w:val="24"/>
              </w:rPr>
              <w:t xml:space="preserve">$15,625,000 </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543C5F0C" w14:textId="77777777" w:rsidR="00D977B9" w:rsidRPr="00D977B9" w:rsidRDefault="00D977B9" w:rsidP="00D977B9">
            <w:pPr>
              <w:jc w:val="right"/>
              <w:rPr>
                <w:rFonts w:ascii="Times New Roman" w:hAnsi="Times New Roman"/>
                <w:b/>
                <w:bCs/>
                <w:szCs w:val="24"/>
              </w:rPr>
            </w:pPr>
            <w:r w:rsidRPr="00D977B9">
              <w:rPr>
                <w:rFonts w:ascii="Times New Roman" w:hAnsi="Times New Roman"/>
                <w:b/>
                <w:bCs/>
                <w:szCs w:val="24"/>
              </w:rPr>
              <w:t> </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2B17206F"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w:t>
            </w:r>
          </w:p>
        </w:tc>
        <w:tc>
          <w:tcPr>
            <w:tcW w:w="0" w:type="auto"/>
            <w:tcBorders>
              <w:top w:val="single" w:sz="8" w:space="0" w:color="auto"/>
              <w:left w:val="nil"/>
              <w:bottom w:val="single" w:sz="4" w:space="0" w:color="auto"/>
              <w:right w:val="single" w:sz="8" w:space="0" w:color="auto"/>
            </w:tcBorders>
            <w:shd w:val="clear" w:color="auto" w:fill="auto"/>
            <w:noWrap/>
            <w:vAlign w:val="center"/>
            <w:hideMark/>
          </w:tcPr>
          <w:p w14:paraId="31440A55"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w:t>
            </w:r>
          </w:p>
        </w:tc>
      </w:tr>
      <w:tr w:rsidR="00D977B9" w:rsidRPr="00D977B9" w14:paraId="6FA4AF3A" w14:textId="77777777" w:rsidTr="00D977B9">
        <w:trPr>
          <w:trHeight w:val="450"/>
        </w:trPr>
        <w:tc>
          <w:tcPr>
            <w:tcW w:w="0" w:type="auto"/>
            <w:gridSpan w:val="3"/>
            <w:tcBorders>
              <w:top w:val="single" w:sz="4" w:space="0" w:color="auto"/>
              <w:left w:val="single" w:sz="8" w:space="0" w:color="auto"/>
              <w:bottom w:val="single" w:sz="8" w:space="0" w:color="auto"/>
              <w:right w:val="single" w:sz="4" w:space="0" w:color="auto"/>
            </w:tcBorders>
            <w:shd w:val="clear" w:color="000000" w:fill="BFBFBF"/>
            <w:vAlign w:val="center"/>
            <w:hideMark/>
          </w:tcPr>
          <w:p w14:paraId="1CF939E0" w14:textId="77777777" w:rsidR="00D977B9" w:rsidRPr="00D977B9" w:rsidRDefault="00D977B9" w:rsidP="00D977B9">
            <w:pPr>
              <w:rPr>
                <w:rFonts w:ascii="Times New Roman" w:hAnsi="Times New Roman"/>
                <w:b/>
                <w:bCs/>
                <w:szCs w:val="24"/>
              </w:rPr>
            </w:pPr>
            <w:r w:rsidRPr="00D977B9">
              <w:rPr>
                <w:rFonts w:ascii="Times New Roman" w:hAnsi="Times New Roman"/>
                <w:b/>
                <w:bCs/>
                <w:szCs w:val="24"/>
              </w:rPr>
              <w:t>Total Annual Costs (O&amp;M)</w:t>
            </w:r>
          </w:p>
        </w:tc>
        <w:tc>
          <w:tcPr>
            <w:tcW w:w="0" w:type="auto"/>
            <w:tcBorders>
              <w:top w:val="nil"/>
              <w:left w:val="nil"/>
              <w:bottom w:val="single" w:sz="8" w:space="0" w:color="auto"/>
              <w:right w:val="single" w:sz="4" w:space="0" w:color="auto"/>
            </w:tcBorders>
            <w:shd w:val="clear" w:color="auto" w:fill="auto"/>
            <w:noWrap/>
            <w:vAlign w:val="center"/>
            <w:hideMark/>
          </w:tcPr>
          <w:p w14:paraId="202E082A" w14:textId="77777777" w:rsidR="00D977B9" w:rsidRPr="00D977B9" w:rsidRDefault="00D977B9" w:rsidP="00D977B9">
            <w:pPr>
              <w:jc w:val="right"/>
              <w:rPr>
                <w:rFonts w:ascii="Times New Roman" w:hAnsi="Times New Roman"/>
                <w:b/>
                <w:bCs/>
                <w:szCs w:val="24"/>
              </w:rPr>
            </w:pPr>
            <w:r w:rsidRPr="00D977B9">
              <w:rPr>
                <w:rFonts w:ascii="Times New Roman" w:hAnsi="Times New Roman"/>
                <w:b/>
                <w:bCs/>
                <w:szCs w:val="24"/>
              </w:rPr>
              <w:t> </w:t>
            </w:r>
          </w:p>
        </w:tc>
        <w:tc>
          <w:tcPr>
            <w:tcW w:w="0" w:type="auto"/>
            <w:tcBorders>
              <w:top w:val="nil"/>
              <w:left w:val="nil"/>
              <w:bottom w:val="single" w:sz="8" w:space="0" w:color="auto"/>
              <w:right w:val="single" w:sz="4" w:space="0" w:color="auto"/>
            </w:tcBorders>
            <w:shd w:val="clear" w:color="auto" w:fill="auto"/>
            <w:vAlign w:val="center"/>
            <w:hideMark/>
          </w:tcPr>
          <w:p w14:paraId="20FBF92B" w14:textId="77777777" w:rsidR="00D977B9" w:rsidRPr="00D977B9" w:rsidRDefault="00D977B9" w:rsidP="00D977B9">
            <w:pPr>
              <w:jc w:val="right"/>
              <w:rPr>
                <w:rFonts w:ascii="Times New Roman" w:hAnsi="Times New Roman"/>
                <w:b/>
                <w:bCs/>
                <w:szCs w:val="24"/>
              </w:rPr>
            </w:pPr>
            <w:r w:rsidRPr="00D977B9">
              <w:rPr>
                <w:rFonts w:ascii="Times New Roman" w:hAnsi="Times New Roman"/>
                <w:b/>
                <w:bCs/>
                <w:szCs w:val="24"/>
              </w:rPr>
              <w:t xml:space="preserve">$22,625,000 </w:t>
            </w:r>
          </w:p>
        </w:tc>
        <w:tc>
          <w:tcPr>
            <w:tcW w:w="0" w:type="auto"/>
            <w:tcBorders>
              <w:top w:val="nil"/>
              <w:left w:val="nil"/>
              <w:bottom w:val="single" w:sz="8" w:space="0" w:color="auto"/>
              <w:right w:val="single" w:sz="4" w:space="0" w:color="auto"/>
            </w:tcBorders>
            <w:shd w:val="clear" w:color="auto" w:fill="auto"/>
            <w:noWrap/>
            <w:vAlign w:val="center"/>
            <w:hideMark/>
          </w:tcPr>
          <w:p w14:paraId="7D92AC27"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w:t>
            </w:r>
          </w:p>
        </w:tc>
        <w:tc>
          <w:tcPr>
            <w:tcW w:w="0" w:type="auto"/>
            <w:tcBorders>
              <w:top w:val="nil"/>
              <w:left w:val="nil"/>
              <w:bottom w:val="single" w:sz="8" w:space="0" w:color="auto"/>
              <w:right w:val="single" w:sz="8" w:space="0" w:color="auto"/>
            </w:tcBorders>
            <w:shd w:val="clear" w:color="auto" w:fill="auto"/>
            <w:noWrap/>
            <w:vAlign w:val="center"/>
            <w:hideMark/>
          </w:tcPr>
          <w:p w14:paraId="7EE34395"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w:t>
            </w:r>
          </w:p>
        </w:tc>
      </w:tr>
      <w:tr w:rsidR="00D977B9" w:rsidRPr="00D977B9" w14:paraId="745835DF" w14:textId="77777777" w:rsidTr="00D977B9">
        <w:trPr>
          <w:trHeight w:val="450"/>
        </w:trPr>
        <w:tc>
          <w:tcPr>
            <w:tcW w:w="0" w:type="auto"/>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1BE326E7" w14:textId="77777777" w:rsidR="00D977B9" w:rsidRPr="00D977B9" w:rsidRDefault="00D977B9" w:rsidP="00D977B9">
            <w:pPr>
              <w:jc w:val="center"/>
              <w:rPr>
                <w:rFonts w:ascii="Times New Roman" w:hAnsi="Times New Roman"/>
                <w:b/>
                <w:bCs/>
                <w:szCs w:val="24"/>
              </w:rPr>
            </w:pPr>
            <w:r w:rsidRPr="00D977B9">
              <w:rPr>
                <w:rFonts w:ascii="Times New Roman" w:hAnsi="Times New Roman"/>
                <w:b/>
                <w:bCs/>
                <w:szCs w:val="24"/>
              </w:rPr>
              <w:t> </w:t>
            </w:r>
          </w:p>
        </w:tc>
      </w:tr>
      <w:tr w:rsidR="00D977B9" w:rsidRPr="00D977B9" w14:paraId="3A4E1621" w14:textId="77777777" w:rsidTr="00D977B9">
        <w:trPr>
          <w:trHeight w:val="450"/>
        </w:trPr>
        <w:tc>
          <w:tcPr>
            <w:tcW w:w="0" w:type="auto"/>
            <w:gridSpan w:val="3"/>
            <w:tcBorders>
              <w:top w:val="single" w:sz="8" w:space="0" w:color="auto"/>
              <w:left w:val="single" w:sz="8" w:space="0" w:color="auto"/>
              <w:bottom w:val="single" w:sz="8" w:space="0" w:color="auto"/>
              <w:right w:val="single" w:sz="4" w:space="0" w:color="auto"/>
            </w:tcBorders>
            <w:shd w:val="clear" w:color="000000" w:fill="BFBFBF"/>
            <w:vAlign w:val="center"/>
            <w:hideMark/>
          </w:tcPr>
          <w:p w14:paraId="77179090" w14:textId="77777777" w:rsidR="00D977B9" w:rsidRPr="00D977B9" w:rsidRDefault="00D977B9" w:rsidP="00D977B9">
            <w:pPr>
              <w:rPr>
                <w:rFonts w:ascii="Times New Roman" w:hAnsi="Times New Roman"/>
                <w:b/>
                <w:bCs/>
                <w:szCs w:val="24"/>
              </w:rPr>
            </w:pPr>
            <w:r w:rsidRPr="00D977B9">
              <w:rPr>
                <w:rFonts w:ascii="Times New Roman" w:hAnsi="Times New Roman"/>
                <w:b/>
                <w:bCs/>
                <w:szCs w:val="24"/>
              </w:rPr>
              <w:t xml:space="preserve">Total Annualized Costs Requested </w:t>
            </w:r>
          </w:p>
        </w:tc>
        <w:tc>
          <w:tcPr>
            <w:tcW w:w="0" w:type="auto"/>
            <w:tcBorders>
              <w:top w:val="nil"/>
              <w:left w:val="nil"/>
              <w:bottom w:val="single" w:sz="8" w:space="0" w:color="auto"/>
              <w:right w:val="nil"/>
            </w:tcBorders>
            <w:shd w:val="clear" w:color="000000" w:fill="FFFFFF"/>
            <w:vAlign w:val="center"/>
            <w:hideMark/>
          </w:tcPr>
          <w:p w14:paraId="5E11DB86" w14:textId="77777777" w:rsidR="00D977B9" w:rsidRPr="00D977B9" w:rsidRDefault="00D977B9" w:rsidP="00D977B9">
            <w:pPr>
              <w:rPr>
                <w:rFonts w:ascii="Times New Roman" w:hAnsi="Times New Roman"/>
                <w:b/>
                <w:bCs/>
                <w:szCs w:val="24"/>
              </w:rPr>
            </w:pPr>
            <w:r w:rsidRPr="00D977B9">
              <w:rPr>
                <w:rFonts w:ascii="Times New Roman" w:hAnsi="Times New Roman"/>
                <w:b/>
                <w:bCs/>
                <w:szCs w:val="24"/>
              </w:rPr>
              <w:t> </w:t>
            </w:r>
          </w:p>
        </w:tc>
        <w:tc>
          <w:tcPr>
            <w:tcW w:w="0" w:type="auto"/>
            <w:tcBorders>
              <w:top w:val="nil"/>
              <w:left w:val="nil"/>
              <w:bottom w:val="single" w:sz="8" w:space="0" w:color="auto"/>
              <w:right w:val="single" w:sz="4" w:space="0" w:color="auto"/>
            </w:tcBorders>
            <w:shd w:val="clear" w:color="000000" w:fill="FFFFFF"/>
            <w:vAlign w:val="center"/>
            <w:hideMark/>
          </w:tcPr>
          <w:p w14:paraId="6E1F7D37" w14:textId="77777777" w:rsidR="00D977B9" w:rsidRPr="00D977B9" w:rsidRDefault="00D977B9" w:rsidP="00D977B9">
            <w:pPr>
              <w:rPr>
                <w:rFonts w:ascii="Times New Roman" w:hAnsi="Times New Roman"/>
                <w:b/>
                <w:bCs/>
                <w:szCs w:val="24"/>
              </w:rPr>
            </w:pPr>
            <w:r w:rsidRPr="00D977B9">
              <w:rPr>
                <w:rFonts w:ascii="Times New Roman" w:hAnsi="Times New Roman"/>
                <w:b/>
                <w:bCs/>
                <w:szCs w:val="24"/>
              </w:rPr>
              <w:t> </w:t>
            </w:r>
          </w:p>
        </w:tc>
        <w:tc>
          <w:tcPr>
            <w:tcW w:w="0" w:type="auto"/>
            <w:tcBorders>
              <w:top w:val="nil"/>
              <w:left w:val="nil"/>
              <w:bottom w:val="single" w:sz="8" w:space="0" w:color="auto"/>
              <w:right w:val="single" w:sz="4" w:space="0" w:color="auto"/>
            </w:tcBorders>
            <w:shd w:val="clear" w:color="auto" w:fill="auto"/>
            <w:noWrap/>
            <w:vAlign w:val="center"/>
            <w:hideMark/>
          </w:tcPr>
          <w:p w14:paraId="4913A981" w14:textId="77777777" w:rsidR="00D977B9" w:rsidRPr="00D977B9" w:rsidRDefault="00D977B9" w:rsidP="00D977B9">
            <w:pPr>
              <w:jc w:val="right"/>
              <w:rPr>
                <w:rFonts w:ascii="Times New Roman" w:hAnsi="Times New Roman"/>
                <w:b/>
                <w:bCs/>
                <w:szCs w:val="24"/>
              </w:rPr>
            </w:pPr>
            <w:r w:rsidRPr="00D977B9">
              <w:rPr>
                <w:rFonts w:ascii="Times New Roman" w:hAnsi="Times New Roman"/>
                <w:b/>
                <w:bCs/>
                <w:szCs w:val="24"/>
              </w:rPr>
              <w:t xml:space="preserve">$38,250,000 </w:t>
            </w:r>
          </w:p>
        </w:tc>
        <w:tc>
          <w:tcPr>
            <w:tcW w:w="0" w:type="auto"/>
            <w:tcBorders>
              <w:top w:val="nil"/>
              <w:left w:val="nil"/>
              <w:bottom w:val="single" w:sz="8" w:space="0" w:color="auto"/>
              <w:right w:val="single" w:sz="8" w:space="0" w:color="auto"/>
            </w:tcBorders>
            <w:shd w:val="clear" w:color="auto" w:fill="auto"/>
            <w:noWrap/>
            <w:vAlign w:val="center"/>
            <w:hideMark/>
          </w:tcPr>
          <w:p w14:paraId="125AA3E4" w14:textId="77777777" w:rsidR="00D977B9" w:rsidRPr="00D977B9" w:rsidRDefault="00D977B9" w:rsidP="00D977B9">
            <w:pPr>
              <w:jc w:val="right"/>
              <w:rPr>
                <w:rFonts w:ascii="Times New Roman" w:hAnsi="Times New Roman"/>
                <w:szCs w:val="24"/>
              </w:rPr>
            </w:pPr>
            <w:r w:rsidRPr="00D977B9">
              <w:rPr>
                <w:rFonts w:ascii="Times New Roman" w:hAnsi="Times New Roman"/>
                <w:szCs w:val="24"/>
              </w:rPr>
              <w:t> </w:t>
            </w:r>
          </w:p>
        </w:tc>
      </w:tr>
    </w:tbl>
    <w:p w14:paraId="60B3C195" w14:textId="77777777" w:rsidR="00A73D65" w:rsidRPr="00A73D65" w:rsidRDefault="00A73D65" w:rsidP="00A73D65">
      <w:pPr>
        <w:pStyle w:val="Title"/>
        <w:tabs>
          <w:tab w:val="center" w:pos="7200"/>
        </w:tabs>
        <w:spacing w:after="480"/>
        <w:jc w:val="left"/>
        <w:rPr>
          <w:sz w:val="24"/>
          <w:szCs w:val="24"/>
        </w:rPr>
      </w:pPr>
    </w:p>
    <w:p w14:paraId="6B1669E9" w14:textId="77777777" w:rsidR="00585718" w:rsidRPr="00A73D65" w:rsidRDefault="00585718" w:rsidP="007F22A4">
      <w:pPr>
        <w:rPr>
          <w:rFonts w:ascii="Times New Roman" w:hAnsi="Times New Roman"/>
          <w:szCs w:val="24"/>
        </w:rPr>
      </w:pPr>
    </w:p>
    <w:sectPr w:rsidR="00585718" w:rsidRPr="00A73D65" w:rsidSect="00DD79B8">
      <w:footnotePr>
        <w:numFmt w:val="chicago"/>
      </w:footnotePr>
      <w:endnotePr>
        <w:numFmt w:val="chicago"/>
      </w:endnotePr>
      <w:type w:val="continuous"/>
      <w:pgSz w:w="15840" w:h="12240" w:orient="landscape" w:code="1"/>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4F568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D82AA6" w14:textId="77777777" w:rsidR="00226708" w:rsidRDefault="00226708" w:rsidP="00A73D65">
      <w:r>
        <w:separator/>
      </w:r>
    </w:p>
  </w:endnote>
  <w:endnote w:type="continuationSeparator" w:id="0">
    <w:p w14:paraId="569315C5" w14:textId="77777777" w:rsidR="00226708" w:rsidRDefault="00226708"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73DFF" w14:textId="77777777" w:rsidR="00380471" w:rsidRDefault="00380471">
    <w:pPr>
      <w:pStyle w:val="Footer"/>
      <w:jc w:val="center"/>
    </w:pPr>
    <w:r>
      <w:fldChar w:fldCharType="begin"/>
    </w:r>
    <w:r>
      <w:instrText xml:space="preserve"> PAGE   \* MERGEFORMAT </w:instrText>
    </w:r>
    <w:r>
      <w:fldChar w:fldCharType="separate"/>
    </w:r>
    <w:r w:rsidR="00D57A28">
      <w:rPr>
        <w:noProof/>
      </w:rPr>
      <w:t>1</w:t>
    </w:r>
    <w:r>
      <w:rPr>
        <w:noProof/>
      </w:rPr>
      <w:fldChar w:fldCharType="end"/>
    </w:r>
  </w:p>
  <w:p w14:paraId="24E21DAE" w14:textId="77777777" w:rsidR="00380471" w:rsidRDefault="003804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D4A3A" w14:textId="77777777" w:rsidR="00380471" w:rsidRDefault="00380471">
    <w:pPr>
      <w:pStyle w:val="Footer"/>
      <w:jc w:val="center"/>
    </w:pPr>
    <w:r>
      <w:fldChar w:fldCharType="begin"/>
    </w:r>
    <w:r>
      <w:instrText xml:space="preserve"> PAGE   \* MERGEFORMAT </w:instrText>
    </w:r>
    <w:r>
      <w:fldChar w:fldCharType="separate"/>
    </w:r>
    <w:r w:rsidR="00B612B1">
      <w:rPr>
        <w:noProof/>
      </w:rPr>
      <w:t>12</w:t>
    </w:r>
    <w:r>
      <w:rPr>
        <w:noProof/>
      </w:rPr>
      <w:fldChar w:fldCharType="end"/>
    </w:r>
  </w:p>
  <w:p w14:paraId="1B756FC2" w14:textId="77777777" w:rsidR="00380471" w:rsidRDefault="003804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AAD0DE" w14:textId="77777777" w:rsidR="00226708" w:rsidRDefault="00226708" w:rsidP="00A73D65">
      <w:r>
        <w:separator/>
      </w:r>
    </w:p>
  </w:footnote>
  <w:footnote w:type="continuationSeparator" w:id="0">
    <w:p w14:paraId="3AED2188" w14:textId="77777777" w:rsidR="00226708" w:rsidRDefault="00226708" w:rsidP="00A73D65">
      <w:r>
        <w:continuationSeparator/>
      </w:r>
    </w:p>
  </w:footnote>
  <w:footnote w:id="1">
    <w:p w14:paraId="49ED4BDC" w14:textId="77777777" w:rsidR="00380471" w:rsidRPr="001F1A00" w:rsidRDefault="00380471" w:rsidP="00A73D65">
      <w:pPr>
        <w:pStyle w:val="PlainText"/>
        <w:rPr>
          <w:rFonts w:ascii="Times New Roman" w:hAnsi="Times New Roman"/>
          <w:color w:val="auto"/>
          <w:sz w:val="20"/>
          <w:szCs w:val="24"/>
        </w:rPr>
      </w:pPr>
      <w:r w:rsidRPr="001F1A00">
        <w:rPr>
          <w:rStyle w:val="FootnoteReference"/>
          <w:rFonts w:ascii="Times New Roman" w:hAnsi="Times New Roman"/>
          <w:color w:val="auto"/>
          <w:sz w:val="20"/>
          <w:szCs w:val="24"/>
        </w:rPr>
        <w:footnoteRef/>
      </w:r>
      <w:r w:rsidRPr="001F1A00">
        <w:rPr>
          <w:rFonts w:ascii="Times New Roman" w:hAnsi="Times New Roman"/>
          <w:color w:val="auto"/>
          <w:sz w:val="20"/>
          <w:szCs w:val="24"/>
        </w:rPr>
        <w:t xml:space="preserve"> </w:t>
      </w:r>
      <w:r w:rsidRPr="001F1A00">
        <w:rPr>
          <w:rFonts w:ascii="Times New Roman" w:hAnsi="Times New Roman"/>
          <w:i/>
          <w:color w:val="auto"/>
          <w:sz w:val="20"/>
          <w:szCs w:val="24"/>
        </w:rPr>
        <w:t>See</w:t>
      </w:r>
      <w:r w:rsidRPr="001F1A00">
        <w:rPr>
          <w:rFonts w:ascii="Times New Roman" w:hAnsi="Times New Roman"/>
          <w:color w:val="auto"/>
          <w:sz w:val="20"/>
          <w:szCs w:val="24"/>
        </w:rPr>
        <w:t xml:space="preserve"> Dodd-Frank Wall Street Reform and Consumer Protection Act, Pub. L. No. 111-203, 124 Stat. 1376 (2010). </w:t>
      </w:r>
    </w:p>
    <w:p w14:paraId="2F8406F2" w14:textId="77777777" w:rsidR="00380471" w:rsidRPr="001F1A00" w:rsidRDefault="00380471" w:rsidP="00A73D65">
      <w:pPr>
        <w:pStyle w:val="PlainText"/>
        <w:rPr>
          <w:rFonts w:ascii="Times New Roman" w:hAnsi="Times New Roman"/>
          <w:color w:val="auto"/>
          <w:sz w:val="20"/>
          <w:szCs w:val="24"/>
        </w:rPr>
      </w:pPr>
      <w:r w:rsidRPr="001F1A00">
        <w:rPr>
          <w:rFonts w:ascii="Times New Roman" w:hAnsi="Times New Roman"/>
          <w:color w:val="auto"/>
          <w:sz w:val="20"/>
          <w:szCs w:val="24"/>
        </w:rPr>
        <w:t xml:space="preserve"> </w:t>
      </w:r>
    </w:p>
  </w:footnote>
  <w:footnote w:id="2">
    <w:p w14:paraId="770B4B73" w14:textId="77777777" w:rsidR="00380471" w:rsidRPr="001F1A00" w:rsidRDefault="00380471" w:rsidP="00A73D65">
      <w:pPr>
        <w:pStyle w:val="FootnoteText"/>
        <w:rPr>
          <w:rFonts w:ascii="Times New Roman" w:hAnsi="Times New Roman"/>
          <w:sz w:val="20"/>
          <w:szCs w:val="24"/>
        </w:rPr>
      </w:pPr>
      <w:r w:rsidRPr="001F1A00">
        <w:rPr>
          <w:rStyle w:val="FootnoteReference"/>
          <w:rFonts w:ascii="Times New Roman" w:hAnsi="Times New Roman"/>
          <w:sz w:val="20"/>
          <w:szCs w:val="24"/>
        </w:rPr>
        <w:footnoteRef/>
      </w:r>
      <w:r w:rsidRPr="001F1A00">
        <w:rPr>
          <w:rFonts w:ascii="Times New Roman" w:hAnsi="Times New Roman"/>
          <w:sz w:val="20"/>
          <w:szCs w:val="24"/>
        </w:rPr>
        <w:t xml:space="preserve"> 7 U.S.C. 1 </w:t>
      </w:r>
      <w:r w:rsidRPr="001F1A00">
        <w:rPr>
          <w:rFonts w:ascii="Times New Roman" w:hAnsi="Times New Roman"/>
          <w:i/>
          <w:sz w:val="20"/>
          <w:szCs w:val="24"/>
        </w:rPr>
        <w:t>et seq.</w:t>
      </w:r>
    </w:p>
    <w:p w14:paraId="075A7D4E" w14:textId="77777777" w:rsidR="00380471" w:rsidRPr="001F1A00" w:rsidRDefault="00380471" w:rsidP="00A73D65">
      <w:pPr>
        <w:pStyle w:val="FootnoteText"/>
        <w:rPr>
          <w:rFonts w:ascii="Times New Roman" w:hAnsi="Times New Roman"/>
          <w:sz w:val="20"/>
          <w:szCs w:val="24"/>
        </w:rPr>
      </w:pPr>
    </w:p>
  </w:footnote>
  <w:footnote w:id="3">
    <w:p w14:paraId="3585DCFF" w14:textId="77777777" w:rsidR="00380471" w:rsidRPr="001F1A00" w:rsidRDefault="00380471" w:rsidP="00A73D65">
      <w:pPr>
        <w:pStyle w:val="FootnoteText"/>
        <w:rPr>
          <w:rFonts w:ascii="Times New Roman" w:hAnsi="Times New Roman"/>
          <w:sz w:val="20"/>
          <w:szCs w:val="24"/>
        </w:rPr>
      </w:pPr>
      <w:r w:rsidRPr="001F1A00">
        <w:rPr>
          <w:rStyle w:val="FootnoteReference"/>
          <w:rFonts w:ascii="Times New Roman" w:hAnsi="Times New Roman"/>
          <w:sz w:val="20"/>
          <w:szCs w:val="24"/>
        </w:rPr>
        <w:footnoteRef/>
      </w:r>
      <w:r w:rsidRPr="001F1A00">
        <w:rPr>
          <w:rFonts w:ascii="Times New Roman" w:hAnsi="Times New Roman"/>
          <w:sz w:val="20"/>
          <w:szCs w:val="24"/>
        </w:rPr>
        <w:t xml:space="preserve"> 66 FR 45604, 45609 (August 29, 2001).</w:t>
      </w:r>
    </w:p>
    <w:p w14:paraId="6B7BFD4C" w14:textId="77777777" w:rsidR="00380471" w:rsidRPr="001F1A00" w:rsidRDefault="00380471" w:rsidP="00A73D65">
      <w:pPr>
        <w:pStyle w:val="FootnoteText"/>
        <w:rPr>
          <w:rFonts w:ascii="Times New Roman" w:hAnsi="Times New Roman"/>
          <w:sz w:val="20"/>
          <w:szCs w:val="24"/>
        </w:rPr>
      </w:pPr>
    </w:p>
  </w:footnote>
  <w:footnote w:id="4">
    <w:p w14:paraId="0EB14493" w14:textId="77777777" w:rsidR="00380471" w:rsidRPr="001F1A00" w:rsidRDefault="00380471" w:rsidP="00A73D65">
      <w:pPr>
        <w:pStyle w:val="FootnoteText"/>
        <w:rPr>
          <w:rFonts w:ascii="Times New Roman" w:hAnsi="Times New Roman"/>
          <w:sz w:val="20"/>
          <w:szCs w:val="24"/>
        </w:rPr>
      </w:pPr>
      <w:r w:rsidRPr="001F1A00">
        <w:rPr>
          <w:rStyle w:val="FootnoteReference"/>
          <w:rFonts w:ascii="Times New Roman" w:hAnsi="Times New Roman"/>
          <w:sz w:val="20"/>
          <w:szCs w:val="24"/>
        </w:rPr>
        <w:footnoteRef/>
      </w:r>
      <w:r w:rsidRPr="001F1A00">
        <w:rPr>
          <w:rFonts w:ascii="Times New Roman" w:hAnsi="Times New Roman"/>
          <w:sz w:val="20"/>
          <w:szCs w:val="24"/>
        </w:rPr>
        <w:t xml:space="preserve"> Policy Statement and Establishment of Definitions of “Small Entities” for Purposes of the Regulatory Flexibility Act, 47 Fed. Reg. 18618, 18619 (Apr. 30, 1982).  </w:t>
      </w:r>
    </w:p>
    <w:p w14:paraId="41A06789" w14:textId="77777777" w:rsidR="00380471" w:rsidRPr="001F1A00" w:rsidRDefault="00380471" w:rsidP="00A73D65">
      <w:pPr>
        <w:pStyle w:val="FootnoteText"/>
        <w:rPr>
          <w:rFonts w:ascii="Times New Roman" w:hAnsi="Times New Roman"/>
          <w:sz w:val="20"/>
          <w:szCs w:val="24"/>
        </w:rPr>
      </w:pPr>
    </w:p>
  </w:footnote>
  <w:footnote w:id="5">
    <w:p w14:paraId="41B0CC16" w14:textId="77777777" w:rsidR="003F1CE4" w:rsidRDefault="003F1CE4">
      <w:pPr>
        <w:pStyle w:val="FootnoteText"/>
      </w:pPr>
      <w:r w:rsidRPr="00EE14EC">
        <w:rPr>
          <w:rStyle w:val="FootnoteReference"/>
          <w:rFonts w:ascii="Times New Roman" w:hAnsi="Times New Roman"/>
        </w:rPr>
        <w:footnoteRef/>
      </w:r>
      <w:r w:rsidRPr="00EE14EC">
        <w:rPr>
          <w:rFonts w:ascii="Times New Roman" w:hAnsi="Times New Roman"/>
        </w:rPr>
        <w:t xml:space="preserve"> </w:t>
      </w:r>
      <w:r>
        <w:rPr>
          <w:rFonts w:ascii="Times New Roman" w:hAnsi="Times New Roman"/>
          <w:sz w:val="20"/>
          <w:szCs w:val="24"/>
        </w:rPr>
        <w:t>Large Trader Reporting for Physical Commodity Swaps</w:t>
      </w:r>
      <w:r w:rsidR="000C41BD">
        <w:rPr>
          <w:rFonts w:ascii="Times New Roman" w:hAnsi="Times New Roman"/>
          <w:sz w:val="20"/>
          <w:szCs w:val="24"/>
        </w:rPr>
        <w:t xml:space="preserve"> (final rule)</w:t>
      </w:r>
      <w:r>
        <w:rPr>
          <w:rFonts w:ascii="Times New Roman" w:hAnsi="Times New Roman"/>
          <w:sz w:val="20"/>
          <w:szCs w:val="24"/>
        </w:rPr>
        <w:t xml:space="preserve">, </w:t>
      </w:r>
      <w:r w:rsidRPr="003F1CE4">
        <w:rPr>
          <w:rFonts w:ascii="Times New Roman" w:hAnsi="Times New Roman"/>
          <w:sz w:val="20"/>
          <w:szCs w:val="24"/>
        </w:rPr>
        <w:t>76 FR 43851, 43860 (Jul. 22, 2011)</w:t>
      </w:r>
      <w:r>
        <w:rPr>
          <w:rFonts w:ascii="Times New Roman" w:hAnsi="Times New Roman"/>
          <w:sz w:val="20"/>
          <w:szCs w:val="24"/>
        </w:rPr>
        <w:t>.</w:t>
      </w:r>
    </w:p>
  </w:footnote>
  <w:footnote w:id="6">
    <w:p w14:paraId="36922F40" w14:textId="77777777" w:rsidR="003F1CE4" w:rsidRPr="00EE14EC" w:rsidRDefault="003F1CE4">
      <w:pPr>
        <w:pStyle w:val="FootnoteText"/>
        <w:rPr>
          <w:rFonts w:ascii="Times New Roman" w:hAnsi="Times New Roman"/>
          <w:sz w:val="20"/>
        </w:rPr>
      </w:pPr>
      <w:r w:rsidRPr="00562A6E">
        <w:rPr>
          <w:rStyle w:val="FootnoteReference"/>
          <w:rFonts w:ascii="Times New Roman" w:hAnsi="Times New Roman"/>
        </w:rPr>
        <w:footnoteRef/>
      </w:r>
      <w:r w:rsidRPr="00EE14EC">
        <w:rPr>
          <w:rFonts w:ascii="Times New Roman" w:hAnsi="Times New Roman"/>
          <w:sz w:val="20"/>
        </w:rPr>
        <w:t>Amendments to the</w:t>
      </w:r>
      <w:r w:rsidR="00AE5107" w:rsidRPr="00EE14EC">
        <w:rPr>
          <w:rFonts w:ascii="Times New Roman" w:hAnsi="Times New Roman"/>
          <w:sz w:val="20"/>
        </w:rPr>
        <w:t xml:space="preserve"> </w:t>
      </w:r>
      <w:r w:rsidRPr="00EE14EC">
        <w:rPr>
          <w:rFonts w:ascii="Times New Roman" w:hAnsi="Times New Roman"/>
          <w:sz w:val="20"/>
        </w:rPr>
        <w:t xml:space="preserve">Record-keeping Rules in </w:t>
      </w:r>
      <w:r w:rsidR="00AE5107" w:rsidRPr="00EE14EC">
        <w:rPr>
          <w:rFonts w:ascii="Times New Roman" w:hAnsi="Times New Roman"/>
          <w:sz w:val="20"/>
        </w:rPr>
        <w:t xml:space="preserve">17 CFR </w:t>
      </w:r>
      <w:r w:rsidRPr="00EE14EC">
        <w:rPr>
          <w:rFonts w:ascii="Times New Roman" w:hAnsi="Times New Roman"/>
          <w:sz w:val="20"/>
        </w:rPr>
        <w:t>P</w:t>
      </w:r>
      <w:r w:rsidR="00AE5107" w:rsidRPr="00EE14EC">
        <w:rPr>
          <w:rFonts w:ascii="Times New Roman" w:hAnsi="Times New Roman"/>
          <w:sz w:val="20"/>
        </w:rPr>
        <w:t>arts 1 and 2,</w:t>
      </w:r>
      <w:r w:rsidRPr="00EE14EC">
        <w:rPr>
          <w:rFonts w:ascii="Times New Roman" w:hAnsi="Times New Roman"/>
          <w:sz w:val="20"/>
        </w:rPr>
        <w:t xml:space="preserve"> 82 FR 24479, 24482 (May 30, 2017)</w:t>
      </w:r>
      <w:r w:rsidR="00EE14EC">
        <w:rPr>
          <w:rFonts w:ascii="Times New Roman" w:hAnsi="Times New Roman"/>
          <w:sz w:val="20"/>
        </w:rPr>
        <w:t>.</w:t>
      </w:r>
    </w:p>
  </w:footnote>
  <w:footnote w:id="7">
    <w:p w14:paraId="439ED51D" w14:textId="77777777" w:rsidR="00EA3286" w:rsidRPr="001F1A00" w:rsidRDefault="00EA3286" w:rsidP="00EA3286">
      <w:pPr>
        <w:pStyle w:val="FootnoteText"/>
        <w:rPr>
          <w:rFonts w:ascii="Times New Roman" w:hAnsi="Times New Roman"/>
          <w:sz w:val="20"/>
          <w:szCs w:val="24"/>
        </w:rPr>
      </w:pPr>
      <w:r w:rsidRPr="001F1A00">
        <w:rPr>
          <w:rStyle w:val="FootnoteReference"/>
          <w:rFonts w:ascii="Times New Roman" w:hAnsi="Times New Roman"/>
          <w:sz w:val="20"/>
          <w:szCs w:val="24"/>
        </w:rPr>
        <w:footnoteRef/>
      </w:r>
      <w:r w:rsidRPr="001F1A00">
        <w:rPr>
          <w:rFonts w:ascii="Times New Roman" w:hAnsi="Times New Roman"/>
          <w:sz w:val="20"/>
          <w:szCs w:val="24"/>
        </w:rPr>
        <w:t xml:space="preserve"> The Commission staff's estimates concerning the wage rates are based on salary information for the securities industry compiled by the Securities Industry and Financial Markets Association (“SIFMA”).  The $74.73 per hour is derived from figures from a weighted average of salaries and bonuses across different professions from the SIFMA Report on Management &amp; Professional Earnings in the Securities Industry 2013, modified to account for an 1800-hour work-year and multiplied by 1.3 to account for overhead and other benefits.  The wage rate is a weighted national average of salary and bonuses for professionals with the following titles (and their relative weight); “programmer (senior)” (60% weight), “compliance advisor (intermediate)” (20%), “systems analyst” (10%), and “assistant/associate general counsel” (10%).  </w:t>
      </w:r>
    </w:p>
    <w:p w14:paraId="3F628058" w14:textId="77777777" w:rsidR="00EA3286" w:rsidRPr="001F1A00" w:rsidRDefault="00EA3286" w:rsidP="00EA3286">
      <w:pPr>
        <w:pStyle w:val="FootnoteText"/>
        <w:rPr>
          <w:rFonts w:ascii="Times New Roman" w:hAnsi="Times New Roman"/>
          <w:sz w:val="20"/>
          <w:szCs w:val="24"/>
        </w:rPr>
      </w:pPr>
    </w:p>
  </w:footnote>
  <w:footnote w:id="8">
    <w:p w14:paraId="40E27C65" w14:textId="77777777" w:rsidR="00EA3286" w:rsidRPr="001F1A00" w:rsidRDefault="00EA3286" w:rsidP="00EA3286">
      <w:pPr>
        <w:pStyle w:val="FootnoteText"/>
        <w:rPr>
          <w:rFonts w:ascii="Times New Roman" w:hAnsi="Times New Roman"/>
          <w:sz w:val="20"/>
        </w:rPr>
      </w:pPr>
      <w:r w:rsidRPr="001F1A00">
        <w:rPr>
          <w:rStyle w:val="FootnoteReference"/>
          <w:rFonts w:ascii="Times New Roman" w:hAnsi="Times New Roman"/>
          <w:sz w:val="20"/>
        </w:rPr>
        <w:footnoteRef/>
      </w:r>
      <w:r w:rsidRPr="001F1A00">
        <w:rPr>
          <w:rFonts w:ascii="Times New Roman" w:hAnsi="Times New Roman"/>
          <w:sz w:val="20"/>
        </w:rPr>
        <w:t xml:space="preserve"> Estimated </w:t>
      </w:r>
      <w:r>
        <w:rPr>
          <w:rFonts w:ascii="Times New Roman" w:hAnsi="Times New Roman"/>
          <w:sz w:val="20"/>
        </w:rPr>
        <w:t>annualized costs $3,341,709 (Reports) plus $1,162,799 (Recordkeeping) equals $4,504,508.</w:t>
      </w:r>
    </w:p>
  </w:footnote>
  <w:footnote w:id="9">
    <w:p w14:paraId="37881D15" w14:textId="77777777" w:rsidR="00380471" w:rsidRPr="001F1A00" w:rsidRDefault="00380471" w:rsidP="00A73D65">
      <w:pPr>
        <w:pStyle w:val="FootnoteText"/>
        <w:rPr>
          <w:rFonts w:ascii="Times New Roman" w:hAnsi="Times New Roman"/>
          <w:sz w:val="20"/>
          <w:szCs w:val="24"/>
        </w:rPr>
      </w:pPr>
      <w:r w:rsidRPr="001F1A00">
        <w:rPr>
          <w:rStyle w:val="FootnoteReference"/>
          <w:rFonts w:ascii="Times New Roman" w:hAnsi="Times New Roman"/>
          <w:sz w:val="20"/>
          <w:szCs w:val="24"/>
        </w:rPr>
        <w:footnoteRef/>
      </w:r>
      <w:r w:rsidRPr="001F1A00">
        <w:rPr>
          <w:rFonts w:ascii="Times New Roman" w:hAnsi="Times New Roman"/>
          <w:sz w:val="20"/>
          <w:szCs w:val="24"/>
        </w:rPr>
        <w:t xml:space="preserve"> All of the capital cost figures are based on a 5 year, straight line depreciation.  </w:t>
      </w:r>
    </w:p>
    <w:p w14:paraId="7BD08265" w14:textId="77777777" w:rsidR="00380471" w:rsidRPr="001F1A00" w:rsidRDefault="00380471" w:rsidP="00A73D65">
      <w:pPr>
        <w:pStyle w:val="FootnoteText"/>
        <w:jc w:val="center"/>
        <w:rPr>
          <w:rFonts w:ascii="Times New Roman" w:hAnsi="Times New Roman"/>
          <w:sz w:val="20"/>
          <w:szCs w:val="24"/>
        </w:rPr>
      </w:pPr>
    </w:p>
  </w:footnote>
  <w:footnote w:id="10">
    <w:p w14:paraId="09275FBF" w14:textId="77777777" w:rsidR="00380471" w:rsidRDefault="00380471">
      <w:pPr>
        <w:pStyle w:val="FootnoteText"/>
        <w:rPr>
          <w:rFonts w:ascii="Times New Roman" w:hAnsi="Times New Roman"/>
          <w:sz w:val="20"/>
        </w:rPr>
      </w:pPr>
      <w:r w:rsidRPr="00EE14EC">
        <w:rPr>
          <w:rStyle w:val="FootnoteReference"/>
          <w:rFonts w:ascii="Times New Roman" w:hAnsi="Times New Roman"/>
          <w:sz w:val="20"/>
        </w:rPr>
        <w:footnoteRef/>
      </w:r>
      <w:r w:rsidRPr="00330FCE">
        <w:rPr>
          <w:rFonts w:ascii="Times New Roman" w:hAnsi="Times New Roman"/>
          <w:sz w:val="20"/>
        </w:rPr>
        <w:t>This accounts for any ongoing capital requirements needed for compliance apart from start-up factors.</w:t>
      </w:r>
    </w:p>
    <w:p w14:paraId="4690CA06" w14:textId="77777777" w:rsidR="00380471" w:rsidRPr="00330FCE" w:rsidRDefault="00380471">
      <w:pPr>
        <w:pStyle w:val="FootnoteText"/>
        <w:rPr>
          <w:rFonts w:ascii="Times New Roman" w:hAnsi="Times New Roman"/>
          <w:sz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C6188"/>
    <w:multiLevelType w:val="hybridMultilevel"/>
    <w:tmpl w:val="A2FE65BA"/>
    <w:lvl w:ilvl="0" w:tplc="04090001">
      <w:start w:val="1"/>
      <w:numFmt w:val="bullet"/>
      <w:lvlText w:val=""/>
      <w:lvlJc w:val="left"/>
      <w:pPr>
        <w:ind w:left="720" w:hanging="360"/>
      </w:pPr>
      <w:rPr>
        <w:rFonts w:ascii="Symbol" w:hAnsi="Symbol" w:hint="default"/>
      </w:rPr>
    </w:lvl>
    <w:lvl w:ilvl="1" w:tplc="7A267B9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8F4D16"/>
    <w:multiLevelType w:val="hybridMultilevel"/>
    <w:tmpl w:val="1818B8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DD05C05"/>
    <w:multiLevelType w:val="hybridMultilevel"/>
    <w:tmpl w:val="CAE65A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705D9E"/>
    <w:multiLevelType w:val="hybridMultilevel"/>
    <w:tmpl w:val="37CCF54A"/>
    <w:lvl w:ilvl="0" w:tplc="A03A37B6">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7C4985"/>
    <w:multiLevelType w:val="hybridMultilevel"/>
    <w:tmpl w:val="0E1A5B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F75B28"/>
    <w:multiLevelType w:val="hybridMultilevel"/>
    <w:tmpl w:val="7F429AFC"/>
    <w:lvl w:ilvl="0" w:tplc="7A267B96">
      <w:start w:val="1"/>
      <w:numFmt w:val="bullet"/>
      <w:lvlText w:val="­"/>
      <w:lvlJc w:val="left"/>
      <w:pPr>
        <w:ind w:left="720" w:hanging="360"/>
      </w:pPr>
      <w:rPr>
        <w:rFonts w:ascii="Courier New" w:hAnsi="Courier New" w:hint="default"/>
      </w:rPr>
    </w:lvl>
    <w:lvl w:ilvl="1" w:tplc="7A267B9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A61B6C"/>
    <w:multiLevelType w:val="hybridMultilevel"/>
    <w:tmpl w:val="7736D8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91103DC"/>
    <w:multiLevelType w:val="hybridMultilevel"/>
    <w:tmpl w:val="2A9C0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606C9E"/>
    <w:multiLevelType w:val="hybridMultilevel"/>
    <w:tmpl w:val="C13EFD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1C7F68"/>
    <w:multiLevelType w:val="hybridMultilevel"/>
    <w:tmpl w:val="D2F8F2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9A3890"/>
    <w:multiLevelType w:val="hybridMultilevel"/>
    <w:tmpl w:val="F1C23E30"/>
    <w:lvl w:ilvl="0" w:tplc="73C0E7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5"/>
  </w:num>
  <w:num w:numId="4">
    <w:abstractNumId w:val="9"/>
  </w:num>
  <w:num w:numId="5">
    <w:abstractNumId w:val="7"/>
  </w:num>
  <w:num w:numId="6">
    <w:abstractNumId w:val="4"/>
  </w:num>
  <w:num w:numId="7">
    <w:abstractNumId w:val="8"/>
  </w:num>
  <w:num w:numId="8">
    <w:abstractNumId w:val="2"/>
  </w:num>
  <w:num w:numId="9">
    <w:abstractNumId w:val="1"/>
  </w:num>
  <w:num w:numId="10">
    <w:abstractNumId w:val="10"/>
  </w:num>
  <w:num w:numId="1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uy Dinh">
    <w15:presenceInfo w15:providerId="Windows Live" w15:userId="1f4b66b7994640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2A4"/>
    <w:rsid w:val="0000474F"/>
    <w:rsid w:val="000338E4"/>
    <w:rsid w:val="00050A55"/>
    <w:rsid w:val="000576BF"/>
    <w:rsid w:val="000642EA"/>
    <w:rsid w:val="000660D5"/>
    <w:rsid w:val="00072761"/>
    <w:rsid w:val="000803D6"/>
    <w:rsid w:val="000B0B70"/>
    <w:rsid w:val="000B52BF"/>
    <w:rsid w:val="000B5BC9"/>
    <w:rsid w:val="000C2526"/>
    <w:rsid w:val="000C3390"/>
    <w:rsid w:val="000C41BD"/>
    <w:rsid w:val="000D6547"/>
    <w:rsid w:val="000E288C"/>
    <w:rsid w:val="001229E5"/>
    <w:rsid w:val="001241E5"/>
    <w:rsid w:val="001501BF"/>
    <w:rsid w:val="00177F06"/>
    <w:rsid w:val="00190F95"/>
    <w:rsid w:val="001B14D2"/>
    <w:rsid w:val="001E6B64"/>
    <w:rsid w:val="001F1072"/>
    <w:rsid w:val="001F1A00"/>
    <w:rsid w:val="00216DF2"/>
    <w:rsid w:val="00226708"/>
    <w:rsid w:val="002452B7"/>
    <w:rsid w:val="00254D69"/>
    <w:rsid w:val="00264B20"/>
    <w:rsid w:val="002B0E63"/>
    <w:rsid w:val="002B3489"/>
    <w:rsid w:val="002B6AB5"/>
    <w:rsid w:val="002B78D9"/>
    <w:rsid w:val="002E0DBA"/>
    <w:rsid w:val="00306F7A"/>
    <w:rsid w:val="00307E70"/>
    <w:rsid w:val="00312476"/>
    <w:rsid w:val="00330FCE"/>
    <w:rsid w:val="00332854"/>
    <w:rsid w:val="00355D75"/>
    <w:rsid w:val="003625EB"/>
    <w:rsid w:val="00370CD1"/>
    <w:rsid w:val="00380471"/>
    <w:rsid w:val="0039631F"/>
    <w:rsid w:val="003A7EAC"/>
    <w:rsid w:val="003B53E9"/>
    <w:rsid w:val="003C3E7C"/>
    <w:rsid w:val="003E6CDB"/>
    <w:rsid w:val="003F1CE4"/>
    <w:rsid w:val="003F1F30"/>
    <w:rsid w:val="00434B2C"/>
    <w:rsid w:val="0047178C"/>
    <w:rsid w:val="0048067E"/>
    <w:rsid w:val="00491817"/>
    <w:rsid w:val="004B202A"/>
    <w:rsid w:val="004C7C89"/>
    <w:rsid w:val="004F660F"/>
    <w:rsid w:val="005075DF"/>
    <w:rsid w:val="00511597"/>
    <w:rsid w:val="00523BED"/>
    <w:rsid w:val="00534FD6"/>
    <w:rsid w:val="005415F5"/>
    <w:rsid w:val="005518AC"/>
    <w:rsid w:val="00562A6E"/>
    <w:rsid w:val="00583F74"/>
    <w:rsid w:val="00585718"/>
    <w:rsid w:val="005916BD"/>
    <w:rsid w:val="00594B44"/>
    <w:rsid w:val="005C46F8"/>
    <w:rsid w:val="005D4FEC"/>
    <w:rsid w:val="006061B0"/>
    <w:rsid w:val="00607D38"/>
    <w:rsid w:val="006243BC"/>
    <w:rsid w:val="00624B76"/>
    <w:rsid w:val="0063622E"/>
    <w:rsid w:val="0066000A"/>
    <w:rsid w:val="006638A2"/>
    <w:rsid w:val="0066751B"/>
    <w:rsid w:val="00667CD6"/>
    <w:rsid w:val="00686005"/>
    <w:rsid w:val="006A735D"/>
    <w:rsid w:val="006B68DB"/>
    <w:rsid w:val="006C6AAC"/>
    <w:rsid w:val="006D22B6"/>
    <w:rsid w:val="006D7CD2"/>
    <w:rsid w:val="006F079D"/>
    <w:rsid w:val="007029A9"/>
    <w:rsid w:val="007341D0"/>
    <w:rsid w:val="0074006A"/>
    <w:rsid w:val="00746FC0"/>
    <w:rsid w:val="0076109F"/>
    <w:rsid w:val="00777E0A"/>
    <w:rsid w:val="007A74AC"/>
    <w:rsid w:val="007B345F"/>
    <w:rsid w:val="007D5821"/>
    <w:rsid w:val="007F22A4"/>
    <w:rsid w:val="00816F11"/>
    <w:rsid w:val="00841A11"/>
    <w:rsid w:val="0087310D"/>
    <w:rsid w:val="008804C4"/>
    <w:rsid w:val="008A3117"/>
    <w:rsid w:val="008A7EF5"/>
    <w:rsid w:val="008D7A77"/>
    <w:rsid w:val="008F1C22"/>
    <w:rsid w:val="00907E26"/>
    <w:rsid w:val="009143A6"/>
    <w:rsid w:val="009309EC"/>
    <w:rsid w:val="00935A76"/>
    <w:rsid w:val="00941E2F"/>
    <w:rsid w:val="00944B85"/>
    <w:rsid w:val="00947603"/>
    <w:rsid w:val="00954561"/>
    <w:rsid w:val="00954A32"/>
    <w:rsid w:val="009576C9"/>
    <w:rsid w:val="00977BCC"/>
    <w:rsid w:val="00981275"/>
    <w:rsid w:val="00993681"/>
    <w:rsid w:val="009A34A1"/>
    <w:rsid w:val="009B1CAC"/>
    <w:rsid w:val="009C011B"/>
    <w:rsid w:val="00A12EE5"/>
    <w:rsid w:val="00A36696"/>
    <w:rsid w:val="00A4050E"/>
    <w:rsid w:val="00A416A2"/>
    <w:rsid w:val="00A66109"/>
    <w:rsid w:val="00A67278"/>
    <w:rsid w:val="00A71760"/>
    <w:rsid w:val="00A73D65"/>
    <w:rsid w:val="00A82CCF"/>
    <w:rsid w:val="00AB45D9"/>
    <w:rsid w:val="00AE5107"/>
    <w:rsid w:val="00AE6DED"/>
    <w:rsid w:val="00B251A4"/>
    <w:rsid w:val="00B53B11"/>
    <w:rsid w:val="00B612B1"/>
    <w:rsid w:val="00B91704"/>
    <w:rsid w:val="00BB48E4"/>
    <w:rsid w:val="00BC0F3A"/>
    <w:rsid w:val="00BC7563"/>
    <w:rsid w:val="00BE6AC8"/>
    <w:rsid w:val="00BF468B"/>
    <w:rsid w:val="00BF6E35"/>
    <w:rsid w:val="00C05211"/>
    <w:rsid w:val="00C05FBE"/>
    <w:rsid w:val="00C15F41"/>
    <w:rsid w:val="00C17EA5"/>
    <w:rsid w:val="00C23A3C"/>
    <w:rsid w:val="00C24DEF"/>
    <w:rsid w:val="00C2608D"/>
    <w:rsid w:val="00C41037"/>
    <w:rsid w:val="00C46F96"/>
    <w:rsid w:val="00C62EF1"/>
    <w:rsid w:val="00C63E7D"/>
    <w:rsid w:val="00C7580D"/>
    <w:rsid w:val="00CB2FAC"/>
    <w:rsid w:val="00CB52C3"/>
    <w:rsid w:val="00CC2FA5"/>
    <w:rsid w:val="00CC3603"/>
    <w:rsid w:val="00CD3315"/>
    <w:rsid w:val="00CE5140"/>
    <w:rsid w:val="00CE6202"/>
    <w:rsid w:val="00D037C8"/>
    <w:rsid w:val="00D11749"/>
    <w:rsid w:val="00D273A6"/>
    <w:rsid w:val="00D27AE8"/>
    <w:rsid w:val="00D57A28"/>
    <w:rsid w:val="00D62FEB"/>
    <w:rsid w:val="00D63CA7"/>
    <w:rsid w:val="00D672C8"/>
    <w:rsid w:val="00D7152D"/>
    <w:rsid w:val="00D977B9"/>
    <w:rsid w:val="00DA432C"/>
    <w:rsid w:val="00DB1AD1"/>
    <w:rsid w:val="00DB6EE2"/>
    <w:rsid w:val="00DB7297"/>
    <w:rsid w:val="00DD79B8"/>
    <w:rsid w:val="00E229CB"/>
    <w:rsid w:val="00E40EA6"/>
    <w:rsid w:val="00E81DED"/>
    <w:rsid w:val="00E87F90"/>
    <w:rsid w:val="00E91B1F"/>
    <w:rsid w:val="00EA3286"/>
    <w:rsid w:val="00EB0E8A"/>
    <w:rsid w:val="00EE14EC"/>
    <w:rsid w:val="00F072F9"/>
    <w:rsid w:val="00F33151"/>
    <w:rsid w:val="00F378A6"/>
    <w:rsid w:val="00F37CD2"/>
    <w:rsid w:val="00F56714"/>
    <w:rsid w:val="00F56BDC"/>
    <w:rsid w:val="00F7590C"/>
    <w:rsid w:val="00F83428"/>
    <w:rsid w:val="00F9762E"/>
    <w:rsid w:val="00FA1677"/>
    <w:rsid w:val="00FF5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89EB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2A4"/>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D65"/>
    <w:pPr>
      <w:ind w:left="720"/>
      <w:contextualSpacing/>
    </w:pPr>
    <w:rPr>
      <w:rFonts w:ascii="Times New Roman" w:eastAsia="Calibri" w:hAnsi="Times New Roman"/>
      <w:szCs w:val="22"/>
    </w:rPr>
  </w:style>
  <w:style w:type="paragraph" w:styleId="FootnoteText">
    <w:name w:val="footnote text"/>
    <w:basedOn w:val="Normal"/>
    <w:link w:val="FootnoteTextChar"/>
    <w:rsid w:val="00A73D65"/>
  </w:style>
  <w:style w:type="character" w:customStyle="1" w:styleId="FootnoteTextChar">
    <w:name w:val="Footnote Text Char"/>
    <w:basedOn w:val="DefaultParagraphFont"/>
    <w:link w:val="FootnoteText"/>
    <w:rsid w:val="00A73D65"/>
    <w:rPr>
      <w:rFonts w:ascii="Courier" w:eastAsia="Times New Roman" w:hAnsi="Courier" w:cs="Times New Roman"/>
      <w:sz w:val="24"/>
      <w:szCs w:val="20"/>
    </w:rPr>
  </w:style>
  <w:style w:type="character" w:styleId="FootnoteReference">
    <w:name w:val="footnote reference"/>
    <w:aliases w:val="Style 19,Style 16,fr"/>
    <w:basedOn w:val="DefaultParagraphFont"/>
    <w:semiHidden/>
    <w:rsid w:val="00A73D65"/>
    <w:rPr>
      <w:vertAlign w:val="superscript"/>
    </w:rPr>
  </w:style>
  <w:style w:type="paragraph" w:styleId="PlainText">
    <w:name w:val="Plain Text"/>
    <w:basedOn w:val="Normal"/>
    <w:link w:val="PlainTextChar"/>
    <w:uiPriority w:val="99"/>
    <w:unhideWhenUsed/>
    <w:rsid w:val="00A73D65"/>
    <w:rPr>
      <w:rFonts w:ascii="Calibri" w:hAnsi="Calibri"/>
      <w:color w:val="1F497D"/>
      <w:sz w:val="22"/>
      <w:szCs w:val="21"/>
    </w:rPr>
  </w:style>
  <w:style w:type="character" w:customStyle="1" w:styleId="PlainTextChar">
    <w:name w:val="Plain Text Char"/>
    <w:basedOn w:val="DefaultParagraphFont"/>
    <w:link w:val="PlainText"/>
    <w:uiPriority w:val="99"/>
    <w:rsid w:val="00A73D65"/>
    <w:rPr>
      <w:rFonts w:ascii="Calibri" w:eastAsia="Times New Roman" w:hAnsi="Calibri" w:cs="Times New Roman"/>
      <w:color w:val="1F497D"/>
      <w:szCs w:val="21"/>
    </w:rPr>
  </w:style>
  <w:style w:type="paragraph" w:styleId="Footer">
    <w:name w:val="footer"/>
    <w:basedOn w:val="Normal"/>
    <w:link w:val="FooterChar"/>
    <w:uiPriority w:val="99"/>
    <w:unhideWhenUsed/>
    <w:rsid w:val="00A73D65"/>
    <w:pPr>
      <w:tabs>
        <w:tab w:val="center" w:pos="4680"/>
        <w:tab w:val="right" w:pos="9360"/>
      </w:tabs>
    </w:pPr>
    <w:rPr>
      <w:rFonts w:ascii="Times New Roman" w:eastAsia="Calibri" w:hAnsi="Times New Roman"/>
      <w:szCs w:val="22"/>
    </w:rPr>
  </w:style>
  <w:style w:type="character" w:customStyle="1" w:styleId="FooterChar">
    <w:name w:val="Footer Char"/>
    <w:basedOn w:val="DefaultParagraphFont"/>
    <w:link w:val="Footer"/>
    <w:uiPriority w:val="99"/>
    <w:rsid w:val="00A73D65"/>
    <w:rPr>
      <w:rFonts w:ascii="Times New Roman" w:eastAsia="Calibri" w:hAnsi="Times New Roman" w:cs="Times New Roman"/>
      <w:sz w:val="24"/>
    </w:rPr>
  </w:style>
  <w:style w:type="paragraph" w:styleId="Title">
    <w:name w:val="Title"/>
    <w:basedOn w:val="Normal"/>
    <w:link w:val="TitleChar"/>
    <w:qFormat/>
    <w:rsid w:val="00A73D65"/>
    <w:pPr>
      <w:jc w:val="center"/>
    </w:pPr>
    <w:rPr>
      <w:rFonts w:ascii="Times New Roman" w:hAnsi="Times New Roman"/>
      <w:b/>
      <w:sz w:val="40"/>
    </w:rPr>
  </w:style>
  <w:style w:type="character" w:customStyle="1" w:styleId="TitleChar">
    <w:name w:val="Title Char"/>
    <w:basedOn w:val="DefaultParagraphFont"/>
    <w:link w:val="Title"/>
    <w:rsid w:val="00A73D65"/>
    <w:rPr>
      <w:rFonts w:ascii="Times New Roman" w:eastAsia="Times New Roman" w:hAnsi="Times New Roman" w:cs="Times New Roman"/>
      <w:b/>
      <w:sz w:val="40"/>
      <w:szCs w:val="20"/>
    </w:rPr>
  </w:style>
  <w:style w:type="paragraph" w:styleId="BalloonText">
    <w:name w:val="Balloon Text"/>
    <w:basedOn w:val="Normal"/>
    <w:link w:val="BalloonTextChar"/>
    <w:uiPriority w:val="99"/>
    <w:semiHidden/>
    <w:unhideWhenUsed/>
    <w:rsid w:val="00A416A2"/>
    <w:rPr>
      <w:rFonts w:ascii="Tahoma" w:hAnsi="Tahoma" w:cs="Tahoma"/>
      <w:sz w:val="16"/>
      <w:szCs w:val="16"/>
    </w:rPr>
  </w:style>
  <w:style w:type="character" w:customStyle="1" w:styleId="BalloonTextChar">
    <w:name w:val="Balloon Text Char"/>
    <w:basedOn w:val="DefaultParagraphFont"/>
    <w:link w:val="BalloonText"/>
    <w:uiPriority w:val="99"/>
    <w:semiHidden/>
    <w:rsid w:val="00A416A2"/>
    <w:rPr>
      <w:rFonts w:ascii="Tahoma" w:eastAsia="Times New Roman" w:hAnsi="Tahoma" w:cs="Tahoma"/>
      <w:sz w:val="16"/>
      <w:szCs w:val="16"/>
    </w:rPr>
  </w:style>
  <w:style w:type="character" w:styleId="Hyperlink">
    <w:name w:val="Hyperlink"/>
    <w:basedOn w:val="DefaultParagraphFont"/>
    <w:rsid w:val="00DB6EE2"/>
    <w:rPr>
      <w:rFonts w:cs="Times New Roman"/>
      <w:color w:val="0000FF"/>
      <w:u w:val="single"/>
    </w:rPr>
  </w:style>
  <w:style w:type="paragraph" w:styleId="EndnoteText">
    <w:name w:val="endnote text"/>
    <w:basedOn w:val="Normal"/>
    <w:link w:val="EndnoteTextChar"/>
    <w:uiPriority w:val="99"/>
    <w:semiHidden/>
    <w:unhideWhenUsed/>
    <w:rsid w:val="007341D0"/>
    <w:rPr>
      <w:sz w:val="20"/>
    </w:rPr>
  </w:style>
  <w:style w:type="character" w:customStyle="1" w:styleId="EndnoteTextChar">
    <w:name w:val="Endnote Text Char"/>
    <w:basedOn w:val="DefaultParagraphFont"/>
    <w:link w:val="EndnoteText"/>
    <w:uiPriority w:val="99"/>
    <w:semiHidden/>
    <w:rsid w:val="007341D0"/>
    <w:rPr>
      <w:rFonts w:ascii="Courier" w:eastAsia="Times New Roman" w:hAnsi="Courier" w:cs="Times New Roman"/>
      <w:sz w:val="20"/>
      <w:szCs w:val="20"/>
    </w:rPr>
  </w:style>
  <w:style w:type="character" w:styleId="EndnoteReference">
    <w:name w:val="endnote reference"/>
    <w:basedOn w:val="DefaultParagraphFont"/>
    <w:uiPriority w:val="99"/>
    <w:semiHidden/>
    <w:unhideWhenUsed/>
    <w:rsid w:val="007341D0"/>
    <w:rPr>
      <w:vertAlign w:val="superscript"/>
    </w:rPr>
  </w:style>
  <w:style w:type="table" w:styleId="TableGrid">
    <w:name w:val="Table Grid"/>
    <w:basedOn w:val="TableNormal"/>
    <w:uiPriority w:val="59"/>
    <w:rsid w:val="00534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24DEF"/>
    <w:rPr>
      <w:sz w:val="16"/>
      <w:szCs w:val="16"/>
    </w:rPr>
  </w:style>
  <w:style w:type="paragraph" w:styleId="CommentText">
    <w:name w:val="annotation text"/>
    <w:basedOn w:val="Normal"/>
    <w:link w:val="CommentTextChar"/>
    <w:uiPriority w:val="99"/>
    <w:unhideWhenUsed/>
    <w:rsid w:val="00C24DEF"/>
    <w:rPr>
      <w:sz w:val="20"/>
    </w:rPr>
  </w:style>
  <w:style w:type="character" w:customStyle="1" w:styleId="CommentTextChar">
    <w:name w:val="Comment Text Char"/>
    <w:basedOn w:val="DefaultParagraphFont"/>
    <w:link w:val="CommentText"/>
    <w:uiPriority w:val="99"/>
    <w:rsid w:val="00C24DEF"/>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C24DEF"/>
    <w:rPr>
      <w:b/>
      <w:bCs/>
    </w:rPr>
  </w:style>
  <w:style w:type="character" w:customStyle="1" w:styleId="CommentSubjectChar">
    <w:name w:val="Comment Subject Char"/>
    <w:basedOn w:val="CommentTextChar"/>
    <w:link w:val="CommentSubject"/>
    <w:uiPriority w:val="99"/>
    <w:semiHidden/>
    <w:rsid w:val="00C24DEF"/>
    <w:rPr>
      <w:rFonts w:ascii="Courier" w:eastAsia="Times New Roman" w:hAnsi="Courier" w:cs="Times New Roman"/>
      <w:b/>
      <w:bCs/>
      <w:sz w:val="20"/>
      <w:szCs w:val="20"/>
    </w:rPr>
  </w:style>
  <w:style w:type="paragraph" w:styleId="Header">
    <w:name w:val="header"/>
    <w:basedOn w:val="Normal"/>
    <w:link w:val="HeaderChar"/>
    <w:uiPriority w:val="99"/>
    <w:unhideWhenUsed/>
    <w:rsid w:val="00E81DED"/>
    <w:pPr>
      <w:tabs>
        <w:tab w:val="center" w:pos="4680"/>
        <w:tab w:val="right" w:pos="9360"/>
      </w:tabs>
    </w:pPr>
  </w:style>
  <w:style w:type="character" w:customStyle="1" w:styleId="HeaderChar">
    <w:name w:val="Header Char"/>
    <w:basedOn w:val="DefaultParagraphFont"/>
    <w:link w:val="Header"/>
    <w:uiPriority w:val="99"/>
    <w:rsid w:val="00E81DED"/>
    <w:rPr>
      <w:rFonts w:ascii="Courier" w:eastAsia="Times New Roman" w:hAnsi="Courier"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2A4"/>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D65"/>
    <w:pPr>
      <w:ind w:left="720"/>
      <w:contextualSpacing/>
    </w:pPr>
    <w:rPr>
      <w:rFonts w:ascii="Times New Roman" w:eastAsia="Calibri" w:hAnsi="Times New Roman"/>
      <w:szCs w:val="22"/>
    </w:rPr>
  </w:style>
  <w:style w:type="paragraph" w:styleId="FootnoteText">
    <w:name w:val="footnote text"/>
    <w:basedOn w:val="Normal"/>
    <w:link w:val="FootnoteTextChar"/>
    <w:rsid w:val="00A73D65"/>
  </w:style>
  <w:style w:type="character" w:customStyle="1" w:styleId="FootnoteTextChar">
    <w:name w:val="Footnote Text Char"/>
    <w:basedOn w:val="DefaultParagraphFont"/>
    <w:link w:val="FootnoteText"/>
    <w:rsid w:val="00A73D65"/>
    <w:rPr>
      <w:rFonts w:ascii="Courier" w:eastAsia="Times New Roman" w:hAnsi="Courier" w:cs="Times New Roman"/>
      <w:sz w:val="24"/>
      <w:szCs w:val="20"/>
    </w:rPr>
  </w:style>
  <w:style w:type="character" w:styleId="FootnoteReference">
    <w:name w:val="footnote reference"/>
    <w:aliases w:val="Style 19,Style 16,fr"/>
    <w:basedOn w:val="DefaultParagraphFont"/>
    <w:semiHidden/>
    <w:rsid w:val="00A73D65"/>
    <w:rPr>
      <w:vertAlign w:val="superscript"/>
    </w:rPr>
  </w:style>
  <w:style w:type="paragraph" w:styleId="PlainText">
    <w:name w:val="Plain Text"/>
    <w:basedOn w:val="Normal"/>
    <w:link w:val="PlainTextChar"/>
    <w:uiPriority w:val="99"/>
    <w:unhideWhenUsed/>
    <w:rsid w:val="00A73D65"/>
    <w:rPr>
      <w:rFonts w:ascii="Calibri" w:hAnsi="Calibri"/>
      <w:color w:val="1F497D"/>
      <w:sz w:val="22"/>
      <w:szCs w:val="21"/>
    </w:rPr>
  </w:style>
  <w:style w:type="character" w:customStyle="1" w:styleId="PlainTextChar">
    <w:name w:val="Plain Text Char"/>
    <w:basedOn w:val="DefaultParagraphFont"/>
    <w:link w:val="PlainText"/>
    <w:uiPriority w:val="99"/>
    <w:rsid w:val="00A73D65"/>
    <w:rPr>
      <w:rFonts w:ascii="Calibri" w:eastAsia="Times New Roman" w:hAnsi="Calibri" w:cs="Times New Roman"/>
      <w:color w:val="1F497D"/>
      <w:szCs w:val="21"/>
    </w:rPr>
  </w:style>
  <w:style w:type="paragraph" w:styleId="Footer">
    <w:name w:val="footer"/>
    <w:basedOn w:val="Normal"/>
    <w:link w:val="FooterChar"/>
    <w:uiPriority w:val="99"/>
    <w:unhideWhenUsed/>
    <w:rsid w:val="00A73D65"/>
    <w:pPr>
      <w:tabs>
        <w:tab w:val="center" w:pos="4680"/>
        <w:tab w:val="right" w:pos="9360"/>
      </w:tabs>
    </w:pPr>
    <w:rPr>
      <w:rFonts w:ascii="Times New Roman" w:eastAsia="Calibri" w:hAnsi="Times New Roman"/>
      <w:szCs w:val="22"/>
    </w:rPr>
  </w:style>
  <w:style w:type="character" w:customStyle="1" w:styleId="FooterChar">
    <w:name w:val="Footer Char"/>
    <w:basedOn w:val="DefaultParagraphFont"/>
    <w:link w:val="Footer"/>
    <w:uiPriority w:val="99"/>
    <w:rsid w:val="00A73D65"/>
    <w:rPr>
      <w:rFonts w:ascii="Times New Roman" w:eastAsia="Calibri" w:hAnsi="Times New Roman" w:cs="Times New Roman"/>
      <w:sz w:val="24"/>
    </w:rPr>
  </w:style>
  <w:style w:type="paragraph" w:styleId="Title">
    <w:name w:val="Title"/>
    <w:basedOn w:val="Normal"/>
    <w:link w:val="TitleChar"/>
    <w:qFormat/>
    <w:rsid w:val="00A73D65"/>
    <w:pPr>
      <w:jc w:val="center"/>
    </w:pPr>
    <w:rPr>
      <w:rFonts w:ascii="Times New Roman" w:hAnsi="Times New Roman"/>
      <w:b/>
      <w:sz w:val="40"/>
    </w:rPr>
  </w:style>
  <w:style w:type="character" w:customStyle="1" w:styleId="TitleChar">
    <w:name w:val="Title Char"/>
    <w:basedOn w:val="DefaultParagraphFont"/>
    <w:link w:val="Title"/>
    <w:rsid w:val="00A73D65"/>
    <w:rPr>
      <w:rFonts w:ascii="Times New Roman" w:eastAsia="Times New Roman" w:hAnsi="Times New Roman" w:cs="Times New Roman"/>
      <w:b/>
      <w:sz w:val="40"/>
      <w:szCs w:val="20"/>
    </w:rPr>
  </w:style>
  <w:style w:type="paragraph" w:styleId="BalloonText">
    <w:name w:val="Balloon Text"/>
    <w:basedOn w:val="Normal"/>
    <w:link w:val="BalloonTextChar"/>
    <w:uiPriority w:val="99"/>
    <w:semiHidden/>
    <w:unhideWhenUsed/>
    <w:rsid w:val="00A416A2"/>
    <w:rPr>
      <w:rFonts w:ascii="Tahoma" w:hAnsi="Tahoma" w:cs="Tahoma"/>
      <w:sz w:val="16"/>
      <w:szCs w:val="16"/>
    </w:rPr>
  </w:style>
  <w:style w:type="character" w:customStyle="1" w:styleId="BalloonTextChar">
    <w:name w:val="Balloon Text Char"/>
    <w:basedOn w:val="DefaultParagraphFont"/>
    <w:link w:val="BalloonText"/>
    <w:uiPriority w:val="99"/>
    <w:semiHidden/>
    <w:rsid w:val="00A416A2"/>
    <w:rPr>
      <w:rFonts w:ascii="Tahoma" w:eastAsia="Times New Roman" w:hAnsi="Tahoma" w:cs="Tahoma"/>
      <w:sz w:val="16"/>
      <w:szCs w:val="16"/>
    </w:rPr>
  </w:style>
  <w:style w:type="character" w:styleId="Hyperlink">
    <w:name w:val="Hyperlink"/>
    <w:basedOn w:val="DefaultParagraphFont"/>
    <w:rsid w:val="00DB6EE2"/>
    <w:rPr>
      <w:rFonts w:cs="Times New Roman"/>
      <w:color w:val="0000FF"/>
      <w:u w:val="single"/>
    </w:rPr>
  </w:style>
  <w:style w:type="paragraph" w:styleId="EndnoteText">
    <w:name w:val="endnote text"/>
    <w:basedOn w:val="Normal"/>
    <w:link w:val="EndnoteTextChar"/>
    <w:uiPriority w:val="99"/>
    <w:semiHidden/>
    <w:unhideWhenUsed/>
    <w:rsid w:val="007341D0"/>
    <w:rPr>
      <w:sz w:val="20"/>
    </w:rPr>
  </w:style>
  <w:style w:type="character" w:customStyle="1" w:styleId="EndnoteTextChar">
    <w:name w:val="Endnote Text Char"/>
    <w:basedOn w:val="DefaultParagraphFont"/>
    <w:link w:val="EndnoteText"/>
    <w:uiPriority w:val="99"/>
    <w:semiHidden/>
    <w:rsid w:val="007341D0"/>
    <w:rPr>
      <w:rFonts w:ascii="Courier" w:eastAsia="Times New Roman" w:hAnsi="Courier" w:cs="Times New Roman"/>
      <w:sz w:val="20"/>
      <w:szCs w:val="20"/>
    </w:rPr>
  </w:style>
  <w:style w:type="character" w:styleId="EndnoteReference">
    <w:name w:val="endnote reference"/>
    <w:basedOn w:val="DefaultParagraphFont"/>
    <w:uiPriority w:val="99"/>
    <w:semiHidden/>
    <w:unhideWhenUsed/>
    <w:rsid w:val="007341D0"/>
    <w:rPr>
      <w:vertAlign w:val="superscript"/>
    </w:rPr>
  </w:style>
  <w:style w:type="table" w:styleId="TableGrid">
    <w:name w:val="Table Grid"/>
    <w:basedOn w:val="TableNormal"/>
    <w:uiPriority w:val="59"/>
    <w:rsid w:val="00534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24DEF"/>
    <w:rPr>
      <w:sz w:val="16"/>
      <w:szCs w:val="16"/>
    </w:rPr>
  </w:style>
  <w:style w:type="paragraph" w:styleId="CommentText">
    <w:name w:val="annotation text"/>
    <w:basedOn w:val="Normal"/>
    <w:link w:val="CommentTextChar"/>
    <w:uiPriority w:val="99"/>
    <w:unhideWhenUsed/>
    <w:rsid w:val="00C24DEF"/>
    <w:rPr>
      <w:sz w:val="20"/>
    </w:rPr>
  </w:style>
  <w:style w:type="character" w:customStyle="1" w:styleId="CommentTextChar">
    <w:name w:val="Comment Text Char"/>
    <w:basedOn w:val="DefaultParagraphFont"/>
    <w:link w:val="CommentText"/>
    <w:uiPriority w:val="99"/>
    <w:rsid w:val="00C24DEF"/>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C24DEF"/>
    <w:rPr>
      <w:b/>
      <w:bCs/>
    </w:rPr>
  </w:style>
  <w:style w:type="character" w:customStyle="1" w:styleId="CommentSubjectChar">
    <w:name w:val="Comment Subject Char"/>
    <w:basedOn w:val="CommentTextChar"/>
    <w:link w:val="CommentSubject"/>
    <w:uiPriority w:val="99"/>
    <w:semiHidden/>
    <w:rsid w:val="00C24DEF"/>
    <w:rPr>
      <w:rFonts w:ascii="Courier" w:eastAsia="Times New Roman" w:hAnsi="Courier" w:cs="Times New Roman"/>
      <w:b/>
      <w:bCs/>
      <w:sz w:val="20"/>
      <w:szCs w:val="20"/>
    </w:rPr>
  </w:style>
  <w:style w:type="paragraph" w:styleId="Header">
    <w:name w:val="header"/>
    <w:basedOn w:val="Normal"/>
    <w:link w:val="HeaderChar"/>
    <w:uiPriority w:val="99"/>
    <w:unhideWhenUsed/>
    <w:rsid w:val="00E81DED"/>
    <w:pPr>
      <w:tabs>
        <w:tab w:val="center" w:pos="4680"/>
        <w:tab w:val="right" w:pos="9360"/>
      </w:tabs>
    </w:pPr>
  </w:style>
  <w:style w:type="character" w:customStyle="1" w:styleId="HeaderChar">
    <w:name w:val="Header Char"/>
    <w:basedOn w:val="DefaultParagraphFont"/>
    <w:link w:val="Header"/>
    <w:uiPriority w:val="99"/>
    <w:rsid w:val="00E81DED"/>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04380">
      <w:bodyDiv w:val="1"/>
      <w:marLeft w:val="0"/>
      <w:marRight w:val="0"/>
      <w:marTop w:val="0"/>
      <w:marBottom w:val="0"/>
      <w:divBdr>
        <w:top w:val="none" w:sz="0" w:space="0" w:color="auto"/>
        <w:left w:val="none" w:sz="0" w:space="0" w:color="auto"/>
        <w:bottom w:val="none" w:sz="0" w:space="0" w:color="auto"/>
        <w:right w:val="none" w:sz="0" w:space="0" w:color="auto"/>
      </w:divBdr>
    </w:div>
    <w:div w:id="182013358">
      <w:bodyDiv w:val="1"/>
      <w:marLeft w:val="0"/>
      <w:marRight w:val="0"/>
      <w:marTop w:val="0"/>
      <w:marBottom w:val="0"/>
      <w:divBdr>
        <w:top w:val="none" w:sz="0" w:space="0" w:color="auto"/>
        <w:left w:val="none" w:sz="0" w:space="0" w:color="auto"/>
        <w:bottom w:val="none" w:sz="0" w:space="0" w:color="auto"/>
        <w:right w:val="none" w:sz="0" w:space="0" w:color="auto"/>
      </w:divBdr>
    </w:div>
    <w:div w:id="638220806">
      <w:bodyDiv w:val="1"/>
      <w:marLeft w:val="0"/>
      <w:marRight w:val="0"/>
      <w:marTop w:val="0"/>
      <w:marBottom w:val="0"/>
      <w:divBdr>
        <w:top w:val="none" w:sz="0" w:space="0" w:color="auto"/>
        <w:left w:val="none" w:sz="0" w:space="0" w:color="auto"/>
        <w:bottom w:val="none" w:sz="0" w:space="0" w:color="auto"/>
        <w:right w:val="none" w:sz="0" w:space="0" w:color="auto"/>
      </w:divBdr>
    </w:div>
    <w:div w:id="1143501113">
      <w:bodyDiv w:val="1"/>
      <w:marLeft w:val="0"/>
      <w:marRight w:val="0"/>
      <w:marTop w:val="0"/>
      <w:marBottom w:val="0"/>
      <w:divBdr>
        <w:top w:val="none" w:sz="0" w:space="0" w:color="auto"/>
        <w:left w:val="none" w:sz="0" w:space="0" w:color="auto"/>
        <w:bottom w:val="none" w:sz="0" w:space="0" w:color="auto"/>
        <w:right w:val="none" w:sz="0" w:space="0" w:color="auto"/>
      </w:divBdr>
    </w:div>
    <w:div w:id="1748649945">
      <w:bodyDiv w:val="1"/>
      <w:marLeft w:val="0"/>
      <w:marRight w:val="0"/>
      <w:marTop w:val="0"/>
      <w:marBottom w:val="0"/>
      <w:divBdr>
        <w:top w:val="none" w:sz="0" w:space="0" w:color="auto"/>
        <w:left w:val="none" w:sz="0" w:space="0" w:color="auto"/>
        <w:bottom w:val="none" w:sz="0" w:space="0" w:color="auto"/>
        <w:right w:val="none" w:sz="0" w:space="0" w:color="auto"/>
      </w:divBdr>
    </w:div>
    <w:div w:id="204146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21"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8ECA22592B5D4FB4A4B38EDB2CB499" ma:contentTypeVersion="0" ma:contentTypeDescription="Create a new document." ma:contentTypeScope="" ma:versionID="dd2df6bf39311df39f57b6cc5d24a10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30733-ABA0-419C-B975-A303885E9655}">
  <ds:schemaRefs>
    <ds:schemaRef ds:uri="http://schemas.openxmlformats.org/package/2006/metadata/core-properties"/>
    <ds:schemaRef ds:uri="http://purl.org/dc/elements/1.1/"/>
    <ds:schemaRef ds:uri="http://purl.org/dc/dcmitype/"/>
    <ds:schemaRef ds:uri="http://schemas.microsoft.com/office/2006/documentManagement/types"/>
    <ds:schemaRef ds:uri="http://purl.org/dc/terms/"/>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0F801A4A-0B6D-4C22-9A98-4509E70E4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2B40B2A-A118-4C08-960E-3D74E8EFABCA}">
  <ds:schemaRefs>
    <ds:schemaRef ds:uri="http://schemas.microsoft.com/sharepoint/v3/contenttype/forms"/>
  </ds:schemaRefs>
</ds:datastoreItem>
</file>

<file path=customXml/itemProps4.xml><?xml version="1.0" encoding="utf-8"?>
<ds:datastoreItem xmlns:ds="http://schemas.openxmlformats.org/officeDocument/2006/customXml" ds:itemID="{E9572037-958E-499A-B9CE-5459CEE81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4592</Words>
  <Characters>26181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30712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VHill</dc:creator>
  <cp:lastModifiedBy>SYSTEM</cp:lastModifiedBy>
  <cp:revision>2</cp:revision>
  <cp:lastPrinted>2018-04-03T14:42:00Z</cp:lastPrinted>
  <dcterms:created xsi:type="dcterms:W3CDTF">2018-06-14T21:14:00Z</dcterms:created>
  <dcterms:modified xsi:type="dcterms:W3CDTF">2018-06-14T21:14:00Z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0x010100A88ECA22592B5D4FB4A4B38EDB2CB499</vt:lpwstr>
  </property>
</Properties>
</file>