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06F7" w:rsidR="005E714A" w:rsidP="00F06866" w:rsidRDefault="00F06866" w14:paraId="3FC3EA87" w14:textId="77777777">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w:t>
      </w:r>
      <w:r w:rsidRPr="005606F7">
        <w:rPr>
          <w:sz w:val="28"/>
        </w:rPr>
        <w:t xml:space="preserve">Clearance for the Collection of Routine Customer Feedback” (OMB Control Number: </w:t>
      </w:r>
      <w:r w:rsidRPr="005606F7" w:rsidR="005C478E">
        <w:rPr>
          <w:sz w:val="28"/>
        </w:rPr>
        <w:t>2127</w:t>
      </w:r>
      <w:r w:rsidRPr="005606F7" w:rsidR="007D6AE9">
        <w:rPr>
          <w:sz w:val="28"/>
        </w:rPr>
        <w:t>-</w:t>
      </w:r>
      <w:r w:rsidRPr="005606F7" w:rsidR="005C478E">
        <w:rPr>
          <w:sz w:val="28"/>
        </w:rPr>
        <w:t>0682</w:t>
      </w:r>
      <w:r w:rsidRPr="005606F7">
        <w:rPr>
          <w:sz w:val="28"/>
        </w:rPr>
        <w:t>)</w:t>
      </w:r>
    </w:p>
    <w:p w:rsidRPr="009239AA" w:rsidR="00E50293" w:rsidP="00434E33" w:rsidRDefault="00702D36" w14:paraId="5A090A11" w14:textId="5AF3A95A">
      <w:pPr>
        <w:rPr>
          <w:b/>
        </w:rPr>
      </w:pPr>
      <w:r w:rsidRPr="005606F7">
        <w:rPr>
          <w:b/>
        </w:rPr>
        <w:br/>
      </w:r>
      <w:r w:rsidRPr="005606F7" w:rsidR="006B5DAE">
        <w:rPr>
          <w:b/>
          <w:noProof/>
        </w:rPr>
        <mc:AlternateContent>
          <mc:Choice Requires="wps">
            <w:drawing>
              <wp:anchor distT="0" distB="0" distL="114300" distR="114300" simplePos="0" relativeHeight="251657728" behindDoc="0" locked="0" layoutInCell="0" allowOverlap="1" wp14:editId="5FCF5068" wp14:anchorId="73E219D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BEB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5606F7" w:rsidR="005E714A">
        <w:rPr>
          <w:b/>
        </w:rPr>
        <w:t>TITLE OF INFORMATION COLLECTION:</w:t>
      </w:r>
      <w:r w:rsidRPr="005606F7" w:rsidR="000F396B">
        <w:t xml:space="preserve"> </w:t>
      </w:r>
      <w:r w:rsidR="00366321">
        <w:t xml:space="preserve">Focus Groups for Assessment of Creative Concepts Supporting a National Communications Campaign to </w:t>
      </w:r>
      <w:r w:rsidR="00454AB0">
        <w:t xml:space="preserve">Avoid </w:t>
      </w:r>
      <w:r w:rsidR="005E183F">
        <w:t>Driving after Drinking</w:t>
      </w:r>
      <w:r w:rsidR="00454AB0">
        <w:t xml:space="preserve"> </w:t>
      </w:r>
    </w:p>
    <w:p w:rsidR="005E714A" w:rsidRDefault="005E714A" w14:paraId="27D423E4" w14:textId="77777777"/>
    <w:p w:rsidR="00EE23C2" w:rsidP="00EE23C2" w:rsidRDefault="00F15956" w14:paraId="1071A305" w14:textId="77777777">
      <w:pPr>
        <w:rPr>
          <w:b/>
        </w:rPr>
      </w:pPr>
      <w:r>
        <w:rPr>
          <w:b/>
        </w:rPr>
        <w:t>PURPOSE</w:t>
      </w:r>
      <w:r w:rsidRPr="009239AA">
        <w:rPr>
          <w:b/>
        </w:rPr>
        <w:t>:</w:t>
      </w:r>
      <w:r w:rsidRPr="009239AA" w:rsidR="00C14CC4">
        <w:rPr>
          <w:b/>
        </w:rPr>
        <w:t xml:space="preserve">  </w:t>
      </w:r>
    </w:p>
    <w:p w:rsidR="00366321" w:rsidP="00366321" w:rsidRDefault="00366321" w14:paraId="16170F47" w14:textId="2A3D7EFB">
      <w:pPr>
        <w:rPr>
          <w:lang w:bidi="en-US"/>
        </w:rPr>
      </w:pPr>
      <w:r>
        <w:rPr>
          <w:lang w:bidi="en-US"/>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w:t>
      </w:r>
      <w:r w:rsidR="008B6494">
        <w:rPr>
          <w:lang w:bidi="en-US"/>
        </w:rPr>
        <w:t>n</w:t>
      </w:r>
      <w:r>
        <w:rPr>
          <w:lang w:bidi="en-US"/>
        </w:rPr>
        <w:t xml:space="preserve">ation’s highways. In support of this mission, NHTSA proposes to conduct information collections to assess the public’s attitudes, understandings and perceptions about advertising ideas to </w:t>
      </w:r>
      <w:r w:rsidR="006847D0">
        <w:rPr>
          <w:lang w:bidi="en-US"/>
        </w:rPr>
        <w:t>avoid driving after consuming alcholic beverages</w:t>
      </w:r>
      <w:r>
        <w:rPr>
          <w:lang w:bidi="en-US"/>
        </w:rPr>
        <w:t xml:space="preserve">.  </w:t>
      </w:r>
    </w:p>
    <w:p w:rsidR="00366321" w:rsidP="00366321" w:rsidRDefault="00366321" w14:paraId="0DB1C301" w14:textId="77777777">
      <w:pPr>
        <w:rPr>
          <w:lang w:bidi="en-US"/>
        </w:rPr>
      </w:pPr>
    </w:p>
    <w:p w:rsidRPr="006847D0" w:rsidR="006847D0" w:rsidP="006847D0" w:rsidRDefault="006847D0" w14:paraId="5BA81498" w14:textId="5046CBB2">
      <w:pPr>
        <w:rPr>
          <w:lang w:bidi="en-US"/>
        </w:rPr>
      </w:pPr>
      <w:r w:rsidRPr="006847D0">
        <w:rPr>
          <w:lang w:bidi="en-US"/>
        </w:rPr>
        <w:t xml:space="preserve">Drunk driving is one of the most significant dangers on our nation’s roadways. </w:t>
      </w:r>
      <w:r w:rsidR="00502482">
        <w:rPr>
          <w:lang w:bidi="en-US"/>
        </w:rPr>
        <w:t>According to data collected by the National Center for Statistics and Analysis</w:t>
      </w:r>
      <w:r w:rsidR="00AE361C">
        <w:rPr>
          <w:lang w:bidi="en-US"/>
        </w:rPr>
        <w:t xml:space="preserve"> (NCSA)</w:t>
      </w:r>
      <w:r w:rsidR="00502482">
        <w:rPr>
          <w:lang w:bidi="en-US"/>
        </w:rPr>
        <w:t>, i</w:t>
      </w:r>
      <w:r w:rsidRPr="006847D0">
        <w:rPr>
          <w:lang w:bidi="en-US"/>
        </w:rPr>
        <w:t xml:space="preserve">n 2018 alone there were </w:t>
      </w:r>
      <w:r w:rsidR="00502482">
        <w:rPr>
          <w:lang w:bidi="en-US"/>
        </w:rPr>
        <w:t>more than</w:t>
      </w:r>
      <w:r w:rsidRPr="006847D0" w:rsidR="00502482">
        <w:rPr>
          <w:lang w:bidi="en-US"/>
        </w:rPr>
        <w:t xml:space="preserve"> </w:t>
      </w:r>
      <w:r w:rsidRPr="006847D0">
        <w:rPr>
          <w:lang w:bidi="en-US"/>
        </w:rPr>
        <w:t xml:space="preserve">10,000 fatalities in motor vehicle crashes involving drivers with </w:t>
      </w:r>
      <w:r w:rsidR="008B6494">
        <w:rPr>
          <w:lang w:bidi="en-US"/>
        </w:rPr>
        <w:t xml:space="preserve">blood alcohol </w:t>
      </w:r>
      <w:r w:rsidR="000105D8">
        <w:rPr>
          <w:lang w:bidi="en-US"/>
        </w:rPr>
        <w:t xml:space="preserve">concentration </w:t>
      </w:r>
      <w:r w:rsidR="008B6494">
        <w:rPr>
          <w:lang w:bidi="en-US"/>
        </w:rPr>
        <w:t>(</w:t>
      </w:r>
      <w:r w:rsidRPr="006847D0">
        <w:rPr>
          <w:lang w:bidi="en-US"/>
        </w:rPr>
        <w:t>BACs</w:t>
      </w:r>
      <w:r w:rsidR="008B6494">
        <w:rPr>
          <w:lang w:bidi="en-US"/>
        </w:rPr>
        <w:t>)</w:t>
      </w:r>
      <w:r w:rsidRPr="006847D0">
        <w:rPr>
          <w:lang w:bidi="en-US"/>
        </w:rPr>
        <w:t xml:space="preserve"> of .08 g/dL or higher. To put this in perspective, that was 29% of all total traffic fatalities for the year. Another way to say it is that </w:t>
      </w:r>
      <w:r w:rsidR="008B6494">
        <w:rPr>
          <w:lang w:bidi="en-US"/>
        </w:rPr>
        <w:t>one</w:t>
      </w:r>
      <w:r w:rsidRPr="006847D0">
        <w:rPr>
          <w:lang w:bidi="en-US"/>
        </w:rPr>
        <w:t xml:space="preserve"> person died every 50 minutes in 2018 as a result of alcohol-impaired driving.</w:t>
      </w:r>
    </w:p>
    <w:p w:rsidRPr="006847D0" w:rsidR="006847D0" w:rsidP="006847D0" w:rsidRDefault="006847D0" w14:paraId="5A2AFE02" w14:textId="77777777">
      <w:pPr>
        <w:rPr>
          <w:lang w:bidi="en-US"/>
        </w:rPr>
      </w:pPr>
    </w:p>
    <w:p w:rsidRPr="006847D0" w:rsidR="006847D0" w:rsidP="006847D0" w:rsidRDefault="006847D0" w14:paraId="3E5F770E" w14:textId="09113346">
      <w:pPr>
        <w:rPr>
          <w:lang w:bidi="en-US"/>
        </w:rPr>
      </w:pPr>
      <w:r w:rsidRPr="006847D0">
        <w:rPr>
          <w:lang w:bidi="en-US"/>
        </w:rPr>
        <w:t xml:space="preserve">NHTSA is dedicated to eliminating risky behaviors on our nation’s roads. Through research, public awareness </w:t>
      </w:r>
      <w:r w:rsidR="0022475C">
        <w:rPr>
          <w:lang w:bidi="en-US"/>
        </w:rPr>
        <w:t>campaigns</w:t>
      </w:r>
      <w:r w:rsidRPr="006847D0">
        <w:rPr>
          <w:lang w:bidi="en-US"/>
        </w:rPr>
        <w:t xml:space="preserve">, and </w:t>
      </w:r>
      <w:r w:rsidR="008B6494">
        <w:rPr>
          <w:lang w:bidi="en-US"/>
        </w:rPr>
        <w:t>s</w:t>
      </w:r>
      <w:r w:rsidRPr="006847D0">
        <w:rPr>
          <w:lang w:bidi="en-US"/>
        </w:rPr>
        <w:t xml:space="preserve">tate safety grant programs, NHTSA demonstrates its commitment to eliminating drunk driving. </w:t>
      </w:r>
      <w:r w:rsidR="00502482">
        <w:rPr>
          <w:lang w:bidi="en-US"/>
        </w:rPr>
        <w:t>These</w:t>
      </w:r>
      <w:r w:rsidRPr="006847D0" w:rsidR="00502482">
        <w:rPr>
          <w:lang w:bidi="en-US"/>
        </w:rPr>
        <w:t xml:space="preserve"> </w:t>
      </w:r>
      <w:r w:rsidRPr="006847D0">
        <w:rPr>
          <w:lang w:bidi="en-US"/>
        </w:rPr>
        <w:t xml:space="preserve">programs have consistently reduced alcohol-related crash fatalities and </w:t>
      </w:r>
      <w:r w:rsidR="00502482">
        <w:rPr>
          <w:lang w:bidi="en-US"/>
        </w:rPr>
        <w:t xml:space="preserve">NHTSA </w:t>
      </w:r>
      <w:r w:rsidRPr="006847D0">
        <w:rPr>
          <w:lang w:bidi="en-US"/>
        </w:rPr>
        <w:t>plan</w:t>
      </w:r>
      <w:r w:rsidR="00502482">
        <w:rPr>
          <w:lang w:bidi="en-US"/>
        </w:rPr>
        <w:t>s</w:t>
      </w:r>
      <w:r w:rsidRPr="006847D0">
        <w:rPr>
          <w:lang w:bidi="en-US"/>
        </w:rPr>
        <w:t xml:space="preserve"> to continue until there are zero drunk-driving crashes on our roadways. </w:t>
      </w:r>
    </w:p>
    <w:p w:rsidRPr="006847D0" w:rsidR="006847D0" w:rsidP="006847D0" w:rsidRDefault="006847D0" w14:paraId="6F67363D" w14:textId="77777777">
      <w:pPr>
        <w:rPr>
          <w:lang w:bidi="en-US"/>
        </w:rPr>
      </w:pPr>
    </w:p>
    <w:p w:rsidR="00FC087B" w:rsidP="006847D0" w:rsidRDefault="006847D0" w14:paraId="762FFB07" w14:textId="0E3FA9FD">
      <w:pPr>
        <w:rPr>
          <w:lang w:bidi="en-US"/>
        </w:rPr>
      </w:pPr>
      <w:r w:rsidRPr="006847D0">
        <w:rPr>
          <w:lang w:bidi="en-US"/>
        </w:rPr>
        <w:t xml:space="preserve">NHTSA created </w:t>
      </w:r>
      <w:r w:rsidRPr="006847D0">
        <w:rPr>
          <w:i/>
          <w:iCs/>
          <w:lang w:bidi="en-US"/>
        </w:rPr>
        <w:t xml:space="preserve">Drive Sober or Get Pulled Over </w:t>
      </w:r>
      <w:r w:rsidRPr="006847D0">
        <w:rPr>
          <w:lang w:bidi="en-US"/>
        </w:rPr>
        <w:t xml:space="preserve">to remind drunk drivers </w:t>
      </w:r>
      <w:r w:rsidR="0022475C">
        <w:rPr>
          <w:lang w:bidi="en-US"/>
        </w:rPr>
        <w:t xml:space="preserve">they </w:t>
      </w:r>
      <w:r w:rsidRPr="006847D0">
        <w:rPr>
          <w:lang w:bidi="en-US"/>
        </w:rPr>
        <w:t xml:space="preserve">will </w:t>
      </w:r>
      <w:r w:rsidR="0022475C">
        <w:rPr>
          <w:lang w:bidi="en-US"/>
        </w:rPr>
        <w:t xml:space="preserve">be </w:t>
      </w:r>
      <w:r w:rsidRPr="006847D0">
        <w:rPr>
          <w:lang w:bidi="en-US"/>
        </w:rPr>
        <w:t xml:space="preserve">caught by law enforcement, arrested, and charged with a DUI as a result of their poor decision making. Every year, </w:t>
      </w:r>
      <w:r w:rsidR="008B6494">
        <w:rPr>
          <w:lang w:bidi="en-US"/>
        </w:rPr>
        <w:t>NHTSA</w:t>
      </w:r>
      <w:r w:rsidRPr="006847D0" w:rsidR="008B6494">
        <w:rPr>
          <w:lang w:bidi="en-US"/>
        </w:rPr>
        <w:t xml:space="preserve"> </w:t>
      </w:r>
      <w:r w:rsidRPr="006847D0">
        <w:rPr>
          <w:lang w:bidi="en-US"/>
        </w:rPr>
        <w:t>organize</w:t>
      </w:r>
      <w:r w:rsidR="008B6494">
        <w:rPr>
          <w:lang w:bidi="en-US"/>
        </w:rPr>
        <w:t>s</w:t>
      </w:r>
      <w:r w:rsidRPr="006847D0">
        <w:rPr>
          <w:lang w:bidi="en-US"/>
        </w:rPr>
        <w:t xml:space="preserve"> and fund</w:t>
      </w:r>
      <w:r w:rsidR="008B6494">
        <w:rPr>
          <w:lang w:bidi="en-US"/>
        </w:rPr>
        <w:t>s</w:t>
      </w:r>
      <w:r w:rsidRPr="006847D0">
        <w:rPr>
          <w:lang w:bidi="en-US"/>
        </w:rPr>
        <w:t xml:space="preserve"> two High Visibility Enforcement public awareness campaigns to deliver this message to those most at risk to die in drunk driving related crashes. The campaigns are centered around the Labor Day and December holiday periods. In addition to raising public awareness of this message, there is coordinated state and local enforcement of </w:t>
      </w:r>
      <w:r w:rsidR="00502482">
        <w:rPr>
          <w:lang w:bidi="en-US"/>
        </w:rPr>
        <w:t>alcohol-impaired driving</w:t>
      </w:r>
      <w:r w:rsidRPr="006847D0">
        <w:rPr>
          <w:lang w:bidi="en-US"/>
        </w:rPr>
        <w:t xml:space="preserve"> laws across the country. According to NHTSA’s countermeasures that work, DUI checkpoints and active/visible law enforcement reduce the prevalence of drunk driving. In fact</w:t>
      </w:r>
      <w:r w:rsidR="00030BCB">
        <w:rPr>
          <w:lang w:bidi="en-US"/>
        </w:rPr>
        <w:t>,</w:t>
      </w:r>
      <w:r w:rsidRPr="006847D0">
        <w:rPr>
          <w:lang w:bidi="en-US"/>
        </w:rPr>
        <w:t xml:space="preserve"> the </w:t>
      </w:r>
      <w:r w:rsidR="00030BCB">
        <w:rPr>
          <w:lang w:bidi="en-US"/>
        </w:rPr>
        <w:t>Center for Disease Control’s (</w:t>
      </w:r>
      <w:r w:rsidRPr="006847D0">
        <w:rPr>
          <w:lang w:bidi="en-US"/>
        </w:rPr>
        <w:t>CDC</w:t>
      </w:r>
      <w:r w:rsidR="00030BCB">
        <w:rPr>
          <w:lang w:bidi="en-US"/>
        </w:rPr>
        <w:t>)</w:t>
      </w:r>
      <w:r w:rsidRPr="006847D0">
        <w:rPr>
          <w:lang w:bidi="en-US"/>
        </w:rPr>
        <w:t xml:space="preserve"> systematic review of 15 high-quality studies found that checkpoints reduce alcohol-related fatal crashes by </w:t>
      </w:r>
      <w:r w:rsidR="00030BCB">
        <w:rPr>
          <w:lang w:bidi="en-US"/>
        </w:rPr>
        <w:t>nine percent</w:t>
      </w:r>
      <w:r w:rsidRPr="006847D0">
        <w:rPr>
          <w:lang w:bidi="en-US"/>
        </w:rPr>
        <w:t>. Additionally</w:t>
      </w:r>
      <w:r w:rsidR="00030BCB">
        <w:rPr>
          <w:lang w:bidi="en-US"/>
        </w:rPr>
        <w:t>,</w:t>
      </w:r>
      <w:r w:rsidRPr="006847D0">
        <w:rPr>
          <w:lang w:bidi="en-US"/>
        </w:rPr>
        <w:t xml:space="preserve"> a demonstration program in Michigan found that saturation patrols can be effective in reducing alcohol-related fatal crashes when accompanied by extensive publicity</w:t>
      </w:r>
      <w:r w:rsidR="00877F1C">
        <w:rPr>
          <w:lang w:bidi="en-US"/>
        </w:rPr>
        <w:t>.</w:t>
      </w:r>
    </w:p>
    <w:p w:rsidR="006847D0" w:rsidP="006847D0" w:rsidRDefault="006847D0" w14:paraId="45E59586" w14:textId="77777777">
      <w:pPr>
        <w:rPr>
          <w:lang w:bidi="en-US"/>
        </w:rPr>
      </w:pPr>
    </w:p>
    <w:p w:rsidRPr="006847D0" w:rsidR="00EE1BA3" w:rsidP="006F685F" w:rsidRDefault="00E3780A" w14:paraId="77E16B3A" w14:textId="60FD6D97">
      <w:pPr>
        <w:rPr>
          <w:lang w:bidi="en-US"/>
        </w:rPr>
      </w:pPr>
      <w:r w:rsidRPr="006847D0">
        <w:rPr>
          <w:lang w:bidi="en-US"/>
        </w:rPr>
        <w:t>NHTSA is seeking approval of an information collection</w:t>
      </w:r>
      <w:r w:rsidR="00030BCB">
        <w:rPr>
          <w:lang w:bidi="en-US"/>
        </w:rPr>
        <w:t xml:space="preserve"> effort</w:t>
      </w:r>
      <w:r w:rsidRPr="006847D0">
        <w:rPr>
          <w:lang w:bidi="en-US"/>
        </w:rPr>
        <w:t xml:space="preserve"> to evaluate concepts for </w:t>
      </w:r>
      <w:r w:rsidR="000845F6">
        <w:rPr>
          <w:lang w:bidi="en-US"/>
        </w:rPr>
        <w:t xml:space="preserve">seven </w:t>
      </w:r>
      <w:r w:rsidRPr="000845F6">
        <w:rPr>
          <w:lang w:bidi="en-US"/>
        </w:rPr>
        <w:t>T</w:t>
      </w:r>
      <w:r w:rsidRPr="006847D0">
        <w:rPr>
          <w:lang w:bidi="en-US"/>
        </w:rPr>
        <w:t>V advertisements</w:t>
      </w:r>
      <w:r w:rsidR="000845F6">
        <w:rPr>
          <w:lang w:bidi="en-US"/>
        </w:rPr>
        <w:t>, 4 english and 3 spanish,</w:t>
      </w:r>
      <w:r w:rsidRPr="006847D0">
        <w:rPr>
          <w:lang w:bidi="en-US"/>
        </w:rPr>
        <w:t xml:space="preserve"> designed to </w:t>
      </w:r>
      <w:r w:rsidRPr="006847D0" w:rsidR="006847D0">
        <w:rPr>
          <w:lang w:bidi="en-US"/>
        </w:rPr>
        <w:t>educate those most at risk of law enforcement</w:t>
      </w:r>
      <w:r w:rsidR="00030BCB">
        <w:rPr>
          <w:lang w:bidi="en-US"/>
        </w:rPr>
        <w:t>-</w:t>
      </w:r>
      <w:r w:rsidRPr="006847D0" w:rsidR="006847D0">
        <w:rPr>
          <w:lang w:bidi="en-US"/>
        </w:rPr>
        <w:t xml:space="preserve">related consequences of drunk driving. </w:t>
      </w:r>
      <w:r w:rsidRPr="006847D0" w:rsidR="001408CB">
        <w:rPr>
          <w:lang w:bidi="en-US"/>
        </w:rPr>
        <w:t>Knowledge gained from this research will</w:t>
      </w:r>
      <w:r w:rsidRPr="006847D0" w:rsidR="00003BAF">
        <w:rPr>
          <w:lang w:bidi="en-US"/>
        </w:rPr>
        <w:t xml:space="preserve"> </w:t>
      </w:r>
      <w:r w:rsidRPr="006847D0" w:rsidR="00E72581">
        <w:rPr>
          <w:lang w:bidi="en-US"/>
        </w:rPr>
        <w:t xml:space="preserve">improve the </w:t>
      </w:r>
      <w:r w:rsidR="00030BCB">
        <w:rPr>
          <w:lang w:bidi="en-US"/>
        </w:rPr>
        <w:t>A</w:t>
      </w:r>
      <w:r w:rsidRPr="006847D0" w:rsidR="00E72581">
        <w:rPr>
          <w:lang w:bidi="en-US"/>
        </w:rPr>
        <w:t>gency’s ability to</w:t>
      </w:r>
      <w:r w:rsidRPr="006847D0" w:rsidR="001408CB">
        <w:rPr>
          <w:lang w:bidi="en-US"/>
        </w:rPr>
        <w:t xml:space="preserve"> </w:t>
      </w:r>
      <w:r w:rsidRPr="006847D0" w:rsidR="00DA00A8">
        <w:rPr>
          <w:lang w:bidi="en-US"/>
        </w:rPr>
        <w:t xml:space="preserve">deliver effective communications that clearly convey the personal costs (physical and emotional) of </w:t>
      </w:r>
      <w:r w:rsidR="00732974">
        <w:rPr>
          <w:lang w:bidi="en-US"/>
        </w:rPr>
        <w:t>driving drunk</w:t>
      </w:r>
      <w:r w:rsidRPr="006847D0" w:rsidR="006847D0">
        <w:rPr>
          <w:lang w:bidi="en-US"/>
        </w:rPr>
        <w:t xml:space="preserve"> </w:t>
      </w:r>
      <w:r w:rsidRPr="006847D0" w:rsidR="00DA00A8">
        <w:rPr>
          <w:lang w:bidi="en-US"/>
        </w:rPr>
        <w:t xml:space="preserve">(tickets/points, physical injury or death </w:t>
      </w:r>
      <w:r w:rsidR="00030BCB">
        <w:rPr>
          <w:lang w:bidi="en-US"/>
        </w:rPr>
        <w:t>of</w:t>
      </w:r>
      <w:r w:rsidRPr="006847D0" w:rsidR="00DA00A8">
        <w:rPr>
          <w:lang w:bidi="en-US"/>
        </w:rPr>
        <w:t xml:space="preserve"> self or others, emotional injury to loved ones</w:t>
      </w:r>
      <w:r w:rsidR="00030BCB">
        <w:rPr>
          <w:lang w:bidi="en-US"/>
        </w:rPr>
        <w:t>, etc.</w:t>
      </w:r>
      <w:r w:rsidRPr="006847D0" w:rsidR="00DA00A8">
        <w:rPr>
          <w:lang w:bidi="en-US"/>
        </w:rPr>
        <w:t xml:space="preserve">) and promote awareness of </w:t>
      </w:r>
      <w:r w:rsidRPr="006847D0" w:rsidR="006847D0">
        <w:rPr>
          <w:lang w:bidi="en-US"/>
        </w:rPr>
        <w:t>visible</w:t>
      </w:r>
      <w:r w:rsidRPr="006847D0" w:rsidR="00DA00A8">
        <w:rPr>
          <w:lang w:bidi="en-US"/>
        </w:rPr>
        <w:t xml:space="preserve"> enforcement</w:t>
      </w:r>
      <w:r w:rsidR="00732974">
        <w:rPr>
          <w:lang w:bidi="en-US"/>
        </w:rPr>
        <w:t xml:space="preserve"> by police during these time periods</w:t>
      </w:r>
      <w:r w:rsidRPr="006847D0" w:rsidR="00DA00A8">
        <w:rPr>
          <w:lang w:bidi="en-US"/>
        </w:rPr>
        <w:t>.</w:t>
      </w:r>
    </w:p>
    <w:p w:rsidR="00366321" w:rsidP="006F685F" w:rsidRDefault="00366321" w14:paraId="44DA5578" w14:textId="070DBF0E">
      <w:pPr>
        <w:rPr>
          <w:lang w:bidi="en-US"/>
        </w:rPr>
      </w:pPr>
    </w:p>
    <w:p w:rsidRPr="006F685F" w:rsidR="00366321" w:rsidP="006F685F" w:rsidRDefault="00366321" w14:paraId="35672320" w14:textId="44157AB7">
      <w:pPr>
        <w:rPr>
          <w:lang w:bidi="en-US"/>
        </w:rPr>
      </w:pPr>
      <w:r w:rsidRPr="00366321">
        <w:rPr>
          <w:lang w:bidi="en-US"/>
        </w:rPr>
        <w:lastRenderedPageBreak/>
        <w:t xml:space="preserve">Focus groups will play an important role in gathering this information because they allow for more in-depth understanding of people’s attitudes, understandings and motivations than do other kinds of studies. If such information is not collected, it will be more difficult and less cost-effective for NHTSA to develop and distribute potentially life-saving messages to its target audience.  </w:t>
      </w:r>
    </w:p>
    <w:p w:rsidRPr="00D40D6E" w:rsidR="00C8488C" w:rsidRDefault="00C8488C" w14:paraId="1DDB89E8" w14:textId="77777777"/>
    <w:p w:rsidRPr="00D40D6E" w:rsidR="00434E33" w:rsidP="00434E33" w:rsidRDefault="00434E33" w14:paraId="0A464A3F" w14:textId="77777777">
      <w:pPr>
        <w:pStyle w:val="Header"/>
        <w:tabs>
          <w:tab w:val="clear" w:pos="4320"/>
          <w:tab w:val="clear" w:pos="8640"/>
        </w:tabs>
        <w:rPr>
          <w:i/>
          <w:snapToGrid/>
        </w:rPr>
      </w:pPr>
      <w:r w:rsidRPr="00D40D6E">
        <w:rPr>
          <w:b/>
        </w:rPr>
        <w:t>DESCRIPTION OF RESPONDENTS</w:t>
      </w:r>
      <w:r w:rsidRPr="00D40D6E">
        <w:t xml:space="preserve">: </w:t>
      </w:r>
    </w:p>
    <w:p w:rsidR="00DA00A8" w:rsidRDefault="000105D8" w14:paraId="459B18DF" w14:textId="2C105B4E">
      <w:pPr>
        <w:rPr>
          <w:lang w:bidi="en-US"/>
        </w:rPr>
      </w:pPr>
      <w:r>
        <w:t>Focus group respondents</w:t>
      </w:r>
      <w:r w:rsidRPr="006847D0" w:rsidR="00D578C9">
        <w:t xml:space="preserve"> will </w:t>
      </w:r>
      <w:r w:rsidR="00C13339">
        <w:t xml:space="preserve">align with the primary demographic target for the creative campaign and will </w:t>
      </w:r>
      <w:r w:rsidRPr="006847D0" w:rsidR="003860D1">
        <w:rPr>
          <w:lang w:bidi="en-US"/>
        </w:rPr>
        <w:t xml:space="preserve">include </w:t>
      </w:r>
      <w:r w:rsidRPr="006847D0" w:rsidR="00DA00A8">
        <w:rPr>
          <w:lang w:bidi="en-US"/>
        </w:rPr>
        <w:t xml:space="preserve">U.S. males ages </w:t>
      </w:r>
      <w:r w:rsidRPr="006847D0" w:rsidR="006847D0">
        <w:rPr>
          <w:lang w:bidi="en-US"/>
        </w:rPr>
        <w:t>21</w:t>
      </w:r>
      <w:r w:rsidRPr="006847D0" w:rsidR="00DA00A8">
        <w:rPr>
          <w:lang w:bidi="en-US"/>
        </w:rPr>
        <w:t xml:space="preserve">-34 </w:t>
      </w:r>
      <w:r w:rsidRPr="006847D0" w:rsidR="00366321">
        <w:rPr>
          <w:lang w:bidi="en-US"/>
        </w:rPr>
        <w:t>years old</w:t>
      </w:r>
      <w:r w:rsidRPr="006847D0" w:rsidR="006847D0">
        <w:rPr>
          <w:lang w:bidi="en-US"/>
        </w:rPr>
        <w:t xml:space="preserve">, who drive regularly and consume alcohol </w:t>
      </w:r>
      <w:r w:rsidR="00732974">
        <w:rPr>
          <w:lang w:bidi="en-US"/>
        </w:rPr>
        <w:t>regularly</w:t>
      </w:r>
      <w:r w:rsidRPr="006847D0" w:rsidR="006847D0">
        <w:rPr>
          <w:lang w:bidi="en-US"/>
        </w:rPr>
        <w:t xml:space="preserve">. </w:t>
      </w:r>
      <w:r w:rsidR="00502482">
        <w:rPr>
          <w:lang w:bidi="en-US"/>
        </w:rPr>
        <w:t xml:space="preserve">This group </w:t>
      </w:r>
      <w:r w:rsidR="00AE361C">
        <w:rPr>
          <w:lang w:bidi="en-US"/>
        </w:rPr>
        <w:t xml:space="preserve">was selected as the primary target because they are overrepresented </w:t>
      </w:r>
      <w:r w:rsidR="00502482">
        <w:rPr>
          <w:lang w:bidi="en-US"/>
        </w:rPr>
        <w:t xml:space="preserve">in </w:t>
      </w:r>
      <w:r w:rsidR="00AE361C">
        <w:rPr>
          <w:lang w:bidi="en-US"/>
        </w:rPr>
        <w:t xml:space="preserve">fatal impaired-driving crashes according to NCSA. </w:t>
      </w:r>
      <w:r w:rsidRPr="006847D0" w:rsidR="00E3780A">
        <w:t>In addition, participants will be screened to ensure a good mix of key demographic criteria (race/ethnicity and employment status) as well as specific socioeconomic factors (household income and education).</w:t>
      </w:r>
    </w:p>
    <w:p w:rsidR="001F2FDF" w:rsidRDefault="001F2FDF" w14:paraId="6A15EF83" w14:textId="77777777"/>
    <w:p w:rsidRPr="00454AB0" w:rsidR="001F2FDF" w:rsidRDefault="00EA60F0" w14:paraId="66925FE3" w14:textId="1190D347">
      <w:r>
        <w:t xml:space="preserve">To ensure we are sampling a diverse set of </w:t>
      </w:r>
      <w:r w:rsidR="00EB75FF">
        <w:t xml:space="preserve">regional </w:t>
      </w:r>
      <w:r>
        <w:t>perspective</w:t>
      </w:r>
      <w:r w:rsidR="0048634B">
        <w:t>s</w:t>
      </w:r>
      <w:r w:rsidR="006F685F">
        <w:t>,</w:t>
      </w:r>
      <w:r w:rsidR="00EB75FF">
        <w:t xml:space="preserve"> as well as gathering information from residents of states with different enforcement laws in place,</w:t>
      </w:r>
      <w:r>
        <w:t xml:space="preserve"> the</w:t>
      </w:r>
      <w:r w:rsidR="006F685F">
        <w:t xml:space="preserve"> focus</w:t>
      </w:r>
      <w:r>
        <w:t xml:space="preserve"> group sessions will be hel</w:t>
      </w:r>
      <w:r w:rsidR="00884265">
        <w:t>d</w:t>
      </w:r>
      <w:r>
        <w:t xml:space="preserve"> in </w:t>
      </w:r>
      <w:r w:rsidR="00732974">
        <w:t>four</w:t>
      </w:r>
      <w:r w:rsidR="00997B68">
        <w:t xml:space="preserve"> </w:t>
      </w:r>
      <w:r w:rsidR="00884265">
        <w:t>locations across the contiguous</w:t>
      </w:r>
      <w:r>
        <w:t xml:space="preserve"> </w:t>
      </w:r>
      <w:r w:rsidR="00366321">
        <w:t>U</w:t>
      </w:r>
      <w:r w:rsidR="00030BCB">
        <w:t xml:space="preserve">nited </w:t>
      </w:r>
      <w:r w:rsidR="00366321">
        <w:t>S</w:t>
      </w:r>
      <w:r w:rsidR="00030BCB">
        <w:t>tates</w:t>
      </w:r>
      <w:r>
        <w:t xml:space="preserve">. </w:t>
      </w:r>
      <w:r w:rsidRPr="00454AB0" w:rsidR="006847D0">
        <w:t>Recommended markets are Alexandria, Virginia (</w:t>
      </w:r>
      <w:r w:rsidR="00877F1C">
        <w:t>offers</w:t>
      </w:r>
      <w:r w:rsidRPr="00454AB0" w:rsidR="006847D0">
        <w:t xml:space="preserve"> </w:t>
      </w:r>
      <w:r w:rsidR="00732974">
        <w:t>a</w:t>
      </w:r>
      <w:r w:rsidR="00877F1C">
        <w:t xml:space="preserve"> </w:t>
      </w:r>
      <w:r w:rsidR="00732974">
        <w:t>mid-</w:t>
      </w:r>
      <w:r w:rsidR="00E33172">
        <w:t>A</w:t>
      </w:r>
      <w:r w:rsidR="00732974">
        <w:t xml:space="preserve">tlantic </w:t>
      </w:r>
      <w:r w:rsidR="00877F1C">
        <w:t>state</w:t>
      </w:r>
      <w:r w:rsidRPr="00454AB0" w:rsidR="00454AB0">
        <w:t>);</w:t>
      </w:r>
      <w:r w:rsidRPr="00454AB0" w:rsidR="006847D0">
        <w:t xml:space="preserve"> Austin, Texas (offers access to a college market</w:t>
      </w:r>
      <w:r w:rsidR="00EB75FF">
        <w:t>,</w:t>
      </w:r>
      <w:r w:rsidRPr="00454AB0" w:rsidR="006847D0">
        <w:t xml:space="preserve"> </w:t>
      </w:r>
      <w:r w:rsidR="00EB75FF">
        <w:t>has</w:t>
      </w:r>
      <w:r w:rsidRPr="00454AB0" w:rsidR="00EB75FF">
        <w:t xml:space="preserve"> a higher rate of alcohol</w:t>
      </w:r>
      <w:r w:rsidR="00EB75FF">
        <w:t>-</w:t>
      </w:r>
      <w:r w:rsidRPr="00454AB0" w:rsidR="00EB75FF">
        <w:t>impaired driving fatalities</w:t>
      </w:r>
      <w:r w:rsidR="00EB75FF">
        <w:t xml:space="preserve"> relative to the rest of the country</w:t>
      </w:r>
      <w:r w:rsidRPr="00454AB0" w:rsidR="00EB75FF">
        <w:t xml:space="preserve"> </w:t>
      </w:r>
      <w:r w:rsidR="00EB75FF">
        <w:t>and is</w:t>
      </w:r>
      <w:r w:rsidRPr="00454AB0" w:rsidR="006847D0">
        <w:t xml:space="preserve"> a state where checkpoints </w:t>
      </w:r>
      <w:r w:rsidR="00447835">
        <w:t>have been ruled unconstitutional by the state supreme court</w:t>
      </w:r>
      <w:r w:rsidRPr="00454AB0" w:rsidR="006847D0">
        <w:t>)</w:t>
      </w:r>
      <w:r w:rsidRPr="00454AB0" w:rsidR="00454AB0">
        <w:t xml:space="preserve">; </w:t>
      </w:r>
      <w:r w:rsidR="00732974">
        <w:t xml:space="preserve">Detroit, Michigan (offers a mid-western state where checkpoints are </w:t>
      </w:r>
      <w:r w:rsidR="00EB75FF">
        <w:t xml:space="preserve">held to be </w:t>
      </w:r>
      <w:r w:rsidR="00732974">
        <w:t>illegal)</w:t>
      </w:r>
      <w:r w:rsidR="004A718B">
        <w:t>;</w:t>
      </w:r>
      <w:r w:rsidR="00732974">
        <w:t xml:space="preserve"> </w:t>
      </w:r>
      <w:r w:rsidRPr="00454AB0" w:rsidR="00454AB0">
        <w:t xml:space="preserve">and </w:t>
      </w:r>
      <w:r w:rsidR="00732974">
        <w:t>Boston, Massachusetts</w:t>
      </w:r>
      <w:r w:rsidRPr="00454AB0" w:rsidR="00454AB0">
        <w:t xml:space="preserve"> (</w:t>
      </w:r>
      <w:r w:rsidR="00732974">
        <w:t xml:space="preserve">offers a northeastern state that </w:t>
      </w:r>
      <w:r w:rsidRPr="00454AB0" w:rsidR="00454AB0">
        <w:t xml:space="preserve">has </w:t>
      </w:r>
      <w:r w:rsidR="00EB75FF">
        <w:t xml:space="preserve">above-average </w:t>
      </w:r>
      <w:r w:rsidRPr="00454AB0" w:rsidR="00454AB0">
        <w:t>levels of alcohol impaired driving fatalities).</w:t>
      </w:r>
    </w:p>
    <w:p w:rsidR="00223097" w:rsidRDefault="00E3780A" w14:paraId="5A5CCD90" w14:textId="41899323">
      <w:r w:rsidRPr="00E3780A">
        <w:t> </w:t>
      </w:r>
    </w:p>
    <w:p w:rsidRPr="00454AB0" w:rsidR="00811A16" w:rsidP="00811A16" w:rsidRDefault="00811A16" w14:paraId="5CE14CF1" w14:textId="55DE8FAA">
      <w:r w:rsidRPr="00597FB8">
        <w:t>In addition to the general market groups, we propose conducting two additional focus groups among Spanish-speaking male</w:t>
      </w:r>
      <w:r w:rsidR="00833204">
        <w:t>,</w:t>
      </w:r>
      <w:r w:rsidRPr="00597FB8">
        <w:t xml:space="preserve"> foreign-born drivers between the ages of 21-34, in Rockville, MD. Rockville will allow us to recruit throughout the Washington</w:t>
      </w:r>
      <w:r w:rsidR="00597FB8">
        <w:t>,</w:t>
      </w:r>
      <w:r w:rsidRPr="00597FB8">
        <w:t xml:space="preserve"> DC metro area, representing a diverse market from various countries of origin, as well as more recent immigrants who are Spanish-reliant.</w:t>
      </w:r>
    </w:p>
    <w:p w:rsidR="00281057" w:rsidRDefault="00281057" w14:paraId="3DA1D884" w14:textId="77777777"/>
    <w:p w:rsidR="009A19FE" w:rsidRDefault="00FE5007" w14:paraId="35470294" w14:textId="00077777">
      <w:r w:rsidRPr="00FE5007">
        <w:t xml:space="preserve">The </w:t>
      </w:r>
      <w:r w:rsidR="00012BB5">
        <w:t xml:space="preserve">focus groups will </w:t>
      </w:r>
      <w:r w:rsidR="004219A5">
        <w:t>recruit 1</w:t>
      </w:r>
      <w:r w:rsidR="00454AB0">
        <w:t>2</w:t>
      </w:r>
      <w:r w:rsidR="004219A5">
        <w:t xml:space="preserve"> participants per group with the intention to seat </w:t>
      </w:r>
      <w:r w:rsidR="001B0B6F">
        <w:t>nine</w:t>
      </w:r>
      <w:r w:rsidR="004219A5">
        <w:t xml:space="preserve">. There will be two groups per market and </w:t>
      </w:r>
      <w:r w:rsidR="0097228C">
        <w:t xml:space="preserve">up to </w:t>
      </w:r>
      <w:r w:rsidR="000105D8">
        <w:t xml:space="preserve">five </w:t>
      </w:r>
      <w:r w:rsidR="004219A5">
        <w:t>markets overall</w:t>
      </w:r>
      <w:r w:rsidR="000105D8">
        <w:t>, four general market locations and one Spanish-reliant Hispanic market location</w:t>
      </w:r>
      <w:r w:rsidR="0097228C">
        <w:t>. Assuming research is conducted in</w:t>
      </w:r>
      <w:r w:rsidR="00623E88">
        <w:t xml:space="preserve"> all</w:t>
      </w:r>
      <w:r w:rsidR="0097228C">
        <w:t xml:space="preserve"> </w:t>
      </w:r>
      <w:r w:rsidR="000105D8">
        <w:t xml:space="preserve">five </w:t>
      </w:r>
      <w:r w:rsidR="0097228C">
        <w:t xml:space="preserve">markets we will recruit </w:t>
      </w:r>
      <w:r w:rsidR="004219A5">
        <w:t>a total of</w:t>
      </w:r>
      <w:r w:rsidR="0097228C">
        <w:t xml:space="preserve"> </w:t>
      </w:r>
      <w:r w:rsidR="001D4B85">
        <w:t>120</w:t>
      </w:r>
      <w:r w:rsidR="00AD4DCB">
        <w:t xml:space="preserve"> </w:t>
      </w:r>
      <w:r w:rsidR="004219A5">
        <w:t>participants</w:t>
      </w:r>
      <w:r w:rsidR="00A87A5E">
        <w:t xml:space="preserve"> to seat </w:t>
      </w:r>
      <w:r w:rsidR="001D4B85">
        <w:t>90</w:t>
      </w:r>
      <w:r w:rsidR="004219A5">
        <w:t xml:space="preserve">. The table below shows our expected recruits per market, per </w:t>
      </w:r>
      <w:r w:rsidR="0097228C">
        <w:t>group</w:t>
      </w:r>
      <w:r w:rsidR="004219A5">
        <w:t>.</w:t>
      </w:r>
    </w:p>
    <w:p w:rsidR="00C8488C" w:rsidRDefault="00C8488C" w14:paraId="003AA58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2"/>
        <w:gridCol w:w="1293"/>
        <w:gridCol w:w="1350"/>
        <w:gridCol w:w="1350"/>
        <w:gridCol w:w="1170"/>
        <w:gridCol w:w="1227"/>
        <w:gridCol w:w="1378"/>
      </w:tblGrid>
      <w:tr w:rsidR="000105D8" w:rsidTr="000105D8" w14:paraId="2897E357" w14:textId="77777777">
        <w:tc>
          <w:tcPr>
            <w:tcW w:w="1582" w:type="dxa"/>
            <w:shd w:val="clear" w:color="auto" w:fill="44546A"/>
          </w:tcPr>
          <w:p w:rsidRPr="00997B68" w:rsidR="000105D8" w:rsidP="00F0476A" w:rsidRDefault="000105D8" w14:paraId="64EC397A" w14:textId="77777777">
            <w:pPr>
              <w:rPr>
                <w:color w:val="FFFFFF"/>
              </w:rPr>
            </w:pPr>
          </w:p>
        </w:tc>
        <w:tc>
          <w:tcPr>
            <w:tcW w:w="1293" w:type="dxa"/>
            <w:shd w:val="clear" w:color="auto" w:fill="44546A"/>
          </w:tcPr>
          <w:p w:rsidRPr="00454AB0" w:rsidR="000105D8" w:rsidP="00F0476A" w:rsidRDefault="000105D8" w14:paraId="5565E193" w14:textId="77777777">
            <w:pPr>
              <w:jc w:val="center"/>
              <w:rPr>
                <w:color w:val="FFFFFF"/>
                <w:sz w:val="20"/>
                <w:szCs w:val="20"/>
              </w:rPr>
            </w:pPr>
            <w:r w:rsidRPr="00454AB0">
              <w:rPr>
                <w:color w:val="FFFFFF"/>
                <w:sz w:val="20"/>
                <w:szCs w:val="20"/>
              </w:rPr>
              <w:t>Location 1</w:t>
            </w:r>
          </w:p>
          <w:p w:rsidRPr="00454AB0" w:rsidR="000105D8" w:rsidP="00F0476A" w:rsidRDefault="000105D8" w14:paraId="499E2709" w14:textId="4750DB54">
            <w:pPr>
              <w:jc w:val="center"/>
              <w:rPr>
                <w:color w:val="FFFFFF"/>
                <w:sz w:val="20"/>
                <w:szCs w:val="20"/>
              </w:rPr>
            </w:pPr>
            <w:r>
              <w:rPr>
                <w:color w:val="FFFFFF"/>
                <w:sz w:val="16"/>
                <w:szCs w:val="16"/>
              </w:rPr>
              <w:t>Alexandria, VA</w:t>
            </w:r>
          </w:p>
        </w:tc>
        <w:tc>
          <w:tcPr>
            <w:tcW w:w="1350" w:type="dxa"/>
            <w:shd w:val="clear" w:color="auto" w:fill="44546A"/>
          </w:tcPr>
          <w:p w:rsidRPr="00454AB0" w:rsidR="000105D8" w:rsidP="00F0476A" w:rsidRDefault="000105D8" w14:paraId="534C6E98" w14:textId="77777777">
            <w:pPr>
              <w:jc w:val="center"/>
              <w:rPr>
                <w:color w:val="FFFFFF"/>
                <w:sz w:val="20"/>
                <w:szCs w:val="20"/>
              </w:rPr>
            </w:pPr>
            <w:r w:rsidRPr="00454AB0">
              <w:rPr>
                <w:color w:val="FFFFFF"/>
                <w:sz w:val="20"/>
                <w:szCs w:val="20"/>
              </w:rPr>
              <w:t>Location 2</w:t>
            </w:r>
          </w:p>
          <w:p w:rsidRPr="00454AB0" w:rsidR="000105D8" w:rsidP="00F0476A" w:rsidRDefault="000105D8" w14:paraId="25AC1CCE" w14:textId="0E51C00E">
            <w:pPr>
              <w:jc w:val="center"/>
              <w:rPr>
                <w:color w:val="FFFFFF"/>
                <w:sz w:val="16"/>
                <w:szCs w:val="16"/>
              </w:rPr>
            </w:pPr>
            <w:r>
              <w:rPr>
                <w:color w:val="FFFFFF"/>
                <w:sz w:val="16"/>
                <w:szCs w:val="16"/>
              </w:rPr>
              <w:t>Austin, TX</w:t>
            </w:r>
          </w:p>
        </w:tc>
        <w:tc>
          <w:tcPr>
            <w:tcW w:w="1350" w:type="dxa"/>
            <w:shd w:val="clear" w:color="auto" w:fill="44546A"/>
          </w:tcPr>
          <w:p w:rsidRPr="00454AB0" w:rsidR="000105D8" w:rsidP="00F0476A" w:rsidRDefault="000105D8" w14:paraId="56D9DEC1" w14:textId="77777777">
            <w:pPr>
              <w:jc w:val="center"/>
              <w:rPr>
                <w:color w:val="FFFFFF"/>
                <w:sz w:val="20"/>
                <w:szCs w:val="20"/>
              </w:rPr>
            </w:pPr>
            <w:r w:rsidRPr="00454AB0">
              <w:rPr>
                <w:color w:val="FFFFFF"/>
                <w:sz w:val="20"/>
                <w:szCs w:val="20"/>
              </w:rPr>
              <w:t>Location 3</w:t>
            </w:r>
          </w:p>
          <w:p w:rsidRPr="00454AB0" w:rsidR="000105D8" w:rsidP="00F0476A" w:rsidRDefault="000105D8" w14:paraId="55201B1C" w14:textId="78401027">
            <w:pPr>
              <w:jc w:val="center"/>
              <w:rPr>
                <w:color w:val="FFFFFF"/>
                <w:sz w:val="20"/>
                <w:szCs w:val="20"/>
              </w:rPr>
            </w:pPr>
            <w:r>
              <w:rPr>
                <w:color w:val="FFFFFF"/>
                <w:sz w:val="16"/>
                <w:szCs w:val="16"/>
              </w:rPr>
              <w:t>Detroit, MI</w:t>
            </w:r>
          </w:p>
        </w:tc>
        <w:tc>
          <w:tcPr>
            <w:tcW w:w="1170" w:type="dxa"/>
            <w:shd w:val="clear" w:color="auto" w:fill="44546A"/>
          </w:tcPr>
          <w:p w:rsidRPr="008B6494" w:rsidR="000105D8" w:rsidP="008B6494" w:rsidRDefault="000105D8" w14:paraId="5250653D" w14:textId="77777777">
            <w:pPr>
              <w:jc w:val="center"/>
              <w:rPr>
                <w:color w:val="FFFFFF"/>
                <w:sz w:val="20"/>
                <w:szCs w:val="20"/>
              </w:rPr>
            </w:pPr>
            <w:r w:rsidRPr="008B6494">
              <w:rPr>
                <w:color w:val="FFFFFF"/>
                <w:sz w:val="20"/>
                <w:szCs w:val="20"/>
              </w:rPr>
              <w:t>Location 4</w:t>
            </w:r>
          </w:p>
          <w:p w:rsidRPr="00997B68" w:rsidR="000105D8" w:rsidP="00F0476A" w:rsidRDefault="000105D8" w14:paraId="32C7DE3F" w14:textId="31960BEE">
            <w:pPr>
              <w:rPr>
                <w:b/>
                <w:bCs/>
                <w:color w:val="FFFFFF"/>
              </w:rPr>
            </w:pPr>
            <w:r w:rsidRPr="008B6494">
              <w:rPr>
                <w:color w:val="FFFFFF"/>
                <w:sz w:val="16"/>
                <w:szCs w:val="16"/>
              </w:rPr>
              <w:t>Boston, MA</w:t>
            </w:r>
          </w:p>
        </w:tc>
        <w:tc>
          <w:tcPr>
            <w:tcW w:w="1227" w:type="dxa"/>
            <w:shd w:val="clear" w:color="auto" w:fill="44546A"/>
          </w:tcPr>
          <w:p w:rsidRPr="008B6494" w:rsidR="000105D8" w:rsidP="000105D8" w:rsidRDefault="000105D8" w14:paraId="08572D15" w14:textId="2B74F958">
            <w:pPr>
              <w:jc w:val="center"/>
              <w:rPr>
                <w:color w:val="FFFFFF"/>
                <w:sz w:val="20"/>
                <w:szCs w:val="20"/>
              </w:rPr>
            </w:pPr>
            <w:r w:rsidRPr="008B6494">
              <w:rPr>
                <w:color w:val="FFFFFF"/>
                <w:sz w:val="20"/>
                <w:szCs w:val="20"/>
              </w:rPr>
              <w:t xml:space="preserve">Location </w:t>
            </w:r>
            <w:r>
              <w:rPr>
                <w:color w:val="FFFFFF"/>
                <w:sz w:val="20"/>
                <w:szCs w:val="20"/>
              </w:rPr>
              <w:t>5*</w:t>
            </w:r>
          </w:p>
          <w:p w:rsidRPr="00997B68" w:rsidR="000105D8" w:rsidP="000105D8" w:rsidRDefault="000105D8" w14:paraId="5989C562" w14:textId="438E66F0">
            <w:pPr>
              <w:rPr>
                <w:b/>
                <w:bCs/>
                <w:color w:val="FFFFFF"/>
              </w:rPr>
            </w:pPr>
            <w:r>
              <w:rPr>
                <w:color w:val="FFFFFF"/>
                <w:sz w:val="16"/>
                <w:szCs w:val="16"/>
              </w:rPr>
              <w:t>Rockville, MD</w:t>
            </w:r>
          </w:p>
        </w:tc>
        <w:tc>
          <w:tcPr>
            <w:tcW w:w="1378" w:type="dxa"/>
            <w:shd w:val="clear" w:color="auto" w:fill="44546A"/>
          </w:tcPr>
          <w:p w:rsidRPr="00997B68" w:rsidR="000105D8" w:rsidP="00F0476A" w:rsidRDefault="000105D8" w14:paraId="4BBCE487" w14:textId="2179D269">
            <w:pPr>
              <w:rPr>
                <w:b/>
                <w:bCs/>
                <w:color w:val="FFFFFF"/>
              </w:rPr>
            </w:pPr>
            <w:r w:rsidRPr="00997B68">
              <w:rPr>
                <w:b/>
                <w:bCs/>
                <w:color w:val="FFFFFF"/>
              </w:rPr>
              <w:t>TOTAL</w:t>
            </w:r>
          </w:p>
        </w:tc>
      </w:tr>
      <w:tr w:rsidR="000105D8" w:rsidTr="000105D8" w14:paraId="345B7B06" w14:textId="77777777">
        <w:tc>
          <w:tcPr>
            <w:tcW w:w="1582" w:type="dxa"/>
            <w:shd w:val="clear" w:color="auto" w:fill="auto"/>
          </w:tcPr>
          <w:p w:rsidR="000105D8" w:rsidP="000105D8" w:rsidRDefault="000105D8" w14:paraId="65F94157" w14:textId="77777777">
            <w:pPr>
              <w:jc w:val="right"/>
            </w:pPr>
            <w:r>
              <w:t>6pm Group</w:t>
            </w:r>
          </w:p>
        </w:tc>
        <w:tc>
          <w:tcPr>
            <w:tcW w:w="1293" w:type="dxa"/>
          </w:tcPr>
          <w:p w:rsidRPr="00D9079C" w:rsidR="000105D8" w:rsidP="000105D8" w:rsidRDefault="000105D8" w14:paraId="264CA469" w14:textId="216BF9BA">
            <w:pPr>
              <w:jc w:val="center"/>
              <w:rPr>
                <w:sz w:val="21"/>
                <w:szCs w:val="21"/>
              </w:rPr>
            </w:pPr>
            <w:r w:rsidRPr="00D9079C">
              <w:rPr>
                <w:sz w:val="21"/>
                <w:szCs w:val="21"/>
              </w:rPr>
              <w:t>Recruit 1</w:t>
            </w:r>
            <w:r>
              <w:rPr>
                <w:sz w:val="21"/>
                <w:szCs w:val="21"/>
              </w:rPr>
              <w:t>2</w:t>
            </w:r>
          </w:p>
          <w:p w:rsidRPr="00D9079C" w:rsidR="000105D8" w:rsidP="000105D8" w:rsidRDefault="000105D8" w14:paraId="654C2902" w14:textId="77777777">
            <w:pPr>
              <w:jc w:val="center"/>
              <w:rPr>
                <w:sz w:val="21"/>
                <w:szCs w:val="21"/>
              </w:rPr>
            </w:pPr>
            <w:r w:rsidRPr="00D9079C">
              <w:rPr>
                <w:sz w:val="21"/>
                <w:szCs w:val="21"/>
              </w:rPr>
              <w:t>to seat 9</w:t>
            </w:r>
          </w:p>
        </w:tc>
        <w:tc>
          <w:tcPr>
            <w:tcW w:w="1350" w:type="dxa"/>
            <w:shd w:val="clear" w:color="auto" w:fill="auto"/>
          </w:tcPr>
          <w:p w:rsidRPr="00D9079C" w:rsidR="000105D8" w:rsidP="000105D8" w:rsidRDefault="000105D8" w14:paraId="35CE1BE7" w14:textId="1EB78890">
            <w:pPr>
              <w:jc w:val="center"/>
              <w:rPr>
                <w:sz w:val="21"/>
                <w:szCs w:val="21"/>
              </w:rPr>
            </w:pPr>
            <w:r w:rsidRPr="00D9079C">
              <w:rPr>
                <w:sz w:val="21"/>
                <w:szCs w:val="21"/>
              </w:rPr>
              <w:t>Recruit 1</w:t>
            </w:r>
            <w:r>
              <w:rPr>
                <w:sz w:val="21"/>
                <w:szCs w:val="21"/>
              </w:rPr>
              <w:t>2</w:t>
            </w:r>
          </w:p>
          <w:p w:rsidRPr="00D9079C" w:rsidR="000105D8" w:rsidP="000105D8" w:rsidRDefault="000105D8" w14:paraId="3F112F28" w14:textId="77777777">
            <w:pPr>
              <w:jc w:val="center"/>
              <w:rPr>
                <w:sz w:val="21"/>
                <w:szCs w:val="21"/>
              </w:rPr>
            </w:pPr>
            <w:r w:rsidRPr="00D9079C">
              <w:rPr>
                <w:sz w:val="21"/>
                <w:szCs w:val="21"/>
              </w:rPr>
              <w:t>to seat 9</w:t>
            </w:r>
          </w:p>
        </w:tc>
        <w:tc>
          <w:tcPr>
            <w:tcW w:w="1350" w:type="dxa"/>
            <w:shd w:val="clear" w:color="auto" w:fill="auto"/>
          </w:tcPr>
          <w:p w:rsidRPr="00D9079C" w:rsidR="000105D8" w:rsidP="000105D8" w:rsidRDefault="000105D8" w14:paraId="114ADAE4" w14:textId="3AC557E5">
            <w:pPr>
              <w:jc w:val="center"/>
              <w:rPr>
                <w:sz w:val="21"/>
                <w:szCs w:val="21"/>
              </w:rPr>
            </w:pPr>
            <w:r w:rsidRPr="00D9079C">
              <w:rPr>
                <w:sz w:val="21"/>
                <w:szCs w:val="21"/>
              </w:rPr>
              <w:t>Recruit 1</w:t>
            </w:r>
            <w:r>
              <w:rPr>
                <w:sz w:val="21"/>
                <w:szCs w:val="21"/>
              </w:rPr>
              <w:t>2</w:t>
            </w:r>
          </w:p>
          <w:p w:rsidRPr="00D9079C" w:rsidR="000105D8" w:rsidP="000105D8" w:rsidRDefault="000105D8" w14:paraId="7FBC09A2" w14:textId="77777777">
            <w:pPr>
              <w:jc w:val="center"/>
              <w:rPr>
                <w:sz w:val="21"/>
                <w:szCs w:val="21"/>
              </w:rPr>
            </w:pPr>
            <w:r w:rsidRPr="00D9079C">
              <w:rPr>
                <w:sz w:val="21"/>
                <w:szCs w:val="21"/>
              </w:rPr>
              <w:t>to seat 9</w:t>
            </w:r>
          </w:p>
        </w:tc>
        <w:tc>
          <w:tcPr>
            <w:tcW w:w="1170" w:type="dxa"/>
          </w:tcPr>
          <w:p w:rsidRPr="00D9079C" w:rsidR="000105D8" w:rsidP="000105D8" w:rsidRDefault="000105D8" w14:paraId="163D0464" w14:textId="77777777">
            <w:pPr>
              <w:jc w:val="center"/>
              <w:rPr>
                <w:sz w:val="21"/>
                <w:szCs w:val="21"/>
              </w:rPr>
            </w:pPr>
            <w:r w:rsidRPr="00D9079C">
              <w:rPr>
                <w:sz w:val="21"/>
                <w:szCs w:val="21"/>
              </w:rPr>
              <w:t>Recruit 1</w:t>
            </w:r>
            <w:r>
              <w:rPr>
                <w:sz w:val="21"/>
                <w:szCs w:val="21"/>
              </w:rPr>
              <w:t>2</w:t>
            </w:r>
          </w:p>
          <w:p w:rsidRPr="00D9079C" w:rsidR="000105D8" w:rsidP="000105D8" w:rsidRDefault="000105D8" w14:paraId="4EF199AF" w14:textId="3DDE2EE5">
            <w:pPr>
              <w:rPr>
                <w:b/>
                <w:bCs/>
                <w:sz w:val="21"/>
                <w:szCs w:val="21"/>
              </w:rPr>
            </w:pPr>
            <w:r w:rsidRPr="00D9079C">
              <w:rPr>
                <w:sz w:val="21"/>
                <w:szCs w:val="21"/>
              </w:rPr>
              <w:t>to seat 9</w:t>
            </w:r>
          </w:p>
        </w:tc>
        <w:tc>
          <w:tcPr>
            <w:tcW w:w="1227" w:type="dxa"/>
          </w:tcPr>
          <w:p w:rsidRPr="00D9079C" w:rsidR="000105D8" w:rsidP="000105D8" w:rsidRDefault="000105D8" w14:paraId="064BE8A0" w14:textId="77777777">
            <w:pPr>
              <w:jc w:val="center"/>
              <w:rPr>
                <w:sz w:val="21"/>
                <w:szCs w:val="21"/>
              </w:rPr>
            </w:pPr>
            <w:r w:rsidRPr="00D9079C">
              <w:rPr>
                <w:sz w:val="21"/>
                <w:szCs w:val="21"/>
              </w:rPr>
              <w:t>Recruit 1</w:t>
            </w:r>
            <w:r>
              <w:rPr>
                <w:sz w:val="21"/>
                <w:szCs w:val="21"/>
              </w:rPr>
              <w:t>2</w:t>
            </w:r>
          </w:p>
          <w:p w:rsidRPr="00D9079C" w:rsidR="000105D8" w:rsidP="000105D8" w:rsidRDefault="000105D8" w14:paraId="0AD19E8D" w14:textId="2927F680">
            <w:pPr>
              <w:rPr>
                <w:b/>
                <w:bCs/>
                <w:sz w:val="21"/>
                <w:szCs w:val="21"/>
              </w:rPr>
            </w:pPr>
            <w:r w:rsidRPr="00D9079C">
              <w:rPr>
                <w:sz w:val="21"/>
                <w:szCs w:val="21"/>
              </w:rPr>
              <w:t>to seat 9</w:t>
            </w:r>
          </w:p>
        </w:tc>
        <w:tc>
          <w:tcPr>
            <w:tcW w:w="1378" w:type="dxa"/>
            <w:shd w:val="clear" w:color="auto" w:fill="auto"/>
          </w:tcPr>
          <w:p w:rsidRPr="00D9079C" w:rsidR="000105D8" w:rsidP="000105D8" w:rsidRDefault="000105D8" w14:paraId="6BCA7D84" w14:textId="6361B9B3">
            <w:pPr>
              <w:rPr>
                <w:b/>
                <w:bCs/>
                <w:sz w:val="21"/>
                <w:szCs w:val="21"/>
              </w:rPr>
            </w:pPr>
            <w:r w:rsidRPr="00D9079C">
              <w:rPr>
                <w:b/>
                <w:bCs/>
                <w:sz w:val="21"/>
                <w:szCs w:val="21"/>
              </w:rPr>
              <w:t xml:space="preserve">Recruit </w:t>
            </w:r>
            <w:r>
              <w:rPr>
                <w:b/>
                <w:bCs/>
                <w:sz w:val="21"/>
                <w:szCs w:val="21"/>
              </w:rPr>
              <w:t>60</w:t>
            </w:r>
          </w:p>
          <w:p w:rsidRPr="00D9079C" w:rsidR="000105D8" w:rsidP="000105D8" w:rsidRDefault="000105D8" w14:paraId="523E1FEC" w14:textId="371DF8F2">
            <w:pPr>
              <w:rPr>
                <w:b/>
                <w:bCs/>
                <w:sz w:val="21"/>
                <w:szCs w:val="21"/>
              </w:rPr>
            </w:pPr>
            <w:r w:rsidRPr="00D9079C">
              <w:rPr>
                <w:b/>
                <w:bCs/>
                <w:sz w:val="21"/>
                <w:szCs w:val="21"/>
              </w:rPr>
              <w:t xml:space="preserve">to seat </w:t>
            </w:r>
            <w:r>
              <w:rPr>
                <w:b/>
                <w:bCs/>
                <w:sz w:val="21"/>
                <w:szCs w:val="21"/>
              </w:rPr>
              <w:t>45</w:t>
            </w:r>
          </w:p>
        </w:tc>
      </w:tr>
      <w:tr w:rsidR="000105D8" w:rsidTr="000105D8" w14:paraId="73011009" w14:textId="77777777">
        <w:tc>
          <w:tcPr>
            <w:tcW w:w="1582" w:type="dxa"/>
            <w:shd w:val="clear" w:color="auto" w:fill="auto"/>
          </w:tcPr>
          <w:p w:rsidR="000105D8" w:rsidP="000105D8" w:rsidRDefault="000105D8" w14:paraId="348B6A4D" w14:textId="77777777">
            <w:pPr>
              <w:jc w:val="right"/>
            </w:pPr>
            <w:r>
              <w:t>8pm Group</w:t>
            </w:r>
          </w:p>
        </w:tc>
        <w:tc>
          <w:tcPr>
            <w:tcW w:w="1293" w:type="dxa"/>
          </w:tcPr>
          <w:p w:rsidRPr="00D9079C" w:rsidR="000105D8" w:rsidP="000105D8" w:rsidRDefault="000105D8" w14:paraId="6379CCA2" w14:textId="3E7DD4E3">
            <w:pPr>
              <w:jc w:val="center"/>
              <w:rPr>
                <w:sz w:val="21"/>
                <w:szCs w:val="21"/>
              </w:rPr>
            </w:pPr>
            <w:r w:rsidRPr="00D9079C">
              <w:rPr>
                <w:sz w:val="21"/>
                <w:szCs w:val="21"/>
              </w:rPr>
              <w:t>Recruit 1</w:t>
            </w:r>
            <w:r>
              <w:rPr>
                <w:sz w:val="21"/>
                <w:szCs w:val="21"/>
              </w:rPr>
              <w:t>2</w:t>
            </w:r>
          </w:p>
          <w:p w:rsidRPr="00D9079C" w:rsidR="000105D8" w:rsidP="000105D8" w:rsidRDefault="000105D8" w14:paraId="52AC59B0" w14:textId="77777777">
            <w:pPr>
              <w:jc w:val="center"/>
              <w:rPr>
                <w:sz w:val="21"/>
                <w:szCs w:val="21"/>
              </w:rPr>
            </w:pPr>
            <w:r w:rsidRPr="00D9079C">
              <w:rPr>
                <w:sz w:val="21"/>
                <w:szCs w:val="21"/>
              </w:rPr>
              <w:t>to seat 9</w:t>
            </w:r>
          </w:p>
        </w:tc>
        <w:tc>
          <w:tcPr>
            <w:tcW w:w="1350" w:type="dxa"/>
            <w:shd w:val="clear" w:color="auto" w:fill="auto"/>
          </w:tcPr>
          <w:p w:rsidRPr="00D9079C" w:rsidR="000105D8" w:rsidP="000105D8" w:rsidRDefault="000105D8" w14:paraId="38F991ED" w14:textId="26EEF8EA">
            <w:pPr>
              <w:jc w:val="center"/>
              <w:rPr>
                <w:sz w:val="21"/>
                <w:szCs w:val="21"/>
              </w:rPr>
            </w:pPr>
            <w:r w:rsidRPr="00D9079C">
              <w:rPr>
                <w:sz w:val="21"/>
                <w:szCs w:val="21"/>
              </w:rPr>
              <w:t>Recruit 1</w:t>
            </w:r>
            <w:r>
              <w:rPr>
                <w:sz w:val="21"/>
                <w:szCs w:val="21"/>
              </w:rPr>
              <w:t>2</w:t>
            </w:r>
          </w:p>
          <w:p w:rsidRPr="00D9079C" w:rsidR="000105D8" w:rsidP="000105D8" w:rsidRDefault="000105D8" w14:paraId="595FF488" w14:textId="77777777">
            <w:pPr>
              <w:jc w:val="center"/>
              <w:rPr>
                <w:sz w:val="21"/>
                <w:szCs w:val="21"/>
              </w:rPr>
            </w:pPr>
            <w:r w:rsidRPr="00D9079C">
              <w:rPr>
                <w:sz w:val="21"/>
                <w:szCs w:val="21"/>
              </w:rPr>
              <w:t>to seat 9</w:t>
            </w:r>
          </w:p>
        </w:tc>
        <w:tc>
          <w:tcPr>
            <w:tcW w:w="1350" w:type="dxa"/>
            <w:shd w:val="clear" w:color="auto" w:fill="auto"/>
          </w:tcPr>
          <w:p w:rsidRPr="00D9079C" w:rsidR="000105D8" w:rsidP="000105D8" w:rsidRDefault="000105D8" w14:paraId="5134F187" w14:textId="393AE40A">
            <w:pPr>
              <w:jc w:val="center"/>
              <w:rPr>
                <w:sz w:val="21"/>
                <w:szCs w:val="21"/>
              </w:rPr>
            </w:pPr>
            <w:r w:rsidRPr="00D9079C">
              <w:rPr>
                <w:sz w:val="21"/>
                <w:szCs w:val="21"/>
              </w:rPr>
              <w:t>Recruit 1</w:t>
            </w:r>
            <w:r>
              <w:rPr>
                <w:sz w:val="21"/>
                <w:szCs w:val="21"/>
              </w:rPr>
              <w:t>2</w:t>
            </w:r>
          </w:p>
          <w:p w:rsidRPr="00D9079C" w:rsidR="000105D8" w:rsidP="000105D8" w:rsidRDefault="000105D8" w14:paraId="7722A600" w14:textId="77777777">
            <w:pPr>
              <w:jc w:val="center"/>
              <w:rPr>
                <w:sz w:val="21"/>
                <w:szCs w:val="21"/>
              </w:rPr>
            </w:pPr>
            <w:r w:rsidRPr="00D9079C">
              <w:rPr>
                <w:sz w:val="21"/>
                <w:szCs w:val="21"/>
              </w:rPr>
              <w:t>to seat 9</w:t>
            </w:r>
          </w:p>
        </w:tc>
        <w:tc>
          <w:tcPr>
            <w:tcW w:w="1170" w:type="dxa"/>
          </w:tcPr>
          <w:p w:rsidRPr="00D9079C" w:rsidR="000105D8" w:rsidP="000105D8" w:rsidRDefault="000105D8" w14:paraId="0FB9D45F" w14:textId="77777777">
            <w:pPr>
              <w:jc w:val="center"/>
              <w:rPr>
                <w:sz w:val="21"/>
                <w:szCs w:val="21"/>
              </w:rPr>
            </w:pPr>
            <w:r w:rsidRPr="00D9079C">
              <w:rPr>
                <w:sz w:val="21"/>
                <w:szCs w:val="21"/>
              </w:rPr>
              <w:t>Recruit 1</w:t>
            </w:r>
            <w:r>
              <w:rPr>
                <w:sz w:val="21"/>
                <w:szCs w:val="21"/>
              </w:rPr>
              <w:t>2</w:t>
            </w:r>
          </w:p>
          <w:p w:rsidRPr="00D9079C" w:rsidR="000105D8" w:rsidP="000105D8" w:rsidRDefault="000105D8" w14:paraId="477308E9" w14:textId="6714F76F">
            <w:pPr>
              <w:rPr>
                <w:b/>
                <w:bCs/>
                <w:sz w:val="21"/>
                <w:szCs w:val="21"/>
              </w:rPr>
            </w:pPr>
            <w:r w:rsidRPr="00D9079C">
              <w:rPr>
                <w:sz w:val="21"/>
                <w:szCs w:val="21"/>
              </w:rPr>
              <w:t>to seat 9</w:t>
            </w:r>
          </w:p>
        </w:tc>
        <w:tc>
          <w:tcPr>
            <w:tcW w:w="1227" w:type="dxa"/>
          </w:tcPr>
          <w:p w:rsidRPr="00D9079C" w:rsidR="000105D8" w:rsidP="000105D8" w:rsidRDefault="000105D8" w14:paraId="7D286510" w14:textId="77777777">
            <w:pPr>
              <w:jc w:val="center"/>
              <w:rPr>
                <w:sz w:val="21"/>
                <w:szCs w:val="21"/>
              </w:rPr>
            </w:pPr>
            <w:r w:rsidRPr="00D9079C">
              <w:rPr>
                <w:sz w:val="21"/>
                <w:szCs w:val="21"/>
              </w:rPr>
              <w:t>Recruit 1</w:t>
            </w:r>
            <w:r>
              <w:rPr>
                <w:sz w:val="21"/>
                <w:szCs w:val="21"/>
              </w:rPr>
              <w:t>2</w:t>
            </w:r>
          </w:p>
          <w:p w:rsidRPr="00D9079C" w:rsidR="000105D8" w:rsidP="000105D8" w:rsidRDefault="000105D8" w14:paraId="1F77E771" w14:textId="11BA0B7B">
            <w:pPr>
              <w:rPr>
                <w:b/>
                <w:bCs/>
                <w:sz w:val="21"/>
                <w:szCs w:val="21"/>
              </w:rPr>
            </w:pPr>
            <w:r w:rsidRPr="00D9079C">
              <w:rPr>
                <w:sz w:val="21"/>
                <w:szCs w:val="21"/>
              </w:rPr>
              <w:t>to seat 9</w:t>
            </w:r>
          </w:p>
        </w:tc>
        <w:tc>
          <w:tcPr>
            <w:tcW w:w="1378" w:type="dxa"/>
            <w:shd w:val="clear" w:color="auto" w:fill="auto"/>
          </w:tcPr>
          <w:p w:rsidRPr="00D9079C" w:rsidR="000105D8" w:rsidP="000105D8" w:rsidRDefault="000105D8" w14:paraId="074745AA" w14:textId="13E42B7E">
            <w:pPr>
              <w:rPr>
                <w:b/>
                <w:bCs/>
                <w:sz w:val="21"/>
                <w:szCs w:val="21"/>
              </w:rPr>
            </w:pPr>
            <w:r w:rsidRPr="00D9079C">
              <w:rPr>
                <w:b/>
                <w:bCs/>
                <w:sz w:val="21"/>
                <w:szCs w:val="21"/>
              </w:rPr>
              <w:t xml:space="preserve">Recruit </w:t>
            </w:r>
            <w:r>
              <w:rPr>
                <w:b/>
                <w:bCs/>
                <w:sz w:val="21"/>
                <w:szCs w:val="21"/>
              </w:rPr>
              <w:t>60</w:t>
            </w:r>
          </w:p>
          <w:p w:rsidRPr="00D9079C" w:rsidR="000105D8" w:rsidP="000105D8" w:rsidRDefault="000105D8" w14:paraId="54484161" w14:textId="33653081">
            <w:pPr>
              <w:rPr>
                <w:b/>
                <w:bCs/>
                <w:sz w:val="21"/>
                <w:szCs w:val="21"/>
              </w:rPr>
            </w:pPr>
            <w:r w:rsidRPr="00D9079C">
              <w:rPr>
                <w:b/>
                <w:bCs/>
                <w:sz w:val="21"/>
                <w:szCs w:val="21"/>
              </w:rPr>
              <w:t xml:space="preserve">to seat </w:t>
            </w:r>
            <w:r>
              <w:rPr>
                <w:b/>
                <w:bCs/>
                <w:sz w:val="21"/>
                <w:szCs w:val="21"/>
              </w:rPr>
              <w:t>45</w:t>
            </w:r>
          </w:p>
        </w:tc>
      </w:tr>
      <w:tr w:rsidR="000105D8" w:rsidTr="000105D8" w14:paraId="0C61935A" w14:textId="77777777">
        <w:trPr>
          <w:trHeight w:val="66"/>
        </w:trPr>
        <w:tc>
          <w:tcPr>
            <w:tcW w:w="1582" w:type="dxa"/>
            <w:shd w:val="clear" w:color="auto" w:fill="auto"/>
          </w:tcPr>
          <w:p w:rsidRPr="00454AB0" w:rsidR="000105D8" w:rsidP="000105D8" w:rsidRDefault="000105D8" w14:paraId="0AD11565" w14:textId="77777777">
            <w:pPr>
              <w:jc w:val="right"/>
              <w:rPr>
                <w:b/>
                <w:bCs/>
              </w:rPr>
            </w:pPr>
            <w:r w:rsidRPr="00454AB0">
              <w:rPr>
                <w:b/>
                <w:bCs/>
              </w:rPr>
              <w:t>Total</w:t>
            </w:r>
          </w:p>
        </w:tc>
        <w:tc>
          <w:tcPr>
            <w:tcW w:w="1293" w:type="dxa"/>
          </w:tcPr>
          <w:p w:rsidRPr="00454AB0" w:rsidR="000105D8" w:rsidP="000105D8" w:rsidRDefault="000105D8" w14:paraId="122E7B5E" w14:textId="1359D0E4">
            <w:pPr>
              <w:jc w:val="center"/>
              <w:rPr>
                <w:b/>
                <w:bCs/>
                <w:sz w:val="21"/>
                <w:szCs w:val="21"/>
              </w:rPr>
            </w:pPr>
            <w:r w:rsidRPr="00454AB0">
              <w:rPr>
                <w:b/>
                <w:bCs/>
                <w:sz w:val="21"/>
                <w:szCs w:val="21"/>
              </w:rPr>
              <w:t>Recruit 24</w:t>
            </w:r>
          </w:p>
          <w:p w:rsidRPr="00454AB0" w:rsidR="000105D8" w:rsidP="000105D8" w:rsidRDefault="000105D8" w14:paraId="1C3F770E" w14:textId="77777777">
            <w:pPr>
              <w:jc w:val="center"/>
              <w:rPr>
                <w:b/>
                <w:bCs/>
                <w:sz w:val="21"/>
                <w:szCs w:val="21"/>
              </w:rPr>
            </w:pPr>
            <w:r w:rsidRPr="00454AB0">
              <w:rPr>
                <w:b/>
                <w:bCs/>
                <w:sz w:val="21"/>
                <w:szCs w:val="21"/>
              </w:rPr>
              <w:t>to seat 18</w:t>
            </w:r>
          </w:p>
        </w:tc>
        <w:tc>
          <w:tcPr>
            <w:tcW w:w="1350" w:type="dxa"/>
            <w:shd w:val="clear" w:color="auto" w:fill="auto"/>
          </w:tcPr>
          <w:p w:rsidRPr="00454AB0" w:rsidR="000105D8" w:rsidP="000105D8" w:rsidRDefault="000105D8" w14:paraId="49C70683" w14:textId="1A419E9A">
            <w:pPr>
              <w:jc w:val="center"/>
              <w:rPr>
                <w:b/>
                <w:bCs/>
                <w:sz w:val="21"/>
                <w:szCs w:val="21"/>
              </w:rPr>
            </w:pPr>
            <w:r w:rsidRPr="00454AB0">
              <w:rPr>
                <w:b/>
                <w:bCs/>
                <w:sz w:val="21"/>
                <w:szCs w:val="21"/>
              </w:rPr>
              <w:t>Recruit 24</w:t>
            </w:r>
          </w:p>
          <w:p w:rsidRPr="00454AB0" w:rsidR="000105D8" w:rsidP="000105D8" w:rsidRDefault="000105D8" w14:paraId="7351B2CB" w14:textId="77777777">
            <w:pPr>
              <w:jc w:val="center"/>
              <w:rPr>
                <w:b/>
                <w:bCs/>
                <w:sz w:val="21"/>
                <w:szCs w:val="21"/>
              </w:rPr>
            </w:pPr>
            <w:r w:rsidRPr="00454AB0">
              <w:rPr>
                <w:b/>
                <w:bCs/>
                <w:sz w:val="21"/>
                <w:szCs w:val="21"/>
              </w:rPr>
              <w:t>to seat 18</w:t>
            </w:r>
          </w:p>
        </w:tc>
        <w:tc>
          <w:tcPr>
            <w:tcW w:w="1350" w:type="dxa"/>
            <w:shd w:val="clear" w:color="auto" w:fill="auto"/>
          </w:tcPr>
          <w:p w:rsidRPr="00454AB0" w:rsidR="000105D8" w:rsidP="000105D8" w:rsidRDefault="000105D8" w14:paraId="20450278" w14:textId="132E0E63">
            <w:pPr>
              <w:jc w:val="center"/>
              <w:rPr>
                <w:b/>
                <w:bCs/>
                <w:sz w:val="21"/>
                <w:szCs w:val="21"/>
              </w:rPr>
            </w:pPr>
            <w:r w:rsidRPr="00454AB0">
              <w:rPr>
                <w:b/>
                <w:bCs/>
                <w:sz w:val="21"/>
                <w:szCs w:val="21"/>
              </w:rPr>
              <w:t>Recruit 24</w:t>
            </w:r>
          </w:p>
          <w:p w:rsidRPr="00454AB0" w:rsidR="000105D8" w:rsidP="000105D8" w:rsidRDefault="000105D8" w14:paraId="127C7EA7" w14:textId="77777777">
            <w:pPr>
              <w:jc w:val="center"/>
              <w:rPr>
                <w:b/>
                <w:bCs/>
                <w:sz w:val="21"/>
                <w:szCs w:val="21"/>
              </w:rPr>
            </w:pPr>
            <w:r w:rsidRPr="00454AB0">
              <w:rPr>
                <w:b/>
                <w:bCs/>
                <w:sz w:val="21"/>
                <w:szCs w:val="21"/>
              </w:rPr>
              <w:t>to seat 18</w:t>
            </w:r>
          </w:p>
        </w:tc>
        <w:tc>
          <w:tcPr>
            <w:tcW w:w="1170" w:type="dxa"/>
          </w:tcPr>
          <w:p w:rsidRPr="00454AB0" w:rsidR="000105D8" w:rsidP="000105D8" w:rsidRDefault="000105D8" w14:paraId="2A653CA2" w14:textId="77777777">
            <w:pPr>
              <w:jc w:val="center"/>
              <w:rPr>
                <w:b/>
                <w:bCs/>
                <w:sz w:val="21"/>
                <w:szCs w:val="21"/>
              </w:rPr>
            </w:pPr>
            <w:r w:rsidRPr="00454AB0">
              <w:rPr>
                <w:b/>
                <w:bCs/>
                <w:sz w:val="21"/>
                <w:szCs w:val="21"/>
              </w:rPr>
              <w:t>Recruit 24</w:t>
            </w:r>
          </w:p>
          <w:p w:rsidRPr="00D9079C" w:rsidR="000105D8" w:rsidP="000105D8" w:rsidRDefault="000105D8" w14:paraId="10B103E3" w14:textId="08D3EE7E">
            <w:pPr>
              <w:rPr>
                <w:b/>
                <w:bCs/>
                <w:sz w:val="21"/>
                <w:szCs w:val="21"/>
              </w:rPr>
            </w:pPr>
            <w:r w:rsidRPr="00454AB0">
              <w:rPr>
                <w:b/>
                <w:bCs/>
                <w:sz w:val="21"/>
                <w:szCs w:val="21"/>
              </w:rPr>
              <w:t>to seat 18</w:t>
            </w:r>
          </w:p>
        </w:tc>
        <w:tc>
          <w:tcPr>
            <w:tcW w:w="1227" w:type="dxa"/>
          </w:tcPr>
          <w:p w:rsidRPr="00454AB0" w:rsidR="000105D8" w:rsidP="000105D8" w:rsidRDefault="000105D8" w14:paraId="29571A1E" w14:textId="77777777">
            <w:pPr>
              <w:jc w:val="center"/>
              <w:rPr>
                <w:b/>
                <w:bCs/>
                <w:sz w:val="21"/>
                <w:szCs w:val="21"/>
              </w:rPr>
            </w:pPr>
            <w:r w:rsidRPr="00454AB0">
              <w:rPr>
                <w:b/>
                <w:bCs/>
                <w:sz w:val="21"/>
                <w:szCs w:val="21"/>
              </w:rPr>
              <w:t>Recruit 24</w:t>
            </w:r>
          </w:p>
          <w:p w:rsidRPr="00D9079C" w:rsidR="000105D8" w:rsidP="000105D8" w:rsidRDefault="000105D8" w14:paraId="706C3105" w14:textId="0D91BFBA">
            <w:pPr>
              <w:rPr>
                <w:b/>
                <w:bCs/>
                <w:sz w:val="21"/>
                <w:szCs w:val="21"/>
              </w:rPr>
            </w:pPr>
            <w:r w:rsidRPr="00454AB0">
              <w:rPr>
                <w:b/>
                <w:bCs/>
                <w:sz w:val="21"/>
                <w:szCs w:val="21"/>
              </w:rPr>
              <w:t>to seat 18</w:t>
            </w:r>
          </w:p>
        </w:tc>
        <w:tc>
          <w:tcPr>
            <w:tcW w:w="1378" w:type="dxa"/>
            <w:shd w:val="clear" w:color="auto" w:fill="auto"/>
          </w:tcPr>
          <w:p w:rsidRPr="00D9079C" w:rsidR="000105D8" w:rsidP="000105D8" w:rsidRDefault="000105D8" w14:paraId="4D1383F7" w14:textId="4C029363">
            <w:pPr>
              <w:rPr>
                <w:b/>
                <w:bCs/>
                <w:sz w:val="21"/>
                <w:szCs w:val="21"/>
              </w:rPr>
            </w:pPr>
            <w:r w:rsidRPr="00D9079C">
              <w:rPr>
                <w:b/>
                <w:bCs/>
                <w:sz w:val="21"/>
                <w:szCs w:val="21"/>
              </w:rPr>
              <w:t xml:space="preserve">Recruit </w:t>
            </w:r>
            <w:r>
              <w:rPr>
                <w:b/>
                <w:bCs/>
                <w:sz w:val="21"/>
                <w:szCs w:val="21"/>
              </w:rPr>
              <w:t>120</w:t>
            </w:r>
          </w:p>
          <w:p w:rsidRPr="00D9079C" w:rsidR="000105D8" w:rsidP="000105D8" w:rsidRDefault="000105D8" w14:paraId="00BA7686" w14:textId="19DD2498">
            <w:pPr>
              <w:rPr>
                <w:b/>
                <w:bCs/>
                <w:sz w:val="21"/>
                <w:szCs w:val="21"/>
              </w:rPr>
            </w:pPr>
            <w:r w:rsidRPr="00D9079C">
              <w:rPr>
                <w:b/>
                <w:bCs/>
                <w:sz w:val="21"/>
                <w:szCs w:val="21"/>
              </w:rPr>
              <w:t xml:space="preserve">to seat </w:t>
            </w:r>
            <w:r>
              <w:rPr>
                <w:b/>
                <w:bCs/>
                <w:sz w:val="21"/>
                <w:szCs w:val="21"/>
              </w:rPr>
              <w:t>90</w:t>
            </w:r>
          </w:p>
        </w:tc>
      </w:tr>
    </w:tbl>
    <w:p w:rsidRPr="00597FB8" w:rsidR="00997B68" w:rsidRDefault="000105D8" w14:paraId="165E9EAB" w14:textId="7D20AA7D">
      <w:pPr>
        <w:rPr>
          <w:i/>
          <w:iCs/>
        </w:rPr>
      </w:pPr>
      <w:r w:rsidRPr="00597FB8">
        <w:rPr>
          <w:i/>
          <w:iCs/>
        </w:rPr>
        <w:t>*Rockville, MD will be our Spanish-language location</w:t>
      </w:r>
    </w:p>
    <w:p w:rsidR="00326973" w:rsidRDefault="00326973" w14:paraId="46F9C33A" w14:textId="1F602E59">
      <w:r>
        <w:br w:type="page"/>
      </w:r>
    </w:p>
    <w:p w:rsidR="00997B68" w:rsidRDefault="00997B68" w14:paraId="47DEDE3A" w14:textId="77777777"/>
    <w:p w:rsidRPr="00F06866" w:rsidR="00F06866" w:rsidRDefault="00F06866" w14:paraId="76C353A2" w14:textId="77777777">
      <w:pPr>
        <w:rPr>
          <w:b/>
        </w:rPr>
      </w:pPr>
      <w:r>
        <w:rPr>
          <w:b/>
        </w:rPr>
        <w:t>TYPE OF COLLECTION:</w:t>
      </w:r>
      <w:r w:rsidRPr="00F06866">
        <w:t xml:space="preserve"> (Check one)</w:t>
      </w:r>
    </w:p>
    <w:p w:rsidRPr="00434E33" w:rsidR="00441434" w:rsidP="0096108F" w:rsidRDefault="00441434" w14:paraId="3E6C61FE" w14:textId="77777777">
      <w:pPr>
        <w:pStyle w:val="BodyTextIndent"/>
        <w:tabs>
          <w:tab w:val="left" w:pos="360"/>
        </w:tabs>
        <w:ind w:left="0"/>
        <w:rPr>
          <w:bCs/>
          <w:sz w:val="16"/>
          <w:szCs w:val="16"/>
        </w:rPr>
      </w:pPr>
    </w:p>
    <w:p w:rsidRPr="00F06866" w:rsidR="00F06866" w:rsidP="0096108F" w:rsidRDefault="0096108F" w14:paraId="5EF815B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E66733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B5EB502" w14:textId="77777777">
      <w:pPr>
        <w:pStyle w:val="BodyTextIndent"/>
        <w:tabs>
          <w:tab w:val="left" w:pos="360"/>
        </w:tabs>
        <w:ind w:left="0"/>
        <w:rPr>
          <w:bCs/>
          <w:sz w:val="24"/>
        </w:rPr>
      </w:pPr>
      <w:r>
        <w:rPr>
          <w:bCs/>
          <w:sz w:val="24"/>
        </w:rPr>
        <w:t>[</w:t>
      </w:r>
      <w:r w:rsidR="00012BB5">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73E07">
        <w:rPr>
          <w:bCs/>
          <w:sz w:val="24"/>
        </w:rPr>
        <w:t xml:space="preserve"> </w:t>
      </w:r>
      <w:r w:rsidRPr="00F06866" w:rsidR="00F06866">
        <w:rPr>
          <w:bCs/>
          <w:sz w:val="24"/>
        </w:rPr>
        <w:t>]</w:t>
      </w:r>
      <w:r w:rsidR="00F06866">
        <w:rPr>
          <w:bCs/>
          <w:sz w:val="24"/>
        </w:rPr>
        <w:t xml:space="preserve"> Other:</w:t>
      </w:r>
      <w:r w:rsidR="00D578C9">
        <w:rPr>
          <w:bCs/>
          <w:sz w:val="24"/>
        </w:rPr>
        <w:t xml:space="preserve"> </w:t>
      </w:r>
      <w:r w:rsidR="00012BB5">
        <w:rPr>
          <w:bCs/>
          <w:sz w:val="24"/>
          <w:u w:val="single"/>
        </w:rPr>
        <w:t>______________</w:t>
      </w:r>
    </w:p>
    <w:p w:rsidRPr="00D40D6E" w:rsidR="00FC291F" w:rsidP="00FC291F" w:rsidRDefault="00FC291F" w14:paraId="2B52F834" w14:textId="77777777">
      <w:pPr>
        <w:pStyle w:val="Header"/>
        <w:tabs>
          <w:tab w:val="clear" w:pos="4320"/>
          <w:tab w:val="clear" w:pos="8640"/>
        </w:tabs>
        <w:rPr>
          <w:i/>
          <w:snapToGrid/>
        </w:rPr>
      </w:pPr>
    </w:p>
    <w:p w:rsidR="00454AB0" w:rsidRDefault="00454AB0" w14:paraId="4A84866C" w14:textId="3B18A968">
      <w:pPr>
        <w:rPr>
          <w:b/>
        </w:rPr>
      </w:pPr>
    </w:p>
    <w:p w:rsidR="00CA2650" w:rsidRDefault="00441434" w14:paraId="4A241E52" w14:textId="112B706B">
      <w:pPr>
        <w:rPr>
          <w:b/>
        </w:rPr>
      </w:pPr>
      <w:r>
        <w:rPr>
          <w:b/>
        </w:rPr>
        <w:t>C</w:t>
      </w:r>
      <w:r w:rsidR="009C13B9">
        <w:rPr>
          <w:b/>
        </w:rPr>
        <w:t>ERTIFICATION:</w:t>
      </w:r>
    </w:p>
    <w:p w:rsidR="00441434" w:rsidRDefault="00441434" w14:paraId="66AC0056" w14:textId="77777777">
      <w:pPr>
        <w:rPr>
          <w:sz w:val="16"/>
          <w:szCs w:val="16"/>
        </w:rPr>
      </w:pPr>
    </w:p>
    <w:p w:rsidRPr="009C13B9" w:rsidR="008101A5" w:rsidP="008101A5" w:rsidRDefault="008101A5" w14:paraId="6F95C732" w14:textId="77777777">
      <w:r>
        <w:t xml:space="preserve">I certify the following to be true: </w:t>
      </w:r>
    </w:p>
    <w:p w:rsidR="008101A5" w:rsidP="008101A5" w:rsidRDefault="008101A5" w14:paraId="6007AED7" w14:textId="77777777">
      <w:pPr>
        <w:pStyle w:val="PlainTable31"/>
        <w:numPr>
          <w:ilvl w:val="0"/>
          <w:numId w:val="14"/>
        </w:numPr>
      </w:pPr>
      <w:r>
        <w:t>The collection is voluntary.</w:t>
      </w:r>
      <w:r w:rsidRPr="00C14CC4">
        <w:t xml:space="preserve"> </w:t>
      </w:r>
    </w:p>
    <w:p w:rsidR="008101A5" w:rsidP="008101A5" w:rsidRDefault="008101A5" w14:paraId="21CB5AAE" w14:textId="77777777">
      <w:pPr>
        <w:pStyle w:val="PlainTable3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1628042" w14:textId="77777777">
      <w:pPr>
        <w:pStyle w:val="PlainTable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ADF1C8D" w14:textId="77777777">
      <w:pPr>
        <w:pStyle w:val="PlainTable3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C570605" w14:textId="77777777">
      <w:pPr>
        <w:pStyle w:val="PlainTable3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18EBB85" w14:textId="77777777">
      <w:pPr>
        <w:pStyle w:val="PlainTable3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BBC9EA7" w14:textId="77777777"/>
    <w:p w:rsidR="009C13B9" w:rsidP="009C13B9" w:rsidRDefault="009C13B9" w14:paraId="0E1F557F" w14:textId="77777777">
      <w:r>
        <w:t>Name</w:t>
      </w:r>
      <w:r w:rsidR="00C14310">
        <w:t xml:space="preserve">: </w:t>
      </w:r>
      <w:r w:rsidRPr="00862417" w:rsidR="00C14310">
        <w:rPr>
          <w:u w:val="single"/>
        </w:rPr>
        <w:t>Susan McMeen</w:t>
      </w:r>
    </w:p>
    <w:p w:rsidR="009C13B9" w:rsidP="009C13B9" w:rsidRDefault="009C13B9" w14:paraId="631FA11B" w14:textId="77777777">
      <w:pPr>
        <w:pStyle w:val="PlainTable31"/>
        <w:ind w:left="360"/>
      </w:pPr>
    </w:p>
    <w:p w:rsidR="009C13B9" w:rsidP="009C13B9" w:rsidRDefault="009C13B9" w14:paraId="4F747CF2" w14:textId="33055EDD">
      <w:r>
        <w:t>To assist review, please provide answers to the following question:</w:t>
      </w:r>
    </w:p>
    <w:p w:rsidR="009C13B9" w:rsidP="009C13B9" w:rsidRDefault="009C13B9" w14:paraId="42EA3E95" w14:textId="77777777">
      <w:pPr>
        <w:pStyle w:val="PlainTable31"/>
        <w:ind w:left="360"/>
      </w:pPr>
    </w:p>
    <w:p w:rsidRPr="00C86E91" w:rsidR="009C13B9" w:rsidP="00C86E91" w:rsidRDefault="00C86E91" w14:paraId="2F6FBED5" w14:textId="77777777">
      <w:pPr>
        <w:rPr>
          <w:b/>
        </w:rPr>
      </w:pPr>
      <w:r w:rsidRPr="00C86E91">
        <w:rPr>
          <w:b/>
        </w:rPr>
        <w:t>Personally Identifiable Information:</w:t>
      </w:r>
    </w:p>
    <w:p w:rsidR="00C86E91" w:rsidP="00C86E91" w:rsidRDefault="009C13B9" w14:paraId="6CF8D003" w14:textId="77777777">
      <w:pPr>
        <w:pStyle w:val="PlainTable31"/>
        <w:numPr>
          <w:ilvl w:val="0"/>
          <w:numId w:val="18"/>
        </w:numPr>
      </w:pPr>
      <w:r>
        <w:t>Is</w:t>
      </w:r>
      <w:r w:rsidR="00237B48">
        <w:t xml:space="preserve"> personally identifiable information (PII) collected</w:t>
      </w:r>
      <w:r>
        <w:t xml:space="preserve">?  </w:t>
      </w:r>
      <w:r w:rsidR="009239AA">
        <w:t>[</w:t>
      </w:r>
      <w:r w:rsidR="00DF001F">
        <w:t xml:space="preserve">X] Yes  [ </w:t>
      </w:r>
      <w:r w:rsidR="009239AA">
        <w:t xml:space="preserve">]  No </w:t>
      </w:r>
    </w:p>
    <w:p w:rsidR="0068797C" w:rsidP="0068797C" w:rsidRDefault="0068797C" w14:paraId="2050ECBE" w14:textId="77777777">
      <w:pPr>
        <w:pStyle w:val="PlainTable31"/>
        <w:ind w:left="360"/>
      </w:pPr>
      <w:r w:rsidRPr="00D40D6E">
        <w:t xml:space="preserve">The </w:t>
      </w:r>
      <w:r w:rsidRPr="00D40D6E" w:rsidR="004E0DAE">
        <w:t>third-party</w:t>
      </w:r>
      <w:r w:rsidRPr="00D40D6E">
        <w:t xml:space="preserve"> vendor collects information from the research participants in order to p</w:t>
      </w:r>
      <w:r w:rsidR="00D578C9">
        <w:t xml:space="preserve">rovide them with the incentive. No PII is reported to NHTSA. </w:t>
      </w:r>
      <w:r w:rsidRPr="00D40D6E">
        <w:t>No responses will be connected to individual respondents; only aggregate data will be reported.</w:t>
      </w:r>
    </w:p>
    <w:p w:rsidR="00C86E91" w:rsidP="00C86E91" w:rsidRDefault="009C13B9" w14:paraId="5B96ECFE" w14:textId="77777777">
      <w:pPr>
        <w:pStyle w:val="PlainTable3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D578C9">
        <w:t>ivacy Act of 1974?  [  ] Yes [</w:t>
      </w:r>
      <w:r w:rsidR="00D858A2">
        <w:t>X</w:t>
      </w:r>
      <w:r w:rsidR="009239AA">
        <w:t>] No</w:t>
      </w:r>
      <w:r w:rsidR="00C86E91">
        <w:t xml:space="preserve">   </w:t>
      </w:r>
    </w:p>
    <w:p w:rsidR="00C86E91" w:rsidP="00C86E91" w:rsidRDefault="00C86E91" w14:paraId="480EC06A" w14:textId="77777777">
      <w:pPr>
        <w:pStyle w:val="PlainTable3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D578C9">
        <w:t xml:space="preserve"> been published?  [  ] Yes  [</w:t>
      </w:r>
      <w:r w:rsidR="00D858A2">
        <w:t>X</w:t>
      </w:r>
      <w:r>
        <w:t>] No</w:t>
      </w:r>
    </w:p>
    <w:p w:rsidR="00997B68" w:rsidP="00C86E91" w:rsidRDefault="00997B68" w14:paraId="78F86ACF" w14:textId="77777777">
      <w:pPr>
        <w:pStyle w:val="PlainTable31"/>
        <w:ind w:left="0"/>
        <w:rPr>
          <w:b/>
        </w:rPr>
      </w:pPr>
    </w:p>
    <w:p w:rsidRPr="00C86E91" w:rsidR="00C86E91" w:rsidP="00C86E91" w:rsidRDefault="00CB1078" w14:paraId="6D269244" w14:textId="77777777">
      <w:pPr>
        <w:pStyle w:val="PlainTable31"/>
        <w:ind w:left="0"/>
        <w:rPr>
          <w:b/>
        </w:rPr>
      </w:pPr>
      <w:r>
        <w:rPr>
          <w:b/>
        </w:rPr>
        <w:t>Gifts or Payments</w:t>
      </w:r>
      <w:r w:rsidR="00C86E91">
        <w:rPr>
          <w:b/>
        </w:rPr>
        <w:t>:</w:t>
      </w:r>
    </w:p>
    <w:p w:rsidR="00C86E91" w:rsidP="00C86E91" w:rsidRDefault="00C86E91" w14:paraId="7BC61956" w14:textId="77777777">
      <w:r>
        <w:t>Is an incentive (e.g., money or reimbursement of expenses, token of appreciatio</w:t>
      </w:r>
      <w:r w:rsidR="00D578C9">
        <w:t>n) provided to participants?  [</w:t>
      </w:r>
      <w:r w:rsidR="00D858A2">
        <w:t>X</w:t>
      </w:r>
      <w:r>
        <w:t xml:space="preserve">] Yes [  ] No  </w:t>
      </w:r>
    </w:p>
    <w:p w:rsidR="00997B68" w:rsidRDefault="00997B68" w14:paraId="79C6E1F6" w14:textId="77777777"/>
    <w:p w:rsidRPr="00D578C9" w:rsidR="00281057" w:rsidP="00281057" w:rsidRDefault="00281057" w14:paraId="20E94974" w14:textId="77777777">
      <w:r>
        <w:t xml:space="preserve">Each respondent will be provided with $75 following their participation in a focus group session. </w:t>
      </w:r>
      <w:r w:rsidRPr="004F3BD6">
        <w:t>This amount is in line with the industry standard</w:t>
      </w:r>
      <w:r w:rsidRPr="00B02C1E">
        <w:t>, relative to focus group participation by people in the target market.</w:t>
      </w:r>
      <w:r>
        <w:t xml:space="preserve"> </w:t>
      </w:r>
      <w:r w:rsidRPr="00D40D6E">
        <w:t>It is standard practice to provide a basic incentive in order to avoid bias of receiving responses only from individuals generally predisposed</w:t>
      </w:r>
      <w:r>
        <w:t xml:space="preserve"> to be helpful.</w:t>
      </w:r>
      <w:r w:rsidRPr="00D40D6E">
        <w:t xml:space="preserve"> </w:t>
      </w:r>
      <w:r w:rsidRPr="00B02C1E">
        <w:t xml:space="preserve">These industry-standard stipends help to ensure that respondents can be recruited efficiently and ensure their arrival and participation in the groups. </w:t>
      </w:r>
      <w:r>
        <w:t>Pre-screened and invited respondents who arrive on time but are released prior to the group will also be awarded their stipends (also in keeping with marketing research industry standards).</w:t>
      </w:r>
    </w:p>
    <w:p w:rsidR="00C86E91" w:rsidRDefault="00C86E91" w14:paraId="35069121" w14:textId="77777777">
      <w:pPr>
        <w:rPr>
          <w:b/>
        </w:rPr>
      </w:pPr>
    </w:p>
    <w:p w:rsidR="00454AB0" w:rsidRDefault="00454AB0" w14:paraId="75C9DC71" w14:textId="77777777">
      <w:pPr>
        <w:rPr>
          <w:b/>
        </w:rPr>
      </w:pPr>
      <w:r>
        <w:rPr>
          <w:b/>
        </w:rPr>
        <w:br w:type="page"/>
      </w:r>
    </w:p>
    <w:p w:rsidR="005E714A" w:rsidP="00C86E91" w:rsidRDefault="005E714A" w14:paraId="57FA72C2" w14:textId="70152218">
      <w:pPr>
        <w:rPr>
          <w:i/>
        </w:rPr>
      </w:pPr>
      <w:r>
        <w:rPr>
          <w:b/>
        </w:rPr>
        <w:lastRenderedPageBreak/>
        <w:t>BURDEN HOUR</w:t>
      </w:r>
      <w:r w:rsidR="00441434">
        <w:rPr>
          <w:b/>
        </w:rPr>
        <w:t>S</w:t>
      </w:r>
      <w:r>
        <w:t xml:space="preserve"> </w:t>
      </w:r>
    </w:p>
    <w:p w:rsidRPr="006832D9" w:rsidR="006832D9" w:rsidP="00F3170F" w:rsidRDefault="006832D9" w14:paraId="3E11592A" w14:textId="77777777">
      <w:pPr>
        <w:keepNext/>
        <w:keepLines/>
        <w:rPr>
          <w:b/>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95"/>
        <w:gridCol w:w="1530"/>
        <w:gridCol w:w="1620"/>
        <w:gridCol w:w="1643"/>
      </w:tblGrid>
      <w:tr w:rsidR="00042DE6" w:rsidTr="00376F3A" w14:paraId="0A084871" w14:textId="77777777">
        <w:trPr>
          <w:trHeight w:val="274"/>
        </w:trPr>
        <w:tc>
          <w:tcPr>
            <w:tcW w:w="5395" w:type="dxa"/>
          </w:tcPr>
          <w:p w:rsidR="00042DE6" w:rsidP="00042DE6" w:rsidRDefault="00042DE6" w14:paraId="3A966E2F" w14:textId="77777777">
            <w:pPr>
              <w:rPr>
                <w:color w:val="000000"/>
              </w:rPr>
            </w:pPr>
            <w:bookmarkStart w:name="_Hlk489885775" w:id="1"/>
            <w:r>
              <w:rPr>
                <w:b/>
                <w:bCs/>
                <w:color w:val="000000"/>
              </w:rPr>
              <w:t xml:space="preserve">Category of Respondent </w:t>
            </w:r>
          </w:p>
        </w:tc>
        <w:tc>
          <w:tcPr>
            <w:tcW w:w="1530" w:type="dxa"/>
          </w:tcPr>
          <w:p w:rsidR="00042DE6" w:rsidP="00042DE6" w:rsidRDefault="00042DE6" w14:paraId="380DD751" w14:textId="77777777">
            <w:pPr>
              <w:rPr>
                <w:rFonts w:ascii="Calibri" w:hAnsi="Calibri" w:cs="Calibri"/>
                <w:color w:val="000000"/>
                <w:sz w:val="22"/>
                <w:szCs w:val="22"/>
              </w:rPr>
            </w:pPr>
            <w:r>
              <w:rPr>
                <w:b/>
                <w:bCs/>
                <w:color w:val="000000"/>
              </w:rPr>
              <w:t>No. of Respondents</w:t>
            </w:r>
          </w:p>
        </w:tc>
        <w:tc>
          <w:tcPr>
            <w:tcW w:w="1620" w:type="dxa"/>
          </w:tcPr>
          <w:p w:rsidR="00042DE6" w:rsidP="00042DE6" w:rsidRDefault="00042DE6" w14:paraId="060A1AE4" w14:textId="77777777">
            <w:pPr>
              <w:rPr>
                <w:color w:val="000000"/>
              </w:rPr>
            </w:pPr>
            <w:r>
              <w:rPr>
                <w:b/>
                <w:bCs/>
                <w:color w:val="000000"/>
              </w:rPr>
              <w:t>Participation Time</w:t>
            </w:r>
          </w:p>
        </w:tc>
        <w:tc>
          <w:tcPr>
            <w:tcW w:w="1643" w:type="dxa"/>
          </w:tcPr>
          <w:p w:rsidR="00042DE6" w:rsidP="00042DE6" w:rsidRDefault="00042DE6" w14:paraId="4CB655D9" w14:textId="77777777">
            <w:pPr>
              <w:rPr>
                <w:color w:val="000000"/>
              </w:rPr>
            </w:pPr>
            <w:r>
              <w:rPr>
                <w:b/>
                <w:bCs/>
                <w:color w:val="000000"/>
              </w:rPr>
              <w:t>Burden</w:t>
            </w:r>
          </w:p>
        </w:tc>
      </w:tr>
      <w:tr w:rsidRPr="00D40D6E" w:rsidR="00997B68" w:rsidTr="00597FB8" w14:paraId="1BF29F14" w14:textId="77777777">
        <w:trPr>
          <w:trHeight w:val="1205"/>
        </w:trPr>
        <w:tc>
          <w:tcPr>
            <w:tcW w:w="5395" w:type="dxa"/>
            <w:vAlign w:val="center"/>
          </w:tcPr>
          <w:p w:rsidRPr="00236753" w:rsidR="00997B68" w:rsidP="00326973" w:rsidRDefault="00997B68" w14:paraId="7ACFCC06" w14:textId="47BDEF15">
            <w:pPr>
              <w:rPr>
                <w:color w:val="000000"/>
              </w:rPr>
            </w:pPr>
            <w:r w:rsidRPr="00236753">
              <w:rPr>
                <w:b/>
                <w:bCs/>
                <w:color w:val="000000"/>
              </w:rPr>
              <w:t>Pre-screen completes</w:t>
            </w:r>
            <w:r w:rsidR="00326973">
              <w:rPr>
                <w:b/>
                <w:bCs/>
                <w:color w:val="000000"/>
              </w:rPr>
              <w:t xml:space="preserve"> (Individuals / Households)</w:t>
            </w:r>
            <w:r w:rsidRPr="00236753">
              <w:rPr>
                <w:b/>
                <w:bCs/>
                <w:color w:val="000000"/>
              </w:rPr>
              <w:t xml:space="preserve"> </w:t>
            </w:r>
            <w:r w:rsidRPr="00597FB8">
              <w:rPr>
                <w:i/>
                <w:iCs/>
                <w:color w:val="000000"/>
                <w:sz w:val="21"/>
                <w:szCs w:val="21"/>
              </w:rPr>
              <w:t>(</w:t>
            </w:r>
            <w:r w:rsidRPr="00597FB8" w:rsidR="00242041">
              <w:rPr>
                <w:i/>
                <w:iCs/>
                <w:color w:val="000000"/>
                <w:sz w:val="21"/>
                <w:szCs w:val="21"/>
              </w:rPr>
              <w:t>Initial outreach from facility to find potential respondents interested in participating in research and meet screening requirements</w:t>
            </w:r>
            <w:r w:rsidRPr="00597FB8" w:rsidR="00236753">
              <w:rPr>
                <w:i/>
                <w:iCs/>
                <w:color w:val="000000"/>
                <w:sz w:val="21"/>
                <w:szCs w:val="21"/>
              </w:rPr>
              <w:t xml:space="preserve"> – estimated </w:t>
            </w:r>
            <w:r w:rsidRPr="00597FB8" w:rsidR="00454AB0">
              <w:rPr>
                <w:i/>
                <w:iCs/>
                <w:color w:val="000000"/>
                <w:sz w:val="21"/>
                <w:szCs w:val="21"/>
              </w:rPr>
              <w:t>24</w:t>
            </w:r>
            <w:r w:rsidRPr="00597FB8" w:rsidR="00236753">
              <w:rPr>
                <w:i/>
                <w:iCs/>
                <w:color w:val="000000"/>
                <w:sz w:val="21"/>
                <w:szCs w:val="21"/>
              </w:rPr>
              <w:t>% incidence</w:t>
            </w:r>
            <w:r w:rsidRPr="00597FB8">
              <w:rPr>
                <w:i/>
                <w:iCs/>
                <w:color w:val="000000"/>
                <w:sz w:val="21"/>
                <w:szCs w:val="21"/>
              </w:rPr>
              <w:t>)</w:t>
            </w:r>
          </w:p>
        </w:tc>
        <w:tc>
          <w:tcPr>
            <w:tcW w:w="1530" w:type="dxa"/>
            <w:vAlign w:val="center"/>
          </w:tcPr>
          <w:p w:rsidRPr="00D9079C" w:rsidR="00997B68" w:rsidP="00326973" w:rsidRDefault="000105D8" w14:paraId="10D2EC22" w14:textId="6C44377C">
            <w:pPr>
              <w:rPr>
                <w:color w:val="000000"/>
              </w:rPr>
            </w:pPr>
            <w:r>
              <w:rPr>
                <w:color w:val="000000"/>
              </w:rPr>
              <w:t>500</w:t>
            </w:r>
          </w:p>
        </w:tc>
        <w:tc>
          <w:tcPr>
            <w:tcW w:w="1620" w:type="dxa"/>
            <w:vAlign w:val="center"/>
          </w:tcPr>
          <w:p w:rsidRPr="00D9079C" w:rsidR="00997B68" w:rsidP="00326973" w:rsidRDefault="00811A16" w14:paraId="06B981D6" w14:textId="71E9DBE2">
            <w:pPr>
              <w:rPr>
                <w:color w:val="000000"/>
              </w:rPr>
            </w:pPr>
            <w:r>
              <w:rPr>
                <w:color w:val="000000"/>
              </w:rPr>
              <w:t>3.5</w:t>
            </w:r>
            <w:r w:rsidRPr="00D9079C" w:rsidR="00997B68">
              <w:rPr>
                <w:color w:val="000000"/>
              </w:rPr>
              <w:t xml:space="preserve"> minutes</w:t>
            </w:r>
          </w:p>
        </w:tc>
        <w:tc>
          <w:tcPr>
            <w:tcW w:w="1643" w:type="dxa"/>
            <w:vAlign w:val="center"/>
          </w:tcPr>
          <w:p w:rsidRPr="00D9079C" w:rsidR="00997B68" w:rsidP="00326973" w:rsidRDefault="000105D8" w14:paraId="15B6AC09" w14:textId="33A553AE">
            <w:pPr>
              <w:rPr>
                <w:color w:val="000000"/>
              </w:rPr>
            </w:pPr>
            <w:r>
              <w:rPr>
                <w:color w:val="000000"/>
              </w:rPr>
              <w:t>2</w:t>
            </w:r>
            <w:r w:rsidR="00811A16">
              <w:rPr>
                <w:color w:val="000000"/>
              </w:rPr>
              <w:t>9</w:t>
            </w:r>
            <w:r w:rsidR="00454AB0">
              <w:rPr>
                <w:color w:val="000000"/>
              </w:rPr>
              <w:t>.</w:t>
            </w:r>
            <w:r>
              <w:rPr>
                <w:color w:val="000000"/>
              </w:rPr>
              <w:t>2</w:t>
            </w:r>
            <w:r w:rsidRPr="00D9079C">
              <w:rPr>
                <w:color w:val="000000"/>
              </w:rPr>
              <w:t xml:space="preserve"> </w:t>
            </w:r>
            <w:r w:rsidRPr="00D9079C" w:rsidR="00997B68">
              <w:rPr>
                <w:color w:val="000000"/>
              </w:rPr>
              <w:t>hours</w:t>
            </w:r>
          </w:p>
        </w:tc>
      </w:tr>
      <w:tr w:rsidRPr="00D40D6E" w:rsidR="00997B68" w:rsidTr="00597FB8" w14:paraId="113273B1" w14:textId="77777777">
        <w:trPr>
          <w:trHeight w:val="917"/>
        </w:trPr>
        <w:tc>
          <w:tcPr>
            <w:tcW w:w="5395" w:type="dxa"/>
            <w:vAlign w:val="center"/>
          </w:tcPr>
          <w:p w:rsidRPr="00236753" w:rsidR="00997B68" w:rsidP="00326973" w:rsidRDefault="00997B68" w14:paraId="45CD7285" w14:textId="5735A74C">
            <w:pPr>
              <w:rPr>
                <w:color w:val="000000"/>
              </w:rPr>
            </w:pPr>
            <w:r w:rsidRPr="00236753">
              <w:rPr>
                <w:b/>
                <w:bCs/>
                <w:color w:val="000000"/>
              </w:rPr>
              <w:t xml:space="preserve">Validation screener </w:t>
            </w:r>
            <w:r w:rsidR="00326973">
              <w:rPr>
                <w:b/>
                <w:bCs/>
                <w:color w:val="000000"/>
              </w:rPr>
              <w:t>(Individuals / Households)</w:t>
            </w:r>
            <w:r w:rsidRPr="00376F3A" w:rsidR="00326973">
              <w:rPr>
                <w:color w:val="000000"/>
                <w:sz w:val="21"/>
                <w:szCs w:val="21"/>
              </w:rPr>
              <w:t xml:space="preserve"> </w:t>
            </w:r>
            <w:r w:rsidRPr="00597FB8">
              <w:rPr>
                <w:i/>
                <w:iCs/>
                <w:color w:val="000000"/>
                <w:sz w:val="21"/>
                <w:szCs w:val="21"/>
              </w:rPr>
              <w:t>(</w:t>
            </w:r>
            <w:r w:rsidRPr="00597FB8" w:rsidR="00242041">
              <w:rPr>
                <w:i/>
                <w:iCs/>
                <w:color w:val="000000"/>
                <w:sz w:val="21"/>
                <w:szCs w:val="21"/>
              </w:rPr>
              <w:t>Follow-up among those who qualify, and fit quota targets for screening</w:t>
            </w:r>
            <w:r w:rsidRPr="00597FB8" w:rsidR="00236753">
              <w:rPr>
                <w:i/>
                <w:iCs/>
                <w:color w:val="000000"/>
                <w:sz w:val="21"/>
                <w:szCs w:val="21"/>
              </w:rPr>
              <w:t>)</w:t>
            </w:r>
          </w:p>
        </w:tc>
        <w:tc>
          <w:tcPr>
            <w:tcW w:w="1530" w:type="dxa"/>
            <w:vAlign w:val="center"/>
          </w:tcPr>
          <w:p w:rsidRPr="00D9079C" w:rsidR="00997B68" w:rsidP="00326973" w:rsidRDefault="000105D8" w14:paraId="75AF3141" w14:textId="688F4CFB">
            <w:pPr>
              <w:rPr>
                <w:color w:val="000000"/>
              </w:rPr>
            </w:pPr>
            <w:r>
              <w:rPr>
                <w:color w:val="000000"/>
              </w:rPr>
              <w:t>120</w:t>
            </w:r>
          </w:p>
        </w:tc>
        <w:tc>
          <w:tcPr>
            <w:tcW w:w="1620" w:type="dxa"/>
            <w:vAlign w:val="center"/>
          </w:tcPr>
          <w:p w:rsidRPr="00D9079C" w:rsidR="00997B68" w:rsidP="009B1331" w:rsidRDefault="00997B68" w14:paraId="5D017BC1" w14:textId="77777777">
            <w:pPr>
              <w:rPr>
                <w:color w:val="000000"/>
              </w:rPr>
            </w:pPr>
            <w:r w:rsidRPr="00D9079C">
              <w:rPr>
                <w:color w:val="000000"/>
              </w:rPr>
              <w:t>1.5 minutes</w:t>
            </w:r>
          </w:p>
        </w:tc>
        <w:tc>
          <w:tcPr>
            <w:tcW w:w="1643" w:type="dxa"/>
            <w:vAlign w:val="center"/>
          </w:tcPr>
          <w:p w:rsidRPr="00D9079C" w:rsidR="00997B68" w:rsidRDefault="000105D8" w14:paraId="1CF57FBF" w14:textId="35DF9969">
            <w:pPr>
              <w:rPr>
                <w:color w:val="000000"/>
              </w:rPr>
            </w:pPr>
            <w:r>
              <w:rPr>
                <w:color w:val="000000"/>
              </w:rPr>
              <w:t>3</w:t>
            </w:r>
            <w:r w:rsidRPr="00D9079C" w:rsidR="00997B68">
              <w:t xml:space="preserve"> hours</w:t>
            </w:r>
          </w:p>
        </w:tc>
      </w:tr>
      <w:tr w:rsidRPr="00D40D6E" w:rsidR="00997B68" w:rsidTr="00597FB8" w14:paraId="5D41CA50" w14:textId="77777777">
        <w:trPr>
          <w:trHeight w:val="1043"/>
        </w:trPr>
        <w:tc>
          <w:tcPr>
            <w:tcW w:w="5395" w:type="dxa"/>
            <w:vAlign w:val="center"/>
          </w:tcPr>
          <w:p w:rsidRPr="00236753" w:rsidR="00997B68" w:rsidP="00326973" w:rsidRDefault="006122BD" w14:paraId="578D14B5" w14:textId="3855B8A1">
            <w:pPr>
              <w:rPr>
                <w:bCs/>
                <w:color w:val="000000"/>
              </w:rPr>
            </w:pPr>
            <w:r w:rsidRPr="00236753">
              <w:rPr>
                <w:b/>
              </w:rPr>
              <w:t>Seated Respondents</w:t>
            </w:r>
            <w:r w:rsidR="00326973">
              <w:rPr>
                <w:b/>
              </w:rPr>
              <w:t xml:space="preserve"> </w:t>
            </w:r>
            <w:r w:rsidR="00326973">
              <w:rPr>
                <w:b/>
                <w:bCs/>
                <w:color w:val="000000"/>
              </w:rPr>
              <w:t>(Individuals / Households)</w:t>
            </w:r>
            <w:r w:rsidRPr="00236753" w:rsidR="00242041">
              <w:rPr>
                <w:bCs/>
              </w:rPr>
              <w:t xml:space="preserve"> </w:t>
            </w:r>
            <w:r w:rsidRPr="00597FB8" w:rsidR="00242041">
              <w:rPr>
                <w:bCs/>
                <w:i/>
                <w:iCs/>
                <w:sz w:val="21"/>
                <w:szCs w:val="21"/>
              </w:rPr>
              <w:t>(execution of the groups among those who are interested, qualify and are available the date/time of the groups)</w:t>
            </w:r>
          </w:p>
        </w:tc>
        <w:tc>
          <w:tcPr>
            <w:tcW w:w="1530" w:type="dxa"/>
            <w:vAlign w:val="center"/>
          </w:tcPr>
          <w:p w:rsidRPr="00D9079C" w:rsidR="00997B68" w:rsidP="00326973" w:rsidRDefault="000105D8" w14:paraId="5A604190" w14:textId="5C893603">
            <w:pPr>
              <w:rPr>
                <w:color w:val="000000"/>
              </w:rPr>
            </w:pPr>
            <w:r>
              <w:rPr>
                <w:color w:val="000000"/>
              </w:rPr>
              <w:t>90</w:t>
            </w:r>
          </w:p>
        </w:tc>
        <w:tc>
          <w:tcPr>
            <w:tcW w:w="1620" w:type="dxa"/>
            <w:vAlign w:val="center"/>
          </w:tcPr>
          <w:p w:rsidRPr="00D9079C" w:rsidR="00997B68" w:rsidP="00326973" w:rsidRDefault="006122BD" w14:paraId="39C01B09" w14:textId="77777777">
            <w:pPr>
              <w:rPr>
                <w:color w:val="000000"/>
              </w:rPr>
            </w:pPr>
            <w:r>
              <w:rPr>
                <w:color w:val="000000"/>
              </w:rPr>
              <w:t>75</w:t>
            </w:r>
            <w:r w:rsidRPr="00D9079C" w:rsidR="00997B68">
              <w:rPr>
                <w:color w:val="000000"/>
              </w:rPr>
              <w:t xml:space="preserve"> minutes</w:t>
            </w:r>
          </w:p>
        </w:tc>
        <w:tc>
          <w:tcPr>
            <w:tcW w:w="1643" w:type="dxa"/>
            <w:vAlign w:val="center"/>
          </w:tcPr>
          <w:p w:rsidRPr="00D9079C" w:rsidR="00997B68" w:rsidP="009B1331" w:rsidRDefault="000105D8" w14:paraId="19DA0D6D" w14:textId="3CCE65FA">
            <w:pPr>
              <w:rPr>
                <w:color w:val="000000"/>
              </w:rPr>
            </w:pPr>
            <w:r>
              <w:rPr>
                <w:color w:val="000000"/>
              </w:rPr>
              <w:t xml:space="preserve">112.5 </w:t>
            </w:r>
            <w:r w:rsidRPr="00D9079C" w:rsidR="00997B68">
              <w:rPr>
                <w:color w:val="000000"/>
              </w:rPr>
              <w:t>hours</w:t>
            </w:r>
          </w:p>
        </w:tc>
      </w:tr>
      <w:tr w:rsidRPr="00D40D6E" w:rsidR="00997B68" w:rsidTr="00597FB8" w14:paraId="4C885446" w14:textId="77777777">
        <w:trPr>
          <w:trHeight w:val="539"/>
        </w:trPr>
        <w:tc>
          <w:tcPr>
            <w:tcW w:w="8545" w:type="dxa"/>
            <w:gridSpan w:val="3"/>
            <w:vAlign w:val="center"/>
          </w:tcPr>
          <w:p w:rsidRPr="00D9079C" w:rsidR="00997B68" w:rsidP="00326973" w:rsidRDefault="00997B68" w14:paraId="3FFB5659" w14:textId="77777777">
            <w:pPr>
              <w:rPr>
                <w:color w:val="000000"/>
              </w:rPr>
            </w:pPr>
            <w:r w:rsidRPr="00D9079C">
              <w:rPr>
                <w:b/>
                <w:bCs/>
                <w:color w:val="000000"/>
              </w:rPr>
              <w:t>GRAND TOTAL BURDEN HOURS</w:t>
            </w:r>
          </w:p>
        </w:tc>
        <w:tc>
          <w:tcPr>
            <w:tcW w:w="1643" w:type="dxa"/>
            <w:vAlign w:val="center"/>
          </w:tcPr>
          <w:p w:rsidRPr="00D9079C" w:rsidR="00997B68" w:rsidP="00326973" w:rsidRDefault="00811A16" w14:paraId="282C74C4" w14:textId="6888074F">
            <w:pPr>
              <w:rPr>
                <w:color w:val="000000"/>
              </w:rPr>
            </w:pPr>
            <w:r>
              <w:rPr>
                <w:b/>
                <w:bCs/>
                <w:color w:val="000000"/>
              </w:rPr>
              <w:t>144</w:t>
            </w:r>
            <w:r w:rsidR="000105D8">
              <w:rPr>
                <w:b/>
                <w:bCs/>
                <w:color w:val="000000"/>
              </w:rPr>
              <w:t>.7</w:t>
            </w:r>
            <w:r w:rsidR="00236753">
              <w:rPr>
                <w:b/>
                <w:bCs/>
                <w:color w:val="000000"/>
              </w:rPr>
              <w:t xml:space="preserve"> </w:t>
            </w:r>
            <w:r w:rsidRPr="00D9079C" w:rsidR="00997B68">
              <w:rPr>
                <w:b/>
                <w:bCs/>
                <w:color w:val="000000"/>
              </w:rPr>
              <w:t>hours</w:t>
            </w:r>
          </w:p>
        </w:tc>
      </w:tr>
      <w:bookmarkEnd w:id="1"/>
    </w:tbl>
    <w:p w:rsidR="00D578C9" w:rsidRDefault="00D578C9" w14:paraId="2515EFCD" w14:textId="77777777">
      <w:pPr>
        <w:rPr>
          <w:b/>
        </w:rPr>
      </w:pPr>
    </w:p>
    <w:p w:rsidRPr="00D578C9" w:rsidR="005E714A" w:rsidRDefault="001C39F7" w14:paraId="559D544D" w14:textId="7C60F341">
      <w:pPr>
        <w:rPr>
          <w:b/>
        </w:rPr>
      </w:pPr>
      <w:r w:rsidRPr="00D40D6E">
        <w:rPr>
          <w:b/>
        </w:rPr>
        <w:t xml:space="preserve">FEDERAL </w:t>
      </w:r>
      <w:r w:rsidRPr="00D40D6E" w:rsidR="009F5923">
        <w:rPr>
          <w:b/>
        </w:rPr>
        <w:t>COST</w:t>
      </w:r>
      <w:r w:rsidRPr="00D40D6E" w:rsidR="00F06866">
        <w:rPr>
          <w:b/>
        </w:rPr>
        <w:t>:</w:t>
      </w:r>
      <w:r w:rsidRPr="00D40D6E" w:rsidR="00895229">
        <w:rPr>
          <w:b/>
        </w:rPr>
        <w:t xml:space="preserve"> </w:t>
      </w:r>
      <w:r w:rsidRPr="00D40D6E" w:rsidR="00C86E91">
        <w:t>The estimated annual cos</w:t>
      </w:r>
      <w:r w:rsidR="00D578C9">
        <w:t xml:space="preserve">t to the Federal government </w:t>
      </w:r>
      <w:r w:rsidRPr="00597FB8" w:rsidR="00D578C9">
        <w:t xml:space="preserve">is </w:t>
      </w:r>
      <w:r w:rsidRPr="00597FB8" w:rsidR="009B1467">
        <w:rPr>
          <w:u w:val="single"/>
        </w:rPr>
        <w:t>$</w:t>
      </w:r>
      <w:r w:rsidRPr="00597FB8" w:rsidR="00D302E3">
        <w:rPr>
          <w:u w:val="single"/>
        </w:rPr>
        <w:t>160,000.</w:t>
      </w:r>
      <w:r w:rsidDel="00D302E3" w:rsidR="00D302E3">
        <w:rPr>
          <w:highlight w:val="yellow"/>
          <w:u w:val="single"/>
        </w:rPr>
        <w:t xml:space="preserve"> </w:t>
      </w:r>
    </w:p>
    <w:p w:rsidR="00ED6492" w:rsidRDefault="00ED6492" w14:paraId="0FB7FD18" w14:textId="77777777">
      <w:pPr>
        <w:rPr>
          <w:b/>
          <w:bCs/>
          <w:u w:val="single"/>
        </w:rPr>
      </w:pPr>
    </w:p>
    <w:p w:rsidR="0069403B" w:rsidP="00F06866" w:rsidRDefault="00ED6492" w14:paraId="20754382"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4DAB9822" w14:textId="77777777">
      <w:pPr>
        <w:rPr>
          <w:b/>
        </w:rPr>
      </w:pPr>
    </w:p>
    <w:p w:rsidR="00F06866" w:rsidP="00F06866" w:rsidRDefault="00636621" w14:paraId="4AF83C3F" w14:textId="77777777">
      <w:pPr>
        <w:rPr>
          <w:b/>
        </w:rPr>
      </w:pPr>
      <w:r>
        <w:rPr>
          <w:b/>
        </w:rPr>
        <w:t>The</w:t>
      </w:r>
      <w:r w:rsidR="0069403B">
        <w:rPr>
          <w:b/>
        </w:rPr>
        <w:t xml:space="preserve"> select</w:t>
      </w:r>
      <w:r>
        <w:rPr>
          <w:b/>
        </w:rPr>
        <w:t>ion of your targeted respondents</w:t>
      </w:r>
    </w:p>
    <w:p w:rsidR="0069403B" w:rsidP="0069403B" w:rsidRDefault="0069403B" w14:paraId="302C2C4E" w14:textId="2643B7D9">
      <w:pPr>
        <w:pStyle w:val="PlainTable3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E7044">
        <w:t>X</w:t>
      </w:r>
      <w:r>
        <w:t>] Yes</w:t>
      </w:r>
      <w:r>
        <w:tab/>
        <w:t>[] No</w:t>
      </w:r>
    </w:p>
    <w:p w:rsidR="00636621" w:rsidP="00636621" w:rsidRDefault="00636621" w14:paraId="29AC89FF" w14:textId="77777777">
      <w:pPr>
        <w:pStyle w:val="PlainTable31"/>
      </w:pPr>
    </w:p>
    <w:p w:rsidR="00636621" w:rsidP="001B0AAA" w:rsidRDefault="00636621" w14:paraId="5B36D76C" w14:textId="77777777">
      <w:r w:rsidRPr="00636621">
        <w:t xml:space="preserve">If the answer is yes, </w:t>
      </w:r>
      <w:r>
        <w:t>please provide a description of both below</w:t>
      </w:r>
      <w:r w:rsidR="00A403BB">
        <w:t xml:space="preserve"> (or attach the sampling plan)</w:t>
      </w:r>
      <w:r w:rsidR="00D578C9">
        <w:t xml:space="preserve">? </w:t>
      </w:r>
      <w:r>
        <w:t>If the answer is no, please provide a description of how you plan to identify your potential group of respondents</w:t>
      </w:r>
      <w:r w:rsidR="001B0AAA">
        <w:t xml:space="preserve"> and how you will select them</w:t>
      </w:r>
      <w:r>
        <w:t>?</w:t>
      </w:r>
    </w:p>
    <w:p w:rsidR="00593EB8" w:rsidP="001B0AAA" w:rsidRDefault="00593EB8" w14:paraId="61F337A1" w14:textId="77777777">
      <w:pPr>
        <w:rPr>
          <w:highlight w:val="yellow"/>
        </w:rPr>
      </w:pPr>
    </w:p>
    <w:p w:rsidR="00997B68" w:rsidP="001B0AAA" w:rsidRDefault="001E7044" w14:paraId="4AA9FCD2" w14:textId="140637D5">
      <w:r w:rsidRPr="00D40D6E">
        <w:t>NHTSA plans to work with</w:t>
      </w:r>
      <w:r w:rsidR="006364C9">
        <w:t xml:space="preserve"> existing contractor,</w:t>
      </w:r>
      <w:r w:rsidRPr="00D40D6E">
        <w:t xml:space="preserve"> </w:t>
      </w:r>
      <w:r w:rsidR="003E5B67">
        <w:t>Stratacomm</w:t>
      </w:r>
      <w:r w:rsidR="006364C9">
        <w:t>, who will hire professional focus group facilities (third-party vendors) to recruit individuals that meet the criteria for each audience</w:t>
      </w:r>
      <w:r>
        <w:t xml:space="preserve">. Each facility maintains a database of potential participants in the local area that will serve as the sample frames for this research. </w:t>
      </w:r>
      <w:r w:rsidRPr="00D40D6E" w:rsidR="00D858A2">
        <w:t xml:space="preserve">Convenience samples of research participants </w:t>
      </w:r>
      <w:r>
        <w:t>from the focus group facilities will be</w:t>
      </w:r>
      <w:r w:rsidRPr="00D40D6E" w:rsidR="00D858A2">
        <w:t xml:space="preserve"> </w:t>
      </w:r>
      <w:r w:rsidRPr="00D40D6E" w:rsidR="00353E39">
        <w:t xml:space="preserve">screened and </w:t>
      </w:r>
      <w:r w:rsidRPr="00D40D6E" w:rsidR="00D858A2">
        <w:t>recruited to reflect the targ</w:t>
      </w:r>
      <w:r w:rsidR="00D578C9">
        <w:t xml:space="preserve">et audience. </w:t>
      </w:r>
    </w:p>
    <w:p w:rsidR="00997B68" w:rsidP="001B0AAA" w:rsidRDefault="00997B68" w14:paraId="7654DC40" w14:textId="77777777"/>
    <w:p w:rsidR="00D858A2" w:rsidP="001B0AAA" w:rsidRDefault="00D858A2" w14:paraId="30928CE5" w14:textId="7B4027E0">
      <w:r w:rsidRPr="00D40D6E">
        <w:t xml:space="preserve">Recruitment will take place using </w:t>
      </w:r>
      <w:r w:rsidR="00DF001F">
        <w:t>seasoned recruiters from each facility who will make calls to prospective participants within their respective operating area.</w:t>
      </w:r>
      <w:r w:rsidR="00D578C9">
        <w:t xml:space="preserve"> </w:t>
      </w:r>
      <w:r w:rsidR="00DF001F">
        <w:t xml:space="preserve">After being </w:t>
      </w:r>
      <w:r w:rsidR="00997B68">
        <w:t>pre-</w:t>
      </w:r>
      <w:r w:rsidR="00DF001F">
        <w:t>screened on the telephone</w:t>
      </w:r>
      <w:r w:rsidR="004A718B">
        <w:t>,</w:t>
      </w:r>
      <w:r w:rsidR="00DF001F">
        <w:t xml:space="preserve"> an </w:t>
      </w:r>
      <w:r w:rsidRPr="00D40D6E" w:rsidR="000618D1">
        <w:t>email invitation</w:t>
      </w:r>
      <w:r w:rsidR="00DF001F">
        <w:t xml:space="preserve"> and reminder will be sent to individual qualified participants</w:t>
      </w:r>
      <w:r w:rsidRPr="00D40D6E" w:rsidR="000618D1">
        <w:t>, followed</w:t>
      </w:r>
      <w:r w:rsidR="00DF001F">
        <w:t xml:space="preserve"> by additional instructions with expected start </w:t>
      </w:r>
      <w:r w:rsidR="006364C9">
        <w:t xml:space="preserve">and arrival </w:t>
      </w:r>
      <w:r w:rsidR="00DF001F">
        <w:t>times and facility directions</w:t>
      </w:r>
      <w:r w:rsidR="00D578C9">
        <w:t xml:space="preserve">. </w:t>
      </w:r>
      <w:r w:rsidRPr="00D40D6E" w:rsidR="000618D1">
        <w:t xml:space="preserve">Recruitment will be monitored </w:t>
      </w:r>
      <w:r w:rsidR="00F239DB">
        <w:t xml:space="preserve">to ensure screening </w:t>
      </w:r>
      <w:r w:rsidR="004A718B">
        <w:t xml:space="preserve">requirements </w:t>
      </w:r>
      <w:r w:rsidR="00F239DB">
        <w:t>are met and that respondents</w:t>
      </w:r>
      <w:r w:rsidRPr="00D40D6E" w:rsidR="00F239DB">
        <w:t xml:space="preserve"> </w:t>
      </w:r>
      <w:r w:rsidRPr="00D40D6E" w:rsidR="000618D1">
        <w:t>include a mixture of r</w:t>
      </w:r>
      <w:r w:rsidRPr="00D40D6E" w:rsidR="001D029A">
        <w:t xml:space="preserve">ace/ethnicity, </w:t>
      </w:r>
      <w:r w:rsidR="00DF001F">
        <w:t xml:space="preserve">employment, </w:t>
      </w:r>
      <w:r w:rsidRPr="00D40D6E" w:rsidR="00E84487">
        <w:t>income</w:t>
      </w:r>
      <w:r w:rsidR="00DF001F">
        <w:t>,</w:t>
      </w:r>
      <w:r w:rsidRPr="00D40D6E" w:rsidR="001D029A">
        <w:t xml:space="preserve"> and education</w:t>
      </w:r>
      <w:r w:rsidRPr="00D40D6E" w:rsidR="000618D1">
        <w:t>.</w:t>
      </w:r>
      <w:r w:rsidR="00997B68">
        <w:t xml:space="preserve"> </w:t>
      </w:r>
      <w:r w:rsidRPr="001535AF" w:rsidR="00997B68">
        <w:t>Participants will complete a short validation screener at the facility prior to being seated at the focus group.</w:t>
      </w:r>
    </w:p>
    <w:p w:rsidR="004D6E14" w:rsidP="00A403BB" w:rsidRDefault="004D6E14" w14:paraId="0133FA99" w14:textId="77777777">
      <w:pPr>
        <w:rPr>
          <w:b/>
        </w:rPr>
      </w:pPr>
    </w:p>
    <w:p w:rsidR="00A403BB" w:rsidP="00A403BB" w:rsidRDefault="00A403BB" w14:paraId="4221650C" w14:textId="77777777">
      <w:pPr>
        <w:rPr>
          <w:b/>
        </w:rPr>
      </w:pPr>
      <w:r>
        <w:rPr>
          <w:b/>
        </w:rPr>
        <w:t>Administration of the Instrument</w:t>
      </w:r>
    </w:p>
    <w:p w:rsidR="00A403BB" w:rsidP="00A403BB" w:rsidRDefault="001B0AAA" w14:paraId="162E504F" w14:textId="77777777">
      <w:pPr>
        <w:pStyle w:val="PlainTable31"/>
        <w:numPr>
          <w:ilvl w:val="0"/>
          <w:numId w:val="17"/>
        </w:numPr>
      </w:pPr>
      <w:r>
        <w:lastRenderedPageBreak/>
        <w:t>H</w:t>
      </w:r>
      <w:r w:rsidR="00A403BB">
        <w:t>ow will you collect the information? (Check all that apply)</w:t>
      </w:r>
    </w:p>
    <w:p w:rsidR="001B0AAA" w:rsidP="001B0AAA" w:rsidRDefault="00DF001F" w14:paraId="09CBA891" w14:textId="77777777">
      <w:pPr>
        <w:ind w:left="720"/>
      </w:pPr>
      <w:r>
        <w:t xml:space="preserve">[  </w:t>
      </w:r>
      <w:r w:rsidR="00A403BB">
        <w:t>] Web-based</w:t>
      </w:r>
      <w:r w:rsidR="001B0AAA">
        <w:t xml:space="preserve"> or other forms of Social Media </w:t>
      </w:r>
    </w:p>
    <w:p w:rsidR="001B0AAA" w:rsidP="001B0AAA" w:rsidRDefault="00DF001F" w14:paraId="650E6930" w14:textId="77777777">
      <w:pPr>
        <w:ind w:left="720"/>
      </w:pPr>
      <w:r>
        <w:t>[X</w:t>
      </w:r>
      <w:r w:rsidR="00A403BB">
        <w:t>] Telephone</w:t>
      </w:r>
      <w:r w:rsidR="00A403BB">
        <w:tab/>
      </w:r>
      <w:r w:rsidRPr="001535AF" w:rsidR="00997B68">
        <w:t>(pre-screening)</w:t>
      </w:r>
    </w:p>
    <w:p w:rsidRPr="001535AF" w:rsidR="00997B68" w:rsidP="00997B68" w:rsidRDefault="00997B68" w14:paraId="74E63E36" w14:textId="77777777">
      <w:pPr>
        <w:ind w:left="720"/>
      </w:pPr>
      <w:r w:rsidRPr="001535AF">
        <w:t>[X] In-person (validation screening at facility &amp; participant discussion)</w:t>
      </w:r>
      <w:r w:rsidRPr="001535AF">
        <w:tab/>
      </w:r>
    </w:p>
    <w:p w:rsidR="001B0AAA" w:rsidP="001B0AAA" w:rsidRDefault="00A403BB" w14:paraId="3FED8D69" w14:textId="77777777">
      <w:pPr>
        <w:ind w:left="720"/>
      </w:pPr>
      <w:r>
        <w:t xml:space="preserve">[ </w:t>
      </w:r>
      <w:r w:rsidR="001B0AAA">
        <w:t xml:space="preserve"> </w:t>
      </w:r>
      <w:r>
        <w:t>] Mail</w:t>
      </w:r>
      <w:r w:rsidR="001B0AAA">
        <w:t xml:space="preserve"> </w:t>
      </w:r>
    </w:p>
    <w:p w:rsidR="001B0AAA" w:rsidP="001B0AAA" w:rsidRDefault="00A403BB" w14:paraId="1756CF49" w14:textId="77777777">
      <w:pPr>
        <w:ind w:left="720"/>
      </w:pPr>
      <w:r>
        <w:t xml:space="preserve">[ </w:t>
      </w:r>
      <w:r w:rsidR="001B0AAA">
        <w:t xml:space="preserve"> </w:t>
      </w:r>
      <w:r>
        <w:t>] Other, Explain</w:t>
      </w:r>
    </w:p>
    <w:p w:rsidR="00997B68" w:rsidP="00D9079C" w:rsidRDefault="00997B68" w14:paraId="785AEAB3" w14:textId="77777777"/>
    <w:p w:rsidR="00F24CFC" w:rsidP="00F24CFC" w:rsidRDefault="00F24CFC" w14:paraId="52EAC44C" w14:textId="77777777">
      <w:pPr>
        <w:pStyle w:val="PlainTable31"/>
        <w:numPr>
          <w:ilvl w:val="0"/>
          <w:numId w:val="17"/>
        </w:numPr>
      </w:pPr>
      <w:r>
        <w:t>Will interviewers or facilitators be used?  [</w:t>
      </w:r>
      <w:r w:rsidR="000618D1">
        <w:t>X</w:t>
      </w:r>
      <w:r>
        <w:t>] Yes [  ] No</w:t>
      </w:r>
    </w:p>
    <w:p w:rsidR="00F24CFC" w:rsidP="00F24CFC" w:rsidRDefault="00F24CFC" w14:paraId="13796769" w14:textId="77777777">
      <w:pPr>
        <w:pStyle w:val="PlainTable31"/>
        <w:ind w:left="360"/>
      </w:pPr>
      <w:r>
        <w:t xml:space="preserve"> </w:t>
      </w:r>
    </w:p>
    <w:p w:rsidRPr="00F24CFC" w:rsidR="0024521E" w:rsidP="0024521E" w:rsidRDefault="00F24CFC" w14:paraId="3380EBC8" w14:textId="77777777">
      <w:pPr>
        <w:rPr>
          <w:b/>
        </w:rPr>
      </w:pPr>
      <w:r w:rsidRPr="00F24CFC">
        <w:rPr>
          <w:b/>
        </w:rPr>
        <w:t>Please make sure 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4C3D" w14:textId="77777777" w:rsidR="009C48DF" w:rsidRDefault="009C48DF">
      <w:r>
        <w:separator/>
      </w:r>
    </w:p>
  </w:endnote>
  <w:endnote w:type="continuationSeparator" w:id="0">
    <w:p w14:paraId="4BD30505" w14:textId="77777777" w:rsidR="009C48DF" w:rsidRDefault="009C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80"/>
    <w:family w:val="roman"/>
    <w:pitch w:val="variable"/>
    <w:sig w:usb0="00000287" w:usb1="08070000" w:usb2="00000010"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3570" w14:textId="778A03DA" w:rsidR="00410A07" w:rsidRDefault="00410A0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7B1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BED55" w14:textId="77777777" w:rsidR="009C48DF" w:rsidRDefault="009C48DF">
      <w:r>
        <w:separator/>
      </w:r>
    </w:p>
  </w:footnote>
  <w:footnote w:type="continuationSeparator" w:id="0">
    <w:p w14:paraId="24CDCC02" w14:textId="77777777" w:rsidR="009C48DF" w:rsidRDefault="009C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8F" w14:textId="77777777" w:rsidR="00410A07" w:rsidRDefault="0041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D347B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FA0BBE"/>
    <w:multiLevelType w:val="hybridMultilevel"/>
    <w:tmpl w:val="67DAA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F14B3"/>
    <w:multiLevelType w:val="hybridMultilevel"/>
    <w:tmpl w:val="7DCC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EF5DB1"/>
    <w:multiLevelType w:val="hybridMultilevel"/>
    <w:tmpl w:val="35EE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626D3"/>
    <w:multiLevelType w:val="hybridMultilevel"/>
    <w:tmpl w:val="717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3"/>
  </w:num>
  <w:num w:numId="4">
    <w:abstractNumId w:val="25"/>
  </w:num>
  <w:num w:numId="5">
    <w:abstractNumId w:val="5"/>
  </w:num>
  <w:num w:numId="6">
    <w:abstractNumId w:val="2"/>
  </w:num>
  <w:num w:numId="7">
    <w:abstractNumId w:val="14"/>
  </w:num>
  <w:num w:numId="8">
    <w:abstractNumId w:val="21"/>
  </w:num>
  <w:num w:numId="9">
    <w:abstractNumId w:val="15"/>
  </w:num>
  <w:num w:numId="10">
    <w:abstractNumId w:val="3"/>
  </w:num>
  <w:num w:numId="11">
    <w:abstractNumId w:val="9"/>
  </w:num>
  <w:num w:numId="12">
    <w:abstractNumId w:val="11"/>
  </w:num>
  <w:num w:numId="13">
    <w:abstractNumId w:val="1"/>
  </w:num>
  <w:num w:numId="14">
    <w:abstractNumId w:val="22"/>
  </w:num>
  <w:num w:numId="15">
    <w:abstractNumId w:val="20"/>
  </w:num>
  <w:num w:numId="16">
    <w:abstractNumId w:val="17"/>
  </w:num>
  <w:num w:numId="17">
    <w:abstractNumId w:val="6"/>
  </w:num>
  <w:num w:numId="18">
    <w:abstractNumId w:val="7"/>
  </w:num>
  <w:num w:numId="19">
    <w:abstractNumId w:val="0"/>
  </w:num>
  <w:num w:numId="20">
    <w:abstractNumId w:val="12"/>
  </w:num>
  <w:num w:numId="21">
    <w:abstractNumId w:val="8"/>
  </w:num>
  <w:num w:numId="22">
    <w:abstractNumId w:val="10"/>
  </w:num>
  <w:num w:numId="23">
    <w:abstractNumId w:val="4"/>
  </w:num>
  <w:num w:numId="24">
    <w:abstractNumId w:val="19"/>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6D2"/>
    <w:rsid w:val="00003BAF"/>
    <w:rsid w:val="00005720"/>
    <w:rsid w:val="0001027E"/>
    <w:rsid w:val="000105D8"/>
    <w:rsid w:val="00012BB5"/>
    <w:rsid w:val="00016B10"/>
    <w:rsid w:val="00023A57"/>
    <w:rsid w:val="00030325"/>
    <w:rsid w:val="00030BCB"/>
    <w:rsid w:val="00032A9B"/>
    <w:rsid w:val="00042DE6"/>
    <w:rsid w:val="000474CA"/>
    <w:rsid w:val="00047A64"/>
    <w:rsid w:val="00055974"/>
    <w:rsid w:val="00061692"/>
    <w:rsid w:val="000618D1"/>
    <w:rsid w:val="00067329"/>
    <w:rsid w:val="00073E07"/>
    <w:rsid w:val="000845F6"/>
    <w:rsid w:val="00092C25"/>
    <w:rsid w:val="00097087"/>
    <w:rsid w:val="000A796C"/>
    <w:rsid w:val="000B2321"/>
    <w:rsid w:val="000B2838"/>
    <w:rsid w:val="000C4940"/>
    <w:rsid w:val="000D44CA"/>
    <w:rsid w:val="000E200B"/>
    <w:rsid w:val="000F396B"/>
    <w:rsid w:val="000F4CA7"/>
    <w:rsid w:val="000F68BE"/>
    <w:rsid w:val="00100BCA"/>
    <w:rsid w:val="001017FB"/>
    <w:rsid w:val="0010702E"/>
    <w:rsid w:val="001166DE"/>
    <w:rsid w:val="0014065A"/>
    <w:rsid w:val="001408CB"/>
    <w:rsid w:val="001413D2"/>
    <w:rsid w:val="00147FB6"/>
    <w:rsid w:val="001660A1"/>
    <w:rsid w:val="001842BF"/>
    <w:rsid w:val="001927A4"/>
    <w:rsid w:val="00194AC6"/>
    <w:rsid w:val="0019691E"/>
    <w:rsid w:val="001A0DE0"/>
    <w:rsid w:val="001A23B0"/>
    <w:rsid w:val="001A25CC"/>
    <w:rsid w:val="001B0AAA"/>
    <w:rsid w:val="001B0B6F"/>
    <w:rsid w:val="001B4E4F"/>
    <w:rsid w:val="001C39F7"/>
    <w:rsid w:val="001D029A"/>
    <w:rsid w:val="001D4B85"/>
    <w:rsid w:val="001E7044"/>
    <w:rsid w:val="001E72C8"/>
    <w:rsid w:val="001F2FDF"/>
    <w:rsid w:val="00223097"/>
    <w:rsid w:val="0022475C"/>
    <w:rsid w:val="00224B6F"/>
    <w:rsid w:val="00236753"/>
    <w:rsid w:val="0023719A"/>
    <w:rsid w:val="00237B48"/>
    <w:rsid w:val="00242041"/>
    <w:rsid w:val="0024521E"/>
    <w:rsid w:val="00260F37"/>
    <w:rsid w:val="002631AE"/>
    <w:rsid w:val="00263C3D"/>
    <w:rsid w:val="002739AE"/>
    <w:rsid w:val="00274D0B"/>
    <w:rsid w:val="00281057"/>
    <w:rsid w:val="0028125B"/>
    <w:rsid w:val="00290B66"/>
    <w:rsid w:val="002B052D"/>
    <w:rsid w:val="002B2BD8"/>
    <w:rsid w:val="002B34CD"/>
    <w:rsid w:val="002B3C95"/>
    <w:rsid w:val="002C4C8D"/>
    <w:rsid w:val="002D074F"/>
    <w:rsid w:val="002D0B92"/>
    <w:rsid w:val="002E3A23"/>
    <w:rsid w:val="002F1620"/>
    <w:rsid w:val="00302B41"/>
    <w:rsid w:val="00326973"/>
    <w:rsid w:val="003277C4"/>
    <w:rsid w:val="0033379E"/>
    <w:rsid w:val="00346F3E"/>
    <w:rsid w:val="0035141D"/>
    <w:rsid w:val="00353E39"/>
    <w:rsid w:val="00361409"/>
    <w:rsid w:val="00366321"/>
    <w:rsid w:val="00376F3A"/>
    <w:rsid w:val="003860D1"/>
    <w:rsid w:val="003A6F0E"/>
    <w:rsid w:val="003C4F87"/>
    <w:rsid w:val="003D5BBE"/>
    <w:rsid w:val="003E1CA7"/>
    <w:rsid w:val="003E3C61"/>
    <w:rsid w:val="003E5B67"/>
    <w:rsid w:val="003E7FB4"/>
    <w:rsid w:val="003F1C5B"/>
    <w:rsid w:val="00410A07"/>
    <w:rsid w:val="00410C8A"/>
    <w:rsid w:val="00421627"/>
    <w:rsid w:val="004219A5"/>
    <w:rsid w:val="00426E57"/>
    <w:rsid w:val="0043485C"/>
    <w:rsid w:val="00434E33"/>
    <w:rsid w:val="00441434"/>
    <w:rsid w:val="00447835"/>
    <w:rsid w:val="00451D03"/>
    <w:rsid w:val="0045241F"/>
    <w:rsid w:val="0045264C"/>
    <w:rsid w:val="00454AB0"/>
    <w:rsid w:val="00454B98"/>
    <w:rsid w:val="0048374D"/>
    <w:rsid w:val="00484930"/>
    <w:rsid w:val="0048634B"/>
    <w:rsid w:val="004876EC"/>
    <w:rsid w:val="004A718B"/>
    <w:rsid w:val="004C73C0"/>
    <w:rsid w:val="004D1617"/>
    <w:rsid w:val="004D6E14"/>
    <w:rsid w:val="004D7A3B"/>
    <w:rsid w:val="004E0DAE"/>
    <w:rsid w:val="005009B0"/>
    <w:rsid w:val="00502482"/>
    <w:rsid w:val="00544E5F"/>
    <w:rsid w:val="005606F7"/>
    <w:rsid w:val="00571B31"/>
    <w:rsid w:val="00593EB8"/>
    <w:rsid w:val="00596EA5"/>
    <w:rsid w:val="00597FB8"/>
    <w:rsid w:val="005A1006"/>
    <w:rsid w:val="005A13E8"/>
    <w:rsid w:val="005B6B5A"/>
    <w:rsid w:val="005C478E"/>
    <w:rsid w:val="005D640D"/>
    <w:rsid w:val="005E0EC6"/>
    <w:rsid w:val="005E183F"/>
    <w:rsid w:val="005E714A"/>
    <w:rsid w:val="005F2F88"/>
    <w:rsid w:val="005F693D"/>
    <w:rsid w:val="006028DB"/>
    <w:rsid w:val="006122BD"/>
    <w:rsid w:val="006140A0"/>
    <w:rsid w:val="00623E88"/>
    <w:rsid w:val="00626B7E"/>
    <w:rsid w:val="006355F4"/>
    <w:rsid w:val="006364C9"/>
    <w:rsid w:val="00636621"/>
    <w:rsid w:val="006414E4"/>
    <w:rsid w:val="00642B49"/>
    <w:rsid w:val="00643999"/>
    <w:rsid w:val="006441AA"/>
    <w:rsid w:val="00646E7D"/>
    <w:rsid w:val="00647CC3"/>
    <w:rsid w:val="00670B4D"/>
    <w:rsid w:val="00682CC4"/>
    <w:rsid w:val="006832D9"/>
    <w:rsid w:val="006847D0"/>
    <w:rsid w:val="0068797C"/>
    <w:rsid w:val="00687E21"/>
    <w:rsid w:val="0069403B"/>
    <w:rsid w:val="006B5DAE"/>
    <w:rsid w:val="006C554C"/>
    <w:rsid w:val="006C58E5"/>
    <w:rsid w:val="006D0BC5"/>
    <w:rsid w:val="006D7598"/>
    <w:rsid w:val="006E2261"/>
    <w:rsid w:val="006E6991"/>
    <w:rsid w:val="006F3DDE"/>
    <w:rsid w:val="006F685F"/>
    <w:rsid w:val="00702D36"/>
    <w:rsid w:val="00704678"/>
    <w:rsid w:val="00732974"/>
    <w:rsid w:val="007425E7"/>
    <w:rsid w:val="00744A82"/>
    <w:rsid w:val="00744E47"/>
    <w:rsid w:val="007500F5"/>
    <w:rsid w:val="00773733"/>
    <w:rsid w:val="007751A9"/>
    <w:rsid w:val="00791D3B"/>
    <w:rsid w:val="007A4F05"/>
    <w:rsid w:val="007D5FBA"/>
    <w:rsid w:val="007D6AE9"/>
    <w:rsid w:val="007E0EA6"/>
    <w:rsid w:val="007E38A2"/>
    <w:rsid w:val="007F0C16"/>
    <w:rsid w:val="007F7080"/>
    <w:rsid w:val="00802607"/>
    <w:rsid w:val="008101A5"/>
    <w:rsid w:val="00810425"/>
    <w:rsid w:val="00811A16"/>
    <w:rsid w:val="0081683A"/>
    <w:rsid w:val="00817507"/>
    <w:rsid w:val="00821289"/>
    <w:rsid w:val="00822664"/>
    <w:rsid w:val="0083176C"/>
    <w:rsid w:val="00833204"/>
    <w:rsid w:val="00843796"/>
    <w:rsid w:val="00850984"/>
    <w:rsid w:val="00850A8B"/>
    <w:rsid w:val="00862417"/>
    <w:rsid w:val="00867B1B"/>
    <w:rsid w:val="00877F1C"/>
    <w:rsid w:val="00884265"/>
    <w:rsid w:val="0089471C"/>
    <w:rsid w:val="00895229"/>
    <w:rsid w:val="0089692B"/>
    <w:rsid w:val="008B2EB3"/>
    <w:rsid w:val="008B4798"/>
    <w:rsid w:val="008B6494"/>
    <w:rsid w:val="008E7BEA"/>
    <w:rsid w:val="008F0203"/>
    <w:rsid w:val="008F50D4"/>
    <w:rsid w:val="00901D5B"/>
    <w:rsid w:val="009239AA"/>
    <w:rsid w:val="009252F2"/>
    <w:rsid w:val="00935ADA"/>
    <w:rsid w:val="00941075"/>
    <w:rsid w:val="00945935"/>
    <w:rsid w:val="00946B6C"/>
    <w:rsid w:val="00955A71"/>
    <w:rsid w:val="0096108F"/>
    <w:rsid w:val="0097228C"/>
    <w:rsid w:val="00984B64"/>
    <w:rsid w:val="00997B49"/>
    <w:rsid w:val="00997B68"/>
    <w:rsid w:val="009A179C"/>
    <w:rsid w:val="009A19FE"/>
    <w:rsid w:val="009B1331"/>
    <w:rsid w:val="009B1467"/>
    <w:rsid w:val="009C13B9"/>
    <w:rsid w:val="009C48DF"/>
    <w:rsid w:val="009D01A2"/>
    <w:rsid w:val="009D51E3"/>
    <w:rsid w:val="009E2543"/>
    <w:rsid w:val="009F5923"/>
    <w:rsid w:val="00A00D08"/>
    <w:rsid w:val="00A131AC"/>
    <w:rsid w:val="00A23887"/>
    <w:rsid w:val="00A2587D"/>
    <w:rsid w:val="00A317F7"/>
    <w:rsid w:val="00A403BB"/>
    <w:rsid w:val="00A41B78"/>
    <w:rsid w:val="00A61BAB"/>
    <w:rsid w:val="00A61D59"/>
    <w:rsid w:val="00A674DF"/>
    <w:rsid w:val="00A73D58"/>
    <w:rsid w:val="00A83AA6"/>
    <w:rsid w:val="00A87A5E"/>
    <w:rsid w:val="00A934D6"/>
    <w:rsid w:val="00AB70B5"/>
    <w:rsid w:val="00AD4DCB"/>
    <w:rsid w:val="00AE1809"/>
    <w:rsid w:val="00AE361C"/>
    <w:rsid w:val="00AE5A87"/>
    <w:rsid w:val="00AF26EB"/>
    <w:rsid w:val="00B02B65"/>
    <w:rsid w:val="00B132B9"/>
    <w:rsid w:val="00B23A64"/>
    <w:rsid w:val="00B40EDA"/>
    <w:rsid w:val="00B579FB"/>
    <w:rsid w:val="00B733B7"/>
    <w:rsid w:val="00B80384"/>
    <w:rsid w:val="00B80D76"/>
    <w:rsid w:val="00B87464"/>
    <w:rsid w:val="00B949ED"/>
    <w:rsid w:val="00B96379"/>
    <w:rsid w:val="00BA2105"/>
    <w:rsid w:val="00BA7E06"/>
    <w:rsid w:val="00BB43B5"/>
    <w:rsid w:val="00BB6219"/>
    <w:rsid w:val="00BD290F"/>
    <w:rsid w:val="00BD54A1"/>
    <w:rsid w:val="00BD5B35"/>
    <w:rsid w:val="00BF5F1A"/>
    <w:rsid w:val="00C13339"/>
    <w:rsid w:val="00C14310"/>
    <w:rsid w:val="00C14675"/>
    <w:rsid w:val="00C14CC4"/>
    <w:rsid w:val="00C15599"/>
    <w:rsid w:val="00C25F37"/>
    <w:rsid w:val="00C27256"/>
    <w:rsid w:val="00C31F48"/>
    <w:rsid w:val="00C33C52"/>
    <w:rsid w:val="00C36DE5"/>
    <w:rsid w:val="00C40D8B"/>
    <w:rsid w:val="00C4271B"/>
    <w:rsid w:val="00C7777E"/>
    <w:rsid w:val="00C8407A"/>
    <w:rsid w:val="00C8488C"/>
    <w:rsid w:val="00C86E91"/>
    <w:rsid w:val="00C91C0A"/>
    <w:rsid w:val="00C96555"/>
    <w:rsid w:val="00CA2650"/>
    <w:rsid w:val="00CB1078"/>
    <w:rsid w:val="00CC1F5F"/>
    <w:rsid w:val="00CC62F1"/>
    <w:rsid w:val="00CC6FAF"/>
    <w:rsid w:val="00CE224E"/>
    <w:rsid w:val="00CF432D"/>
    <w:rsid w:val="00CF6542"/>
    <w:rsid w:val="00D1130F"/>
    <w:rsid w:val="00D1160E"/>
    <w:rsid w:val="00D24698"/>
    <w:rsid w:val="00D25F07"/>
    <w:rsid w:val="00D302E3"/>
    <w:rsid w:val="00D4001C"/>
    <w:rsid w:val="00D40D6E"/>
    <w:rsid w:val="00D40FD0"/>
    <w:rsid w:val="00D52B08"/>
    <w:rsid w:val="00D578C9"/>
    <w:rsid w:val="00D6383F"/>
    <w:rsid w:val="00D846C3"/>
    <w:rsid w:val="00D849F2"/>
    <w:rsid w:val="00D858A2"/>
    <w:rsid w:val="00D86A9D"/>
    <w:rsid w:val="00D9079C"/>
    <w:rsid w:val="00D96E8E"/>
    <w:rsid w:val="00DA00A8"/>
    <w:rsid w:val="00DA1B99"/>
    <w:rsid w:val="00DB2780"/>
    <w:rsid w:val="00DB59D0"/>
    <w:rsid w:val="00DB7B6F"/>
    <w:rsid w:val="00DC33D3"/>
    <w:rsid w:val="00DF001F"/>
    <w:rsid w:val="00DF66FD"/>
    <w:rsid w:val="00E22398"/>
    <w:rsid w:val="00E26329"/>
    <w:rsid w:val="00E33172"/>
    <w:rsid w:val="00E3780A"/>
    <w:rsid w:val="00E40B50"/>
    <w:rsid w:val="00E4541F"/>
    <w:rsid w:val="00E469A2"/>
    <w:rsid w:val="00E50293"/>
    <w:rsid w:val="00E65FFC"/>
    <w:rsid w:val="00E72581"/>
    <w:rsid w:val="00E744EA"/>
    <w:rsid w:val="00E80951"/>
    <w:rsid w:val="00E84487"/>
    <w:rsid w:val="00E86CC6"/>
    <w:rsid w:val="00EA60F0"/>
    <w:rsid w:val="00EB56B3"/>
    <w:rsid w:val="00EB75FF"/>
    <w:rsid w:val="00ED6492"/>
    <w:rsid w:val="00EE1BA3"/>
    <w:rsid w:val="00EE23C2"/>
    <w:rsid w:val="00EF2095"/>
    <w:rsid w:val="00EF366F"/>
    <w:rsid w:val="00EF4426"/>
    <w:rsid w:val="00F0476A"/>
    <w:rsid w:val="00F06866"/>
    <w:rsid w:val="00F11653"/>
    <w:rsid w:val="00F15956"/>
    <w:rsid w:val="00F239DB"/>
    <w:rsid w:val="00F24CFC"/>
    <w:rsid w:val="00F27336"/>
    <w:rsid w:val="00F3170F"/>
    <w:rsid w:val="00F35CE5"/>
    <w:rsid w:val="00F420E5"/>
    <w:rsid w:val="00F6427C"/>
    <w:rsid w:val="00F66DFA"/>
    <w:rsid w:val="00F85C10"/>
    <w:rsid w:val="00F865FB"/>
    <w:rsid w:val="00F874F3"/>
    <w:rsid w:val="00F87A56"/>
    <w:rsid w:val="00F92DE5"/>
    <w:rsid w:val="00F976B0"/>
    <w:rsid w:val="00FA4887"/>
    <w:rsid w:val="00FA6DE7"/>
    <w:rsid w:val="00FB24E4"/>
    <w:rsid w:val="00FB7CFA"/>
    <w:rsid w:val="00FC087B"/>
    <w:rsid w:val="00FC0A8E"/>
    <w:rsid w:val="00FC291F"/>
    <w:rsid w:val="00FC5E17"/>
    <w:rsid w:val="00FE2E0A"/>
    <w:rsid w:val="00FE2FA6"/>
    <w:rsid w:val="00FE3680"/>
    <w:rsid w:val="00FE3DF2"/>
    <w:rsid w:val="00FE5007"/>
    <w:rsid w:val="00FF7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F68A0"/>
  <w15:chartTrackingRefBased/>
  <w15:docId w15:val="{79F2B8DE-2AE0-4608-94CE-2C20E578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58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10113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Culbreath, Walter (NHTSA)</cp:lastModifiedBy>
  <cp:revision>2</cp:revision>
  <cp:lastPrinted>2015-06-26T13:41:00Z</cp:lastPrinted>
  <dcterms:created xsi:type="dcterms:W3CDTF">2020-02-06T21:24:00Z</dcterms:created>
  <dcterms:modified xsi:type="dcterms:W3CDTF">2020-02-06T21:24:00Z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