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AB134"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877B7D" w:rsidRPr="00877B7D">
        <w:rPr>
          <w:sz w:val="28"/>
        </w:rPr>
        <w:t>2127-0682</w:t>
      </w:r>
      <w:r>
        <w:rPr>
          <w:sz w:val="28"/>
        </w:rPr>
        <w:t>)</w:t>
      </w:r>
    </w:p>
    <w:p w14:paraId="4B1D06EF" w14:textId="77777777" w:rsidR="00E50293" w:rsidRPr="009239AA" w:rsidRDefault="00702D36" w:rsidP="00434E33">
      <w:pPr>
        <w:rPr>
          <w:b/>
        </w:rPr>
      </w:pPr>
      <w:r>
        <w:rPr>
          <w:b/>
        </w:rPr>
        <w:br/>
      </w:r>
      <w:r w:rsidR="00877B7D">
        <w:rPr>
          <w:b/>
          <w:noProof/>
        </w:rPr>
        <mc:AlternateContent>
          <mc:Choice Requires="wps">
            <w:drawing>
              <wp:anchor distT="0" distB="0" distL="114300" distR="114300" simplePos="0" relativeHeight="251657728" behindDoc="0" locked="0" layoutInCell="0" allowOverlap="1" wp14:anchorId="1A799DCD" wp14:editId="46A78D9A">
                <wp:simplePos x="0" y="0"/>
                <wp:positionH relativeFrom="column">
                  <wp:posOffset>0</wp:posOffset>
                </wp:positionH>
                <wp:positionV relativeFrom="paragraph">
                  <wp:posOffset>0</wp:posOffset>
                </wp:positionV>
                <wp:extent cx="5943600" cy="0"/>
                <wp:effectExtent l="9525" t="12700" r="952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BDBED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8E7BEA" w:rsidRPr="00D40D6E">
        <w:t xml:space="preserve">Generic Clearance for the Collection of Qualitative Feedback on </w:t>
      </w:r>
      <w:r w:rsidR="00A30D60">
        <w:t>Effective Recall Communications</w:t>
      </w:r>
      <w:r w:rsidR="00FC291F">
        <w:t xml:space="preserve"> for </w:t>
      </w:r>
      <w:r w:rsidR="00F27336">
        <w:t xml:space="preserve">Office of </w:t>
      </w:r>
      <w:r w:rsidR="00FC291F">
        <w:t>Defects Investigation</w:t>
      </w:r>
      <w:r w:rsidR="00F27336">
        <w:t xml:space="preserve"> </w:t>
      </w:r>
      <w:r w:rsidR="00FC291F">
        <w:t xml:space="preserve">Recall </w:t>
      </w:r>
      <w:r w:rsidR="00310D9E">
        <w:t xml:space="preserve">Campaign </w:t>
      </w:r>
      <w:r w:rsidR="00FC291F">
        <w:t>Promotion.</w:t>
      </w:r>
    </w:p>
    <w:p w14:paraId="339FE002" w14:textId="77777777" w:rsidR="005E714A" w:rsidRDefault="005E714A"/>
    <w:p w14:paraId="176176C2" w14:textId="77777777" w:rsidR="00EE23C2" w:rsidRDefault="00F15956" w:rsidP="00EE23C2">
      <w:pPr>
        <w:rPr>
          <w:b/>
        </w:rPr>
      </w:pPr>
      <w:r>
        <w:rPr>
          <w:b/>
        </w:rPr>
        <w:t>PURPOSE</w:t>
      </w:r>
      <w:r w:rsidRPr="009239AA">
        <w:rPr>
          <w:b/>
        </w:rPr>
        <w:t>:</w:t>
      </w:r>
      <w:r w:rsidR="00C14CC4" w:rsidRPr="009239AA">
        <w:rPr>
          <w:b/>
        </w:rPr>
        <w:t xml:space="preserve">  </w:t>
      </w:r>
    </w:p>
    <w:p w14:paraId="1115B5A3" w14:textId="77777777" w:rsidR="00FC2DD2" w:rsidRPr="0085295D" w:rsidRDefault="00FC2DD2" w:rsidP="00FC2DD2">
      <w:pPr>
        <w:rPr>
          <w:lang w:bidi="en-US"/>
        </w:rPr>
      </w:pPr>
      <w:r w:rsidRPr="0085295D">
        <w:rPr>
          <w:lang w:bidi="en-US"/>
        </w:rPr>
        <w:t>The National Highway Traffic Safety Administration (NHTSA) is responsible for keeping people safe on America’s roadways and its mission is to save lives, prevent injuries and reduce economic costs due to road traffic crashes, through education, research, safety standards and enforcement activity.</w:t>
      </w:r>
    </w:p>
    <w:p w14:paraId="08E5FACC" w14:textId="77777777" w:rsidR="00FC2DD2" w:rsidRPr="0085295D" w:rsidRDefault="00FC2DD2" w:rsidP="00FC2DD2">
      <w:pPr>
        <w:rPr>
          <w:lang w:bidi="en-US"/>
        </w:rPr>
      </w:pPr>
    </w:p>
    <w:p w14:paraId="79D309A5" w14:textId="77777777" w:rsidR="00EE23C2" w:rsidRPr="0085295D" w:rsidRDefault="00EE23C2" w:rsidP="00EE23C2">
      <w:pPr>
        <w:rPr>
          <w:b/>
          <w:lang w:bidi="en-US"/>
        </w:rPr>
      </w:pPr>
      <w:r w:rsidRPr="0085295D">
        <w:rPr>
          <w:lang w:bidi="en-US"/>
        </w:rPr>
        <w:t xml:space="preserve">Greater public awareness and engagement are vital to create additional inputs to </w:t>
      </w:r>
      <w:r w:rsidRPr="0085295D">
        <w:t>the National Highway Traffic Safety Administration (NHTSA)</w:t>
      </w:r>
      <w:r w:rsidRPr="0085295D">
        <w:rPr>
          <w:lang w:bidi="en-US"/>
        </w:rPr>
        <w:t xml:space="preserve"> that will help regulators identify early warning signs for safety defects. Increased public awareness and engagement also will improve timely notification of recalls and consumer recall compliance. In support of this, NHTSA is </w:t>
      </w:r>
      <w:r w:rsidR="00FC2DD2" w:rsidRPr="0085295D">
        <w:rPr>
          <w:lang w:bidi="en-US"/>
        </w:rPr>
        <w:t xml:space="preserve">refreshing its </w:t>
      </w:r>
      <w:r w:rsidR="00FC2DD2" w:rsidRPr="0085295D">
        <w:rPr>
          <w:i/>
          <w:lang w:bidi="en-US"/>
        </w:rPr>
        <w:t>Safe Cars Saves Lives</w:t>
      </w:r>
      <w:r w:rsidRPr="0085295D">
        <w:rPr>
          <w:lang w:bidi="en-US"/>
        </w:rPr>
        <w:t xml:space="preserve"> consumer information campaign with the goal to promote greater awareness of the agency’s role in vehicle safety investigations and recalls, and motivate consumers to engage with NHTSA’s </w:t>
      </w:r>
      <w:r w:rsidR="00310D9E">
        <w:rPr>
          <w:lang w:bidi="en-US"/>
        </w:rPr>
        <w:t>online recall resources</w:t>
      </w:r>
      <w:r w:rsidR="00310D9E" w:rsidRPr="0085295D">
        <w:rPr>
          <w:lang w:bidi="en-US"/>
        </w:rPr>
        <w:t xml:space="preserve"> </w:t>
      </w:r>
      <w:r w:rsidRPr="0085295D">
        <w:rPr>
          <w:lang w:bidi="en-US"/>
        </w:rPr>
        <w:t>that will ultimately save more lives on America’s roadways.</w:t>
      </w:r>
    </w:p>
    <w:p w14:paraId="3025FF38" w14:textId="77777777" w:rsidR="00EE23C2" w:rsidRPr="0085295D" w:rsidRDefault="00EE23C2"/>
    <w:p w14:paraId="3CBCDFFC" w14:textId="77777777" w:rsidR="001B0AAA" w:rsidRPr="0085295D" w:rsidRDefault="00EE23C2">
      <w:r w:rsidRPr="0085295D">
        <w:t>NHTSA</w:t>
      </w:r>
      <w:r w:rsidR="002739AE" w:rsidRPr="0085295D">
        <w:t xml:space="preserve"> </w:t>
      </w:r>
      <w:r w:rsidR="0068797C" w:rsidRPr="0085295D">
        <w:t xml:space="preserve">is seeking approval of an information collection to </w:t>
      </w:r>
      <w:r w:rsidR="00E378F6" w:rsidRPr="00E378F6">
        <w:t>better understand consumer attitudes toward recalls and what motivates their behavior (or lack thereof).</w:t>
      </w:r>
      <w:r w:rsidR="00E378F6">
        <w:t xml:space="preserve"> The research will offer insights to communicate more effectively with consumers based on insights gathered from </w:t>
      </w:r>
      <w:r w:rsidR="00E378F6" w:rsidRPr="00E378F6">
        <w:t xml:space="preserve">an in-depth qualitative exploration of the range of potential challenges, concerns, benefits and motivations that shape consumer behavior.   </w:t>
      </w:r>
      <w:r w:rsidR="00E378F6">
        <w:t xml:space="preserve"> </w:t>
      </w:r>
    </w:p>
    <w:p w14:paraId="34E99BD1" w14:textId="77777777" w:rsidR="001B0AAA" w:rsidRPr="0085295D" w:rsidRDefault="001B0AAA"/>
    <w:p w14:paraId="010B6F88" w14:textId="77777777" w:rsidR="00C8488C" w:rsidRPr="00FC2DD2" w:rsidRDefault="0068797C">
      <w:r w:rsidRPr="0085295D">
        <w:t xml:space="preserve">Knowledge gained from this research will </w:t>
      </w:r>
      <w:r w:rsidR="00FC2DD2" w:rsidRPr="0085295D">
        <w:t xml:space="preserve">help shape </w:t>
      </w:r>
      <w:r w:rsidR="00E378F6">
        <w:t>communication strategy through identification of credible third parties and recommendations on how to increase effectiveness of message content and improve visuals to make notifications command greater attention.</w:t>
      </w:r>
    </w:p>
    <w:p w14:paraId="2EC25646" w14:textId="77777777" w:rsidR="00C8488C" w:rsidRPr="00E37623" w:rsidRDefault="00C8488C"/>
    <w:p w14:paraId="7074992A" w14:textId="77777777" w:rsidR="00434E33" w:rsidRPr="009B576C" w:rsidRDefault="00434E33" w:rsidP="00434E33">
      <w:pPr>
        <w:pStyle w:val="Header"/>
        <w:tabs>
          <w:tab w:val="clear" w:pos="4320"/>
          <w:tab w:val="clear" w:pos="8640"/>
        </w:tabs>
        <w:rPr>
          <w:i/>
          <w:snapToGrid/>
        </w:rPr>
      </w:pPr>
      <w:r w:rsidRPr="009B576C">
        <w:rPr>
          <w:b/>
        </w:rPr>
        <w:t>DESCRIPTION OF RESPONDENTS</w:t>
      </w:r>
      <w:r w:rsidRPr="009B576C">
        <w:t xml:space="preserve">: </w:t>
      </w:r>
    </w:p>
    <w:p w14:paraId="4424CE84" w14:textId="7B16C92F" w:rsidR="00BD1765" w:rsidRDefault="0068797C">
      <w:r w:rsidRPr="0085295D">
        <w:t xml:space="preserve">The respondents for this </w:t>
      </w:r>
      <w:r w:rsidR="002739AE" w:rsidRPr="0085295D">
        <w:t>st</w:t>
      </w:r>
      <w:r w:rsidR="00D578C9" w:rsidRPr="0085295D">
        <w:t xml:space="preserve">udy will include </w:t>
      </w:r>
      <w:r w:rsidR="00E378F6" w:rsidRPr="0085295D">
        <w:t>t</w:t>
      </w:r>
      <w:r w:rsidR="00E378F6">
        <w:t>hree</w:t>
      </w:r>
      <w:r w:rsidR="00E378F6" w:rsidRPr="0085295D">
        <w:t xml:space="preserve"> </w:t>
      </w:r>
      <w:r w:rsidR="00D578C9" w:rsidRPr="0085295D">
        <w:t>audiences</w:t>
      </w:r>
      <w:r w:rsidR="00E378F6">
        <w:t>.</w:t>
      </w:r>
      <w:r w:rsidR="004A75F7">
        <w:t xml:space="preserve"> </w:t>
      </w:r>
      <w:r w:rsidR="002739AE" w:rsidRPr="0085295D">
        <w:t xml:space="preserve">The first </w:t>
      </w:r>
      <w:r w:rsidR="001F2FDF" w:rsidRPr="0085295D">
        <w:t>audience</w:t>
      </w:r>
      <w:r w:rsidR="002739AE" w:rsidRPr="0085295D">
        <w:t xml:space="preserve"> will be comprised of </w:t>
      </w:r>
      <w:r w:rsidR="001D029A" w:rsidRPr="0085295D">
        <w:t>national</w:t>
      </w:r>
      <w:r w:rsidR="005B20F6">
        <w:t>,</w:t>
      </w:r>
      <w:r w:rsidR="001D029A" w:rsidRPr="0085295D">
        <w:t xml:space="preserve"> general public</w:t>
      </w:r>
      <w:r w:rsidR="00E378F6">
        <w:t xml:space="preserve"> </w:t>
      </w:r>
      <w:r w:rsidR="00BD1765">
        <w:t>vehicle owners</w:t>
      </w:r>
      <w:r w:rsidR="001D029A" w:rsidRPr="0085295D">
        <w:t xml:space="preserve"> </w:t>
      </w:r>
      <w:r w:rsidR="00BD1765">
        <w:t xml:space="preserve">ages 18+. </w:t>
      </w:r>
      <w:r w:rsidR="001D029A" w:rsidRPr="0085295D">
        <w:t xml:space="preserve">A second </w:t>
      </w:r>
      <w:r w:rsidR="001F2FDF" w:rsidRPr="0085295D">
        <w:t>audience</w:t>
      </w:r>
      <w:r w:rsidR="001D029A" w:rsidRPr="0085295D">
        <w:t xml:space="preserve"> will consist of a target audience of </w:t>
      </w:r>
      <w:r w:rsidR="00E378F6">
        <w:t>Hispanic</w:t>
      </w:r>
      <w:r w:rsidR="00BD1765">
        <w:t xml:space="preserve"> vehicle owners</w:t>
      </w:r>
      <w:r w:rsidR="00BD1765" w:rsidRPr="0085295D">
        <w:t xml:space="preserve"> </w:t>
      </w:r>
      <w:r w:rsidR="00BD1765">
        <w:t xml:space="preserve">ages 18+ </w:t>
      </w:r>
      <w:r w:rsidR="00E378F6">
        <w:t xml:space="preserve">who speak </w:t>
      </w:r>
      <w:r w:rsidR="00BD1765">
        <w:t>Spanish in their home.</w:t>
      </w:r>
      <w:r w:rsidR="004A75F7">
        <w:t xml:space="preserve"> </w:t>
      </w:r>
      <w:r w:rsidR="00BD1765">
        <w:t xml:space="preserve">A third audience will consist of a target audience of owners of vehicles impacted by the Takata </w:t>
      </w:r>
      <w:r w:rsidR="000B7868">
        <w:t xml:space="preserve">air bag </w:t>
      </w:r>
      <w:r w:rsidR="00BD1765">
        <w:t>recall ages 18+.</w:t>
      </w:r>
      <w:r w:rsidR="00EF31F1">
        <w:t xml:space="preserve"> The research design splits the three audiences into </w:t>
      </w:r>
      <w:r w:rsidR="005B20F6">
        <w:t>five</w:t>
      </w:r>
      <w:r w:rsidR="00EF31F1">
        <w:t xml:space="preserve"> online discussion boards.  </w:t>
      </w:r>
    </w:p>
    <w:p w14:paraId="133D3631" w14:textId="02F44331" w:rsidR="00EF31F1" w:rsidRDefault="00EF31F1"/>
    <w:tbl>
      <w:tblPr>
        <w:tblStyle w:val="TableGrid"/>
        <w:tblW w:w="0" w:type="auto"/>
        <w:tblLook w:val="04A0" w:firstRow="1" w:lastRow="0" w:firstColumn="1" w:lastColumn="0" w:noHBand="0" w:noVBand="1"/>
      </w:tblPr>
      <w:tblGrid>
        <w:gridCol w:w="985"/>
        <w:gridCol w:w="6750"/>
        <w:gridCol w:w="1615"/>
      </w:tblGrid>
      <w:tr w:rsidR="00EF31F1" w14:paraId="4E583068" w14:textId="77777777" w:rsidTr="00EF31F1">
        <w:trPr>
          <w:trHeight w:val="98"/>
        </w:trPr>
        <w:tc>
          <w:tcPr>
            <w:tcW w:w="985" w:type="dxa"/>
          </w:tcPr>
          <w:p w14:paraId="0DA3B336" w14:textId="1BEFB06D" w:rsidR="00EF31F1" w:rsidRDefault="00EF31F1">
            <w:r>
              <w:t>Board 1</w:t>
            </w:r>
          </w:p>
        </w:tc>
        <w:tc>
          <w:tcPr>
            <w:tcW w:w="6750" w:type="dxa"/>
          </w:tcPr>
          <w:p w14:paraId="5C1ED2FE" w14:textId="107E0F84" w:rsidR="00EF31F1" w:rsidRDefault="00EF31F1">
            <w:r>
              <w:t>N</w:t>
            </w:r>
            <w:r w:rsidRPr="0085295D">
              <w:t>ational general public</w:t>
            </w:r>
            <w:r>
              <w:t xml:space="preserve"> vehicle owners</w:t>
            </w:r>
            <w:r w:rsidRPr="0085295D">
              <w:t xml:space="preserve"> </w:t>
            </w:r>
            <w:r>
              <w:t>ages 18+</w:t>
            </w:r>
          </w:p>
        </w:tc>
        <w:tc>
          <w:tcPr>
            <w:tcW w:w="1615" w:type="dxa"/>
          </w:tcPr>
          <w:p w14:paraId="259132D7" w14:textId="171F61D9" w:rsidR="00EF31F1" w:rsidRDefault="00EF31F1">
            <w:r>
              <w:t xml:space="preserve">Recruit 35 </w:t>
            </w:r>
          </w:p>
        </w:tc>
      </w:tr>
      <w:tr w:rsidR="00EF31F1" w14:paraId="40FA0E71" w14:textId="77777777" w:rsidTr="00EF31F1">
        <w:tc>
          <w:tcPr>
            <w:tcW w:w="985" w:type="dxa"/>
          </w:tcPr>
          <w:p w14:paraId="2845D881" w14:textId="286B0E0A" w:rsidR="00EF31F1" w:rsidRDefault="00EF31F1">
            <w:r>
              <w:t>Board 2</w:t>
            </w:r>
          </w:p>
        </w:tc>
        <w:tc>
          <w:tcPr>
            <w:tcW w:w="6750" w:type="dxa"/>
          </w:tcPr>
          <w:p w14:paraId="1A8F94B9" w14:textId="44652DE3" w:rsidR="00EF31F1" w:rsidRDefault="00EF31F1">
            <w:r>
              <w:t>N</w:t>
            </w:r>
            <w:r w:rsidRPr="0085295D">
              <w:t>ational general public</w:t>
            </w:r>
            <w:r>
              <w:t xml:space="preserve"> vehicle owners</w:t>
            </w:r>
            <w:r w:rsidRPr="0085295D">
              <w:t xml:space="preserve"> </w:t>
            </w:r>
            <w:r>
              <w:t>ages 18+</w:t>
            </w:r>
          </w:p>
        </w:tc>
        <w:tc>
          <w:tcPr>
            <w:tcW w:w="1615" w:type="dxa"/>
          </w:tcPr>
          <w:p w14:paraId="1149381B" w14:textId="0EE5259B" w:rsidR="00EF31F1" w:rsidRDefault="00EF31F1">
            <w:r>
              <w:t>Recruit 35</w:t>
            </w:r>
          </w:p>
        </w:tc>
      </w:tr>
      <w:tr w:rsidR="00EF31F1" w14:paraId="235C6AE8" w14:textId="77777777" w:rsidTr="00EF31F1">
        <w:tc>
          <w:tcPr>
            <w:tcW w:w="985" w:type="dxa"/>
          </w:tcPr>
          <w:p w14:paraId="5408EC73" w14:textId="2F38F71A" w:rsidR="00EF31F1" w:rsidRDefault="00EF31F1">
            <w:r>
              <w:t>Board 3</w:t>
            </w:r>
          </w:p>
        </w:tc>
        <w:tc>
          <w:tcPr>
            <w:tcW w:w="6750" w:type="dxa"/>
          </w:tcPr>
          <w:p w14:paraId="7563EB17" w14:textId="7AE5DF5A" w:rsidR="00EF31F1" w:rsidRDefault="00EF31F1">
            <w:r>
              <w:t>Hispanic vehicle owners</w:t>
            </w:r>
            <w:r w:rsidRPr="0085295D">
              <w:t xml:space="preserve"> </w:t>
            </w:r>
            <w:r>
              <w:t>ages 18+ who speak Spanish in their home</w:t>
            </w:r>
          </w:p>
        </w:tc>
        <w:tc>
          <w:tcPr>
            <w:tcW w:w="1615" w:type="dxa"/>
          </w:tcPr>
          <w:p w14:paraId="153EC01A" w14:textId="07E07677" w:rsidR="00EF31F1" w:rsidRDefault="00EF31F1">
            <w:r>
              <w:t>Recruit 35</w:t>
            </w:r>
          </w:p>
        </w:tc>
      </w:tr>
      <w:tr w:rsidR="00EF31F1" w14:paraId="10C9C3EF" w14:textId="77777777" w:rsidTr="00EF31F1">
        <w:tc>
          <w:tcPr>
            <w:tcW w:w="985" w:type="dxa"/>
          </w:tcPr>
          <w:p w14:paraId="2B7E085F" w14:textId="3FFFFAB4" w:rsidR="00EF31F1" w:rsidRDefault="00EF31F1">
            <w:r>
              <w:t>Board 4</w:t>
            </w:r>
          </w:p>
        </w:tc>
        <w:tc>
          <w:tcPr>
            <w:tcW w:w="6750" w:type="dxa"/>
          </w:tcPr>
          <w:p w14:paraId="1D13DFEF" w14:textId="1272A5AF" w:rsidR="00EF31F1" w:rsidRDefault="00EF31F1">
            <w:r>
              <w:t>Owners of vehicles impacted by the Takata air bag recall ages 18+</w:t>
            </w:r>
          </w:p>
        </w:tc>
        <w:tc>
          <w:tcPr>
            <w:tcW w:w="1615" w:type="dxa"/>
          </w:tcPr>
          <w:p w14:paraId="1E8288E0" w14:textId="492D6DD3" w:rsidR="00EF31F1" w:rsidRDefault="00EF31F1">
            <w:r>
              <w:t>Recruit 35</w:t>
            </w:r>
          </w:p>
        </w:tc>
      </w:tr>
      <w:tr w:rsidR="00EF31F1" w14:paraId="6B494053" w14:textId="77777777" w:rsidTr="00EF31F1">
        <w:tc>
          <w:tcPr>
            <w:tcW w:w="985" w:type="dxa"/>
          </w:tcPr>
          <w:p w14:paraId="276E5109" w14:textId="71ED70AF" w:rsidR="00EF31F1" w:rsidRDefault="00EF31F1">
            <w:r>
              <w:t>Board 5</w:t>
            </w:r>
          </w:p>
        </w:tc>
        <w:tc>
          <w:tcPr>
            <w:tcW w:w="6750" w:type="dxa"/>
          </w:tcPr>
          <w:p w14:paraId="4E279C5D" w14:textId="7C910F3C" w:rsidR="00EF31F1" w:rsidRDefault="00EF31F1">
            <w:r>
              <w:t>Owners of vehicles impacted by the Takata air bag recall ages 18+</w:t>
            </w:r>
          </w:p>
        </w:tc>
        <w:tc>
          <w:tcPr>
            <w:tcW w:w="1615" w:type="dxa"/>
          </w:tcPr>
          <w:p w14:paraId="60A66A4F" w14:textId="6EDB1323" w:rsidR="00EF31F1" w:rsidRDefault="00EF31F1">
            <w:r>
              <w:t>Recruit 35</w:t>
            </w:r>
          </w:p>
        </w:tc>
      </w:tr>
      <w:tr w:rsidR="00EF31F1" w14:paraId="50D696E9" w14:textId="77777777" w:rsidTr="00EF31F1">
        <w:tc>
          <w:tcPr>
            <w:tcW w:w="985" w:type="dxa"/>
          </w:tcPr>
          <w:p w14:paraId="74359201" w14:textId="440756B4" w:rsidR="00EF31F1" w:rsidRDefault="00EF31F1"/>
        </w:tc>
        <w:tc>
          <w:tcPr>
            <w:tcW w:w="6750" w:type="dxa"/>
          </w:tcPr>
          <w:p w14:paraId="462F3942" w14:textId="049ADC70" w:rsidR="00EF31F1" w:rsidRPr="00EF31F1" w:rsidRDefault="00EF31F1" w:rsidP="00EF31F1">
            <w:pPr>
              <w:jc w:val="right"/>
              <w:rPr>
                <w:b/>
              </w:rPr>
            </w:pPr>
            <w:r w:rsidRPr="00EF31F1">
              <w:rPr>
                <w:b/>
              </w:rPr>
              <w:t>TOTAL RECRUITED</w:t>
            </w:r>
          </w:p>
        </w:tc>
        <w:tc>
          <w:tcPr>
            <w:tcW w:w="1615" w:type="dxa"/>
          </w:tcPr>
          <w:p w14:paraId="1CB46D6C" w14:textId="3068335E" w:rsidR="00EF31F1" w:rsidRPr="00EF31F1" w:rsidRDefault="00EF31F1">
            <w:pPr>
              <w:rPr>
                <w:b/>
              </w:rPr>
            </w:pPr>
            <w:r w:rsidRPr="00EF31F1">
              <w:rPr>
                <w:b/>
              </w:rPr>
              <w:t>Recruit 175</w:t>
            </w:r>
          </w:p>
        </w:tc>
      </w:tr>
    </w:tbl>
    <w:p w14:paraId="6FC254F0" w14:textId="0D41667E" w:rsidR="00EF31F1" w:rsidRDefault="00EF31F1"/>
    <w:p w14:paraId="21059829" w14:textId="77777777" w:rsidR="00EF31F1" w:rsidRDefault="00EF31F1"/>
    <w:p w14:paraId="2BAB46A5" w14:textId="07872F86" w:rsidR="009A19FE" w:rsidRPr="00FC2DD2" w:rsidRDefault="00F874F3">
      <w:r w:rsidRPr="0085295D">
        <w:lastRenderedPageBreak/>
        <w:t xml:space="preserve">Each </w:t>
      </w:r>
      <w:r w:rsidR="00BD1765">
        <w:t>board</w:t>
      </w:r>
      <w:r w:rsidR="00BD1765" w:rsidRPr="0085295D">
        <w:t xml:space="preserve"> </w:t>
      </w:r>
      <w:r w:rsidRPr="0085295D">
        <w:t xml:space="preserve">will </w:t>
      </w:r>
      <w:r w:rsidR="00EF31F1">
        <w:t>recruit</w:t>
      </w:r>
      <w:r w:rsidR="002739AE" w:rsidRPr="0085295D">
        <w:t xml:space="preserve"> </w:t>
      </w:r>
      <w:r w:rsidR="002D7D32">
        <w:t>35</w:t>
      </w:r>
      <w:r w:rsidR="00BD1765" w:rsidRPr="0085295D">
        <w:t xml:space="preserve"> </w:t>
      </w:r>
      <w:r w:rsidR="002739AE" w:rsidRPr="0085295D">
        <w:t>participants for</w:t>
      </w:r>
      <w:r w:rsidR="001D029A" w:rsidRPr="0085295D">
        <w:t xml:space="preserve"> a total of </w:t>
      </w:r>
      <w:r w:rsidR="002D7D32">
        <w:t>175</w:t>
      </w:r>
      <w:r w:rsidR="00BD1765" w:rsidRPr="0085295D">
        <w:t xml:space="preserve"> </w:t>
      </w:r>
      <w:r w:rsidR="00EF31F1">
        <w:t xml:space="preserve">recruited </w:t>
      </w:r>
      <w:r w:rsidR="001D029A" w:rsidRPr="0085295D">
        <w:t>participants.</w:t>
      </w:r>
      <w:r w:rsidRPr="0085295D">
        <w:t xml:space="preserve"> </w:t>
      </w:r>
      <w:r w:rsidR="002739AE" w:rsidRPr="0085295D">
        <w:t xml:space="preserve">Screening criteria will require that all respondents have a valid driver’s license, own a vehicle and operate a vehicle at least once per </w:t>
      </w:r>
      <w:r w:rsidR="009A19FE" w:rsidRPr="0085295D">
        <w:t xml:space="preserve">week. </w:t>
      </w:r>
      <w:r w:rsidR="00EF31F1">
        <w:t xml:space="preserve">The boards will field in </w:t>
      </w:r>
      <w:r w:rsidR="008407B0">
        <w:t>two</w:t>
      </w:r>
      <w:r w:rsidR="00EF31F1">
        <w:t xml:space="preserve"> waves, each wave lasting </w:t>
      </w:r>
      <w:r w:rsidR="008407B0">
        <w:t>three</w:t>
      </w:r>
      <w:r w:rsidR="00EF31F1">
        <w:t xml:space="preserve"> days. The first wave will include Board 1 (</w:t>
      </w:r>
      <w:r w:rsidR="008407B0">
        <w:t>general public</w:t>
      </w:r>
      <w:r w:rsidR="00EF31F1">
        <w:t>) and Board 4 (</w:t>
      </w:r>
      <w:r w:rsidR="008407B0">
        <w:t>o</w:t>
      </w:r>
      <w:r w:rsidR="00EF31F1">
        <w:t xml:space="preserve">wners of vehicles impacted by Takata air bag recall). The second wave will include </w:t>
      </w:r>
      <w:r w:rsidR="005B20F6">
        <w:t xml:space="preserve">an </w:t>
      </w:r>
      <w:r w:rsidR="00C002BD">
        <w:t xml:space="preserve">additional </w:t>
      </w:r>
      <w:r w:rsidR="005B20F6">
        <w:t xml:space="preserve">set </w:t>
      </w:r>
      <w:r w:rsidR="00C002BD">
        <w:t xml:space="preserve">boards for </w:t>
      </w:r>
      <w:r w:rsidR="008407B0">
        <w:t>general public</w:t>
      </w:r>
      <w:r w:rsidR="00C002BD">
        <w:t xml:space="preserve"> and </w:t>
      </w:r>
      <w:r w:rsidR="008407B0">
        <w:t>o</w:t>
      </w:r>
      <w:r w:rsidR="00C002BD">
        <w:t>wners of vehicles impacted by Takata air bag recall</w:t>
      </w:r>
      <w:r w:rsidR="008407B0">
        <w:t>,</w:t>
      </w:r>
      <w:r w:rsidR="00C002BD">
        <w:t xml:space="preserve"> along with a </w:t>
      </w:r>
      <w:r w:rsidR="00D81340">
        <w:t xml:space="preserve">dedicated </w:t>
      </w:r>
      <w:r w:rsidR="00C002BD">
        <w:t>board of Hispanic vehicle owners</w:t>
      </w:r>
      <w:r w:rsidR="00C002BD" w:rsidRPr="0085295D">
        <w:t xml:space="preserve"> </w:t>
      </w:r>
      <w:r w:rsidR="00C002BD">
        <w:t>ages 18+ who speak Spanish in their home.</w:t>
      </w:r>
      <w:r w:rsidR="008407B0">
        <w:t xml:space="preserve"> </w:t>
      </w:r>
      <w:r w:rsidR="00C002BD">
        <w:t>This</w:t>
      </w:r>
      <w:r w:rsidR="00D81340">
        <w:t xml:space="preserve"> additional</w:t>
      </w:r>
      <w:r w:rsidR="00C002BD">
        <w:t xml:space="preserve"> group is added to help boost Hispanic participants from the </w:t>
      </w:r>
      <w:r w:rsidR="008407B0">
        <w:t>general public</w:t>
      </w:r>
      <w:r w:rsidR="00C002BD">
        <w:t xml:space="preserve"> boards</w:t>
      </w:r>
      <w:r w:rsidR="00D81340">
        <w:t xml:space="preserve"> so they can be looked at as a stand-alone audience</w:t>
      </w:r>
      <w:r w:rsidR="00C002BD">
        <w:t xml:space="preserve"> and also gather insights among potential language barriers that might exist among bilingual Hispanics. </w:t>
      </w:r>
    </w:p>
    <w:p w14:paraId="64C1FA49" w14:textId="77777777" w:rsidR="00C8488C" w:rsidRPr="009B576C" w:rsidRDefault="00C8488C"/>
    <w:p w14:paraId="00ABB444" w14:textId="1E485F43" w:rsidR="00F06866" w:rsidRPr="0085295D" w:rsidRDefault="00F06866">
      <w:pPr>
        <w:rPr>
          <w:b/>
        </w:rPr>
      </w:pPr>
      <w:r w:rsidRPr="007569D5">
        <w:rPr>
          <w:b/>
        </w:rPr>
        <w:t>TYPE OF COLLECTION:</w:t>
      </w:r>
      <w:r w:rsidRPr="007569D5">
        <w:t xml:space="preserve"> (Check one)</w:t>
      </w:r>
    </w:p>
    <w:p w14:paraId="562F3DD6" w14:textId="77777777" w:rsidR="00441434" w:rsidRPr="0085295D" w:rsidRDefault="00441434" w:rsidP="0096108F">
      <w:pPr>
        <w:pStyle w:val="BodyTextIndent"/>
        <w:tabs>
          <w:tab w:val="left" w:pos="360"/>
        </w:tabs>
        <w:ind w:left="0"/>
        <w:rPr>
          <w:bCs/>
          <w:sz w:val="16"/>
          <w:szCs w:val="16"/>
        </w:rPr>
      </w:pPr>
    </w:p>
    <w:p w14:paraId="6D64303A" w14:textId="77777777" w:rsidR="00F06866" w:rsidRPr="0085295D" w:rsidRDefault="0096108F" w:rsidP="0096108F">
      <w:pPr>
        <w:pStyle w:val="BodyTextIndent"/>
        <w:tabs>
          <w:tab w:val="left" w:pos="360"/>
        </w:tabs>
        <w:ind w:left="0"/>
        <w:rPr>
          <w:bCs/>
          <w:sz w:val="24"/>
        </w:rPr>
      </w:pPr>
      <w:r w:rsidRPr="0085295D">
        <w:rPr>
          <w:bCs/>
          <w:sz w:val="24"/>
        </w:rPr>
        <w:t xml:space="preserve">[ ] </w:t>
      </w:r>
      <w:r w:rsidR="00F06866" w:rsidRPr="0085295D">
        <w:rPr>
          <w:bCs/>
          <w:sz w:val="24"/>
        </w:rPr>
        <w:t>Customer Comment Card/Complaint Form</w:t>
      </w:r>
      <w:r w:rsidRPr="0085295D">
        <w:rPr>
          <w:bCs/>
          <w:sz w:val="24"/>
        </w:rPr>
        <w:t xml:space="preserve"> </w:t>
      </w:r>
      <w:r w:rsidRPr="0085295D">
        <w:rPr>
          <w:bCs/>
          <w:sz w:val="24"/>
        </w:rPr>
        <w:tab/>
        <w:t xml:space="preserve">[ ] </w:t>
      </w:r>
      <w:r w:rsidR="00F06866" w:rsidRPr="0085295D">
        <w:rPr>
          <w:bCs/>
          <w:sz w:val="24"/>
        </w:rPr>
        <w:t>Customer Satisfaction Survey</w:t>
      </w:r>
      <w:r w:rsidRPr="0085295D">
        <w:rPr>
          <w:bCs/>
          <w:sz w:val="24"/>
        </w:rPr>
        <w:t xml:space="preserve"> </w:t>
      </w:r>
      <w:r w:rsidR="00CA2650" w:rsidRPr="0085295D">
        <w:rPr>
          <w:bCs/>
          <w:sz w:val="24"/>
        </w:rPr>
        <w:t xml:space="preserve">  </w:t>
      </w:r>
      <w:r w:rsidRPr="0085295D">
        <w:rPr>
          <w:bCs/>
          <w:sz w:val="24"/>
        </w:rPr>
        <w:t xml:space="preserve"> </w:t>
      </w:r>
    </w:p>
    <w:p w14:paraId="379B258B" w14:textId="77777777" w:rsidR="0096108F" w:rsidRPr="0085295D" w:rsidRDefault="0096108F" w:rsidP="0096108F">
      <w:pPr>
        <w:pStyle w:val="BodyTextIndent"/>
        <w:tabs>
          <w:tab w:val="left" w:pos="360"/>
        </w:tabs>
        <w:ind w:left="0"/>
        <w:rPr>
          <w:bCs/>
          <w:sz w:val="24"/>
        </w:rPr>
      </w:pPr>
      <w:r w:rsidRPr="0085295D">
        <w:rPr>
          <w:bCs/>
          <w:sz w:val="24"/>
        </w:rPr>
        <w:t xml:space="preserve">[ ] </w:t>
      </w:r>
      <w:r w:rsidR="00F06866" w:rsidRPr="0085295D">
        <w:rPr>
          <w:bCs/>
          <w:sz w:val="24"/>
        </w:rPr>
        <w:t>Usability</w:t>
      </w:r>
      <w:r w:rsidR="009239AA" w:rsidRPr="0085295D">
        <w:rPr>
          <w:bCs/>
          <w:sz w:val="24"/>
        </w:rPr>
        <w:t xml:space="preserve"> Testing (e.g., Website or Software</w:t>
      </w:r>
      <w:r w:rsidR="00F06866" w:rsidRPr="0085295D">
        <w:rPr>
          <w:bCs/>
          <w:sz w:val="24"/>
        </w:rPr>
        <w:tab/>
        <w:t>[ ] Small Discussion Group</w:t>
      </w:r>
    </w:p>
    <w:p w14:paraId="55FC24BB" w14:textId="77777777" w:rsidR="00F06866" w:rsidRPr="0085295D" w:rsidRDefault="00935ADA" w:rsidP="0096108F">
      <w:pPr>
        <w:pStyle w:val="BodyTextIndent"/>
        <w:tabs>
          <w:tab w:val="left" w:pos="360"/>
        </w:tabs>
        <w:ind w:left="0"/>
        <w:rPr>
          <w:bCs/>
          <w:sz w:val="24"/>
        </w:rPr>
      </w:pPr>
      <w:r w:rsidRPr="0085295D">
        <w:rPr>
          <w:bCs/>
          <w:sz w:val="24"/>
        </w:rPr>
        <w:t>[</w:t>
      </w:r>
      <w:r w:rsidR="00CF6542" w:rsidRPr="0085295D">
        <w:rPr>
          <w:bCs/>
          <w:sz w:val="24"/>
        </w:rPr>
        <w:t xml:space="preserve"> </w:t>
      </w:r>
      <w:r w:rsidRPr="0085295D">
        <w:rPr>
          <w:bCs/>
          <w:sz w:val="24"/>
        </w:rPr>
        <w:t xml:space="preserve">] Focus Group  </w:t>
      </w:r>
      <w:r w:rsidRPr="0085295D">
        <w:rPr>
          <w:bCs/>
          <w:sz w:val="24"/>
        </w:rPr>
        <w:tab/>
      </w:r>
      <w:r w:rsidRPr="0085295D">
        <w:rPr>
          <w:bCs/>
          <w:sz w:val="24"/>
        </w:rPr>
        <w:tab/>
      </w:r>
      <w:r w:rsidRPr="0085295D">
        <w:rPr>
          <w:bCs/>
          <w:sz w:val="24"/>
        </w:rPr>
        <w:tab/>
      </w:r>
      <w:r w:rsidRPr="0085295D">
        <w:rPr>
          <w:bCs/>
          <w:sz w:val="24"/>
        </w:rPr>
        <w:tab/>
      </w:r>
      <w:r w:rsidRPr="0085295D">
        <w:rPr>
          <w:bCs/>
          <w:sz w:val="24"/>
        </w:rPr>
        <w:tab/>
      </w:r>
      <w:r w:rsidR="00F06866" w:rsidRPr="0085295D">
        <w:rPr>
          <w:bCs/>
          <w:sz w:val="24"/>
        </w:rPr>
        <w:t>[</w:t>
      </w:r>
      <w:r w:rsidR="0068797C" w:rsidRPr="0085295D">
        <w:rPr>
          <w:bCs/>
          <w:sz w:val="24"/>
        </w:rPr>
        <w:t>X</w:t>
      </w:r>
      <w:r w:rsidR="00F06866" w:rsidRPr="0085295D">
        <w:rPr>
          <w:bCs/>
          <w:sz w:val="24"/>
        </w:rPr>
        <w:t>] Other:</w:t>
      </w:r>
      <w:r w:rsidR="00D578C9" w:rsidRPr="0085295D">
        <w:rPr>
          <w:bCs/>
          <w:sz w:val="24"/>
        </w:rPr>
        <w:t xml:space="preserve"> </w:t>
      </w:r>
      <w:r w:rsidR="0068797C" w:rsidRPr="0085295D">
        <w:rPr>
          <w:bCs/>
          <w:sz w:val="24"/>
          <w:u w:val="single"/>
        </w:rPr>
        <w:t>Online Bulletin Board</w:t>
      </w:r>
    </w:p>
    <w:p w14:paraId="4519EE9A" w14:textId="77777777" w:rsidR="00FC291F" w:rsidRPr="0085295D" w:rsidRDefault="00FC291F" w:rsidP="00FC291F">
      <w:pPr>
        <w:pStyle w:val="Header"/>
        <w:tabs>
          <w:tab w:val="clear" w:pos="4320"/>
          <w:tab w:val="clear" w:pos="8640"/>
        </w:tabs>
        <w:rPr>
          <w:i/>
          <w:snapToGrid/>
        </w:rPr>
      </w:pPr>
    </w:p>
    <w:p w14:paraId="0EE36D87" w14:textId="77777777" w:rsidR="00D578C9" w:rsidRPr="00E37623" w:rsidRDefault="00810425">
      <w:r w:rsidRPr="0085295D">
        <w:t xml:space="preserve">An online bulletin board is similar to traditional focus groups in that it allows for a group of people to come together to have a moderated discussion about a topic. There are several advantages of conducting an online bulletin board versus in person focus groups. One key advantage of online bulletin boards is that they allow participants to be drawn from a nationwide audience. A second key advantage focuses on </w:t>
      </w:r>
      <w:r w:rsidR="000F4CA7" w:rsidRPr="0085295D">
        <w:t xml:space="preserve">lower </w:t>
      </w:r>
      <w:r w:rsidRPr="0085295D">
        <w:t>respondent time commitment and burden. Online bulletin boards require a time commitment of 15-20 minutes per day over the course of three days for a tot</w:t>
      </w:r>
      <w:r w:rsidR="000F4CA7" w:rsidRPr="0085295D">
        <w:t xml:space="preserve">al of 45-60 minutes. By comparison, </w:t>
      </w:r>
      <w:r w:rsidRPr="0085295D">
        <w:t xml:space="preserve">traditional focus </w:t>
      </w:r>
      <w:r w:rsidR="000F4CA7" w:rsidRPr="0085295D">
        <w:t>groups</w:t>
      </w:r>
      <w:r w:rsidRPr="0085295D">
        <w:t xml:space="preserve"> require </w:t>
      </w:r>
      <w:r w:rsidR="000F4CA7" w:rsidRPr="0085295D">
        <w:t>90-120 minutes</w:t>
      </w:r>
      <w:r w:rsidR="00F27336" w:rsidRPr="0085295D">
        <w:t>,</w:t>
      </w:r>
      <w:r w:rsidR="000F4CA7" w:rsidRPr="0085295D">
        <w:t xml:space="preserve"> plus travel time to and from a focus group facility for a total of up to </w:t>
      </w:r>
      <w:r w:rsidR="00F27336" w:rsidRPr="0085295D">
        <w:t>three</w:t>
      </w:r>
      <w:r w:rsidR="000F4CA7" w:rsidRPr="0085295D">
        <w:t xml:space="preserve"> </w:t>
      </w:r>
      <w:r w:rsidR="00702D36" w:rsidRPr="0085295D">
        <w:t>hours’ time</w:t>
      </w:r>
      <w:r w:rsidR="000F4CA7" w:rsidRPr="0085295D">
        <w:t xml:space="preserve"> per participant. While online bulletin board participants are required to log in to the bulletin board multiple times a day to react to other participant’s comments, the overall time commitment is substantially less for online bulletin boards when compared to traditional focus groups.</w:t>
      </w:r>
      <w:r w:rsidR="000F4CA7" w:rsidRPr="00FC2DD2">
        <w:t xml:space="preserve"> </w:t>
      </w:r>
    </w:p>
    <w:p w14:paraId="45ED96E1" w14:textId="77777777" w:rsidR="00224B6F" w:rsidRPr="009B576C" w:rsidRDefault="00224B6F">
      <w:pPr>
        <w:rPr>
          <w:b/>
        </w:rPr>
      </w:pPr>
    </w:p>
    <w:p w14:paraId="46C2107A" w14:textId="77777777" w:rsidR="00CA2650" w:rsidRPr="0085295D" w:rsidRDefault="00441434">
      <w:pPr>
        <w:rPr>
          <w:b/>
        </w:rPr>
      </w:pPr>
      <w:r w:rsidRPr="007569D5">
        <w:rPr>
          <w:b/>
        </w:rPr>
        <w:t>C</w:t>
      </w:r>
      <w:r w:rsidR="009C13B9" w:rsidRPr="007569D5">
        <w:rPr>
          <w:b/>
        </w:rPr>
        <w:t>ERTIFICATION:</w:t>
      </w:r>
    </w:p>
    <w:p w14:paraId="1DFEF0E3" w14:textId="77777777" w:rsidR="00441434" w:rsidRPr="0085295D" w:rsidRDefault="00441434">
      <w:pPr>
        <w:rPr>
          <w:sz w:val="16"/>
          <w:szCs w:val="16"/>
        </w:rPr>
      </w:pPr>
    </w:p>
    <w:p w14:paraId="586C02C4" w14:textId="77777777" w:rsidR="008101A5" w:rsidRPr="0085295D" w:rsidRDefault="008101A5" w:rsidP="008101A5">
      <w:r w:rsidRPr="0085295D">
        <w:t xml:space="preserve">I certify the following to be true: </w:t>
      </w:r>
    </w:p>
    <w:p w14:paraId="42B2EBED" w14:textId="77777777" w:rsidR="008101A5" w:rsidRPr="0085295D" w:rsidRDefault="008101A5" w:rsidP="008101A5">
      <w:pPr>
        <w:pStyle w:val="LightGrid-Accent31"/>
        <w:numPr>
          <w:ilvl w:val="0"/>
          <w:numId w:val="14"/>
        </w:numPr>
      </w:pPr>
      <w:r w:rsidRPr="0085295D">
        <w:t xml:space="preserve">The collection is voluntary. </w:t>
      </w:r>
    </w:p>
    <w:p w14:paraId="6511AAF4" w14:textId="77777777" w:rsidR="008101A5" w:rsidRPr="0085295D" w:rsidRDefault="008101A5" w:rsidP="008101A5">
      <w:pPr>
        <w:pStyle w:val="LightGrid-Accent31"/>
        <w:numPr>
          <w:ilvl w:val="0"/>
          <w:numId w:val="14"/>
        </w:numPr>
      </w:pPr>
      <w:r w:rsidRPr="0085295D">
        <w:t>The collection is low-burden for respondents and low-cost for the Federal Government.</w:t>
      </w:r>
    </w:p>
    <w:p w14:paraId="71D833E5" w14:textId="77777777" w:rsidR="008101A5" w:rsidRPr="0085295D" w:rsidRDefault="008101A5" w:rsidP="008101A5">
      <w:pPr>
        <w:pStyle w:val="LightGrid-Accent31"/>
        <w:numPr>
          <w:ilvl w:val="0"/>
          <w:numId w:val="14"/>
        </w:numPr>
      </w:pPr>
      <w:r w:rsidRPr="0085295D">
        <w:t xml:space="preserve">The collection is non-controversial and does </w:t>
      </w:r>
      <w:r w:rsidRPr="0085295D">
        <w:rPr>
          <w:u w:val="single"/>
        </w:rPr>
        <w:t>not</w:t>
      </w:r>
      <w:r w:rsidRPr="0085295D">
        <w:t xml:space="preserve"> raise issues of concern to other federal agencies.</w:t>
      </w:r>
      <w:r w:rsidRPr="0085295D">
        <w:tab/>
      </w:r>
      <w:r w:rsidRPr="0085295D">
        <w:tab/>
      </w:r>
      <w:r w:rsidRPr="0085295D">
        <w:tab/>
      </w:r>
      <w:r w:rsidRPr="0085295D">
        <w:tab/>
      </w:r>
      <w:r w:rsidRPr="0085295D">
        <w:tab/>
      </w:r>
      <w:r w:rsidRPr="0085295D">
        <w:tab/>
      </w:r>
      <w:r w:rsidRPr="0085295D">
        <w:tab/>
      </w:r>
      <w:r w:rsidRPr="0085295D">
        <w:tab/>
      </w:r>
      <w:r w:rsidRPr="0085295D">
        <w:tab/>
      </w:r>
    </w:p>
    <w:p w14:paraId="0E4BCF8E" w14:textId="77777777" w:rsidR="008101A5" w:rsidRPr="0085295D" w:rsidRDefault="008101A5" w:rsidP="008101A5">
      <w:pPr>
        <w:pStyle w:val="LightGrid-Accent31"/>
        <w:numPr>
          <w:ilvl w:val="0"/>
          <w:numId w:val="14"/>
        </w:numPr>
      </w:pPr>
      <w:r w:rsidRPr="0085295D">
        <w:t xml:space="preserve">The results are </w:t>
      </w:r>
      <w:r w:rsidRPr="0085295D">
        <w:rPr>
          <w:u w:val="single"/>
        </w:rPr>
        <w:t>not</w:t>
      </w:r>
      <w:r w:rsidRPr="0085295D">
        <w:t xml:space="preserve"> intended to be disseminated to the public.</w:t>
      </w:r>
      <w:r w:rsidRPr="0085295D">
        <w:tab/>
      </w:r>
      <w:r w:rsidRPr="0085295D">
        <w:tab/>
      </w:r>
    </w:p>
    <w:p w14:paraId="0D663BB4" w14:textId="77777777" w:rsidR="008101A5" w:rsidRPr="0085295D" w:rsidRDefault="008101A5" w:rsidP="008101A5">
      <w:pPr>
        <w:pStyle w:val="LightGrid-Accent31"/>
        <w:numPr>
          <w:ilvl w:val="0"/>
          <w:numId w:val="14"/>
        </w:numPr>
      </w:pPr>
      <w:r w:rsidRPr="0085295D">
        <w:t xml:space="preserve">Information gathered will not be used for the purpose of </w:t>
      </w:r>
      <w:r w:rsidRPr="0085295D">
        <w:rPr>
          <w:u w:val="single"/>
        </w:rPr>
        <w:t>substantially</w:t>
      </w:r>
      <w:r w:rsidRPr="0085295D">
        <w:t xml:space="preserve"> informing </w:t>
      </w:r>
      <w:r w:rsidRPr="0085295D">
        <w:rPr>
          <w:u w:val="single"/>
        </w:rPr>
        <w:t xml:space="preserve">influential </w:t>
      </w:r>
      <w:r w:rsidRPr="0085295D">
        <w:t xml:space="preserve">policy decisions. </w:t>
      </w:r>
    </w:p>
    <w:p w14:paraId="260D15F3" w14:textId="77777777" w:rsidR="008101A5" w:rsidRPr="0085295D" w:rsidRDefault="008101A5" w:rsidP="008101A5">
      <w:pPr>
        <w:pStyle w:val="LightGrid-Accent31"/>
        <w:numPr>
          <w:ilvl w:val="0"/>
          <w:numId w:val="14"/>
        </w:numPr>
      </w:pPr>
      <w:r w:rsidRPr="0085295D">
        <w:t>The collection is targeted to the solicitation of opinions from respondents who have experience with the program or may have experience with the program in the future.</w:t>
      </w:r>
    </w:p>
    <w:p w14:paraId="5F0FCF89" w14:textId="77777777" w:rsidR="009C13B9" w:rsidRPr="00FC2DD2" w:rsidRDefault="009C13B9" w:rsidP="009C13B9"/>
    <w:p w14:paraId="7C99A6D0" w14:textId="77777777" w:rsidR="009C13B9" w:rsidRPr="00E57F55" w:rsidRDefault="009C13B9" w:rsidP="009C13B9">
      <w:pPr>
        <w:rPr>
          <w:u w:val="single"/>
        </w:rPr>
      </w:pPr>
      <w:r w:rsidRPr="00E37623">
        <w:t>Name</w:t>
      </w:r>
      <w:r w:rsidR="00310D9E" w:rsidRPr="00E37623">
        <w:t>:</w:t>
      </w:r>
      <w:r w:rsidR="00310D9E">
        <w:t xml:space="preserve"> </w:t>
      </w:r>
      <w:r w:rsidR="00310D9E">
        <w:rPr>
          <w:u w:val="single"/>
        </w:rPr>
        <w:t>Susan McMeen</w:t>
      </w:r>
    </w:p>
    <w:p w14:paraId="2DA176EB" w14:textId="77777777" w:rsidR="009C13B9" w:rsidRPr="00FC2DD2" w:rsidRDefault="009C13B9" w:rsidP="009C13B9">
      <w:pPr>
        <w:pStyle w:val="LightGrid-Accent31"/>
        <w:ind w:left="360"/>
      </w:pPr>
    </w:p>
    <w:p w14:paraId="6B102576" w14:textId="77777777" w:rsidR="008407B0" w:rsidRDefault="008407B0" w:rsidP="009C13B9"/>
    <w:p w14:paraId="18F0C714" w14:textId="77777777" w:rsidR="008407B0" w:rsidRDefault="008407B0" w:rsidP="009C13B9"/>
    <w:p w14:paraId="18BE2B7A" w14:textId="77777777" w:rsidR="008407B0" w:rsidRDefault="008407B0" w:rsidP="009C13B9"/>
    <w:p w14:paraId="7A130F5E" w14:textId="77777777" w:rsidR="008407B0" w:rsidRDefault="008407B0" w:rsidP="009C13B9"/>
    <w:p w14:paraId="15BAADF5" w14:textId="77777777" w:rsidR="008407B0" w:rsidRDefault="008407B0" w:rsidP="009C13B9"/>
    <w:p w14:paraId="265BEADE" w14:textId="48418C93" w:rsidR="009C13B9" w:rsidRPr="009B576C" w:rsidRDefault="009C13B9" w:rsidP="009C13B9">
      <w:r w:rsidRPr="00E37623">
        <w:lastRenderedPageBreak/>
        <w:t>To assis</w:t>
      </w:r>
      <w:r w:rsidRPr="009B576C">
        <w:t>t review, please provide answers to the following question:</w:t>
      </w:r>
    </w:p>
    <w:p w14:paraId="2F4E03CB" w14:textId="77777777" w:rsidR="009C13B9" w:rsidRPr="009B576C" w:rsidRDefault="009C13B9" w:rsidP="009C13B9">
      <w:pPr>
        <w:pStyle w:val="LightGrid-Accent31"/>
        <w:ind w:left="360"/>
      </w:pPr>
    </w:p>
    <w:p w14:paraId="5EF43E9D" w14:textId="77777777" w:rsidR="009C13B9" w:rsidRPr="007569D5" w:rsidRDefault="00C86E91" w:rsidP="00C86E91">
      <w:pPr>
        <w:rPr>
          <w:b/>
        </w:rPr>
      </w:pPr>
      <w:r w:rsidRPr="007569D5">
        <w:rPr>
          <w:b/>
        </w:rPr>
        <w:t>Personally Identifiable Information:</w:t>
      </w:r>
    </w:p>
    <w:p w14:paraId="5B12EBE5" w14:textId="77777777" w:rsidR="00C86E91" w:rsidRPr="0085295D" w:rsidRDefault="009C13B9" w:rsidP="00C86E91">
      <w:pPr>
        <w:pStyle w:val="LightGrid-Accent31"/>
        <w:numPr>
          <w:ilvl w:val="0"/>
          <w:numId w:val="18"/>
        </w:numPr>
      </w:pPr>
      <w:r w:rsidRPr="0085295D">
        <w:t>Is</w:t>
      </w:r>
      <w:r w:rsidR="00237B48" w:rsidRPr="0085295D">
        <w:t xml:space="preserve"> personally identifiable information (PII) collected</w:t>
      </w:r>
      <w:r w:rsidRPr="0085295D">
        <w:t xml:space="preserve">? </w:t>
      </w:r>
      <w:r w:rsidR="009239AA" w:rsidRPr="0085295D">
        <w:t>[</w:t>
      </w:r>
      <w:r w:rsidR="0068797C" w:rsidRPr="0085295D">
        <w:t>X</w:t>
      </w:r>
      <w:r w:rsidR="009239AA" w:rsidRPr="0085295D">
        <w:t xml:space="preserve">] Yes  [ ]  No </w:t>
      </w:r>
    </w:p>
    <w:p w14:paraId="7FF08861" w14:textId="77777777" w:rsidR="0068797C" w:rsidRPr="0085295D" w:rsidRDefault="0068797C" w:rsidP="0068797C">
      <w:pPr>
        <w:pStyle w:val="LightGrid-Accent31"/>
        <w:ind w:left="360"/>
      </w:pPr>
      <w:r w:rsidRPr="0085295D">
        <w:t xml:space="preserve">The </w:t>
      </w:r>
      <w:r w:rsidR="00310D9E" w:rsidRPr="0085295D">
        <w:t>third-party</w:t>
      </w:r>
      <w:r w:rsidRPr="0085295D">
        <w:t xml:space="preserve"> vendor collects information from the research participants in order to p</w:t>
      </w:r>
      <w:r w:rsidR="00D578C9" w:rsidRPr="0085295D">
        <w:t xml:space="preserve">rovide them with the incentive. No PII is reported to NHTSA. </w:t>
      </w:r>
      <w:r w:rsidRPr="0085295D">
        <w:t>No responses will be connected to individual respondents; only aggregate data will be reported.</w:t>
      </w:r>
    </w:p>
    <w:p w14:paraId="49ACE96C" w14:textId="77777777" w:rsidR="00C86E91" w:rsidRPr="0085295D" w:rsidRDefault="009C13B9" w:rsidP="00C86E91">
      <w:pPr>
        <w:pStyle w:val="LightGrid-Accent31"/>
        <w:numPr>
          <w:ilvl w:val="0"/>
          <w:numId w:val="18"/>
        </w:numPr>
      </w:pPr>
      <w:r w:rsidRPr="0085295D">
        <w:t xml:space="preserve">If </w:t>
      </w:r>
      <w:r w:rsidR="009239AA" w:rsidRPr="0085295D">
        <w:t>Yes,</w:t>
      </w:r>
      <w:r w:rsidRPr="0085295D">
        <w:t xml:space="preserve"> </w:t>
      </w:r>
      <w:r w:rsidR="002B34CD" w:rsidRPr="0085295D">
        <w:t>will any</w:t>
      </w:r>
      <w:r w:rsidR="009239AA" w:rsidRPr="0085295D">
        <w:t xml:space="preserve"> information that</w:t>
      </w:r>
      <w:r w:rsidR="002B34CD" w:rsidRPr="0085295D">
        <w:t xml:space="preserve"> is collected</w:t>
      </w:r>
      <w:r w:rsidR="009239AA" w:rsidRPr="0085295D">
        <w:t xml:space="preserve"> be included in records that are subject to the Pr</w:t>
      </w:r>
      <w:r w:rsidR="00D578C9" w:rsidRPr="0085295D">
        <w:t>ivacy Act of 1974? [  ] Yes [</w:t>
      </w:r>
      <w:r w:rsidR="00D858A2" w:rsidRPr="0085295D">
        <w:t>X</w:t>
      </w:r>
      <w:r w:rsidR="009239AA" w:rsidRPr="0085295D">
        <w:t>] No</w:t>
      </w:r>
      <w:r w:rsidR="00C86E91" w:rsidRPr="0085295D">
        <w:t xml:space="preserve">   </w:t>
      </w:r>
    </w:p>
    <w:p w14:paraId="0983BB90" w14:textId="77777777" w:rsidR="00C86E91" w:rsidRPr="0085295D" w:rsidRDefault="00C86E91" w:rsidP="00C86E91">
      <w:pPr>
        <w:pStyle w:val="LightGrid-Accent31"/>
        <w:numPr>
          <w:ilvl w:val="0"/>
          <w:numId w:val="18"/>
        </w:numPr>
      </w:pPr>
      <w:r w:rsidRPr="0085295D">
        <w:t xml:space="preserve">If </w:t>
      </w:r>
      <w:r w:rsidR="002B34CD" w:rsidRPr="0085295D">
        <w:t>Yes</w:t>
      </w:r>
      <w:r w:rsidRPr="0085295D">
        <w:t>, has a</w:t>
      </w:r>
      <w:r w:rsidR="002B34CD" w:rsidRPr="0085295D">
        <w:t>n up-to-date</w:t>
      </w:r>
      <w:r w:rsidRPr="0085295D">
        <w:t xml:space="preserve"> System o</w:t>
      </w:r>
      <w:r w:rsidR="002B34CD" w:rsidRPr="0085295D">
        <w:t>f</w:t>
      </w:r>
      <w:r w:rsidRPr="0085295D">
        <w:t xml:space="preserve"> Records Notice</w:t>
      </w:r>
      <w:r w:rsidR="002B34CD" w:rsidRPr="0085295D">
        <w:t xml:space="preserve"> (SORN)</w:t>
      </w:r>
      <w:r w:rsidR="00D578C9" w:rsidRPr="0085295D">
        <w:t xml:space="preserve"> been published? [  ] Yes  [</w:t>
      </w:r>
      <w:r w:rsidR="00D858A2" w:rsidRPr="0085295D">
        <w:t>X</w:t>
      </w:r>
      <w:r w:rsidRPr="0085295D">
        <w:t>] No</w:t>
      </w:r>
    </w:p>
    <w:p w14:paraId="1DBF494C" w14:textId="77777777" w:rsidR="00CF6542" w:rsidRPr="00FC2DD2" w:rsidRDefault="00CF6542" w:rsidP="00C86E91">
      <w:pPr>
        <w:pStyle w:val="LightGrid-Accent31"/>
        <w:ind w:left="0"/>
        <w:rPr>
          <w:b/>
        </w:rPr>
      </w:pPr>
    </w:p>
    <w:p w14:paraId="4E6BB51C" w14:textId="77777777" w:rsidR="00C86E91" w:rsidRPr="009B576C" w:rsidRDefault="00BD1765" w:rsidP="00C86E91">
      <w:pPr>
        <w:pStyle w:val="LightGrid-Accent31"/>
        <w:ind w:left="0"/>
        <w:rPr>
          <w:b/>
        </w:rPr>
      </w:pPr>
      <w:r>
        <w:rPr>
          <w:b/>
        </w:rPr>
        <w:br w:type="page"/>
      </w:r>
      <w:r w:rsidR="00CB1078" w:rsidRPr="00E37623">
        <w:rPr>
          <w:b/>
        </w:rPr>
        <w:t>Gifts or Payments</w:t>
      </w:r>
      <w:r w:rsidR="00C86E91" w:rsidRPr="009B576C">
        <w:rPr>
          <w:b/>
        </w:rPr>
        <w:t>:</w:t>
      </w:r>
    </w:p>
    <w:p w14:paraId="150FDE79" w14:textId="77777777" w:rsidR="00C86E91" w:rsidRPr="0085295D" w:rsidRDefault="00C86E91" w:rsidP="00C86E91">
      <w:r w:rsidRPr="0085295D">
        <w:t>Is an incentive (e.g., money or reimbursement of expenses, token of appreciatio</w:t>
      </w:r>
      <w:r w:rsidR="00D578C9" w:rsidRPr="0085295D">
        <w:t>n) provided to participants? [</w:t>
      </w:r>
      <w:r w:rsidR="00D858A2" w:rsidRPr="0085295D">
        <w:t>X</w:t>
      </w:r>
      <w:r w:rsidRPr="0085295D">
        <w:t xml:space="preserve">] Yes [  ] No  </w:t>
      </w:r>
    </w:p>
    <w:p w14:paraId="1CD67FA2" w14:textId="77777777" w:rsidR="00C86E91" w:rsidRPr="00FC2DD2" w:rsidRDefault="00D858A2">
      <w:r w:rsidRPr="0085295D">
        <w:t>It is standard practice to provide a basic incentive in order to avoid bias of receiving responses only from individuals generally predisposed</w:t>
      </w:r>
      <w:r w:rsidR="00D578C9" w:rsidRPr="0085295D">
        <w:t xml:space="preserve"> to be helpful.</w:t>
      </w:r>
      <w:r w:rsidRPr="0085295D">
        <w:t xml:space="preserve"> Participants in this research will not be offered incentiv</w:t>
      </w:r>
      <w:r w:rsidR="00D578C9" w:rsidRPr="0085295D">
        <w:t xml:space="preserve">es provided directly by NHTSA. </w:t>
      </w:r>
      <w:r w:rsidRPr="0085295D">
        <w:t xml:space="preserve">The third-party vendor will fulfill incentives at the </w:t>
      </w:r>
      <w:r w:rsidR="00353E39" w:rsidRPr="0085295D">
        <w:t xml:space="preserve">standard </w:t>
      </w:r>
      <w:r w:rsidRPr="0085295D">
        <w:t>rate of $</w:t>
      </w:r>
      <w:r w:rsidR="007D6AE9" w:rsidRPr="0085295D">
        <w:t>75</w:t>
      </w:r>
      <w:r w:rsidRPr="0085295D">
        <w:t xml:space="preserve"> for each pa</w:t>
      </w:r>
      <w:r w:rsidR="00593EB8" w:rsidRPr="0085295D">
        <w:t>rticipant</w:t>
      </w:r>
      <w:r w:rsidRPr="0085295D">
        <w:t>.</w:t>
      </w:r>
    </w:p>
    <w:p w14:paraId="6BEB1BC0" w14:textId="77777777" w:rsidR="00C86E91" w:rsidRPr="00E37623" w:rsidRDefault="00C86E91">
      <w:pPr>
        <w:rPr>
          <w:b/>
        </w:rPr>
      </w:pPr>
    </w:p>
    <w:p w14:paraId="359493E7" w14:textId="77777777" w:rsidR="005E714A" w:rsidRPr="009B576C" w:rsidRDefault="005E714A" w:rsidP="00C86E91">
      <w:pPr>
        <w:rPr>
          <w:i/>
        </w:rPr>
      </w:pPr>
      <w:r w:rsidRPr="009B576C">
        <w:rPr>
          <w:b/>
        </w:rPr>
        <w:t>BURDEN HOUR</w:t>
      </w:r>
      <w:r w:rsidR="00441434" w:rsidRPr="009B576C">
        <w:rPr>
          <w:b/>
        </w:rPr>
        <w:t>S</w:t>
      </w:r>
      <w:r w:rsidRPr="009B576C">
        <w:t xml:space="preserve"> </w:t>
      </w:r>
    </w:p>
    <w:p w14:paraId="1FFAE833" w14:textId="77777777" w:rsidR="00F3170F" w:rsidRPr="0085295D" w:rsidRDefault="00F3170F" w:rsidP="00F3170F"/>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710"/>
        <w:gridCol w:w="1620"/>
        <w:gridCol w:w="1530"/>
      </w:tblGrid>
      <w:tr w:rsidR="00A51455" w14:paraId="6EACDE94" w14:textId="77777777" w:rsidTr="002D7D32">
        <w:trPr>
          <w:trHeight w:val="274"/>
        </w:trPr>
        <w:tc>
          <w:tcPr>
            <w:tcW w:w="5148" w:type="dxa"/>
          </w:tcPr>
          <w:p w14:paraId="77AAB9DA" w14:textId="77777777" w:rsidR="00A51455" w:rsidRDefault="00A51455" w:rsidP="00863F70">
            <w:pPr>
              <w:rPr>
                <w:color w:val="000000"/>
              </w:rPr>
            </w:pPr>
            <w:r>
              <w:rPr>
                <w:b/>
                <w:bCs/>
                <w:color w:val="000000"/>
              </w:rPr>
              <w:t xml:space="preserve">Category of Respondent </w:t>
            </w:r>
          </w:p>
        </w:tc>
        <w:tc>
          <w:tcPr>
            <w:tcW w:w="1710" w:type="dxa"/>
          </w:tcPr>
          <w:p w14:paraId="6BA8CB6A" w14:textId="77777777" w:rsidR="00A51455" w:rsidRDefault="00A51455" w:rsidP="00863F70">
            <w:pPr>
              <w:rPr>
                <w:rFonts w:ascii="Calibri" w:hAnsi="Calibri" w:cs="Calibri"/>
                <w:color w:val="000000"/>
                <w:sz w:val="22"/>
                <w:szCs w:val="22"/>
              </w:rPr>
            </w:pPr>
            <w:r>
              <w:rPr>
                <w:b/>
                <w:bCs/>
                <w:color w:val="000000"/>
              </w:rPr>
              <w:t>No. of Respondents</w:t>
            </w:r>
          </w:p>
        </w:tc>
        <w:tc>
          <w:tcPr>
            <w:tcW w:w="1620" w:type="dxa"/>
          </w:tcPr>
          <w:p w14:paraId="45909F03" w14:textId="77777777" w:rsidR="00A51455" w:rsidRDefault="00A51455" w:rsidP="00863F70">
            <w:pPr>
              <w:rPr>
                <w:color w:val="000000"/>
              </w:rPr>
            </w:pPr>
            <w:r>
              <w:rPr>
                <w:b/>
                <w:bCs/>
                <w:color w:val="000000"/>
              </w:rPr>
              <w:t>Participation Time</w:t>
            </w:r>
          </w:p>
        </w:tc>
        <w:tc>
          <w:tcPr>
            <w:tcW w:w="1530" w:type="dxa"/>
          </w:tcPr>
          <w:p w14:paraId="58311985" w14:textId="77777777" w:rsidR="00A51455" w:rsidRDefault="00A51455" w:rsidP="00863F70">
            <w:pPr>
              <w:rPr>
                <w:color w:val="000000"/>
              </w:rPr>
            </w:pPr>
            <w:r>
              <w:rPr>
                <w:b/>
                <w:bCs/>
                <w:color w:val="000000"/>
              </w:rPr>
              <w:t>Burden</w:t>
            </w:r>
          </w:p>
        </w:tc>
      </w:tr>
      <w:tr w:rsidR="00A51455" w14:paraId="1027C45B" w14:textId="77777777" w:rsidTr="002D7D32">
        <w:trPr>
          <w:trHeight w:val="274"/>
        </w:trPr>
        <w:tc>
          <w:tcPr>
            <w:tcW w:w="5148" w:type="dxa"/>
          </w:tcPr>
          <w:p w14:paraId="78E3B6BE" w14:textId="77777777" w:rsidR="00A51455" w:rsidRDefault="00A51455" w:rsidP="00863F70">
            <w:pPr>
              <w:rPr>
                <w:color w:val="000000"/>
              </w:rPr>
            </w:pPr>
            <w:r>
              <w:rPr>
                <w:b/>
                <w:bCs/>
                <w:color w:val="000000"/>
              </w:rPr>
              <w:t>Pre-screen completes</w:t>
            </w:r>
          </w:p>
        </w:tc>
        <w:tc>
          <w:tcPr>
            <w:tcW w:w="1710" w:type="dxa"/>
          </w:tcPr>
          <w:p w14:paraId="52E69547" w14:textId="77777777" w:rsidR="00A51455" w:rsidRDefault="00BD1765" w:rsidP="00863F70">
            <w:pPr>
              <w:rPr>
                <w:color w:val="000000"/>
              </w:rPr>
            </w:pPr>
            <w:r>
              <w:rPr>
                <w:color w:val="000000"/>
              </w:rPr>
              <w:t>2</w:t>
            </w:r>
            <w:r w:rsidR="002D7D32">
              <w:rPr>
                <w:color w:val="000000"/>
              </w:rPr>
              <w:t>0</w:t>
            </w:r>
            <w:r>
              <w:rPr>
                <w:color w:val="000000"/>
              </w:rPr>
              <w:t>00</w:t>
            </w:r>
          </w:p>
        </w:tc>
        <w:tc>
          <w:tcPr>
            <w:tcW w:w="1620" w:type="dxa"/>
          </w:tcPr>
          <w:p w14:paraId="72F9A12D" w14:textId="77777777" w:rsidR="00A51455" w:rsidRDefault="00E07539" w:rsidP="00863F70">
            <w:pPr>
              <w:rPr>
                <w:color w:val="000000"/>
              </w:rPr>
            </w:pPr>
            <w:r>
              <w:rPr>
                <w:color w:val="000000"/>
              </w:rPr>
              <w:t>3.0</w:t>
            </w:r>
            <w:r w:rsidR="00A51455">
              <w:rPr>
                <w:color w:val="000000"/>
              </w:rPr>
              <w:t xml:space="preserve"> minutes</w:t>
            </w:r>
          </w:p>
        </w:tc>
        <w:tc>
          <w:tcPr>
            <w:tcW w:w="1530" w:type="dxa"/>
          </w:tcPr>
          <w:p w14:paraId="6DA93A20" w14:textId="77777777" w:rsidR="00A51455" w:rsidRDefault="004A75F7" w:rsidP="00863F70">
            <w:pPr>
              <w:rPr>
                <w:color w:val="000000"/>
              </w:rPr>
            </w:pPr>
            <w:r>
              <w:rPr>
                <w:color w:val="000000"/>
              </w:rPr>
              <w:t>1</w:t>
            </w:r>
            <w:r w:rsidR="002D7D32">
              <w:rPr>
                <w:color w:val="000000"/>
              </w:rPr>
              <w:t>00</w:t>
            </w:r>
            <w:r>
              <w:rPr>
                <w:color w:val="000000"/>
              </w:rPr>
              <w:t xml:space="preserve"> </w:t>
            </w:r>
            <w:r w:rsidR="00A51455">
              <w:rPr>
                <w:color w:val="000000"/>
              </w:rPr>
              <w:t>hours</w:t>
            </w:r>
          </w:p>
        </w:tc>
      </w:tr>
      <w:tr w:rsidR="00A51455" w14:paraId="1213FD74" w14:textId="77777777" w:rsidTr="002D7D32">
        <w:trPr>
          <w:trHeight w:val="274"/>
        </w:trPr>
        <w:tc>
          <w:tcPr>
            <w:tcW w:w="5148" w:type="dxa"/>
          </w:tcPr>
          <w:p w14:paraId="60A48BBB" w14:textId="77777777" w:rsidR="00A51455" w:rsidRDefault="00A51455" w:rsidP="00863F70">
            <w:pPr>
              <w:rPr>
                <w:color w:val="000000"/>
              </w:rPr>
            </w:pPr>
            <w:r>
              <w:rPr>
                <w:b/>
                <w:bCs/>
                <w:color w:val="000000"/>
              </w:rPr>
              <w:t>Validation screener</w:t>
            </w:r>
          </w:p>
        </w:tc>
        <w:tc>
          <w:tcPr>
            <w:tcW w:w="1710" w:type="dxa"/>
          </w:tcPr>
          <w:p w14:paraId="23917960" w14:textId="77777777" w:rsidR="00A51455" w:rsidRDefault="002D7D32" w:rsidP="00863F70">
            <w:pPr>
              <w:rPr>
                <w:color w:val="000000"/>
              </w:rPr>
            </w:pPr>
            <w:r>
              <w:rPr>
                <w:color w:val="000000"/>
              </w:rPr>
              <w:t>200</w:t>
            </w:r>
          </w:p>
        </w:tc>
        <w:tc>
          <w:tcPr>
            <w:tcW w:w="1620" w:type="dxa"/>
          </w:tcPr>
          <w:p w14:paraId="1EEA15B1" w14:textId="77777777" w:rsidR="00A51455" w:rsidRDefault="00A51455" w:rsidP="00863F70">
            <w:pPr>
              <w:rPr>
                <w:color w:val="000000"/>
              </w:rPr>
            </w:pPr>
            <w:r>
              <w:rPr>
                <w:color w:val="000000"/>
              </w:rPr>
              <w:t>1.5 minutes</w:t>
            </w:r>
          </w:p>
        </w:tc>
        <w:tc>
          <w:tcPr>
            <w:tcW w:w="1530" w:type="dxa"/>
          </w:tcPr>
          <w:p w14:paraId="154EFB86" w14:textId="77777777" w:rsidR="00A51455" w:rsidRDefault="002D7D32" w:rsidP="00863F70">
            <w:pPr>
              <w:rPr>
                <w:color w:val="000000"/>
              </w:rPr>
            </w:pPr>
            <w:r>
              <w:rPr>
                <w:color w:val="000000"/>
              </w:rPr>
              <w:t>5</w:t>
            </w:r>
            <w:r w:rsidR="004A75F7">
              <w:rPr>
                <w:color w:val="000000"/>
              </w:rPr>
              <w:t xml:space="preserve"> </w:t>
            </w:r>
            <w:r w:rsidR="00A51455">
              <w:t>hours</w:t>
            </w:r>
          </w:p>
        </w:tc>
      </w:tr>
      <w:tr w:rsidR="00A51455" w14:paraId="2A171941" w14:textId="77777777" w:rsidTr="002D7D32">
        <w:trPr>
          <w:trHeight w:val="274"/>
        </w:trPr>
        <w:tc>
          <w:tcPr>
            <w:tcW w:w="5148" w:type="dxa"/>
          </w:tcPr>
          <w:p w14:paraId="23EF0057" w14:textId="77777777" w:rsidR="00A51455" w:rsidRDefault="00AF6F2D" w:rsidP="00863F70">
            <w:pPr>
              <w:rPr>
                <w:color w:val="000000"/>
              </w:rPr>
            </w:pPr>
            <w:r>
              <w:rPr>
                <w:b/>
                <w:bCs/>
                <w:color w:val="000000"/>
              </w:rPr>
              <w:t>General population</w:t>
            </w:r>
            <w:r w:rsidR="00A51455">
              <w:rPr>
                <w:b/>
                <w:bCs/>
                <w:color w:val="000000"/>
              </w:rPr>
              <w:t xml:space="preserve"> group</w:t>
            </w:r>
            <w:r w:rsidR="00F17B10">
              <w:t xml:space="preserve"> </w:t>
            </w:r>
            <w:r w:rsidRPr="0085295D">
              <w:t>(National general audience)</w:t>
            </w:r>
          </w:p>
        </w:tc>
        <w:tc>
          <w:tcPr>
            <w:tcW w:w="1710" w:type="dxa"/>
          </w:tcPr>
          <w:p w14:paraId="22ECE219" w14:textId="77777777" w:rsidR="00A51455" w:rsidRDefault="002D7D32" w:rsidP="00863F70">
            <w:pPr>
              <w:rPr>
                <w:color w:val="000000"/>
              </w:rPr>
            </w:pPr>
            <w:r>
              <w:rPr>
                <w:color w:val="000000"/>
              </w:rPr>
              <w:t>70</w:t>
            </w:r>
          </w:p>
        </w:tc>
        <w:tc>
          <w:tcPr>
            <w:tcW w:w="1620" w:type="dxa"/>
          </w:tcPr>
          <w:p w14:paraId="74AAA069" w14:textId="77777777" w:rsidR="00A51455" w:rsidRDefault="00F17B10" w:rsidP="00863F70">
            <w:pPr>
              <w:rPr>
                <w:color w:val="000000"/>
              </w:rPr>
            </w:pPr>
            <w:r>
              <w:rPr>
                <w:color w:val="000000"/>
              </w:rPr>
              <w:t>60</w:t>
            </w:r>
            <w:r w:rsidR="00BD1765">
              <w:rPr>
                <w:color w:val="000000"/>
              </w:rPr>
              <w:t xml:space="preserve"> </w:t>
            </w:r>
            <w:r w:rsidR="00A51455">
              <w:rPr>
                <w:color w:val="000000"/>
              </w:rPr>
              <w:t>minutes</w:t>
            </w:r>
          </w:p>
        </w:tc>
        <w:tc>
          <w:tcPr>
            <w:tcW w:w="1530" w:type="dxa"/>
          </w:tcPr>
          <w:p w14:paraId="50D8D959" w14:textId="77777777" w:rsidR="00A51455" w:rsidRDefault="002D7D32" w:rsidP="00863F70">
            <w:pPr>
              <w:rPr>
                <w:color w:val="000000"/>
              </w:rPr>
            </w:pPr>
            <w:r>
              <w:rPr>
                <w:color w:val="000000"/>
              </w:rPr>
              <w:t>70</w:t>
            </w:r>
            <w:r w:rsidR="004A75F7">
              <w:rPr>
                <w:color w:val="000000"/>
              </w:rPr>
              <w:t xml:space="preserve"> </w:t>
            </w:r>
            <w:r w:rsidR="00A51455">
              <w:rPr>
                <w:color w:val="000000"/>
              </w:rPr>
              <w:t>hours</w:t>
            </w:r>
          </w:p>
        </w:tc>
      </w:tr>
      <w:tr w:rsidR="00A51455" w14:paraId="376E19BE" w14:textId="77777777" w:rsidTr="002D7D32">
        <w:trPr>
          <w:trHeight w:val="274"/>
        </w:trPr>
        <w:tc>
          <w:tcPr>
            <w:tcW w:w="5148" w:type="dxa"/>
          </w:tcPr>
          <w:p w14:paraId="533097FF" w14:textId="77777777" w:rsidR="00A51455" w:rsidRDefault="00BD1765" w:rsidP="00863F70">
            <w:pPr>
              <w:rPr>
                <w:color w:val="000000"/>
              </w:rPr>
            </w:pPr>
            <w:r>
              <w:rPr>
                <w:b/>
                <w:bCs/>
                <w:color w:val="000000"/>
              </w:rPr>
              <w:t xml:space="preserve">Hispanic </w:t>
            </w:r>
            <w:r w:rsidR="00A51455">
              <w:rPr>
                <w:b/>
                <w:bCs/>
                <w:color w:val="000000"/>
              </w:rPr>
              <w:t>group</w:t>
            </w:r>
            <w:r w:rsidR="00A51455">
              <w:rPr>
                <w:color w:val="000000"/>
              </w:rPr>
              <w:t xml:space="preserve"> (</w:t>
            </w:r>
            <w:r>
              <w:t>Hispanic vehicle owners,</w:t>
            </w:r>
            <w:r w:rsidRPr="0085295D">
              <w:t xml:space="preserve"> </w:t>
            </w:r>
            <w:r>
              <w:t>ages 18+ who speak Spanish in their home</w:t>
            </w:r>
            <w:r w:rsidR="00A51455">
              <w:rPr>
                <w:color w:val="000000"/>
              </w:rPr>
              <w:t>)</w:t>
            </w:r>
          </w:p>
        </w:tc>
        <w:tc>
          <w:tcPr>
            <w:tcW w:w="1710" w:type="dxa"/>
          </w:tcPr>
          <w:p w14:paraId="0A43F31F" w14:textId="77777777" w:rsidR="00A51455" w:rsidRDefault="002D7D32" w:rsidP="00863F70">
            <w:pPr>
              <w:rPr>
                <w:color w:val="000000"/>
              </w:rPr>
            </w:pPr>
            <w:r>
              <w:rPr>
                <w:color w:val="000000"/>
              </w:rPr>
              <w:t>35</w:t>
            </w:r>
          </w:p>
        </w:tc>
        <w:tc>
          <w:tcPr>
            <w:tcW w:w="1620" w:type="dxa"/>
          </w:tcPr>
          <w:p w14:paraId="6BD2ABCC" w14:textId="77777777" w:rsidR="00A51455" w:rsidRDefault="00F17B10" w:rsidP="00863F70">
            <w:pPr>
              <w:rPr>
                <w:color w:val="000000"/>
              </w:rPr>
            </w:pPr>
            <w:r>
              <w:rPr>
                <w:color w:val="000000"/>
              </w:rPr>
              <w:t>60</w:t>
            </w:r>
            <w:r w:rsidR="00BD1765">
              <w:rPr>
                <w:color w:val="000000"/>
              </w:rPr>
              <w:t xml:space="preserve"> </w:t>
            </w:r>
            <w:r w:rsidR="00A51455">
              <w:rPr>
                <w:color w:val="000000"/>
              </w:rPr>
              <w:t>minutes</w:t>
            </w:r>
          </w:p>
        </w:tc>
        <w:tc>
          <w:tcPr>
            <w:tcW w:w="1530" w:type="dxa"/>
          </w:tcPr>
          <w:p w14:paraId="0C15B284" w14:textId="77777777" w:rsidR="00A51455" w:rsidRDefault="002D7D32" w:rsidP="00863F70">
            <w:pPr>
              <w:rPr>
                <w:color w:val="000000"/>
              </w:rPr>
            </w:pPr>
            <w:r>
              <w:rPr>
                <w:color w:val="000000"/>
              </w:rPr>
              <w:t>35</w:t>
            </w:r>
            <w:r w:rsidR="004A75F7">
              <w:rPr>
                <w:color w:val="000000"/>
              </w:rPr>
              <w:t xml:space="preserve"> </w:t>
            </w:r>
            <w:r w:rsidR="00A51455">
              <w:rPr>
                <w:color w:val="000000"/>
              </w:rPr>
              <w:t>hours</w:t>
            </w:r>
          </w:p>
        </w:tc>
      </w:tr>
      <w:tr w:rsidR="00BD1765" w14:paraId="52449E83" w14:textId="77777777" w:rsidTr="002D7D32">
        <w:trPr>
          <w:trHeight w:val="274"/>
        </w:trPr>
        <w:tc>
          <w:tcPr>
            <w:tcW w:w="5148" w:type="dxa"/>
          </w:tcPr>
          <w:p w14:paraId="15DE52CF" w14:textId="77777777" w:rsidR="00BD1765" w:rsidRPr="002D7D32" w:rsidDel="00BD1765" w:rsidRDefault="00BD1765" w:rsidP="00863F70">
            <w:r>
              <w:rPr>
                <w:b/>
                <w:bCs/>
                <w:color w:val="000000"/>
              </w:rPr>
              <w:t xml:space="preserve">Takata group </w:t>
            </w:r>
            <w:r w:rsidRPr="002D7D32">
              <w:rPr>
                <w:bCs/>
                <w:color w:val="000000"/>
              </w:rPr>
              <w:t>(</w:t>
            </w:r>
            <w:r w:rsidRPr="00BD1765">
              <w:t xml:space="preserve">Owners of vehicles impacted by the Takata </w:t>
            </w:r>
            <w:r w:rsidR="000B7868">
              <w:t>a</w:t>
            </w:r>
            <w:r w:rsidRPr="00BD1765">
              <w:t>ir</w:t>
            </w:r>
            <w:r w:rsidR="000B7868">
              <w:t xml:space="preserve"> </w:t>
            </w:r>
            <w:r w:rsidRPr="00BD1765">
              <w:t>bag recall ages 18+.</w:t>
            </w:r>
            <w:r w:rsidRPr="002D7D32">
              <w:rPr>
                <w:bCs/>
                <w:color w:val="000000"/>
              </w:rPr>
              <w:t>)</w:t>
            </w:r>
          </w:p>
        </w:tc>
        <w:tc>
          <w:tcPr>
            <w:tcW w:w="1710" w:type="dxa"/>
          </w:tcPr>
          <w:p w14:paraId="0D1B9F4D" w14:textId="77777777" w:rsidR="00BD1765" w:rsidDel="00BD1765" w:rsidRDefault="002D7D32" w:rsidP="00863F70">
            <w:pPr>
              <w:rPr>
                <w:color w:val="000000"/>
              </w:rPr>
            </w:pPr>
            <w:r>
              <w:rPr>
                <w:color w:val="000000"/>
              </w:rPr>
              <w:t>70</w:t>
            </w:r>
          </w:p>
        </w:tc>
        <w:tc>
          <w:tcPr>
            <w:tcW w:w="1620" w:type="dxa"/>
          </w:tcPr>
          <w:p w14:paraId="77BB071D" w14:textId="77777777" w:rsidR="00BD1765" w:rsidDel="00BD1765" w:rsidRDefault="00F17B10" w:rsidP="00863F70">
            <w:pPr>
              <w:rPr>
                <w:color w:val="000000"/>
              </w:rPr>
            </w:pPr>
            <w:r>
              <w:rPr>
                <w:color w:val="000000"/>
              </w:rPr>
              <w:t>60</w:t>
            </w:r>
            <w:r w:rsidR="00BD1765">
              <w:rPr>
                <w:color w:val="000000"/>
              </w:rPr>
              <w:t xml:space="preserve"> minutes</w:t>
            </w:r>
          </w:p>
        </w:tc>
        <w:tc>
          <w:tcPr>
            <w:tcW w:w="1530" w:type="dxa"/>
          </w:tcPr>
          <w:p w14:paraId="5D0CE1F0" w14:textId="77777777" w:rsidR="00BD1765" w:rsidDel="00BD1765" w:rsidRDefault="002D7D32" w:rsidP="00863F70">
            <w:pPr>
              <w:rPr>
                <w:color w:val="000000"/>
              </w:rPr>
            </w:pPr>
            <w:r>
              <w:rPr>
                <w:color w:val="000000"/>
              </w:rPr>
              <w:t>70</w:t>
            </w:r>
            <w:r w:rsidR="004A75F7">
              <w:rPr>
                <w:color w:val="000000"/>
              </w:rPr>
              <w:t xml:space="preserve"> hours</w:t>
            </w:r>
          </w:p>
        </w:tc>
      </w:tr>
      <w:tr w:rsidR="00A51455" w14:paraId="39D36659" w14:textId="77777777" w:rsidTr="002D7D32">
        <w:trPr>
          <w:trHeight w:val="289"/>
        </w:trPr>
        <w:tc>
          <w:tcPr>
            <w:tcW w:w="8478" w:type="dxa"/>
            <w:gridSpan w:val="3"/>
          </w:tcPr>
          <w:p w14:paraId="2D81D7C4" w14:textId="77777777" w:rsidR="00A51455" w:rsidRDefault="00A51455" w:rsidP="00863F70">
            <w:pPr>
              <w:rPr>
                <w:color w:val="000000"/>
              </w:rPr>
            </w:pPr>
            <w:r>
              <w:rPr>
                <w:b/>
                <w:bCs/>
                <w:color w:val="000000"/>
              </w:rPr>
              <w:t>GRAND TOTAL BURDEN HOURS</w:t>
            </w:r>
          </w:p>
        </w:tc>
        <w:tc>
          <w:tcPr>
            <w:tcW w:w="1530" w:type="dxa"/>
          </w:tcPr>
          <w:p w14:paraId="693F3B50" w14:textId="77777777" w:rsidR="00A51455" w:rsidRDefault="002D7D32" w:rsidP="00863F70">
            <w:pPr>
              <w:rPr>
                <w:color w:val="000000"/>
              </w:rPr>
            </w:pPr>
            <w:r>
              <w:rPr>
                <w:b/>
                <w:bCs/>
                <w:color w:val="000000"/>
              </w:rPr>
              <w:t>280</w:t>
            </w:r>
            <w:r w:rsidR="004A75F7">
              <w:rPr>
                <w:b/>
                <w:bCs/>
                <w:color w:val="000000"/>
              </w:rPr>
              <w:t xml:space="preserve"> </w:t>
            </w:r>
            <w:r w:rsidR="00A51455">
              <w:rPr>
                <w:b/>
                <w:bCs/>
                <w:color w:val="000000"/>
              </w:rPr>
              <w:t>hours</w:t>
            </w:r>
          </w:p>
        </w:tc>
      </w:tr>
    </w:tbl>
    <w:p w14:paraId="7E0A2897" w14:textId="77777777" w:rsidR="00D578C9" w:rsidRPr="0085295D" w:rsidRDefault="00D578C9">
      <w:pPr>
        <w:rPr>
          <w:b/>
        </w:rPr>
      </w:pPr>
    </w:p>
    <w:p w14:paraId="66C414E6" w14:textId="77777777" w:rsidR="005E714A" w:rsidRPr="00FC2DD2" w:rsidRDefault="001C39F7">
      <w:pPr>
        <w:rPr>
          <w:b/>
        </w:rPr>
      </w:pPr>
      <w:r w:rsidRPr="0085295D">
        <w:rPr>
          <w:b/>
        </w:rPr>
        <w:t xml:space="preserve">FEDERAL </w:t>
      </w:r>
      <w:r w:rsidR="009F5923" w:rsidRPr="0085295D">
        <w:rPr>
          <w:b/>
        </w:rPr>
        <w:t>COST</w:t>
      </w:r>
      <w:r w:rsidR="00F06866" w:rsidRPr="0085295D">
        <w:rPr>
          <w:b/>
        </w:rPr>
        <w:t>:</w:t>
      </w:r>
      <w:r w:rsidR="00895229" w:rsidRPr="0085295D">
        <w:rPr>
          <w:b/>
        </w:rPr>
        <w:t xml:space="preserve"> </w:t>
      </w:r>
      <w:r w:rsidR="00C86E91" w:rsidRPr="0085295D">
        <w:t>The estimated annual cos</w:t>
      </w:r>
      <w:r w:rsidR="00D578C9" w:rsidRPr="0085295D">
        <w:t xml:space="preserve">t to the Federal government is </w:t>
      </w:r>
      <w:r w:rsidR="00593EB8" w:rsidRPr="0085295D">
        <w:rPr>
          <w:u w:val="single"/>
        </w:rPr>
        <w:t>$</w:t>
      </w:r>
      <w:r w:rsidR="00BD1765">
        <w:rPr>
          <w:u w:val="single"/>
        </w:rPr>
        <w:t>152,400</w:t>
      </w:r>
    </w:p>
    <w:p w14:paraId="0B62B910" w14:textId="77777777" w:rsidR="00ED6492" w:rsidRPr="00E37623" w:rsidRDefault="00ED6492">
      <w:pPr>
        <w:rPr>
          <w:b/>
          <w:bCs/>
          <w:u w:val="single"/>
        </w:rPr>
      </w:pPr>
    </w:p>
    <w:p w14:paraId="656257CD" w14:textId="77777777" w:rsidR="0069403B" w:rsidRPr="009B576C" w:rsidRDefault="00ED6492" w:rsidP="00F06866">
      <w:pPr>
        <w:rPr>
          <w:b/>
        </w:rPr>
      </w:pPr>
      <w:r w:rsidRPr="009B576C">
        <w:rPr>
          <w:b/>
          <w:bCs/>
          <w:u w:val="single"/>
        </w:rPr>
        <w:t xml:space="preserve">If you are conducting a focus group, survey, or plan to employ statistical methods, please </w:t>
      </w:r>
      <w:r w:rsidR="0069403B" w:rsidRPr="009B576C">
        <w:rPr>
          <w:b/>
          <w:bCs/>
          <w:u w:val="single"/>
        </w:rPr>
        <w:t>provide answers to the following questions:</w:t>
      </w:r>
    </w:p>
    <w:p w14:paraId="08CF4E22" w14:textId="77777777" w:rsidR="0069403B" w:rsidRPr="009B576C" w:rsidRDefault="0069403B" w:rsidP="00F06866">
      <w:pPr>
        <w:rPr>
          <w:b/>
        </w:rPr>
      </w:pPr>
    </w:p>
    <w:p w14:paraId="13F52F18" w14:textId="77777777" w:rsidR="00F06866" w:rsidRPr="0085295D" w:rsidRDefault="00636621" w:rsidP="00F06866">
      <w:pPr>
        <w:rPr>
          <w:b/>
        </w:rPr>
      </w:pPr>
      <w:r w:rsidRPr="007569D5">
        <w:rPr>
          <w:b/>
        </w:rPr>
        <w:t>The</w:t>
      </w:r>
      <w:r w:rsidR="0069403B" w:rsidRPr="007569D5">
        <w:rPr>
          <w:b/>
        </w:rPr>
        <w:t xml:space="preserve"> select</w:t>
      </w:r>
      <w:r w:rsidRPr="0085295D">
        <w:rPr>
          <w:b/>
        </w:rPr>
        <w:t>ion of your targeted respondents</w:t>
      </w:r>
    </w:p>
    <w:p w14:paraId="401C5CCC" w14:textId="77777777" w:rsidR="0069403B" w:rsidRPr="0085295D" w:rsidRDefault="0069403B" w:rsidP="0069403B">
      <w:pPr>
        <w:pStyle w:val="LightGrid-Accent31"/>
        <w:numPr>
          <w:ilvl w:val="0"/>
          <w:numId w:val="15"/>
        </w:numPr>
      </w:pPr>
      <w:r w:rsidRPr="0085295D">
        <w:t>Do you have a customer list or something similar that defines the universe of potential respondents</w:t>
      </w:r>
      <w:r w:rsidR="00636621" w:rsidRPr="0085295D">
        <w:t xml:space="preserve"> and do you have a sampling plan for selecting from this universe</w:t>
      </w:r>
      <w:r w:rsidRPr="0085295D">
        <w:t>?</w:t>
      </w:r>
      <w:r w:rsidRPr="0085295D">
        <w:tab/>
      </w:r>
      <w:r w:rsidRPr="0085295D">
        <w:tab/>
      </w:r>
      <w:r w:rsidRPr="0085295D">
        <w:tab/>
      </w:r>
      <w:r w:rsidRPr="0085295D">
        <w:tab/>
      </w:r>
      <w:r w:rsidRPr="0085295D">
        <w:tab/>
      </w:r>
      <w:r w:rsidRPr="0085295D">
        <w:tab/>
      </w:r>
      <w:r w:rsidRPr="0085295D">
        <w:tab/>
      </w:r>
      <w:r w:rsidRPr="0085295D">
        <w:tab/>
      </w:r>
      <w:r w:rsidR="00636621" w:rsidRPr="0085295D">
        <w:tab/>
      </w:r>
      <w:r w:rsidR="00636621" w:rsidRPr="0085295D">
        <w:tab/>
      </w:r>
      <w:r w:rsidR="00636621" w:rsidRPr="0085295D">
        <w:tab/>
      </w:r>
      <w:r w:rsidRPr="0085295D">
        <w:t>[ ] Yes</w:t>
      </w:r>
      <w:r w:rsidRPr="0085295D">
        <w:tab/>
        <w:t>[</w:t>
      </w:r>
      <w:r w:rsidR="00D858A2" w:rsidRPr="0085295D">
        <w:t>X</w:t>
      </w:r>
      <w:r w:rsidRPr="0085295D">
        <w:t>] No</w:t>
      </w:r>
    </w:p>
    <w:p w14:paraId="1B20D6FA" w14:textId="77777777" w:rsidR="00636621" w:rsidRPr="0085295D" w:rsidRDefault="00636621" w:rsidP="00636621">
      <w:pPr>
        <w:pStyle w:val="LightGrid-Accent31"/>
      </w:pPr>
    </w:p>
    <w:p w14:paraId="55E3F8A1" w14:textId="77777777" w:rsidR="00636621" w:rsidRPr="0085295D" w:rsidRDefault="00636621" w:rsidP="001B0AAA">
      <w:r w:rsidRPr="0085295D">
        <w:t>If the answer is yes, please provide a description of both below</w:t>
      </w:r>
      <w:r w:rsidR="00A403BB" w:rsidRPr="0085295D">
        <w:t xml:space="preserve"> (or attach the sampling plan)</w:t>
      </w:r>
      <w:r w:rsidR="00D578C9" w:rsidRPr="0085295D">
        <w:t xml:space="preserve">? </w:t>
      </w:r>
      <w:r w:rsidRPr="0085295D">
        <w:t>If the answer is no, please provide a description of how you plan to identify your potential group of respondents</w:t>
      </w:r>
      <w:r w:rsidR="001B0AAA" w:rsidRPr="0085295D">
        <w:t xml:space="preserve"> and how you will select them</w:t>
      </w:r>
      <w:r w:rsidRPr="0085295D">
        <w:t>?</w:t>
      </w:r>
    </w:p>
    <w:p w14:paraId="25C62117" w14:textId="77777777" w:rsidR="00593EB8" w:rsidRPr="0085295D" w:rsidRDefault="00593EB8" w:rsidP="001B0AAA"/>
    <w:p w14:paraId="3CF038B6" w14:textId="77777777" w:rsidR="00D858A2" w:rsidRPr="00FC2DD2" w:rsidRDefault="00D858A2" w:rsidP="001B0AAA">
      <w:r w:rsidRPr="0085295D">
        <w:t xml:space="preserve">Convenience samples of research participants are </w:t>
      </w:r>
      <w:r w:rsidR="00353E39" w:rsidRPr="0085295D">
        <w:t xml:space="preserve">screened and </w:t>
      </w:r>
      <w:r w:rsidRPr="0085295D">
        <w:t>recruited to reflect the targ</w:t>
      </w:r>
      <w:r w:rsidR="00D578C9" w:rsidRPr="0085295D">
        <w:t xml:space="preserve">et audiences. </w:t>
      </w:r>
      <w:r w:rsidRPr="0085295D">
        <w:t xml:space="preserve">NHTSA plans to work with </w:t>
      </w:r>
      <w:r w:rsidR="00626B7E" w:rsidRPr="0085295D">
        <w:t>Heart+</w:t>
      </w:r>
      <w:r w:rsidR="00353E39" w:rsidRPr="0085295D">
        <w:t xml:space="preserve">Mind Strategies and </w:t>
      </w:r>
      <w:r w:rsidRPr="0085295D">
        <w:t>Focus Forward, third-party vendor</w:t>
      </w:r>
      <w:r w:rsidR="00353E39" w:rsidRPr="0085295D">
        <w:t>s</w:t>
      </w:r>
      <w:r w:rsidRPr="0085295D">
        <w:t>, to recruit individuals that meet t</w:t>
      </w:r>
      <w:r w:rsidR="00D578C9" w:rsidRPr="0085295D">
        <w:t xml:space="preserve">he criteria for each audience. </w:t>
      </w:r>
      <w:r w:rsidRPr="0085295D">
        <w:t xml:space="preserve">Recruitment will take place using </w:t>
      </w:r>
      <w:r w:rsidR="009D51E3" w:rsidRPr="0085295D">
        <w:t>Focus Forward’s own double opt-in</w:t>
      </w:r>
      <w:r w:rsidR="00D578C9" w:rsidRPr="0085295D">
        <w:t xml:space="preserve"> panel. </w:t>
      </w:r>
      <w:r w:rsidR="000618D1" w:rsidRPr="0085295D">
        <w:t>A link to a</w:t>
      </w:r>
      <w:r w:rsidRPr="0085295D">
        <w:t>n online screening instrument</w:t>
      </w:r>
      <w:r w:rsidR="000618D1" w:rsidRPr="0085295D">
        <w:t xml:space="preserve"> will be sent </w:t>
      </w:r>
      <w:r w:rsidR="001E72C8" w:rsidRPr="0085295D">
        <w:t>in</w:t>
      </w:r>
      <w:r w:rsidR="000618D1" w:rsidRPr="0085295D">
        <w:t xml:space="preserve"> an email invitation, followed by additional instructions for joining the online bulletin board should a resp</w:t>
      </w:r>
      <w:r w:rsidR="00D578C9" w:rsidRPr="0085295D">
        <w:t xml:space="preserve">ondent qualify to participate. </w:t>
      </w:r>
      <w:r w:rsidR="000618D1" w:rsidRPr="0085295D">
        <w:t>Recruitment will be monitored to include a mixture of gender (among the national audience), age, r</w:t>
      </w:r>
      <w:r w:rsidR="001D029A" w:rsidRPr="0085295D">
        <w:t xml:space="preserve">ace/ethnicity, </w:t>
      </w:r>
      <w:r w:rsidR="000618D1" w:rsidRPr="0085295D">
        <w:t>region</w:t>
      </w:r>
      <w:r w:rsidR="00E84487" w:rsidRPr="0085295D">
        <w:t>, income</w:t>
      </w:r>
      <w:r w:rsidR="001D029A" w:rsidRPr="0085295D">
        <w:t xml:space="preserve"> and education</w:t>
      </w:r>
      <w:r w:rsidR="000618D1" w:rsidRPr="0085295D">
        <w:t>.</w:t>
      </w:r>
    </w:p>
    <w:p w14:paraId="66BC7149" w14:textId="77777777" w:rsidR="004D6E14" w:rsidRPr="00E37623" w:rsidRDefault="004D6E14" w:rsidP="00A403BB">
      <w:pPr>
        <w:rPr>
          <w:b/>
        </w:rPr>
      </w:pPr>
    </w:p>
    <w:p w14:paraId="6652EF2F" w14:textId="77777777" w:rsidR="00A403BB" w:rsidRPr="009B576C" w:rsidRDefault="004A75F7" w:rsidP="00A403BB">
      <w:pPr>
        <w:rPr>
          <w:b/>
        </w:rPr>
      </w:pPr>
      <w:r>
        <w:rPr>
          <w:b/>
        </w:rPr>
        <w:br w:type="page"/>
      </w:r>
      <w:r w:rsidR="00A403BB" w:rsidRPr="009B576C">
        <w:rPr>
          <w:b/>
        </w:rPr>
        <w:t>Administration of the Instrument</w:t>
      </w:r>
    </w:p>
    <w:p w14:paraId="16AECCF9" w14:textId="77777777" w:rsidR="00A403BB" w:rsidRPr="009B576C" w:rsidRDefault="001B0AAA" w:rsidP="00A403BB">
      <w:pPr>
        <w:pStyle w:val="LightGrid-Accent31"/>
        <w:numPr>
          <w:ilvl w:val="0"/>
          <w:numId w:val="17"/>
        </w:numPr>
      </w:pPr>
      <w:r w:rsidRPr="009B576C">
        <w:t>H</w:t>
      </w:r>
      <w:r w:rsidR="00A403BB" w:rsidRPr="009B576C">
        <w:t>ow will you collect the information? (Check all that apply)</w:t>
      </w:r>
    </w:p>
    <w:p w14:paraId="4AFA1957" w14:textId="77777777" w:rsidR="001B0AAA" w:rsidRPr="0085295D" w:rsidRDefault="000618D1" w:rsidP="001B0AAA">
      <w:pPr>
        <w:ind w:left="720"/>
      </w:pPr>
      <w:r w:rsidRPr="0085295D">
        <w:t>[X</w:t>
      </w:r>
      <w:r w:rsidR="00A403BB" w:rsidRPr="0085295D">
        <w:t>] Web-based</w:t>
      </w:r>
      <w:r w:rsidR="001B0AAA" w:rsidRPr="0085295D">
        <w:t xml:space="preserve"> or other forms of Social Media </w:t>
      </w:r>
    </w:p>
    <w:p w14:paraId="77AAF0E0" w14:textId="77777777" w:rsidR="001B0AAA" w:rsidRPr="0085295D" w:rsidRDefault="00A403BB" w:rsidP="001B0AAA">
      <w:pPr>
        <w:ind w:left="720"/>
      </w:pPr>
      <w:r w:rsidRPr="0085295D">
        <w:t xml:space="preserve">[ </w:t>
      </w:r>
      <w:r w:rsidR="001B0AAA" w:rsidRPr="0085295D">
        <w:t xml:space="preserve"> </w:t>
      </w:r>
      <w:r w:rsidRPr="0085295D">
        <w:t>] Telephone</w:t>
      </w:r>
      <w:r w:rsidRPr="0085295D">
        <w:tab/>
      </w:r>
    </w:p>
    <w:p w14:paraId="73E7AC25" w14:textId="77777777" w:rsidR="001B0AAA" w:rsidRPr="0085295D" w:rsidRDefault="00A403BB" w:rsidP="001B0AAA">
      <w:pPr>
        <w:ind w:left="720"/>
      </w:pPr>
      <w:r w:rsidRPr="0085295D">
        <w:t>[</w:t>
      </w:r>
      <w:r w:rsidR="001B0AAA" w:rsidRPr="0085295D">
        <w:t xml:space="preserve"> </w:t>
      </w:r>
      <w:r w:rsidRPr="0085295D">
        <w:t xml:space="preserve"> ] In-person</w:t>
      </w:r>
      <w:r w:rsidRPr="0085295D">
        <w:tab/>
      </w:r>
    </w:p>
    <w:p w14:paraId="19C40181" w14:textId="77777777" w:rsidR="001B0AAA" w:rsidRPr="0085295D" w:rsidRDefault="00A403BB" w:rsidP="001B0AAA">
      <w:pPr>
        <w:ind w:left="720"/>
      </w:pPr>
      <w:r w:rsidRPr="0085295D">
        <w:t xml:space="preserve">[ </w:t>
      </w:r>
      <w:r w:rsidR="001B0AAA" w:rsidRPr="0085295D">
        <w:t xml:space="preserve"> </w:t>
      </w:r>
      <w:r w:rsidRPr="0085295D">
        <w:t>] Mail</w:t>
      </w:r>
      <w:r w:rsidR="001B0AAA" w:rsidRPr="0085295D">
        <w:t xml:space="preserve"> </w:t>
      </w:r>
    </w:p>
    <w:p w14:paraId="0F7A614C" w14:textId="77777777" w:rsidR="001B0AAA" w:rsidRPr="0085295D" w:rsidRDefault="00A403BB" w:rsidP="001B0AAA">
      <w:pPr>
        <w:ind w:left="720"/>
      </w:pPr>
      <w:r w:rsidRPr="0085295D">
        <w:t xml:space="preserve">[ </w:t>
      </w:r>
      <w:r w:rsidR="001B0AAA" w:rsidRPr="0085295D">
        <w:t xml:space="preserve"> </w:t>
      </w:r>
      <w:r w:rsidRPr="0085295D">
        <w:t>] Other, Explain</w:t>
      </w:r>
    </w:p>
    <w:p w14:paraId="64F35342" w14:textId="77777777" w:rsidR="00F24CFC" w:rsidRPr="0085295D" w:rsidRDefault="00F24CFC" w:rsidP="00F24CFC">
      <w:pPr>
        <w:pStyle w:val="LightGrid-Accent31"/>
        <w:numPr>
          <w:ilvl w:val="0"/>
          <w:numId w:val="17"/>
        </w:numPr>
      </w:pPr>
      <w:r w:rsidRPr="0085295D">
        <w:t>Will interviewers or facilitators be used? [</w:t>
      </w:r>
      <w:r w:rsidR="000618D1" w:rsidRPr="0085295D">
        <w:t>X</w:t>
      </w:r>
      <w:r w:rsidRPr="0085295D">
        <w:t>] Yes [  ] No</w:t>
      </w:r>
    </w:p>
    <w:p w14:paraId="65CE0316" w14:textId="77777777" w:rsidR="00F24CFC" w:rsidRPr="00FC2DD2" w:rsidRDefault="00F24CFC" w:rsidP="00F24CFC">
      <w:pPr>
        <w:pStyle w:val="LightGrid-Accent31"/>
        <w:ind w:left="360"/>
      </w:pPr>
      <w:r w:rsidRPr="00FC2DD2">
        <w:t xml:space="preserve"> </w:t>
      </w:r>
    </w:p>
    <w:p w14:paraId="2B59435A" w14:textId="77777777" w:rsidR="0024521E" w:rsidRPr="00F24CFC" w:rsidRDefault="00F24CFC" w:rsidP="0024521E">
      <w:pPr>
        <w:rPr>
          <w:b/>
        </w:rPr>
      </w:pPr>
      <w:r w:rsidRPr="00E37623">
        <w:rPr>
          <w:b/>
        </w:rPr>
        <w:t xml:space="preserve">Please make sure </w:t>
      </w:r>
      <w:r w:rsidRPr="009B576C">
        <w:rPr>
          <w:b/>
        </w:rPr>
        <w:t>that all instruments, instructions, and scripts are submitted with the request.</w:t>
      </w:r>
    </w:p>
    <w:sectPr w:rsidR="0024521E"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284A2" w14:textId="77777777" w:rsidR="00DC297E" w:rsidRDefault="00DC297E">
      <w:r>
        <w:separator/>
      </w:r>
    </w:p>
  </w:endnote>
  <w:endnote w:type="continuationSeparator" w:id="0">
    <w:p w14:paraId="0D49D5EA" w14:textId="77777777" w:rsidR="00DC297E" w:rsidRDefault="00DC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0203F" w14:textId="77777777" w:rsidR="00810425" w:rsidRDefault="0081042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201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A092D" w14:textId="77777777" w:rsidR="00DC297E" w:rsidRDefault="00DC297E">
      <w:r>
        <w:separator/>
      </w:r>
    </w:p>
  </w:footnote>
  <w:footnote w:type="continuationSeparator" w:id="0">
    <w:p w14:paraId="75AC9B0A" w14:textId="77777777" w:rsidR="00DC297E" w:rsidRDefault="00DC2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79D9C" w14:textId="77777777" w:rsidR="00810425" w:rsidRDefault="008104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5661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6D2"/>
    <w:rsid w:val="0001027E"/>
    <w:rsid w:val="00023A57"/>
    <w:rsid w:val="00032A9B"/>
    <w:rsid w:val="000474CA"/>
    <w:rsid w:val="00047A64"/>
    <w:rsid w:val="000618D1"/>
    <w:rsid w:val="00067329"/>
    <w:rsid w:val="000B2838"/>
    <w:rsid w:val="000B7868"/>
    <w:rsid w:val="000D44CA"/>
    <w:rsid w:val="000E200B"/>
    <w:rsid w:val="000F4CA7"/>
    <w:rsid w:val="000F68BE"/>
    <w:rsid w:val="00100BCA"/>
    <w:rsid w:val="00132173"/>
    <w:rsid w:val="00156859"/>
    <w:rsid w:val="00157525"/>
    <w:rsid w:val="001927A4"/>
    <w:rsid w:val="00194AC6"/>
    <w:rsid w:val="0019691E"/>
    <w:rsid w:val="001A23B0"/>
    <w:rsid w:val="001A25CC"/>
    <w:rsid w:val="001B0AAA"/>
    <w:rsid w:val="001B4E4F"/>
    <w:rsid w:val="001C39F7"/>
    <w:rsid w:val="001D029A"/>
    <w:rsid w:val="001E72C8"/>
    <w:rsid w:val="001F2FDF"/>
    <w:rsid w:val="00224B6F"/>
    <w:rsid w:val="00225FB5"/>
    <w:rsid w:val="00237B48"/>
    <w:rsid w:val="0024521E"/>
    <w:rsid w:val="00260F37"/>
    <w:rsid w:val="00263C3D"/>
    <w:rsid w:val="002739AE"/>
    <w:rsid w:val="00274D0B"/>
    <w:rsid w:val="00290B66"/>
    <w:rsid w:val="002A19EB"/>
    <w:rsid w:val="002B052D"/>
    <w:rsid w:val="002B2BD8"/>
    <w:rsid w:val="002B34CD"/>
    <w:rsid w:val="002B3C95"/>
    <w:rsid w:val="002C6A98"/>
    <w:rsid w:val="002D0B92"/>
    <w:rsid w:val="002D7D32"/>
    <w:rsid w:val="002E3A23"/>
    <w:rsid w:val="00310D9E"/>
    <w:rsid w:val="00331605"/>
    <w:rsid w:val="00353E39"/>
    <w:rsid w:val="003C19E8"/>
    <w:rsid w:val="003C5E17"/>
    <w:rsid w:val="003D5BBE"/>
    <w:rsid w:val="003E1CA7"/>
    <w:rsid w:val="003E3C61"/>
    <w:rsid w:val="003F1C5B"/>
    <w:rsid w:val="0043485C"/>
    <w:rsid w:val="00434E33"/>
    <w:rsid w:val="00441434"/>
    <w:rsid w:val="0045264C"/>
    <w:rsid w:val="00454B98"/>
    <w:rsid w:val="00484505"/>
    <w:rsid w:val="00484930"/>
    <w:rsid w:val="004876EC"/>
    <w:rsid w:val="004A75F7"/>
    <w:rsid w:val="004D497A"/>
    <w:rsid w:val="004D6E14"/>
    <w:rsid w:val="004D7A3B"/>
    <w:rsid w:val="005009B0"/>
    <w:rsid w:val="00501259"/>
    <w:rsid w:val="00593EB8"/>
    <w:rsid w:val="00596EA5"/>
    <w:rsid w:val="005A1006"/>
    <w:rsid w:val="005A13E8"/>
    <w:rsid w:val="005B20F6"/>
    <w:rsid w:val="005B6B5A"/>
    <w:rsid w:val="005E714A"/>
    <w:rsid w:val="005F693D"/>
    <w:rsid w:val="006140A0"/>
    <w:rsid w:val="00626B7E"/>
    <w:rsid w:val="006355F4"/>
    <w:rsid w:val="00636621"/>
    <w:rsid w:val="00642B49"/>
    <w:rsid w:val="00682CC4"/>
    <w:rsid w:val="006832D9"/>
    <w:rsid w:val="0068797C"/>
    <w:rsid w:val="0069403B"/>
    <w:rsid w:val="006E6991"/>
    <w:rsid w:val="006F3DDE"/>
    <w:rsid w:val="00702D36"/>
    <w:rsid w:val="00704678"/>
    <w:rsid w:val="007425E7"/>
    <w:rsid w:val="007569D5"/>
    <w:rsid w:val="00775730"/>
    <w:rsid w:val="007D6AE9"/>
    <w:rsid w:val="007E0EA6"/>
    <w:rsid w:val="007E38A2"/>
    <w:rsid w:val="007F7080"/>
    <w:rsid w:val="00802607"/>
    <w:rsid w:val="008101A5"/>
    <w:rsid w:val="00810425"/>
    <w:rsid w:val="00822664"/>
    <w:rsid w:val="008407B0"/>
    <w:rsid w:val="00843796"/>
    <w:rsid w:val="0085295D"/>
    <w:rsid w:val="00863F70"/>
    <w:rsid w:val="00877B7D"/>
    <w:rsid w:val="0089471C"/>
    <w:rsid w:val="00895229"/>
    <w:rsid w:val="008B2EB3"/>
    <w:rsid w:val="008B5216"/>
    <w:rsid w:val="008E7BEA"/>
    <w:rsid w:val="008F0203"/>
    <w:rsid w:val="008F50D4"/>
    <w:rsid w:val="009239AA"/>
    <w:rsid w:val="00935ADA"/>
    <w:rsid w:val="00941075"/>
    <w:rsid w:val="00946B6C"/>
    <w:rsid w:val="00955A71"/>
    <w:rsid w:val="0096108F"/>
    <w:rsid w:val="00984B64"/>
    <w:rsid w:val="009A19FE"/>
    <w:rsid w:val="009B576C"/>
    <w:rsid w:val="009C13B9"/>
    <w:rsid w:val="009D01A2"/>
    <w:rsid w:val="009D51E3"/>
    <w:rsid w:val="009F5923"/>
    <w:rsid w:val="00A30D60"/>
    <w:rsid w:val="00A32339"/>
    <w:rsid w:val="00A403BB"/>
    <w:rsid w:val="00A51455"/>
    <w:rsid w:val="00A674DF"/>
    <w:rsid w:val="00A83AA6"/>
    <w:rsid w:val="00A934D6"/>
    <w:rsid w:val="00AE1809"/>
    <w:rsid w:val="00AE5A87"/>
    <w:rsid w:val="00AF26EB"/>
    <w:rsid w:val="00AF6F2D"/>
    <w:rsid w:val="00B579FB"/>
    <w:rsid w:val="00B733B7"/>
    <w:rsid w:val="00B80D76"/>
    <w:rsid w:val="00B87464"/>
    <w:rsid w:val="00B96BCB"/>
    <w:rsid w:val="00BA2105"/>
    <w:rsid w:val="00BA7E06"/>
    <w:rsid w:val="00BB43B5"/>
    <w:rsid w:val="00BB49C8"/>
    <w:rsid w:val="00BB6219"/>
    <w:rsid w:val="00BD1765"/>
    <w:rsid w:val="00BD290F"/>
    <w:rsid w:val="00BD54A1"/>
    <w:rsid w:val="00C002BD"/>
    <w:rsid w:val="00C14CC4"/>
    <w:rsid w:val="00C33C52"/>
    <w:rsid w:val="00C40D8B"/>
    <w:rsid w:val="00C8407A"/>
    <w:rsid w:val="00C8488C"/>
    <w:rsid w:val="00C86E91"/>
    <w:rsid w:val="00C96555"/>
    <w:rsid w:val="00CA2650"/>
    <w:rsid w:val="00CB1078"/>
    <w:rsid w:val="00CC1F5F"/>
    <w:rsid w:val="00CC5236"/>
    <w:rsid w:val="00CC6FAF"/>
    <w:rsid w:val="00CF6542"/>
    <w:rsid w:val="00D24698"/>
    <w:rsid w:val="00D40D6E"/>
    <w:rsid w:val="00D40FD0"/>
    <w:rsid w:val="00D578C9"/>
    <w:rsid w:val="00D6383F"/>
    <w:rsid w:val="00D81340"/>
    <w:rsid w:val="00D858A2"/>
    <w:rsid w:val="00DA1B99"/>
    <w:rsid w:val="00DB59D0"/>
    <w:rsid w:val="00DC297E"/>
    <w:rsid w:val="00DC33D3"/>
    <w:rsid w:val="00E07539"/>
    <w:rsid w:val="00E10646"/>
    <w:rsid w:val="00E26329"/>
    <w:rsid w:val="00E319E5"/>
    <w:rsid w:val="00E37623"/>
    <w:rsid w:val="00E378F6"/>
    <w:rsid w:val="00E40B50"/>
    <w:rsid w:val="00E50293"/>
    <w:rsid w:val="00E57F55"/>
    <w:rsid w:val="00E65FFC"/>
    <w:rsid w:val="00E744EA"/>
    <w:rsid w:val="00E80951"/>
    <w:rsid w:val="00E84487"/>
    <w:rsid w:val="00E85140"/>
    <w:rsid w:val="00E86CC6"/>
    <w:rsid w:val="00EB56B3"/>
    <w:rsid w:val="00ED6492"/>
    <w:rsid w:val="00EE23C2"/>
    <w:rsid w:val="00EF2095"/>
    <w:rsid w:val="00EF31F1"/>
    <w:rsid w:val="00F06866"/>
    <w:rsid w:val="00F15956"/>
    <w:rsid w:val="00F17B10"/>
    <w:rsid w:val="00F22018"/>
    <w:rsid w:val="00F24CFC"/>
    <w:rsid w:val="00F27336"/>
    <w:rsid w:val="00F3170F"/>
    <w:rsid w:val="00F6427C"/>
    <w:rsid w:val="00F865FB"/>
    <w:rsid w:val="00F874F3"/>
    <w:rsid w:val="00F90653"/>
    <w:rsid w:val="00F976B0"/>
    <w:rsid w:val="00FA6DE7"/>
    <w:rsid w:val="00FC0A8E"/>
    <w:rsid w:val="00FC291F"/>
    <w:rsid w:val="00FC2DD2"/>
    <w:rsid w:val="00FE2FA6"/>
    <w:rsid w:val="00FE3680"/>
    <w:rsid w:val="00FE3DF2"/>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AE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LightGrid-Accent31">
    <w:name w:val="Light Grid - Accent 31"/>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LightGrid-Accent31">
    <w:name w:val="Light Grid - Accent 31"/>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72582527">
      <w:bodyDiv w:val="1"/>
      <w:marLeft w:val="0"/>
      <w:marRight w:val="0"/>
      <w:marTop w:val="0"/>
      <w:marBottom w:val="0"/>
      <w:divBdr>
        <w:top w:val="none" w:sz="0" w:space="0" w:color="auto"/>
        <w:left w:val="none" w:sz="0" w:space="0" w:color="auto"/>
        <w:bottom w:val="none" w:sz="0" w:space="0" w:color="auto"/>
        <w:right w:val="none" w:sz="0" w:space="0" w:color="auto"/>
      </w:divBdr>
    </w:div>
    <w:div w:id="208267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2010-10-04T15:59:00Z</cp:lastPrinted>
  <dcterms:created xsi:type="dcterms:W3CDTF">2019-06-28T13:30:00Z</dcterms:created>
  <dcterms:modified xsi:type="dcterms:W3CDTF">2019-06-28T13:30:00Z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