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94307C" w14:textId="570FD42C" w:rsidR="000C02E9" w:rsidRPr="006757FB" w:rsidRDefault="000C02E9" w:rsidP="006757FB">
      <w:pPr>
        <w:suppressAutoHyphens/>
        <w:autoSpaceDE w:val="0"/>
        <w:autoSpaceDN w:val="0"/>
        <w:adjustRightInd w:val="0"/>
        <w:spacing w:before="120" w:after="120"/>
        <w:jc w:val="center"/>
        <w:rPr>
          <w:b/>
          <w:bCs/>
          <w:szCs w:val="24"/>
        </w:rPr>
      </w:pPr>
      <w:r w:rsidRPr="006757FB">
        <w:rPr>
          <w:b/>
          <w:bCs/>
          <w:szCs w:val="24"/>
        </w:rPr>
        <w:t>SUPPORTING STATEMENT</w:t>
      </w:r>
      <w:r w:rsidR="00EE2B29" w:rsidRPr="006757FB">
        <w:rPr>
          <w:b/>
          <w:bCs/>
          <w:szCs w:val="24"/>
        </w:rPr>
        <w:t xml:space="preserve"> – </w:t>
      </w:r>
      <w:r w:rsidR="00B024B4" w:rsidRPr="006757FB">
        <w:rPr>
          <w:b/>
          <w:bCs/>
          <w:szCs w:val="24"/>
        </w:rPr>
        <w:t>INFORMATION COLLECTION REQUEST (ICR)</w:t>
      </w:r>
    </w:p>
    <w:p w14:paraId="7E08A68D" w14:textId="5307CD9B" w:rsidR="000C02E9" w:rsidRPr="006757FB" w:rsidRDefault="00ED710E" w:rsidP="006757FB">
      <w:pPr>
        <w:suppressAutoHyphens/>
        <w:autoSpaceDE w:val="0"/>
        <w:autoSpaceDN w:val="0"/>
        <w:adjustRightInd w:val="0"/>
        <w:spacing w:before="120" w:after="120"/>
        <w:jc w:val="center"/>
        <w:rPr>
          <w:b/>
          <w:bCs/>
          <w:szCs w:val="24"/>
          <w:highlight w:val="lightGray"/>
        </w:rPr>
      </w:pPr>
      <w:r w:rsidRPr="006757FB">
        <w:rPr>
          <w:b/>
          <w:bCs/>
          <w:szCs w:val="24"/>
        </w:rPr>
        <w:t xml:space="preserve">Cross-State Air Pollution Rule </w:t>
      </w:r>
      <w:r w:rsidR="002060F7">
        <w:rPr>
          <w:b/>
          <w:bCs/>
          <w:szCs w:val="24"/>
        </w:rPr>
        <w:t xml:space="preserve">Update </w:t>
      </w:r>
      <w:r w:rsidRPr="006757FB">
        <w:rPr>
          <w:b/>
          <w:bCs/>
          <w:szCs w:val="24"/>
        </w:rPr>
        <w:t xml:space="preserve">for the 2008 Ozone National Ambient Air Quality Standards </w:t>
      </w:r>
      <w:r w:rsidR="00F82DFC" w:rsidRPr="006757FB">
        <w:rPr>
          <w:b/>
          <w:szCs w:val="24"/>
        </w:rPr>
        <w:t>(</w:t>
      </w:r>
      <w:r w:rsidR="00685814">
        <w:rPr>
          <w:b/>
          <w:szCs w:val="24"/>
        </w:rPr>
        <w:t xml:space="preserve">Final </w:t>
      </w:r>
      <w:r w:rsidRPr="006757FB">
        <w:rPr>
          <w:b/>
          <w:szCs w:val="24"/>
        </w:rPr>
        <w:t>Rule</w:t>
      </w:r>
      <w:r w:rsidR="00F82DFC" w:rsidRPr="006757FB">
        <w:rPr>
          <w:b/>
          <w:szCs w:val="24"/>
        </w:rPr>
        <w:t>)</w:t>
      </w:r>
      <w:r w:rsidR="003740C6" w:rsidRPr="006757FB">
        <w:rPr>
          <w:b/>
          <w:szCs w:val="24"/>
        </w:rPr>
        <w:br/>
      </w:r>
    </w:p>
    <w:p w14:paraId="2CEA781E" w14:textId="77777777" w:rsidR="000C02E9" w:rsidRPr="006757FB" w:rsidRDefault="000C02E9" w:rsidP="00E16308">
      <w:pPr>
        <w:keepNext/>
        <w:suppressAutoHyphens/>
        <w:autoSpaceDE w:val="0"/>
        <w:autoSpaceDN w:val="0"/>
        <w:adjustRightInd w:val="0"/>
        <w:spacing w:before="120" w:after="120"/>
        <w:rPr>
          <w:b/>
          <w:bCs/>
          <w:szCs w:val="24"/>
        </w:rPr>
      </w:pPr>
      <w:r w:rsidRPr="006757FB">
        <w:rPr>
          <w:b/>
          <w:bCs/>
          <w:szCs w:val="24"/>
        </w:rPr>
        <w:t>1.</w:t>
      </w:r>
      <w:r w:rsidR="0066040C" w:rsidRPr="006757FB">
        <w:rPr>
          <w:b/>
          <w:bCs/>
          <w:szCs w:val="24"/>
        </w:rPr>
        <w:t>0</w:t>
      </w:r>
      <w:r w:rsidRPr="006757FB">
        <w:rPr>
          <w:b/>
          <w:bCs/>
          <w:szCs w:val="24"/>
        </w:rPr>
        <w:t xml:space="preserve"> </w:t>
      </w:r>
      <w:r w:rsidR="003740C6" w:rsidRPr="006757FB">
        <w:rPr>
          <w:b/>
          <w:bCs/>
          <w:szCs w:val="24"/>
        </w:rPr>
        <w:t xml:space="preserve"> </w:t>
      </w:r>
      <w:r w:rsidRPr="006757FB">
        <w:rPr>
          <w:b/>
          <w:bCs/>
          <w:szCs w:val="24"/>
        </w:rPr>
        <w:t>I</w:t>
      </w:r>
      <w:r w:rsidR="003740C6" w:rsidRPr="006757FB">
        <w:rPr>
          <w:b/>
          <w:bCs/>
          <w:szCs w:val="24"/>
        </w:rPr>
        <w:t>dentification</w:t>
      </w:r>
      <w:r w:rsidRPr="006757FB">
        <w:rPr>
          <w:b/>
          <w:bCs/>
          <w:szCs w:val="24"/>
        </w:rPr>
        <w:t xml:space="preserve"> </w:t>
      </w:r>
      <w:r w:rsidR="003740C6" w:rsidRPr="006757FB">
        <w:rPr>
          <w:b/>
          <w:bCs/>
          <w:szCs w:val="24"/>
        </w:rPr>
        <w:t>of the Information</w:t>
      </w:r>
      <w:r w:rsidRPr="006757FB">
        <w:rPr>
          <w:b/>
          <w:bCs/>
          <w:szCs w:val="24"/>
        </w:rPr>
        <w:t xml:space="preserve"> C</w:t>
      </w:r>
      <w:r w:rsidR="003740C6" w:rsidRPr="006757FB">
        <w:rPr>
          <w:b/>
          <w:bCs/>
          <w:szCs w:val="24"/>
        </w:rPr>
        <w:t>ollection</w:t>
      </w:r>
    </w:p>
    <w:p w14:paraId="69675DA4" w14:textId="77777777" w:rsidR="000C02E9" w:rsidRPr="006757FB" w:rsidRDefault="003740C6" w:rsidP="00E16308">
      <w:pPr>
        <w:keepNext/>
        <w:suppressAutoHyphens/>
        <w:autoSpaceDE w:val="0"/>
        <w:autoSpaceDN w:val="0"/>
        <w:adjustRightInd w:val="0"/>
        <w:spacing w:before="120" w:after="120"/>
        <w:ind w:left="360"/>
        <w:rPr>
          <w:b/>
          <w:bCs/>
          <w:szCs w:val="24"/>
        </w:rPr>
      </w:pPr>
      <w:r w:rsidRPr="006757FB">
        <w:rPr>
          <w:b/>
          <w:bCs/>
          <w:szCs w:val="24"/>
        </w:rPr>
        <w:t>1.1</w:t>
      </w:r>
      <w:r w:rsidR="000C02E9" w:rsidRPr="006757FB">
        <w:rPr>
          <w:b/>
          <w:bCs/>
          <w:szCs w:val="24"/>
        </w:rPr>
        <w:t xml:space="preserve"> </w:t>
      </w:r>
      <w:r w:rsidRPr="006757FB">
        <w:rPr>
          <w:b/>
          <w:bCs/>
          <w:szCs w:val="24"/>
        </w:rPr>
        <w:t xml:space="preserve"> </w:t>
      </w:r>
      <w:r w:rsidR="000C02E9" w:rsidRPr="006757FB">
        <w:rPr>
          <w:b/>
          <w:bCs/>
          <w:szCs w:val="24"/>
        </w:rPr>
        <w:t>Title of the Information Collection</w:t>
      </w:r>
    </w:p>
    <w:p w14:paraId="7EDC08B0" w14:textId="0086B698" w:rsidR="000C02E9" w:rsidRPr="006757FB" w:rsidRDefault="003740C6" w:rsidP="006757FB">
      <w:pPr>
        <w:suppressAutoHyphens/>
        <w:autoSpaceDE w:val="0"/>
        <w:autoSpaceDN w:val="0"/>
        <w:adjustRightInd w:val="0"/>
        <w:spacing w:before="120" w:after="120"/>
        <w:rPr>
          <w:szCs w:val="24"/>
        </w:rPr>
      </w:pPr>
      <w:r w:rsidRPr="006757FB">
        <w:rPr>
          <w:szCs w:val="24"/>
        </w:rPr>
        <w:tab/>
      </w:r>
      <w:r w:rsidR="00ED710E" w:rsidRPr="006757FB">
        <w:rPr>
          <w:szCs w:val="24"/>
        </w:rPr>
        <w:t xml:space="preserve">Cross-State Air Pollution Rule </w:t>
      </w:r>
      <w:r w:rsidR="002060F7">
        <w:rPr>
          <w:szCs w:val="24"/>
        </w:rPr>
        <w:t xml:space="preserve">Update </w:t>
      </w:r>
      <w:r w:rsidR="00ED710E" w:rsidRPr="006757FB">
        <w:rPr>
          <w:szCs w:val="24"/>
        </w:rPr>
        <w:t xml:space="preserve">for the 2008 Ozone National Ambient Air Quality Standards, ICR Number </w:t>
      </w:r>
      <w:r w:rsidR="007E5C4C">
        <w:rPr>
          <w:szCs w:val="24"/>
        </w:rPr>
        <w:t>2391.0</w:t>
      </w:r>
      <w:r w:rsidR="000E377A">
        <w:rPr>
          <w:szCs w:val="24"/>
        </w:rPr>
        <w:t>4</w:t>
      </w:r>
      <w:r w:rsidR="00ED710E" w:rsidRPr="006757FB">
        <w:rPr>
          <w:szCs w:val="24"/>
        </w:rPr>
        <w:t xml:space="preserve">, OMB Control Number </w:t>
      </w:r>
      <w:r w:rsidR="004F29C8">
        <w:rPr>
          <w:szCs w:val="24"/>
        </w:rPr>
        <w:t>2060-</w:t>
      </w:r>
      <w:r w:rsidR="007E5C4C">
        <w:rPr>
          <w:szCs w:val="24"/>
        </w:rPr>
        <w:t>0667</w:t>
      </w:r>
      <w:r w:rsidR="009815A9">
        <w:rPr>
          <w:szCs w:val="24"/>
        </w:rPr>
        <w:t>.</w:t>
      </w:r>
    </w:p>
    <w:p w14:paraId="56AECECA" w14:textId="77777777" w:rsidR="000C02E9" w:rsidRPr="006757FB" w:rsidRDefault="003740C6" w:rsidP="00E16308">
      <w:pPr>
        <w:keepNext/>
        <w:suppressAutoHyphens/>
        <w:autoSpaceDE w:val="0"/>
        <w:autoSpaceDN w:val="0"/>
        <w:adjustRightInd w:val="0"/>
        <w:spacing w:before="120" w:after="120"/>
        <w:ind w:left="360"/>
        <w:rPr>
          <w:b/>
          <w:bCs/>
          <w:szCs w:val="24"/>
        </w:rPr>
      </w:pPr>
      <w:r w:rsidRPr="006757FB">
        <w:rPr>
          <w:b/>
          <w:bCs/>
          <w:szCs w:val="24"/>
        </w:rPr>
        <w:t xml:space="preserve">1.2 </w:t>
      </w:r>
      <w:r w:rsidR="000C02E9" w:rsidRPr="006757FB">
        <w:rPr>
          <w:b/>
          <w:bCs/>
          <w:szCs w:val="24"/>
        </w:rPr>
        <w:t xml:space="preserve"> Short Characterization/Abstract</w:t>
      </w:r>
    </w:p>
    <w:p w14:paraId="542F4AA9" w14:textId="160EE8D3" w:rsidR="0011728F" w:rsidRDefault="000C02E9" w:rsidP="00183FFF">
      <w:pPr>
        <w:suppressAutoHyphens/>
        <w:autoSpaceDE w:val="0"/>
        <w:autoSpaceDN w:val="0"/>
        <w:adjustRightInd w:val="0"/>
        <w:spacing w:before="120" w:after="120"/>
        <w:ind w:firstLine="720"/>
        <w:rPr>
          <w:szCs w:val="24"/>
        </w:rPr>
      </w:pPr>
      <w:r w:rsidRPr="006757FB">
        <w:rPr>
          <w:szCs w:val="24"/>
        </w:rPr>
        <w:t>The United States Environmental Protection Agency (EPA)</w:t>
      </w:r>
      <w:r w:rsidR="00290DF7" w:rsidRPr="006757FB">
        <w:rPr>
          <w:szCs w:val="24"/>
        </w:rPr>
        <w:t xml:space="preserve"> is </w:t>
      </w:r>
      <w:r w:rsidR="00685814">
        <w:rPr>
          <w:szCs w:val="24"/>
        </w:rPr>
        <w:t xml:space="preserve">finalizing revisions to </w:t>
      </w:r>
      <w:r w:rsidR="00ED710E" w:rsidRPr="006757FB">
        <w:rPr>
          <w:szCs w:val="24"/>
        </w:rPr>
        <w:t xml:space="preserve">the Cross-State Air Pollution Rule (CSAPR).  </w:t>
      </w:r>
      <w:r w:rsidR="0011728F">
        <w:rPr>
          <w:szCs w:val="24"/>
        </w:rPr>
        <w:t xml:space="preserve">The revisions </w:t>
      </w:r>
      <w:r w:rsidR="00471B40">
        <w:rPr>
          <w:szCs w:val="24"/>
        </w:rPr>
        <w:t xml:space="preserve">alter the </w:t>
      </w:r>
      <w:r w:rsidR="007A0908">
        <w:rPr>
          <w:szCs w:val="24"/>
        </w:rPr>
        <w:t>universe</w:t>
      </w:r>
      <w:r w:rsidR="00D41A4D">
        <w:rPr>
          <w:szCs w:val="24"/>
        </w:rPr>
        <w:t xml:space="preserve"> </w:t>
      </w:r>
      <w:r w:rsidR="00471B40">
        <w:rPr>
          <w:szCs w:val="24"/>
        </w:rPr>
        <w:t xml:space="preserve">of </w:t>
      </w:r>
      <w:r w:rsidR="0011728F">
        <w:rPr>
          <w:szCs w:val="24"/>
        </w:rPr>
        <w:t xml:space="preserve">electricity generating units (EGUs) </w:t>
      </w:r>
      <w:r w:rsidR="00DA1BBC">
        <w:rPr>
          <w:szCs w:val="24"/>
        </w:rPr>
        <w:t xml:space="preserve">covered by </w:t>
      </w:r>
      <w:r w:rsidR="000B5CB7">
        <w:rPr>
          <w:szCs w:val="24"/>
        </w:rPr>
        <w:t>CSAPR with regard to emissions of nitrogen oxides (</w:t>
      </w:r>
      <w:r w:rsidR="000B5CB7" w:rsidRPr="00F13B3A">
        <w:rPr>
          <w:szCs w:val="24"/>
        </w:rPr>
        <w:t>NO</w:t>
      </w:r>
      <w:r w:rsidR="000B5CB7" w:rsidRPr="00F13B3A">
        <w:rPr>
          <w:szCs w:val="24"/>
          <w:vertAlign w:val="subscript"/>
        </w:rPr>
        <w:t>X</w:t>
      </w:r>
      <w:r w:rsidR="000B5CB7">
        <w:rPr>
          <w:szCs w:val="24"/>
        </w:rPr>
        <w:t xml:space="preserve">) during the May-September ozone season but do </w:t>
      </w:r>
      <w:r w:rsidR="007A0908">
        <w:rPr>
          <w:szCs w:val="24"/>
        </w:rPr>
        <w:t xml:space="preserve">not alter any reporting requirements faced by an individual </w:t>
      </w:r>
      <w:r w:rsidR="00EA63B8">
        <w:rPr>
          <w:szCs w:val="24"/>
        </w:rPr>
        <w:t>unit</w:t>
      </w:r>
      <w:r w:rsidR="007A0908">
        <w:rPr>
          <w:szCs w:val="24"/>
        </w:rPr>
        <w:t xml:space="preserve"> covered by the program</w:t>
      </w:r>
      <w:r w:rsidR="00471B40">
        <w:rPr>
          <w:szCs w:val="24"/>
        </w:rPr>
        <w:t xml:space="preserve">.  This information collection request (ICR) addresses changes in information collection </w:t>
      </w:r>
      <w:r w:rsidR="00DA1BBC">
        <w:rPr>
          <w:szCs w:val="24"/>
        </w:rPr>
        <w:t xml:space="preserve">under CSAPR </w:t>
      </w:r>
      <w:r w:rsidR="00471B40">
        <w:rPr>
          <w:szCs w:val="24"/>
        </w:rPr>
        <w:t xml:space="preserve">associated with the changes in </w:t>
      </w:r>
      <w:r w:rsidR="004629F6">
        <w:rPr>
          <w:szCs w:val="24"/>
        </w:rPr>
        <w:t xml:space="preserve">the universe of units subject to the CSAPR </w:t>
      </w:r>
      <w:r w:rsidR="000B5CB7">
        <w:rPr>
          <w:szCs w:val="24"/>
        </w:rPr>
        <w:t xml:space="preserve">requirements related to ozone season </w:t>
      </w:r>
      <w:r w:rsidR="004629F6" w:rsidRPr="004629F6">
        <w:rPr>
          <w:szCs w:val="24"/>
        </w:rPr>
        <w:t>NO</w:t>
      </w:r>
      <w:r w:rsidR="004629F6" w:rsidRPr="004629F6">
        <w:rPr>
          <w:szCs w:val="24"/>
          <w:vertAlign w:val="subscript"/>
        </w:rPr>
        <w:t>X</w:t>
      </w:r>
      <w:r w:rsidR="004629F6">
        <w:rPr>
          <w:szCs w:val="24"/>
        </w:rPr>
        <w:t xml:space="preserve"> </w:t>
      </w:r>
      <w:r w:rsidR="000B5CB7">
        <w:rPr>
          <w:szCs w:val="24"/>
        </w:rPr>
        <w:t>emissions</w:t>
      </w:r>
      <w:r w:rsidR="004629F6">
        <w:rPr>
          <w:szCs w:val="24"/>
        </w:rPr>
        <w:t>.</w:t>
      </w:r>
    </w:p>
    <w:p w14:paraId="4D809B29" w14:textId="4BC924F7" w:rsidR="00CA443D" w:rsidRDefault="006757FB" w:rsidP="00183FFF">
      <w:pPr>
        <w:suppressAutoHyphens/>
        <w:autoSpaceDE w:val="0"/>
        <w:autoSpaceDN w:val="0"/>
        <w:adjustRightInd w:val="0"/>
        <w:spacing w:before="120" w:after="120"/>
        <w:ind w:firstLine="720"/>
        <w:rPr>
          <w:szCs w:val="24"/>
        </w:rPr>
      </w:pPr>
      <w:r w:rsidRPr="006757FB">
        <w:rPr>
          <w:szCs w:val="24"/>
        </w:rPr>
        <w:t>EPA issued CSAPR</w:t>
      </w:r>
      <w:r w:rsidRPr="006757FB">
        <w:rPr>
          <w:rStyle w:val="FootnoteReference"/>
          <w:szCs w:val="24"/>
        </w:rPr>
        <w:footnoteReference w:id="1"/>
      </w:r>
      <w:r w:rsidRPr="006757FB">
        <w:rPr>
          <w:szCs w:val="24"/>
        </w:rPr>
        <w:t xml:space="preserve"> in July 2011 to address </w:t>
      </w:r>
      <w:r w:rsidR="00B24694">
        <w:rPr>
          <w:szCs w:val="24"/>
        </w:rPr>
        <w:t>Clean Air Act (</w:t>
      </w:r>
      <w:r w:rsidRPr="006757FB">
        <w:rPr>
          <w:szCs w:val="24"/>
        </w:rPr>
        <w:t>CAA</w:t>
      </w:r>
      <w:r w:rsidR="00B24694">
        <w:rPr>
          <w:szCs w:val="24"/>
        </w:rPr>
        <w:t>)</w:t>
      </w:r>
      <w:r w:rsidRPr="006757FB">
        <w:rPr>
          <w:szCs w:val="24"/>
        </w:rPr>
        <w:t xml:space="preserve"> requirements concerning interstate transport of air pollution </w:t>
      </w:r>
      <w:r w:rsidR="00DA1BBC">
        <w:rPr>
          <w:szCs w:val="24"/>
        </w:rPr>
        <w:t xml:space="preserve">with respect to </w:t>
      </w:r>
      <w:r w:rsidR="00825881">
        <w:rPr>
          <w:szCs w:val="24"/>
        </w:rPr>
        <w:t xml:space="preserve">the 1997 ozone </w:t>
      </w:r>
      <w:r w:rsidR="00DA1BBC">
        <w:rPr>
          <w:szCs w:val="24"/>
        </w:rPr>
        <w:t>national ambient</w:t>
      </w:r>
      <w:r w:rsidR="00D41A4D">
        <w:rPr>
          <w:szCs w:val="24"/>
        </w:rPr>
        <w:t xml:space="preserve"> air quality standards (NAAQS)</w:t>
      </w:r>
      <w:r w:rsidR="00825881">
        <w:rPr>
          <w:szCs w:val="24"/>
        </w:rPr>
        <w:t xml:space="preserve"> and the 1997 and 2006 fine particulate matter NAAQS</w:t>
      </w:r>
      <w:r w:rsidR="00DA1BBC">
        <w:rPr>
          <w:szCs w:val="24"/>
        </w:rPr>
        <w:t xml:space="preserve">.  </w:t>
      </w:r>
      <w:r w:rsidRPr="006757FB">
        <w:rPr>
          <w:szCs w:val="24"/>
        </w:rPr>
        <w:t>As amended</w:t>
      </w:r>
      <w:r>
        <w:rPr>
          <w:szCs w:val="24"/>
        </w:rPr>
        <w:t xml:space="preserve"> in </w:t>
      </w:r>
      <w:r w:rsidR="00DA1BBC">
        <w:rPr>
          <w:szCs w:val="24"/>
        </w:rPr>
        <w:t>later</w:t>
      </w:r>
      <w:r>
        <w:rPr>
          <w:szCs w:val="24"/>
        </w:rPr>
        <w:t xml:space="preserve"> rulemakings</w:t>
      </w:r>
      <w:r w:rsidRPr="006757FB">
        <w:rPr>
          <w:szCs w:val="24"/>
        </w:rPr>
        <w:t xml:space="preserve">, CSAPR requires 28 states to limit their state-wide emissions of </w:t>
      </w:r>
      <w:r w:rsidR="007A0908">
        <w:rPr>
          <w:szCs w:val="24"/>
        </w:rPr>
        <w:t>nitrogen oxides (</w:t>
      </w:r>
      <w:r w:rsidR="007A0908" w:rsidRPr="007A0908">
        <w:rPr>
          <w:szCs w:val="24"/>
        </w:rPr>
        <w:t>NO</w:t>
      </w:r>
      <w:r w:rsidR="007A0908" w:rsidRPr="007A0908">
        <w:rPr>
          <w:szCs w:val="24"/>
          <w:vertAlign w:val="subscript"/>
        </w:rPr>
        <w:t>X</w:t>
      </w:r>
      <w:r w:rsidR="007A0908">
        <w:rPr>
          <w:szCs w:val="24"/>
        </w:rPr>
        <w:t xml:space="preserve">) and/or </w:t>
      </w:r>
      <w:r w:rsidR="00D41A4D">
        <w:rPr>
          <w:szCs w:val="24"/>
        </w:rPr>
        <w:t>sulfur dioxide (</w:t>
      </w:r>
      <w:r w:rsidRPr="006757FB">
        <w:rPr>
          <w:szCs w:val="24"/>
        </w:rPr>
        <w:t>SO</w:t>
      </w:r>
      <w:r w:rsidRPr="006757FB">
        <w:rPr>
          <w:szCs w:val="24"/>
          <w:vertAlign w:val="subscript"/>
        </w:rPr>
        <w:t>2</w:t>
      </w:r>
      <w:r w:rsidR="00D41A4D">
        <w:rPr>
          <w:szCs w:val="24"/>
        </w:rPr>
        <w:t xml:space="preserve">) </w:t>
      </w:r>
      <w:r w:rsidR="000D097E">
        <w:rPr>
          <w:szCs w:val="24"/>
        </w:rPr>
        <w:t xml:space="preserve">beginning in 2015, and in some cases to limit emissions further beginning in 2017, </w:t>
      </w:r>
      <w:r w:rsidRPr="006757FB">
        <w:rPr>
          <w:szCs w:val="24"/>
        </w:rPr>
        <w:t xml:space="preserve">in order to reduce or eliminate the states’ unlawful contributions to </w:t>
      </w:r>
      <w:r w:rsidR="007A0908">
        <w:rPr>
          <w:szCs w:val="24"/>
        </w:rPr>
        <w:t xml:space="preserve">ozone and </w:t>
      </w:r>
      <w:r w:rsidR="002020C2">
        <w:rPr>
          <w:szCs w:val="24"/>
        </w:rPr>
        <w:t xml:space="preserve">fine particulate matter pollution </w:t>
      </w:r>
      <w:r w:rsidRPr="006757FB">
        <w:rPr>
          <w:szCs w:val="24"/>
        </w:rPr>
        <w:t xml:space="preserve">in other states. The emissions limitations are defined in terms of maximum state-wide “budgets” for emissions of </w:t>
      </w:r>
      <w:r w:rsidR="00B7599C">
        <w:rPr>
          <w:szCs w:val="24"/>
        </w:rPr>
        <w:t>ozone season</w:t>
      </w:r>
      <w:r w:rsidR="00B7599C">
        <w:rPr>
          <w:rStyle w:val="FootnoteReference"/>
          <w:szCs w:val="24"/>
        </w:rPr>
        <w:footnoteReference w:id="2"/>
      </w:r>
      <w:r w:rsidR="00B7599C">
        <w:rPr>
          <w:szCs w:val="24"/>
        </w:rPr>
        <w:t xml:space="preserve"> </w:t>
      </w:r>
      <w:r w:rsidR="00B7599C" w:rsidRPr="00B7599C">
        <w:rPr>
          <w:szCs w:val="24"/>
        </w:rPr>
        <w:t>NO</w:t>
      </w:r>
      <w:r w:rsidR="00B7599C" w:rsidRPr="00B7599C">
        <w:rPr>
          <w:szCs w:val="24"/>
          <w:vertAlign w:val="subscript"/>
        </w:rPr>
        <w:t>X</w:t>
      </w:r>
      <w:r w:rsidR="00B7599C">
        <w:rPr>
          <w:szCs w:val="24"/>
        </w:rPr>
        <w:t xml:space="preserve">, </w:t>
      </w:r>
      <w:r w:rsidRPr="006757FB">
        <w:rPr>
          <w:szCs w:val="24"/>
        </w:rPr>
        <w:t>annual NO</w:t>
      </w:r>
      <w:r w:rsidRPr="006757FB">
        <w:rPr>
          <w:szCs w:val="24"/>
          <w:vertAlign w:val="subscript"/>
        </w:rPr>
        <w:t>X</w:t>
      </w:r>
      <w:r w:rsidRPr="006757FB">
        <w:rPr>
          <w:szCs w:val="24"/>
        </w:rPr>
        <w:t xml:space="preserve">, </w:t>
      </w:r>
      <w:r w:rsidR="007A0908">
        <w:rPr>
          <w:szCs w:val="24"/>
        </w:rPr>
        <w:t xml:space="preserve">and/or annual </w:t>
      </w:r>
      <w:r w:rsidR="007A0908" w:rsidRPr="007A0908">
        <w:rPr>
          <w:szCs w:val="24"/>
        </w:rPr>
        <w:t>SO</w:t>
      </w:r>
      <w:r w:rsidR="007A0908" w:rsidRPr="007A0908">
        <w:rPr>
          <w:szCs w:val="24"/>
          <w:vertAlign w:val="subscript"/>
        </w:rPr>
        <w:t>2</w:t>
      </w:r>
      <w:r w:rsidR="007A0908">
        <w:rPr>
          <w:szCs w:val="24"/>
        </w:rPr>
        <w:t xml:space="preserve"> </w:t>
      </w:r>
      <w:r w:rsidRPr="006757FB">
        <w:rPr>
          <w:szCs w:val="24"/>
        </w:rPr>
        <w:t xml:space="preserve">by each state’s </w:t>
      </w:r>
      <w:r w:rsidR="00F174ED">
        <w:rPr>
          <w:szCs w:val="24"/>
        </w:rPr>
        <w:t>EGUs</w:t>
      </w:r>
      <w:r w:rsidRPr="006757FB">
        <w:rPr>
          <w:szCs w:val="24"/>
        </w:rPr>
        <w:t>.</w:t>
      </w:r>
      <w:r w:rsidR="00183FFF">
        <w:rPr>
          <w:szCs w:val="24"/>
        </w:rPr>
        <w:t xml:space="preserve">  </w:t>
      </w:r>
      <w:r w:rsidRPr="006757FB">
        <w:rPr>
          <w:szCs w:val="24"/>
        </w:rPr>
        <w:t>As the mechanism for achieving compliance with the emissions limitations, CSAPR require</w:t>
      </w:r>
      <w:r w:rsidR="00183FFF">
        <w:rPr>
          <w:szCs w:val="24"/>
        </w:rPr>
        <w:t>s</w:t>
      </w:r>
      <w:r w:rsidRPr="006757FB">
        <w:rPr>
          <w:szCs w:val="24"/>
        </w:rPr>
        <w:t xml:space="preserve"> </w:t>
      </w:r>
      <w:r w:rsidR="00DA1BBC">
        <w:rPr>
          <w:szCs w:val="24"/>
        </w:rPr>
        <w:t xml:space="preserve">the </w:t>
      </w:r>
      <w:r w:rsidR="009901B3">
        <w:rPr>
          <w:szCs w:val="24"/>
        </w:rPr>
        <w:t xml:space="preserve">affected </w:t>
      </w:r>
      <w:r w:rsidR="00F174ED">
        <w:rPr>
          <w:szCs w:val="24"/>
        </w:rPr>
        <w:t>unit</w:t>
      </w:r>
      <w:r w:rsidR="00DA1BBC">
        <w:rPr>
          <w:szCs w:val="24"/>
        </w:rPr>
        <w:t>s</w:t>
      </w:r>
      <w:r w:rsidRPr="006757FB">
        <w:rPr>
          <w:szCs w:val="24"/>
        </w:rPr>
        <w:t xml:space="preserve"> in each affected state to participate in one or more </w:t>
      </w:r>
      <w:r w:rsidR="00DA1BBC">
        <w:rPr>
          <w:szCs w:val="24"/>
        </w:rPr>
        <w:t xml:space="preserve">emissions trading programs.  Under </w:t>
      </w:r>
      <w:r w:rsidR="002020C2">
        <w:rPr>
          <w:szCs w:val="24"/>
        </w:rPr>
        <w:t>e</w:t>
      </w:r>
      <w:r w:rsidR="00DA1BBC">
        <w:rPr>
          <w:szCs w:val="24"/>
        </w:rPr>
        <w:t xml:space="preserve">ach trading program, </w:t>
      </w:r>
      <w:r w:rsidR="002020C2">
        <w:rPr>
          <w:szCs w:val="24"/>
        </w:rPr>
        <w:t>an affected</w:t>
      </w:r>
      <w:r w:rsidR="00DA1BBC">
        <w:rPr>
          <w:szCs w:val="24"/>
        </w:rPr>
        <w:t xml:space="preserve"> </w:t>
      </w:r>
      <w:r w:rsidR="00F174ED">
        <w:rPr>
          <w:szCs w:val="24"/>
        </w:rPr>
        <w:t>unit</w:t>
      </w:r>
      <w:r w:rsidR="00DA1BBC">
        <w:rPr>
          <w:szCs w:val="24"/>
        </w:rPr>
        <w:t xml:space="preserve"> is required to </w:t>
      </w:r>
      <w:r w:rsidR="007A0908">
        <w:rPr>
          <w:szCs w:val="24"/>
        </w:rPr>
        <w:t xml:space="preserve">report its emissions and to </w:t>
      </w:r>
      <w:r w:rsidR="00DA1BBC">
        <w:rPr>
          <w:szCs w:val="24"/>
        </w:rPr>
        <w:t xml:space="preserve">surrender emission allowances sufficient to cover </w:t>
      </w:r>
      <w:r w:rsidR="007A0908">
        <w:rPr>
          <w:szCs w:val="24"/>
        </w:rPr>
        <w:t>those</w:t>
      </w:r>
      <w:r w:rsidR="00DA1BBC">
        <w:rPr>
          <w:szCs w:val="24"/>
        </w:rPr>
        <w:t xml:space="preserve"> emissions, and the total quantities of allowances issued to the </w:t>
      </w:r>
      <w:r w:rsidR="009901B3">
        <w:rPr>
          <w:szCs w:val="24"/>
        </w:rPr>
        <w:t xml:space="preserve">affected </w:t>
      </w:r>
      <w:r w:rsidR="00F174ED">
        <w:rPr>
          <w:szCs w:val="24"/>
        </w:rPr>
        <w:t>unit</w:t>
      </w:r>
      <w:r w:rsidR="00DA1BBC">
        <w:rPr>
          <w:szCs w:val="24"/>
        </w:rPr>
        <w:t xml:space="preserve">s in each state are </w:t>
      </w:r>
      <w:r w:rsidR="007A0908">
        <w:rPr>
          <w:szCs w:val="24"/>
        </w:rPr>
        <w:t xml:space="preserve">limited to the amounts in </w:t>
      </w:r>
      <w:r w:rsidR="00DA1BBC">
        <w:rPr>
          <w:szCs w:val="24"/>
        </w:rPr>
        <w:t>the state-wide emissions budgets.</w:t>
      </w:r>
      <w:r w:rsidR="00391A0F">
        <w:rPr>
          <w:szCs w:val="24"/>
        </w:rPr>
        <w:t xml:space="preserve">  </w:t>
      </w:r>
    </w:p>
    <w:p w14:paraId="568A74EE" w14:textId="6E564AD2" w:rsidR="00C3555B" w:rsidRDefault="00391A0F" w:rsidP="00CA443D">
      <w:pPr>
        <w:suppressAutoHyphens/>
        <w:autoSpaceDE w:val="0"/>
        <w:autoSpaceDN w:val="0"/>
        <w:adjustRightInd w:val="0"/>
        <w:spacing w:before="120" w:after="120"/>
        <w:ind w:firstLine="720"/>
        <w:rPr>
          <w:szCs w:val="24"/>
        </w:rPr>
      </w:pPr>
      <w:r>
        <w:rPr>
          <w:szCs w:val="24"/>
        </w:rPr>
        <w:t>Implementation of CSAPR began in January 2015</w:t>
      </w:r>
      <w:r w:rsidR="00CA443D">
        <w:rPr>
          <w:szCs w:val="24"/>
        </w:rPr>
        <w:t xml:space="preserve"> following </w:t>
      </w:r>
      <w:r w:rsidR="00CF30B1">
        <w:rPr>
          <w:szCs w:val="24"/>
        </w:rPr>
        <w:t xml:space="preserve">the U.S. Supreme Court’s reversal of a </w:t>
      </w:r>
      <w:r w:rsidR="00B7599C">
        <w:rPr>
          <w:szCs w:val="24"/>
        </w:rPr>
        <w:t xml:space="preserve">2012 </w:t>
      </w:r>
      <w:r w:rsidR="00CF30B1">
        <w:rPr>
          <w:szCs w:val="24"/>
        </w:rPr>
        <w:t xml:space="preserve">decision by </w:t>
      </w:r>
      <w:r w:rsidR="00CA443D">
        <w:rPr>
          <w:szCs w:val="24"/>
        </w:rPr>
        <w:t xml:space="preserve">the </w:t>
      </w:r>
      <w:r>
        <w:rPr>
          <w:szCs w:val="24"/>
        </w:rPr>
        <w:t>U.S. Court of Appeals for the Distri</w:t>
      </w:r>
      <w:r w:rsidR="00CA443D">
        <w:rPr>
          <w:szCs w:val="24"/>
        </w:rPr>
        <w:t xml:space="preserve">ct of Columbia Circuit (D.C. Circuit) </w:t>
      </w:r>
      <w:r w:rsidR="00CF30B1">
        <w:rPr>
          <w:szCs w:val="24"/>
        </w:rPr>
        <w:t>vacating the rule</w:t>
      </w:r>
      <w:r w:rsidR="00CA443D">
        <w:rPr>
          <w:szCs w:val="24"/>
        </w:rPr>
        <w:t>.</w:t>
      </w:r>
      <w:r w:rsidR="00CF30B1">
        <w:rPr>
          <w:rStyle w:val="FootnoteReference"/>
          <w:szCs w:val="24"/>
        </w:rPr>
        <w:footnoteReference w:id="3"/>
      </w:r>
      <w:r w:rsidR="00CA443D">
        <w:rPr>
          <w:szCs w:val="24"/>
        </w:rPr>
        <w:t xml:space="preserve">  In </w:t>
      </w:r>
      <w:r w:rsidR="00383D64">
        <w:rPr>
          <w:szCs w:val="24"/>
        </w:rPr>
        <w:t xml:space="preserve">July 2015, the D.C. Circuit </w:t>
      </w:r>
      <w:r w:rsidR="00CA443D">
        <w:rPr>
          <w:szCs w:val="24"/>
        </w:rPr>
        <w:t>issued a</w:t>
      </w:r>
      <w:r w:rsidR="00B7599C">
        <w:rPr>
          <w:szCs w:val="24"/>
        </w:rPr>
        <w:t xml:space="preserve"> second</w:t>
      </w:r>
      <w:r w:rsidR="00CF30B1">
        <w:rPr>
          <w:szCs w:val="24"/>
        </w:rPr>
        <w:t xml:space="preserve"> </w:t>
      </w:r>
      <w:r w:rsidR="00D41A4D">
        <w:rPr>
          <w:szCs w:val="24"/>
        </w:rPr>
        <w:t xml:space="preserve">decision </w:t>
      </w:r>
      <w:r w:rsidR="00CF30B1">
        <w:rPr>
          <w:szCs w:val="24"/>
        </w:rPr>
        <w:t xml:space="preserve">on CSAPR </w:t>
      </w:r>
      <w:r w:rsidR="007A0908">
        <w:rPr>
          <w:szCs w:val="24"/>
        </w:rPr>
        <w:t xml:space="preserve">largely upholding </w:t>
      </w:r>
      <w:r w:rsidR="00CF30B1">
        <w:rPr>
          <w:szCs w:val="24"/>
        </w:rPr>
        <w:t xml:space="preserve">the rule </w:t>
      </w:r>
      <w:r w:rsidR="007A0908">
        <w:rPr>
          <w:szCs w:val="24"/>
        </w:rPr>
        <w:t xml:space="preserve">against </w:t>
      </w:r>
      <w:r w:rsidR="00825881">
        <w:rPr>
          <w:szCs w:val="24"/>
        </w:rPr>
        <w:t xml:space="preserve">remaining challenges </w:t>
      </w:r>
      <w:r w:rsidR="00D41A4D">
        <w:rPr>
          <w:szCs w:val="24"/>
        </w:rPr>
        <w:t xml:space="preserve">but </w:t>
      </w:r>
      <w:r w:rsidR="00CA443D">
        <w:rPr>
          <w:szCs w:val="24"/>
        </w:rPr>
        <w:t xml:space="preserve">remanding </w:t>
      </w:r>
      <w:r w:rsidR="00825881">
        <w:rPr>
          <w:szCs w:val="24"/>
        </w:rPr>
        <w:t xml:space="preserve">certain state budgets </w:t>
      </w:r>
      <w:r w:rsidR="00D41A4D">
        <w:rPr>
          <w:szCs w:val="24"/>
        </w:rPr>
        <w:t>to EPA for reconsideration</w:t>
      </w:r>
      <w:r w:rsidR="00825881">
        <w:rPr>
          <w:szCs w:val="24"/>
        </w:rPr>
        <w:t>,</w:t>
      </w:r>
      <w:r w:rsidR="00D41A4D">
        <w:rPr>
          <w:szCs w:val="24"/>
        </w:rPr>
        <w:t xml:space="preserve"> </w:t>
      </w:r>
      <w:r w:rsidR="00825881">
        <w:rPr>
          <w:szCs w:val="24"/>
        </w:rPr>
        <w:t xml:space="preserve">including </w:t>
      </w:r>
      <w:r w:rsidR="007A0908">
        <w:rPr>
          <w:szCs w:val="24"/>
        </w:rPr>
        <w:t xml:space="preserve">11 states’ </w:t>
      </w:r>
      <w:r w:rsidR="000B5CB7">
        <w:rPr>
          <w:szCs w:val="24"/>
        </w:rPr>
        <w:t xml:space="preserve">Phase 2 budgets for ozone season </w:t>
      </w:r>
      <w:r w:rsidR="00DD55C2" w:rsidRPr="00DD55C2">
        <w:rPr>
          <w:szCs w:val="24"/>
        </w:rPr>
        <w:t>NO</w:t>
      </w:r>
      <w:r w:rsidR="00DD55C2" w:rsidRPr="00DD55C2">
        <w:rPr>
          <w:szCs w:val="24"/>
          <w:vertAlign w:val="subscript"/>
        </w:rPr>
        <w:t>X</w:t>
      </w:r>
      <w:r w:rsidR="00DD55C2">
        <w:rPr>
          <w:szCs w:val="24"/>
        </w:rPr>
        <w:t xml:space="preserve"> </w:t>
      </w:r>
      <w:r w:rsidR="000B5CB7">
        <w:rPr>
          <w:szCs w:val="24"/>
        </w:rPr>
        <w:lastRenderedPageBreak/>
        <w:t xml:space="preserve">emissions in </w:t>
      </w:r>
      <w:r w:rsidR="00D41A4D">
        <w:rPr>
          <w:szCs w:val="24"/>
        </w:rPr>
        <w:t>2017 and subsequent years</w:t>
      </w:r>
      <w:r w:rsidR="00DD55C2">
        <w:rPr>
          <w:szCs w:val="24"/>
        </w:rPr>
        <w:t>.</w:t>
      </w:r>
      <w:r w:rsidR="006C796C">
        <w:rPr>
          <w:rStyle w:val="FootnoteReference"/>
          <w:szCs w:val="24"/>
        </w:rPr>
        <w:footnoteReference w:id="4"/>
      </w:r>
      <w:r w:rsidR="00D41A4D">
        <w:rPr>
          <w:szCs w:val="24"/>
        </w:rPr>
        <w:t xml:space="preserve">  At the time of the D.C. Circuit’s </w:t>
      </w:r>
      <w:r w:rsidR="00CF30B1">
        <w:rPr>
          <w:szCs w:val="24"/>
        </w:rPr>
        <w:t xml:space="preserve">second </w:t>
      </w:r>
      <w:r w:rsidR="00B7599C">
        <w:rPr>
          <w:szCs w:val="24"/>
        </w:rPr>
        <w:t xml:space="preserve">CSAPR </w:t>
      </w:r>
      <w:r w:rsidR="00D41A4D">
        <w:rPr>
          <w:szCs w:val="24"/>
        </w:rPr>
        <w:t xml:space="preserve">decision, EPA had already commenced </w:t>
      </w:r>
      <w:r w:rsidR="002020C2">
        <w:rPr>
          <w:szCs w:val="24"/>
        </w:rPr>
        <w:t xml:space="preserve">analysis of </w:t>
      </w:r>
      <w:r w:rsidR="00D41A4D">
        <w:rPr>
          <w:szCs w:val="24"/>
        </w:rPr>
        <w:t xml:space="preserve">states’ </w:t>
      </w:r>
      <w:r w:rsidR="002020C2">
        <w:rPr>
          <w:szCs w:val="24"/>
        </w:rPr>
        <w:t xml:space="preserve">potential </w:t>
      </w:r>
      <w:r w:rsidR="00D41A4D">
        <w:rPr>
          <w:szCs w:val="24"/>
        </w:rPr>
        <w:t xml:space="preserve">obligations </w:t>
      </w:r>
      <w:r w:rsidR="00F134B6">
        <w:rPr>
          <w:szCs w:val="24"/>
        </w:rPr>
        <w:t xml:space="preserve">related to </w:t>
      </w:r>
      <w:r w:rsidR="00D41A4D">
        <w:rPr>
          <w:szCs w:val="24"/>
        </w:rPr>
        <w:t xml:space="preserve">interstate transport </w:t>
      </w:r>
      <w:r w:rsidR="00F134B6">
        <w:rPr>
          <w:szCs w:val="24"/>
        </w:rPr>
        <w:t xml:space="preserve">under the </w:t>
      </w:r>
      <w:r w:rsidR="00D41A4D">
        <w:rPr>
          <w:szCs w:val="24"/>
        </w:rPr>
        <w:t xml:space="preserve">2008 ozone NAAQS.  </w:t>
      </w:r>
      <w:r w:rsidR="00F134B6">
        <w:rPr>
          <w:szCs w:val="24"/>
        </w:rPr>
        <w:t xml:space="preserve">This rulemaking </w:t>
      </w:r>
      <w:r w:rsidR="000D097E">
        <w:rPr>
          <w:szCs w:val="24"/>
        </w:rPr>
        <w:t xml:space="preserve">both </w:t>
      </w:r>
      <w:r w:rsidR="000B5CB7">
        <w:rPr>
          <w:szCs w:val="24"/>
        </w:rPr>
        <w:t xml:space="preserve">responds </w:t>
      </w:r>
      <w:r w:rsidR="000D097E">
        <w:rPr>
          <w:szCs w:val="24"/>
        </w:rPr>
        <w:t xml:space="preserve">to </w:t>
      </w:r>
      <w:r w:rsidR="00F134B6">
        <w:rPr>
          <w:szCs w:val="24"/>
        </w:rPr>
        <w:t xml:space="preserve">the D.C. Circuit’s remand of </w:t>
      </w:r>
      <w:r w:rsidR="000B5CB7">
        <w:rPr>
          <w:szCs w:val="24"/>
        </w:rPr>
        <w:t xml:space="preserve">CSAPR Phase 2 ozone season </w:t>
      </w:r>
      <w:r w:rsidR="00F134B6" w:rsidRPr="00F134B6">
        <w:rPr>
          <w:szCs w:val="24"/>
        </w:rPr>
        <w:t>NO</w:t>
      </w:r>
      <w:r w:rsidR="00F134B6" w:rsidRPr="00F134B6">
        <w:rPr>
          <w:szCs w:val="24"/>
          <w:vertAlign w:val="subscript"/>
        </w:rPr>
        <w:t>X</w:t>
      </w:r>
      <w:r w:rsidR="00F134B6">
        <w:rPr>
          <w:szCs w:val="24"/>
        </w:rPr>
        <w:t xml:space="preserve"> budgets </w:t>
      </w:r>
      <w:r w:rsidR="009901B3">
        <w:rPr>
          <w:szCs w:val="24"/>
        </w:rPr>
        <w:t xml:space="preserve">established with respect to the 1997 ozone season NAAQS </w:t>
      </w:r>
      <w:r w:rsidR="00F134B6">
        <w:rPr>
          <w:szCs w:val="24"/>
        </w:rPr>
        <w:t xml:space="preserve">for certain states and </w:t>
      </w:r>
      <w:r w:rsidR="009901B3">
        <w:rPr>
          <w:szCs w:val="24"/>
        </w:rPr>
        <w:t xml:space="preserve">also </w:t>
      </w:r>
      <w:r w:rsidR="000B5CB7">
        <w:rPr>
          <w:szCs w:val="24"/>
        </w:rPr>
        <w:t xml:space="preserve">addresses </w:t>
      </w:r>
      <w:r w:rsidR="00F134B6">
        <w:rPr>
          <w:szCs w:val="24"/>
        </w:rPr>
        <w:t>obligations with respect to the 2008 ozone NAAQS</w:t>
      </w:r>
      <w:r w:rsidR="009901B3">
        <w:rPr>
          <w:szCs w:val="24"/>
        </w:rPr>
        <w:t xml:space="preserve"> for a larger group of states</w:t>
      </w:r>
      <w:r w:rsidR="00DA1F7F">
        <w:rPr>
          <w:szCs w:val="24"/>
        </w:rPr>
        <w:t xml:space="preserve">.  </w:t>
      </w:r>
    </w:p>
    <w:p w14:paraId="42991DCA" w14:textId="4F6089EA" w:rsidR="00C3555B" w:rsidRDefault="00561F3F" w:rsidP="00CA443D">
      <w:pPr>
        <w:suppressAutoHyphens/>
        <w:autoSpaceDE w:val="0"/>
        <w:autoSpaceDN w:val="0"/>
        <w:adjustRightInd w:val="0"/>
        <w:spacing w:before="120" w:after="120"/>
        <w:ind w:firstLine="720"/>
        <w:rPr>
          <w:szCs w:val="24"/>
        </w:rPr>
      </w:pPr>
      <w:r>
        <w:rPr>
          <w:szCs w:val="24"/>
        </w:rPr>
        <w:t xml:space="preserve">Specifically, for 21 of the 25 states for which CSAPR ozone season </w:t>
      </w:r>
      <w:r w:rsidRPr="00522B38">
        <w:rPr>
          <w:szCs w:val="24"/>
        </w:rPr>
        <w:t>NO</w:t>
      </w:r>
      <w:r w:rsidRPr="00522B38">
        <w:rPr>
          <w:szCs w:val="24"/>
          <w:vertAlign w:val="subscript"/>
        </w:rPr>
        <w:t>X</w:t>
      </w:r>
      <w:r>
        <w:rPr>
          <w:szCs w:val="24"/>
        </w:rPr>
        <w:t xml:space="preserve">  emissions budgets were previously established to address </w:t>
      </w:r>
      <w:r w:rsidR="005153D3">
        <w:rPr>
          <w:szCs w:val="24"/>
        </w:rPr>
        <w:t xml:space="preserve">the states’ </w:t>
      </w:r>
      <w:r>
        <w:rPr>
          <w:szCs w:val="24"/>
        </w:rPr>
        <w:t xml:space="preserve">interstate transport obligations under the 1997 ozone NAAQS, this rule establishes revised ozone season </w:t>
      </w:r>
      <w:r w:rsidRPr="00522B38">
        <w:rPr>
          <w:szCs w:val="24"/>
        </w:rPr>
        <w:t>NO</w:t>
      </w:r>
      <w:r w:rsidRPr="00522B38">
        <w:rPr>
          <w:szCs w:val="24"/>
          <w:vertAlign w:val="subscript"/>
        </w:rPr>
        <w:t>X</w:t>
      </w:r>
      <w:r>
        <w:rPr>
          <w:szCs w:val="24"/>
        </w:rPr>
        <w:t xml:space="preserve"> emissions budgets to address </w:t>
      </w:r>
      <w:r w:rsidR="005153D3">
        <w:rPr>
          <w:szCs w:val="24"/>
        </w:rPr>
        <w:t xml:space="preserve">the states’ </w:t>
      </w:r>
      <w:r>
        <w:rPr>
          <w:szCs w:val="24"/>
        </w:rPr>
        <w:t xml:space="preserve">interstate transport </w:t>
      </w:r>
      <w:r w:rsidR="005153D3">
        <w:rPr>
          <w:szCs w:val="24"/>
        </w:rPr>
        <w:t xml:space="preserve">obligations </w:t>
      </w:r>
      <w:r>
        <w:rPr>
          <w:szCs w:val="24"/>
        </w:rPr>
        <w:t xml:space="preserve">under the 2008 ozone NAAQS.  This rule also establishes a new ozone season </w:t>
      </w:r>
      <w:r w:rsidRPr="00522B38">
        <w:rPr>
          <w:szCs w:val="24"/>
        </w:rPr>
        <w:t>NO</w:t>
      </w:r>
      <w:r w:rsidRPr="00522B38">
        <w:rPr>
          <w:szCs w:val="24"/>
          <w:vertAlign w:val="subscript"/>
        </w:rPr>
        <w:t>X</w:t>
      </w:r>
      <w:r>
        <w:rPr>
          <w:szCs w:val="24"/>
        </w:rPr>
        <w:t xml:space="preserve"> emissions budget for one state (Kansas) for which no CSAPR budget for ozone season </w:t>
      </w:r>
      <w:r w:rsidRPr="00522B38">
        <w:rPr>
          <w:szCs w:val="24"/>
        </w:rPr>
        <w:t>NO</w:t>
      </w:r>
      <w:r w:rsidRPr="00522B38">
        <w:rPr>
          <w:szCs w:val="24"/>
          <w:vertAlign w:val="subscript"/>
        </w:rPr>
        <w:t>X</w:t>
      </w:r>
      <w:r>
        <w:rPr>
          <w:szCs w:val="24"/>
        </w:rPr>
        <w:t xml:space="preserve"> emissions was previously established.  Sources in these 22 states will be required to participate in a new CSAPR </w:t>
      </w:r>
      <w:r w:rsidRPr="00522B38">
        <w:rPr>
          <w:szCs w:val="24"/>
        </w:rPr>
        <w:t>NO</w:t>
      </w:r>
      <w:r w:rsidRPr="00522B38">
        <w:rPr>
          <w:szCs w:val="24"/>
          <w:vertAlign w:val="subscript"/>
        </w:rPr>
        <w:t>X</w:t>
      </w:r>
      <w:r>
        <w:rPr>
          <w:szCs w:val="24"/>
        </w:rPr>
        <w:t xml:space="preserve"> Ozone Season Group 2 Trading Program</w:t>
      </w:r>
      <w:r w:rsidR="00580ED3">
        <w:rPr>
          <w:szCs w:val="24"/>
        </w:rPr>
        <w:t xml:space="preserve"> in subpart EEEEE of 40 CFR part 97 (40 CFR 97.801 through 97.835)</w:t>
      </w:r>
      <w:r w:rsidR="00A34A90">
        <w:rPr>
          <w:szCs w:val="24"/>
        </w:rPr>
        <w:t xml:space="preserve"> instead of </w:t>
      </w:r>
      <w:r w:rsidR="00C3555B">
        <w:rPr>
          <w:szCs w:val="24"/>
        </w:rPr>
        <w:t xml:space="preserve">the existing CSAPR trading program for ozone season </w:t>
      </w:r>
      <w:r w:rsidR="00C3555B" w:rsidRPr="00522B38">
        <w:rPr>
          <w:szCs w:val="24"/>
        </w:rPr>
        <w:t>NO</w:t>
      </w:r>
      <w:r w:rsidR="00C3555B" w:rsidRPr="00522B38">
        <w:rPr>
          <w:szCs w:val="24"/>
          <w:vertAlign w:val="subscript"/>
        </w:rPr>
        <w:t>X</w:t>
      </w:r>
      <w:r w:rsidR="00C3555B" w:rsidRPr="00C3555B">
        <w:rPr>
          <w:szCs w:val="24"/>
        </w:rPr>
        <w:t xml:space="preserve"> emissions</w:t>
      </w:r>
      <w:r w:rsidR="00D901B6">
        <w:rPr>
          <w:szCs w:val="24"/>
        </w:rPr>
        <w:t xml:space="preserve"> in subpart BBBBB of 40 CFR part 97 (40 CFR 97.501 through 97.535), which is being renamed the CSAPR </w:t>
      </w:r>
      <w:r w:rsidR="00D901B6" w:rsidRPr="00522B38">
        <w:rPr>
          <w:szCs w:val="24"/>
        </w:rPr>
        <w:t>NO</w:t>
      </w:r>
      <w:r w:rsidR="00D901B6" w:rsidRPr="00522B38">
        <w:rPr>
          <w:szCs w:val="24"/>
          <w:vertAlign w:val="subscript"/>
        </w:rPr>
        <w:t>X</w:t>
      </w:r>
      <w:r w:rsidR="00D901B6">
        <w:rPr>
          <w:szCs w:val="24"/>
        </w:rPr>
        <w:t xml:space="preserve"> Ozone Season Group 1 Trading Program</w:t>
      </w:r>
      <w:r w:rsidR="00C3555B" w:rsidRPr="00C3555B">
        <w:rPr>
          <w:szCs w:val="24"/>
        </w:rPr>
        <w:t>.</w:t>
      </w:r>
      <w:r w:rsidR="002C5C1A" w:rsidRPr="002C5C1A">
        <w:rPr>
          <w:szCs w:val="24"/>
        </w:rPr>
        <w:t xml:space="preserve"> </w:t>
      </w:r>
      <w:r w:rsidR="00A22F74">
        <w:rPr>
          <w:szCs w:val="24"/>
        </w:rPr>
        <w:t xml:space="preserve">Where any of these states is </w:t>
      </w:r>
      <w:r w:rsidR="008C4D87">
        <w:rPr>
          <w:szCs w:val="24"/>
        </w:rPr>
        <w:t xml:space="preserve">subject to the </w:t>
      </w:r>
      <w:r w:rsidR="008C4D87" w:rsidRPr="00522B38">
        <w:rPr>
          <w:szCs w:val="24"/>
        </w:rPr>
        <w:t>NO</w:t>
      </w:r>
      <w:r w:rsidR="008C4D87" w:rsidRPr="00522B38">
        <w:rPr>
          <w:szCs w:val="24"/>
          <w:vertAlign w:val="subscript"/>
        </w:rPr>
        <w:t>X</w:t>
      </w:r>
      <w:r w:rsidR="008C4D87">
        <w:rPr>
          <w:szCs w:val="24"/>
        </w:rPr>
        <w:t xml:space="preserve"> SIP Call, this rule gives the</w:t>
      </w:r>
      <w:r w:rsidR="00A22F74">
        <w:rPr>
          <w:szCs w:val="24"/>
        </w:rPr>
        <w:t xml:space="preserve"> state the option to </w:t>
      </w:r>
      <w:r w:rsidR="0001568B">
        <w:rPr>
          <w:szCs w:val="24"/>
        </w:rPr>
        <w:t xml:space="preserve">require </w:t>
      </w:r>
      <w:r w:rsidR="00A22F74">
        <w:rPr>
          <w:szCs w:val="24"/>
        </w:rPr>
        <w:t xml:space="preserve">its non-CSAPR sources subject to the former </w:t>
      </w:r>
      <w:r w:rsidR="002C5C1A" w:rsidRPr="00522B38">
        <w:rPr>
          <w:szCs w:val="24"/>
        </w:rPr>
        <w:t>NO</w:t>
      </w:r>
      <w:r w:rsidR="002C5C1A" w:rsidRPr="00522B38">
        <w:rPr>
          <w:szCs w:val="24"/>
          <w:vertAlign w:val="subscript"/>
        </w:rPr>
        <w:t>X</w:t>
      </w:r>
      <w:r w:rsidR="002C5C1A">
        <w:rPr>
          <w:szCs w:val="24"/>
        </w:rPr>
        <w:t xml:space="preserve"> Budget Trading Program (NBP)</w:t>
      </w:r>
      <w:r w:rsidR="00A22F74">
        <w:rPr>
          <w:szCs w:val="24"/>
        </w:rPr>
        <w:t xml:space="preserve"> to participate in </w:t>
      </w:r>
      <w:r w:rsidR="002C5C1A">
        <w:rPr>
          <w:szCs w:val="24"/>
        </w:rPr>
        <w:t xml:space="preserve">the CSAPR </w:t>
      </w:r>
      <w:r w:rsidR="002C5C1A" w:rsidRPr="00522B38">
        <w:rPr>
          <w:szCs w:val="24"/>
        </w:rPr>
        <w:t>NO</w:t>
      </w:r>
      <w:r w:rsidR="002C5C1A" w:rsidRPr="00522B38">
        <w:rPr>
          <w:szCs w:val="24"/>
          <w:vertAlign w:val="subscript"/>
        </w:rPr>
        <w:t>X</w:t>
      </w:r>
      <w:r w:rsidR="002C5C1A">
        <w:rPr>
          <w:szCs w:val="24"/>
        </w:rPr>
        <w:t xml:space="preserve"> Ozone Season Group 2 Trading Program</w:t>
      </w:r>
      <w:r w:rsidR="00A22F74">
        <w:rPr>
          <w:szCs w:val="24"/>
        </w:rPr>
        <w:t xml:space="preserve"> as well</w:t>
      </w:r>
      <w:r w:rsidR="002C5C1A">
        <w:rPr>
          <w:szCs w:val="24"/>
        </w:rPr>
        <w:t>.</w:t>
      </w:r>
    </w:p>
    <w:p w14:paraId="043CAB01" w14:textId="7FB9FFC0" w:rsidR="00CF30B1" w:rsidRDefault="001F7809" w:rsidP="00CA443D">
      <w:pPr>
        <w:suppressAutoHyphens/>
        <w:autoSpaceDE w:val="0"/>
        <w:autoSpaceDN w:val="0"/>
        <w:adjustRightInd w:val="0"/>
        <w:spacing w:before="120" w:after="120"/>
        <w:ind w:firstLine="720"/>
        <w:rPr>
          <w:szCs w:val="24"/>
        </w:rPr>
      </w:pPr>
      <w:r>
        <w:rPr>
          <w:szCs w:val="24"/>
        </w:rPr>
        <w:t xml:space="preserve">The remaining </w:t>
      </w:r>
      <w:r w:rsidR="00D6779D">
        <w:rPr>
          <w:szCs w:val="24"/>
        </w:rPr>
        <w:t>four</w:t>
      </w:r>
      <w:r>
        <w:rPr>
          <w:szCs w:val="24"/>
        </w:rPr>
        <w:t xml:space="preserve"> states for which CSAPR ozone season </w:t>
      </w:r>
      <w:r w:rsidRPr="00522B38">
        <w:rPr>
          <w:szCs w:val="24"/>
        </w:rPr>
        <w:t>NO</w:t>
      </w:r>
      <w:r w:rsidRPr="00522B38">
        <w:rPr>
          <w:szCs w:val="24"/>
          <w:vertAlign w:val="subscript"/>
        </w:rPr>
        <w:t>X</w:t>
      </w:r>
      <w:r>
        <w:rPr>
          <w:szCs w:val="24"/>
        </w:rPr>
        <w:t xml:space="preserve"> emissions budgets were previously established to address interstate transport obligations under the 1997 ozone NAAQS </w:t>
      </w:r>
      <w:r w:rsidR="00C3555B">
        <w:rPr>
          <w:szCs w:val="24"/>
        </w:rPr>
        <w:t xml:space="preserve">have been </w:t>
      </w:r>
      <w:r>
        <w:rPr>
          <w:szCs w:val="24"/>
        </w:rPr>
        <w:t xml:space="preserve">determined not to have </w:t>
      </w:r>
      <w:r w:rsidR="00C3555B">
        <w:rPr>
          <w:szCs w:val="24"/>
        </w:rPr>
        <w:t xml:space="preserve">emission reduction </w:t>
      </w:r>
      <w:r>
        <w:rPr>
          <w:szCs w:val="24"/>
        </w:rPr>
        <w:t xml:space="preserve">obligations </w:t>
      </w:r>
      <w:r w:rsidR="005153D3">
        <w:rPr>
          <w:szCs w:val="24"/>
        </w:rPr>
        <w:t xml:space="preserve">for </w:t>
      </w:r>
      <w:r w:rsidR="00C3555B">
        <w:rPr>
          <w:szCs w:val="24"/>
        </w:rPr>
        <w:t xml:space="preserve">interstate transport </w:t>
      </w:r>
      <w:r>
        <w:rPr>
          <w:szCs w:val="24"/>
        </w:rPr>
        <w:t xml:space="preserve">under the 2008 ozone NAAQS.  For </w:t>
      </w:r>
      <w:r w:rsidR="00D6779D">
        <w:rPr>
          <w:szCs w:val="24"/>
        </w:rPr>
        <w:t>three</w:t>
      </w:r>
      <w:r>
        <w:rPr>
          <w:szCs w:val="24"/>
        </w:rPr>
        <w:t xml:space="preserve"> of these </w:t>
      </w:r>
      <w:r w:rsidR="00D6779D">
        <w:rPr>
          <w:szCs w:val="24"/>
        </w:rPr>
        <w:t>four</w:t>
      </w:r>
      <w:r>
        <w:rPr>
          <w:szCs w:val="24"/>
        </w:rPr>
        <w:t xml:space="preserve"> states (Florida, North Carolina, and South Carolina, the current CSAPR Phase 2 ozone season </w:t>
      </w:r>
      <w:r w:rsidRPr="00522B38">
        <w:rPr>
          <w:szCs w:val="24"/>
        </w:rPr>
        <w:t>NO</w:t>
      </w:r>
      <w:r w:rsidRPr="00522B38">
        <w:rPr>
          <w:szCs w:val="24"/>
          <w:vertAlign w:val="subscript"/>
        </w:rPr>
        <w:t>X</w:t>
      </w:r>
      <w:r>
        <w:rPr>
          <w:szCs w:val="24"/>
        </w:rPr>
        <w:t xml:space="preserve"> emissions budgets </w:t>
      </w:r>
      <w:r w:rsidR="00C3555B">
        <w:rPr>
          <w:szCs w:val="24"/>
        </w:rPr>
        <w:t xml:space="preserve">were </w:t>
      </w:r>
      <w:r>
        <w:rPr>
          <w:szCs w:val="24"/>
        </w:rPr>
        <w:t xml:space="preserve">remanded </w:t>
      </w:r>
      <w:r w:rsidR="00C3555B">
        <w:rPr>
          <w:szCs w:val="24"/>
        </w:rPr>
        <w:t xml:space="preserve">to EPA </w:t>
      </w:r>
      <w:r>
        <w:rPr>
          <w:szCs w:val="24"/>
        </w:rPr>
        <w:t>for reconsideration, and the sources in these states consequently will not be required to participate in a</w:t>
      </w:r>
      <w:r w:rsidR="00D901B6">
        <w:rPr>
          <w:szCs w:val="24"/>
        </w:rPr>
        <w:t>ny</w:t>
      </w:r>
      <w:r>
        <w:rPr>
          <w:szCs w:val="24"/>
        </w:rPr>
        <w:t xml:space="preserve"> CSAPR trading program for ozone season </w:t>
      </w:r>
      <w:r w:rsidRPr="00522B38">
        <w:rPr>
          <w:szCs w:val="24"/>
        </w:rPr>
        <w:t>NO</w:t>
      </w:r>
      <w:r w:rsidRPr="00522B38">
        <w:rPr>
          <w:szCs w:val="24"/>
          <w:vertAlign w:val="subscript"/>
        </w:rPr>
        <w:t>X</w:t>
      </w:r>
      <w:r>
        <w:rPr>
          <w:szCs w:val="24"/>
        </w:rPr>
        <w:t xml:space="preserve"> emissions with regard to emissions occurring after 2016.  </w:t>
      </w:r>
      <w:r w:rsidR="00C3555B">
        <w:rPr>
          <w:szCs w:val="24"/>
        </w:rPr>
        <w:t>T</w:t>
      </w:r>
      <w:r>
        <w:rPr>
          <w:szCs w:val="24"/>
        </w:rPr>
        <w:t xml:space="preserve">he </w:t>
      </w:r>
      <w:r w:rsidR="00C3555B">
        <w:rPr>
          <w:szCs w:val="24"/>
        </w:rPr>
        <w:t xml:space="preserve">current CSAPR Phase 2 ozone season </w:t>
      </w:r>
      <w:r w:rsidR="00C3555B" w:rsidRPr="00522B38">
        <w:rPr>
          <w:szCs w:val="24"/>
        </w:rPr>
        <w:t>NO</w:t>
      </w:r>
      <w:r w:rsidR="00C3555B" w:rsidRPr="00522B38">
        <w:rPr>
          <w:szCs w:val="24"/>
          <w:vertAlign w:val="subscript"/>
        </w:rPr>
        <w:t>X</w:t>
      </w:r>
      <w:r w:rsidR="00C3555B">
        <w:rPr>
          <w:szCs w:val="24"/>
        </w:rPr>
        <w:t xml:space="preserve"> emissions </w:t>
      </w:r>
      <w:r>
        <w:rPr>
          <w:szCs w:val="24"/>
        </w:rPr>
        <w:t xml:space="preserve">budget for the last of the four states (Georgia) was not remanded, </w:t>
      </w:r>
      <w:r w:rsidR="00C3555B">
        <w:rPr>
          <w:szCs w:val="24"/>
        </w:rPr>
        <w:t xml:space="preserve">and </w:t>
      </w:r>
      <w:r>
        <w:rPr>
          <w:szCs w:val="24"/>
        </w:rPr>
        <w:t xml:space="preserve">sources in that state </w:t>
      </w:r>
      <w:r w:rsidR="005153D3">
        <w:rPr>
          <w:szCs w:val="24"/>
        </w:rPr>
        <w:t xml:space="preserve">generally </w:t>
      </w:r>
      <w:r>
        <w:rPr>
          <w:szCs w:val="24"/>
        </w:rPr>
        <w:t xml:space="preserve">will be required to continue to participate in the </w:t>
      </w:r>
      <w:r w:rsidRPr="001F7809">
        <w:rPr>
          <w:szCs w:val="24"/>
        </w:rPr>
        <w:t xml:space="preserve">CSAPR </w:t>
      </w:r>
      <w:r w:rsidR="00D901B6" w:rsidRPr="00522B38">
        <w:rPr>
          <w:szCs w:val="24"/>
        </w:rPr>
        <w:t>NO</w:t>
      </w:r>
      <w:r w:rsidR="00D901B6" w:rsidRPr="00522B38">
        <w:rPr>
          <w:szCs w:val="24"/>
          <w:vertAlign w:val="subscript"/>
        </w:rPr>
        <w:t>X</w:t>
      </w:r>
      <w:r w:rsidR="00D901B6">
        <w:rPr>
          <w:szCs w:val="24"/>
        </w:rPr>
        <w:t xml:space="preserve"> Ozone Season Group 1 Trading Program</w:t>
      </w:r>
      <w:r w:rsidR="008B0D0F">
        <w:rPr>
          <w:szCs w:val="24"/>
        </w:rPr>
        <w:t xml:space="preserve">.  The rule also </w:t>
      </w:r>
      <w:r w:rsidR="005153D3">
        <w:rPr>
          <w:szCs w:val="24"/>
        </w:rPr>
        <w:t xml:space="preserve">gives Georgia the option to </w:t>
      </w:r>
      <w:r w:rsidR="009F3147">
        <w:rPr>
          <w:szCs w:val="24"/>
        </w:rPr>
        <w:t xml:space="preserve">require </w:t>
      </w:r>
      <w:r w:rsidR="005153D3">
        <w:rPr>
          <w:szCs w:val="24"/>
        </w:rPr>
        <w:t xml:space="preserve">the sources in the state to instead participate in the CSAPR </w:t>
      </w:r>
      <w:r w:rsidR="005153D3" w:rsidRPr="00522B38">
        <w:rPr>
          <w:szCs w:val="24"/>
        </w:rPr>
        <w:t>NO</w:t>
      </w:r>
      <w:r w:rsidR="005153D3" w:rsidRPr="00522B38">
        <w:rPr>
          <w:szCs w:val="24"/>
          <w:vertAlign w:val="subscript"/>
        </w:rPr>
        <w:t>X</w:t>
      </w:r>
      <w:r w:rsidR="005153D3">
        <w:rPr>
          <w:szCs w:val="24"/>
        </w:rPr>
        <w:t xml:space="preserve"> Ozone Season Group 2 Trading Program</w:t>
      </w:r>
      <w:r>
        <w:rPr>
          <w:szCs w:val="24"/>
        </w:rPr>
        <w:t>.</w:t>
      </w:r>
    </w:p>
    <w:p w14:paraId="12481A0E" w14:textId="48FA4429" w:rsidR="00DF1954" w:rsidRDefault="00A34A90" w:rsidP="001A10E6">
      <w:pPr>
        <w:suppressAutoHyphens/>
        <w:autoSpaceDE w:val="0"/>
        <w:autoSpaceDN w:val="0"/>
        <w:adjustRightInd w:val="0"/>
        <w:spacing w:before="120" w:after="120"/>
        <w:ind w:firstLine="720"/>
        <w:rPr>
          <w:szCs w:val="24"/>
        </w:rPr>
      </w:pPr>
      <w:r>
        <w:rPr>
          <w:szCs w:val="24"/>
        </w:rPr>
        <w:t xml:space="preserve">The information collection requirements applicable to individual affected units under the CSAPR </w:t>
      </w:r>
      <w:r w:rsidRPr="00DA1F7F">
        <w:rPr>
          <w:szCs w:val="24"/>
        </w:rPr>
        <w:t>NO</w:t>
      </w:r>
      <w:r w:rsidRPr="00DA1F7F">
        <w:rPr>
          <w:szCs w:val="24"/>
          <w:vertAlign w:val="subscript"/>
        </w:rPr>
        <w:t>X</w:t>
      </w:r>
      <w:r>
        <w:rPr>
          <w:szCs w:val="24"/>
        </w:rPr>
        <w:t xml:space="preserve"> Ozone Season Group 1 Trading Program and the CSAPR </w:t>
      </w:r>
      <w:r w:rsidRPr="00DA1F7F">
        <w:rPr>
          <w:szCs w:val="24"/>
        </w:rPr>
        <w:t>NO</w:t>
      </w:r>
      <w:r w:rsidRPr="00DA1F7F">
        <w:rPr>
          <w:szCs w:val="24"/>
          <w:vertAlign w:val="subscript"/>
        </w:rPr>
        <w:t>X</w:t>
      </w:r>
      <w:r>
        <w:rPr>
          <w:szCs w:val="24"/>
        </w:rPr>
        <w:t xml:space="preserve"> Ozone Season Group 2 Trading Program are identical.  </w:t>
      </w:r>
      <w:r w:rsidR="00825881">
        <w:rPr>
          <w:szCs w:val="24"/>
        </w:rPr>
        <w:t xml:space="preserve">All of the </w:t>
      </w:r>
      <w:r w:rsidR="00F174ED">
        <w:rPr>
          <w:szCs w:val="24"/>
        </w:rPr>
        <w:t>unit</w:t>
      </w:r>
      <w:r w:rsidR="00825881">
        <w:rPr>
          <w:szCs w:val="24"/>
        </w:rPr>
        <w:t xml:space="preserve">s that </w:t>
      </w:r>
      <w:r w:rsidR="00C3555B">
        <w:rPr>
          <w:szCs w:val="24"/>
        </w:rPr>
        <w:t xml:space="preserve">will </w:t>
      </w:r>
      <w:r w:rsidR="00825881">
        <w:rPr>
          <w:szCs w:val="24"/>
        </w:rPr>
        <w:t xml:space="preserve">be </w:t>
      </w:r>
      <w:r w:rsidR="00DA1F7F">
        <w:rPr>
          <w:szCs w:val="24"/>
        </w:rPr>
        <w:t xml:space="preserve">added to or removed from the universe of units </w:t>
      </w:r>
      <w:r w:rsidR="00825881">
        <w:rPr>
          <w:szCs w:val="24"/>
        </w:rPr>
        <w:t xml:space="preserve">subject to </w:t>
      </w:r>
      <w:r w:rsidR="00DA1F7F">
        <w:rPr>
          <w:szCs w:val="24"/>
        </w:rPr>
        <w:t xml:space="preserve">the </w:t>
      </w:r>
      <w:r w:rsidR="00825881">
        <w:rPr>
          <w:szCs w:val="24"/>
        </w:rPr>
        <w:t xml:space="preserve">information collection requirements </w:t>
      </w:r>
      <w:r w:rsidR="00DA1F7F">
        <w:rPr>
          <w:szCs w:val="24"/>
        </w:rPr>
        <w:t xml:space="preserve">of </w:t>
      </w:r>
      <w:r>
        <w:rPr>
          <w:szCs w:val="24"/>
        </w:rPr>
        <w:t xml:space="preserve">one of those two </w:t>
      </w:r>
      <w:r w:rsidR="00D6779D">
        <w:rPr>
          <w:szCs w:val="24"/>
        </w:rPr>
        <w:t xml:space="preserve">CSAPR trading programs under this rule </w:t>
      </w:r>
      <w:r w:rsidR="00825881">
        <w:rPr>
          <w:szCs w:val="24"/>
        </w:rPr>
        <w:t>are already subject</w:t>
      </w:r>
      <w:r w:rsidR="00EF09A7">
        <w:rPr>
          <w:szCs w:val="24"/>
        </w:rPr>
        <w:t xml:space="preserve"> either</w:t>
      </w:r>
      <w:r w:rsidR="00825881">
        <w:rPr>
          <w:szCs w:val="24"/>
        </w:rPr>
        <w:t xml:space="preserve"> to </w:t>
      </w:r>
      <w:r w:rsidR="00DA1F7F">
        <w:rPr>
          <w:szCs w:val="24"/>
        </w:rPr>
        <w:t>those requirements or to overlapping</w:t>
      </w:r>
      <w:r w:rsidR="00C408E3">
        <w:rPr>
          <w:szCs w:val="24"/>
        </w:rPr>
        <w:t xml:space="preserve"> </w:t>
      </w:r>
      <w:r w:rsidR="00825881">
        <w:rPr>
          <w:szCs w:val="24"/>
        </w:rPr>
        <w:t xml:space="preserve">information collection requirements under </w:t>
      </w:r>
      <w:r w:rsidR="00DA1F7F">
        <w:rPr>
          <w:szCs w:val="24"/>
        </w:rPr>
        <w:t xml:space="preserve">the CSAPR </w:t>
      </w:r>
      <w:r w:rsidR="00DA1F7F" w:rsidRPr="00DA1F7F">
        <w:rPr>
          <w:szCs w:val="24"/>
        </w:rPr>
        <w:t>NO</w:t>
      </w:r>
      <w:r w:rsidR="00DA1F7F" w:rsidRPr="00DA1F7F">
        <w:rPr>
          <w:szCs w:val="24"/>
          <w:vertAlign w:val="subscript"/>
        </w:rPr>
        <w:t>X</w:t>
      </w:r>
      <w:r w:rsidR="00DA1F7F">
        <w:rPr>
          <w:szCs w:val="24"/>
        </w:rPr>
        <w:t xml:space="preserve"> Annual Trading Program (or both)</w:t>
      </w:r>
      <w:r w:rsidR="00825881">
        <w:rPr>
          <w:szCs w:val="24"/>
        </w:rPr>
        <w:t xml:space="preserve">.  Most of these </w:t>
      </w:r>
      <w:r w:rsidR="00F174ED">
        <w:rPr>
          <w:szCs w:val="24"/>
        </w:rPr>
        <w:t>unit</w:t>
      </w:r>
      <w:r w:rsidR="00825881">
        <w:rPr>
          <w:szCs w:val="24"/>
        </w:rPr>
        <w:t xml:space="preserve">s also are already subject to </w:t>
      </w:r>
      <w:r w:rsidR="00700C09">
        <w:rPr>
          <w:szCs w:val="24"/>
        </w:rPr>
        <w:t xml:space="preserve">related </w:t>
      </w:r>
      <w:r w:rsidR="00825881">
        <w:rPr>
          <w:szCs w:val="24"/>
        </w:rPr>
        <w:t>information collection requirements under the Acid Rain Program (ARP)</w:t>
      </w:r>
      <w:r w:rsidR="00C0364E">
        <w:rPr>
          <w:szCs w:val="24"/>
        </w:rPr>
        <w:t xml:space="preserve"> established under Title IV of the 1990 C</w:t>
      </w:r>
      <w:r w:rsidR="00EF09A7">
        <w:rPr>
          <w:szCs w:val="24"/>
        </w:rPr>
        <w:t>AA</w:t>
      </w:r>
      <w:r w:rsidR="00C0364E">
        <w:rPr>
          <w:szCs w:val="24"/>
        </w:rPr>
        <w:t xml:space="preserve"> Amendments</w:t>
      </w:r>
      <w:r w:rsidR="00825881">
        <w:rPr>
          <w:szCs w:val="24"/>
        </w:rPr>
        <w:t xml:space="preserve">.  </w:t>
      </w:r>
      <w:r w:rsidR="00C0364E">
        <w:rPr>
          <w:szCs w:val="24"/>
        </w:rPr>
        <w:t xml:space="preserve">Both CSAPR </w:t>
      </w:r>
      <w:r w:rsidR="00C0364E" w:rsidRPr="00CD7569">
        <w:rPr>
          <w:szCs w:val="24"/>
        </w:rPr>
        <w:t xml:space="preserve">and the ARP have existing approved ICRs:  EPA ICR Number </w:t>
      </w:r>
      <w:r w:rsidR="00C60672" w:rsidRPr="00CD7569">
        <w:rPr>
          <w:szCs w:val="24"/>
        </w:rPr>
        <w:t>2391.03</w:t>
      </w:r>
      <w:r w:rsidR="00C0364E" w:rsidRPr="00CD7569">
        <w:rPr>
          <w:szCs w:val="24"/>
        </w:rPr>
        <w:t xml:space="preserve">/OMB Control Number </w:t>
      </w:r>
      <w:r w:rsidR="00C60672" w:rsidRPr="00CD7569">
        <w:rPr>
          <w:szCs w:val="24"/>
        </w:rPr>
        <w:t>2060-0667</w:t>
      </w:r>
      <w:r w:rsidR="00C0364E" w:rsidRPr="00CD7569">
        <w:rPr>
          <w:szCs w:val="24"/>
        </w:rPr>
        <w:t xml:space="preserve"> (CSAPR)</w:t>
      </w:r>
      <w:r w:rsidR="00EF09A7" w:rsidRPr="00CD7569">
        <w:rPr>
          <w:szCs w:val="24"/>
        </w:rPr>
        <w:t>,</w:t>
      </w:r>
      <w:r w:rsidR="00C0364E" w:rsidRPr="00CD7569">
        <w:rPr>
          <w:szCs w:val="24"/>
        </w:rPr>
        <w:t xml:space="preserve"> and EPA ICR Number 1633.16/OMB Control Number 2060-0258 (ARP).</w:t>
      </w:r>
      <w:r w:rsidR="00C0364E">
        <w:rPr>
          <w:szCs w:val="24"/>
        </w:rPr>
        <w:t xml:space="preserve">  </w:t>
      </w:r>
      <w:r w:rsidR="00700C09">
        <w:rPr>
          <w:szCs w:val="24"/>
        </w:rPr>
        <w:t xml:space="preserve">EPA </w:t>
      </w:r>
      <w:r w:rsidR="00C408E3">
        <w:rPr>
          <w:szCs w:val="24"/>
        </w:rPr>
        <w:t xml:space="preserve">has </w:t>
      </w:r>
      <w:r w:rsidR="00700C09">
        <w:rPr>
          <w:szCs w:val="24"/>
        </w:rPr>
        <w:t>coordinate</w:t>
      </w:r>
      <w:r w:rsidR="00C408E3">
        <w:rPr>
          <w:szCs w:val="24"/>
        </w:rPr>
        <w:t>d</w:t>
      </w:r>
      <w:r w:rsidR="00700C09">
        <w:rPr>
          <w:szCs w:val="24"/>
        </w:rPr>
        <w:t xml:space="preserve"> the information collection </w:t>
      </w:r>
      <w:r w:rsidR="00700C09">
        <w:rPr>
          <w:szCs w:val="24"/>
        </w:rPr>
        <w:lastRenderedPageBreak/>
        <w:t xml:space="preserve">requirements under </w:t>
      </w:r>
      <w:r w:rsidR="00C408E3">
        <w:rPr>
          <w:szCs w:val="24"/>
        </w:rPr>
        <w:t>the ARP and CSAPR</w:t>
      </w:r>
      <w:r w:rsidR="00700C09">
        <w:rPr>
          <w:szCs w:val="24"/>
        </w:rPr>
        <w:t>, and t</w:t>
      </w:r>
      <w:r w:rsidR="00DF1954" w:rsidRPr="00DF1954">
        <w:rPr>
          <w:szCs w:val="24"/>
        </w:rPr>
        <w:t xml:space="preserve">he </w:t>
      </w:r>
      <w:r w:rsidR="001A10E6">
        <w:rPr>
          <w:szCs w:val="24"/>
        </w:rPr>
        <w:t xml:space="preserve">information collection </w:t>
      </w:r>
      <w:r w:rsidR="00DF1954" w:rsidRPr="00DF1954">
        <w:rPr>
          <w:szCs w:val="24"/>
        </w:rPr>
        <w:t>burden and costs covered</w:t>
      </w:r>
      <w:r w:rsidR="00C22164">
        <w:rPr>
          <w:szCs w:val="24"/>
        </w:rPr>
        <w:t xml:space="preserve"> under</w:t>
      </w:r>
      <w:r w:rsidR="00DF1954" w:rsidRPr="00DF1954">
        <w:rPr>
          <w:szCs w:val="24"/>
        </w:rPr>
        <w:t xml:space="preserve"> the CSAPR ICR are estimated as incremental to the information collection </w:t>
      </w:r>
      <w:r w:rsidR="001A10E6">
        <w:rPr>
          <w:szCs w:val="24"/>
        </w:rPr>
        <w:t xml:space="preserve">burden and costs </w:t>
      </w:r>
      <w:r w:rsidR="00DF1954" w:rsidRPr="00DF1954">
        <w:rPr>
          <w:szCs w:val="24"/>
        </w:rPr>
        <w:t xml:space="preserve">under the ARP ICR. </w:t>
      </w:r>
      <w:r w:rsidR="00DA1F7F">
        <w:rPr>
          <w:szCs w:val="24"/>
        </w:rPr>
        <w:t xml:space="preserve">The </w:t>
      </w:r>
      <w:r w:rsidR="001A10E6">
        <w:rPr>
          <w:szCs w:val="24"/>
        </w:rPr>
        <w:t>net reduction</w:t>
      </w:r>
      <w:r w:rsidR="00EF09A7">
        <w:rPr>
          <w:szCs w:val="24"/>
        </w:rPr>
        <w:t>s</w:t>
      </w:r>
      <w:r w:rsidR="001A10E6">
        <w:rPr>
          <w:szCs w:val="24"/>
        </w:rPr>
        <w:t xml:space="preserve"> in information collection burden and costs </w:t>
      </w:r>
      <w:r w:rsidR="00DA1F7F">
        <w:rPr>
          <w:szCs w:val="24"/>
        </w:rPr>
        <w:t xml:space="preserve">under this </w:t>
      </w:r>
      <w:r w:rsidR="001A10E6">
        <w:rPr>
          <w:szCs w:val="24"/>
        </w:rPr>
        <w:t>rule</w:t>
      </w:r>
      <w:r w:rsidR="00DA1F7F">
        <w:rPr>
          <w:szCs w:val="24"/>
        </w:rPr>
        <w:t xml:space="preserve"> are estimated as incremental to </w:t>
      </w:r>
      <w:r w:rsidR="001A10E6">
        <w:rPr>
          <w:szCs w:val="24"/>
        </w:rPr>
        <w:t xml:space="preserve">the information collection burden and costs under the CSAPR ICR.  </w:t>
      </w:r>
      <w:r w:rsidR="00DF1954" w:rsidRPr="00DF1954">
        <w:rPr>
          <w:szCs w:val="24"/>
        </w:rPr>
        <w:t xml:space="preserve">Most of the information used to estimate burden and costs in this ICR was developed for the existing CSAPR and ARP ICRs. </w:t>
      </w:r>
      <w:r w:rsidR="001A10E6">
        <w:rPr>
          <w:szCs w:val="24"/>
        </w:rPr>
        <w:t xml:space="preserve"> </w:t>
      </w:r>
      <w:r w:rsidR="00DF1954" w:rsidRPr="00DF1954">
        <w:rPr>
          <w:szCs w:val="24"/>
        </w:rPr>
        <w:t xml:space="preserve">EPA intends to incorporate the </w:t>
      </w:r>
      <w:r w:rsidR="001A10E6">
        <w:rPr>
          <w:szCs w:val="24"/>
        </w:rPr>
        <w:t xml:space="preserve">changes in information collection </w:t>
      </w:r>
      <w:r w:rsidR="00DF1954" w:rsidRPr="00DF1954">
        <w:rPr>
          <w:szCs w:val="24"/>
        </w:rPr>
        <w:t xml:space="preserve">burden and costs </w:t>
      </w:r>
      <w:r w:rsidR="00B5346B">
        <w:rPr>
          <w:szCs w:val="24"/>
        </w:rPr>
        <w:t xml:space="preserve">quantified in this ICR </w:t>
      </w:r>
      <w:r w:rsidR="00DF1954" w:rsidRPr="00DF1954">
        <w:rPr>
          <w:szCs w:val="24"/>
        </w:rPr>
        <w:t>into the next renewal of the CSAPR ICR.</w:t>
      </w:r>
      <w:r w:rsidR="00A22F74">
        <w:rPr>
          <w:szCs w:val="24"/>
        </w:rPr>
        <w:t xml:space="preserve">  The former NBP units that could be made subject to the CSAPR </w:t>
      </w:r>
      <w:r w:rsidR="00A22F74" w:rsidRPr="00DA1F7F">
        <w:rPr>
          <w:szCs w:val="24"/>
        </w:rPr>
        <w:t>NO</w:t>
      </w:r>
      <w:r w:rsidR="00A22F74" w:rsidRPr="00DA1F7F">
        <w:rPr>
          <w:szCs w:val="24"/>
          <w:vertAlign w:val="subscript"/>
        </w:rPr>
        <w:t>X</w:t>
      </w:r>
      <w:r w:rsidR="00A22F74">
        <w:rPr>
          <w:szCs w:val="24"/>
        </w:rPr>
        <w:t xml:space="preserve"> Ozone Season Group 2 Trading Program pursuant to the SIP revision option provided by this rule are already subject to </w:t>
      </w:r>
      <w:r>
        <w:rPr>
          <w:szCs w:val="24"/>
        </w:rPr>
        <w:t xml:space="preserve">the same </w:t>
      </w:r>
      <w:r w:rsidR="00A22F74">
        <w:rPr>
          <w:szCs w:val="24"/>
        </w:rPr>
        <w:t xml:space="preserve">information collection requirements under the </w:t>
      </w:r>
      <w:r w:rsidR="00A22F74" w:rsidRPr="00522B38">
        <w:rPr>
          <w:szCs w:val="24"/>
        </w:rPr>
        <w:t>NO</w:t>
      </w:r>
      <w:r w:rsidR="00A22F74" w:rsidRPr="00522B38">
        <w:rPr>
          <w:szCs w:val="24"/>
          <w:vertAlign w:val="subscript"/>
        </w:rPr>
        <w:t>X</w:t>
      </w:r>
      <w:r w:rsidR="00A22F74">
        <w:rPr>
          <w:szCs w:val="24"/>
        </w:rPr>
        <w:t xml:space="preserve"> SIP Call, which also has its own ICR:  EPA ICR Number </w:t>
      </w:r>
      <w:r w:rsidR="00F27C3D">
        <w:rPr>
          <w:szCs w:val="24"/>
        </w:rPr>
        <w:t>1857.06</w:t>
      </w:r>
      <w:r w:rsidR="00A22F74">
        <w:rPr>
          <w:szCs w:val="24"/>
        </w:rPr>
        <w:t xml:space="preserve">/OMB Control Number </w:t>
      </w:r>
      <w:r w:rsidR="00F27C3D">
        <w:rPr>
          <w:szCs w:val="24"/>
        </w:rPr>
        <w:t>2060-0445</w:t>
      </w:r>
      <w:r w:rsidR="00A22F74">
        <w:rPr>
          <w:szCs w:val="24"/>
        </w:rPr>
        <w:t xml:space="preserve">.  If </w:t>
      </w:r>
      <w:r w:rsidR="0001568B">
        <w:rPr>
          <w:szCs w:val="24"/>
        </w:rPr>
        <w:t xml:space="preserve">states exercise their option to require </w:t>
      </w:r>
      <w:r w:rsidR="00A22F74">
        <w:rPr>
          <w:szCs w:val="24"/>
        </w:rPr>
        <w:t>any of th</w:t>
      </w:r>
      <w:r>
        <w:rPr>
          <w:szCs w:val="24"/>
        </w:rPr>
        <w:t>e</w:t>
      </w:r>
      <w:r w:rsidR="00A22F74">
        <w:rPr>
          <w:szCs w:val="24"/>
        </w:rPr>
        <w:t xml:space="preserve">se </w:t>
      </w:r>
      <w:r>
        <w:rPr>
          <w:szCs w:val="24"/>
        </w:rPr>
        <w:t xml:space="preserve">additional </w:t>
      </w:r>
      <w:r w:rsidR="00A22F74">
        <w:rPr>
          <w:szCs w:val="24"/>
        </w:rPr>
        <w:t xml:space="preserve">sources </w:t>
      </w:r>
      <w:r w:rsidR="0001568B">
        <w:rPr>
          <w:szCs w:val="24"/>
        </w:rPr>
        <w:t>to participate in CSAPR in the future</w:t>
      </w:r>
      <w:r w:rsidR="00A22F74">
        <w:rPr>
          <w:szCs w:val="24"/>
        </w:rPr>
        <w:t xml:space="preserve">, EPA will incorporate the resulting </w:t>
      </w:r>
      <w:r>
        <w:rPr>
          <w:szCs w:val="24"/>
        </w:rPr>
        <w:t xml:space="preserve">increase in CSAPR </w:t>
      </w:r>
      <w:r w:rsidR="00A22F74">
        <w:rPr>
          <w:szCs w:val="24"/>
        </w:rPr>
        <w:t xml:space="preserve">information collection burden and costs into the next renewal of </w:t>
      </w:r>
      <w:r>
        <w:rPr>
          <w:szCs w:val="24"/>
        </w:rPr>
        <w:t xml:space="preserve">the CSAPR ICR and will incorporate the offsetting decrease in </w:t>
      </w:r>
      <w:r w:rsidRPr="00DA1F7F">
        <w:rPr>
          <w:szCs w:val="24"/>
        </w:rPr>
        <w:t>NO</w:t>
      </w:r>
      <w:r w:rsidRPr="00DA1F7F">
        <w:rPr>
          <w:szCs w:val="24"/>
          <w:vertAlign w:val="subscript"/>
        </w:rPr>
        <w:t>X</w:t>
      </w:r>
      <w:r>
        <w:rPr>
          <w:szCs w:val="24"/>
        </w:rPr>
        <w:t xml:space="preserve"> SIP Call information collection burden and costs into the next renewal of </w:t>
      </w:r>
      <w:r w:rsidR="00A22F74">
        <w:rPr>
          <w:szCs w:val="24"/>
        </w:rPr>
        <w:t xml:space="preserve">the </w:t>
      </w:r>
      <w:r w:rsidR="00A22F74" w:rsidRPr="00DA1F7F">
        <w:rPr>
          <w:szCs w:val="24"/>
        </w:rPr>
        <w:t>NO</w:t>
      </w:r>
      <w:r w:rsidR="00A22F74" w:rsidRPr="00DA1F7F">
        <w:rPr>
          <w:szCs w:val="24"/>
          <w:vertAlign w:val="subscript"/>
        </w:rPr>
        <w:t>X</w:t>
      </w:r>
      <w:r w:rsidR="00A22F74">
        <w:rPr>
          <w:szCs w:val="24"/>
        </w:rPr>
        <w:t xml:space="preserve"> SIP Call ICR. </w:t>
      </w:r>
    </w:p>
    <w:p w14:paraId="17EE61BC" w14:textId="4BEB6764" w:rsidR="00FD4D12" w:rsidRDefault="00210F79" w:rsidP="00FD4D12">
      <w:pPr>
        <w:suppressAutoHyphens/>
        <w:autoSpaceDE w:val="0"/>
        <w:autoSpaceDN w:val="0"/>
        <w:adjustRightInd w:val="0"/>
        <w:spacing w:before="120" w:after="120"/>
        <w:ind w:firstLine="720"/>
        <w:rPr>
          <w:szCs w:val="24"/>
        </w:rPr>
      </w:pPr>
      <w:r w:rsidRPr="006757FB">
        <w:rPr>
          <w:szCs w:val="24"/>
        </w:rPr>
        <w:t xml:space="preserve">EPA </w:t>
      </w:r>
      <w:r w:rsidR="002A1BCA" w:rsidRPr="006757FB">
        <w:rPr>
          <w:szCs w:val="24"/>
        </w:rPr>
        <w:t xml:space="preserve">has </w:t>
      </w:r>
      <w:r w:rsidR="00290DF7" w:rsidRPr="006757FB">
        <w:rPr>
          <w:szCs w:val="24"/>
        </w:rPr>
        <w:t>publish</w:t>
      </w:r>
      <w:r w:rsidR="002A1BCA" w:rsidRPr="006757FB">
        <w:rPr>
          <w:szCs w:val="24"/>
        </w:rPr>
        <w:t>ed</w:t>
      </w:r>
      <w:r w:rsidRPr="006757FB">
        <w:rPr>
          <w:szCs w:val="24"/>
        </w:rPr>
        <w:t xml:space="preserve"> a </w:t>
      </w:r>
      <w:r w:rsidR="00D6779D">
        <w:rPr>
          <w:szCs w:val="24"/>
        </w:rPr>
        <w:t xml:space="preserve">Final Rule </w:t>
      </w:r>
      <w:r w:rsidRPr="006757FB">
        <w:rPr>
          <w:szCs w:val="24"/>
        </w:rPr>
        <w:t>in the Federal Re</w:t>
      </w:r>
      <w:r w:rsidR="00B04ACB" w:rsidRPr="006757FB">
        <w:rPr>
          <w:szCs w:val="24"/>
        </w:rPr>
        <w:t xml:space="preserve">gister that </w:t>
      </w:r>
      <w:r w:rsidR="00290DF7" w:rsidRPr="006757FB">
        <w:rPr>
          <w:szCs w:val="24"/>
        </w:rPr>
        <w:t>detail</w:t>
      </w:r>
      <w:r w:rsidR="00B603B8" w:rsidRPr="006757FB">
        <w:rPr>
          <w:szCs w:val="24"/>
        </w:rPr>
        <w:t>s</w:t>
      </w:r>
      <w:r w:rsidR="004D5A81">
        <w:rPr>
          <w:szCs w:val="24"/>
        </w:rPr>
        <w:t xml:space="preserve"> all </w:t>
      </w:r>
      <w:r w:rsidR="00D6779D">
        <w:rPr>
          <w:szCs w:val="24"/>
        </w:rPr>
        <w:t xml:space="preserve">the </w:t>
      </w:r>
      <w:r w:rsidR="004D5A81">
        <w:rPr>
          <w:szCs w:val="24"/>
        </w:rPr>
        <w:t xml:space="preserve">changes </w:t>
      </w:r>
      <w:r w:rsidR="00EF09A7">
        <w:rPr>
          <w:szCs w:val="24"/>
        </w:rPr>
        <w:t xml:space="preserve">resulting </w:t>
      </w:r>
      <w:r w:rsidR="004D5A81">
        <w:rPr>
          <w:szCs w:val="24"/>
        </w:rPr>
        <w:t>from the rule</w:t>
      </w:r>
      <w:r w:rsidR="00EF09A7">
        <w:rPr>
          <w:szCs w:val="24"/>
        </w:rPr>
        <w:t>,</w:t>
      </w:r>
      <w:r w:rsidR="004D5A81">
        <w:rPr>
          <w:szCs w:val="24"/>
        </w:rPr>
        <w:t xml:space="preserve"> including </w:t>
      </w:r>
      <w:r w:rsidRPr="006757FB">
        <w:rPr>
          <w:szCs w:val="24"/>
        </w:rPr>
        <w:t xml:space="preserve">the </w:t>
      </w:r>
      <w:r w:rsidR="00DF1954">
        <w:rPr>
          <w:szCs w:val="24"/>
        </w:rPr>
        <w:t xml:space="preserve">changes in </w:t>
      </w:r>
      <w:r w:rsidR="00B5346B">
        <w:rPr>
          <w:szCs w:val="24"/>
        </w:rPr>
        <w:t xml:space="preserve">the set of </w:t>
      </w:r>
      <w:r w:rsidR="000A1A65">
        <w:rPr>
          <w:szCs w:val="24"/>
        </w:rPr>
        <w:t xml:space="preserve">units </w:t>
      </w:r>
      <w:r w:rsidR="00B5346B">
        <w:rPr>
          <w:szCs w:val="24"/>
        </w:rPr>
        <w:t xml:space="preserve">that </w:t>
      </w:r>
      <w:r w:rsidR="00D6779D">
        <w:rPr>
          <w:szCs w:val="24"/>
        </w:rPr>
        <w:t xml:space="preserve">will </w:t>
      </w:r>
      <w:r w:rsidR="00EF09A7">
        <w:rPr>
          <w:szCs w:val="24"/>
        </w:rPr>
        <w:t xml:space="preserve">face emission reduction requirements in order to address </w:t>
      </w:r>
      <w:r w:rsidR="004D5A81">
        <w:rPr>
          <w:szCs w:val="24"/>
        </w:rPr>
        <w:t xml:space="preserve">interstate transport obligations related to ozone.  As relevant here, </w:t>
      </w:r>
      <w:r w:rsidR="00FD4D12">
        <w:rPr>
          <w:szCs w:val="24"/>
        </w:rPr>
        <w:t xml:space="preserve">the </w:t>
      </w:r>
      <w:r w:rsidR="00D6779D">
        <w:rPr>
          <w:szCs w:val="24"/>
        </w:rPr>
        <w:t xml:space="preserve">rule establishes </w:t>
      </w:r>
      <w:r w:rsidR="00FD4D12">
        <w:rPr>
          <w:szCs w:val="24"/>
        </w:rPr>
        <w:t xml:space="preserve">new obligations to </w:t>
      </w:r>
      <w:r w:rsidR="004D5A81">
        <w:rPr>
          <w:szCs w:val="24"/>
        </w:rPr>
        <w:t xml:space="preserve">address </w:t>
      </w:r>
      <w:r w:rsidR="00FD4D12">
        <w:rPr>
          <w:szCs w:val="24"/>
        </w:rPr>
        <w:t>interstate ozone transport for Kansas</w:t>
      </w:r>
      <w:r w:rsidR="004D5A81">
        <w:rPr>
          <w:szCs w:val="24"/>
        </w:rPr>
        <w:t xml:space="preserve"> and would discontinue obligations to </w:t>
      </w:r>
      <w:r w:rsidR="00EF09A7">
        <w:rPr>
          <w:szCs w:val="24"/>
        </w:rPr>
        <w:t xml:space="preserve">address </w:t>
      </w:r>
      <w:r w:rsidR="004D5A81">
        <w:rPr>
          <w:szCs w:val="24"/>
        </w:rPr>
        <w:t>interstate ozone transport for Florida</w:t>
      </w:r>
      <w:r w:rsidR="00D6779D">
        <w:rPr>
          <w:szCs w:val="24"/>
        </w:rPr>
        <w:t>, North Carolina,</w:t>
      </w:r>
      <w:r w:rsidR="004D5A81">
        <w:rPr>
          <w:szCs w:val="24"/>
        </w:rPr>
        <w:t xml:space="preserve"> and South Carolina, in all cases starting in 2017.  Consequently, Kansas </w:t>
      </w:r>
      <w:r w:rsidR="00F174ED">
        <w:rPr>
          <w:szCs w:val="24"/>
        </w:rPr>
        <w:t>unit</w:t>
      </w:r>
      <w:r w:rsidR="004D5A81">
        <w:rPr>
          <w:szCs w:val="24"/>
        </w:rPr>
        <w:t xml:space="preserve">s </w:t>
      </w:r>
      <w:r w:rsidR="00A27DC3">
        <w:rPr>
          <w:szCs w:val="24"/>
        </w:rPr>
        <w:t xml:space="preserve">will </w:t>
      </w:r>
      <w:r w:rsidR="004D5A81">
        <w:rPr>
          <w:szCs w:val="24"/>
        </w:rPr>
        <w:t xml:space="preserve">become subject to the information collection requirements of the CSAPR </w:t>
      </w:r>
      <w:r w:rsidR="004D5A81" w:rsidRPr="004D5A81">
        <w:rPr>
          <w:szCs w:val="24"/>
        </w:rPr>
        <w:t>NO</w:t>
      </w:r>
      <w:r w:rsidR="004D5A81" w:rsidRPr="004D5A81">
        <w:rPr>
          <w:szCs w:val="24"/>
          <w:vertAlign w:val="subscript"/>
        </w:rPr>
        <w:t>X</w:t>
      </w:r>
      <w:r w:rsidR="004D5A81">
        <w:rPr>
          <w:szCs w:val="24"/>
        </w:rPr>
        <w:t xml:space="preserve"> Ozone Season </w:t>
      </w:r>
      <w:r w:rsidR="00D6779D">
        <w:rPr>
          <w:szCs w:val="24"/>
        </w:rPr>
        <w:t xml:space="preserve">Group 2 </w:t>
      </w:r>
      <w:r w:rsidR="004D5A81">
        <w:rPr>
          <w:szCs w:val="24"/>
        </w:rPr>
        <w:t>Trading Program starting in 2017, while Florida</w:t>
      </w:r>
      <w:r w:rsidR="00D6779D">
        <w:rPr>
          <w:szCs w:val="24"/>
        </w:rPr>
        <w:t>, North Carolina,</w:t>
      </w:r>
      <w:r w:rsidR="004D5A81">
        <w:rPr>
          <w:szCs w:val="24"/>
        </w:rPr>
        <w:t xml:space="preserve"> and South Carolina </w:t>
      </w:r>
      <w:r w:rsidR="00F174ED">
        <w:rPr>
          <w:szCs w:val="24"/>
        </w:rPr>
        <w:t>unit</w:t>
      </w:r>
      <w:r w:rsidR="004D5A81">
        <w:rPr>
          <w:szCs w:val="24"/>
        </w:rPr>
        <w:t xml:space="preserve">s </w:t>
      </w:r>
      <w:r w:rsidR="00A27DC3">
        <w:rPr>
          <w:szCs w:val="24"/>
        </w:rPr>
        <w:t xml:space="preserve">will </w:t>
      </w:r>
      <w:r w:rsidR="004D5A81">
        <w:rPr>
          <w:szCs w:val="24"/>
        </w:rPr>
        <w:t xml:space="preserve">cease to be subject to </w:t>
      </w:r>
      <w:r w:rsidR="00D6779D">
        <w:rPr>
          <w:szCs w:val="24"/>
        </w:rPr>
        <w:t xml:space="preserve">the identical </w:t>
      </w:r>
      <w:r w:rsidR="00025576">
        <w:rPr>
          <w:szCs w:val="24"/>
        </w:rPr>
        <w:t xml:space="preserve">requirements </w:t>
      </w:r>
      <w:r w:rsidR="00D6779D">
        <w:rPr>
          <w:szCs w:val="24"/>
        </w:rPr>
        <w:t xml:space="preserve">of the CSAPR </w:t>
      </w:r>
      <w:r w:rsidR="00D6779D" w:rsidRPr="00522B38">
        <w:rPr>
          <w:szCs w:val="24"/>
        </w:rPr>
        <w:t>NO</w:t>
      </w:r>
      <w:r w:rsidR="00D6779D" w:rsidRPr="00522B38">
        <w:rPr>
          <w:szCs w:val="24"/>
          <w:vertAlign w:val="subscript"/>
        </w:rPr>
        <w:t>X</w:t>
      </w:r>
      <w:r w:rsidR="00D6779D">
        <w:rPr>
          <w:szCs w:val="24"/>
        </w:rPr>
        <w:t xml:space="preserve"> Ozone Season Group 1 Trading Program </w:t>
      </w:r>
      <w:r w:rsidR="004D5A81">
        <w:rPr>
          <w:szCs w:val="24"/>
        </w:rPr>
        <w:t>in 2017</w:t>
      </w:r>
      <w:r w:rsidR="00025576">
        <w:rPr>
          <w:szCs w:val="24"/>
        </w:rPr>
        <w:t xml:space="preserve">.  Information collection requirements for </w:t>
      </w:r>
      <w:r w:rsidR="00F174ED">
        <w:rPr>
          <w:szCs w:val="24"/>
        </w:rPr>
        <w:t>unit</w:t>
      </w:r>
      <w:r w:rsidR="00025576">
        <w:rPr>
          <w:szCs w:val="24"/>
        </w:rPr>
        <w:t xml:space="preserve">s in </w:t>
      </w:r>
      <w:r w:rsidR="00A27DC3">
        <w:rPr>
          <w:szCs w:val="24"/>
        </w:rPr>
        <w:t xml:space="preserve">the </w:t>
      </w:r>
      <w:r w:rsidR="00025576">
        <w:rPr>
          <w:szCs w:val="24"/>
        </w:rPr>
        <w:t xml:space="preserve">other </w:t>
      </w:r>
      <w:r w:rsidR="00A27DC3">
        <w:rPr>
          <w:szCs w:val="24"/>
        </w:rPr>
        <w:t xml:space="preserve">21 </w:t>
      </w:r>
      <w:r w:rsidR="00025576">
        <w:rPr>
          <w:szCs w:val="24"/>
        </w:rPr>
        <w:t xml:space="preserve">states affected by the </w:t>
      </w:r>
      <w:r w:rsidR="00D6779D">
        <w:rPr>
          <w:szCs w:val="24"/>
        </w:rPr>
        <w:t xml:space="preserve">rule will </w:t>
      </w:r>
      <w:r w:rsidR="00025576">
        <w:rPr>
          <w:szCs w:val="24"/>
        </w:rPr>
        <w:t xml:space="preserve">not change because those </w:t>
      </w:r>
      <w:r w:rsidR="00F174ED">
        <w:rPr>
          <w:szCs w:val="24"/>
        </w:rPr>
        <w:t>unit</w:t>
      </w:r>
      <w:r w:rsidR="00025576">
        <w:rPr>
          <w:szCs w:val="24"/>
        </w:rPr>
        <w:t xml:space="preserve">s are already subject to the </w:t>
      </w:r>
      <w:r w:rsidR="004A1DA1">
        <w:rPr>
          <w:szCs w:val="24"/>
        </w:rPr>
        <w:t xml:space="preserve">identical </w:t>
      </w:r>
      <w:r w:rsidR="00025576">
        <w:rPr>
          <w:szCs w:val="24"/>
        </w:rPr>
        <w:t xml:space="preserve">information collection requirements of the CSAPR </w:t>
      </w:r>
      <w:r w:rsidR="00025576" w:rsidRPr="00025576">
        <w:rPr>
          <w:szCs w:val="24"/>
        </w:rPr>
        <w:t>NO</w:t>
      </w:r>
      <w:r w:rsidR="00025576" w:rsidRPr="00025576">
        <w:rPr>
          <w:szCs w:val="24"/>
          <w:vertAlign w:val="subscript"/>
        </w:rPr>
        <w:t>X</w:t>
      </w:r>
      <w:r w:rsidR="00025576">
        <w:rPr>
          <w:szCs w:val="24"/>
        </w:rPr>
        <w:t xml:space="preserve"> Ozone Season </w:t>
      </w:r>
      <w:r w:rsidR="00A27DC3">
        <w:rPr>
          <w:szCs w:val="24"/>
        </w:rPr>
        <w:t xml:space="preserve">Group 1 </w:t>
      </w:r>
      <w:r w:rsidR="00025576">
        <w:rPr>
          <w:szCs w:val="24"/>
        </w:rPr>
        <w:t xml:space="preserve">Trading Program, and </w:t>
      </w:r>
      <w:r w:rsidR="004A1DA1">
        <w:rPr>
          <w:szCs w:val="24"/>
        </w:rPr>
        <w:t xml:space="preserve">final rule does not alter the specific existing information collection requirements.  </w:t>
      </w:r>
      <w:r w:rsidR="00A27DC3">
        <w:rPr>
          <w:szCs w:val="24"/>
        </w:rPr>
        <w:t xml:space="preserve">Information collection requirements for units in Georgia likewise will not change because those units are already and will remain subject to the CSAPR </w:t>
      </w:r>
      <w:r w:rsidR="00A27DC3" w:rsidRPr="00522B38">
        <w:rPr>
          <w:szCs w:val="24"/>
        </w:rPr>
        <w:t>NO</w:t>
      </w:r>
      <w:r w:rsidR="00A27DC3" w:rsidRPr="00522B38">
        <w:rPr>
          <w:szCs w:val="24"/>
          <w:vertAlign w:val="subscript"/>
        </w:rPr>
        <w:t>X</w:t>
      </w:r>
      <w:r w:rsidR="00A27DC3">
        <w:rPr>
          <w:szCs w:val="24"/>
        </w:rPr>
        <w:t xml:space="preserve"> Ozone Season Group 1 Trading Program.  </w:t>
      </w:r>
      <w:r w:rsidR="00025576">
        <w:rPr>
          <w:szCs w:val="24"/>
        </w:rPr>
        <w:t xml:space="preserve">This ICR therefore focuses exclusively on changes in information </w:t>
      </w:r>
      <w:r w:rsidR="00EF09A7">
        <w:rPr>
          <w:szCs w:val="24"/>
        </w:rPr>
        <w:t xml:space="preserve">collection </w:t>
      </w:r>
      <w:r w:rsidR="00025576">
        <w:rPr>
          <w:szCs w:val="24"/>
        </w:rPr>
        <w:t xml:space="preserve">burden and costs for </w:t>
      </w:r>
      <w:r w:rsidR="00F174ED">
        <w:rPr>
          <w:szCs w:val="24"/>
        </w:rPr>
        <w:t>unit</w:t>
      </w:r>
      <w:r w:rsidR="00025576">
        <w:rPr>
          <w:szCs w:val="24"/>
        </w:rPr>
        <w:t xml:space="preserve">s in Kansas, Florida, </w:t>
      </w:r>
      <w:r w:rsidR="00A27DC3">
        <w:rPr>
          <w:szCs w:val="24"/>
        </w:rPr>
        <w:t xml:space="preserve">North Carolina, </w:t>
      </w:r>
      <w:r w:rsidR="00025576">
        <w:rPr>
          <w:szCs w:val="24"/>
        </w:rPr>
        <w:t>and South Carolina, which are summarized below.</w:t>
      </w:r>
    </w:p>
    <w:p w14:paraId="6B9400C8" w14:textId="3BDA8B2E" w:rsidR="00D67F2A" w:rsidRDefault="00025576" w:rsidP="008A08F0">
      <w:pPr>
        <w:suppressAutoHyphens/>
        <w:autoSpaceDE w:val="0"/>
        <w:autoSpaceDN w:val="0"/>
        <w:adjustRightInd w:val="0"/>
        <w:spacing w:before="120" w:after="120"/>
        <w:ind w:firstLine="720"/>
        <w:rPr>
          <w:szCs w:val="24"/>
        </w:rPr>
      </w:pPr>
      <w:r>
        <w:rPr>
          <w:szCs w:val="24"/>
        </w:rPr>
        <w:t xml:space="preserve">With respect to </w:t>
      </w:r>
      <w:r w:rsidR="00D67F2A">
        <w:rPr>
          <w:szCs w:val="24"/>
        </w:rPr>
        <w:t xml:space="preserve">affected </w:t>
      </w:r>
      <w:r w:rsidR="00F174ED">
        <w:rPr>
          <w:szCs w:val="24"/>
        </w:rPr>
        <w:t>unit</w:t>
      </w:r>
      <w:r>
        <w:rPr>
          <w:szCs w:val="24"/>
        </w:rPr>
        <w:t>s in Kansas</w:t>
      </w:r>
      <w:r w:rsidR="00A27DC3">
        <w:rPr>
          <w:szCs w:val="24"/>
        </w:rPr>
        <w:t>, North Carolina,</w:t>
      </w:r>
      <w:r>
        <w:rPr>
          <w:szCs w:val="24"/>
        </w:rPr>
        <w:t xml:space="preserve"> and South Carolina </w:t>
      </w:r>
      <w:r w:rsidR="00C45F41">
        <w:rPr>
          <w:szCs w:val="24"/>
        </w:rPr>
        <w:t xml:space="preserve">that </w:t>
      </w:r>
      <w:r w:rsidR="00D554EA">
        <w:rPr>
          <w:szCs w:val="24"/>
        </w:rPr>
        <w:t xml:space="preserve">under </w:t>
      </w:r>
      <w:r w:rsidR="00A27DC3">
        <w:rPr>
          <w:szCs w:val="24"/>
        </w:rPr>
        <w:t xml:space="preserve">this rule will </w:t>
      </w:r>
      <w:r w:rsidR="00DB7650">
        <w:rPr>
          <w:szCs w:val="24"/>
        </w:rPr>
        <w:t xml:space="preserve">either </w:t>
      </w:r>
      <w:r w:rsidR="00D554EA">
        <w:rPr>
          <w:szCs w:val="24"/>
        </w:rPr>
        <w:t xml:space="preserve">begin </w:t>
      </w:r>
      <w:r w:rsidR="00A27DC3">
        <w:rPr>
          <w:szCs w:val="24"/>
        </w:rPr>
        <w:t xml:space="preserve">participation in the CSAPR </w:t>
      </w:r>
      <w:r w:rsidR="00A27DC3" w:rsidRPr="00522B38">
        <w:rPr>
          <w:szCs w:val="24"/>
        </w:rPr>
        <w:t>NO</w:t>
      </w:r>
      <w:r w:rsidR="00A27DC3" w:rsidRPr="00522B38">
        <w:rPr>
          <w:szCs w:val="24"/>
          <w:vertAlign w:val="subscript"/>
        </w:rPr>
        <w:t>X</w:t>
      </w:r>
      <w:r w:rsidR="00A27DC3">
        <w:rPr>
          <w:szCs w:val="24"/>
        </w:rPr>
        <w:t xml:space="preserve"> Ozone Season Group 2 Trading Program </w:t>
      </w:r>
      <w:r w:rsidR="00D554EA">
        <w:rPr>
          <w:szCs w:val="24"/>
        </w:rPr>
        <w:t xml:space="preserve">or end participation in </w:t>
      </w:r>
      <w:r>
        <w:rPr>
          <w:szCs w:val="24"/>
        </w:rPr>
        <w:t xml:space="preserve">the CSAPR </w:t>
      </w:r>
      <w:r w:rsidRPr="00025576">
        <w:rPr>
          <w:szCs w:val="24"/>
        </w:rPr>
        <w:t>NO</w:t>
      </w:r>
      <w:r w:rsidRPr="00025576">
        <w:rPr>
          <w:szCs w:val="24"/>
          <w:vertAlign w:val="subscript"/>
        </w:rPr>
        <w:t>X</w:t>
      </w:r>
      <w:r>
        <w:rPr>
          <w:szCs w:val="24"/>
        </w:rPr>
        <w:t xml:space="preserve"> Ozone Season </w:t>
      </w:r>
      <w:r w:rsidR="00A27DC3">
        <w:rPr>
          <w:szCs w:val="24"/>
        </w:rPr>
        <w:t xml:space="preserve">Group 1 </w:t>
      </w:r>
      <w:r>
        <w:rPr>
          <w:szCs w:val="24"/>
        </w:rPr>
        <w:t>Trading Program</w:t>
      </w:r>
      <w:r w:rsidR="00D554EA">
        <w:rPr>
          <w:szCs w:val="24"/>
        </w:rPr>
        <w:t xml:space="preserve">, </w:t>
      </w:r>
      <w:r w:rsidR="00D67F2A">
        <w:rPr>
          <w:szCs w:val="24"/>
        </w:rPr>
        <w:t xml:space="preserve">all of these </w:t>
      </w:r>
      <w:r w:rsidR="00F174ED">
        <w:rPr>
          <w:szCs w:val="24"/>
        </w:rPr>
        <w:t>unit</w:t>
      </w:r>
      <w:r w:rsidR="00D67F2A">
        <w:rPr>
          <w:szCs w:val="24"/>
        </w:rPr>
        <w:t>s</w:t>
      </w:r>
      <w:r>
        <w:rPr>
          <w:szCs w:val="24"/>
        </w:rPr>
        <w:t xml:space="preserve"> </w:t>
      </w:r>
      <w:r w:rsidR="00B5346B">
        <w:rPr>
          <w:szCs w:val="24"/>
        </w:rPr>
        <w:t xml:space="preserve">also </w:t>
      </w:r>
      <w:r>
        <w:rPr>
          <w:szCs w:val="24"/>
        </w:rPr>
        <w:t xml:space="preserve">already </w:t>
      </w:r>
      <w:r w:rsidR="00D554EA">
        <w:rPr>
          <w:szCs w:val="24"/>
        </w:rPr>
        <w:t xml:space="preserve">are </w:t>
      </w:r>
      <w:r w:rsidR="00C45F41">
        <w:rPr>
          <w:szCs w:val="24"/>
        </w:rPr>
        <w:t xml:space="preserve">and </w:t>
      </w:r>
      <w:r w:rsidR="00A27DC3">
        <w:rPr>
          <w:szCs w:val="24"/>
        </w:rPr>
        <w:t xml:space="preserve">will </w:t>
      </w:r>
      <w:r w:rsidR="00C45F41">
        <w:rPr>
          <w:szCs w:val="24"/>
        </w:rPr>
        <w:t xml:space="preserve">remain </w:t>
      </w:r>
      <w:r w:rsidR="00D554EA">
        <w:rPr>
          <w:szCs w:val="24"/>
        </w:rPr>
        <w:t xml:space="preserve">covered by </w:t>
      </w:r>
      <w:r>
        <w:rPr>
          <w:szCs w:val="24"/>
        </w:rPr>
        <w:t xml:space="preserve">the CSAPR </w:t>
      </w:r>
      <w:r w:rsidRPr="00025576">
        <w:rPr>
          <w:szCs w:val="24"/>
        </w:rPr>
        <w:t>NO</w:t>
      </w:r>
      <w:r w:rsidRPr="00025576">
        <w:rPr>
          <w:szCs w:val="24"/>
          <w:vertAlign w:val="subscript"/>
        </w:rPr>
        <w:t>X</w:t>
      </w:r>
      <w:r>
        <w:rPr>
          <w:szCs w:val="24"/>
        </w:rPr>
        <w:t xml:space="preserve"> Annual Trading Program.</w:t>
      </w:r>
      <w:r w:rsidR="00A27DC3">
        <w:rPr>
          <w:rStyle w:val="FootnoteReference"/>
          <w:szCs w:val="24"/>
        </w:rPr>
        <w:footnoteReference w:id="5"/>
      </w:r>
      <w:r>
        <w:rPr>
          <w:szCs w:val="24"/>
        </w:rPr>
        <w:t xml:space="preserve">  The information collection requirements under CSAPR </w:t>
      </w:r>
      <w:r w:rsidR="00AE6226">
        <w:rPr>
          <w:szCs w:val="24"/>
        </w:rPr>
        <w:t xml:space="preserve">related to ozone season </w:t>
      </w:r>
      <w:r w:rsidRPr="00025576">
        <w:rPr>
          <w:szCs w:val="24"/>
        </w:rPr>
        <w:t>NO</w:t>
      </w:r>
      <w:r w:rsidRPr="00025576">
        <w:rPr>
          <w:szCs w:val="24"/>
          <w:vertAlign w:val="subscript"/>
        </w:rPr>
        <w:t>X</w:t>
      </w:r>
      <w:r>
        <w:rPr>
          <w:szCs w:val="24"/>
        </w:rPr>
        <w:t xml:space="preserve"> </w:t>
      </w:r>
      <w:r w:rsidR="00AE6226">
        <w:rPr>
          <w:szCs w:val="24"/>
        </w:rPr>
        <w:lastRenderedPageBreak/>
        <w:t xml:space="preserve">emissions </w:t>
      </w:r>
      <w:r>
        <w:rPr>
          <w:szCs w:val="24"/>
        </w:rPr>
        <w:t xml:space="preserve">are </w:t>
      </w:r>
      <w:r w:rsidR="00D67F2A">
        <w:rPr>
          <w:szCs w:val="24"/>
        </w:rPr>
        <w:t xml:space="preserve">almost entirely </w:t>
      </w:r>
      <w:r>
        <w:rPr>
          <w:szCs w:val="24"/>
        </w:rPr>
        <w:t xml:space="preserve">a subset of the information collection requirements under the CSAPR </w:t>
      </w:r>
      <w:r w:rsidRPr="00025576">
        <w:rPr>
          <w:szCs w:val="24"/>
        </w:rPr>
        <w:t>NO</w:t>
      </w:r>
      <w:r w:rsidRPr="00025576">
        <w:rPr>
          <w:szCs w:val="24"/>
          <w:vertAlign w:val="subscript"/>
        </w:rPr>
        <w:t>X</w:t>
      </w:r>
      <w:r>
        <w:rPr>
          <w:szCs w:val="24"/>
        </w:rPr>
        <w:t xml:space="preserve"> Annual Trading Program</w:t>
      </w:r>
      <w:r w:rsidR="00D67F2A">
        <w:rPr>
          <w:szCs w:val="24"/>
        </w:rPr>
        <w:t xml:space="preserve">, </w:t>
      </w:r>
      <w:r w:rsidR="00D554EA">
        <w:rPr>
          <w:szCs w:val="24"/>
        </w:rPr>
        <w:t>with the only exceptions being requirements to compute and report a small number of additional subtotals from the same hourly data.  T</w:t>
      </w:r>
      <w:r w:rsidR="00D67F2A">
        <w:rPr>
          <w:szCs w:val="24"/>
        </w:rPr>
        <w:t xml:space="preserve">he </w:t>
      </w:r>
      <w:r w:rsidR="00D554EA">
        <w:rPr>
          <w:szCs w:val="24"/>
        </w:rPr>
        <w:t xml:space="preserve">modest </w:t>
      </w:r>
      <w:r w:rsidR="00D67F2A">
        <w:rPr>
          <w:szCs w:val="24"/>
        </w:rPr>
        <w:t>one-time actions necessary for a</w:t>
      </w:r>
      <w:r w:rsidR="00F174ED">
        <w:rPr>
          <w:szCs w:val="24"/>
        </w:rPr>
        <w:t xml:space="preserve"> unit</w:t>
      </w:r>
      <w:r w:rsidR="00D67F2A">
        <w:rPr>
          <w:szCs w:val="24"/>
        </w:rPr>
        <w:t xml:space="preserve"> that already reports annual data to </w:t>
      </w:r>
      <w:r w:rsidR="00BC0504">
        <w:rPr>
          <w:szCs w:val="24"/>
        </w:rPr>
        <w:t>add or remove</w:t>
      </w:r>
      <w:r w:rsidR="00D67F2A">
        <w:rPr>
          <w:szCs w:val="24"/>
        </w:rPr>
        <w:t xml:space="preserve"> </w:t>
      </w:r>
      <w:r w:rsidR="00D554EA">
        <w:rPr>
          <w:szCs w:val="24"/>
        </w:rPr>
        <w:t xml:space="preserve">computation and </w:t>
      </w:r>
      <w:r w:rsidR="00D67F2A">
        <w:rPr>
          <w:szCs w:val="24"/>
        </w:rPr>
        <w:t xml:space="preserve">reporting </w:t>
      </w:r>
      <w:r w:rsidR="00D554EA">
        <w:rPr>
          <w:szCs w:val="24"/>
        </w:rPr>
        <w:t xml:space="preserve">of the additional subtotals </w:t>
      </w:r>
      <w:r w:rsidR="00D67F2A">
        <w:rPr>
          <w:szCs w:val="24"/>
        </w:rPr>
        <w:t>are encompassed within the scope of the information collection burden and costs already covered under the existing CSAPR ICR</w:t>
      </w:r>
      <w:r>
        <w:rPr>
          <w:szCs w:val="24"/>
        </w:rPr>
        <w:t xml:space="preserve">.  </w:t>
      </w:r>
      <w:r w:rsidR="00D67F2A">
        <w:rPr>
          <w:szCs w:val="24"/>
        </w:rPr>
        <w:t>EPA therefore considers th</w:t>
      </w:r>
      <w:r w:rsidR="00D554EA">
        <w:rPr>
          <w:szCs w:val="24"/>
        </w:rPr>
        <w:t>is</w:t>
      </w:r>
      <w:r w:rsidR="00D67F2A">
        <w:rPr>
          <w:szCs w:val="24"/>
        </w:rPr>
        <w:t xml:space="preserve"> rule to entail no change in information collection burden or costs for these </w:t>
      </w:r>
      <w:r w:rsidR="00F174ED">
        <w:rPr>
          <w:szCs w:val="24"/>
        </w:rPr>
        <w:t>unit</w:t>
      </w:r>
      <w:r w:rsidR="00D67F2A">
        <w:rPr>
          <w:szCs w:val="24"/>
        </w:rPr>
        <w:t>s.</w:t>
      </w:r>
    </w:p>
    <w:p w14:paraId="270FBE94" w14:textId="48ADDC8E" w:rsidR="00D554EA" w:rsidRDefault="00D554EA" w:rsidP="008A08F0">
      <w:pPr>
        <w:suppressAutoHyphens/>
        <w:autoSpaceDE w:val="0"/>
        <w:autoSpaceDN w:val="0"/>
        <w:adjustRightInd w:val="0"/>
        <w:spacing w:before="120" w:after="120"/>
        <w:ind w:firstLine="720"/>
        <w:rPr>
          <w:szCs w:val="24"/>
        </w:rPr>
      </w:pPr>
      <w:r>
        <w:rPr>
          <w:szCs w:val="24"/>
        </w:rPr>
        <w:t xml:space="preserve">With respect to affected </w:t>
      </w:r>
      <w:r w:rsidR="00F174ED">
        <w:rPr>
          <w:szCs w:val="24"/>
        </w:rPr>
        <w:t>unit</w:t>
      </w:r>
      <w:r>
        <w:rPr>
          <w:szCs w:val="24"/>
        </w:rPr>
        <w:t xml:space="preserve">s in Florida that </w:t>
      </w:r>
      <w:r w:rsidR="00C45F41">
        <w:rPr>
          <w:szCs w:val="24"/>
        </w:rPr>
        <w:t xml:space="preserve">under this </w:t>
      </w:r>
      <w:r w:rsidR="00C006F9">
        <w:rPr>
          <w:szCs w:val="24"/>
        </w:rPr>
        <w:t xml:space="preserve">rule will </w:t>
      </w:r>
      <w:r w:rsidR="00C45F41">
        <w:rPr>
          <w:szCs w:val="24"/>
        </w:rPr>
        <w:t xml:space="preserve">end participation in the CSAPR </w:t>
      </w:r>
      <w:r w:rsidR="00C45F41" w:rsidRPr="00C45F41">
        <w:rPr>
          <w:szCs w:val="24"/>
        </w:rPr>
        <w:t>NO</w:t>
      </w:r>
      <w:r w:rsidR="00C45F41" w:rsidRPr="00C45F41">
        <w:rPr>
          <w:szCs w:val="24"/>
          <w:vertAlign w:val="subscript"/>
        </w:rPr>
        <w:t>X</w:t>
      </w:r>
      <w:r w:rsidR="00C45F41">
        <w:rPr>
          <w:szCs w:val="24"/>
        </w:rPr>
        <w:t xml:space="preserve"> Ozone Season </w:t>
      </w:r>
      <w:r w:rsidR="00C006F9">
        <w:rPr>
          <w:szCs w:val="24"/>
        </w:rPr>
        <w:t xml:space="preserve">Group 1 </w:t>
      </w:r>
      <w:r w:rsidR="00C45F41">
        <w:rPr>
          <w:szCs w:val="24"/>
        </w:rPr>
        <w:t xml:space="preserve">Trading Program, these </w:t>
      </w:r>
      <w:r w:rsidR="00F174ED">
        <w:rPr>
          <w:szCs w:val="24"/>
        </w:rPr>
        <w:t>unit</w:t>
      </w:r>
      <w:r w:rsidR="00C45F41">
        <w:rPr>
          <w:szCs w:val="24"/>
        </w:rPr>
        <w:t xml:space="preserve">s </w:t>
      </w:r>
      <w:r w:rsidR="00C006F9">
        <w:rPr>
          <w:szCs w:val="24"/>
        </w:rPr>
        <w:t xml:space="preserve">will </w:t>
      </w:r>
      <w:r w:rsidR="00C45F41">
        <w:rPr>
          <w:szCs w:val="24"/>
        </w:rPr>
        <w:t xml:space="preserve">no longer be required to report </w:t>
      </w:r>
      <w:r w:rsidR="00C45F41" w:rsidRPr="00C45F41">
        <w:rPr>
          <w:szCs w:val="24"/>
        </w:rPr>
        <w:t>NO</w:t>
      </w:r>
      <w:r w:rsidR="00C45F41" w:rsidRPr="00C45F41">
        <w:rPr>
          <w:szCs w:val="24"/>
          <w:vertAlign w:val="subscript"/>
        </w:rPr>
        <w:t>X</w:t>
      </w:r>
      <w:r w:rsidR="00C45F41">
        <w:rPr>
          <w:szCs w:val="24"/>
        </w:rPr>
        <w:t xml:space="preserve"> mass emissions under any CSAPR program</w:t>
      </w:r>
      <w:r w:rsidR="00B80641">
        <w:rPr>
          <w:szCs w:val="24"/>
        </w:rPr>
        <w:t xml:space="preserve"> but a majority </w:t>
      </w:r>
      <w:r w:rsidR="00C006F9">
        <w:rPr>
          <w:szCs w:val="24"/>
        </w:rPr>
        <w:t xml:space="preserve">will </w:t>
      </w:r>
      <w:r w:rsidR="00B80641">
        <w:rPr>
          <w:szCs w:val="24"/>
        </w:rPr>
        <w:t>continue to be subject to the ARP</w:t>
      </w:r>
      <w:r w:rsidR="00EF09A7">
        <w:rPr>
          <w:szCs w:val="24"/>
        </w:rPr>
        <w:t xml:space="preserve">.  </w:t>
      </w:r>
      <w:r w:rsidR="00B80641">
        <w:rPr>
          <w:szCs w:val="24"/>
        </w:rPr>
        <w:t xml:space="preserve">EPA estimates that ARP-affected Florida </w:t>
      </w:r>
      <w:r w:rsidR="00F174ED">
        <w:rPr>
          <w:szCs w:val="24"/>
        </w:rPr>
        <w:t>unit</w:t>
      </w:r>
      <w:r w:rsidR="00B80641">
        <w:rPr>
          <w:szCs w:val="24"/>
        </w:rPr>
        <w:t xml:space="preserve">s </w:t>
      </w:r>
      <w:r w:rsidR="00C006F9">
        <w:rPr>
          <w:szCs w:val="24"/>
        </w:rPr>
        <w:t xml:space="preserve">will </w:t>
      </w:r>
      <w:r w:rsidR="000E557F">
        <w:rPr>
          <w:szCs w:val="24"/>
        </w:rPr>
        <w:t xml:space="preserve">experience no change in </w:t>
      </w:r>
      <w:r w:rsidR="004A4458">
        <w:rPr>
          <w:szCs w:val="24"/>
        </w:rPr>
        <w:t>information collection burden and costs</w:t>
      </w:r>
      <w:r w:rsidR="00B80641">
        <w:rPr>
          <w:szCs w:val="24"/>
        </w:rPr>
        <w:t xml:space="preserve"> as a result of this rule because information collection activities essentially the same as those formerly required under CSAPR </w:t>
      </w:r>
      <w:r w:rsidR="00C006F9">
        <w:rPr>
          <w:szCs w:val="24"/>
        </w:rPr>
        <w:t xml:space="preserve">will </w:t>
      </w:r>
      <w:r w:rsidR="00EF09A7">
        <w:rPr>
          <w:szCs w:val="24"/>
        </w:rPr>
        <w:t xml:space="preserve">still be required </w:t>
      </w:r>
      <w:r w:rsidR="004A4458">
        <w:rPr>
          <w:szCs w:val="24"/>
        </w:rPr>
        <w:t xml:space="preserve">to </w:t>
      </w:r>
      <w:r w:rsidR="000E557F">
        <w:rPr>
          <w:szCs w:val="24"/>
        </w:rPr>
        <w:t>fulfill ARP-related monitoring and reporting obligations</w:t>
      </w:r>
      <w:r w:rsidR="00C45F41">
        <w:rPr>
          <w:szCs w:val="24"/>
        </w:rPr>
        <w:t xml:space="preserve">.  </w:t>
      </w:r>
      <w:r w:rsidR="000E557F">
        <w:rPr>
          <w:szCs w:val="24"/>
        </w:rPr>
        <w:t>However, t</w:t>
      </w:r>
      <w:r w:rsidR="00C45F41">
        <w:rPr>
          <w:szCs w:val="24"/>
        </w:rPr>
        <w:t xml:space="preserve">he subset of affected Florida </w:t>
      </w:r>
      <w:r w:rsidR="00F174ED">
        <w:rPr>
          <w:szCs w:val="24"/>
        </w:rPr>
        <w:t>unit</w:t>
      </w:r>
      <w:r w:rsidR="00C45F41">
        <w:rPr>
          <w:szCs w:val="24"/>
        </w:rPr>
        <w:t xml:space="preserve">s not subject to the ARP </w:t>
      </w:r>
      <w:r w:rsidR="00C006F9">
        <w:rPr>
          <w:szCs w:val="24"/>
        </w:rPr>
        <w:t xml:space="preserve">will </w:t>
      </w:r>
      <w:r w:rsidR="00C45F41">
        <w:rPr>
          <w:szCs w:val="24"/>
        </w:rPr>
        <w:t>experience a reduction in information collection burden</w:t>
      </w:r>
      <w:r w:rsidR="00B5346B">
        <w:rPr>
          <w:szCs w:val="24"/>
        </w:rPr>
        <w:t xml:space="preserve"> and costs</w:t>
      </w:r>
      <w:r w:rsidR="00C45F41">
        <w:rPr>
          <w:szCs w:val="24"/>
        </w:rPr>
        <w:t xml:space="preserve">.  These units </w:t>
      </w:r>
      <w:r w:rsidR="00B7422C">
        <w:rPr>
          <w:szCs w:val="24"/>
        </w:rPr>
        <w:t xml:space="preserve">will </w:t>
      </w:r>
      <w:r w:rsidR="00C45F41">
        <w:rPr>
          <w:szCs w:val="24"/>
        </w:rPr>
        <w:t xml:space="preserve">no longer be </w:t>
      </w:r>
      <w:r w:rsidR="00A2574F">
        <w:rPr>
          <w:szCs w:val="24"/>
        </w:rPr>
        <w:t xml:space="preserve">subject to monitoring and reporting requirements </w:t>
      </w:r>
      <w:r w:rsidR="00B80641">
        <w:rPr>
          <w:szCs w:val="24"/>
        </w:rPr>
        <w:t xml:space="preserve">under 40 CFR part 75 </w:t>
      </w:r>
      <w:r w:rsidR="00A2574F">
        <w:rPr>
          <w:szCs w:val="24"/>
        </w:rPr>
        <w:t xml:space="preserve">for </w:t>
      </w:r>
      <w:r w:rsidR="004A4458">
        <w:rPr>
          <w:szCs w:val="24"/>
        </w:rPr>
        <w:t>either CSAPR</w:t>
      </w:r>
      <w:r w:rsidR="00A2574F">
        <w:rPr>
          <w:szCs w:val="24"/>
        </w:rPr>
        <w:t xml:space="preserve"> or the </w:t>
      </w:r>
      <w:r w:rsidR="004A4458">
        <w:rPr>
          <w:szCs w:val="24"/>
        </w:rPr>
        <w:t xml:space="preserve">ARP </w:t>
      </w:r>
      <w:r w:rsidR="00C45F41">
        <w:rPr>
          <w:szCs w:val="24"/>
        </w:rPr>
        <w:t xml:space="preserve">and therefore </w:t>
      </w:r>
      <w:r w:rsidR="00B7422C">
        <w:rPr>
          <w:szCs w:val="24"/>
        </w:rPr>
        <w:t xml:space="preserve">will </w:t>
      </w:r>
      <w:r w:rsidR="00C45F41">
        <w:rPr>
          <w:szCs w:val="24"/>
        </w:rPr>
        <w:t xml:space="preserve">be able to discontinue monitoring and recording of </w:t>
      </w:r>
      <w:r w:rsidR="00A2574F">
        <w:rPr>
          <w:szCs w:val="24"/>
        </w:rPr>
        <w:t xml:space="preserve">hourly </w:t>
      </w:r>
      <w:r w:rsidR="00A2574F" w:rsidRPr="00A2574F">
        <w:rPr>
          <w:szCs w:val="24"/>
        </w:rPr>
        <w:t>NO</w:t>
      </w:r>
      <w:r w:rsidR="00A2574F" w:rsidRPr="00A2574F">
        <w:rPr>
          <w:szCs w:val="24"/>
          <w:vertAlign w:val="subscript"/>
        </w:rPr>
        <w:t>X</w:t>
      </w:r>
      <w:r w:rsidR="00A2574F">
        <w:rPr>
          <w:szCs w:val="24"/>
        </w:rPr>
        <w:t xml:space="preserve"> emissions and heat </w:t>
      </w:r>
      <w:r w:rsidR="000E557F">
        <w:rPr>
          <w:szCs w:val="24"/>
        </w:rPr>
        <w:t xml:space="preserve">input </w:t>
      </w:r>
      <w:r w:rsidR="00C45F41">
        <w:rPr>
          <w:szCs w:val="24"/>
        </w:rPr>
        <w:t>data</w:t>
      </w:r>
      <w:r w:rsidR="00BC0504">
        <w:rPr>
          <w:szCs w:val="24"/>
        </w:rPr>
        <w:t>,</w:t>
      </w:r>
      <w:r w:rsidR="00C45F41">
        <w:rPr>
          <w:szCs w:val="24"/>
        </w:rPr>
        <w:t xml:space="preserve"> </w:t>
      </w:r>
      <w:r w:rsidR="00BC0504">
        <w:rPr>
          <w:szCs w:val="24"/>
        </w:rPr>
        <w:t xml:space="preserve">including </w:t>
      </w:r>
      <w:r w:rsidR="00C45F41">
        <w:rPr>
          <w:szCs w:val="24"/>
        </w:rPr>
        <w:t>maintenance</w:t>
      </w:r>
      <w:r w:rsidR="004A4458">
        <w:rPr>
          <w:szCs w:val="24"/>
        </w:rPr>
        <w:t xml:space="preserve"> and </w:t>
      </w:r>
      <w:r w:rsidR="00C45F41">
        <w:rPr>
          <w:szCs w:val="24"/>
        </w:rPr>
        <w:t>quality assurance activities</w:t>
      </w:r>
      <w:r w:rsidR="004A4458">
        <w:rPr>
          <w:szCs w:val="24"/>
        </w:rPr>
        <w:t xml:space="preserve"> for the </w:t>
      </w:r>
      <w:r w:rsidR="00BC0504">
        <w:rPr>
          <w:szCs w:val="24"/>
        </w:rPr>
        <w:t xml:space="preserve">required </w:t>
      </w:r>
      <w:r w:rsidR="00C45F41">
        <w:rPr>
          <w:szCs w:val="24"/>
        </w:rPr>
        <w:t>monitoring equipment</w:t>
      </w:r>
      <w:r w:rsidR="004A4458">
        <w:rPr>
          <w:szCs w:val="24"/>
        </w:rPr>
        <w:t xml:space="preserve"> (to the extent </w:t>
      </w:r>
      <w:r w:rsidR="00A2574F">
        <w:rPr>
          <w:szCs w:val="24"/>
        </w:rPr>
        <w:t xml:space="preserve">the activities are </w:t>
      </w:r>
      <w:r w:rsidR="004A4458">
        <w:rPr>
          <w:szCs w:val="24"/>
        </w:rPr>
        <w:t xml:space="preserve">not required to meet </w:t>
      </w:r>
      <w:r w:rsidR="00A2574F">
        <w:rPr>
          <w:szCs w:val="24"/>
        </w:rPr>
        <w:t xml:space="preserve">other </w:t>
      </w:r>
      <w:r w:rsidR="004A4458">
        <w:rPr>
          <w:szCs w:val="24"/>
        </w:rPr>
        <w:t>obligations)</w:t>
      </w:r>
      <w:r w:rsidR="00C45F41">
        <w:rPr>
          <w:szCs w:val="24"/>
        </w:rPr>
        <w:t>.</w:t>
      </w:r>
      <w:r w:rsidR="00907A5B">
        <w:rPr>
          <w:rStyle w:val="FootnoteReference"/>
          <w:szCs w:val="24"/>
        </w:rPr>
        <w:footnoteReference w:id="6"/>
      </w:r>
      <w:r w:rsidR="00C45F41">
        <w:rPr>
          <w:szCs w:val="24"/>
        </w:rPr>
        <w:t xml:space="preserve"> </w:t>
      </w:r>
      <w:r w:rsidR="004A4458">
        <w:rPr>
          <w:szCs w:val="24"/>
        </w:rPr>
        <w:t xml:space="preserve"> </w:t>
      </w:r>
      <w:r w:rsidR="00C45F41">
        <w:rPr>
          <w:szCs w:val="24"/>
        </w:rPr>
        <w:t xml:space="preserve">The </w:t>
      </w:r>
      <w:r w:rsidR="00B5346B">
        <w:rPr>
          <w:szCs w:val="24"/>
        </w:rPr>
        <w:t xml:space="preserve">magnitude of the </w:t>
      </w:r>
      <w:r w:rsidR="00C45F41">
        <w:rPr>
          <w:szCs w:val="24"/>
        </w:rPr>
        <w:t>reduction</w:t>
      </w:r>
      <w:r w:rsidR="004A4458">
        <w:rPr>
          <w:szCs w:val="24"/>
        </w:rPr>
        <w:t>s</w:t>
      </w:r>
      <w:r w:rsidR="00C45F41">
        <w:rPr>
          <w:szCs w:val="24"/>
        </w:rPr>
        <w:t xml:space="preserve"> in information collection burden and costs for </w:t>
      </w:r>
      <w:r w:rsidR="00BC0504">
        <w:rPr>
          <w:szCs w:val="24"/>
        </w:rPr>
        <w:t xml:space="preserve">a </w:t>
      </w:r>
      <w:r w:rsidR="004A4458">
        <w:rPr>
          <w:szCs w:val="24"/>
        </w:rPr>
        <w:t xml:space="preserve">non-ARP-affected </w:t>
      </w:r>
      <w:r w:rsidR="000E557F">
        <w:rPr>
          <w:szCs w:val="24"/>
        </w:rPr>
        <w:t xml:space="preserve">Florida </w:t>
      </w:r>
      <w:r w:rsidR="00F174ED">
        <w:rPr>
          <w:szCs w:val="24"/>
        </w:rPr>
        <w:t>unit</w:t>
      </w:r>
      <w:r w:rsidR="00C45F41">
        <w:rPr>
          <w:szCs w:val="24"/>
        </w:rPr>
        <w:t xml:space="preserve"> </w:t>
      </w:r>
      <w:r w:rsidR="000E557F">
        <w:rPr>
          <w:szCs w:val="24"/>
        </w:rPr>
        <w:t xml:space="preserve">resulting from this rule </w:t>
      </w:r>
      <w:r w:rsidR="00B7422C">
        <w:rPr>
          <w:szCs w:val="24"/>
        </w:rPr>
        <w:t xml:space="preserve">will </w:t>
      </w:r>
      <w:r w:rsidR="00B80641">
        <w:rPr>
          <w:szCs w:val="24"/>
        </w:rPr>
        <w:t xml:space="preserve">vary </w:t>
      </w:r>
      <w:r w:rsidR="00C45F41">
        <w:rPr>
          <w:szCs w:val="24"/>
        </w:rPr>
        <w:t>depend</w:t>
      </w:r>
      <w:r w:rsidR="00B80641">
        <w:rPr>
          <w:szCs w:val="24"/>
        </w:rPr>
        <w:t>ing</w:t>
      </w:r>
      <w:r w:rsidR="00C45F41">
        <w:rPr>
          <w:szCs w:val="24"/>
        </w:rPr>
        <w:t xml:space="preserve"> on which of the monitoring methodologies </w:t>
      </w:r>
      <w:r w:rsidR="004A4458">
        <w:rPr>
          <w:szCs w:val="24"/>
        </w:rPr>
        <w:t xml:space="preserve">available under 40 CFR part 75 </w:t>
      </w:r>
      <w:r w:rsidR="00C45F41">
        <w:rPr>
          <w:szCs w:val="24"/>
        </w:rPr>
        <w:t xml:space="preserve">the </w:t>
      </w:r>
      <w:r w:rsidR="00F174ED">
        <w:rPr>
          <w:szCs w:val="24"/>
        </w:rPr>
        <w:t>unit</w:t>
      </w:r>
      <w:r w:rsidR="00C45F41">
        <w:rPr>
          <w:szCs w:val="24"/>
        </w:rPr>
        <w:t xml:space="preserve"> currently employs.</w:t>
      </w:r>
    </w:p>
    <w:p w14:paraId="09054C93" w14:textId="6C9D6B27" w:rsidR="002834C2" w:rsidRPr="006757FB" w:rsidRDefault="00FC2BD7" w:rsidP="006757FB">
      <w:pPr>
        <w:suppressAutoHyphens/>
        <w:autoSpaceDE w:val="0"/>
        <w:autoSpaceDN w:val="0"/>
        <w:adjustRightInd w:val="0"/>
        <w:spacing w:before="120" w:after="120"/>
        <w:ind w:firstLine="720"/>
        <w:rPr>
          <w:szCs w:val="24"/>
        </w:rPr>
      </w:pPr>
      <w:r>
        <w:rPr>
          <w:szCs w:val="24"/>
        </w:rPr>
        <w:t xml:space="preserve">As noted above, the </w:t>
      </w:r>
      <w:r w:rsidR="00B5346B">
        <w:rPr>
          <w:szCs w:val="24"/>
        </w:rPr>
        <w:t xml:space="preserve">reductions </w:t>
      </w:r>
      <w:r w:rsidR="00302E49">
        <w:rPr>
          <w:szCs w:val="24"/>
        </w:rPr>
        <w:t xml:space="preserve">in information collection burden and costs </w:t>
      </w:r>
      <w:r w:rsidR="00EA7559">
        <w:rPr>
          <w:szCs w:val="24"/>
        </w:rPr>
        <w:t xml:space="preserve">under </w:t>
      </w:r>
      <w:r w:rsidR="00302E49">
        <w:rPr>
          <w:szCs w:val="24"/>
        </w:rPr>
        <w:t>this rule</w:t>
      </w:r>
      <w:r>
        <w:rPr>
          <w:szCs w:val="24"/>
        </w:rPr>
        <w:t xml:space="preserve"> are </w:t>
      </w:r>
      <w:r w:rsidR="00302E49">
        <w:rPr>
          <w:szCs w:val="24"/>
        </w:rPr>
        <w:t>estimated as incremental to the information burden and costs under the existing CSAPR ICR</w:t>
      </w:r>
      <w:r>
        <w:rPr>
          <w:szCs w:val="24"/>
        </w:rPr>
        <w:t>.  To provide context</w:t>
      </w:r>
      <w:r w:rsidR="00302E49">
        <w:rPr>
          <w:szCs w:val="24"/>
        </w:rPr>
        <w:t xml:space="preserve">, this ICR </w:t>
      </w:r>
      <w:r>
        <w:rPr>
          <w:szCs w:val="24"/>
        </w:rPr>
        <w:t xml:space="preserve">describes </w:t>
      </w:r>
      <w:r w:rsidR="00302E49">
        <w:rPr>
          <w:szCs w:val="24"/>
        </w:rPr>
        <w:t xml:space="preserve">the </w:t>
      </w:r>
      <w:r>
        <w:rPr>
          <w:szCs w:val="24"/>
        </w:rPr>
        <w:t>full</w:t>
      </w:r>
      <w:r w:rsidR="00302E49">
        <w:rPr>
          <w:szCs w:val="24"/>
        </w:rPr>
        <w:t xml:space="preserve"> set of information collection activities </w:t>
      </w:r>
      <w:r>
        <w:rPr>
          <w:szCs w:val="24"/>
        </w:rPr>
        <w:t xml:space="preserve">covered </w:t>
      </w:r>
      <w:r w:rsidR="00302E49">
        <w:rPr>
          <w:szCs w:val="24"/>
        </w:rPr>
        <w:t xml:space="preserve">under </w:t>
      </w:r>
      <w:r>
        <w:rPr>
          <w:szCs w:val="24"/>
        </w:rPr>
        <w:t xml:space="preserve">the existing </w:t>
      </w:r>
      <w:r w:rsidR="00302E49">
        <w:rPr>
          <w:szCs w:val="24"/>
        </w:rPr>
        <w:t>CSAPR</w:t>
      </w:r>
      <w:r>
        <w:rPr>
          <w:szCs w:val="24"/>
        </w:rPr>
        <w:t xml:space="preserve"> ICR</w:t>
      </w:r>
      <w:r w:rsidR="00EF43A5">
        <w:rPr>
          <w:szCs w:val="24"/>
        </w:rPr>
        <w:t xml:space="preserve">, noting instances where burden and costs </w:t>
      </w:r>
      <w:r w:rsidR="00B7422C">
        <w:rPr>
          <w:szCs w:val="24"/>
        </w:rPr>
        <w:t xml:space="preserve">will </w:t>
      </w:r>
      <w:r w:rsidR="00EF43A5">
        <w:rPr>
          <w:szCs w:val="24"/>
        </w:rPr>
        <w:t>change as a result of this rule</w:t>
      </w:r>
      <w:r w:rsidR="00302E49">
        <w:rPr>
          <w:szCs w:val="24"/>
        </w:rPr>
        <w:t xml:space="preserve">.  </w:t>
      </w:r>
      <w:r>
        <w:rPr>
          <w:szCs w:val="24"/>
        </w:rPr>
        <w:t>Most of these activities relate to monitoring</w:t>
      </w:r>
      <w:r w:rsidR="002834C2" w:rsidRPr="006757FB">
        <w:rPr>
          <w:szCs w:val="24"/>
        </w:rPr>
        <w:t>, recordkeeping</w:t>
      </w:r>
      <w:r>
        <w:rPr>
          <w:szCs w:val="24"/>
        </w:rPr>
        <w:t>,</w:t>
      </w:r>
      <w:r w:rsidR="002834C2" w:rsidRPr="006757FB">
        <w:rPr>
          <w:szCs w:val="24"/>
        </w:rPr>
        <w:t xml:space="preserve"> and reporting </w:t>
      </w:r>
      <w:r>
        <w:rPr>
          <w:szCs w:val="24"/>
        </w:rPr>
        <w:t xml:space="preserve">of hourly emissions.  CSAPR-affected </w:t>
      </w:r>
      <w:r w:rsidR="00F174ED">
        <w:rPr>
          <w:szCs w:val="24"/>
        </w:rPr>
        <w:t>unit</w:t>
      </w:r>
      <w:r>
        <w:rPr>
          <w:szCs w:val="24"/>
        </w:rPr>
        <w:t xml:space="preserve">s </w:t>
      </w:r>
      <w:r w:rsidR="002834C2" w:rsidRPr="006757FB">
        <w:rPr>
          <w:szCs w:val="24"/>
        </w:rPr>
        <w:t xml:space="preserve">are required to: (1) submit a monitoring plan and certification reports for each monitoring system, (2) </w:t>
      </w:r>
      <w:r w:rsidR="00B5346B">
        <w:rPr>
          <w:szCs w:val="24"/>
        </w:rPr>
        <w:t xml:space="preserve">monitor and </w:t>
      </w:r>
      <w:r w:rsidR="002834C2" w:rsidRPr="006757FB">
        <w:rPr>
          <w:szCs w:val="24"/>
        </w:rPr>
        <w:t xml:space="preserve">record hourly emissions </w:t>
      </w:r>
      <w:r w:rsidR="00B5346B">
        <w:rPr>
          <w:szCs w:val="24"/>
        </w:rPr>
        <w:t xml:space="preserve">and operations </w:t>
      </w:r>
      <w:r w:rsidR="002834C2" w:rsidRPr="006757FB">
        <w:rPr>
          <w:szCs w:val="24"/>
        </w:rPr>
        <w:t xml:space="preserve">data, and (3) submit </w:t>
      </w:r>
      <w:r w:rsidR="00B5346B">
        <w:rPr>
          <w:szCs w:val="24"/>
        </w:rPr>
        <w:t xml:space="preserve">quarterly </w:t>
      </w:r>
      <w:r w:rsidR="002834C2" w:rsidRPr="006757FB">
        <w:rPr>
          <w:szCs w:val="24"/>
        </w:rPr>
        <w:t xml:space="preserve">reports of their emissions and operating data to EPA.  All sources affected by </w:t>
      </w:r>
      <w:r w:rsidR="00C22164">
        <w:rPr>
          <w:szCs w:val="24"/>
        </w:rPr>
        <w:t>CSAPR</w:t>
      </w:r>
      <w:r w:rsidR="002834C2" w:rsidRPr="006757FB">
        <w:rPr>
          <w:szCs w:val="24"/>
        </w:rPr>
        <w:t xml:space="preserve"> </w:t>
      </w:r>
      <w:r w:rsidR="00BF32CE">
        <w:rPr>
          <w:szCs w:val="24"/>
        </w:rPr>
        <w:t>are</w:t>
      </w:r>
      <w:r w:rsidR="002834C2" w:rsidRPr="006757FB">
        <w:rPr>
          <w:szCs w:val="24"/>
        </w:rPr>
        <w:t xml:space="preserve"> required to monitor and report NO</w:t>
      </w:r>
      <w:r w:rsidR="002834C2" w:rsidRPr="006757FB">
        <w:rPr>
          <w:szCs w:val="24"/>
          <w:vertAlign w:val="subscript"/>
        </w:rPr>
        <w:t>X</w:t>
      </w:r>
      <w:r w:rsidR="002834C2" w:rsidRPr="006757FB">
        <w:rPr>
          <w:szCs w:val="24"/>
        </w:rPr>
        <w:t xml:space="preserve"> and/or SO</w:t>
      </w:r>
      <w:r w:rsidR="002834C2" w:rsidRPr="006757FB">
        <w:rPr>
          <w:szCs w:val="24"/>
          <w:vertAlign w:val="subscript"/>
        </w:rPr>
        <w:t>2</w:t>
      </w:r>
      <w:r w:rsidR="002834C2" w:rsidRPr="006757FB">
        <w:rPr>
          <w:szCs w:val="24"/>
        </w:rPr>
        <w:t xml:space="preserve"> emissions in accordance with 40 CFR part 75.  Sources with monitors already certified under 40 CFR part 75 may be exempt from initial certification requirements.</w:t>
      </w:r>
    </w:p>
    <w:p w14:paraId="4F4B3751" w14:textId="4A17B600" w:rsidR="002834C2" w:rsidRPr="006757FB" w:rsidRDefault="002834C2" w:rsidP="006757FB">
      <w:pPr>
        <w:suppressAutoHyphens/>
        <w:autoSpaceDE w:val="0"/>
        <w:autoSpaceDN w:val="0"/>
        <w:adjustRightInd w:val="0"/>
        <w:spacing w:before="120" w:after="120"/>
        <w:ind w:firstLine="720"/>
        <w:rPr>
          <w:szCs w:val="24"/>
        </w:rPr>
      </w:pPr>
      <w:r w:rsidRPr="006757FB">
        <w:rPr>
          <w:szCs w:val="24"/>
        </w:rPr>
        <w:t xml:space="preserve">Like the ARP, </w:t>
      </w:r>
      <w:r w:rsidR="00C22164">
        <w:rPr>
          <w:szCs w:val="24"/>
        </w:rPr>
        <w:t>CSAPR</w:t>
      </w:r>
      <w:r w:rsidRPr="006757FB">
        <w:rPr>
          <w:szCs w:val="24"/>
        </w:rPr>
        <w:t xml:space="preserve"> employs emission trading programs as a mechanism to reduce the overall costs of reducing emissions.  In addition to the emission monitoring, recordkeeping, and reporting requirements just described, trading programs require other tasks that involve an information collection burden</w:t>
      </w:r>
      <w:r w:rsidR="006446CC" w:rsidRPr="006757FB">
        <w:rPr>
          <w:szCs w:val="24"/>
        </w:rPr>
        <w:t xml:space="preserve"> for </w:t>
      </w:r>
      <w:r w:rsidR="00FC2BD7">
        <w:rPr>
          <w:szCs w:val="24"/>
        </w:rPr>
        <w:t xml:space="preserve">permitting authorities, </w:t>
      </w:r>
      <w:r w:rsidR="006446CC" w:rsidRPr="006757FB">
        <w:rPr>
          <w:szCs w:val="24"/>
        </w:rPr>
        <w:t xml:space="preserve">sources, </w:t>
      </w:r>
      <w:r w:rsidR="00FC2BD7">
        <w:rPr>
          <w:szCs w:val="24"/>
        </w:rPr>
        <w:t xml:space="preserve">and </w:t>
      </w:r>
      <w:r w:rsidR="006446CC" w:rsidRPr="006757FB">
        <w:rPr>
          <w:szCs w:val="24"/>
        </w:rPr>
        <w:t>EPA</w:t>
      </w:r>
      <w:r w:rsidRPr="006757FB">
        <w:rPr>
          <w:szCs w:val="24"/>
        </w:rPr>
        <w:t xml:space="preserve">.  These tasks include: </w:t>
      </w:r>
      <w:r w:rsidR="00FC2BD7">
        <w:rPr>
          <w:szCs w:val="24"/>
        </w:rPr>
        <w:lastRenderedPageBreak/>
        <w:t>(1) permitting</w:t>
      </w:r>
      <w:r w:rsidR="009571D5">
        <w:rPr>
          <w:szCs w:val="24"/>
        </w:rPr>
        <w:t xml:space="preserve"> and other certification</w:t>
      </w:r>
      <w:r w:rsidR="00FC2BD7">
        <w:rPr>
          <w:szCs w:val="24"/>
        </w:rPr>
        <w:t xml:space="preserve">, </w:t>
      </w:r>
      <w:r w:rsidRPr="006757FB">
        <w:rPr>
          <w:szCs w:val="24"/>
        </w:rPr>
        <w:t>(</w:t>
      </w:r>
      <w:r w:rsidR="00FC2BD7">
        <w:rPr>
          <w:szCs w:val="24"/>
        </w:rPr>
        <w:t>2</w:t>
      </w:r>
      <w:r w:rsidRPr="006757FB">
        <w:rPr>
          <w:szCs w:val="24"/>
        </w:rPr>
        <w:t xml:space="preserve">) transfer and tracking </w:t>
      </w:r>
      <w:r w:rsidR="009571D5">
        <w:rPr>
          <w:szCs w:val="24"/>
        </w:rPr>
        <w:t xml:space="preserve">of </w:t>
      </w:r>
      <w:r w:rsidRPr="006757FB">
        <w:rPr>
          <w:szCs w:val="24"/>
        </w:rPr>
        <w:t>allowances; and (3) determin</w:t>
      </w:r>
      <w:r w:rsidR="009571D5">
        <w:rPr>
          <w:szCs w:val="24"/>
        </w:rPr>
        <w:t xml:space="preserve">ation of </w:t>
      </w:r>
      <w:r w:rsidRPr="006757FB">
        <w:rPr>
          <w:szCs w:val="24"/>
        </w:rPr>
        <w:t>annual year</w:t>
      </w:r>
      <w:r w:rsidR="009571D5">
        <w:rPr>
          <w:szCs w:val="24"/>
        </w:rPr>
        <w:t>-</w:t>
      </w:r>
      <w:r w:rsidRPr="006757FB">
        <w:rPr>
          <w:szCs w:val="24"/>
        </w:rPr>
        <w:t>end compliance.</w:t>
      </w:r>
      <w:r w:rsidR="006446CC" w:rsidRPr="006757FB">
        <w:rPr>
          <w:szCs w:val="24"/>
        </w:rPr>
        <w:t xml:space="preserve">  Emission allowance market participants using the CAMD Business System (CBS) to transfer allowances are required either to complete and submit an allowance transfer form for each allowance transfer or to perform the transfer on-line.  CBS users that are not covered sources, such as allowance brokers, fuel suppliers, and environmental groups, are also required to file a one</w:t>
      </w:r>
      <w:r w:rsidR="0001568B">
        <w:rPr>
          <w:szCs w:val="24"/>
        </w:rPr>
        <w:t>-</w:t>
      </w:r>
      <w:r w:rsidR="006446CC" w:rsidRPr="006757FB">
        <w:rPr>
          <w:szCs w:val="24"/>
        </w:rPr>
        <w:t>time account information application to establish accounts in CBS.</w:t>
      </w:r>
      <w:r w:rsidRPr="006757FB">
        <w:rPr>
          <w:szCs w:val="24"/>
        </w:rPr>
        <w:t xml:space="preserve">       </w:t>
      </w:r>
    </w:p>
    <w:p w14:paraId="0DC6C824" w14:textId="4597AC07" w:rsidR="003D6CC9" w:rsidRPr="006757FB" w:rsidRDefault="00C22164" w:rsidP="006757FB">
      <w:pPr>
        <w:suppressAutoHyphens/>
        <w:autoSpaceDE w:val="0"/>
        <w:autoSpaceDN w:val="0"/>
        <w:adjustRightInd w:val="0"/>
        <w:spacing w:before="120" w:after="120"/>
        <w:ind w:firstLine="720"/>
        <w:rPr>
          <w:szCs w:val="24"/>
        </w:rPr>
      </w:pPr>
      <w:r>
        <w:rPr>
          <w:szCs w:val="24"/>
        </w:rPr>
        <w:t>CSAPR</w:t>
      </w:r>
      <w:r w:rsidR="00F15D53" w:rsidRPr="006757FB">
        <w:rPr>
          <w:szCs w:val="24"/>
        </w:rPr>
        <w:t xml:space="preserve"> regulates sources directly through </w:t>
      </w:r>
      <w:r w:rsidR="00FC2BD7">
        <w:rPr>
          <w:szCs w:val="24"/>
        </w:rPr>
        <w:t>f</w:t>
      </w:r>
      <w:r w:rsidR="00F15D53" w:rsidRPr="006757FB">
        <w:rPr>
          <w:szCs w:val="24"/>
        </w:rPr>
        <w:t xml:space="preserve">ederal </w:t>
      </w:r>
      <w:r w:rsidR="00FC2BD7">
        <w:rPr>
          <w:szCs w:val="24"/>
        </w:rPr>
        <w:t>i</w:t>
      </w:r>
      <w:r w:rsidR="00F15D53" w:rsidRPr="006757FB">
        <w:rPr>
          <w:szCs w:val="24"/>
        </w:rPr>
        <w:t xml:space="preserve">mplementation </w:t>
      </w:r>
      <w:r w:rsidR="00FC2BD7">
        <w:rPr>
          <w:szCs w:val="24"/>
        </w:rPr>
        <w:t>p</w:t>
      </w:r>
      <w:r w:rsidR="00F15D53" w:rsidRPr="006757FB">
        <w:rPr>
          <w:szCs w:val="24"/>
        </w:rPr>
        <w:t xml:space="preserve">lans (FIPs) and does not impose any reporting obligations on non-industry entities.  </w:t>
      </w:r>
      <w:r w:rsidR="002834C2" w:rsidRPr="006757FB">
        <w:rPr>
          <w:szCs w:val="24"/>
        </w:rPr>
        <w:t xml:space="preserve">States have the option to replace </w:t>
      </w:r>
      <w:r w:rsidR="004B52C2">
        <w:rPr>
          <w:szCs w:val="24"/>
        </w:rPr>
        <w:t xml:space="preserve">provisions of the CSAPR trading programs applicable to the units in their states in </w:t>
      </w:r>
      <w:r w:rsidR="002834C2" w:rsidRPr="006757FB">
        <w:rPr>
          <w:szCs w:val="24"/>
        </w:rPr>
        <w:t xml:space="preserve">whole or in part by submitting revisions to their </w:t>
      </w:r>
      <w:r w:rsidR="00FC2BD7">
        <w:rPr>
          <w:szCs w:val="24"/>
        </w:rPr>
        <w:t>s</w:t>
      </w:r>
      <w:r w:rsidR="002834C2" w:rsidRPr="006757FB">
        <w:rPr>
          <w:szCs w:val="24"/>
        </w:rPr>
        <w:t xml:space="preserve">tate </w:t>
      </w:r>
      <w:r w:rsidR="00FC2BD7">
        <w:rPr>
          <w:szCs w:val="24"/>
        </w:rPr>
        <w:t>i</w:t>
      </w:r>
      <w:r w:rsidR="002834C2" w:rsidRPr="006757FB">
        <w:rPr>
          <w:szCs w:val="24"/>
        </w:rPr>
        <w:t xml:space="preserve">mplementation </w:t>
      </w:r>
      <w:r w:rsidR="00FC2BD7">
        <w:rPr>
          <w:szCs w:val="24"/>
        </w:rPr>
        <w:t>p</w:t>
      </w:r>
      <w:r w:rsidR="002834C2" w:rsidRPr="006757FB">
        <w:rPr>
          <w:szCs w:val="24"/>
        </w:rPr>
        <w:t>lans (SIPs).</w:t>
      </w:r>
    </w:p>
    <w:p w14:paraId="15804660" w14:textId="77777777" w:rsidR="004F729B" w:rsidRPr="006757FB" w:rsidRDefault="004F729B" w:rsidP="006757FB">
      <w:pPr>
        <w:suppressAutoHyphens/>
        <w:autoSpaceDE w:val="0"/>
        <w:autoSpaceDN w:val="0"/>
        <w:adjustRightInd w:val="0"/>
        <w:spacing w:before="120" w:after="120"/>
        <w:rPr>
          <w:b/>
          <w:bCs/>
          <w:szCs w:val="24"/>
        </w:rPr>
      </w:pPr>
    </w:p>
    <w:p w14:paraId="7518919C" w14:textId="77777777" w:rsidR="000C02E9" w:rsidRPr="006757FB" w:rsidRDefault="000C02E9" w:rsidP="006757FB">
      <w:pPr>
        <w:keepNext/>
        <w:suppressAutoHyphens/>
        <w:autoSpaceDE w:val="0"/>
        <w:autoSpaceDN w:val="0"/>
        <w:adjustRightInd w:val="0"/>
        <w:spacing w:before="120" w:after="120"/>
        <w:rPr>
          <w:b/>
          <w:bCs/>
          <w:szCs w:val="24"/>
        </w:rPr>
      </w:pPr>
      <w:r w:rsidRPr="006757FB">
        <w:rPr>
          <w:b/>
          <w:bCs/>
          <w:szCs w:val="24"/>
        </w:rPr>
        <w:t>2.</w:t>
      </w:r>
      <w:r w:rsidR="003740C6" w:rsidRPr="006757FB">
        <w:rPr>
          <w:b/>
          <w:bCs/>
          <w:szCs w:val="24"/>
        </w:rPr>
        <w:t xml:space="preserve">0 </w:t>
      </w:r>
      <w:r w:rsidRPr="006757FB">
        <w:rPr>
          <w:b/>
          <w:bCs/>
          <w:szCs w:val="24"/>
        </w:rPr>
        <w:t xml:space="preserve"> N</w:t>
      </w:r>
      <w:r w:rsidR="003740C6" w:rsidRPr="006757FB">
        <w:rPr>
          <w:b/>
          <w:bCs/>
          <w:szCs w:val="24"/>
        </w:rPr>
        <w:t>eed</w:t>
      </w:r>
      <w:r w:rsidRPr="006757FB">
        <w:rPr>
          <w:b/>
          <w:bCs/>
          <w:szCs w:val="24"/>
        </w:rPr>
        <w:t xml:space="preserve"> </w:t>
      </w:r>
      <w:r w:rsidR="003740C6" w:rsidRPr="006757FB">
        <w:rPr>
          <w:b/>
          <w:bCs/>
          <w:szCs w:val="24"/>
        </w:rPr>
        <w:t>for and</w:t>
      </w:r>
      <w:r w:rsidRPr="006757FB">
        <w:rPr>
          <w:b/>
          <w:bCs/>
          <w:szCs w:val="24"/>
        </w:rPr>
        <w:t xml:space="preserve"> U</w:t>
      </w:r>
      <w:r w:rsidR="003740C6" w:rsidRPr="006757FB">
        <w:rPr>
          <w:b/>
          <w:bCs/>
          <w:szCs w:val="24"/>
        </w:rPr>
        <w:t>se</w:t>
      </w:r>
      <w:r w:rsidRPr="006757FB">
        <w:rPr>
          <w:b/>
          <w:bCs/>
          <w:szCs w:val="24"/>
        </w:rPr>
        <w:t xml:space="preserve"> </w:t>
      </w:r>
      <w:r w:rsidR="003740C6" w:rsidRPr="006757FB">
        <w:rPr>
          <w:b/>
          <w:bCs/>
          <w:szCs w:val="24"/>
        </w:rPr>
        <w:t>of</w:t>
      </w:r>
      <w:r w:rsidRPr="006757FB">
        <w:rPr>
          <w:b/>
          <w:bCs/>
          <w:szCs w:val="24"/>
        </w:rPr>
        <w:t xml:space="preserve"> </w:t>
      </w:r>
      <w:r w:rsidR="003740C6" w:rsidRPr="006757FB">
        <w:rPr>
          <w:b/>
          <w:bCs/>
          <w:szCs w:val="24"/>
        </w:rPr>
        <w:t>the</w:t>
      </w:r>
      <w:r w:rsidRPr="006757FB">
        <w:rPr>
          <w:b/>
          <w:bCs/>
          <w:szCs w:val="24"/>
        </w:rPr>
        <w:t xml:space="preserve"> C</w:t>
      </w:r>
      <w:r w:rsidR="003740C6" w:rsidRPr="006757FB">
        <w:rPr>
          <w:b/>
          <w:bCs/>
          <w:szCs w:val="24"/>
        </w:rPr>
        <w:t>ollection</w:t>
      </w:r>
    </w:p>
    <w:p w14:paraId="1FA02043" w14:textId="77777777" w:rsidR="000C02E9" w:rsidRPr="006757FB" w:rsidRDefault="003740C6" w:rsidP="006757FB">
      <w:pPr>
        <w:keepNext/>
        <w:suppressAutoHyphens/>
        <w:autoSpaceDE w:val="0"/>
        <w:autoSpaceDN w:val="0"/>
        <w:adjustRightInd w:val="0"/>
        <w:spacing w:before="120" w:after="120"/>
        <w:ind w:left="360"/>
        <w:rPr>
          <w:b/>
          <w:bCs/>
          <w:szCs w:val="24"/>
        </w:rPr>
      </w:pPr>
      <w:r w:rsidRPr="006757FB">
        <w:rPr>
          <w:b/>
          <w:bCs/>
          <w:szCs w:val="24"/>
        </w:rPr>
        <w:t xml:space="preserve">2.1  </w:t>
      </w:r>
      <w:r w:rsidR="000C02E9" w:rsidRPr="006757FB">
        <w:rPr>
          <w:b/>
          <w:bCs/>
          <w:szCs w:val="24"/>
        </w:rPr>
        <w:t>Need/Authority for the Collection</w:t>
      </w:r>
    </w:p>
    <w:p w14:paraId="4253E461" w14:textId="6E249D11" w:rsidR="00CB0AA9" w:rsidRPr="006757FB" w:rsidRDefault="006F1272" w:rsidP="006757FB">
      <w:pPr>
        <w:keepNext/>
        <w:suppressAutoHyphens/>
        <w:autoSpaceDE w:val="0"/>
        <w:autoSpaceDN w:val="0"/>
        <w:adjustRightInd w:val="0"/>
        <w:spacing w:before="120" w:after="120"/>
        <w:ind w:firstLine="720"/>
        <w:rPr>
          <w:szCs w:val="24"/>
        </w:rPr>
      </w:pPr>
      <w:r>
        <w:rPr>
          <w:szCs w:val="24"/>
        </w:rPr>
        <w:t>E</w:t>
      </w:r>
      <w:r w:rsidR="000C02E9" w:rsidRPr="006757FB">
        <w:rPr>
          <w:szCs w:val="24"/>
        </w:rPr>
        <w:t>missions data</w:t>
      </w:r>
      <w:r w:rsidR="00FF7B14" w:rsidRPr="006757FB">
        <w:rPr>
          <w:szCs w:val="24"/>
        </w:rPr>
        <w:t xml:space="preserve"> </w:t>
      </w:r>
      <w:r w:rsidR="00AF36D3">
        <w:rPr>
          <w:szCs w:val="24"/>
        </w:rPr>
        <w:t xml:space="preserve">in general </w:t>
      </w:r>
      <w:r w:rsidR="000C02E9" w:rsidRPr="006757FB">
        <w:rPr>
          <w:szCs w:val="24"/>
        </w:rPr>
        <w:t>are of vital importance to EPA for fulfilling a host of monitoring, standard-setting,</w:t>
      </w:r>
      <w:r w:rsidR="00FF7B14" w:rsidRPr="006757FB">
        <w:rPr>
          <w:szCs w:val="24"/>
        </w:rPr>
        <w:t xml:space="preserve"> </w:t>
      </w:r>
      <w:r w:rsidR="000C02E9" w:rsidRPr="006757FB">
        <w:rPr>
          <w:szCs w:val="24"/>
        </w:rPr>
        <w:t>rulemaking, reviewing, and reporting duties</w:t>
      </w:r>
      <w:r w:rsidR="003972B1" w:rsidRPr="006757FB">
        <w:rPr>
          <w:szCs w:val="24"/>
        </w:rPr>
        <w:t xml:space="preserve">.  </w:t>
      </w:r>
      <w:r>
        <w:rPr>
          <w:szCs w:val="24"/>
        </w:rPr>
        <w:t xml:space="preserve">CSAPR and its associated </w:t>
      </w:r>
      <w:r w:rsidR="00AF36D3">
        <w:rPr>
          <w:szCs w:val="24"/>
        </w:rPr>
        <w:t xml:space="preserve">emissions data and other </w:t>
      </w:r>
      <w:r>
        <w:rPr>
          <w:szCs w:val="24"/>
        </w:rPr>
        <w:t xml:space="preserve">information collection requirements </w:t>
      </w:r>
      <w:r w:rsidR="00D46CCD">
        <w:rPr>
          <w:szCs w:val="24"/>
        </w:rPr>
        <w:t xml:space="preserve">have been </w:t>
      </w:r>
      <w:r>
        <w:rPr>
          <w:szCs w:val="24"/>
        </w:rPr>
        <w:t>promulgated to implement CAA s</w:t>
      </w:r>
      <w:r w:rsidR="00CB0AA9" w:rsidRPr="006757FB">
        <w:rPr>
          <w:szCs w:val="24"/>
        </w:rPr>
        <w:t>ection 110(a)(2)(D)</w:t>
      </w:r>
      <w:r>
        <w:rPr>
          <w:szCs w:val="24"/>
        </w:rPr>
        <w:t xml:space="preserve">, </w:t>
      </w:r>
      <w:r w:rsidR="003720F8">
        <w:rPr>
          <w:szCs w:val="24"/>
        </w:rPr>
        <w:t xml:space="preserve">42 U.S.C. 7410(a)(2)(D), </w:t>
      </w:r>
      <w:r w:rsidR="00CB0AA9" w:rsidRPr="006757FB">
        <w:rPr>
          <w:szCs w:val="24"/>
        </w:rPr>
        <w:t xml:space="preserve">often referred to as the </w:t>
      </w:r>
      <w:r w:rsidR="003720F8">
        <w:rPr>
          <w:szCs w:val="24"/>
        </w:rPr>
        <w:t xml:space="preserve">Act’s </w:t>
      </w:r>
      <w:r w:rsidR="00CB0AA9" w:rsidRPr="006757FB">
        <w:rPr>
          <w:szCs w:val="24"/>
        </w:rPr>
        <w:t xml:space="preserve">“good neighbor” provision, </w:t>
      </w:r>
      <w:r>
        <w:rPr>
          <w:szCs w:val="24"/>
        </w:rPr>
        <w:t xml:space="preserve">which </w:t>
      </w:r>
      <w:r w:rsidR="00CB0AA9" w:rsidRPr="006757FB">
        <w:rPr>
          <w:szCs w:val="24"/>
        </w:rPr>
        <w:t xml:space="preserve">requires states to prohibit certain emissions because of their impact on air quality </w:t>
      </w:r>
      <w:r w:rsidR="003720F8">
        <w:rPr>
          <w:szCs w:val="24"/>
        </w:rPr>
        <w:t>outside their borders</w:t>
      </w:r>
      <w:r w:rsidR="00CB0AA9" w:rsidRPr="006757FB">
        <w:rPr>
          <w:szCs w:val="24"/>
        </w:rPr>
        <w:t xml:space="preserve">.  </w:t>
      </w:r>
      <w:r w:rsidR="003720F8">
        <w:rPr>
          <w:szCs w:val="24"/>
        </w:rPr>
        <w:t>As relevant here</w:t>
      </w:r>
      <w:r w:rsidR="00CB0AA9" w:rsidRPr="006757FB">
        <w:rPr>
          <w:szCs w:val="24"/>
        </w:rPr>
        <w:t xml:space="preserve">, </w:t>
      </w:r>
      <w:r>
        <w:rPr>
          <w:szCs w:val="24"/>
        </w:rPr>
        <w:t xml:space="preserve">the provision </w:t>
      </w:r>
      <w:r w:rsidR="00CB0AA9" w:rsidRPr="006757FB">
        <w:rPr>
          <w:szCs w:val="24"/>
        </w:rPr>
        <w:t xml:space="preserve">requires all states, within </w:t>
      </w:r>
      <w:r w:rsidR="00FC2BD7">
        <w:rPr>
          <w:szCs w:val="24"/>
        </w:rPr>
        <w:t>three</w:t>
      </w:r>
      <w:r w:rsidR="00CB0AA9" w:rsidRPr="006757FB">
        <w:rPr>
          <w:szCs w:val="24"/>
        </w:rPr>
        <w:t xml:space="preserve"> years of promulgation of</w:t>
      </w:r>
      <w:r w:rsidR="00F114CA" w:rsidRPr="006757FB">
        <w:rPr>
          <w:szCs w:val="24"/>
        </w:rPr>
        <w:t xml:space="preserve"> </w:t>
      </w:r>
      <w:r w:rsidR="00B5346B">
        <w:rPr>
          <w:szCs w:val="24"/>
        </w:rPr>
        <w:t xml:space="preserve">a </w:t>
      </w:r>
      <w:r w:rsidR="00CB0AA9" w:rsidRPr="006757FB">
        <w:rPr>
          <w:szCs w:val="24"/>
        </w:rPr>
        <w:t xml:space="preserve">new or revised NAAQS, to submit SIPs that prohibit certain emissions of air pollutants because of the impact they would have on air quality in other states.  </w:t>
      </w:r>
      <w:r w:rsidR="00FC2BD7">
        <w:rPr>
          <w:szCs w:val="24"/>
        </w:rPr>
        <w:t xml:space="preserve">As described above, CSAPR as originally promulgated addressed </w:t>
      </w:r>
      <w:r w:rsidR="003720F8">
        <w:rPr>
          <w:szCs w:val="24"/>
        </w:rPr>
        <w:t xml:space="preserve">certain </w:t>
      </w:r>
      <w:r w:rsidR="00FC2BD7">
        <w:rPr>
          <w:szCs w:val="24"/>
        </w:rPr>
        <w:t xml:space="preserve">states’ </w:t>
      </w:r>
      <w:r w:rsidR="003720F8">
        <w:rPr>
          <w:szCs w:val="24"/>
        </w:rPr>
        <w:t xml:space="preserve">good neighbor </w:t>
      </w:r>
      <w:r w:rsidR="00FC2BD7">
        <w:rPr>
          <w:szCs w:val="24"/>
        </w:rPr>
        <w:t xml:space="preserve">obligations with respect to the 1997 ozone NAAQS and the 1997 </w:t>
      </w:r>
      <w:r w:rsidR="003720F8">
        <w:rPr>
          <w:szCs w:val="24"/>
        </w:rPr>
        <w:t xml:space="preserve">and 2006 fine particulate matter NAAQS, and this rule addresses certain states’ good neighbor obligations with respect to the 2008 ozone NAAQS.  Prior to CSAPR, </w:t>
      </w:r>
      <w:r w:rsidR="00CB0AA9" w:rsidRPr="006757FB">
        <w:rPr>
          <w:szCs w:val="24"/>
        </w:rPr>
        <w:t xml:space="preserve">EPA issued two </w:t>
      </w:r>
      <w:r w:rsidR="003720F8">
        <w:rPr>
          <w:szCs w:val="24"/>
        </w:rPr>
        <w:t xml:space="preserve">other </w:t>
      </w:r>
      <w:r w:rsidR="00CB0AA9" w:rsidRPr="006757FB">
        <w:rPr>
          <w:szCs w:val="24"/>
        </w:rPr>
        <w:t xml:space="preserve">rules </w:t>
      </w:r>
      <w:r w:rsidR="003720F8">
        <w:rPr>
          <w:szCs w:val="24"/>
        </w:rPr>
        <w:t xml:space="preserve">also implementing the good neighbor provision: the 1998 </w:t>
      </w:r>
      <w:r w:rsidR="00CB0AA9" w:rsidRPr="006757FB">
        <w:rPr>
          <w:szCs w:val="24"/>
        </w:rPr>
        <w:t>NO</w:t>
      </w:r>
      <w:r w:rsidR="00CF1B63" w:rsidRPr="006757FB">
        <w:rPr>
          <w:szCs w:val="24"/>
          <w:vertAlign w:val="subscript"/>
        </w:rPr>
        <w:t>X</w:t>
      </w:r>
      <w:r w:rsidR="00CB0AA9" w:rsidRPr="006757FB">
        <w:rPr>
          <w:szCs w:val="24"/>
        </w:rPr>
        <w:t xml:space="preserve"> SIP Call </w:t>
      </w:r>
      <w:r w:rsidR="003720F8">
        <w:rPr>
          <w:szCs w:val="24"/>
        </w:rPr>
        <w:t>and the 2005 Clean Air Interstate Rule (</w:t>
      </w:r>
      <w:r w:rsidR="00CB0AA9" w:rsidRPr="006757FB">
        <w:rPr>
          <w:szCs w:val="24"/>
        </w:rPr>
        <w:t>CAIR</w:t>
      </w:r>
      <w:r w:rsidR="003720F8">
        <w:rPr>
          <w:szCs w:val="24"/>
        </w:rPr>
        <w:t>)</w:t>
      </w:r>
      <w:r w:rsidR="00CB0AA9" w:rsidRPr="006757FB">
        <w:rPr>
          <w:szCs w:val="24"/>
        </w:rPr>
        <w:t xml:space="preserve">, </w:t>
      </w:r>
      <w:r w:rsidR="003720F8">
        <w:rPr>
          <w:szCs w:val="24"/>
        </w:rPr>
        <w:t xml:space="preserve">which superseded the </w:t>
      </w:r>
      <w:r w:rsidR="003720F8" w:rsidRPr="003720F8">
        <w:rPr>
          <w:szCs w:val="24"/>
        </w:rPr>
        <w:t>NO</w:t>
      </w:r>
      <w:r w:rsidR="003720F8" w:rsidRPr="003720F8">
        <w:rPr>
          <w:szCs w:val="24"/>
          <w:vertAlign w:val="subscript"/>
        </w:rPr>
        <w:t>X</w:t>
      </w:r>
      <w:r w:rsidR="003720F8">
        <w:rPr>
          <w:szCs w:val="24"/>
        </w:rPr>
        <w:t xml:space="preserve"> SIP Call.  CAIR </w:t>
      </w:r>
      <w:r w:rsidR="00CB0AA9" w:rsidRPr="006757FB">
        <w:rPr>
          <w:szCs w:val="24"/>
        </w:rPr>
        <w:t>was remanded by the</w:t>
      </w:r>
      <w:r w:rsidR="005E7ED4" w:rsidRPr="006757FB">
        <w:rPr>
          <w:szCs w:val="24"/>
        </w:rPr>
        <w:t xml:space="preserve"> D.C. Circuit </w:t>
      </w:r>
      <w:r w:rsidR="003720F8">
        <w:rPr>
          <w:szCs w:val="24"/>
        </w:rPr>
        <w:t>and has now been replaced by CSAPR</w:t>
      </w:r>
      <w:r w:rsidR="00CB0AA9" w:rsidRPr="006757FB">
        <w:rPr>
          <w:szCs w:val="24"/>
        </w:rPr>
        <w:t xml:space="preserve">.  </w:t>
      </w:r>
    </w:p>
    <w:p w14:paraId="7EBB9364" w14:textId="5E377757" w:rsidR="00CB0AA9" w:rsidRPr="006757FB" w:rsidRDefault="006F1272" w:rsidP="006757FB">
      <w:pPr>
        <w:suppressAutoHyphens/>
        <w:autoSpaceDE w:val="0"/>
        <w:autoSpaceDN w:val="0"/>
        <w:adjustRightInd w:val="0"/>
        <w:spacing w:before="120" w:after="120"/>
        <w:ind w:firstLine="720"/>
        <w:rPr>
          <w:szCs w:val="24"/>
        </w:rPr>
      </w:pPr>
      <w:r>
        <w:rPr>
          <w:szCs w:val="24"/>
        </w:rPr>
        <w:t>CAA s</w:t>
      </w:r>
      <w:r w:rsidR="00CB0AA9" w:rsidRPr="006757FB">
        <w:rPr>
          <w:szCs w:val="24"/>
        </w:rPr>
        <w:t>ection 110(c)(1)</w:t>
      </w:r>
      <w:r>
        <w:rPr>
          <w:szCs w:val="24"/>
        </w:rPr>
        <w:t xml:space="preserve">, 42 U.S.C. 7410(c)(1), </w:t>
      </w:r>
      <w:r w:rsidR="00CB0AA9" w:rsidRPr="006757FB">
        <w:rPr>
          <w:szCs w:val="24"/>
        </w:rPr>
        <w:t>requires EPA to act in certain circumstances where SIP deficiencies exist</w:t>
      </w:r>
      <w:r w:rsidR="00783064" w:rsidRPr="006757FB">
        <w:rPr>
          <w:szCs w:val="24"/>
        </w:rPr>
        <w:t>.</w:t>
      </w:r>
      <w:r w:rsidR="00CB0AA9" w:rsidRPr="006757FB">
        <w:rPr>
          <w:szCs w:val="24"/>
        </w:rPr>
        <w:t xml:space="preserve">  Specifically, section 110(c)(1) requires the Administrator to promulgate a FIP </w:t>
      </w:r>
      <w:r w:rsidR="00BA1456" w:rsidRPr="006757FB">
        <w:rPr>
          <w:szCs w:val="24"/>
        </w:rPr>
        <w:t>at any time within two</w:t>
      </w:r>
      <w:r w:rsidR="00CB0AA9" w:rsidRPr="006757FB">
        <w:rPr>
          <w:szCs w:val="24"/>
        </w:rPr>
        <w:t xml:space="preserve"> years after the Administrator </w:t>
      </w:r>
      <w:r w:rsidR="00783064" w:rsidRPr="006757FB">
        <w:rPr>
          <w:szCs w:val="24"/>
        </w:rPr>
        <w:t xml:space="preserve">either (1) </w:t>
      </w:r>
      <w:r w:rsidR="00CB0AA9" w:rsidRPr="006757FB">
        <w:rPr>
          <w:szCs w:val="24"/>
        </w:rPr>
        <w:t xml:space="preserve">finds that a </w:t>
      </w:r>
      <w:r w:rsidR="00AF42F5" w:rsidRPr="006757FB">
        <w:rPr>
          <w:szCs w:val="24"/>
        </w:rPr>
        <w:t>s</w:t>
      </w:r>
      <w:r w:rsidR="00CB0AA9" w:rsidRPr="006757FB">
        <w:rPr>
          <w:szCs w:val="24"/>
        </w:rPr>
        <w:t>tate has failed to make a required SIP submission</w:t>
      </w:r>
      <w:r w:rsidR="00AF42F5" w:rsidRPr="006757FB">
        <w:rPr>
          <w:szCs w:val="24"/>
        </w:rPr>
        <w:t xml:space="preserve">; (2) </w:t>
      </w:r>
      <w:r w:rsidR="00783064" w:rsidRPr="006757FB">
        <w:rPr>
          <w:szCs w:val="24"/>
        </w:rPr>
        <w:t xml:space="preserve">finds that </w:t>
      </w:r>
      <w:r w:rsidR="00CB0AA9" w:rsidRPr="006757FB">
        <w:rPr>
          <w:szCs w:val="24"/>
        </w:rPr>
        <w:t xml:space="preserve">a SIP submission </w:t>
      </w:r>
      <w:r w:rsidR="00AF42F5" w:rsidRPr="006757FB">
        <w:rPr>
          <w:szCs w:val="24"/>
        </w:rPr>
        <w:t xml:space="preserve">is </w:t>
      </w:r>
      <w:r w:rsidR="00CB0AA9" w:rsidRPr="006757FB">
        <w:rPr>
          <w:szCs w:val="24"/>
        </w:rPr>
        <w:t>incomplete</w:t>
      </w:r>
      <w:r w:rsidR="00AF42F5" w:rsidRPr="006757FB">
        <w:rPr>
          <w:szCs w:val="24"/>
        </w:rPr>
        <w:t xml:space="preserve">; </w:t>
      </w:r>
      <w:r w:rsidR="00CB0AA9" w:rsidRPr="006757FB">
        <w:rPr>
          <w:szCs w:val="24"/>
        </w:rPr>
        <w:t xml:space="preserve">or </w:t>
      </w:r>
      <w:r w:rsidR="00AF42F5" w:rsidRPr="006757FB">
        <w:rPr>
          <w:szCs w:val="24"/>
        </w:rPr>
        <w:t xml:space="preserve">(3) </w:t>
      </w:r>
      <w:r w:rsidR="00CB0AA9" w:rsidRPr="006757FB">
        <w:rPr>
          <w:szCs w:val="24"/>
        </w:rPr>
        <w:t>disapproves a SIP submission</w:t>
      </w:r>
      <w:r w:rsidR="00230007" w:rsidRPr="006757FB">
        <w:rPr>
          <w:szCs w:val="24"/>
        </w:rPr>
        <w:t xml:space="preserve">.  The Administrator must promulgate a FIP in the above-described scenarios </w:t>
      </w:r>
      <w:r w:rsidR="00CB0AA9" w:rsidRPr="006757FB">
        <w:rPr>
          <w:szCs w:val="24"/>
        </w:rPr>
        <w:t xml:space="preserve">unless the </w:t>
      </w:r>
      <w:r w:rsidR="00AF42F5" w:rsidRPr="006757FB">
        <w:rPr>
          <w:szCs w:val="24"/>
        </w:rPr>
        <w:t>s</w:t>
      </w:r>
      <w:r w:rsidR="00CB0AA9" w:rsidRPr="006757FB">
        <w:rPr>
          <w:szCs w:val="24"/>
        </w:rPr>
        <w:t xml:space="preserve">tate corrects the deficiency and the Administrator approves the SIP revision before the Administrator promulgates </w:t>
      </w:r>
      <w:r w:rsidR="00407B77" w:rsidRPr="006757FB">
        <w:rPr>
          <w:szCs w:val="24"/>
        </w:rPr>
        <w:t>the relevant</w:t>
      </w:r>
      <w:r w:rsidR="00CB0AA9" w:rsidRPr="006757FB">
        <w:rPr>
          <w:szCs w:val="24"/>
        </w:rPr>
        <w:t xml:space="preserve"> FIP</w:t>
      </w:r>
      <w:r w:rsidR="00230007" w:rsidRPr="006757FB">
        <w:rPr>
          <w:szCs w:val="24"/>
        </w:rPr>
        <w:t>.</w:t>
      </w:r>
      <w:r>
        <w:rPr>
          <w:szCs w:val="24"/>
        </w:rPr>
        <w:t xml:space="preserve">  In this action, among other things, EPA is promulgating FIPs for states where SIP deficiencies exist with respect to states’ good neighbor obligations under the 2008 ozone NAAQS</w:t>
      </w:r>
      <w:r w:rsidR="00AF36D3">
        <w:rPr>
          <w:szCs w:val="24"/>
        </w:rPr>
        <w:t xml:space="preserve">, and through those FIPs is requiring sources in the covered states to participate in the CSAPR </w:t>
      </w:r>
      <w:r w:rsidR="001543F4" w:rsidRPr="001543F4">
        <w:rPr>
          <w:szCs w:val="24"/>
        </w:rPr>
        <w:t>NO</w:t>
      </w:r>
      <w:r w:rsidR="001543F4" w:rsidRPr="001543F4">
        <w:rPr>
          <w:szCs w:val="24"/>
          <w:vertAlign w:val="subscript"/>
        </w:rPr>
        <w:t>X</w:t>
      </w:r>
      <w:r w:rsidR="001543F4">
        <w:rPr>
          <w:szCs w:val="24"/>
        </w:rPr>
        <w:t xml:space="preserve"> Ozone Season Trading Program </w:t>
      </w:r>
      <w:r w:rsidR="00AF36D3">
        <w:rPr>
          <w:szCs w:val="24"/>
        </w:rPr>
        <w:t>as a mechanism to address the states’ good neighbor obligations</w:t>
      </w:r>
      <w:r>
        <w:rPr>
          <w:szCs w:val="24"/>
        </w:rPr>
        <w:t>.</w:t>
      </w:r>
    </w:p>
    <w:p w14:paraId="1AEF3B77" w14:textId="5627D7C8" w:rsidR="00AF36D3" w:rsidRPr="006757FB" w:rsidRDefault="00AF36D3" w:rsidP="00AF36D3">
      <w:pPr>
        <w:suppressAutoHyphens/>
        <w:autoSpaceDE w:val="0"/>
        <w:autoSpaceDN w:val="0"/>
        <w:adjustRightInd w:val="0"/>
        <w:spacing w:before="120" w:after="120"/>
        <w:ind w:firstLine="720"/>
        <w:rPr>
          <w:szCs w:val="24"/>
        </w:rPr>
      </w:pPr>
      <w:r>
        <w:rPr>
          <w:szCs w:val="24"/>
        </w:rPr>
        <w:t>CAA s</w:t>
      </w:r>
      <w:r w:rsidRPr="006757FB">
        <w:rPr>
          <w:szCs w:val="24"/>
        </w:rPr>
        <w:t>ection 301(a)(1)</w:t>
      </w:r>
      <w:r>
        <w:rPr>
          <w:szCs w:val="24"/>
        </w:rPr>
        <w:t>, 42 U.S.C. 7601(a)(1),</w:t>
      </w:r>
      <w:r w:rsidRPr="006757FB">
        <w:rPr>
          <w:szCs w:val="24"/>
        </w:rPr>
        <w:t xml:space="preserve"> gives the EPA Administrator general authority to prescribe such regulations as are necessary to carry out her functions under the Act.  Pursuant to this section, EPA has the authority to </w:t>
      </w:r>
      <w:r>
        <w:rPr>
          <w:szCs w:val="24"/>
        </w:rPr>
        <w:t xml:space="preserve">include provisions in the CSAPR trading </w:t>
      </w:r>
      <w:r>
        <w:rPr>
          <w:szCs w:val="24"/>
        </w:rPr>
        <w:lastRenderedPageBreak/>
        <w:t>program regulations that are necessary to ensure that the programs are able to accomplish their authorized objectives, including information collection requirements.</w:t>
      </w:r>
      <w:r w:rsidRPr="006757FB">
        <w:rPr>
          <w:szCs w:val="24"/>
        </w:rPr>
        <w:t xml:space="preserve"> </w:t>
      </w:r>
    </w:p>
    <w:p w14:paraId="7DBD8372" w14:textId="77777777" w:rsidR="00BA1456" w:rsidRPr="006757FB" w:rsidRDefault="00BA1456" w:rsidP="006757FB">
      <w:pPr>
        <w:suppressAutoHyphens/>
        <w:autoSpaceDE w:val="0"/>
        <w:autoSpaceDN w:val="0"/>
        <w:adjustRightInd w:val="0"/>
        <w:spacing w:before="120" w:after="120"/>
        <w:ind w:left="360"/>
        <w:rPr>
          <w:b/>
          <w:bCs/>
          <w:szCs w:val="24"/>
        </w:rPr>
      </w:pPr>
    </w:p>
    <w:p w14:paraId="6A68B382" w14:textId="77777777" w:rsidR="000C02E9" w:rsidRPr="006757FB" w:rsidRDefault="000C02E9" w:rsidP="006757FB">
      <w:pPr>
        <w:keepNext/>
        <w:suppressAutoHyphens/>
        <w:autoSpaceDE w:val="0"/>
        <w:autoSpaceDN w:val="0"/>
        <w:adjustRightInd w:val="0"/>
        <w:spacing w:before="120" w:after="120"/>
        <w:ind w:left="360"/>
        <w:rPr>
          <w:b/>
          <w:bCs/>
          <w:szCs w:val="24"/>
        </w:rPr>
      </w:pPr>
      <w:r w:rsidRPr="006757FB">
        <w:rPr>
          <w:b/>
          <w:bCs/>
          <w:szCs w:val="24"/>
        </w:rPr>
        <w:t>2</w:t>
      </w:r>
      <w:r w:rsidR="003740C6" w:rsidRPr="006757FB">
        <w:rPr>
          <w:b/>
          <w:bCs/>
          <w:szCs w:val="24"/>
        </w:rPr>
        <w:t xml:space="preserve">.2 </w:t>
      </w:r>
      <w:r w:rsidRPr="006757FB">
        <w:rPr>
          <w:b/>
          <w:bCs/>
          <w:szCs w:val="24"/>
        </w:rPr>
        <w:t xml:space="preserve"> Practical Utility/Users of the Data</w:t>
      </w:r>
    </w:p>
    <w:p w14:paraId="38A80497" w14:textId="2F44F9E8" w:rsidR="009571D5" w:rsidRDefault="009571D5" w:rsidP="009571D5">
      <w:pPr>
        <w:suppressAutoHyphens/>
        <w:autoSpaceDE w:val="0"/>
        <w:autoSpaceDN w:val="0"/>
        <w:adjustRightInd w:val="0"/>
        <w:spacing w:before="120" w:after="120"/>
        <w:ind w:firstLine="720"/>
        <w:rPr>
          <w:szCs w:val="24"/>
        </w:rPr>
      </w:pPr>
      <w:r w:rsidRPr="006757FB">
        <w:rPr>
          <w:szCs w:val="24"/>
        </w:rPr>
        <w:t xml:space="preserve">Permit applications are used by states and EPA to issue operating </w:t>
      </w:r>
      <w:r>
        <w:rPr>
          <w:szCs w:val="24"/>
        </w:rPr>
        <w:t xml:space="preserve">and construction </w:t>
      </w:r>
      <w:r w:rsidRPr="006757FB">
        <w:rPr>
          <w:szCs w:val="24"/>
        </w:rPr>
        <w:t>permits.  A permit application is legally binding on the owners, operators, and designated representative of a source until the permit is issued.  Affected sources rely on the permit for information regarding the applicable requirements with which they must comply.  Because permit applications and permits are public documents, they may be used by the public to examine activities undertaken by affected sources.</w:t>
      </w:r>
    </w:p>
    <w:p w14:paraId="04341094" w14:textId="608C2C4F" w:rsidR="009571D5" w:rsidRPr="006757FB" w:rsidRDefault="009571D5" w:rsidP="009571D5">
      <w:pPr>
        <w:suppressAutoHyphens/>
        <w:autoSpaceDE w:val="0"/>
        <w:autoSpaceDN w:val="0"/>
        <w:adjustRightInd w:val="0"/>
        <w:spacing w:before="120" w:after="120"/>
        <w:ind w:firstLine="720"/>
        <w:rPr>
          <w:szCs w:val="24"/>
        </w:rPr>
      </w:pPr>
      <w:r>
        <w:rPr>
          <w:szCs w:val="24"/>
        </w:rPr>
        <w:t>Certificates of representation are used by EPA to ensure that emissions- and allowance-related submissions by sources are authorized and to facilitate enforcement of program requirements.</w:t>
      </w:r>
    </w:p>
    <w:p w14:paraId="6A136383" w14:textId="3FCA5D5A" w:rsidR="001D5847" w:rsidRPr="006757FB" w:rsidRDefault="001D5847" w:rsidP="001D5847">
      <w:pPr>
        <w:suppressAutoHyphens/>
        <w:autoSpaceDE w:val="0"/>
        <w:autoSpaceDN w:val="0"/>
        <w:adjustRightInd w:val="0"/>
        <w:spacing w:before="120" w:after="120"/>
        <w:ind w:firstLine="720"/>
        <w:rPr>
          <w:szCs w:val="24"/>
        </w:rPr>
      </w:pPr>
      <w:r>
        <w:rPr>
          <w:szCs w:val="24"/>
        </w:rPr>
        <w:t xml:space="preserve">Accurate emissions data obtained through </w:t>
      </w:r>
      <w:r w:rsidRPr="006757FB">
        <w:rPr>
          <w:szCs w:val="24"/>
        </w:rPr>
        <w:t xml:space="preserve">monitoring </w:t>
      </w:r>
      <w:r>
        <w:rPr>
          <w:szCs w:val="24"/>
        </w:rPr>
        <w:t xml:space="preserve">and reporting </w:t>
      </w:r>
      <w:r w:rsidRPr="006757FB">
        <w:rPr>
          <w:szCs w:val="24"/>
        </w:rPr>
        <w:t xml:space="preserve">under 40 CFR part 75 </w:t>
      </w:r>
      <w:r w:rsidR="00446D07">
        <w:rPr>
          <w:szCs w:val="24"/>
        </w:rPr>
        <w:t>are</w:t>
      </w:r>
      <w:r w:rsidRPr="006757FB">
        <w:rPr>
          <w:szCs w:val="24"/>
        </w:rPr>
        <w:t xml:space="preserve"> indispensable to successful </w:t>
      </w:r>
      <w:r>
        <w:rPr>
          <w:szCs w:val="24"/>
        </w:rPr>
        <w:t>fulfillment of states</w:t>
      </w:r>
      <w:r w:rsidR="00D46CCD">
        <w:rPr>
          <w:szCs w:val="24"/>
        </w:rPr>
        <w:t>’</w:t>
      </w:r>
      <w:r>
        <w:rPr>
          <w:szCs w:val="24"/>
        </w:rPr>
        <w:t xml:space="preserve"> obligations under the CAA’s good neighbor provision as implemented through the CSAPR trading programs, </w:t>
      </w:r>
      <w:r w:rsidRPr="006757FB">
        <w:rPr>
          <w:szCs w:val="24"/>
        </w:rPr>
        <w:t>for two reasons:</w:t>
      </w:r>
    </w:p>
    <w:p w14:paraId="04DD7907" w14:textId="6243B507" w:rsidR="001D5847" w:rsidRPr="006757FB" w:rsidRDefault="001D5847" w:rsidP="001D5847">
      <w:pPr>
        <w:suppressAutoHyphens/>
        <w:autoSpaceDE w:val="0"/>
        <w:autoSpaceDN w:val="0"/>
        <w:adjustRightInd w:val="0"/>
        <w:spacing w:before="120" w:after="120"/>
        <w:ind w:left="720" w:hanging="360"/>
        <w:rPr>
          <w:szCs w:val="24"/>
        </w:rPr>
      </w:pPr>
      <w:r w:rsidRPr="006757FB">
        <w:rPr>
          <w:szCs w:val="24"/>
        </w:rPr>
        <w:t>●</w:t>
      </w:r>
      <w:r w:rsidRPr="006757FB">
        <w:rPr>
          <w:szCs w:val="24"/>
        </w:rPr>
        <w:tab/>
        <w:t xml:space="preserve">Accurate emissions data </w:t>
      </w:r>
      <w:r w:rsidR="00343167">
        <w:rPr>
          <w:szCs w:val="24"/>
        </w:rPr>
        <w:t>are</w:t>
      </w:r>
      <w:r w:rsidRPr="006757FB">
        <w:rPr>
          <w:szCs w:val="24"/>
        </w:rPr>
        <w:t xml:space="preserve"> </w:t>
      </w:r>
      <w:r>
        <w:rPr>
          <w:szCs w:val="24"/>
        </w:rPr>
        <w:t xml:space="preserve">essential to enable </w:t>
      </w:r>
      <w:r w:rsidRPr="006757FB">
        <w:rPr>
          <w:szCs w:val="24"/>
        </w:rPr>
        <w:t>EPA and state</w:t>
      </w:r>
      <w:r>
        <w:rPr>
          <w:szCs w:val="24"/>
        </w:rPr>
        <w:t>s to assess</w:t>
      </w:r>
      <w:r w:rsidRPr="006757FB">
        <w:rPr>
          <w:szCs w:val="24"/>
        </w:rPr>
        <w:t xml:space="preserve"> the impact of the trading programs in reducing NO</w:t>
      </w:r>
      <w:r w:rsidRPr="006757FB">
        <w:rPr>
          <w:szCs w:val="24"/>
          <w:vertAlign w:val="subscript"/>
        </w:rPr>
        <w:t>X</w:t>
      </w:r>
      <w:r w:rsidRPr="006757FB">
        <w:rPr>
          <w:szCs w:val="24"/>
        </w:rPr>
        <w:t xml:space="preserve"> and SO</w:t>
      </w:r>
      <w:r w:rsidRPr="006757FB">
        <w:rPr>
          <w:szCs w:val="24"/>
          <w:vertAlign w:val="subscript"/>
        </w:rPr>
        <w:t>2</w:t>
      </w:r>
      <w:r w:rsidRPr="006757FB">
        <w:rPr>
          <w:szCs w:val="24"/>
        </w:rPr>
        <w:t xml:space="preserve"> emissions, and therefore </w:t>
      </w:r>
      <w:r>
        <w:rPr>
          <w:szCs w:val="24"/>
        </w:rPr>
        <w:t xml:space="preserve">to assist </w:t>
      </w:r>
      <w:r w:rsidRPr="006757FB">
        <w:rPr>
          <w:szCs w:val="24"/>
        </w:rPr>
        <w:t>states in meeting the ozone and fine particulate matter NAAQS.   By reducing levels of NO</w:t>
      </w:r>
      <w:r w:rsidRPr="006757FB">
        <w:rPr>
          <w:szCs w:val="24"/>
          <w:vertAlign w:val="subscript"/>
        </w:rPr>
        <w:t>X</w:t>
      </w:r>
      <w:r w:rsidRPr="006757FB">
        <w:rPr>
          <w:szCs w:val="24"/>
        </w:rPr>
        <w:t xml:space="preserve"> and SO</w:t>
      </w:r>
      <w:r w:rsidRPr="006757FB">
        <w:rPr>
          <w:szCs w:val="24"/>
          <w:vertAlign w:val="subscript"/>
        </w:rPr>
        <w:t>2</w:t>
      </w:r>
      <w:r w:rsidRPr="006757FB">
        <w:rPr>
          <w:szCs w:val="24"/>
        </w:rPr>
        <w:t xml:space="preserve"> emissions, the </w:t>
      </w:r>
      <w:r>
        <w:rPr>
          <w:szCs w:val="24"/>
        </w:rPr>
        <w:t xml:space="preserve">CSAPR </w:t>
      </w:r>
      <w:r w:rsidRPr="006757FB">
        <w:rPr>
          <w:szCs w:val="24"/>
        </w:rPr>
        <w:t>trading programs reduce the adverse effects of the transport of ozone, ozone precursors, and fine particles from upwind states.</w:t>
      </w:r>
    </w:p>
    <w:p w14:paraId="3F78AC41" w14:textId="77777777" w:rsidR="001D5847" w:rsidRPr="006757FB" w:rsidRDefault="001D5847" w:rsidP="001D5847">
      <w:pPr>
        <w:suppressAutoHyphens/>
        <w:autoSpaceDE w:val="0"/>
        <w:autoSpaceDN w:val="0"/>
        <w:adjustRightInd w:val="0"/>
        <w:spacing w:before="120" w:after="120"/>
        <w:ind w:left="720" w:hanging="360"/>
        <w:rPr>
          <w:szCs w:val="24"/>
        </w:rPr>
      </w:pPr>
      <w:r w:rsidRPr="006757FB">
        <w:rPr>
          <w:szCs w:val="24"/>
        </w:rPr>
        <w:t>●</w:t>
      </w:r>
      <w:r w:rsidRPr="006757FB">
        <w:rPr>
          <w:szCs w:val="24"/>
        </w:rPr>
        <w:tab/>
        <w:t xml:space="preserve">EPA enforces the </w:t>
      </w:r>
      <w:r>
        <w:rPr>
          <w:szCs w:val="24"/>
        </w:rPr>
        <w:t xml:space="preserve">CSAPR trading </w:t>
      </w:r>
      <w:r w:rsidRPr="006757FB">
        <w:rPr>
          <w:szCs w:val="24"/>
        </w:rPr>
        <w:t>program</w:t>
      </w:r>
      <w:r>
        <w:rPr>
          <w:szCs w:val="24"/>
        </w:rPr>
        <w:t>s</w:t>
      </w:r>
      <w:r w:rsidRPr="006757FB">
        <w:rPr>
          <w:szCs w:val="24"/>
        </w:rPr>
        <w:t xml:space="preserve"> (in part) by comparing emissions data measured, recorded, and reported under 40 CFR part 75 </w:t>
      </w:r>
      <w:r>
        <w:rPr>
          <w:szCs w:val="24"/>
        </w:rPr>
        <w:t>by</w:t>
      </w:r>
      <w:r w:rsidRPr="006757FB">
        <w:rPr>
          <w:szCs w:val="24"/>
        </w:rPr>
        <w:t xml:space="preserve"> affected sources with the number</w:t>
      </w:r>
      <w:r>
        <w:rPr>
          <w:szCs w:val="24"/>
        </w:rPr>
        <w:t>s</w:t>
      </w:r>
      <w:r w:rsidRPr="006757FB">
        <w:rPr>
          <w:szCs w:val="24"/>
        </w:rPr>
        <w:t xml:space="preserve"> of allowances held in the respective compliance accounts of such affected sources.</w:t>
      </w:r>
    </w:p>
    <w:p w14:paraId="351683D7" w14:textId="3DC478A7" w:rsidR="000C02E9" w:rsidRPr="006757FB" w:rsidRDefault="001D5847" w:rsidP="006757FB">
      <w:pPr>
        <w:suppressAutoHyphens/>
        <w:autoSpaceDE w:val="0"/>
        <w:autoSpaceDN w:val="0"/>
        <w:adjustRightInd w:val="0"/>
        <w:spacing w:before="120" w:after="120"/>
        <w:ind w:firstLine="720"/>
        <w:rPr>
          <w:szCs w:val="24"/>
        </w:rPr>
      </w:pPr>
      <w:r>
        <w:rPr>
          <w:szCs w:val="24"/>
        </w:rPr>
        <w:t>In addition to the uses described above under CSAPR, e</w:t>
      </w:r>
      <w:r w:rsidR="000C02E9" w:rsidRPr="006757FB">
        <w:rPr>
          <w:szCs w:val="24"/>
        </w:rPr>
        <w:t>mission</w:t>
      </w:r>
      <w:r w:rsidR="008906DA" w:rsidRPr="006757FB">
        <w:rPr>
          <w:szCs w:val="24"/>
        </w:rPr>
        <w:t>s</w:t>
      </w:r>
      <w:r w:rsidR="000C02E9" w:rsidRPr="006757FB">
        <w:rPr>
          <w:szCs w:val="24"/>
        </w:rPr>
        <w:t xml:space="preserve"> data and related information </w:t>
      </w:r>
      <w:r>
        <w:rPr>
          <w:szCs w:val="24"/>
        </w:rPr>
        <w:t xml:space="preserve">for </w:t>
      </w:r>
      <w:r w:rsidR="00F174ED">
        <w:rPr>
          <w:szCs w:val="24"/>
        </w:rPr>
        <w:t>unit</w:t>
      </w:r>
      <w:r>
        <w:rPr>
          <w:szCs w:val="24"/>
        </w:rPr>
        <w:t xml:space="preserve">s, along with emissions data and related information for other types of sources, </w:t>
      </w:r>
      <w:r w:rsidR="000C02E9" w:rsidRPr="006757FB">
        <w:rPr>
          <w:szCs w:val="24"/>
        </w:rPr>
        <w:t xml:space="preserve">are routinely used by </w:t>
      </w:r>
      <w:r w:rsidR="006F1272">
        <w:rPr>
          <w:szCs w:val="24"/>
        </w:rPr>
        <w:t xml:space="preserve">EPA’s Office of Atmospheric Programs (OAP), Office of Air Quality Programs and Standards (OAQPS), and regional offices </w:t>
      </w:r>
      <w:r w:rsidR="000C02E9" w:rsidRPr="006757FB">
        <w:rPr>
          <w:szCs w:val="24"/>
        </w:rPr>
        <w:t>in carrying out a variety of activities</w:t>
      </w:r>
      <w:r w:rsidR="003972B1" w:rsidRPr="006757FB">
        <w:rPr>
          <w:szCs w:val="24"/>
        </w:rPr>
        <w:t xml:space="preserve">.  </w:t>
      </w:r>
      <w:r w:rsidR="000C02E9" w:rsidRPr="006757FB">
        <w:rPr>
          <w:szCs w:val="24"/>
        </w:rPr>
        <w:t>These activities support regulatory</w:t>
      </w:r>
      <w:r w:rsidR="007C52F6" w:rsidRPr="006757FB">
        <w:rPr>
          <w:szCs w:val="24"/>
        </w:rPr>
        <w:t xml:space="preserve"> </w:t>
      </w:r>
      <w:r w:rsidR="000C02E9" w:rsidRPr="006757FB">
        <w:rPr>
          <w:szCs w:val="24"/>
        </w:rPr>
        <w:t>functions as well as functions that are more programmatic in nature such as trend analyses</w:t>
      </w:r>
      <w:r w:rsidR="003972B1" w:rsidRPr="006757FB">
        <w:rPr>
          <w:szCs w:val="24"/>
        </w:rPr>
        <w:t xml:space="preserve">.  </w:t>
      </w:r>
      <w:r w:rsidR="000C02E9" w:rsidRPr="006757FB">
        <w:rPr>
          <w:szCs w:val="24"/>
        </w:rPr>
        <w:t>Such</w:t>
      </w:r>
      <w:r w:rsidR="007C52F6" w:rsidRPr="006757FB">
        <w:rPr>
          <w:szCs w:val="24"/>
        </w:rPr>
        <w:t xml:space="preserve"> </w:t>
      </w:r>
      <w:r w:rsidR="000C02E9" w:rsidRPr="006757FB">
        <w:rPr>
          <w:szCs w:val="24"/>
        </w:rPr>
        <w:t>projects include:</w:t>
      </w:r>
    </w:p>
    <w:p w14:paraId="363D94CB" w14:textId="6C6B5746" w:rsidR="000C02E9" w:rsidRPr="006757FB" w:rsidRDefault="003740C6" w:rsidP="006757FB">
      <w:pPr>
        <w:keepNext/>
        <w:suppressAutoHyphens/>
        <w:autoSpaceDE w:val="0"/>
        <w:autoSpaceDN w:val="0"/>
        <w:adjustRightInd w:val="0"/>
        <w:spacing w:before="120" w:after="120"/>
        <w:ind w:left="720" w:hanging="360"/>
        <w:rPr>
          <w:szCs w:val="24"/>
        </w:rPr>
      </w:pPr>
      <w:r w:rsidRPr="006757FB">
        <w:rPr>
          <w:szCs w:val="24"/>
        </w:rPr>
        <w:t>●</w:t>
      </w:r>
      <w:r w:rsidRPr="006757FB">
        <w:rPr>
          <w:szCs w:val="24"/>
        </w:rPr>
        <w:tab/>
      </w:r>
      <w:r w:rsidR="000C02E9" w:rsidRPr="006757FB">
        <w:rPr>
          <w:szCs w:val="24"/>
        </w:rPr>
        <w:t xml:space="preserve">Evaluation of existing control strategies, such as </w:t>
      </w:r>
      <w:r w:rsidR="006F1272">
        <w:rPr>
          <w:szCs w:val="24"/>
        </w:rPr>
        <w:t>CSAPR</w:t>
      </w:r>
      <w:r w:rsidR="00803A13" w:rsidRPr="006757FB">
        <w:rPr>
          <w:szCs w:val="24"/>
        </w:rPr>
        <w:t>, for s</w:t>
      </w:r>
      <w:r w:rsidR="000C02E9" w:rsidRPr="006757FB">
        <w:rPr>
          <w:szCs w:val="24"/>
        </w:rPr>
        <w:t>tates and larger</w:t>
      </w:r>
      <w:r w:rsidR="007C52F6" w:rsidRPr="006757FB">
        <w:rPr>
          <w:szCs w:val="24"/>
        </w:rPr>
        <w:t xml:space="preserve"> </w:t>
      </w:r>
      <w:r w:rsidR="000C02E9" w:rsidRPr="006757FB">
        <w:rPr>
          <w:szCs w:val="24"/>
        </w:rPr>
        <w:t>areas;</w:t>
      </w:r>
    </w:p>
    <w:p w14:paraId="5CE4E61D" w14:textId="46FE3227" w:rsidR="007C52F6" w:rsidRPr="006757FB" w:rsidRDefault="003740C6" w:rsidP="006757FB">
      <w:pPr>
        <w:suppressAutoHyphens/>
        <w:autoSpaceDE w:val="0"/>
        <w:autoSpaceDN w:val="0"/>
        <w:adjustRightInd w:val="0"/>
        <w:spacing w:before="120" w:after="120"/>
        <w:ind w:left="720" w:hanging="360"/>
        <w:rPr>
          <w:szCs w:val="24"/>
        </w:rPr>
      </w:pPr>
      <w:r w:rsidRPr="006757FB">
        <w:rPr>
          <w:szCs w:val="24"/>
        </w:rPr>
        <w:t>●</w:t>
      </w:r>
      <w:r w:rsidRPr="006757FB">
        <w:rPr>
          <w:szCs w:val="24"/>
        </w:rPr>
        <w:tab/>
      </w:r>
      <w:r w:rsidR="000C02E9" w:rsidRPr="006757FB">
        <w:rPr>
          <w:szCs w:val="24"/>
        </w:rPr>
        <w:t>Evaluation of proposed contr</w:t>
      </w:r>
      <w:r w:rsidR="00803A13" w:rsidRPr="006757FB">
        <w:rPr>
          <w:szCs w:val="24"/>
        </w:rPr>
        <w:t>ol strategies for s</w:t>
      </w:r>
      <w:r w:rsidR="000C02E9" w:rsidRPr="006757FB">
        <w:rPr>
          <w:szCs w:val="24"/>
        </w:rPr>
        <w:t>tates and larger areas, including</w:t>
      </w:r>
      <w:r w:rsidR="007C52F6" w:rsidRPr="006757FB">
        <w:rPr>
          <w:szCs w:val="24"/>
        </w:rPr>
        <w:t xml:space="preserve"> </w:t>
      </w:r>
      <w:r w:rsidR="000C02E9" w:rsidRPr="006757FB">
        <w:rPr>
          <w:szCs w:val="24"/>
        </w:rPr>
        <w:t>applications of regional scale models;</w:t>
      </w:r>
    </w:p>
    <w:p w14:paraId="078BDAAF" w14:textId="7FB97F5B" w:rsidR="007C52F6" w:rsidRPr="006757FB" w:rsidRDefault="003740C6" w:rsidP="006757FB">
      <w:pPr>
        <w:suppressAutoHyphens/>
        <w:autoSpaceDE w:val="0"/>
        <w:autoSpaceDN w:val="0"/>
        <w:adjustRightInd w:val="0"/>
        <w:spacing w:before="120" w:after="120"/>
        <w:ind w:left="720" w:hanging="360"/>
        <w:rPr>
          <w:szCs w:val="24"/>
        </w:rPr>
      </w:pPr>
      <w:r w:rsidRPr="006757FB">
        <w:rPr>
          <w:szCs w:val="24"/>
        </w:rPr>
        <w:t>●</w:t>
      </w:r>
      <w:r w:rsidRPr="006757FB">
        <w:rPr>
          <w:szCs w:val="24"/>
        </w:rPr>
        <w:tab/>
      </w:r>
      <w:r w:rsidR="000C02E9" w:rsidRPr="006757FB">
        <w:rPr>
          <w:szCs w:val="24"/>
        </w:rPr>
        <w:t xml:space="preserve">Development of national control strategies and preparation of </w:t>
      </w:r>
      <w:r w:rsidR="0030625B">
        <w:rPr>
          <w:szCs w:val="24"/>
        </w:rPr>
        <w:t>r</w:t>
      </w:r>
      <w:r w:rsidR="000C02E9" w:rsidRPr="006757FB">
        <w:rPr>
          <w:szCs w:val="24"/>
        </w:rPr>
        <w:t xml:space="preserve">egulatory </w:t>
      </w:r>
      <w:r w:rsidR="0030625B">
        <w:rPr>
          <w:szCs w:val="24"/>
        </w:rPr>
        <w:t>i</w:t>
      </w:r>
      <w:r w:rsidR="000C02E9" w:rsidRPr="006757FB">
        <w:rPr>
          <w:szCs w:val="24"/>
        </w:rPr>
        <w:t>mpact</w:t>
      </w:r>
      <w:r w:rsidR="007C52F6" w:rsidRPr="006757FB">
        <w:rPr>
          <w:szCs w:val="24"/>
        </w:rPr>
        <w:t xml:space="preserve"> </w:t>
      </w:r>
      <w:r w:rsidR="0030625B">
        <w:rPr>
          <w:szCs w:val="24"/>
        </w:rPr>
        <w:t>a</w:t>
      </w:r>
      <w:r w:rsidR="000C02E9" w:rsidRPr="006757FB">
        <w:rPr>
          <w:szCs w:val="24"/>
        </w:rPr>
        <w:t>nalyses (RIA</w:t>
      </w:r>
      <w:r w:rsidR="00C17557" w:rsidRPr="006757FB">
        <w:rPr>
          <w:szCs w:val="24"/>
        </w:rPr>
        <w:t>s</w:t>
      </w:r>
      <w:r w:rsidR="000C02E9" w:rsidRPr="006757FB">
        <w:rPr>
          <w:szCs w:val="24"/>
        </w:rPr>
        <w:t>);</w:t>
      </w:r>
    </w:p>
    <w:p w14:paraId="1506A608" w14:textId="77777777" w:rsidR="000C02E9" w:rsidRPr="006757FB" w:rsidRDefault="00E86F33" w:rsidP="006757FB">
      <w:pPr>
        <w:suppressAutoHyphens/>
        <w:autoSpaceDE w:val="0"/>
        <w:autoSpaceDN w:val="0"/>
        <w:adjustRightInd w:val="0"/>
        <w:spacing w:before="120" w:after="120"/>
        <w:ind w:left="720" w:hanging="360"/>
        <w:rPr>
          <w:szCs w:val="24"/>
        </w:rPr>
      </w:pPr>
      <w:r w:rsidRPr="006757FB">
        <w:rPr>
          <w:szCs w:val="24"/>
        </w:rPr>
        <w:t>●</w:t>
      </w:r>
      <w:r w:rsidRPr="006757FB">
        <w:rPr>
          <w:szCs w:val="24"/>
        </w:rPr>
        <w:tab/>
      </w:r>
      <w:r w:rsidR="000C02E9" w:rsidRPr="006757FB">
        <w:rPr>
          <w:szCs w:val="24"/>
        </w:rPr>
        <w:t>Preparation and publication of national summaries of emissions</w:t>
      </w:r>
      <w:r w:rsidR="00C17557" w:rsidRPr="006757FB">
        <w:rPr>
          <w:szCs w:val="24"/>
        </w:rPr>
        <w:t>,</w:t>
      </w:r>
      <w:r w:rsidR="000C02E9" w:rsidRPr="006757FB">
        <w:rPr>
          <w:szCs w:val="24"/>
        </w:rPr>
        <w:t xml:space="preserve"> including trend analyses;</w:t>
      </w:r>
    </w:p>
    <w:p w14:paraId="45A4D32B" w14:textId="73B5EFD3" w:rsidR="000C02E9" w:rsidRPr="006757FB" w:rsidRDefault="00E86F33" w:rsidP="006757FB">
      <w:pPr>
        <w:suppressAutoHyphens/>
        <w:autoSpaceDE w:val="0"/>
        <w:autoSpaceDN w:val="0"/>
        <w:adjustRightInd w:val="0"/>
        <w:spacing w:before="120" w:after="120"/>
        <w:ind w:left="720" w:hanging="360"/>
        <w:rPr>
          <w:szCs w:val="24"/>
        </w:rPr>
      </w:pPr>
      <w:r w:rsidRPr="006757FB">
        <w:rPr>
          <w:szCs w:val="24"/>
        </w:rPr>
        <w:t>●</w:t>
      </w:r>
      <w:r w:rsidRPr="006757FB">
        <w:rPr>
          <w:szCs w:val="24"/>
        </w:rPr>
        <w:tab/>
      </w:r>
      <w:r w:rsidR="00295B91" w:rsidRPr="006757FB">
        <w:rPr>
          <w:szCs w:val="24"/>
        </w:rPr>
        <w:t xml:space="preserve">Development and maintenance of </w:t>
      </w:r>
      <w:r w:rsidR="00987803" w:rsidRPr="006757FB">
        <w:rPr>
          <w:szCs w:val="24"/>
        </w:rPr>
        <w:t>a data</w:t>
      </w:r>
      <w:r w:rsidR="000C02E9" w:rsidRPr="006757FB">
        <w:rPr>
          <w:szCs w:val="24"/>
        </w:rPr>
        <w:t>base to assist in the identification of important source categories for future</w:t>
      </w:r>
      <w:r w:rsidR="007C52F6" w:rsidRPr="006757FB">
        <w:rPr>
          <w:szCs w:val="24"/>
        </w:rPr>
        <w:t xml:space="preserve"> </w:t>
      </w:r>
      <w:r w:rsidR="000C02E9" w:rsidRPr="006757FB">
        <w:rPr>
          <w:szCs w:val="24"/>
        </w:rPr>
        <w:t>regulation; and</w:t>
      </w:r>
    </w:p>
    <w:p w14:paraId="1928ADE7" w14:textId="7C9512FA" w:rsidR="007C52F6" w:rsidRPr="006757FB" w:rsidRDefault="00E86F33" w:rsidP="006757FB">
      <w:pPr>
        <w:suppressAutoHyphens/>
        <w:autoSpaceDE w:val="0"/>
        <w:autoSpaceDN w:val="0"/>
        <w:adjustRightInd w:val="0"/>
        <w:spacing w:before="120" w:after="120"/>
        <w:ind w:left="720" w:hanging="360"/>
        <w:rPr>
          <w:szCs w:val="24"/>
        </w:rPr>
      </w:pPr>
      <w:r w:rsidRPr="006757FB">
        <w:rPr>
          <w:szCs w:val="24"/>
        </w:rPr>
        <w:lastRenderedPageBreak/>
        <w:t>●</w:t>
      </w:r>
      <w:r w:rsidRPr="006757FB">
        <w:rPr>
          <w:szCs w:val="24"/>
        </w:rPr>
        <w:tab/>
      </w:r>
      <w:r w:rsidR="000C02E9" w:rsidRPr="006757FB">
        <w:rPr>
          <w:szCs w:val="24"/>
        </w:rPr>
        <w:t>Preparation of the stationary source portion of a report to Congress on SO</w:t>
      </w:r>
      <w:r w:rsidR="000C02E9" w:rsidRPr="006757FB">
        <w:rPr>
          <w:szCs w:val="24"/>
          <w:vertAlign w:val="subscript"/>
        </w:rPr>
        <w:t>2</w:t>
      </w:r>
      <w:r w:rsidR="000C02E9" w:rsidRPr="006757FB">
        <w:rPr>
          <w:szCs w:val="24"/>
        </w:rPr>
        <w:t xml:space="preserve"> emissions</w:t>
      </w:r>
      <w:r w:rsidR="003972B1" w:rsidRPr="006757FB">
        <w:rPr>
          <w:szCs w:val="24"/>
        </w:rPr>
        <w:t xml:space="preserve">.  </w:t>
      </w:r>
      <w:r w:rsidR="000C02E9" w:rsidRPr="006757FB">
        <w:rPr>
          <w:szCs w:val="24"/>
        </w:rPr>
        <w:t xml:space="preserve">This report is required by </w:t>
      </w:r>
      <w:r w:rsidR="0030625B">
        <w:rPr>
          <w:szCs w:val="24"/>
        </w:rPr>
        <w:t>s</w:t>
      </w:r>
      <w:r w:rsidR="000C02E9" w:rsidRPr="006757FB">
        <w:rPr>
          <w:szCs w:val="24"/>
        </w:rPr>
        <w:t xml:space="preserve">ection 406 </w:t>
      </w:r>
      <w:r w:rsidR="0030625B">
        <w:rPr>
          <w:szCs w:val="24"/>
        </w:rPr>
        <w:t xml:space="preserve">of the 1990 CAA Amendments, 104 Stat. 2632, </w:t>
      </w:r>
      <w:r w:rsidR="000C02E9" w:rsidRPr="006757FB">
        <w:rPr>
          <w:szCs w:val="24"/>
        </w:rPr>
        <w:t xml:space="preserve">and is due on a </w:t>
      </w:r>
      <w:r w:rsidR="0066040C" w:rsidRPr="006757FB">
        <w:rPr>
          <w:szCs w:val="24"/>
        </w:rPr>
        <w:t>five</w:t>
      </w:r>
      <w:r w:rsidR="00295B91" w:rsidRPr="006757FB">
        <w:rPr>
          <w:szCs w:val="24"/>
        </w:rPr>
        <w:t>-</w:t>
      </w:r>
      <w:r w:rsidR="000C02E9" w:rsidRPr="006757FB">
        <w:rPr>
          <w:szCs w:val="24"/>
        </w:rPr>
        <w:t>year cycle that</w:t>
      </w:r>
      <w:r w:rsidR="007C52F6" w:rsidRPr="006757FB">
        <w:rPr>
          <w:szCs w:val="24"/>
        </w:rPr>
        <w:t xml:space="preserve"> </w:t>
      </w:r>
      <w:r w:rsidR="000C02E9" w:rsidRPr="006757FB">
        <w:rPr>
          <w:szCs w:val="24"/>
        </w:rPr>
        <w:t>began on January 1, 1995</w:t>
      </w:r>
      <w:r w:rsidR="003972B1" w:rsidRPr="006757FB">
        <w:rPr>
          <w:szCs w:val="24"/>
        </w:rPr>
        <w:t xml:space="preserve">.  </w:t>
      </w:r>
      <w:r w:rsidR="000C02E9" w:rsidRPr="006757FB">
        <w:rPr>
          <w:szCs w:val="24"/>
        </w:rPr>
        <w:t>The report must contain an inventory of national annual SO</w:t>
      </w:r>
      <w:r w:rsidR="000C02E9" w:rsidRPr="006757FB">
        <w:rPr>
          <w:szCs w:val="24"/>
          <w:vertAlign w:val="subscript"/>
        </w:rPr>
        <w:t>2</w:t>
      </w:r>
      <w:r w:rsidR="007C52F6" w:rsidRPr="006757FB">
        <w:rPr>
          <w:szCs w:val="24"/>
        </w:rPr>
        <w:t xml:space="preserve"> </w:t>
      </w:r>
      <w:r w:rsidR="000C02E9" w:rsidRPr="006757FB">
        <w:rPr>
          <w:szCs w:val="24"/>
        </w:rPr>
        <w:t xml:space="preserve">emissions from industrial sources (as defined in </w:t>
      </w:r>
      <w:r w:rsidR="0030625B">
        <w:rPr>
          <w:szCs w:val="24"/>
        </w:rPr>
        <w:t>CAA section 402, 42 U.S.C. 7651a</w:t>
      </w:r>
      <w:r w:rsidR="000C02E9" w:rsidRPr="006757FB">
        <w:rPr>
          <w:szCs w:val="24"/>
        </w:rPr>
        <w:t>).</w:t>
      </w:r>
      <w:r w:rsidR="007C52F6" w:rsidRPr="006757FB">
        <w:rPr>
          <w:szCs w:val="24"/>
        </w:rPr>
        <w:t xml:space="preserve"> </w:t>
      </w:r>
    </w:p>
    <w:p w14:paraId="617902A2" w14:textId="19EED7C4" w:rsidR="000C02E9" w:rsidRPr="006757FB" w:rsidRDefault="000C02E9" w:rsidP="006757FB">
      <w:pPr>
        <w:suppressAutoHyphens/>
        <w:autoSpaceDE w:val="0"/>
        <w:autoSpaceDN w:val="0"/>
        <w:adjustRightInd w:val="0"/>
        <w:spacing w:before="120" w:after="120"/>
        <w:ind w:firstLine="720"/>
        <w:rPr>
          <w:szCs w:val="24"/>
        </w:rPr>
      </w:pPr>
      <w:r w:rsidRPr="006757FB">
        <w:rPr>
          <w:szCs w:val="24"/>
        </w:rPr>
        <w:t>EPA</w:t>
      </w:r>
      <w:r w:rsidR="00033581" w:rsidRPr="006757FB">
        <w:rPr>
          <w:szCs w:val="24"/>
        </w:rPr>
        <w:t>'</w:t>
      </w:r>
      <w:r w:rsidRPr="006757FB">
        <w:rPr>
          <w:szCs w:val="24"/>
        </w:rPr>
        <w:t>s Office of Research and Development (ORD) uses emission</w:t>
      </w:r>
      <w:r w:rsidR="0030625B">
        <w:rPr>
          <w:szCs w:val="24"/>
        </w:rPr>
        <w:t>s</w:t>
      </w:r>
      <w:r w:rsidRPr="006757FB">
        <w:rPr>
          <w:szCs w:val="24"/>
        </w:rPr>
        <w:t xml:space="preserve"> data in</w:t>
      </w:r>
      <w:r w:rsidR="007C52F6" w:rsidRPr="006757FB">
        <w:rPr>
          <w:szCs w:val="24"/>
        </w:rPr>
        <w:t xml:space="preserve"> </w:t>
      </w:r>
      <w:r w:rsidRPr="006757FB">
        <w:rPr>
          <w:szCs w:val="24"/>
        </w:rPr>
        <w:t>determining priorities for control technology research and as a key data component in the</w:t>
      </w:r>
      <w:r w:rsidR="007C52F6" w:rsidRPr="006757FB">
        <w:rPr>
          <w:szCs w:val="24"/>
        </w:rPr>
        <w:t xml:space="preserve"> </w:t>
      </w:r>
      <w:r w:rsidRPr="006757FB">
        <w:rPr>
          <w:szCs w:val="24"/>
        </w:rPr>
        <w:t>application of regional scale models</w:t>
      </w:r>
      <w:r w:rsidR="003972B1" w:rsidRPr="006757FB">
        <w:rPr>
          <w:szCs w:val="24"/>
        </w:rPr>
        <w:t xml:space="preserve">.  </w:t>
      </w:r>
      <w:r w:rsidRPr="006757FB">
        <w:rPr>
          <w:szCs w:val="24"/>
        </w:rPr>
        <w:t>EPA</w:t>
      </w:r>
      <w:r w:rsidR="00033581" w:rsidRPr="006757FB">
        <w:rPr>
          <w:szCs w:val="24"/>
        </w:rPr>
        <w:t>'</w:t>
      </w:r>
      <w:r w:rsidRPr="006757FB">
        <w:rPr>
          <w:szCs w:val="24"/>
        </w:rPr>
        <w:t xml:space="preserve">s </w:t>
      </w:r>
      <w:r w:rsidR="0030625B">
        <w:rPr>
          <w:szCs w:val="24"/>
        </w:rPr>
        <w:t>r</w:t>
      </w:r>
      <w:r w:rsidRPr="006757FB">
        <w:rPr>
          <w:szCs w:val="24"/>
        </w:rPr>
        <w:t xml:space="preserve">egional </w:t>
      </w:r>
      <w:r w:rsidR="0030625B">
        <w:rPr>
          <w:szCs w:val="24"/>
        </w:rPr>
        <w:t>o</w:t>
      </w:r>
      <w:r w:rsidRPr="006757FB">
        <w:rPr>
          <w:szCs w:val="24"/>
        </w:rPr>
        <w:t>ffices use emission</w:t>
      </w:r>
      <w:r w:rsidR="0030625B">
        <w:rPr>
          <w:szCs w:val="24"/>
        </w:rPr>
        <w:t>s data</w:t>
      </w:r>
      <w:r w:rsidRPr="006757FB">
        <w:rPr>
          <w:szCs w:val="24"/>
        </w:rPr>
        <w:t xml:space="preserve"> and other source</w:t>
      </w:r>
      <w:r w:rsidR="007C52F6" w:rsidRPr="006757FB">
        <w:rPr>
          <w:szCs w:val="24"/>
        </w:rPr>
        <w:t xml:space="preserve"> </w:t>
      </w:r>
      <w:r w:rsidRPr="006757FB">
        <w:rPr>
          <w:szCs w:val="24"/>
        </w:rPr>
        <w:t>parameters to support source inspections and in the analyses of the impact of new or modified</w:t>
      </w:r>
      <w:r w:rsidR="007C52F6" w:rsidRPr="006757FB">
        <w:rPr>
          <w:szCs w:val="24"/>
        </w:rPr>
        <w:t xml:space="preserve"> </w:t>
      </w:r>
      <w:r w:rsidRPr="006757FB">
        <w:rPr>
          <w:szCs w:val="24"/>
        </w:rPr>
        <w:t>sources within an area</w:t>
      </w:r>
      <w:r w:rsidR="003972B1" w:rsidRPr="006757FB">
        <w:rPr>
          <w:szCs w:val="24"/>
        </w:rPr>
        <w:t xml:space="preserve">.  </w:t>
      </w:r>
      <w:r w:rsidRPr="006757FB">
        <w:rPr>
          <w:szCs w:val="24"/>
        </w:rPr>
        <w:t>EPA</w:t>
      </w:r>
      <w:r w:rsidR="00033581" w:rsidRPr="006757FB">
        <w:rPr>
          <w:szCs w:val="24"/>
        </w:rPr>
        <w:t>'</w:t>
      </w:r>
      <w:r w:rsidRPr="006757FB">
        <w:rPr>
          <w:szCs w:val="24"/>
        </w:rPr>
        <w:t xml:space="preserve">s Emission Inventory </w:t>
      </w:r>
      <w:r w:rsidR="00EA63B8">
        <w:rPr>
          <w:szCs w:val="24"/>
        </w:rPr>
        <w:t>and Analysis g</w:t>
      </w:r>
      <w:r w:rsidRPr="006757FB">
        <w:rPr>
          <w:szCs w:val="24"/>
        </w:rPr>
        <w:t>roup use</w:t>
      </w:r>
      <w:r w:rsidR="00295B91" w:rsidRPr="006757FB">
        <w:rPr>
          <w:szCs w:val="24"/>
        </w:rPr>
        <w:t>s</w:t>
      </w:r>
      <w:r w:rsidRPr="006757FB">
        <w:rPr>
          <w:szCs w:val="24"/>
        </w:rPr>
        <w:t xml:space="preserve"> </w:t>
      </w:r>
      <w:r w:rsidR="0030625B">
        <w:rPr>
          <w:szCs w:val="24"/>
        </w:rPr>
        <w:t xml:space="preserve">emissions </w:t>
      </w:r>
      <w:r w:rsidRPr="006757FB">
        <w:rPr>
          <w:szCs w:val="24"/>
        </w:rPr>
        <w:t>data to</w:t>
      </w:r>
      <w:r w:rsidR="007C52F6" w:rsidRPr="006757FB">
        <w:rPr>
          <w:szCs w:val="24"/>
        </w:rPr>
        <w:t xml:space="preserve"> </w:t>
      </w:r>
      <w:r w:rsidRPr="006757FB">
        <w:rPr>
          <w:szCs w:val="24"/>
        </w:rPr>
        <w:t>assess and analyze trends in criteria pollutant emissions over time.</w:t>
      </w:r>
    </w:p>
    <w:p w14:paraId="56FD48AE" w14:textId="49D953D1" w:rsidR="000C02E9" w:rsidRPr="006757FB" w:rsidRDefault="000C02E9" w:rsidP="006757FB">
      <w:pPr>
        <w:suppressAutoHyphens/>
        <w:autoSpaceDE w:val="0"/>
        <w:autoSpaceDN w:val="0"/>
        <w:adjustRightInd w:val="0"/>
        <w:spacing w:before="120" w:after="120"/>
        <w:ind w:firstLine="720"/>
        <w:rPr>
          <w:szCs w:val="24"/>
        </w:rPr>
      </w:pPr>
      <w:r w:rsidRPr="006757FB">
        <w:rPr>
          <w:szCs w:val="24"/>
        </w:rPr>
        <w:t>In addition to supporting projects and initiatives inte</w:t>
      </w:r>
      <w:r w:rsidR="007C52F6" w:rsidRPr="006757FB">
        <w:rPr>
          <w:szCs w:val="24"/>
        </w:rPr>
        <w:t xml:space="preserve">rnal to EPA, </w:t>
      </w:r>
      <w:r w:rsidR="0030625B">
        <w:rPr>
          <w:szCs w:val="24"/>
        </w:rPr>
        <w:t xml:space="preserve">OAP, OAQPS, and </w:t>
      </w:r>
      <w:r w:rsidRPr="006757FB">
        <w:rPr>
          <w:szCs w:val="24"/>
        </w:rPr>
        <w:t>the</w:t>
      </w:r>
      <w:r w:rsidR="007C52F6" w:rsidRPr="006757FB">
        <w:rPr>
          <w:szCs w:val="24"/>
        </w:rPr>
        <w:t xml:space="preserve"> </w:t>
      </w:r>
      <w:r w:rsidR="00B5346B">
        <w:rPr>
          <w:szCs w:val="24"/>
        </w:rPr>
        <w:t>r</w:t>
      </w:r>
      <w:r w:rsidRPr="006757FB">
        <w:rPr>
          <w:szCs w:val="24"/>
        </w:rPr>
        <w:t xml:space="preserve">egional </w:t>
      </w:r>
      <w:r w:rsidR="00B5346B">
        <w:rPr>
          <w:szCs w:val="24"/>
        </w:rPr>
        <w:t>o</w:t>
      </w:r>
      <w:r w:rsidRPr="006757FB">
        <w:rPr>
          <w:szCs w:val="24"/>
        </w:rPr>
        <w:t>ffices respond to numerous requests for reports on emission</w:t>
      </w:r>
      <w:r w:rsidR="00207C28" w:rsidRPr="006757FB">
        <w:rPr>
          <w:szCs w:val="24"/>
        </w:rPr>
        <w:t>s from</w:t>
      </w:r>
      <w:r w:rsidRPr="006757FB">
        <w:rPr>
          <w:szCs w:val="24"/>
        </w:rPr>
        <w:t xml:space="preserve"> sources</w:t>
      </w:r>
      <w:r w:rsidR="003972B1" w:rsidRPr="006757FB">
        <w:rPr>
          <w:szCs w:val="24"/>
        </w:rPr>
        <w:t xml:space="preserve">.  </w:t>
      </w:r>
      <w:r w:rsidRPr="006757FB">
        <w:rPr>
          <w:szCs w:val="24"/>
        </w:rPr>
        <w:t>Most requests come from contractors and</w:t>
      </w:r>
      <w:r w:rsidR="007C52F6" w:rsidRPr="006757FB">
        <w:rPr>
          <w:szCs w:val="24"/>
        </w:rPr>
        <w:t xml:space="preserve"> </w:t>
      </w:r>
      <w:r w:rsidRPr="006757FB">
        <w:rPr>
          <w:szCs w:val="24"/>
        </w:rPr>
        <w:t xml:space="preserve">consultants involved in special studies; a smaller number come </w:t>
      </w:r>
      <w:r w:rsidR="00207C28" w:rsidRPr="006757FB">
        <w:rPr>
          <w:szCs w:val="24"/>
        </w:rPr>
        <w:t xml:space="preserve">from the press, </w:t>
      </w:r>
      <w:r w:rsidR="007C52F6" w:rsidRPr="006757FB">
        <w:rPr>
          <w:szCs w:val="24"/>
        </w:rPr>
        <w:t>universities</w:t>
      </w:r>
      <w:r w:rsidR="00207C28" w:rsidRPr="006757FB">
        <w:rPr>
          <w:szCs w:val="24"/>
        </w:rPr>
        <w:t>,</w:t>
      </w:r>
      <w:r w:rsidR="007C52F6" w:rsidRPr="006757FB">
        <w:rPr>
          <w:szCs w:val="24"/>
        </w:rPr>
        <w:t xml:space="preserve"> </w:t>
      </w:r>
      <w:r w:rsidRPr="006757FB">
        <w:rPr>
          <w:szCs w:val="24"/>
        </w:rPr>
        <w:t>and</w:t>
      </w:r>
      <w:r w:rsidR="007C52F6" w:rsidRPr="006757FB">
        <w:rPr>
          <w:szCs w:val="24"/>
        </w:rPr>
        <w:t xml:space="preserve"> </w:t>
      </w:r>
      <w:r w:rsidRPr="006757FB">
        <w:rPr>
          <w:szCs w:val="24"/>
        </w:rPr>
        <w:t>others involved in research.</w:t>
      </w:r>
    </w:p>
    <w:p w14:paraId="41E7EB16" w14:textId="77777777" w:rsidR="000C02E9" w:rsidRPr="006757FB" w:rsidRDefault="000C02E9" w:rsidP="006757FB">
      <w:pPr>
        <w:suppressAutoHyphens/>
        <w:autoSpaceDE w:val="0"/>
        <w:autoSpaceDN w:val="0"/>
        <w:adjustRightInd w:val="0"/>
        <w:spacing w:before="120" w:after="120"/>
        <w:ind w:firstLine="720"/>
        <w:rPr>
          <w:szCs w:val="24"/>
        </w:rPr>
      </w:pPr>
      <w:r w:rsidRPr="006757FB">
        <w:rPr>
          <w:szCs w:val="24"/>
        </w:rPr>
        <w:t>The collection of emissions data specific to nonattainment areas for certain criteria air</w:t>
      </w:r>
      <w:r w:rsidR="007C52F6" w:rsidRPr="006757FB">
        <w:rPr>
          <w:szCs w:val="24"/>
        </w:rPr>
        <w:t xml:space="preserve"> </w:t>
      </w:r>
      <w:r w:rsidRPr="006757FB">
        <w:rPr>
          <w:szCs w:val="24"/>
        </w:rPr>
        <w:t>pollutants is necessary to comply with requirements specified in Title I of the CAA</w:t>
      </w:r>
      <w:r w:rsidR="003972B1" w:rsidRPr="006757FB">
        <w:rPr>
          <w:szCs w:val="24"/>
        </w:rPr>
        <w:t xml:space="preserve">.  </w:t>
      </w:r>
      <w:r w:rsidRPr="006757FB">
        <w:rPr>
          <w:szCs w:val="24"/>
        </w:rPr>
        <w:t>States with</w:t>
      </w:r>
      <w:r w:rsidR="007C52F6" w:rsidRPr="006757FB">
        <w:rPr>
          <w:szCs w:val="24"/>
        </w:rPr>
        <w:t xml:space="preserve"> </w:t>
      </w:r>
      <w:r w:rsidRPr="006757FB">
        <w:rPr>
          <w:szCs w:val="24"/>
        </w:rPr>
        <w:t xml:space="preserve">nonattainment areas rely on current </w:t>
      </w:r>
      <w:r w:rsidR="008906DA" w:rsidRPr="006757FB">
        <w:rPr>
          <w:szCs w:val="24"/>
        </w:rPr>
        <w:t xml:space="preserve">emissions </w:t>
      </w:r>
      <w:r w:rsidRPr="006757FB">
        <w:rPr>
          <w:szCs w:val="24"/>
        </w:rPr>
        <w:t>informati</w:t>
      </w:r>
      <w:r w:rsidR="008906DA" w:rsidRPr="006757FB">
        <w:rPr>
          <w:szCs w:val="24"/>
        </w:rPr>
        <w:t>on from</w:t>
      </w:r>
      <w:r w:rsidRPr="006757FB">
        <w:rPr>
          <w:szCs w:val="24"/>
        </w:rPr>
        <w:t xml:space="preserve"> point, nonpoint, and mobile sources to revise</w:t>
      </w:r>
      <w:r w:rsidR="007C52F6" w:rsidRPr="006757FB">
        <w:rPr>
          <w:szCs w:val="24"/>
        </w:rPr>
        <w:t xml:space="preserve"> </w:t>
      </w:r>
      <w:r w:rsidRPr="006757FB">
        <w:rPr>
          <w:szCs w:val="24"/>
        </w:rPr>
        <w:t>their SIPs and to plan for emission reductions mandated by the CAA</w:t>
      </w:r>
      <w:r w:rsidR="003972B1" w:rsidRPr="006757FB">
        <w:rPr>
          <w:szCs w:val="24"/>
        </w:rPr>
        <w:t xml:space="preserve">.  </w:t>
      </w:r>
      <w:r w:rsidRPr="006757FB">
        <w:rPr>
          <w:szCs w:val="24"/>
        </w:rPr>
        <w:t xml:space="preserve">In addition, a </w:t>
      </w:r>
      <w:r w:rsidR="00803A13" w:rsidRPr="006757FB">
        <w:rPr>
          <w:szCs w:val="24"/>
        </w:rPr>
        <w:t>s</w:t>
      </w:r>
      <w:r w:rsidRPr="006757FB">
        <w:rPr>
          <w:szCs w:val="24"/>
        </w:rPr>
        <w:t>tate</w:t>
      </w:r>
      <w:r w:rsidR="009D2B68" w:rsidRPr="006757FB">
        <w:rPr>
          <w:szCs w:val="24"/>
        </w:rPr>
        <w:t>-</w:t>
      </w:r>
      <w:r w:rsidRPr="006757FB">
        <w:rPr>
          <w:szCs w:val="24"/>
        </w:rPr>
        <w:t>wide</w:t>
      </w:r>
      <w:r w:rsidR="007C52F6" w:rsidRPr="006757FB">
        <w:rPr>
          <w:szCs w:val="24"/>
        </w:rPr>
        <w:t xml:space="preserve"> </w:t>
      </w:r>
      <w:r w:rsidRPr="006757FB">
        <w:rPr>
          <w:szCs w:val="24"/>
        </w:rPr>
        <w:t xml:space="preserve">inventory compiled at least every </w:t>
      </w:r>
      <w:r w:rsidR="0066040C" w:rsidRPr="006757FB">
        <w:rPr>
          <w:szCs w:val="24"/>
        </w:rPr>
        <w:t>three</w:t>
      </w:r>
      <w:r w:rsidRPr="006757FB">
        <w:rPr>
          <w:szCs w:val="24"/>
        </w:rPr>
        <w:t xml:space="preserve"> years for all point, </w:t>
      </w:r>
      <w:r w:rsidR="007C52F6" w:rsidRPr="006757FB">
        <w:rPr>
          <w:szCs w:val="24"/>
        </w:rPr>
        <w:t xml:space="preserve">nonpoint, and mobile sources is </w:t>
      </w:r>
      <w:r w:rsidRPr="006757FB">
        <w:rPr>
          <w:szCs w:val="24"/>
        </w:rPr>
        <w:t>considered</w:t>
      </w:r>
      <w:r w:rsidR="007C52F6" w:rsidRPr="006757FB">
        <w:rPr>
          <w:szCs w:val="24"/>
        </w:rPr>
        <w:t xml:space="preserve"> </w:t>
      </w:r>
      <w:r w:rsidR="00803A13" w:rsidRPr="006757FB">
        <w:rPr>
          <w:szCs w:val="24"/>
        </w:rPr>
        <w:t>to be a key tool to assist s</w:t>
      </w:r>
      <w:r w:rsidRPr="006757FB">
        <w:rPr>
          <w:szCs w:val="24"/>
        </w:rPr>
        <w:t>tates in meeting CAA requirements that address emissions tracking,</w:t>
      </w:r>
      <w:r w:rsidR="007C52F6" w:rsidRPr="006757FB">
        <w:rPr>
          <w:szCs w:val="24"/>
        </w:rPr>
        <w:t xml:space="preserve"> </w:t>
      </w:r>
      <w:r w:rsidRPr="006757FB">
        <w:rPr>
          <w:szCs w:val="24"/>
        </w:rPr>
        <w:t>compliance issues, and mid-course adjustments</w:t>
      </w:r>
      <w:r w:rsidR="003972B1" w:rsidRPr="006757FB">
        <w:rPr>
          <w:szCs w:val="24"/>
        </w:rPr>
        <w:t xml:space="preserve">.  </w:t>
      </w:r>
      <w:r w:rsidRPr="006757FB">
        <w:rPr>
          <w:szCs w:val="24"/>
        </w:rPr>
        <w:t>State</w:t>
      </w:r>
      <w:r w:rsidR="009D2B68" w:rsidRPr="006757FB">
        <w:rPr>
          <w:szCs w:val="24"/>
        </w:rPr>
        <w:t>-</w:t>
      </w:r>
      <w:r w:rsidRPr="006757FB">
        <w:rPr>
          <w:szCs w:val="24"/>
        </w:rPr>
        <w:t>wide emission inventories can be used by</w:t>
      </w:r>
      <w:r w:rsidR="007C52F6" w:rsidRPr="006757FB">
        <w:rPr>
          <w:szCs w:val="24"/>
        </w:rPr>
        <w:t xml:space="preserve"> </w:t>
      </w:r>
      <w:r w:rsidR="00803A13" w:rsidRPr="006757FB">
        <w:rPr>
          <w:szCs w:val="24"/>
        </w:rPr>
        <w:t>s</w:t>
      </w:r>
      <w:r w:rsidRPr="006757FB">
        <w:rPr>
          <w:szCs w:val="24"/>
        </w:rPr>
        <w:t>tates affected by pollution transport from upwind areas to develop more efficient control</w:t>
      </w:r>
      <w:r w:rsidR="007C52F6" w:rsidRPr="006757FB">
        <w:rPr>
          <w:szCs w:val="24"/>
        </w:rPr>
        <w:t xml:space="preserve"> </w:t>
      </w:r>
      <w:r w:rsidR="008906DA" w:rsidRPr="006757FB">
        <w:rPr>
          <w:szCs w:val="24"/>
        </w:rPr>
        <w:t xml:space="preserve">strategies to meet </w:t>
      </w:r>
      <w:r w:rsidRPr="006757FB">
        <w:rPr>
          <w:szCs w:val="24"/>
        </w:rPr>
        <w:t>NAAQS</w:t>
      </w:r>
      <w:r w:rsidR="003972B1" w:rsidRPr="006757FB">
        <w:rPr>
          <w:szCs w:val="24"/>
        </w:rPr>
        <w:t xml:space="preserve">.  </w:t>
      </w:r>
      <w:r w:rsidRPr="006757FB">
        <w:rPr>
          <w:szCs w:val="24"/>
        </w:rPr>
        <w:t>State</w:t>
      </w:r>
      <w:r w:rsidR="009D2B68" w:rsidRPr="006757FB">
        <w:rPr>
          <w:szCs w:val="24"/>
        </w:rPr>
        <w:t>-</w:t>
      </w:r>
      <w:r w:rsidRPr="006757FB">
        <w:rPr>
          <w:szCs w:val="24"/>
        </w:rPr>
        <w:t>wide emission inventories that were developed by EPA (the</w:t>
      </w:r>
      <w:r w:rsidR="007C52F6" w:rsidRPr="006757FB">
        <w:rPr>
          <w:szCs w:val="24"/>
        </w:rPr>
        <w:t xml:space="preserve"> </w:t>
      </w:r>
      <w:r w:rsidRPr="006757FB">
        <w:rPr>
          <w:szCs w:val="24"/>
        </w:rPr>
        <w:t>N</w:t>
      </w:r>
      <w:r w:rsidR="008906DA" w:rsidRPr="006757FB">
        <w:rPr>
          <w:szCs w:val="24"/>
        </w:rPr>
        <w:t xml:space="preserve">ational </w:t>
      </w:r>
      <w:r w:rsidRPr="006757FB">
        <w:rPr>
          <w:szCs w:val="24"/>
        </w:rPr>
        <w:t>E</w:t>
      </w:r>
      <w:r w:rsidR="008906DA" w:rsidRPr="006757FB">
        <w:rPr>
          <w:szCs w:val="24"/>
        </w:rPr>
        <w:t xml:space="preserve">missions </w:t>
      </w:r>
      <w:r w:rsidRPr="006757FB">
        <w:rPr>
          <w:szCs w:val="24"/>
        </w:rPr>
        <w:t>I</w:t>
      </w:r>
      <w:r w:rsidR="008906DA" w:rsidRPr="006757FB">
        <w:rPr>
          <w:szCs w:val="24"/>
        </w:rPr>
        <w:t>nventory, or NEI</w:t>
      </w:r>
      <w:r w:rsidRPr="006757FB">
        <w:rPr>
          <w:szCs w:val="24"/>
        </w:rPr>
        <w:t>) are being used by the Regional Planning Organizations (RPOs) as the starting point for the</w:t>
      </w:r>
      <w:r w:rsidR="007C52F6" w:rsidRPr="006757FB">
        <w:rPr>
          <w:szCs w:val="24"/>
        </w:rPr>
        <w:t xml:space="preserve"> </w:t>
      </w:r>
      <w:r w:rsidRPr="006757FB">
        <w:rPr>
          <w:szCs w:val="24"/>
        </w:rPr>
        <w:t xml:space="preserve">development of </w:t>
      </w:r>
      <w:r w:rsidR="00803A13" w:rsidRPr="006757FB">
        <w:rPr>
          <w:szCs w:val="24"/>
        </w:rPr>
        <w:t>s</w:t>
      </w:r>
      <w:r w:rsidRPr="006757FB">
        <w:rPr>
          <w:szCs w:val="24"/>
        </w:rPr>
        <w:t>tate</w:t>
      </w:r>
      <w:r w:rsidR="009D2B68" w:rsidRPr="006757FB">
        <w:rPr>
          <w:szCs w:val="24"/>
        </w:rPr>
        <w:t>-</w:t>
      </w:r>
      <w:r w:rsidRPr="006757FB">
        <w:rPr>
          <w:szCs w:val="24"/>
        </w:rPr>
        <w:t>wide emission inventories used in the regional haze program to define control</w:t>
      </w:r>
      <w:r w:rsidR="007C52F6" w:rsidRPr="006757FB">
        <w:rPr>
          <w:szCs w:val="24"/>
        </w:rPr>
        <w:t xml:space="preserve"> </w:t>
      </w:r>
      <w:r w:rsidRPr="006757FB">
        <w:rPr>
          <w:szCs w:val="24"/>
        </w:rPr>
        <w:t>strategies.</w:t>
      </w:r>
    </w:p>
    <w:p w14:paraId="6697E86B" w14:textId="7C8CC975" w:rsidR="001D5847" w:rsidRPr="006757FB" w:rsidRDefault="001D5847" w:rsidP="001D5847">
      <w:pPr>
        <w:suppressAutoHyphens/>
        <w:autoSpaceDE w:val="0"/>
        <w:autoSpaceDN w:val="0"/>
        <w:adjustRightInd w:val="0"/>
        <w:spacing w:before="120" w:after="120"/>
        <w:ind w:firstLine="720"/>
        <w:rPr>
          <w:szCs w:val="24"/>
        </w:rPr>
      </w:pPr>
      <w:r w:rsidRPr="006757FB">
        <w:rPr>
          <w:szCs w:val="24"/>
        </w:rPr>
        <w:t>Information collected on allowance transfers in the CAMD Business System (CBS) is used by EPA to track allowances for the purpose of determining compliance with the NO</w:t>
      </w:r>
      <w:r w:rsidRPr="006757FB">
        <w:rPr>
          <w:szCs w:val="24"/>
          <w:vertAlign w:val="subscript"/>
        </w:rPr>
        <w:t>X</w:t>
      </w:r>
      <w:r w:rsidRPr="006757FB">
        <w:rPr>
          <w:szCs w:val="24"/>
        </w:rPr>
        <w:t xml:space="preserve"> and SO</w:t>
      </w:r>
      <w:r w:rsidRPr="006757FB">
        <w:rPr>
          <w:szCs w:val="24"/>
          <w:vertAlign w:val="subscript"/>
        </w:rPr>
        <w:t>2</w:t>
      </w:r>
      <w:r w:rsidRPr="006757FB">
        <w:rPr>
          <w:szCs w:val="24"/>
        </w:rPr>
        <w:t xml:space="preserve"> trading programs.  Information on allowance transfers is also used by participants in the allowance market and the public to evaluate the activities of affected sources, and by EPA for program evaluation. </w:t>
      </w:r>
    </w:p>
    <w:p w14:paraId="088271A0" w14:textId="2ECB9106" w:rsidR="000C02E9" w:rsidRPr="006757FB" w:rsidRDefault="000C02E9" w:rsidP="006757FB">
      <w:pPr>
        <w:suppressAutoHyphens/>
        <w:autoSpaceDE w:val="0"/>
        <w:autoSpaceDN w:val="0"/>
        <w:adjustRightInd w:val="0"/>
        <w:spacing w:before="120" w:after="120"/>
        <w:ind w:firstLine="720"/>
        <w:rPr>
          <w:szCs w:val="24"/>
        </w:rPr>
      </w:pPr>
      <w:r w:rsidRPr="006757FB">
        <w:rPr>
          <w:szCs w:val="24"/>
        </w:rPr>
        <w:t>Toge</w:t>
      </w:r>
      <w:r w:rsidR="001B0F74" w:rsidRPr="006757FB">
        <w:rPr>
          <w:szCs w:val="24"/>
        </w:rPr>
        <w:t xml:space="preserve">ther, the </w:t>
      </w:r>
      <w:r w:rsidR="009571D5">
        <w:rPr>
          <w:szCs w:val="24"/>
        </w:rPr>
        <w:t xml:space="preserve">permit applications, certificates of representation, </w:t>
      </w:r>
      <w:r w:rsidR="00147A57" w:rsidRPr="006757FB">
        <w:rPr>
          <w:szCs w:val="24"/>
        </w:rPr>
        <w:t xml:space="preserve">emissions data, </w:t>
      </w:r>
      <w:r w:rsidR="001D5847">
        <w:rPr>
          <w:szCs w:val="24"/>
        </w:rPr>
        <w:t>and allowance transfer information</w:t>
      </w:r>
      <w:r w:rsidRPr="006757FB">
        <w:rPr>
          <w:szCs w:val="24"/>
        </w:rPr>
        <w:t xml:space="preserve"> help to</w:t>
      </w:r>
      <w:r w:rsidR="00DE6404" w:rsidRPr="006757FB">
        <w:rPr>
          <w:szCs w:val="24"/>
        </w:rPr>
        <w:t xml:space="preserve"> </w:t>
      </w:r>
      <w:r w:rsidRPr="006757FB">
        <w:rPr>
          <w:szCs w:val="24"/>
        </w:rPr>
        <w:t xml:space="preserve">provide the accountability to allow the </w:t>
      </w:r>
      <w:r w:rsidR="007B40DE" w:rsidRPr="006757FB">
        <w:rPr>
          <w:szCs w:val="24"/>
        </w:rPr>
        <w:t>NO</w:t>
      </w:r>
      <w:r w:rsidR="002B09EE" w:rsidRPr="006757FB">
        <w:rPr>
          <w:szCs w:val="24"/>
          <w:vertAlign w:val="subscript"/>
        </w:rPr>
        <w:t>X</w:t>
      </w:r>
      <w:r w:rsidRPr="006757FB">
        <w:rPr>
          <w:szCs w:val="24"/>
        </w:rPr>
        <w:t xml:space="preserve"> and SO</w:t>
      </w:r>
      <w:r w:rsidRPr="006757FB">
        <w:rPr>
          <w:szCs w:val="24"/>
          <w:vertAlign w:val="subscript"/>
        </w:rPr>
        <w:t>2</w:t>
      </w:r>
      <w:r w:rsidR="00A71F4F" w:rsidRPr="006757FB">
        <w:rPr>
          <w:szCs w:val="24"/>
        </w:rPr>
        <w:t xml:space="preserve"> trading p</w:t>
      </w:r>
      <w:r w:rsidRPr="006757FB">
        <w:rPr>
          <w:szCs w:val="24"/>
        </w:rPr>
        <w:t>rograms to function without more</w:t>
      </w:r>
      <w:r w:rsidR="00DE6404" w:rsidRPr="006757FB">
        <w:rPr>
          <w:szCs w:val="24"/>
        </w:rPr>
        <w:t xml:space="preserve"> </w:t>
      </w:r>
      <w:r w:rsidRPr="006757FB">
        <w:rPr>
          <w:szCs w:val="24"/>
        </w:rPr>
        <w:t>stringent command and control approaches.</w:t>
      </w:r>
    </w:p>
    <w:p w14:paraId="7B644956" w14:textId="77777777" w:rsidR="00AA0E61" w:rsidRPr="006757FB" w:rsidRDefault="00AA0E61" w:rsidP="006757FB">
      <w:pPr>
        <w:suppressAutoHyphens/>
        <w:autoSpaceDE w:val="0"/>
        <w:autoSpaceDN w:val="0"/>
        <w:adjustRightInd w:val="0"/>
        <w:spacing w:before="120" w:after="120"/>
        <w:rPr>
          <w:b/>
          <w:bCs/>
          <w:szCs w:val="24"/>
        </w:rPr>
      </w:pPr>
    </w:p>
    <w:p w14:paraId="515E61DA" w14:textId="77777777" w:rsidR="000C02E9" w:rsidRPr="006757FB" w:rsidRDefault="000C02E9" w:rsidP="00E16308">
      <w:pPr>
        <w:keepNext/>
        <w:suppressAutoHyphens/>
        <w:autoSpaceDE w:val="0"/>
        <w:autoSpaceDN w:val="0"/>
        <w:adjustRightInd w:val="0"/>
        <w:spacing w:before="120" w:after="120"/>
        <w:rPr>
          <w:b/>
          <w:bCs/>
          <w:szCs w:val="24"/>
        </w:rPr>
      </w:pPr>
      <w:r w:rsidRPr="006757FB">
        <w:rPr>
          <w:b/>
          <w:bCs/>
          <w:szCs w:val="24"/>
        </w:rPr>
        <w:t>3.</w:t>
      </w:r>
      <w:r w:rsidR="00E86F33" w:rsidRPr="006757FB">
        <w:rPr>
          <w:b/>
          <w:bCs/>
          <w:szCs w:val="24"/>
        </w:rPr>
        <w:t xml:space="preserve">0 </w:t>
      </w:r>
      <w:r w:rsidRPr="006757FB">
        <w:rPr>
          <w:b/>
          <w:bCs/>
          <w:szCs w:val="24"/>
        </w:rPr>
        <w:t xml:space="preserve"> N</w:t>
      </w:r>
      <w:r w:rsidR="00E86F33" w:rsidRPr="006757FB">
        <w:rPr>
          <w:b/>
          <w:bCs/>
          <w:szCs w:val="24"/>
        </w:rPr>
        <w:t>onduplication</w:t>
      </w:r>
      <w:r w:rsidRPr="006757FB">
        <w:rPr>
          <w:b/>
          <w:bCs/>
          <w:szCs w:val="24"/>
        </w:rPr>
        <w:t>, C</w:t>
      </w:r>
      <w:r w:rsidR="00E86F33" w:rsidRPr="006757FB">
        <w:rPr>
          <w:b/>
          <w:bCs/>
          <w:szCs w:val="24"/>
        </w:rPr>
        <w:t>onsultations</w:t>
      </w:r>
      <w:r w:rsidRPr="006757FB">
        <w:rPr>
          <w:b/>
          <w:bCs/>
          <w:szCs w:val="24"/>
        </w:rPr>
        <w:t xml:space="preserve">, </w:t>
      </w:r>
      <w:r w:rsidR="00E86F33" w:rsidRPr="006757FB">
        <w:rPr>
          <w:b/>
          <w:bCs/>
          <w:szCs w:val="24"/>
        </w:rPr>
        <w:t>and Other</w:t>
      </w:r>
      <w:r w:rsidRPr="006757FB">
        <w:rPr>
          <w:b/>
          <w:bCs/>
          <w:szCs w:val="24"/>
        </w:rPr>
        <w:t xml:space="preserve"> C</w:t>
      </w:r>
      <w:r w:rsidR="00E86F33" w:rsidRPr="006757FB">
        <w:rPr>
          <w:b/>
          <w:bCs/>
          <w:szCs w:val="24"/>
        </w:rPr>
        <w:t>ollection</w:t>
      </w:r>
      <w:r w:rsidRPr="006757FB">
        <w:rPr>
          <w:b/>
          <w:bCs/>
          <w:szCs w:val="24"/>
        </w:rPr>
        <w:t xml:space="preserve"> C</w:t>
      </w:r>
      <w:r w:rsidR="00E86F33" w:rsidRPr="006757FB">
        <w:rPr>
          <w:b/>
          <w:bCs/>
          <w:szCs w:val="24"/>
        </w:rPr>
        <w:t>riteria</w:t>
      </w:r>
    </w:p>
    <w:p w14:paraId="2AED31E0" w14:textId="77777777" w:rsidR="000C02E9" w:rsidRPr="006757FB" w:rsidRDefault="000C02E9" w:rsidP="00E16308">
      <w:pPr>
        <w:keepNext/>
        <w:suppressAutoHyphens/>
        <w:autoSpaceDE w:val="0"/>
        <w:autoSpaceDN w:val="0"/>
        <w:adjustRightInd w:val="0"/>
        <w:spacing w:before="120" w:after="120"/>
        <w:ind w:left="360"/>
        <w:rPr>
          <w:b/>
          <w:bCs/>
          <w:szCs w:val="24"/>
        </w:rPr>
      </w:pPr>
      <w:r w:rsidRPr="006757FB">
        <w:rPr>
          <w:b/>
          <w:bCs/>
          <w:szCs w:val="24"/>
        </w:rPr>
        <w:t>3</w:t>
      </w:r>
      <w:r w:rsidR="00E86F33" w:rsidRPr="006757FB">
        <w:rPr>
          <w:b/>
          <w:bCs/>
          <w:szCs w:val="24"/>
        </w:rPr>
        <w:t xml:space="preserve">.1  </w:t>
      </w:r>
      <w:r w:rsidRPr="006757FB">
        <w:rPr>
          <w:b/>
          <w:bCs/>
          <w:szCs w:val="24"/>
        </w:rPr>
        <w:t>Nonduplication</w:t>
      </w:r>
    </w:p>
    <w:p w14:paraId="05658B89" w14:textId="0981874F" w:rsidR="000C02E9" w:rsidRPr="006757FB" w:rsidRDefault="00422D70" w:rsidP="006757FB">
      <w:pPr>
        <w:suppressAutoHyphens/>
        <w:autoSpaceDE w:val="0"/>
        <w:autoSpaceDN w:val="0"/>
        <w:adjustRightInd w:val="0"/>
        <w:spacing w:before="120" w:after="120"/>
        <w:ind w:firstLine="720"/>
        <w:rPr>
          <w:szCs w:val="24"/>
        </w:rPr>
      </w:pPr>
      <w:r>
        <w:rPr>
          <w:szCs w:val="24"/>
        </w:rPr>
        <w:t>Monitoring requirements, quality assurance activities, and data r</w:t>
      </w:r>
      <w:r w:rsidR="000C02E9" w:rsidRPr="006757FB">
        <w:rPr>
          <w:szCs w:val="24"/>
        </w:rPr>
        <w:t xml:space="preserve">eporting requirements for </w:t>
      </w:r>
      <w:r w:rsidR="00F174ED">
        <w:rPr>
          <w:szCs w:val="24"/>
        </w:rPr>
        <w:t>unit</w:t>
      </w:r>
      <w:r>
        <w:rPr>
          <w:szCs w:val="24"/>
        </w:rPr>
        <w:t xml:space="preserve">s affected under </w:t>
      </w:r>
      <w:r w:rsidR="000C02E9" w:rsidRPr="006757FB">
        <w:rPr>
          <w:szCs w:val="24"/>
        </w:rPr>
        <w:t xml:space="preserve">the </w:t>
      </w:r>
      <w:r w:rsidR="00C22164">
        <w:rPr>
          <w:szCs w:val="24"/>
        </w:rPr>
        <w:t>CSAPR</w:t>
      </w:r>
      <w:r w:rsidR="000C02E9" w:rsidRPr="006757FB">
        <w:rPr>
          <w:szCs w:val="24"/>
        </w:rPr>
        <w:t xml:space="preserve"> </w:t>
      </w:r>
      <w:r w:rsidR="007B40DE" w:rsidRPr="006757FB">
        <w:rPr>
          <w:szCs w:val="24"/>
        </w:rPr>
        <w:t>NO</w:t>
      </w:r>
      <w:r w:rsidR="002B09EE" w:rsidRPr="006757FB">
        <w:rPr>
          <w:szCs w:val="24"/>
          <w:vertAlign w:val="subscript"/>
        </w:rPr>
        <w:t>X</w:t>
      </w:r>
      <w:r w:rsidR="000C02E9" w:rsidRPr="006757FB">
        <w:rPr>
          <w:szCs w:val="24"/>
        </w:rPr>
        <w:t xml:space="preserve"> and SO</w:t>
      </w:r>
      <w:r w:rsidR="000C02E9" w:rsidRPr="006757FB">
        <w:rPr>
          <w:szCs w:val="24"/>
          <w:vertAlign w:val="subscript"/>
        </w:rPr>
        <w:t>2</w:t>
      </w:r>
      <w:r w:rsidR="000C02E9" w:rsidRPr="006757FB">
        <w:rPr>
          <w:szCs w:val="24"/>
        </w:rPr>
        <w:t xml:space="preserve"> </w:t>
      </w:r>
      <w:r w:rsidR="009E21BF" w:rsidRPr="006757FB">
        <w:rPr>
          <w:szCs w:val="24"/>
        </w:rPr>
        <w:t>t</w:t>
      </w:r>
      <w:r w:rsidR="000C02E9" w:rsidRPr="006757FB">
        <w:rPr>
          <w:szCs w:val="24"/>
        </w:rPr>
        <w:t xml:space="preserve">rading </w:t>
      </w:r>
      <w:r w:rsidR="009E21BF" w:rsidRPr="006757FB">
        <w:rPr>
          <w:szCs w:val="24"/>
        </w:rPr>
        <w:t>p</w:t>
      </w:r>
      <w:r w:rsidR="000C02E9" w:rsidRPr="006757FB">
        <w:rPr>
          <w:szCs w:val="24"/>
        </w:rPr>
        <w:t>rograms</w:t>
      </w:r>
      <w:r w:rsidR="000312ED" w:rsidRPr="006757FB">
        <w:rPr>
          <w:szCs w:val="24"/>
        </w:rPr>
        <w:t xml:space="preserve"> </w:t>
      </w:r>
      <w:r w:rsidR="000C02E9" w:rsidRPr="006757FB">
        <w:rPr>
          <w:szCs w:val="24"/>
        </w:rPr>
        <w:t xml:space="preserve">are </w:t>
      </w:r>
      <w:r>
        <w:rPr>
          <w:szCs w:val="24"/>
        </w:rPr>
        <w:t xml:space="preserve">set forth in </w:t>
      </w:r>
      <w:r w:rsidR="00D56CFE" w:rsidRPr="006757FB">
        <w:rPr>
          <w:szCs w:val="24"/>
        </w:rPr>
        <w:t>40 CFR part 75</w:t>
      </w:r>
      <w:r>
        <w:rPr>
          <w:szCs w:val="24"/>
        </w:rPr>
        <w:t xml:space="preserve"> and are integrated with the analogous requirements under 40 CFR part 75 for </w:t>
      </w:r>
      <w:r w:rsidR="00F174ED">
        <w:rPr>
          <w:szCs w:val="24"/>
        </w:rPr>
        <w:t>unit</w:t>
      </w:r>
      <w:r>
        <w:rPr>
          <w:szCs w:val="24"/>
        </w:rPr>
        <w:t xml:space="preserve">s affected under the ARP.  In most cases, </w:t>
      </w:r>
      <w:r w:rsidR="00F174ED">
        <w:rPr>
          <w:szCs w:val="24"/>
        </w:rPr>
        <w:t>unit</w:t>
      </w:r>
      <w:r>
        <w:rPr>
          <w:szCs w:val="24"/>
        </w:rPr>
        <w:t>s</w:t>
      </w:r>
      <w:r w:rsidR="000C02E9" w:rsidRPr="006757FB">
        <w:rPr>
          <w:szCs w:val="24"/>
        </w:rPr>
        <w:t xml:space="preserve"> subject to </w:t>
      </w:r>
      <w:r>
        <w:rPr>
          <w:szCs w:val="24"/>
        </w:rPr>
        <w:t xml:space="preserve">both the </w:t>
      </w:r>
      <w:r w:rsidR="002B37C4" w:rsidRPr="006757FB">
        <w:rPr>
          <w:szCs w:val="24"/>
        </w:rPr>
        <w:t>ARP</w:t>
      </w:r>
      <w:r w:rsidR="000C02E9" w:rsidRPr="006757FB">
        <w:rPr>
          <w:szCs w:val="24"/>
        </w:rPr>
        <w:t xml:space="preserve"> </w:t>
      </w:r>
      <w:r>
        <w:rPr>
          <w:szCs w:val="24"/>
        </w:rPr>
        <w:t>and</w:t>
      </w:r>
      <w:r w:rsidR="000312ED" w:rsidRPr="006757FB">
        <w:rPr>
          <w:szCs w:val="24"/>
        </w:rPr>
        <w:t xml:space="preserve"> </w:t>
      </w:r>
      <w:r>
        <w:rPr>
          <w:szCs w:val="24"/>
        </w:rPr>
        <w:t xml:space="preserve">one or more of the </w:t>
      </w:r>
      <w:r w:rsidR="00C22164">
        <w:rPr>
          <w:szCs w:val="24"/>
        </w:rPr>
        <w:t>CSAPR</w:t>
      </w:r>
      <w:r w:rsidR="000C02E9" w:rsidRPr="006757FB">
        <w:rPr>
          <w:szCs w:val="24"/>
        </w:rPr>
        <w:t xml:space="preserve"> </w:t>
      </w:r>
      <w:r>
        <w:rPr>
          <w:szCs w:val="24"/>
        </w:rPr>
        <w:t xml:space="preserve">trading programs can comply with both programs using the same equipment subject to the same </w:t>
      </w:r>
      <w:r>
        <w:rPr>
          <w:szCs w:val="24"/>
        </w:rPr>
        <w:lastRenderedPageBreak/>
        <w:t xml:space="preserve">certification and quality assurance requirements.  </w:t>
      </w:r>
      <w:r w:rsidR="000F5E3E">
        <w:rPr>
          <w:szCs w:val="24"/>
        </w:rPr>
        <w:t xml:space="preserve">A single consolidated part 75 monitoring plan is required for each </w:t>
      </w:r>
      <w:r w:rsidR="00F174ED">
        <w:rPr>
          <w:szCs w:val="24"/>
        </w:rPr>
        <w:t>unit</w:t>
      </w:r>
      <w:r>
        <w:rPr>
          <w:szCs w:val="24"/>
        </w:rPr>
        <w:t xml:space="preserve">.  Further, </w:t>
      </w:r>
      <w:r w:rsidR="000F5E3E">
        <w:rPr>
          <w:szCs w:val="24"/>
        </w:rPr>
        <w:t xml:space="preserve">where applicable, a single </w:t>
      </w:r>
      <w:r>
        <w:rPr>
          <w:szCs w:val="24"/>
        </w:rPr>
        <w:t xml:space="preserve">consolidated </w:t>
      </w:r>
      <w:r w:rsidR="000F5E3E">
        <w:rPr>
          <w:szCs w:val="24"/>
        </w:rPr>
        <w:t xml:space="preserve">quarterly electronic </w:t>
      </w:r>
      <w:r>
        <w:rPr>
          <w:szCs w:val="24"/>
        </w:rPr>
        <w:t>report of hourly emissions and heat input data is required</w:t>
      </w:r>
      <w:r w:rsidR="003972B1" w:rsidRPr="006757FB">
        <w:rPr>
          <w:szCs w:val="24"/>
        </w:rPr>
        <w:t xml:space="preserve">.  </w:t>
      </w:r>
    </w:p>
    <w:p w14:paraId="3BD16373" w14:textId="52875890" w:rsidR="00147A57" w:rsidRPr="006757FB" w:rsidRDefault="00571CA5" w:rsidP="006757FB">
      <w:pPr>
        <w:suppressAutoHyphens/>
        <w:autoSpaceDE w:val="0"/>
        <w:autoSpaceDN w:val="0"/>
        <w:adjustRightInd w:val="0"/>
        <w:spacing w:before="120" w:after="120"/>
        <w:ind w:firstLine="720"/>
        <w:rPr>
          <w:szCs w:val="24"/>
        </w:rPr>
      </w:pPr>
      <w:r>
        <w:rPr>
          <w:szCs w:val="24"/>
        </w:rPr>
        <w:t xml:space="preserve">CSAPR imposes no independent permitting requirements.  Operating permit </w:t>
      </w:r>
      <w:r w:rsidR="00147A57" w:rsidRPr="006757FB">
        <w:rPr>
          <w:szCs w:val="24"/>
        </w:rPr>
        <w:t xml:space="preserve">requirements for </w:t>
      </w:r>
      <w:r w:rsidR="00C22164">
        <w:rPr>
          <w:szCs w:val="24"/>
        </w:rPr>
        <w:t>CSAPR</w:t>
      </w:r>
      <w:r w:rsidR="00147A57" w:rsidRPr="006757FB">
        <w:rPr>
          <w:szCs w:val="24"/>
        </w:rPr>
        <w:t xml:space="preserve">-affected sources are integrated with other source </w:t>
      </w:r>
      <w:r>
        <w:rPr>
          <w:szCs w:val="24"/>
        </w:rPr>
        <w:t xml:space="preserve">operating </w:t>
      </w:r>
      <w:r w:rsidR="00147A57" w:rsidRPr="006757FB">
        <w:rPr>
          <w:szCs w:val="24"/>
        </w:rPr>
        <w:t>permit requirements under Title V</w:t>
      </w:r>
      <w:r>
        <w:rPr>
          <w:szCs w:val="24"/>
        </w:rPr>
        <w:t>, and any construction permit requirements arise under construction permit</w:t>
      </w:r>
      <w:r w:rsidR="009571D5">
        <w:rPr>
          <w:szCs w:val="24"/>
        </w:rPr>
        <w:t>ting</w:t>
      </w:r>
      <w:r>
        <w:rPr>
          <w:szCs w:val="24"/>
        </w:rPr>
        <w:t xml:space="preserve"> programs</w:t>
      </w:r>
      <w:r w:rsidR="00147A57" w:rsidRPr="006757FB">
        <w:rPr>
          <w:szCs w:val="24"/>
        </w:rPr>
        <w:t>.</w:t>
      </w:r>
    </w:p>
    <w:p w14:paraId="23A6A711" w14:textId="77777777" w:rsidR="00057BDD" w:rsidRPr="006757FB" w:rsidRDefault="00057BDD" w:rsidP="006757FB">
      <w:pPr>
        <w:suppressAutoHyphens/>
        <w:autoSpaceDE w:val="0"/>
        <w:autoSpaceDN w:val="0"/>
        <w:adjustRightInd w:val="0"/>
        <w:spacing w:before="120" w:after="120"/>
        <w:ind w:firstLine="720"/>
        <w:rPr>
          <w:szCs w:val="24"/>
        </w:rPr>
      </w:pPr>
    </w:p>
    <w:p w14:paraId="54D46754" w14:textId="0F52335C" w:rsidR="00D314FB" w:rsidRPr="00422D70" w:rsidRDefault="00E86F33" w:rsidP="00422D70">
      <w:pPr>
        <w:keepNext/>
        <w:suppressAutoHyphens/>
        <w:autoSpaceDE w:val="0"/>
        <w:autoSpaceDN w:val="0"/>
        <w:adjustRightInd w:val="0"/>
        <w:spacing w:before="120" w:after="120"/>
        <w:ind w:left="360"/>
        <w:rPr>
          <w:b/>
          <w:bCs/>
          <w:szCs w:val="24"/>
        </w:rPr>
      </w:pPr>
      <w:r w:rsidRPr="006757FB">
        <w:rPr>
          <w:b/>
          <w:bCs/>
          <w:szCs w:val="24"/>
        </w:rPr>
        <w:t xml:space="preserve">3.2 </w:t>
      </w:r>
      <w:r w:rsidR="000C02E9" w:rsidRPr="006757FB">
        <w:rPr>
          <w:b/>
          <w:bCs/>
          <w:szCs w:val="24"/>
        </w:rPr>
        <w:t xml:space="preserve"> Public Notice </w:t>
      </w:r>
    </w:p>
    <w:p w14:paraId="49A049B2" w14:textId="336C99D4" w:rsidR="00DB0B5B" w:rsidRPr="006757FB" w:rsidRDefault="006276A0" w:rsidP="006757FB">
      <w:pPr>
        <w:suppressAutoHyphens/>
        <w:autoSpaceDE w:val="0"/>
        <w:autoSpaceDN w:val="0"/>
        <w:adjustRightInd w:val="0"/>
        <w:spacing w:before="120" w:after="120"/>
        <w:ind w:firstLine="720"/>
        <w:rPr>
          <w:szCs w:val="24"/>
        </w:rPr>
      </w:pPr>
      <w:r>
        <w:rPr>
          <w:szCs w:val="24"/>
        </w:rPr>
        <w:t xml:space="preserve">The preamble to the </w:t>
      </w:r>
      <w:r w:rsidR="008D3247">
        <w:rPr>
          <w:szCs w:val="24"/>
        </w:rPr>
        <w:t xml:space="preserve">proposal for this </w:t>
      </w:r>
      <w:r>
        <w:rPr>
          <w:szCs w:val="24"/>
        </w:rPr>
        <w:t>rule was provided to the public with notice of and the opportunity to comment on this ICR.</w:t>
      </w:r>
      <w:r w:rsidR="008F437B">
        <w:rPr>
          <w:szCs w:val="24"/>
        </w:rPr>
        <w:t xml:space="preserve">  </w:t>
      </w:r>
      <w:r w:rsidR="00753411">
        <w:rPr>
          <w:szCs w:val="24"/>
        </w:rPr>
        <w:t xml:space="preserve">In response to the proposal, </w:t>
      </w:r>
      <w:r w:rsidR="008F437B">
        <w:rPr>
          <w:szCs w:val="24"/>
        </w:rPr>
        <w:t>EPA received no comments regarding th</w:t>
      </w:r>
      <w:r w:rsidR="00753411">
        <w:rPr>
          <w:szCs w:val="24"/>
        </w:rPr>
        <w:t>is</w:t>
      </w:r>
      <w:r w:rsidR="008F437B">
        <w:rPr>
          <w:szCs w:val="24"/>
        </w:rPr>
        <w:t xml:space="preserve"> ICR</w:t>
      </w:r>
      <w:r w:rsidR="00753411">
        <w:rPr>
          <w:szCs w:val="24"/>
        </w:rPr>
        <w:t xml:space="preserve"> but received one comment </w:t>
      </w:r>
      <w:r w:rsidR="00A170E8">
        <w:rPr>
          <w:szCs w:val="24"/>
        </w:rPr>
        <w:t xml:space="preserve">apparently suggesting that EPA’s authority to continue collecting information under </w:t>
      </w:r>
      <w:r w:rsidR="00753411">
        <w:rPr>
          <w:szCs w:val="24"/>
        </w:rPr>
        <w:t>the existing CSAPR ICR</w:t>
      </w:r>
      <w:r w:rsidR="00A170E8">
        <w:rPr>
          <w:szCs w:val="24"/>
        </w:rPr>
        <w:t xml:space="preserve"> had temporarily lapsed </w:t>
      </w:r>
      <w:r w:rsidR="002C1B15">
        <w:rPr>
          <w:szCs w:val="24"/>
        </w:rPr>
        <w:t xml:space="preserve">prior to OMB’s approval of EPA’s renewal submission. </w:t>
      </w:r>
      <w:r w:rsidR="00A170E8">
        <w:rPr>
          <w:szCs w:val="24"/>
        </w:rPr>
        <w:t xml:space="preserve">That </w:t>
      </w:r>
      <w:r w:rsidR="002C1B15">
        <w:rPr>
          <w:szCs w:val="24"/>
        </w:rPr>
        <w:t xml:space="preserve">suggestion </w:t>
      </w:r>
      <w:r w:rsidR="00A170E8">
        <w:rPr>
          <w:szCs w:val="24"/>
        </w:rPr>
        <w:t>is incorrect, because EPA</w:t>
      </w:r>
      <w:r w:rsidR="002C1B15">
        <w:rPr>
          <w:szCs w:val="24"/>
        </w:rPr>
        <w:t>’</w:t>
      </w:r>
      <w:r w:rsidR="000D7967">
        <w:rPr>
          <w:szCs w:val="24"/>
        </w:rPr>
        <w:t>s</w:t>
      </w:r>
      <w:r w:rsidR="002C1B15">
        <w:rPr>
          <w:szCs w:val="24"/>
        </w:rPr>
        <w:t xml:space="preserve"> renewal submission was timely, </w:t>
      </w:r>
      <w:r w:rsidR="00A170E8">
        <w:rPr>
          <w:szCs w:val="24"/>
        </w:rPr>
        <w:t xml:space="preserve">and an agency that has made a timely renewal submission may continue to collect information pursuant to the ICR while the renewal submission is pending at OMB.  See 5 CFR 1320.10(e)(2).  </w:t>
      </w:r>
      <w:r w:rsidR="00753411">
        <w:rPr>
          <w:szCs w:val="24"/>
        </w:rPr>
        <w:t xml:space="preserve">EPA has </w:t>
      </w:r>
      <w:r w:rsidR="00A170E8">
        <w:rPr>
          <w:szCs w:val="24"/>
        </w:rPr>
        <w:t xml:space="preserve">included the response to this comment </w:t>
      </w:r>
      <w:r w:rsidR="00753411">
        <w:rPr>
          <w:szCs w:val="24"/>
        </w:rPr>
        <w:t xml:space="preserve">in the preamble for the final rule. </w:t>
      </w:r>
    </w:p>
    <w:p w14:paraId="7EEA56AA" w14:textId="77777777" w:rsidR="00D314FB" w:rsidRPr="006757FB" w:rsidRDefault="00D314FB" w:rsidP="006757FB">
      <w:pPr>
        <w:suppressAutoHyphens/>
        <w:autoSpaceDE w:val="0"/>
        <w:autoSpaceDN w:val="0"/>
        <w:adjustRightInd w:val="0"/>
        <w:spacing w:before="120" w:after="120"/>
        <w:ind w:firstLine="720"/>
        <w:rPr>
          <w:b/>
          <w:bCs/>
          <w:szCs w:val="24"/>
        </w:rPr>
      </w:pPr>
    </w:p>
    <w:p w14:paraId="7F0BBD5A" w14:textId="77777777" w:rsidR="000C02E9" w:rsidRPr="006757FB" w:rsidRDefault="000C02E9" w:rsidP="00E16308">
      <w:pPr>
        <w:keepNext/>
        <w:suppressAutoHyphens/>
        <w:autoSpaceDE w:val="0"/>
        <w:autoSpaceDN w:val="0"/>
        <w:adjustRightInd w:val="0"/>
        <w:spacing w:before="120" w:after="120"/>
        <w:ind w:left="360"/>
        <w:rPr>
          <w:b/>
          <w:bCs/>
          <w:szCs w:val="24"/>
        </w:rPr>
      </w:pPr>
      <w:r w:rsidRPr="006757FB">
        <w:rPr>
          <w:b/>
          <w:bCs/>
          <w:szCs w:val="24"/>
        </w:rPr>
        <w:t>3</w:t>
      </w:r>
      <w:r w:rsidR="00E86F33" w:rsidRPr="006757FB">
        <w:rPr>
          <w:b/>
          <w:bCs/>
          <w:szCs w:val="24"/>
        </w:rPr>
        <w:t xml:space="preserve">.3 </w:t>
      </w:r>
      <w:r w:rsidRPr="006757FB">
        <w:rPr>
          <w:b/>
          <w:bCs/>
          <w:szCs w:val="24"/>
        </w:rPr>
        <w:t xml:space="preserve"> Consultations</w:t>
      </w:r>
    </w:p>
    <w:p w14:paraId="1B9F21C1" w14:textId="37D3C7A6" w:rsidR="00D770BF" w:rsidRDefault="00D770BF" w:rsidP="00D770BF">
      <w:pPr>
        <w:suppressAutoHyphens/>
        <w:autoSpaceDE w:val="0"/>
        <w:autoSpaceDN w:val="0"/>
        <w:adjustRightInd w:val="0"/>
        <w:spacing w:before="120" w:after="120"/>
        <w:ind w:firstLine="720"/>
        <w:rPr>
          <w:b/>
          <w:bCs/>
          <w:szCs w:val="24"/>
        </w:rPr>
      </w:pPr>
      <w:r w:rsidRPr="006757FB">
        <w:rPr>
          <w:szCs w:val="24"/>
        </w:rPr>
        <w:t xml:space="preserve">EPA has </w:t>
      </w:r>
      <w:r>
        <w:rPr>
          <w:szCs w:val="24"/>
        </w:rPr>
        <w:t xml:space="preserve">extensive experience with </w:t>
      </w:r>
      <w:r w:rsidR="00D46CCD">
        <w:rPr>
          <w:szCs w:val="24"/>
        </w:rPr>
        <w:t xml:space="preserve">permitting requirements, </w:t>
      </w:r>
      <w:r>
        <w:rPr>
          <w:szCs w:val="24"/>
        </w:rPr>
        <w:t xml:space="preserve">emission reporting requirements, and administration of an </w:t>
      </w:r>
      <w:r w:rsidR="00D46CCD">
        <w:rPr>
          <w:szCs w:val="24"/>
        </w:rPr>
        <w:t xml:space="preserve">allowance </w:t>
      </w:r>
      <w:r w:rsidR="009724E2">
        <w:rPr>
          <w:szCs w:val="24"/>
        </w:rPr>
        <w:t xml:space="preserve">transfer and </w:t>
      </w:r>
      <w:r w:rsidR="00D46CCD">
        <w:rPr>
          <w:szCs w:val="24"/>
        </w:rPr>
        <w:t xml:space="preserve">tracking </w:t>
      </w:r>
      <w:r>
        <w:rPr>
          <w:szCs w:val="24"/>
        </w:rPr>
        <w:t xml:space="preserve">system from </w:t>
      </w:r>
      <w:r w:rsidRPr="006757FB">
        <w:rPr>
          <w:szCs w:val="24"/>
        </w:rPr>
        <w:t>implement</w:t>
      </w:r>
      <w:r>
        <w:rPr>
          <w:szCs w:val="24"/>
        </w:rPr>
        <w:t xml:space="preserve">ation of </w:t>
      </w:r>
      <w:r w:rsidRPr="006757FB">
        <w:rPr>
          <w:szCs w:val="24"/>
        </w:rPr>
        <w:t>the ARP, NO</w:t>
      </w:r>
      <w:r w:rsidRPr="006757FB">
        <w:rPr>
          <w:szCs w:val="24"/>
          <w:vertAlign w:val="subscript"/>
        </w:rPr>
        <w:t>X</w:t>
      </w:r>
      <w:r w:rsidRPr="006757FB">
        <w:rPr>
          <w:szCs w:val="24"/>
        </w:rPr>
        <w:t xml:space="preserve"> SIP Call, CAIR</w:t>
      </w:r>
      <w:r>
        <w:rPr>
          <w:szCs w:val="24"/>
        </w:rPr>
        <w:t>, and CSAPR</w:t>
      </w:r>
      <w:r w:rsidRPr="006757FB">
        <w:rPr>
          <w:szCs w:val="24"/>
        </w:rPr>
        <w:t xml:space="preserve"> trading programs</w:t>
      </w:r>
      <w:r>
        <w:rPr>
          <w:szCs w:val="24"/>
        </w:rPr>
        <w:t xml:space="preserve">.  This experience includes </w:t>
      </w:r>
      <w:r w:rsidRPr="006757FB">
        <w:rPr>
          <w:szCs w:val="24"/>
        </w:rPr>
        <w:t>frequent interaction with affected sources and states</w:t>
      </w:r>
      <w:r>
        <w:rPr>
          <w:szCs w:val="24"/>
        </w:rPr>
        <w:t>.  EPA has reflected lessons learned from program implementation and interactions with sources and states to refine the information collection requirements of each successive trading program, including the CSAPR trading programs.</w:t>
      </w:r>
      <w:r w:rsidRPr="006757FB">
        <w:rPr>
          <w:szCs w:val="24"/>
        </w:rPr>
        <w:t xml:space="preserve">  </w:t>
      </w:r>
    </w:p>
    <w:p w14:paraId="6878D0A8" w14:textId="20FFFA35" w:rsidR="001B32A6" w:rsidRPr="006757FB" w:rsidRDefault="001E7698" w:rsidP="006757FB">
      <w:pPr>
        <w:suppressAutoHyphens/>
        <w:autoSpaceDE w:val="0"/>
        <w:autoSpaceDN w:val="0"/>
        <w:adjustRightInd w:val="0"/>
        <w:spacing w:before="120" w:after="120"/>
        <w:rPr>
          <w:szCs w:val="24"/>
        </w:rPr>
      </w:pPr>
      <w:r w:rsidRPr="00D770BF">
        <w:rPr>
          <w:bCs/>
          <w:szCs w:val="24"/>
        </w:rPr>
        <w:tab/>
      </w:r>
      <w:r w:rsidR="00612C4F">
        <w:rPr>
          <w:bCs/>
          <w:szCs w:val="24"/>
        </w:rPr>
        <w:t xml:space="preserve">EPA has also engaged in more structured consultation efforts.  For example, </w:t>
      </w:r>
      <w:r w:rsidR="00D770BF">
        <w:rPr>
          <w:szCs w:val="24"/>
        </w:rPr>
        <w:t>d</w:t>
      </w:r>
      <w:r w:rsidR="00976A12" w:rsidRPr="006757FB">
        <w:rPr>
          <w:szCs w:val="24"/>
        </w:rPr>
        <w:t xml:space="preserve">uring the development of </w:t>
      </w:r>
      <w:r w:rsidRPr="006757FB">
        <w:rPr>
          <w:szCs w:val="24"/>
        </w:rPr>
        <w:t xml:space="preserve">CAIR, discussions were held with </w:t>
      </w:r>
      <w:r w:rsidR="005A4047" w:rsidRPr="006757FB">
        <w:rPr>
          <w:szCs w:val="24"/>
        </w:rPr>
        <w:t xml:space="preserve">the National Association of Clean Air Agencies (NACAA) </w:t>
      </w:r>
      <w:r w:rsidRPr="006757FB">
        <w:rPr>
          <w:szCs w:val="24"/>
        </w:rPr>
        <w:t>to clarif</w:t>
      </w:r>
      <w:r w:rsidR="00370979" w:rsidRPr="006757FB">
        <w:rPr>
          <w:szCs w:val="24"/>
        </w:rPr>
        <w:t>y EPA</w:t>
      </w:r>
      <w:r w:rsidR="00033581" w:rsidRPr="006757FB">
        <w:rPr>
          <w:szCs w:val="24"/>
        </w:rPr>
        <w:t>'</w:t>
      </w:r>
      <w:r w:rsidR="00370979" w:rsidRPr="006757FB">
        <w:rPr>
          <w:szCs w:val="24"/>
        </w:rPr>
        <w:t>s logic in developing the emissions reporting requirement</w:t>
      </w:r>
      <w:r w:rsidR="005A4047" w:rsidRPr="006757FB">
        <w:rPr>
          <w:szCs w:val="24"/>
        </w:rPr>
        <w:t>s</w:t>
      </w:r>
      <w:r w:rsidR="00370979" w:rsidRPr="006757FB">
        <w:rPr>
          <w:szCs w:val="24"/>
        </w:rPr>
        <w:t xml:space="preserve"> contained within th</w:t>
      </w:r>
      <w:r w:rsidR="006276A0">
        <w:rPr>
          <w:szCs w:val="24"/>
        </w:rPr>
        <w:t>at</w:t>
      </w:r>
      <w:r w:rsidR="00370979" w:rsidRPr="006757FB">
        <w:rPr>
          <w:szCs w:val="24"/>
        </w:rPr>
        <w:t xml:space="preserve"> </w:t>
      </w:r>
      <w:r w:rsidRPr="006757FB">
        <w:rPr>
          <w:szCs w:val="24"/>
        </w:rPr>
        <w:t>rule.</w:t>
      </w:r>
      <w:r w:rsidR="00D4655A" w:rsidRPr="006757FB">
        <w:rPr>
          <w:szCs w:val="24"/>
        </w:rPr>
        <w:t xml:space="preserve">  </w:t>
      </w:r>
      <w:r w:rsidR="00612C4F">
        <w:rPr>
          <w:szCs w:val="24"/>
        </w:rPr>
        <w:t>Likewise, i</w:t>
      </w:r>
      <w:r w:rsidR="00612C4F" w:rsidRPr="006757FB">
        <w:rPr>
          <w:szCs w:val="24"/>
        </w:rPr>
        <w:t xml:space="preserve">n 2009, EPA held a series of </w:t>
      </w:r>
      <w:r w:rsidR="00612C4F">
        <w:rPr>
          <w:szCs w:val="24"/>
        </w:rPr>
        <w:t xml:space="preserve">workshops </w:t>
      </w:r>
      <w:r w:rsidR="00612C4F" w:rsidRPr="006757FB">
        <w:rPr>
          <w:szCs w:val="24"/>
        </w:rPr>
        <w:t xml:space="preserve">with stakeholders to identify potential options for addressing </w:t>
      </w:r>
      <w:r w:rsidR="00391BFE">
        <w:rPr>
          <w:szCs w:val="24"/>
        </w:rPr>
        <w:t xml:space="preserve">the </w:t>
      </w:r>
      <w:r w:rsidR="00612C4F">
        <w:rPr>
          <w:szCs w:val="24"/>
        </w:rPr>
        <w:t>D.C. Circuit’s decision on CAIR.</w:t>
      </w:r>
      <w:r w:rsidR="00612C4F">
        <w:rPr>
          <w:rStyle w:val="FootnoteReference"/>
          <w:szCs w:val="24"/>
        </w:rPr>
        <w:footnoteReference w:id="7"/>
      </w:r>
      <w:r w:rsidR="00612C4F">
        <w:rPr>
          <w:szCs w:val="24"/>
        </w:rPr>
        <w:t xml:space="preserve">  </w:t>
      </w:r>
      <w:r w:rsidR="00612C4F" w:rsidRPr="006757FB">
        <w:rPr>
          <w:szCs w:val="24"/>
        </w:rPr>
        <w:t xml:space="preserve">EPA </w:t>
      </w:r>
      <w:r w:rsidR="00612C4F">
        <w:rPr>
          <w:szCs w:val="24"/>
        </w:rPr>
        <w:t xml:space="preserve">considered </w:t>
      </w:r>
      <w:r w:rsidR="00612C4F" w:rsidRPr="006757FB">
        <w:rPr>
          <w:szCs w:val="24"/>
        </w:rPr>
        <w:t xml:space="preserve">comments </w:t>
      </w:r>
      <w:r w:rsidR="00612C4F">
        <w:rPr>
          <w:szCs w:val="24"/>
        </w:rPr>
        <w:t xml:space="preserve">received during and </w:t>
      </w:r>
      <w:r w:rsidR="00612C4F" w:rsidRPr="006757FB">
        <w:rPr>
          <w:szCs w:val="24"/>
        </w:rPr>
        <w:t xml:space="preserve">following the workshops </w:t>
      </w:r>
      <w:r w:rsidR="00370979" w:rsidRPr="006757FB">
        <w:rPr>
          <w:szCs w:val="24"/>
        </w:rPr>
        <w:t xml:space="preserve">when developing </w:t>
      </w:r>
      <w:r w:rsidR="00C22164">
        <w:rPr>
          <w:szCs w:val="24"/>
        </w:rPr>
        <w:t>CSAPR</w:t>
      </w:r>
      <w:r w:rsidR="00370979" w:rsidRPr="006757FB">
        <w:rPr>
          <w:szCs w:val="24"/>
        </w:rPr>
        <w:t xml:space="preserve"> </w:t>
      </w:r>
      <w:r w:rsidR="00612C4F">
        <w:rPr>
          <w:szCs w:val="24"/>
        </w:rPr>
        <w:t xml:space="preserve">and its </w:t>
      </w:r>
      <w:r w:rsidR="00370979" w:rsidRPr="006757FB">
        <w:rPr>
          <w:szCs w:val="24"/>
        </w:rPr>
        <w:t>emission reporting requirements</w:t>
      </w:r>
      <w:r w:rsidR="00D4655A" w:rsidRPr="006757FB">
        <w:rPr>
          <w:szCs w:val="24"/>
        </w:rPr>
        <w:t>.</w:t>
      </w:r>
    </w:p>
    <w:p w14:paraId="0AE255E7" w14:textId="7B42B373" w:rsidR="000C02E9" w:rsidRDefault="00612C4F" w:rsidP="006757FB">
      <w:pPr>
        <w:suppressAutoHyphens/>
        <w:autoSpaceDE w:val="0"/>
        <w:autoSpaceDN w:val="0"/>
        <w:adjustRightInd w:val="0"/>
        <w:spacing w:before="120" w:after="120"/>
        <w:ind w:firstLine="720"/>
        <w:rPr>
          <w:szCs w:val="24"/>
        </w:rPr>
      </w:pPr>
      <w:r>
        <w:rPr>
          <w:szCs w:val="24"/>
        </w:rPr>
        <w:t>A</w:t>
      </w:r>
      <w:r w:rsidR="000C02E9" w:rsidRPr="006757FB">
        <w:rPr>
          <w:szCs w:val="24"/>
        </w:rPr>
        <w:t xml:space="preserve">s part of updating the </w:t>
      </w:r>
      <w:r>
        <w:rPr>
          <w:szCs w:val="24"/>
        </w:rPr>
        <w:t xml:space="preserve">ARP </w:t>
      </w:r>
      <w:r w:rsidR="000C02E9" w:rsidRPr="006757FB">
        <w:rPr>
          <w:szCs w:val="24"/>
        </w:rPr>
        <w:t xml:space="preserve">ICR, EPA </w:t>
      </w:r>
      <w:r>
        <w:rPr>
          <w:szCs w:val="24"/>
        </w:rPr>
        <w:t xml:space="preserve">has </w:t>
      </w:r>
      <w:r w:rsidR="000C02E9" w:rsidRPr="006757FB">
        <w:rPr>
          <w:szCs w:val="24"/>
        </w:rPr>
        <w:t>contacted various affected parties to ga</w:t>
      </w:r>
      <w:r w:rsidR="00B3743F" w:rsidRPr="006757FB">
        <w:rPr>
          <w:szCs w:val="24"/>
        </w:rPr>
        <w:t xml:space="preserve">ther information on </w:t>
      </w:r>
      <w:r w:rsidR="00716956">
        <w:rPr>
          <w:szCs w:val="24"/>
        </w:rPr>
        <w:t xml:space="preserve">continuous emission monitoring system (CEMS) </w:t>
      </w:r>
      <w:r w:rsidR="00B3743F" w:rsidRPr="006757FB">
        <w:rPr>
          <w:szCs w:val="24"/>
        </w:rPr>
        <w:t xml:space="preserve">capital </w:t>
      </w:r>
      <w:r w:rsidR="000C02E9" w:rsidRPr="006757FB">
        <w:rPr>
          <w:szCs w:val="24"/>
        </w:rPr>
        <w:t>costs,</w:t>
      </w:r>
      <w:r w:rsidR="00B3743F" w:rsidRPr="006757FB">
        <w:rPr>
          <w:szCs w:val="24"/>
        </w:rPr>
        <w:t xml:space="preserve"> </w:t>
      </w:r>
      <w:r w:rsidR="000C02E9" w:rsidRPr="006757FB">
        <w:rPr>
          <w:szCs w:val="24"/>
        </w:rPr>
        <w:t>CEM</w:t>
      </w:r>
      <w:r w:rsidR="00716956">
        <w:rPr>
          <w:szCs w:val="24"/>
        </w:rPr>
        <w:t>S</w:t>
      </w:r>
      <w:r w:rsidR="000C02E9" w:rsidRPr="006757FB">
        <w:rPr>
          <w:szCs w:val="24"/>
        </w:rPr>
        <w:t xml:space="preserve"> operation and maintenance costs, fuel </w:t>
      </w:r>
      <w:r w:rsidR="00716956">
        <w:rPr>
          <w:szCs w:val="24"/>
        </w:rPr>
        <w:t>flow</w:t>
      </w:r>
      <w:r w:rsidR="000C02E9" w:rsidRPr="006757FB">
        <w:rPr>
          <w:szCs w:val="24"/>
        </w:rPr>
        <w:t>meter capital costs, and CEM</w:t>
      </w:r>
      <w:r w:rsidR="00716956">
        <w:rPr>
          <w:szCs w:val="24"/>
        </w:rPr>
        <w:t>S</w:t>
      </w:r>
      <w:r w:rsidR="000C02E9" w:rsidRPr="006757FB">
        <w:rPr>
          <w:szCs w:val="24"/>
        </w:rPr>
        <w:t>/fuel</w:t>
      </w:r>
      <w:r w:rsidR="004A76E0" w:rsidRPr="006757FB">
        <w:rPr>
          <w:szCs w:val="24"/>
        </w:rPr>
        <w:t xml:space="preserve"> </w:t>
      </w:r>
      <w:r w:rsidR="00716956">
        <w:rPr>
          <w:szCs w:val="24"/>
        </w:rPr>
        <w:t>flow</w:t>
      </w:r>
      <w:r w:rsidR="000C02E9" w:rsidRPr="006757FB">
        <w:rPr>
          <w:szCs w:val="24"/>
        </w:rPr>
        <w:t>meter testing costs</w:t>
      </w:r>
      <w:r w:rsidR="003972B1" w:rsidRPr="006757FB">
        <w:rPr>
          <w:szCs w:val="24"/>
        </w:rPr>
        <w:t xml:space="preserve">.  </w:t>
      </w:r>
      <w:r w:rsidR="000C02E9" w:rsidRPr="006757FB">
        <w:rPr>
          <w:szCs w:val="24"/>
        </w:rPr>
        <w:t xml:space="preserve">That information has been used in </w:t>
      </w:r>
      <w:r w:rsidR="00C96F94">
        <w:rPr>
          <w:szCs w:val="24"/>
        </w:rPr>
        <w:t xml:space="preserve">the existing CSAPR ICR and in </w:t>
      </w:r>
      <w:r w:rsidR="000C02E9" w:rsidRPr="006757FB">
        <w:rPr>
          <w:szCs w:val="24"/>
        </w:rPr>
        <w:t>this</w:t>
      </w:r>
      <w:r w:rsidR="00FE6353" w:rsidRPr="006757FB">
        <w:rPr>
          <w:szCs w:val="24"/>
        </w:rPr>
        <w:t xml:space="preserve"> </w:t>
      </w:r>
      <w:r w:rsidR="000C02E9" w:rsidRPr="006757FB">
        <w:rPr>
          <w:szCs w:val="24"/>
        </w:rPr>
        <w:t>ICR</w:t>
      </w:r>
      <w:r w:rsidR="003F434D" w:rsidRPr="006757FB">
        <w:rPr>
          <w:szCs w:val="24"/>
        </w:rPr>
        <w:t>, as</w:t>
      </w:r>
      <w:r w:rsidR="000C02E9" w:rsidRPr="006757FB">
        <w:rPr>
          <w:szCs w:val="24"/>
        </w:rPr>
        <w:t xml:space="preserve"> appropriate.</w:t>
      </w:r>
    </w:p>
    <w:p w14:paraId="27AA9CAB" w14:textId="7918F4F4" w:rsidR="00612C4F" w:rsidRPr="006757FB" w:rsidRDefault="00612C4F" w:rsidP="006757FB">
      <w:pPr>
        <w:suppressAutoHyphens/>
        <w:autoSpaceDE w:val="0"/>
        <w:autoSpaceDN w:val="0"/>
        <w:adjustRightInd w:val="0"/>
        <w:spacing w:before="120" w:after="120"/>
        <w:ind w:firstLine="720"/>
        <w:rPr>
          <w:szCs w:val="24"/>
        </w:rPr>
      </w:pPr>
      <w:r>
        <w:rPr>
          <w:szCs w:val="24"/>
        </w:rPr>
        <w:lastRenderedPageBreak/>
        <w:t xml:space="preserve">Finally, as part of developing this ICR, EPA contacted vendors of data acquisition and handling systems (DAHS) used by </w:t>
      </w:r>
      <w:r w:rsidR="00F174ED">
        <w:rPr>
          <w:szCs w:val="24"/>
        </w:rPr>
        <w:t>unit</w:t>
      </w:r>
      <w:r>
        <w:rPr>
          <w:szCs w:val="24"/>
        </w:rPr>
        <w:t>s to collect and report emissions data under 40 CFR part 75</w:t>
      </w:r>
      <w:r w:rsidR="00FB0673">
        <w:rPr>
          <w:szCs w:val="24"/>
        </w:rPr>
        <w:t xml:space="preserve">.  The vendors confirmed </w:t>
      </w:r>
      <w:r>
        <w:rPr>
          <w:szCs w:val="24"/>
        </w:rPr>
        <w:t xml:space="preserve">that </w:t>
      </w:r>
      <w:r w:rsidR="00F174ED">
        <w:rPr>
          <w:szCs w:val="24"/>
        </w:rPr>
        <w:t>a unit</w:t>
      </w:r>
      <w:r>
        <w:rPr>
          <w:szCs w:val="24"/>
        </w:rPr>
        <w:t xml:space="preserve"> </w:t>
      </w:r>
      <w:r w:rsidR="00CC1D8C">
        <w:rPr>
          <w:szCs w:val="24"/>
        </w:rPr>
        <w:t xml:space="preserve">already reporting hourly </w:t>
      </w:r>
      <w:r w:rsidRPr="00612C4F">
        <w:rPr>
          <w:szCs w:val="24"/>
        </w:rPr>
        <w:t>NO</w:t>
      </w:r>
      <w:r w:rsidRPr="00612C4F">
        <w:rPr>
          <w:szCs w:val="24"/>
          <w:vertAlign w:val="subscript"/>
        </w:rPr>
        <w:t>X</w:t>
      </w:r>
      <w:r>
        <w:rPr>
          <w:szCs w:val="24"/>
        </w:rPr>
        <w:t xml:space="preserve"> emissions</w:t>
      </w:r>
      <w:r w:rsidR="00CC1D8C">
        <w:rPr>
          <w:szCs w:val="24"/>
        </w:rPr>
        <w:t xml:space="preserve"> and heat input data</w:t>
      </w:r>
      <w:r>
        <w:rPr>
          <w:szCs w:val="24"/>
        </w:rPr>
        <w:t xml:space="preserve"> </w:t>
      </w:r>
      <w:r w:rsidR="00CC1D8C">
        <w:rPr>
          <w:szCs w:val="24"/>
        </w:rPr>
        <w:t xml:space="preserve">for compliance with an annual program </w:t>
      </w:r>
      <w:r>
        <w:rPr>
          <w:szCs w:val="24"/>
        </w:rPr>
        <w:t xml:space="preserve">can activate or deactivate the capability to compute and report </w:t>
      </w:r>
      <w:r w:rsidR="00CC1D8C">
        <w:rPr>
          <w:szCs w:val="24"/>
        </w:rPr>
        <w:t xml:space="preserve">additional subtotals of that hourly data for compliance with an ozone season program </w:t>
      </w:r>
      <w:r w:rsidR="00FF4A31">
        <w:rPr>
          <w:szCs w:val="24"/>
        </w:rPr>
        <w:t xml:space="preserve">with a minimal update to the DAHS inputs, and that for the estimated 95% of units with DAHS software maintenance contracts, the update would entail </w:t>
      </w:r>
      <w:r>
        <w:rPr>
          <w:szCs w:val="24"/>
        </w:rPr>
        <w:t>zero incremental cost.</w:t>
      </w:r>
    </w:p>
    <w:p w14:paraId="28063325" w14:textId="77777777" w:rsidR="003F7265" w:rsidRPr="006757FB" w:rsidRDefault="003F7265" w:rsidP="006757FB">
      <w:pPr>
        <w:tabs>
          <w:tab w:val="left" w:pos="360"/>
        </w:tabs>
        <w:suppressAutoHyphens/>
        <w:autoSpaceDE w:val="0"/>
        <w:autoSpaceDN w:val="0"/>
        <w:adjustRightInd w:val="0"/>
        <w:spacing w:before="120" w:after="120"/>
        <w:ind w:left="360"/>
        <w:rPr>
          <w:b/>
          <w:bCs/>
          <w:szCs w:val="24"/>
        </w:rPr>
      </w:pPr>
    </w:p>
    <w:p w14:paraId="10E4DD13" w14:textId="77777777" w:rsidR="000C02E9" w:rsidRPr="006757FB" w:rsidRDefault="00E86F33" w:rsidP="00E16308">
      <w:pPr>
        <w:keepNext/>
        <w:tabs>
          <w:tab w:val="left" w:pos="360"/>
        </w:tabs>
        <w:suppressAutoHyphens/>
        <w:autoSpaceDE w:val="0"/>
        <w:autoSpaceDN w:val="0"/>
        <w:adjustRightInd w:val="0"/>
        <w:spacing w:before="120" w:after="120"/>
        <w:ind w:left="360"/>
        <w:rPr>
          <w:b/>
          <w:bCs/>
          <w:szCs w:val="24"/>
        </w:rPr>
      </w:pPr>
      <w:r w:rsidRPr="006757FB">
        <w:rPr>
          <w:b/>
          <w:bCs/>
          <w:szCs w:val="24"/>
        </w:rPr>
        <w:t xml:space="preserve">3.4  </w:t>
      </w:r>
      <w:r w:rsidR="000C02E9" w:rsidRPr="006757FB">
        <w:rPr>
          <w:b/>
          <w:bCs/>
          <w:szCs w:val="24"/>
        </w:rPr>
        <w:t>Effects of Less Frequent Collection</w:t>
      </w:r>
    </w:p>
    <w:p w14:paraId="31BF6593" w14:textId="549C17A8" w:rsidR="000C02E9" w:rsidRPr="006757FB" w:rsidRDefault="000C02E9" w:rsidP="006757FB">
      <w:pPr>
        <w:suppressAutoHyphens/>
        <w:autoSpaceDE w:val="0"/>
        <w:autoSpaceDN w:val="0"/>
        <w:adjustRightInd w:val="0"/>
        <w:spacing w:before="120" w:after="120"/>
        <w:ind w:firstLine="720"/>
        <w:rPr>
          <w:szCs w:val="24"/>
        </w:rPr>
      </w:pPr>
      <w:r w:rsidRPr="006757FB">
        <w:rPr>
          <w:szCs w:val="24"/>
        </w:rPr>
        <w:t>Submittal o</w:t>
      </w:r>
      <w:r w:rsidR="006B6CC0" w:rsidRPr="006757FB">
        <w:rPr>
          <w:szCs w:val="24"/>
        </w:rPr>
        <w:t xml:space="preserve">f </w:t>
      </w:r>
      <w:r w:rsidR="00CC1D8C">
        <w:rPr>
          <w:szCs w:val="24"/>
        </w:rPr>
        <w:t xml:space="preserve">emissions and </w:t>
      </w:r>
      <w:r w:rsidR="006B6CC0" w:rsidRPr="006757FB">
        <w:rPr>
          <w:szCs w:val="24"/>
        </w:rPr>
        <w:t xml:space="preserve">allowance </w:t>
      </w:r>
      <w:r w:rsidR="009724E2">
        <w:rPr>
          <w:szCs w:val="24"/>
        </w:rPr>
        <w:t>transfer</w:t>
      </w:r>
      <w:r w:rsidR="006B6CC0" w:rsidRPr="006757FB">
        <w:rPr>
          <w:szCs w:val="24"/>
        </w:rPr>
        <w:t xml:space="preserve"> </w:t>
      </w:r>
      <w:r w:rsidRPr="006757FB">
        <w:rPr>
          <w:szCs w:val="24"/>
        </w:rPr>
        <w:t>information on an annual basis</w:t>
      </w:r>
      <w:r w:rsidR="00B3743F" w:rsidRPr="006757FB">
        <w:rPr>
          <w:szCs w:val="24"/>
        </w:rPr>
        <w:t xml:space="preserve"> </w:t>
      </w:r>
      <w:r w:rsidR="003F434D" w:rsidRPr="006757FB">
        <w:rPr>
          <w:szCs w:val="24"/>
        </w:rPr>
        <w:t xml:space="preserve">(and/or on an ozone-season basis, as applicable) </w:t>
      </w:r>
      <w:r w:rsidRPr="006757FB">
        <w:rPr>
          <w:szCs w:val="24"/>
        </w:rPr>
        <w:t xml:space="preserve">provides </w:t>
      </w:r>
      <w:r w:rsidR="00F464BD" w:rsidRPr="006757FB">
        <w:rPr>
          <w:szCs w:val="24"/>
        </w:rPr>
        <w:t xml:space="preserve">the data </w:t>
      </w:r>
      <w:r w:rsidRPr="006757FB">
        <w:rPr>
          <w:szCs w:val="24"/>
        </w:rPr>
        <w:t xml:space="preserve">necessary </w:t>
      </w:r>
      <w:r w:rsidR="00F464BD" w:rsidRPr="006757FB">
        <w:rPr>
          <w:szCs w:val="24"/>
        </w:rPr>
        <w:t xml:space="preserve">to determine </w:t>
      </w:r>
      <w:r w:rsidR="006B6CC0" w:rsidRPr="006757FB">
        <w:rPr>
          <w:szCs w:val="24"/>
        </w:rPr>
        <w:t xml:space="preserve">whether </w:t>
      </w:r>
      <w:r w:rsidR="003F434D" w:rsidRPr="006757FB">
        <w:rPr>
          <w:szCs w:val="24"/>
        </w:rPr>
        <w:t>state budgets</w:t>
      </w:r>
      <w:r w:rsidRPr="006757FB">
        <w:rPr>
          <w:szCs w:val="24"/>
        </w:rPr>
        <w:t xml:space="preserve"> have been </w:t>
      </w:r>
      <w:r w:rsidR="003F434D" w:rsidRPr="006757FB">
        <w:rPr>
          <w:szCs w:val="24"/>
        </w:rPr>
        <w:t>exceede</w:t>
      </w:r>
      <w:r w:rsidRPr="006757FB">
        <w:rPr>
          <w:szCs w:val="24"/>
        </w:rPr>
        <w:t>d</w:t>
      </w:r>
      <w:r w:rsidR="003972B1" w:rsidRPr="006757FB">
        <w:rPr>
          <w:szCs w:val="24"/>
        </w:rPr>
        <w:t xml:space="preserve">.  </w:t>
      </w:r>
      <w:r w:rsidRPr="006757FB">
        <w:rPr>
          <w:szCs w:val="24"/>
        </w:rPr>
        <w:t xml:space="preserve">If this information collection were not carried out </w:t>
      </w:r>
      <w:r w:rsidR="00CC1D8C">
        <w:rPr>
          <w:szCs w:val="24"/>
        </w:rPr>
        <w:t xml:space="preserve">at least as frequently as </w:t>
      </w:r>
      <w:r w:rsidRPr="006757FB">
        <w:rPr>
          <w:szCs w:val="24"/>
        </w:rPr>
        <w:t>annually, EPA would not be able to verify that</w:t>
      </w:r>
      <w:r w:rsidR="00B3743F" w:rsidRPr="006757FB">
        <w:rPr>
          <w:szCs w:val="24"/>
        </w:rPr>
        <w:t xml:space="preserve"> </w:t>
      </w:r>
      <w:r w:rsidRPr="006757FB">
        <w:rPr>
          <w:szCs w:val="24"/>
        </w:rPr>
        <w:t>emission red</w:t>
      </w:r>
      <w:r w:rsidR="00803A13" w:rsidRPr="006757FB">
        <w:rPr>
          <w:szCs w:val="24"/>
        </w:rPr>
        <w:t>uctions necessary to meet each s</w:t>
      </w:r>
      <w:r w:rsidRPr="006757FB">
        <w:rPr>
          <w:szCs w:val="24"/>
        </w:rPr>
        <w:t>tate</w:t>
      </w:r>
      <w:r w:rsidR="00033581" w:rsidRPr="006757FB">
        <w:rPr>
          <w:szCs w:val="24"/>
        </w:rPr>
        <w:t>'</w:t>
      </w:r>
      <w:r w:rsidRPr="006757FB">
        <w:rPr>
          <w:szCs w:val="24"/>
        </w:rPr>
        <w:t xml:space="preserve">s </w:t>
      </w:r>
      <w:r w:rsidR="00E076D5" w:rsidRPr="006757FB">
        <w:rPr>
          <w:szCs w:val="24"/>
        </w:rPr>
        <w:t>NO</w:t>
      </w:r>
      <w:r w:rsidR="00E076D5" w:rsidRPr="006757FB">
        <w:rPr>
          <w:szCs w:val="24"/>
          <w:vertAlign w:val="subscript"/>
        </w:rPr>
        <w:t>X</w:t>
      </w:r>
      <w:r w:rsidR="00E076D5" w:rsidRPr="006757FB">
        <w:rPr>
          <w:szCs w:val="24"/>
        </w:rPr>
        <w:t xml:space="preserve"> and </w:t>
      </w:r>
      <w:r w:rsidRPr="006757FB">
        <w:rPr>
          <w:szCs w:val="24"/>
        </w:rPr>
        <w:t>SO</w:t>
      </w:r>
      <w:r w:rsidRPr="006757FB">
        <w:rPr>
          <w:szCs w:val="24"/>
          <w:vertAlign w:val="subscript"/>
        </w:rPr>
        <w:t>2</w:t>
      </w:r>
      <w:r w:rsidR="00E076D5" w:rsidRPr="006757FB">
        <w:rPr>
          <w:szCs w:val="24"/>
        </w:rPr>
        <w:t xml:space="preserve"> </w:t>
      </w:r>
      <w:r w:rsidRPr="006757FB">
        <w:rPr>
          <w:szCs w:val="24"/>
        </w:rPr>
        <w:t>emission budgets were being</w:t>
      </w:r>
      <w:r w:rsidR="00B3743F" w:rsidRPr="006757FB">
        <w:rPr>
          <w:szCs w:val="24"/>
        </w:rPr>
        <w:t xml:space="preserve"> </w:t>
      </w:r>
      <w:r w:rsidRPr="006757FB">
        <w:rPr>
          <w:szCs w:val="24"/>
        </w:rPr>
        <w:t>achieved</w:t>
      </w:r>
      <w:r w:rsidR="003972B1" w:rsidRPr="006757FB">
        <w:rPr>
          <w:szCs w:val="24"/>
        </w:rPr>
        <w:t xml:space="preserve">.  </w:t>
      </w:r>
      <w:r w:rsidRPr="006757FB">
        <w:rPr>
          <w:szCs w:val="24"/>
        </w:rPr>
        <w:t xml:space="preserve">Because the </w:t>
      </w:r>
      <w:r w:rsidR="00E076D5" w:rsidRPr="006757FB">
        <w:rPr>
          <w:szCs w:val="24"/>
        </w:rPr>
        <w:t>NO</w:t>
      </w:r>
      <w:r w:rsidR="00E076D5" w:rsidRPr="006757FB">
        <w:rPr>
          <w:szCs w:val="24"/>
          <w:vertAlign w:val="subscript"/>
        </w:rPr>
        <w:t>X</w:t>
      </w:r>
      <w:r w:rsidR="00E076D5" w:rsidRPr="006757FB">
        <w:rPr>
          <w:szCs w:val="24"/>
        </w:rPr>
        <w:t xml:space="preserve"> and </w:t>
      </w:r>
      <w:r w:rsidRPr="006757FB">
        <w:rPr>
          <w:szCs w:val="24"/>
        </w:rPr>
        <w:t>SO</w:t>
      </w:r>
      <w:r w:rsidRPr="006757FB">
        <w:rPr>
          <w:szCs w:val="24"/>
          <w:vertAlign w:val="subscript"/>
        </w:rPr>
        <w:t>2</w:t>
      </w:r>
      <w:r w:rsidR="00E076D5" w:rsidRPr="006757FB">
        <w:rPr>
          <w:szCs w:val="24"/>
        </w:rPr>
        <w:t xml:space="preserve"> </w:t>
      </w:r>
      <w:r w:rsidRPr="006757FB">
        <w:rPr>
          <w:szCs w:val="24"/>
        </w:rPr>
        <w:t>budgets prescribed have been deemed essential in order to</w:t>
      </w:r>
      <w:r w:rsidR="00B3743F" w:rsidRPr="006757FB">
        <w:rPr>
          <w:szCs w:val="24"/>
        </w:rPr>
        <w:t xml:space="preserve"> </w:t>
      </w:r>
      <w:r w:rsidR="00803A13" w:rsidRPr="006757FB">
        <w:rPr>
          <w:szCs w:val="24"/>
        </w:rPr>
        <w:t>aid downwind s</w:t>
      </w:r>
      <w:r w:rsidRPr="006757FB">
        <w:rPr>
          <w:szCs w:val="24"/>
        </w:rPr>
        <w:t>tates in attaining the NAAQS in a timely manner, data collected less frequently</w:t>
      </w:r>
      <w:r w:rsidR="00B3743F" w:rsidRPr="006757FB">
        <w:rPr>
          <w:szCs w:val="24"/>
        </w:rPr>
        <w:t xml:space="preserve"> </w:t>
      </w:r>
      <w:r w:rsidRPr="006757FB">
        <w:rPr>
          <w:szCs w:val="24"/>
        </w:rPr>
        <w:t>would be of little or no use.</w:t>
      </w:r>
    </w:p>
    <w:p w14:paraId="5A1C3BEC" w14:textId="73831AB4" w:rsidR="000C02E9" w:rsidRPr="006757FB" w:rsidRDefault="000C02E9" w:rsidP="006757FB">
      <w:pPr>
        <w:suppressAutoHyphens/>
        <w:autoSpaceDE w:val="0"/>
        <w:autoSpaceDN w:val="0"/>
        <w:adjustRightInd w:val="0"/>
        <w:spacing w:before="120" w:after="120"/>
        <w:ind w:firstLine="720"/>
        <w:rPr>
          <w:szCs w:val="24"/>
        </w:rPr>
      </w:pPr>
      <w:r w:rsidRPr="006757FB">
        <w:rPr>
          <w:szCs w:val="24"/>
        </w:rPr>
        <w:t xml:space="preserve">Quarterly collection of emissions data allows </w:t>
      </w:r>
      <w:r w:rsidR="005438C0" w:rsidRPr="006757FB">
        <w:rPr>
          <w:szCs w:val="24"/>
        </w:rPr>
        <w:t xml:space="preserve">for frequent </w:t>
      </w:r>
      <w:r w:rsidRPr="006757FB">
        <w:rPr>
          <w:szCs w:val="24"/>
        </w:rPr>
        <w:t>check</w:t>
      </w:r>
      <w:r w:rsidR="005438C0" w:rsidRPr="006757FB">
        <w:rPr>
          <w:szCs w:val="24"/>
        </w:rPr>
        <w:t>ing of</w:t>
      </w:r>
      <w:r w:rsidRPr="006757FB">
        <w:rPr>
          <w:szCs w:val="24"/>
        </w:rPr>
        <w:t xml:space="preserve"> </w:t>
      </w:r>
      <w:r w:rsidR="00CC1D8C">
        <w:rPr>
          <w:szCs w:val="24"/>
        </w:rPr>
        <w:t xml:space="preserve">reported </w:t>
      </w:r>
      <w:r w:rsidRPr="006757FB">
        <w:rPr>
          <w:szCs w:val="24"/>
        </w:rPr>
        <w:t>data for errors and</w:t>
      </w:r>
      <w:r w:rsidR="00B3743F" w:rsidRPr="006757FB">
        <w:rPr>
          <w:szCs w:val="24"/>
        </w:rPr>
        <w:t xml:space="preserve"> </w:t>
      </w:r>
      <w:r w:rsidRPr="006757FB">
        <w:rPr>
          <w:szCs w:val="24"/>
        </w:rPr>
        <w:t>provide</w:t>
      </w:r>
      <w:r w:rsidR="005438C0" w:rsidRPr="006757FB">
        <w:rPr>
          <w:szCs w:val="24"/>
        </w:rPr>
        <w:t>s rapid feedback to industry of</w:t>
      </w:r>
      <w:r w:rsidRPr="006757FB">
        <w:rPr>
          <w:szCs w:val="24"/>
        </w:rPr>
        <w:t xml:space="preserve"> needed adjustments</w:t>
      </w:r>
      <w:r w:rsidR="005438C0" w:rsidRPr="006757FB">
        <w:rPr>
          <w:szCs w:val="24"/>
        </w:rPr>
        <w:t xml:space="preserve"> to data collection systems, thereby promoting more</w:t>
      </w:r>
      <w:r w:rsidR="00B3743F" w:rsidRPr="006757FB">
        <w:rPr>
          <w:szCs w:val="24"/>
        </w:rPr>
        <w:t xml:space="preserve"> </w:t>
      </w:r>
      <w:r w:rsidRPr="006757FB">
        <w:rPr>
          <w:szCs w:val="24"/>
        </w:rPr>
        <w:t>accurate and reliable emissions data</w:t>
      </w:r>
      <w:r w:rsidR="003972B1" w:rsidRPr="006757FB">
        <w:rPr>
          <w:szCs w:val="24"/>
        </w:rPr>
        <w:t xml:space="preserve">.  </w:t>
      </w:r>
      <w:r w:rsidR="005438C0" w:rsidRPr="006757FB">
        <w:rPr>
          <w:szCs w:val="24"/>
        </w:rPr>
        <w:t>Also</w:t>
      </w:r>
      <w:r w:rsidRPr="006757FB">
        <w:rPr>
          <w:szCs w:val="24"/>
        </w:rPr>
        <w:t xml:space="preserve">, existing federal and </w:t>
      </w:r>
      <w:r w:rsidR="00803A13" w:rsidRPr="006757FB">
        <w:rPr>
          <w:szCs w:val="24"/>
        </w:rPr>
        <w:t>s</w:t>
      </w:r>
      <w:r w:rsidR="009D2B68" w:rsidRPr="006757FB">
        <w:rPr>
          <w:szCs w:val="24"/>
        </w:rPr>
        <w:t>tate</w:t>
      </w:r>
      <w:r w:rsidRPr="006757FB">
        <w:rPr>
          <w:szCs w:val="24"/>
        </w:rPr>
        <w:t xml:space="preserve"> emission</w:t>
      </w:r>
      <w:r w:rsidR="00B3743F" w:rsidRPr="006757FB">
        <w:rPr>
          <w:szCs w:val="24"/>
        </w:rPr>
        <w:t xml:space="preserve"> </w:t>
      </w:r>
      <w:r w:rsidRPr="006757FB">
        <w:rPr>
          <w:szCs w:val="24"/>
        </w:rPr>
        <w:t>monitoring programs often require quarterly, or in some cases, monthly</w:t>
      </w:r>
      <w:r w:rsidR="0048676D">
        <w:rPr>
          <w:szCs w:val="24"/>
        </w:rPr>
        <w:t xml:space="preserve"> reporting</w:t>
      </w:r>
      <w:r w:rsidR="003972B1" w:rsidRPr="006757FB">
        <w:rPr>
          <w:szCs w:val="24"/>
        </w:rPr>
        <w:t xml:space="preserve">.  </w:t>
      </w:r>
      <w:r w:rsidR="0048676D">
        <w:rPr>
          <w:szCs w:val="24"/>
        </w:rPr>
        <w:t>Collection less frequently than quarterly</w:t>
      </w:r>
      <w:r w:rsidRPr="006757FB">
        <w:rPr>
          <w:szCs w:val="24"/>
        </w:rPr>
        <w:t xml:space="preserve"> would increase the amount of preparation and</w:t>
      </w:r>
      <w:r w:rsidR="00B3743F" w:rsidRPr="006757FB">
        <w:rPr>
          <w:szCs w:val="24"/>
        </w:rPr>
        <w:t xml:space="preserve"> </w:t>
      </w:r>
      <w:r w:rsidRPr="006757FB">
        <w:rPr>
          <w:szCs w:val="24"/>
        </w:rPr>
        <w:t>review time at the end of the reporting period both for regulated sources and for EPA</w:t>
      </w:r>
      <w:r w:rsidR="00F464BD" w:rsidRPr="006757FB">
        <w:rPr>
          <w:szCs w:val="24"/>
        </w:rPr>
        <w:t xml:space="preserve">, and </w:t>
      </w:r>
      <w:r w:rsidRPr="006757FB">
        <w:rPr>
          <w:szCs w:val="24"/>
        </w:rPr>
        <w:t>would slow down the process of compliance</w:t>
      </w:r>
      <w:r w:rsidR="00F464BD" w:rsidRPr="006757FB">
        <w:rPr>
          <w:szCs w:val="24"/>
        </w:rPr>
        <w:t xml:space="preserve"> determination</w:t>
      </w:r>
      <w:r w:rsidRPr="006757FB">
        <w:rPr>
          <w:szCs w:val="24"/>
        </w:rPr>
        <w:t>.</w:t>
      </w:r>
    </w:p>
    <w:p w14:paraId="0833A7ED" w14:textId="77777777" w:rsidR="003F7265" w:rsidRPr="006757FB" w:rsidRDefault="003F7265" w:rsidP="006757FB">
      <w:pPr>
        <w:suppressAutoHyphens/>
        <w:autoSpaceDE w:val="0"/>
        <w:autoSpaceDN w:val="0"/>
        <w:adjustRightInd w:val="0"/>
        <w:spacing w:before="120" w:after="120"/>
        <w:rPr>
          <w:b/>
          <w:bCs/>
          <w:szCs w:val="24"/>
        </w:rPr>
      </w:pPr>
    </w:p>
    <w:p w14:paraId="40BDE4BF" w14:textId="77777777" w:rsidR="000C02E9" w:rsidRPr="006757FB" w:rsidRDefault="000C02E9" w:rsidP="00E16308">
      <w:pPr>
        <w:keepNext/>
        <w:suppressAutoHyphens/>
        <w:autoSpaceDE w:val="0"/>
        <w:autoSpaceDN w:val="0"/>
        <w:adjustRightInd w:val="0"/>
        <w:spacing w:before="120" w:after="120"/>
        <w:ind w:left="360"/>
        <w:rPr>
          <w:b/>
          <w:bCs/>
          <w:szCs w:val="24"/>
        </w:rPr>
      </w:pPr>
      <w:r w:rsidRPr="006757FB">
        <w:rPr>
          <w:b/>
          <w:bCs/>
          <w:szCs w:val="24"/>
        </w:rPr>
        <w:t>3</w:t>
      </w:r>
      <w:r w:rsidR="00E86F33" w:rsidRPr="006757FB">
        <w:rPr>
          <w:b/>
          <w:bCs/>
          <w:szCs w:val="24"/>
        </w:rPr>
        <w:t xml:space="preserve">.5 </w:t>
      </w:r>
      <w:r w:rsidRPr="006757FB">
        <w:rPr>
          <w:b/>
          <w:bCs/>
          <w:szCs w:val="24"/>
        </w:rPr>
        <w:t xml:space="preserve"> General Guidelines</w:t>
      </w:r>
    </w:p>
    <w:p w14:paraId="43D8F81F" w14:textId="77777777" w:rsidR="000C02E9" w:rsidRPr="006757FB" w:rsidRDefault="000C02E9" w:rsidP="006757FB">
      <w:pPr>
        <w:suppressAutoHyphens/>
        <w:autoSpaceDE w:val="0"/>
        <w:autoSpaceDN w:val="0"/>
        <w:adjustRightInd w:val="0"/>
        <w:spacing w:before="120" w:after="120"/>
        <w:ind w:firstLine="720"/>
        <w:rPr>
          <w:szCs w:val="24"/>
        </w:rPr>
      </w:pPr>
      <w:r w:rsidRPr="006757FB">
        <w:rPr>
          <w:szCs w:val="24"/>
        </w:rPr>
        <w:t>This ICR does not violate any of OMB</w:t>
      </w:r>
      <w:r w:rsidR="00033581" w:rsidRPr="006757FB">
        <w:rPr>
          <w:szCs w:val="24"/>
        </w:rPr>
        <w:t>'</w:t>
      </w:r>
      <w:r w:rsidRPr="006757FB">
        <w:rPr>
          <w:szCs w:val="24"/>
        </w:rPr>
        <w:t>s guidelines for information collections.</w:t>
      </w:r>
    </w:p>
    <w:p w14:paraId="75B39659" w14:textId="77777777" w:rsidR="00D314FB" w:rsidRPr="006757FB" w:rsidRDefault="00D314FB" w:rsidP="006757FB">
      <w:pPr>
        <w:suppressAutoHyphens/>
        <w:autoSpaceDE w:val="0"/>
        <w:autoSpaceDN w:val="0"/>
        <w:adjustRightInd w:val="0"/>
        <w:spacing w:before="120" w:after="120"/>
        <w:rPr>
          <w:b/>
          <w:bCs/>
          <w:szCs w:val="24"/>
        </w:rPr>
      </w:pPr>
    </w:p>
    <w:p w14:paraId="059BD36A" w14:textId="77777777" w:rsidR="000C02E9" w:rsidRPr="006757FB" w:rsidRDefault="000C02E9" w:rsidP="00E16308">
      <w:pPr>
        <w:keepNext/>
        <w:suppressAutoHyphens/>
        <w:autoSpaceDE w:val="0"/>
        <w:autoSpaceDN w:val="0"/>
        <w:adjustRightInd w:val="0"/>
        <w:spacing w:before="120" w:after="120"/>
        <w:ind w:left="360"/>
        <w:rPr>
          <w:b/>
          <w:bCs/>
          <w:szCs w:val="24"/>
        </w:rPr>
      </w:pPr>
      <w:r w:rsidRPr="006757FB">
        <w:rPr>
          <w:b/>
          <w:bCs/>
          <w:szCs w:val="24"/>
        </w:rPr>
        <w:t>3</w:t>
      </w:r>
      <w:r w:rsidR="00E86F33" w:rsidRPr="006757FB">
        <w:rPr>
          <w:b/>
          <w:bCs/>
          <w:szCs w:val="24"/>
        </w:rPr>
        <w:t xml:space="preserve">.6 </w:t>
      </w:r>
      <w:r w:rsidRPr="006757FB">
        <w:rPr>
          <w:b/>
          <w:bCs/>
          <w:szCs w:val="24"/>
        </w:rPr>
        <w:t xml:space="preserve"> Confidentiality</w:t>
      </w:r>
    </w:p>
    <w:p w14:paraId="31435303" w14:textId="645F79EA" w:rsidR="005153D7" w:rsidRPr="006757FB" w:rsidRDefault="000C02E9" w:rsidP="006757FB">
      <w:pPr>
        <w:suppressAutoHyphens/>
        <w:autoSpaceDE w:val="0"/>
        <w:autoSpaceDN w:val="0"/>
        <w:adjustRightInd w:val="0"/>
        <w:spacing w:before="120" w:after="120"/>
        <w:ind w:firstLine="720"/>
        <w:rPr>
          <w:szCs w:val="24"/>
        </w:rPr>
      </w:pPr>
      <w:r w:rsidRPr="006757FB">
        <w:rPr>
          <w:szCs w:val="24"/>
        </w:rPr>
        <w:t xml:space="preserve">As required by </w:t>
      </w:r>
      <w:r w:rsidR="00CC1D8C">
        <w:rPr>
          <w:szCs w:val="24"/>
        </w:rPr>
        <w:t>CAA s</w:t>
      </w:r>
      <w:r w:rsidRPr="006757FB">
        <w:rPr>
          <w:szCs w:val="24"/>
        </w:rPr>
        <w:t>ection 114, estimates or measurements of emissions</w:t>
      </w:r>
      <w:r w:rsidR="00B3743F" w:rsidRPr="006757FB">
        <w:rPr>
          <w:szCs w:val="24"/>
        </w:rPr>
        <w:t xml:space="preserve"> </w:t>
      </w:r>
      <w:r w:rsidR="00CC1D8C">
        <w:rPr>
          <w:szCs w:val="24"/>
        </w:rPr>
        <w:t xml:space="preserve">submitted to EPA under </w:t>
      </w:r>
      <w:r w:rsidR="00F3405B">
        <w:rPr>
          <w:szCs w:val="24"/>
        </w:rPr>
        <w:t xml:space="preserve">the CSAPR trading programs and this </w:t>
      </w:r>
      <w:r w:rsidR="00CC1D8C">
        <w:rPr>
          <w:szCs w:val="24"/>
        </w:rPr>
        <w:t xml:space="preserve">rule </w:t>
      </w:r>
      <w:r w:rsidRPr="006757FB">
        <w:rPr>
          <w:szCs w:val="24"/>
        </w:rPr>
        <w:t>must be treated as non</w:t>
      </w:r>
      <w:r w:rsidR="009B4B4C" w:rsidRPr="006757FB">
        <w:rPr>
          <w:szCs w:val="24"/>
        </w:rPr>
        <w:t>-</w:t>
      </w:r>
      <w:r w:rsidRPr="006757FB">
        <w:rPr>
          <w:szCs w:val="24"/>
        </w:rPr>
        <w:t>confidential</w:t>
      </w:r>
      <w:r w:rsidR="003972B1" w:rsidRPr="006757FB">
        <w:rPr>
          <w:szCs w:val="24"/>
        </w:rPr>
        <w:t xml:space="preserve">.  </w:t>
      </w:r>
      <w:r w:rsidRPr="006757FB">
        <w:rPr>
          <w:szCs w:val="24"/>
        </w:rPr>
        <w:t xml:space="preserve">Under Agency procedures, </w:t>
      </w:r>
      <w:r w:rsidR="00CC1D8C">
        <w:rPr>
          <w:szCs w:val="24"/>
        </w:rPr>
        <w:t xml:space="preserve">certain </w:t>
      </w:r>
      <w:r w:rsidRPr="006757FB">
        <w:rPr>
          <w:szCs w:val="24"/>
        </w:rPr>
        <w:t>data items relating to the</w:t>
      </w:r>
      <w:r w:rsidR="00B3743F" w:rsidRPr="006757FB">
        <w:rPr>
          <w:szCs w:val="24"/>
        </w:rPr>
        <w:t xml:space="preserve"> </w:t>
      </w:r>
      <w:r w:rsidRPr="006757FB">
        <w:rPr>
          <w:szCs w:val="24"/>
        </w:rPr>
        <w:t xml:space="preserve">computation of emissions may be identified as sensitive by </w:t>
      </w:r>
      <w:r w:rsidR="00803A13" w:rsidRPr="006757FB">
        <w:rPr>
          <w:szCs w:val="24"/>
        </w:rPr>
        <w:t>a s</w:t>
      </w:r>
      <w:r w:rsidR="00B3743F" w:rsidRPr="006757FB">
        <w:rPr>
          <w:szCs w:val="24"/>
        </w:rPr>
        <w:t xml:space="preserve">tate and are then treated as </w:t>
      </w:r>
      <w:r w:rsidR="00033581" w:rsidRPr="006757FB">
        <w:rPr>
          <w:szCs w:val="24"/>
        </w:rPr>
        <w:t>"</w:t>
      </w:r>
      <w:r w:rsidR="00803A13" w:rsidRPr="006757FB">
        <w:rPr>
          <w:szCs w:val="24"/>
        </w:rPr>
        <w:t>s</w:t>
      </w:r>
      <w:r w:rsidRPr="006757FB">
        <w:rPr>
          <w:szCs w:val="24"/>
        </w:rPr>
        <w:t>tate</w:t>
      </w:r>
      <w:r w:rsidR="009B4B4C" w:rsidRPr="006757FB">
        <w:rPr>
          <w:szCs w:val="24"/>
        </w:rPr>
        <w:t>-</w:t>
      </w:r>
      <w:r w:rsidRPr="006757FB">
        <w:rPr>
          <w:szCs w:val="24"/>
        </w:rPr>
        <w:t>sensitive</w:t>
      </w:r>
      <w:r w:rsidR="00033581" w:rsidRPr="006757FB">
        <w:rPr>
          <w:szCs w:val="24"/>
        </w:rPr>
        <w:t>"</w:t>
      </w:r>
      <w:r w:rsidR="00B3743F" w:rsidRPr="006757FB">
        <w:rPr>
          <w:szCs w:val="24"/>
        </w:rPr>
        <w:t xml:space="preserve"> </w:t>
      </w:r>
      <w:r w:rsidRPr="006757FB">
        <w:rPr>
          <w:szCs w:val="24"/>
        </w:rPr>
        <w:t>by EPA</w:t>
      </w:r>
      <w:r w:rsidR="003972B1" w:rsidRPr="006757FB">
        <w:rPr>
          <w:szCs w:val="24"/>
        </w:rPr>
        <w:t xml:space="preserve">.  </w:t>
      </w:r>
      <w:r w:rsidR="00803A13" w:rsidRPr="006757FB">
        <w:rPr>
          <w:szCs w:val="24"/>
        </w:rPr>
        <w:t>The potentially s</w:t>
      </w:r>
      <w:r w:rsidRPr="006757FB">
        <w:rPr>
          <w:szCs w:val="24"/>
        </w:rPr>
        <w:t xml:space="preserve">tate-sensitive items include the following: </w:t>
      </w:r>
      <w:r w:rsidR="00CC1D8C">
        <w:rPr>
          <w:szCs w:val="24"/>
        </w:rPr>
        <w:t>p</w:t>
      </w:r>
      <w:r w:rsidRPr="006757FB">
        <w:rPr>
          <w:szCs w:val="24"/>
        </w:rPr>
        <w:t>rocess rate,</w:t>
      </w:r>
      <w:r w:rsidR="00B3743F" w:rsidRPr="006757FB">
        <w:rPr>
          <w:szCs w:val="24"/>
        </w:rPr>
        <w:t xml:space="preserve"> </w:t>
      </w:r>
      <w:r w:rsidRPr="006757FB">
        <w:rPr>
          <w:szCs w:val="24"/>
        </w:rPr>
        <w:t>boiler design capacity, emission estimation codes, percent space heat, operating rate, and</w:t>
      </w:r>
      <w:r w:rsidR="00B3743F" w:rsidRPr="006757FB">
        <w:rPr>
          <w:szCs w:val="24"/>
        </w:rPr>
        <w:t xml:space="preserve"> </w:t>
      </w:r>
      <w:r w:rsidRPr="006757FB">
        <w:rPr>
          <w:szCs w:val="24"/>
        </w:rPr>
        <w:t>maximum operation rate/hour</w:t>
      </w:r>
      <w:r w:rsidR="003972B1" w:rsidRPr="006757FB">
        <w:rPr>
          <w:szCs w:val="24"/>
        </w:rPr>
        <w:t xml:space="preserve">.  </w:t>
      </w:r>
      <w:r w:rsidR="00427748" w:rsidRPr="006757FB">
        <w:rPr>
          <w:szCs w:val="24"/>
        </w:rPr>
        <w:t>Where f</w:t>
      </w:r>
      <w:r w:rsidR="00803A13" w:rsidRPr="006757FB">
        <w:rPr>
          <w:szCs w:val="24"/>
        </w:rPr>
        <w:t>ederal and s</w:t>
      </w:r>
      <w:r w:rsidRPr="006757FB">
        <w:rPr>
          <w:szCs w:val="24"/>
        </w:rPr>
        <w:t xml:space="preserve">tate requirements are inconsistent, </w:t>
      </w:r>
      <w:r w:rsidR="00F375D1" w:rsidRPr="006757FB">
        <w:rPr>
          <w:szCs w:val="24"/>
        </w:rPr>
        <w:t xml:space="preserve">the appropriate </w:t>
      </w:r>
      <w:r w:rsidRPr="006757FB">
        <w:rPr>
          <w:szCs w:val="24"/>
        </w:rPr>
        <w:t>EPA</w:t>
      </w:r>
      <w:r w:rsidR="00B3743F" w:rsidRPr="006757FB">
        <w:rPr>
          <w:szCs w:val="24"/>
        </w:rPr>
        <w:t xml:space="preserve"> </w:t>
      </w:r>
      <w:r w:rsidR="0048676D">
        <w:rPr>
          <w:szCs w:val="24"/>
        </w:rPr>
        <w:t>r</w:t>
      </w:r>
      <w:r w:rsidRPr="006757FB">
        <w:rPr>
          <w:szCs w:val="24"/>
        </w:rPr>
        <w:t xml:space="preserve">egional </w:t>
      </w:r>
      <w:r w:rsidR="0048676D">
        <w:rPr>
          <w:szCs w:val="24"/>
        </w:rPr>
        <w:t>o</w:t>
      </w:r>
      <w:r w:rsidRPr="006757FB">
        <w:rPr>
          <w:szCs w:val="24"/>
        </w:rPr>
        <w:t>ffice should be consulted.</w:t>
      </w:r>
    </w:p>
    <w:p w14:paraId="7ED4683D" w14:textId="77777777" w:rsidR="00A55C35" w:rsidRPr="006757FB" w:rsidRDefault="00A55C35" w:rsidP="006757FB">
      <w:pPr>
        <w:keepNext/>
        <w:suppressAutoHyphens/>
        <w:autoSpaceDE w:val="0"/>
        <w:autoSpaceDN w:val="0"/>
        <w:adjustRightInd w:val="0"/>
        <w:spacing w:before="120" w:after="120"/>
        <w:ind w:left="360"/>
        <w:rPr>
          <w:b/>
          <w:bCs/>
          <w:szCs w:val="24"/>
        </w:rPr>
      </w:pPr>
    </w:p>
    <w:p w14:paraId="35AFD74F" w14:textId="77777777" w:rsidR="000C02E9" w:rsidRPr="006757FB" w:rsidRDefault="000C02E9" w:rsidP="006757FB">
      <w:pPr>
        <w:keepNext/>
        <w:suppressAutoHyphens/>
        <w:autoSpaceDE w:val="0"/>
        <w:autoSpaceDN w:val="0"/>
        <w:adjustRightInd w:val="0"/>
        <w:spacing w:before="120" w:after="120"/>
        <w:ind w:left="360"/>
        <w:rPr>
          <w:b/>
          <w:bCs/>
          <w:szCs w:val="24"/>
        </w:rPr>
      </w:pPr>
      <w:r w:rsidRPr="006757FB">
        <w:rPr>
          <w:b/>
          <w:bCs/>
          <w:szCs w:val="24"/>
        </w:rPr>
        <w:t>3</w:t>
      </w:r>
      <w:r w:rsidR="00E86F33" w:rsidRPr="006757FB">
        <w:rPr>
          <w:b/>
          <w:bCs/>
          <w:szCs w:val="24"/>
        </w:rPr>
        <w:t xml:space="preserve">.7 </w:t>
      </w:r>
      <w:r w:rsidRPr="006757FB">
        <w:rPr>
          <w:b/>
          <w:bCs/>
          <w:szCs w:val="24"/>
        </w:rPr>
        <w:t xml:space="preserve"> Sensitive Questions</w:t>
      </w:r>
    </w:p>
    <w:p w14:paraId="7D944F5B" w14:textId="77777777" w:rsidR="000C02E9" w:rsidRPr="006757FB" w:rsidRDefault="000C02E9" w:rsidP="006757FB">
      <w:pPr>
        <w:keepNext/>
        <w:suppressAutoHyphens/>
        <w:autoSpaceDE w:val="0"/>
        <w:autoSpaceDN w:val="0"/>
        <w:adjustRightInd w:val="0"/>
        <w:spacing w:before="120" w:after="120"/>
        <w:ind w:firstLine="720"/>
        <w:rPr>
          <w:szCs w:val="24"/>
        </w:rPr>
      </w:pPr>
      <w:r w:rsidRPr="006757FB">
        <w:rPr>
          <w:szCs w:val="24"/>
        </w:rPr>
        <w:t>This information collection does not ask any questions concerning sexual behavior or</w:t>
      </w:r>
      <w:r w:rsidR="00B3743F" w:rsidRPr="006757FB">
        <w:rPr>
          <w:szCs w:val="24"/>
        </w:rPr>
        <w:t xml:space="preserve"> </w:t>
      </w:r>
      <w:r w:rsidRPr="006757FB">
        <w:rPr>
          <w:szCs w:val="24"/>
        </w:rPr>
        <w:t>attitudes, religious beliefs, or other matters usually considered private.</w:t>
      </w:r>
    </w:p>
    <w:p w14:paraId="3DB54C39" w14:textId="77777777" w:rsidR="00D314FB" w:rsidRPr="006757FB" w:rsidRDefault="00D314FB" w:rsidP="006757FB">
      <w:pPr>
        <w:suppressAutoHyphens/>
        <w:autoSpaceDE w:val="0"/>
        <w:autoSpaceDN w:val="0"/>
        <w:adjustRightInd w:val="0"/>
        <w:spacing w:before="120" w:after="120"/>
        <w:rPr>
          <w:b/>
          <w:bCs/>
          <w:szCs w:val="24"/>
        </w:rPr>
      </w:pPr>
    </w:p>
    <w:p w14:paraId="6F39EB6A" w14:textId="77777777" w:rsidR="000C02E9" w:rsidRPr="006757FB" w:rsidRDefault="000C02E9" w:rsidP="006757FB">
      <w:pPr>
        <w:keepNext/>
        <w:suppressAutoHyphens/>
        <w:autoSpaceDE w:val="0"/>
        <w:autoSpaceDN w:val="0"/>
        <w:adjustRightInd w:val="0"/>
        <w:spacing w:before="120" w:after="120"/>
        <w:rPr>
          <w:b/>
          <w:bCs/>
          <w:szCs w:val="24"/>
        </w:rPr>
      </w:pPr>
      <w:r w:rsidRPr="006757FB">
        <w:rPr>
          <w:b/>
          <w:bCs/>
          <w:szCs w:val="24"/>
        </w:rPr>
        <w:t>4.</w:t>
      </w:r>
      <w:r w:rsidR="00E86F33" w:rsidRPr="006757FB">
        <w:rPr>
          <w:b/>
          <w:bCs/>
          <w:szCs w:val="24"/>
        </w:rPr>
        <w:t xml:space="preserve">0 </w:t>
      </w:r>
      <w:r w:rsidRPr="006757FB">
        <w:rPr>
          <w:b/>
          <w:bCs/>
          <w:szCs w:val="24"/>
        </w:rPr>
        <w:t xml:space="preserve"> T</w:t>
      </w:r>
      <w:r w:rsidR="00E86F33" w:rsidRPr="006757FB">
        <w:rPr>
          <w:b/>
          <w:bCs/>
          <w:szCs w:val="24"/>
        </w:rPr>
        <w:t>he</w:t>
      </w:r>
      <w:r w:rsidRPr="006757FB">
        <w:rPr>
          <w:b/>
          <w:bCs/>
          <w:szCs w:val="24"/>
        </w:rPr>
        <w:t xml:space="preserve"> R</w:t>
      </w:r>
      <w:r w:rsidR="00E86F33" w:rsidRPr="006757FB">
        <w:rPr>
          <w:b/>
          <w:bCs/>
          <w:szCs w:val="24"/>
        </w:rPr>
        <w:t>espon</w:t>
      </w:r>
      <w:r w:rsidR="003972B1" w:rsidRPr="006757FB">
        <w:rPr>
          <w:b/>
          <w:bCs/>
          <w:szCs w:val="24"/>
        </w:rPr>
        <w:t>d</w:t>
      </w:r>
      <w:r w:rsidR="00E86F33" w:rsidRPr="006757FB">
        <w:rPr>
          <w:b/>
          <w:bCs/>
          <w:szCs w:val="24"/>
        </w:rPr>
        <w:t>e</w:t>
      </w:r>
      <w:r w:rsidR="003972B1" w:rsidRPr="006757FB">
        <w:rPr>
          <w:b/>
          <w:bCs/>
          <w:szCs w:val="24"/>
        </w:rPr>
        <w:t>n</w:t>
      </w:r>
      <w:r w:rsidR="00E86F33" w:rsidRPr="006757FB">
        <w:rPr>
          <w:b/>
          <w:bCs/>
          <w:szCs w:val="24"/>
        </w:rPr>
        <w:t>ts</w:t>
      </w:r>
      <w:r w:rsidRPr="006757FB">
        <w:rPr>
          <w:b/>
          <w:bCs/>
          <w:szCs w:val="24"/>
        </w:rPr>
        <w:t xml:space="preserve"> </w:t>
      </w:r>
      <w:r w:rsidR="00E86F33" w:rsidRPr="006757FB">
        <w:rPr>
          <w:b/>
          <w:bCs/>
          <w:szCs w:val="24"/>
        </w:rPr>
        <w:t>and</w:t>
      </w:r>
      <w:r w:rsidRPr="006757FB">
        <w:rPr>
          <w:b/>
          <w:bCs/>
          <w:szCs w:val="24"/>
        </w:rPr>
        <w:t xml:space="preserve"> </w:t>
      </w:r>
      <w:r w:rsidR="00E86F33" w:rsidRPr="006757FB">
        <w:rPr>
          <w:b/>
          <w:bCs/>
          <w:szCs w:val="24"/>
        </w:rPr>
        <w:t>the</w:t>
      </w:r>
      <w:r w:rsidRPr="006757FB">
        <w:rPr>
          <w:b/>
          <w:bCs/>
          <w:szCs w:val="24"/>
        </w:rPr>
        <w:t xml:space="preserve"> I</w:t>
      </w:r>
      <w:r w:rsidR="00E86F33" w:rsidRPr="006757FB">
        <w:rPr>
          <w:b/>
          <w:bCs/>
          <w:szCs w:val="24"/>
        </w:rPr>
        <w:t>nformation</w:t>
      </w:r>
      <w:r w:rsidRPr="006757FB">
        <w:rPr>
          <w:b/>
          <w:bCs/>
          <w:szCs w:val="24"/>
        </w:rPr>
        <w:t xml:space="preserve"> R</w:t>
      </w:r>
      <w:r w:rsidR="00E86F33" w:rsidRPr="006757FB">
        <w:rPr>
          <w:b/>
          <w:bCs/>
          <w:szCs w:val="24"/>
        </w:rPr>
        <w:t>equested</w:t>
      </w:r>
    </w:p>
    <w:p w14:paraId="27A9B1A1" w14:textId="244F87AA" w:rsidR="0000737E" w:rsidRPr="006757FB" w:rsidRDefault="00E86F33" w:rsidP="006757FB">
      <w:pPr>
        <w:keepNext/>
        <w:suppressAutoHyphens/>
        <w:autoSpaceDE w:val="0"/>
        <w:autoSpaceDN w:val="0"/>
        <w:adjustRightInd w:val="0"/>
        <w:spacing w:before="120" w:after="120"/>
        <w:ind w:left="360"/>
        <w:rPr>
          <w:b/>
          <w:bCs/>
          <w:szCs w:val="24"/>
        </w:rPr>
      </w:pPr>
      <w:r w:rsidRPr="006757FB">
        <w:rPr>
          <w:b/>
          <w:bCs/>
          <w:szCs w:val="24"/>
        </w:rPr>
        <w:t xml:space="preserve">4.1 </w:t>
      </w:r>
      <w:r w:rsidR="000C02E9" w:rsidRPr="006757FB">
        <w:rPr>
          <w:b/>
          <w:bCs/>
          <w:szCs w:val="24"/>
        </w:rPr>
        <w:t xml:space="preserve"> Respondents/</w:t>
      </w:r>
      <w:r w:rsidR="00F3405B">
        <w:rPr>
          <w:b/>
          <w:bCs/>
          <w:szCs w:val="24"/>
        </w:rPr>
        <w:t>NAICS</w:t>
      </w:r>
      <w:r w:rsidR="000C02E9" w:rsidRPr="006757FB">
        <w:rPr>
          <w:b/>
          <w:bCs/>
          <w:szCs w:val="24"/>
        </w:rPr>
        <w:t xml:space="preserve"> Codes</w:t>
      </w:r>
    </w:p>
    <w:p w14:paraId="6CCF2A5C" w14:textId="2E96EF1A" w:rsidR="000C02E9" w:rsidRPr="006757FB" w:rsidRDefault="00E2417A" w:rsidP="006757FB">
      <w:pPr>
        <w:suppressAutoHyphens/>
        <w:autoSpaceDE w:val="0"/>
        <w:autoSpaceDN w:val="0"/>
        <w:adjustRightInd w:val="0"/>
        <w:spacing w:before="120" w:after="120"/>
        <w:ind w:firstLine="720"/>
        <w:rPr>
          <w:szCs w:val="24"/>
        </w:rPr>
      </w:pPr>
      <w:r>
        <w:rPr>
          <w:szCs w:val="24"/>
        </w:rPr>
        <w:t xml:space="preserve">CSAPR generally applies to stationary fossil fuel-fired boilers and combustion turbines serving at any time on or after January 1, 2005 a generator with nameplate capacity greater than 25 megawatts producing electricity for sale.  </w:t>
      </w:r>
      <w:r w:rsidR="0087091F">
        <w:rPr>
          <w:szCs w:val="24"/>
        </w:rPr>
        <w:t xml:space="preserve">Under the North American Industry Classification System (NAICS), </w:t>
      </w:r>
      <w:r>
        <w:rPr>
          <w:szCs w:val="24"/>
        </w:rPr>
        <w:t xml:space="preserve">entities meeting these criteria </w:t>
      </w:r>
      <w:r w:rsidR="00F3405B">
        <w:rPr>
          <w:szCs w:val="24"/>
        </w:rPr>
        <w:t>are generally classified as code 221112, fossil fuel electric power generation</w:t>
      </w:r>
      <w:r>
        <w:rPr>
          <w:szCs w:val="24"/>
        </w:rPr>
        <w:t>, but some units classified under other NAICS codes may also meet these criteria.  C</w:t>
      </w:r>
      <w:r w:rsidRPr="006757FB">
        <w:rPr>
          <w:szCs w:val="24"/>
        </w:rPr>
        <w:t>ogeneration units and solid waste incinerat</w:t>
      </w:r>
      <w:r>
        <w:rPr>
          <w:szCs w:val="24"/>
        </w:rPr>
        <w:t xml:space="preserve">ion units otherwise meeting these criteria may qualify for an exemption </w:t>
      </w:r>
      <w:r w:rsidRPr="006757FB">
        <w:rPr>
          <w:szCs w:val="24"/>
        </w:rPr>
        <w:t xml:space="preserve">from </w:t>
      </w:r>
      <w:r>
        <w:rPr>
          <w:szCs w:val="24"/>
        </w:rPr>
        <w:t>CSAPR</w:t>
      </w:r>
      <w:r w:rsidRPr="006757FB">
        <w:rPr>
          <w:szCs w:val="24"/>
        </w:rPr>
        <w:t xml:space="preserve"> if they meet certain </w:t>
      </w:r>
      <w:r>
        <w:rPr>
          <w:szCs w:val="24"/>
        </w:rPr>
        <w:t xml:space="preserve">additional </w:t>
      </w:r>
      <w:r w:rsidRPr="006757FB">
        <w:rPr>
          <w:szCs w:val="24"/>
        </w:rPr>
        <w:t>criteria.</w:t>
      </w:r>
      <w:r>
        <w:rPr>
          <w:szCs w:val="24"/>
        </w:rPr>
        <w:t xml:space="preserve">  </w:t>
      </w:r>
      <w:r w:rsidR="00AB1C31">
        <w:rPr>
          <w:szCs w:val="24"/>
        </w:rPr>
        <w:t xml:space="preserve">This final rule does not change the </w:t>
      </w:r>
      <w:r w:rsidR="00466785">
        <w:rPr>
          <w:szCs w:val="24"/>
        </w:rPr>
        <w:t xml:space="preserve">mandatory </w:t>
      </w:r>
      <w:r w:rsidR="00AB1C31">
        <w:rPr>
          <w:szCs w:val="24"/>
        </w:rPr>
        <w:t>applicability criteria for any CSAPR trading program</w:t>
      </w:r>
      <w:r w:rsidR="008B0D0F">
        <w:rPr>
          <w:szCs w:val="24"/>
        </w:rPr>
        <w:t xml:space="preserve">.  The rule also </w:t>
      </w:r>
      <w:r w:rsidR="00AB1C31">
        <w:rPr>
          <w:szCs w:val="24"/>
        </w:rPr>
        <w:t>give</w:t>
      </w:r>
      <w:r w:rsidR="008B0D0F">
        <w:rPr>
          <w:szCs w:val="24"/>
        </w:rPr>
        <w:t>s</w:t>
      </w:r>
      <w:r w:rsidR="00AB1C31">
        <w:rPr>
          <w:szCs w:val="24"/>
        </w:rPr>
        <w:t xml:space="preserve"> states an option to </w:t>
      </w:r>
      <w:r w:rsidR="008B0D0F">
        <w:rPr>
          <w:szCs w:val="24"/>
        </w:rPr>
        <w:t xml:space="preserve">submit SIP revisions expanding </w:t>
      </w:r>
      <w:r w:rsidR="00AB1C31">
        <w:rPr>
          <w:szCs w:val="24"/>
        </w:rPr>
        <w:t xml:space="preserve">applicability under the CSAPR </w:t>
      </w:r>
      <w:r w:rsidR="00AB1C31" w:rsidRPr="006757FB">
        <w:rPr>
          <w:szCs w:val="24"/>
        </w:rPr>
        <w:t>NO</w:t>
      </w:r>
      <w:r w:rsidR="00AB1C31" w:rsidRPr="006757FB">
        <w:rPr>
          <w:szCs w:val="24"/>
          <w:vertAlign w:val="subscript"/>
        </w:rPr>
        <w:t>X</w:t>
      </w:r>
      <w:r w:rsidR="00AB1C31">
        <w:rPr>
          <w:szCs w:val="24"/>
        </w:rPr>
        <w:t xml:space="preserve"> Ozone Season Group 2 Trading Program to include </w:t>
      </w:r>
      <w:r w:rsidR="004076F9">
        <w:rPr>
          <w:szCs w:val="24"/>
        </w:rPr>
        <w:t>other units</w:t>
      </w:r>
      <w:r w:rsidR="00AB1C31">
        <w:rPr>
          <w:szCs w:val="24"/>
        </w:rPr>
        <w:t xml:space="preserve"> previously </w:t>
      </w:r>
      <w:r w:rsidR="004076F9">
        <w:rPr>
          <w:szCs w:val="24"/>
        </w:rPr>
        <w:t xml:space="preserve">subject to </w:t>
      </w:r>
      <w:r w:rsidR="00AB1C31">
        <w:rPr>
          <w:szCs w:val="24"/>
        </w:rPr>
        <w:t xml:space="preserve">the </w:t>
      </w:r>
      <w:r w:rsidR="005C4AAB">
        <w:rPr>
          <w:szCs w:val="24"/>
        </w:rPr>
        <w:t>NBP</w:t>
      </w:r>
      <w:r w:rsidR="008B0D0F">
        <w:rPr>
          <w:szCs w:val="24"/>
        </w:rPr>
        <w:t xml:space="preserve">.  If any states exercise that option, the additional NBP units will be included as respondents in renewals of the ICR for this rule (identical information collection requirements for the possible additional units are currently addressed in the ICR for the </w:t>
      </w:r>
      <w:r w:rsidR="008B0D0F" w:rsidRPr="00882C04">
        <w:rPr>
          <w:szCs w:val="24"/>
        </w:rPr>
        <w:t>NO</w:t>
      </w:r>
      <w:r w:rsidR="008B0D0F" w:rsidRPr="00882C04">
        <w:rPr>
          <w:szCs w:val="24"/>
          <w:vertAlign w:val="subscript"/>
        </w:rPr>
        <w:t>X</w:t>
      </w:r>
      <w:r w:rsidR="008B0D0F">
        <w:rPr>
          <w:szCs w:val="24"/>
        </w:rPr>
        <w:t xml:space="preserve"> SIP Call).</w:t>
      </w:r>
      <w:r w:rsidR="004A02CC" w:rsidRPr="004A02CC">
        <w:rPr>
          <w:szCs w:val="24"/>
        </w:rPr>
        <w:t xml:space="preserve"> </w:t>
      </w:r>
    </w:p>
    <w:p w14:paraId="21517BAA" w14:textId="42710DDC" w:rsidR="00385539" w:rsidRPr="006757FB" w:rsidRDefault="00385539" w:rsidP="006757FB">
      <w:pPr>
        <w:suppressAutoHyphens/>
        <w:autoSpaceDE w:val="0"/>
        <w:autoSpaceDN w:val="0"/>
        <w:adjustRightInd w:val="0"/>
        <w:spacing w:before="120" w:after="120"/>
        <w:ind w:firstLine="720"/>
        <w:rPr>
          <w:szCs w:val="24"/>
        </w:rPr>
      </w:pPr>
      <w:r w:rsidRPr="006757FB">
        <w:rPr>
          <w:szCs w:val="24"/>
        </w:rPr>
        <w:t xml:space="preserve">As noted above, </w:t>
      </w:r>
      <w:r w:rsidR="00C22164">
        <w:rPr>
          <w:szCs w:val="24"/>
        </w:rPr>
        <w:t>CSAPR</w:t>
      </w:r>
      <w:r w:rsidRPr="006757FB">
        <w:rPr>
          <w:szCs w:val="24"/>
        </w:rPr>
        <w:t xml:space="preserve"> regulates sources directly through FIPs and does not impose any reporting obligations on non-industry entities.  However, states have option</w:t>
      </w:r>
      <w:r w:rsidR="00882C04">
        <w:rPr>
          <w:szCs w:val="24"/>
        </w:rPr>
        <w:t>s</w:t>
      </w:r>
      <w:r w:rsidRPr="006757FB">
        <w:rPr>
          <w:szCs w:val="24"/>
        </w:rPr>
        <w:t xml:space="preserve"> to replace the </w:t>
      </w:r>
      <w:r w:rsidR="00DA06A2">
        <w:rPr>
          <w:szCs w:val="24"/>
        </w:rPr>
        <w:t xml:space="preserve">CSAPR trading program provisions applicable to their sources </w:t>
      </w:r>
      <w:r w:rsidRPr="006757FB">
        <w:rPr>
          <w:szCs w:val="24"/>
        </w:rPr>
        <w:t xml:space="preserve">in whole or in part by submitting </w:t>
      </w:r>
      <w:r w:rsidR="00882C04">
        <w:rPr>
          <w:szCs w:val="24"/>
        </w:rPr>
        <w:t xml:space="preserve">SIP </w:t>
      </w:r>
      <w:r w:rsidRPr="006757FB">
        <w:rPr>
          <w:szCs w:val="24"/>
        </w:rPr>
        <w:t>revisions</w:t>
      </w:r>
      <w:r w:rsidR="00B52825" w:rsidRPr="006757FB">
        <w:rPr>
          <w:szCs w:val="24"/>
        </w:rPr>
        <w:t xml:space="preserve">, including limited SIP revisions that would change only how </w:t>
      </w:r>
      <w:r w:rsidR="00C22164">
        <w:rPr>
          <w:szCs w:val="24"/>
        </w:rPr>
        <w:t>CSAPR</w:t>
      </w:r>
      <w:r w:rsidR="00B52825" w:rsidRPr="006757FB">
        <w:rPr>
          <w:szCs w:val="24"/>
        </w:rPr>
        <w:t xml:space="preserve"> emission </w:t>
      </w:r>
      <w:r w:rsidR="00B52825" w:rsidRPr="00CD7569">
        <w:rPr>
          <w:szCs w:val="24"/>
        </w:rPr>
        <w:t>allowances are allocated among the state’s affected sources</w:t>
      </w:r>
      <w:r w:rsidRPr="00CD7569">
        <w:rPr>
          <w:szCs w:val="24"/>
        </w:rPr>
        <w:t xml:space="preserve">.  </w:t>
      </w:r>
      <w:r w:rsidR="00B52825" w:rsidRPr="00CD7569">
        <w:rPr>
          <w:szCs w:val="24"/>
        </w:rPr>
        <w:t>Th</w:t>
      </w:r>
      <w:r w:rsidR="00F3405B" w:rsidRPr="00CD7569">
        <w:rPr>
          <w:szCs w:val="24"/>
        </w:rPr>
        <w:t xml:space="preserve">e CSAPR </w:t>
      </w:r>
      <w:r w:rsidR="00B52825" w:rsidRPr="00CD7569">
        <w:rPr>
          <w:szCs w:val="24"/>
        </w:rPr>
        <w:t xml:space="preserve">ICR estimates a burden for </w:t>
      </w:r>
      <w:r w:rsidR="00882C04" w:rsidRPr="00CD7569">
        <w:rPr>
          <w:szCs w:val="24"/>
        </w:rPr>
        <w:t xml:space="preserve">all </w:t>
      </w:r>
      <w:r w:rsidR="00C10F29" w:rsidRPr="00CD7569">
        <w:rPr>
          <w:szCs w:val="24"/>
        </w:rPr>
        <w:t xml:space="preserve">states with </w:t>
      </w:r>
      <w:r w:rsidR="00C22164" w:rsidRPr="00CD7569">
        <w:rPr>
          <w:szCs w:val="24"/>
        </w:rPr>
        <w:t>CSAPR</w:t>
      </w:r>
      <w:r w:rsidR="00C10F29" w:rsidRPr="00CD7569">
        <w:rPr>
          <w:szCs w:val="24"/>
        </w:rPr>
        <w:t xml:space="preserve">-affected sources </w:t>
      </w:r>
      <w:r w:rsidR="006105B3" w:rsidRPr="00CD7569">
        <w:rPr>
          <w:szCs w:val="24"/>
        </w:rPr>
        <w:t xml:space="preserve">related to the optional submission of </w:t>
      </w:r>
      <w:r w:rsidR="005C4AAB" w:rsidRPr="00CD7569">
        <w:rPr>
          <w:szCs w:val="24"/>
        </w:rPr>
        <w:t xml:space="preserve">CSAPR allowance allocations.  </w:t>
      </w:r>
      <w:r w:rsidR="00882C04" w:rsidRPr="00CD7569">
        <w:rPr>
          <w:szCs w:val="24"/>
        </w:rPr>
        <w:t xml:space="preserve">This </w:t>
      </w:r>
      <w:r w:rsidR="00AB1C31">
        <w:rPr>
          <w:szCs w:val="24"/>
        </w:rPr>
        <w:t xml:space="preserve">rule reduces </w:t>
      </w:r>
      <w:r w:rsidR="00882C04">
        <w:rPr>
          <w:szCs w:val="24"/>
        </w:rPr>
        <w:t>the number of states with such SIP revision options by one</w:t>
      </w:r>
      <w:r w:rsidR="00716956">
        <w:rPr>
          <w:szCs w:val="24"/>
        </w:rPr>
        <w:t xml:space="preserve"> state</w:t>
      </w:r>
      <w:r w:rsidR="00882C04">
        <w:rPr>
          <w:szCs w:val="24"/>
        </w:rPr>
        <w:t xml:space="preserve">.  </w:t>
      </w:r>
      <w:r w:rsidR="00466785">
        <w:rPr>
          <w:szCs w:val="24"/>
        </w:rPr>
        <w:t xml:space="preserve">An </w:t>
      </w:r>
      <w:r w:rsidR="0048676D">
        <w:rPr>
          <w:szCs w:val="24"/>
        </w:rPr>
        <w:t>estimate of burden for state and local permitting agencies to review the information collection requirements of CSAPR is already reflected in the CSAPR ICR</w:t>
      </w:r>
      <w:r w:rsidR="005C4AAB">
        <w:rPr>
          <w:szCs w:val="24"/>
        </w:rPr>
        <w:t xml:space="preserve">, and </w:t>
      </w:r>
      <w:r w:rsidR="006105B3">
        <w:rPr>
          <w:szCs w:val="24"/>
        </w:rPr>
        <w:t xml:space="preserve">this rule makes no change to those </w:t>
      </w:r>
      <w:r w:rsidR="005C4AAB">
        <w:rPr>
          <w:szCs w:val="24"/>
        </w:rPr>
        <w:t xml:space="preserve">information collection requirements </w:t>
      </w:r>
      <w:r w:rsidR="006105B3">
        <w:rPr>
          <w:szCs w:val="24"/>
        </w:rPr>
        <w:t xml:space="preserve">as applied to any </w:t>
      </w:r>
      <w:r w:rsidR="005C4AAB">
        <w:rPr>
          <w:szCs w:val="24"/>
        </w:rPr>
        <w:t>individual</w:t>
      </w:r>
      <w:r w:rsidR="006105B3">
        <w:rPr>
          <w:szCs w:val="24"/>
        </w:rPr>
        <w:t xml:space="preserve"> unit</w:t>
      </w:r>
      <w:r w:rsidR="0048676D">
        <w:rPr>
          <w:szCs w:val="24"/>
        </w:rPr>
        <w:t xml:space="preserve">.  </w:t>
      </w:r>
      <w:r w:rsidR="00F3405B">
        <w:rPr>
          <w:szCs w:val="24"/>
        </w:rPr>
        <w:t xml:space="preserve">EPA </w:t>
      </w:r>
      <w:r w:rsidR="0048676D">
        <w:rPr>
          <w:szCs w:val="24"/>
        </w:rPr>
        <w:t xml:space="preserve">believes this rule creates no material change in information collection burden and </w:t>
      </w:r>
      <w:r w:rsidR="00F3405B">
        <w:rPr>
          <w:szCs w:val="24"/>
        </w:rPr>
        <w:t xml:space="preserve">costs </w:t>
      </w:r>
      <w:r w:rsidR="0048676D">
        <w:rPr>
          <w:szCs w:val="24"/>
        </w:rPr>
        <w:t>for state and local permitting authorities relative to the burden and costs for these entities reflected in the existing CSAPR ICR and therefore does not consider these entities to be respondents for purposes of this ICR</w:t>
      </w:r>
      <w:r w:rsidR="00882C04">
        <w:rPr>
          <w:szCs w:val="24"/>
        </w:rPr>
        <w:t>.</w:t>
      </w:r>
    </w:p>
    <w:p w14:paraId="6298F093" w14:textId="77777777" w:rsidR="00D314FB" w:rsidRPr="006757FB" w:rsidRDefault="00D314FB" w:rsidP="006757FB">
      <w:pPr>
        <w:suppressAutoHyphens/>
        <w:autoSpaceDE w:val="0"/>
        <w:autoSpaceDN w:val="0"/>
        <w:adjustRightInd w:val="0"/>
        <w:spacing w:before="120" w:after="120"/>
        <w:rPr>
          <w:b/>
          <w:bCs/>
          <w:szCs w:val="24"/>
        </w:rPr>
      </w:pPr>
    </w:p>
    <w:p w14:paraId="205219A3" w14:textId="77777777" w:rsidR="000C02E9" w:rsidRPr="006757FB" w:rsidRDefault="00E86F33" w:rsidP="006757FB">
      <w:pPr>
        <w:keepNext/>
        <w:suppressAutoHyphens/>
        <w:autoSpaceDE w:val="0"/>
        <w:autoSpaceDN w:val="0"/>
        <w:adjustRightInd w:val="0"/>
        <w:spacing w:before="120" w:after="120"/>
        <w:ind w:left="360"/>
        <w:rPr>
          <w:b/>
          <w:bCs/>
          <w:szCs w:val="24"/>
        </w:rPr>
      </w:pPr>
      <w:r w:rsidRPr="006757FB">
        <w:rPr>
          <w:b/>
          <w:bCs/>
          <w:szCs w:val="24"/>
        </w:rPr>
        <w:t xml:space="preserve">4.2 </w:t>
      </w:r>
      <w:r w:rsidR="000C02E9" w:rsidRPr="006757FB">
        <w:rPr>
          <w:b/>
          <w:bCs/>
          <w:szCs w:val="24"/>
        </w:rPr>
        <w:t xml:space="preserve"> Information Requested</w:t>
      </w:r>
    </w:p>
    <w:p w14:paraId="4FD8CF2D" w14:textId="36F4B020" w:rsidR="0096231A" w:rsidRDefault="00882C04" w:rsidP="006757FB">
      <w:pPr>
        <w:suppressAutoHyphens/>
        <w:autoSpaceDE w:val="0"/>
        <w:autoSpaceDN w:val="0"/>
        <w:adjustRightInd w:val="0"/>
        <w:spacing w:before="120" w:after="120"/>
        <w:ind w:firstLine="720"/>
        <w:rPr>
          <w:szCs w:val="24"/>
        </w:rPr>
      </w:pPr>
      <w:r>
        <w:rPr>
          <w:szCs w:val="24"/>
        </w:rPr>
        <w:t xml:space="preserve">CSAPR requires </w:t>
      </w:r>
      <w:r w:rsidR="00F174ED">
        <w:rPr>
          <w:szCs w:val="24"/>
        </w:rPr>
        <w:t>unit</w:t>
      </w:r>
      <w:r>
        <w:rPr>
          <w:szCs w:val="24"/>
        </w:rPr>
        <w:t xml:space="preserve">s to monitor and report emissions and heat input data under 40 CFR part 75.  Most of the </w:t>
      </w:r>
      <w:r w:rsidR="000C02E9" w:rsidRPr="006757FB">
        <w:rPr>
          <w:szCs w:val="24"/>
        </w:rPr>
        <w:t>emission reporting requirements</w:t>
      </w:r>
      <w:r w:rsidR="00DB0B5B" w:rsidRPr="006757FB">
        <w:rPr>
          <w:szCs w:val="24"/>
        </w:rPr>
        <w:t xml:space="preserve"> under 40 CFR part 75</w:t>
      </w:r>
      <w:r>
        <w:rPr>
          <w:szCs w:val="24"/>
        </w:rPr>
        <w:t xml:space="preserve"> were established under the ARP</w:t>
      </w:r>
      <w:r w:rsidR="00C96F94">
        <w:rPr>
          <w:szCs w:val="24"/>
        </w:rPr>
        <w:t xml:space="preserve"> and </w:t>
      </w:r>
      <w:r w:rsidR="00716956">
        <w:rPr>
          <w:szCs w:val="24"/>
        </w:rPr>
        <w:t xml:space="preserve">as subsequently modified </w:t>
      </w:r>
      <w:r w:rsidR="00C96F94">
        <w:rPr>
          <w:szCs w:val="24"/>
        </w:rPr>
        <w:t xml:space="preserve">are generally covered </w:t>
      </w:r>
      <w:r w:rsidR="00716956">
        <w:rPr>
          <w:szCs w:val="24"/>
        </w:rPr>
        <w:t xml:space="preserve">under </w:t>
      </w:r>
      <w:r>
        <w:rPr>
          <w:szCs w:val="24"/>
        </w:rPr>
        <w:t xml:space="preserve">the current ARP ICR for units subject to that program.  The </w:t>
      </w:r>
      <w:r w:rsidRPr="00882C04">
        <w:rPr>
          <w:szCs w:val="24"/>
        </w:rPr>
        <w:t>NO</w:t>
      </w:r>
      <w:r w:rsidRPr="00882C04">
        <w:rPr>
          <w:szCs w:val="24"/>
          <w:vertAlign w:val="subscript"/>
        </w:rPr>
        <w:t>X</w:t>
      </w:r>
      <w:r>
        <w:rPr>
          <w:szCs w:val="24"/>
        </w:rPr>
        <w:t xml:space="preserve"> SIP Call established additional obligations related to </w:t>
      </w:r>
      <w:r w:rsidR="00EF43A5">
        <w:rPr>
          <w:szCs w:val="24"/>
        </w:rPr>
        <w:t xml:space="preserve">reporting of </w:t>
      </w:r>
      <w:r w:rsidRPr="00882C04">
        <w:rPr>
          <w:szCs w:val="24"/>
        </w:rPr>
        <w:t>NO</w:t>
      </w:r>
      <w:r w:rsidRPr="00882C04">
        <w:rPr>
          <w:szCs w:val="24"/>
          <w:vertAlign w:val="subscript"/>
        </w:rPr>
        <w:t>X</w:t>
      </w:r>
      <w:r>
        <w:rPr>
          <w:szCs w:val="24"/>
        </w:rPr>
        <w:t xml:space="preserve"> mass emissions which were incorporated </w:t>
      </w:r>
      <w:r w:rsidR="00716956">
        <w:rPr>
          <w:szCs w:val="24"/>
        </w:rPr>
        <w:t xml:space="preserve">first </w:t>
      </w:r>
      <w:r>
        <w:rPr>
          <w:szCs w:val="24"/>
        </w:rPr>
        <w:t>into C</w:t>
      </w:r>
      <w:r w:rsidR="00EF43A5">
        <w:rPr>
          <w:szCs w:val="24"/>
        </w:rPr>
        <w:t xml:space="preserve">AIR and then </w:t>
      </w:r>
      <w:r w:rsidR="00716956">
        <w:rPr>
          <w:szCs w:val="24"/>
        </w:rPr>
        <w:t xml:space="preserve">into </w:t>
      </w:r>
      <w:r w:rsidR="00EF43A5">
        <w:rPr>
          <w:szCs w:val="24"/>
        </w:rPr>
        <w:t xml:space="preserve">CSAPR.  As subsequently modified, these requirements are covered under the current CSAPR </w:t>
      </w:r>
      <w:r w:rsidR="00EF43A5">
        <w:rPr>
          <w:szCs w:val="24"/>
        </w:rPr>
        <w:lastRenderedPageBreak/>
        <w:t xml:space="preserve">ICR.  With respect to </w:t>
      </w:r>
      <w:r w:rsidR="00F174ED">
        <w:rPr>
          <w:szCs w:val="24"/>
        </w:rPr>
        <w:t>unit</w:t>
      </w:r>
      <w:r w:rsidR="00EF43A5">
        <w:rPr>
          <w:szCs w:val="24"/>
        </w:rPr>
        <w:t xml:space="preserve">s not subject to the ARP, the CSAPR ICR also covers requirements that for </w:t>
      </w:r>
      <w:r w:rsidR="00716956">
        <w:rPr>
          <w:szCs w:val="24"/>
        </w:rPr>
        <w:t xml:space="preserve">ARP-affected </w:t>
      </w:r>
      <w:r w:rsidR="00F174ED">
        <w:rPr>
          <w:szCs w:val="24"/>
        </w:rPr>
        <w:t>unit</w:t>
      </w:r>
      <w:r w:rsidR="00EF43A5">
        <w:rPr>
          <w:szCs w:val="24"/>
        </w:rPr>
        <w:t xml:space="preserve">s are covered by </w:t>
      </w:r>
      <w:r w:rsidR="00736387">
        <w:rPr>
          <w:szCs w:val="24"/>
        </w:rPr>
        <w:t xml:space="preserve">the </w:t>
      </w:r>
      <w:r w:rsidR="00EF43A5">
        <w:rPr>
          <w:szCs w:val="24"/>
        </w:rPr>
        <w:t>ARP ICR.</w:t>
      </w:r>
      <w:r w:rsidR="0096231A">
        <w:rPr>
          <w:szCs w:val="24"/>
        </w:rPr>
        <w:t xml:space="preserve">  </w:t>
      </w:r>
    </w:p>
    <w:p w14:paraId="296675C6" w14:textId="1A14C4D4" w:rsidR="000C02E9" w:rsidRPr="006757FB" w:rsidRDefault="000C02E9" w:rsidP="006757FB">
      <w:pPr>
        <w:suppressAutoHyphens/>
        <w:autoSpaceDE w:val="0"/>
        <w:autoSpaceDN w:val="0"/>
        <w:adjustRightInd w:val="0"/>
        <w:spacing w:before="120" w:after="120"/>
        <w:ind w:firstLine="720"/>
        <w:rPr>
          <w:szCs w:val="24"/>
        </w:rPr>
      </w:pPr>
      <w:r w:rsidRPr="006757FB">
        <w:rPr>
          <w:szCs w:val="24"/>
        </w:rPr>
        <w:t xml:space="preserve">This section </w:t>
      </w:r>
      <w:r w:rsidR="00C96F94">
        <w:rPr>
          <w:szCs w:val="24"/>
        </w:rPr>
        <w:t xml:space="preserve">generally </w:t>
      </w:r>
      <w:r w:rsidRPr="006757FB">
        <w:rPr>
          <w:szCs w:val="24"/>
        </w:rPr>
        <w:t>describes the data items requested from affected sources for the collections</w:t>
      </w:r>
      <w:r w:rsidR="00B3743F" w:rsidRPr="006757FB">
        <w:rPr>
          <w:szCs w:val="24"/>
        </w:rPr>
        <w:t xml:space="preserve"> </w:t>
      </w:r>
      <w:r w:rsidR="0096231A">
        <w:rPr>
          <w:szCs w:val="24"/>
        </w:rPr>
        <w:t xml:space="preserve">covered under the CSAPR </w:t>
      </w:r>
      <w:r w:rsidRPr="006757FB">
        <w:rPr>
          <w:szCs w:val="24"/>
        </w:rPr>
        <w:t>ICR</w:t>
      </w:r>
      <w:r w:rsidR="0096231A">
        <w:rPr>
          <w:szCs w:val="24"/>
        </w:rPr>
        <w:t xml:space="preserve"> and </w:t>
      </w:r>
      <w:r w:rsidRPr="006757FB">
        <w:rPr>
          <w:szCs w:val="24"/>
        </w:rPr>
        <w:t>defines the activities i</w:t>
      </w:r>
      <w:r w:rsidR="00B3743F" w:rsidRPr="006757FB">
        <w:rPr>
          <w:szCs w:val="24"/>
        </w:rPr>
        <w:t xml:space="preserve">n which respondents must engage </w:t>
      </w:r>
      <w:r w:rsidRPr="006757FB">
        <w:rPr>
          <w:szCs w:val="24"/>
        </w:rPr>
        <w:t>to</w:t>
      </w:r>
      <w:r w:rsidR="00B3743F" w:rsidRPr="006757FB">
        <w:rPr>
          <w:szCs w:val="24"/>
        </w:rPr>
        <w:t xml:space="preserve"> </w:t>
      </w:r>
      <w:r w:rsidRPr="006757FB">
        <w:rPr>
          <w:szCs w:val="24"/>
        </w:rPr>
        <w:t>assemble, submit, or store these data items.</w:t>
      </w:r>
      <w:r w:rsidR="0096231A">
        <w:rPr>
          <w:szCs w:val="24"/>
        </w:rPr>
        <w:t xml:space="preserve">  EPA notes that this rule does not change any of the information requested from any individual unit subject to an</w:t>
      </w:r>
      <w:r w:rsidR="0087091F">
        <w:rPr>
          <w:szCs w:val="24"/>
        </w:rPr>
        <w:t xml:space="preserve">y of the CSAPR trading programs, but </w:t>
      </w:r>
      <w:r w:rsidR="00580ED3">
        <w:rPr>
          <w:szCs w:val="24"/>
        </w:rPr>
        <w:t xml:space="preserve">slightly changes </w:t>
      </w:r>
      <w:r w:rsidR="0087091F">
        <w:rPr>
          <w:szCs w:val="24"/>
        </w:rPr>
        <w:t>the universe of units subject to these requirements.</w:t>
      </w:r>
    </w:p>
    <w:p w14:paraId="39F127F4" w14:textId="43431DD3" w:rsidR="000C02E9" w:rsidRPr="006757FB" w:rsidRDefault="000C02E9" w:rsidP="00E16308">
      <w:pPr>
        <w:keepNext/>
        <w:suppressAutoHyphens/>
        <w:autoSpaceDE w:val="0"/>
        <w:autoSpaceDN w:val="0"/>
        <w:adjustRightInd w:val="0"/>
        <w:spacing w:before="120" w:after="120"/>
        <w:ind w:left="720"/>
        <w:rPr>
          <w:iCs/>
          <w:szCs w:val="24"/>
        </w:rPr>
      </w:pPr>
      <w:r w:rsidRPr="006757FB">
        <w:rPr>
          <w:iCs/>
          <w:szCs w:val="24"/>
        </w:rPr>
        <w:t xml:space="preserve">(i) </w:t>
      </w:r>
      <w:r w:rsidR="00E86F33" w:rsidRPr="006757FB">
        <w:rPr>
          <w:iCs/>
          <w:szCs w:val="24"/>
        </w:rPr>
        <w:t xml:space="preserve"> </w:t>
      </w:r>
      <w:r w:rsidRPr="006757FB">
        <w:rPr>
          <w:iCs/>
          <w:szCs w:val="24"/>
        </w:rPr>
        <w:t>Data Items, Including Recordkeeping Requirements</w:t>
      </w:r>
    </w:p>
    <w:p w14:paraId="0A50FCC2" w14:textId="105F3D76" w:rsidR="00CF6960" w:rsidRPr="006757FB" w:rsidRDefault="00CF6960" w:rsidP="00E16308">
      <w:pPr>
        <w:keepNext/>
        <w:suppressAutoHyphens/>
        <w:autoSpaceDE w:val="0"/>
        <w:autoSpaceDN w:val="0"/>
        <w:adjustRightInd w:val="0"/>
        <w:spacing w:before="120" w:after="120"/>
        <w:ind w:left="1080"/>
        <w:rPr>
          <w:szCs w:val="24"/>
        </w:rPr>
      </w:pPr>
      <w:r w:rsidRPr="006757FB">
        <w:rPr>
          <w:szCs w:val="24"/>
        </w:rPr>
        <w:t>(</w:t>
      </w:r>
      <w:r>
        <w:rPr>
          <w:szCs w:val="24"/>
        </w:rPr>
        <w:t>a</w:t>
      </w:r>
      <w:r w:rsidRPr="006757FB">
        <w:rPr>
          <w:szCs w:val="24"/>
        </w:rPr>
        <w:t>)  Permitting</w:t>
      </w:r>
      <w:r w:rsidR="009571D5">
        <w:rPr>
          <w:szCs w:val="24"/>
        </w:rPr>
        <w:t xml:space="preserve"> and Other Certification</w:t>
      </w:r>
    </w:p>
    <w:p w14:paraId="7D22ABAD" w14:textId="77777777" w:rsidR="00C96F94" w:rsidRDefault="00D041FB" w:rsidP="00CF6960">
      <w:pPr>
        <w:suppressAutoHyphens/>
        <w:autoSpaceDE w:val="0"/>
        <w:autoSpaceDN w:val="0"/>
        <w:adjustRightInd w:val="0"/>
        <w:spacing w:before="120" w:after="120"/>
        <w:ind w:firstLine="720"/>
        <w:rPr>
          <w:szCs w:val="24"/>
        </w:rPr>
      </w:pPr>
      <w:r>
        <w:rPr>
          <w:szCs w:val="24"/>
        </w:rPr>
        <w:t>CSAPR</w:t>
      </w:r>
      <w:r w:rsidR="00942972">
        <w:rPr>
          <w:szCs w:val="24"/>
        </w:rPr>
        <w:t xml:space="preserve"> establishes no independent permitting requirements.  A CSAPR-affected unit must revise its </w:t>
      </w:r>
      <w:r w:rsidR="00CF6960" w:rsidRPr="006757FB">
        <w:rPr>
          <w:szCs w:val="24"/>
        </w:rPr>
        <w:t>operating permit issued under Title V of the Act</w:t>
      </w:r>
      <w:r w:rsidR="00942972">
        <w:rPr>
          <w:szCs w:val="24"/>
        </w:rPr>
        <w:t xml:space="preserve"> to incorporate CSAPR-related applicable requirements in accordance with the provisions of Title V</w:t>
      </w:r>
      <w:r w:rsidR="00CF6960" w:rsidRPr="006757FB">
        <w:rPr>
          <w:szCs w:val="24"/>
        </w:rPr>
        <w:t>.  Title V permit applications must be kept for five years pursuant to Title V recordkeeping requirements.</w:t>
      </w:r>
      <w:r w:rsidR="00C96F94">
        <w:rPr>
          <w:szCs w:val="24"/>
        </w:rPr>
        <w:t xml:space="preserve">  </w:t>
      </w:r>
    </w:p>
    <w:p w14:paraId="5FFD503A" w14:textId="0EB22CEA" w:rsidR="00CF6960" w:rsidRDefault="00C96F94" w:rsidP="00CF6960">
      <w:pPr>
        <w:suppressAutoHyphens/>
        <w:autoSpaceDE w:val="0"/>
        <w:autoSpaceDN w:val="0"/>
        <w:adjustRightInd w:val="0"/>
        <w:spacing w:before="120" w:after="120"/>
        <w:ind w:firstLine="720"/>
        <w:rPr>
          <w:szCs w:val="24"/>
        </w:rPr>
      </w:pPr>
      <w:r>
        <w:rPr>
          <w:szCs w:val="24"/>
        </w:rPr>
        <w:t xml:space="preserve">A unit that needs </w:t>
      </w:r>
      <w:r w:rsidR="00265195">
        <w:rPr>
          <w:szCs w:val="24"/>
        </w:rPr>
        <w:t xml:space="preserve">to add </w:t>
      </w:r>
      <w:r>
        <w:rPr>
          <w:szCs w:val="24"/>
        </w:rPr>
        <w:t xml:space="preserve">emissions monitoring equipment because of CSAPR’s monitoring and reporting requirements (and not because of any other monitoring and reporting requirements) may need to obtain a construction permit to install the required equipment. </w:t>
      </w:r>
    </w:p>
    <w:p w14:paraId="1FE7F7DD" w14:textId="29CFB389" w:rsidR="009571D5" w:rsidRPr="006757FB" w:rsidRDefault="009571D5" w:rsidP="009571D5">
      <w:pPr>
        <w:suppressAutoHyphens/>
        <w:autoSpaceDE w:val="0"/>
        <w:autoSpaceDN w:val="0"/>
        <w:adjustRightInd w:val="0"/>
        <w:spacing w:before="120" w:after="120"/>
        <w:ind w:firstLine="720"/>
        <w:rPr>
          <w:szCs w:val="24"/>
        </w:rPr>
      </w:pPr>
      <w:r w:rsidRPr="006757FB">
        <w:rPr>
          <w:szCs w:val="24"/>
        </w:rPr>
        <w:t>For each affected source</w:t>
      </w:r>
      <w:r w:rsidR="00265195">
        <w:rPr>
          <w:szCs w:val="24"/>
        </w:rPr>
        <w:t xml:space="preserve"> and each affected unit at the source</w:t>
      </w:r>
      <w:r w:rsidRPr="006757FB">
        <w:rPr>
          <w:szCs w:val="24"/>
        </w:rPr>
        <w:t xml:space="preserve">, the designated representative must submit a certificate of representation.  Under 40 CFR §§ 97.416, 97.516, 97.616, 97.716, </w:t>
      </w:r>
      <w:r w:rsidR="00580ED3">
        <w:rPr>
          <w:szCs w:val="24"/>
        </w:rPr>
        <w:t xml:space="preserve">and 97.816 </w:t>
      </w:r>
      <w:r w:rsidRPr="006757FB">
        <w:rPr>
          <w:szCs w:val="24"/>
        </w:rPr>
        <w:t>a complete certificate of representation includes:</w:t>
      </w:r>
    </w:p>
    <w:p w14:paraId="211CABA2" w14:textId="77777777" w:rsidR="009571D5" w:rsidRPr="006757FB" w:rsidRDefault="009571D5" w:rsidP="009571D5">
      <w:pPr>
        <w:suppressAutoHyphens/>
        <w:autoSpaceDE w:val="0"/>
        <w:autoSpaceDN w:val="0"/>
        <w:adjustRightInd w:val="0"/>
        <w:spacing w:before="120" w:after="120"/>
        <w:ind w:left="720" w:hanging="360"/>
        <w:rPr>
          <w:szCs w:val="24"/>
        </w:rPr>
      </w:pPr>
      <w:r w:rsidRPr="006757FB">
        <w:rPr>
          <w:szCs w:val="24"/>
        </w:rPr>
        <w:t>●</w:t>
      </w:r>
      <w:r w:rsidRPr="006757FB">
        <w:rPr>
          <w:szCs w:val="24"/>
        </w:rPr>
        <w:tab/>
        <w:t>Identification of the source and unit;</w:t>
      </w:r>
    </w:p>
    <w:p w14:paraId="63F1313A" w14:textId="77777777" w:rsidR="009571D5" w:rsidRPr="006757FB" w:rsidRDefault="009571D5" w:rsidP="009571D5">
      <w:pPr>
        <w:suppressAutoHyphens/>
        <w:autoSpaceDE w:val="0"/>
        <w:autoSpaceDN w:val="0"/>
        <w:adjustRightInd w:val="0"/>
        <w:spacing w:before="120" w:after="120"/>
        <w:ind w:left="720" w:hanging="360"/>
        <w:rPr>
          <w:szCs w:val="24"/>
        </w:rPr>
      </w:pPr>
      <w:r w:rsidRPr="006757FB">
        <w:rPr>
          <w:szCs w:val="24"/>
        </w:rPr>
        <w:t>●</w:t>
      </w:r>
      <w:r w:rsidRPr="006757FB">
        <w:rPr>
          <w:szCs w:val="24"/>
        </w:rPr>
        <w:tab/>
        <w:t>Dates on which the unit commenced commercial operation;</w:t>
      </w:r>
    </w:p>
    <w:p w14:paraId="36FA73EF" w14:textId="77777777" w:rsidR="009571D5" w:rsidRPr="006757FB" w:rsidRDefault="009571D5" w:rsidP="009571D5">
      <w:pPr>
        <w:suppressAutoHyphens/>
        <w:autoSpaceDE w:val="0"/>
        <w:autoSpaceDN w:val="0"/>
        <w:adjustRightInd w:val="0"/>
        <w:spacing w:before="120" w:after="120"/>
        <w:ind w:left="720" w:hanging="360"/>
        <w:rPr>
          <w:szCs w:val="24"/>
        </w:rPr>
      </w:pPr>
      <w:r w:rsidRPr="006757FB">
        <w:rPr>
          <w:szCs w:val="24"/>
        </w:rPr>
        <w:t>●</w:t>
      </w:r>
      <w:r w:rsidRPr="006757FB">
        <w:rPr>
          <w:szCs w:val="24"/>
        </w:rPr>
        <w:tab/>
        <w:t xml:space="preserve">Name and contact information for the </w:t>
      </w:r>
      <w:r>
        <w:rPr>
          <w:szCs w:val="24"/>
        </w:rPr>
        <w:t>CSAPR</w:t>
      </w:r>
      <w:r w:rsidRPr="006757FB">
        <w:rPr>
          <w:szCs w:val="24"/>
        </w:rPr>
        <w:t xml:space="preserve"> designated representative and alternate (if applicable);</w:t>
      </w:r>
    </w:p>
    <w:p w14:paraId="413E66F3" w14:textId="77777777" w:rsidR="009571D5" w:rsidRPr="006757FB" w:rsidRDefault="009571D5" w:rsidP="009571D5">
      <w:pPr>
        <w:keepNext/>
        <w:suppressAutoHyphens/>
        <w:autoSpaceDE w:val="0"/>
        <w:autoSpaceDN w:val="0"/>
        <w:adjustRightInd w:val="0"/>
        <w:spacing w:before="120" w:after="120"/>
        <w:ind w:left="720" w:hanging="360"/>
        <w:rPr>
          <w:szCs w:val="24"/>
        </w:rPr>
      </w:pPr>
      <w:r w:rsidRPr="006757FB">
        <w:rPr>
          <w:szCs w:val="24"/>
        </w:rPr>
        <w:t>●</w:t>
      </w:r>
      <w:r w:rsidRPr="006757FB">
        <w:rPr>
          <w:szCs w:val="24"/>
        </w:rPr>
        <w:tab/>
        <w:t>A list of the owners and operators of each unit; and</w:t>
      </w:r>
    </w:p>
    <w:p w14:paraId="12004AED" w14:textId="77777777" w:rsidR="009571D5" w:rsidRPr="006757FB" w:rsidRDefault="009571D5" w:rsidP="009571D5">
      <w:pPr>
        <w:suppressAutoHyphens/>
        <w:autoSpaceDE w:val="0"/>
        <w:autoSpaceDN w:val="0"/>
        <w:adjustRightInd w:val="0"/>
        <w:spacing w:before="120" w:after="120"/>
        <w:ind w:left="720" w:hanging="360"/>
        <w:rPr>
          <w:szCs w:val="24"/>
        </w:rPr>
      </w:pPr>
      <w:r w:rsidRPr="006757FB">
        <w:rPr>
          <w:szCs w:val="24"/>
        </w:rPr>
        <w:t>●</w:t>
      </w:r>
      <w:r w:rsidRPr="006757FB">
        <w:rPr>
          <w:szCs w:val="24"/>
        </w:rPr>
        <w:tab/>
        <w:t xml:space="preserve">A certification statement and signature of the </w:t>
      </w:r>
      <w:r>
        <w:rPr>
          <w:szCs w:val="24"/>
        </w:rPr>
        <w:t>CSAPR</w:t>
      </w:r>
      <w:r w:rsidRPr="006757FB">
        <w:rPr>
          <w:szCs w:val="24"/>
        </w:rPr>
        <w:t xml:space="preserve"> designated representative and alternate (if applicable).</w:t>
      </w:r>
    </w:p>
    <w:p w14:paraId="304726FD" w14:textId="2F639FE5" w:rsidR="009571D5" w:rsidRPr="006757FB" w:rsidRDefault="009571D5" w:rsidP="009571D5">
      <w:pPr>
        <w:suppressAutoHyphens/>
        <w:autoSpaceDE w:val="0"/>
        <w:autoSpaceDN w:val="0"/>
        <w:adjustRightInd w:val="0"/>
        <w:spacing w:before="120" w:after="120"/>
        <w:ind w:firstLine="720"/>
        <w:rPr>
          <w:szCs w:val="24"/>
        </w:rPr>
      </w:pPr>
      <w:r w:rsidRPr="006757FB">
        <w:rPr>
          <w:szCs w:val="24"/>
        </w:rPr>
        <w:t xml:space="preserve">Certification applications are to be kept for a period of five years pursuant to the general requirements imposed for Title V permitted </w:t>
      </w:r>
      <w:r w:rsidR="00371CE2">
        <w:rPr>
          <w:szCs w:val="24"/>
        </w:rPr>
        <w:t>sources</w:t>
      </w:r>
      <w:r w:rsidRPr="006757FB">
        <w:rPr>
          <w:szCs w:val="24"/>
        </w:rPr>
        <w:t>.</w:t>
      </w:r>
    </w:p>
    <w:p w14:paraId="4B6ABA6A" w14:textId="34AF76ED" w:rsidR="00EF43A5" w:rsidRPr="006757FB" w:rsidRDefault="00EF43A5" w:rsidP="00E16308">
      <w:pPr>
        <w:keepNext/>
        <w:suppressAutoHyphens/>
        <w:autoSpaceDE w:val="0"/>
        <w:autoSpaceDN w:val="0"/>
        <w:adjustRightInd w:val="0"/>
        <w:spacing w:before="120" w:after="120"/>
        <w:ind w:left="1080"/>
        <w:rPr>
          <w:szCs w:val="24"/>
        </w:rPr>
      </w:pPr>
      <w:r w:rsidRPr="006757FB">
        <w:rPr>
          <w:szCs w:val="24"/>
        </w:rPr>
        <w:t>(</w:t>
      </w:r>
      <w:r w:rsidR="00CF6960">
        <w:rPr>
          <w:szCs w:val="24"/>
        </w:rPr>
        <w:t>b</w:t>
      </w:r>
      <w:r w:rsidRPr="006757FB">
        <w:rPr>
          <w:szCs w:val="24"/>
        </w:rPr>
        <w:t>)  Monitoring and Reporting</w:t>
      </w:r>
    </w:p>
    <w:p w14:paraId="587E5FF4" w14:textId="48FC7931" w:rsidR="00EF43A5" w:rsidRPr="006757FB" w:rsidRDefault="00EF43A5" w:rsidP="00EF43A5">
      <w:pPr>
        <w:suppressAutoHyphens/>
        <w:autoSpaceDE w:val="0"/>
        <w:autoSpaceDN w:val="0"/>
        <w:adjustRightInd w:val="0"/>
        <w:spacing w:before="120" w:after="120"/>
        <w:ind w:firstLine="720"/>
        <w:rPr>
          <w:szCs w:val="24"/>
        </w:rPr>
      </w:pPr>
      <w:r>
        <w:rPr>
          <w:szCs w:val="24"/>
        </w:rPr>
        <w:t>CSAPR</w:t>
      </w:r>
      <w:r w:rsidRPr="006757FB">
        <w:rPr>
          <w:szCs w:val="24"/>
        </w:rPr>
        <w:t>-affected sources are required to monitor</w:t>
      </w:r>
      <w:r>
        <w:rPr>
          <w:szCs w:val="24"/>
        </w:rPr>
        <w:t>, record, and report</w:t>
      </w:r>
      <w:r w:rsidRPr="006757FB">
        <w:rPr>
          <w:szCs w:val="24"/>
        </w:rPr>
        <w:t xml:space="preserve"> NO</w:t>
      </w:r>
      <w:r w:rsidRPr="006757FB">
        <w:rPr>
          <w:szCs w:val="24"/>
          <w:vertAlign w:val="subscript"/>
        </w:rPr>
        <w:t>X</w:t>
      </w:r>
      <w:r w:rsidRPr="006757FB">
        <w:rPr>
          <w:szCs w:val="24"/>
        </w:rPr>
        <w:t xml:space="preserve"> and/or SO</w:t>
      </w:r>
      <w:r w:rsidRPr="006757FB">
        <w:rPr>
          <w:szCs w:val="24"/>
          <w:vertAlign w:val="subscript"/>
        </w:rPr>
        <w:t>2</w:t>
      </w:r>
      <w:r w:rsidRPr="006757FB">
        <w:rPr>
          <w:szCs w:val="24"/>
        </w:rPr>
        <w:t xml:space="preserve"> mass emissions </w:t>
      </w:r>
      <w:r>
        <w:rPr>
          <w:szCs w:val="24"/>
        </w:rPr>
        <w:t xml:space="preserve">data </w:t>
      </w:r>
      <w:r w:rsidRPr="006757FB">
        <w:rPr>
          <w:szCs w:val="24"/>
        </w:rPr>
        <w:t xml:space="preserve">and </w:t>
      </w:r>
      <w:r>
        <w:rPr>
          <w:szCs w:val="24"/>
        </w:rPr>
        <w:t xml:space="preserve">heat input data following </w:t>
      </w:r>
      <w:r w:rsidRPr="006757FB">
        <w:rPr>
          <w:szCs w:val="24"/>
        </w:rPr>
        <w:t>the requirements of 40 CFR part 75.  The emissions monitoring requirements specify that affected sources must (1) submit a monitoring plan for each affected unit at a source, (2) submit data for certification of each monitor, (3) record hourly operational, pollutant monitor, and</w:t>
      </w:r>
      <w:r w:rsidR="00E2417A">
        <w:rPr>
          <w:szCs w:val="24"/>
        </w:rPr>
        <w:t>/or</w:t>
      </w:r>
      <w:r w:rsidRPr="006757FB">
        <w:rPr>
          <w:szCs w:val="24"/>
        </w:rPr>
        <w:t xml:space="preserve"> flow monitor data for each affected unit</w:t>
      </w:r>
      <w:r w:rsidR="00E2417A">
        <w:rPr>
          <w:szCs w:val="24"/>
        </w:rPr>
        <w:t xml:space="preserve"> (with specific requirements dependent on the particular monitoring methodology used)</w:t>
      </w:r>
      <w:r w:rsidRPr="006757FB">
        <w:rPr>
          <w:szCs w:val="24"/>
        </w:rPr>
        <w:t xml:space="preserve">, and (4) submit quarterly reports of emissions </w:t>
      </w:r>
      <w:r>
        <w:rPr>
          <w:szCs w:val="24"/>
        </w:rPr>
        <w:t xml:space="preserve">data and heat input </w:t>
      </w:r>
      <w:r w:rsidRPr="006757FB">
        <w:rPr>
          <w:szCs w:val="24"/>
        </w:rPr>
        <w:t>data to EPA.</w:t>
      </w:r>
    </w:p>
    <w:p w14:paraId="0333FF9E" w14:textId="4FA7ABDB" w:rsidR="00EF43A5" w:rsidRPr="006757FB" w:rsidRDefault="00EF43A5" w:rsidP="00EF43A5">
      <w:pPr>
        <w:suppressAutoHyphens/>
        <w:autoSpaceDE w:val="0"/>
        <w:autoSpaceDN w:val="0"/>
        <w:adjustRightInd w:val="0"/>
        <w:spacing w:before="120" w:after="120"/>
        <w:ind w:firstLine="720"/>
        <w:rPr>
          <w:szCs w:val="24"/>
        </w:rPr>
      </w:pPr>
      <w:r w:rsidRPr="006757FB">
        <w:rPr>
          <w:szCs w:val="24"/>
        </w:rPr>
        <w:t>Respondents are required under 40 CFR 75.64 to submit the quarterly NO</w:t>
      </w:r>
      <w:r w:rsidRPr="006757FB">
        <w:rPr>
          <w:szCs w:val="24"/>
          <w:vertAlign w:val="subscript"/>
        </w:rPr>
        <w:t>X</w:t>
      </w:r>
      <w:r w:rsidRPr="006757FB">
        <w:rPr>
          <w:szCs w:val="24"/>
        </w:rPr>
        <w:t xml:space="preserve"> and SO</w:t>
      </w:r>
      <w:r w:rsidRPr="006757FB">
        <w:rPr>
          <w:szCs w:val="24"/>
          <w:vertAlign w:val="subscript"/>
        </w:rPr>
        <w:t>2</w:t>
      </w:r>
      <w:r w:rsidRPr="006757FB">
        <w:rPr>
          <w:szCs w:val="24"/>
        </w:rPr>
        <w:t xml:space="preserve"> mass emissions data via direct electronic submission to EPA.  Such data must include a certification statement by the </w:t>
      </w:r>
      <w:r w:rsidR="00371CE2">
        <w:rPr>
          <w:szCs w:val="24"/>
        </w:rPr>
        <w:t xml:space="preserve">source’s </w:t>
      </w:r>
      <w:r w:rsidRPr="006757FB">
        <w:rPr>
          <w:szCs w:val="24"/>
        </w:rPr>
        <w:t xml:space="preserve">designated representative attesting to the accuracy, truthfulness, and </w:t>
      </w:r>
      <w:r w:rsidRPr="006757FB">
        <w:rPr>
          <w:szCs w:val="24"/>
        </w:rPr>
        <w:lastRenderedPageBreak/>
        <w:t>completeness of the submission.  Generally, all monitoring records are required to be kept for three years.</w:t>
      </w:r>
    </w:p>
    <w:p w14:paraId="7458B130" w14:textId="12FF9481" w:rsidR="000C02E9" w:rsidRPr="006757FB" w:rsidRDefault="000C02E9" w:rsidP="00E16308">
      <w:pPr>
        <w:keepNext/>
        <w:suppressAutoHyphens/>
        <w:autoSpaceDE w:val="0"/>
        <w:autoSpaceDN w:val="0"/>
        <w:adjustRightInd w:val="0"/>
        <w:spacing w:before="120" w:after="120"/>
        <w:ind w:left="1080"/>
        <w:rPr>
          <w:szCs w:val="24"/>
        </w:rPr>
      </w:pPr>
      <w:r w:rsidRPr="006757FB">
        <w:rPr>
          <w:szCs w:val="24"/>
        </w:rPr>
        <w:t>(</w:t>
      </w:r>
      <w:r w:rsidR="00EF43A5">
        <w:rPr>
          <w:szCs w:val="24"/>
        </w:rPr>
        <w:t>c</w:t>
      </w:r>
      <w:r w:rsidRPr="006757FB">
        <w:rPr>
          <w:szCs w:val="24"/>
        </w:rPr>
        <w:t xml:space="preserve">) </w:t>
      </w:r>
      <w:r w:rsidR="00E86F33" w:rsidRPr="006757FB">
        <w:rPr>
          <w:szCs w:val="24"/>
        </w:rPr>
        <w:t xml:space="preserve"> </w:t>
      </w:r>
      <w:r w:rsidRPr="006757FB">
        <w:rPr>
          <w:szCs w:val="24"/>
        </w:rPr>
        <w:t>Allowance Tra</w:t>
      </w:r>
      <w:r w:rsidR="00A61971">
        <w:rPr>
          <w:szCs w:val="24"/>
        </w:rPr>
        <w:t>nsfer</w:t>
      </w:r>
    </w:p>
    <w:p w14:paraId="28D454C9" w14:textId="0C00EBC3" w:rsidR="00612114" w:rsidRPr="006757FB" w:rsidRDefault="00612114" w:rsidP="006757FB">
      <w:pPr>
        <w:suppressAutoHyphens/>
        <w:autoSpaceDE w:val="0"/>
        <w:autoSpaceDN w:val="0"/>
        <w:adjustRightInd w:val="0"/>
        <w:spacing w:before="120" w:after="120"/>
        <w:rPr>
          <w:szCs w:val="24"/>
        </w:rPr>
      </w:pPr>
      <w:r w:rsidRPr="006757FB">
        <w:rPr>
          <w:szCs w:val="24"/>
        </w:rPr>
        <w:tab/>
      </w:r>
      <w:r w:rsidR="00DB0B5B" w:rsidRPr="006757FB">
        <w:rPr>
          <w:szCs w:val="24"/>
        </w:rPr>
        <w:t xml:space="preserve">Sources </w:t>
      </w:r>
      <w:r w:rsidRPr="006757FB">
        <w:rPr>
          <w:szCs w:val="24"/>
        </w:rPr>
        <w:t>and other trading program participants must submit allowance transfer, allowance deduction, and compliance assurance information, as necessary.</w:t>
      </w:r>
    </w:p>
    <w:p w14:paraId="01D396C5" w14:textId="758E7A4E" w:rsidR="000C02E9" w:rsidRDefault="000C02E9" w:rsidP="006757FB">
      <w:pPr>
        <w:keepNext/>
        <w:suppressAutoHyphens/>
        <w:autoSpaceDE w:val="0"/>
        <w:autoSpaceDN w:val="0"/>
        <w:adjustRightInd w:val="0"/>
        <w:spacing w:before="120" w:after="120"/>
        <w:ind w:left="720"/>
        <w:rPr>
          <w:iCs/>
          <w:szCs w:val="24"/>
        </w:rPr>
      </w:pPr>
      <w:r w:rsidRPr="006757FB">
        <w:rPr>
          <w:iCs/>
          <w:szCs w:val="24"/>
        </w:rPr>
        <w:t xml:space="preserve">(ii) </w:t>
      </w:r>
      <w:r w:rsidR="00E86F33" w:rsidRPr="006757FB">
        <w:rPr>
          <w:iCs/>
          <w:szCs w:val="24"/>
        </w:rPr>
        <w:t xml:space="preserve"> </w:t>
      </w:r>
      <w:r w:rsidRPr="006757FB">
        <w:rPr>
          <w:iCs/>
          <w:szCs w:val="24"/>
        </w:rPr>
        <w:t>Respondent Activities</w:t>
      </w:r>
    </w:p>
    <w:p w14:paraId="79D8F82E" w14:textId="29677B2C" w:rsidR="00D041FB" w:rsidRPr="006757FB" w:rsidRDefault="001B1458" w:rsidP="00D041FB">
      <w:pPr>
        <w:keepNext/>
        <w:suppressAutoHyphens/>
        <w:autoSpaceDE w:val="0"/>
        <w:autoSpaceDN w:val="0"/>
        <w:adjustRightInd w:val="0"/>
        <w:spacing w:before="120" w:after="120"/>
        <w:ind w:firstLine="720"/>
        <w:rPr>
          <w:iCs/>
          <w:szCs w:val="24"/>
        </w:rPr>
      </w:pPr>
      <w:r>
        <w:rPr>
          <w:iCs/>
          <w:szCs w:val="24"/>
        </w:rPr>
        <w:t xml:space="preserve">With respect to permitting and other certification, </w:t>
      </w:r>
      <w:r w:rsidR="002553FA">
        <w:rPr>
          <w:iCs/>
          <w:szCs w:val="24"/>
        </w:rPr>
        <w:t xml:space="preserve">industry </w:t>
      </w:r>
      <w:r>
        <w:rPr>
          <w:iCs/>
          <w:szCs w:val="24"/>
        </w:rPr>
        <w:t>r</w:t>
      </w:r>
      <w:r w:rsidR="00D041FB">
        <w:rPr>
          <w:iCs/>
          <w:szCs w:val="24"/>
        </w:rPr>
        <w:t xml:space="preserve">espondents must include CSAPR-related </w:t>
      </w:r>
      <w:r w:rsidR="00942972">
        <w:rPr>
          <w:iCs/>
          <w:szCs w:val="24"/>
        </w:rPr>
        <w:t xml:space="preserve">applicable </w:t>
      </w:r>
      <w:r w:rsidR="00D041FB">
        <w:rPr>
          <w:iCs/>
          <w:szCs w:val="24"/>
        </w:rPr>
        <w:t xml:space="preserve">requirements in a Title V </w:t>
      </w:r>
      <w:r w:rsidR="0009346A">
        <w:rPr>
          <w:iCs/>
          <w:szCs w:val="24"/>
        </w:rPr>
        <w:t xml:space="preserve">operating </w:t>
      </w:r>
      <w:r w:rsidR="00D041FB">
        <w:rPr>
          <w:iCs/>
          <w:szCs w:val="24"/>
        </w:rPr>
        <w:t xml:space="preserve">permit revision application.  </w:t>
      </w:r>
      <w:r w:rsidR="00D041FB" w:rsidRPr="006757FB">
        <w:rPr>
          <w:szCs w:val="24"/>
        </w:rPr>
        <w:t xml:space="preserve">Although there is some possibility that a non-Title V source could be affected under </w:t>
      </w:r>
      <w:r w:rsidR="00D041FB">
        <w:rPr>
          <w:szCs w:val="24"/>
        </w:rPr>
        <w:t>CSAPR</w:t>
      </w:r>
      <w:r w:rsidR="00D041FB" w:rsidRPr="006757FB">
        <w:rPr>
          <w:szCs w:val="24"/>
        </w:rPr>
        <w:t xml:space="preserve">, all </w:t>
      </w:r>
      <w:r w:rsidR="00D041FB">
        <w:rPr>
          <w:szCs w:val="24"/>
        </w:rPr>
        <w:t>CSAPR</w:t>
      </w:r>
      <w:r w:rsidR="00D041FB" w:rsidRPr="006757FB">
        <w:rPr>
          <w:szCs w:val="24"/>
        </w:rPr>
        <w:t xml:space="preserve">-affected sources are assumed to be Title V sources for purposes of this ICR.  It is assumed the permit revision application and all other monitoring, reporting, or recordkeeping requirements associated with Title V permitting are part of baseline Title V requirements.  </w:t>
      </w:r>
      <w:r w:rsidR="00C96F94">
        <w:rPr>
          <w:szCs w:val="24"/>
        </w:rPr>
        <w:t xml:space="preserve">Respondents </w:t>
      </w:r>
      <w:r w:rsidR="009571D5">
        <w:rPr>
          <w:szCs w:val="24"/>
        </w:rPr>
        <w:t xml:space="preserve">may also be required to </w:t>
      </w:r>
      <w:r w:rsidR="00C96F94">
        <w:rPr>
          <w:szCs w:val="24"/>
        </w:rPr>
        <w:t xml:space="preserve">submit construction permit applications </w:t>
      </w:r>
      <w:r w:rsidR="009571D5">
        <w:rPr>
          <w:szCs w:val="24"/>
        </w:rPr>
        <w:t>if new emissions monitoring equipment is required and installation of the equipment requires a construction permit</w:t>
      </w:r>
      <w:r w:rsidR="00C96F94">
        <w:rPr>
          <w:szCs w:val="24"/>
        </w:rPr>
        <w:t>.</w:t>
      </w:r>
      <w:r w:rsidR="009571D5">
        <w:rPr>
          <w:szCs w:val="24"/>
        </w:rPr>
        <w:t xml:space="preserve">  Finally, respondents must submit an initial certificate of representation </w:t>
      </w:r>
      <w:r>
        <w:rPr>
          <w:szCs w:val="24"/>
        </w:rPr>
        <w:t xml:space="preserve">for each source with affected </w:t>
      </w:r>
      <w:r w:rsidR="00F174ED">
        <w:rPr>
          <w:szCs w:val="24"/>
        </w:rPr>
        <w:t>unit</w:t>
      </w:r>
      <w:r>
        <w:rPr>
          <w:szCs w:val="24"/>
        </w:rPr>
        <w:t xml:space="preserve">s </w:t>
      </w:r>
      <w:r w:rsidR="009571D5">
        <w:rPr>
          <w:szCs w:val="24"/>
        </w:rPr>
        <w:t>and must submit a new certificate of representation whenever the designated representative changes.</w:t>
      </w:r>
    </w:p>
    <w:p w14:paraId="60CF427B" w14:textId="74F61D95" w:rsidR="00CC0E23" w:rsidRPr="006757FB" w:rsidRDefault="000C02E9" w:rsidP="006757FB">
      <w:pPr>
        <w:suppressAutoHyphens/>
        <w:autoSpaceDE w:val="0"/>
        <w:autoSpaceDN w:val="0"/>
        <w:adjustRightInd w:val="0"/>
        <w:spacing w:before="120" w:after="120"/>
        <w:ind w:firstLine="720"/>
        <w:rPr>
          <w:szCs w:val="24"/>
        </w:rPr>
      </w:pPr>
      <w:r w:rsidRPr="006757FB">
        <w:rPr>
          <w:szCs w:val="24"/>
        </w:rPr>
        <w:t xml:space="preserve">The primary tasks that </w:t>
      </w:r>
      <w:r w:rsidR="00E2417A">
        <w:rPr>
          <w:szCs w:val="24"/>
        </w:rPr>
        <w:t xml:space="preserve">must </w:t>
      </w:r>
      <w:r w:rsidRPr="006757FB">
        <w:rPr>
          <w:szCs w:val="24"/>
        </w:rPr>
        <w:t xml:space="preserve">be performed by </w:t>
      </w:r>
      <w:r w:rsidR="002553FA">
        <w:rPr>
          <w:szCs w:val="24"/>
        </w:rPr>
        <w:t xml:space="preserve">industry </w:t>
      </w:r>
      <w:r w:rsidRPr="006757FB">
        <w:rPr>
          <w:szCs w:val="24"/>
        </w:rPr>
        <w:t xml:space="preserve">respondents to meet </w:t>
      </w:r>
      <w:r w:rsidR="00D041FB">
        <w:rPr>
          <w:szCs w:val="24"/>
        </w:rPr>
        <w:t xml:space="preserve">CSAPR’s </w:t>
      </w:r>
      <w:r w:rsidRPr="006757FB">
        <w:rPr>
          <w:szCs w:val="24"/>
        </w:rPr>
        <w:t>em</w:t>
      </w:r>
      <w:r w:rsidR="005D5C58" w:rsidRPr="006757FB">
        <w:rPr>
          <w:szCs w:val="24"/>
        </w:rPr>
        <w:t xml:space="preserve">issions monitoring </w:t>
      </w:r>
      <w:r w:rsidR="00D041FB">
        <w:rPr>
          <w:szCs w:val="24"/>
        </w:rPr>
        <w:t xml:space="preserve">and reporting </w:t>
      </w:r>
      <w:r w:rsidR="005D5C58" w:rsidRPr="006757FB">
        <w:rPr>
          <w:szCs w:val="24"/>
        </w:rPr>
        <w:t xml:space="preserve">requirements </w:t>
      </w:r>
      <w:r w:rsidRPr="006757FB">
        <w:rPr>
          <w:szCs w:val="24"/>
        </w:rPr>
        <w:t>are</w:t>
      </w:r>
      <w:r w:rsidR="005D5C58" w:rsidRPr="006757FB">
        <w:rPr>
          <w:szCs w:val="24"/>
        </w:rPr>
        <w:t xml:space="preserve">:  </w:t>
      </w:r>
      <w:r w:rsidRPr="006757FB">
        <w:rPr>
          <w:szCs w:val="24"/>
        </w:rPr>
        <w:t xml:space="preserve">(1) completing </w:t>
      </w:r>
      <w:r w:rsidR="00265195">
        <w:rPr>
          <w:szCs w:val="24"/>
        </w:rPr>
        <w:t xml:space="preserve">and updating </w:t>
      </w:r>
      <w:r w:rsidR="00941414" w:rsidRPr="006757FB">
        <w:rPr>
          <w:szCs w:val="24"/>
        </w:rPr>
        <w:t xml:space="preserve">monitoring </w:t>
      </w:r>
      <w:r w:rsidRPr="006757FB">
        <w:rPr>
          <w:szCs w:val="24"/>
        </w:rPr>
        <w:t>plan</w:t>
      </w:r>
      <w:r w:rsidR="00265195">
        <w:rPr>
          <w:szCs w:val="24"/>
        </w:rPr>
        <w:t>s</w:t>
      </w:r>
      <w:r w:rsidRPr="006757FB">
        <w:rPr>
          <w:szCs w:val="24"/>
        </w:rPr>
        <w:t xml:space="preserve"> for each affected source and each affected unit at a </w:t>
      </w:r>
      <w:r w:rsidR="00941414" w:rsidRPr="006757FB">
        <w:rPr>
          <w:szCs w:val="24"/>
        </w:rPr>
        <w:t xml:space="preserve">source; (2) conducting tests to </w:t>
      </w:r>
      <w:r w:rsidRPr="006757FB">
        <w:rPr>
          <w:szCs w:val="24"/>
        </w:rPr>
        <w:t>certify</w:t>
      </w:r>
      <w:r w:rsidR="005D5C58" w:rsidRPr="006757FB">
        <w:rPr>
          <w:szCs w:val="24"/>
        </w:rPr>
        <w:t xml:space="preserve"> </w:t>
      </w:r>
      <w:r w:rsidRPr="006757FB">
        <w:rPr>
          <w:szCs w:val="24"/>
        </w:rPr>
        <w:t>monitors and submitting test resul</w:t>
      </w:r>
      <w:r w:rsidR="00941414" w:rsidRPr="006757FB">
        <w:rPr>
          <w:szCs w:val="24"/>
        </w:rPr>
        <w:t xml:space="preserve">ts to EPA; (3) recording hourly </w:t>
      </w:r>
      <w:r w:rsidRPr="006757FB">
        <w:rPr>
          <w:szCs w:val="24"/>
        </w:rPr>
        <w:t>emissions data</w:t>
      </w:r>
      <w:r w:rsidR="00941414" w:rsidRPr="006757FB">
        <w:rPr>
          <w:szCs w:val="24"/>
        </w:rPr>
        <w:t xml:space="preserve"> </w:t>
      </w:r>
      <w:r w:rsidRPr="006757FB">
        <w:rPr>
          <w:szCs w:val="24"/>
        </w:rPr>
        <w:t xml:space="preserve">(this activity </w:t>
      </w:r>
      <w:r w:rsidR="00EF4A9E" w:rsidRPr="006757FB">
        <w:rPr>
          <w:szCs w:val="24"/>
        </w:rPr>
        <w:t xml:space="preserve">is </w:t>
      </w:r>
      <w:r w:rsidRPr="006757FB">
        <w:rPr>
          <w:szCs w:val="24"/>
        </w:rPr>
        <w:t>generally performed ele</w:t>
      </w:r>
      <w:r w:rsidR="00941414" w:rsidRPr="006757FB">
        <w:rPr>
          <w:szCs w:val="24"/>
        </w:rPr>
        <w:t xml:space="preserve">ctronically); (4) </w:t>
      </w:r>
      <w:r w:rsidR="005D5C58" w:rsidRPr="006757FB">
        <w:rPr>
          <w:szCs w:val="24"/>
        </w:rPr>
        <w:t xml:space="preserve">performing </w:t>
      </w:r>
      <w:r w:rsidR="00941414" w:rsidRPr="006757FB">
        <w:rPr>
          <w:szCs w:val="24"/>
        </w:rPr>
        <w:t xml:space="preserve">operation and </w:t>
      </w:r>
      <w:r w:rsidRPr="006757FB">
        <w:rPr>
          <w:szCs w:val="24"/>
        </w:rPr>
        <w:t>maintenance activities</w:t>
      </w:r>
      <w:r w:rsidR="00941414" w:rsidRPr="006757FB">
        <w:rPr>
          <w:szCs w:val="24"/>
        </w:rPr>
        <w:t xml:space="preserve"> </w:t>
      </w:r>
      <w:r w:rsidRPr="006757FB">
        <w:rPr>
          <w:szCs w:val="24"/>
        </w:rPr>
        <w:t>associated with monitoring, including quality assurance activi</w:t>
      </w:r>
      <w:r w:rsidR="00941414" w:rsidRPr="006757FB">
        <w:rPr>
          <w:szCs w:val="24"/>
        </w:rPr>
        <w:t>ties; (5) assuring data quality</w:t>
      </w:r>
      <w:r w:rsidR="00EF4A9E" w:rsidRPr="006757FB">
        <w:rPr>
          <w:szCs w:val="24"/>
        </w:rPr>
        <w:t>,</w:t>
      </w:r>
      <w:r w:rsidR="00941414" w:rsidRPr="006757FB">
        <w:rPr>
          <w:szCs w:val="24"/>
        </w:rPr>
        <w:t xml:space="preserve"> </w:t>
      </w:r>
      <w:r w:rsidRPr="006757FB">
        <w:rPr>
          <w:szCs w:val="24"/>
        </w:rPr>
        <w:t>preparing quarterly reports of emissions data</w:t>
      </w:r>
      <w:r w:rsidR="00EF4A9E" w:rsidRPr="006757FB">
        <w:rPr>
          <w:szCs w:val="24"/>
        </w:rPr>
        <w:t>,</w:t>
      </w:r>
      <w:r w:rsidRPr="006757FB">
        <w:rPr>
          <w:szCs w:val="24"/>
        </w:rPr>
        <w:t xml:space="preserve"> and submitting these reports to EPA; and (6)</w:t>
      </w:r>
      <w:r w:rsidR="00941414" w:rsidRPr="006757FB">
        <w:rPr>
          <w:szCs w:val="24"/>
        </w:rPr>
        <w:t xml:space="preserve"> </w:t>
      </w:r>
      <w:r w:rsidRPr="006757FB">
        <w:rPr>
          <w:szCs w:val="24"/>
        </w:rPr>
        <w:t xml:space="preserve">responding to error messages generated by </w:t>
      </w:r>
      <w:r w:rsidR="00EF4A9E" w:rsidRPr="006757FB">
        <w:rPr>
          <w:szCs w:val="24"/>
        </w:rPr>
        <w:t>such submissions</w:t>
      </w:r>
      <w:r w:rsidRPr="006757FB">
        <w:rPr>
          <w:szCs w:val="24"/>
        </w:rPr>
        <w:t xml:space="preserve">. </w:t>
      </w:r>
      <w:r w:rsidR="00EF4A9E" w:rsidRPr="006757FB">
        <w:rPr>
          <w:szCs w:val="24"/>
        </w:rPr>
        <w:t xml:space="preserve"> </w:t>
      </w:r>
      <w:r w:rsidRPr="006757FB">
        <w:rPr>
          <w:szCs w:val="24"/>
        </w:rPr>
        <w:t>In addition, respondents will have to purchase</w:t>
      </w:r>
      <w:r w:rsidR="00941414" w:rsidRPr="006757FB">
        <w:rPr>
          <w:szCs w:val="24"/>
        </w:rPr>
        <w:t xml:space="preserve"> </w:t>
      </w:r>
      <w:r w:rsidRPr="006757FB">
        <w:rPr>
          <w:szCs w:val="24"/>
        </w:rPr>
        <w:t>the necessary monitoring hardware and electronic data reporting software (or</w:t>
      </w:r>
      <w:r w:rsidR="00941414" w:rsidRPr="006757FB">
        <w:rPr>
          <w:szCs w:val="24"/>
        </w:rPr>
        <w:t xml:space="preserve"> </w:t>
      </w:r>
      <w:r w:rsidRPr="006757FB">
        <w:rPr>
          <w:szCs w:val="24"/>
        </w:rPr>
        <w:t>software upgrades).</w:t>
      </w:r>
      <w:r w:rsidR="00E2417A">
        <w:rPr>
          <w:szCs w:val="24"/>
        </w:rPr>
        <w:t xml:space="preserve">  </w:t>
      </w:r>
      <w:r w:rsidR="00CC0E23" w:rsidRPr="006757FB">
        <w:rPr>
          <w:szCs w:val="24"/>
        </w:rPr>
        <w:t xml:space="preserve">For </w:t>
      </w:r>
      <w:r w:rsidR="00E12ADC" w:rsidRPr="006757FB">
        <w:rPr>
          <w:szCs w:val="24"/>
        </w:rPr>
        <w:t>respondents</w:t>
      </w:r>
      <w:r w:rsidR="00CC0E23" w:rsidRPr="006757FB">
        <w:rPr>
          <w:szCs w:val="24"/>
        </w:rPr>
        <w:t xml:space="preserve"> that are also subject to the ARP, most of the burden associated with these activities is included in the ARP ICR.</w:t>
      </w:r>
    </w:p>
    <w:p w14:paraId="2A9FDC1F" w14:textId="248CF2BE" w:rsidR="00E2417A" w:rsidRPr="006757FB" w:rsidRDefault="002553FA" w:rsidP="00E2417A">
      <w:pPr>
        <w:suppressAutoHyphens/>
        <w:autoSpaceDE w:val="0"/>
        <w:autoSpaceDN w:val="0"/>
        <w:adjustRightInd w:val="0"/>
        <w:spacing w:before="120" w:after="120"/>
        <w:ind w:firstLine="720"/>
        <w:rPr>
          <w:szCs w:val="24"/>
        </w:rPr>
      </w:pPr>
      <w:r>
        <w:rPr>
          <w:szCs w:val="24"/>
        </w:rPr>
        <w:t>Industry respondent t</w:t>
      </w:r>
      <w:r w:rsidR="00E2417A">
        <w:rPr>
          <w:szCs w:val="24"/>
        </w:rPr>
        <w:t xml:space="preserve">asks to meet CSAPR’s allowance </w:t>
      </w:r>
      <w:r w:rsidR="009724E2">
        <w:rPr>
          <w:szCs w:val="24"/>
        </w:rPr>
        <w:t xml:space="preserve">transfer and </w:t>
      </w:r>
      <w:r w:rsidR="00E2417A">
        <w:rPr>
          <w:szCs w:val="24"/>
        </w:rPr>
        <w:t xml:space="preserve">tracking requirements include periodic submission of allowance transfer, allowance deduction, and compliance assurance information.  </w:t>
      </w:r>
      <w:r>
        <w:rPr>
          <w:szCs w:val="24"/>
        </w:rPr>
        <w:t>State respondents that elect to provide allowance allocations must prepare and submit those allocations to EPA.</w:t>
      </w:r>
    </w:p>
    <w:p w14:paraId="20854754" w14:textId="77777777" w:rsidR="00D314FB" w:rsidRPr="006757FB" w:rsidRDefault="00D314FB" w:rsidP="006757FB">
      <w:pPr>
        <w:suppressAutoHyphens/>
        <w:autoSpaceDE w:val="0"/>
        <w:autoSpaceDN w:val="0"/>
        <w:adjustRightInd w:val="0"/>
        <w:spacing w:before="120" w:after="120"/>
        <w:rPr>
          <w:b/>
          <w:bCs/>
          <w:szCs w:val="24"/>
        </w:rPr>
      </w:pPr>
    </w:p>
    <w:p w14:paraId="340E1631" w14:textId="77777777" w:rsidR="000C02E9" w:rsidRPr="006757FB" w:rsidRDefault="000C02E9" w:rsidP="00E16308">
      <w:pPr>
        <w:keepNext/>
        <w:tabs>
          <w:tab w:val="left" w:pos="450"/>
        </w:tabs>
        <w:suppressAutoHyphens/>
        <w:autoSpaceDE w:val="0"/>
        <w:autoSpaceDN w:val="0"/>
        <w:adjustRightInd w:val="0"/>
        <w:spacing w:before="120" w:after="120"/>
        <w:ind w:left="450" w:hanging="450"/>
        <w:rPr>
          <w:b/>
          <w:bCs/>
          <w:szCs w:val="24"/>
        </w:rPr>
      </w:pPr>
      <w:r w:rsidRPr="006757FB">
        <w:rPr>
          <w:b/>
          <w:bCs/>
          <w:szCs w:val="24"/>
        </w:rPr>
        <w:t>5.</w:t>
      </w:r>
      <w:r w:rsidR="00E86F33" w:rsidRPr="006757FB">
        <w:rPr>
          <w:b/>
          <w:bCs/>
          <w:szCs w:val="24"/>
        </w:rPr>
        <w:t>0</w:t>
      </w:r>
      <w:r w:rsidR="00E86F33" w:rsidRPr="006757FB">
        <w:rPr>
          <w:b/>
          <w:bCs/>
          <w:szCs w:val="24"/>
        </w:rPr>
        <w:tab/>
      </w:r>
      <w:r w:rsidRPr="006757FB">
        <w:rPr>
          <w:b/>
          <w:bCs/>
          <w:szCs w:val="24"/>
        </w:rPr>
        <w:t>T</w:t>
      </w:r>
      <w:r w:rsidR="00E86F33" w:rsidRPr="006757FB">
        <w:rPr>
          <w:b/>
          <w:bCs/>
          <w:szCs w:val="24"/>
        </w:rPr>
        <w:t>he</w:t>
      </w:r>
      <w:r w:rsidRPr="006757FB">
        <w:rPr>
          <w:b/>
          <w:bCs/>
          <w:szCs w:val="24"/>
        </w:rPr>
        <w:t xml:space="preserve"> I</w:t>
      </w:r>
      <w:r w:rsidR="00E86F33" w:rsidRPr="006757FB">
        <w:rPr>
          <w:b/>
          <w:bCs/>
          <w:szCs w:val="24"/>
        </w:rPr>
        <w:t>nformation</w:t>
      </w:r>
      <w:r w:rsidRPr="006757FB">
        <w:rPr>
          <w:b/>
          <w:bCs/>
          <w:szCs w:val="24"/>
        </w:rPr>
        <w:t xml:space="preserve"> C</w:t>
      </w:r>
      <w:r w:rsidR="00E86F33" w:rsidRPr="006757FB">
        <w:rPr>
          <w:b/>
          <w:bCs/>
          <w:szCs w:val="24"/>
        </w:rPr>
        <w:t xml:space="preserve">ollected </w:t>
      </w:r>
      <w:r w:rsidRPr="006757FB">
        <w:rPr>
          <w:b/>
          <w:bCs/>
          <w:szCs w:val="24"/>
        </w:rPr>
        <w:t>–</w:t>
      </w:r>
      <w:r w:rsidR="00E86F33" w:rsidRPr="006757FB">
        <w:rPr>
          <w:b/>
          <w:bCs/>
          <w:szCs w:val="24"/>
        </w:rPr>
        <w:t xml:space="preserve"> </w:t>
      </w:r>
      <w:r w:rsidRPr="006757FB">
        <w:rPr>
          <w:b/>
          <w:bCs/>
          <w:szCs w:val="24"/>
        </w:rPr>
        <w:t>A</w:t>
      </w:r>
      <w:r w:rsidR="00E86F33" w:rsidRPr="006757FB">
        <w:rPr>
          <w:b/>
          <w:bCs/>
          <w:szCs w:val="24"/>
        </w:rPr>
        <w:t>gency</w:t>
      </w:r>
      <w:r w:rsidRPr="006757FB">
        <w:rPr>
          <w:b/>
          <w:bCs/>
          <w:szCs w:val="24"/>
        </w:rPr>
        <w:t xml:space="preserve"> A</w:t>
      </w:r>
      <w:r w:rsidR="00E86F33" w:rsidRPr="006757FB">
        <w:rPr>
          <w:b/>
          <w:bCs/>
          <w:szCs w:val="24"/>
        </w:rPr>
        <w:t>ctivities</w:t>
      </w:r>
      <w:r w:rsidRPr="006757FB">
        <w:rPr>
          <w:b/>
          <w:bCs/>
          <w:szCs w:val="24"/>
        </w:rPr>
        <w:t>, C</w:t>
      </w:r>
      <w:r w:rsidR="00E86F33" w:rsidRPr="006757FB">
        <w:rPr>
          <w:b/>
          <w:bCs/>
          <w:szCs w:val="24"/>
        </w:rPr>
        <w:t>ollection Methods</w:t>
      </w:r>
      <w:r w:rsidRPr="006757FB">
        <w:rPr>
          <w:b/>
          <w:bCs/>
          <w:szCs w:val="24"/>
        </w:rPr>
        <w:t xml:space="preserve">, </w:t>
      </w:r>
      <w:r w:rsidR="000303E6" w:rsidRPr="006757FB">
        <w:rPr>
          <w:b/>
          <w:bCs/>
          <w:szCs w:val="24"/>
        </w:rPr>
        <w:br/>
      </w:r>
      <w:r w:rsidR="00E86F33" w:rsidRPr="006757FB">
        <w:rPr>
          <w:b/>
          <w:bCs/>
          <w:szCs w:val="24"/>
        </w:rPr>
        <w:t>and</w:t>
      </w:r>
      <w:r w:rsidRPr="006757FB">
        <w:rPr>
          <w:b/>
          <w:bCs/>
          <w:szCs w:val="24"/>
        </w:rPr>
        <w:t xml:space="preserve"> I</w:t>
      </w:r>
      <w:r w:rsidR="00E86F33" w:rsidRPr="006757FB">
        <w:rPr>
          <w:b/>
          <w:bCs/>
          <w:szCs w:val="24"/>
        </w:rPr>
        <w:t>nformation Management</w:t>
      </w:r>
    </w:p>
    <w:p w14:paraId="1E4B2C8E" w14:textId="77777777" w:rsidR="000C02E9" w:rsidRPr="006757FB" w:rsidRDefault="00E86F33" w:rsidP="00E16308">
      <w:pPr>
        <w:keepNext/>
        <w:suppressAutoHyphens/>
        <w:autoSpaceDE w:val="0"/>
        <w:autoSpaceDN w:val="0"/>
        <w:adjustRightInd w:val="0"/>
        <w:spacing w:before="120" w:after="120"/>
        <w:ind w:left="360"/>
        <w:rPr>
          <w:b/>
          <w:bCs/>
          <w:szCs w:val="24"/>
        </w:rPr>
      </w:pPr>
      <w:r w:rsidRPr="006757FB">
        <w:rPr>
          <w:b/>
          <w:bCs/>
          <w:szCs w:val="24"/>
        </w:rPr>
        <w:t xml:space="preserve">5.1 </w:t>
      </w:r>
      <w:r w:rsidR="000C02E9" w:rsidRPr="006757FB">
        <w:rPr>
          <w:b/>
          <w:bCs/>
          <w:szCs w:val="24"/>
        </w:rPr>
        <w:t xml:space="preserve"> Agency Activities</w:t>
      </w:r>
    </w:p>
    <w:p w14:paraId="33837786" w14:textId="2072C8AF" w:rsidR="000C02E9" w:rsidRPr="00D84BB0" w:rsidRDefault="0096231A" w:rsidP="00D84BB0">
      <w:pPr>
        <w:suppressAutoHyphens/>
        <w:autoSpaceDE w:val="0"/>
        <w:autoSpaceDN w:val="0"/>
        <w:adjustRightInd w:val="0"/>
        <w:spacing w:before="120" w:after="120"/>
        <w:ind w:firstLine="720"/>
        <w:rPr>
          <w:szCs w:val="24"/>
        </w:rPr>
      </w:pPr>
      <w:r w:rsidRPr="00D84BB0">
        <w:rPr>
          <w:szCs w:val="24"/>
        </w:rPr>
        <w:t xml:space="preserve">EPA </w:t>
      </w:r>
      <w:r w:rsidR="000C02E9" w:rsidRPr="00D84BB0">
        <w:rPr>
          <w:szCs w:val="24"/>
        </w:rPr>
        <w:t xml:space="preserve">activities associated with </w:t>
      </w:r>
      <w:r w:rsidR="00C22164" w:rsidRPr="00D84BB0">
        <w:rPr>
          <w:szCs w:val="24"/>
        </w:rPr>
        <w:t>CSAPR</w:t>
      </w:r>
      <w:r w:rsidR="00CC0E23" w:rsidRPr="00D84BB0">
        <w:rPr>
          <w:szCs w:val="24"/>
        </w:rPr>
        <w:t xml:space="preserve"> </w:t>
      </w:r>
      <w:r w:rsidRPr="00D84BB0">
        <w:rPr>
          <w:szCs w:val="24"/>
        </w:rPr>
        <w:t xml:space="preserve">information collection requirements </w:t>
      </w:r>
      <w:r w:rsidR="000C02E9" w:rsidRPr="00D84BB0">
        <w:rPr>
          <w:szCs w:val="24"/>
        </w:rPr>
        <w:t>include:</w:t>
      </w:r>
    </w:p>
    <w:p w14:paraId="6C25BEF2" w14:textId="1CACA0F6" w:rsidR="00D84BB0" w:rsidRPr="00D84BB0" w:rsidRDefault="00D84BB0" w:rsidP="00D84BB0">
      <w:pPr>
        <w:suppressAutoHyphens/>
        <w:autoSpaceDE w:val="0"/>
        <w:autoSpaceDN w:val="0"/>
        <w:adjustRightInd w:val="0"/>
        <w:spacing w:before="120" w:after="120"/>
        <w:ind w:left="720" w:hanging="360"/>
        <w:rPr>
          <w:szCs w:val="24"/>
        </w:rPr>
      </w:pPr>
      <w:r w:rsidRPr="006757FB">
        <w:rPr>
          <w:szCs w:val="24"/>
        </w:rPr>
        <w:t>●</w:t>
      </w:r>
      <w:r w:rsidRPr="006757FB">
        <w:rPr>
          <w:szCs w:val="24"/>
        </w:rPr>
        <w:tab/>
      </w:r>
      <w:r w:rsidRPr="00D84BB0">
        <w:rPr>
          <w:szCs w:val="24"/>
        </w:rPr>
        <w:t>Reviewing permit applications;</w:t>
      </w:r>
    </w:p>
    <w:p w14:paraId="7F1B3CDA" w14:textId="25A7C021" w:rsidR="00D84BB0" w:rsidRPr="00D84BB0" w:rsidRDefault="00D84BB0" w:rsidP="00D84BB0">
      <w:pPr>
        <w:suppressAutoHyphens/>
        <w:autoSpaceDE w:val="0"/>
        <w:autoSpaceDN w:val="0"/>
        <w:adjustRightInd w:val="0"/>
        <w:spacing w:before="120" w:after="120"/>
        <w:ind w:left="720" w:hanging="360"/>
        <w:rPr>
          <w:szCs w:val="24"/>
        </w:rPr>
      </w:pPr>
      <w:r w:rsidRPr="006757FB">
        <w:rPr>
          <w:szCs w:val="24"/>
        </w:rPr>
        <w:t>●</w:t>
      </w:r>
      <w:r w:rsidRPr="006757FB">
        <w:rPr>
          <w:szCs w:val="24"/>
        </w:rPr>
        <w:tab/>
      </w:r>
      <w:r w:rsidRPr="00D84BB0">
        <w:rPr>
          <w:szCs w:val="24"/>
        </w:rPr>
        <w:t>Reviewing and processing certificates of representation;</w:t>
      </w:r>
    </w:p>
    <w:p w14:paraId="37235DF3" w14:textId="2F8285C2" w:rsidR="00D84BB0" w:rsidRPr="00D84BB0" w:rsidRDefault="00D84BB0" w:rsidP="00D84BB0">
      <w:pPr>
        <w:suppressAutoHyphens/>
        <w:autoSpaceDE w:val="0"/>
        <w:autoSpaceDN w:val="0"/>
        <w:adjustRightInd w:val="0"/>
        <w:spacing w:before="120" w:after="120"/>
        <w:ind w:left="720" w:hanging="360"/>
        <w:rPr>
          <w:szCs w:val="24"/>
        </w:rPr>
      </w:pPr>
      <w:r w:rsidRPr="006757FB">
        <w:rPr>
          <w:szCs w:val="24"/>
        </w:rPr>
        <w:t>●</w:t>
      </w:r>
      <w:r w:rsidRPr="006757FB">
        <w:rPr>
          <w:szCs w:val="24"/>
        </w:rPr>
        <w:tab/>
      </w:r>
      <w:r w:rsidRPr="00D84BB0">
        <w:rPr>
          <w:szCs w:val="24"/>
        </w:rPr>
        <w:t xml:space="preserve">Reviewing monitoring plans and monitoring system certification applications; </w:t>
      </w:r>
    </w:p>
    <w:p w14:paraId="20B8A4EF" w14:textId="3D52402A" w:rsidR="000C02E9" w:rsidRPr="00D84BB0" w:rsidRDefault="00D84BB0" w:rsidP="00D84BB0">
      <w:pPr>
        <w:suppressAutoHyphens/>
        <w:autoSpaceDE w:val="0"/>
        <w:autoSpaceDN w:val="0"/>
        <w:adjustRightInd w:val="0"/>
        <w:spacing w:before="120" w:after="120"/>
        <w:ind w:left="720" w:hanging="360"/>
        <w:rPr>
          <w:szCs w:val="24"/>
        </w:rPr>
      </w:pPr>
      <w:r w:rsidRPr="006757FB">
        <w:rPr>
          <w:szCs w:val="24"/>
        </w:rPr>
        <w:lastRenderedPageBreak/>
        <w:t>●</w:t>
      </w:r>
      <w:r w:rsidRPr="006757FB">
        <w:rPr>
          <w:szCs w:val="24"/>
        </w:rPr>
        <w:tab/>
      </w:r>
      <w:r w:rsidR="000C02E9" w:rsidRPr="00D84BB0">
        <w:rPr>
          <w:szCs w:val="24"/>
        </w:rPr>
        <w:t xml:space="preserve">Receiving, reviewing, and storing </w:t>
      </w:r>
      <w:r w:rsidR="0096231A" w:rsidRPr="00D84BB0">
        <w:rPr>
          <w:szCs w:val="24"/>
        </w:rPr>
        <w:t xml:space="preserve">the </w:t>
      </w:r>
      <w:r w:rsidR="000C02E9" w:rsidRPr="00D84BB0">
        <w:rPr>
          <w:szCs w:val="24"/>
        </w:rPr>
        <w:t>emission</w:t>
      </w:r>
      <w:r w:rsidR="0096231A" w:rsidRPr="00D84BB0">
        <w:rPr>
          <w:szCs w:val="24"/>
        </w:rPr>
        <w:t>s</w:t>
      </w:r>
      <w:r w:rsidR="00687275" w:rsidRPr="00D84BB0">
        <w:rPr>
          <w:szCs w:val="24"/>
        </w:rPr>
        <w:t xml:space="preserve"> </w:t>
      </w:r>
      <w:r w:rsidR="0096231A" w:rsidRPr="00D84BB0">
        <w:rPr>
          <w:szCs w:val="24"/>
        </w:rPr>
        <w:t xml:space="preserve">and heat input </w:t>
      </w:r>
      <w:r w:rsidR="00687275" w:rsidRPr="00D84BB0">
        <w:rPr>
          <w:szCs w:val="24"/>
        </w:rPr>
        <w:t xml:space="preserve">data submitted by each </w:t>
      </w:r>
      <w:r w:rsidR="0096231A" w:rsidRPr="00D84BB0">
        <w:rPr>
          <w:szCs w:val="24"/>
        </w:rPr>
        <w:t xml:space="preserve">affected </w:t>
      </w:r>
      <w:r w:rsidR="0064514F" w:rsidRPr="00D84BB0">
        <w:rPr>
          <w:szCs w:val="24"/>
        </w:rPr>
        <w:t>source</w:t>
      </w:r>
      <w:r w:rsidR="000C02E9" w:rsidRPr="00D84BB0">
        <w:rPr>
          <w:szCs w:val="24"/>
        </w:rPr>
        <w:t>;</w:t>
      </w:r>
    </w:p>
    <w:p w14:paraId="14511706" w14:textId="17745930" w:rsidR="00D84BB0" w:rsidRPr="00D84BB0" w:rsidRDefault="00D84BB0" w:rsidP="00D84BB0">
      <w:pPr>
        <w:suppressAutoHyphens/>
        <w:autoSpaceDE w:val="0"/>
        <w:autoSpaceDN w:val="0"/>
        <w:adjustRightInd w:val="0"/>
        <w:spacing w:before="120" w:after="120"/>
        <w:ind w:left="720" w:hanging="360"/>
        <w:rPr>
          <w:szCs w:val="24"/>
        </w:rPr>
      </w:pPr>
      <w:r w:rsidRPr="006757FB">
        <w:rPr>
          <w:szCs w:val="24"/>
        </w:rPr>
        <w:t>●</w:t>
      </w:r>
      <w:r w:rsidRPr="006757FB">
        <w:rPr>
          <w:szCs w:val="24"/>
        </w:rPr>
        <w:tab/>
      </w:r>
      <w:r w:rsidR="000C02E9" w:rsidRPr="00D84BB0">
        <w:rPr>
          <w:szCs w:val="24"/>
        </w:rPr>
        <w:t xml:space="preserve">Processing </w:t>
      </w:r>
      <w:r w:rsidR="00687275" w:rsidRPr="00D84BB0">
        <w:rPr>
          <w:szCs w:val="24"/>
        </w:rPr>
        <w:t xml:space="preserve">and updating </w:t>
      </w:r>
      <w:r w:rsidR="0096231A" w:rsidRPr="00D84BB0">
        <w:rPr>
          <w:szCs w:val="24"/>
        </w:rPr>
        <w:t xml:space="preserve">the </w:t>
      </w:r>
      <w:r w:rsidR="00687275" w:rsidRPr="00D84BB0">
        <w:rPr>
          <w:szCs w:val="24"/>
        </w:rPr>
        <w:t xml:space="preserve">data submitted by </w:t>
      </w:r>
      <w:r w:rsidR="0064514F" w:rsidRPr="00D84BB0">
        <w:rPr>
          <w:szCs w:val="24"/>
        </w:rPr>
        <w:t>sources</w:t>
      </w:r>
      <w:r w:rsidR="000C02E9" w:rsidRPr="00D84BB0">
        <w:rPr>
          <w:szCs w:val="24"/>
        </w:rPr>
        <w:t>, including performing quality</w:t>
      </w:r>
      <w:r w:rsidR="00941414" w:rsidRPr="00D84BB0">
        <w:rPr>
          <w:szCs w:val="24"/>
        </w:rPr>
        <w:t xml:space="preserve"> </w:t>
      </w:r>
      <w:r w:rsidR="000C02E9" w:rsidRPr="00D84BB0">
        <w:rPr>
          <w:szCs w:val="24"/>
        </w:rPr>
        <w:t>assurance of data and coordinati</w:t>
      </w:r>
      <w:r w:rsidR="0096231A" w:rsidRPr="00D84BB0">
        <w:rPr>
          <w:szCs w:val="24"/>
        </w:rPr>
        <w:t>ng</w:t>
      </w:r>
      <w:r w:rsidR="000C02E9" w:rsidRPr="00D84BB0">
        <w:rPr>
          <w:szCs w:val="24"/>
        </w:rPr>
        <w:t xml:space="preserve"> efforts to resolve errors and anomalies; </w:t>
      </w:r>
    </w:p>
    <w:p w14:paraId="6F5E5819" w14:textId="03445B48" w:rsidR="00D84BB0" w:rsidRPr="00D84BB0" w:rsidRDefault="00D84BB0" w:rsidP="00D84BB0">
      <w:pPr>
        <w:suppressAutoHyphens/>
        <w:autoSpaceDE w:val="0"/>
        <w:autoSpaceDN w:val="0"/>
        <w:adjustRightInd w:val="0"/>
        <w:spacing w:before="120" w:after="120"/>
        <w:ind w:left="720" w:hanging="360"/>
        <w:rPr>
          <w:szCs w:val="24"/>
        </w:rPr>
      </w:pPr>
      <w:r w:rsidRPr="006757FB">
        <w:rPr>
          <w:szCs w:val="24"/>
        </w:rPr>
        <w:t>●</w:t>
      </w:r>
      <w:r w:rsidRPr="006757FB">
        <w:rPr>
          <w:szCs w:val="24"/>
        </w:rPr>
        <w:tab/>
      </w:r>
      <w:r w:rsidRPr="00D84BB0">
        <w:rPr>
          <w:szCs w:val="24"/>
        </w:rPr>
        <w:t xml:space="preserve">Maintaining and administering the allowance </w:t>
      </w:r>
      <w:r w:rsidR="009724E2">
        <w:rPr>
          <w:szCs w:val="24"/>
        </w:rPr>
        <w:t xml:space="preserve">transfer and </w:t>
      </w:r>
      <w:r w:rsidRPr="00D84BB0">
        <w:rPr>
          <w:szCs w:val="24"/>
        </w:rPr>
        <w:t>tracking system;</w:t>
      </w:r>
    </w:p>
    <w:p w14:paraId="24C9C9D9" w14:textId="1BC69DE4" w:rsidR="00D84BB0" w:rsidRPr="00D84BB0" w:rsidRDefault="00D84BB0" w:rsidP="00D84BB0">
      <w:pPr>
        <w:suppressAutoHyphens/>
        <w:autoSpaceDE w:val="0"/>
        <w:autoSpaceDN w:val="0"/>
        <w:adjustRightInd w:val="0"/>
        <w:spacing w:before="120" w:after="120"/>
        <w:ind w:left="720" w:hanging="360"/>
        <w:rPr>
          <w:szCs w:val="24"/>
        </w:rPr>
      </w:pPr>
      <w:r w:rsidRPr="006757FB">
        <w:rPr>
          <w:szCs w:val="24"/>
        </w:rPr>
        <w:t>●</w:t>
      </w:r>
      <w:r w:rsidRPr="006757FB">
        <w:rPr>
          <w:szCs w:val="24"/>
        </w:rPr>
        <w:tab/>
      </w:r>
      <w:r w:rsidRPr="00D84BB0">
        <w:rPr>
          <w:szCs w:val="24"/>
        </w:rPr>
        <w:t xml:space="preserve">Allocating allowances to affected units and recording allocations; </w:t>
      </w:r>
    </w:p>
    <w:p w14:paraId="3034325A" w14:textId="2DA3ECDA" w:rsidR="00D84BB0" w:rsidRPr="00D84BB0" w:rsidRDefault="00D84BB0" w:rsidP="00D84BB0">
      <w:pPr>
        <w:suppressAutoHyphens/>
        <w:autoSpaceDE w:val="0"/>
        <w:autoSpaceDN w:val="0"/>
        <w:adjustRightInd w:val="0"/>
        <w:spacing w:before="120" w:after="120"/>
        <w:ind w:left="720" w:hanging="360"/>
        <w:rPr>
          <w:szCs w:val="24"/>
        </w:rPr>
      </w:pPr>
      <w:r w:rsidRPr="006757FB">
        <w:rPr>
          <w:szCs w:val="24"/>
        </w:rPr>
        <w:t>●</w:t>
      </w:r>
      <w:r w:rsidRPr="006757FB">
        <w:rPr>
          <w:szCs w:val="24"/>
        </w:rPr>
        <w:tab/>
      </w:r>
      <w:r w:rsidRPr="00D84BB0">
        <w:rPr>
          <w:szCs w:val="24"/>
        </w:rPr>
        <w:t>Calculating and reviewing annual emissions from affected sources, and aggregating such annual emissions for compliance assurance purposes,</w:t>
      </w:r>
    </w:p>
    <w:p w14:paraId="105C911E" w14:textId="04C22371" w:rsidR="000C02E9" w:rsidRPr="00D84BB0" w:rsidRDefault="00D84BB0" w:rsidP="00D84BB0">
      <w:pPr>
        <w:suppressAutoHyphens/>
        <w:autoSpaceDE w:val="0"/>
        <w:autoSpaceDN w:val="0"/>
        <w:adjustRightInd w:val="0"/>
        <w:spacing w:before="120" w:after="120"/>
        <w:ind w:left="720" w:hanging="360"/>
        <w:rPr>
          <w:szCs w:val="24"/>
        </w:rPr>
      </w:pPr>
      <w:r w:rsidRPr="006757FB">
        <w:rPr>
          <w:szCs w:val="24"/>
        </w:rPr>
        <w:t>●</w:t>
      </w:r>
      <w:r w:rsidRPr="006757FB">
        <w:rPr>
          <w:szCs w:val="24"/>
        </w:rPr>
        <w:tab/>
      </w:r>
      <w:r w:rsidRPr="00D84BB0">
        <w:rPr>
          <w:szCs w:val="24"/>
        </w:rPr>
        <w:t xml:space="preserve">Reviewing total annual emissions data submitted to track each state's progress toward meeting its budgets and creating a summary report of emissions; </w:t>
      </w:r>
      <w:r w:rsidR="000C02E9" w:rsidRPr="00D84BB0">
        <w:rPr>
          <w:szCs w:val="24"/>
        </w:rPr>
        <w:t>and</w:t>
      </w:r>
    </w:p>
    <w:p w14:paraId="5E44833E" w14:textId="26D65B07" w:rsidR="000C02E9" w:rsidRPr="00D84BB0" w:rsidRDefault="00D84BB0" w:rsidP="00D84BB0">
      <w:pPr>
        <w:suppressAutoHyphens/>
        <w:autoSpaceDE w:val="0"/>
        <w:autoSpaceDN w:val="0"/>
        <w:adjustRightInd w:val="0"/>
        <w:spacing w:before="120" w:after="120"/>
        <w:ind w:left="720" w:hanging="360"/>
        <w:rPr>
          <w:szCs w:val="24"/>
        </w:rPr>
      </w:pPr>
      <w:r w:rsidRPr="006757FB">
        <w:rPr>
          <w:szCs w:val="24"/>
        </w:rPr>
        <w:t>●</w:t>
      </w:r>
      <w:r w:rsidRPr="006757FB">
        <w:rPr>
          <w:szCs w:val="24"/>
        </w:rPr>
        <w:tab/>
      </w:r>
      <w:r w:rsidR="000C02E9" w:rsidRPr="00D84BB0">
        <w:rPr>
          <w:szCs w:val="24"/>
        </w:rPr>
        <w:t>Fulfilling information requests.</w:t>
      </w:r>
    </w:p>
    <w:p w14:paraId="595FB0DE" w14:textId="77777777" w:rsidR="00D314FB" w:rsidRPr="006757FB" w:rsidRDefault="00D314FB" w:rsidP="006757FB">
      <w:pPr>
        <w:suppressAutoHyphens/>
        <w:autoSpaceDE w:val="0"/>
        <w:autoSpaceDN w:val="0"/>
        <w:adjustRightInd w:val="0"/>
        <w:spacing w:before="120" w:after="120"/>
        <w:rPr>
          <w:b/>
          <w:bCs/>
          <w:szCs w:val="24"/>
        </w:rPr>
      </w:pPr>
    </w:p>
    <w:p w14:paraId="47112D35" w14:textId="77777777" w:rsidR="000C02E9" w:rsidRPr="006757FB" w:rsidRDefault="000C02E9" w:rsidP="006757FB">
      <w:pPr>
        <w:keepNext/>
        <w:suppressAutoHyphens/>
        <w:autoSpaceDE w:val="0"/>
        <w:autoSpaceDN w:val="0"/>
        <w:adjustRightInd w:val="0"/>
        <w:spacing w:before="120" w:after="120"/>
        <w:ind w:left="360"/>
        <w:rPr>
          <w:b/>
          <w:bCs/>
          <w:szCs w:val="24"/>
        </w:rPr>
      </w:pPr>
      <w:r w:rsidRPr="006757FB">
        <w:rPr>
          <w:b/>
          <w:bCs/>
          <w:szCs w:val="24"/>
        </w:rPr>
        <w:t>5</w:t>
      </w:r>
      <w:r w:rsidR="00E86F33" w:rsidRPr="006757FB">
        <w:rPr>
          <w:b/>
          <w:bCs/>
          <w:szCs w:val="24"/>
        </w:rPr>
        <w:t xml:space="preserve">.2  </w:t>
      </w:r>
      <w:r w:rsidRPr="006757FB">
        <w:rPr>
          <w:b/>
          <w:bCs/>
          <w:szCs w:val="24"/>
        </w:rPr>
        <w:t>Collection Methodology and Management</w:t>
      </w:r>
    </w:p>
    <w:p w14:paraId="3BECDC5D" w14:textId="011C503B" w:rsidR="000C02E9" w:rsidRPr="006757FB" w:rsidRDefault="000C02E9" w:rsidP="006757FB">
      <w:pPr>
        <w:keepNext/>
        <w:suppressAutoHyphens/>
        <w:autoSpaceDE w:val="0"/>
        <w:autoSpaceDN w:val="0"/>
        <w:adjustRightInd w:val="0"/>
        <w:spacing w:before="120" w:after="120"/>
        <w:ind w:firstLine="720"/>
        <w:rPr>
          <w:szCs w:val="24"/>
        </w:rPr>
      </w:pPr>
      <w:r w:rsidRPr="006757FB">
        <w:rPr>
          <w:szCs w:val="24"/>
        </w:rPr>
        <w:t>To ensure consistency and to expedite data entry, EPA requires that standard</w:t>
      </w:r>
      <w:r w:rsidR="00941414" w:rsidRPr="006757FB">
        <w:rPr>
          <w:szCs w:val="24"/>
        </w:rPr>
        <w:t xml:space="preserve"> </w:t>
      </w:r>
      <w:r w:rsidR="00265195">
        <w:rPr>
          <w:szCs w:val="24"/>
        </w:rPr>
        <w:t xml:space="preserve">data </w:t>
      </w:r>
      <w:r w:rsidR="00D56CFE" w:rsidRPr="006757FB">
        <w:rPr>
          <w:szCs w:val="24"/>
        </w:rPr>
        <w:t xml:space="preserve">formats under 40 CFR part 75 </w:t>
      </w:r>
      <w:r w:rsidRPr="006757FB">
        <w:rPr>
          <w:szCs w:val="24"/>
        </w:rPr>
        <w:t xml:space="preserve">be used to submit the information collected for </w:t>
      </w:r>
      <w:r w:rsidR="00C22164">
        <w:rPr>
          <w:szCs w:val="24"/>
        </w:rPr>
        <w:t>CSAPR</w:t>
      </w:r>
      <w:r w:rsidRPr="006757FB">
        <w:rPr>
          <w:szCs w:val="24"/>
        </w:rPr>
        <w:t>.</w:t>
      </w:r>
    </w:p>
    <w:p w14:paraId="7D73A8C9" w14:textId="5AF3A196" w:rsidR="000C02E9" w:rsidRPr="006757FB" w:rsidRDefault="000C02E9" w:rsidP="006757FB">
      <w:pPr>
        <w:suppressAutoHyphens/>
        <w:autoSpaceDE w:val="0"/>
        <w:autoSpaceDN w:val="0"/>
        <w:adjustRightInd w:val="0"/>
        <w:spacing w:before="120" w:after="120"/>
        <w:ind w:firstLine="720"/>
        <w:rPr>
          <w:szCs w:val="24"/>
        </w:rPr>
      </w:pPr>
      <w:r w:rsidRPr="006757FB">
        <w:rPr>
          <w:szCs w:val="24"/>
        </w:rPr>
        <w:t xml:space="preserve">Several computer systems and associated databases have been developed to </w:t>
      </w:r>
      <w:r w:rsidR="0087091F" w:rsidRPr="006757FB">
        <w:rPr>
          <w:szCs w:val="24"/>
        </w:rPr>
        <w:t>(</w:t>
      </w:r>
      <w:r w:rsidR="0087091F">
        <w:rPr>
          <w:szCs w:val="24"/>
        </w:rPr>
        <w:t>1</w:t>
      </w:r>
      <w:r w:rsidR="0087091F" w:rsidRPr="006757FB">
        <w:rPr>
          <w:szCs w:val="24"/>
        </w:rPr>
        <w:t xml:space="preserve">) record quarterly emissions monitoring data, </w:t>
      </w:r>
      <w:r w:rsidRPr="006757FB">
        <w:rPr>
          <w:szCs w:val="24"/>
        </w:rPr>
        <w:t>(</w:t>
      </w:r>
      <w:r w:rsidR="0087091F">
        <w:rPr>
          <w:szCs w:val="24"/>
        </w:rPr>
        <w:t>2</w:t>
      </w:r>
      <w:r w:rsidRPr="006757FB">
        <w:rPr>
          <w:szCs w:val="24"/>
        </w:rPr>
        <w:t>) track</w:t>
      </w:r>
      <w:r w:rsidR="00941414" w:rsidRPr="006757FB">
        <w:rPr>
          <w:szCs w:val="24"/>
        </w:rPr>
        <w:t xml:space="preserve"> </w:t>
      </w:r>
      <w:r w:rsidR="00897F31" w:rsidRPr="006757FB">
        <w:rPr>
          <w:szCs w:val="24"/>
        </w:rPr>
        <w:t xml:space="preserve">allowance </w:t>
      </w:r>
      <w:r w:rsidR="009724E2">
        <w:rPr>
          <w:szCs w:val="24"/>
        </w:rPr>
        <w:t xml:space="preserve">transfer </w:t>
      </w:r>
      <w:r w:rsidR="00897F31" w:rsidRPr="006757FB">
        <w:rPr>
          <w:szCs w:val="24"/>
        </w:rPr>
        <w:t>activity</w:t>
      </w:r>
      <w:r w:rsidRPr="006757FB">
        <w:rPr>
          <w:szCs w:val="24"/>
        </w:rPr>
        <w:t>, and (3) calculate the number of</w:t>
      </w:r>
      <w:r w:rsidR="00941414" w:rsidRPr="006757FB">
        <w:rPr>
          <w:szCs w:val="24"/>
        </w:rPr>
        <w:t xml:space="preserve"> </w:t>
      </w:r>
      <w:r w:rsidRPr="006757FB">
        <w:rPr>
          <w:szCs w:val="24"/>
        </w:rPr>
        <w:t>allowances to be deducted each year</w:t>
      </w:r>
      <w:r w:rsidR="003972B1" w:rsidRPr="006757FB">
        <w:rPr>
          <w:szCs w:val="24"/>
        </w:rPr>
        <w:t xml:space="preserve">.  </w:t>
      </w:r>
      <w:r w:rsidRPr="006757FB">
        <w:rPr>
          <w:szCs w:val="24"/>
        </w:rPr>
        <w:t>The</w:t>
      </w:r>
      <w:r w:rsidR="008B73DB" w:rsidRPr="006757FB">
        <w:rPr>
          <w:szCs w:val="24"/>
        </w:rPr>
        <w:t>se</w:t>
      </w:r>
      <w:r w:rsidRPr="006757FB">
        <w:rPr>
          <w:szCs w:val="24"/>
        </w:rPr>
        <w:t xml:space="preserve"> systems and database</w:t>
      </w:r>
      <w:r w:rsidR="008B73DB" w:rsidRPr="006757FB">
        <w:rPr>
          <w:szCs w:val="24"/>
        </w:rPr>
        <w:t xml:space="preserve">s are designed to provide </w:t>
      </w:r>
      <w:r w:rsidRPr="006757FB">
        <w:rPr>
          <w:szCs w:val="24"/>
        </w:rPr>
        <w:t xml:space="preserve">easy access </w:t>
      </w:r>
      <w:r w:rsidR="008B73DB" w:rsidRPr="006757FB">
        <w:rPr>
          <w:szCs w:val="24"/>
        </w:rPr>
        <w:t xml:space="preserve">to information for </w:t>
      </w:r>
      <w:r w:rsidRPr="006757FB">
        <w:rPr>
          <w:szCs w:val="24"/>
        </w:rPr>
        <w:t xml:space="preserve">use by the Agency, </w:t>
      </w:r>
      <w:r w:rsidR="00687275" w:rsidRPr="006757FB">
        <w:rPr>
          <w:szCs w:val="24"/>
        </w:rPr>
        <w:t>s</w:t>
      </w:r>
      <w:r w:rsidR="009D2B68" w:rsidRPr="006757FB">
        <w:rPr>
          <w:szCs w:val="24"/>
        </w:rPr>
        <w:t>tate</w:t>
      </w:r>
      <w:r w:rsidR="008B73DB" w:rsidRPr="006757FB">
        <w:rPr>
          <w:szCs w:val="24"/>
        </w:rPr>
        <w:t xml:space="preserve">s, regulated community, and general </w:t>
      </w:r>
      <w:r w:rsidRPr="006757FB">
        <w:rPr>
          <w:szCs w:val="24"/>
        </w:rPr>
        <w:t>public.</w:t>
      </w:r>
      <w:r w:rsidR="0009346A">
        <w:rPr>
          <w:szCs w:val="24"/>
        </w:rPr>
        <w:t xml:space="preserve">  For example, EPA also uses these systems to help answer respondent questions and to conduct audits of data submissions.</w:t>
      </w:r>
    </w:p>
    <w:p w14:paraId="19397E03" w14:textId="1B340989" w:rsidR="000C02E9" w:rsidRPr="006757FB" w:rsidRDefault="008B73DB" w:rsidP="006757FB">
      <w:pPr>
        <w:suppressAutoHyphens/>
        <w:autoSpaceDE w:val="0"/>
        <w:autoSpaceDN w:val="0"/>
        <w:adjustRightInd w:val="0"/>
        <w:spacing w:before="120" w:after="120"/>
        <w:ind w:firstLine="720"/>
        <w:rPr>
          <w:szCs w:val="24"/>
        </w:rPr>
      </w:pPr>
      <w:r w:rsidRPr="006757FB">
        <w:rPr>
          <w:szCs w:val="24"/>
        </w:rPr>
        <w:t xml:space="preserve">EPA </w:t>
      </w:r>
      <w:r w:rsidR="000C02E9" w:rsidRPr="006757FB">
        <w:rPr>
          <w:szCs w:val="24"/>
        </w:rPr>
        <w:t xml:space="preserve">has </w:t>
      </w:r>
      <w:r w:rsidRPr="006757FB">
        <w:rPr>
          <w:szCs w:val="24"/>
        </w:rPr>
        <w:t xml:space="preserve">also </w:t>
      </w:r>
      <w:r w:rsidR="000C02E9" w:rsidRPr="006757FB">
        <w:rPr>
          <w:szCs w:val="24"/>
        </w:rPr>
        <w:t xml:space="preserve">established a Clean Air Markets </w:t>
      </w:r>
      <w:r w:rsidR="00924E7C" w:rsidRPr="006757FB">
        <w:rPr>
          <w:szCs w:val="24"/>
        </w:rPr>
        <w:t>website</w:t>
      </w:r>
      <w:r w:rsidR="000C02E9" w:rsidRPr="006757FB">
        <w:rPr>
          <w:szCs w:val="24"/>
        </w:rPr>
        <w:t xml:space="preserve"> </w:t>
      </w:r>
      <w:r w:rsidR="00265195">
        <w:rPr>
          <w:szCs w:val="24"/>
        </w:rPr>
        <w:t xml:space="preserve">that </w:t>
      </w:r>
      <w:r w:rsidR="000C02E9" w:rsidRPr="006757FB">
        <w:rPr>
          <w:szCs w:val="24"/>
        </w:rPr>
        <w:t>includes</w:t>
      </w:r>
      <w:r w:rsidR="00941414" w:rsidRPr="006757FB">
        <w:rPr>
          <w:szCs w:val="24"/>
        </w:rPr>
        <w:t xml:space="preserve"> detailed</w:t>
      </w:r>
      <w:r w:rsidR="000C02E9" w:rsidRPr="006757FB">
        <w:rPr>
          <w:szCs w:val="24"/>
        </w:rPr>
        <w:t xml:space="preserve"> information collected from emissions reports</w:t>
      </w:r>
      <w:r w:rsidR="003972B1" w:rsidRPr="006757FB">
        <w:rPr>
          <w:szCs w:val="24"/>
        </w:rPr>
        <w:t xml:space="preserve">.  </w:t>
      </w:r>
      <w:r w:rsidRPr="006757FB">
        <w:rPr>
          <w:szCs w:val="24"/>
        </w:rPr>
        <w:t>Those without access to the i</w:t>
      </w:r>
      <w:r w:rsidR="000C02E9" w:rsidRPr="006757FB">
        <w:rPr>
          <w:szCs w:val="24"/>
        </w:rPr>
        <w:t>nternet may</w:t>
      </w:r>
      <w:r w:rsidR="00941414" w:rsidRPr="006757FB">
        <w:rPr>
          <w:szCs w:val="24"/>
        </w:rPr>
        <w:t xml:space="preserve"> </w:t>
      </w:r>
      <w:r w:rsidR="000C02E9" w:rsidRPr="006757FB">
        <w:rPr>
          <w:szCs w:val="24"/>
        </w:rPr>
        <w:t>use the Clean Air Markets Hotline to request information, including summary reports</w:t>
      </w:r>
      <w:r w:rsidR="003972B1" w:rsidRPr="006757FB">
        <w:rPr>
          <w:szCs w:val="24"/>
        </w:rPr>
        <w:t xml:space="preserve">.  </w:t>
      </w:r>
    </w:p>
    <w:p w14:paraId="4DA40AC3" w14:textId="77777777" w:rsidR="00D314FB" w:rsidRPr="006757FB" w:rsidRDefault="00D314FB" w:rsidP="006757FB">
      <w:pPr>
        <w:suppressAutoHyphens/>
        <w:autoSpaceDE w:val="0"/>
        <w:autoSpaceDN w:val="0"/>
        <w:adjustRightInd w:val="0"/>
        <w:spacing w:before="120" w:after="120"/>
        <w:rPr>
          <w:b/>
          <w:bCs/>
          <w:szCs w:val="24"/>
        </w:rPr>
      </w:pPr>
    </w:p>
    <w:p w14:paraId="293DB43B" w14:textId="77777777" w:rsidR="000C02E9" w:rsidRPr="006757FB" w:rsidRDefault="000C02E9" w:rsidP="006757FB">
      <w:pPr>
        <w:keepNext/>
        <w:suppressAutoHyphens/>
        <w:autoSpaceDE w:val="0"/>
        <w:autoSpaceDN w:val="0"/>
        <w:adjustRightInd w:val="0"/>
        <w:spacing w:before="120" w:after="120"/>
        <w:ind w:left="360"/>
        <w:rPr>
          <w:b/>
          <w:bCs/>
          <w:szCs w:val="24"/>
        </w:rPr>
      </w:pPr>
      <w:r w:rsidRPr="006757FB">
        <w:rPr>
          <w:b/>
          <w:bCs/>
          <w:szCs w:val="24"/>
        </w:rPr>
        <w:t>5</w:t>
      </w:r>
      <w:r w:rsidR="00E86F33" w:rsidRPr="006757FB">
        <w:rPr>
          <w:b/>
          <w:bCs/>
          <w:szCs w:val="24"/>
        </w:rPr>
        <w:t xml:space="preserve">.3 </w:t>
      </w:r>
      <w:r w:rsidRPr="006757FB">
        <w:rPr>
          <w:b/>
          <w:bCs/>
          <w:szCs w:val="24"/>
        </w:rPr>
        <w:t xml:space="preserve"> Small Entity Flexibility</w:t>
      </w:r>
    </w:p>
    <w:p w14:paraId="53A88145" w14:textId="1693FE6A" w:rsidR="00E60592" w:rsidRDefault="00224F3C" w:rsidP="006757FB">
      <w:pPr>
        <w:suppressAutoHyphens/>
        <w:autoSpaceDE w:val="0"/>
        <w:autoSpaceDN w:val="0"/>
        <w:adjustRightInd w:val="0"/>
        <w:spacing w:before="120" w:after="120"/>
        <w:ind w:firstLine="720"/>
        <w:rPr>
          <w:szCs w:val="24"/>
        </w:rPr>
      </w:pPr>
      <w:r>
        <w:rPr>
          <w:szCs w:val="24"/>
        </w:rPr>
        <w:t xml:space="preserve">CSAPR allows use of the range of emissions monitoring and reporting options provided under 40 CFR part 75.  </w:t>
      </w:r>
      <w:r w:rsidR="00F174ED">
        <w:rPr>
          <w:szCs w:val="24"/>
        </w:rPr>
        <w:t>Units</w:t>
      </w:r>
      <w:r w:rsidR="00A50E7A">
        <w:rPr>
          <w:szCs w:val="24"/>
        </w:rPr>
        <w:t xml:space="preserve"> combusting coal generally must use CEMS for </w:t>
      </w:r>
      <w:r w:rsidR="00A50E7A" w:rsidRPr="00A50E7A">
        <w:rPr>
          <w:szCs w:val="24"/>
        </w:rPr>
        <w:t>NO</w:t>
      </w:r>
      <w:r w:rsidR="00A50E7A" w:rsidRPr="00A50E7A">
        <w:rPr>
          <w:szCs w:val="24"/>
          <w:vertAlign w:val="subscript"/>
        </w:rPr>
        <w:t>X</w:t>
      </w:r>
      <w:r w:rsidR="00A50E7A">
        <w:rPr>
          <w:szCs w:val="24"/>
        </w:rPr>
        <w:t xml:space="preserve">, </w:t>
      </w:r>
      <w:r w:rsidR="00A50E7A" w:rsidRPr="00A50E7A">
        <w:rPr>
          <w:szCs w:val="24"/>
        </w:rPr>
        <w:t>SO</w:t>
      </w:r>
      <w:r w:rsidR="00A50E7A" w:rsidRPr="00A50E7A">
        <w:rPr>
          <w:szCs w:val="24"/>
          <w:vertAlign w:val="subscript"/>
        </w:rPr>
        <w:t>2</w:t>
      </w:r>
      <w:r w:rsidR="00A50E7A">
        <w:rPr>
          <w:szCs w:val="24"/>
        </w:rPr>
        <w:t xml:space="preserve">, and heat input that include equipment to continuously monitor flue gas flow and flue gas concentrations of </w:t>
      </w:r>
      <w:r w:rsidR="00A50E7A" w:rsidRPr="00A50E7A">
        <w:rPr>
          <w:szCs w:val="24"/>
        </w:rPr>
        <w:t>NO</w:t>
      </w:r>
      <w:r w:rsidR="00A50E7A" w:rsidRPr="00A50E7A">
        <w:rPr>
          <w:szCs w:val="24"/>
          <w:vertAlign w:val="subscript"/>
        </w:rPr>
        <w:t>X</w:t>
      </w:r>
      <w:r w:rsidR="00A50E7A">
        <w:rPr>
          <w:szCs w:val="24"/>
        </w:rPr>
        <w:t xml:space="preserve">, </w:t>
      </w:r>
      <w:r w:rsidR="00A50E7A" w:rsidRPr="00A50E7A">
        <w:rPr>
          <w:szCs w:val="24"/>
        </w:rPr>
        <w:t>SO</w:t>
      </w:r>
      <w:r w:rsidR="00A50E7A" w:rsidRPr="00A50E7A">
        <w:rPr>
          <w:szCs w:val="24"/>
          <w:vertAlign w:val="subscript"/>
        </w:rPr>
        <w:t>2</w:t>
      </w:r>
      <w:r w:rsidR="00A50E7A">
        <w:rPr>
          <w:szCs w:val="24"/>
        </w:rPr>
        <w:t xml:space="preserve">, and </w:t>
      </w:r>
      <w:r w:rsidR="006D6E86">
        <w:rPr>
          <w:szCs w:val="24"/>
        </w:rPr>
        <w:t>either oxygen (O</w:t>
      </w:r>
      <w:r w:rsidR="006D6E86" w:rsidRPr="006D6E86">
        <w:rPr>
          <w:szCs w:val="24"/>
          <w:vertAlign w:val="subscript"/>
        </w:rPr>
        <w:t>2</w:t>
      </w:r>
      <w:r w:rsidR="006D6E86">
        <w:rPr>
          <w:szCs w:val="24"/>
        </w:rPr>
        <w:t>) or carbon dioxide (</w:t>
      </w:r>
      <w:r w:rsidR="006D6E86" w:rsidRPr="006D6E86">
        <w:rPr>
          <w:szCs w:val="24"/>
        </w:rPr>
        <w:t>CO</w:t>
      </w:r>
      <w:r w:rsidR="006D6E86" w:rsidRPr="006D6E86">
        <w:rPr>
          <w:szCs w:val="24"/>
          <w:vertAlign w:val="subscript"/>
        </w:rPr>
        <w:t>2</w:t>
      </w:r>
      <w:r w:rsidR="006D6E86">
        <w:rPr>
          <w:szCs w:val="24"/>
        </w:rPr>
        <w:t>)</w:t>
      </w:r>
      <w:r w:rsidR="00A50E7A">
        <w:rPr>
          <w:szCs w:val="24"/>
        </w:rPr>
        <w:t xml:space="preserve">.  </w:t>
      </w:r>
      <w:r w:rsidR="00E05193">
        <w:rPr>
          <w:szCs w:val="24"/>
        </w:rPr>
        <w:t xml:space="preserve">Under options described in appendix D to part 75, </w:t>
      </w:r>
      <w:r w:rsidR="00F174ED">
        <w:rPr>
          <w:szCs w:val="24"/>
        </w:rPr>
        <w:t>unit</w:t>
      </w:r>
      <w:r>
        <w:rPr>
          <w:szCs w:val="24"/>
        </w:rPr>
        <w:t xml:space="preserve">s combusting exclusively natural gas </w:t>
      </w:r>
      <w:r w:rsidR="00E60592">
        <w:rPr>
          <w:szCs w:val="24"/>
        </w:rPr>
        <w:t xml:space="preserve">and fuel </w:t>
      </w:r>
      <w:r>
        <w:rPr>
          <w:szCs w:val="24"/>
        </w:rPr>
        <w:t xml:space="preserve">oil </w:t>
      </w:r>
      <w:r w:rsidR="00E05193">
        <w:rPr>
          <w:szCs w:val="24"/>
        </w:rPr>
        <w:t xml:space="preserve">may </w:t>
      </w:r>
      <w:r w:rsidR="00AA7BBC">
        <w:rPr>
          <w:szCs w:val="24"/>
        </w:rPr>
        <w:t xml:space="preserve">monitor </w:t>
      </w:r>
      <w:r>
        <w:rPr>
          <w:szCs w:val="24"/>
        </w:rPr>
        <w:t xml:space="preserve">fuel flow instead of flue gas flow </w:t>
      </w:r>
      <w:r w:rsidR="00E60592">
        <w:rPr>
          <w:szCs w:val="24"/>
        </w:rPr>
        <w:t xml:space="preserve">and </w:t>
      </w:r>
      <w:r w:rsidR="007D66D9">
        <w:rPr>
          <w:szCs w:val="24"/>
        </w:rPr>
        <w:t xml:space="preserve">(where </w:t>
      </w:r>
      <w:r w:rsidR="007D66D9" w:rsidRPr="007D66D9">
        <w:rPr>
          <w:szCs w:val="24"/>
        </w:rPr>
        <w:t>SO</w:t>
      </w:r>
      <w:r w:rsidR="007D66D9" w:rsidRPr="007D66D9">
        <w:rPr>
          <w:szCs w:val="24"/>
          <w:vertAlign w:val="subscript"/>
        </w:rPr>
        <w:t>2</w:t>
      </w:r>
      <w:r w:rsidR="007D66D9">
        <w:rPr>
          <w:szCs w:val="24"/>
        </w:rPr>
        <w:t xml:space="preserve"> reporting is required) </w:t>
      </w:r>
      <w:r w:rsidR="00E05193">
        <w:rPr>
          <w:szCs w:val="24"/>
        </w:rPr>
        <w:t xml:space="preserve">may </w:t>
      </w:r>
      <w:r w:rsidR="00DA19B3">
        <w:rPr>
          <w:szCs w:val="24"/>
        </w:rPr>
        <w:t>perform</w:t>
      </w:r>
      <w:r w:rsidR="00E60592">
        <w:rPr>
          <w:szCs w:val="24"/>
        </w:rPr>
        <w:t xml:space="preserve"> fuel sulfur sampling instead of </w:t>
      </w:r>
      <w:r w:rsidR="00E05193">
        <w:rPr>
          <w:szCs w:val="24"/>
        </w:rPr>
        <w:t xml:space="preserve">continuous </w:t>
      </w:r>
      <w:r w:rsidR="00E60592" w:rsidRPr="00E60592">
        <w:rPr>
          <w:szCs w:val="24"/>
        </w:rPr>
        <w:t>SO</w:t>
      </w:r>
      <w:r w:rsidR="00E60592" w:rsidRPr="00E60592">
        <w:rPr>
          <w:szCs w:val="24"/>
          <w:vertAlign w:val="subscript"/>
        </w:rPr>
        <w:t>2</w:t>
      </w:r>
      <w:r w:rsidR="00E60592">
        <w:rPr>
          <w:szCs w:val="24"/>
        </w:rPr>
        <w:t xml:space="preserve"> </w:t>
      </w:r>
      <w:r w:rsidR="00A50E7A">
        <w:rPr>
          <w:szCs w:val="24"/>
        </w:rPr>
        <w:t xml:space="preserve">concentration </w:t>
      </w:r>
      <w:r w:rsidR="00E60592">
        <w:rPr>
          <w:szCs w:val="24"/>
        </w:rPr>
        <w:t>monitoring</w:t>
      </w:r>
      <w:r>
        <w:rPr>
          <w:szCs w:val="24"/>
        </w:rPr>
        <w:t xml:space="preserve">.  </w:t>
      </w:r>
      <w:r w:rsidR="00E05193">
        <w:rPr>
          <w:szCs w:val="24"/>
        </w:rPr>
        <w:t>In addition, under options described in appendix E to part 75, n</w:t>
      </w:r>
      <w:r w:rsidR="00E60592">
        <w:rPr>
          <w:szCs w:val="24"/>
        </w:rPr>
        <w:t xml:space="preserve">atural gas- and oil-fired units that qualify as peaking units may </w:t>
      </w:r>
      <w:r w:rsidR="00DA19B3">
        <w:rPr>
          <w:szCs w:val="24"/>
        </w:rPr>
        <w:t xml:space="preserve">perform </w:t>
      </w:r>
      <w:r w:rsidR="00E60592">
        <w:rPr>
          <w:szCs w:val="24"/>
        </w:rPr>
        <w:t xml:space="preserve">periodic </w:t>
      </w:r>
      <w:r w:rsidR="00E60592" w:rsidRPr="00E60592">
        <w:rPr>
          <w:szCs w:val="24"/>
        </w:rPr>
        <w:t>NO</w:t>
      </w:r>
      <w:r w:rsidR="00E60592" w:rsidRPr="00E60592">
        <w:rPr>
          <w:szCs w:val="24"/>
          <w:vertAlign w:val="subscript"/>
        </w:rPr>
        <w:t>X</w:t>
      </w:r>
      <w:r w:rsidR="00E60592">
        <w:rPr>
          <w:szCs w:val="24"/>
        </w:rPr>
        <w:t xml:space="preserve"> emission rate testing instead of continuous </w:t>
      </w:r>
      <w:r w:rsidR="00E60592" w:rsidRPr="00E60592">
        <w:rPr>
          <w:szCs w:val="24"/>
        </w:rPr>
        <w:t>NO</w:t>
      </w:r>
      <w:r w:rsidR="00E60592" w:rsidRPr="00E60592">
        <w:rPr>
          <w:szCs w:val="24"/>
          <w:vertAlign w:val="subscript"/>
        </w:rPr>
        <w:t>X</w:t>
      </w:r>
      <w:r w:rsidR="00E60592">
        <w:rPr>
          <w:szCs w:val="24"/>
        </w:rPr>
        <w:t xml:space="preserve"> </w:t>
      </w:r>
      <w:r w:rsidR="00A50E7A">
        <w:rPr>
          <w:szCs w:val="24"/>
        </w:rPr>
        <w:t xml:space="preserve">and </w:t>
      </w:r>
      <w:r w:rsidR="006D6E86">
        <w:rPr>
          <w:szCs w:val="24"/>
        </w:rPr>
        <w:t>O</w:t>
      </w:r>
      <w:r w:rsidR="006D6E86" w:rsidRPr="006D6E86">
        <w:rPr>
          <w:szCs w:val="24"/>
          <w:vertAlign w:val="subscript"/>
        </w:rPr>
        <w:t>2</w:t>
      </w:r>
      <w:r w:rsidR="006D6E86">
        <w:rPr>
          <w:szCs w:val="24"/>
        </w:rPr>
        <w:t xml:space="preserve"> or </w:t>
      </w:r>
      <w:r w:rsidR="006D6E86" w:rsidRPr="006D6E86">
        <w:rPr>
          <w:szCs w:val="24"/>
        </w:rPr>
        <w:t>CO</w:t>
      </w:r>
      <w:r w:rsidR="006D6E86" w:rsidRPr="006D6E86">
        <w:rPr>
          <w:szCs w:val="24"/>
          <w:vertAlign w:val="subscript"/>
        </w:rPr>
        <w:t>2</w:t>
      </w:r>
      <w:r w:rsidR="006D6E86">
        <w:rPr>
          <w:szCs w:val="24"/>
        </w:rPr>
        <w:t xml:space="preserve"> </w:t>
      </w:r>
      <w:r w:rsidR="00A50E7A">
        <w:rPr>
          <w:szCs w:val="24"/>
        </w:rPr>
        <w:t xml:space="preserve">concentration </w:t>
      </w:r>
      <w:r w:rsidR="00E60592">
        <w:rPr>
          <w:szCs w:val="24"/>
        </w:rPr>
        <w:t xml:space="preserve">monitoring.  </w:t>
      </w:r>
    </w:p>
    <w:p w14:paraId="79908C4F" w14:textId="16AECB13" w:rsidR="000C02E9" w:rsidRPr="006757FB" w:rsidRDefault="00E60592" w:rsidP="006757FB">
      <w:pPr>
        <w:suppressAutoHyphens/>
        <w:autoSpaceDE w:val="0"/>
        <w:autoSpaceDN w:val="0"/>
        <w:adjustRightInd w:val="0"/>
        <w:spacing w:before="120" w:after="120"/>
        <w:ind w:firstLine="720"/>
        <w:rPr>
          <w:szCs w:val="24"/>
        </w:rPr>
      </w:pPr>
      <w:r>
        <w:rPr>
          <w:szCs w:val="24"/>
        </w:rPr>
        <w:t>Further, m</w:t>
      </w:r>
      <w:r w:rsidR="00224F3C">
        <w:rPr>
          <w:szCs w:val="24"/>
        </w:rPr>
        <w:t xml:space="preserve">any natural gas- and oil-fired </w:t>
      </w:r>
      <w:r w:rsidR="00E05193">
        <w:rPr>
          <w:szCs w:val="24"/>
        </w:rPr>
        <w:t>peaking units</w:t>
      </w:r>
      <w:r w:rsidR="00224F3C">
        <w:rPr>
          <w:szCs w:val="24"/>
        </w:rPr>
        <w:t xml:space="preserve"> qualify </w:t>
      </w:r>
      <w:r w:rsidR="00011764">
        <w:rPr>
          <w:szCs w:val="24"/>
        </w:rPr>
        <w:t xml:space="preserve">as </w:t>
      </w:r>
      <w:r w:rsidR="005A3001" w:rsidRPr="006757FB">
        <w:rPr>
          <w:szCs w:val="24"/>
        </w:rPr>
        <w:t>low mass emissions</w:t>
      </w:r>
      <w:r w:rsidR="00011764">
        <w:rPr>
          <w:szCs w:val="24"/>
        </w:rPr>
        <w:t xml:space="preserve"> (LME)</w:t>
      </w:r>
      <w:r w:rsidR="005A3001" w:rsidRPr="006757FB">
        <w:rPr>
          <w:szCs w:val="24"/>
        </w:rPr>
        <w:t xml:space="preserve"> </w:t>
      </w:r>
      <w:r w:rsidR="00011764">
        <w:rPr>
          <w:szCs w:val="24"/>
        </w:rPr>
        <w:t xml:space="preserve">units </w:t>
      </w:r>
      <w:r w:rsidR="005A3001" w:rsidRPr="006757FB">
        <w:rPr>
          <w:szCs w:val="24"/>
        </w:rPr>
        <w:t>under 40 CFR 75.19</w:t>
      </w:r>
      <w:r w:rsidR="00011764">
        <w:rPr>
          <w:szCs w:val="24"/>
        </w:rPr>
        <w:t>.</w:t>
      </w:r>
      <w:r w:rsidR="005A3001" w:rsidRPr="006757FB">
        <w:rPr>
          <w:szCs w:val="24"/>
        </w:rPr>
        <w:t xml:space="preserve">  </w:t>
      </w:r>
      <w:r w:rsidR="00011764">
        <w:rPr>
          <w:szCs w:val="24"/>
        </w:rPr>
        <w:t xml:space="preserve">To qualify as an LME unit, </w:t>
      </w:r>
      <w:r w:rsidR="00F174ED">
        <w:rPr>
          <w:szCs w:val="24"/>
        </w:rPr>
        <w:t>a unit</w:t>
      </w:r>
      <w:r w:rsidR="00011764">
        <w:rPr>
          <w:szCs w:val="24"/>
        </w:rPr>
        <w:t xml:space="preserve"> </w:t>
      </w:r>
      <w:r w:rsidR="005A3001" w:rsidRPr="006757FB">
        <w:rPr>
          <w:szCs w:val="24"/>
        </w:rPr>
        <w:t xml:space="preserve">must </w:t>
      </w:r>
      <w:r w:rsidR="000C02E9" w:rsidRPr="006757FB">
        <w:rPr>
          <w:szCs w:val="24"/>
        </w:rPr>
        <w:t>emit no more than</w:t>
      </w:r>
      <w:r w:rsidR="005A3001" w:rsidRPr="006757FB">
        <w:rPr>
          <w:szCs w:val="24"/>
        </w:rPr>
        <w:t xml:space="preserve"> </w:t>
      </w:r>
      <w:r w:rsidR="000C02E9" w:rsidRPr="006757FB">
        <w:rPr>
          <w:szCs w:val="24"/>
        </w:rPr>
        <w:t xml:space="preserve">50 tons of </w:t>
      </w:r>
      <w:r w:rsidR="007B40DE" w:rsidRPr="006757FB">
        <w:rPr>
          <w:szCs w:val="24"/>
        </w:rPr>
        <w:t>NO</w:t>
      </w:r>
      <w:r w:rsidR="002B09EE" w:rsidRPr="006757FB">
        <w:rPr>
          <w:szCs w:val="24"/>
          <w:vertAlign w:val="subscript"/>
        </w:rPr>
        <w:t>X</w:t>
      </w:r>
      <w:r w:rsidR="005A3001" w:rsidRPr="006757FB">
        <w:rPr>
          <w:szCs w:val="24"/>
        </w:rPr>
        <w:t xml:space="preserve"> during </w:t>
      </w:r>
      <w:r w:rsidR="000C02E9" w:rsidRPr="006757FB">
        <w:rPr>
          <w:szCs w:val="24"/>
        </w:rPr>
        <w:t xml:space="preserve">the </w:t>
      </w:r>
      <w:r w:rsidR="00423F3F">
        <w:rPr>
          <w:szCs w:val="24"/>
        </w:rPr>
        <w:t xml:space="preserve">May-September </w:t>
      </w:r>
      <w:r w:rsidR="000C02E9" w:rsidRPr="006757FB">
        <w:rPr>
          <w:szCs w:val="24"/>
        </w:rPr>
        <w:t>ozone season</w:t>
      </w:r>
      <w:r w:rsidR="005A3001" w:rsidRPr="006757FB">
        <w:rPr>
          <w:szCs w:val="24"/>
        </w:rPr>
        <w:t xml:space="preserve">, </w:t>
      </w:r>
      <w:r w:rsidR="006D6E86">
        <w:rPr>
          <w:szCs w:val="24"/>
        </w:rPr>
        <w:t xml:space="preserve">100 tons of </w:t>
      </w:r>
      <w:r w:rsidR="006D6E86" w:rsidRPr="006D6E86">
        <w:rPr>
          <w:szCs w:val="24"/>
        </w:rPr>
        <w:t>NO</w:t>
      </w:r>
      <w:r w:rsidR="006D6E86" w:rsidRPr="006D6E86">
        <w:rPr>
          <w:szCs w:val="24"/>
          <w:vertAlign w:val="subscript"/>
        </w:rPr>
        <w:t>X</w:t>
      </w:r>
      <w:r w:rsidR="006D6E86">
        <w:rPr>
          <w:szCs w:val="24"/>
        </w:rPr>
        <w:t xml:space="preserve"> annually, </w:t>
      </w:r>
      <w:r w:rsidR="00264C2E" w:rsidRPr="006757FB">
        <w:rPr>
          <w:szCs w:val="24"/>
        </w:rPr>
        <w:t xml:space="preserve">and </w:t>
      </w:r>
      <w:r w:rsidR="000C02E9" w:rsidRPr="006757FB">
        <w:rPr>
          <w:szCs w:val="24"/>
        </w:rPr>
        <w:t>25 tons</w:t>
      </w:r>
      <w:r w:rsidR="00941414" w:rsidRPr="006757FB">
        <w:rPr>
          <w:szCs w:val="24"/>
        </w:rPr>
        <w:t xml:space="preserve"> </w:t>
      </w:r>
      <w:r w:rsidR="000C02E9" w:rsidRPr="006757FB">
        <w:rPr>
          <w:szCs w:val="24"/>
        </w:rPr>
        <w:t>of SO</w:t>
      </w:r>
      <w:r w:rsidR="000C02E9" w:rsidRPr="006757FB">
        <w:rPr>
          <w:szCs w:val="24"/>
          <w:vertAlign w:val="subscript"/>
        </w:rPr>
        <w:t>2</w:t>
      </w:r>
      <w:r w:rsidR="000C02E9" w:rsidRPr="006757FB">
        <w:rPr>
          <w:szCs w:val="24"/>
        </w:rPr>
        <w:t xml:space="preserve"> annually</w:t>
      </w:r>
      <w:r w:rsidR="009E5D82" w:rsidRPr="006757FB">
        <w:rPr>
          <w:szCs w:val="24"/>
        </w:rPr>
        <w:t>,</w:t>
      </w:r>
      <w:r w:rsidR="000C02E9" w:rsidRPr="006757FB">
        <w:rPr>
          <w:szCs w:val="24"/>
        </w:rPr>
        <w:t xml:space="preserve"> </w:t>
      </w:r>
      <w:r w:rsidR="005A3001" w:rsidRPr="006757FB">
        <w:rPr>
          <w:szCs w:val="24"/>
        </w:rPr>
        <w:t xml:space="preserve">and </w:t>
      </w:r>
      <w:r w:rsidR="00011764">
        <w:rPr>
          <w:szCs w:val="24"/>
        </w:rPr>
        <w:t xml:space="preserve">must </w:t>
      </w:r>
      <w:r w:rsidR="00265195">
        <w:rPr>
          <w:szCs w:val="24"/>
        </w:rPr>
        <w:t xml:space="preserve">annually </w:t>
      </w:r>
      <w:r w:rsidR="000C02E9" w:rsidRPr="006757FB">
        <w:rPr>
          <w:szCs w:val="24"/>
        </w:rPr>
        <w:t>calculate no more than the</w:t>
      </w:r>
      <w:r w:rsidR="005A3001" w:rsidRPr="006757FB">
        <w:rPr>
          <w:szCs w:val="24"/>
        </w:rPr>
        <w:t>se</w:t>
      </w:r>
      <w:r w:rsidR="000C02E9" w:rsidRPr="006757FB">
        <w:rPr>
          <w:szCs w:val="24"/>
        </w:rPr>
        <w:t xml:space="preserve"> amount</w:t>
      </w:r>
      <w:r w:rsidR="005A3001" w:rsidRPr="006757FB">
        <w:rPr>
          <w:szCs w:val="24"/>
        </w:rPr>
        <w:t>s</w:t>
      </w:r>
      <w:r w:rsidR="000C02E9" w:rsidRPr="006757FB">
        <w:rPr>
          <w:szCs w:val="24"/>
        </w:rPr>
        <w:t xml:space="preserve"> based on specified </w:t>
      </w:r>
      <w:r w:rsidR="000C02E9" w:rsidRPr="006757FB">
        <w:rPr>
          <w:szCs w:val="24"/>
        </w:rPr>
        <w:lastRenderedPageBreak/>
        <w:t>procedures</w:t>
      </w:r>
      <w:r w:rsidR="00941414" w:rsidRPr="006757FB">
        <w:rPr>
          <w:szCs w:val="24"/>
        </w:rPr>
        <w:t xml:space="preserve"> </w:t>
      </w:r>
      <w:r w:rsidR="000C02E9" w:rsidRPr="006757FB">
        <w:rPr>
          <w:szCs w:val="24"/>
        </w:rPr>
        <w:t>for calculating and reporting emissions</w:t>
      </w:r>
      <w:r w:rsidR="003972B1" w:rsidRPr="006757FB">
        <w:rPr>
          <w:szCs w:val="24"/>
        </w:rPr>
        <w:t xml:space="preserve">.  </w:t>
      </w:r>
      <w:r w:rsidR="00011764">
        <w:rPr>
          <w:szCs w:val="24"/>
        </w:rPr>
        <w:t xml:space="preserve">LME units </w:t>
      </w:r>
      <w:r w:rsidR="000C02E9" w:rsidRPr="006757FB">
        <w:rPr>
          <w:szCs w:val="24"/>
        </w:rPr>
        <w:t xml:space="preserve">are </w:t>
      </w:r>
      <w:r w:rsidR="005502CE" w:rsidRPr="006757FB">
        <w:rPr>
          <w:szCs w:val="24"/>
        </w:rPr>
        <w:t xml:space="preserve">exempted from certain requirements to install and operate monitoring equipment, </w:t>
      </w:r>
      <w:r w:rsidR="000C02E9" w:rsidRPr="006757FB">
        <w:rPr>
          <w:szCs w:val="24"/>
        </w:rPr>
        <w:t>conduct fuel sampl</w:t>
      </w:r>
      <w:r w:rsidR="005502CE" w:rsidRPr="006757FB">
        <w:rPr>
          <w:szCs w:val="24"/>
        </w:rPr>
        <w:t>ing, and</w:t>
      </w:r>
      <w:r w:rsidR="000C02E9" w:rsidRPr="006757FB">
        <w:rPr>
          <w:szCs w:val="24"/>
        </w:rPr>
        <w:t xml:space="preserve"> perform quality assu</w:t>
      </w:r>
      <w:r w:rsidR="00941414" w:rsidRPr="006757FB">
        <w:rPr>
          <w:szCs w:val="24"/>
        </w:rPr>
        <w:t>rance or quality control tests</w:t>
      </w:r>
      <w:r w:rsidR="003972B1" w:rsidRPr="006757FB">
        <w:rPr>
          <w:szCs w:val="24"/>
        </w:rPr>
        <w:t xml:space="preserve">.  </w:t>
      </w:r>
      <w:r w:rsidR="000C02E9" w:rsidRPr="006757FB">
        <w:rPr>
          <w:szCs w:val="24"/>
        </w:rPr>
        <w:t>Moreover, emissions reporting</w:t>
      </w:r>
      <w:r w:rsidR="00941414" w:rsidRPr="006757FB">
        <w:rPr>
          <w:szCs w:val="24"/>
        </w:rPr>
        <w:t xml:space="preserve"> </w:t>
      </w:r>
      <w:r w:rsidR="000C02E9" w:rsidRPr="006757FB">
        <w:rPr>
          <w:szCs w:val="24"/>
        </w:rPr>
        <w:t>requirements are significantly simplified for these units.</w:t>
      </w:r>
    </w:p>
    <w:p w14:paraId="3E9CD338" w14:textId="09522DB2" w:rsidR="00A55C35" w:rsidRPr="006757FB" w:rsidRDefault="000C02E9" w:rsidP="006757FB">
      <w:pPr>
        <w:suppressAutoHyphens/>
        <w:autoSpaceDE w:val="0"/>
        <w:autoSpaceDN w:val="0"/>
        <w:adjustRightInd w:val="0"/>
        <w:spacing w:before="120" w:after="120"/>
        <w:ind w:firstLine="720"/>
        <w:rPr>
          <w:szCs w:val="24"/>
        </w:rPr>
      </w:pPr>
      <w:r w:rsidRPr="006757FB">
        <w:rPr>
          <w:szCs w:val="24"/>
        </w:rPr>
        <w:t>As discussed in the R</w:t>
      </w:r>
      <w:r w:rsidR="00717AE0" w:rsidRPr="006757FB">
        <w:rPr>
          <w:szCs w:val="24"/>
        </w:rPr>
        <w:t xml:space="preserve">egulatory Impact Analysis </w:t>
      </w:r>
      <w:r w:rsidR="00011764">
        <w:rPr>
          <w:szCs w:val="24"/>
        </w:rPr>
        <w:t xml:space="preserve">for </w:t>
      </w:r>
      <w:r w:rsidR="00717AE0" w:rsidRPr="006757FB">
        <w:rPr>
          <w:szCs w:val="24"/>
        </w:rPr>
        <w:t>the final ARP regulations</w:t>
      </w:r>
      <w:r w:rsidRPr="006757FB">
        <w:rPr>
          <w:szCs w:val="24"/>
        </w:rPr>
        <w:t xml:space="preserve"> (October 19, 1992), smaller utilities are more like</w:t>
      </w:r>
      <w:r w:rsidR="00941414" w:rsidRPr="006757FB">
        <w:rPr>
          <w:szCs w:val="24"/>
        </w:rPr>
        <w:t xml:space="preserve">ly to be dependent </w:t>
      </w:r>
      <w:r w:rsidR="00717AE0" w:rsidRPr="006757FB">
        <w:rPr>
          <w:szCs w:val="24"/>
        </w:rPr>
        <w:t xml:space="preserve">on </w:t>
      </w:r>
      <w:r w:rsidR="00011764">
        <w:rPr>
          <w:szCs w:val="24"/>
        </w:rPr>
        <w:t xml:space="preserve">natural gas- and </w:t>
      </w:r>
      <w:r w:rsidR="00717AE0" w:rsidRPr="006757FB">
        <w:rPr>
          <w:szCs w:val="24"/>
        </w:rPr>
        <w:t>oil</w:t>
      </w:r>
      <w:r w:rsidR="005C592E" w:rsidRPr="006757FB">
        <w:rPr>
          <w:szCs w:val="24"/>
        </w:rPr>
        <w:t>-</w:t>
      </w:r>
      <w:r w:rsidRPr="006757FB">
        <w:rPr>
          <w:szCs w:val="24"/>
        </w:rPr>
        <w:t>fired units, especially very small utilities</w:t>
      </w:r>
      <w:r w:rsidR="003972B1" w:rsidRPr="006757FB">
        <w:rPr>
          <w:szCs w:val="24"/>
        </w:rPr>
        <w:t>.</w:t>
      </w:r>
    </w:p>
    <w:p w14:paraId="215FD287" w14:textId="77777777" w:rsidR="00A55C35" w:rsidRPr="006757FB" w:rsidRDefault="00A55C35" w:rsidP="006757FB">
      <w:pPr>
        <w:suppressAutoHyphens/>
        <w:autoSpaceDE w:val="0"/>
        <w:autoSpaceDN w:val="0"/>
        <w:adjustRightInd w:val="0"/>
        <w:spacing w:before="120" w:after="120"/>
        <w:ind w:left="360"/>
        <w:rPr>
          <w:b/>
          <w:bCs/>
          <w:szCs w:val="24"/>
        </w:rPr>
      </w:pPr>
    </w:p>
    <w:p w14:paraId="741C4DF2" w14:textId="77777777" w:rsidR="000C02E9" w:rsidRPr="006757FB" w:rsidRDefault="000C02E9" w:rsidP="00E16308">
      <w:pPr>
        <w:keepNext/>
        <w:suppressAutoHyphens/>
        <w:autoSpaceDE w:val="0"/>
        <w:autoSpaceDN w:val="0"/>
        <w:adjustRightInd w:val="0"/>
        <w:spacing w:before="120" w:after="120"/>
        <w:ind w:left="360"/>
        <w:rPr>
          <w:b/>
          <w:bCs/>
          <w:szCs w:val="24"/>
        </w:rPr>
      </w:pPr>
      <w:r w:rsidRPr="006757FB">
        <w:rPr>
          <w:b/>
          <w:bCs/>
          <w:szCs w:val="24"/>
        </w:rPr>
        <w:t>5</w:t>
      </w:r>
      <w:r w:rsidR="00E86F33" w:rsidRPr="006757FB">
        <w:rPr>
          <w:b/>
          <w:bCs/>
          <w:szCs w:val="24"/>
        </w:rPr>
        <w:t xml:space="preserve">.4 </w:t>
      </w:r>
      <w:r w:rsidRPr="006757FB">
        <w:rPr>
          <w:b/>
          <w:bCs/>
          <w:szCs w:val="24"/>
        </w:rPr>
        <w:t xml:space="preserve"> Collection Schedule</w:t>
      </w:r>
    </w:p>
    <w:p w14:paraId="4C9C6B07" w14:textId="4693E041" w:rsidR="00FC1D29" w:rsidRPr="006757FB" w:rsidRDefault="00FC1D29" w:rsidP="006757FB">
      <w:pPr>
        <w:suppressAutoHyphens/>
        <w:spacing w:before="120" w:after="120"/>
        <w:ind w:firstLine="720"/>
        <w:rPr>
          <w:szCs w:val="24"/>
        </w:rPr>
      </w:pPr>
      <w:r w:rsidRPr="006757FB">
        <w:rPr>
          <w:szCs w:val="24"/>
        </w:rPr>
        <w:t xml:space="preserve">Collection frequency under </w:t>
      </w:r>
      <w:r w:rsidR="00C22164">
        <w:rPr>
          <w:szCs w:val="24"/>
        </w:rPr>
        <w:t>CSAPR</w:t>
      </w:r>
      <w:r w:rsidR="00897F31" w:rsidRPr="006757FB">
        <w:rPr>
          <w:szCs w:val="24"/>
        </w:rPr>
        <w:t xml:space="preserve"> </w:t>
      </w:r>
      <w:r w:rsidR="007D66D9">
        <w:rPr>
          <w:szCs w:val="24"/>
        </w:rPr>
        <w:t xml:space="preserve">is </w:t>
      </w:r>
      <w:r w:rsidR="00265195">
        <w:rPr>
          <w:szCs w:val="24"/>
        </w:rPr>
        <w:t>quarterly</w:t>
      </w:r>
      <w:r w:rsidRPr="006757FB">
        <w:rPr>
          <w:szCs w:val="24"/>
        </w:rPr>
        <w:t xml:space="preserve">.  All affected </w:t>
      </w:r>
      <w:r w:rsidR="00F174ED">
        <w:rPr>
          <w:szCs w:val="24"/>
        </w:rPr>
        <w:t>unit</w:t>
      </w:r>
      <w:r w:rsidR="00CF6960">
        <w:rPr>
          <w:szCs w:val="24"/>
        </w:rPr>
        <w:t>s must</w:t>
      </w:r>
      <w:r w:rsidRPr="006757FB">
        <w:rPr>
          <w:szCs w:val="24"/>
        </w:rPr>
        <w:t xml:space="preserve"> use </w:t>
      </w:r>
      <w:r w:rsidR="00870452" w:rsidRPr="006757FB">
        <w:rPr>
          <w:szCs w:val="24"/>
        </w:rPr>
        <w:t xml:space="preserve">the </w:t>
      </w:r>
      <w:r w:rsidRPr="006757FB">
        <w:rPr>
          <w:szCs w:val="24"/>
        </w:rPr>
        <w:t>E</w:t>
      </w:r>
      <w:r w:rsidR="00870452" w:rsidRPr="006757FB">
        <w:rPr>
          <w:szCs w:val="24"/>
        </w:rPr>
        <w:t xml:space="preserve">mission </w:t>
      </w:r>
      <w:r w:rsidRPr="006757FB">
        <w:rPr>
          <w:szCs w:val="24"/>
        </w:rPr>
        <w:t>C</w:t>
      </w:r>
      <w:r w:rsidR="00870452" w:rsidRPr="006757FB">
        <w:rPr>
          <w:szCs w:val="24"/>
        </w:rPr>
        <w:t xml:space="preserve">ollection and </w:t>
      </w:r>
      <w:r w:rsidRPr="006757FB">
        <w:rPr>
          <w:szCs w:val="24"/>
        </w:rPr>
        <w:t>M</w:t>
      </w:r>
      <w:r w:rsidR="00870452" w:rsidRPr="006757FB">
        <w:rPr>
          <w:szCs w:val="24"/>
        </w:rPr>
        <w:t xml:space="preserve">onitoring Plan </w:t>
      </w:r>
      <w:r w:rsidRPr="006757FB">
        <w:rPr>
          <w:szCs w:val="24"/>
        </w:rPr>
        <w:t>S</w:t>
      </w:r>
      <w:r w:rsidR="00870452" w:rsidRPr="006757FB">
        <w:rPr>
          <w:szCs w:val="24"/>
        </w:rPr>
        <w:t>ystem (ECMPS)</w:t>
      </w:r>
      <w:r w:rsidRPr="006757FB">
        <w:rPr>
          <w:szCs w:val="24"/>
        </w:rPr>
        <w:t xml:space="preserve"> to submit monitoring plan, quality assurance, certification test,</w:t>
      </w:r>
      <w:r w:rsidR="00897F31" w:rsidRPr="006757FB">
        <w:rPr>
          <w:szCs w:val="24"/>
        </w:rPr>
        <w:t xml:space="preserve"> and emissions data to EPA quarterly</w:t>
      </w:r>
      <w:r w:rsidRPr="006757FB">
        <w:rPr>
          <w:szCs w:val="24"/>
        </w:rPr>
        <w:t xml:space="preserve">.  In addition, </w:t>
      </w:r>
      <w:r w:rsidR="00C22164">
        <w:rPr>
          <w:szCs w:val="24"/>
        </w:rPr>
        <w:t>CSAPR</w:t>
      </w:r>
      <w:r w:rsidRPr="006757FB">
        <w:rPr>
          <w:szCs w:val="24"/>
        </w:rPr>
        <w:t xml:space="preserve"> requires the collection of allowance tra</w:t>
      </w:r>
      <w:r w:rsidR="00CF6960">
        <w:rPr>
          <w:szCs w:val="24"/>
        </w:rPr>
        <w:t>cking</w:t>
      </w:r>
      <w:r w:rsidR="00344E64" w:rsidRPr="006757FB">
        <w:rPr>
          <w:szCs w:val="24"/>
        </w:rPr>
        <w:t xml:space="preserve"> information as </w:t>
      </w:r>
      <w:r w:rsidR="001A0A58" w:rsidRPr="006757FB">
        <w:rPr>
          <w:szCs w:val="24"/>
        </w:rPr>
        <w:t>transfers are submitted</w:t>
      </w:r>
      <w:r w:rsidR="00344E64" w:rsidRPr="006757FB">
        <w:rPr>
          <w:szCs w:val="24"/>
        </w:rPr>
        <w:t>,</w:t>
      </w:r>
      <w:r w:rsidR="00F71A4D" w:rsidRPr="006757FB">
        <w:rPr>
          <w:szCs w:val="24"/>
        </w:rPr>
        <w:t xml:space="preserve"> </w:t>
      </w:r>
      <w:r w:rsidR="00AD192C" w:rsidRPr="006757FB">
        <w:rPr>
          <w:szCs w:val="24"/>
        </w:rPr>
        <w:t xml:space="preserve">as well as information regarding </w:t>
      </w:r>
      <w:r w:rsidR="00F71A4D" w:rsidRPr="006757FB">
        <w:rPr>
          <w:szCs w:val="24"/>
        </w:rPr>
        <w:t xml:space="preserve">other </w:t>
      </w:r>
      <w:r w:rsidR="00033581" w:rsidRPr="006757FB">
        <w:rPr>
          <w:szCs w:val="24"/>
        </w:rPr>
        <w:t>"</w:t>
      </w:r>
      <w:r w:rsidR="00F71A4D" w:rsidRPr="006757FB">
        <w:rPr>
          <w:szCs w:val="24"/>
        </w:rPr>
        <w:t>event</w:t>
      </w:r>
      <w:r w:rsidR="00033581" w:rsidRPr="006757FB">
        <w:rPr>
          <w:szCs w:val="24"/>
        </w:rPr>
        <w:t>"</w:t>
      </w:r>
      <w:r w:rsidR="00F71A4D" w:rsidRPr="006757FB">
        <w:rPr>
          <w:szCs w:val="24"/>
        </w:rPr>
        <w:t xml:space="preserve"> submissions </w:t>
      </w:r>
      <w:r w:rsidR="00AD192C" w:rsidRPr="006757FB">
        <w:rPr>
          <w:szCs w:val="24"/>
        </w:rPr>
        <w:t xml:space="preserve">made </w:t>
      </w:r>
      <w:r w:rsidR="00F71A4D" w:rsidRPr="006757FB">
        <w:rPr>
          <w:szCs w:val="24"/>
        </w:rPr>
        <w:t>on a one-time or annual basis</w:t>
      </w:r>
      <w:r w:rsidR="00033581" w:rsidRPr="006757FB">
        <w:rPr>
          <w:szCs w:val="24"/>
        </w:rPr>
        <w:t xml:space="preserve">.  </w:t>
      </w:r>
    </w:p>
    <w:p w14:paraId="27C2D844" w14:textId="77777777" w:rsidR="00D314FB" w:rsidRPr="006757FB" w:rsidRDefault="00D314FB" w:rsidP="006757FB">
      <w:pPr>
        <w:suppressAutoHyphens/>
        <w:autoSpaceDE w:val="0"/>
        <w:autoSpaceDN w:val="0"/>
        <w:adjustRightInd w:val="0"/>
        <w:spacing w:before="120" w:after="120"/>
        <w:rPr>
          <w:b/>
          <w:bCs/>
          <w:szCs w:val="24"/>
        </w:rPr>
      </w:pPr>
    </w:p>
    <w:p w14:paraId="78EF71AE" w14:textId="77777777" w:rsidR="000C02E9" w:rsidRPr="006757FB" w:rsidRDefault="000C02E9" w:rsidP="006757FB">
      <w:pPr>
        <w:keepNext/>
        <w:suppressAutoHyphens/>
        <w:autoSpaceDE w:val="0"/>
        <w:autoSpaceDN w:val="0"/>
        <w:adjustRightInd w:val="0"/>
        <w:spacing w:before="120" w:after="120"/>
        <w:rPr>
          <w:b/>
          <w:bCs/>
          <w:szCs w:val="24"/>
        </w:rPr>
      </w:pPr>
      <w:r w:rsidRPr="006757FB">
        <w:rPr>
          <w:b/>
          <w:bCs/>
          <w:szCs w:val="24"/>
        </w:rPr>
        <w:t>6.</w:t>
      </w:r>
      <w:r w:rsidR="00E86F33" w:rsidRPr="006757FB">
        <w:rPr>
          <w:b/>
          <w:bCs/>
          <w:szCs w:val="24"/>
        </w:rPr>
        <w:t xml:space="preserve">0 </w:t>
      </w:r>
      <w:r w:rsidRPr="006757FB">
        <w:rPr>
          <w:b/>
          <w:bCs/>
          <w:szCs w:val="24"/>
        </w:rPr>
        <w:t xml:space="preserve"> E</w:t>
      </w:r>
      <w:r w:rsidR="00E86F33" w:rsidRPr="006757FB">
        <w:rPr>
          <w:b/>
          <w:bCs/>
          <w:szCs w:val="24"/>
        </w:rPr>
        <w:t>stimating</w:t>
      </w:r>
      <w:r w:rsidRPr="006757FB">
        <w:rPr>
          <w:b/>
          <w:bCs/>
          <w:szCs w:val="24"/>
        </w:rPr>
        <w:t xml:space="preserve"> </w:t>
      </w:r>
      <w:r w:rsidR="00E86F33" w:rsidRPr="006757FB">
        <w:rPr>
          <w:b/>
          <w:bCs/>
          <w:szCs w:val="24"/>
        </w:rPr>
        <w:t>the</w:t>
      </w:r>
      <w:r w:rsidRPr="006757FB">
        <w:rPr>
          <w:b/>
          <w:bCs/>
          <w:szCs w:val="24"/>
        </w:rPr>
        <w:t xml:space="preserve"> B</w:t>
      </w:r>
      <w:r w:rsidR="00E86F33" w:rsidRPr="006757FB">
        <w:rPr>
          <w:b/>
          <w:bCs/>
          <w:szCs w:val="24"/>
        </w:rPr>
        <w:t>urden</w:t>
      </w:r>
      <w:r w:rsidRPr="006757FB">
        <w:rPr>
          <w:b/>
          <w:bCs/>
          <w:szCs w:val="24"/>
        </w:rPr>
        <w:t xml:space="preserve"> </w:t>
      </w:r>
      <w:r w:rsidR="00E86F33" w:rsidRPr="006757FB">
        <w:rPr>
          <w:b/>
          <w:bCs/>
          <w:szCs w:val="24"/>
        </w:rPr>
        <w:t>and</w:t>
      </w:r>
      <w:r w:rsidRPr="006757FB">
        <w:rPr>
          <w:b/>
          <w:bCs/>
          <w:szCs w:val="24"/>
        </w:rPr>
        <w:t xml:space="preserve"> C</w:t>
      </w:r>
      <w:r w:rsidR="00E86F33" w:rsidRPr="006757FB">
        <w:rPr>
          <w:b/>
          <w:bCs/>
          <w:szCs w:val="24"/>
        </w:rPr>
        <w:t>ost</w:t>
      </w:r>
      <w:r w:rsidRPr="006757FB">
        <w:rPr>
          <w:b/>
          <w:bCs/>
          <w:szCs w:val="24"/>
        </w:rPr>
        <w:t xml:space="preserve"> </w:t>
      </w:r>
      <w:r w:rsidR="00E86F33" w:rsidRPr="006757FB">
        <w:rPr>
          <w:b/>
          <w:bCs/>
          <w:szCs w:val="24"/>
        </w:rPr>
        <w:t>of the</w:t>
      </w:r>
      <w:r w:rsidRPr="006757FB">
        <w:rPr>
          <w:b/>
          <w:bCs/>
          <w:szCs w:val="24"/>
        </w:rPr>
        <w:t xml:space="preserve"> C</w:t>
      </w:r>
      <w:r w:rsidR="00E86F33" w:rsidRPr="006757FB">
        <w:rPr>
          <w:b/>
          <w:bCs/>
          <w:szCs w:val="24"/>
        </w:rPr>
        <w:t>ollection</w:t>
      </w:r>
    </w:p>
    <w:p w14:paraId="4E1499B0" w14:textId="77777777" w:rsidR="000C02E9" w:rsidRPr="006757FB" w:rsidRDefault="00E86F33" w:rsidP="006757FB">
      <w:pPr>
        <w:keepNext/>
        <w:tabs>
          <w:tab w:val="left" w:pos="360"/>
        </w:tabs>
        <w:suppressAutoHyphens/>
        <w:autoSpaceDE w:val="0"/>
        <w:autoSpaceDN w:val="0"/>
        <w:adjustRightInd w:val="0"/>
        <w:spacing w:before="120" w:after="120"/>
        <w:ind w:left="360"/>
        <w:rPr>
          <w:b/>
          <w:bCs/>
          <w:szCs w:val="24"/>
        </w:rPr>
      </w:pPr>
      <w:r w:rsidRPr="006757FB">
        <w:rPr>
          <w:b/>
          <w:bCs/>
          <w:szCs w:val="24"/>
        </w:rPr>
        <w:t xml:space="preserve">6.1 </w:t>
      </w:r>
      <w:r w:rsidR="000C02E9" w:rsidRPr="006757FB">
        <w:rPr>
          <w:b/>
          <w:bCs/>
          <w:szCs w:val="24"/>
        </w:rPr>
        <w:t xml:space="preserve"> Estimating Respondent Burden</w:t>
      </w:r>
    </w:p>
    <w:p w14:paraId="381FC144" w14:textId="3887236D" w:rsidR="00A55C35" w:rsidRPr="006757FB" w:rsidRDefault="000C02E9" w:rsidP="006757FB">
      <w:pPr>
        <w:suppressAutoHyphens/>
        <w:autoSpaceDE w:val="0"/>
        <w:autoSpaceDN w:val="0"/>
        <w:adjustRightInd w:val="0"/>
        <w:spacing w:before="120" w:after="120"/>
        <w:ind w:firstLine="720"/>
        <w:rPr>
          <w:szCs w:val="24"/>
        </w:rPr>
      </w:pPr>
      <w:r w:rsidRPr="006757FB">
        <w:rPr>
          <w:szCs w:val="24"/>
        </w:rPr>
        <w:t xml:space="preserve">This section </w:t>
      </w:r>
      <w:r w:rsidR="00F21B83">
        <w:rPr>
          <w:szCs w:val="24"/>
        </w:rPr>
        <w:t xml:space="preserve">discusses EPA’s </w:t>
      </w:r>
      <w:r w:rsidRPr="006757FB">
        <w:rPr>
          <w:szCs w:val="24"/>
        </w:rPr>
        <w:t xml:space="preserve">estimates </w:t>
      </w:r>
      <w:r w:rsidR="00F21B83">
        <w:rPr>
          <w:szCs w:val="24"/>
        </w:rPr>
        <w:t xml:space="preserve">of </w:t>
      </w:r>
      <w:r w:rsidRPr="006757FB">
        <w:rPr>
          <w:szCs w:val="24"/>
        </w:rPr>
        <w:t xml:space="preserve">the paperwork burden and cost </w:t>
      </w:r>
      <w:r w:rsidR="004A611E">
        <w:rPr>
          <w:szCs w:val="24"/>
        </w:rPr>
        <w:t>associated with the categories of activities described above: permitting and other certification; emissions monitoring</w:t>
      </w:r>
      <w:r w:rsidR="00562C50">
        <w:rPr>
          <w:szCs w:val="24"/>
        </w:rPr>
        <w:t xml:space="preserve">, recordkeeping, and </w:t>
      </w:r>
      <w:r w:rsidR="004A611E">
        <w:rPr>
          <w:szCs w:val="24"/>
        </w:rPr>
        <w:t xml:space="preserve">reporting; and allowance transfer activities. </w:t>
      </w:r>
      <w:r w:rsidRPr="006757FB">
        <w:rPr>
          <w:szCs w:val="24"/>
        </w:rPr>
        <w:t xml:space="preserve">To estimate the burden </w:t>
      </w:r>
      <w:r w:rsidR="002A217A" w:rsidRPr="006757FB">
        <w:rPr>
          <w:szCs w:val="24"/>
        </w:rPr>
        <w:t xml:space="preserve">and/or cost of each requirement, EPA </w:t>
      </w:r>
      <w:r w:rsidR="00F21B83">
        <w:rPr>
          <w:szCs w:val="24"/>
        </w:rPr>
        <w:t xml:space="preserve">has </w:t>
      </w:r>
      <w:r w:rsidR="002A217A" w:rsidRPr="006757FB">
        <w:rPr>
          <w:szCs w:val="24"/>
        </w:rPr>
        <w:t>utilized</w:t>
      </w:r>
      <w:r w:rsidRPr="006757FB">
        <w:rPr>
          <w:szCs w:val="24"/>
        </w:rPr>
        <w:t xml:space="preserve"> prior estimates of the costs of activities, estimates provided by affec</w:t>
      </w:r>
      <w:r w:rsidR="00217148" w:rsidRPr="006757FB">
        <w:rPr>
          <w:szCs w:val="24"/>
        </w:rPr>
        <w:t xml:space="preserve">ted </w:t>
      </w:r>
      <w:r w:rsidRPr="006757FB">
        <w:rPr>
          <w:szCs w:val="24"/>
        </w:rPr>
        <w:t>utilities</w:t>
      </w:r>
      <w:r w:rsidR="00217148" w:rsidRPr="006757FB">
        <w:rPr>
          <w:szCs w:val="24"/>
        </w:rPr>
        <w:t xml:space="preserve"> </w:t>
      </w:r>
      <w:r w:rsidRPr="006757FB">
        <w:rPr>
          <w:szCs w:val="24"/>
        </w:rPr>
        <w:t>in comments to the Agency, and</w:t>
      </w:r>
      <w:r w:rsidR="004E69B2" w:rsidRPr="006757FB">
        <w:rPr>
          <w:szCs w:val="24"/>
        </w:rPr>
        <w:t>/or</w:t>
      </w:r>
      <w:r w:rsidRPr="006757FB">
        <w:rPr>
          <w:szCs w:val="24"/>
        </w:rPr>
        <w:t xml:space="preserve"> estimates base</w:t>
      </w:r>
      <w:r w:rsidR="00217148" w:rsidRPr="006757FB">
        <w:rPr>
          <w:szCs w:val="24"/>
        </w:rPr>
        <w:t>d on the Agency</w:t>
      </w:r>
      <w:r w:rsidR="00033581" w:rsidRPr="006757FB">
        <w:rPr>
          <w:szCs w:val="24"/>
        </w:rPr>
        <w:t>'</w:t>
      </w:r>
      <w:r w:rsidR="00217148" w:rsidRPr="006757FB">
        <w:rPr>
          <w:szCs w:val="24"/>
        </w:rPr>
        <w:t xml:space="preserve">s experience in </w:t>
      </w:r>
      <w:r w:rsidR="002A217A" w:rsidRPr="006757FB">
        <w:rPr>
          <w:szCs w:val="24"/>
        </w:rPr>
        <w:t xml:space="preserve">implementing </w:t>
      </w:r>
      <w:r w:rsidRPr="006757FB">
        <w:rPr>
          <w:szCs w:val="24"/>
        </w:rPr>
        <w:t>existing trading programs.</w:t>
      </w:r>
    </w:p>
    <w:p w14:paraId="75A4461F" w14:textId="77777777" w:rsidR="00562C50" w:rsidRPr="006757FB" w:rsidRDefault="00562C50" w:rsidP="00562C50">
      <w:pPr>
        <w:keepNext/>
        <w:suppressAutoHyphens/>
        <w:autoSpaceDE w:val="0"/>
        <w:autoSpaceDN w:val="0"/>
        <w:adjustRightInd w:val="0"/>
        <w:spacing w:before="120" w:after="120"/>
        <w:ind w:left="720"/>
        <w:rPr>
          <w:iCs/>
          <w:szCs w:val="24"/>
        </w:rPr>
      </w:pPr>
      <w:r w:rsidRPr="006757FB">
        <w:rPr>
          <w:iCs/>
          <w:szCs w:val="24"/>
        </w:rPr>
        <w:t xml:space="preserve">(i)  Respondent Permitting </w:t>
      </w:r>
      <w:r>
        <w:rPr>
          <w:iCs/>
          <w:szCs w:val="24"/>
        </w:rPr>
        <w:t xml:space="preserve">and Other Certification </w:t>
      </w:r>
      <w:r w:rsidRPr="006757FB">
        <w:rPr>
          <w:iCs/>
          <w:szCs w:val="24"/>
        </w:rPr>
        <w:t>Activities</w:t>
      </w:r>
      <w:r>
        <w:rPr>
          <w:iCs/>
          <w:szCs w:val="24"/>
        </w:rPr>
        <w:t xml:space="preserve"> </w:t>
      </w:r>
    </w:p>
    <w:p w14:paraId="3A2307ED" w14:textId="3455CF12" w:rsidR="00562C50" w:rsidRDefault="00562C50" w:rsidP="00562C50">
      <w:pPr>
        <w:suppressAutoHyphens/>
        <w:autoSpaceDE w:val="0"/>
        <w:autoSpaceDN w:val="0"/>
        <w:adjustRightInd w:val="0"/>
        <w:spacing w:before="120" w:after="120"/>
        <w:ind w:firstLine="720"/>
        <w:rPr>
          <w:szCs w:val="24"/>
        </w:rPr>
      </w:pPr>
      <w:r w:rsidRPr="006757FB">
        <w:rPr>
          <w:szCs w:val="24"/>
        </w:rPr>
        <w:t xml:space="preserve">Some </w:t>
      </w:r>
      <w:r>
        <w:rPr>
          <w:szCs w:val="24"/>
        </w:rPr>
        <w:t xml:space="preserve">existing </w:t>
      </w:r>
      <w:r w:rsidRPr="006757FB">
        <w:rPr>
          <w:szCs w:val="24"/>
        </w:rPr>
        <w:t xml:space="preserve">sources </w:t>
      </w:r>
      <w:r>
        <w:rPr>
          <w:szCs w:val="24"/>
        </w:rPr>
        <w:t xml:space="preserve">affected by CSAPR may have been </w:t>
      </w:r>
      <w:r w:rsidRPr="006757FB">
        <w:rPr>
          <w:szCs w:val="24"/>
        </w:rPr>
        <w:t xml:space="preserve">required to construct </w:t>
      </w:r>
      <w:r>
        <w:rPr>
          <w:szCs w:val="24"/>
        </w:rPr>
        <w:t xml:space="preserve">and therefore obtain construction permits for </w:t>
      </w:r>
      <w:r w:rsidRPr="006757FB">
        <w:rPr>
          <w:szCs w:val="24"/>
        </w:rPr>
        <w:t xml:space="preserve">additional </w:t>
      </w:r>
      <w:r w:rsidR="00371CE2">
        <w:rPr>
          <w:szCs w:val="24"/>
        </w:rPr>
        <w:t xml:space="preserve">equipment </w:t>
      </w:r>
      <w:r>
        <w:rPr>
          <w:szCs w:val="24"/>
        </w:rPr>
        <w:t xml:space="preserve">that </w:t>
      </w:r>
      <w:r w:rsidR="00371CE2">
        <w:rPr>
          <w:szCs w:val="24"/>
        </w:rPr>
        <w:t>was</w:t>
      </w:r>
      <w:r>
        <w:rPr>
          <w:szCs w:val="24"/>
        </w:rPr>
        <w:t xml:space="preserve"> not required for ARP compliance.  In the existing CSAPR ICR, </w:t>
      </w:r>
      <w:r w:rsidRPr="006757FB">
        <w:rPr>
          <w:szCs w:val="24"/>
        </w:rPr>
        <w:t xml:space="preserve">the Agency estimates that </w:t>
      </w:r>
      <w:r>
        <w:rPr>
          <w:szCs w:val="24"/>
        </w:rPr>
        <w:t xml:space="preserve">applying for a construction permit takes </w:t>
      </w:r>
      <w:r w:rsidRPr="006757FB">
        <w:rPr>
          <w:szCs w:val="24"/>
        </w:rPr>
        <w:t>20 hours of managerial and 20 hours of technician time, per permit.</w:t>
      </w:r>
      <w:r>
        <w:rPr>
          <w:szCs w:val="24"/>
        </w:rPr>
        <w:t xml:space="preserve">  With respect to this rule, all existing </w:t>
      </w:r>
      <w:r w:rsidR="00371CE2">
        <w:rPr>
          <w:szCs w:val="24"/>
        </w:rPr>
        <w:t>sources</w:t>
      </w:r>
      <w:r>
        <w:rPr>
          <w:szCs w:val="24"/>
        </w:rPr>
        <w:t xml:space="preserve"> whose coverage under the CSAPR </w:t>
      </w:r>
      <w:r w:rsidRPr="00EE4615">
        <w:rPr>
          <w:szCs w:val="24"/>
        </w:rPr>
        <w:t>NO</w:t>
      </w:r>
      <w:r w:rsidRPr="00EE4615">
        <w:rPr>
          <w:szCs w:val="24"/>
          <w:vertAlign w:val="subscript"/>
        </w:rPr>
        <w:t>X</w:t>
      </w:r>
      <w:r>
        <w:rPr>
          <w:szCs w:val="24"/>
        </w:rPr>
        <w:t xml:space="preserve"> Ozone Season Trading Program </w:t>
      </w:r>
      <w:r w:rsidR="00432399">
        <w:rPr>
          <w:szCs w:val="24"/>
        </w:rPr>
        <w:t xml:space="preserve">changes </w:t>
      </w:r>
      <w:r w:rsidR="00C2787C">
        <w:rPr>
          <w:szCs w:val="24"/>
        </w:rPr>
        <w:t xml:space="preserve">will </w:t>
      </w:r>
      <w:r>
        <w:rPr>
          <w:szCs w:val="24"/>
        </w:rPr>
        <w:t xml:space="preserve">have already been subject to </w:t>
      </w:r>
      <w:r w:rsidR="00784B9A">
        <w:rPr>
          <w:szCs w:val="24"/>
        </w:rPr>
        <w:t xml:space="preserve">at least one CSAPR </w:t>
      </w:r>
      <w:r w:rsidR="00784B9A" w:rsidRPr="00784B9A">
        <w:rPr>
          <w:szCs w:val="24"/>
        </w:rPr>
        <w:t>NO</w:t>
      </w:r>
      <w:r w:rsidR="00784B9A" w:rsidRPr="00784B9A">
        <w:rPr>
          <w:szCs w:val="24"/>
          <w:vertAlign w:val="subscript"/>
        </w:rPr>
        <w:t>X</w:t>
      </w:r>
      <w:r w:rsidR="00784B9A">
        <w:rPr>
          <w:szCs w:val="24"/>
        </w:rPr>
        <w:t xml:space="preserve"> trading program </w:t>
      </w:r>
      <w:r>
        <w:rPr>
          <w:szCs w:val="24"/>
        </w:rPr>
        <w:t xml:space="preserve">and </w:t>
      </w:r>
      <w:r w:rsidR="00C2787C">
        <w:rPr>
          <w:szCs w:val="24"/>
        </w:rPr>
        <w:t xml:space="preserve">will </w:t>
      </w:r>
      <w:r>
        <w:rPr>
          <w:szCs w:val="24"/>
        </w:rPr>
        <w:t xml:space="preserve">have already been required to construct whatever new </w:t>
      </w:r>
      <w:r w:rsidR="00371CE2">
        <w:rPr>
          <w:szCs w:val="24"/>
        </w:rPr>
        <w:t>equipment was</w:t>
      </w:r>
      <w:r>
        <w:rPr>
          <w:szCs w:val="24"/>
        </w:rPr>
        <w:t xml:space="preserve"> necessary, with the consequence that this </w:t>
      </w:r>
      <w:r w:rsidR="00C2787C">
        <w:rPr>
          <w:szCs w:val="24"/>
        </w:rPr>
        <w:t xml:space="preserve">rule will </w:t>
      </w:r>
      <w:r>
        <w:rPr>
          <w:szCs w:val="24"/>
        </w:rPr>
        <w:t xml:space="preserve">cause no changes in the number of required construction permits.  EPA assumes that new CSAPR-affected </w:t>
      </w:r>
      <w:r w:rsidR="00371CE2">
        <w:rPr>
          <w:szCs w:val="24"/>
        </w:rPr>
        <w:t>sources</w:t>
      </w:r>
      <w:r>
        <w:rPr>
          <w:szCs w:val="24"/>
        </w:rPr>
        <w:t xml:space="preserve"> generally </w:t>
      </w:r>
      <w:r w:rsidR="00C2787C">
        <w:rPr>
          <w:szCs w:val="24"/>
        </w:rPr>
        <w:t xml:space="preserve">will </w:t>
      </w:r>
      <w:r>
        <w:rPr>
          <w:szCs w:val="24"/>
        </w:rPr>
        <w:t xml:space="preserve">also be affected under the ARP and that any </w:t>
      </w:r>
      <w:r w:rsidR="002834D9">
        <w:rPr>
          <w:szCs w:val="24"/>
        </w:rPr>
        <w:t xml:space="preserve">burden associated with </w:t>
      </w:r>
      <w:r>
        <w:rPr>
          <w:szCs w:val="24"/>
        </w:rPr>
        <w:t xml:space="preserve">construction permits required </w:t>
      </w:r>
      <w:r w:rsidR="00371CE2">
        <w:rPr>
          <w:szCs w:val="24"/>
        </w:rPr>
        <w:t xml:space="preserve">by </w:t>
      </w:r>
      <w:r>
        <w:rPr>
          <w:szCs w:val="24"/>
        </w:rPr>
        <w:t xml:space="preserve">those </w:t>
      </w:r>
      <w:r w:rsidR="00371CE2">
        <w:rPr>
          <w:szCs w:val="24"/>
        </w:rPr>
        <w:t>sources</w:t>
      </w:r>
      <w:r>
        <w:rPr>
          <w:szCs w:val="24"/>
        </w:rPr>
        <w:t xml:space="preserve"> </w:t>
      </w:r>
      <w:r w:rsidR="00C2787C">
        <w:rPr>
          <w:szCs w:val="24"/>
        </w:rPr>
        <w:t xml:space="preserve">will </w:t>
      </w:r>
      <w:r>
        <w:rPr>
          <w:szCs w:val="24"/>
        </w:rPr>
        <w:t>therefore be encompassed within the information collection burden and costs under the existing ARP ICR.</w:t>
      </w:r>
    </w:p>
    <w:p w14:paraId="6CF3E1E4" w14:textId="5AF5B483" w:rsidR="00562C50" w:rsidRPr="006757FB" w:rsidRDefault="00562C50" w:rsidP="00562C50">
      <w:pPr>
        <w:suppressAutoHyphens/>
        <w:autoSpaceDE w:val="0"/>
        <w:autoSpaceDN w:val="0"/>
        <w:adjustRightInd w:val="0"/>
        <w:spacing w:before="120" w:after="120"/>
        <w:ind w:firstLine="720"/>
        <w:rPr>
          <w:szCs w:val="24"/>
        </w:rPr>
      </w:pPr>
      <w:r w:rsidRPr="006757FB">
        <w:rPr>
          <w:szCs w:val="24"/>
        </w:rPr>
        <w:t xml:space="preserve">Under </w:t>
      </w:r>
      <w:r>
        <w:rPr>
          <w:szCs w:val="24"/>
        </w:rPr>
        <w:t>CSAPR</w:t>
      </w:r>
      <w:r w:rsidRPr="006757FB">
        <w:rPr>
          <w:szCs w:val="24"/>
        </w:rPr>
        <w:t xml:space="preserve">, the designated representative for each affected source must submit a certificate of representation to EPA.  </w:t>
      </w:r>
      <w:r>
        <w:rPr>
          <w:szCs w:val="24"/>
        </w:rPr>
        <w:t xml:space="preserve">Because </w:t>
      </w:r>
      <w:r w:rsidRPr="006757FB">
        <w:rPr>
          <w:szCs w:val="24"/>
        </w:rPr>
        <w:t xml:space="preserve">most existing </w:t>
      </w:r>
      <w:r>
        <w:rPr>
          <w:szCs w:val="24"/>
        </w:rPr>
        <w:t>CSAPR</w:t>
      </w:r>
      <w:r w:rsidRPr="006757FB">
        <w:rPr>
          <w:szCs w:val="24"/>
        </w:rPr>
        <w:t xml:space="preserve">-affected sources are already subject to the ARP, the Agency believes that the DRs for most </w:t>
      </w:r>
      <w:r>
        <w:rPr>
          <w:szCs w:val="24"/>
        </w:rPr>
        <w:t>CSAPR</w:t>
      </w:r>
      <w:r w:rsidRPr="006757FB">
        <w:rPr>
          <w:szCs w:val="24"/>
        </w:rPr>
        <w:t xml:space="preserve">-affected sources only need to revise their </w:t>
      </w:r>
      <w:r>
        <w:rPr>
          <w:szCs w:val="24"/>
        </w:rPr>
        <w:t xml:space="preserve">existing </w:t>
      </w:r>
      <w:r w:rsidRPr="006757FB">
        <w:rPr>
          <w:szCs w:val="24"/>
        </w:rPr>
        <w:t xml:space="preserve">certificates of representation, and that such revisions are routine. </w:t>
      </w:r>
      <w:r>
        <w:rPr>
          <w:szCs w:val="24"/>
        </w:rPr>
        <w:t>In the existing CSAPR ICR, t</w:t>
      </w:r>
      <w:r w:rsidRPr="006757FB">
        <w:rPr>
          <w:szCs w:val="24"/>
        </w:rPr>
        <w:t xml:space="preserve">he Agency therefore estimates that, on a per unit basis, about one half hour of managerial time and one half hour of technical time will be required to revise the </w:t>
      </w:r>
      <w:r w:rsidRPr="006757FB">
        <w:rPr>
          <w:szCs w:val="24"/>
        </w:rPr>
        <w:lastRenderedPageBreak/>
        <w:t>certificate of representation.</w:t>
      </w:r>
      <w:r>
        <w:rPr>
          <w:szCs w:val="24"/>
        </w:rPr>
        <w:t xml:space="preserve">  For purposes of this rule, EPA estimates that changes in certificates of representation for affected </w:t>
      </w:r>
      <w:r w:rsidR="00F174ED">
        <w:rPr>
          <w:szCs w:val="24"/>
        </w:rPr>
        <w:t>unit</w:t>
      </w:r>
      <w:r>
        <w:rPr>
          <w:szCs w:val="24"/>
        </w:rPr>
        <w:t xml:space="preserve">s that are becoming subject to one more or one </w:t>
      </w:r>
      <w:r w:rsidR="002834D9">
        <w:rPr>
          <w:szCs w:val="24"/>
        </w:rPr>
        <w:t>fewer</w:t>
      </w:r>
      <w:r>
        <w:rPr>
          <w:szCs w:val="24"/>
        </w:rPr>
        <w:t xml:space="preserve"> CSAPR trading program are encompassed within the scope of the information collection burden and costs under the existing CSAPR ICR. </w:t>
      </w:r>
      <w:r w:rsidR="004F7429">
        <w:rPr>
          <w:szCs w:val="24"/>
        </w:rPr>
        <w:t>EPA notes that t</w:t>
      </w:r>
      <w:r w:rsidR="00C2787C">
        <w:rPr>
          <w:szCs w:val="24"/>
        </w:rPr>
        <w:t xml:space="preserve">his rule specifically provides that </w:t>
      </w:r>
      <w:r w:rsidR="004F7429">
        <w:rPr>
          <w:szCs w:val="24"/>
        </w:rPr>
        <w:t xml:space="preserve">a certificate of representation previously submitted under the CSAPR </w:t>
      </w:r>
      <w:r w:rsidR="004F7429" w:rsidRPr="006757FB">
        <w:rPr>
          <w:szCs w:val="24"/>
        </w:rPr>
        <w:t>NO</w:t>
      </w:r>
      <w:r w:rsidR="004F7429" w:rsidRPr="006757FB">
        <w:rPr>
          <w:szCs w:val="24"/>
          <w:vertAlign w:val="subscript"/>
        </w:rPr>
        <w:t>X</w:t>
      </w:r>
      <w:r w:rsidR="004F7429" w:rsidRPr="006757FB">
        <w:rPr>
          <w:szCs w:val="24"/>
        </w:rPr>
        <w:t xml:space="preserve"> </w:t>
      </w:r>
      <w:r w:rsidR="004F7429">
        <w:rPr>
          <w:szCs w:val="24"/>
        </w:rPr>
        <w:t xml:space="preserve">Ozone Season Group 1 Trading Program is considered valid for purposes of the CSAPR </w:t>
      </w:r>
      <w:r w:rsidR="004F7429" w:rsidRPr="006757FB">
        <w:rPr>
          <w:szCs w:val="24"/>
        </w:rPr>
        <w:t>NO</w:t>
      </w:r>
      <w:r w:rsidR="004F7429" w:rsidRPr="006757FB">
        <w:rPr>
          <w:szCs w:val="24"/>
          <w:vertAlign w:val="subscript"/>
        </w:rPr>
        <w:t>X</w:t>
      </w:r>
      <w:r w:rsidR="004F7429" w:rsidRPr="006757FB">
        <w:rPr>
          <w:szCs w:val="24"/>
        </w:rPr>
        <w:t xml:space="preserve"> </w:t>
      </w:r>
      <w:r w:rsidR="004F7429">
        <w:rPr>
          <w:szCs w:val="24"/>
        </w:rPr>
        <w:t xml:space="preserve">Ozone Season Group 2 Trading Program, so no new certificates of representation will be required solely because a unit has been switched from one program to </w:t>
      </w:r>
      <w:r w:rsidR="00CD7569">
        <w:rPr>
          <w:szCs w:val="24"/>
        </w:rPr>
        <w:t xml:space="preserve">the </w:t>
      </w:r>
      <w:r w:rsidR="004F7429">
        <w:rPr>
          <w:szCs w:val="24"/>
        </w:rPr>
        <w:t>other as a result of this rule.</w:t>
      </w:r>
    </w:p>
    <w:p w14:paraId="632DDD04" w14:textId="17849AF7" w:rsidR="00562C50" w:rsidRPr="006757FB" w:rsidRDefault="00562C50" w:rsidP="00562C50">
      <w:pPr>
        <w:keepNext/>
        <w:suppressAutoHyphens/>
        <w:autoSpaceDE w:val="0"/>
        <w:autoSpaceDN w:val="0"/>
        <w:adjustRightInd w:val="0"/>
        <w:spacing w:before="120" w:after="120"/>
        <w:ind w:left="720"/>
        <w:rPr>
          <w:iCs/>
          <w:szCs w:val="24"/>
        </w:rPr>
      </w:pPr>
      <w:r w:rsidRPr="006757FB">
        <w:rPr>
          <w:iCs/>
          <w:szCs w:val="24"/>
        </w:rPr>
        <w:t xml:space="preserve">(ii)  Agency </w:t>
      </w:r>
      <w:r w:rsidR="002553FA">
        <w:rPr>
          <w:iCs/>
          <w:szCs w:val="24"/>
        </w:rPr>
        <w:t xml:space="preserve">and State </w:t>
      </w:r>
      <w:r>
        <w:rPr>
          <w:iCs/>
          <w:szCs w:val="24"/>
        </w:rPr>
        <w:t xml:space="preserve">Activities Relating to </w:t>
      </w:r>
      <w:r w:rsidRPr="006757FB">
        <w:rPr>
          <w:iCs/>
          <w:szCs w:val="24"/>
        </w:rPr>
        <w:t xml:space="preserve">Permitting </w:t>
      </w:r>
      <w:r>
        <w:rPr>
          <w:iCs/>
          <w:szCs w:val="24"/>
        </w:rPr>
        <w:t>and Other Certification.</w:t>
      </w:r>
    </w:p>
    <w:p w14:paraId="7184BF96" w14:textId="1F1AF0AA" w:rsidR="00562C50" w:rsidRPr="006757FB" w:rsidRDefault="00562C50" w:rsidP="00562C50">
      <w:pPr>
        <w:suppressAutoHyphens/>
        <w:spacing w:before="120" w:after="120"/>
        <w:ind w:firstLine="720"/>
        <w:rPr>
          <w:rFonts w:eastAsia="Times New Roman"/>
          <w:bCs/>
          <w:color w:val="000000"/>
          <w:szCs w:val="24"/>
        </w:rPr>
      </w:pPr>
      <w:r w:rsidRPr="006757FB">
        <w:rPr>
          <w:iCs/>
          <w:szCs w:val="24"/>
        </w:rPr>
        <w:t xml:space="preserve">Agency permitting activities (including activities of permitting authorities) include receiving and processing certificates of representation, permit applications, and retired unit exemptions.  </w:t>
      </w:r>
      <w:r>
        <w:rPr>
          <w:iCs/>
          <w:szCs w:val="24"/>
        </w:rPr>
        <w:t>In the existing CSAPR ICR, t</w:t>
      </w:r>
      <w:r w:rsidRPr="006757FB">
        <w:rPr>
          <w:iCs/>
          <w:szCs w:val="24"/>
        </w:rPr>
        <w:t xml:space="preserve">he Agency estimates that these activities will require </w:t>
      </w:r>
      <w:r w:rsidRPr="006757FB">
        <w:rPr>
          <w:rFonts w:eastAsia="Times New Roman"/>
          <w:bCs/>
          <w:color w:val="000000"/>
          <w:szCs w:val="24"/>
        </w:rPr>
        <w:t>2,926 hours per year.</w:t>
      </w:r>
      <w:r>
        <w:rPr>
          <w:rFonts w:eastAsia="Times New Roman"/>
          <w:bCs/>
          <w:color w:val="000000"/>
          <w:szCs w:val="24"/>
        </w:rPr>
        <w:t xml:space="preserve">  EPA estimates that the rule will not cause any material change in these activities.</w:t>
      </w:r>
    </w:p>
    <w:p w14:paraId="0CB6D53B" w14:textId="3E6B785F" w:rsidR="00562C50" w:rsidRPr="006757FB" w:rsidRDefault="00562C50" w:rsidP="00562C50">
      <w:pPr>
        <w:suppressAutoHyphens/>
        <w:spacing w:before="120" w:after="120"/>
        <w:ind w:firstLine="720"/>
        <w:rPr>
          <w:rFonts w:eastAsia="Times New Roman"/>
          <w:b/>
          <w:bCs/>
          <w:color w:val="000000"/>
          <w:szCs w:val="24"/>
        </w:rPr>
      </w:pPr>
      <w:r w:rsidRPr="006757FB">
        <w:rPr>
          <w:rFonts w:eastAsia="Times New Roman"/>
          <w:bCs/>
          <w:color w:val="000000"/>
          <w:szCs w:val="24"/>
        </w:rPr>
        <w:t xml:space="preserve">The </w:t>
      </w:r>
      <w:r>
        <w:rPr>
          <w:rFonts w:eastAsia="Times New Roman"/>
          <w:bCs/>
          <w:color w:val="000000"/>
          <w:szCs w:val="24"/>
        </w:rPr>
        <w:t xml:space="preserve">existing CSAPR </w:t>
      </w:r>
      <w:r w:rsidRPr="006757FB">
        <w:rPr>
          <w:rFonts w:eastAsia="Times New Roman"/>
          <w:bCs/>
          <w:color w:val="000000"/>
          <w:szCs w:val="24"/>
        </w:rPr>
        <w:t xml:space="preserve">ICR also includes a one-time allocation of burden for staff at permitting authorities to read the requirements of </w:t>
      </w:r>
      <w:r>
        <w:rPr>
          <w:rFonts w:eastAsia="Times New Roman"/>
          <w:bCs/>
          <w:color w:val="000000"/>
          <w:szCs w:val="24"/>
        </w:rPr>
        <w:t xml:space="preserve">CSAPR related to information collection.  Because this rule does not change the requirements of CSAPR related to information collection but only changes the universe of units covered by </w:t>
      </w:r>
      <w:r w:rsidR="004F7429">
        <w:rPr>
          <w:rFonts w:eastAsia="Times New Roman"/>
          <w:bCs/>
          <w:color w:val="000000"/>
          <w:szCs w:val="24"/>
        </w:rPr>
        <w:t xml:space="preserve">specific CSAPR </w:t>
      </w:r>
      <w:r>
        <w:rPr>
          <w:rFonts w:eastAsia="Times New Roman"/>
          <w:bCs/>
          <w:color w:val="000000"/>
          <w:szCs w:val="24"/>
        </w:rPr>
        <w:t>trading program</w:t>
      </w:r>
      <w:r w:rsidR="004F7429">
        <w:rPr>
          <w:rFonts w:eastAsia="Times New Roman"/>
          <w:bCs/>
          <w:color w:val="000000"/>
          <w:szCs w:val="24"/>
        </w:rPr>
        <w:t>s</w:t>
      </w:r>
      <w:r>
        <w:rPr>
          <w:rFonts w:eastAsia="Times New Roman"/>
          <w:bCs/>
          <w:color w:val="000000"/>
          <w:szCs w:val="24"/>
        </w:rPr>
        <w:t>, and because no new permitting authorities would need to undertake activities related to CSAPR’s information collection requirements as a result of this rule, EPA has not included any burden for this item in this ICR.</w:t>
      </w:r>
    </w:p>
    <w:p w14:paraId="6DAB7ABA" w14:textId="5D836049" w:rsidR="00562C50" w:rsidRPr="00D84BB0" w:rsidRDefault="00562C50" w:rsidP="00E16308">
      <w:pPr>
        <w:keepNext/>
        <w:suppressAutoHyphens/>
        <w:autoSpaceDE w:val="0"/>
        <w:autoSpaceDN w:val="0"/>
        <w:adjustRightInd w:val="0"/>
        <w:spacing w:before="120" w:after="120"/>
        <w:ind w:left="720"/>
        <w:rPr>
          <w:szCs w:val="24"/>
        </w:rPr>
      </w:pPr>
      <w:r w:rsidRPr="00D84BB0">
        <w:rPr>
          <w:iCs/>
          <w:szCs w:val="24"/>
        </w:rPr>
        <w:t xml:space="preserve">(iii)  </w:t>
      </w:r>
      <w:r w:rsidR="002553FA">
        <w:rPr>
          <w:iCs/>
          <w:szCs w:val="24"/>
        </w:rPr>
        <w:t xml:space="preserve">Industry </w:t>
      </w:r>
      <w:r w:rsidRPr="00D84BB0">
        <w:rPr>
          <w:iCs/>
          <w:szCs w:val="24"/>
        </w:rPr>
        <w:t>Respondent Monitoring Activities</w:t>
      </w:r>
    </w:p>
    <w:p w14:paraId="3DEB2019" w14:textId="6CD8A1B7" w:rsidR="000C02E9" w:rsidRPr="006757FB" w:rsidRDefault="001B1458" w:rsidP="006757FB">
      <w:pPr>
        <w:suppressAutoHyphens/>
        <w:autoSpaceDE w:val="0"/>
        <w:autoSpaceDN w:val="0"/>
        <w:adjustRightInd w:val="0"/>
        <w:spacing w:before="120" w:after="120"/>
        <w:ind w:firstLine="720"/>
        <w:rPr>
          <w:szCs w:val="24"/>
        </w:rPr>
      </w:pPr>
      <w:r>
        <w:rPr>
          <w:szCs w:val="24"/>
        </w:rPr>
        <w:t xml:space="preserve">The great majority of information collection burden and costs under CSAPR relate to emissions monitoring and reporting activities.  </w:t>
      </w:r>
      <w:r w:rsidR="00C22164">
        <w:rPr>
          <w:szCs w:val="24"/>
        </w:rPr>
        <w:t>CSAPR</w:t>
      </w:r>
      <w:r w:rsidR="000C02E9" w:rsidRPr="006757FB">
        <w:rPr>
          <w:szCs w:val="24"/>
        </w:rPr>
        <w:t xml:space="preserve"> </w:t>
      </w:r>
      <w:r w:rsidR="00007FDB" w:rsidRPr="006757FB">
        <w:rPr>
          <w:szCs w:val="24"/>
        </w:rPr>
        <w:t xml:space="preserve">generally </w:t>
      </w:r>
      <w:r w:rsidR="000C02E9" w:rsidRPr="006757FB">
        <w:rPr>
          <w:szCs w:val="24"/>
        </w:rPr>
        <w:t xml:space="preserve">requires all affected sources to monitor </w:t>
      </w:r>
      <w:r w:rsidR="004E69B2" w:rsidRPr="006757FB">
        <w:rPr>
          <w:szCs w:val="24"/>
        </w:rPr>
        <w:t>their</w:t>
      </w:r>
      <w:r w:rsidR="000C02E9" w:rsidRPr="006757FB">
        <w:rPr>
          <w:szCs w:val="24"/>
        </w:rPr>
        <w:t xml:space="preserve"> </w:t>
      </w:r>
      <w:r w:rsidR="007B40DE" w:rsidRPr="006757FB">
        <w:rPr>
          <w:szCs w:val="24"/>
        </w:rPr>
        <w:t>NO</w:t>
      </w:r>
      <w:r w:rsidR="002B09EE" w:rsidRPr="006757FB">
        <w:rPr>
          <w:szCs w:val="24"/>
          <w:vertAlign w:val="subscript"/>
        </w:rPr>
        <w:t>X</w:t>
      </w:r>
      <w:r w:rsidR="000C02E9" w:rsidRPr="006757FB">
        <w:rPr>
          <w:szCs w:val="24"/>
        </w:rPr>
        <w:t xml:space="preserve"> emission rate,</w:t>
      </w:r>
      <w:r w:rsidR="00217148" w:rsidRPr="006757FB">
        <w:rPr>
          <w:szCs w:val="24"/>
        </w:rPr>
        <w:t xml:space="preserve"> </w:t>
      </w:r>
      <w:r w:rsidR="000C02E9" w:rsidRPr="006757FB">
        <w:rPr>
          <w:szCs w:val="24"/>
        </w:rPr>
        <w:t>SO</w:t>
      </w:r>
      <w:r w:rsidR="000C02E9" w:rsidRPr="006757FB">
        <w:rPr>
          <w:szCs w:val="24"/>
          <w:vertAlign w:val="subscript"/>
        </w:rPr>
        <w:t>2</w:t>
      </w:r>
      <w:r w:rsidR="000C02E9" w:rsidRPr="006757FB">
        <w:rPr>
          <w:szCs w:val="24"/>
        </w:rPr>
        <w:t xml:space="preserve"> emission rate</w:t>
      </w:r>
      <w:r w:rsidR="004E69B2" w:rsidRPr="006757FB">
        <w:rPr>
          <w:szCs w:val="24"/>
        </w:rPr>
        <w:t>,</w:t>
      </w:r>
      <w:r w:rsidR="000C02E9" w:rsidRPr="006757FB">
        <w:rPr>
          <w:szCs w:val="24"/>
        </w:rPr>
        <w:t xml:space="preserve"> and heat input in order to determine </w:t>
      </w:r>
      <w:r w:rsidR="007B40DE" w:rsidRPr="006757FB">
        <w:rPr>
          <w:szCs w:val="24"/>
        </w:rPr>
        <w:t>NO</w:t>
      </w:r>
      <w:r w:rsidR="002B09EE" w:rsidRPr="006757FB">
        <w:rPr>
          <w:szCs w:val="24"/>
          <w:vertAlign w:val="subscript"/>
        </w:rPr>
        <w:t>X</w:t>
      </w:r>
      <w:r w:rsidR="000C02E9" w:rsidRPr="006757FB">
        <w:rPr>
          <w:szCs w:val="24"/>
        </w:rPr>
        <w:t xml:space="preserve"> mass emissions and SO</w:t>
      </w:r>
      <w:r w:rsidR="000C02E9" w:rsidRPr="006757FB">
        <w:rPr>
          <w:szCs w:val="24"/>
          <w:vertAlign w:val="subscript"/>
        </w:rPr>
        <w:t>2</w:t>
      </w:r>
      <w:r w:rsidR="000C02E9" w:rsidRPr="006757FB">
        <w:rPr>
          <w:szCs w:val="24"/>
        </w:rPr>
        <w:t xml:space="preserve"> mass</w:t>
      </w:r>
      <w:r w:rsidR="00217148" w:rsidRPr="006757FB">
        <w:rPr>
          <w:szCs w:val="24"/>
        </w:rPr>
        <w:t xml:space="preserve"> </w:t>
      </w:r>
      <w:r w:rsidR="000C02E9" w:rsidRPr="006757FB">
        <w:rPr>
          <w:szCs w:val="24"/>
        </w:rPr>
        <w:t>emissions</w:t>
      </w:r>
      <w:r w:rsidR="0040499E" w:rsidRPr="006757FB">
        <w:rPr>
          <w:szCs w:val="24"/>
        </w:rPr>
        <w:t xml:space="preserve"> (</w:t>
      </w:r>
      <w:r w:rsidR="00007FDB" w:rsidRPr="006757FB">
        <w:rPr>
          <w:szCs w:val="24"/>
        </w:rPr>
        <w:t xml:space="preserve">except that </w:t>
      </w:r>
      <w:r w:rsidR="00C22164">
        <w:rPr>
          <w:szCs w:val="24"/>
        </w:rPr>
        <w:t>CSAPR</w:t>
      </w:r>
      <w:r w:rsidR="0040499E" w:rsidRPr="006757FB">
        <w:rPr>
          <w:szCs w:val="24"/>
        </w:rPr>
        <w:t xml:space="preserve"> does not require SO</w:t>
      </w:r>
      <w:r w:rsidR="0040499E" w:rsidRPr="006757FB">
        <w:rPr>
          <w:szCs w:val="24"/>
          <w:vertAlign w:val="subscript"/>
        </w:rPr>
        <w:t>2</w:t>
      </w:r>
      <w:r w:rsidR="0040499E" w:rsidRPr="006757FB">
        <w:rPr>
          <w:szCs w:val="24"/>
        </w:rPr>
        <w:t xml:space="preserve"> monitoring for sources subject to only the </w:t>
      </w:r>
      <w:r w:rsidR="00C22164">
        <w:rPr>
          <w:szCs w:val="24"/>
        </w:rPr>
        <w:t>CSAPR</w:t>
      </w:r>
      <w:r w:rsidR="0040499E" w:rsidRPr="006757FB">
        <w:rPr>
          <w:szCs w:val="24"/>
        </w:rPr>
        <w:t xml:space="preserve"> NO</w:t>
      </w:r>
      <w:r w:rsidR="0040499E" w:rsidRPr="006757FB">
        <w:rPr>
          <w:szCs w:val="24"/>
          <w:vertAlign w:val="subscript"/>
        </w:rPr>
        <w:t>X</w:t>
      </w:r>
      <w:r w:rsidR="0040499E" w:rsidRPr="006757FB">
        <w:rPr>
          <w:szCs w:val="24"/>
        </w:rPr>
        <w:t xml:space="preserve"> </w:t>
      </w:r>
      <w:r w:rsidR="00C638B5">
        <w:rPr>
          <w:szCs w:val="24"/>
        </w:rPr>
        <w:t>Ozone Season Trading Program</w:t>
      </w:r>
      <w:r w:rsidR="0040499E" w:rsidRPr="006757FB">
        <w:rPr>
          <w:szCs w:val="24"/>
        </w:rPr>
        <w:t>)</w:t>
      </w:r>
      <w:r w:rsidR="003972B1" w:rsidRPr="006757FB">
        <w:rPr>
          <w:szCs w:val="24"/>
        </w:rPr>
        <w:t xml:space="preserve">.  </w:t>
      </w:r>
      <w:r w:rsidR="005E644B" w:rsidRPr="006757FB">
        <w:rPr>
          <w:szCs w:val="24"/>
        </w:rPr>
        <w:t xml:space="preserve">Coal-fired units use </w:t>
      </w:r>
      <w:r w:rsidR="00615F6A" w:rsidRPr="006757FB">
        <w:rPr>
          <w:szCs w:val="24"/>
        </w:rPr>
        <w:t>NO</w:t>
      </w:r>
      <w:r w:rsidR="00615F6A" w:rsidRPr="006757FB">
        <w:rPr>
          <w:szCs w:val="24"/>
          <w:vertAlign w:val="subscript"/>
        </w:rPr>
        <w:t>X</w:t>
      </w:r>
      <w:r w:rsidR="00615F6A" w:rsidRPr="006757FB">
        <w:rPr>
          <w:szCs w:val="24"/>
        </w:rPr>
        <w:t xml:space="preserve">, </w:t>
      </w:r>
      <w:r w:rsidR="00EE7C6C" w:rsidRPr="006757FB">
        <w:rPr>
          <w:szCs w:val="24"/>
        </w:rPr>
        <w:t>SO</w:t>
      </w:r>
      <w:r w:rsidR="00EE7C6C" w:rsidRPr="006757FB">
        <w:rPr>
          <w:szCs w:val="24"/>
          <w:vertAlign w:val="subscript"/>
        </w:rPr>
        <w:t>2</w:t>
      </w:r>
      <w:r w:rsidR="00615F6A" w:rsidRPr="006757FB">
        <w:rPr>
          <w:szCs w:val="24"/>
        </w:rPr>
        <w:t xml:space="preserve">, </w:t>
      </w:r>
      <w:r w:rsidR="00EE7C6C" w:rsidRPr="006757FB">
        <w:rPr>
          <w:szCs w:val="24"/>
        </w:rPr>
        <w:t xml:space="preserve">and </w:t>
      </w:r>
      <w:r w:rsidR="00C638B5">
        <w:rPr>
          <w:szCs w:val="24"/>
        </w:rPr>
        <w:t xml:space="preserve">flue gas </w:t>
      </w:r>
      <w:r w:rsidR="00EE7C6C" w:rsidRPr="006757FB">
        <w:rPr>
          <w:szCs w:val="24"/>
        </w:rPr>
        <w:t>flow CEMS to meet those requirement</w:t>
      </w:r>
      <w:r w:rsidR="005E644B" w:rsidRPr="006757FB">
        <w:rPr>
          <w:szCs w:val="24"/>
        </w:rPr>
        <w:t xml:space="preserve">s.  </w:t>
      </w:r>
      <w:r w:rsidR="00C638B5">
        <w:rPr>
          <w:szCs w:val="24"/>
        </w:rPr>
        <w:t xml:space="preserve">As noted in section 5.3 above, natural gas- and oil-fired </w:t>
      </w:r>
      <w:r w:rsidR="005E644B" w:rsidRPr="006757FB">
        <w:rPr>
          <w:szCs w:val="24"/>
        </w:rPr>
        <w:t xml:space="preserve">units have </w:t>
      </w:r>
      <w:r w:rsidR="00EE7C6C" w:rsidRPr="006757FB">
        <w:rPr>
          <w:szCs w:val="24"/>
        </w:rPr>
        <w:t xml:space="preserve">alternatives.  </w:t>
      </w:r>
      <w:r w:rsidR="00C638B5">
        <w:rPr>
          <w:szCs w:val="24"/>
        </w:rPr>
        <w:t xml:space="preserve">To monitor </w:t>
      </w:r>
      <w:r w:rsidR="00EE7C6C" w:rsidRPr="006757FB">
        <w:rPr>
          <w:szCs w:val="24"/>
        </w:rPr>
        <w:t>SO</w:t>
      </w:r>
      <w:r w:rsidR="00EE7C6C" w:rsidRPr="006757FB">
        <w:rPr>
          <w:szCs w:val="24"/>
          <w:vertAlign w:val="subscript"/>
        </w:rPr>
        <w:t>2</w:t>
      </w:r>
      <w:r w:rsidR="00C638B5">
        <w:rPr>
          <w:szCs w:val="24"/>
        </w:rPr>
        <w:t xml:space="preserve"> emission rate and heat input data,</w:t>
      </w:r>
      <w:r w:rsidR="00EE7C6C" w:rsidRPr="006757FB">
        <w:rPr>
          <w:szCs w:val="24"/>
        </w:rPr>
        <w:t xml:space="preserve"> these units </w:t>
      </w:r>
      <w:r w:rsidR="00C638B5">
        <w:rPr>
          <w:szCs w:val="24"/>
        </w:rPr>
        <w:t xml:space="preserve">may </w:t>
      </w:r>
      <w:r w:rsidR="00DA19B3">
        <w:rPr>
          <w:szCs w:val="24"/>
        </w:rPr>
        <w:t xml:space="preserve">perform </w:t>
      </w:r>
      <w:r w:rsidR="00EE7C6C" w:rsidRPr="006757FB">
        <w:rPr>
          <w:szCs w:val="24"/>
        </w:rPr>
        <w:t xml:space="preserve">fuel sampling and analysis (or </w:t>
      </w:r>
      <w:r w:rsidR="002834D9">
        <w:rPr>
          <w:szCs w:val="24"/>
        </w:rPr>
        <w:t xml:space="preserve">use </w:t>
      </w:r>
      <w:r w:rsidR="00EE7C6C" w:rsidRPr="006757FB">
        <w:rPr>
          <w:szCs w:val="24"/>
        </w:rPr>
        <w:t>an SO</w:t>
      </w:r>
      <w:r w:rsidR="00EE7C6C" w:rsidRPr="006757FB">
        <w:rPr>
          <w:szCs w:val="24"/>
          <w:vertAlign w:val="subscript"/>
        </w:rPr>
        <w:t>2</w:t>
      </w:r>
      <w:r w:rsidR="00EE7C6C" w:rsidRPr="006757FB">
        <w:rPr>
          <w:szCs w:val="24"/>
        </w:rPr>
        <w:t xml:space="preserve"> default factor for pipeline natural gas) combined with </w:t>
      </w:r>
      <w:r w:rsidR="00DA19B3">
        <w:rPr>
          <w:szCs w:val="24"/>
        </w:rPr>
        <w:t xml:space="preserve">use of </w:t>
      </w:r>
      <w:r w:rsidR="00EE7C6C" w:rsidRPr="006757FB">
        <w:rPr>
          <w:szCs w:val="24"/>
        </w:rPr>
        <w:t xml:space="preserve">a fuel flowmeter.  </w:t>
      </w:r>
      <w:r w:rsidR="000C02E9" w:rsidRPr="006757FB">
        <w:rPr>
          <w:szCs w:val="24"/>
        </w:rPr>
        <w:t xml:space="preserve">In addition, </w:t>
      </w:r>
      <w:r w:rsidR="00C638B5">
        <w:rPr>
          <w:szCs w:val="24"/>
        </w:rPr>
        <w:t xml:space="preserve">natural gas- and oil-fired </w:t>
      </w:r>
      <w:r w:rsidR="000C02E9" w:rsidRPr="006757FB">
        <w:rPr>
          <w:szCs w:val="24"/>
        </w:rPr>
        <w:t xml:space="preserve">peaking units may </w:t>
      </w:r>
      <w:r w:rsidR="00DA19B3">
        <w:rPr>
          <w:szCs w:val="24"/>
        </w:rPr>
        <w:t>perform</w:t>
      </w:r>
      <w:r w:rsidR="000C02E9" w:rsidRPr="006757FB">
        <w:rPr>
          <w:szCs w:val="24"/>
        </w:rPr>
        <w:t xml:space="preserve"> </w:t>
      </w:r>
      <w:r w:rsidR="00C638B5">
        <w:rPr>
          <w:szCs w:val="24"/>
        </w:rPr>
        <w:t xml:space="preserve">periodic </w:t>
      </w:r>
      <w:r w:rsidR="00C638B5" w:rsidRPr="00C638B5">
        <w:rPr>
          <w:szCs w:val="24"/>
        </w:rPr>
        <w:t>NO</w:t>
      </w:r>
      <w:r w:rsidR="00C638B5" w:rsidRPr="00C638B5">
        <w:rPr>
          <w:szCs w:val="24"/>
          <w:vertAlign w:val="subscript"/>
        </w:rPr>
        <w:t>X</w:t>
      </w:r>
      <w:r w:rsidR="00C638B5">
        <w:rPr>
          <w:szCs w:val="24"/>
        </w:rPr>
        <w:t xml:space="preserve"> emiss</w:t>
      </w:r>
      <w:r w:rsidR="00DA19B3">
        <w:rPr>
          <w:szCs w:val="24"/>
        </w:rPr>
        <w:t>ion rate testing combined with use of a</w:t>
      </w:r>
      <w:r w:rsidR="00C638B5">
        <w:rPr>
          <w:szCs w:val="24"/>
        </w:rPr>
        <w:t xml:space="preserve"> fuel flowmeter to monitor </w:t>
      </w:r>
      <w:r w:rsidR="00C638B5" w:rsidRPr="00C638B5">
        <w:rPr>
          <w:szCs w:val="24"/>
        </w:rPr>
        <w:t>NO</w:t>
      </w:r>
      <w:r w:rsidR="00C638B5" w:rsidRPr="00C638B5">
        <w:rPr>
          <w:szCs w:val="24"/>
          <w:vertAlign w:val="subscript"/>
        </w:rPr>
        <w:t>X</w:t>
      </w:r>
      <w:r w:rsidR="00C638B5">
        <w:rPr>
          <w:szCs w:val="24"/>
        </w:rPr>
        <w:t xml:space="preserve"> emission rate data</w:t>
      </w:r>
      <w:r w:rsidR="003972B1" w:rsidRPr="006757FB">
        <w:rPr>
          <w:szCs w:val="24"/>
        </w:rPr>
        <w:t xml:space="preserve">.  </w:t>
      </w:r>
      <w:r w:rsidR="002834D9">
        <w:rPr>
          <w:szCs w:val="24"/>
        </w:rPr>
        <w:t>C</w:t>
      </w:r>
      <w:r w:rsidR="00C638B5">
        <w:rPr>
          <w:szCs w:val="24"/>
        </w:rPr>
        <w:t xml:space="preserve">ertain </w:t>
      </w:r>
      <w:r w:rsidR="00DA19B3">
        <w:rPr>
          <w:szCs w:val="24"/>
        </w:rPr>
        <w:t xml:space="preserve">additional </w:t>
      </w:r>
      <w:r w:rsidR="00C638B5">
        <w:rPr>
          <w:szCs w:val="24"/>
        </w:rPr>
        <w:t>data must also be monitored for quality assurance purposes.  C</w:t>
      </w:r>
      <w:r w:rsidR="000C02E9" w:rsidRPr="006757FB">
        <w:rPr>
          <w:szCs w:val="24"/>
        </w:rPr>
        <w:t xml:space="preserve">ertain </w:t>
      </w:r>
      <w:r w:rsidR="00C638B5">
        <w:rPr>
          <w:szCs w:val="24"/>
        </w:rPr>
        <w:t xml:space="preserve">units with </w:t>
      </w:r>
      <w:r w:rsidR="000C02E9" w:rsidRPr="006757FB">
        <w:rPr>
          <w:szCs w:val="24"/>
        </w:rPr>
        <w:t xml:space="preserve">low mass emissions </w:t>
      </w:r>
      <w:r w:rsidR="00C638B5">
        <w:rPr>
          <w:szCs w:val="24"/>
        </w:rPr>
        <w:t xml:space="preserve">may </w:t>
      </w:r>
      <w:r w:rsidR="000C02E9" w:rsidRPr="006757FB">
        <w:rPr>
          <w:szCs w:val="24"/>
        </w:rPr>
        <w:t>use assumed emissions factors together with operational data to calculate emissions.</w:t>
      </w:r>
    </w:p>
    <w:p w14:paraId="5666DF60" w14:textId="56869C82" w:rsidR="00D40A2F" w:rsidRDefault="00D0602B" w:rsidP="006757FB">
      <w:pPr>
        <w:suppressAutoHyphens/>
        <w:autoSpaceDE w:val="0"/>
        <w:autoSpaceDN w:val="0"/>
        <w:adjustRightInd w:val="0"/>
        <w:spacing w:before="120" w:after="120"/>
        <w:ind w:firstLine="720"/>
        <w:rPr>
          <w:szCs w:val="24"/>
        </w:rPr>
      </w:pPr>
      <w:r>
        <w:rPr>
          <w:szCs w:val="24"/>
        </w:rPr>
        <w:t>CSAPR</w:t>
      </w:r>
      <w:r w:rsidR="005E644B" w:rsidRPr="006757FB">
        <w:rPr>
          <w:szCs w:val="24"/>
        </w:rPr>
        <w:t xml:space="preserve"> </w:t>
      </w:r>
      <w:r>
        <w:rPr>
          <w:szCs w:val="24"/>
        </w:rPr>
        <w:t xml:space="preserve">information collection </w:t>
      </w:r>
      <w:r w:rsidR="005E644B" w:rsidRPr="006757FB">
        <w:rPr>
          <w:szCs w:val="24"/>
        </w:rPr>
        <w:t>burden and costs are</w:t>
      </w:r>
      <w:r w:rsidR="000C02E9" w:rsidRPr="006757FB">
        <w:rPr>
          <w:szCs w:val="24"/>
        </w:rPr>
        <w:t xml:space="preserve"> calculated </w:t>
      </w:r>
      <w:r>
        <w:rPr>
          <w:szCs w:val="24"/>
        </w:rPr>
        <w:t>as incremental to the information collection burden and costs under the ARP ICR</w:t>
      </w:r>
      <w:r w:rsidR="003972B1" w:rsidRPr="006757FB">
        <w:rPr>
          <w:szCs w:val="24"/>
        </w:rPr>
        <w:t xml:space="preserve">.  </w:t>
      </w:r>
      <w:r w:rsidR="00D40A2F">
        <w:rPr>
          <w:szCs w:val="24"/>
        </w:rPr>
        <w:t>CSAPR-</w:t>
      </w:r>
      <w:r w:rsidR="00DA19B3">
        <w:rPr>
          <w:szCs w:val="24"/>
        </w:rPr>
        <w:t xml:space="preserve">affected </w:t>
      </w:r>
      <w:r w:rsidR="00D40A2F">
        <w:rPr>
          <w:szCs w:val="24"/>
        </w:rPr>
        <w:t xml:space="preserve">units </w:t>
      </w:r>
      <w:r w:rsidR="00053A38" w:rsidRPr="006757FB">
        <w:rPr>
          <w:szCs w:val="24"/>
        </w:rPr>
        <w:t>sub</w:t>
      </w:r>
      <w:r w:rsidR="006522FF" w:rsidRPr="006757FB">
        <w:rPr>
          <w:szCs w:val="24"/>
        </w:rPr>
        <w:t xml:space="preserve">ject to the </w:t>
      </w:r>
      <w:r w:rsidR="00F01416" w:rsidRPr="006757FB">
        <w:rPr>
          <w:szCs w:val="24"/>
        </w:rPr>
        <w:t>ARP</w:t>
      </w:r>
      <w:r w:rsidR="006522FF" w:rsidRPr="006757FB">
        <w:rPr>
          <w:szCs w:val="24"/>
        </w:rPr>
        <w:t xml:space="preserve"> already have </w:t>
      </w:r>
      <w:r w:rsidR="00DA19B3">
        <w:rPr>
          <w:szCs w:val="24"/>
        </w:rPr>
        <w:t>all or</w:t>
      </w:r>
      <w:r w:rsidR="002834D9">
        <w:rPr>
          <w:szCs w:val="24"/>
        </w:rPr>
        <w:t>, in a few cases,</w:t>
      </w:r>
      <w:r w:rsidR="00DA19B3">
        <w:rPr>
          <w:szCs w:val="24"/>
        </w:rPr>
        <w:t xml:space="preserve"> most </w:t>
      </w:r>
      <w:r w:rsidR="001B328D" w:rsidRPr="006757FB">
        <w:rPr>
          <w:szCs w:val="24"/>
        </w:rPr>
        <w:t xml:space="preserve">of the monitoring and reporting capability </w:t>
      </w:r>
      <w:r w:rsidR="004E69B2" w:rsidRPr="006757FB">
        <w:rPr>
          <w:szCs w:val="24"/>
        </w:rPr>
        <w:t xml:space="preserve">required </w:t>
      </w:r>
      <w:r w:rsidR="001B328D" w:rsidRPr="006757FB">
        <w:rPr>
          <w:szCs w:val="24"/>
        </w:rPr>
        <w:t>under</w:t>
      </w:r>
      <w:r w:rsidR="006522FF" w:rsidRPr="006757FB">
        <w:rPr>
          <w:szCs w:val="24"/>
        </w:rPr>
        <w:t xml:space="preserve"> </w:t>
      </w:r>
      <w:r w:rsidR="00C22164">
        <w:rPr>
          <w:szCs w:val="24"/>
        </w:rPr>
        <w:t>CSAPR</w:t>
      </w:r>
      <w:r w:rsidR="00D40A2F">
        <w:rPr>
          <w:szCs w:val="24"/>
        </w:rPr>
        <w:t xml:space="preserve"> (or, in the case of </w:t>
      </w:r>
      <w:r w:rsidR="00DA19B3">
        <w:rPr>
          <w:szCs w:val="24"/>
        </w:rPr>
        <w:t xml:space="preserve">CSAPR-affected </w:t>
      </w:r>
      <w:r w:rsidR="00D40A2F">
        <w:rPr>
          <w:szCs w:val="24"/>
        </w:rPr>
        <w:t xml:space="preserve">new units, are required to obtain </w:t>
      </w:r>
      <w:r w:rsidR="00DA19B3">
        <w:rPr>
          <w:szCs w:val="24"/>
        </w:rPr>
        <w:t xml:space="preserve">that capability for </w:t>
      </w:r>
      <w:r w:rsidR="00D40A2F">
        <w:rPr>
          <w:szCs w:val="24"/>
        </w:rPr>
        <w:t>ARP compliance)</w:t>
      </w:r>
      <w:r w:rsidR="00B0748D" w:rsidRPr="006757FB">
        <w:rPr>
          <w:szCs w:val="24"/>
        </w:rPr>
        <w:t>, and th</w:t>
      </w:r>
      <w:r w:rsidR="00102063" w:rsidRPr="006757FB">
        <w:rPr>
          <w:szCs w:val="24"/>
        </w:rPr>
        <w:t>e</w:t>
      </w:r>
      <w:r w:rsidR="00B0748D" w:rsidRPr="006757FB">
        <w:rPr>
          <w:szCs w:val="24"/>
        </w:rPr>
        <w:t xml:space="preserve"> </w:t>
      </w:r>
      <w:r w:rsidR="00102063" w:rsidRPr="006757FB">
        <w:rPr>
          <w:szCs w:val="24"/>
        </w:rPr>
        <w:t xml:space="preserve">associated </w:t>
      </w:r>
      <w:r w:rsidR="00B0748D" w:rsidRPr="006757FB">
        <w:rPr>
          <w:szCs w:val="24"/>
        </w:rPr>
        <w:t>burden and costs are accounted for under the ARP ICR</w:t>
      </w:r>
      <w:r w:rsidR="00033581" w:rsidRPr="006757FB">
        <w:rPr>
          <w:szCs w:val="24"/>
        </w:rPr>
        <w:t xml:space="preserve">.  </w:t>
      </w:r>
      <w:r w:rsidR="00D40A2F">
        <w:rPr>
          <w:szCs w:val="24"/>
        </w:rPr>
        <w:t xml:space="preserve">In general, for ARP-affected units, the </w:t>
      </w:r>
      <w:r w:rsidR="002834D9">
        <w:rPr>
          <w:szCs w:val="24"/>
        </w:rPr>
        <w:t xml:space="preserve">principal </w:t>
      </w:r>
      <w:r w:rsidR="00D40A2F">
        <w:rPr>
          <w:szCs w:val="24"/>
        </w:rPr>
        <w:t xml:space="preserve">additional information collection burden and costs required by CSAPR and therefore covered under the CSAPR ICR are </w:t>
      </w:r>
      <w:r w:rsidR="002834D9">
        <w:rPr>
          <w:szCs w:val="24"/>
        </w:rPr>
        <w:t xml:space="preserve">those associated with </w:t>
      </w:r>
      <w:r w:rsidR="00D40A2F">
        <w:rPr>
          <w:szCs w:val="24"/>
        </w:rPr>
        <w:t xml:space="preserve">(1) </w:t>
      </w:r>
      <w:r w:rsidR="002834D9">
        <w:rPr>
          <w:szCs w:val="24"/>
        </w:rPr>
        <w:t>modifying certificates of representation</w:t>
      </w:r>
      <w:r w:rsidR="00957509">
        <w:rPr>
          <w:szCs w:val="24"/>
        </w:rPr>
        <w:t xml:space="preserve">, </w:t>
      </w:r>
      <w:r w:rsidR="00D40A2F">
        <w:rPr>
          <w:szCs w:val="24"/>
        </w:rPr>
        <w:t xml:space="preserve">and (2) </w:t>
      </w:r>
      <w:r w:rsidR="002834D9">
        <w:rPr>
          <w:szCs w:val="24"/>
        </w:rPr>
        <w:t xml:space="preserve">performing </w:t>
      </w:r>
      <w:r w:rsidR="00D40A2F">
        <w:rPr>
          <w:szCs w:val="24"/>
        </w:rPr>
        <w:t>CSAPR allowance tra</w:t>
      </w:r>
      <w:r w:rsidR="002834D9">
        <w:rPr>
          <w:szCs w:val="24"/>
        </w:rPr>
        <w:t>nsfer</w:t>
      </w:r>
      <w:r w:rsidR="00957509">
        <w:rPr>
          <w:szCs w:val="24"/>
        </w:rPr>
        <w:t xml:space="preserve"> activities</w:t>
      </w:r>
      <w:r w:rsidR="00D40A2F">
        <w:rPr>
          <w:szCs w:val="24"/>
        </w:rPr>
        <w:t xml:space="preserve">.  </w:t>
      </w:r>
    </w:p>
    <w:p w14:paraId="21F6C0D5" w14:textId="7FF27A84" w:rsidR="00957509" w:rsidRDefault="00D40A2F" w:rsidP="006757FB">
      <w:pPr>
        <w:suppressAutoHyphens/>
        <w:autoSpaceDE w:val="0"/>
        <w:autoSpaceDN w:val="0"/>
        <w:adjustRightInd w:val="0"/>
        <w:spacing w:before="120" w:after="120"/>
        <w:ind w:firstLine="720"/>
        <w:rPr>
          <w:szCs w:val="24"/>
        </w:rPr>
      </w:pPr>
      <w:r>
        <w:rPr>
          <w:szCs w:val="24"/>
        </w:rPr>
        <w:lastRenderedPageBreak/>
        <w:t>For CSAPR-affected units not subject to the ARP</w:t>
      </w:r>
      <w:r w:rsidR="001C3D81">
        <w:rPr>
          <w:szCs w:val="24"/>
        </w:rPr>
        <w:t xml:space="preserve">, </w:t>
      </w:r>
      <w:r w:rsidR="00957509">
        <w:rPr>
          <w:szCs w:val="24"/>
        </w:rPr>
        <w:t xml:space="preserve">CSAPR-related information collection burden and costs include the full burden and costs associated with reporting </w:t>
      </w:r>
      <w:r w:rsidR="00D4283F">
        <w:rPr>
          <w:szCs w:val="24"/>
        </w:rPr>
        <w:t xml:space="preserve">hourly </w:t>
      </w:r>
      <w:r w:rsidR="00957509" w:rsidRPr="00957509">
        <w:rPr>
          <w:szCs w:val="24"/>
        </w:rPr>
        <w:t>NO</w:t>
      </w:r>
      <w:r w:rsidR="00957509" w:rsidRPr="00957509">
        <w:rPr>
          <w:szCs w:val="24"/>
          <w:vertAlign w:val="subscript"/>
        </w:rPr>
        <w:t>X</w:t>
      </w:r>
      <w:r w:rsidR="00957509">
        <w:rPr>
          <w:szCs w:val="24"/>
        </w:rPr>
        <w:t xml:space="preserve"> mass emissions, </w:t>
      </w:r>
      <w:r w:rsidR="00957509" w:rsidRPr="00957509">
        <w:rPr>
          <w:szCs w:val="24"/>
        </w:rPr>
        <w:t>SO</w:t>
      </w:r>
      <w:r w:rsidR="00957509" w:rsidRPr="00957509">
        <w:rPr>
          <w:szCs w:val="24"/>
          <w:vertAlign w:val="subscript"/>
        </w:rPr>
        <w:t>2</w:t>
      </w:r>
      <w:r w:rsidR="00957509">
        <w:rPr>
          <w:szCs w:val="24"/>
        </w:rPr>
        <w:t xml:space="preserve"> mass emissions (for units in states covered by CSAPR’s </w:t>
      </w:r>
      <w:r w:rsidR="00A3654A" w:rsidRPr="00A3654A">
        <w:rPr>
          <w:szCs w:val="24"/>
        </w:rPr>
        <w:t>SO</w:t>
      </w:r>
      <w:r w:rsidR="00A3654A" w:rsidRPr="00A3654A">
        <w:rPr>
          <w:szCs w:val="24"/>
          <w:vertAlign w:val="subscript"/>
        </w:rPr>
        <w:t>2</w:t>
      </w:r>
      <w:r w:rsidR="00A3654A">
        <w:rPr>
          <w:szCs w:val="24"/>
        </w:rPr>
        <w:t xml:space="preserve"> </w:t>
      </w:r>
      <w:r w:rsidR="00957509">
        <w:rPr>
          <w:szCs w:val="24"/>
        </w:rPr>
        <w:t xml:space="preserve">trading programs), and heat input data, </w:t>
      </w:r>
      <w:r w:rsidR="002834D9">
        <w:rPr>
          <w:szCs w:val="24"/>
        </w:rPr>
        <w:t>as well as the</w:t>
      </w:r>
      <w:r w:rsidR="00957509">
        <w:rPr>
          <w:szCs w:val="24"/>
        </w:rPr>
        <w:t xml:space="preserve"> burden and costs associated with </w:t>
      </w:r>
      <w:r w:rsidR="002834D9">
        <w:rPr>
          <w:szCs w:val="24"/>
        </w:rPr>
        <w:t xml:space="preserve">modifying certificates of representation and performing </w:t>
      </w:r>
      <w:r w:rsidR="00957509">
        <w:rPr>
          <w:szCs w:val="24"/>
        </w:rPr>
        <w:t>CSAPR allowance tra</w:t>
      </w:r>
      <w:r w:rsidR="002834D9">
        <w:rPr>
          <w:szCs w:val="24"/>
        </w:rPr>
        <w:t>nsfer</w:t>
      </w:r>
      <w:r w:rsidR="00957509">
        <w:rPr>
          <w:szCs w:val="24"/>
        </w:rPr>
        <w:t xml:space="preserve"> activities.  </w:t>
      </w:r>
      <w:r w:rsidR="00D0602B">
        <w:rPr>
          <w:szCs w:val="24"/>
        </w:rPr>
        <w:t>Most n</w:t>
      </w:r>
      <w:r w:rsidR="00B0748D" w:rsidRPr="006757FB">
        <w:rPr>
          <w:szCs w:val="24"/>
        </w:rPr>
        <w:t xml:space="preserve">on-ARP units subject to </w:t>
      </w:r>
      <w:r w:rsidR="00D0602B">
        <w:rPr>
          <w:szCs w:val="24"/>
        </w:rPr>
        <w:t xml:space="preserve">CSAPR established their required </w:t>
      </w:r>
      <w:r w:rsidR="00B0748D" w:rsidRPr="006757FB">
        <w:rPr>
          <w:szCs w:val="24"/>
        </w:rPr>
        <w:t xml:space="preserve">monitoring and reporting capability </w:t>
      </w:r>
      <w:r w:rsidR="00D0602B">
        <w:rPr>
          <w:szCs w:val="24"/>
        </w:rPr>
        <w:t>under CAIR, and their ongoing</w:t>
      </w:r>
      <w:r w:rsidR="00B0748D" w:rsidRPr="006757FB">
        <w:rPr>
          <w:szCs w:val="24"/>
        </w:rPr>
        <w:t xml:space="preserve"> burden and costs </w:t>
      </w:r>
      <w:r w:rsidR="00D0602B">
        <w:rPr>
          <w:szCs w:val="24"/>
        </w:rPr>
        <w:t xml:space="preserve">under CSAPR, </w:t>
      </w:r>
      <w:r w:rsidR="00CC0E23" w:rsidRPr="006757FB">
        <w:rPr>
          <w:szCs w:val="24"/>
        </w:rPr>
        <w:t xml:space="preserve">including annualized capital costs originally incurred under CAIR, </w:t>
      </w:r>
      <w:r w:rsidR="00D0602B">
        <w:rPr>
          <w:szCs w:val="24"/>
        </w:rPr>
        <w:t>are now acco</w:t>
      </w:r>
      <w:r w:rsidR="002F17D9">
        <w:rPr>
          <w:szCs w:val="24"/>
        </w:rPr>
        <w:t>unted for under the CSAPR ICR.</w:t>
      </w:r>
      <w:r w:rsidR="001C3D81">
        <w:rPr>
          <w:szCs w:val="24"/>
        </w:rPr>
        <w:t xml:space="preserve">  As </w:t>
      </w:r>
      <w:r w:rsidR="00C778DE">
        <w:rPr>
          <w:szCs w:val="24"/>
        </w:rPr>
        <w:t xml:space="preserve">noted earlier in this section and </w:t>
      </w:r>
      <w:r w:rsidR="001C3D81">
        <w:rPr>
          <w:szCs w:val="24"/>
        </w:rPr>
        <w:t xml:space="preserve">in section </w:t>
      </w:r>
      <w:r w:rsidR="00A7709D">
        <w:rPr>
          <w:szCs w:val="24"/>
        </w:rPr>
        <w:t>5.3</w:t>
      </w:r>
      <w:r w:rsidR="00C778DE">
        <w:rPr>
          <w:szCs w:val="24"/>
        </w:rPr>
        <w:t xml:space="preserve"> above</w:t>
      </w:r>
      <w:r w:rsidR="001C3D81">
        <w:rPr>
          <w:szCs w:val="24"/>
        </w:rPr>
        <w:t xml:space="preserve">, CSAPR provides </w:t>
      </w:r>
      <w:r w:rsidR="00A7709D">
        <w:rPr>
          <w:szCs w:val="24"/>
        </w:rPr>
        <w:t xml:space="preserve">a variety of </w:t>
      </w:r>
      <w:r w:rsidR="001C3D81">
        <w:rPr>
          <w:szCs w:val="24"/>
        </w:rPr>
        <w:t xml:space="preserve">monitoring options for affected </w:t>
      </w:r>
      <w:r w:rsidR="00F174ED">
        <w:rPr>
          <w:szCs w:val="24"/>
        </w:rPr>
        <w:t>unit</w:t>
      </w:r>
      <w:r w:rsidR="001C3D81">
        <w:rPr>
          <w:szCs w:val="24"/>
        </w:rPr>
        <w:t xml:space="preserve">s.  Most CSAPR-affected </w:t>
      </w:r>
      <w:r w:rsidR="00F174ED">
        <w:rPr>
          <w:szCs w:val="24"/>
        </w:rPr>
        <w:t>unit</w:t>
      </w:r>
      <w:r w:rsidR="001C3D81">
        <w:rPr>
          <w:szCs w:val="24"/>
        </w:rPr>
        <w:t xml:space="preserve">s not subject to the ARP are combustion turbines that commenced commercial operation before November 15, 1990.  These units generally qualify to use one of the </w:t>
      </w:r>
      <w:r w:rsidR="000209B5">
        <w:rPr>
          <w:szCs w:val="24"/>
        </w:rPr>
        <w:t xml:space="preserve">alternative </w:t>
      </w:r>
      <w:r w:rsidR="001C3D81">
        <w:rPr>
          <w:szCs w:val="24"/>
        </w:rPr>
        <w:t xml:space="preserve">monitoring options available to natural gas- or oil-fired </w:t>
      </w:r>
      <w:r w:rsidR="003078F6">
        <w:rPr>
          <w:szCs w:val="24"/>
        </w:rPr>
        <w:t xml:space="preserve">peaking </w:t>
      </w:r>
      <w:r w:rsidR="001C3D81">
        <w:rPr>
          <w:szCs w:val="24"/>
        </w:rPr>
        <w:t>units under 40 CFR part 75.</w:t>
      </w:r>
      <w:r w:rsidR="003078F6">
        <w:rPr>
          <w:szCs w:val="24"/>
        </w:rPr>
        <w:t xml:space="preserve">  However, the set of CSAPR-affected </w:t>
      </w:r>
      <w:r w:rsidR="00F174ED">
        <w:rPr>
          <w:szCs w:val="24"/>
        </w:rPr>
        <w:t>unit</w:t>
      </w:r>
      <w:r w:rsidR="003078F6">
        <w:rPr>
          <w:szCs w:val="24"/>
        </w:rPr>
        <w:t xml:space="preserve">s not subject to the ARP also includes certain units qualifying for a cogeneration exemption under the ARP but not under CSAPR, some of which combust coal and therefore must </w:t>
      </w:r>
      <w:r w:rsidR="005A563C">
        <w:rPr>
          <w:szCs w:val="24"/>
        </w:rPr>
        <w:t xml:space="preserve">use </w:t>
      </w:r>
      <w:r w:rsidR="005A563C" w:rsidRPr="005A563C">
        <w:rPr>
          <w:szCs w:val="24"/>
        </w:rPr>
        <w:t>NO</w:t>
      </w:r>
      <w:r w:rsidR="005A563C" w:rsidRPr="005A563C">
        <w:rPr>
          <w:szCs w:val="24"/>
          <w:vertAlign w:val="subscript"/>
        </w:rPr>
        <w:t>X</w:t>
      </w:r>
      <w:r w:rsidR="005A563C">
        <w:rPr>
          <w:szCs w:val="24"/>
        </w:rPr>
        <w:t xml:space="preserve">, </w:t>
      </w:r>
      <w:r w:rsidR="005A563C" w:rsidRPr="005A563C">
        <w:rPr>
          <w:szCs w:val="24"/>
        </w:rPr>
        <w:t>SO</w:t>
      </w:r>
      <w:r w:rsidR="005A563C" w:rsidRPr="005A563C">
        <w:rPr>
          <w:szCs w:val="24"/>
          <w:vertAlign w:val="subscript"/>
        </w:rPr>
        <w:t>2</w:t>
      </w:r>
      <w:r w:rsidR="005A563C">
        <w:rPr>
          <w:szCs w:val="24"/>
        </w:rPr>
        <w:t xml:space="preserve"> (for units in states covered by CSAPR’s </w:t>
      </w:r>
      <w:r w:rsidR="00C778DE" w:rsidRPr="00C778DE">
        <w:rPr>
          <w:szCs w:val="24"/>
        </w:rPr>
        <w:t>SO</w:t>
      </w:r>
      <w:r w:rsidR="00C778DE" w:rsidRPr="00C778DE">
        <w:rPr>
          <w:szCs w:val="24"/>
          <w:vertAlign w:val="subscript"/>
        </w:rPr>
        <w:t>2</w:t>
      </w:r>
      <w:r w:rsidR="00C778DE">
        <w:rPr>
          <w:szCs w:val="24"/>
        </w:rPr>
        <w:t xml:space="preserve"> </w:t>
      </w:r>
      <w:r w:rsidR="005A563C">
        <w:rPr>
          <w:szCs w:val="24"/>
        </w:rPr>
        <w:t xml:space="preserve">programs), and flue gas flow CEMS to meet CSAPR’s monitoring and reporting requirements. </w:t>
      </w:r>
    </w:p>
    <w:p w14:paraId="55D83A6B" w14:textId="5BC6DD83" w:rsidR="002F17D9" w:rsidRDefault="002F17D9" w:rsidP="006757FB">
      <w:pPr>
        <w:suppressAutoHyphens/>
        <w:autoSpaceDE w:val="0"/>
        <w:autoSpaceDN w:val="0"/>
        <w:adjustRightInd w:val="0"/>
        <w:spacing w:before="120" w:after="120"/>
        <w:ind w:firstLine="720"/>
        <w:rPr>
          <w:szCs w:val="24"/>
        </w:rPr>
      </w:pPr>
      <w:r>
        <w:rPr>
          <w:szCs w:val="24"/>
        </w:rPr>
        <w:t xml:space="preserve">Affected </w:t>
      </w:r>
      <w:r w:rsidR="00F174ED">
        <w:rPr>
          <w:szCs w:val="24"/>
        </w:rPr>
        <w:t>unit</w:t>
      </w:r>
      <w:r>
        <w:rPr>
          <w:szCs w:val="24"/>
        </w:rPr>
        <w:t xml:space="preserve">s in the following states are subject to the CSAPR </w:t>
      </w:r>
      <w:r w:rsidRPr="002F17D9">
        <w:rPr>
          <w:szCs w:val="24"/>
        </w:rPr>
        <w:t>NO</w:t>
      </w:r>
      <w:r w:rsidRPr="002F17D9">
        <w:rPr>
          <w:szCs w:val="24"/>
          <w:vertAlign w:val="subscript"/>
        </w:rPr>
        <w:t>X</w:t>
      </w:r>
      <w:r>
        <w:rPr>
          <w:szCs w:val="24"/>
        </w:rPr>
        <w:t xml:space="preserve"> Annual Trading Program and one of CSAPR’s two annual </w:t>
      </w:r>
      <w:r w:rsidRPr="002F17D9">
        <w:rPr>
          <w:szCs w:val="24"/>
        </w:rPr>
        <w:t>SO</w:t>
      </w:r>
      <w:r w:rsidRPr="002F17D9">
        <w:rPr>
          <w:szCs w:val="24"/>
          <w:vertAlign w:val="subscript"/>
        </w:rPr>
        <w:t>2</w:t>
      </w:r>
      <w:r>
        <w:rPr>
          <w:szCs w:val="24"/>
        </w:rPr>
        <w:t xml:space="preserve"> trading programs: Alabama, Georgia, Illinois, Indiana, Iowa, Kansas, Kentucky, Maryland, Michigan, Minnesota, Missouri, Nebraska, New Jersey, New York, North Carolina, Ohio, Pennsylvania, South Carolina, Tennessee, Texas, Virginia, West Virginia, and Wisconsin.</w:t>
      </w:r>
      <w:r>
        <w:rPr>
          <w:rStyle w:val="FootnoteReference"/>
          <w:szCs w:val="24"/>
        </w:rPr>
        <w:footnoteReference w:id="8"/>
      </w:r>
      <w:r>
        <w:rPr>
          <w:szCs w:val="24"/>
        </w:rPr>
        <w:t xml:space="preserve">  This </w:t>
      </w:r>
      <w:r w:rsidR="005B42E4">
        <w:rPr>
          <w:szCs w:val="24"/>
        </w:rPr>
        <w:t xml:space="preserve">rule does </w:t>
      </w:r>
      <w:r>
        <w:rPr>
          <w:szCs w:val="24"/>
        </w:rPr>
        <w:t xml:space="preserve">not alter the states whose </w:t>
      </w:r>
      <w:r w:rsidR="00F174ED">
        <w:rPr>
          <w:szCs w:val="24"/>
        </w:rPr>
        <w:t>unit</w:t>
      </w:r>
      <w:r>
        <w:rPr>
          <w:szCs w:val="24"/>
        </w:rPr>
        <w:t>s are subject to these programs.</w:t>
      </w:r>
    </w:p>
    <w:p w14:paraId="30722BE2" w14:textId="5ACE611C" w:rsidR="008222CC" w:rsidRDefault="006D6E86" w:rsidP="006757FB">
      <w:pPr>
        <w:suppressAutoHyphens/>
        <w:autoSpaceDE w:val="0"/>
        <w:autoSpaceDN w:val="0"/>
        <w:adjustRightInd w:val="0"/>
        <w:spacing w:before="120" w:after="120"/>
        <w:ind w:firstLine="720"/>
        <w:rPr>
          <w:szCs w:val="24"/>
        </w:rPr>
      </w:pPr>
      <w:r>
        <w:rPr>
          <w:szCs w:val="24"/>
        </w:rPr>
        <w:t>A</w:t>
      </w:r>
      <w:r w:rsidR="002F17D9">
        <w:rPr>
          <w:szCs w:val="24"/>
        </w:rPr>
        <w:t xml:space="preserve">ffected </w:t>
      </w:r>
      <w:r w:rsidR="00F174ED">
        <w:rPr>
          <w:szCs w:val="24"/>
        </w:rPr>
        <w:t>unit</w:t>
      </w:r>
      <w:r w:rsidR="002F17D9">
        <w:rPr>
          <w:szCs w:val="24"/>
        </w:rPr>
        <w:t xml:space="preserve">s in the following states are </w:t>
      </w:r>
      <w:r>
        <w:rPr>
          <w:szCs w:val="24"/>
        </w:rPr>
        <w:t xml:space="preserve">currently </w:t>
      </w:r>
      <w:r w:rsidR="002F17D9">
        <w:rPr>
          <w:szCs w:val="24"/>
        </w:rPr>
        <w:t xml:space="preserve">subject to the CSAPR </w:t>
      </w:r>
      <w:r w:rsidR="002F17D9" w:rsidRPr="002F17D9">
        <w:rPr>
          <w:szCs w:val="24"/>
        </w:rPr>
        <w:t>NO</w:t>
      </w:r>
      <w:r w:rsidR="002F17D9" w:rsidRPr="002F17D9">
        <w:rPr>
          <w:szCs w:val="24"/>
          <w:vertAlign w:val="subscript"/>
        </w:rPr>
        <w:t>X</w:t>
      </w:r>
      <w:r w:rsidR="002F17D9">
        <w:rPr>
          <w:szCs w:val="24"/>
        </w:rPr>
        <w:t xml:space="preserve"> Ozone Season Trading Program: Alabama, Arkansas, Florida, Georgia, Illinois, Indiana, Iowa, Kentucky, Louisiana, Maryland, Michigan, Mississippi, Missouri, New Jersey, New York, North Carolina, Ohio, Oklahoma, Pennsylvania, South Carolina, Tennessee, Texas, </w:t>
      </w:r>
      <w:r w:rsidR="00253A77">
        <w:rPr>
          <w:szCs w:val="24"/>
        </w:rPr>
        <w:t>Virginia, West Virginia, and Wisconsin.</w:t>
      </w:r>
      <w:r w:rsidR="00253A77">
        <w:rPr>
          <w:rStyle w:val="FootnoteReference"/>
          <w:szCs w:val="24"/>
        </w:rPr>
        <w:footnoteReference w:id="9"/>
      </w:r>
      <w:r w:rsidR="00253A77">
        <w:rPr>
          <w:szCs w:val="24"/>
        </w:rPr>
        <w:t xml:space="preserve">  This </w:t>
      </w:r>
      <w:r w:rsidR="005B42E4">
        <w:rPr>
          <w:szCs w:val="24"/>
        </w:rPr>
        <w:t xml:space="preserve">rule alters </w:t>
      </w:r>
      <w:r w:rsidR="006C1906">
        <w:rPr>
          <w:szCs w:val="24"/>
        </w:rPr>
        <w:t xml:space="preserve">coverage status under CSAPR </w:t>
      </w:r>
      <w:r w:rsidR="005B42E4">
        <w:rPr>
          <w:szCs w:val="24"/>
        </w:rPr>
        <w:t xml:space="preserve">with regard to ozone season </w:t>
      </w:r>
      <w:r w:rsidR="006C1906" w:rsidRPr="006C1906">
        <w:rPr>
          <w:szCs w:val="24"/>
        </w:rPr>
        <w:t>NO</w:t>
      </w:r>
      <w:r w:rsidR="006C1906" w:rsidRPr="006C1906">
        <w:rPr>
          <w:szCs w:val="24"/>
          <w:vertAlign w:val="subscript"/>
        </w:rPr>
        <w:t>X</w:t>
      </w:r>
      <w:r w:rsidR="006C1906">
        <w:rPr>
          <w:szCs w:val="24"/>
        </w:rPr>
        <w:t xml:space="preserve"> </w:t>
      </w:r>
      <w:r w:rsidR="005B42E4">
        <w:rPr>
          <w:szCs w:val="24"/>
        </w:rPr>
        <w:t xml:space="preserve">emissions </w:t>
      </w:r>
      <w:r w:rsidR="006C1906">
        <w:rPr>
          <w:szCs w:val="24"/>
        </w:rPr>
        <w:t xml:space="preserve">for affected </w:t>
      </w:r>
      <w:r w:rsidR="00F174ED">
        <w:rPr>
          <w:szCs w:val="24"/>
        </w:rPr>
        <w:t>unit</w:t>
      </w:r>
      <w:r w:rsidR="006C1906">
        <w:rPr>
          <w:szCs w:val="24"/>
        </w:rPr>
        <w:t xml:space="preserve">s in </w:t>
      </w:r>
      <w:r w:rsidR="00C2787C">
        <w:rPr>
          <w:szCs w:val="24"/>
        </w:rPr>
        <w:t xml:space="preserve">four </w:t>
      </w:r>
      <w:r w:rsidR="006C1906">
        <w:rPr>
          <w:szCs w:val="24"/>
        </w:rPr>
        <w:t xml:space="preserve">states </w:t>
      </w:r>
      <w:r w:rsidR="001C3D81">
        <w:rPr>
          <w:szCs w:val="24"/>
        </w:rPr>
        <w:t>beginning</w:t>
      </w:r>
      <w:r w:rsidR="006C1906">
        <w:rPr>
          <w:szCs w:val="24"/>
        </w:rPr>
        <w:t xml:space="preserve"> in 2017.  </w:t>
      </w:r>
      <w:r>
        <w:rPr>
          <w:szCs w:val="24"/>
        </w:rPr>
        <w:t xml:space="preserve">Specifically, </w:t>
      </w:r>
      <w:r w:rsidR="006C1906">
        <w:rPr>
          <w:szCs w:val="24"/>
        </w:rPr>
        <w:t xml:space="preserve">the rule would </w:t>
      </w:r>
      <w:r w:rsidR="000209B5">
        <w:rPr>
          <w:szCs w:val="24"/>
        </w:rPr>
        <w:t xml:space="preserve">add </w:t>
      </w:r>
      <w:r w:rsidR="006C1906">
        <w:rPr>
          <w:szCs w:val="24"/>
        </w:rPr>
        <w:t xml:space="preserve">coverage for </w:t>
      </w:r>
      <w:r w:rsidR="00253A77">
        <w:rPr>
          <w:szCs w:val="24"/>
        </w:rPr>
        <w:t xml:space="preserve">affected </w:t>
      </w:r>
      <w:r w:rsidR="00F174ED">
        <w:rPr>
          <w:szCs w:val="24"/>
        </w:rPr>
        <w:t>unit</w:t>
      </w:r>
      <w:r w:rsidR="00253A77">
        <w:rPr>
          <w:szCs w:val="24"/>
        </w:rPr>
        <w:t>s in Kansas</w:t>
      </w:r>
      <w:r>
        <w:rPr>
          <w:szCs w:val="24"/>
        </w:rPr>
        <w:t xml:space="preserve"> and end coverage for</w:t>
      </w:r>
      <w:r w:rsidR="006C1906">
        <w:rPr>
          <w:szCs w:val="24"/>
        </w:rPr>
        <w:t xml:space="preserve"> affected </w:t>
      </w:r>
      <w:r w:rsidR="00F174ED">
        <w:rPr>
          <w:szCs w:val="24"/>
        </w:rPr>
        <w:t>unit</w:t>
      </w:r>
      <w:r w:rsidR="00253A77">
        <w:rPr>
          <w:szCs w:val="24"/>
        </w:rPr>
        <w:t xml:space="preserve">s in </w:t>
      </w:r>
      <w:r w:rsidR="00C2787C">
        <w:rPr>
          <w:szCs w:val="24"/>
        </w:rPr>
        <w:t xml:space="preserve">North Carolina, </w:t>
      </w:r>
      <w:r w:rsidR="00253A77">
        <w:rPr>
          <w:szCs w:val="24"/>
        </w:rPr>
        <w:t>South Carolina</w:t>
      </w:r>
      <w:r w:rsidR="00C2787C">
        <w:rPr>
          <w:szCs w:val="24"/>
        </w:rPr>
        <w:t>,</w:t>
      </w:r>
      <w:r>
        <w:rPr>
          <w:szCs w:val="24"/>
        </w:rPr>
        <w:t xml:space="preserve"> and Florida</w:t>
      </w:r>
      <w:r w:rsidR="006C1906">
        <w:rPr>
          <w:szCs w:val="24"/>
        </w:rPr>
        <w:t xml:space="preserve">.  </w:t>
      </w:r>
    </w:p>
    <w:p w14:paraId="3F373A97" w14:textId="3A705DEB" w:rsidR="000C02E9" w:rsidRPr="006757FB" w:rsidRDefault="000C02E9" w:rsidP="006757FB">
      <w:pPr>
        <w:suppressAutoHyphens/>
        <w:autoSpaceDE w:val="0"/>
        <w:autoSpaceDN w:val="0"/>
        <w:adjustRightInd w:val="0"/>
        <w:spacing w:before="120" w:after="120"/>
        <w:ind w:firstLine="720"/>
        <w:rPr>
          <w:szCs w:val="24"/>
        </w:rPr>
      </w:pPr>
      <w:r w:rsidRPr="006757FB">
        <w:rPr>
          <w:szCs w:val="24"/>
        </w:rPr>
        <w:t xml:space="preserve">The following discussion highlights </w:t>
      </w:r>
      <w:r w:rsidR="00CE524E">
        <w:rPr>
          <w:szCs w:val="24"/>
        </w:rPr>
        <w:t xml:space="preserve">the estimated effects of the rule on information collection burden for </w:t>
      </w:r>
      <w:r w:rsidR="00C40CAC">
        <w:rPr>
          <w:szCs w:val="24"/>
        </w:rPr>
        <w:t xml:space="preserve">affected </w:t>
      </w:r>
      <w:r w:rsidR="00F174ED">
        <w:rPr>
          <w:szCs w:val="24"/>
        </w:rPr>
        <w:t>unit</w:t>
      </w:r>
      <w:r w:rsidR="00C40CAC">
        <w:rPr>
          <w:szCs w:val="24"/>
        </w:rPr>
        <w:t xml:space="preserve">s </w:t>
      </w:r>
      <w:r w:rsidR="00CE524E">
        <w:rPr>
          <w:szCs w:val="24"/>
        </w:rPr>
        <w:t xml:space="preserve">in Kansas, </w:t>
      </w:r>
      <w:r w:rsidR="00C2787C">
        <w:rPr>
          <w:szCs w:val="24"/>
        </w:rPr>
        <w:t xml:space="preserve">North Carolina, </w:t>
      </w:r>
      <w:r w:rsidR="00CE524E">
        <w:rPr>
          <w:szCs w:val="24"/>
        </w:rPr>
        <w:t>South Carolina, and Florida</w:t>
      </w:r>
      <w:r w:rsidR="00936A98">
        <w:rPr>
          <w:szCs w:val="24"/>
        </w:rPr>
        <w:t xml:space="preserve"> incremental to the burden covered under the existing CSAPR ICR</w:t>
      </w:r>
      <w:r w:rsidR="00CE524E">
        <w:rPr>
          <w:szCs w:val="24"/>
        </w:rPr>
        <w:t xml:space="preserve">.  </w:t>
      </w:r>
    </w:p>
    <w:p w14:paraId="44CF8979" w14:textId="16438D33" w:rsidR="005D5242" w:rsidRPr="006757FB" w:rsidRDefault="004023FE" w:rsidP="006757FB">
      <w:pPr>
        <w:suppressAutoHyphens/>
        <w:autoSpaceDE w:val="0"/>
        <w:autoSpaceDN w:val="0"/>
        <w:adjustRightInd w:val="0"/>
        <w:spacing w:before="120" w:after="120"/>
        <w:ind w:firstLine="720"/>
        <w:rPr>
          <w:szCs w:val="24"/>
        </w:rPr>
      </w:pPr>
      <w:r>
        <w:rPr>
          <w:szCs w:val="24"/>
        </w:rPr>
        <w:t xml:space="preserve">EPA estimates that affected </w:t>
      </w:r>
      <w:r w:rsidR="00F174ED">
        <w:rPr>
          <w:szCs w:val="24"/>
        </w:rPr>
        <w:t>unit</w:t>
      </w:r>
      <w:r>
        <w:rPr>
          <w:szCs w:val="24"/>
        </w:rPr>
        <w:t xml:space="preserve">s in Kansas </w:t>
      </w:r>
      <w:r w:rsidR="00C2787C">
        <w:rPr>
          <w:szCs w:val="24"/>
        </w:rPr>
        <w:t xml:space="preserve">will </w:t>
      </w:r>
      <w:r>
        <w:rPr>
          <w:szCs w:val="24"/>
        </w:rPr>
        <w:t xml:space="preserve">experience no change in information collection burden as a result of this rule.  The information collection requirements </w:t>
      </w:r>
      <w:r w:rsidR="005B42E4">
        <w:rPr>
          <w:szCs w:val="24"/>
        </w:rPr>
        <w:t xml:space="preserve">related to ozone season </w:t>
      </w:r>
      <w:r w:rsidRPr="00025576">
        <w:rPr>
          <w:szCs w:val="24"/>
        </w:rPr>
        <w:t>NO</w:t>
      </w:r>
      <w:r w:rsidRPr="00025576">
        <w:rPr>
          <w:szCs w:val="24"/>
          <w:vertAlign w:val="subscript"/>
        </w:rPr>
        <w:t>X</w:t>
      </w:r>
      <w:r>
        <w:rPr>
          <w:szCs w:val="24"/>
        </w:rPr>
        <w:t xml:space="preserve"> </w:t>
      </w:r>
      <w:r w:rsidR="005B42E4">
        <w:rPr>
          <w:szCs w:val="24"/>
        </w:rPr>
        <w:t xml:space="preserve">emissions under CSAPR </w:t>
      </w:r>
      <w:r>
        <w:rPr>
          <w:szCs w:val="24"/>
        </w:rPr>
        <w:t xml:space="preserve">are almost entirely a subset of the information </w:t>
      </w:r>
      <w:r>
        <w:rPr>
          <w:szCs w:val="24"/>
        </w:rPr>
        <w:lastRenderedPageBreak/>
        <w:t xml:space="preserve">collection requirements under the CSAPR </w:t>
      </w:r>
      <w:r w:rsidRPr="00025576">
        <w:rPr>
          <w:szCs w:val="24"/>
        </w:rPr>
        <w:t>NO</w:t>
      </w:r>
      <w:r w:rsidRPr="00025576">
        <w:rPr>
          <w:szCs w:val="24"/>
          <w:vertAlign w:val="subscript"/>
        </w:rPr>
        <w:t>X</w:t>
      </w:r>
      <w:r>
        <w:rPr>
          <w:szCs w:val="24"/>
        </w:rPr>
        <w:t xml:space="preserve"> Annual Trading Program, with the only exceptions being requirements to compute and report a small number of additional subtotals from the hourly data</w:t>
      </w:r>
      <w:r w:rsidR="00E6165C">
        <w:rPr>
          <w:szCs w:val="24"/>
        </w:rPr>
        <w:t xml:space="preserve"> that must already be collected and reported under the annual program</w:t>
      </w:r>
      <w:r>
        <w:rPr>
          <w:szCs w:val="24"/>
        </w:rPr>
        <w:t xml:space="preserve">.  </w:t>
      </w:r>
      <w:r w:rsidR="00C745FA">
        <w:rPr>
          <w:szCs w:val="24"/>
        </w:rPr>
        <w:t xml:space="preserve">The capability to perform these computations and report the results is already part of standard DAHS programming requirements, so initiation of computation and reporting requires only a simple programming command to activate the built-in capability.  EPA has confirmed with DAHS vendors that </w:t>
      </w:r>
      <w:r w:rsidR="00E6165C">
        <w:rPr>
          <w:szCs w:val="24"/>
        </w:rPr>
        <w:t xml:space="preserve">approximately 95 percent of </w:t>
      </w:r>
      <w:r w:rsidR="00C745FA">
        <w:rPr>
          <w:szCs w:val="24"/>
        </w:rPr>
        <w:t xml:space="preserve">affected </w:t>
      </w:r>
      <w:r w:rsidR="00F174ED">
        <w:rPr>
          <w:szCs w:val="24"/>
        </w:rPr>
        <w:t>unit</w:t>
      </w:r>
      <w:r w:rsidR="00C745FA">
        <w:rPr>
          <w:szCs w:val="24"/>
        </w:rPr>
        <w:t xml:space="preserve">s have DAHS maintenance contracts under which activation would entail </w:t>
      </w:r>
      <w:r w:rsidR="00E6165C">
        <w:rPr>
          <w:szCs w:val="24"/>
        </w:rPr>
        <w:t xml:space="preserve">zero </w:t>
      </w:r>
      <w:r w:rsidR="00C745FA">
        <w:rPr>
          <w:szCs w:val="24"/>
        </w:rPr>
        <w:t xml:space="preserve">incremental cost, and EPA estimates that activation costs for </w:t>
      </w:r>
      <w:r w:rsidR="00E2191E">
        <w:rPr>
          <w:szCs w:val="24"/>
        </w:rPr>
        <w:t xml:space="preserve">remaining </w:t>
      </w:r>
      <w:r w:rsidR="00F174ED">
        <w:rPr>
          <w:szCs w:val="24"/>
        </w:rPr>
        <w:t>unit</w:t>
      </w:r>
      <w:r w:rsidR="00E2191E">
        <w:rPr>
          <w:szCs w:val="24"/>
        </w:rPr>
        <w:t xml:space="preserve">s </w:t>
      </w:r>
      <w:r w:rsidR="00C2787C">
        <w:rPr>
          <w:szCs w:val="24"/>
        </w:rPr>
        <w:t xml:space="preserve">will </w:t>
      </w:r>
      <w:r w:rsidR="00E6165C">
        <w:rPr>
          <w:szCs w:val="24"/>
        </w:rPr>
        <w:t xml:space="preserve">be </w:t>
      </w:r>
      <w:r w:rsidR="006822F9">
        <w:rPr>
          <w:szCs w:val="24"/>
        </w:rPr>
        <w:t xml:space="preserve">encompassed within the scope of DAHS maintenance costs </w:t>
      </w:r>
      <w:r w:rsidR="00E6165C">
        <w:rPr>
          <w:szCs w:val="24"/>
        </w:rPr>
        <w:t xml:space="preserve">covered </w:t>
      </w:r>
      <w:r w:rsidR="006822F9">
        <w:rPr>
          <w:szCs w:val="24"/>
        </w:rPr>
        <w:t xml:space="preserve">under the existing CSAPR ICR.  </w:t>
      </w:r>
      <w:r w:rsidR="007644B2">
        <w:rPr>
          <w:szCs w:val="24"/>
        </w:rPr>
        <w:t xml:space="preserve">The only other </w:t>
      </w:r>
      <w:r w:rsidR="000209B5">
        <w:rPr>
          <w:szCs w:val="24"/>
        </w:rPr>
        <w:t>monitoring</w:t>
      </w:r>
      <w:r w:rsidR="007644B2">
        <w:rPr>
          <w:szCs w:val="24"/>
        </w:rPr>
        <w:t xml:space="preserve">-related change for an affected </w:t>
      </w:r>
      <w:r w:rsidR="00F174ED">
        <w:rPr>
          <w:szCs w:val="24"/>
        </w:rPr>
        <w:t>unit</w:t>
      </w:r>
      <w:r w:rsidR="007644B2">
        <w:rPr>
          <w:szCs w:val="24"/>
        </w:rPr>
        <w:t xml:space="preserve"> </w:t>
      </w:r>
      <w:r w:rsidR="00C2787C">
        <w:rPr>
          <w:szCs w:val="24"/>
        </w:rPr>
        <w:t xml:space="preserve">will </w:t>
      </w:r>
      <w:r w:rsidR="007644B2">
        <w:rPr>
          <w:szCs w:val="24"/>
        </w:rPr>
        <w:t xml:space="preserve">be a one-time revision to the unit’s monitoring plan.  EPA estimates </w:t>
      </w:r>
      <w:r w:rsidR="00E6165C">
        <w:rPr>
          <w:szCs w:val="24"/>
        </w:rPr>
        <w:t xml:space="preserve">that </w:t>
      </w:r>
      <w:r w:rsidR="007644B2">
        <w:rPr>
          <w:szCs w:val="24"/>
        </w:rPr>
        <w:t xml:space="preserve">zero incremental burden </w:t>
      </w:r>
      <w:r w:rsidR="00C2787C">
        <w:rPr>
          <w:szCs w:val="24"/>
        </w:rPr>
        <w:t xml:space="preserve">will </w:t>
      </w:r>
      <w:r w:rsidR="007644B2">
        <w:rPr>
          <w:szCs w:val="24"/>
        </w:rPr>
        <w:t xml:space="preserve">be incurred to </w:t>
      </w:r>
      <w:r w:rsidR="0074361B">
        <w:rPr>
          <w:szCs w:val="24"/>
        </w:rPr>
        <w:t xml:space="preserve">revise </w:t>
      </w:r>
      <w:r w:rsidR="00E6165C">
        <w:rPr>
          <w:szCs w:val="24"/>
        </w:rPr>
        <w:t xml:space="preserve">the monitoring plan to indicate that the unit is subject to </w:t>
      </w:r>
      <w:r w:rsidR="007644B2">
        <w:rPr>
          <w:szCs w:val="24"/>
        </w:rPr>
        <w:t xml:space="preserve">ozone season reporting </w:t>
      </w:r>
      <w:r w:rsidR="00E6165C">
        <w:rPr>
          <w:szCs w:val="24"/>
        </w:rPr>
        <w:t>requirements</w:t>
      </w:r>
      <w:r w:rsidR="0074361B">
        <w:rPr>
          <w:szCs w:val="24"/>
        </w:rPr>
        <w:t xml:space="preserve"> as part of a routine periodic </w:t>
      </w:r>
      <w:r w:rsidR="002B2583">
        <w:rPr>
          <w:szCs w:val="24"/>
        </w:rPr>
        <w:t xml:space="preserve">monitoring </w:t>
      </w:r>
      <w:r w:rsidR="0074361B">
        <w:rPr>
          <w:szCs w:val="24"/>
        </w:rPr>
        <w:t>plan update</w:t>
      </w:r>
      <w:r w:rsidR="00E6165C">
        <w:rPr>
          <w:szCs w:val="24"/>
        </w:rPr>
        <w:t>.</w:t>
      </w:r>
    </w:p>
    <w:p w14:paraId="7EE04C16" w14:textId="547A7639" w:rsidR="00E6165C" w:rsidRDefault="00E6165C" w:rsidP="00E6165C">
      <w:pPr>
        <w:suppressAutoHyphens/>
        <w:autoSpaceDE w:val="0"/>
        <w:autoSpaceDN w:val="0"/>
        <w:adjustRightInd w:val="0"/>
        <w:spacing w:before="120" w:after="120"/>
        <w:ind w:firstLine="720"/>
        <w:rPr>
          <w:szCs w:val="24"/>
        </w:rPr>
      </w:pPr>
      <w:r>
        <w:rPr>
          <w:szCs w:val="24"/>
        </w:rPr>
        <w:t xml:space="preserve">EPA estimates that affected </w:t>
      </w:r>
      <w:r w:rsidR="00F174ED">
        <w:rPr>
          <w:szCs w:val="24"/>
        </w:rPr>
        <w:t>unit</w:t>
      </w:r>
      <w:r>
        <w:rPr>
          <w:szCs w:val="24"/>
        </w:rPr>
        <w:t xml:space="preserve">s in </w:t>
      </w:r>
      <w:r w:rsidR="00C2787C">
        <w:rPr>
          <w:szCs w:val="24"/>
        </w:rPr>
        <w:t xml:space="preserve">North Carolina and </w:t>
      </w:r>
      <w:r>
        <w:rPr>
          <w:szCs w:val="24"/>
        </w:rPr>
        <w:t xml:space="preserve">South Carolina </w:t>
      </w:r>
      <w:r w:rsidR="00C2787C">
        <w:rPr>
          <w:szCs w:val="24"/>
        </w:rPr>
        <w:t xml:space="preserve">will </w:t>
      </w:r>
      <w:r>
        <w:rPr>
          <w:szCs w:val="24"/>
        </w:rPr>
        <w:t xml:space="preserve">likewise experience no change in information collection burden as a result of this rule for the same reasons discussed above with respect to affected </w:t>
      </w:r>
      <w:r w:rsidR="00F174ED">
        <w:rPr>
          <w:szCs w:val="24"/>
        </w:rPr>
        <w:t>unit</w:t>
      </w:r>
      <w:r>
        <w:rPr>
          <w:szCs w:val="24"/>
        </w:rPr>
        <w:t xml:space="preserve">s in Kansas.  In order to avoid automatic error messages generated by submission of their electronic quarterly reports to EPA, affected </w:t>
      </w:r>
      <w:r w:rsidR="00F174ED">
        <w:rPr>
          <w:szCs w:val="24"/>
        </w:rPr>
        <w:t>unit</w:t>
      </w:r>
      <w:r>
        <w:rPr>
          <w:szCs w:val="24"/>
        </w:rPr>
        <w:t xml:space="preserve">s in </w:t>
      </w:r>
      <w:r w:rsidR="00C2787C">
        <w:rPr>
          <w:szCs w:val="24"/>
        </w:rPr>
        <w:t xml:space="preserve">North Carolina and </w:t>
      </w:r>
      <w:r>
        <w:rPr>
          <w:szCs w:val="24"/>
        </w:rPr>
        <w:t xml:space="preserve">South Carolina </w:t>
      </w:r>
      <w:r w:rsidR="00C2787C">
        <w:rPr>
          <w:szCs w:val="24"/>
        </w:rPr>
        <w:t xml:space="preserve">will </w:t>
      </w:r>
      <w:r>
        <w:rPr>
          <w:szCs w:val="24"/>
        </w:rPr>
        <w:t xml:space="preserve">need to deactivate computation and reporting of the additional subtotals required </w:t>
      </w:r>
      <w:r w:rsidR="002B2583">
        <w:rPr>
          <w:szCs w:val="24"/>
        </w:rPr>
        <w:t xml:space="preserve">to be reported by </w:t>
      </w:r>
      <w:r w:rsidR="00F174ED">
        <w:rPr>
          <w:szCs w:val="24"/>
        </w:rPr>
        <w:t>unit</w:t>
      </w:r>
      <w:r>
        <w:rPr>
          <w:szCs w:val="24"/>
        </w:rPr>
        <w:t xml:space="preserve">s subject to the ozone season program.  Deactivation would be covered under the DAHS maintenance contracts that approximately 95 percent of affected </w:t>
      </w:r>
      <w:r w:rsidR="00371CE2">
        <w:rPr>
          <w:szCs w:val="24"/>
        </w:rPr>
        <w:t>sources</w:t>
      </w:r>
      <w:r>
        <w:rPr>
          <w:szCs w:val="24"/>
        </w:rPr>
        <w:t xml:space="preserve"> have, and EPA estimates that deactivation costs for remaining </w:t>
      </w:r>
      <w:r w:rsidR="00F174ED">
        <w:rPr>
          <w:szCs w:val="24"/>
        </w:rPr>
        <w:t>unit</w:t>
      </w:r>
      <w:r>
        <w:rPr>
          <w:szCs w:val="24"/>
        </w:rPr>
        <w:t xml:space="preserve">s </w:t>
      </w:r>
      <w:r w:rsidR="00C2787C">
        <w:rPr>
          <w:szCs w:val="24"/>
        </w:rPr>
        <w:t xml:space="preserve">will </w:t>
      </w:r>
      <w:r>
        <w:rPr>
          <w:szCs w:val="24"/>
        </w:rPr>
        <w:t xml:space="preserve">be encompassed within the scope of DAHS maintenance costs covered under the existing CSAPR ICR.  EPA estimates that zero incremental burden </w:t>
      </w:r>
      <w:r w:rsidR="00C2787C">
        <w:rPr>
          <w:szCs w:val="24"/>
        </w:rPr>
        <w:t xml:space="preserve">will </w:t>
      </w:r>
      <w:r>
        <w:rPr>
          <w:szCs w:val="24"/>
        </w:rPr>
        <w:t xml:space="preserve">be incurred to </w:t>
      </w:r>
      <w:r w:rsidR="0074361B">
        <w:rPr>
          <w:szCs w:val="24"/>
        </w:rPr>
        <w:t xml:space="preserve">revise an affected </w:t>
      </w:r>
      <w:r w:rsidR="00F174ED">
        <w:rPr>
          <w:szCs w:val="24"/>
        </w:rPr>
        <w:t>unit</w:t>
      </w:r>
      <w:r w:rsidR="0074361B">
        <w:rPr>
          <w:szCs w:val="24"/>
        </w:rPr>
        <w:t xml:space="preserve">’s </w:t>
      </w:r>
      <w:r>
        <w:rPr>
          <w:szCs w:val="24"/>
        </w:rPr>
        <w:t>monitoring plan to indicate that the unit is no longer subject to ozone season reporting requirements</w:t>
      </w:r>
      <w:r w:rsidR="0074361B">
        <w:rPr>
          <w:szCs w:val="24"/>
        </w:rPr>
        <w:t xml:space="preserve"> as part of a routine periodic </w:t>
      </w:r>
      <w:r w:rsidR="002B2583">
        <w:rPr>
          <w:szCs w:val="24"/>
        </w:rPr>
        <w:t xml:space="preserve">monitoring </w:t>
      </w:r>
      <w:r w:rsidR="0074361B">
        <w:rPr>
          <w:szCs w:val="24"/>
        </w:rPr>
        <w:t>plan update</w:t>
      </w:r>
      <w:r>
        <w:rPr>
          <w:szCs w:val="24"/>
        </w:rPr>
        <w:t>.</w:t>
      </w:r>
    </w:p>
    <w:p w14:paraId="4B475D45" w14:textId="3BED862B" w:rsidR="00D4283F" w:rsidRDefault="00D4283F" w:rsidP="00E6165C">
      <w:pPr>
        <w:suppressAutoHyphens/>
        <w:autoSpaceDE w:val="0"/>
        <w:autoSpaceDN w:val="0"/>
        <w:adjustRightInd w:val="0"/>
        <w:spacing w:before="120" w:after="120"/>
        <w:ind w:firstLine="720"/>
        <w:rPr>
          <w:szCs w:val="24"/>
        </w:rPr>
      </w:pPr>
      <w:r>
        <w:rPr>
          <w:szCs w:val="24"/>
        </w:rPr>
        <w:t xml:space="preserve">Florida </w:t>
      </w:r>
      <w:r w:rsidR="00F174ED">
        <w:rPr>
          <w:szCs w:val="24"/>
        </w:rPr>
        <w:t>unit</w:t>
      </w:r>
      <w:r>
        <w:rPr>
          <w:szCs w:val="24"/>
        </w:rPr>
        <w:t xml:space="preserve">s also subject to the ARP </w:t>
      </w:r>
      <w:r w:rsidR="00C2787C">
        <w:rPr>
          <w:szCs w:val="24"/>
        </w:rPr>
        <w:t xml:space="preserve">will </w:t>
      </w:r>
      <w:r>
        <w:rPr>
          <w:szCs w:val="24"/>
        </w:rPr>
        <w:t xml:space="preserve">no longer be required to report hourly </w:t>
      </w:r>
      <w:r w:rsidRPr="00D4283F">
        <w:rPr>
          <w:szCs w:val="24"/>
        </w:rPr>
        <w:t>NO</w:t>
      </w:r>
      <w:r w:rsidRPr="00D4283F">
        <w:rPr>
          <w:szCs w:val="24"/>
          <w:vertAlign w:val="subscript"/>
        </w:rPr>
        <w:t>X</w:t>
      </w:r>
      <w:r>
        <w:rPr>
          <w:szCs w:val="24"/>
        </w:rPr>
        <w:t xml:space="preserve"> mass emissions data to EPA </w:t>
      </w:r>
      <w:r w:rsidR="009A189C">
        <w:rPr>
          <w:szCs w:val="24"/>
        </w:rPr>
        <w:t xml:space="preserve">under any CSAPR trading program.  However, </w:t>
      </w:r>
      <w:r>
        <w:rPr>
          <w:szCs w:val="24"/>
        </w:rPr>
        <w:t xml:space="preserve">under the ARP </w:t>
      </w:r>
      <w:r w:rsidR="009A189C">
        <w:rPr>
          <w:szCs w:val="24"/>
        </w:rPr>
        <w:t xml:space="preserve">these units </w:t>
      </w:r>
      <w:r w:rsidR="00C2787C">
        <w:rPr>
          <w:szCs w:val="24"/>
        </w:rPr>
        <w:t xml:space="preserve">will </w:t>
      </w:r>
      <w:r>
        <w:rPr>
          <w:szCs w:val="24"/>
        </w:rPr>
        <w:t xml:space="preserve">continue to report hourly </w:t>
      </w:r>
      <w:r w:rsidRPr="00D4283F">
        <w:rPr>
          <w:szCs w:val="24"/>
        </w:rPr>
        <w:t>NO</w:t>
      </w:r>
      <w:r w:rsidRPr="00D4283F">
        <w:rPr>
          <w:szCs w:val="24"/>
          <w:vertAlign w:val="subscript"/>
        </w:rPr>
        <w:t>X</w:t>
      </w:r>
      <w:r>
        <w:rPr>
          <w:szCs w:val="24"/>
        </w:rPr>
        <w:t xml:space="preserve"> emission rate, </w:t>
      </w:r>
      <w:r w:rsidRPr="00D4283F">
        <w:rPr>
          <w:szCs w:val="24"/>
        </w:rPr>
        <w:t>SO</w:t>
      </w:r>
      <w:r w:rsidRPr="00D4283F">
        <w:rPr>
          <w:szCs w:val="24"/>
          <w:vertAlign w:val="subscript"/>
        </w:rPr>
        <w:t>2</w:t>
      </w:r>
      <w:r>
        <w:rPr>
          <w:szCs w:val="24"/>
        </w:rPr>
        <w:t xml:space="preserve"> mass emissions, and heat input data</w:t>
      </w:r>
      <w:r w:rsidR="009A189C">
        <w:rPr>
          <w:szCs w:val="24"/>
        </w:rPr>
        <w:t>, and their m</w:t>
      </w:r>
      <w:r w:rsidR="002B2583">
        <w:rPr>
          <w:szCs w:val="24"/>
        </w:rPr>
        <w:t>onitoring requirements, including the</w:t>
      </w:r>
      <w:r w:rsidR="009A189C">
        <w:rPr>
          <w:szCs w:val="24"/>
        </w:rPr>
        <w:t>ir options as to the</w:t>
      </w:r>
      <w:r w:rsidR="002B2583">
        <w:rPr>
          <w:szCs w:val="24"/>
        </w:rPr>
        <w:t xml:space="preserve"> equipment used and </w:t>
      </w:r>
      <w:r w:rsidR="009A189C">
        <w:rPr>
          <w:szCs w:val="24"/>
        </w:rPr>
        <w:t xml:space="preserve">the </w:t>
      </w:r>
      <w:r w:rsidR="002B2583">
        <w:rPr>
          <w:szCs w:val="24"/>
        </w:rPr>
        <w:t>quality assurance activities performed, would not change</w:t>
      </w:r>
      <w:r w:rsidR="009A189C">
        <w:rPr>
          <w:szCs w:val="24"/>
        </w:rPr>
        <w:t xml:space="preserve">.  For this reason, EPA estimates that these units </w:t>
      </w:r>
      <w:r w:rsidR="00C2787C">
        <w:rPr>
          <w:szCs w:val="24"/>
        </w:rPr>
        <w:t xml:space="preserve">will </w:t>
      </w:r>
      <w:r w:rsidR="009A189C">
        <w:rPr>
          <w:szCs w:val="24"/>
        </w:rPr>
        <w:t>experience no material change in information collection burden</w:t>
      </w:r>
      <w:r w:rsidR="002B2583">
        <w:rPr>
          <w:szCs w:val="24"/>
        </w:rPr>
        <w:t xml:space="preserve">.  </w:t>
      </w:r>
      <w:r w:rsidR="009A189C">
        <w:rPr>
          <w:szCs w:val="24"/>
        </w:rPr>
        <w:t xml:space="preserve">Similar to a unit in </w:t>
      </w:r>
      <w:r w:rsidR="00C2787C">
        <w:rPr>
          <w:szCs w:val="24"/>
        </w:rPr>
        <w:t xml:space="preserve">North Carolina or </w:t>
      </w:r>
      <w:r w:rsidR="009A189C">
        <w:rPr>
          <w:szCs w:val="24"/>
        </w:rPr>
        <w:t xml:space="preserve">South Carolina, </w:t>
      </w:r>
      <w:r w:rsidR="00167DC3">
        <w:rPr>
          <w:szCs w:val="24"/>
        </w:rPr>
        <w:t xml:space="preserve">in order to avoid automatic error messages generated by submission of electronic quarterly reports to EPA, </w:t>
      </w:r>
      <w:r w:rsidR="009A189C">
        <w:rPr>
          <w:szCs w:val="24"/>
        </w:rPr>
        <w:t xml:space="preserve">a Florida </w:t>
      </w:r>
      <w:r w:rsidR="00F174ED">
        <w:rPr>
          <w:szCs w:val="24"/>
        </w:rPr>
        <w:t>unit</w:t>
      </w:r>
      <w:r w:rsidR="009A189C">
        <w:rPr>
          <w:szCs w:val="24"/>
        </w:rPr>
        <w:t xml:space="preserve"> subject to the ARP </w:t>
      </w:r>
      <w:r w:rsidR="00C2787C">
        <w:rPr>
          <w:szCs w:val="24"/>
        </w:rPr>
        <w:t xml:space="preserve">will </w:t>
      </w:r>
      <w:r w:rsidR="009A189C">
        <w:rPr>
          <w:szCs w:val="24"/>
        </w:rPr>
        <w:t xml:space="preserve">need to deactivate certain computation and reporting capability built into the unit’s DAHS.  Deactivation would be covered under DAHS maintenance contracts for approximately 95 percent of affected units, and EPA estimates that deactivation costs for remaining </w:t>
      </w:r>
      <w:r w:rsidR="00F174ED">
        <w:rPr>
          <w:szCs w:val="24"/>
        </w:rPr>
        <w:t>unit</w:t>
      </w:r>
      <w:r w:rsidR="009A189C">
        <w:rPr>
          <w:szCs w:val="24"/>
        </w:rPr>
        <w:t xml:space="preserve">s </w:t>
      </w:r>
      <w:r w:rsidR="00C2787C">
        <w:rPr>
          <w:szCs w:val="24"/>
        </w:rPr>
        <w:t xml:space="preserve">will </w:t>
      </w:r>
      <w:r w:rsidR="009A189C">
        <w:rPr>
          <w:szCs w:val="24"/>
        </w:rPr>
        <w:t xml:space="preserve">be encompassed within the scope of DAHS maintenance costs covered under the existing CSAPR ICR.  EPA estimates that zero incremental burden </w:t>
      </w:r>
      <w:r w:rsidR="00C2787C">
        <w:rPr>
          <w:szCs w:val="24"/>
        </w:rPr>
        <w:t xml:space="preserve">will </w:t>
      </w:r>
      <w:r w:rsidR="009A189C">
        <w:rPr>
          <w:szCs w:val="24"/>
        </w:rPr>
        <w:t xml:space="preserve">be incurred to revise an affected </w:t>
      </w:r>
      <w:r w:rsidR="00F174ED">
        <w:rPr>
          <w:szCs w:val="24"/>
        </w:rPr>
        <w:t>unit</w:t>
      </w:r>
      <w:r w:rsidR="009A189C">
        <w:rPr>
          <w:szCs w:val="24"/>
        </w:rPr>
        <w:t xml:space="preserve">’s monitoring plan to indicate that the unit is no longer subject to </w:t>
      </w:r>
      <w:r w:rsidR="00157B5C">
        <w:rPr>
          <w:szCs w:val="24"/>
        </w:rPr>
        <w:t xml:space="preserve">CSAPR </w:t>
      </w:r>
      <w:r w:rsidR="00157B5C" w:rsidRPr="00157B5C">
        <w:rPr>
          <w:szCs w:val="24"/>
        </w:rPr>
        <w:t>NO</w:t>
      </w:r>
      <w:r w:rsidR="00157B5C" w:rsidRPr="00157B5C">
        <w:rPr>
          <w:szCs w:val="24"/>
          <w:vertAlign w:val="subscript"/>
        </w:rPr>
        <w:t>X</w:t>
      </w:r>
      <w:r w:rsidR="00157B5C">
        <w:rPr>
          <w:szCs w:val="24"/>
        </w:rPr>
        <w:t xml:space="preserve"> Ozone Season </w:t>
      </w:r>
      <w:r w:rsidR="009A189C">
        <w:rPr>
          <w:szCs w:val="24"/>
        </w:rPr>
        <w:t>reporting requirements as part of a routine periodic monitoring plan update.</w:t>
      </w:r>
    </w:p>
    <w:p w14:paraId="40C2C2AD" w14:textId="44AD95F3" w:rsidR="008A3F09" w:rsidRDefault="009A189C" w:rsidP="00E6165C">
      <w:pPr>
        <w:suppressAutoHyphens/>
        <w:autoSpaceDE w:val="0"/>
        <w:autoSpaceDN w:val="0"/>
        <w:adjustRightInd w:val="0"/>
        <w:spacing w:before="120" w:after="120"/>
        <w:ind w:firstLine="720"/>
        <w:rPr>
          <w:szCs w:val="24"/>
        </w:rPr>
      </w:pPr>
      <w:r>
        <w:rPr>
          <w:szCs w:val="24"/>
        </w:rPr>
        <w:t xml:space="preserve">Florida </w:t>
      </w:r>
      <w:r w:rsidR="00F174ED">
        <w:rPr>
          <w:szCs w:val="24"/>
        </w:rPr>
        <w:t>unit</w:t>
      </w:r>
      <w:r>
        <w:rPr>
          <w:szCs w:val="24"/>
        </w:rPr>
        <w:t xml:space="preserve">s not subject to the ARP </w:t>
      </w:r>
      <w:r w:rsidR="00C2787C">
        <w:rPr>
          <w:szCs w:val="24"/>
        </w:rPr>
        <w:t xml:space="preserve">will </w:t>
      </w:r>
      <w:r>
        <w:rPr>
          <w:szCs w:val="24"/>
        </w:rPr>
        <w:t xml:space="preserve">no longer be required to monitor or report </w:t>
      </w:r>
      <w:r w:rsidR="008A3F09" w:rsidRPr="008A3F09">
        <w:rPr>
          <w:szCs w:val="24"/>
        </w:rPr>
        <w:t>NO</w:t>
      </w:r>
      <w:r w:rsidR="008A3F09" w:rsidRPr="008A3F09">
        <w:rPr>
          <w:szCs w:val="24"/>
          <w:vertAlign w:val="subscript"/>
        </w:rPr>
        <w:t>X</w:t>
      </w:r>
      <w:r w:rsidR="008A3F09">
        <w:rPr>
          <w:szCs w:val="24"/>
        </w:rPr>
        <w:t xml:space="preserve"> mass emissions or heat input data to EPA.  These units </w:t>
      </w:r>
      <w:r w:rsidR="00C2787C">
        <w:rPr>
          <w:szCs w:val="24"/>
        </w:rPr>
        <w:t xml:space="preserve">will </w:t>
      </w:r>
      <w:r w:rsidR="008A3F09">
        <w:rPr>
          <w:szCs w:val="24"/>
        </w:rPr>
        <w:t xml:space="preserve">experience a decrease in information collection burden, with the magnitude of the burden varying depending on which monitoring option available under 40 CFR part 75 the unit </w:t>
      </w:r>
      <w:r w:rsidR="00936A98">
        <w:rPr>
          <w:szCs w:val="24"/>
        </w:rPr>
        <w:t>currently employs</w:t>
      </w:r>
      <w:r w:rsidR="008A3F09">
        <w:rPr>
          <w:szCs w:val="24"/>
        </w:rPr>
        <w:t>.</w:t>
      </w:r>
      <w:r w:rsidR="00157B5C">
        <w:rPr>
          <w:szCs w:val="24"/>
        </w:rPr>
        <w:t xml:space="preserve">  Units currently using </w:t>
      </w:r>
      <w:r w:rsidR="00936A98">
        <w:rPr>
          <w:szCs w:val="24"/>
        </w:rPr>
        <w:t xml:space="preserve">continuous </w:t>
      </w:r>
      <w:r w:rsidR="00157B5C">
        <w:rPr>
          <w:szCs w:val="24"/>
        </w:rPr>
        <w:t xml:space="preserve">flue gas flow </w:t>
      </w:r>
      <w:r w:rsidR="00936A98">
        <w:rPr>
          <w:szCs w:val="24"/>
        </w:rPr>
        <w:t xml:space="preserve">and </w:t>
      </w:r>
      <w:r w:rsidR="00936A98" w:rsidRPr="00936A98">
        <w:rPr>
          <w:szCs w:val="24"/>
        </w:rPr>
        <w:t>NO</w:t>
      </w:r>
      <w:r w:rsidR="00936A98" w:rsidRPr="00936A98">
        <w:rPr>
          <w:szCs w:val="24"/>
          <w:vertAlign w:val="subscript"/>
        </w:rPr>
        <w:t>X</w:t>
      </w:r>
      <w:r w:rsidR="00936A98">
        <w:rPr>
          <w:szCs w:val="24"/>
        </w:rPr>
        <w:t xml:space="preserve"> concentration monitoring </w:t>
      </w:r>
      <w:r w:rsidR="00C2787C">
        <w:rPr>
          <w:szCs w:val="24"/>
        </w:rPr>
        <w:t xml:space="preserve">will </w:t>
      </w:r>
      <w:r w:rsidR="00157B5C">
        <w:rPr>
          <w:szCs w:val="24"/>
        </w:rPr>
        <w:t xml:space="preserve">be able to discontinue </w:t>
      </w:r>
      <w:r w:rsidR="00936A98">
        <w:rPr>
          <w:szCs w:val="24"/>
        </w:rPr>
        <w:lastRenderedPageBreak/>
        <w:t xml:space="preserve">equipment </w:t>
      </w:r>
      <w:r w:rsidR="00157B5C">
        <w:rPr>
          <w:szCs w:val="24"/>
        </w:rPr>
        <w:t xml:space="preserve">maintenance and quality assurance activities associated with </w:t>
      </w:r>
      <w:r w:rsidR="00936A98">
        <w:rPr>
          <w:szCs w:val="24"/>
        </w:rPr>
        <w:t xml:space="preserve">both of </w:t>
      </w:r>
      <w:r w:rsidR="00157B5C">
        <w:rPr>
          <w:szCs w:val="24"/>
        </w:rPr>
        <w:t xml:space="preserve">these </w:t>
      </w:r>
      <w:r w:rsidR="00936A98">
        <w:rPr>
          <w:szCs w:val="24"/>
        </w:rPr>
        <w:t>activities</w:t>
      </w:r>
      <w:r w:rsidR="00157B5C">
        <w:rPr>
          <w:szCs w:val="24"/>
        </w:rPr>
        <w:t xml:space="preserve"> </w:t>
      </w:r>
      <w:r w:rsidR="00936A98">
        <w:rPr>
          <w:szCs w:val="24"/>
        </w:rPr>
        <w:t xml:space="preserve">(unless required to meet obligations not arising under CSAPR or the ARP) </w:t>
      </w:r>
      <w:r w:rsidR="00157B5C">
        <w:rPr>
          <w:szCs w:val="24"/>
        </w:rPr>
        <w:t xml:space="preserve">and </w:t>
      </w:r>
      <w:r w:rsidR="00C2787C">
        <w:rPr>
          <w:szCs w:val="24"/>
        </w:rPr>
        <w:t xml:space="preserve">will </w:t>
      </w:r>
      <w:r w:rsidR="00157B5C">
        <w:rPr>
          <w:szCs w:val="24"/>
        </w:rPr>
        <w:t xml:space="preserve">experience the largest reduction in burden. </w:t>
      </w:r>
      <w:r w:rsidR="00BF6ACB">
        <w:rPr>
          <w:szCs w:val="24"/>
        </w:rPr>
        <w:t xml:space="preserve"> </w:t>
      </w:r>
      <w:r w:rsidR="00157B5C">
        <w:rPr>
          <w:szCs w:val="24"/>
        </w:rPr>
        <w:t xml:space="preserve">Units currently using appendix D methodologies </w:t>
      </w:r>
      <w:r w:rsidR="00936A98">
        <w:rPr>
          <w:szCs w:val="24"/>
        </w:rPr>
        <w:t xml:space="preserve">that involve </w:t>
      </w:r>
      <w:r w:rsidR="00157B5C">
        <w:rPr>
          <w:szCs w:val="24"/>
        </w:rPr>
        <w:t xml:space="preserve">fuel flow monitoring </w:t>
      </w:r>
      <w:r w:rsidR="00936A98">
        <w:rPr>
          <w:szCs w:val="24"/>
        </w:rPr>
        <w:t xml:space="preserve">instead of flue gas flow monitoring </w:t>
      </w:r>
      <w:r w:rsidR="00157B5C">
        <w:rPr>
          <w:szCs w:val="24"/>
        </w:rPr>
        <w:t xml:space="preserve">and </w:t>
      </w:r>
      <w:r w:rsidR="00936A98">
        <w:rPr>
          <w:szCs w:val="24"/>
        </w:rPr>
        <w:t xml:space="preserve">using appendix E methodologies that involve </w:t>
      </w:r>
      <w:r w:rsidR="00157B5C">
        <w:rPr>
          <w:szCs w:val="24"/>
        </w:rPr>
        <w:t xml:space="preserve">periodic </w:t>
      </w:r>
      <w:r w:rsidR="00157B5C" w:rsidRPr="00157B5C">
        <w:rPr>
          <w:szCs w:val="24"/>
        </w:rPr>
        <w:t>NO</w:t>
      </w:r>
      <w:r w:rsidR="00157B5C" w:rsidRPr="00157B5C">
        <w:rPr>
          <w:szCs w:val="24"/>
          <w:vertAlign w:val="subscript"/>
        </w:rPr>
        <w:t>X</w:t>
      </w:r>
      <w:r w:rsidR="00157B5C">
        <w:rPr>
          <w:szCs w:val="24"/>
        </w:rPr>
        <w:t xml:space="preserve"> emission rate testing instead of </w:t>
      </w:r>
      <w:r w:rsidR="00936A98">
        <w:rPr>
          <w:szCs w:val="24"/>
        </w:rPr>
        <w:t xml:space="preserve">continuous </w:t>
      </w:r>
      <w:r w:rsidR="00157B5C" w:rsidRPr="00157B5C">
        <w:rPr>
          <w:szCs w:val="24"/>
        </w:rPr>
        <w:t>NO</w:t>
      </w:r>
      <w:r w:rsidR="00157B5C" w:rsidRPr="00157B5C">
        <w:rPr>
          <w:szCs w:val="24"/>
          <w:vertAlign w:val="subscript"/>
        </w:rPr>
        <w:t>X</w:t>
      </w:r>
      <w:r w:rsidR="00157B5C">
        <w:rPr>
          <w:szCs w:val="24"/>
        </w:rPr>
        <w:t xml:space="preserve"> </w:t>
      </w:r>
      <w:r w:rsidR="00936A98">
        <w:rPr>
          <w:szCs w:val="24"/>
        </w:rPr>
        <w:t>and O</w:t>
      </w:r>
      <w:r w:rsidR="00936A98" w:rsidRPr="00936A98">
        <w:rPr>
          <w:szCs w:val="24"/>
          <w:vertAlign w:val="subscript"/>
        </w:rPr>
        <w:t>2</w:t>
      </w:r>
      <w:r w:rsidR="00936A98">
        <w:rPr>
          <w:szCs w:val="24"/>
        </w:rPr>
        <w:t xml:space="preserve"> or </w:t>
      </w:r>
      <w:r w:rsidR="00936A98" w:rsidRPr="00936A98">
        <w:rPr>
          <w:szCs w:val="24"/>
        </w:rPr>
        <w:t>CO</w:t>
      </w:r>
      <w:r w:rsidR="00936A98" w:rsidRPr="00936A98">
        <w:rPr>
          <w:szCs w:val="24"/>
          <w:vertAlign w:val="subscript"/>
        </w:rPr>
        <w:t>2</w:t>
      </w:r>
      <w:r w:rsidR="00936A98">
        <w:rPr>
          <w:szCs w:val="24"/>
        </w:rPr>
        <w:t xml:space="preserve"> concentration monitoring </w:t>
      </w:r>
      <w:r w:rsidR="00C2787C">
        <w:rPr>
          <w:szCs w:val="24"/>
        </w:rPr>
        <w:t xml:space="preserve">will </w:t>
      </w:r>
      <w:r w:rsidR="00157B5C">
        <w:rPr>
          <w:szCs w:val="24"/>
        </w:rPr>
        <w:t xml:space="preserve">experience </w:t>
      </w:r>
      <w:r w:rsidR="00936A98">
        <w:rPr>
          <w:szCs w:val="24"/>
        </w:rPr>
        <w:t xml:space="preserve">smaller </w:t>
      </w:r>
      <w:r w:rsidR="00157B5C">
        <w:rPr>
          <w:szCs w:val="24"/>
        </w:rPr>
        <w:t>reductions in burden.</w:t>
      </w:r>
      <w:r w:rsidR="00936A98">
        <w:rPr>
          <w:szCs w:val="24"/>
        </w:rPr>
        <w:t xml:space="preserve">  Units currently using the LME monitoring methodology </w:t>
      </w:r>
      <w:r w:rsidR="00C2787C">
        <w:rPr>
          <w:szCs w:val="24"/>
        </w:rPr>
        <w:t xml:space="preserve">will </w:t>
      </w:r>
      <w:r w:rsidR="00936A98">
        <w:rPr>
          <w:szCs w:val="24"/>
        </w:rPr>
        <w:t>experience the smallest reductions in burden.</w:t>
      </w:r>
      <w:r w:rsidR="0073236C">
        <w:rPr>
          <w:szCs w:val="24"/>
        </w:rPr>
        <w:t xml:space="preserve">  This ICR reflects the reduction in ongoing operation and maintenance costs associated with these reductions in burden, but does not reflect any reduction in annualized capital costs related to investments that are assumed to have already taken place.</w:t>
      </w:r>
    </w:p>
    <w:p w14:paraId="1EEF21D6" w14:textId="525E7560" w:rsidR="00A15716" w:rsidRPr="006757FB" w:rsidRDefault="009A189C" w:rsidP="006757FB">
      <w:pPr>
        <w:suppressAutoHyphens/>
        <w:autoSpaceDE w:val="0"/>
        <w:autoSpaceDN w:val="0"/>
        <w:adjustRightInd w:val="0"/>
        <w:spacing w:before="120" w:after="120"/>
        <w:ind w:firstLine="720"/>
        <w:rPr>
          <w:szCs w:val="24"/>
        </w:rPr>
      </w:pPr>
      <w:r>
        <w:rPr>
          <w:szCs w:val="24"/>
        </w:rPr>
        <w:t xml:space="preserve"> </w:t>
      </w:r>
      <w:r w:rsidR="00A15716" w:rsidRPr="006757FB">
        <w:rPr>
          <w:szCs w:val="24"/>
        </w:rPr>
        <w:t xml:space="preserve">New units covered by </w:t>
      </w:r>
      <w:r w:rsidR="00C22164">
        <w:rPr>
          <w:szCs w:val="24"/>
        </w:rPr>
        <w:t>CSAPR</w:t>
      </w:r>
      <w:r w:rsidR="00A15716" w:rsidRPr="006757FB">
        <w:rPr>
          <w:szCs w:val="24"/>
        </w:rPr>
        <w:t xml:space="preserve"> </w:t>
      </w:r>
      <w:r w:rsidR="0073236C">
        <w:rPr>
          <w:szCs w:val="24"/>
        </w:rPr>
        <w:t xml:space="preserve">are in </w:t>
      </w:r>
      <w:r w:rsidR="00A15716" w:rsidRPr="006757FB">
        <w:rPr>
          <w:szCs w:val="24"/>
        </w:rPr>
        <w:t xml:space="preserve">most cases also covered by the ARP.  </w:t>
      </w:r>
      <w:r w:rsidR="00C22164">
        <w:rPr>
          <w:szCs w:val="24"/>
        </w:rPr>
        <w:t>CSAPR</w:t>
      </w:r>
      <w:r w:rsidR="00A15716" w:rsidRPr="006757FB">
        <w:rPr>
          <w:szCs w:val="24"/>
        </w:rPr>
        <w:t xml:space="preserve"> creates no material incremental </w:t>
      </w:r>
      <w:r w:rsidR="00BF6ACB">
        <w:rPr>
          <w:szCs w:val="24"/>
        </w:rPr>
        <w:t xml:space="preserve">monitoring-related </w:t>
      </w:r>
      <w:r w:rsidR="00A15716" w:rsidRPr="006757FB">
        <w:rPr>
          <w:szCs w:val="24"/>
        </w:rPr>
        <w:t xml:space="preserve">burden or costs for these units, and their </w:t>
      </w:r>
      <w:r w:rsidR="000209B5">
        <w:rPr>
          <w:szCs w:val="24"/>
        </w:rPr>
        <w:t xml:space="preserve">monitoring-related </w:t>
      </w:r>
      <w:r w:rsidR="00A011C4" w:rsidRPr="006757FB">
        <w:rPr>
          <w:szCs w:val="24"/>
        </w:rPr>
        <w:t>b</w:t>
      </w:r>
      <w:r w:rsidR="00A15716" w:rsidRPr="006757FB">
        <w:rPr>
          <w:szCs w:val="24"/>
        </w:rPr>
        <w:t xml:space="preserve">urden and costs (both capital/startup and ongoing) are accounted for in the ARP ICR.  </w:t>
      </w:r>
      <w:r w:rsidR="0073236C">
        <w:rPr>
          <w:szCs w:val="24"/>
        </w:rPr>
        <w:t xml:space="preserve">The existing CSAPR </w:t>
      </w:r>
      <w:r w:rsidR="00A15716" w:rsidRPr="006757FB">
        <w:rPr>
          <w:szCs w:val="24"/>
        </w:rPr>
        <w:t xml:space="preserve">ICR includes monitoring and reporting burden and costs for an estimated </w:t>
      </w:r>
      <w:r w:rsidR="00997F9C" w:rsidRPr="006757FB">
        <w:rPr>
          <w:szCs w:val="24"/>
        </w:rPr>
        <w:t>number</w:t>
      </w:r>
      <w:r w:rsidR="00A15716" w:rsidRPr="006757FB">
        <w:rPr>
          <w:szCs w:val="24"/>
        </w:rPr>
        <w:t xml:space="preserve"> of new </w:t>
      </w:r>
      <w:r w:rsidR="00C22164">
        <w:rPr>
          <w:szCs w:val="24"/>
        </w:rPr>
        <w:t>CSAPR</w:t>
      </w:r>
      <w:r w:rsidR="00A15716" w:rsidRPr="006757FB">
        <w:rPr>
          <w:szCs w:val="24"/>
        </w:rPr>
        <w:t xml:space="preserve"> units not covered by the ARP.</w:t>
      </w:r>
      <w:r w:rsidR="0073236C">
        <w:rPr>
          <w:szCs w:val="24"/>
        </w:rPr>
        <w:t xml:space="preserve">  </w:t>
      </w:r>
      <w:r w:rsidR="00C2787C">
        <w:rPr>
          <w:szCs w:val="24"/>
        </w:rPr>
        <w:t xml:space="preserve">This </w:t>
      </w:r>
      <w:r w:rsidR="0073236C">
        <w:rPr>
          <w:szCs w:val="24"/>
        </w:rPr>
        <w:t>rule only reduces the number of states in which new units could be subject to CSAPR by one state and hence is not expected to materially change the number of new CSAPR units not covered by the ARP.  EPA therefore estimates zero incremental information collection burden and costs for new units as a result of this rule.</w:t>
      </w:r>
    </w:p>
    <w:p w14:paraId="0683D041" w14:textId="33AAD9B4" w:rsidR="000C02E9" w:rsidRPr="006757FB" w:rsidRDefault="000C02E9" w:rsidP="006757FB">
      <w:pPr>
        <w:suppressAutoHyphens/>
        <w:autoSpaceDE w:val="0"/>
        <w:autoSpaceDN w:val="0"/>
        <w:adjustRightInd w:val="0"/>
        <w:spacing w:before="120" w:after="120"/>
        <w:ind w:firstLine="720"/>
        <w:rPr>
          <w:szCs w:val="24"/>
        </w:rPr>
      </w:pPr>
      <w:r w:rsidRPr="00D84BB0">
        <w:rPr>
          <w:szCs w:val="24"/>
        </w:rPr>
        <w:t>The specific</w:t>
      </w:r>
      <w:r w:rsidR="00217148" w:rsidRPr="00D84BB0">
        <w:rPr>
          <w:szCs w:val="24"/>
        </w:rPr>
        <w:t xml:space="preserve"> </w:t>
      </w:r>
      <w:r w:rsidRPr="00D84BB0">
        <w:rPr>
          <w:szCs w:val="24"/>
        </w:rPr>
        <w:t xml:space="preserve">elements of </w:t>
      </w:r>
      <w:r w:rsidR="00BA6EEF" w:rsidRPr="00D84BB0">
        <w:rPr>
          <w:szCs w:val="24"/>
        </w:rPr>
        <w:t>monitoring</w:t>
      </w:r>
      <w:r w:rsidR="00BF6ACB">
        <w:rPr>
          <w:szCs w:val="24"/>
        </w:rPr>
        <w:t>-related</w:t>
      </w:r>
      <w:r w:rsidR="00BA6EEF" w:rsidRPr="00D84BB0">
        <w:rPr>
          <w:szCs w:val="24"/>
        </w:rPr>
        <w:t xml:space="preserve"> </w:t>
      </w:r>
      <w:r w:rsidR="00F76FEE" w:rsidRPr="00D84BB0">
        <w:rPr>
          <w:szCs w:val="24"/>
        </w:rPr>
        <w:t xml:space="preserve">burden </w:t>
      </w:r>
      <w:r w:rsidR="00BA6EEF" w:rsidRPr="00D84BB0">
        <w:rPr>
          <w:szCs w:val="24"/>
        </w:rPr>
        <w:t xml:space="preserve">under the existing </w:t>
      </w:r>
      <w:r w:rsidR="00AB1EEC" w:rsidRPr="00D84BB0">
        <w:rPr>
          <w:szCs w:val="24"/>
        </w:rPr>
        <w:t xml:space="preserve">CSAPR </w:t>
      </w:r>
      <w:r w:rsidR="00BA6EEF" w:rsidRPr="00D84BB0">
        <w:rPr>
          <w:szCs w:val="24"/>
        </w:rPr>
        <w:t xml:space="preserve">ICR </w:t>
      </w:r>
      <w:r w:rsidR="00F76FEE" w:rsidRPr="00D84BB0">
        <w:rPr>
          <w:szCs w:val="24"/>
        </w:rPr>
        <w:t>are described below.</w:t>
      </w:r>
      <w:r w:rsidR="00562C50" w:rsidRPr="00D84BB0">
        <w:rPr>
          <w:szCs w:val="24"/>
        </w:rPr>
        <w:t xml:space="preserve">  For each element, EPA indicates whether the burden associated with that element is expected to</w:t>
      </w:r>
      <w:r w:rsidR="00562C50">
        <w:rPr>
          <w:szCs w:val="24"/>
        </w:rPr>
        <w:t xml:space="preserve"> change for any units as a result of this rule.  In this ICR, estimates of information collection burden and costs are quantified only for the two elements of respondent monitoring and reporting activities that EPA estimates will change as a result of this rule: (1) quality assurance (QA) activities and maintenance, and (2) quarterly reporting activities.  As discussed above, EPA estimates that the only </w:t>
      </w:r>
      <w:r w:rsidR="00F174ED">
        <w:rPr>
          <w:szCs w:val="24"/>
        </w:rPr>
        <w:t>unit</w:t>
      </w:r>
      <w:r w:rsidR="00562C50">
        <w:rPr>
          <w:szCs w:val="24"/>
        </w:rPr>
        <w:t xml:space="preserve">s that </w:t>
      </w:r>
      <w:r w:rsidR="008D3247">
        <w:rPr>
          <w:szCs w:val="24"/>
        </w:rPr>
        <w:t xml:space="preserve">will </w:t>
      </w:r>
      <w:r w:rsidR="00562C50">
        <w:rPr>
          <w:szCs w:val="24"/>
        </w:rPr>
        <w:t xml:space="preserve">experience a change in information collection burden and costs associated with these activities as a result of this rule are non-ARP-affected </w:t>
      </w:r>
      <w:r w:rsidR="00F174ED">
        <w:rPr>
          <w:szCs w:val="24"/>
        </w:rPr>
        <w:t>unit</w:t>
      </w:r>
      <w:r w:rsidR="00562C50">
        <w:rPr>
          <w:szCs w:val="24"/>
        </w:rPr>
        <w:t xml:space="preserve">s in Florida. </w:t>
      </w:r>
      <w:r w:rsidR="00D84BB0">
        <w:rPr>
          <w:szCs w:val="24"/>
        </w:rPr>
        <w:t>EPA notes that m</w:t>
      </w:r>
      <w:r w:rsidR="00D84BB0" w:rsidRPr="00D84BB0">
        <w:rPr>
          <w:szCs w:val="24"/>
        </w:rPr>
        <w:t xml:space="preserve">onitoring burdens in general </w:t>
      </w:r>
      <w:r w:rsidR="00D84BB0">
        <w:rPr>
          <w:szCs w:val="24"/>
        </w:rPr>
        <w:t xml:space="preserve">can </w:t>
      </w:r>
      <w:r w:rsidR="00D84BB0" w:rsidRPr="00D84BB0">
        <w:rPr>
          <w:szCs w:val="24"/>
        </w:rPr>
        <w:t xml:space="preserve">differ </w:t>
      </w:r>
      <w:r w:rsidR="00D84BB0">
        <w:rPr>
          <w:szCs w:val="24"/>
        </w:rPr>
        <w:t>significantly</w:t>
      </w:r>
      <w:r w:rsidR="00D84BB0" w:rsidRPr="00D84BB0">
        <w:rPr>
          <w:szCs w:val="24"/>
        </w:rPr>
        <w:t xml:space="preserve"> based on the </w:t>
      </w:r>
      <w:r w:rsidR="00D84BB0">
        <w:rPr>
          <w:szCs w:val="24"/>
        </w:rPr>
        <w:t>particular monitoring methodology employed</w:t>
      </w:r>
      <w:r w:rsidR="00D84BB0" w:rsidRPr="00D84BB0">
        <w:rPr>
          <w:szCs w:val="24"/>
        </w:rPr>
        <w:t xml:space="preserve">.  </w:t>
      </w:r>
      <w:r w:rsidR="00D84BB0">
        <w:rPr>
          <w:szCs w:val="24"/>
        </w:rPr>
        <w:t>The cost estimates EPA has used in this ICR therefore distinguish between units based on their current monitoring methodologies.</w:t>
      </w:r>
    </w:p>
    <w:p w14:paraId="3489F52B" w14:textId="74AF4EA5" w:rsidR="002553FA" w:rsidRPr="006757FB" w:rsidRDefault="002553FA" w:rsidP="002553FA">
      <w:pPr>
        <w:keepNext/>
        <w:suppressAutoHyphens/>
        <w:autoSpaceDE w:val="0"/>
        <w:autoSpaceDN w:val="0"/>
        <w:adjustRightInd w:val="0"/>
        <w:spacing w:before="120" w:after="120"/>
        <w:rPr>
          <w:szCs w:val="24"/>
        </w:rPr>
      </w:pPr>
      <w:r w:rsidRPr="006757FB">
        <w:rPr>
          <w:i/>
          <w:iCs/>
          <w:szCs w:val="24"/>
        </w:rPr>
        <w:t>Re</w:t>
      </w:r>
      <w:r>
        <w:rPr>
          <w:i/>
          <w:iCs/>
          <w:szCs w:val="24"/>
        </w:rPr>
        <w:t>view of Re</w:t>
      </w:r>
      <w:r w:rsidRPr="006757FB">
        <w:rPr>
          <w:i/>
          <w:iCs/>
          <w:szCs w:val="24"/>
        </w:rPr>
        <w:t>gulatory Re</w:t>
      </w:r>
      <w:r>
        <w:rPr>
          <w:i/>
          <w:iCs/>
          <w:szCs w:val="24"/>
        </w:rPr>
        <w:t>quirements</w:t>
      </w:r>
    </w:p>
    <w:p w14:paraId="03875D3A" w14:textId="3C6EA130" w:rsidR="009C7462" w:rsidRPr="006757FB" w:rsidRDefault="002553FA" w:rsidP="002553FA">
      <w:pPr>
        <w:keepNext/>
        <w:suppressAutoHyphens/>
        <w:autoSpaceDE w:val="0"/>
        <w:autoSpaceDN w:val="0"/>
        <w:adjustRightInd w:val="0"/>
        <w:spacing w:before="120" w:after="120"/>
        <w:ind w:firstLine="720"/>
        <w:rPr>
          <w:szCs w:val="24"/>
        </w:rPr>
      </w:pPr>
      <w:r w:rsidRPr="006757FB">
        <w:rPr>
          <w:szCs w:val="24"/>
        </w:rPr>
        <w:t xml:space="preserve">The </w:t>
      </w:r>
      <w:r>
        <w:rPr>
          <w:szCs w:val="24"/>
        </w:rPr>
        <w:t xml:space="preserve">existing CSAPR </w:t>
      </w:r>
      <w:r w:rsidRPr="006757FB">
        <w:rPr>
          <w:szCs w:val="24"/>
        </w:rPr>
        <w:t xml:space="preserve">ICR includes an allocation of time for </w:t>
      </w:r>
      <w:r w:rsidR="000209B5">
        <w:rPr>
          <w:szCs w:val="24"/>
        </w:rPr>
        <w:t xml:space="preserve">respondents’ </w:t>
      </w:r>
      <w:r w:rsidRPr="006757FB">
        <w:rPr>
          <w:szCs w:val="24"/>
        </w:rPr>
        <w:t xml:space="preserve">managerial and technical staff to review the </w:t>
      </w:r>
      <w:r>
        <w:rPr>
          <w:szCs w:val="24"/>
        </w:rPr>
        <w:t>CSAPR</w:t>
      </w:r>
      <w:r w:rsidRPr="006757FB">
        <w:rPr>
          <w:szCs w:val="24"/>
        </w:rPr>
        <w:t xml:space="preserve"> regulatory requirements as well as the XML formats and instructions associated with electronic emissions data submissions.  </w:t>
      </w:r>
      <w:r>
        <w:rPr>
          <w:szCs w:val="24"/>
        </w:rPr>
        <w:t xml:space="preserve">Because this rule makes no change in the information collection requirements applicable to any individual unit, EPA considers the costs for respondents to review information collection requirements </w:t>
      </w:r>
      <w:r w:rsidR="000209B5">
        <w:rPr>
          <w:szCs w:val="24"/>
        </w:rPr>
        <w:t xml:space="preserve">to be </w:t>
      </w:r>
      <w:r>
        <w:rPr>
          <w:szCs w:val="24"/>
        </w:rPr>
        <w:t>covered under the existing CSAPR ICR.  This ICR therefore reflects no burden or costs for this activity.</w:t>
      </w:r>
    </w:p>
    <w:p w14:paraId="65399EF5" w14:textId="77777777" w:rsidR="00BE7306" w:rsidRPr="006757FB" w:rsidRDefault="00BE7306" w:rsidP="00E16308">
      <w:pPr>
        <w:keepNext/>
        <w:suppressAutoHyphens/>
        <w:autoSpaceDE w:val="0"/>
        <w:autoSpaceDN w:val="0"/>
        <w:adjustRightInd w:val="0"/>
        <w:spacing w:before="120" w:after="120"/>
        <w:rPr>
          <w:i/>
          <w:iCs/>
          <w:szCs w:val="24"/>
        </w:rPr>
      </w:pPr>
      <w:r w:rsidRPr="006757FB">
        <w:rPr>
          <w:i/>
          <w:iCs/>
          <w:szCs w:val="24"/>
        </w:rPr>
        <w:t>Start-up Activities</w:t>
      </w:r>
    </w:p>
    <w:p w14:paraId="06688DAF" w14:textId="7B2A7D42" w:rsidR="00931C4E" w:rsidRDefault="00931C4E" w:rsidP="006757FB">
      <w:pPr>
        <w:suppressAutoHyphens/>
        <w:autoSpaceDE w:val="0"/>
        <w:autoSpaceDN w:val="0"/>
        <w:adjustRightInd w:val="0"/>
        <w:spacing w:before="120" w:after="120"/>
        <w:ind w:firstLine="720"/>
        <w:rPr>
          <w:szCs w:val="24"/>
        </w:rPr>
      </w:pPr>
      <w:r>
        <w:rPr>
          <w:szCs w:val="24"/>
        </w:rPr>
        <w:t>In general, st</w:t>
      </w:r>
      <w:r w:rsidR="000C02E9" w:rsidRPr="006757FB">
        <w:rPr>
          <w:szCs w:val="24"/>
        </w:rPr>
        <w:t>art-up activities</w:t>
      </w:r>
      <w:r>
        <w:rPr>
          <w:szCs w:val="24"/>
        </w:rPr>
        <w:t xml:space="preserve"> when </w:t>
      </w:r>
      <w:r w:rsidR="00F174ED">
        <w:rPr>
          <w:szCs w:val="24"/>
        </w:rPr>
        <w:t>a unit</w:t>
      </w:r>
      <w:r>
        <w:rPr>
          <w:szCs w:val="24"/>
        </w:rPr>
        <w:t xml:space="preserve"> first becomes subject to particular emissions monitoring and reporting obligations encompass </w:t>
      </w:r>
      <w:r w:rsidR="00F76FEE" w:rsidRPr="006757FB">
        <w:rPr>
          <w:szCs w:val="24"/>
        </w:rPr>
        <w:t>the acquisition, installation, and t</w:t>
      </w:r>
      <w:r>
        <w:rPr>
          <w:szCs w:val="24"/>
        </w:rPr>
        <w:t xml:space="preserve">esting of necessary monitoring equipment, including both capital expenditures and labor costs.  For most CSAPR-affected </w:t>
      </w:r>
      <w:r w:rsidR="00F174ED">
        <w:rPr>
          <w:szCs w:val="24"/>
        </w:rPr>
        <w:t>unit</w:t>
      </w:r>
      <w:r>
        <w:rPr>
          <w:szCs w:val="24"/>
        </w:rPr>
        <w:t xml:space="preserve">s, no such activities would have been required under CSAPR because the necessary monitoring equipment was already in place for ARP compliance.  In the cases of </w:t>
      </w:r>
      <w:r w:rsidR="00F174ED">
        <w:rPr>
          <w:szCs w:val="24"/>
        </w:rPr>
        <w:t>unit</w:t>
      </w:r>
      <w:r>
        <w:rPr>
          <w:szCs w:val="24"/>
        </w:rPr>
        <w:t xml:space="preserve">s affected by CSAPR but not the ARP, annualized capital costs for startup activities are reflected </w:t>
      </w:r>
      <w:r>
        <w:rPr>
          <w:szCs w:val="24"/>
        </w:rPr>
        <w:lastRenderedPageBreak/>
        <w:t xml:space="preserve">in the existing CSAPR ICR.  Because these annualized costs reflect recovery of sunk costs that are not affected by the program coverage changes in this rule, no change in burden or costs for startup activities is reflected in this ICR. </w:t>
      </w:r>
    </w:p>
    <w:p w14:paraId="58809F31" w14:textId="77777777" w:rsidR="004C38AD" w:rsidRPr="006757FB" w:rsidRDefault="000C02E9" w:rsidP="006757FB">
      <w:pPr>
        <w:keepNext/>
        <w:suppressAutoHyphens/>
        <w:autoSpaceDE w:val="0"/>
        <w:autoSpaceDN w:val="0"/>
        <w:adjustRightInd w:val="0"/>
        <w:spacing w:before="120" w:after="120"/>
        <w:rPr>
          <w:szCs w:val="24"/>
        </w:rPr>
      </w:pPr>
      <w:r w:rsidRPr="006757FB">
        <w:rPr>
          <w:i/>
          <w:iCs/>
          <w:szCs w:val="24"/>
        </w:rPr>
        <w:t>Monitor Certification/Recertification</w:t>
      </w:r>
    </w:p>
    <w:p w14:paraId="00699A47" w14:textId="2E6029C5" w:rsidR="005C511C" w:rsidRPr="006757FB" w:rsidRDefault="000C02E9" w:rsidP="005C511C">
      <w:pPr>
        <w:keepNext/>
        <w:suppressAutoHyphens/>
        <w:autoSpaceDE w:val="0"/>
        <w:autoSpaceDN w:val="0"/>
        <w:adjustRightInd w:val="0"/>
        <w:spacing w:before="120" w:after="120"/>
        <w:ind w:firstLine="720"/>
        <w:rPr>
          <w:szCs w:val="24"/>
        </w:rPr>
      </w:pPr>
      <w:r w:rsidRPr="006757FB">
        <w:rPr>
          <w:szCs w:val="24"/>
        </w:rPr>
        <w:t>Initial certification burdens and costs for new</w:t>
      </w:r>
      <w:r w:rsidR="00217148" w:rsidRPr="006757FB">
        <w:rPr>
          <w:szCs w:val="24"/>
        </w:rPr>
        <w:t xml:space="preserve"> </w:t>
      </w:r>
      <w:r w:rsidRPr="006757FB">
        <w:rPr>
          <w:szCs w:val="24"/>
        </w:rPr>
        <w:t xml:space="preserve">monitoring equipment are </w:t>
      </w:r>
      <w:r w:rsidR="005C511C">
        <w:rPr>
          <w:szCs w:val="24"/>
        </w:rPr>
        <w:t xml:space="preserve">generally encompassed within startup activities.  However, monitoring systems occasionally require recertification because of changes in equipment.  In the existing CSAPR ICR, </w:t>
      </w:r>
      <w:r w:rsidRPr="006757FB">
        <w:rPr>
          <w:szCs w:val="24"/>
        </w:rPr>
        <w:t xml:space="preserve">EPA </w:t>
      </w:r>
      <w:r w:rsidR="005C511C">
        <w:rPr>
          <w:szCs w:val="24"/>
        </w:rPr>
        <w:t>assumes</w:t>
      </w:r>
      <w:r w:rsidRPr="006757FB">
        <w:rPr>
          <w:szCs w:val="24"/>
        </w:rPr>
        <w:t xml:space="preserve"> that approximately </w:t>
      </w:r>
      <w:r w:rsidR="00592E0E" w:rsidRPr="006757FB">
        <w:rPr>
          <w:szCs w:val="24"/>
        </w:rPr>
        <w:t>ten percent</w:t>
      </w:r>
      <w:r w:rsidRPr="006757FB">
        <w:rPr>
          <w:szCs w:val="24"/>
        </w:rPr>
        <w:t xml:space="preserve"> of all units will have to recertify</w:t>
      </w:r>
      <w:r w:rsidR="00217148" w:rsidRPr="006757FB">
        <w:rPr>
          <w:szCs w:val="24"/>
        </w:rPr>
        <w:t xml:space="preserve"> </w:t>
      </w:r>
      <w:r w:rsidRPr="006757FB">
        <w:rPr>
          <w:szCs w:val="24"/>
        </w:rPr>
        <w:t>each year following the year in which the initial certification</w:t>
      </w:r>
      <w:r w:rsidR="00217148" w:rsidRPr="006757FB">
        <w:rPr>
          <w:szCs w:val="24"/>
        </w:rPr>
        <w:t xml:space="preserve"> occurs</w:t>
      </w:r>
      <w:r w:rsidR="003972B1" w:rsidRPr="006757FB">
        <w:rPr>
          <w:szCs w:val="24"/>
        </w:rPr>
        <w:t xml:space="preserve">.  </w:t>
      </w:r>
      <w:r w:rsidR="005C511C">
        <w:rPr>
          <w:szCs w:val="24"/>
        </w:rPr>
        <w:t xml:space="preserve">EPA estimates that there </w:t>
      </w:r>
      <w:r w:rsidR="00C2787C">
        <w:rPr>
          <w:szCs w:val="24"/>
        </w:rPr>
        <w:t xml:space="preserve">will </w:t>
      </w:r>
      <w:r w:rsidR="005C511C">
        <w:rPr>
          <w:szCs w:val="24"/>
        </w:rPr>
        <w:t>be no change in this burden as a result of this rule.</w:t>
      </w:r>
    </w:p>
    <w:p w14:paraId="0202E5FA" w14:textId="77777777" w:rsidR="002553FA" w:rsidRPr="006757FB" w:rsidRDefault="002553FA" w:rsidP="002553FA">
      <w:pPr>
        <w:keepNext/>
        <w:suppressAutoHyphens/>
        <w:autoSpaceDE w:val="0"/>
        <w:autoSpaceDN w:val="0"/>
        <w:adjustRightInd w:val="0"/>
        <w:spacing w:before="120" w:after="120"/>
        <w:rPr>
          <w:szCs w:val="24"/>
        </w:rPr>
      </w:pPr>
      <w:r w:rsidRPr="006757FB">
        <w:rPr>
          <w:i/>
          <w:iCs/>
          <w:szCs w:val="24"/>
        </w:rPr>
        <w:t>DAHS Debugging</w:t>
      </w:r>
    </w:p>
    <w:p w14:paraId="443D62A4" w14:textId="3F2CE050" w:rsidR="002553FA" w:rsidRPr="006757FB" w:rsidRDefault="002553FA" w:rsidP="002553FA">
      <w:pPr>
        <w:keepNext/>
        <w:suppressAutoHyphens/>
        <w:autoSpaceDE w:val="0"/>
        <w:autoSpaceDN w:val="0"/>
        <w:adjustRightInd w:val="0"/>
        <w:spacing w:before="120" w:after="120"/>
        <w:ind w:firstLine="720"/>
        <w:rPr>
          <w:szCs w:val="24"/>
        </w:rPr>
      </w:pPr>
      <w:r>
        <w:rPr>
          <w:szCs w:val="24"/>
        </w:rPr>
        <w:t xml:space="preserve">The existing CSAPR ICR includes an estimated </w:t>
      </w:r>
      <w:r w:rsidR="000209B5">
        <w:rPr>
          <w:szCs w:val="24"/>
        </w:rPr>
        <w:t xml:space="preserve">ongoing </w:t>
      </w:r>
      <w:r>
        <w:rPr>
          <w:szCs w:val="24"/>
        </w:rPr>
        <w:t xml:space="preserve">burden for affected </w:t>
      </w:r>
      <w:r w:rsidR="00F174ED">
        <w:rPr>
          <w:szCs w:val="24"/>
        </w:rPr>
        <w:t>unit</w:t>
      </w:r>
      <w:r>
        <w:rPr>
          <w:szCs w:val="24"/>
        </w:rPr>
        <w:t xml:space="preserve">s to debug </w:t>
      </w:r>
      <w:r w:rsidRPr="006757FB">
        <w:rPr>
          <w:szCs w:val="24"/>
        </w:rPr>
        <w:t>the DAHS software used to report in the 40 CFR part 75 formats</w:t>
      </w:r>
      <w:r w:rsidR="000209B5">
        <w:rPr>
          <w:szCs w:val="24"/>
        </w:rPr>
        <w:t xml:space="preserve"> consisting of </w:t>
      </w:r>
      <w:r w:rsidRPr="006757FB">
        <w:rPr>
          <w:szCs w:val="24"/>
        </w:rPr>
        <w:t xml:space="preserve">one managerial and four technician hours </w:t>
      </w:r>
      <w:r>
        <w:rPr>
          <w:szCs w:val="24"/>
        </w:rPr>
        <w:t>per year</w:t>
      </w:r>
      <w:r w:rsidRPr="006757FB">
        <w:rPr>
          <w:szCs w:val="24"/>
        </w:rPr>
        <w:t>.</w:t>
      </w:r>
      <w:r w:rsidRPr="00B95C87">
        <w:rPr>
          <w:szCs w:val="24"/>
        </w:rPr>
        <w:t xml:space="preserve"> </w:t>
      </w:r>
      <w:r>
        <w:rPr>
          <w:szCs w:val="24"/>
        </w:rPr>
        <w:t xml:space="preserve"> EPA estimates that any change in responding to error messages as a result of this </w:t>
      </w:r>
      <w:r w:rsidR="00C2787C">
        <w:rPr>
          <w:szCs w:val="24"/>
        </w:rPr>
        <w:t xml:space="preserve">rule will </w:t>
      </w:r>
      <w:r>
        <w:rPr>
          <w:szCs w:val="24"/>
        </w:rPr>
        <w:t>be minimal and is encompassed within the burden and costs covered by the existing CSAPR ICR.</w:t>
      </w:r>
    </w:p>
    <w:p w14:paraId="6D3CFF30" w14:textId="77777777" w:rsidR="004C38AD" w:rsidRPr="006757FB" w:rsidRDefault="000C02E9" w:rsidP="00E16308">
      <w:pPr>
        <w:keepNext/>
        <w:suppressAutoHyphens/>
        <w:autoSpaceDE w:val="0"/>
        <w:autoSpaceDN w:val="0"/>
        <w:adjustRightInd w:val="0"/>
        <w:spacing w:before="120" w:after="120"/>
        <w:rPr>
          <w:szCs w:val="24"/>
        </w:rPr>
      </w:pPr>
      <w:r w:rsidRPr="006757FB">
        <w:rPr>
          <w:i/>
          <w:iCs/>
          <w:szCs w:val="24"/>
        </w:rPr>
        <w:t>Quality Assurance</w:t>
      </w:r>
    </w:p>
    <w:p w14:paraId="55D67AF8" w14:textId="7C4D87D7" w:rsidR="004A611E" w:rsidRDefault="004C38AD" w:rsidP="006757FB">
      <w:pPr>
        <w:suppressAutoHyphens/>
        <w:autoSpaceDE w:val="0"/>
        <w:autoSpaceDN w:val="0"/>
        <w:adjustRightInd w:val="0"/>
        <w:spacing w:before="120" w:after="120"/>
        <w:rPr>
          <w:szCs w:val="24"/>
        </w:rPr>
      </w:pPr>
      <w:r w:rsidRPr="006757FB">
        <w:rPr>
          <w:szCs w:val="24"/>
        </w:rPr>
        <w:tab/>
      </w:r>
      <w:r w:rsidR="000C02E9" w:rsidRPr="006757FB">
        <w:rPr>
          <w:szCs w:val="24"/>
        </w:rPr>
        <w:t>Quality assurance (QA) activities and other routine maintenance for</w:t>
      </w:r>
      <w:r w:rsidR="00217148" w:rsidRPr="006757FB">
        <w:rPr>
          <w:szCs w:val="24"/>
        </w:rPr>
        <w:t xml:space="preserve"> </w:t>
      </w:r>
      <w:r w:rsidR="000C02E9" w:rsidRPr="006757FB">
        <w:rPr>
          <w:szCs w:val="24"/>
        </w:rPr>
        <w:t xml:space="preserve">monitoring systems </w:t>
      </w:r>
      <w:r w:rsidR="005C511C">
        <w:rPr>
          <w:szCs w:val="24"/>
        </w:rPr>
        <w:t xml:space="preserve">represent </w:t>
      </w:r>
      <w:r w:rsidR="000C02E9" w:rsidRPr="006757FB">
        <w:rPr>
          <w:szCs w:val="24"/>
        </w:rPr>
        <w:t xml:space="preserve">the largest burden item under </w:t>
      </w:r>
      <w:r w:rsidR="00C22164">
        <w:rPr>
          <w:szCs w:val="24"/>
        </w:rPr>
        <w:t>CSAPR</w:t>
      </w:r>
      <w:r w:rsidR="003972B1" w:rsidRPr="006757FB">
        <w:rPr>
          <w:szCs w:val="24"/>
        </w:rPr>
        <w:t xml:space="preserve">.  </w:t>
      </w:r>
      <w:r w:rsidR="000C02E9" w:rsidRPr="006757FB">
        <w:rPr>
          <w:szCs w:val="24"/>
        </w:rPr>
        <w:t>These</w:t>
      </w:r>
      <w:r w:rsidR="00217148" w:rsidRPr="006757FB">
        <w:rPr>
          <w:szCs w:val="24"/>
        </w:rPr>
        <w:t xml:space="preserve"> </w:t>
      </w:r>
      <w:r w:rsidR="000C02E9" w:rsidRPr="006757FB">
        <w:rPr>
          <w:szCs w:val="24"/>
        </w:rPr>
        <w:t>requirements generally include daily, quarterly</w:t>
      </w:r>
      <w:r w:rsidR="00C10C31" w:rsidRPr="006757FB">
        <w:rPr>
          <w:szCs w:val="24"/>
        </w:rPr>
        <w:t>,</w:t>
      </w:r>
      <w:r w:rsidR="000C02E9" w:rsidRPr="006757FB">
        <w:rPr>
          <w:szCs w:val="24"/>
        </w:rPr>
        <w:t xml:space="preserve"> and annual QA requirements, depending on the</w:t>
      </w:r>
      <w:r w:rsidR="00217148" w:rsidRPr="006757FB">
        <w:rPr>
          <w:szCs w:val="24"/>
        </w:rPr>
        <w:t xml:space="preserve"> </w:t>
      </w:r>
      <w:r w:rsidR="005C511C">
        <w:rPr>
          <w:szCs w:val="24"/>
        </w:rPr>
        <w:t xml:space="preserve">40 CFR part 75 </w:t>
      </w:r>
      <w:r w:rsidR="000C02E9" w:rsidRPr="006757FB">
        <w:rPr>
          <w:szCs w:val="24"/>
        </w:rPr>
        <w:t>monitoring approach being used</w:t>
      </w:r>
      <w:r w:rsidR="003972B1" w:rsidRPr="006757FB">
        <w:rPr>
          <w:szCs w:val="24"/>
        </w:rPr>
        <w:t xml:space="preserve">.  </w:t>
      </w:r>
      <w:r w:rsidR="005C511C">
        <w:rPr>
          <w:szCs w:val="24"/>
        </w:rPr>
        <w:t xml:space="preserve">In the case of ARP-affected units, the burden and costs associated with these activities are covered by the ARP ICR, while for non-ARP-affected units the burden and costs are covered by the existing CSAPR ICR.  Under this rule, non-ARP-affected </w:t>
      </w:r>
      <w:r w:rsidR="00F174ED">
        <w:rPr>
          <w:szCs w:val="24"/>
        </w:rPr>
        <w:t>unit</w:t>
      </w:r>
      <w:r w:rsidR="005C511C">
        <w:rPr>
          <w:szCs w:val="24"/>
        </w:rPr>
        <w:t xml:space="preserve">s in Florida </w:t>
      </w:r>
      <w:r w:rsidR="00C2787C">
        <w:rPr>
          <w:szCs w:val="24"/>
        </w:rPr>
        <w:t xml:space="preserve">will </w:t>
      </w:r>
      <w:r w:rsidR="005C511C">
        <w:rPr>
          <w:szCs w:val="24"/>
        </w:rPr>
        <w:t>n</w:t>
      </w:r>
      <w:r w:rsidR="004A611E">
        <w:rPr>
          <w:szCs w:val="24"/>
        </w:rPr>
        <w:t xml:space="preserve">o longer be subject to part 75 monitoring and reporting requirements under either the ARP or any CSAPR </w:t>
      </w:r>
      <w:r w:rsidR="000209B5">
        <w:rPr>
          <w:szCs w:val="24"/>
        </w:rPr>
        <w:t xml:space="preserve">trading </w:t>
      </w:r>
      <w:r w:rsidR="004A611E">
        <w:rPr>
          <w:szCs w:val="24"/>
        </w:rPr>
        <w:t xml:space="preserve">program.  These </w:t>
      </w:r>
      <w:r w:rsidR="00F174ED">
        <w:rPr>
          <w:szCs w:val="24"/>
        </w:rPr>
        <w:t>unit</w:t>
      </w:r>
      <w:r w:rsidR="004A611E">
        <w:rPr>
          <w:szCs w:val="24"/>
        </w:rPr>
        <w:t>s would therefore experience a reduction in burden and costs associated with QA activities for their current monitoring systems.  This reduction is covered by this ICR.</w:t>
      </w:r>
    </w:p>
    <w:p w14:paraId="7DA677CE" w14:textId="21BEB1D9" w:rsidR="000C02E9" w:rsidRPr="006757FB" w:rsidRDefault="000C02E9" w:rsidP="004A611E">
      <w:pPr>
        <w:suppressAutoHyphens/>
        <w:autoSpaceDE w:val="0"/>
        <w:autoSpaceDN w:val="0"/>
        <w:adjustRightInd w:val="0"/>
        <w:spacing w:before="120" w:after="120"/>
        <w:ind w:firstLine="720"/>
        <w:rPr>
          <w:szCs w:val="24"/>
        </w:rPr>
      </w:pPr>
      <w:r w:rsidRPr="006757FB">
        <w:rPr>
          <w:szCs w:val="24"/>
        </w:rPr>
        <w:t>For units that use a CEMS, the Agency has assumed a</w:t>
      </w:r>
      <w:r w:rsidR="00217148" w:rsidRPr="006757FB">
        <w:rPr>
          <w:szCs w:val="24"/>
        </w:rPr>
        <w:t xml:space="preserve"> </w:t>
      </w:r>
      <w:r w:rsidRPr="006757FB">
        <w:rPr>
          <w:szCs w:val="24"/>
        </w:rPr>
        <w:t xml:space="preserve">per unit labor burden based on a variety of sources, including the existing </w:t>
      </w:r>
      <w:r w:rsidR="00F01416" w:rsidRPr="006757FB">
        <w:rPr>
          <w:szCs w:val="24"/>
        </w:rPr>
        <w:t>ARP</w:t>
      </w:r>
      <w:r w:rsidR="00217148" w:rsidRPr="006757FB">
        <w:rPr>
          <w:szCs w:val="24"/>
        </w:rPr>
        <w:t xml:space="preserve"> </w:t>
      </w:r>
      <w:r w:rsidR="000209B5">
        <w:rPr>
          <w:szCs w:val="24"/>
        </w:rPr>
        <w:t xml:space="preserve">and CSAPR </w:t>
      </w:r>
      <w:r w:rsidRPr="006757FB">
        <w:rPr>
          <w:szCs w:val="24"/>
        </w:rPr>
        <w:t>ICR</w:t>
      </w:r>
      <w:r w:rsidR="000209B5">
        <w:rPr>
          <w:szCs w:val="24"/>
        </w:rPr>
        <w:t>s</w:t>
      </w:r>
      <w:r w:rsidRPr="006757FB">
        <w:rPr>
          <w:szCs w:val="24"/>
        </w:rPr>
        <w:t xml:space="preserve">, information provided </w:t>
      </w:r>
      <w:r w:rsidR="00217148" w:rsidRPr="006757FB">
        <w:rPr>
          <w:szCs w:val="24"/>
        </w:rPr>
        <w:t xml:space="preserve">by </w:t>
      </w:r>
      <w:r w:rsidR="00F01416" w:rsidRPr="006757FB">
        <w:rPr>
          <w:szCs w:val="24"/>
        </w:rPr>
        <w:t>ARP</w:t>
      </w:r>
      <w:r w:rsidR="00217148" w:rsidRPr="006757FB">
        <w:rPr>
          <w:szCs w:val="24"/>
        </w:rPr>
        <w:t xml:space="preserve"> </w:t>
      </w:r>
      <w:r w:rsidR="00500E67" w:rsidRPr="006757FB">
        <w:rPr>
          <w:szCs w:val="24"/>
        </w:rPr>
        <w:t xml:space="preserve">and </w:t>
      </w:r>
      <w:r w:rsidR="005C511C">
        <w:rPr>
          <w:szCs w:val="24"/>
        </w:rPr>
        <w:t xml:space="preserve">CSAPR </w:t>
      </w:r>
      <w:r w:rsidR="00217148" w:rsidRPr="006757FB">
        <w:rPr>
          <w:szCs w:val="24"/>
        </w:rPr>
        <w:t xml:space="preserve">sources, a </w:t>
      </w:r>
      <w:r w:rsidRPr="006757FB">
        <w:rPr>
          <w:szCs w:val="24"/>
        </w:rPr>
        <w:t>CEM</w:t>
      </w:r>
      <w:r w:rsidR="00217148" w:rsidRPr="006757FB">
        <w:rPr>
          <w:szCs w:val="24"/>
        </w:rPr>
        <w:t xml:space="preserve"> </w:t>
      </w:r>
      <w:r w:rsidRPr="006757FB">
        <w:rPr>
          <w:szCs w:val="24"/>
        </w:rPr>
        <w:t xml:space="preserve">cost model developed by EPA, and comments submitted in response to the </w:t>
      </w:r>
      <w:r w:rsidR="005C511C" w:rsidRPr="005C511C">
        <w:rPr>
          <w:szCs w:val="24"/>
        </w:rPr>
        <w:t>NO</w:t>
      </w:r>
      <w:r w:rsidR="005C511C" w:rsidRPr="005C511C">
        <w:rPr>
          <w:szCs w:val="24"/>
          <w:vertAlign w:val="subscript"/>
        </w:rPr>
        <w:t>X</w:t>
      </w:r>
      <w:r w:rsidR="005C511C">
        <w:rPr>
          <w:szCs w:val="24"/>
        </w:rPr>
        <w:t xml:space="preserve"> </w:t>
      </w:r>
      <w:r w:rsidRPr="006757FB">
        <w:rPr>
          <w:szCs w:val="24"/>
        </w:rPr>
        <w:t>SIP Call</w:t>
      </w:r>
      <w:r w:rsidR="003972B1" w:rsidRPr="006757FB">
        <w:rPr>
          <w:szCs w:val="24"/>
        </w:rPr>
        <w:t xml:space="preserve">.  </w:t>
      </w:r>
      <w:r w:rsidRPr="006757FB">
        <w:rPr>
          <w:szCs w:val="24"/>
        </w:rPr>
        <w:t xml:space="preserve">For units that rely on </w:t>
      </w:r>
      <w:r w:rsidR="005C511C">
        <w:rPr>
          <w:szCs w:val="24"/>
        </w:rPr>
        <w:t xml:space="preserve">the </w:t>
      </w:r>
      <w:r w:rsidRPr="006757FB">
        <w:rPr>
          <w:szCs w:val="24"/>
        </w:rPr>
        <w:t>methodologies</w:t>
      </w:r>
      <w:r w:rsidR="005C511C">
        <w:rPr>
          <w:szCs w:val="24"/>
        </w:rPr>
        <w:t xml:space="preserve"> under appendices D and/or E of part 75 or the LME methodology under §75.19</w:t>
      </w:r>
      <w:r w:rsidRPr="006757FB">
        <w:rPr>
          <w:szCs w:val="24"/>
        </w:rPr>
        <w:t>, reduced labor burden</w:t>
      </w:r>
      <w:r w:rsidR="00217148" w:rsidRPr="006757FB">
        <w:rPr>
          <w:szCs w:val="24"/>
        </w:rPr>
        <w:t xml:space="preserve"> </w:t>
      </w:r>
      <w:r w:rsidRPr="006757FB">
        <w:rPr>
          <w:szCs w:val="24"/>
        </w:rPr>
        <w:t>estimates apply because the quality assurance activities for th</w:t>
      </w:r>
      <w:r w:rsidR="005C511C">
        <w:rPr>
          <w:szCs w:val="24"/>
        </w:rPr>
        <w:t xml:space="preserve">ose methodologies </w:t>
      </w:r>
      <w:r w:rsidRPr="006757FB">
        <w:rPr>
          <w:szCs w:val="24"/>
        </w:rPr>
        <w:t>are less than</w:t>
      </w:r>
      <w:r w:rsidR="00217148" w:rsidRPr="006757FB">
        <w:rPr>
          <w:szCs w:val="24"/>
        </w:rPr>
        <w:t xml:space="preserve"> </w:t>
      </w:r>
      <w:r w:rsidRPr="006757FB">
        <w:rPr>
          <w:szCs w:val="24"/>
        </w:rPr>
        <w:t>for</w:t>
      </w:r>
      <w:r w:rsidR="00217148" w:rsidRPr="006757FB">
        <w:rPr>
          <w:szCs w:val="24"/>
        </w:rPr>
        <w:t xml:space="preserve"> </w:t>
      </w:r>
      <w:r w:rsidRPr="006757FB">
        <w:rPr>
          <w:szCs w:val="24"/>
        </w:rPr>
        <w:t>a CEMS</w:t>
      </w:r>
      <w:r w:rsidR="003972B1" w:rsidRPr="006757FB">
        <w:rPr>
          <w:szCs w:val="24"/>
        </w:rPr>
        <w:t xml:space="preserve">.  </w:t>
      </w:r>
      <w:r w:rsidR="004A611E">
        <w:rPr>
          <w:szCs w:val="24"/>
        </w:rPr>
        <w:t xml:space="preserve">Under </w:t>
      </w:r>
      <w:r w:rsidR="005C511C">
        <w:rPr>
          <w:szCs w:val="24"/>
        </w:rPr>
        <w:t xml:space="preserve">both the </w:t>
      </w:r>
      <w:r w:rsidRPr="006757FB">
        <w:rPr>
          <w:szCs w:val="24"/>
        </w:rPr>
        <w:t xml:space="preserve">existing </w:t>
      </w:r>
      <w:r w:rsidR="00F01416" w:rsidRPr="006757FB">
        <w:rPr>
          <w:szCs w:val="24"/>
        </w:rPr>
        <w:t>ARP</w:t>
      </w:r>
      <w:r w:rsidRPr="006757FB">
        <w:rPr>
          <w:szCs w:val="24"/>
        </w:rPr>
        <w:t xml:space="preserve"> </w:t>
      </w:r>
      <w:r w:rsidR="005C511C">
        <w:rPr>
          <w:szCs w:val="24"/>
        </w:rPr>
        <w:t xml:space="preserve">ICR and the existing CSAPR ICR, </w:t>
      </w:r>
      <w:r w:rsidRPr="006757FB">
        <w:rPr>
          <w:szCs w:val="24"/>
        </w:rPr>
        <w:t>the labor burden is expected to be</w:t>
      </w:r>
      <w:r w:rsidR="00217148" w:rsidRPr="006757FB">
        <w:rPr>
          <w:szCs w:val="24"/>
        </w:rPr>
        <w:t xml:space="preserve"> </w:t>
      </w:r>
      <w:r w:rsidRPr="006757FB">
        <w:rPr>
          <w:szCs w:val="24"/>
        </w:rPr>
        <w:t>a</w:t>
      </w:r>
      <w:r w:rsidR="004A611E">
        <w:rPr>
          <w:szCs w:val="24"/>
        </w:rPr>
        <w:t>lmost entirely technician labor, and the same assumption is reflected in this ICR as well.</w:t>
      </w:r>
    </w:p>
    <w:p w14:paraId="54CED622" w14:textId="77777777" w:rsidR="004C38AD" w:rsidRPr="006757FB" w:rsidRDefault="000C02E9" w:rsidP="00E16308">
      <w:pPr>
        <w:keepNext/>
        <w:suppressAutoHyphens/>
        <w:autoSpaceDE w:val="0"/>
        <w:autoSpaceDN w:val="0"/>
        <w:adjustRightInd w:val="0"/>
        <w:spacing w:before="120" w:after="120"/>
        <w:rPr>
          <w:szCs w:val="24"/>
        </w:rPr>
      </w:pPr>
      <w:r w:rsidRPr="006757FB">
        <w:rPr>
          <w:i/>
          <w:iCs/>
          <w:szCs w:val="24"/>
        </w:rPr>
        <w:t>Quarterly Reports</w:t>
      </w:r>
    </w:p>
    <w:p w14:paraId="2531DBB4" w14:textId="25F90A20" w:rsidR="004A611E" w:rsidRDefault="004C38AD" w:rsidP="004A611E">
      <w:pPr>
        <w:suppressAutoHyphens/>
        <w:autoSpaceDE w:val="0"/>
        <w:autoSpaceDN w:val="0"/>
        <w:adjustRightInd w:val="0"/>
        <w:spacing w:before="120" w:after="120"/>
        <w:rPr>
          <w:szCs w:val="24"/>
        </w:rPr>
      </w:pPr>
      <w:r w:rsidRPr="006757FB">
        <w:rPr>
          <w:szCs w:val="24"/>
        </w:rPr>
        <w:tab/>
      </w:r>
      <w:r w:rsidR="000C02E9" w:rsidRPr="006757FB">
        <w:rPr>
          <w:szCs w:val="24"/>
        </w:rPr>
        <w:t>Tasks performed by utilities in preparing quarterly reports include:</w:t>
      </w:r>
      <w:r w:rsidR="00217148" w:rsidRPr="006757FB">
        <w:rPr>
          <w:szCs w:val="24"/>
        </w:rPr>
        <w:t xml:space="preserve"> </w:t>
      </w:r>
      <w:r w:rsidR="00360CF0" w:rsidRPr="006757FB">
        <w:rPr>
          <w:szCs w:val="24"/>
        </w:rPr>
        <w:t xml:space="preserve"> </w:t>
      </w:r>
      <w:r w:rsidR="000C02E9" w:rsidRPr="006757FB">
        <w:rPr>
          <w:szCs w:val="24"/>
        </w:rPr>
        <w:t>(1) assuring the quality of the data, (2) preparing the quarterly report, (3) revising the monitoring</w:t>
      </w:r>
      <w:r w:rsidR="00217148" w:rsidRPr="006757FB">
        <w:rPr>
          <w:szCs w:val="24"/>
        </w:rPr>
        <w:t xml:space="preserve"> </w:t>
      </w:r>
      <w:r w:rsidR="000C02E9" w:rsidRPr="006757FB">
        <w:rPr>
          <w:szCs w:val="24"/>
        </w:rPr>
        <w:t>plan, if necessary, (4) prepar</w:t>
      </w:r>
      <w:r w:rsidR="000209B5">
        <w:rPr>
          <w:szCs w:val="24"/>
        </w:rPr>
        <w:t>ing</w:t>
      </w:r>
      <w:r w:rsidR="000C02E9" w:rsidRPr="006757FB">
        <w:rPr>
          <w:szCs w:val="24"/>
        </w:rPr>
        <w:t xml:space="preserve"> hard copy documentation accompanying the quarterly</w:t>
      </w:r>
      <w:r w:rsidR="00217148" w:rsidRPr="006757FB">
        <w:rPr>
          <w:szCs w:val="24"/>
        </w:rPr>
        <w:t xml:space="preserve"> </w:t>
      </w:r>
      <w:r w:rsidR="000C02E9" w:rsidRPr="006757FB">
        <w:rPr>
          <w:szCs w:val="24"/>
        </w:rPr>
        <w:t>repor</w:t>
      </w:r>
      <w:r w:rsidR="00C74CE4" w:rsidRPr="006757FB">
        <w:rPr>
          <w:szCs w:val="24"/>
        </w:rPr>
        <w:t>t</w:t>
      </w:r>
      <w:r w:rsidR="000C02E9" w:rsidRPr="006757FB">
        <w:rPr>
          <w:szCs w:val="24"/>
        </w:rPr>
        <w:t xml:space="preserve">s, and </w:t>
      </w:r>
      <w:r w:rsidR="00C74CE4" w:rsidRPr="006757FB">
        <w:rPr>
          <w:szCs w:val="24"/>
        </w:rPr>
        <w:t xml:space="preserve">(5) </w:t>
      </w:r>
      <w:r w:rsidR="000C02E9" w:rsidRPr="006757FB">
        <w:rPr>
          <w:szCs w:val="24"/>
        </w:rPr>
        <w:t>managerial review</w:t>
      </w:r>
      <w:r w:rsidR="003972B1" w:rsidRPr="006757FB">
        <w:rPr>
          <w:szCs w:val="24"/>
        </w:rPr>
        <w:t xml:space="preserve">.  </w:t>
      </w:r>
      <w:r w:rsidR="004A611E">
        <w:rPr>
          <w:szCs w:val="24"/>
        </w:rPr>
        <w:t xml:space="preserve">In the case of ARP-affected units, the burden and costs associated with these activities are covered by the ARP ICR, while for non-ARP-affected units the burden and costs are covered by the existing CSAPR ICR.  Under this rule, non-ARP-affected </w:t>
      </w:r>
      <w:r w:rsidR="00F174ED">
        <w:rPr>
          <w:szCs w:val="24"/>
        </w:rPr>
        <w:t>unit</w:t>
      </w:r>
      <w:r w:rsidR="004A611E">
        <w:rPr>
          <w:szCs w:val="24"/>
        </w:rPr>
        <w:t xml:space="preserve">s in Florida </w:t>
      </w:r>
      <w:r w:rsidR="00C2787C">
        <w:rPr>
          <w:szCs w:val="24"/>
        </w:rPr>
        <w:t xml:space="preserve">will </w:t>
      </w:r>
      <w:r w:rsidR="004A611E">
        <w:rPr>
          <w:szCs w:val="24"/>
        </w:rPr>
        <w:t xml:space="preserve">no longer be subject to part 75 monitoring and reporting requirements under either the ARP or </w:t>
      </w:r>
      <w:r w:rsidR="004A611E">
        <w:rPr>
          <w:szCs w:val="24"/>
        </w:rPr>
        <w:lastRenderedPageBreak/>
        <w:t xml:space="preserve">any CSAPR </w:t>
      </w:r>
      <w:r w:rsidR="000209B5">
        <w:rPr>
          <w:szCs w:val="24"/>
        </w:rPr>
        <w:t xml:space="preserve">trading </w:t>
      </w:r>
      <w:r w:rsidR="004A611E">
        <w:rPr>
          <w:szCs w:val="24"/>
        </w:rPr>
        <w:t xml:space="preserve">program.  These </w:t>
      </w:r>
      <w:r w:rsidR="00F174ED">
        <w:rPr>
          <w:szCs w:val="24"/>
        </w:rPr>
        <w:t>unit</w:t>
      </w:r>
      <w:r w:rsidR="004A611E">
        <w:rPr>
          <w:szCs w:val="24"/>
        </w:rPr>
        <w:t xml:space="preserve">s therefore </w:t>
      </w:r>
      <w:r w:rsidR="00C2787C">
        <w:rPr>
          <w:szCs w:val="24"/>
        </w:rPr>
        <w:t xml:space="preserve">will </w:t>
      </w:r>
      <w:r w:rsidR="004A611E">
        <w:rPr>
          <w:szCs w:val="24"/>
        </w:rPr>
        <w:t>experience a reduction in burden and costs associated with quarterly reporting activities.  This reduction is covered by this ICR, using the costs in the existing CSAPR ICR as the basis for the estimates.</w:t>
      </w:r>
    </w:p>
    <w:p w14:paraId="291AA3DB" w14:textId="306038A9" w:rsidR="002553FA" w:rsidRPr="006757FB" w:rsidRDefault="002553FA" w:rsidP="002553FA">
      <w:pPr>
        <w:keepNext/>
        <w:suppressAutoHyphens/>
        <w:autoSpaceDE w:val="0"/>
        <w:autoSpaceDN w:val="0"/>
        <w:adjustRightInd w:val="0"/>
        <w:spacing w:before="120" w:after="120"/>
        <w:rPr>
          <w:szCs w:val="24"/>
        </w:rPr>
      </w:pPr>
      <w:r w:rsidRPr="006757FB">
        <w:rPr>
          <w:i/>
          <w:iCs/>
          <w:szCs w:val="24"/>
        </w:rPr>
        <w:t>Respon</w:t>
      </w:r>
      <w:r>
        <w:rPr>
          <w:i/>
          <w:iCs/>
          <w:szCs w:val="24"/>
        </w:rPr>
        <w:t>ding</w:t>
      </w:r>
      <w:r w:rsidRPr="006757FB">
        <w:rPr>
          <w:i/>
          <w:iCs/>
          <w:szCs w:val="24"/>
        </w:rPr>
        <w:t xml:space="preserve"> to Error Messages</w:t>
      </w:r>
    </w:p>
    <w:p w14:paraId="7E0CC10D" w14:textId="5E0632A2" w:rsidR="002553FA" w:rsidRPr="006757FB" w:rsidRDefault="002553FA" w:rsidP="002553FA">
      <w:pPr>
        <w:suppressAutoHyphens/>
        <w:autoSpaceDE w:val="0"/>
        <w:autoSpaceDN w:val="0"/>
        <w:adjustRightInd w:val="0"/>
        <w:spacing w:before="120" w:after="120"/>
        <w:ind w:firstLine="720"/>
        <w:rPr>
          <w:szCs w:val="24"/>
        </w:rPr>
      </w:pPr>
      <w:r w:rsidRPr="006757FB">
        <w:rPr>
          <w:szCs w:val="24"/>
        </w:rPr>
        <w:t xml:space="preserve">The Agency provides feedback for errors that are found in monitoring plans or other reports.  </w:t>
      </w:r>
      <w:r>
        <w:rPr>
          <w:szCs w:val="24"/>
        </w:rPr>
        <w:t xml:space="preserve">For the existing CSAPR ICR, EPA assumes that each respondent not subject to the ARP experiences a burden for responding to these error messages estimated as </w:t>
      </w:r>
      <w:r w:rsidRPr="006757FB">
        <w:rPr>
          <w:szCs w:val="24"/>
        </w:rPr>
        <w:t xml:space="preserve">four hours of managerial time and eight hours of technician time each year.  </w:t>
      </w:r>
      <w:r>
        <w:rPr>
          <w:szCs w:val="24"/>
        </w:rPr>
        <w:t>(The burden for ARP</w:t>
      </w:r>
      <w:r w:rsidR="000209B5">
        <w:rPr>
          <w:szCs w:val="24"/>
        </w:rPr>
        <w:t>-</w:t>
      </w:r>
      <w:r>
        <w:rPr>
          <w:szCs w:val="24"/>
        </w:rPr>
        <w:t xml:space="preserve">affected sources is </w:t>
      </w:r>
      <w:r w:rsidRPr="006757FB">
        <w:rPr>
          <w:szCs w:val="24"/>
        </w:rPr>
        <w:t xml:space="preserve">accounted for in </w:t>
      </w:r>
      <w:r>
        <w:rPr>
          <w:szCs w:val="24"/>
        </w:rPr>
        <w:t xml:space="preserve">the ARP </w:t>
      </w:r>
      <w:r w:rsidRPr="006757FB">
        <w:rPr>
          <w:szCs w:val="24"/>
        </w:rPr>
        <w:t>ICR.)</w:t>
      </w:r>
      <w:r>
        <w:rPr>
          <w:szCs w:val="24"/>
        </w:rPr>
        <w:t xml:space="preserve">  EPA estimates that any change in responding to error messages as a result of this </w:t>
      </w:r>
      <w:r w:rsidR="00C2787C">
        <w:rPr>
          <w:szCs w:val="24"/>
        </w:rPr>
        <w:t xml:space="preserve">rule will </w:t>
      </w:r>
      <w:r>
        <w:rPr>
          <w:szCs w:val="24"/>
        </w:rPr>
        <w:t xml:space="preserve">be minimal and is encompassed within the burden and costs covered by the existing CSAPR ICR. </w:t>
      </w:r>
    </w:p>
    <w:p w14:paraId="335AB90C" w14:textId="4A570E47" w:rsidR="009626F2" w:rsidRPr="006757FB" w:rsidRDefault="002553FA" w:rsidP="002553FA">
      <w:pPr>
        <w:keepNext/>
        <w:suppressAutoHyphens/>
        <w:autoSpaceDE w:val="0"/>
        <w:autoSpaceDN w:val="0"/>
        <w:adjustRightInd w:val="0"/>
        <w:spacing w:before="120" w:after="120"/>
        <w:ind w:left="720"/>
        <w:rPr>
          <w:iCs/>
          <w:szCs w:val="24"/>
        </w:rPr>
      </w:pPr>
      <w:r w:rsidRPr="006757FB">
        <w:rPr>
          <w:iCs/>
          <w:szCs w:val="24"/>
        </w:rPr>
        <w:t xml:space="preserve"> </w:t>
      </w:r>
      <w:r w:rsidR="009626F2" w:rsidRPr="006757FB">
        <w:rPr>
          <w:iCs/>
          <w:szCs w:val="24"/>
        </w:rPr>
        <w:t>(iv)  Agency Monitoring Activities</w:t>
      </w:r>
    </w:p>
    <w:p w14:paraId="6C93AAF6" w14:textId="2ED155DB" w:rsidR="00957585" w:rsidRPr="006757FB" w:rsidRDefault="00957585" w:rsidP="006757FB">
      <w:pPr>
        <w:suppressAutoHyphens/>
        <w:autoSpaceDE w:val="0"/>
        <w:autoSpaceDN w:val="0"/>
        <w:adjustRightInd w:val="0"/>
        <w:spacing w:before="120" w:after="120"/>
        <w:ind w:firstLine="720"/>
        <w:rPr>
          <w:iCs/>
          <w:szCs w:val="24"/>
        </w:rPr>
      </w:pPr>
      <w:r w:rsidRPr="006757FB">
        <w:rPr>
          <w:iCs/>
          <w:szCs w:val="24"/>
        </w:rPr>
        <w:t>Agency activities related to the monitoring and reporting of emissions data include processing, reviewing</w:t>
      </w:r>
      <w:r w:rsidR="00C74CE4" w:rsidRPr="006757FB">
        <w:rPr>
          <w:iCs/>
          <w:szCs w:val="24"/>
        </w:rPr>
        <w:t>,</w:t>
      </w:r>
      <w:r w:rsidRPr="006757FB">
        <w:rPr>
          <w:iCs/>
          <w:szCs w:val="24"/>
        </w:rPr>
        <w:t xml:space="preserve"> and evaluating reports of quarterly emissions data from affected units.  </w:t>
      </w:r>
      <w:r w:rsidR="003B0122">
        <w:rPr>
          <w:iCs/>
          <w:szCs w:val="24"/>
        </w:rPr>
        <w:t>In the existing CSAPR ICR, t</w:t>
      </w:r>
      <w:r w:rsidRPr="006757FB">
        <w:rPr>
          <w:iCs/>
          <w:szCs w:val="24"/>
        </w:rPr>
        <w:t xml:space="preserve">he Agency estimates that these activities will require </w:t>
      </w:r>
      <w:r w:rsidR="001F32EF" w:rsidRPr="006757FB">
        <w:rPr>
          <w:iCs/>
          <w:szCs w:val="24"/>
        </w:rPr>
        <w:t>4,500</w:t>
      </w:r>
      <w:r w:rsidR="00841C6C" w:rsidRPr="006757FB">
        <w:rPr>
          <w:iCs/>
          <w:szCs w:val="24"/>
        </w:rPr>
        <w:t xml:space="preserve"> </w:t>
      </w:r>
      <w:r w:rsidRPr="006757FB">
        <w:rPr>
          <w:iCs/>
          <w:szCs w:val="24"/>
        </w:rPr>
        <w:t>hours per year.</w:t>
      </w:r>
      <w:r w:rsidR="003B0122">
        <w:rPr>
          <w:iCs/>
          <w:szCs w:val="24"/>
        </w:rPr>
        <w:t xml:space="preserve">  EPA estimates that this rule will not result in any material change to this burden.</w:t>
      </w:r>
    </w:p>
    <w:p w14:paraId="79CBE076" w14:textId="2CF4BCD3" w:rsidR="000C02E9" w:rsidRPr="006757FB" w:rsidRDefault="000C02E9" w:rsidP="00E16308">
      <w:pPr>
        <w:keepNext/>
        <w:suppressAutoHyphens/>
        <w:autoSpaceDE w:val="0"/>
        <w:autoSpaceDN w:val="0"/>
        <w:adjustRightInd w:val="0"/>
        <w:spacing w:before="120" w:after="120"/>
        <w:ind w:left="720"/>
        <w:rPr>
          <w:szCs w:val="24"/>
        </w:rPr>
      </w:pPr>
      <w:r w:rsidRPr="006757FB">
        <w:rPr>
          <w:iCs/>
          <w:szCs w:val="24"/>
        </w:rPr>
        <w:t>(</w:t>
      </w:r>
      <w:r w:rsidR="00957585" w:rsidRPr="006757FB">
        <w:rPr>
          <w:iCs/>
          <w:szCs w:val="24"/>
        </w:rPr>
        <w:t>v</w:t>
      </w:r>
      <w:r w:rsidRPr="006757FB">
        <w:rPr>
          <w:iCs/>
          <w:szCs w:val="24"/>
        </w:rPr>
        <w:t xml:space="preserve">) </w:t>
      </w:r>
      <w:r w:rsidR="004C38AD" w:rsidRPr="006757FB">
        <w:rPr>
          <w:iCs/>
          <w:szCs w:val="24"/>
        </w:rPr>
        <w:t xml:space="preserve"> </w:t>
      </w:r>
      <w:r w:rsidR="002553FA">
        <w:rPr>
          <w:iCs/>
          <w:szCs w:val="24"/>
        </w:rPr>
        <w:t xml:space="preserve">Industry </w:t>
      </w:r>
      <w:r w:rsidR="00267A48" w:rsidRPr="006757FB">
        <w:rPr>
          <w:iCs/>
          <w:szCs w:val="24"/>
        </w:rPr>
        <w:t xml:space="preserve">Respondent </w:t>
      </w:r>
      <w:r w:rsidR="00BE7306" w:rsidRPr="006757FB">
        <w:rPr>
          <w:iCs/>
          <w:szCs w:val="24"/>
        </w:rPr>
        <w:t xml:space="preserve">Allowance </w:t>
      </w:r>
      <w:r w:rsidR="002553FA">
        <w:rPr>
          <w:iCs/>
          <w:szCs w:val="24"/>
        </w:rPr>
        <w:t xml:space="preserve">Transfer </w:t>
      </w:r>
      <w:r w:rsidR="00BE7306" w:rsidRPr="006757FB">
        <w:rPr>
          <w:iCs/>
          <w:szCs w:val="24"/>
        </w:rPr>
        <w:t>A</w:t>
      </w:r>
      <w:r w:rsidRPr="006757FB">
        <w:rPr>
          <w:iCs/>
          <w:szCs w:val="24"/>
        </w:rPr>
        <w:t>ctivities</w:t>
      </w:r>
    </w:p>
    <w:p w14:paraId="46745060" w14:textId="2FD786B4" w:rsidR="00675F88" w:rsidRPr="00BC3CAA" w:rsidRDefault="00BC3CAA" w:rsidP="006757FB">
      <w:pPr>
        <w:suppressAutoHyphens/>
        <w:spacing w:before="120" w:after="120"/>
        <w:ind w:firstLine="720"/>
        <w:rPr>
          <w:szCs w:val="24"/>
        </w:rPr>
      </w:pPr>
      <w:r>
        <w:rPr>
          <w:szCs w:val="24"/>
        </w:rPr>
        <w:t>In the existing CSAPR ICR, t</w:t>
      </w:r>
      <w:r w:rsidR="00675F88" w:rsidRPr="006757FB">
        <w:rPr>
          <w:szCs w:val="24"/>
        </w:rPr>
        <w:t xml:space="preserve">he Agency </w:t>
      </w:r>
      <w:r>
        <w:rPr>
          <w:szCs w:val="24"/>
        </w:rPr>
        <w:t>estimates that</w:t>
      </w:r>
      <w:r w:rsidR="00675F88" w:rsidRPr="006757FB">
        <w:rPr>
          <w:szCs w:val="24"/>
        </w:rPr>
        <w:t xml:space="preserve"> the average </w:t>
      </w:r>
      <w:r>
        <w:rPr>
          <w:szCs w:val="24"/>
        </w:rPr>
        <w:t xml:space="preserve">annual </w:t>
      </w:r>
      <w:r w:rsidR="00675F88" w:rsidRPr="006757FB">
        <w:rPr>
          <w:szCs w:val="24"/>
        </w:rPr>
        <w:t xml:space="preserve">number of </w:t>
      </w:r>
      <w:r>
        <w:rPr>
          <w:szCs w:val="24"/>
        </w:rPr>
        <w:t xml:space="preserve">CSAPR </w:t>
      </w:r>
      <w:r w:rsidR="00675F88" w:rsidRPr="006757FB">
        <w:rPr>
          <w:szCs w:val="24"/>
        </w:rPr>
        <w:t xml:space="preserve">allowance transactions will be approximately 7,500 per year.  This estimate is based on transaction data associated with the CAIR trading programs. </w:t>
      </w:r>
      <w:r>
        <w:rPr>
          <w:szCs w:val="24"/>
        </w:rPr>
        <w:t xml:space="preserve"> </w:t>
      </w:r>
      <w:r w:rsidR="00675F88" w:rsidRPr="006757FB">
        <w:rPr>
          <w:szCs w:val="24"/>
        </w:rPr>
        <w:t>The Agency believes that each transaction will involve about one hour each of managerial and technician time</w:t>
      </w:r>
      <w:r w:rsidR="00675F88" w:rsidRPr="00BC3CAA">
        <w:rPr>
          <w:szCs w:val="24"/>
        </w:rPr>
        <w:t xml:space="preserve">. </w:t>
      </w:r>
      <w:r w:rsidRPr="00BC3CAA">
        <w:rPr>
          <w:szCs w:val="24"/>
        </w:rPr>
        <w:t xml:space="preserve"> EPA estimates that this rule will not result in any material change to this burden.</w:t>
      </w:r>
    </w:p>
    <w:p w14:paraId="5F663981" w14:textId="1957906E" w:rsidR="00267A48" w:rsidRPr="00BC3CAA" w:rsidRDefault="00957585" w:rsidP="00E16308">
      <w:pPr>
        <w:keepNext/>
        <w:suppressAutoHyphens/>
        <w:autoSpaceDE w:val="0"/>
        <w:autoSpaceDN w:val="0"/>
        <w:adjustRightInd w:val="0"/>
        <w:spacing w:before="120" w:after="120"/>
        <w:ind w:left="720"/>
        <w:rPr>
          <w:szCs w:val="24"/>
        </w:rPr>
      </w:pPr>
      <w:r w:rsidRPr="00BC3CAA">
        <w:rPr>
          <w:iCs/>
          <w:szCs w:val="24"/>
        </w:rPr>
        <w:t>(</w:t>
      </w:r>
      <w:r w:rsidR="00267A48" w:rsidRPr="00BC3CAA">
        <w:rPr>
          <w:iCs/>
          <w:szCs w:val="24"/>
        </w:rPr>
        <w:t>v</w:t>
      </w:r>
      <w:r w:rsidRPr="00BC3CAA">
        <w:rPr>
          <w:iCs/>
          <w:szCs w:val="24"/>
        </w:rPr>
        <w:t>i</w:t>
      </w:r>
      <w:r w:rsidR="00267A48" w:rsidRPr="00BC3CAA">
        <w:rPr>
          <w:iCs/>
          <w:szCs w:val="24"/>
        </w:rPr>
        <w:t xml:space="preserve">)  Agency Allowance </w:t>
      </w:r>
      <w:r w:rsidR="002553FA">
        <w:rPr>
          <w:iCs/>
          <w:szCs w:val="24"/>
        </w:rPr>
        <w:t xml:space="preserve">Transfer </w:t>
      </w:r>
      <w:r w:rsidR="00267A48" w:rsidRPr="00BC3CAA">
        <w:rPr>
          <w:iCs/>
          <w:szCs w:val="24"/>
        </w:rPr>
        <w:t>Activities</w:t>
      </w:r>
    </w:p>
    <w:p w14:paraId="259F2410" w14:textId="7A57808D" w:rsidR="00957585" w:rsidRPr="006757FB" w:rsidRDefault="00957585" w:rsidP="006757FB">
      <w:pPr>
        <w:suppressAutoHyphens/>
        <w:autoSpaceDE w:val="0"/>
        <w:autoSpaceDN w:val="0"/>
        <w:adjustRightInd w:val="0"/>
        <w:spacing w:before="120" w:after="120"/>
        <w:ind w:firstLine="720"/>
        <w:rPr>
          <w:iCs/>
          <w:szCs w:val="24"/>
        </w:rPr>
      </w:pPr>
      <w:r w:rsidRPr="006757FB">
        <w:rPr>
          <w:iCs/>
          <w:szCs w:val="24"/>
        </w:rPr>
        <w:t xml:space="preserve">Agency activities related to </w:t>
      </w:r>
      <w:r w:rsidR="001A6513" w:rsidRPr="006757FB">
        <w:rPr>
          <w:iCs/>
          <w:szCs w:val="24"/>
        </w:rPr>
        <w:t>a</w:t>
      </w:r>
      <w:r w:rsidRPr="006757FB">
        <w:rPr>
          <w:iCs/>
          <w:szCs w:val="24"/>
        </w:rPr>
        <w:t xml:space="preserve">llowance </w:t>
      </w:r>
      <w:r w:rsidR="001A6513" w:rsidRPr="006757FB">
        <w:rPr>
          <w:iCs/>
          <w:szCs w:val="24"/>
        </w:rPr>
        <w:t>t</w:t>
      </w:r>
      <w:r w:rsidRPr="006757FB">
        <w:rPr>
          <w:iCs/>
          <w:szCs w:val="24"/>
        </w:rPr>
        <w:t>ransactions include allocating allowances to existing and new units, reviewing allowance transfer information, recording transfers, notify</w:t>
      </w:r>
      <w:r w:rsidR="00344E64" w:rsidRPr="006757FB">
        <w:rPr>
          <w:iCs/>
          <w:szCs w:val="24"/>
        </w:rPr>
        <w:t xml:space="preserve">ing </w:t>
      </w:r>
      <w:r w:rsidRPr="006757FB">
        <w:rPr>
          <w:iCs/>
          <w:szCs w:val="24"/>
        </w:rPr>
        <w:t>transfer participants,</w:t>
      </w:r>
      <w:r w:rsidR="00895C45" w:rsidRPr="006757FB">
        <w:rPr>
          <w:iCs/>
          <w:szCs w:val="24"/>
        </w:rPr>
        <w:t xml:space="preserve"> </w:t>
      </w:r>
      <w:r w:rsidRPr="006757FB">
        <w:rPr>
          <w:iCs/>
          <w:szCs w:val="24"/>
        </w:rPr>
        <w:t>entering deduction data and deducting allowances</w:t>
      </w:r>
      <w:r w:rsidR="00F517C5" w:rsidRPr="006757FB">
        <w:rPr>
          <w:iCs/>
          <w:szCs w:val="24"/>
        </w:rPr>
        <w:t xml:space="preserve">, and ensuring compliance assurance provisions are met. </w:t>
      </w:r>
      <w:r w:rsidR="00B26494" w:rsidRPr="006757FB">
        <w:rPr>
          <w:iCs/>
          <w:szCs w:val="24"/>
        </w:rPr>
        <w:t xml:space="preserve"> </w:t>
      </w:r>
      <w:r w:rsidR="00F517C5" w:rsidRPr="006757FB">
        <w:rPr>
          <w:iCs/>
          <w:szCs w:val="24"/>
        </w:rPr>
        <w:t>In</w:t>
      </w:r>
      <w:r w:rsidR="00B26494" w:rsidRPr="006757FB">
        <w:rPr>
          <w:iCs/>
          <w:szCs w:val="24"/>
        </w:rPr>
        <w:t xml:space="preserve"> the</w:t>
      </w:r>
      <w:r w:rsidR="00F517C5" w:rsidRPr="006757FB">
        <w:rPr>
          <w:iCs/>
          <w:szCs w:val="24"/>
        </w:rPr>
        <w:t xml:space="preserve"> event that compliance assurance provisions are not met it is estimated </w:t>
      </w:r>
      <w:r w:rsidR="00B26494" w:rsidRPr="006757FB">
        <w:rPr>
          <w:iCs/>
          <w:szCs w:val="24"/>
        </w:rPr>
        <w:t xml:space="preserve">that </w:t>
      </w:r>
      <w:r w:rsidR="00F517C5" w:rsidRPr="006757FB">
        <w:rPr>
          <w:iCs/>
          <w:szCs w:val="24"/>
        </w:rPr>
        <w:t xml:space="preserve">the burden for each </w:t>
      </w:r>
      <w:r w:rsidR="00687275" w:rsidRPr="006757FB">
        <w:rPr>
          <w:iCs/>
          <w:szCs w:val="24"/>
        </w:rPr>
        <w:t>s</w:t>
      </w:r>
      <w:r w:rsidR="009D2B68" w:rsidRPr="006757FB">
        <w:rPr>
          <w:iCs/>
          <w:szCs w:val="24"/>
        </w:rPr>
        <w:t>tate</w:t>
      </w:r>
      <w:r w:rsidR="00EA0165" w:rsidRPr="006757FB">
        <w:rPr>
          <w:iCs/>
          <w:szCs w:val="24"/>
        </w:rPr>
        <w:t xml:space="preserve"> exceeding compliance assurance levels</w:t>
      </w:r>
      <w:r w:rsidR="00F517C5" w:rsidRPr="006757FB">
        <w:rPr>
          <w:iCs/>
          <w:szCs w:val="24"/>
        </w:rPr>
        <w:t xml:space="preserve"> would be 160 hours, however</w:t>
      </w:r>
      <w:r w:rsidR="00BC3CAA">
        <w:rPr>
          <w:iCs/>
          <w:szCs w:val="24"/>
        </w:rPr>
        <w:t>,</w:t>
      </w:r>
      <w:r w:rsidR="00F517C5" w:rsidRPr="006757FB">
        <w:rPr>
          <w:iCs/>
          <w:szCs w:val="24"/>
        </w:rPr>
        <w:t xml:space="preserve"> the agency assumes that </w:t>
      </w:r>
      <w:r w:rsidR="00BC3CAA">
        <w:rPr>
          <w:iCs/>
          <w:szCs w:val="24"/>
        </w:rPr>
        <w:t>the compliance assurance provisions will be met in all states in all years</w:t>
      </w:r>
      <w:r w:rsidR="00F517C5" w:rsidRPr="006757FB">
        <w:rPr>
          <w:iCs/>
          <w:szCs w:val="24"/>
        </w:rPr>
        <w:t xml:space="preserve">. </w:t>
      </w:r>
      <w:r w:rsidR="00B26494" w:rsidRPr="006757FB">
        <w:rPr>
          <w:iCs/>
          <w:szCs w:val="24"/>
        </w:rPr>
        <w:t xml:space="preserve"> </w:t>
      </w:r>
      <w:r w:rsidR="00BC3CAA">
        <w:rPr>
          <w:iCs/>
          <w:szCs w:val="24"/>
        </w:rPr>
        <w:t xml:space="preserve">In the existing CSAPR ICR, </w:t>
      </w:r>
      <w:r w:rsidR="000209B5">
        <w:rPr>
          <w:iCs/>
          <w:szCs w:val="24"/>
        </w:rPr>
        <w:t>EPA</w:t>
      </w:r>
      <w:r w:rsidRPr="006757FB">
        <w:rPr>
          <w:iCs/>
          <w:szCs w:val="24"/>
        </w:rPr>
        <w:t xml:space="preserve"> estimates that </w:t>
      </w:r>
      <w:r w:rsidR="00BC3CAA">
        <w:rPr>
          <w:iCs/>
          <w:szCs w:val="24"/>
        </w:rPr>
        <w:t xml:space="preserve">allowance transaction activities </w:t>
      </w:r>
      <w:r w:rsidRPr="006757FB">
        <w:rPr>
          <w:iCs/>
          <w:szCs w:val="24"/>
        </w:rPr>
        <w:t xml:space="preserve">require </w:t>
      </w:r>
      <w:r w:rsidR="00401022" w:rsidRPr="006757FB">
        <w:rPr>
          <w:iCs/>
          <w:szCs w:val="24"/>
        </w:rPr>
        <w:t>290</w:t>
      </w:r>
      <w:r w:rsidRPr="006757FB">
        <w:rPr>
          <w:iCs/>
          <w:szCs w:val="24"/>
        </w:rPr>
        <w:t xml:space="preserve"> hours per year.</w:t>
      </w:r>
      <w:r w:rsidR="00F517C5" w:rsidRPr="006757FB">
        <w:rPr>
          <w:iCs/>
          <w:szCs w:val="24"/>
        </w:rPr>
        <w:t xml:space="preserve"> </w:t>
      </w:r>
      <w:r w:rsidR="00BC3CAA">
        <w:rPr>
          <w:iCs/>
          <w:szCs w:val="24"/>
        </w:rPr>
        <w:t xml:space="preserve"> EPA </w:t>
      </w:r>
      <w:r w:rsidR="00BC3CAA" w:rsidRPr="00BC3CAA">
        <w:rPr>
          <w:szCs w:val="24"/>
        </w:rPr>
        <w:t>estimates that this rule will not result in any material change to this burden.</w:t>
      </w:r>
    </w:p>
    <w:p w14:paraId="7F59CE95" w14:textId="6D4FE442" w:rsidR="00B52825" w:rsidRPr="006757FB" w:rsidRDefault="00B52825" w:rsidP="00E16308">
      <w:pPr>
        <w:keepNext/>
        <w:suppressAutoHyphens/>
        <w:autoSpaceDE w:val="0"/>
        <w:autoSpaceDN w:val="0"/>
        <w:adjustRightInd w:val="0"/>
        <w:spacing w:before="120" w:after="120"/>
        <w:ind w:firstLine="720"/>
        <w:rPr>
          <w:iCs/>
          <w:szCs w:val="24"/>
        </w:rPr>
      </w:pPr>
      <w:r w:rsidRPr="006757FB">
        <w:rPr>
          <w:iCs/>
          <w:szCs w:val="24"/>
        </w:rPr>
        <w:t xml:space="preserve">(vii)  State </w:t>
      </w:r>
      <w:r w:rsidR="00B824F9" w:rsidRPr="006757FB">
        <w:rPr>
          <w:iCs/>
          <w:szCs w:val="24"/>
        </w:rPr>
        <w:t xml:space="preserve">Allowance </w:t>
      </w:r>
      <w:r w:rsidR="002553FA">
        <w:rPr>
          <w:iCs/>
          <w:szCs w:val="24"/>
        </w:rPr>
        <w:t xml:space="preserve">Transfer </w:t>
      </w:r>
      <w:r w:rsidRPr="006757FB">
        <w:rPr>
          <w:iCs/>
          <w:szCs w:val="24"/>
        </w:rPr>
        <w:t>Activities</w:t>
      </w:r>
    </w:p>
    <w:p w14:paraId="536E77DE" w14:textId="09EBA746" w:rsidR="00BC3CAA" w:rsidRPr="006757FB" w:rsidRDefault="00B824F9" w:rsidP="00BC3CAA">
      <w:pPr>
        <w:suppressAutoHyphens/>
        <w:autoSpaceDE w:val="0"/>
        <w:autoSpaceDN w:val="0"/>
        <w:adjustRightInd w:val="0"/>
        <w:spacing w:before="120" w:after="120"/>
        <w:ind w:firstLine="720"/>
        <w:rPr>
          <w:iCs/>
          <w:szCs w:val="24"/>
        </w:rPr>
      </w:pPr>
      <w:r w:rsidRPr="006757FB">
        <w:rPr>
          <w:iCs/>
          <w:szCs w:val="24"/>
        </w:rPr>
        <w:t xml:space="preserve">The FIPs promulgated by EPA specify default allocations of </w:t>
      </w:r>
      <w:r w:rsidR="00C22164">
        <w:rPr>
          <w:iCs/>
          <w:szCs w:val="24"/>
        </w:rPr>
        <w:t>CSAPR</w:t>
      </w:r>
      <w:r w:rsidRPr="006757FB">
        <w:rPr>
          <w:iCs/>
          <w:szCs w:val="24"/>
        </w:rPr>
        <w:t xml:space="preserve"> emission allowances for each </w:t>
      </w:r>
      <w:r w:rsidR="00C22164">
        <w:rPr>
          <w:iCs/>
          <w:szCs w:val="24"/>
        </w:rPr>
        <w:t>CSAPR</w:t>
      </w:r>
      <w:r w:rsidRPr="006757FB">
        <w:rPr>
          <w:iCs/>
          <w:szCs w:val="24"/>
        </w:rPr>
        <w:t xml:space="preserve"> trading program among each state’s affected sources.  </w:t>
      </w:r>
      <w:r w:rsidR="00B52825" w:rsidRPr="006757FB">
        <w:rPr>
          <w:iCs/>
          <w:szCs w:val="24"/>
        </w:rPr>
        <w:t xml:space="preserve">States that </w:t>
      </w:r>
      <w:r w:rsidRPr="006757FB">
        <w:rPr>
          <w:iCs/>
          <w:szCs w:val="24"/>
        </w:rPr>
        <w:t xml:space="preserve">wish to revise these default allocations may do so </w:t>
      </w:r>
      <w:r w:rsidR="00B52825" w:rsidRPr="006757FB">
        <w:rPr>
          <w:iCs/>
          <w:szCs w:val="24"/>
        </w:rPr>
        <w:t xml:space="preserve">by submitting </w:t>
      </w:r>
      <w:r w:rsidRPr="006757FB">
        <w:rPr>
          <w:iCs/>
          <w:szCs w:val="24"/>
        </w:rPr>
        <w:t xml:space="preserve">limited </w:t>
      </w:r>
      <w:r w:rsidR="00B52825" w:rsidRPr="006757FB">
        <w:rPr>
          <w:iCs/>
          <w:szCs w:val="24"/>
        </w:rPr>
        <w:t>SIP revisions</w:t>
      </w:r>
      <w:r w:rsidRPr="006757FB">
        <w:rPr>
          <w:iCs/>
          <w:szCs w:val="24"/>
        </w:rPr>
        <w:t xml:space="preserve"> for that purpose</w:t>
      </w:r>
      <w:r w:rsidR="00B52825" w:rsidRPr="006757FB">
        <w:rPr>
          <w:iCs/>
          <w:szCs w:val="24"/>
        </w:rPr>
        <w:t xml:space="preserve">.  </w:t>
      </w:r>
      <w:r w:rsidR="00BC3CAA">
        <w:rPr>
          <w:iCs/>
          <w:szCs w:val="24"/>
        </w:rPr>
        <w:t xml:space="preserve">In the existing CSAPR ICR, </w:t>
      </w:r>
      <w:r w:rsidR="000209B5">
        <w:rPr>
          <w:iCs/>
          <w:szCs w:val="24"/>
        </w:rPr>
        <w:t xml:space="preserve">EPA </w:t>
      </w:r>
      <w:r w:rsidR="00B52825" w:rsidRPr="006757FB">
        <w:rPr>
          <w:iCs/>
          <w:szCs w:val="24"/>
        </w:rPr>
        <w:t xml:space="preserve">has conservatively assumed that all states with </w:t>
      </w:r>
      <w:r w:rsidR="00C22164">
        <w:rPr>
          <w:iCs/>
          <w:szCs w:val="24"/>
        </w:rPr>
        <w:t>CSAPR</w:t>
      </w:r>
      <w:r w:rsidRPr="006757FB">
        <w:rPr>
          <w:iCs/>
          <w:szCs w:val="24"/>
        </w:rPr>
        <w:t>-</w:t>
      </w:r>
      <w:r w:rsidR="00B52825" w:rsidRPr="006757FB">
        <w:rPr>
          <w:iCs/>
          <w:szCs w:val="24"/>
        </w:rPr>
        <w:t xml:space="preserve">affected sources will </w:t>
      </w:r>
      <w:r w:rsidRPr="006757FB">
        <w:rPr>
          <w:iCs/>
          <w:szCs w:val="24"/>
        </w:rPr>
        <w:t xml:space="preserve">choose to </w:t>
      </w:r>
      <w:r w:rsidR="00B52825" w:rsidRPr="006757FB">
        <w:rPr>
          <w:iCs/>
          <w:szCs w:val="24"/>
        </w:rPr>
        <w:t>submit such revisions, and that the activities to prepare the submissions will require 100 hours per year.</w:t>
      </w:r>
      <w:r w:rsidR="00BC3CAA" w:rsidRPr="00BC3CAA">
        <w:rPr>
          <w:iCs/>
          <w:szCs w:val="24"/>
        </w:rPr>
        <w:t xml:space="preserve"> </w:t>
      </w:r>
      <w:r w:rsidR="00BC3CAA">
        <w:rPr>
          <w:iCs/>
          <w:szCs w:val="24"/>
        </w:rPr>
        <w:t xml:space="preserve"> EPA </w:t>
      </w:r>
      <w:r w:rsidR="00BC3CAA" w:rsidRPr="00BC3CAA">
        <w:rPr>
          <w:szCs w:val="24"/>
        </w:rPr>
        <w:t>estimates that this rule will not result in any material change to this burden.</w:t>
      </w:r>
    </w:p>
    <w:p w14:paraId="65372FFC" w14:textId="77777777" w:rsidR="005153D7" w:rsidRPr="006757FB" w:rsidRDefault="005153D7" w:rsidP="006757FB">
      <w:pPr>
        <w:suppressAutoHyphens/>
        <w:autoSpaceDE w:val="0"/>
        <w:autoSpaceDN w:val="0"/>
        <w:adjustRightInd w:val="0"/>
        <w:spacing w:before="120" w:after="120"/>
        <w:rPr>
          <w:szCs w:val="24"/>
        </w:rPr>
      </w:pPr>
    </w:p>
    <w:p w14:paraId="1138BCE7" w14:textId="77777777" w:rsidR="000C02E9" w:rsidRPr="006757FB" w:rsidRDefault="000C02E9" w:rsidP="00E16308">
      <w:pPr>
        <w:keepNext/>
        <w:suppressAutoHyphens/>
        <w:autoSpaceDE w:val="0"/>
        <w:autoSpaceDN w:val="0"/>
        <w:adjustRightInd w:val="0"/>
        <w:spacing w:before="120" w:after="120"/>
        <w:ind w:left="360"/>
        <w:rPr>
          <w:b/>
          <w:bCs/>
          <w:szCs w:val="24"/>
        </w:rPr>
      </w:pPr>
      <w:r w:rsidRPr="006757FB">
        <w:rPr>
          <w:b/>
          <w:bCs/>
          <w:szCs w:val="24"/>
        </w:rPr>
        <w:lastRenderedPageBreak/>
        <w:t>6</w:t>
      </w:r>
      <w:r w:rsidR="00BE7306" w:rsidRPr="006757FB">
        <w:rPr>
          <w:b/>
          <w:bCs/>
          <w:szCs w:val="24"/>
        </w:rPr>
        <w:t xml:space="preserve">.2 </w:t>
      </w:r>
      <w:r w:rsidR="009D5CF3" w:rsidRPr="006757FB">
        <w:rPr>
          <w:b/>
          <w:bCs/>
          <w:szCs w:val="24"/>
        </w:rPr>
        <w:t xml:space="preserve"> </w:t>
      </w:r>
      <w:r w:rsidRPr="006757FB">
        <w:rPr>
          <w:b/>
          <w:bCs/>
          <w:szCs w:val="24"/>
        </w:rPr>
        <w:t>Estimating Respondent Costs</w:t>
      </w:r>
    </w:p>
    <w:p w14:paraId="2E5C3559" w14:textId="04CD4205" w:rsidR="000C02E9" w:rsidRPr="006757FB" w:rsidRDefault="00BB1D60" w:rsidP="006757FB">
      <w:pPr>
        <w:suppressAutoHyphens/>
        <w:autoSpaceDE w:val="0"/>
        <w:autoSpaceDN w:val="0"/>
        <w:adjustRightInd w:val="0"/>
        <w:spacing w:before="120" w:after="120"/>
        <w:ind w:firstLine="720"/>
        <w:rPr>
          <w:szCs w:val="24"/>
        </w:rPr>
      </w:pPr>
      <w:r w:rsidRPr="00D84BB0">
        <w:rPr>
          <w:szCs w:val="24"/>
        </w:rPr>
        <w:t xml:space="preserve">Table </w:t>
      </w:r>
      <w:r w:rsidR="00AA0E61" w:rsidRPr="00D84BB0">
        <w:rPr>
          <w:szCs w:val="24"/>
        </w:rPr>
        <w:t xml:space="preserve"> </w:t>
      </w:r>
      <w:r w:rsidR="009269F3" w:rsidRPr="00D84BB0">
        <w:rPr>
          <w:szCs w:val="24"/>
        </w:rPr>
        <w:t>6-</w:t>
      </w:r>
      <w:r w:rsidR="00562C50" w:rsidRPr="00D84BB0">
        <w:rPr>
          <w:szCs w:val="24"/>
        </w:rPr>
        <w:t>1</w:t>
      </w:r>
      <w:r w:rsidR="00217148" w:rsidRPr="00D84BB0">
        <w:rPr>
          <w:szCs w:val="24"/>
        </w:rPr>
        <w:t xml:space="preserve"> </w:t>
      </w:r>
      <w:r w:rsidR="000C02E9" w:rsidRPr="00D84BB0">
        <w:rPr>
          <w:szCs w:val="24"/>
        </w:rPr>
        <w:t>summarizes the annual industry respondent costs</w:t>
      </w:r>
      <w:r w:rsidR="003972B1" w:rsidRPr="00D84BB0">
        <w:rPr>
          <w:szCs w:val="24"/>
        </w:rPr>
        <w:t xml:space="preserve">.  </w:t>
      </w:r>
      <w:r w:rsidR="00D84BB0" w:rsidRPr="00D84BB0">
        <w:rPr>
          <w:szCs w:val="24"/>
        </w:rPr>
        <w:t xml:space="preserve">It should be noted that the labor hours and cost estimates per unit identified in this document represent averages for all units subject to changed information collection requirements and do not represent the actual burden and cost for any particular unit.  </w:t>
      </w:r>
      <w:r w:rsidR="000C02E9" w:rsidRPr="00D84BB0">
        <w:rPr>
          <w:szCs w:val="24"/>
        </w:rPr>
        <w:t>The following discussion describes how the</w:t>
      </w:r>
      <w:r w:rsidR="00217148" w:rsidRPr="00D84BB0">
        <w:rPr>
          <w:szCs w:val="24"/>
        </w:rPr>
        <w:t xml:space="preserve"> </w:t>
      </w:r>
      <w:r w:rsidR="000C02E9" w:rsidRPr="00D84BB0">
        <w:rPr>
          <w:szCs w:val="24"/>
        </w:rPr>
        <w:t>costs were derived.</w:t>
      </w:r>
    </w:p>
    <w:p w14:paraId="5760A325" w14:textId="584D0B54" w:rsidR="000C02E9" w:rsidRPr="006757FB" w:rsidRDefault="000C02E9" w:rsidP="00E16308">
      <w:pPr>
        <w:keepNext/>
        <w:suppressAutoHyphens/>
        <w:autoSpaceDE w:val="0"/>
        <w:autoSpaceDN w:val="0"/>
        <w:adjustRightInd w:val="0"/>
        <w:spacing w:before="120" w:after="120"/>
        <w:ind w:left="720"/>
        <w:rPr>
          <w:iCs/>
          <w:szCs w:val="24"/>
        </w:rPr>
      </w:pPr>
      <w:r w:rsidRPr="006757FB">
        <w:rPr>
          <w:iCs/>
          <w:szCs w:val="24"/>
        </w:rPr>
        <w:t>(i)</w:t>
      </w:r>
      <w:r w:rsidR="00BE7306" w:rsidRPr="006757FB">
        <w:rPr>
          <w:iCs/>
          <w:szCs w:val="24"/>
        </w:rPr>
        <w:t xml:space="preserve"> </w:t>
      </w:r>
      <w:r w:rsidRPr="006757FB">
        <w:rPr>
          <w:iCs/>
          <w:szCs w:val="24"/>
        </w:rPr>
        <w:t xml:space="preserve"> Estimating Labor Costs</w:t>
      </w:r>
    </w:p>
    <w:p w14:paraId="4B8A22EC" w14:textId="3097653D" w:rsidR="00217148" w:rsidRPr="006757FB" w:rsidRDefault="00664DA3" w:rsidP="006757FB">
      <w:pPr>
        <w:suppressAutoHyphens/>
        <w:autoSpaceDE w:val="0"/>
        <w:autoSpaceDN w:val="0"/>
        <w:adjustRightInd w:val="0"/>
        <w:spacing w:before="120" w:after="120"/>
        <w:ind w:firstLine="720"/>
        <w:rPr>
          <w:szCs w:val="24"/>
        </w:rPr>
      </w:pPr>
      <w:r>
        <w:rPr>
          <w:szCs w:val="24"/>
        </w:rPr>
        <w:t xml:space="preserve">For this ICR, EPA has </w:t>
      </w:r>
      <w:r w:rsidR="000C02E9" w:rsidRPr="006757FB">
        <w:rPr>
          <w:szCs w:val="24"/>
        </w:rPr>
        <w:t>estimat</w:t>
      </w:r>
      <w:r>
        <w:rPr>
          <w:szCs w:val="24"/>
        </w:rPr>
        <w:t>ed</w:t>
      </w:r>
      <w:r w:rsidR="000C02E9" w:rsidRPr="006757FB">
        <w:rPr>
          <w:szCs w:val="24"/>
        </w:rPr>
        <w:t xml:space="preserve"> labor costs</w:t>
      </w:r>
      <w:r w:rsidR="00FF6E16" w:rsidRPr="006757FB">
        <w:rPr>
          <w:szCs w:val="24"/>
        </w:rPr>
        <w:t xml:space="preserve"> for industry</w:t>
      </w:r>
      <w:r>
        <w:rPr>
          <w:szCs w:val="24"/>
        </w:rPr>
        <w:t xml:space="preserve"> </w:t>
      </w:r>
      <w:r w:rsidR="002553FA">
        <w:rPr>
          <w:szCs w:val="24"/>
        </w:rPr>
        <w:t xml:space="preserve">respondents </w:t>
      </w:r>
      <w:r>
        <w:rPr>
          <w:szCs w:val="24"/>
        </w:rPr>
        <w:t xml:space="preserve">based on </w:t>
      </w:r>
      <w:r w:rsidR="000D29F7">
        <w:rPr>
          <w:szCs w:val="24"/>
        </w:rPr>
        <w:t xml:space="preserve">cost </w:t>
      </w:r>
      <w:r>
        <w:rPr>
          <w:szCs w:val="24"/>
        </w:rPr>
        <w:t xml:space="preserve">rates of </w:t>
      </w:r>
      <w:r w:rsidR="000C02E9" w:rsidRPr="006757FB">
        <w:rPr>
          <w:szCs w:val="24"/>
        </w:rPr>
        <w:t>$</w:t>
      </w:r>
      <w:r w:rsidR="00F73F45" w:rsidRPr="006757FB">
        <w:rPr>
          <w:szCs w:val="24"/>
        </w:rPr>
        <w:t>95.10</w:t>
      </w:r>
      <w:r w:rsidR="002553FA">
        <w:rPr>
          <w:szCs w:val="24"/>
        </w:rPr>
        <w:t xml:space="preserve">/hour for managers and $67.38/hour for </w:t>
      </w:r>
      <w:r w:rsidR="000C02E9" w:rsidRPr="006757FB">
        <w:rPr>
          <w:szCs w:val="24"/>
        </w:rPr>
        <w:t>technicians</w:t>
      </w:r>
      <w:r w:rsidR="003972B1" w:rsidRPr="006757FB">
        <w:rPr>
          <w:szCs w:val="24"/>
        </w:rPr>
        <w:t xml:space="preserve">.  </w:t>
      </w:r>
      <w:r w:rsidR="000C02E9" w:rsidRPr="006757FB">
        <w:rPr>
          <w:szCs w:val="24"/>
        </w:rPr>
        <w:t xml:space="preserve">These rates </w:t>
      </w:r>
      <w:r w:rsidR="001574E9" w:rsidRPr="006757FB">
        <w:rPr>
          <w:szCs w:val="24"/>
        </w:rPr>
        <w:t xml:space="preserve">are consistent with the Current Employment Cost Index </w:t>
      </w:r>
      <w:r w:rsidR="002553FA">
        <w:rPr>
          <w:szCs w:val="24"/>
        </w:rPr>
        <w:t xml:space="preserve">for </w:t>
      </w:r>
      <w:r w:rsidR="001574E9" w:rsidRPr="006757FB">
        <w:rPr>
          <w:szCs w:val="24"/>
        </w:rPr>
        <w:t>20</w:t>
      </w:r>
      <w:r w:rsidR="00305861" w:rsidRPr="006757FB">
        <w:rPr>
          <w:szCs w:val="24"/>
        </w:rPr>
        <w:t>1</w:t>
      </w:r>
      <w:r w:rsidR="002553FA">
        <w:rPr>
          <w:szCs w:val="24"/>
        </w:rPr>
        <w:t>3 and were also used in the existing CSAPR ICR.</w:t>
      </w:r>
    </w:p>
    <w:p w14:paraId="0E0805EF" w14:textId="307CDA42" w:rsidR="003F7265" w:rsidRPr="006757FB" w:rsidRDefault="00BE7306" w:rsidP="00664DA3">
      <w:pPr>
        <w:suppressAutoHyphens/>
        <w:autoSpaceDE w:val="0"/>
        <w:autoSpaceDN w:val="0"/>
        <w:adjustRightInd w:val="0"/>
        <w:spacing w:before="120" w:after="120"/>
        <w:rPr>
          <w:b/>
          <w:bCs/>
          <w:szCs w:val="24"/>
        </w:rPr>
      </w:pPr>
      <w:r w:rsidRPr="006757FB">
        <w:rPr>
          <w:szCs w:val="24"/>
        </w:rPr>
        <w:tab/>
      </w:r>
      <w:r w:rsidR="00664DA3" w:rsidRPr="00CD7569">
        <w:rPr>
          <w:szCs w:val="24"/>
        </w:rPr>
        <w:t>This ICR does not require estimates of labor costs for federal, state, or local entities because EPA estimates that the changes in burden under this rule affect only industry respondents.</w:t>
      </w:r>
      <w:r w:rsidR="00664DA3">
        <w:rPr>
          <w:szCs w:val="24"/>
        </w:rPr>
        <w:t xml:space="preserve"> </w:t>
      </w:r>
    </w:p>
    <w:p w14:paraId="64D86795" w14:textId="2713407C" w:rsidR="000C02E9" w:rsidRPr="009E03E5" w:rsidRDefault="000C02E9" w:rsidP="00E16308">
      <w:pPr>
        <w:keepNext/>
        <w:suppressAutoHyphens/>
        <w:autoSpaceDE w:val="0"/>
        <w:autoSpaceDN w:val="0"/>
        <w:adjustRightInd w:val="0"/>
        <w:spacing w:before="120" w:after="120"/>
        <w:ind w:left="720"/>
        <w:rPr>
          <w:iCs/>
          <w:szCs w:val="24"/>
        </w:rPr>
      </w:pPr>
      <w:r w:rsidRPr="009E03E5">
        <w:rPr>
          <w:bCs/>
          <w:szCs w:val="24"/>
        </w:rPr>
        <w:t>(</w:t>
      </w:r>
      <w:r w:rsidRPr="009E03E5">
        <w:rPr>
          <w:iCs/>
          <w:szCs w:val="24"/>
        </w:rPr>
        <w:t xml:space="preserve">ii) </w:t>
      </w:r>
      <w:r w:rsidR="00BE7306" w:rsidRPr="009E03E5">
        <w:rPr>
          <w:iCs/>
          <w:szCs w:val="24"/>
        </w:rPr>
        <w:t xml:space="preserve"> </w:t>
      </w:r>
      <w:r w:rsidRPr="009E03E5">
        <w:rPr>
          <w:iCs/>
          <w:szCs w:val="24"/>
        </w:rPr>
        <w:t>Estimating Capital and Operation and Maintenance Costs</w:t>
      </w:r>
    </w:p>
    <w:p w14:paraId="15616886" w14:textId="40CDE7CC" w:rsidR="000C02E9" w:rsidRPr="006757FB" w:rsidRDefault="003F7C4D" w:rsidP="006757FB">
      <w:pPr>
        <w:suppressAutoHyphens/>
        <w:autoSpaceDE w:val="0"/>
        <w:autoSpaceDN w:val="0"/>
        <w:adjustRightInd w:val="0"/>
        <w:spacing w:before="120" w:after="120"/>
        <w:ind w:firstLine="720"/>
        <w:rPr>
          <w:szCs w:val="24"/>
        </w:rPr>
      </w:pPr>
      <w:r w:rsidRPr="009E03E5">
        <w:rPr>
          <w:szCs w:val="24"/>
        </w:rPr>
        <w:t>In general, c</w:t>
      </w:r>
      <w:r w:rsidR="000C02E9" w:rsidRPr="009E03E5">
        <w:rPr>
          <w:szCs w:val="24"/>
        </w:rPr>
        <w:t xml:space="preserve">apital/start-up costs </w:t>
      </w:r>
      <w:r w:rsidRPr="009E03E5">
        <w:rPr>
          <w:szCs w:val="24"/>
        </w:rPr>
        <w:t xml:space="preserve">for a CSAPR-affected unit </w:t>
      </w:r>
      <w:r w:rsidR="000C02E9" w:rsidRPr="009E03E5">
        <w:rPr>
          <w:szCs w:val="24"/>
        </w:rPr>
        <w:t>include the cost of installing required CEMS or alternatives</w:t>
      </w:r>
      <w:r w:rsidR="003972B1" w:rsidRPr="009E03E5">
        <w:rPr>
          <w:szCs w:val="24"/>
        </w:rPr>
        <w:t xml:space="preserve">.  </w:t>
      </w:r>
      <w:r w:rsidR="000C02E9" w:rsidRPr="009E03E5">
        <w:rPr>
          <w:szCs w:val="24"/>
        </w:rPr>
        <w:t>Operation</w:t>
      </w:r>
      <w:r w:rsidR="00217148" w:rsidRPr="009E03E5">
        <w:rPr>
          <w:szCs w:val="24"/>
        </w:rPr>
        <w:t xml:space="preserve"> </w:t>
      </w:r>
      <w:r w:rsidR="000C02E9" w:rsidRPr="009E03E5">
        <w:rPr>
          <w:szCs w:val="24"/>
        </w:rPr>
        <w:t>and maintenance costs (exclusive of labor costs) reflect ongoing costs to a unit and include both</w:t>
      </w:r>
      <w:r w:rsidR="00217148" w:rsidRPr="009E03E5">
        <w:rPr>
          <w:szCs w:val="24"/>
        </w:rPr>
        <w:t xml:space="preserve"> </w:t>
      </w:r>
      <w:r w:rsidR="000C02E9" w:rsidRPr="009E03E5">
        <w:rPr>
          <w:szCs w:val="24"/>
        </w:rPr>
        <w:t>contractor costs for the required recertification, diagnostic, and quality assurance (QA) testing,</w:t>
      </w:r>
      <w:r w:rsidR="00217148" w:rsidRPr="009E03E5">
        <w:rPr>
          <w:szCs w:val="24"/>
        </w:rPr>
        <w:t xml:space="preserve"> </w:t>
      </w:r>
      <w:r w:rsidR="000C02E9" w:rsidRPr="009E03E5">
        <w:rPr>
          <w:szCs w:val="24"/>
        </w:rPr>
        <w:t>and other direct maintenance-related expenses (e.g., spare parts and calibration gases)</w:t>
      </w:r>
      <w:r w:rsidR="003972B1" w:rsidRPr="009E03E5">
        <w:rPr>
          <w:szCs w:val="24"/>
        </w:rPr>
        <w:t xml:space="preserve">.  </w:t>
      </w:r>
      <w:r w:rsidRPr="009E03E5">
        <w:rPr>
          <w:szCs w:val="24"/>
        </w:rPr>
        <w:t xml:space="preserve">For the existing CSAPR ICR, EPA has derived </w:t>
      </w:r>
      <w:r w:rsidR="000C02E9" w:rsidRPr="009E03E5">
        <w:rPr>
          <w:szCs w:val="24"/>
        </w:rPr>
        <w:t>cost</w:t>
      </w:r>
      <w:r w:rsidR="000C02E9" w:rsidRPr="006757FB">
        <w:rPr>
          <w:szCs w:val="24"/>
        </w:rPr>
        <w:t xml:space="preserve"> estimates </w:t>
      </w:r>
      <w:r>
        <w:rPr>
          <w:szCs w:val="24"/>
        </w:rPr>
        <w:t xml:space="preserve">for these items from </w:t>
      </w:r>
      <w:r w:rsidR="000C02E9" w:rsidRPr="006757FB">
        <w:rPr>
          <w:szCs w:val="24"/>
        </w:rPr>
        <w:t xml:space="preserve">EPA </w:t>
      </w:r>
      <w:r w:rsidR="00217148" w:rsidRPr="006757FB">
        <w:rPr>
          <w:szCs w:val="24"/>
        </w:rPr>
        <w:t>CEM cost models</w:t>
      </w:r>
      <w:r>
        <w:rPr>
          <w:szCs w:val="24"/>
        </w:rPr>
        <w:t xml:space="preserve">; </w:t>
      </w:r>
      <w:r w:rsidR="00217148" w:rsidRPr="006757FB">
        <w:rPr>
          <w:szCs w:val="24"/>
        </w:rPr>
        <w:t>ICRs</w:t>
      </w:r>
      <w:r>
        <w:rPr>
          <w:szCs w:val="24"/>
        </w:rPr>
        <w:t xml:space="preserve"> for the ARP, the </w:t>
      </w:r>
      <w:r w:rsidRPr="003F7C4D">
        <w:rPr>
          <w:szCs w:val="24"/>
        </w:rPr>
        <w:t>NO</w:t>
      </w:r>
      <w:r w:rsidRPr="003F7C4D">
        <w:rPr>
          <w:szCs w:val="24"/>
          <w:vertAlign w:val="subscript"/>
        </w:rPr>
        <w:t>X</w:t>
      </w:r>
      <w:r>
        <w:rPr>
          <w:szCs w:val="24"/>
        </w:rPr>
        <w:t xml:space="preserve"> SIP Call, and CAIR;</w:t>
      </w:r>
      <w:r w:rsidR="00217148" w:rsidRPr="006757FB">
        <w:rPr>
          <w:szCs w:val="24"/>
        </w:rPr>
        <w:t xml:space="preserve"> </w:t>
      </w:r>
      <w:r w:rsidR="000C02E9" w:rsidRPr="006757FB">
        <w:rPr>
          <w:szCs w:val="24"/>
        </w:rPr>
        <w:t>Agency staff</w:t>
      </w:r>
      <w:r w:rsidR="00217148" w:rsidRPr="006757FB">
        <w:rPr>
          <w:szCs w:val="24"/>
        </w:rPr>
        <w:t xml:space="preserve"> </w:t>
      </w:r>
      <w:r w:rsidR="000C02E9" w:rsidRPr="006757FB">
        <w:rPr>
          <w:szCs w:val="24"/>
        </w:rPr>
        <w:t xml:space="preserve">experience under the </w:t>
      </w:r>
      <w:r w:rsidR="002676EE" w:rsidRPr="006757FB">
        <w:rPr>
          <w:szCs w:val="24"/>
        </w:rPr>
        <w:t>ARP</w:t>
      </w:r>
      <w:r w:rsidR="00D512D1" w:rsidRPr="006757FB">
        <w:rPr>
          <w:szCs w:val="24"/>
        </w:rPr>
        <w:t xml:space="preserve">, </w:t>
      </w:r>
      <w:r w:rsidR="00BC3CAA" w:rsidRPr="00BC3CAA">
        <w:rPr>
          <w:szCs w:val="24"/>
        </w:rPr>
        <w:t>NO</w:t>
      </w:r>
      <w:r w:rsidR="00BC3CAA" w:rsidRPr="00BC3CAA">
        <w:rPr>
          <w:szCs w:val="24"/>
          <w:vertAlign w:val="subscript"/>
        </w:rPr>
        <w:t>X</w:t>
      </w:r>
      <w:r w:rsidR="00BC3CAA">
        <w:rPr>
          <w:szCs w:val="24"/>
        </w:rPr>
        <w:t xml:space="preserve"> SIP Call, </w:t>
      </w:r>
      <w:r w:rsidR="00D512D1" w:rsidRPr="006757FB">
        <w:rPr>
          <w:szCs w:val="24"/>
        </w:rPr>
        <w:t>CAIR,</w:t>
      </w:r>
      <w:r w:rsidR="000C02E9" w:rsidRPr="006757FB">
        <w:rPr>
          <w:szCs w:val="24"/>
        </w:rPr>
        <w:t xml:space="preserve"> and </w:t>
      </w:r>
      <w:r w:rsidR="00BC3CAA">
        <w:rPr>
          <w:szCs w:val="24"/>
        </w:rPr>
        <w:t xml:space="preserve">CSAPR </w:t>
      </w:r>
      <w:r w:rsidR="000C02E9" w:rsidRPr="006757FB">
        <w:rPr>
          <w:szCs w:val="24"/>
        </w:rPr>
        <w:t>programs</w:t>
      </w:r>
      <w:r>
        <w:rPr>
          <w:szCs w:val="24"/>
        </w:rPr>
        <w:t>;</w:t>
      </w:r>
      <w:r w:rsidR="000C02E9" w:rsidRPr="006757FB">
        <w:rPr>
          <w:szCs w:val="24"/>
        </w:rPr>
        <w:t xml:space="preserve"> and supplemental estimates provided</w:t>
      </w:r>
      <w:r w:rsidR="00217148" w:rsidRPr="006757FB">
        <w:rPr>
          <w:szCs w:val="24"/>
        </w:rPr>
        <w:t xml:space="preserve"> </w:t>
      </w:r>
      <w:r w:rsidR="000C02E9" w:rsidRPr="006757FB">
        <w:rPr>
          <w:szCs w:val="24"/>
        </w:rPr>
        <w:t>by affected utilities and others related to the various cost items.</w:t>
      </w:r>
      <w:r>
        <w:rPr>
          <w:szCs w:val="24"/>
        </w:rPr>
        <w:t xml:space="preserve">  For purposes of the ICR under this rule, EPA has relied on the cost estimates for the existing CSAPR ICR.</w:t>
      </w:r>
    </w:p>
    <w:p w14:paraId="67FF7B96" w14:textId="2C13E2AC" w:rsidR="009E03E5" w:rsidRPr="006757FB" w:rsidRDefault="003F7C4D" w:rsidP="009E03E5">
      <w:pPr>
        <w:suppressAutoHyphens/>
        <w:autoSpaceDE w:val="0"/>
        <w:autoSpaceDN w:val="0"/>
        <w:adjustRightInd w:val="0"/>
        <w:spacing w:before="120" w:after="120"/>
        <w:ind w:firstLine="720"/>
        <w:rPr>
          <w:szCs w:val="24"/>
        </w:rPr>
      </w:pPr>
      <w:r>
        <w:rPr>
          <w:szCs w:val="24"/>
        </w:rPr>
        <w:t xml:space="preserve">As discussed above, EPA estimates that the only types of costs for which respondents </w:t>
      </w:r>
      <w:r w:rsidR="008D3247">
        <w:rPr>
          <w:szCs w:val="24"/>
        </w:rPr>
        <w:t xml:space="preserve">will </w:t>
      </w:r>
      <w:r>
        <w:rPr>
          <w:szCs w:val="24"/>
        </w:rPr>
        <w:t>experience a change under this rule are annually recurring costs related to QA activities and maintenance and quarterly reporting of emissions</w:t>
      </w:r>
      <w:r w:rsidR="000209B5">
        <w:rPr>
          <w:szCs w:val="24"/>
        </w:rPr>
        <w:t xml:space="preserve"> and other data</w:t>
      </w:r>
      <w:r>
        <w:rPr>
          <w:szCs w:val="24"/>
        </w:rPr>
        <w:t xml:space="preserve">.  QA and maintenance costs vary depending on whether the unit employs CEMS or follows one of the other monitoring methodologies available under 40 CFR part 75.  </w:t>
      </w:r>
      <w:r w:rsidR="009E03E5">
        <w:rPr>
          <w:szCs w:val="24"/>
        </w:rPr>
        <w:t>The costs shown for units employing particular monitoring methodologies in Table 6-1 represent estimated average costs for units using that methodology, and the total costs per respondent represent weighted average costs for all respondents, not the costs for any individual respondent.</w:t>
      </w:r>
    </w:p>
    <w:p w14:paraId="52388462" w14:textId="11EBACFD" w:rsidR="00C97885" w:rsidRPr="006757FB" w:rsidRDefault="00C97885" w:rsidP="006757FB">
      <w:pPr>
        <w:suppressAutoHyphens/>
        <w:autoSpaceDE w:val="0"/>
        <w:autoSpaceDN w:val="0"/>
        <w:adjustRightInd w:val="0"/>
        <w:spacing w:before="120" w:after="120"/>
        <w:ind w:firstLine="720"/>
        <w:rPr>
          <w:szCs w:val="24"/>
        </w:rPr>
      </w:pPr>
      <w:r w:rsidRPr="006757FB">
        <w:rPr>
          <w:szCs w:val="24"/>
        </w:rPr>
        <w:t xml:space="preserve">EPA has concluded that the </w:t>
      </w:r>
      <w:r w:rsidR="000209B5">
        <w:rPr>
          <w:szCs w:val="24"/>
        </w:rPr>
        <w:t>c</w:t>
      </w:r>
      <w:r w:rsidRPr="006757FB">
        <w:rPr>
          <w:szCs w:val="24"/>
        </w:rPr>
        <w:t xml:space="preserve">apital and </w:t>
      </w:r>
      <w:r w:rsidR="000209B5">
        <w:rPr>
          <w:szCs w:val="24"/>
        </w:rPr>
        <w:t>o</w:t>
      </w:r>
      <w:r w:rsidRPr="006757FB">
        <w:rPr>
          <w:szCs w:val="24"/>
        </w:rPr>
        <w:t xml:space="preserve">perations and </w:t>
      </w:r>
      <w:r w:rsidR="000209B5">
        <w:rPr>
          <w:szCs w:val="24"/>
        </w:rPr>
        <w:t>m</w:t>
      </w:r>
      <w:r w:rsidRPr="006757FB">
        <w:rPr>
          <w:szCs w:val="24"/>
        </w:rPr>
        <w:t xml:space="preserve">aintenance </w:t>
      </w:r>
      <w:r w:rsidR="000209B5">
        <w:rPr>
          <w:szCs w:val="24"/>
        </w:rPr>
        <w:t>c</w:t>
      </w:r>
      <w:r w:rsidRPr="006757FB">
        <w:rPr>
          <w:szCs w:val="24"/>
        </w:rPr>
        <w:t xml:space="preserve">osts estimated for the Agency under the ARP ICR are sufficient to accommodate the modest changes in reporting burden </w:t>
      </w:r>
      <w:r w:rsidR="00C262AF">
        <w:rPr>
          <w:szCs w:val="24"/>
        </w:rPr>
        <w:t xml:space="preserve">for the Agency under </w:t>
      </w:r>
      <w:r w:rsidR="00C22164">
        <w:rPr>
          <w:szCs w:val="24"/>
        </w:rPr>
        <w:t>CSAPR</w:t>
      </w:r>
      <w:r w:rsidRPr="006757FB">
        <w:rPr>
          <w:szCs w:val="24"/>
        </w:rPr>
        <w:t xml:space="preserve">.  Therefore, no further estimate of </w:t>
      </w:r>
      <w:r w:rsidR="000209B5">
        <w:rPr>
          <w:szCs w:val="24"/>
        </w:rPr>
        <w:t>c</w:t>
      </w:r>
      <w:r w:rsidRPr="006757FB">
        <w:rPr>
          <w:szCs w:val="24"/>
        </w:rPr>
        <w:t xml:space="preserve">apital and </w:t>
      </w:r>
      <w:r w:rsidR="000209B5">
        <w:rPr>
          <w:szCs w:val="24"/>
        </w:rPr>
        <w:t>o</w:t>
      </w:r>
      <w:r w:rsidRPr="006757FB">
        <w:rPr>
          <w:szCs w:val="24"/>
        </w:rPr>
        <w:t xml:space="preserve">perations and </w:t>
      </w:r>
      <w:r w:rsidR="000209B5">
        <w:rPr>
          <w:szCs w:val="24"/>
        </w:rPr>
        <w:t>m</w:t>
      </w:r>
      <w:r w:rsidRPr="006757FB">
        <w:rPr>
          <w:szCs w:val="24"/>
        </w:rPr>
        <w:t xml:space="preserve">aintenance </w:t>
      </w:r>
      <w:r w:rsidR="000209B5">
        <w:rPr>
          <w:szCs w:val="24"/>
        </w:rPr>
        <w:t>c</w:t>
      </w:r>
      <w:r w:rsidRPr="006757FB">
        <w:rPr>
          <w:szCs w:val="24"/>
        </w:rPr>
        <w:t xml:space="preserve">osts for the Agency </w:t>
      </w:r>
      <w:r w:rsidR="00C262AF">
        <w:rPr>
          <w:szCs w:val="24"/>
        </w:rPr>
        <w:t>is reflected either in the CSAPR ICR or in the ICR for this rule.</w:t>
      </w:r>
      <w:r w:rsidR="00D56573" w:rsidRPr="006757FB">
        <w:rPr>
          <w:szCs w:val="24"/>
        </w:rPr>
        <w:t xml:space="preserve"> </w:t>
      </w:r>
    </w:p>
    <w:p w14:paraId="4CEC595F" w14:textId="45E61728" w:rsidR="000C02E9" w:rsidRPr="006757FB" w:rsidRDefault="000C02E9" w:rsidP="00E16308">
      <w:pPr>
        <w:keepNext/>
        <w:suppressAutoHyphens/>
        <w:autoSpaceDE w:val="0"/>
        <w:autoSpaceDN w:val="0"/>
        <w:adjustRightInd w:val="0"/>
        <w:spacing w:before="120" w:after="120"/>
        <w:ind w:left="720"/>
        <w:rPr>
          <w:iCs/>
          <w:szCs w:val="24"/>
        </w:rPr>
      </w:pPr>
      <w:r w:rsidRPr="006757FB">
        <w:rPr>
          <w:szCs w:val="24"/>
        </w:rPr>
        <w:t>(</w:t>
      </w:r>
      <w:r w:rsidRPr="006757FB">
        <w:rPr>
          <w:iCs/>
          <w:szCs w:val="24"/>
        </w:rPr>
        <w:t xml:space="preserve">iii) </w:t>
      </w:r>
      <w:r w:rsidR="00BE7306" w:rsidRPr="006757FB">
        <w:rPr>
          <w:iCs/>
          <w:szCs w:val="24"/>
        </w:rPr>
        <w:t xml:space="preserve"> </w:t>
      </w:r>
      <w:r w:rsidRPr="006757FB">
        <w:rPr>
          <w:iCs/>
          <w:szCs w:val="24"/>
        </w:rPr>
        <w:t>Capital/Start-up vs. Operati</w:t>
      </w:r>
      <w:r w:rsidR="000D29F7">
        <w:rPr>
          <w:iCs/>
          <w:szCs w:val="24"/>
        </w:rPr>
        <w:t>on</w:t>
      </w:r>
      <w:r w:rsidRPr="006757FB">
        <w:rPr>
          <w:iCs/>
          <w:szCs w:val="24"/>
        </w:rPr>
        <w:t xml:space="preserve"> and Maintenance Costs</w:t>
      </w:r>
    </w:p>
    <w:p w14:paraId="43680E46" w14:textId="39C911C7" w:rsidR="00B23B41" w:rsidRPr="006757FB" w:rsidRDefault="009E03E5" w:rsidP="006757FB">
      <w:pPr>
        <w:suppressAutoHyphens/>
        <w:autoSpaceDE w:val="0"/>
        <w:autoSpaceDN w:val="0"/>
        <w:adjustRightInd w:val="0"/>
        <w:spacing w:before="120" w:after="120"/>
        <w:ind w:firstLine="720"/>
        <w:rPr>
          <w:i/>
          <w:iCs/>
          <w:szCs w:val="24"/>
        </w:rPr>
      </w:pPr>
      <w:r>
        <w:rPr>
          <w:szCs w:val="24"/>
        </w:rPr>
        <w:t xml:space="preserve">All cost estimates presented in this ICR are for annually recurring </w:t>
      </w:r>
      <w:r w:rsidR="000C02E9" w:rsidRPr="006757FB">
        <w:rPr>
          <w:szCs w:val="24"/>
        </w:rPr>
        <w:t>operati</w:t>
      </w:r>
      <w:r w:rsidR="000209B5">
        <w:rPr>
          <w:szCs w:val="24"/>
        </w:rPr>
        <w:t>on</w:t>
      </w:r>
      <w:r w:rsidR="000C02E9" w:rsidRPr="006757FB">
        <w:rPr>
          <w:szCs w:val="24"/>
        </w:rPr>
        <w:t xml:space="preserve"> and maintenance costs</w:t>
      </w:r>
      <w:r>
        <w:rPr>
          <w:szCs w:val="24"/>
        </w:rPr>
        <w:t xml:space="preserve">.  EPA assumes that no existing CSAPR-affected </w:t>
      </w:r>
      <w:r w:rsidR="00F174ED">
        <w:rPr>
          <w:szCs w:val="24"/>
        </w:rPr>
        <w:t>unit</w:t>
      </w:r>
      <w:r>
        <w:rPr>
          <w:szCs w:val="24"/>
        </w:rPr>
        <w:t xml:space="preserve">s </w:t>
      </w:r>
      <w:r w:rsidR="008D3247">
        <w:rPr>
          <w:szCs w:val="24"/>
        </w:rPr>
        <w:t xml:space="preserve">will </w:t>
      </w:r>
      <w:r>
        <w:rPr>
          <w:szCs w:val="24"/>
        </w:rPr>
        <w:t xml:space="preserve">incur or </w:t>
      </w:r>
      <w:r w:rsidR="000209B5">
        <w:rPr>
          <w:szCs w:val="24"/>
        </w:rPr>
        <w:t xml:space="preserve">avoid </w:t>
      </w:r>
      <w:r>
        <w:rPr>
          <w:szCs w:val="24"/>
        </w:rPr>
        <w:t xml:space="preserve">capital expenditures or other startup costs as a result of this rule because the relevant capital expenditures and startup costs have already been incurred.  </w:t>
      </w:r>
      <w:r w:rsidR="00F174ED">
        <w:rPr>
          <w:szCs w:val="24"/>
        </w:rPr>
        <w:t>Units</w:t>
      </w:r>
      <w:r>
        <w:rPr>
          <w:szCs w:val="24"/>
        </w:rPr>
        <w:t xml:space="preserve"> whose information collection requirements change as a result of this rule </w:t>
      </w:r>
      <w:r w:rsidR="008D3247">
        <w:rPr>
          <w:szCs w:val="24"/>
        </w:rPr>
        <w:t xml:space="preserve">will </w:t>
      </w:r>
      <w:r>
        <w:rPr>
          <w:szCs w:val="24"/>
        </w:rPr>
        <w:t xml:space="preserve">continue to bear the annualized capital costs for </w:t>
      </w:r>
      <w:r>
        <w:rPr>
          <w:szCs w:val="24"/>
        </w:rPr>
        <w:lastRenderedPageBreak/>
        <w:t xml:space="preserve">expenditures they have already made, as estimated under the existing CSAPR ICR.  EPA also assumes </w:t>
      </w:r>
      <w:r w:rsidR="000209B5">
        <w:rPr>
          <w:szCs w:val="24"/>
        </w:rPr>
        <w:t xml:space="preserve">for purposes of this ICR </w:t>
      </w:r>
      <w:r>
        <w:rPr>
          <w:szCs w:val="24"/>
        </w:rPr>
        <w:t xml:space="preserve">that any new CSAPR-affected </w:t>
      </w:r>
      <w:r w:rsidR="00F174ED">
        <w:rPr>
          <w:szCs w:val="24"/>
        </w:rPr>
        <w:t>unit</w:t>
      </w:r>
      <w:r>
        <w:rPr>
          <w:szCs w:val="24"/>
        </w:rPr>
        <w:t>s would be also be subject to the ARP, and that capital costs and startup costs for these units are covered under the existing ARP ICR.</w:t>
      </w:r>
    </w:p>
    <w:p w14:paraId="190672F1" w14:textId="70357D34" w:rsidR="000C02E9" w:rsidRPr="006757FB" w:rsidRDefault="000C02E9" w:rsidP="00E16308">
      <w:pPr>
        <w:keepNext/>
        <w:tabs>
          <w:tab w:val="left" w:pos="720"/>
        </w:tabs>
        <w:suppressAutoHyphens/>
        <w:autoSpaceDE w:val="0"/>
        <w:autoSpaceDN w:val="0"/>
        <w:adjustRightInd w:val="0"/>
        <w:spacing w:before="120" w:after="120"/>
        <w:ind w:left="720"/>
        <w:rPr>
          <w:iCs/>
          <w:szCs w:val="24"/>
        </w:rPr>
      </w:pPr>
      <w:r w:rsidRPr="006757FB">
        <w:rPr>
          <w:iCs/>
          <w:szCs w:val="24"/>
        </w:rPr>
        <w:t xml:space="preserve">(iv) </w:t>
      </w:r>
      <w:r w:rsidR="00BE7306" w:rsidRPr="006757FB">
        <w:rPr>
          <w:iCs/>
          <w:szCs w:val="24"/>
        </w:rPr>
        <w:t xml:space="preserve"> </w:t>
      </w:r>
      <w:r w:rsidRPr="006757FB">
        <w:rPr>
          <w:iCs/>
          <w:szCs w:val="24"/>
        </w:rPr>
        <w:t>Annualizing Capital Costs</w:t>
      </w:r>
    </w:p>
    <w:p w14:paraId="329E9AFB" w14:textId="77DF7C12" w:rsidR="000C02E9" w:rsidRPr="006757FB" w:rsidRDefault="009E03E5" w:rsidP="006757FB">
      <w:pPr>
        <w:suppressAutoHyphens/>
        <w:autoSpaceDE w:val="0"/>
        <w:autoSpaceDN w:val="0"/>
        <w:adjustRightInd w:val="0"/>
        <w:spacing w:before="120" w:after="120"/>
        <w:ind w:firstLine="720"/>
        <w:rPr>
          <w:szCs w:val="24"/>
        </w:rPr>
      </w:pPr>
      <w:r>
        <w:rPr>
          <w:szCs w:val="24"/>
        </w:rPr>
        <w:t>As discussed above, the information collection costs covered under this ICR do not include any annualized capital costs.</w:t>
      </w:r>
    </w:p>
    <w:p w14:paraId="09AC62F5" w14:textId="77777777" w:rsidR="00D6009C" w:rsidRPr="006757FB" w:rsidRDefault="00D6009C" w:rsidP="006757FB">
      <w:pPr>
        <w:suppressAutoHyphens/>
        <w:autoSpaceDE w:val="0"/>
        <w:autoSpaceDN w:val="0"/>
        <w:adjustRightInd w:val="0"/>
        <w:spacing w:before="120" w:after="120"/>
        <w:rPr>
          <w:b/>
          <w:bCs/>
          <w:szCs w:val="24"/>
        </w:rPr>
      </w:pPr>
    </w:p>
    <w:p w14:paraId="355D0754" w14:textId="77777777" w:rsidR="000C02E9" w:rsidRPr="006757FB" w:rsidRDefault="00CB69B5" w:rsidP="006757FB">
      <w:pPr>
        <w:keepNext/>
        <w:suppressAutoHyphens/>
        <w:autoSpaceDE w:val="0"/>
        <w:autoSpaceDN w:val="0"/>
        <w:adjustRightInd w:val="0"/>
        <w:spacing w:before="120" w:after="120"/>
        <w:ind w:left="360"/>
        <w:rPr>
          <w:b/>
          <w:bCs/>
          <w:szCs w:val="24"/>
        </w:rPr>
      </w:pPr>
      <w:r w:rsidRPr="006757FB">
        <w:rPr>
          <w:b/>
          <w:bCs/>
          <w:szCs w:val="24"/>
        </w:rPr>
        <w:t>6.3</w:t>
      </w:r>
      <w:r w:rsidR="009D5CF3" w:rsidRPr="006757FB">
        <w:rPr>
          <w:b/>
          <w:bCs/>
          <w:szCs w:val="24"/>
        </w:rPr>
        <w:t xml:space="preserve">  </w:t>
      </w:r>
      <w:r w:rsidR="000C02E9" w:rsidRPr="006757FB">
        <w:rPr>
          <w:b/>
          <w:bCs/>
          <w:szCs w:val="24"/>
        </w:rPr>
        <w:t>Estimating the Respondent Universe and Total Burden and Costs</w:t>
      </w:r>
    </w:p>
    <w:p w14:paraId="16D4A4D8" w14:textId="1D5982E1" w:rsidR="00DE0EB4" w:rsidRDefault="00DE0EB4" w:rsidP="006757FB">
      <w:pPr>
        <w:suppressAutoHyphens/>
        <w:autoSpaceDE w:val="0"/>
        <w:autoSpaceDN w:val="0"/>
        <w:adjustRightInd w:val="0"/>
        <w:spacing w:before="120" w:after="120"/>
        <w:ind w:firstLine="720"/>
        <w:rPr>
          <w:szCs w:val="24"/>
        </w:rPr>
      </w:pPr>
      <w:r>
        <w:rPr>
          <w:szCs w:val="24"/>
        </w:rPr>
        <w:t xml:space="preserve">In the existing CSAPR </w:t>
      </w:r>
      <w:r w:rsidR="00EA63B8">
        <w:rPr>
          <w:szCs w:val="24"/>
        </w:rPr>
        <w:t>ICR</w:t>
      </w:r>
      <w:r>
        <w:rPr>
          <w:szCs w:val="24"/>
        </w:rPr>
        <w:t>, t</w:t>
      </w:r>
      <w:r w:rsidR="004B180C">
        <w:rPr>
          <w:szCs w:val="24"/>
        </w:rPr>
        <w:t>he total number of industry respondents is estimated to be 1</w:t>
      </w:r>
      <w:r w:rsidR="00EF5676">
        <w:rPr>
          <w:szCs w:val="24"/>
        </w:rPr>
        <w:t>,</w:t>
      </w:r>
      <w:r w:rsidR="004B180C">
        <w:rPr>
          <w:szCs w:val="24"/>
        </w:rPr>
        <w:t xml:space="preserve">201 </w:t>
      </w:r>
      <w:r>
        <w:rPr>
          <w:szCs w:val="24"/>
        </w:rPr>
        <w:t>sources</w:t>
      </w:r>
      <w:r w:rsidR="004B180C">
        <w:rPr>
          <w:szCs w:val="24"/>
        </w:rPr>
        <w:t xml:space="preserve">.  </w:t>
      </w:r>
      <w:r w:rsidR="00884763">
        <w:rPr>
          <w:szCs w:val="24"/>
        </w:rPr>
        <w:t>For purposes of this rule, the total number of industry respondents i</w:t>
      </w:r>
      <w:r w:rsidR="00EF5676">
        <w:rPr>
          <w:szCs w:val="24"/>
        </w:rPr>
        <w:t>s</w:t>
      </w:r>
      <w:r w:rsidR="00884763">
        <w:rPr>
          <w:szCs w:val="24"/>
        </w:rPr>
        <w:t xml:space="preserve"> the </w:t>
      </w:r>
      <w:r w:rsidR="00EF5676">
        <w:rPr>
          <w:szCs w:val="24"/>
        </w:rPr>
        <w:t xml:space="preserve">subset of </w:t>
      </w:r>
      <w:r w:rsidR="000D29F7">
        <w:rPr>
          <w:szCs w:val="24"/>
        </w:rPr>
        <w:t xml:space="preserve">those </w:t>
      </w:r>
      <w:r w:rsidR="00944A44">
        <w:rPr>
          <w:szCs w:val="24"/>
        </w:rPr>
        <w:t>sources</w:t>
      </w:r>
      <w:r w:rsidR="00884763">
        <w:rPr>
          <w:szCs w:val="24"/>
        </w:rPr>
        <w:t xml:space="preserve"> that </w:t>
      </w:r>
      <w:r w:rsidR="000E7761">
        <w:rPr>
          <w:szCs w:val="24"/>
        </w:rPr>
        <w:t xml:space="preserve">will </w:t>
      </w:r>
      <w:r w:rsidR="00884763">
        <w:rPr>
          <w:szCs w:val="24"/>
        </w:rPr>
        <w:t xml:space="preserve">either gain or lose information collection requirements under the CSAPR </w:t>
      </w:r>
      <w:r w:rsidR="00884763" w:rsidRPr="00884763">
        <w:rPr>
          <w:szCs w:val="24"/>
        </w:rPr>
        <w:t>NO</w:t>
      </w:r>
      <w:r w:rsidR="00884763" w:rsidRPr="00884763">
        <w:rPr>
          <w:szCs w:val="24"/>
          <w:vertAlign w:val="subscript"/>
        </w:rPr>
        <w:t>X</w:t>
      </w:r>
      <w:r w:rsidR="00884763">
        <w:rPr>
          <w:szCs w:val="24"/>
        </w:rPr>
        <w:t xml:space="preserve"> Ozone Season Trading Program</w:t>
      </w:r>
      <w:r>
        <w:rPr>
          <w:szCs w:val="24"/>
        </w:rPr>
        <w:t>.  EPA estimates that th</w:t>
      </w:r>
      <w:r w:rsidR="000D29F7">
        <w:rPr>
          <w:szCs w:val="24"/>
        </w:rPr>
        <w:t xml:space="preserve">e set of industry </w:t>
      </w:r>
      <w:r>
        <w:rPr>
          <w:szCs w:val="24"/>
        </w:rPr>
        <w:t xml:space="preserve">respondents </w:t>
      </w:r>
      <w:r w:rsidR="000D29F7">
        <w:rPr>
          <w:szCs w:val="24"/>
        </w:rPr>
        <w:t xml:space="preserve">for this rule </w:t>
      </w:r>
      <w:r>
        <w:rPr>
          <w:szCs w:val="24"/>
        </w:rPr>
        <w:t>comprises</w:t>
      </w:r>
      <w:r w:rsidR="00944A44">
        <w:rPr>
          <w:szCs w:val="24"/>
        </w:rPr>
        <w:t xml:space="preserve"> </w:t>
      </w:r>
      <w:r w:rsidR="00464BC8">
        <w:rPr>
          <w:szCs w:val="24"/>
        </w:rPr>
        <w:t>13</w:t>
      </w:r>
      <w:r w:rsidR="00AF23BA">
        <w:rPr>
          <w:szCs w:val="24"/>
        </w:rPr>
        <w:t>8</w:t>
      </w:r>
      <w:r w:rsidR="00EF5676">
        <w:rPr>
          <w:szCs w:val="24"/>
        </w:rPr>
        <w:t xml:space="preserve"> </w:t>
      </w:r>
      <w:r w:rsidR="00944A44">
        <w:rPr>
          <w:szCs w:val="24"/>
        </w:rPr>
        <w:t xml:space="preserve">sources </w:t>
      </w:r>
      <w:r w:rsidR="00EF5676">
        <w:rPr>
          <w:szCs w:val="24"/>
        </w:rPr>
        <w:t xml:space="preserve">in Florida, </w:t>
      </w:r>
      <w:r w:rsidR="00884763">
        <w:rPr>
          <w:szCs w:val="24"/>
        </w:rPr>
        <w:t xml:space="preserve">Kansas, </w:t>
      </w:r>
      <w:r w:rsidR="000E7761">
        <w:rPr>
          <w:szCs w:val="24"/>
        </w:rPr>
        <w:t xml:space="preserve">North Carolina, </w:t>
      </w:r>
      <w:r w:rsidR="00EF5676">
        <w:rPr>
          <w:szCs w:val="24"/>
        </w:rPr>
        <w:t xml:space="preserve">and </w:t>
      </w:r>
      <w:r w:rsidR="00884763">
        <w:rPr>
          <w:szCs w:val="24"/>
        </w:rPr>
        <w:t>South Carolina</w:t>
      </w:r>
      <w:r w:rsidR="00944A44">
        <w:rPr>
          <w:szCs w:val="24"/>
        </w:rPr>
        <w:t xml:space="preserve"> with </w:t>
      </w:r>
      <w:r w:rsidR="00F174ED">
        <w:rPr>
          <w:szCs w:val="24"/>
        </w:rPr>
        <w:t>unit</w:t>
      </w:r>
      <w:r w:rsidR="000D29F7">
        <w:rPr>
          <w:szCs w:val="24"/>
        </w:rPr>
        <w:t xml:space="preserve">s that currently are affected under </w:t>
      </w:r>
      <w:r w:rsidR="00944A44">
        <w:rPr>
          <w:szCs w:val="24"/>
        </w:rPr>
        <w:t>CSAPR</w:t>
      </w:r>
      <w:r w:rsidR="00884763">
        <w:rPr>
          <w:szCs w:val="24"/>
        </w:rPr>
        <w:t xml:space="preserve">.  </w:t>
      </w:r>
      <w:r w:rsidR="00944A44">
        <w:rPr>
          <w:szCs w:val="24"/>
        </w:rPr>
        <w:t xml:space="preserve">EPA estimates that </w:t>
      </w:r>
      <w:r w:rsidR="00464BC8">
        <w:rPr>
          <w:szCs w:val="24"/>
        </w:rPr>
        <w:t>58</w:t>
      </w:r>
      <w:r w:rsidR="00821378">
        <w:rPr>
          <w:szCs w:val="24"/>
        </w:rPr>
        <w:t>3</w:t>
      </w:r>
      <w:r w:rsidR="00944A44">
        <w:rPr>
          <w:szCs w:val="24"/>
        </w:rPr>
        <w:t xml:space="preserve"> </w:t>
      </w:r>
      <w:r w:rsidR="000D29F7">
        <w:rPr>
          <w:szCs w:val="24"/>
        </w:rPr>
        <w:t>units</w:t>
      </w:r>
      <w:r>
        <w:rPr>
          <w:szCs w:val="24"/>
        </w:rPr>
        <w:t xml:space="preserve"> </w:t>
      </w:r>
      <w:r w:rsidR="00944A44">
        <w:rPr>
          <w:szCs w:val="24"/>
        </w:rPr>
        <w:t>at these sources</w:t>
      </w:r>
      <w:r>
        <w:rPr>
          <w:szCs w:val="24"/>
        </w:rPr>
        <w:t xml:space="preserve"> </w:t>
      </w:r>
      <w:r w:rsidR="002248B9">
        <w:rPr>
          <w:szCs w:val="24"/>
        </w:rPr>
        <w:t xml:space="preserve">will </w:t>
      </w:r>
      <w:r>
        <w:rPr>
          <w:szCs w:val="24"/>
        </w:rPr>
        <w:t>gain or lose information collection requirements under this rule.</w:t>
      </w:r>
      <w:r w:rsidR="00944A44">
        <w:rPr>
          <w:szCs w:val="24"/>
        </w:rPr>
        <w:t xml:space="preserve">  </w:t>
      </w:r>
    </w:p>
    <w:p w14:paraId="081A50F8" w14:textId="15F0F503" w:rsidR="00DE0EB4" w:rsidRDefault="00884763" w:rsidP="006757FB">
      <w:pPr>
        <w:suppressAutoHyphens/>
        <w:autoSpaceDE w:val="0"/>
        <w:autoSpaceDN w:val="0"/>
        <w:adjustRightInd w:val="0"/>
        <w:spacing w:before="120" w:after="120"/>
        <w:ind w:firstLine="720"/>
        <w:rPr>
          <w:szCs w:val="24"/>
        </w:rPr>
      </w:pPr>
      <w:r>
        <w:rPr>
          <w:szCs w:val="24"/>
        </w:rPr>
        <w:t xml:space="preserve">As discussed above, EPA estimates that all </w:t>
      </w:r>
      <w:r w:rsidR="00944A44">
        <w:rPr>
          <w:szCs w:val="24"/>
        </w:rPr>
        <w:t>CSAPR-</w:t>
      </w:r>
      <w:r>
        <w:rPr>
          <w:szCs w:val="24"/>
        </w:rPr>
        <w:t xml:space="preserve">affected </w:t>
      </w:r>
      <w:r w:rsidR="000D29F7">
        <w:rPr>
          <w:szCs w:val="24"/>
        </w:rPr>
        <w:t>units</w:t>
      </w:r>
      <w:r>
        <w:rPr>
          <w:szCs w:val="24"/>
        </w:rPr>
        <w:t xml:space="preserve"> in Kansas</w:t>
      </w:r>
      <w:r w:rsidR="000E7761">
        <w:rPr>
          <w:szCs w:val="24"/>
        </w:rPr>
        <w:t>, North Carolina,</w:t>
      </w:r>
      <w:r>
        <w:rPr>
          <w:szCs w:val="24"/>
        </w:rPr>
        <w:t xml:space="preserve"> and South Carolina and </w:t>
      </w:r>
      <w:r w:rsidR="00DE0EB4">
        <w:rPr>
          <w:szCs w:val="24"/>
        </w:rPr>
        <w:t xml:space="preserve">CSAPR-affected </w:t>
      </w:r>
      <w:r w:rsidR="000D29F7">
        <w:rPr>
          <w:szCs w:val="24"/>
        </w:rPr>
        <w:t>units</w:t>
      </w:r>
      <w:r w:rsidR="00DE0EB4">
        <w:rPr>
          <w:szCs w:val="24"/>
        </w:rPr>
        <w:t xml:space="preserve"> in Florida that are also affected under the </w:t>
      </w:r>
      <w:r>
        <w:rPr>
          <w:szCs w:val="24"/>
        </w:rPr>
        <w:t xml:space="preserve">ARP </w:t>
      </w:r>
      <w:r w:rsidR="008D3247">
        <w:rPr>
          <w:szCs w:val="24"/>
        </w:rPr>
        <w:t xml:space="preserve">will </w:t>
      </w:r>
      <w:r>
        <w:rPr>
          <w:szCs w:val="24"/>
        </w:rPr>
        <w:t>experience no change in information collection burden or costs as a result of this rule</w:t>
      </w:r>
      <w:r w:rsidR="00DE0EB4">
        <w:rPr>
          <w:szCs w:val="24"/>
        </w:rPr>
        <w:t xml:space="preserve"> despite the change in information collection requirements</w:t>
      </w:r>
      <w:r>
        <w:rPr>
          <w:szCs w:val="24"/>
        </w:rPr>
        <w:t>.  E</w:t>
      </w:r>
      <w:r w:rsidR="00AB0C15">
        <w:rPr>
          <w:szCs w:val="24"/>
        </w:rPr>
        <w:t>P</w:t>
      </w:r>
      <w:r>
        <w:rPr>
          <w:szCs w:val="24"/>
        </w:rPr>
        <w:t xml:space="preserve">A estimates that </w:t>
      </w:r>
      <w:r w:rsidR="00944A44">
        <w:rPr>
          <w:szCs w:val="24"/>
        </w:rPr>
        <w:t xml:space="preserve">the </w:t>
      </w:r>
      <w:r w:rsidR="00DE0EB4">
        <w:rPr>
          <w:szCs w:val="24"/>
        </w:rPr>
        <w:t xml:space="preserve">CSAPR-affected </w:t>
      </w:r>
      <w:r w:rsidR="000D29F7">
        <w:rPr>
          <w:szCs w:val="24"/>
        </w:rPr>
        <w:t>units</w:t>
      </w:r>
      <w:r w:rsidR="00DE0EB4">
        <w:rPr>
          <w:szCs w:val="24"/>
        </w:rPr>
        <w:t xml:space="preserve"> in Florida that are not affected under the ARP </w:t>
      </w:r>
      <w:r w:rsidR="002248B9">
        <w:rPr>
          <w:szCs w:val="24"/>
        </w:rPr>
        <w:t xml:space="preserve">will </w:t>
      </w:r>
      <w:r>
        <w:rPr>
          <w:szCs w:val="24"/>
        </w:rPr>
        <w:t xml:space="preserve">experience a reduction in information collection burden and costs as a result of this rule, with the magnitude of the reduction varying based on the monitoring methodology employed at </w:t>
      </w:r>
      <w:r w:rsidR="00AB0C15">
        <w:rPr>
          <w:szCs w:val="24"/>
        </w:rPr>
        <w:t>each</w:t>
      </w:r>
      <w:r>
        <w:rPr>
          <w:szCs w:val="24"/>
        </w:rPr>
        <w:t xml:space="preserve"> </w:t>
      </w:r>
      <w:r w:rsidR="00AB0C15">
        <w:rPr>
          <w:szCs w:val="24"/>
        </w:rPr>
        <w:t xml:space="preserve">individual </w:t>
      </w:r>
      <w:r w:rsidR="000D29F7">
        <w:rPr>
          <w:szCs w:val="24"/>
        </w:rPr>
        <w:t>unit</w:t>
      </w:r>
      <w:r>
        <w:rPr>
          <w:szCs w:val="24"/>
        </w:rPr>
        <w:t>.</w:t>
      </w:r>
      <w:r w:rsidR="00DE0EB4">
        <w:rPr>
          <w:szCs w:val="24"/>
        </w:rPr>
        <w:t xml:space="preserve">  EPA estimates that there are </w:t>
      </w:r>
      <w:r w:rsidR="009D42E0">
        <w:rPr>
          <w:szCs w:val="24"/>
        </w:rPr>
        <w:t>10</w:t>
      </w:r>
      <w:r w:rsidR="00821378">
        <w:rPr>
          <w:szCs w:val="24"/>
        </w:rPr>
        <w:t>8</w:t>
      </w:r>
      <w:r w:rsidR="00DE0EB4">
        <w:rPr>
          <w:szCs w:val="24"/>
        </w:rPr>
        <w:t xml:space="preserve"> </w:t>
      </w:r>
      <w:r w:rsidR="000D29F7">
        <w:rPr>
          <w:szCs w:val="24"/>
        </w:rPr>
        <w:t>units</w:t>
      </w:r>
      <w:r w:rsidR="00DE0EB4">
        <w:rPr>
          <w:szCs w:val="24"/>
        </w:rPr>
        <w:t xml:space="preserve"> in Florida that currently are affected under CSAPR but </w:t>
      </w:r>
      <w:r w:rsidR="00E16308">
        <w:rPr>
          <w:szCs w:val="24"/>
        </w:rPr>
        <w:t xml:space="preserve">are </w:t>
      </w:r>
      <w:r w:rsidR="00DE0EB4">
        <w:rPr>
          <w:szCs w:val="24"/>
        </w:rPr>
        <w:t>not affected under the ARP.</w:t>
      </w:r>
    </w:p>
    <w:p w14:paraId="7C723430" w14:textId="4E1186AA" w:rsidR="000C02E9" w:rsidRPr="006757FB" w:rsidRDefault="00BB1D60" w:rsidP="006757FB">
      <w:pPr>
        <w:suppressAutoHyphens/>
        <w:autoSpaceDE w:val="0"/>
        <w:autoSpaceDN w:val="0"/>
        <w:adjustRightInd w:val="0"/>
        <w:spacing w:before="120" w:after="120"/>
        <w:ind w:firstLine="720"/>
        <w:rPr>
          <w:szCs w:val="24"/>
        </w:rPr>
      </w:pPr>
      <w:r w:rsidRPr="00E16308">
        <w:rPr>
          <w:szCs w:val="24"/>
        </w:rPr>
        <w:t>Table</w:t>
      </w:r>
      <w:r w:rsidRPr="006757FB">
        <w:rPr>
          <w:szCs w:val="24"/>
        </w:rPr>
        <w:t xml:space="preserve"> </w:t>
      </w:r>
      <w:r w:rsidR="009269F3" w:rsidRPr="006757FB">
        <w:rPr>
          <w:szCs w:val="24"/>
        </w:rPr>
        <w:t>6-</w:t>
      </w:r>
      <w:r w:rsidR="00EF5676">
        <w:rPr>
          <w:szCs w:val="24"/>
        </w:rPr>
        <w:t>1</w:t>
      </w:r>
      <w:r w:rsidR="000C02E9" w:rsidRPr="006757FB">
        <w:rPr>
          <w:szCs w:val="24"/>
        </w:rPr>
        <w:t xml:space="preserve"> </w:t>
      </w:r>
      <w:r w:rsidR="00693A86">
        <w:rPr>
          <w:szCs w:val="24"/>
        </w:rPr>
        <w:t xml:space="preserve">contains </w:t>
      </w:r>
      <w:r w:rsidR="000C02E9" w:rsidRPr="006757FB">
        <w:rPr>
          <w:szCs w:val="24"/>
        </w:rPr>
        <w:t xml:space="preserve">estimates of </w:t>
      </w:r>
      <w:r w:rsidR="00EF5676">
        <w:rPr>
          <w:szCs w:val="24"/>
        </w:rPr>
        <w:t xml:space="preserve">the </w:t>
      </w:r>
      <w:r w:rsidR="00C4738E">
        <w:rPr>
          <w:szCs w:val="24"/>
        </w:rPr>
        <w:t xml:space="preserve">reductions in </w:t>
      </w:r>
      <w:r w:rsidR="00876923" w:rsidRPr="006757FB">
        <w:rPr>
          <w:szCs w:val="24"/>
        </w:rPr>
        <w:t xml:space="preserve">annual </w:t>
      </w:r>
      <w:r w:rsidR="00EF5676">
        <w:rPr>
          <w:szCs w:val="24"/>
        </w:rPr>
        <w:t xml:space="preserve">information collection </w:t>
      </w:r>
      <w:r w:rsidR="000C02E9" w:rsidRPr="006757FB">
        <w:rPr>
          <w:szCs w:val="24"/>
        </w:rPr>
        <w:t>burden</w:t>
      </w:r>
      <w:r w:rsidR="00EF5676">
        <w:rPr>
          <w:szCs w:val="24"/>
        </w:rPr>
        <w:t xml:space="preserve"> and costs to </w:t>
      </w:r>
      <w:r w:rsidR="00DE0EB4">
        <w:rPr>
          <w:szCs w:val="24"/>
        </w:rPr>
        <w:t xml:space="preserve">the </w:t>
      </w:r>
      <w:r w:rsidR="009D42E0">
        <w:rPr>
          <w:szCs w:val="24"/>
        </w:rPr>
        <w:t>10</w:t>
      </w:r>
      <w:r w:rsidR="00821378">
        <w:rPr>
          <w:szCs w:val="24"/>
        </w:rPr>
        <w:t>8</w:t>
      </w:r>
      <w:r w:rsidR="00DE0EB4">
        <w:rPr>
          <w:szCs w:val="24"/>
        </w:rPr>
        <w:t xml:space="preserve"> Florida </w:t>
      </w:r>
      <w:r w:rsidR="000D29F7">
        <w:rPr>
          <w:szCs w:val="24"/>
        </w:rPr>
        <w:t>units</w:t>
      </w:r>
      <w:r w:rsidR="00DE0EB4">
        <w:rPr>
          <w:szCs w:val="24"/>
        </w:rPr>
        <w:t xml:space="preserve"> that would experience a change in information collection burden and costs under this rule, </w:t>
      </w:r>
      <w:r w:rsidR="00EF5676">
        <w:rPr>
          <w:szCs w:val="24"/>
        </w:rPr>
        <w:t>expressed as incremental to the information collection burden and costs under the existing CSAPR ICR.  As discussed above, w</w:t>
      </w:r>
      <w:r w:rsidR="00884763">
        <w:rPr>
          <w:szCs w:val="24"/>
        </w:rPr>
        <w:t xml:space="preserve">hile the </w:t>
      </w:r>
      <w:r w:rsidR="00693A86">
        <w:rPr>
          <w:szCs w:val="24"/>
        </w:rPr>
        <w:t xml:space="preserve">overall </w:t>
      </w:r>
      <w:r w:rsidR="00884763">
        <w:rPr>
          <w:szCs w:val="24"/>
        </w:rPr>
        <w:t>set of activities producing an information collection burden and costs for a</w:t>
      </w:r>
      <w:r w:rsidR="000D29F7">
        <w:rPr>
          <w:szCs w:val="24"/>
        </w:rPr>
        <w:t xml:space="preserve"> unit</w:t>
      </w:r>
      <w:r w:rsidR="00884763">
        <w:rPr>
          <w:szCs w:val="24"/>
        </w:rPr>
        <w:t xml:space="preserve"> subject to CSAPR include</w:t>
      </w:r>
      <w:r w:rsidR="00693A86">
        <w:rPr>
          <w:szCs w:val="24"/>
        </w:rPr>
        <w:t>s</w:t>
      </w:r>
      <w:r w:rsidR="00884763">
        <w:rPr>
          <w:szCs w:val="24"/>
        </w:rPr>
        <w:t xml:space="preserve"> permitting and other certification, emissions monitoring and</w:t>
      </w:r>
      <w:r w:rsidR="000C02E9" w:rsidRPr="006757FB">
        <w:rPr>
          <w:szCs w:val="24"/>
        </w:rPr>
        <w:t xml:space="preserve"> reporting</w:t>
      </w:r>
      <w:r w:rsidR="00171B44" w:rsidRPr="006757FB">
        <w:rPr>
          <w:szCs w:val="24"/>
        </w:rPr>
        <w:t>,</w:t>
      </w:r>
      <w:r w:rsidR="000C02E9" w:rsidRPr="006757FB">
        <w:rPr>
          <w:szCs w:val="24"/>
        </w:rPr>
        <w:t xml:space="preserve"> and </w:t>
      </w:r>
      <w:r w:rsidR="00AB0C15">
        <w:rPr>
          <w:szCs w:val="24"/>
        </w:rPr>
        <w:t xml:space="preserve">allowance transfer </w:t>
      </w:r>
      <w:r w:rsidR="000C02E9" w:rsidRPr="006757FB">
        <w:rPr>
          <w:szCs w:val="24"/>
        </w:rPr>
        <w:t>activities</w:t>
      </w:r>
      <w:r w:rsidR="00AB0C15">
        <w:rPr>
          <w:szCs w:val="24"/>
        </w:rPr>
        <w:t xml:space="preserve">, </w:t>
      </w:r>
      <w:r w:rsidR="00884763">
        <w:rPr>
          <w:szCs w:val="24"/>
        </w:rPr>
        <w:t xml:space="preserve">EPA estimates that the only </w:t>
      </w:r>
      <w:r w:rsidR="00AB0C15">
        <w:rPr>
          <w:szCs w:val="24"/>
        </w:rPr>
        <w:t xml:space="preserve">activities </w:t>
      </w:r>
      <w:r w:rsidR="00C4738E">
        <w:rPr>
          <w:szCs w:val="24"/>
        </w:rPr>
        <w:t xml:space="preserve">for which </w:t>
      </w:r>
      <w:r w:rsidR="00884763">
        <w:rPr>
          <w:szCs w:val="24"/>
        </w:rPr>
        <w:t>burden</w:t>
      </w:r>
      <w:r w:rsidR="00C4738E">
        <w:rPr>
          <w:szCs w:val="24"/>
        </w:rPr>
        <w:t xml:space="preserve"> and cost</w:t>
      </w:r>
      <w:r w:rsidR="00884763">
        <w:rPr>
          <w:szCs w:val="24"/>
        </w:rPr>
        <w:t xml:space="preserve">s </w:t>
      </w:r>
      <w:r w:rsidR="002248B9">
        <w:rPr>
          <w:szCs w:val="24"/>
        </w:rPr>
        <w:t xml:space="preserve">will </w:t>
      </w:r>
      <w:r w:rsidR="00AB0C15">
        <w:rPr>
          <w:szCs w:val="24"/>
        </w:rPr>
        <w:t xml:space="preserve">materially </w:t>
      </w:r>
      <w:r w:rsidR="00884763">
        <w:rPr>
          <w:szCs w:val="24"/>
        </w:rPr>
        <w:t xml:space="preserve">change </w:t>
      </w:r>
      <w:r w:rsidR="00693A86">
        <w:rPr>
          <w:szCs w:val="24"/>
        </w:rPr>
        <w:t xml:space="preserve">under this rule </w:t>
      </w:r>
      <w:r w:rsidR="00884763">
        <w:rPr>
          <w:szCs w:val="24"/>
        </w:rPr>
        <w:t xml:space="preserve">are the </w:t>
      </w:r>
      <w:r w:rsidR="00C4738E">
        <w:rPr>
          <w:szCs w:val="24"/>
        </w:rPr>
        <w:t xml:space="preserve">activities </w:t>
      </w:r>
      <w:r w:rsidR="00884763">
        <w:rPr>
          <w:szCs w:val="24"/>
        </w:rPr>
        <w:t xml:space="preserve">related to </w:t>
      </w:r>
      <w:r w:rsidR="00693A86">
        <w:rPr>
          <w:szCs w:val="24"/>
        </w:rPr>
        <w:t xml:space="preserve">emissions </w:t>
      </w:r>
      <w:r w:rsidR="00884763">
        <w:rPr>
          <w:szCs w:val="24"/>
        </w:rPr>
        <w:t>monitoring and reporting.</w:t>
      </w:r>
      <w:r w:rsidR="003972B1" w:rsidRPr="006757FB">
        <w:rPr>
          <w:szCs w:val="24"/>
        </w:rPr>
        <w:t xml:space="preserve">  </w:t>
      </w:r>
    </w:p>
    <w:p w14:paraId="338820EB" w14:textId="53BFC5DE" w:rsidR="00C262AF" w:rsidRPr="006757FB" w:rsidRDefault="00C262AF" w:rsidP="00C262AF">
      <w:pPr>
        <w:suppressAutoHyphens/>
        <w:autoSpaceDE w:val="0"/>
        <w:autoSpaceDN w:val="0"/>
        <w:adjustRightInd w:val="0"/>
        <w:spacing w:before="120" w:after="120"/>
        <w:ind w:firstLine="720"/>
        <w:rPr>
          <w:szCs w:val="24"/>
        </w:rPr>
      </w:pPr>
      <w:r>
        <w:rPr>
          <w:szCs w:val="24"/>
        </w:rPr>
        <w:t>The existing CSAPR ICR reflects a burden for 104 s</w:t>
      </w:r>
      <w:r w:rsidRPr="006757FB">
        <w:rPr>
          <w:szCs w:val="24"/>
        </w:rPr>
        <w:t xml:space="preserve">tate and local permitting authorities associated with </w:t>
      </w:r>
      <w:r>
        <w:rPr>
          <w:szCs w:val="24"/>
        </w:rPr>
        <w:t xml:space="preserve">reading CSAPR’s information collection requirements, </w:t>
      </w:r>
      <w:r w:rsidRPr="006757FB">
        <w:rPr>
          <w:szCs w:val="24"/>
        </w:rPr>
        <w:t>review</w:t>
      </w:r>
      <w:r>
        <w:rPr>
          <w:szCs w:val="24"/>
        </w:rPr>
        <w:t>ing</w:t>
      </w:r>
      <w:r w:rsidRPr="006757FB">
        <w:rPr>
          <w:szCs w:val="24"/>
        </w:rPr>
        <w:t xml:space="preserve"> </w:t>
      </w:r>
      <w:r>
        <w:rPr>
          <w:szCs w:val="24"/>
        </w:rPr>
        <w:t>CSAPR</w:t>
      </w:r>
      <w:r w:rsidRPr="006757FB">
        <w:rPr>
          <w:szCs w:val="24"/>
        </w:rPr>
        <w:t>-</w:t>
      </w:r>
      <w:r w:rsidRPr="00CD7569">
        <w:rPr>
          <w:szCs w:val="24"/>
        </w:rPr>
        <w:t xml:space="preserve">related permit submissions, and performing optional allocations of allowances.  As discussed above, EPA estimates that this </w:t>
      </w:r>
      <w:r w:rsidR="002248B9" w:rsidRPr="00CD7569">
        <w:rPr>
          <w:szCs w:val="24"/>
        </w:rPr>
        <w:t xml:space="preserve">rule will </w:t>
      </w:r>
      <w:r w:rsidR="00EF5676" w:rsidRPr="00CD7569">
        <w:rPr>
          <w:szCs w:val="24"/>
        </w:rPr>
        <w:t xml:space="preserve">not </w:t>
      </w:r>
      <w:r w:rsidR="00C4738E" w:rsidRPr="00CD7569">
        <w:rPr>
          <w:szCs w:val="24"/>
        </w:rPr>
        <w:t xml:space="preserve">cause </w:t>
      </w:r>
      <w:r w:rsidR="00EF5676" w:rsidRPr="00CD7569">
        <w:rPr>
          <w:szCs w:val="24"/>
        </w:rPr>
        <w:t xml:space="preserve">any material </w:t>
      </w:r>
      <w:r w:rsidR="00C4738E" w:rsidRPr="00CD7569">
        <w:rPr>
          <w:szCs w:val="24"/>
        </w:rPr>
        <w:t xml:space="preserve">change to </w:t>
      </w:r>
      <w:r w:rsidR="00EF5676" w:rsidRPr="00CD7569">
        <w:rPr>
          <w:szCs w:val="24"/>
        </w:rPr>
        <w:t xml:space="preserve">the </w:t>
      </w:r>
      <w:r w:rsidR="00C4738E" w:rsidRPr="00CD7569">
        <w:rPr>
          <w:szCs w:val="24"/>
        </w:rPr>
        <w:t xml:space="preserve">information collection </w:t>
      </w:r>
      <w:r w:rsidR="00EF5676" w:rsidRPr="00CD7569">
        <w:rPr>
          <w:szCs w:val="24"/>
        </w:rPr>
        <w:t xml:space="preserve">burden and costs encompassed in the existing CSAPR ICR for either the Agency or for any </w:t>
      </w:r>
      <w:r w:rsidRPr="00CD7569">
        <w:rPr>
          <w:szCs w:val="24"/>
        </w:rPr>
        <w:t>state and local permitting authorit</w:t>
      </w:r>
      <w:r w:rsidR="00EF5676" w:rsidRPr="00CD7569">
        <w:rPr>
          <w:szCs w:val="24"/>
        </w:rPr>
        <w:t>y</w:t>
      </w:r>
      <w:r w:rsidRPr="00CD7569">
        <w:rPr>
          <w:szCs w:val="24"/>
        </w:rPr>
        <w:t>.</w:t>
      </w:r>
      <w:r>
        <w:rPr>
          <w:szCs w:val="24"/>
        </w:rPr>
        <w:t xml:space="preserve">  </w:t>
      </w:r>
    </w:p>
    <w:p w14:paraId="44490E72" w14:textId="77777777" w:rsidR="00DC2D0B" w:rsidRPr="006757FB" w:rsidRDefault="00DC2D0B" w:rsidP="006757FB">
      <w:pPr>
        <w:suppressAutoHyphens/>
        <w:autoSpaceDE w:val="0"/>
        <w:autoSpaceDN w:val="0"/>
        <w:adjustRightInd w:val="0"/>
        <w:spacing w:before="120" w:after="120"/>
        <w:ind w:left="360"/>
        <w:rPr>
          <w:b/>
          <w:bCs/>
          <w:szCs w:val="24"/>
        </w:rPr>
      </w:pPr>
    </w:p>
    <w:p w14:paraId="41BC12BE" w14:textId="5774A795" w:rsidR="000C02E9" w:rsidRPr="006757FB" w:rsidRDefault="00CB69B5" w:rsidP="00E16308">
      <w:pPr>
        <w:keepNext/>
        <w:suppressAutoHyphens/>
        <w:autoSpaceDE w:val="0"/>
        <w:autoSpaceDN w:val="0"/>
        <w:adjustRightInd w:val="0"/>
        <w:spacing w:before="120" w:after="120"/>
        <w:ind w:left="360"/>
        <w:rPr>
          <w:b/>
          <w:bCs/>
          <w:szCs w:val="24"/>
        </w:rPr>
      </w:pPr>
      <w:r w:rsidRPr="006757FB">
        <w:rPr>
          <w:b/>
          <w:bCs/>
          <w:szCs w:val="24"/>
        </w:rPr>
        <w:lastRenderedPageBreak/>
        <w:t>6.4</w:t>
      </w:r>
      <w:r w:rsidR="009D5CF3" w:rsidRPr="006757FB">
        <w:rPr>
          <w:b/>
          <w:bCs/>
          <w:szCs w:val="24"/>
        </w:rPr>
        <w:t xml:space="preserve">  </w:t>
      </w:r>
      <w:r w:rsidR="000C02E9" w:rsidRPr="006757FB">
        <w:rPr>
          <w:b/>
          <w:bCs/>
          <w:szCs w:val="24"/>
        </w:rPr>
        <w:t>Bottom Line Burden Hours and Cost</w:t>
      </w:r>
    </w:p>
    <w:p w14:paraId="7171D298" w14:textId="2A5EB3F2" w:rsidR="00653EF0" w:rsidRPr="00C42382" w:rsidRDefault="009D5CF3" w:rsidP="00C42382">
      <w:pPr>
        <w:suppressAutoHyphens/>
        <w:autoSpaceDE w:val="0"/>
        <w:autoSpaceDN w:val="0"/>
        <w:adjustRightInd w:val="0"/>
        <w:spacing w:before="120" w:after="120"/>
        <w:rPr>
          <w:bCs/>
          <w:szCs w:val="24"/>
        </w:rPr>
      </w:pPr>
      <w:r w:rsidRPr="00C42382">
        <w:rPr>
          <w:bCs/>
          <w:szCs w:val="24"/>
        </w:rPr>
        <w:tab/>
      </w:r>
      <w:r w:rsidR="00C42382" w:rsidRPr="00C42382">
        <w:rPr>
          <w:bCs/>
          <w:szCs w:val="24"/>
        </w:rPr>
        <w:t xml:space="preserve">EPA estimates that this </w:t>
      </w:r>
      <w:r w:rsidR="002248B9">
        <w:rPr>
          <w:bCs/>
          <w:szCs w:val="24"/>
        </w:rPr>
        <w:t xml:space="preserve">rule will </w:t>
      </w:r>
      <w:r w:rsidR="00402CF1">
        <w:rPr>
          <w:bCs/>
          <w:szCs w:val="24"/>
        </w:rPr>
        <w:t xml:space="preserve">alter information collection requirements for </w:t>
      </w:r>
      <w:r w:rsidR="009D42E0">
        <w:rPr>
          <w:bCs/>
          <w:szCs w:val="24"/>
        </w:rPr>
        <w:t>13</w:t>
      </w:r>
      <w:r w:rsidR="00AF23BA">
        <w:rPr>
          <w:bCs/>
          <w:szCs w:val="24"/>
        </w:rPr>
        <w:t>8</w:t>
      </w:r>
      <w:r w:rsidR="00C42382" w:rsidRPr="00C42382">
        <w:rPr>
          <w:bCs/>
          <w:szCs w:val="24"/>
        </w:rPr>
        <w:t xml:space="preserve"> industry respondents in Florida, Kansas, </w:t>
      </w:r>
      <w:r w:rsidR="002248B9">
        <w:rPr>
          <w:bCs/>
          <w:szCs w:val="24"/>
        </w:rPr>
        <w:t xml:space="preserve">North Carolina, </w:t>
      </w:r>
      <w:r w:rsidR="00C42382" w:rsidRPr="00C42382">
        <w:rPr>
          <w:bCs/>
          <w:szCs w:val="24"/>
        </w:rPr>
        <w:t xml:space="preserve">and South Carolina </w:t>
      </w:r>
      <w:r w:rsidR="00402CF1">
        <w:rPr>
          <w:bCs/>
          <w:szCs w:val="24"/>
        </w:rPr>
        <w:t xml:space="preserve">either by causing the CSAPR </w:t>
      </w:r>
      <w:r w:rsidR="00402CF1" w:rsidRPr="00402CF1">
        <w:rPr>
          <w:bCs/>
          <w:szCs w:val="24"/>
        </w:rPr>
        <w:t>NO</w:t>
      </w:r>
      <w:r w:rsidR="00402CF1" w:rsidRPr="00402CF1">
        <w:rPr>
          <w:bCs/>
          <w:szCs w:val="24"/>
          <w:vertAlign w:val="subscript"/>
        </w:rPr>
        <w:t>X</w:t>
      </w:r>
      <w:r w:rsidR="00402CF1">
        <w:rPr>
          <w:bCs/>
          <w:szCs w:val="24"/>
        </w:rPr>
        <w:t xml:space="preserve"> Ozone Season Trading Program to apply to a</w:t>
      </w:r>
      <w:r w:rsidR="00C4738E">
        <w:rPr>
          <w:bCs/>
          <w:szCs w:val="24"/>
        </w:rPr>
        <w:t xml:space="preserve"> unit</w:t>
      </w:r>
      <w:r w:rsidR="00402CF1">
        <w:rPr>
          <w:bCs/>
          <w:szCs w:val="24"/>
        </w:rPr>
        <w:t xml:space="preserve"> </w:t>
      </w:r>
      <w:r w:rsidR="00C4738E">
        <w:rPr>
          <w:bCs/>
          <w:szCs w:val="24"/>
        </w:rPr>
        <w:t xml:space="preserve">not currently subject to the program </w:t>
      </w:r>
      <w:r w:rsidR="00402CF1">
        <w:rPr>
          <w:bCs/>
          <w:szCs w:val="24"/>
        </w:rPr>
        <w:t xml:space="preserve">or by ending applicability for a </w:t>
      </w:r>
      <w:r w:rsidR="00C4738E">
        <w:rPr>
          <w:bCs/>
          <w:szCs w:val="24"/>
        </w:rPr>
        <w:t xml:space="preserve">unit </w:t>
      </w:r>
      <w:r w:rsidR="00402CF1">
        <w:rPr>
          <w:bCs/>
          <w:szCs w:val="24"/>
        </w:rPr>
        <w:t xml:space="preserve">currently subject to the program.  </w:t>
      </w:r>
      <w:r w:rsidR="00C42382" w:rsidRPr="00C42382">
        <w:rPr>
          <w:bCs/>
          <w:szCs w:val="24"/>
        </w:rPr>
        <w:t xml:space="preserve">EPA estimates that the aggregated change in information collection burden resulting from these changes would be a burden reduction of </w:t>
      </w:r>
      <w:r w:rsidR="001F5EE4">
        <w:rPr>
          <w:bCs/>
          <w:szCs w:val="24"/>
        </w:rPr>
        <w:t>1</w:t>
      </w:r>
      <w:r w:rsidR="00821378">
        <w:rPr>
          <w:bCs/>
          <w:szCs w:val="24"/>
        </w:rPr>
        <w:t>2,879</w:t>
      </w:r>
      <w:r w:rsidR="00F174ED">
        <w:rPr>
          <w:bCs/>
          <w:szCs w:val="24"/>
        </w:rPr>
        <w:t xml:space="preserve"> </w:t>
      </w:r>
      <w:r w:rsidR="00C42382" w:rsidRPr="00C42382">
        <w:rPr>
          <w:bCs/>
          <w:szCs w:val="24"/>
        </w:rPr>
        <w:t xml:space="preserve">hours, or an average burden reduction of </w:t>
      </w:r>
      <w:r w:rsidR="001F5EE4">
        <w:rPr>
          <w:bCs/>
          <w:szCs w:val="24"/>
        </w:rPr>
        <w:t>9</w:t>
      </w:r>
      <w:r w:rsidR="00821378">
        <w:rPr>
          <w:bCs/>
          <w:szCs w:val="24"/>
        </w:rPr>
        <w:t>3</w:t>
      </w:r>
      <w:r w:rsidR="00C42382" w:rsidRPr="00C42382">
        <w:rPr>
          <w:bCs/>
          <w:szCs w:val="24"/>
        </w:rPr>
        <w:t xml:space="preserve"> hours per respondent.  EPA estimates that the aggregated change in information collection costs would be a cost reduction of </w:t>
      </w:r>
      <w:r w:rsidR="001F5EE4">
        <w:rPr>
          <w:bCs/>
          <w:szCs w:val="24"/>
        </w:rPr>
        <w:t>$1,</w:t>
      </w:r>
      <w:r w:rsidR="00821378">
        <w:rPr>
          <w:bCs/>
          <w:szCs w:val="24"/>
        </w:rPr>
        <w:t>347</w:t>
      </w:r>
      <w:r w:rsidR="001F5EE4">
        <w:rPr>
          <w:bCs/>
          <w:szCs w:val="24"/>
        </w:rPr>
        <w:t>,</w:t>
      </w:r>
      <w:r w:rsidR="00821378">
        <w:rPr>
          <w:bCs/>
          <w:szCs w:val="24"/>
        </w:rPr>
        <w:t>291</w:t>
      </w:r>
      <w:r w:rsidR="00F174ED">
        <w:rPr>
          <w:bCs/>
          <w:szCs w:val="24"/>
        </w:rPr>
        <w:t xml:space="preserve">, </w:t>
      </w:r>
      <w:r w:rsidR="00C42382" w:rsidRPr="00C42382">
        <w:rPr>
          <w:bCs/>
          <w:szCs w:val="24"/>
        </w:rPr>
        <w:t xml:space="preserve">or an average cost reduction of </w:t>
      </w:r>
      <w:r w:rsidR="000E3690">
        <w:rPr>
          <w:bCs/>
          <w:szCs w:val="24"/>
        </w:rPr>
        <w:t>$</w:t>
      </w:r>
      <w:r w:rsidR="00821378">
        <w:rPr>
          <w:bCs/>
          <w:szCs w:val="24"/>
        </w:rPr>
        <w:t>9,</w:t>
      </w:r>
      <w:r w:rsidR="00AF23BA">
        <w:rPr>
          <w:bCs/>
          <w:szCs w:val="24"/>
        </w:rPr>
        <w:t>76</w:t>
      </w:r>
      <w:r w:rsidR="00821378">
        <w:rPr>
          <w:bCs/>
          <w:szCs w:val="24"/>
        </w:rPr>
        <w:t>3</w:t>
      </w:r>
      <w:r w:rsidR="00F174ED">
        <w:rPr>
          <w:bCs/>
          <w:szCs w:val="24"/>
        </w:rPr>
        <w:t xml:space="preserve"> </w:t>
      </w:r>
      <w:r w:rsidR="00C42382" w:rsidRPr="00C42382">
        <w:rPr>
          <w:bCs/>
          <w:szCs w:val="24"/>
        </w:rPr>
        <w:t xml:space="preserve">per respondent. </w:t>
      </w:r>
    </w:p>
    <w:p w14:paraId="36A90D87" w14:textId="7B8C022B" w:rsidR="00653EF0" w:rsidRPr="00C42382" w:rsidRDefault="00653EF0" w:rsidP="006757FB">
      <w:pPr>
        <w:suppressAutoHyphens/>
        <w:spacing w:before="120" w:after="120"/>
        <w:rPr>
          <w:bCs/>
          <w:szCs w:val="24"/>
        </w:rPr>
      </w:pPr>
    </w:p>
    <w:p w14:paraId="0E78B4B6" w14:textId="77777777" w:rsidR="000C02E9" w:rsidRPr="006757FB" w:rsidRDefault="00CB69B5" w:rsidP="00E16308">
      <w:pPr>
        <w:keepNext/>
        <w:suppressAutoHyphens/>
        <w:autoSpaceDE w:val="0"/>
        <w:autoSpaceDN w:val="0"/>
        <w:adjustRightInd w:val="0"/>
        <w:spacing w:before="120" w:after="120"/>
        <w:ind w:left="360"/>
        <w:rPr>
          <w:b/>
          <w:bCs/>
          <w:szCs w:val="24"/>
        </w:rPr>
      </w:pPr>
      <w:r w:rsidRPr="006757FB">
        <w:rPr>
          <w:b/>
          <w:bCs/>
          <w:szCs w:val="24"/>
        </w:rPr>
        <w:t>6.5</w:t>
      </w:r>
      <w:r w:rsidR="00BE7306" w:rsidRPr="006757FB">
        <w:rPr>
          <w:b/>
          <w:bCs/>
          <w:szCs w:val="24"/>
        </w:rPr>
        <w:t xml:space="preserve"> </w:t>
      </w:r>
      <w:r w:rsidR="000C02E9" w:rsidRPr="006757FB">
        <w:rPr>
          <w:b/>
          <w:bCs/>
          <w:szCs w:val="24"/>
        </w:rPr>
        <w:t xml:space="preserve"> Reasons for Change in Burden</w:t>
      </w:r>
    </w:p>
    <w:p w14:paraId="45C8B6BE" w14:textId="630EE9AA" w:rsidR="002B7D3B" w:rsidRPr="006757FB" w:rsidRDefault="006D6D30" w:rsidP="00902FB5">
      <w:pPr>
        <w:suppressAutoHyphens/>
        <w:autoSpaceDE w:val="0"/>
        <w:autoSpaceDN w:val="0"/>
        <w:adjustRightInd w:val="0"/>
        <w:spacing w:before="120" w:after="120"/>
        <w:ind w:firstLine="720"/>
        <w:rPr>
          <w:szCs w:val="24"/>
        </w:rPr>
      </w:pPr>
      <w:r>
        <w:rPr>
          <w:szCs w:val="24"/>
        </w:rPr>
        <w:t xml:space="preserve">The reason for the decrease in burden estimated in this ICR is that the </w:t>
      </w:r>
      <w:r w:rsidR="002248B9">
        <w:rPr>
          <w:szCs w:val="24"/>
        </w:rPr>
        <w:t xml:space="preserve">rule will </w:t>
      </w:r>
      <w:r>
        <w:rPr>
          <w:szCs w:val="24"/>
        </w:rPr>
        <w:t xml:space="preserve">decrease the universe of respondents subject to information collection requirements under the existing CSAPR ICR and </w:t>
      </w:r>
      <w:r w:rsidR="002248B9">
        <w:rPr>
          <w:szCs w:val="24"/>
        </w:rPr>
        <w:t xml:space="preserve">will </w:t>
      </w:r>
      <w:r>
        <w:rPr>
          <w:szCs w:val="24"/>
        </w:rPr>
        <w:t xml:space="preserve">not impose any new substantive information collection requirements on any respondents. </w:t>
      </w:r>
      <w:bookmarkStart w:id="0" w:name="_GoBack"/>
      <w:bookmarkEnd w:id="0"/>
    </w:p>
    <w:p w14:paraId="723CD22E" w14:textId="77777777" w:rsidR="006F3338" w:rsidRPr="006757FB" w:rsidRDefault="006F3338" w:rsidP="006757FB">
      <w:pPr>
        <w:suppressAutoHyphens/>
        <w:autoSpaceDE w:val="0"/>
        <w:autoSpaceDN w:val="0"/>
        <w:adjustRightInd w:val="0"/>
        <w:spacing w:before="120" w:after="120"/>
        <w:ind w:firstLine="720"/>
        <w:rPr>
          <w:b/>
          <w:bCs/>
          <w:szCs w:val="24"/>
        </w:rPr>
      </w:pPr>
    </w:p>
    <w:p w14:paraId="40176F4A" w14:textId="77777777" w:rsidR="000C02E9" w:rsidRPr="006757FB" w:rsidRDefault="00CB69B5" w:rsidP="00E16308">
      <w:pPr>
        <w:keepNext/>
        <w:suppressAutoHyphens/>
        <w:autoSpaceDE w:val="0"/>
        <w:autoSpaceDN w:val="0"/>
        <w:adjustRightInd w:val="0"/>
        <w:spacing w:before="120" w:after="120"/>
        <w:ind w:left="360"/>
        <w:rPr>
          <w:b/>
          <w:bCs/>
          <w:szCs w:val="24"/>
        </w:rPr>
      </w:pPr>
      <w:r w:rsidRPr="006757FB">
        <w:rPr>
          <w:b/>
          <w:bCs/>
          <w:szCs w:val="24"/>
        </w:rPr>
        <w:t>6.6</w:t>
      </w:r>
      <w:r w:rsidR="00BE7306" w:rsidRPr="006757FB">
        <w:rPr>
          <w:b/>
          <w:bCs/>
          <w:szCs w:val="24"/>
        </w:rPr>
        <w:t xml:space="preserve"> </w:t>
      </w:r>
      <w:r w:rsidR="000C02E9" w:rsidRPr="006757FB">
        <w:rPr>
          <w:b/>
          <w:bCs/>
          <w:szCs w:val="24"/>
        </w:rPr>
        <w:t xml:space="preserve"> Burden Statement</w:t>
      </w:r>
    </w:p>
    <w:p w14:paraId="70ABA3B0" w14:textId="0A802CA5" w:rsidR="000C02E9" w:rsidRPr="006757FB" w:rsidRDefault="008F4030" w:rsidP="006757FB">
      <w:pPr>
        <w:suppressAutoHyphens/>
        <w:autoSpaceDE w:val="0"/>
        <w:autoSpaceDN w:val="0"/>
        <w:adjustRightInd w:val="0"/>
        <w:spacing w:before="120" w:after="120"/>
        <w:ind w:firstLine="720"/>
        <w:rPr>
          <w:szCs w:val="24"/>
        </w:rPr>
      </w:pPr>
      <w:r w:rsidRPr="006757FB">
        <w:rPr>
          <w:szCs w:val="24"/>
        </w:rPr>
        <w:t xml:space="preserve">The annual public reporting and recordkeeping burden for this collection of information is estimated to </w:t>
      </w:r>
      <w:r w:rsidR="00F174ED">
        <w:rPr>
          <w:szCs w:val="24"/>
        </w:rPr>
        <w:t xml:space="preserve">be an </w:t>
      </w:r>
      <w:r w:rsidRPr="006757FB">
        <w:rPr>
          <w:szCs w:val="24"/>
        </w:rPr>
        <w:t>average</w:t>
      </w:r>
      <w:r w:rsidR="00402CF1">
        <w:rPr>
          <w:szCs w:val="24"/>
        </w:rPr>
        <w:t xml:space="preserve"> </w:t>
      </w:r>
      <w:r w:rsidR="00F174ED">
        <w:rPr>
          <w:szCs w:val="24"/>
        </w:rPr>
        <w:t xml:space="preserve">reduction </w:t>
      </w:r>
      <w:r w:rsidR="00402CF1">
        <w:rPr>
          <w:szCs w:val="24"/>
        </w:rPr>
        <w:t xml:space="preserve">of </w:t>
      </w:r>
      <w:r w:rsidR="000E3690">
        <w:rPr>
          <w:szCs w:val="24"/>
        </w:rPr>
        <w:t>96</w:t>
      </w:r>
      <w:r w:rsidR="00F174ED">
        <w:rPr>
          <w:szCs w:val="24"/>
        </w:rPr>
        <w:t xml:space="preserve"> </w:t>
      </w:r>
      <w:r w:rsidRPr="006757FB">
        <w:rPr>
          <w:color w:val="000000"/>
          <w:szCs w:val="24"/>
        </w:rPr>
        <w:t>hours per response</w:t>
      </w:r>
      <w:r w:rsidR="00402CF1">
        <w:rPr>
          <w:color w:val="000000"/>
          <w:szCs w:val="24"/>
        </w:rPr>
        <w:t xml:space="preserve"> from the burden for approved existing collections of information</w:t>
      </w:r>
      <w:r w:rsidRPr="006757FB">
        <w:rPr>
          <w:color w:val="000000"/>
          <w:szCs w:val="24"/>
        </w:rPr>
        <w:t xml:space="preserve">.  </w:t>
      </w:r>
      <w:r w:rsidR="000C02E9" w:rsidRPr="006757FB">
        <w:rPr>
          <w:szCs w:val="24"/>
        </w:rPr>
        <w:t>Burden means the total time, effort, or financial resources expended by persons to generate,</w:t>
      </w:r>
      <w:r w:rsidR="001508D1" w:rsidRPr="006757FB">
        <w:rPr>
          <w:szCs w:val="24"/>
        </w:rPr>
        <w:t xml:space="preserve"> </w:t>
      </w:r>
      <w:r w:rsidR="000C02E9" w:rsidRPr="006757FB">
        <w:rPr>
          <w:szCs w:val="24"/>
        </w:rPr>
        <w:t>maintain, retain, disclose or provide information to</w:t>
      </w:r>
      <w:r w:rsidR="00ED3EAD" w:rsidRPr="006757FB">
        <w:rPr>
          <w:szCs w:val="24"/>
        </w:rPr>
        <w:t>,</w:t>
      </w:r>
      <w:r w:rsidR="000C02E9" w:rsidRPr="006757FB">
        <w:rPr>
          <w:szCs w:val="24"/>
        </w:rPr>
        <w:t xml:space="preserve"> or for</w:t>
      </w:r>
      <w:r w:rsidR="00ED3EAD" w:rsidRPr="006757FB">
        <w:rPr>
          <w:szCs w:val="24"/>
        </w:rPr>
        <w:t>,</w:t>
      </w:r>
      <w:r w:rsidR="00427748" w:rsidRPr="006757FB">
        <w:rPr>
          <w:szCs w:val="24"/>
        </w:rPr>
        <w:t xml:space="preserve"> a f</w:t>
      </w:r>
      <w:r w:rsidR="000C02E9" w:rsidRPr="006757FB">
        <w:rPr>
          <w:szCs w:val="24"/>
        </w:rPr>
        <w:t>ederal agency</w:t>
      </w:r>
      <w:r w:rsidR="003972B1" w:rsidRPr="006757FB">
        <w:rPr>
          <w:szCs w:val="24"/>
        </w:rPr>
        <w:t xml:space="preserve">.  </w:t>
      </w:r>
      <w:r w:rsidR="000C02E9" w:rsidRPr="006757FB">
        <w:rPr>
          <w:szCs w:val="24"/>
        </w:rPr>
        <w:t>This includes the</w:t>
      </w:r>
      <w:r w:rsidR="001508D1" w:rsidRPr="006757FB">
        <w:rPr>
          <w:szCs w:val="24"/>
        </w:rPr>
        <w:t xml:space="preserve"> </w:t>
      </w:r>
      <w:r w:rsidR="000C02E9" w:rsidRPr="006757FB">
        <w:rPr>
          <w:szCs w:val="24"/>
        </w:rPr>
        <w:t>time needed to review instructions; develop, acquire, install, and utilize technology and systems</w:t>
      </w:r>
      <w:r w:rsidR="001508D1" w:rsidRPr="006757FB">
        <w:rPr>
          <w:szCs w:val="24"/>
        </w:rPr>
        <w:t xml:space="preserve"> </w:t>
      </w:r>
      <w:r w:rsidR="000C02E9" w:rsidRPr="006757FB">
        <w:rPr>
          <w:szCs w:val="24"/>
        </w:rPr>
        <w:t>for the purposes of collecting, validating, and verifying information</w:t>
      </w:r>
      <w:r w:rsidR="00ED3EAD" w:rsidRPr="006757FB">
        <w:rPr>
          <w:szCs w:val="24"/>
        </w:rPr>
        <w:t>;</w:t>
      </w:r>
      <w:r w:rsidR="000C02E9" w:rsidRPr="006757FB">
        <w:rPr>
          <w:szCs w:val="24"/>
        </w:rPr>
        <w:t xml:space="preserve"> processing</w:t>
      </w:r>
      <w:r w:rsidR="00ED3EAD" w:rsidRPr="006757FB">
        <w:rPr>
          <w:szCs w:val="24"/>
        </w:rPr>
        <w:t xml:space="preserve">, </w:t>
      </w:r>
      <w:r w:rsidR="000C02E9" w:rsidRPr="006757FB">
        <w:rPr>
          <w:szCs w:val="24"/>
        </w:rPr>
        <w:t>maintaining, disclosing</w:t>
      </w:r>
      <w:r w:rsidR="00ED3EAD" w:rsidRPr="006757FB">
        <w:rPr>
          <w:szCs w:val="24"/>
        </w:rPr>
        <w:t>,</w:t>
      </w:r>
      <w:r w:rsidR="000C02E9" w:rsidRPr="006757FB">
        <w:rPr>
          <w:szCs w:val="24"/>
        </w:rPr>
        <w:t xml:space="preserve"> and providing information; adjust</w:t>
      </w:r>
      <w:r w:rsidR="00ED3EAD" w:rsidRPr="006757FB">
        <w:rPr>
          <w:szCs w:val="24"/>
        </w:rPr>
        <w:t>ing</w:t>
      </w:r>
      <w:r w:rsidR="000C02E9" w:rsidRPr="006757FB">
        <w:rPr>
          <w:szCs w:val="24"/>
        </w:rPr>
        <w:t xml:space="preserve"> the existing ways to comply with</w:t>
      </w:r>
      <w:r w:rsidR="001508D1" w:rsidRPr="006757FB">
        <w:rPr>
          <w:szCs w:val="24"/>
        </w:rPr>
        <w:t xml:space="preserve"> </w:t>
      </w:r>
      <w:r w:rsidR="000C02E9" w:rsidRPr="006757FB">
        <w:rPr>
          <w:szCs w:val="24"/>
        </w:rPr>
        <w:t>any previously applicable instructions and requirements; train</w:t>
      </w:r>
      <w:r w:rsidR="00ED3EAD" w:rsidRPr="006757FB">
        <w:rPr>
          <w:szCs w:val="24"/>
        </w:rPr>
        <w:t>ing</w:t>
      </w:r>
      <w:r w:rsidR="000C02E9" w:rsidRPr="006757FB">
        <w:rPr>
          <w:szCs w:val="24"/>
        </w:rPr>
        <w:t xml:space="preserve"> personnel to be able to respond to a</w:t>
      </w:r>
      <w:r w:rsidR="001508D1" w:rsidRPr="006757FB">
        <w:rPr>
          <w:szCs w:val="24"/>
        </w:rPr>
        <w:t xml:space="preserve"> </w:t>
      </w:r>
      <w:r w:rsidR="000C02E9" w:rsidRPr="006757FB">
        <w:rPr>
          <w:szCs w:val="24"/>
        </w:rPr>
        <w:t>collection of information; search</w:t>
      </w:r>
      <w:r w:rsidR="00ED3EAD" w:rsidRPr="006757FB">
        <w:rPr>
          <w:szCs w:val="24"/>
        </w:rPr>
        <w:t>ing</w:t>
      </w:r>
      <w:r w:rsidR="000C02E9" w:rsidRPr="006757FB">
        <w:rPr>
          <w:szCs w:val="24"/>
        </w:rPr>
        <w:t xml:space="preserve"> data sources; complet</w:t>
      </w:r>
      <w:r w:rsidR="00ED3EAD" w:rsidRPr="006757FB">
        <w:rPr>
          <w:szCs w:val="24"/>
        </w:rPr>
        <w:t>ing</w:t>
      </w:r>
      <w:r w:rsidR="000C02E9" w:rsidRPr="006757FB">
        <w:rPr>
          <w:szCs w:val="24"/>
        </w:rPr>
        <w:t xml:space="preserve"> and review</w:t>
      </w:r>
      <w:r w:rsidR="00ED3EAD" w:rsidRPr="006757FB">
        <w:rPr>
          <w:szCs w:val="24"/>
        </w:rPr>
        <w:t>ing</w:t>
      </w:r>
      <w:r w:rsidR="000C02E9" w:rsidRPr="006757FB">
        <w:rPr>
          <w:szCs w:val="24"/>
        </w:rPr>
        <w:t xml:space="preserve"> the collection of information;</w:t>
      </w:r>
      <w:r w:rsidR="001508D1" w:rsidRPr="006757FB">
        <w:rPr>
          <w:szCs w:val="24"/>
        </w:rPr>
        <w:t xml:space="preserve"> </w:t>
      </w:r>
      <w:r w:rsidR="000C02E9" w:rsidRPr="006757FB">
        <w:rPr>
          <w:szCs w:val="24"/>
        </w:rPr>
        <w:t>and transmit</w:t>
      </w:r>
      <w:r w:rsidR="00ED3EAD" w:rsidRPr="006757FB">
        <w:rPr>
          <w:szCs w:val="24"/>
        </w:rPr>
        <w:t>ting</w:t>
      </w:r>
      <w:r w:rsidR="000C02E9" w:rsidRPr="006757FB">
        <w:rPr>
          <w:szCs w:val="24"/>
        </w:rPr>
        <w:t xml:space="preserve"> or otherwise disclos</w:t>
      </w:r>
      <w:r w:rsidR="00ED3EAD" w:rsidRPr="006757FB">
        <w:rPr>
          <w:szCs w:val="24"/>
        </w:rPr>
        <w:t xml:space="preserve">ing </w:t>
      </w:r>
      <w:r w:rsidR="000C02E9" w:rsidRPr="006757FB">
        <w:rPr>
          <w:szCs w:val="24"/>
        </w:rPr>
        <w:t xml:space="preserve">the information. </w:t>
      </w:r>
      <w:r w:rsidR="003B0122">
        <w:rPr>
          <w:szCs w:val="24"/>
        </w:rPr>
        <w:t xml:space="preserve"> </w:t>
      </w:r>
      <w:r w:rsidR="000C02E9" w:rsidRPr="006757FB">
        <w:rPr>
          <w:szCs w:val="24"/>
        </w:rPr>
        <w:t>An agency may not conduct or sponsor, and a</w:t>
      </w:r>
      <w:r w:rsidR="001508D1" w:rsidRPr="006757FB">
        <w:rPr>
          <w:szCs w:val="24"/>
        </w:rPr>
        <w:t xml:space="preserve"> </w:t>
      </w:r>
      <w:r w:rsidR="000C02E9" w:rsidRPr="006757FB">
        <w:rPr>
          <w:szCs w:val="24"/>
        </w:rPr>
        <w:t>person is not required to respond to, a collection of information unless it displays a currently valid</w:t>
      </w:r>
      <w:r w:rsidR="001508D1" w:rsidRPr="006757FB">
        <w:rPr>
          <w:szCs w:val="24"/>
        </w:rPr>
        <w:t xml:space="preserve"> </w:t>
      </w:r>
      <w:r w:rsidR="000C02E9" w:rsidRPr="006757FB">
        <w:rPr>
          <w:szCs w:val="24"/>
        </w:rPr>
        <w:t>OMB control number</w:t>
      </w:r>
      <w:r w:rsidR="003972B1" w:rsidRPr="006757FB">
        <w:rPr>
          <w:szCs w:val="24"/>
        </w:rPr>
        <w:t xml:space="preserve">.  </w:t>
      </w:r>
      <w:r w:rsidR="000C02E9" w:rsidRPr="006757FB">
        <w:rPr>
          <w:szCs w:val="24"/>
        </w:rPr>
        <w:t>The OMB control numbers for EPA</w:t>
      </w:r>
      <w:r w:rsidR="00033581" w:rsidRPr="006757FB">
        <w:rPr>
          <w:szCs w:val="24"/>
        </w:rPr>
        <w:t>'</w:t>
      </w:r>
      <w:r w:rsidR="000C02E9" w:rsidRPr="006757FB">
        <w:rPr>
          <w:szCs w:val="24"/>
        </w:rPr>
        <w:t>s regulations are listed in 40 CFR</w:t>
      </w:r>
      <w:r w:rsidR="001508D1" w:rsidRPr="006757FB">
        <w:rPr>
          <w:szCs w:val="24"/>
        </w:rPr>
        <w:t xml:space="preserve"> </w:t>
      </w:r>
      <w:r w:rsidR="000C02E9" w:rsidRPr="006757FB">
        <w:rPr>
          <w:szCs w:val="24"/>
        </w:rPr>
        <w:t>Part 9 and 48 CFR Chapter 15.</w:t>
      </w:r>
    </w:p>
    <w:p w14:paraId="4CC72070" w14:textId="194B8C90" w:rsidR="00B26494" w:rsidRPr="006757FB" w:rsidRDefault="00CF1B63" w:rsidP="006757FB">
      <w:pPr>
        <w:suppressAutoHyphens/>
        <w:autoSpaceDE w:val="0"/>
        <w:autoSpaceDN w:val="0"/>
        <w:adjustRightInd w:val="0"/>
        <w:spacing w:before="120" w:after="120"/>
        <w:ind w:firstLine="720"/>
        <w:rPr>
          <w:color w:val="000000"/>
          <w:szCs w:val="24"/>
        </w:rPr>
      </w:pPr>
      <w:r w:rsidRPr="00A170E8">
        <w:rPr>
          <w:color w:val="000000"/>
          <w:szCs w:val="24"/>
        </w:rPr>
        <w:t xml:space="preserve">To </w:t>
      </w:r>
      <w:r w:rsidR="003449B4" w:rsidRPr="00A170E8">
        <w:rPr>
          <w:color w:val="000000"/>
          <w:szCs w:val="24"/>
        </w:rPr>
        <w:t xml:space="preserve">facilitate </w:t>
      </w:r>
      <w:r w:rsidRPr="00A170E8">
        <w:rPr>
          <w:color w:val="000000"/>
          <w:szCs w:val="24"/>
        </w:rPr>
        <w:t xml:space="preserve">comment on the Agency's need for this information, the accuracy of the provided burden estimates, and any suggested methods for minimizing respondent burden, including the use of automated collection techniques, EPA has established a public docket for this ICR under Docket ID No. </w:t>
      </w:r>
      <w:r w:rsidRPr="00A170E8">
        <w:rPr>
          <w:szCs w:val="24"/>
        </w:rPr>
        <w:t>EPA-HQ-OAR-</w:t>
      </w:r>
      <w:r w:rsidR="00E52776" w:rsidRPr="00A170E8">
        <w:rPr>
          <w:szCs w:val="24"/>
        </w:rPr>
        <w:t>2015</w:t>
      </w:r>
      <w:r w:rsidRPr="00A170E8">
        <w:rPr>
          <w:szCs w:val="24"/>
        </w:rPr>
        <w:t>-</w:t>
      </w:r>
      <w:r w:rsidR="00120D9B" w:rsidRPr="00A170E8">
        <w:rPr>
          <w:szCs w:val="24"/>
        </w:rPr>
        <w:t xml:space="preserve">0500, </w:t>
      </w:r>
      <w:r w:rsidRPr="00A170E8">
        <w:rPr>
          <w:color w:val="000000"/>
          <w:szCs w:val="24"/>
        </w:rPr>
        <w:t xml:space="preserve">which is available for public viewing at the Air and Radiation Docket and Information Center in the EPA Docket Center (EPA/DC), </w:t>
      </w:r>
      <w:r w:rsidR="00E52776" w:rsidRPr="00A170E8">
        <w:rPr>
          <w:color w:val="000000"/>
          <w:szCs w:val="24"/>
        </w:rPr>
        <w:t>WJC</w:t>
      </w:r>
      <w:r w:rsidRPr="00A170E8">
        <w:rPr>
          <w:color w:val="000000"/>
          <w:szCs w:val="24"/>
        </w:rPr>
        <w:t xml:space="preserve"> West, Room 3334, 1301 Constitution Ave</w:t>
      </w:r>
      <w:r w:rsidR="00E52776" w:rsidRPr="00A170E8">
        <w:rPr>
          <w:color w:val="000000"/>
          <w:szCs w:val="24"/>
        </w:rPr>
        <w:t>nue</w:t>
      </w:r>
      <w:r w:rsidRPr="00A170E8">
        <w:rPr>
          <w:color w:val="000000"/>
          <w:szCs w:val="24"/>
        </w:rPr>
        <w:t xml:space="preserve"> NW, Washington, DC.  The EPA Docket Center Public Reading Room is open from 8:30 a.m. to 4:30 p.m., Monday through Friday, excluding legal holidays.  The telephone number for the Reading Room is (202) 566-1744, and the telephone number for the Air and Radiation Docket and Information Center is (202) 566-1742.  </w:t>
      </w:r>
      <w:r w:rsidRPr="00A170E8">
        <w:rPr>
          <w:color w:val="0F0F0F"/>
          <w:szCs w:val="24"/>
        </w:rPr>
        <w:t xml:space="preserve">An electronic version of the public docket is available at www.regulations.gov.  This site can be used to submit or view public comments, </w:t>
      </w:r>
      <w:r w:rsidR="002676EE" w:rsidRPr="00A170E8">
        <w:rPr>
          <w:color w:val="0F0F0F"/>
          <w:szCs w:val="24"/>
        </w:rPr>
        <w:t xml:space="preserve">to </w:t>
      </w:r>
      <w:r w:rsidRPr="00A170E8">
        <w:rPr>
          <w:color w:val="0F0F0F"/>
          <w:szCs w:val="24"/>
        </w:rPr>
        <w:t xml:space="preserve">access the index listing of the contents of the public docket, and to access those documents in the public docket that are available electronically.  When in the system, select “search,” then key in the Docket ID Number </w:t>
      </w:r>
      <w:r w:rsidRPr="00A170E8">
        <w:rPr>
          <w:color w:val="0F0F0F"/>
          <w:szCs w:val="24"/>
        </w:rPr>
        <w:lastRenderedPageBreak/>
        <w:t xml:space="preserve">identified above.  </w:t>
      </w:r>
      <w:r w:rsidRPr="00A170E8">
        <w:rPr>
          <w:color w:val="000000"/>
          <w:szCs w:val="24"/>
        </w:rPr>
        <w:t xml:space="preserve">Also, you can send comments to the Office of Information and Regulatory Affairs, Office of Management and Budget, 725 17th Street NW, Washington, DC 20503, Attention: Desk </w:t>
      </w:r>
      <w:r w:rsidR="002676EE" w:rsidRPr="00A170E8">
        <w:rPr>
          <w:color w:val="000000"/>
          <w:szCs w:val="24"/>
        </w:rPr>
        <w:t xml:space="preserve">Officer </w:t>
      </w:r>
      <w:r w:rsidRPr="00A170E8">
        <w:rPr>
          <w:color w:val="000000"/>
          <w:szCs w:val="24"/>
        </w:rPr>
        <w:t xml:space="preserve">for EPA.  Please include EPA Docket ID No. </w:t>
      </w:r>
      <w:r w:rsidRPr="00A170E8">
        <w:rPr>
          <w:szCs w:val="24"/>
        </w:rPr>
        <w:t>EPA-HQ-OAR-20</w:t>
      </w:r>
      <w:r w:rsidR="004F29C8" w:rsidRPr="00A170E8">
        <w:rPr>
          <w:szCs w:val="24"/>
        </w:rPr>
        <w:t>15-</w:t>
      </w:r>
      <w:r w:rsidR="00120D9B" w:rsidRPr="00A170E8">
        <w:rPr>
          <w:szCs w:val="24"/>
        </w:rPr>
        <w:t xml:space="preserve">0500 </w:t>
      </w:r>
      <w:r w:rsidRPr="00A170E8">
        <w:rPr>
          <w:color w:val="000000"/>
          <w:szCs w:val="24"/>
        </w:rPr>
        <w:t>and OMB Control Number 2060-</w:t>
      </w:r>
      <w:r w:rsidR="009815A9" w:rsidRPr="00A170E8">
        <w:rPr>
          <w:color w:val="000000"/>
          <w:szCs w:val="24"/>
        </w:rPr>
        <w:t xml:space="preserve">NEW </w:t>
      </w:r>
      <w:r w:rsidRPr="00A170E8">
        <w:rPr>
          <w:color w:val="000000"/>
          <w:szCs w:val="24"/>
        </w:rPr>
        <w:t>in any correspondence.</w:t>
      </w:r>
    </w:p>
    <w:p w14:paraId="1E4A8B0E" w14:textId="77777777" w:rsidR="00595D03" w:rsidRPr="006757FB" w:rsidRDefault="00595D03" w:rsidP="006757FB">
      <w:pPr>
        <w:suppressAutoHyphens/>
        <w:autoSpaceDE w:val="0"/>
        <w:autoSpaceDN w:val="0"/>
        <w:adjustRightInd w:val="0"/>
        <w:spacing w:before="120" w:after="120"/>
        <w:jc w:val="center"/>
        <w:rPr>
          <w:b/>
          <w:color w:val="0F0F0F"/>
          <w:szCs w:val="24"/>
        </w:rPr>
      </w:pPr>
    </w:p>
    <w:p w14:paraId="2316741C" w14:textId="77777777" w:rsidR="00E26509" w:rsidRDefault="00E26509">
      <w:pPr>
        <w:rPr>
          <w:b/>
          <w:color w:val="0F0F0F"/>
          <w:szCs w:val="24"/>
          <w:highlight w:val="yellow"/>
        </w:rPr>
        <w:sectPr w:rsidR="00E26509" w:rsidSect="00EF5676">
          <w:headerReference w:type="default" r:id="rId8"/>
          <w:footerReference w:type="default" r:id="rId9"/>
          <w:headerReference w:type="first" r:id="rId10"/>
          <w:type w:val="continuous"/>
          <w:pgSz w:w="12240" w:h="15840"/>
          <w:pgMar w:top="1440" w:right="1440" w:bottom="1440" w:left="1440" w:header="576" w:footer="720" w:gutter="0"/>
          <w:cols w:space="720"/>
          <w:docGrid w:linePitch="360"/>
        </w:sectPr>
      </w:pPr>
    </w:p>
    <w:p w14:paraId="19DEC3AF" w14:textId="77777777" w:rsidR="00E26509" w:rsidRDefault="00E26509" w:rsidP="00E26509">
      <w:pPr>
        <w:autoSpaceDE w:val="0"/>
        <w:autoSpaceDN w:val="0"/>
        <w:jc w:val="center"/>
        <w:rPr>
          <w:b/>
          <w:bCs/>
          <w:color w:val="0F0F0F"/>
          <w:sz w:val="22"/>
        </w:rPr>
      </w:pPr>
    </w:p>
    <w:p w14:paraId="1205DCDB" w14:textId="77777777" w:rsidR="00E26509" w:rsidRDefault="00E26509" w:rsidP="00E26509">
      <w:pPr>
        <w:autoSpaceDE w:val="0"/>
        <w:autoSpaceDN w:val="0"/>
        <w:jc w:val="center"/>
        <w:rPr>
          <w:b/>
          <w:bCs/>
          <w:color w:val="0F0F0F"/>
        </w:rPr>
      </w:pPr>
      <w:r>
        <w:rPr>
          <w:b/>
          <w:bCs/>
          <w:color w:val="0F0F0F"/>
        </w:rPr>
        <w:t>Table 6-1:</w:t>
      </w:r>
    </w:p>
    <w:p w14:paraId="05F66D97" w14:textId="77777777" w:rsidR="00E26509" w:rsidRDefault="00E26509" w:rsidP="00E26509">
      <w:pPr>
        <w:autoSpaceDE w:val="0"/>
        <w:autoSpaceDN w:val="0"/>
        <w:jc w:val="center"/>
        <w:rPr>
          <w:b/>
          <w:bCs/>
          <w:color w:val="0F0F0F"/>
        </w:rPr>
      </w:pPr>
      <w:r>
        <w:rPr>
          <w:b/>
          <w:bCs/>
          <w:color w:val="0F0F0F"/>
        </w:rPr>
        <w:t>Annual Industry Respondent Burden and Cost by Activity</w:t>
      </w:r>
    </w:p>
    <w:p w14:paraId="59D6FDE4" w14:textId="77777777" w:rsidR="00E26509" w:rsidRDefault="00E26509" w:rsidP="00E26509">
      <w:pPr>
        <w:autoSpaceDE w:val="0"/>
        <w:autoSpaceDN w:val="0"/>
        <w:jc w:val="center"/>
        <w:rPr>
          <w:b/>
          <w:bCs/>
        </w:rPr>
      </w:pPr>
    </w:p>
    <w:tbl>
      <w:tblPr>
        <w:tblW w:w="13236" w:type="dxa"/>
        <w:jc w:val="center"/>
        <w:tblCellMar>
          <w:left w:w="0" w:type="dxa"/>
          <w:right w:w="0" w:type="dxa"/>
        </w:tblCellMar>
        <w:tblLook w:val="04A0" w:firstRow="1" w:lastRow="0" w:firstColumn="1" w:lastColumn="0" w:noHBand="0" w:noVBand="1"/>
      </w:tblPr>
      <w:tblGrid>
        <w:gridCol w:w="1673"/>
        <w:gridCol w:w="1078"/>
        <w:gridCol w:w="1144"/>
        <w:gridCol w:w="1358"/>
        <w:gridCol w:w="1358"/>
        <w:gridCol w:w="905"/>
        <w:gridCol w:w="928"/>
        <w:gridCol w:w="1451"/>
        <w:gridCol w:w="1757"/>
        <w:gridCol w:w="1584"/>
      </w:tblGrid>
      <w:tr w:rsidR="00CF5EDA" w14:paraId="521195A6" w14:textId="77777777" w:rsidTr="001F5EE4">
        <w:trPr>
          <w:trHeight w:val="575"/>
          <w:jc w:val="center"/>
        </w:trPr>
        <w:tc>
          <w:tcPr>
            <w:tcW w:w="1673" w:type="dxa"/>
            <w:tcBorders>
              <w:top w:val="single" w:sz="8" w:space="0" w:color="auto"/>
              <w:left w:val="single" w:sz="8" w:space="0" w:color="auto"/>
              <w:bottom w:val="single" w:sz="8" w:space="0" w:color="auto"/>
              <w:right w:val="single" w:sz="8" w:space="0" w:color="auto"/>
            </w:tcBorders>
            <w:shd w:val="clear" w:color="auto" w:fill="E5E5E5"/>
            <w:tcMar>
              <w:top w:w="72" w:type="dxa"/>
              <w:left w:w="72" w:type="dxa"/>
              <w:bottom w:w="72" w:type="dxa"/>
              <w:right w:w="72" w:type="dxa"/>
            </w:tcMar>
            <w:vAlign w:val="center"/>
          </w:tcPr>
          <w:p w14:paraId="27D6EAF9" w14:textId="77777777" w:rsidR="00E26509" w:rsidRDefault="00E26509">
            <w:pPr>
              <w:jc w:val="center"/>
              <w:rPr>
                <w:b/>
                <w:bCs/>
              </w:rPr>
            </w:pPr>
          </w:p>
        </w:tc>
        <w:tc>
          <w:tcPr>
            <w:tcW w:w="1078" w:type="dxa"/>
            <w:tcBorders>
              <w:top w:val="single" w:sz="8" w:space="0" w:color="auto"/>
              <w:left w:val="nil"/>
              <w:bottom w:val="single" w:sz="8" w:space="0" w:color="auto"/>
              <w:right w:val="single" w:sz="8" w:space="0" w:color="auto"/>
            </w:tcBorders>
            <w:shd w:val="clear" w:color="auto" w:fill="E5E5E5"/>
            <w:tcMar>
              <w:top w:w="72" w:type="dxa"/>
              <w:left w:w="72" w:type="dxa"/>
              <w:bottom w:w="72" w:type="dxa"/>
              <w:right w:w="72" w:type="dxa"/>
            </w:tcMar>
            <w:vAlign w:val="center"/>
            <w:hideMark/>
          </w:tcPr>
          <w:p w14:paraId="7B010F72" w14:textId="77777777" w:rsidR="00E26509" w:rsidRDefault="00E26509" w:rsidP="00944A44">
            <w:pPr>
              <w:jc w:val="center"/>
              <w:rPr>
                <w:b/>
                <w:bCs/>
              </w:rPr>
            </w:pPr>
            <w:r>
              <w:rPr>
                <w:b/>
                <w:bCs/>
              </w:rPr>
              <w:t>Manager $95.10</w:t>
            </w:r>
          </w:p>
          <w:p w14:paraId="72BA8312" w14:textId="77777777" w:rsidR="00E26509" w:rsidRDefault="00E26509" w:rsidP="00944A44">
            <w:pPr>
              <w:jc w:val="center"/>
              <w:rPr>
                <w:b/>
                <w:bCs/>
              </w:rPr>
            </w:pPr>
            <w:r>
              <w:rPr>
                <w:b/>
                <w:bCs/>
              </w:rPr>
              <w:t>Per Hour (2013)</w:t>
            </w:r>
          </w:p>
        </w:tc>
        <w:tc>
          <w:tcPr>
            <w:tcW w:w="1144" w:type="dxa"/>
            <w:tcBorders>
              <w:top w:val="single" w:sz="8" w:space="0" w:color="auto"/>
              <w:left w:val="nil"/>
              <w:bottom w:val="single" w:sz="8" w:space="0" w:color="auto"/>
              <w:right w:val="single" w:sz="8" w:space="0" w:color="auto"/>
            </w:tcBorders>
            <w:shd w:val="clear" w:color="auto" w:fill="E5E5E5"/>
            <w:tcMar>
              <w:top w:w="72" w:type="dxa"/>
              <w:left w:w="72" w:type="dxa"/>
              <w:bottom w:w="72" w:type="dxa"/>
              <w:right w:w="72" w:type="dxa"/>
            </w:tcMar>
            <w:vAlign w:val="center"/>
            <w:hideMark/>
          </w:tcPr>
          <w:p w14:paraId="784330B6" w14:textId="77777777" w:rsidR="00E26509" w:rsidRDefault="00E26509" w:rsidP="00944A44">
            <w:pPr>
              <w:jc w:val="center"/>
              <w:rPr>
                <w:b/>
                <w:bCs/>
              </w:rPr>
            </w:pPr>
            <w:r>
              <w:rPr>
                <w:b/>
                <w:bCs/>
              </w:rPr>
              <w:t>Technical $67.38</w:t>
            </w:r>
          </w:p>
          <w:p w14:paraId="44B0BAF7" w14:textId="77777777" w:rsidR="00E26509" w:rsidRDefault="00E26509" w:rsidP="00944A44">
            <w:pPr>
              <w:jc w:val="center"/>
              <w:rPr>
                <w:b/>
                <w:bCs/>
              </w:rPr>
            </w:pPr>
            <w:r>
              <w:rPr>
                <w:b/>
                <w:bCs/>
              </w:rPr>
              <w:t>Per Hour (2013)</w:t>
            </w:r>
          </w:p>
        </w:tc>
        <w:tc>
          <w:tcPr>
            <w:tcW w:w="1358" w:type="dxa"/>
            <w:tcBorders>
              <w:top w:val="single" w:sz="8" w:space="0" w:color="auto"/>
              <w:left w:val="nil"/>
              <w:bottom w:val="single" w:sz="8" w:space="0" w:color="auto"/>
              <w:right w:val="single" w:sz="8" w:space="0" w:color="auto"/>
            </w:tcBorders>
            <w:shd w:val="clear" w:color="auto" w:fill="E5E5E5"/>
            <w:tcMar>
              <w:top w:w="72" w:type="dxa"/>
              <w:left w:w="72" w:type="dxa"/>
              <w:bottom w:w="72" w:type="dxa"/>
              <w:right w:w="72" w:type="dxa"/>
            </w:tcMar>
            <w:vAlign w:val="center"/>
          </w:tcPr>
          <w:p w14:paraId="116CC25A" w14:textId="3D8010EE" w:rsidR="00E26509" w:rsidRDefault="00E26509" w:rsidP="00944A44">
            <w:pPr>
              <w:jc w:val="center"/>
              <w:rPr>
                <w:b/>
                <w:bCs/>
              </w:rPr>
            </w:pPr>
            <w:r>
              <w:rPr>
                <w:b/>
                <w:bCs/>
              </w:rPr>
              <w:t>Respondent Hours/Year</w:t>
            </w:r>
          </w:p>
        </w:tc>
        <w:tc>
          <w:tcPr>
            <w:tcW w:w="1358" w:type="dxa"/>
            <w:tcBorders>
              <w:top w:val="single" w:sz="8" w:space="0" w:color="auto"/>
              <w:left w:val="nil"/>
              <w:bottom w:val="single" w:sz="8" w:space="0" w:color="auto"/>
              <w:right w:val="single" w:sz="8" w:space="0" w:color="auto"/>
            </w:tcBorders>
            <w:shd w:val="clear" w:color="auto" w:fill="E5E5E5"/>
            <w:tcMar>
              <w:top w:w="72" w:type="dxa"/>
              <w:left w:w="72" w:type="dxa"/>
              <w:bottom w:w="72" w:type="dxa"/>
              <w:right w:w="72" w:type="dxa"/>
            </w:tcMar>
            <w:vAlign w:val="center"/>
          </w:tcPr>
          <w:p w14:paraId="1468B1AB" w14:textId="77777777" w:rsidR="00E26509" w:rsidRDefault="00E26509" w:rsidP="00944A44">
            <w:pPr>
              <w:jc w:val="center"/>
              <w:rPr>
                <w:b/>
                <w:bCs/>
              </w:rPr>
            </w:pPr>
            <w:r>
              <w:rPr>
                <w:b/>
                <w:bCs/>
              </w:rPr>
              <w:t>Respondent</w:t>
            </w:r>
          </w:p>
          <w:p w14:paraId="07FA027E" w14:textId="75165246" w:rsidR="00E26509" w:rsidRPr="00E26509" w:rsidRDefault="00E26509" w:rsidP="00944A44">
            <w:pPr>
              <w:jc w:val="center"/>
              <w:rPr>
                <w:rFonts w:ascii="Calibri" w:hAnsi="Calibri"/>
                <w:b/>
                <w:bCs/>
              </w:rPr>
            </w:pPr>
            <w:r>
              <w:rPr>
                <w:b/>
                <w:bCs/>
              </w:rPr>
              <w:t>Labor Cost/Year</w:t>
            </w:r>
          </w:p>
        </w:tc>
        <w:tc>
          <w:tcPr>
            <w:tcW w:w="905" w:type="dxa"/>
            <w:tcBorders>
              <w:top w:val="single" w:sz="8" w:space="0" w:color="auto"/>
              <w:left w:val="nil"/>
              <w:bottom w:val="single" w:sz="8" w:space="0" w:color="auto"/>
              <w:right w:val="single" w:sz="8" w:space="0" w:color="auto"/>
            </w:tcBorders>
            <w:shd w:val="clear" w:color="auto" w:fill="E5E5E5"/>
            <w:tcMar>
              <w:top w:w="72" w:type="dxa"/>
              <w:left w:w="72" w:type="dxa"/>
              <w:bottom w:w="72" w:type="dxa"/>
              <w:right w:w="72" w:type="dxa"/>
            </w:tcMar>
            <w:vAlign w:val="center"/>
          </w:tcPr>
          <w:p w14:paraId="78931184" w14:textId="745F4322" w:rsidR="00E26509" w:rsidRDefault="00E26509" w:rsidP="00944A44">
            <w:pPr>
              <w:jc w:val="center"/>
              <w:rPr>
                <w:b/>
                <w:bCs/>
              </w:rPr>
            </w:pPr>
            <w:r>
              <w:rPr>
                <w:b/>
                <w:bCs/>
              </w:rPr>
              <w:t>Annual Capital Cost</w:t>
            </w:r>
          </w:p>
        </w:tc>
        <w:tc>
          <w:tcPr>
            <w:tcW w:w="928" w:type="dxa"/>
            <w:tcBorders>
              <w:top w:val="single" w:sz="8" w:space="0" w:color="auto"/>
              <w:left w:val="nil"/>
              <w:bottom w:val="single" w:sz="8" w:space="0" w:color="auto"/>
              <w:right w:val="single" w:sz="8" w:space="0" w:color="auto"/>
            </w:tcBorders>
            <w:shd w:val="clear" w:color="auto" w:fill="E5E5E5"/>
            <w:tcMar>
              <w:top w:w="72" w:type="dxa"/>
              <w:left w:w="72" w:type="dxa"/>
              <w:bottom w:w="72" w:type="dxa"/>
              <w:right w:w="72" w:type="dxa"/>
            </w:tcMar>
            <w:vAlign w:val="center"/>
          </w:tcPr>
          <w:p w14:paraId="41467623" w14:textId="059F6B5D" w:rsidR="00E26509" w:rsidRDefault="00E26509" w:rsidP="00944A44">
            <w:pPr>
              <w:jc w:val="center"/>
              <w:rPr>
                <w:b/>
                <w:bCs/>
              </w:rPr>
            </w:pPr>
            <w:r>
              <w:rPr>
                <w:b/>
                <w:bCs/>
              </w:rPr>
              <w:t>O&amp;M Cost</w:t>
            </w:r>
          </w:p>
        </w:tc>
        <w:tc>
          <w:tcPr>
            <w:tcW w:w="1451" w:type="dxa"/>
            <w:tcBorders>
              <w:top w:val="single" w:sz="8" w:space="0" w:color="auto"/>
              <w:left w:val="nil"/>
              <w:bottom w:val="single" w:sz="8" w:space="0" w:color="auto"/>
              <w:right w:val="single" w:sz="8" w:space="0" w:color="auto"/>
            </w:tcBorders>
            <w:shd w:val="clear" w:color="auto" w:fill="E5E5E5"/>
            <w:tcMar>
              <w:top w:w="72" w:type="dxa"/>
              <w:left w:w="72" w:type="dxa"/>
              <w:bottom w:w="72" w:type="dxa"/>
              <w:right w:w="72" w:type="dxa"/>
            </w:tcMar>
            <w:vAlign w:val="center"/>
          </w:tcPr>
          <w:p w14:paraId="472F0311" w14:textId="77777777" w:rsidR="00E26509" w:rsidRDefault="00E26509" w:rsidP="00944A44">
            <w:pPr>
              <w:jc w:val="center"/>
              <w:rPr>
                <w:b/>
                <w:bCs/>
              </w:rPr>
            </w:pPr>
            <w:r>
              <w:rPr>
                <w:b/>
                <w:bCs/>
              </w:rPr>
              <w:t>Number of Respondents</w:t>
            </w:r>
          </w:p>
          <w:p w14:paraId="719581A8" w14:textId="521BC90A" w:rsidR="00E26509" w:rsidRDefault="00E26509" w:rsidP="000D29F7">
            <w:pPr>
              <w:jc w:val="center"/>
              <w:rPr>
                <w:b/>
                <w:bCs/>
              </w:rPr>
            </w:pPr>
            <w:r>
              <w:rPr>
                <w:b/>
                <w:bCs/>
              </w:rPr>
              <w:t>(</w:t>
            </w:r>
            <w:r w:rsidR="000D29F7">
              <w:rPr>
                <w:b/>
                <w:bCs/>
              </w:rPr>
              <w:t>U</w:t>
            </w:r>
            <w:r w:rsidR="00243965">
              <w:rPr>
                <w:b/>
                <w:bCs/>
              </w:rPr>
              <w:t>nits</w:t>
            </w:r>
            <w:r>
              <w:rPr>
                <w:b/>
                <w:bCs/>
              </w:rPr>
              <w:t>)</w:t>
            </w:r>
          </w:p>
        </w:tc>
        <w:tc>
          <w:tcPr>
            <w:tcW w:w="1757" w:type="dxa"/>
            <w:tcBorders>
              <w:top w:val="single" w:sz="8" w:space="0" w:color="auto"/>
              <w:left w:val="nil"/>
              <w:bottom w:val="single" w:sz="8" w:space="0" w:color="auto"/>
              <w:right w:val="single" w:sz="8" w:space="0" w:color="auto"/>
            </w:tcBorders>
            <w:shd w:val="clear" w:color="auto" w:fill="E5E5E5"/>
            <w:tcMar>
              <w:top w:w="72" w:type="dxa"/>
              <w:left w:w="72" w:type="dxa"/>
              <w:bottom w:w="72" w:type="dxa"/>
              <w:right w:w="72" w:type="dxa"/>
            </w:tcMar>
            <w:vAlign w:val="center"/>
          </w:tcPr>
          <w:p w14:paraId="70894E3C" w14:textId="56ECAF5C" w:rsidR="00E26509" w:rsidRDefault="00E26509" w:rsidP="00944A44">
            <w:pPr>
              <w:jc w:val="center"/>
              <w:rPr>
                <w:b/>
                <w:bCs/>
              </w:rPr>
            </w:pPr>
            <w:r>
              <w:rPr>
                <w:b/>
                <w:bCs/>
              </w:rPr>
              <w:t>Total Hours/Year</w:t>
            </w:r>
          </w:p>
        </w:tc>
        <w:tc>
          <w:tcPr>
            <w:tcW w:w="1584" w:type="dxa"/>
            <w:tcBorders>
              <w:top w:val="single" w:sz="8" w:space="0" w:color="auto"/>
              <w:left w:val="nil"/>
              <w:bottom w:val="single" w:sz="8" w:space="0" w:color="auto"/>
              <w:right w:val="single" w:sz="8" w:space="0" w:color="auto"/>
            </w:tcBorders>
            <w:shd w:val="clear" w:color="auto" w:fill="E5E5E5"/>
            <w:tcMar>
              <w:top w:w="72" w:type="dxa"/>
              <w:left w:w="72" w:type="dxa"/>
              <w:bottom w:w="72" w:type="dxa"/>
              <w:right w:w="72" w:type="dxa"/>
            </w:tcMar>
            <w:vAlign w:val="center"/>
          </w:tcPr>
          <w:p w14:paraId="1E2023FE" w14:textId="511037E9" w:rsidR="00E26509" w:rsidRDefault="00E26509" w:rsidP="00944A44">
            <w:pPr>
              <w:jc w:val="center"/>
              <w:rPr>
                <w:b/>
                <w:bCs/>
              </w:rPr>
            </w:pPr>
            <w:r>
              <w:rPr>
                <w:b/>
                <w:bCs/>
              </w:rPr>
              <w:t>Total Cost/Year</w:t>
            </w:r>
          </w:p>
        </w:tc>
      </w:tr>
      <w:tr w:rsidR="00E26509" w14:paraId="272C2C60" w14:textId="77777777" w:rsidTr="001F5EE4">
        <w:trPr>
          <w:trHeight w:val="28"/>
          <w:jc w:val="center"/>
        </w:trPr>
        <w:tc>
          <w:tcPr>
            <w:tcW w:w="13236" w:type="dxa"/>
            <w:gridSpan w:val="10"/>
            <w:tcBorders>
              <w:top w:val="nil"/>
              <w:left w:val="single" w:sz="8" w:space="0" w:color="auto"/>
              <w:bottom w:val="single" w:sz="8" w:space="0" w:color="auto"/>
              <w:right w:val="single" w:sz="8" w:space="0" w:color="auto"/>
            </w:tcBorders>
            <w:shd w:val="clear" w:color="auto" w:fill="E5E5E5"/>
            <w:tcMar>
              <w:top w:w="72" w:type="dxa"/>
              <w:left w:w="72" w:type="dxa"/>
              <w:bottom w:w="72" w:type="dxa"/>
              <w:right w:w="72" w:type="dxa"/>
            </w:tcMar>
            <w:hideMark/>
          </w:tcPr>
          <w:p w14:paraId="07A6DAFF" w14:textId="0A5A50B5" w:rsidR="00E26509" w:rsidRDefault="00E26509" w:rsidP="00243965">
            <w:pPr>
              <w:jc w:val="center"/>
              <w:rPr>
                <w:b/>
                <w:bCs/>
                <w:sz w:val="20"/>
                <w:szCs w:val="20"/>
              </w:rPr>
            </w:pPr>
            <w:r>
              <w:rPr>
                <w:b/>
                <w:bCs/>
                <w:sz w:val="20"/>
                <w:szCs w:val="20"/>
              </w:rPr>
              <w:t xml:space="preserve">Perform QA </w:t>
            </w:r>
            <w:r w:rsidR="00243965">
              <w:rPr>
                <w:b/>
                <w:bCs/>
                <w:sz w:val="20"/>
                <w:szCs w:val="20"/>
              </w:rPr>
              <w:t>T</w:t>
            </w:r>
            <w:r>
              <w:rPr>
                <w:b/>
                <w:bCs/>
                <w:sz w:val="20"/>
                <w:szCs w:val="20"/>
              </w:rPr>
              <w:t xml:space="preserve">esting and </w:t>
            </w:r>
            <w:r w:rsidR="00243965">
              <w:rPr>
                <w:b/>
                <w:bCs/>
                <w:sz w:val="20"/>
                <w:szCs w:val="20"/>
              </w:rPr>
              <w:t>M</w:t>
            </w:r>
            <w:r>
              <w:rPr>
                <w:b/>
                <w:bCs/>
                <w:sz w:val="20"/>
                <w:szCs w:val="20"/>
              </w:rPr>
              <w:t>aintenance</w:t>
            </w:r>
          </w:p>
        </w:tc>
      </w:tr>
      <w:tr w:rsidR="00E26509" w14:paraId="2C8ACAEB" w14:textId="77777777" w:rsidTr="001F5EE4">
        <w:trPr>
          <w:trHeight w:val="90"/>
          <w:jc w:val="center"/>
        </w:trPr>
        <w:tc>
          <w:tcPr>
            <w:tcW w:w="13236" w:type="dxa"/>
            <w:gridSpan w:val="10"/>
            <w:tcBorders>
              <w:top w:val="nil"/>
              <w:left w:val="single" w:sz="8" w:space="0" w:color="auto"/>
              <w:bottom w:val="single" w:sz="8" w:space="0" w:color="auto"/>
              <w:right w:val="single" w:sz="8" w:space="0" w:color="auto"/>
            </w:tcBorders>
            <w:tcMar>
              <w:top w:w="72" w:type="dxa"/>
              <w:left w:w="72" w:type="dxa"/>
              <w:bottom w:w="72" w:type="dxa"/>
              <w:right w:w="72" w:type="dxa"/>
            </w:tcMar>
            <w:vAlign w:val="center"/>
            <w:hideMark/>
          </w:tcPr>
          <w:p w14:paraId="64AF1A24" w14:textId="023FBF74" w:rsidR="00E26509" w:rsidRDefault="00E26509" w:rsidP="00243965">
            <w:pPr>
              <w:rPr>
                <w:sz w:val="20"/>
                <w:szCs w:val="20"/>
              </w:rPr>
            </w:pPr>
            <w:r>
              <w:rPr>
                <w:b/>
                <w:bCs/>
                <w:sz w:val="20"/>
                <w:szCs w:val="20"/>
              </w:rPr>
              <w:t xml:space="preserve">Florida </w:t>
            </w:r>
            <w:r w:rsidR="00243965">
              <w:rPr>
                <w:b/>
                <w:bCs/>
                <w:sz w:val="20"/>
                <w:szCs w:val="20"/>
              </w:rPr>
              <w:t>u</w:t>
            </w:r>
            <w:r>
              <w:rPr>
                <w:b/>
                <w:bCs/>
                <w:sz w:val="20"/>
                <w:szCs w:val="20"/>
              </w:rPr>
              <w:t xml:space="preserve">nits </w:t>
            </w:r>
            <w:r w:rsidR="00243965">
              <w:rPr>
                <w:b/>
                <w:bCs/>
                <w:sz w:val="20"/>
                <w:szCs w:val="20"/>
              </w:rPr>
              <w:t>n</w:t>
            </w:r>
            <w:r>
              <w:rPr>
                <w:b/>
                <w:bCs/>
                <w:sz w:val="20"/>
                <w:szCs w:val="20"/>
              </w:rPr>
              <w:t xml:space="preserve">o </w:t>
            </w:r>
            <w:r w:rsidR="00243965">
              <w:rPr>
                <w:b/>
                <w:bCs/>
                <w:sz w:val="20"/>
                <w:szCs w:val="20"/>
              </w:rPr>
              <w:t>l</w:t>
            </w:r>
            <w:r>
              <w:rPr>
                <w:b/>
                <w:bCs/>
                <w:sz w:val="20"/>
                <w:szCs w:val="20"/>
              </w:rPr>
              <w:t xml:space="preserve">onger </w:t>
            </w:r>
            <w:r w:rsidR="00243965">
              <w:rPr>
                <w:b/>
                <w:bCs/>
                <w:sz w:val="20"/>
                <w:szCs w:val="20"/>
              </w:rPr>
              <w:t xml:space="preserve">affected under </w:t>
            </w:r>
            <w:r w:rsidR="000D29F7">
              <w:rPr>
                <w:b/>
                <w:bCs/>
                <w:sz w:val="20"/>
                <w:szCs w:val="20"/>
              </w:rPr>
              <w:t xml:space="preserve">either </w:t>
            </w:r>
            <w:r>
              <w:rPr>
                <w:b/>
                <w:bCs/>
                <w:sz w:val="20"/>
                <w:szCs w:val="20"/>
              </w:rPr>
              <w:t xml:space="preserve">CSAPR </w:t>
            </w:r>
            <w:r w:rsidR="00243965">
              <w:rPr>
                <w:b/>
                <w:bCs/>
                <w:sz w:val="20"/>
                <w:szCs w:val="20"/>
              </w:rPr>
              <w:t>or ARP</w:t>
            </w:r>
            <w:r>
              <w:rPr>
                <w:b/>
                <w:bCs/>
                <w:sz w:val="20"/>
                <w:szCs w:val="20"/>
              </w:rPr>
              <w:t xml:space="preserve"> </w:t>
            </w:r>
          </w:p>
        </w:tc>
      </w:tr>
      <w:tr w:rsidR="001439B2" w14:paraId="0DF4CE2D" w14:textId="77777777" w:rsidTr="001F5EE4">
        <w:trPr>
          <w:trHeight w:val="23"/>
          <w:jc w:val="center"/>
        </w:trPr>
        <w:tc>
          <w:tcPr>
            <w:tcW w:w="1673" w:type="dxa"/>
            <w:tcBorders>
              <w:top w:val="nil"/>
              <w:left w:val="single" w:sz="8" w:space="0" w:color="auto"/>
              <w:bottom w:val="single" w:sz="8" w:space="0" w:color="auto"/>
              <w:right w:val="single" w:sz="8" w:space="0" w:color="auto"/>
            </w:tcBorders>
            <w:tcMar>
              <w:top w:w="72" w:type="dxa"/>
              <w:left w:w="72" w:type="dxa"/>
              <w:bottom w:w="72" w:type="dxa"/>
              <w:right w:w="72" w:type="dxa"/>
            </w:tcMar>
            <w:hideMark/>
          </w:tcPr>
          <w:p w14:paraId="63976C2A" w14:textId="1543FFCE" w:rsidR="00E26509" w:rsidRDefault="00E26509" w:rsidP="000E3690">
            <w:pPr>
              <w:ind w:left="245" w:hanging="245"/>
              <w:rPr>
                <w:sz w:val="20"/>
                <w:szCs w:val="20"/>
              </w:rPr>
            </w:pPr>
            <w:r>
              <w:rPr>
                <w:sz w:val="20"/>
                <w:szCs w:val="20"/>
              </w:rPr>
              <w:t xml:space="preserve">a.  </w:t>
            </w:r>
            <w:r w:rsidR="000E3690">
              <w:rPr>
                <w:sz w:val="20"/>
                <w:szCs w:val="20"/>
              </w:rPr>
              <w:t xml:space="preserve">Units using </w:t>
            </w:r>
            <w:r w:rsidR="001439B2" w:rsidRPr="001439B2">
              <w:rPr>
                <w:sz w:val="20"/>
                <w:szCs w:val="20"/>
              </w:rPr>
              <w:t>NO</w:t>
            </w:r>
            <w:r w:rsidR="001439B2" w:rsidRPr="001439B2">
              <w:rPr>
                <w:sz w:val="20"/>
                <w:szCs w:val="20"/>
                <w:vertAlign w:val="subscript"/>
              </w:rPr>
              <w:t>X</w:t>
            </w:r>
            <w:r>
              <w:rPr>
                <w:sz w:val="20"/>
                <w:szCs w:val="20"/>
              </w:rPr>
              <w:t xml:space="preserve"> </w:t>
            </w:r>
            <w:r w:rsidR="001439B2">
              <w:rPr>
                <w:sz w:val="20"/>
                <w:szCs w:val="20"/>
              </w:rPr>
              <w:t xml:space="preserve">CEMS </w:t>
            </w:r>
            <w:r>
              <w:rPr>
                <w:sz w:val="20"/>
                <w:szCs w:val="20"/>
              </w:rPr>
              <w:t>and flue gas flow CEMS</w:t>
            </w:r>
          </w:p>
        </w:tc>
        <w:tc>
          <w:tcPr>
            <w:tcW w:w="1078" w:type="dxa"/>
            <w:tcBorders>
              <w:top w:val="nil"/>
              <w:left w:val="nil"/>
              <w:bottom w:val="single" w:sz="8" w:space="0" w:color="auto"/>
              <w:right w:val="single" w:sz="8" w:space="0" w:color="auto"/>
            </w:tcBorders>
            <w:tcMar>
              <w:top w:w="72" w:type="dxa"/>
              <w:left w:w="72" w:type="dxa"/>
              <w:bottom w:w="72" w:type="dxa"/>
              <w:right w:w="72" w:type="dxa"/>
            </w:tcMar>
            <w:vAlign w:val="bottom"/>
            <w:hideMark/>
          </w:tcPr>
          <w:p w14:paraId="431D7C72" w14:textId="28F0AD8C" w:rsidR="00E26509" w:rsidRPr="009D42E0" w:rsidRDefault="00FC52F5">
            <w:pPr>
              <w:jc w:val="right"/>
              <w:rPr>
                <w:color w:val="000000"/>
                <w:sz w:val="20"/>
                <w:szCs w:val="20"/>
              </w:rPr>
            </w:pPr>
            <w:r w:rsidRPr="009D42E0">
              <w:rPr>
                <w:color w:val="000000"/>
                <w:sz w:val="20"/>
                <w:szCs w:val="20"/>
              </w:rPr>
              <w:t>(</w:t>
            </w:r>
            <w:r w:rsidR="00E26509" w:rsidRPr="009D42E0">
              <w:rPr>
                <w:color w:val="000000"/>
                <w:sz w:val="20"/>
                <w:szCs w:val="20"/>
              </w:rPr>
              <w:t>40</w:t>
            </w:r>
            <w:r w:rsidRPr="009D42E0">
              <w:rPr>
                <w:color w:val="000000"/>
                <w:sz w:val="20"/>
                <w:szCs w:val="20"/>
              </w:rPr>
              <w:t>)</w:t>
            </w:r>
          </w:p>
        </w:tc>
        <w:tc>
          <w:tcPr>
            <w:tcW w:w="1144" w:type="dxa"/>
            <w:tcBorders>
              <w:top w:val="nil"/>
              <w:left w:val="nil"/>
              <w:bottom w:val="single" w:sz="8" w:space="0" w:color="auto"/>
              <w:right w:val="single" w:sz="8" w:space="0" w:color="auto"/>
            </w:tcBorders>
            <w:tcMar>
              <w:top w:w="72" w:type="dxa"/>
              <w:left w:w="72" w:type="dxa"/>
              <w:bottom w:w="72" w:type="dxa"/>
              <w:right w:w="72" w:type="dxa"/>
            </w:tcMar>
            <w:vAlign w:val="bottom"/>
            <w:hideMark/>
          </w:tcPr>
          <w:p w14:paraId="5D3BFE8C" w14:textId="61221A26" w:rsidR="00E26509" w:rsidRPr="009D42E0" w:rsidRDefault="00FC52F5">
            <w:pPr>
              <w:jc w:val="right"/>
              <w:rPr>
                <w:color w:val="000000"/>
                <w:sz w:val="20"/>
                <w:szCs w:val="20"/>
              </w:rPr>
            </w:pPr>
            <w:r w:rsidRPr="009D42E0">
              <w:rPr>
                <w:color w:val="000000"/>
                <w:sz w:val="20"/>
                <w:szCs w:val="20"/>
              </w:rPr>
              <w:t>(</w:t>
            </w:r>
            <w:r w:rsidR="00E26509" w:rsidRPr="009D42E0">
              <w:rPr>
                <w:color w:val="000000"/>
                <w:sz w:val="20"/>
                <w:szCs w:val="20"/>
              </w:rPr>
              <w:t>400</w:t>
            </w:r>
            <w:r w:rsidRPr="009D42E0">
              <w:rPr>
                <w:color w:val="000000"/>
                <w:sz w:val="20"/>
                <w:szCs w:val="20"/>
              </w:rPr>
              <w:t>)</w:t>
            </w:r>
          </w:p>
        </w:tc>
        <w:tc>
          <w:tcPr>
            <w:tcW w:w="1358" w:type="dxa"/>
            <w:tcBorders>
              <w:top w:val="nil"/>
              <w:left w:val="nil"/>
              <w:bottom w:val="single" w:sz="8" w:space="0" w:color="auto"/>
              <w:right w:val="single" w:sz="8" w:space="0" w:color="auto"/>
            </w:tcBorders>
            <w:tcMar>
              <w:top w:w="72" w:type="dxa"/>
              <w:left w:w="72" w:type="dxa"/>
              <w:bottom w:w="72" w:type="dxa"/>
              <w:right w:w="72" w:type="dxa"/>
            </w:tcMar>
            <w:vAlign w:val="bottom"/>
            <w:hideMark/>
          </w:tcPr>
          <w:p w14:paraId="61A13898" w14:textId="0C0E8B7E" w:rsidR="00E26509" w:rsidRPr="009D42E0" w:rsidRDefault="00FC52F5">
            <w:pPr>
              <w:jc w:val="right"/>
              <w:rPr>
                <w:color w:val="000000"/>
                <w:sz w:val="20"/>
                <w:szCs w:val="20"/>
              </w:rPr>
            </w:pPr>
            <w:r w:rsidRPr="009D42E0">
              <w:rPr>
                <w:color w:val="000000"/>
                <w:sz w:val="20"/>
                <w:szCs w:val="20"/>
              </w:rPr>
              <w:t>(</w:t>
            </w:r>
            <w:r w:rsidR="00E26509" w:rsidRPr="009D42E0">
              <w:rPr>
                <w:color w:val="000000"/>
                <w:sz w:val="20"/>
                <w:szCs w:val="20"/>
              </w:rPr>
              <w:t>440</w:t>
            </w:r>
            <w:r w:rsidRPr="009D42E0">
              <w:rPr>
                <w:color w:val="000000"/>
                <w:sz w:val="20"/>
                <w:szCs w:val="20"/>
              </w:rPr>
              <w:t>)</w:t>
            </w:r>
          </w:p>
        </w:tc>
        <w:tc>
          <w:tcPr>
            <w:tcW w:w="1358" w:type="dxa"/>
            <w:tcBorders>
              <w:top w:val="nil"/>
              <w:left w:val="nil"/>
              <w:bottom w:val="single" w:sz="8" w:space="0" w:color="auto"/>
              <w:right w:val="single" w:sz="8" w:space="0" w:color="auto"/>
            </w:tcBorders>
            <w:tcMar>
              <w:top w:w="72" w:type="dxa"/>
              <w:left w:w="72" w:type="dxa"/>
              <w:bottom w:w="72" w:type="dxa"/>
              <w:right w:w="72" w:type="dxa"/>
            </w:tcMar>
            <w:vAlign w:val="bottom"/>
            <w:hideMark/>
          </w:tcPr>
          <w:p w14:paraId="0105031A" w14:textId="0DBAB84E" w:rsidR="00E26509" w:rsidRPr="009D42E0" w:rsidRDefault="00FC52F5">
            <w:pPr>
              <w:jc w:val="right"/>
              <w:rPr>
                <w:color w:val="000000"/>
                <w:sz w:val="20"/>
                <w:szCs w:val="20"/>
              </w:rPr>
            </w:pPr>
            <w:r w:rsidRPr="009D42E0">
              <w:rPr>
                <w:color w:val="000000"/>
                <w:sz w:val="20"/>
                <w:szCs w:val="20"/>
              </w:rPr>
              <w:t>(</w:t>
            </w:r>
            <w:r w:rsidR="00E26509" w:rsidRPr="009D42E0">
              <w:rPr>
                <w:color w:val="000000"/>
                <w:sz w:val="20"/>
                <w:szCs w:val="20"/>
              </w:rPr>
              <w:t>$30,756</w:t>
            </w:r>
            <w:r w:rsidRPr="009D42E0">
              <w:rPr>
                <w:color w:val="000000"/>
                <w:sz w:val="20"/>
                <w:szCs w:val="20"/>
              </w:rPr>
              <w:t>)</w:t>
            </w:r>
          </w:p>
        </w:tc>
        <w:tc>
          <w:tcPr>
            <w:tcW w:w="905" w:type="dxa"/>
            <w:tcBorders>
              <w:top w:val="nil"/>
              <w:left w:val="nil"/>
              <w:bottom w:val="single" w:sz="8" w:space="0" w:color="auto"/>
              <w:right w:val="single" w:sz="8" w:space="0" w:color="auto"/>
            </w:tcBorders>
            <w:tcMar>
              <w:top w:w="72" w:type="dxa"/>
              <w:left w:w="72" w:type="dxa"/>
              <w:bottom w:w="72" w:type="dxa"/>
              <w:right w:w="72" w:type="dxa"/>
            </w:tcMar>
            <w:vAlign w:val="bottom"/>
          </w:tcPr>
          <w:p w14:paraId="3854B4CB" w14:textId="77777777" w:rsidR="00E26509" w:rsidRPr="009D42E0" w:rsidRDefault="00E26509">
            <w:pPr>
              <w:jc w:val="right"/>
              <w:rPr>
                <w:color w:val="000000"/>
                <w:sz w:val="20"/>
                <w:szCs w:val="20"/>
              </w:rPr>
            </w:pPr>
          </w:p>
        </w:tc>
        <w:tc>
          <w:tcPr>
            <w:tcW w:w="928" w:type="dxa"/>
            <w:tcBorders>
              <w:top w:val="nil"/>
              <w:left w:val="nil"/>
              <w:bottom w:val="single" w:sz="8" w:space="0" w:color="auto"/>
              <w:right w:val="single" w:sz="8" w:space="0" w:color="auto"/>
            </w:tcBorders>
            <w:tcMar>
              <w:top w:w="72" w:type="dxa"/>
              <w:left w:w="72" w:type="dxa"/>
              <w:bottom w:w="72" w:type="dxa"/>
              <w:right w:w="72" w:type="dxa"/>
            </w:tcMar>
            <w:vAlign w:val="bottom"/>
            <w:hideMark/>
          </w:tcPr>
          <w:p w14:paraId="24A89A01" w14:textId="7DB60F01" w:rsidR="00E26509" w:rsidRPr="009D42E0" w:rsidRDefault="00FC52F5">
            <w:pPr>
              <w:jc w:val="right"/>
              <w:rPr>
                <w:color w:val="000000"/>
                <w:sz w:val="20"/>
                <w:szCs w:val="20"/>
              </w:rPr>
            </w:pPr>
            <w:r w:rsidRPr="009D42E0">
              <w:rPr>
                <w:color w:val="000000"/>
                <w:sz w:val="20"/>
                <w:szCs w:val="20"/>
              </w:rPr>
              <w:t>(</w:t>
            </w:r>
            <w:r w:rsidR="00E26509" w:rsidRPr="009D42E0">
              <w:rPr>
                <w:color w:val="000000"/>
                <w:sz w:val="20"/>
                <w:szCs w:val="20"/>
              </w:rPr>
              <w:t>$31,949</w:t>
            </w:r>
            <w:r w:rsidRPr="009D42E0">
              <w:rPr>
                <w:color w:val="000000"/>
                <w:sz w:val="20"/>
                <w:szCs w:val="20"/>
              </w:rPr>
              <w:t>)</w:t>
            </w:r>
            <w:r w:rsidR="00E26509" w:rsidRPr="009D42E0">
              <w:rPr>
                <w:color w:val="000000"/>
                <w:sz w:val="20"/>
                <w:szCs w:val="20"/>
              </w:rPr>
              <w:t xml:space="preserve"> </w:t>
            </w:r>
          </w:p>
        </w:tc>
        <w:tc>
          <w:tcPr>
            <w:tcW w:w="1451" w:type="dxa"/>
            <w:tcBorders>
              <w:top w:val="nil"/>
              <w:left w:val="nil"/>
              <w:bottom w:val="single" w:sz="8" w:space="0" w:color="auto"/>
              <w:right w:val="single" w:sz="8" w:space="0" w:color="auto"/>
            </w:tcBorders>
            <w:tcMar>
              <w:top w:w="72" w:type="dxa"/>
              <w:left w:w="72" w:type="dxa"/>
              <w:bottom w:w="72" w:type="dxa"/>
              <w:right w:w="72" w:type="dxa"/>
            </w:tcMar>
            <w:vAlign w:val="bottom"/>
            <w:hideMark/>
          </w:tcPr>
          <w:p w14:paraId="7328D786" w14:textId="42D532DC" w:rsidR="00E26509" w:rsidRPr="001F5EE4" w:rsidRDefault="00821378" w:rsidP="00821378">
            <w:pPr>
              <w:keepNext/>
              <w:jc w:val="right"/>
              <w:rPr>
                <w:color w:val="000000"/>
                <w:sz w:val="20"/>
                <w:szCs w:val="20"/>
              </w:rPr>
            </w:pPr>
            <w:r>
              <w:rPr>
                <w:color w:val="000000"/>
                <w:sz w:val="20"/>
                <w:szCs w:val="20"/>
              </w:rPr>
              <w:t>7</w:t>
            </w:r>
          </w:p>
        </w:tc>
        <w:tc>
          <w:tcPr>
            <w:tcW w:w="1757" w:type="dxa"/>
            <w:tcBorders>
              <w:top w:val="nil"/>
              <w:left w:val="nil"/>
              <w:bottom w:val="single" w:sz="8" w:space="0" w:color="auto"/>
              <w:right w:val="single" w:sz="8" w:space="0" w:color="auto"/>
            </w:tcBorders>
            <w:tcMar>
              <w:top w:w="72" w:type="dxa"/>
              <w:left w:w="72" w:type="dxa"/>
              <w:bottom w:w="72" w:type="dxa"/>
              <w:right w:w="72" w:type="dxa"/>
            </w:tcMar>
            <w:vAlign w:val="bottom"/>
            <w:hideMark/>
          </w:tcPr>
          <w:p w14:paraId="00E1349B" w14:textId="3FB0C98C" w:rsidR="00E26509" w:rsidRPr="001F5EE4" w:rsidRDefault="001F5EE4" w:rsidP="00821378">
            <w:pPr>
              <w:jc w:val="right"/>
              <w:rPr>
                <w:color w:val="000000"/>
                <w:sz w:val="20"/>
                <w:szCs w:val="20"/>
              </w:rPr>
            </w:pPr>
            <w:r w:rsidRPr="001F5EE4">
              <w:rPr>
                <w:color w:val="000000"/>
                <w:sz w:val="20"/>
                <w:szCs w:val="20"/>
              </w:rPr>
              <w:t>(3,</w:t>
            </w:r>
            <w:r w:rsidR="00821378">
              <w:rPr>
                <w:color w:val="000000"/>
                <w:sz w:val="20"/>
                <w:szCs w:val="20"/>
              </w:rPr>
              <w:t>08</w:t>
            </w:r>
            <w:r w:rsidRPr="001F5EE4">
              <w:rPr>
                <w:color w:val="000000"/>
                <w:sz w:val="20"/>
                <w:szCs w:val="20"/>
              </w:rPr>
              <w:t>0)</w:t>
            </w:r>
          </w:p>
        </w:tc>
        <w:tc>
          <w:tcPr>
            <w:tcW w:w="1584" w:type="dxa"/>
            <w:tcBorders>
              <w:top w:val="nil"/>
              <w:left w:val="nil"/>
              <w:bottom w:val="single" w:sz="8" w:space="0" w:color="auto"/>
              <w:right w:val="single" w:sz="8" w:space="0" w:color="auto"/>
            </w:tcBorders>
            <w:tcMar>
              <w:top w:w="72" w:type="dxa"/>
              <w:left w:w="72" w:type="dxa"/>
              <w:bottom w:w="72" w:type="dxa"/>
              <w:right w:w="72" w:type="dxa"/>
            </w:tcMar>
            <w:vAlign w:val="bottom"/>
            <w:hideMark/>
          </w:tcPr>
          <w:p w14:paraId="5AABDAC6" w14:textId="65E30FEB" w:rsidR="00E26509" w:rsidRPr="001F5EE4" w:rsidRDefault="001F5EE4" w:rsidP="00821378">
            <w:pPr>
              <w:jc w:val="right"/>
              <w:rPr>
                <w:color w:val="000000"/>
                <w:sz w:val="20"/>
                <w:szCs w:val="20"/>
              </w:rPr>
            </w:pPr>
            <w:r w:rsidRPr="001F5EE4">
              <w:rPr>
                <w:color w:val="000000"/>
                <w:sz w:val="20"/>
                <w:szCs w:val="20"/>
              </w:rPr>
              <w:t>($</w:t>
            </w:r>
            <w:r w:rsidR="00821378">
              <w:rPr>
                <w:color w:val="000000"/>
                <w:sz w:val="20"/>
                <w:szCs w:val="20"/>
              </w:rPr>
              <w:t>438,935</w:t>
            </w:r>
            <w:r w:rsidRPr="001F5EE4">
              <w:rPr>
                <w:color w:val="000000"/>
                <w:sz w:val="20"/>
                <w:szCs w:val="20"/>
              </w:rPr>
              <w:t>)</w:t>
            </w:r>
          </w:p>
        </w:tc>
      </w:tr>
      <w:tr w:rsidR="001439B2" w14:paraId="054EA79A" w14:textId="77777777" w:rsidTr="001F5EE4">
        <w:trPr>
          <w:trHeight w:val="630"/>
          <w:jc w:val="center"/>
        </w:trPr>
        <w:tc>
          <w:tcPr>
            <w:tcW w:w="1673" w:type="dxa"/>
            <w:tcBorders>
              <w:top w:val="nil"/>
              <w:left w:val="single" w:sz="8" w:space="0" w:color="auto"/>
              <w:bottom w:val="single" w:sz="8" w:space="0" w:color="auto"/>
              <w:right w:val="single" w:sz="8" w:space="0" w:color="auto"/>
            </w:tcBorders>
            <w:tcMar>
              <w:top w:w="72" w:type="dxa"/>
              <w:left w:w="72" w:type="dxa"/>
              <w:bottom w:w="72" w:type="dxa"/>
              <w:right w:w="72" w:type="dxa"/>
            </w:tcMar>
            <w:hideMark/>
          </w:tcPr>
          <w:p w14:paraId="35D92C29" w14:textId="089C52A5" w:rsidR="00E26509" w:rsidRDefault="001F5EE4" w:rsidP="000E3690">
            <w:pPr>
              <w:ind w:left="245" w:hanging="245"/>
              <w:rPr>
                <w:sz w:val="20"/>
                <w:szCs w:val="20"/>
              </w:rPr>
            </w:pPr>
            <w:r>
              <w:rPr>
                <w:sz w:val="20"/>
                <w:szCs w:val="20"/>
              </w:rPr>
              <w:t>b</w:t>
            </w:r>
            <w:r w:rsidR="00E26509">
              <w:rPr>
                <w:sz w:val="20"/>
                <w:szCs w:val="20"/>
              </w:rPr>
              <w:t xml:space="preserve">.  </w:t>
            </w:r>
            <w:r w:rsidR="000E3690">
              <w:rPr>
                <w:sz w:val="20"/>
                <w:szCs w:val="20"/>
              </w:rPr>
              <w:t xml:space="preserve">Units using </w:t>
            </w:r>
            <w:r w:rsidR="00CF5EDA">
              <w:rPr>
                <w:sz w:val="20"/>
                <w:szCs w:val="20"/>
              </w:rPr>
              <w:t>A</w:t>
            </w:r>
            <w:r w:rsidR="00E26509">
              <w:rPr>
                <w:sz w:val="20"/>
                <w:szCs w:val="20"/>
              </w:rPr>
              <w:t xml:space="preserve">ppendix D fuel </w:t>
            </w:r>
            <w:r w:rsidR="00243965">
              <w:rPr>
                <w:sz w:val="20"/>
                <w:szCs w:val="20"/>
              </w:rPr>
              <w:t>flow monitoring</w:t>
            </w:r>
            <w:r w:rsidR="001439B2">
              <w:rPr>
                <w:sz w:val="20"/>
                <w:szCs w:val="20"/>
              </w:rPr>
              <w:t xml:space="preserve"> </w:t>
            </w:r>
            <w:r w:rsidR="00867A89">
              <w:rPr>
                <w:sz w:val="20"/>
                <w:szCs w:val="20"/>
              </w:rPr>
              <w:t xml:space="preserve">and </w:t>
            </w:r>
            <w:r w:rsidR="00CF5EDA">
              <w:rPr>
                <w:sz w:val="20"/>
                <w:szCs w:val="20"/>
              </w:rPr>
              <w:t>A</w:t>
            </w:r>
            <w:r w:rsidR="001439B2">
              <w:rPr>
                <w:sz w:val="20"/>
                <w:szCs w:val="20"/>
              </w:rPr>
              <w:t>ppendix E</w:t>
            </w:r>
            <w:r w:rsidR="00243965">
              <w:rPr>
                <w:sz w:val="20"/>
                <w:szCs w:val="20"/>
              </w:rPr>
              <w:t xml:space="preserve"> </w:t>
            </w:r>
            <w:r w:rsidR="00780314" w:rsidRPr="00780314">
              <w:rPr>
                <w:sz w:val="20"/>
                <w:szCs w:val="20"/>
              </w:rPr>
              <w:t>NO</w:t>
            </w:r>
            <w:r w:rsidR="00780314" w:rsidRPr="00780314">
              <w:rPr>
                <w:sz w:val="20"/>
                <w:szCs w:val="20"/>
                <w:vertAlign w:val="subscript"/>
              </w:rPr>
              <w:t>X</w:t>
            </w:r>
            <w:r w:rsidR="00780314">
              <w:rPr>
                <w:sz w:val="20"/>
                <w:szCs w:val="20"/>
              </w:rPr>
              <w:t xml:space="preserve"> </w:t>
            </w:r>
            <w:r w:rsidR="00243965">
              <w:rPr>
                <w:sz w:val="20"/>
                <w:szCs w:val="20"/>
              </w:rPr>
              <w:t>rate testing</w:t>
            </w:r>
            <w:r w:rsidR="000E3690">
              <w:rPr>
                <w:sz w:val="20"/>
                <w:szCs w:val="20"/>
              </w:rPr>
              <w:t xml:space="preserve"> or using </w:t>
            </w:r>
            <w:r w:rsidR="00243965">
              <w:rPr>
                <w:sz w:val="20"/>
                <w:szCs w:val="20"/>
              </w:rPr>
              <w:t xml:space="preserve">§75.19 </w:t>
            </w:r>
            <w:r w:rsidR="00E26509">
              <w:rPr>
                <w:sz w:val="20"/>
                <w:szCs w:val="20"/>
              </w:rPr>
              <w:t>LME methods</w:t>
            </w:r>
          </w:p>
        </w:tc>
        <w:tc>
          <w:tcPr>
            <w:tcW w:w="1078" w:type="dxa"/>
            <w:tcBorders>
              <w:top w:val="nil"/>
              <w:left w:val="nil"/>
              <w:bottom w:val="single" w:sz="8" w:space="0" w:color="auto"/>
              <w:right w:val="single" w:sz="8" w:space="0" w:color="auto"/>
            </w:tcBorders>
            <w:tcMar>
              <w:top w:w="72" w:type="dxa"/>
              <w:left w:w="72" w:type="dxa"/>
              <w:bottom w:w="72" w:type="dxa"/>
              <w:right w:w="72" w:type="dxa"/>
            </w:tcMar>
            <w:vAlign w:val="bottom"/>
            <w:hideMark/>
          </w:tcPr>
          <w:p w14:paraId="677FEC58" w14:textId="349DC0D0" w:rsidR="00E26509" w:rsidRPr="009D42E0" w:rsidRDefault="00FC52F5">
            <w:pPr>
              <w:jc w:val="right"/>
              <w:rPr>
                <w:color w:val="000000"/>
                <w:sz w:val="20"/>
                <w:szCs w:val="20"/>
              </w:rPr>
            </w:pPr>
            <w:r w:rsidRPr="009D42E0">
              <w:rPr>
                <w:color w:val="000000"/>
                <w:sz w:val="20"/>
                <w:szCs w:val="20"/>
              </w:rPr>
              <w:t>(</w:t>
            </w:r>
            <w:r w:rsidR="00E26509" w:rsidRPr="009D42E0">
              <w:rPr>
                <w:color w:val="000000"/>
                <w:sz w:val="20"/>
                <w:szCs w:val="20"/>
              </w:rPr>
              <w:t>5</w:t>
            </w:r>
            <w:r w:rsidRPr="009D42E0">
              <w:rPr>
                <w:color w:val="000000"/>
                <w:sz w:val="20"/>
                <w:szCs w:val="20"/>
              </w:rPr>
              <w:t>)</w:t>
            </w:r>
          </w:p>
        </w:tc>
        <w:tc>
          <w:tcPr>
            <w:tcW w:w="1144" w:type="dxa"/>
            <w:tcBorders>
              <w:top w:val="nil"/>
              <w:left w:val="nil"/>
              <w:bottom w:val="single" w:sz="8" w:space="0" w:color="auto"/>
              <w:right w:val="single" w:sz="8" w:space="0" w:color="auto"/>
            </w:tcBorders>
            <w:tcMar>
              <w:top w:w="72" w:type="dxa"/>
              <w:left w:w="72" w:type="dxa"/>
              <w:bottom w:w="72" w:type="dxa"/>
              <w:right w:w="72" w:type="dxa"/>
            </w:tcMar>
            <w:vAlign w:val="bottom"/>
            <w:hideMark/>
          </w:tcPr>
          <w:p w14:paraId="319AE8CD" w14:textId="092355B7" w:rsidR="00E26509" w:rsidRPr="009D42E0" w:rsidRDefault="00FC52F5">
            <w:pPr>
              <w:jc w:val="right"/>
              <w:rPr>
                <w:color w:val="000000"/>
                <w:sz w:val="20"/>
                <w:szCs w:val="20"/>
              </w:rPr>
            </w:pPr>
            <w:r w:rsidRPr="009D42E0">
              <w:rPr>
                <w:color w:val="000000"/>
                <w:sz w:val="20"/>
                <w:szCs w:val="20"/>
              </w:rPr>
              <w:t>(</w:t>
            </w:r>
            <w:r w:rsidR="00E26509" w:rsidRPr="009D42E0">
              <w:rPr>
                <w:color w:val="000000"/>
                <w:sz w:val="20"/>
                <w:szCs w:val="20"/>
              </w:rPr>
              <w:t>30</w:t>
            </w:r>
            <w:r w:rsidRPr="009D42E0">
              <w:rPr>
                <w:color w:val="000000"/>
                <w:sz w:val="20"/>
                <w:szCs w:val="20"/>
              </w:rPr>
              <w:t>)</w:t>
            </w:r>
          </w:p>
        </w:tc>
        <w:tc>
          <w:tcPr>
            <w:tcW w:w="1358" w:type="dxa"/>
            <w:tcBorders>
              <w:top w:val="nil"/>
              <w:left w:val="nil"/>
              <w:bottom w:val="single" w:sz="8" w:space="0" w:color="auto"/>
              <w:right w:val="single" w:sz="8" w:space="0" w:color="auto"/>
            </w:tcBorders>
            <w:tcMar>
              <w:top w:w="72" w:type="dxa"/>
              <w:left w:w="72" w:type="dxa"/>
              <w:bottom w:w="72" w:type="dxa"/>
              <w:right w:w="72" w:type="dxa"/>
            </w:tcMar>
            <w:vAlign w:val="bottom"/>
            <w:hideMark/>
          </w:tcPr>
          <w:p w14:paraId="1EE1CB7A" w14:textId="1AD7C8F0" w:rsidR="00E26509" w:rsidRPr="009D42E0" w:rsidRDefault="00FC52F5">
            <w:pPr>
              <w:jc w:val="right"/>
              <w:rPr>
                <w:color w:val="000000"/>
                <w:sz w:val="20"/>
                <w:szCs w:val="20"/>
              </w:rPr>
            </w:pPr>
            <w:r w:rsidRPr="009D42E0">
              <w:rPr>
                <w:color w:val="000000"/>
                <w:sz w:val="20"/>
                <w:szCs w:val="20"/>
              </w:rPr>
              <w:t>(</w:t>
            </w:r>
            <w:r w:rsidR="00E26509" w:rsidRPr="009D42E0">
              <w:rPr>
                <w:color w:val="000000"/>
                <w:sz w:val="20"/>
                <w:szCs w:val="20"/>
              </w:rPr>
              <w:t>35</w:t>
            </w:r>
            <w:r w:rsidRPr="009D42E0">
              <w:rPr>
                <w:color w:val="000000"/>
                <w:sz w:val="20"/>
                <w:szCs w:val="20"/>
              </w:rPr>
              <w:t>)</w:t>
            </w:r>
          </w:p>
        </w:tc>
        <w:tc>
          <w:tcPr>
            <w:tcW w:w="1358" w:type="dxa"/>
            <w:tcBorders>
              <w:top w:val="nil"/>
              <w:left w:val="nil"/>
              <w:bottom w:val="single" w:sz="8" w:space="0" w:color="auto"/>
              <w:right w:val="single" w:sz="8" w:space="0" w:color="auto"/>
            </w:tcBorders>
            <w:tcMar>
              <w:top w:w="72" w:type="dxa"/>
              <w:left w:w="72" w:type="dxa"/>
              <w:bottom w:w="72" w:type="dxa"/>
              <w:right w:w="72" w:type="dxa"/>
            </w:tcMar>
            <w:vAlign w:val="bottom"/>
            <w:hideMark/>
          </w:tcPr>
          <w:p w14:paraId="5747DA57" w14:textId="504F07FB" w:rsidR="00E26509" w:rsidRPr="009D42E0" w:rsidRDefault="00FC52F5">
            <w:pPr>
              <w:jc w:val="right"/>
              <w:rPr>
                <w:color w:val="000000"/>
                <w:sz w:val="20"/>
                <w:szCs w:val="20"/>
              </w:rPr>
            </w:pPr>
            <w:r w:rsidRPr="009D42E0">
              <w:rPr>
                <w:color w:val="000000"/>
                <w:sz w:val="20"/>
                <w:szCs w:val="20"/>
              </w:rPr>
              <w:t>(</w:t>
            </w:r>
            <w:r w:rsidR="00E26509" w:rsidRPr="009D42E0">
              <w:rPr>
                <w:color w:val="000000"/>
                <w:sz w:val="20"/>
                <w:szCs w:val="20"/>
              </w:rPr>
              <w:t>$2,497</w:t>
            </w:r>
            <w:r w:rsidRPr="009D42E0">
              <w:rPr>
                <w:color w:val="000000"/>
                <w:sz w:val="20"/>
                <w:szCs w:val="20"/>
              </w:rPr>
              <w:t>)</w:t>
            </w:r>
          </w:p>
        </w:tc>
        <w:tc>
          <w:tcPr>
            <w:tcW w:w="905" w:type="dxa"/>
            <w:tcBorders>
              <w:top w:val="nil"/>
              <w:left w:val="nil"/>
              <w:bottom w:val="single" w:sz="8" w:space="0" w:color="auto"/>
              <w:right w:val="single" w:sz="8" w:space="0" w:color="auto"/>
            </w:tcBorders>
            <w:tcMar>
              <w:top w:w="72" w:type="dxa"/>
              <w:left w:w="72" w:type="dxa"/>
              <w:bottom w:w="72" w:type="dxa"/>
              <w:right w:w="72" w:type="dxa"/>
            </w:tcMar>
            <w:vAlign w:val="bottom"/>
          </w:tcPr>
          <w:p w14:paraId="7A901F55" w14:textId="77777777" w:rsidR="00E26509" w:rsidRPr="009D42E0" w:rsidRDefault="00E26509">
            <w:pPr>
              <w:jc w:val="right"/>
              <w:rPr>
                <w:color w:val="000000"/>
                <w:sz w:val="20"/>
                <w:szCs w:val="20"/>
              </w:rPr>
            </w:pPr>
          </w:p>
        </w:tc>
        <w:tc>
          <w:tcPr>
            <w:tcW w:w="928" w:type="dxa"/>
            <w:tcBorders>
              <w:top w:val="nil"/>
              <w:left w:val="nil"/>
              <w:bottom w:val="single" w:sz="8" w:space="0" w:color="auto"/>
              <w:right w:val="single" w:sz="8" w:space="0" w:color="auto"/>
            </w:tcBorders>
            <w:tcMar>
              <w:top w:w="72" w:type="dxa"/>
              <w:left w:w="72" w:type="dxa"/>
              <w:bottom w:w="72" w:type="dxa"/>
              <w:right w:w="72" w:type="dxa"/>
            </w:tcMar>
            <w:vAlign w:val="bottom"/>
            <w:hideMark/>
          </w:tcPr>
          <w:p w14:paraId="060EF705" w14:textId="18363E03" w:rsidR="00E26509" w:rsidRPr="009D42E0" w:rsidRDefault="00FC52F5">
            <w:pPr>
              <w:jc w:val="right"/>
              <w:rPr>
                <w:color w:val="000000"/>
                <w:sz w:val="20"/>
                <w:szCs w:val="20"/>
              </w:rPr>
            </w:pPr>
            <w:r w:rsidRPr="009D42E0">
              <w:rPr>
                <w:color w:val="000000"/>
                <w:sz w:val="20"/>
                <w:szCs w:val="20"/>
              </w:rPr>
              <w:t>(</w:t>
            </w:r>
            <w:r w:rsidR="00E26509" w:rsidRPr="009D42E0">
              <w:rPr>
                <w:color w:val="000000"/>
                <w:sz w:val="20"/>
                <w:szCs w:val="20"/>
              </w:rPr>
              <w:t>$1,843</w:t>
            </w:r>
            <w:r w:rsidRPr="009D42E0">
              <w:rPr>
                <w:color w:val="000000"/>
                <w:sz w:val="20"/>
                <w:szCs w:val="20"/>
              </w:rPr>
              <w:t>)</w:t>
            </w:r>
            <w:r w:rsidR="00E26509" w:rsidRPr="009D42E0">
              <w:rPr>
                <w:color w:val="000000"/>
                <w:sz w:val="20"/>
                <w:szCs w:val="20"/>
              </w:rPr>
              <w:t xml:space="preserve"> </w:t>
            </w:r>
          </w:p>
        </w:tc>
        <w:tc>
          <w:tcPr>
            <w:tcW w:w="1451" w:type="dxa"/>
            <w:tcBorders>
              <w:top w:val="nil"/>
              <w:left w:val="nil"/>
              <w:bottom w:val="single" w:sz="8" w:space="0" w:color="auto"/>
              <w:right w:val="single" w:sz="8" w:space="0" w:color="auto"/>
            </w:tcBorders>
            <w:tcMar>
              <w:top w:w="72" w:type="dxa"/>
              <w:left w:w="72" w:type="dxa"/>
              <w:bottom w:w="72" w:type="dxa"/>
              <w:right w:w="72" w:type="dxa"/>
            </w:tcMar>
            <w:vAlign w:val="bottom"/>
            <w:hideMark/>
          </w:tcPr>
          <w:p w14:paraId="0727271A" w14:textId="03A68317" w:rsidR="00E26509" w:rsidRPr="001F5EE4" w:rsidRDefault="001F5EE4" w:rsidP="001F5EE4">
            <w:pPr>
              <w:jc w:val="right"/>
              <w:rPr>
                <w:color w:val="000000"/>
                <w:sz w:val="20"/>
                <w:szCs w:val="20"/>
              </w:rPr>
            </w:pPr>
            <w:r w:rsidRPr="001F5EE4">
              <w:rPr>
                <w:color w:val="000000"/>
                <w:sz w:val="20"/>
                <w:szCs w:val="20"/>
              </w:rPr>
              <w:t>101</w:t>
            </w:r>
          </w:p>
        </w:tc>
        <w:tc>
          <w:tcPr>
            <w:tcW w:w="1757" w:type="dxa"/>
            <w:tcBorders>
              <w:top w:val="nil"/>
              <w:left w:val="nil"/>
              <w:bottom w:val="single" w:sz="8" w:space="0" w:color="auto"/>
              <w:right w:val="single" w:sz="8" w:space="0" w:color="auto"/>
            </w:tcBorders>
            <w:tcMar>
              <w:top w:w="72" w:type="dxa"/>
              <w:left w:w="72" w:type="dxa"/>
              <w:bottom w:w="72" w:type="dxa"/>
              <w:right w:w="72" w:type="dxa"/>
            </w:tcMar>
            <w:vAlign w:val="bottom"/>
            <w:hideMark/>
          </w:tcPr>
          <w:p w14:paraId="0413D156" w14:textId="2D17C327" w:rsidR="00E26509" w:rsidRPr="001F5EE4" w:rsidRDefault="001F5EE4" w:rsidP="001F5EE4">
            <w:pPr>
              <w:jc w:val="right"/>
              <w:rPr>
                <w:color w:val="000000"/>
                <w:sz w:val="20"/>
                <w:szCs w:val="20"/>
              </w:rPr>
            </w:pPr>
            <w:r w:rsidRPr="001F5EE4">
              <w:rPr>
                <w:color w:val="000000"/>
                <w:sz w:val="20"/>
                <w:szCs w:val="20"/>
              </w:rPr>
              <w:t>(3,535)</w:t>
            </w:r>
          </w:p>
        </w:tc>
        <w:tc>
          <w:tcPr>
            <w:tcW w:w="1584" w:type="dxa"/>
            <w:tcBorders>
              <w:top w:val="nil"/>
              <w:left w:val="nil"/>
              <w:bottom w:val="single" w:sz="8" w:space="0" w:color="auto"/>
              <w:right w:val="single" w:sz="8" w:space="0" w:color="auto"/>
            </w:tcBorders>
            <w:tcMar>
              <w:top w:w="72" w:type="dxa"/>
              <w:left w:w="72" w:type="dxa"/>
              <w:bottom w:w="72" w:type="dxa"/>
              <w:right w:w="72" w:type="dxa"/>
            </w:tcMar>
            <w:vAlign w:val="bottom"/>
            <w:hideMark/>
          </w:tcPr>
          <w:p w14:paraId="07528F43" w14:textId="4E159591" w:rsidR="00E26509" w:rsidRPr="001F5EE4" w:rsidRDefault="001F5EE4" w:rsidP="001F5EE4">
            <w:pPr>
              <w:jc w:val="right"/>
              <w:rPr>
                <w:color w:val="000000"/>
                <w:sz w:val="20"/>
                <w:szCs w:val="20"/>
              </w:rPr>
            </w:pPr>
            <w:r w:rsidRPr="001F5EE4">
              <w:rPr>
                <w:color w:val="000000"/>
                <w:sz w:val="20"/>
                <w:szCs w:val="20"/>
              </w:rPr>
              <w:t>($438,340)</w:t>
            </w:r>
          </w:p>
        </w:tc>
      </w:tr>
      <w:tr w:rsidR="00E26509" w14:paraId="1E41CD6C" w14:textId="77777777" w:rsidTr="001F5EE4">
        <w:trPr>
          <w:trHeight w:val="28"/>
          <w:jc w:val="center"/>
        </w:trPr>
        <w:tc>
          <w:tcPr>
            <w:tcW w:w="13236" w:type="dxa"/>
            <w:gridSpan w:val="10"/>
            <w:tcBorders>
              <w:top w:val="nil"/>
              <w:left w:val="single" w:sz="8" w:space="0" w:color="auto"/>
              <w:bottom w:val="single" w:sz="8" w:space="0" w:color="auto"/>
              <w:right w:val="single" w:sz="8" w:space="0" w:color="auto"/>
            </w:tcBorders>
            <w:shd w:val="clear" w:color="auto" w:fill="E5E5E5"/>
            <w:tcMar>
              <w:top w:w="72" w:type="dxa"/>
              <w:left w:w="72" w:type="dxa"/>
              <w:bottom w:w="72" w:type="dxa"/>
              <w:right w:w="72" w:type="dxa"/>
            </w:tcMar>
            <w:hideMark/>
          </w:tcPr>
          <w:p w14:paraId="35808381" w14:textId="77777777" w:rsidR="00E26509" w:rsidRDefault="00E26509">
            <w:pPr>
              <w:keepNext/>
              <w:jc w:val="center"/>
              <w:rPr>
                <w:b/>
                <w:bCs/>
                <w:sz w:val="20"/>
                <w:szCs w:val="20"/>
              </w:rPr>
            </w:pPr>
            <w:r>
              <w:rPr>
                <w:b/>
                <w:bCs/>
                <w:sz w:val="20"/>
                <w:szCs w:val="20"/>
              </w:rPr>
              <w:t>Assure Data Quality, Prepare Reports, Submit Reports</w:t>
            </w:r>
          </w:p>
        </w:tc>
      </w:tr>
      <w:tr w:rsidR="001439B2" w14:paraId="340D7258" w14:textId="77777777" w:rsidTr="001F5EE4">
        <w:trPr>
          <w:trHeight w:val="510"/>
          <w:jc w:val="center"/>
        </w:trPr>
        <w:tc>
          <w:tcPr>
            <w:tcW w:w="1673" w:type="dxa"/>
            <w:tcBorders>
              <w:top w:val="nil"/>
              <w:left w:val="single" w:sz="8" w:space="0" w:color="auto"/>
              <w:bottom w:val="single" w:sz="8" w:space="0" w:color="auto"/>
              <w:right w:val="single" w:sz="8" w:space="0" w:color="auto"/>
            </w:tcBorders>
            <w:tcMar>
              <w:top w:w="72" w:type="dxa"/>
              <w:left w:w="72" w:type="dxa"/>
              <w:bottom w:w="72" w:type="dxa"/>
              <w:right w:w="72" w:type="dxa"/>
            </w:tcMar>
            <w:hideMark/>
          </w:tcPr>
          <w:p w14:paraId="5D726EBE" w14:textId="0EFC5B1A" w:rsidR="00E26509" w:rsidRDefault="00243965" w:rsidP="00243965">
            <w:pPr>
              <w:ind w:left="13" w:hanging="13"/>
              <w:rPr>
                <w:sz w:val="20"/>
                <w:szCs w:val="20"/>
              </w:rPr>
            </w:pPr>
            <w:r>
              <w:rPr>
                <w:sz w:val="20"/>
                <w:szCs w:val="20"/>
              </w:rPr>
              <w:t>All F</w:t>
            </w:r>
            <w:r w:rsidR="00E26509">
              <w:rPr>
                <w:sz w:val="20"/>
                <w:szCs w:val="20"/>
              </w:rPr>
              <w:t xml:space="preserve">lorida </w:t>
            </w:r>
            <w:r>
              <w:rPr>
                <w:sz w:val="20"/>
                <w:szCs w:val="20"/>
              </w:rPr>
              <w:t>u</w:t>
            </w:r>
            <w:r w:rsidR="00E26509">
              <w:rPr>
                <w:sz w:val="20"/>
                <w:szCs w:val="20"/>
              </w:rPr>
              <w:t xml:space="preserve">nits </w:t>
            </w:r>
            <w:r>
              <w:rPr>
                <w:sz w:val="20"/>
                <w:szCs w:val="20"/>
              </w:rPr>
              <w:t>n</w:t>
            </w:r>
            <w:r w:rsidR="00E26509">
              <w:rPr>
                <w:sz w:val="20"/>
                <w:szCs w:val="20"/>
              </w:rPr>
              <w:t xml:space="preserve">o </w:t>
            </w:r>
            <w:r>
              <w:rPr>
                <w:sz w:val="20"/>
                <w:szCs w:val="20"/>
              </w:rPr>
              <w:t>l</w:t>
            </w:r>
            <w:r w:rsidR="00E26509">
              <w:rPr>
                <w:sz w:val="20"/>
                <w:szCs w:val="20"/>
              </w:rPr>
              <w:t xml:space="preserve">onger </w:t>
            </w:r>
            <w:r>
              <w:rPr>
                <w:sz w:val="20"/>
                <w:szCs w:val="20"/>
              </w:rPr>
              <w:t xml:space="preserve">affected under </w:t>
            </w:r>
            <w:r w:rsidR="000D29F7">
              <w:rPr>
                <w:sz w:val="20"/>
                <w:szCs w:val="20"/>
              </w:rPr>
              <w:t xml:space="preserve">either </w:t>
            </w:r>
            <w:r w:rsidR="00E26509">
              <w:rPr>
                <w:sz w:val="20"/>
                <w:szCs w:val="20"/>
              </w:rPr>
              <w:t xml:space="preserve">CSAPR </w:t>
            </w:r>
            <w:r>
              <w:rPr>
                <w:sz w:val="20"/>
                <w:szCs w:val="20"/>
              </w:rPr>
              <w:t>or ARP</w:t>
            </w:r>
          </w:p>
        </w:tc>
        <w:tc>
          <w:tcPr>
            <w:tcW w:w="1078" w:type="dxa"/>
            <w:tcBorders>
              <w:top w:val="nil"/>
              <w:left w:val="nil"/>
              <w:bottom w:val="single" w:sz="8" w:space="0" w:color="auto"/>
              <w:right w:val="single" w:sz="8" w:space="0" w:color="auto"/>
            </w:tcBorders>
            <w:tcMar>
              <w:top w:w="72" w:type="dxa"/>
              <w:left w:w="72" w:type="dxa"/>
              <w:bottom w:w="72" w:type="dxa"/>
              <w:right w:w="72" w:type="dxa"/>
            </w:tcMar>
            <w:vAlign w:val="bottom"/>
            <w:hideMark/>
          </w:tcPr>
          <w:p w14:paraId="0A0F45F2" w14:textId="336899A9" w:rsidR="00E26509" w:rsidRPr="009D42E0" w:rsidRDefault="00FC52F5">
            <w:pPr>
              <w:jc w:val="right"/>
              <w:rPr>
                <w:color w:val="000000"/>
                <w:sz w:val="20"/>
                <w:szCs w:val="20"/>
              </w:rPr>
            </w:pPr>
            <w:r w:rsidRPr="009D42E0">
              <w:rPr>
                <w:color w:val="000000"/>
                <w:sz w:val="20"/>
                <w:szCs w:val="20"/>
              </w:rPr>
              <w:t>(</w:t>
            </w:r>
            <w:r w:rsidR="00E26509" w:rsidRPr="009D42E0">
              <w:rPr>
                <w:color w:val="000000"/>
                <w:sz w:val="20"/>
                <w:szCs w:val="20"/>
              </w:rPr>
              <w:t>16</w:t>
            </w:r>
            <w:r w:rsidRPr="009D42E0">
              <w:rPr>
                <w:color w:val="000000"/>
                <w:sz w:val="20"/>
                <w:szCs w:val="20"/>
              </w:rPr>
              <w:t>)</w:t>
            </w:r>
          </w:p>
        </w:tc>
        <w:tc>
          <w:tcPr>
            <w:tcW w:w="1144" w:type="dxa"/>
            <w:tcBorders>
              <w:top w:val="nil"/>
              <w:left w:val="nil"/>
              <w:bottom w:val="single" w:sz="8" w:space="0" w:color="auto"/>
              <w:right w:val="single" w:sz="8" w:space="0" w:color="auto"/>
            </w:tcBorders>
            <w:tcMar>
              <w:top w:w="72" w:type="dxa"/>
              <w:left w:w="72" w:type="dxa"/>
              <w:bottom w:w="72" w:type="dxa"/>
              <w:right w:w="72" w:type="dxa"/>
            </w:tcMar>
            <w:vAlign w:val="bottom"/>
            <w:hideMark/>
          </w:tcPr>
          <w:p w14:paraId="06FAFD01" w14:textId="5FDF87A8" w:rsidR="00E26509" w:rsidRPr="009D42E0" w:rsidRDefault="00FC52F5">
            <w:pPr>
              <w:jc w:val="right"/>
              <w:rPr>
                <w:color w:val="000000"/>
                <w:sz w:val="20"/>
                <w:szCs w:val="20"/>
              </w:rPr>
            </w:pPr>
            <w:r w:rsidRPr="009D42E0">
              <w:rPr>
                <w:color w:val="000000"/>
                <w:sz w:val="20"/>
                <w:szCs w:val="20"/>
              </w:rPr>
              <w:t>(</w:t>
            </w:r>
            <w:r w:rsidR="00E26509" w:rsidRPr="009D42E0">
              <w:rPr>
                <w:color w:val="000000"/>
                <w:sz w:val="20"/>
                <w:szCs w:val="20"/>
              </w:rPr>
              <w:t>42</w:t>
            </w:r>
            <w:r w:rsidRPr="009D42E0">
              <w:rPr>
                <w:color w:val="000000"/>
                <w:sz w:val="20"/>
                <w:szCs w:val="20"/>
              </w:rPr>
              <w:t>)</w:t>
            </w:r>
          </w:p>
        </w:tc>
        <w:tc>
          <w:tcPr>
            <w:tcW w:w="1358" w:type="dxa"/>
            <w:tcBorders>
              <w:top w:val="nil"/>
              <w:left w:val="nil"/>
              <w:bottom w:val="single" w:sz="8" w:space="0" w:color="auto"/>
              <w:right w:val="single" w:sz="8" w:space="0" w:color="auto"/>
            </w:tcBorders>
            <w:tcMar>
              <w:top w:w="72" w:type="dxa"/>
              <w:left w:w="72" w:type="dxa"/>
              <w:bottom w:w="72" w:type="dxa"/>
              <w:right w:w="72" w:type="dxa"/>
            </w:tcMar>
            <w:vAlign w:val="bottom"/>
            <w:hideMark/>
          </w:tcPr>
          <w:p w14:paraId="65C8C9A8" w14:textId="25D7499D" w:rsidR="00E26509" w:rsidRPr="009D42E0" w:rsidRDefault="00FC52F5">
            <w:pPr>
              <w:jc w:val="right"/>
              <w:rPr>
                <w:color w:val="000000"/>
                <w:sz w:val="20"/>
                <w:szCs w:val="20"/>
              </w:rPr>
            </w:pPr>
            <w:r w:rsidRPr="009D42E0">
              <w:rPr>
                <w:color w:val="000000"/>
                <w:sz w:val="20"/>
                <w:szCs w:val="20"/>
              </w:rPr>
              <w:t>(</w:t>
            </w:r>
            <w:r w:rsidR="00E26509" w:rsidRPr="009D42E0">
              <w:rPr>
                <w:color w:val="000000"/>
                <w:sz w:val="20"/>
                <w:szCs w:val="20"/>
              </w:rPr>
              <w:t>58</w:t>
            </w:r>
            <w:r w:rsidRPr="009D42E0">
              <w:rPr>
                <w:color w:val="000000"/>
                <w:sz w:val="20"/>
                <w:szCs w:val="20"/>
              </w:rPr>
              <w:t>)</w:t>
            </w:r>
          </w:p>
        </w:tc>
        <w:tc>
          <w:tcPr>
            <w:tcW w:w="1358" w:type="dxa"/>
            <w:tcBorders>
              <w:top w:val="nil"/>
              <w:left w:val="nil"/>
              <w:bottom w:val="single" w:sz="8" w:space="0" w:color="auto"/>
              <w:right w:val="single" w:sz="8" w:space="0" w:color="auto"/>
            </w:tcBorders>
            <w:tcMar>
              <w:top w:w="72" w:type="dxa"/>
              <w:left w:w="72" w:type="dxa"/>
              <w:bottom w:w="72" w:type="dxa"/>
              <w:right w:w="72" w:type="dxa"/>
            </w:tcMar>
            <w:vAlign w:val="bottom"/>
            <w:hideMark/>
          </w:tcPr>
          <w:p w14:paraId="62ED1802" w14:textId="77D27F3D" w:rsidR="00E26509" w:rsidRPr="009D42E0" w:rsidRDefault="00FC52F5">
            <w:pPr>
              <w:jc w:val="right"/>
              <w:rPr>
                <w:color w:val="000000"/>
                <w:sz w:val="20"/>
                <w:szCs w:val="20"/>
              </w:rPr>
            </w:pPr>
            <w:r w:rsidRPr="009D42E0">
              <w:rPr>
                <w:color w:val="000000"/>
                <w:sz w:val="20"/>
                <w:szCs w:val="20"/>
              </w:rPr>
              <w:t>(</w:t>
            </w:r>
            <w:r w:rsidR="00E26509" w:rsidRPr="009D42E0">
              <w:rPr>
                <w:color w:val="000000"/>
                <w:sz w:val="20"/>
                <w:szCs w:val="20"/>
              </w:rPr>
              <w:t>$4,352</w:t>
            </w:r>
            <w:r w:rsidRPr="009D42E0">
              <w:rPr>
                <w:color w:val="000000"/>
                <w:sz w:val="20"/>
                <w:szCs w:val="20"/>
              </w:rPr>
              <w:t>)</w:t>
            </w:r>
          </w:p>
        </w:tc>
        <w:tc>
          <w:tcPr>
            <w:tcW w:w="905" w:type="dxa"/>
            <w:tcBorders>
              <w:top w:val="nil"/>
              <w:left w:val="nil"/>
              <w:bottom w:val="single" w:sz="8" w:space="0" w:color="auto"/>
              <w:right w:val="single" w:sz="8" w:space="0" w:color="auto"/>
            </w:tcBorders>
            <w:tcMar>
              <w:top w:w="72" w:type="dxa"/>
              <w:left w:w="72" w:type="dxa"/>
              <w:bottom w:w="72" w:type="dxa"/>
              <w:right w:w="72" w:type="dxa"/>
            </w:tcMar>
            <w:vAlign w:val="bottom"/>
          </w:tcPr>
          <w:p w14:paraId="3CBEE6BC" w14:textId="77777777" w:rsidR="00E26509" w:rsidRPr="00A9323C" w:rsidRDefault="00E26509">
            <w:pPr>
              <w:jc w:val="right"/>
              <w:rPr>
                <w:color w:val="000000"/>
                <w:sz w:val="20"/>
                <w:szCs w:val="20"/>
                <w:highlight w:val="yellow"/>
              </w:rPr>
            </w:pPr>
          </w:p>
        </w:tc>
        <w:tc>
          <w:tcPr>
            <w:tcW w:w="928" w:type="dxa"/>
            <w:tcBorders>
              <w:top w:val="nil"/>
              <w:left w:val="nil"/>
              <w:bottom w:val="single" w:sz="8" w:space="0" w:color="auto"/>
              <w:right w:val="single" w:sz="8" w:space="0" w:color="auto"/>
            </w:tcBorders>
            <w:tcMar>
              <w:top w:w="72" w:type="dxa"/>
              <w:left w:w="72" w:type="dxa"/>
              <w:bottom w:w="72" w:type="dxa"/>
              <w:right w:w="72" w:type="dxa"/>
            </w:tcMar>
            <w:vAlign w:val="bottom"/>
          </w:tcPr>
          <w:p w14:paraId="02A68441" w14:textId="77777777" w:rsidR="00E26509" w:rsidRPr="00A9323C" w:rsidRDefault="00E26509">
            <w:pPr>
              <w:jc w:val="right"/>
              <w:rPr>
                <w:color w:val="000000"/>
                <w:sz w:val="20"/>
                <w:szCs w:val="20"/>
                <w:highlight w:val="yellow"/>
              </w:rPr>
            </w:pPr>
          </w:p>
        </w:tc>
        <w:tc>
          <w:tcPr>
            <w:tcW w:w="1451" w:type="dxa"/>
            <w:tcBorders>
              <w:top w:val="nil"/>
              <w:left w:val="nil"/>
              <w:bottom w:val="single" w:sz="8" w:space="0" w:color="auto"/>
              <w:right w:val="single" w:sz="8" w:space="0" w:color="auto"/>
            </w:tcBorders>
            <w:tcMar>
              <w:top w:w="72" w:type="dxa"/>
              <w:left w:w="72" w:type="dxa"/>
              <w:bottom w:w="72" w:type="dxa"/>
              <w:right w:w="72" w:type="dxa"/>
            </w:tcMar>
            <w:vAlign w:val="bottom"/>
            <w:hideMark/>
          </w:tcPr>
          <w:p w14:paraId="492C6FCE" w14:textId="613DF7FF" w:rsidR="00E26509" w:rsidRPr="009D42E0" w:rsidRDefault="009D42E0" w:rsidP="00821378">
            <w:pPr>
              <w:jc w:val="right"/>
              <w:rPr>
                <w:color w:val="000000"/>
                <w:sz w:val="20"/>
                <w:szCs w:val="20"/>
              </w:rPr>
            </w:pPr>
            <w:r w:rsidRPr="009D42E0">
              <w:rPr>
                <w:color w:val="000000"/>
                <w:sz w:val="20"/>
                <w:szCs w:val="20"/>
              </w:rPr>
              <w:t>10</w:t>
            </w:r>
            <w:r w:rsidR="00821378">
              <w:rPr>
                <w:color w:val="000000"/>
                <w:sz w:val="20"/>
                <w:szCs w:val="20"/>
              </w:rPr>
              <w:t>8</w:t>
            </w:r>
          </w:p>
        </w:tc>
        <w:tc>
          <w:tcPr>
            <w:tcW w:w="1757" w:type="dxa"/>
            <w:tcBorders>
              <w:top w:val="nil"/>
              <w:left w:val="nil"/>
              <w:bottom w:val="single" w:sz="8" w:space="0" w:color="auto"/>
              <w:right w:val="single" w:sz="8" w:space="0" w:color="auto"/>
            </w:tcBorders>
            <w:tcMar>
              <w:top w:w="72" w:type="dxa"/>
              <w:left w:w="72" w:type="dxa"/>
              <w:bottom w:w="72" w:type="dxa"/>
              <w:right w:w="72" w:type="dxa"/>
            </w:tcMar>
            <w:vAlign w:val="bottom"/>
            <w:hideMark/>
          </w:tcPr>
          <w:p w14:paraId="48CA0289" w14:textId="20B8E11E" w:rsidR="00E26509" w:rsidRPr="009D42E0" w:rsidRDefault="009D42E0" w:rsidP="00821378">
            <w:pPr>
              <w:jc w:val="right"/>
              <w:rPr>
                <w:color w:val="000000"/>
                <w:sz w:val="20"/>
                <w:szCs w:val="20"/>
              </w:rPr>
            </w:pPr>
            <w:r w:rsidRPr="009D42E0">
              <w:rPr>
                <w:color w:val="000000"/>
                <w:sz w:val="20"/>
                <w:szCs w:val="20"/>
              </w:rPr>
              <w:t>(6,</w:t>
            </w:r>
            <w:r w:rsidR="00821378">
              <w:rPr>
                <w:color w:val="000000"/>
                <w:sz w:val="20"/>
                <w:szCs w:val="20"/>
              </w:rPr>
              <w:t>264</w:t>
            </w:r>
            <w:r w:rsidRPr="009D42E0">
              <w:rPr>
                <w:color w:val="000000"/>
                <w:sz w:val="20"/>
                <w:szCs w:val="20"/>
              </w:rPr>
              <w:t>)</w:t>
            </w:r>
          </w:p>
        </w:tc>
        <w:tc>
          <w:tcPr>
            <w:tcW w:w="1584" w:type="dxa"/>
            <w:tcBorders>
              <w:top w:val="nil"/>
              <w:left w:val="nil"/>
              <w:bottom w:val="single" w:sz="8" w:space="0" w:color="auto"/>
              <w:right w:val="single" w:sz="8" w:space="0" w:color="auto"/>
            </w:tcBorders>
            <w:tcMar>
              <w:top w:w="72" w:type="dxa"/>
              <w:left w:w="72" w:type="dxa"/>
              <w:bottom w:w="72" w:type="dxa"/>
              <w:right w:w="72" w:type="dxa"/>
            </w:tcMar>
            <w:vAlign w:val="bottom"/>
            <w:hideMark/>
          </w:tcPr>
          <w:p w14:paraId="08D0244E" w14:textId="617F28DE" w:rsidR="00E26509" w:rsidRPr="009D42E0" w:rsidRDefault="009D42E0" w:rsidP="00821378">
            <w:pPr>
              <w:jc w:val="right"/>
              <w:rPr>
                <w:color w:val="000000"/>
                <w:sz w:val="20"/>
                <w:szCs w:val="20"/>
              </w:rPr>
            </w:pPr>
            <w:r w:rsidRPr="009D42E0">
              <w:rPr>
                <w:color w:val="000000"/>
                <w:sz w:val="20"/>
                <w:szCs w:val="20"/>
              </w:rPr>
              <w:t>($47</w:t>
            </w:r>
            <w:r w:rsidR="00821378">
              <w:rPr>
                <w:color w:val="000000"/>
                <w:sz w:val="20"/>
                <w:szCs w:val="20"/>
              </w:rPr>
              <w:t>0,016</w:t>
            </w:r>
            <w:r w:rsidRPr="009D42E0">
              <w:rPr>
                <w:color w:val="000000"/>
                <w:sz w:val="20"/>
                <w:szCs w:val="20"/>
              </w:rPr>
              <w:t>)</w:t>
            </w:r>
          </w:p>
        </w:tc>
      </w:tr>
      <w:tr w:rsidR="00CF5EDA" w14:paraId="3CB41795" w14:textId="77777777" w:rsidTr="001F5EE4">
        <w:trPr>
          <w:trHeight w:val="28"/>
          <w:jc w:val="center"/>
        </w:trPr>
        <w:tc>
          <w:tcPr>
            <w:tcW w:w="1673" w:type="dxa"/>
            <w:tcBorders>
              <w:top w:val="nil"/>
              <w:left w:val="single" w:sz="8" w:space="0" w:color="auto"/>
              <w:bottom w:val="single" w:sz="8" w:space="0" w:color="auto"/>
              <w:right w:val="single" w:sz="8" w:space="0" w:color="auto"/>
            </w:tcBorders>
            <w:shd w:val="clear" w:color="auto" w:fill="E5E5E5"/>
            <w:tcMar>
              <w:top w:w="72" w:type="dxa"/>
              <w:left w:w="72" w:type="dxa"/>
              <w:bottom w:w="72" w:type="dxa"/>
              <w:right w:w="72" w:type="dxa"/>
            </w:tcMar>
            <w:hideMark/>
          </w:tcPr>
          <w:p w14:paraId="02E861AE" w14:textId="77777777" w:rsidR="00E26509" w:rsidRDefault="00E26509">
            <w:pPr>
              <w:rPr>
                <w:b/>
                <w:bCs/>
                <w:sz w:val="20"/>
                <w:szCs w:val="20"/>
              </w:rPr>
            </w:pPr>
            <w:r>
              <w:rPr>
                <w:b/>
                <w:bCs/>
                <w:sz w:val="20"/>
                <w:szCs w:val="20"/>
              </w:rPr>
              <w:t>TOTAL</w:t>
            </w:r>
          </w:p>
        </w:tc>
        <w:tc>
          <w:tcPr>
            <w:tcW w:w="1078" w:type="dxa"/>
            <w:tcBorders>
              <w:top w:val="nil"/>
              <w:left w:val="nil"/>
              <w:bottom w:val="single" w:sz="8" w:space="0" w:color="auto"/>
              <w:right w:val="single" w:sz="8" w:space="0" w:color="auto"/>
            </w:tcBorders>
            <w:shd w:val="clear" w:color="auto" w:fill="E5E5E5"/>
            <w:tcMar>
              <w:top w:w="72" w:type="dxa"/>
              <w:left w:w="72" w:type="dxa"/>
              <w:bottom w:w="72" w:type="dxa"/>
              <w:right w:w="72" w:type="dxa"/>
            </w:tcMar>
            <w:vAlign w:val="bottom"/>
            <w:hideMark/>
          </w:tcPr>
          <w:p w14:paraId="27F7FD2B" w14:textId="77777777" w:rsidR="00E26509" w:rsidRDefault="00E26509">
            <w:pPr>
              <w:jc w:val="right"/>
              <w:rPr>
                <w:b/>
                <w:bCs/>
                <w:sz w:val="20"/>
                <w:szCs w:val="20"/>
              </w:rPr>
            </w:pPr>
            <w:r>
              <w:rPr>
                <w:b/>
                <w:bCs/>
                <w:sz w:val="20"/>
                <w:szCs w:val="20"/>
              </w:rPr>
              <w:t> </w:t>
            </w:r>
          </w:p>
        </w:tc>
        <w:tc>
          <w:tcPr>
            <w:tcW w:w="1144" w:type="dxa"/>
            <w:tcBorders>
              <w:top w:val="nil"/>
              <w:left w:val="nil"/>
              <w:bottom w:val="single" w:sz="8" w:space="0" w:color="auto"/>
              <w:right w:val="single" w:sz="8" w:space="0" w:color="auto"/>
            </w:tcBorders>
            <w:shd w:val="clear" w:color="auto" w:fill="E5E5E5"/>
            <w:tcMar>
              <w:top w:w="72" w:type="dxa"/>
              <w:left w:w="72" w:type="dxa"/>
              <w:bottom w:w="72" w:type="dxa"/>
              <w:right w:w="72" w:type="dxa"/>
            </w:tcMar>
            <w:vAlign w:val="bottom"/>
            <w:hideMark/>
          </w:tcPr>
          <w:p w14:paraId="6FB833DC" w14:textId="77777777" w:rsidR="00E26509" w:rsidRDefault="00E26509">
            <w:pPr>
              <w:jc w:val="right"/>
              <w:rPr>
                <w:b/>
                <w:bCs/>
                <w:sz w:val="20"/>
                <w:szCs w:val="20"/>
              </w:rPr>
            </w:pPr>
            <w:r>
              <w:rPr>
                <w:b/>
                <w:bCs/>
                <w:sz w:val="20"/>
                <w:szCs w:val="20"/>
              </w:rPr>
              <w:t> </w:t>
            </w:r>
          </w:p>
        </w:tc>
        <w:tc>
          <w:tcPr>
            <w:tcW w:w="1358" w:type="dxa"/>
            <w:tcBorders>
              <w:top w:val="nil"/>
              <w:left w:val="nil"/>
              <w:bottom w:val="single" w:sz="8" w:space="0" w:color="auto"/>
              <w:right w:val="single" w:sz="8" w:space="0" w:color="auto"/>
            </w:tcBorders>
            <w:shd w:val="clear" w:color="auto" w:fill="E5E5E5"/>
            <w:tcMar>
              <w:top w:w="72" w:type="dxa"/>
              <w:left w:w="72" w:type="dxa"/>
              <w:bottom w:w="72" w:type="dxa"/>
              <w:right w:w="72" w:type="dxa"/>
            </w:tcMar>
            <w:vAlign w:val="bottom"/>
            <w:hideMark/>
          </w:tcPr>
          <w:p w14:paraId="08AA7C95" w14:textId="77777777" w:rsidR="00E26509" w:rsidRDefault="00E26509">
            <w:pPr>
              <w:jc w:val="right"/>
              <w:rPr>
                <w:b/>
                <w:bCs/>
                <w:sz w:val="20"/>
                <w:szCs w:val="20"/>
              </w:rPr>
            </w:pPr>
            <w:r>
              <w:rPr>
                <w:b/>
                <w:bCs/>
                <w:sz w:val="20"/>
                <w:szCs w:val="20"/>
              </w:rPr>
              <w:t> </w:t>
            </w:r>
          </w:p>
        </w:tc>
        <w:tc>
          <w:tcPr>
            <w:tcW w:w="1358" w:type="dxa"/>
            <w:tcBorders>
              <w:top w:val="nil"/>
              <w:left w:val="nil"/>
              <w:bottom w:val="single" w:sz="8" w:space="0" w:color="auto"/>
              <w:right w:val="single" w:sz="8" w:space="0" w:color="auto"/>
            </w:tcBorders>
            <w:shd w:val="clear" w:color="auto" w:fill="E5E5E5"/>
            <w:tcMar>
              <w:top w:w="72" w:type="dxa"/>
              <w:left w:w="72" w:type="dxa"/>
              <w:bottom w:w="72" w:type="dxa"/>
              <w:right w:w="72" w:type="dxa"/>
            </w:tcMar>
            <w:vAlign w:val="bottom"/>
            <w:hideMark/>
          </w:tcPr>
          <w:p w14:paraId="0F7A04C6" w14:textId="77777777" w:rsidR="00E26509" w:rsidRDefault="00E26509">
            <w:pPr>
              <w:jc w:val="right"/>
              <w:rPr>
                <w:b/>
                <w:bCs/>
                <w:sz w:val="20"/>
                <w:szCs w:val="20"/>
              </w:rPr>
            </w:pPr>
            <w:r>
              <w:rPr>
                <w:b/>
                <w:bCs/>
                <w:sz w:val="20"/>
                <w:szCs w:val="20"/>
              </w:rPr>
              <w:t> </w:t>
            </w:r>
          </w:p>
        </w:tc>
        <w:tc>
          <w:tcPr>
            <w:tcW w:w="905" w:type="dxa"/>
            <w:tcBorders>
              <w:top w:val="nil"/>
              <w:left w:val="nil"/>
              <w:bottom w:val="single" w:sz="8" w:space="0" w:color="auto"/>
              <w:right w:val="single" w:sz="8" w:space="0" w:color="auto"/>
            </w:tcBorders>
            <w:shd w:val="clear" w:color="auto" w:fill="E5E5E5"/>
            <w:tcMar>
              <w:top w:w="72" w:type="dxa"/>
              <w:left w:w="72" w:type="dxa"/>
              <w:bottom w:w="72" w:type="dxa"/>
              <w:right w:w="72" w:type="dxa"/>
            </w:tcMar>
            <w:vAlign w:val="bottom"/>
            <w:hideMark/>
          </w:tcPr>
          <w:p w14:paraId="5715CC96" w14:textId="77777777" w:rsidR="00E26509" w:rsidRDefault="00E26509">
            <w:pPr>
              <w:jc w:val="right"/>
              <w:rPr>
                <w:b/>
                <w:bCs/>
                <w:sz w:val="20"/>
                <w:szCs w:val="20"/>
              </w:rPr>
            </w:pPr>
            <w:r>
              <w:rPr>
                <w:b/>
                <w:bCs/>
                <w:sz w:val="20"/>
                <w:szCs w:val="20"/>
              </w:rPr>
              <w:t> </w:t>
            </w:r>
          </w:p>
        </w:tc>
        <w:tc>
          <w:tcPr>
            <w:tcW w:w="928" w:type="dxa"/>
            <w:tcBorders>
              <w:top w:val="nil"/>
              <w:left w:val="nil"/>
              <w:bottom w:val="single" w:sz="8" w:space="0" w:color="auto"/>
              <w:right w:val="single" w:sz="8" w:space="0" w:color="auto"/>
            </w:tcBorders>
            <w:shd w:val="clear" w:color="auto" w:fill="E5E5E5"/>
            <w:tcMar>
              <w:top w:w="72" w:type="dxa"/>
              <w:left w:w="72" w:type="dxa"/>
              <w:bottom w:w="72" w:type="dxa"/>
              <w:right w:w="72" w:type="dxa"/>
            </w:tcMar>
            <w:vAlign w:val="bottom"/>
            <w:hideMark/>
          </w:tcPr>
          <w:p w14:paraId="7A567A38" w14:textId="77777777" w:rsidR="00E26509" w:rsidRDefault="00E26509">
            <w:pPr>
              <w:jc w:val="right"/>
              <w:rPr>
                <w:b/>
                <w:bCs/>
                <w:sz w:val="20"/>
                <w:szCs w:val="20"/>
              </w:rPr>
            </w:pPr>
            <w:r>
              <w:rPr>
                <w:b/>
                <w:bCs/>
                <w:sz w:val="20"/>
                <w:szCs w:val="20"/>
              </w:rPr>
              <w:t> </w:t>
            </w:r>
          </w:p>
        </w:tc>
        <w:tc>
          <w:tcPr>
            <w:tcW w:w="1451" w:type="dxa"/>
            <w:tcBorders>
              <w:top w:val="nil"/>
              <w:left w:val="nil"/>
              <w:bottom w:val="single" w:sz="8" w:space="0" w:color="auto"/>
              <w:right w:val="single" w:sz="8" w:space="0" w:color="auto"/>
            </w:tcBorders>
            <w:shd w:val="clear" w:color="auto" w:fill="E5E5E5"/>
            <w:tcMar>
              <w:top w:w="72" w:type="dxa"/>
              <w:left w:w="72" w:type="dxa"/>
              <w:bottom w:w="72" w:type="dxa"/>
              <w:right w:w="72" w:type="dxa"/>
            </w:tcMar>
            <w:vAlign w:val="bottom"/>
            <w:hideMark/>
          </w:tcPr>
          <w:p w14:paraId="629BAD7A" w14:textId="77777777" w:rsidR="00E26509" w:rsidRDefault="00E26509">
            <w:pPr>
              <w:jc w:val="right"/>
              <w:rPr>
                <w:b/>
                <w:bCs/>
                <w:sz w:val="20"/>
                <w:szCs w:val="20"/>
              </w:rPr>
            </w:pPr>
            <w:r>
              <w:rPr>
                <w:b/>
                <w:bCs/>
                <w:sz w:val="20"/>
                <w:szCs w:val="20"/>
              </w:rPr>
              <w:t> </w:t>
            </w:r>
          </w:p>
        </w:tc>
        <w:tc>
          <w:tcPr>
            <w:tcW w:w="1757" w:type="dxa"/>
            <w:tcBorders>
              <w:top w:val="nil"/>
              <w:left w:val="nil"/>
              <w:bottom w:val="single" w:sz="8" w:space="0" w:color="auto"/>
              <w:right w:val="single" w:sz="8" w:space="0" w:color="auto"/>
            </w:tcBorders>
            <w:shd w:val="clear" w:color="auto" w:fill="E5E5E5"/>
            <w:tcMar>
              <w:top w:w="72" w:type="dxa"/>
              <w:left w:w="72" w:type="dxa"/>
              <w:bottom w:w="72" w:type="dxa"/>
              <w:right w:w="72" w:type="dxa"/>
            </w:tcMar>
            <w:vAlign w:val="bottom"/>
            <w:hideMark/>
          </w:tcPr>
          <w:p w14:paraId="095B1A55" w14:textId="2067DC69" w:rsidR="00E26509" w:rsidRPr="001F5EE4" w:rsidRDefault="00E26509" w:rsidP="00821378">
            <w:pPr>
              <w:jc w:val="right"/>
              <w:rPr>
                <w:color w:val="000000"/>
                <w:sz w:val="20"/>
                <w:szCs w:val="20"/>
              </w:rPr>
            </w:pPr>
            <w:r w:rsidRPr="001F5EE4">
              <w:rPr>
                <w:color w:val="000000"/>
                <w:sz w:val="20"/>
                <w:szCs w:val="20"/>
              </w:rPr>
              <w:t>(</w:t>
            </w:r>
            <w:r w:rsidR="001F5EE4" w:rsidRPr="001F5EE4">
              <w:rPr>
                <w:color w:val="000000"/>
                <w:sz w:val="20"/>
                <w:szCs w:val="20"/>
              </w:rPr>
              <w:t>1</w:t>
            </w:r>
            <w:r w:rsidR="00821378">
              <w:rPr>
                <w:color w:val="000000"/>
                <w:sz w:val="20"/>
                <w:szCs w:val="20"/>
              </w:rPr>
              <w:t>2,879</w:t>
            </w:r>
            <w:r w:rsidRPr="001F5EE4">
              <w:rPr>
                <w:color w:val="000000"/>
                <w:sz w:val="20"/>
                <w:szCs w:val="20"/>
              </w:rPr>
              <w:t>)</w:t>
            </w:r>
          </w:p>
        </w:tc>
        <w:tc>
          <w:tcPr>
            <w:tcW w:w="1584" w:type="dxa"/>
            <w:tcBorders>
              <w:top w:val="nil"/>
              <w:left w:val="nil"/>
              <w:bottom w:val="single" w:sz="8" w:space="0" w:color="auto"/>
              <w:right w:val="single" w:sz="8" w:space="0" w:color="auto"/>
            </w:tcBorders>
            <w:shd w:val="clear" w:color="auto" w:fill="E5E5E5"/>
            <w:tcMar>
              <w:top w:w="72" w:type="dxa"/>
              <w:left w:w="72" w:type="dxa"/>
              <w:bottom w:w="72" w:type="dxa"/>
              <w:right w:w="72" w:type="dxa"/>
            </w:tcMar>
            <w:vAlign w:val="bottom"/>
            <w:hideMark/>
          </w:tcPr>
          <w:p w14:paraId="070DEFC5" w14:textId="23B8D1CE" w:rsidR="00E26509" w:rsidRPr="001F5EE4" w:rsidRDefault="00E26509" w:rsidP="00821378">
            <w:pPr>
              <w:jc w:val="right"/>
              <w:rPr>
                <w:color w:val="000000"/>
                <w:sz w:val="20"/>
                <w:szCs w:val="20"/>
              </w:rPr>
            </w:pPr>
            <w:r w:rsidRPr="001F5EE4">
              <w:rPr>
                <w:color w:val="000000"/>
                <w:sz w:val="20"/>
                <w:szCs w:val="20"/>
              </w:rPr>
              <w:t>($1,</w:t>
            </w:r>
            <w:r w:rsidR="00821378">
              <w:rPr>
                <w:color w:val="000000"/>
                <w:sz w:val="20"/>
                <w:szCs w:val="20"/>
              </w:rPr>
              <w:t>347,291</w:t>
            </w:r>
            <w:r w:rsidRPr="001F5EE4">
              <w:rPr>
                <w:color w:val="000000"/>
                <w:sz w:val="20"/>
                <w:szCs w:val="20"/>
              </w:rPr>
              <w:t>)</w:t>
            </w:r>
          </w:p>
        </w:tc>
      </w:tr>
    </w:tbl>
    <w:p w14:paraId="383D01C9" w14:textId="75A6D3AB" w:rsidR="00EF5676" w:rsidRDefault="00EF5676">
      <w:pPr>
        <w:rPr>
          <w:b/>
          <w:color w:val="0F0F0F"/>
          <w:szCs w:val="24"/>
          <w:highlight w:val="yellow"/>
        </w:rPr>
      </w:pPr>
    </w:p>
    <w:sectPr w:rsidR="00EF5676" w:rsidSect="00E26509">
      <w:pgSz w:w="15840" w:h="12240" w:orient="landscape"/>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C0E83" w14:textId="77777777" w:rsidR="00E03A03" w:rsidRDefault="00E03A03" w:rsidP="00820788">
      <w:r>
        <w:separator/>
      </w:r>
    </w:p>
  </w:endnote>
  <w:endnote w:type="continuationSeparator" w:id="0">
    <w:p w14:paraId="5CF68082" w14:textId="77777777" w:rsidR="00E03A03" w:rsidRDefault="00E03A03" w:rsidP="00820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5343515"/>
      <w:docPartObj>
        <w:docPartGallery w:val="Page Numbers (Bottom of Page)"/>
        <w:docPartUnique/>
      </w:docPartObj>
    </w:sdtPr>
    <w:sdtEndPr>
      <w:rPr>
        <w:rFonts w:ascii="Times New Roman" w:hAnsi="Times New Roman"/>
        <w:noProof/>
      </w:rPr>
    </w:sdtEndPr>
    <w:sdtContent>
      <w:p w14:paraId="2484982D" w14:textId="518019D5" w:rsidR="005B42E4" w:rsidRPr="0071725E" w:rsidRDefault="005B42E4">
        <w:pPr>
          <w:pStyle w:val="Footer"/>
          <w:jc w:val="center"/>
          <w:rPr>
            <w:rFonts w:ascii="Times New Roman" w:hAnsi="Times New Roman"/>
          </w:rPr>
        </w:pPr>
        <w:r w:rsidRPr="0071725E">
          <w:rPr>
            <w:rFonts w:ascii="Times New Roman" w:hAnsi="Times New Roman"/>
            <w:sz w:val="24"/>
            <w:szCs w:val="24"/>
          </w:rPr>
          <w:fldChar w:fldCharType="begin"/>
        </w:r>
        <w:r w:rsidRPr="0071725E">
          <w:rPr>
            <w:rFonts w:ascii="Times New Roman" w:hAnsi="Times New Roman"/>
            <w:sz w:val="24"/>
            <w:szCs w:val="24"/>
          </w:rPr>
          <w:instrText xml:space="preserve"> PAGE   \* MERGEFORMAT </w:instrText>
        </w:r>
        <w:r w:rsidRPr="0071725E">
          <w:rPr>
            <w:rFonts w:ascii="Times New Roman" w:hAnsi="Times New Roman"/>
            <w:sz w:val="24"/>
            <w:szCs w:val="24"/>
          </w:rPr>
          <w:fldChar w:fldCharType="separate"/>
        </w:r>
        <w:r w:rsidR="002A01AB">
          <w:rPr>
            <w:rFonts w:ascii="Times New Roman" w:hAnsi="Times New Roman"/>
            <w:noProof/>
            <w:sz w:val="24"/>
            <w:szCs w:val="24"/>
          </w:rPr>
          <w:t>22</w:t>
        </w:r>
        <w:r w:rsidRPr="0071725E">
          <w:rPr>
            <w:rFonts w:ascii="Times New Roman" w:hAnsi="Times New Roman"/>
            <w:noProof/>
            <w:sz w:val="24"/>
            <w:szCs w:val="24"/>
          </w:rPr>
          <w:fldChar w:fldCharType="end"/>
        </w:r>
      </w:p>
    </w:sdtContent>
  </w:sdt>
  <w:p w14:paraId="5AAA25FD" w14:textId="77777777" w:rsidR="005B42E4" w:rsidRDefault="005B42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E2402" w14:textId="77777777" w:rsidR="00E03A03" w:rsidRDefault="00E03A03" w:rsidP="00820788">
      <w:r>
        <w:separator/>
      </w:r>
    </w:p>
  </w:footnote>
  <w:footnote w:type="continuationSeparator" w:id="0">
    <w:p w14:paraId="5D81DA77" w14:textId="77777777" w:rsidR="00E03A03" w:rsidRDefault="00E03A03" w:rsidP="00820788">
      <w:r>
        <w:continuationSeparator/>
      </w:r>
    </w:p>
  </w:footnote>
  <w:footnote w:id="1">
    <w:p w14:paraId="48FD3EEA" w14:textId="77777777" w:rsidR="005B42E4" w:rsidRPr="006757FB" w:rsidRDefault="005B42E4" w:rsidP="00907A5B">
      <w:pPr>
        <w:pStyle w:val="FootnoteText"/>
        <w:suppressAutoHyphens/>
        <w:spacing w:before="120" w:after="120"/>
        <w:rPr>
          <w:sz w:val="24"/>
          <w:szCs w:val="24"/>
        </w:rPr>
      </w:pPr>
      <w:r w:rsidRPr="006757FB">
        <w:rPr>
          <w:rStyle w:val="FootnoteReference"/>
          <w:sz w:val="24"/>
          <w:szCs w:val="24"/>
        </w:rPr>
        <w:footnoteRef/>
      </w:r>
      <w:r w:rsidRPr="006757FB">
        <w:rPr>
          <w:sz w:val="24"/>
          <w:szCs w:val="24"/>
        </w:rPr>
        <w:t xml:space="preserve"> Federal Implementation Plans; Interstate Transport of Fine Particulate Matter and Ozone and Correction of SIP Approvals, 76 FR 48208 (August 8, 2011).</w:t>
      </w:r>
    </w:p>
  </w:footnote>
  <w:footnote w:id="2">
    <w:p w14:paraId="5565CCB0" w14:textId="71DFF5F7" w:rsidR="005B42E4" w:rsidRPr="00B7599C" w:rsidRDefault="005B42E4" w:rsidP="00907A5B">
      <w:pPr>
        <w:pStyle w:val="FootnoteText"/>
        <w:spacing w:before="120" w:after="120"/>
        <w:rPr>
          <w:sz w:val="24"/>
          <w:szCs w:val="24"/>
        </w:rPr>
      </w:pPr>
      <w:r w:rsidRPr="00B7599C">
        <w:rPr>
          <w:rStyle w:val="FootnoteReference"/>
          <w:sz w:val="24"/>
          <w:szCs w:val="24"/>
        </w:rPr>
        <w:footnoteRef/>
      </w:r>
      <w:r w:rsidRPr="00B7599C">
        <w:rPr>
          <w:sz w:val="24"/>
          <w:szCs w:val="24"/>
        </w:rPr>
        <w:t xml:space="preserve"> For purposes of CSAPR, the “ozone season” </w:t>
      </w:r>
      <w:r>
        <w:rPr>
          <w:sz w:val="24"/>
          <w:szCs w:val="24"/>
        </w:rPr>
        <w:t>includes</w:t>
      </w:r>
      <w:r w:rsidRPr="00B7599C">
        <w:rPr>
          <w:sz w:val="24"/>
          <w:szCs w:val="24"/>
        </w:rPr>
        <w:t xml:space="preserve"> the months of May through September.</w:t>
      </w:r>
    </w:p>
  </w:footnote>
  <w:footnote w:id="3">
    <w:p w14:paraId="1FE4062F" w14:textId="6D26EBA2" w:rsidR="005B42E4" w:rsidRPr="00522B38" w:rsidRDefault="005B42E4" w:rsidP="00907A5B">
      <w:pPr>
        <w:pStyle w:val="FootnoteText"/>
        <w:spacing w:before="120" w:after="120"/>
        <w:rPr>
          <w:sz w:val="24"/>
          <w:szCs w:val="24"/>
        </w:rPr>
      </w:pPr>
      <w:r w:rsidRPr="00522B38">
        <w:rPr>
          <w:rStyle w:val="FootnoteReference"/>
          <w:sz w:val="24"/>
          <w:szCs w:val="24"/>
        </w:rPr>
        <w:footnoteRef/>
      </w:r>
      <w:r w:rsidRPr="00522B38">
        <w:rPr>
          <w:sz w:val="24"/>
          <w:szCs w:val="24"/>
        </w:rPr>
        <w:t xml:space="preserve"> </w:t>
      </w:r>
      <w:r w:rsidRPr="00522B38">
        <w:rPr>
          <w:i/>
          <w:sz w:val="24"/>
          <w:szCs w:val="24"/>
        </w:rPr>
        <w:t>EPA v. EME Homer City Generation, L.P.</w:t>
      </w:r>
      <w:r w:rsidRPr="00522B38">
        <w:rPr>
          <w:sz w:val="24"/>
          <w:szCs w:val="24"/>
        </w:rPr>
        <w:t xml:space="preserve">, 134 S. Ct. 1584 (2014), </w:t>
      </w:r>
      <w:r w:rsidRPr="00522B38">
        <w:rPr>
          <w:i/>
          <w:sz w:val="24"/>
          <w:szCs w:val="24"/>
        </w:rPr>
        <w:t>rev’g</w:t>
      </w:r>
      <w:r w:rsidRPr="00522B38">
        <w:rPr>
          <w:sz w:val="24"/>
          <w:szCs w:val="24"/>
        </w:rPr>
        <w:t xml:space="preserve"> </w:t>
      </w:r>
      <w:r w:rsidRPr="00522B38">
        <w:rPr>
          <w:i/>
          <w:sz w:val="24"/>
          <w:szCs w:val="24"/>
        </w:rPr>
        <w:t>EME Homer City Generation, L.P. v. EPA</w:t>
      </w:r>
      <w:r w:rsidRPr="00522B38">
        <w:rPr>
          <w:sz w:val="24"/>
          <w:szCs w:val="24"/>
        </w:rPr>
        <w:t>, 696 F.3d 7 (D.C. Cir. 2012).</w:t>
      </w:r>
    </w:p>
  </w:footnote>
  <w:footnote w:id="4">
    <w:p w14:paraId="496B5AA3" w14:textId="2506AE3D" w:rsidR="005B42E4" w:rsidRPr="006C796C" w:rsidRDefault="005B42E4" w:rsidP="00907A5B">
      <w:pPr>
        <w:pStyle w:val="FootnoteText"/>
        <w:spacing w:before="120" w:after="120"/>
        <w:rPr>
          <w:sz w:val="24"/>
          <w:szCs w:val="24"/>
        </w:rPr>
      </w:pPr>
      <w:r w:rsidRPr="006C796C">
        <w:rPr>
          <w:rStyle w:val="FootnoteReference"/>
          <w:sz w:val="24"/>
          <w:szCs w:val="24"/>
        </w:rPr>
        <w:footnoteRef/>
      </w:r>
      <w:r w:rsidRPr="006C796C">
        <w:rPr>
          <w:sz w:val="24"/>
          <w:szCs w:val="24"/>
        </w:rPr>
        <w:t xml:space="preserve"> </w:t>
      </w:r>
      <w:r w:rsidRPr="006C796C">
        <w:rPr>
          <w:i/>
          <w:sz w:val="24"/>
          <w:szCs w:val="24"/>
        </w:rPr>
        <w:t>EME Homer City Generation, L.P. v. EPA</w:t>
      </w:r>
      <w:r w:rsidRPr="006C796C">
        <w:rPr>
          <w:sz w:val="24"/>
          <w:szCs w:val="24"/>
        </w:rPr>
        <w:t>, 795 F.3d 118 (D.C. Cir. 2015).</w:t>
      </w:r>
    </w:p>
  </w:footnote>
  <w:footnote w:id="5">
    <w:p w14:paraId="5D1A2577" w14:textId="7FBBE1F3" w:rsidR="005B42E4" w:rsidRPr="00DD7663" w:rsidRDefault="005B42E4" w:rsidP="00DD7663">
      <w:pPr>
        <w:pStyle w:val="FootnoteText"/>
        <w:spacing w:before="120" w:after="120"/>
        <w:rPr>
          <w:sz w:val="24"/>
          <w:szCs w:val="24"/>
        </w:rPr>
      </w:pPr>
      <w:r w:rsidRPr="00DD7663">
        <w:rPr>
          <w:rStyle w:val="FootnoteReference"/>
          <w:sz w:val="24"/>
          <w:szCs w:val="24"/>
        </w:rPr>
        <w:footnoteRef/>
      </w:r>
      <w:r w:rsidRPr="00DD7663">
        <w:rPr>
          <w:sz w:val="24"/>
          <w:szCs w:val="24"/>
        </w:rPr>
        <w:t xml:space="preserve"> The CSAPR Phase 2 SO</w:t>
      </w:r>
      <w:r w:rsidRPr="00DD7663">
        <w:rPr>
          <w:sz w:val="24"/>
          <w:szCs w:val="24"/>
          <w:vertAlign w:val="subscript"/>
        </w:rPr>
        <w:t>2</w:t>
      </w:r>
      <w:r w:rsidRPr="00DD7663">
        <w:rPr>
          <w:sz w:val="24"/>
          <w:szCs w:val="24"/>
        </w:rPr>
        <w:t xml:space="preserve"> budgets for South Carolina and three other states have been remanded to EPA for reconsideration.  EPA’</w:t>
      </w:r>
      <w:r>
        <w:rPr>
          <w:sz w:val="24"/>
          <w:szCs w:val="24"/>
        </w:rPr>
        <w:t>s</w:t>
      </w:r>
      <w:r w:rsidRPr="00DD7663">
        <w:rPr>
          <w:sz w:val="24"/>
          <w:szCs w:val="24"/>
        </w:rPr>
        <w:t xml:space="preserve"> planned response to that remand gives each of the four states a choice of two paths, one of which would end the requirement for </w:t>
      </w:r>
      <w:r w:rsidR="0001568B">
        <w:rPr>
          <w:sz w:val="24"/>
          <w:szCs w:val="24"/>
        </w:rPr>
        <w:t xml:space="preserve">the state’s </w:t>
      </w:r>
      <w:r>
        <w:rPr>
          <w:sz w:val="24"/>
          <w:szCs w:val="24"/>
        </w:rPr>
        <w:t xml:space="preserve">sources </w:t>
      </w:r>
      <w:r w:rsidRPr="00DD7663">
        <w:rPr>
          <w:sz w:val="24"/>
          <w:szCs w:val="24"/>
        </w:rPr>
        <w:t xml:space="preserve">to participate in </w:t>
      </w:r>
      <w:r w:rsidR="0001568B">
        <w:rPr>
          <w:sz w:val="24"/>
          <w:szCs w:val="24"/>
        </w:rPr>
        <w:t>CSAPR trading programs for SO</w:t>
      </w:r>
      <w:r w:rsidR="0001568B" w:rsidRPr="0001568B">
        <w:rPr>
          <w:sz w:val="24"/>
          <w:szCs w:val="24"/>
          <w:vertAlign w:val="subscript"/>
        </w:rPr>
        <w:t>2</w:t>
      </w:r>
      <w:r w:rsidR="0001568B">
        <w:rPr>
          <w:sz w:val="24"/>
          <w:szCs w:val="24"/>
        </w:rPr>
        <w:t xml:space="preserve"> and annual </w:t>
      </w:r>
      <w:r w:rsidRPr="00DD7663">
        <w:rPr>
          <w:sz w:val="24"/>
          <w:szCs w:val="24"/>
        </w:rPr>
        <w:t>NO</w:t>
      </w:r>
      <w:r w:rsidRPr="00DD7663">
        <w:rPr>
          <w:sz w:val="24"/>
          <w:szCs w:val="24"/>
          <w:vertAlign w:val="subscript"/>
        </w:rPr>
        <w:t>X</w:t>
      </w:r>
      <w:r w:rsidRPr="00DD7663">
        <w:rPr>
          <w:sz w:val="24"/>
          <w:szCs w:val="24"/>
        </w:rPr>
        <w:t xml:space="preserve"> </w:t>
      </w:r>
      <w:r w:rsidR="0001568B">
        <w:rPr>
          <w:sz w:val="24"/>
          <w:szCs w:val="24"/>
        </w:rPr>
        <w:t>emissions</w:t>
      </w:r>
      <w:r w:rsidRPr="00DD7663">
        <w:rPr>
          <w:sz w:val="24"/>
          <w:szCs w:val="24"/>
        </w:rPr>
        <w:t xml:space="preserve">.  (The plan is described in a </w:t>
      </w:r>
      <w:r w:rsidR="0001568B">
        <w:rPr>
          <w:sz w:val="24"/>
          <w:szCs w:val="24"/>
        </w:rPr>
        <w:t xml:space="preserve">June </w:t>
      </w:r>
      <w:r w:rsidR="005C4AAB" w:rsidRPr="00E43CDF">
        <w:rPr>
          <w:sz w:val="24"/>
          <w:szCs w:val="24"/>
        </w:rPr>
        <w:t>24</w:t>
      </w:r>
      <w:r w:rsidR="0001568B" w:rsidRPr="00E43CDF">
        <w:rPr>
          <w:sz w:val="24"/>
          <w:szCs w:val="24"/>
        </w:rPr>
        <w:t>, 2016</w:t>
      </w:r>
      <w:r w:rsidR="0001568B">
        <w:rPr>
          <w:sz w:val="24"/>
          <w:szCs w:val="24"/>
        </w:rPr>
        <w:t xml:space="preserve"> </w:t>
      </w:r>
      <w:r w:rsidRPr="00DD7663">
        <w:rPr>
          <w:sz w:val="24"/>
          <w:szCs w:val="24"/>
        </w:rPr>
        <w:t xml:space="preserve">memo posted at </w:t>
      </w:r>
      <w:hyperlink r:id="rId1" w:history="1">
        <w:r w:rsidRPr="00DD7663">
          <w:rPr>
            <w:rStyle w:val="Hyperlink"/>
            <w:sz w:val="24"/>
            <w:szCs w:val="24"/>
          </w:rPr>
          <w:t>https://www.EPA.gov/crossstaterule</w:t>
        </w:r>
      </w:hyperlink>
      <w:r w:rsidRPr="00DD7663">
        <w:rPr>
          <w:sz w:val="24"/>
          <w:szCs w:val="24"/>
        </w:rPr>
        <w:t xml:space="preserve">.)  However, South Carolina has chosen the other path and has given EPA a formal commitment of the state’s intent to require </w:t>
      </w:r>
      <w:r w:rsidR="0001568B">
        <w:rPr>
          <w:sz w:val="24"/>
          <w:szCs w:val="24"/>
        </w:rPr>
        <w:t xml:space="preserve">its </w:t>
      </w:r>
      <w:r w:rsidRPr="00DD7663">
        <w:rPr>
          <w:sz w:val="24"/>
          <w:szCs w:val="24"/>
        </w:rPr>
        <w:t>sources to continue to participate in th</w:t>
      </w:r>
      <w:r w:rsidR="0001568B">
        <w:rPr>
          <w:sz w:val="24"/>
          <w:szCs w:val="24"/>
        </w:rPr>
        <w:t>os</w:t>
      </w:r>
      <w:r w:rsidRPr="00DD7663">
        <w:rPr>
          <w:sz w:val="24"/>
          <w:szCs w:val="24"/>
        </w:rPr>
        <w:t xml:space="preserve">e CSAPR </w:t>
      </w:r>
      <w:r w:rsidR="0001568B">
        <w:rPr>
          <w:sz w:val="24"/>
          <w:szCs w:val="24"/>
        </w:rPr>
        <w:t>programs</w:t>
      </w:r>
      <w:r w:rsidRPr="00DD7663">
        <w:rPr>
          <w:sz w:val="24"/>
          <w:szCs w:val="24"/>
        </w:rPr>
        <w:t>.</w:t>
      </w:r>
    </w:p>
  </w:footnote>
  <w:footnote w:id="6">
    <w:p w14:paraId="5ABBD506" w14:textId="77777777" w:rsidR="005B42E4" w:rsidRPr="00A2574F" w:rsidRDefault="005B42E4" w:rsidP="00907A5B">
      <w:pPr>
        <w:pStyle w:val="FootnoteText"/>
        <w:spacing w:before="120" w:after="120"/>
        <w:rPr>
          <w:sz w:val="24"/>
          <w:szCs w:val="24"/>
        </w:rPr>
      </w:pPr>
      <w:r w:rsidRPr="00A2574F">
        <w:rPr>
          <w:rStyle w:val="FootnoteReference"/>
          <w:sz w:val="24"/>
          <w:szCs w:val="24"/>
        </w:rPr>
        <w:footnoteRef/>
      </w:r>
      <w:r w:rsidRPr="00A2574F">
        <w:rPr>
          <w:sz w:val="24"/>
          <w:szCs w:val="24"/>
        </w:rPr>
        <w:t xml:space="preserve"> </w:t>
      </w:r>
      <w:r>
        <w:rPr>
          <w:sz w:val="24"/>
          <w:szCs w:val="24"/>
        </w:rPr>
        <w:t xml:space="preserve">Because </w:t>
      </w:r>
      <w:r w:rsidRPr="00A2574F">
        <w:rPr>
          <w:sz w:val="24"/>
          <w:szCs w:val="24"/>
        </w:rPr>
        <w:t xml:space="preserve">Florida </w:t>
      </w:r>
      <w:r>
        <w:rPr>
          <w:sz w:val="24"/>
          <w:szCs w:val="24"/>
        </w:rPr>
        <w:t>was</w:t>
      </w:r>
      <w:r w:rsidRPr="00A2574F">
        <w:rPr>
          <w:sz w:val="24"/>
          <w:szCs w:val="24"/>
        </w:rPr>
        <w:t xml:space="preserve"> not covered by the NO</w:t>
      </w:r>
      <w:r w:rsidRPr="00A2574F">
        <w:rPr>
          <w:sz w:val="24"/>
          <w:szCs w:val="24"/>
          <w:vertAlign w:val="subscript"/>
        </w:rPr>
        <w:t>X</w:t>
      </w:r>
      <w:r w:rsidRPr="00A2574F">
        <w:rPr>
          <w:sz w:val="24"/>
          <w:szCs w:val="24"/>
        </w:rPr>
        <w:t xml:space="preserve"> SIP Call</w:t>
      </w:r>
      <w:r>
        <w:rPr>
          <w:sz w:val="24"/>
          <w:szCs w:val="24"/>
        </w:rPr>
        <w:t xml:space="preserve">, Florida </w:t>
      </w:r>
      <w:r w:rsidRPr="00A2574F">
        <w:rPr>
          <w:sz w:val="24"/>
          <w:szCs w:val="24"/>
        </w:rPr>
        <w:t xml:space="preserve">EGUs </w:t>
      </w:r>
      <w:r>
        <w:rPr>
          <w:sz w:val="24"/>
          <w:szCs w:val="24"/>
        </w:rPr>
        <w:t xml:space="preserve">have never been subject to </w:t>
      </w:r>
      <w:r w:rsidRPr="00A2574F">
        <w:rPr>
          <w:sz w:val="24"/>
          <w:szCs w:val="24"/>
        </w:rPr>
        <w:t xml:space="preserve">part 75 monitoring and reporting obligations </w:t>
      </w:r>
      <w:r>
        <w:rPr>
          <w:sz w:val="24"/>
          <w:szCs w:val="24"/>
        </w:rPr>
        <w:t xml:space="preserve">arising from any SIP submitted under </w:t>
      </w:r>
      <w:r w:rsidRPr="00A2574F">
        <w:rPr>
          <w:sz w:val="24"/>
          <w:szCs w:val="24"/>
        </w:rPr>
        <w:t xml:space="preserve">that rule.  </w:t>
      </w:r>
      <w:r w:rsidRPr="00A2574F">
        <w:rPr>
          <w:i/>
          <w:sz w:val="24"/>
          <w:szCs w:val="24"/>
        </w:rPr>
        <w:t>See</w:t>
      </w:r>
      <w:r w:rsidRPr="00A2574F">
        <w:rPr>
          <w:sz w:val="24"/>
          <w:szCs w:val="24"/>
        </w:rPr>
        <w:t xml:space="preserve"> 40 CFR 51.121.</w:t>
      </w:r>
    </w:p>
  </w:footnote>
  <w:footnote w:id="7">
    <w:p w14:paraId="2C517982" w14:textId="77777777" w:rsidR="005B42E4" w:rsidRPr="00D770BF" w:rsidRDefault="005B42E4" w:rsidP="00907A5B">
      <w:pPr>
        <w:pStyle w:val="FootnoteText"/>
        <w:spacing w:before="120" w:after="120"/>
        <w:rPr>
          <w:sz w:val="24"/>
          <w:szCs w:val="24"/>
        </w:rPr>
      </w:pPr>
      <w:r w:rsidRPr="00D770BF">
        <w:rPr>
          <w:rStyle w:val="FootnoteReference"/>
          <w:sz w:val="24"/>
          <w:szCs w:val="24"/>
        </w:rPr>
        <w:footnoteRef/>
      </w:r>
      <w:r w:rsidRPr="00D770BF">
        <w:rPr>
          <w:sz w:val="24"/>
          <w:szCs w:val="24"/>
        </w:rPr>
        <w:t xml:space="preserve"> </w:t>
      </w:r>
      <w:r w:rsidRPr="00D770BF">
        <w:rPr>
          <w:i/>
          <w:sz w:val="24"/>
          <w:szCs w:val="24"/>
        </w:rPr>
        <w:t>North Carolina v. EPA</w:t>
      </w:r>
      <w:r w:rsidRPr="00D770BF">
        <w:rPr>
          <w:sz w:val="24"/>
          <w:szCs w:val="24"/>
        </w:rPr>
        <w:t xml:space="preserve">, 531 F.3d 896 (D.C. Cir), </w:t>
      </w:r>
      <w:r w:rsidRPr="00907A5B">
        <w:rPr>
          <w:i/>
          <w:sz w:val="24"/>
          <w:szCs w:val="24"/>
        </w:rPr>
        <w:t>modified on reh’g</w:t>
      </w:r>
      <w:r w:rsidRPr="00D770BF">
        <w:rPr>
          <w:sz w:val="24"/>
          <w:szCs w:val="24"/>
        </w:rPr>
        <w:t>, 550 F.3d 1176 (D.C. Cir. 2008).</w:t>
      </w:r>
    </w:p>
  </w:footnote>
  <w:footnote w:id="8">
    <w:p w14:paraId="10075BFE" w14:textId="791B1851" w:rsidR="005B42E4" w:rsidRPr="002F17D9" w:rsidRDefault="005B42E4" w:rsidP="00907A5B">
      <w:pPr>
        <w:pStyle w:val="FootnoteText"/>
        <w:spacing w:before="120" w:after="120"/>
        <w:rPr>
          <w:sz w:val="24"/>
          <w:szCs w:val="24"/>
        </w:rPr>
      </w:pPr>
      <w:r w:rsidRPr="002F17D9">
        <w:rPr>
          <w:rStyle w:val="FootnoteReference"/>
          <w:sz w:val="24"/>
          <w:szCs w:val="24"/>
        </w:rPr>
        <w:footnoteRef/>
      </w:r>
      <w:r w:rsidRPr="002F17D9">
        <w:rPr>
          <w:sz w:val="24"/>
          <w:szCs w:val="24"/>
        </w:rPr>
        <w:t xml:space="preserve"> The D.C. Circuit has remanded to EPA for reconsideration the </w:t>
      </w:r>
      <w:r>
        <w:rPr>
          <w:sz w:val="24"/>
          <w:szCs w:val="24"/>
        </w:rPr>
        <w:t xml:space="preserve">CSAPR </w:t>
      </w:r>
      <w:r w:rsidRPr="002F17D9">
        <w:rPr>
          <w:sz w:val="24"/>
          <w:szCs w:val="24"/>
        </w:rPr>
        <w:t>SO</w:t>
      </w:r>
      <w:r w:rsidRPr="002F17D9">
        <w:rPr>
          <w:sz w:val="24"/>
          <w:szCs w:val="24"/>
          <w:vertAlign w:val="subscript"/>
        </w:rPr>
        <w:t>2</w:t>
      </w:r>
      <w:r w:rsidRPr="002F17D9">
        <w:rPr>
          <w:sz w:val="24"/>
          <w:szCs w:val="24"/>
        </w:rPr>
        <w:t xml:space="preserve"> </w:t>
      </w:r>
      <w:r>
        <w:rPr>
          <w:sz w:val="24"/>
          <w:szCs w:val="24"/>
        </w:rPr>
        <w:t xml:space="preserve">Group 2 trading </w:t>
      </w:r>
      <w:r w:rsidRPr="002F17D9">
        <w:rPr>
          <w:sz w:val="24"/>
          <w:szCs w:val="24"/>
        </w:rPr>
        <w:t xml:space="preserve">budgets for 2017 and subsequent years </w:t>
      </w:r>
      <w:r>
        <w:rPr>
          <w:sz w:val="24"/>
          <w:szCs w:val="24"/>
        </w:rPr>
        <w:t xml:space="preserve">for </w:t>
      </w:r>
      <w:r w:rsidRPr="002F17D9">
        <w:rPr>
          <w:sz w:val="24"/>
          <w:szCs w:val="24"/>
        </w:rPr>
        <w:t xml:space="preserve">Alabama, Georgia, South Carolina, and Texas.  </w:t>
      </w:r>
      <w:r w:rsidRPr="002F17D9">
        <w:rPr>
          <w:i/>
          <w:sz w:val="24"/>
          <w:szCs w:val="24"/>
        </w:rPr>
        <w:t>EME Homer City Generation, L.P. v. EPA</w:t>
      </w:r>
      <w:r w:rsidRPr="002F17D9">
        <w:rPr>
          <w:sz w:val="24"/>
          <w:szCs w:val="24"/>
        </w:rPr>
        <w:t xml:space="preserve">, 795 F.3d 118 (D.C. Cir. 2015). </w:t>
      </w:r>
    </w:p>
  </w:footnote>
  <w:footnote w:id="9">
    <w:p w14:paraId="368A9799" w14:textId="52FCABF7" w:rsidR="005B42E4" w:rsidRPr="00253A77" w:rsidRDefault="005B42E4" w:rsidP="00907A5B">
      <w:pPr>
        <w:pStyle w:val="FootnoteText"/>
        <w:spacing w:before="120" w:after="120"/>
        <w:rPr>
          <w:sz w:val="24"/>
          <w:szCs w:val="24"/>
        </w:rPr>
      </w:pPr>
      <w:r w:rsidRPr="00253A77">
        <w:rPr>
          <w:rStyle w:val="FootnoteReference"/>
          <w:sz w:val="24"/>
          <w:szCs w:val="24"/>
        </w:rPr>
        <w:footnoteRef/>
      </w:r>
      <w:r w:rsidRPr="00253A77">
        <w:rPr>
          <w:sz w:val="24"/>
          <w:szCs w:val="24"/>
        </w:rPr>
        <w:t xml:space="preserve"> The D.C. Circuit has remanded to EPA for reconsideration the </w:t>
      </w:r>
      <w:r>
        <w:rPr>
          <w:sz w:val="24"/>
          <w:szCs w:val="24"/>
        </w:rPr>
        <w:t xml:space="preserve">CSAPR </w:t>
      </w:r>
      <w:r w:rsidRPr="00253A77">
        <w:rPr>
          <w:sz w:val="24"/>
          <w:szCs w:val="24"/>
        </w:rPr>
        <w:t>NO</w:t>
      </w:r>
      <w:r w:rsidRPr="00253A77">
        <w:rPr>
          <w:sz w:val="24"/>
          <w:szCs w:val="24"/>
          <w:vertAlign w:val="subscript"/>
        </w:rPr>
        <w:t>X</w:t>
      </w:r>
      <w:r w:rsidRPr="00253A77">
        <w:rPr>
          <w:sz w:val="24"/>
          <w:szCs w:val="24"/>
        </w:rPr>
        <w:t xml:space="preserve"> Ozone Season </w:t>
      </w:r>
      <w:r>
        <w:rPr>
          <w:sz w:val="24"/>
          <w:szCs w:val="24"/>
        </w:rPr>
        <w:t xml:space="preserve">trading </w:t>
      </w:r>
      <w:r w:rsidRPr="00253A77">
        <w:rPr>
          <w:sz w:val="24"/>
          <w:szCs w:val="24"/>
        </w:rPr>
        <w:t xml:space="preserve">budgets for 2017 and subsequent years for Florida, Maryland, New Jersey, New York, North Carolina, </w:t>
      </w:r>
      <w:r>
        <w:rPr>
          <w:sz w:val="24"/>
          <w:szCs w:val="24"/>
        </w:rPr>
        <w:t xml:space="preserve">Ohio, </w:t>
      </w:r>
      <w:r w:rsidRPr="00253A77">
        <w:rPr>
          <w:sz w:val="24"/>
          <w:szCs w:val="24"/>
        </w:rPr>
        <w:t xml:space="preserve">Pennsylvania, South Carolina, Texas, Virginia, and West Virginia.  </w:t>
      </w:r>
      <w:r w:rsidRPr="00253A77">
        <w:rPr>
          <w:i/>
          <w:sz w:val="24"/>
          <w:szCs w:val="24"/>
        </w:rPr>
        <w:t>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250E1" w14:textId="7E2971C7" w:rsidR="005B42E4" w:rsidRPr="00CE7F7F" w:rsidRDefault="005B42E4" w:rsidP="004F29C8">
    <w:pPr>
      <w:pStyle w:val="Header"/>
      <w:jc w:val="center"/>
      <w:rPr>
        <w:rFonts w:ascii="Times New Roman" w:hAnsi="Times New Roman"/>
        <w:lang w:val="en-AU"/>
      </w:rPr>
    </w:pPr>
    <w:r w:rsidRPr="00CE7F7F">
      <w:rPr>
        <w:rFonts w:ascii="Times New Roman" w:hAnsi="Times New Roman"/>
        <w:lang w:val="en-AU"/>
      </w:rPr>
      <w:t>ICR</w:t>
    </w:r>
    <w:r>
      <w:rPr>
        <w:rFonts w:ascii="Times New Roman" w:hAnsi="Times New Roman"/>
        <w:lang w:val="en-AU"/>
      </w:rPr>
      <w:t xml:space="preserve"> for the Cross-State Air Pollution Rule Update for the 2008 Ozone NAAQS</w:t>
    </w:r>
  </w:p>
  <w:p w14:paraId="03058482" w14:textId="5329F891" w:rsidR="005B42E4" w:rsidRDefault="005B42E4" w:rsidP="004F29C8">
    <w:pPr>
      <w:pStyle w:val="Header"/>
      <w:jc w:val="center"/>
      <w:rPr>
        <w:lang w:val="en-AU"/>
      </w:rPr>
    </w:pPr>
    <w:r>
      <w:rPr>
        <w:rFonts w:ascii="Times New Roman" w:hAnsi="Times New Roman"/>
        <w:lang w:val="en-AU"/>
      </w:rPr>
      <w:t>November 17,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78BCF" w14:textId="77777777" w:rsidR="005B42E4" w:rsidRDefault="005B42E4" w:rsidP="00C10C31">
    <w:pPr>
      <w:pStyle w:val="Header"/>
      <w:ind w:left="7110"/>
      <w:rPr>
        <w:lang w:val="en-AU"/>
      </w:rPr>
    </w:pPr>
    <w:r>
      <w:rPr>
        <w:lang w:val="en-AU"/>
      </w:rPr>
      <w:t>DRAFT Transport ICR</w:t>
    </w:r>
  </w:p>
  <w:p w14:paraId="301B75AE" w14:textId="77777777" w:rsidR="005B42E4" w:rsidRDefault="005B42E4" w:rsidP="00C10C31">
    <w:pPr>
      <w:pStyle w:val="Header"/>
      <w:ind w:left="7110"/>
      <w:rPr>
        <w:lang w:val="en-AU"/>
      </w:rPr>
    </w:pPr>
    <w:r>
      <w:rPr>
        <w:lang w:val="en-AU"/>
      </w:rPr>
      <w:t>March 12, 2010</w:t>
    </w:r>
  </w:p>
  <w:p w14:paraId="287E5E8B" w14:textId="77777777" w:rsidR="005B42E4" w:rsidRDefault="005B42E4" w:rsidP="00C10C31">
    <w:pPr>
      <w:pStyle w:val="Header"/>
      <w:ind w:left="7110"/>
      <w:rPr>
        <w:lang w:val="en-AU"/>
      </w:rPr>
    </w:pPr>
    <w:r>
      <w:rPr>
        <w:lang w:val="en-AU"/>
      </w:rPr>
      <w:t xml:space="preserve">Page </w:t>
    </w:r>
    <w:r w:rsidRPr="003740C6">
      <w:rPr>
        <w:lang w:val="en-AU"/>
      </w:rPr>
      <w:fldChar w:fldCharType="begin"/>
    </w:r>
    <w:r w:rsidRPr="003740C6">
      <w:rPr>
        <w:lang w:val="en-AU"/>
      </w:rPr>
      <w:instrText xml:space="preserve"> PAGE   \* MERGEFORMAT </w:instrText>
    </w:r>
    <w:r w:rsidRPr="003740C6">
      <w:rPr>
        <w:lang w:val="en-AU"/>
      </w:rPr>
      <w:fldChar w:fldCharType="separate"/>
    </w:r>
    <w:r>
      <w:rPr>
        <w:noProof/>
        <w:lang w:val="en-AU"/>
      </w:rPr>
      <w:t>46</w:t>
    </w:r>
    <w:r w:rsidRPr="003740C6">
      <w:rPr>
        <w:lang w:val="en-AU"/>
      </w:rPr>
      <w:fldChar w:fldCharType="end"/>
    </w:r>
  </w:p>
  <w:p w14:paraId="12FDB52B" w14:textId="77777777" w:rsidR="005B42E4" w:rsidRPr="00F56B02" w:rsidRDefault="005B42E4" w:rsidP="00C10C31">
    <w:pPr>
      <w:pStyle w:val="Header"/>
      <w:ind w:left="7110"/>
    </w:pPr>
    <w:r>
      <w:rPr>
        <w:noProof/>
      </w:rPr>
      <mc:AlternateContent>
        <mc:Choice Requires="wps">
          <w:drawing>
            <wp:anchor distT="0" distB="0" distL="114300" distR="114300" simplePos="0" relativeHeight="251657216" behindDoc="0" locked="0" layoutInCell="1" allowOverlap="1" wp14:anchorId="425F4968" wp14:editId="5C8FF78B">
              <wp:simplePos x="0" y="0"/>
              <wp:positionH relativeFrom="page">
                <wp:posOffset>9133205</wp:posOffset>
              </wp:positionH>
              <wp:positionV relativeFrom="page">
                <wp:posOffset>711200</wp:posOffset>
              </wp:positionV>
              <wp:extent cx="744220" cy="625475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20" cy="6254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C6729D" w14:textId="77777777" w:rsidR="005B42E4" w:rsidRDefault="005B42E4" w:rsidP="00F56B02">
                          <w:pPr>
                            <w:pStyle w:val="Header"/>
                            <w:ind w:left="7110"/>
                            <w:rPr>
                              <w:lang w:val="en-AU"/>
                            </w:rPr>
                          </w:pPr>
                          <w:r>
                            <w:rPr>
                              <w:lang w:val="en-AU"/>
                            </w:rPr>
                            <w:t>DRAFT Transport ICR</w:t>
                          </w:r>
                        </w:p>
                        <w:p w14:paraId="6B27CCE5" w14:textId="77777777" w:rsidR="005B42E4" w:rsidRDefault="005B42E4" w:rsidP="00F56B02">
                          <w:pPr>
                            <w:pStyle w:val="Header"/>
                            <w:ind w:left="7110"/>
                            <w:rPr>
                              <w:lang w:val="en-AU"/>
                            </w:rPr>
                          </w:pPr>
                          <w:r>
                            <w:rPr>
                              <w:lang w:val="en-AU"/>
                            </w:rPr>
                            <w:t>March 12, 2010</w:t>
                          </w:r>
                        </w:p>
                        <w:p w14:paraId="70EC618D" w14:textId="77777777" w:rsidR="005B42E4" w:rsidRDefault="005B42E4" w:rsidP="00F56B02">
                          <w:pPr>
                            <w:pStyle w:val="Header"/>
                            <w:ind w:left="7110"/>
                            <w:rPr>
                              <w:lang w:val="en-AU"/>
                            </w:rPr>
                          </w:pPr>
                          <w:r>
                            <w:rPr>
                              <w:lang w:val="en-AU"/>
                            </w:rPr>
                            <w:t xml:space="preserve">Page </w:t>
                          </w:r>
                          <w:r w:rsidRPr="003740C6">
                            <w:rPr>
                              <w:lang w:val="en-AU"/>
                            </w:rPr>
                            <w:fldChar w:fldCharType="begin"/>
                          </w:r>
                          <w:r w:rsidRPr="003740C6">
                            <w:rPr>
                              <w:lang w:val="en-AU"/>
                            </w:rPr>
                            <w:instrText xml:space="preserve"> PAGE   \* MERGEFORMAT </w:instrText>
                          </w:r>
                          <w:r w:rsidRPr="003740C6">
                            <w:rPr>
                              <w:lang w:val="en-AU"/>
                            </w:rPr>
                            <w:fldChar w:fldCharType="separate"/>
                          </w:r>
                          <w:r>
                            <w:rPr>
                              <w:noProof/>
                              <w:lang w:val="en-AU"/>
                            </w:rPr>
                            <w:t>46</w:t>
                          </w:r>
                          <w:r w:rsidRPr="003740C6">
                            <w:rPr>
                              <w:lang w:val="en-AU"/>
                            </w:rPr>
                            <w:fldChar w:fldCharType="end"/>
                          </w:r>
                        </w:p>
                        <w:p w14:paraId="376761DF" w14:textId="77777777" w:rsidR="005B42E4" w:rsidRPr="00F56B02" w:rsidRDefault="005B42E4" w:rsidP="00F56B02"/>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F4968" id="_x0000_t202" coordsize="21600,21600" o:spt="202" path="m,l,21600r21600,l21600,xe">
              <v:stroke joinstyle="miter"/>
              <v:path gradientshapeok="t" o:connecttype="rect"/>
            </v:shapetype>
            <v:shape id="Text Box 9" o:spid="_x0000_s1026" type="#_x0000_t202" style="position:absolute;left:0;text-align:left;margin-left:719.15pt;margin-top:56pt;width:58.6pt;height:49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" stroked="f">
              <v:textbox style="layout-flow:vertical">
                <w:txbxContent>
                  <w:p w14:paraId="2FC6729D" w14:textId="77777777" w:rsidR="005B42E4" w:rsidRDefault="005B42E4" w:rsidP="00F56B02">
                    <w:pPr>
                      <w:pStyle w:val="Header"/>
                      <w:ind w:left="7110"/>
                      <w:rPr>
                        <w:lang w:val="en-AU"/>
                      </w:rPr>
                    </w:pPr>
                    <w:r>
                      <w:rPr>
                        <w:lang w:val="en-AU"/>
                      </w:rPr>
                      <w:t>DRAFT Transport ICR</w:t>
                    </w:r>
                  </w:p>
                  <w:p w14:paraId="6B27CCE5" w14:textId="77777777" w:rsidR="005B42E4" w:rsidRDefault="005B42E4" w:rsidP="00F56B02">
                    <w:pPr>
                      <w:pStyle w:val="Header"/>
                      <w:ind w:left="7110"/>
                      <w:rPr>
                        <w:lang w:val="en-AU"/>
                      </w:rPr>
                    </w:pPr>
                    <w:r>
                      <w:rPr>
                        <w:lang w:val="en-AU"/>
                      </w:rPr>
                      <w:t>March 12, 2010</w:t>
                    </w:r>
                  </w:p>
                  <w:p w14:paraId="70EC618D" w14:textId="77777777" w:rsidR="005B42E4" w:rsidRDefault="005B42E4" w:rsidP="00F56B02">
                    <w:pPr>
                      <w:pStyle w:val="Header"/>
                      <w:ind w:left="7110"/>
                      <w:rPr>
                        <w:lang w:val="en-AU"/>
                      </w:rPr>
                    </w:pPr>
                    <w:r>
                      <w:rPr>
                        <w:lang w:val="en-AU"/>
                      </w:rPr>
                      <w:t xml:space="preserve">Page </w:t>
                    </w:r>
                    <w:r w:rsidRPr="003740C6">
                      <w:rPr>
                        <w:lang w:val="en-AU"/>
                      </w:rPr>
                      <w:fldChar w:fldCharType="begin"/>
                    </w:r>
                    <w:r w:rsidRPr="003740C6">
                      <w:rPr>
                        <w:lang w:val="en-AU"/>
                      </w:rPr>
                      <w:instrText xml:space="preserve"> PAGE   \* MERGEFORMAT </w:instrText>
                    </w:r>
                    <w:r w:rsidRPr="003740C6">
                      <w:rPr>
                        <w:lang w:val="en-AU"/>
                      </w:rPr>
                      <w:fldChar w:fldCharType="separate"/>
                    </w:r>
                    <w:r>
                      <w:rPr>
                        <w:noProof/>
                        <w:lang w:val="en-AU"/>
                      </w:rPr>
                      <w:t>46</w:t>
                    </w:r>
                    <w:r w:rsidRPr="003740C6">
                      <w:rPr>
                        <w:lang w:val="en-AU"/>
                      </w:rPr>
                      <w:fldChar w:fldCharType="end"/>
                    </w:r>
                  </w:p>
                  <w:p w14:paraId="376761DF" w14:textId="77777777" w:rsidR="005B42E4" w:rsidRPr="00F56B02" w:rsidRDefault="005B42E4" w:rsidP="00F56B02"/>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3149B"/>
    <w:multiLevelType w:val="hybridMultilevel"/>
    <w:tmpl w:val="847AA218"/>
    <w:lvl w:ilvl="0" w:tplc="BCBAA3E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28BE29D5"/>
    <w:multiLevelType w:val="hybridMultilevel"/>
    <w:tmpl w:val="81E22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927020"/>
    <w:multiLevelType w:val="hybridMultilevel"/>
    <w:tmpl w:val="8C504DA0"/>
    <w:lvl w:ilvl="0" w:tplc="4C76DF4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5FE46A7F"/>
    <w:multiLevelType w:val="hybridMultilevel"/>
    <w:tmpl w:val="3496BC12"/>
    <w:lvl w:ilvl="0" w:tplc="D318D85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640E294A"/>
    <w:multiLevelType w:val="hybridMultilevel"/>
    <w:tmpl w:val="3496BC12"/>
    <w:lvl w:ilvl="0" w:tplc="D318D85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643E5FC5"/>
    <w:multiLevelType w:val="hybridMultilevel"/>
    <w:tmpl w:val="ABB0FD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9022FD6"/>
    <w:multiLevelType w:val="hybridMultilevel"/>
    <w:tmpl w:val="AD0045E4"/>
    <w:lvl w:ilvl="0" w:tplc="47B08402">
      <w:start w:val="1"/>
      <w:numFmt w:val="decimal"/>
      <w:lvlText w:val="%1."/>
      <w:lvlJc w:val="left"/>
      <w:pPr>
        <w:ind w:left="540" w:hanging="360"/>
      </w:pPr>
      <w:rPr>
        <w:rFonts w:hint="default"/>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6A06298E"/>
    <w:multiLevelType w:val="hybridMultilevel"/>
    <w:tmpl w:val="B66CD9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7"/>
  </w:num>
  <w:num w:numId="3">
    <w:abstractNumId w:val="3"/>
  </w:num>
  <w:num w:numId="4">
    <w:abstractNumId w:val="4"/>
  </w:num>
  <w:num w:numId="5">
    <w:abstractNumId w:val="6"/>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oNotDisplayPageBoundarie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2E9"/>
    <w:rsid w:val="000038AC"/>
    <w:rsid w:val="00004990"/>
    <w:rsid w:val="00005E04"/>
    <w:rsid w:val="0000737E"/>
    <w:rsid w:val="00007FDB"/>
    <w:rsid w:val="00011764"/>
    <w:rsid w:val="00011DC3"/>
    <w:rsid w:val="0001414A"/>
    <w:rsid w:val="0001568B"/>
    <w:rsid w:val="00017B45"/>
    <w:rsid w:val="00020021"/>
    <w:rsid w:val="00020898"/>
    <w:rsid w:val="000209B5"/>
    <w:rsid w:val="00022D38"/>
    <w:rsid w:val="00024A96"/>
    <w:rsid w:val="00024AB7"/>
    <w:rsid w:val="00025576"/>
    <w:rsid w:val="000269A2"/>
    <w:rsid w:val="000303E6"/>
    <w:rsid w:val="000312ED"/>
    <w:rsid w:val="00033581"/>
    <w:rsid w:val="00034090"/>
    <w:rsid w:val="000344B0"/>
    <w:rsid w:val="00035DDD"/>
    <w:rsid w:val="00037049"/>
    <w:rsid w:val="00037388"/>
    <w:rsid w:val="00037E5F"/>
    <w:rsid w:val="0004168E"/>
    <w:rsid w:val="000425D4"/>
    <w:rsid w:val="000426CC"/>
    <w:rsid w:val="00045476"/>
    <w:rsid w:val="00046F7F"/>
    <w:rsid w:val="000518E6"/>
    <w:rsid w:val="00053A38"/>
    <w:rsid w:val="00054FF5"/>
    <w:rsid w:val="0005706D"/>
    <w:rsid w:val="00057BDD"/>
    <w:rsid w:val="0006245A"/>
    <w:rsid w:val="000653D9"/>
    <w:rsid w:val="00065A88"/>
    <w:rsid w:val="00066536"/>
    <w:rsid w:val="00066761"/>
    <w:rsid w:val="000707AE"/>
    <w:rsid w:val="000714D7"/>
    <w:rsid w:val="000717E9"/>
    <w:rsid w:val="000721DC"/>
    <w:rsid w:val="00072574"/>
    <w:rsid w:val="000728DC"/>
    <w:rsid w:val="00076623"/>
    <w:rsid w:val="00080328"/>
    <w:rsid w:val="00083A8F"/>
    <w:rsid w:val="00084891"/>
    <w:rsid w:val="00085120"/>
    <w:rsid w:val="00086820"/>
    <w:rsid w:val="0008767A"/>
    <w:rsid w:val="00091D7F"/>
    <w:rsid w:val="000930AB"/>
    <w:rsid w:val="0009346A"/>
    <w:rsid w:val="0009697D"/>
    <w:rsid w:val="00096F83"/>
    <w:rsid w:val="000A0014"/>
    <w:rsid w:val="000A1A65"/>
    <w:rsid w:val="000A2DFD"/>
    <w:rsid w:val="000A3D25"/>
    <w:rsid w:val="000A3F84"/>
    <w:rsid w:val="000A515F"/>
    <w:rsid w:val="000A7B81"/>
    <w:rsid w:val="000B587A"/>
    <w:rsid w:val="000B5CB7"/>
    <w:rsid w:val="000B5E1F"/>
    <w:rsid w:val="000B7D3F"/>
    <w:rsid w:val="000C02E9"/>
    <w:rsid w:val="000C0B8F"/>
    <w:rsid w:val="000C110E"/>
    <w:rsid w:val="000C1147"/>
    <w:rsid w:val="000C2CBF"/>
    <w:rsid w:val="000C5983"/>
    <w:rsid w:val="000C5DB5"/>
    <w:rsid w:val="000C6464"/>
    <w:rsid w:val="000C6795"/>
    <w:rsid w:val="000D097E"/>
    <w:rsid w:val="000D218B"/>
    <w:rsid w:val="000D29F7"/>
    <w:rsid w:val="000D3749"/>
    <w:rsid w:val="000D4CB1"/>
    <w:rsid w:val="000D5EB8"/>
    <w:rsid w:val="000D7967"/>
    <w:rsid w:val="000E1930"/>
    <w:rsid w:val="000E2FE7"/>
    <w:rsid w:val="000E3690"/>
    <w:rsid w:val="000E377A"/>
    <w:rsid w:val="000E4E9F"/>
    <w:rsid w:val="000E557F"/>
    <w:rsid w:val="000E5660"/>
    <w:rsid w:val="000E7455"/>
    <w:rsid w:val="000E7761"/>
    <w:rsid w:val="000F4973"/>
    <w:rsid w:val="000F5E3E"/>
    <w:rsid w:val="000F6E93"/>
    <w:rsid w:val="00102063"/>
    <w:rsid w:val="00104765"/>
    <w:rsid w:val="00105DD9"/>
    <w:rsid w:val="001066D5"/>
    <w:rsid w:val="001067ED"/>
    <w:rsid w:val="0010711C"/>
    <w:rsid w:val="00107C72"/>
    <w:rsid w:val="00107F0D"/>
    <w:rsid w:val="00107F15"/>
    <w:rsid w:val="00110A4F"/>
    <w:rsid w:val="00111CE9"/>
    <w:rsid w:val="0011728F"/>
    <w:rsid w:val="00117909"/>
    <w:rsid w:val="00117AC7"/>
    <w:rsid w:val="00120D72"/>
    <w:rsid w:val="00120D9B"/>
    <w:rsid w:val="0012189C"/>
    <w:rsid w:val="00123759"/>
    <w:rsid w:val="00123EA5"/>
    <w:rsid w:val="00124859"/>
    <w:rsid w:val="00124E49"/>
    <w:rsid w:val="0012505C"/>
    <w:rsid w:val="00125A66"/>
    <w:rsid w:val="00126EAF"/>
    <w:rsid w:val="001327CE"/>
    <w:rsid w:val="001341C5"/>
    <w:rsid w:val="00135367"/>
    <w:rsid w:val="001407FB"/>
    <w:rsid w:val="0014182B"/>
    <w:rsid w:val="00142505"/>
    <w:rsid w:val="00143464"/>
    <w:rsid w:val="001439B2"/>
    <w:rsid w:val="0014452F"/>
    <w:rsid w:val="00144940"/>
    <w:rsid w:val="00144993"/>
    <w:rsid w:val="001458B1"/>
    <w:rsid w:val="00147A57"/>
    <w:rsid w:val="001508D1"/>
    <w:rsid w:val="00153FA2"/>
    <w:rsid w:val="001543F4"/>
    <w:rsid w:val="0015473F"/>
    <w:rsid w:val="001574E9"/>
    <w:rsid w:val="00157B5C"/>
    <w:rsid w:val="00161BF9"/>
    <w:rsid w:val="00162E56"/>
    <w:rsid w:val="0016583D"/>
    <w:rsid w:val="00166166"/>
    <w:rsid w:val="001662A4"/>
    <w:rsid w:val="00166710"/>
    <w:rsid w:val="001673DA"/>
    <w:rsid w:val="00167DC3"/>
    <w:rsid w:val="00171B44"/>
    <w:rsid w:val="00173C1B"/>
    <w:rsid w:val="001743CB"/>
    <w:rsid w:val="001743E5"/>
    <w:rsid w:val="00175934"/>
    <w:rsid w:val="00175E92"/>
    <w:rsid w:val="001778E9"/>
    <w:rsid w:val="001809FF"/>
    <w:rsid w:val="00183C83"/>
    <w:rsid w:val="00183FFF"/>
    <w:rsid w:val="00184B42"/>
    <w:rsid w:val="00184ED8"/>
    <w:rsid w:val="001866D7"/>
    <w:rsid w:val="001915A3"/>
    <w:rsid w:val="001945DA"/>
    <w:rsid w:val="00196CF5"/>
    <w:rsid w:val="0019721A"/>
    <w:rsid w:val="001A0A58"/>
    <w:rsid w:val="001A10E6"/>
    <w:rsid w:val="001A38CD"/>
    <w:rsid w:val="001A6513"/>
    <w:rsid w:val="001A75C5"/>
    <w:rsid w:val="001B0F74"/>
    <w:rsid w:val="001B1458"/>
    <w:rsid w:val="001B1562"/>
    <w:rsid w:val="001B2B28"/>
    <w:rsid w:val="001B328D"/>
    <w:rsid w:val="001B32A6"/>
    <w:rsid w:val="001B3566"/>
    <w:rsid w:val="001B37C7"/>
    <w:rsid w:val="001B653D"/>
    <w:rsid w:val="001C04F5"/>
    <w:rsid w:val="001C13DA"/>
    <w:rsid w:val="001C1BE1"/>
    <w:rsid w:val="001C1EBE"/>
    <w:rsid w:val="001C2453"/>
    <w:rsid w:val="001C26BE"/>
    <w:rsid w:val="001C2A22"/>
    <w:rsid w:val="001C3415"/>
    <w:rsid w:val="001C3D81"/>
    <w:rsid w:val="001C6309"/>
    <w:rsid w:val="001D0BE7"/>
    <w:rsid w:val="001D2C9A"/>
    <w:rsid w:val="001D5847"/>
    <w:rsid w:val="001E081C"/>
    <w:rsid w:val="001E5696"/>
    <w:rsid w:val="001E7698"/>
    <w:rsid w:val="001F1F47"/>
    <w:rsid w:val="001F2462"/>
    <w:rsid w:val="001F32EF"/>
    <w:rsid w:val="001F5EE4"/>
    <w:rsid w:val="001F6E98"/>
    <w:rsid w:val="001F7809"/>
    <w:rsid w:val="0020105B"/>
    <w:rsid w:val="002020C2"/>
    <w:rsid w:val="002022B3"/>
    <w:rsid w:val="0020450C"/>
    <w:rsid w:val="002050C7"/>
    <w:rsid w:val="002060F7"/>
    <w:rsid w:val="00207C28"/>
    <w:rsid w:val="00207C79"/>
    <w:rsid w:val="00210F79"/>
    <w:rsid w:val="002112D6"/>
    <w:rsid w:val="00213C4C"/>
    <w:rsid w:val="00217148"/>
    <w:rsid w:val="00217553"/>
    <w:rsid w:val="0022265A"/>
    <w:rsid w:val="002228A0"/>
    <w:rsid w:val="00222A64"/>
    <w:rsid w:val="0022320D"/>
    <w:rsid w:val="002236F1"/>
    <w:rsid w:val="002248B9"/>
    <w:rsid w:val="002248C4"/>
    <w:rsid w:val="00224F3C"/>
    <w:rsid w:val="00226216"/>
    <w:rsid w:val="00226E9D"/>
    <w:rsid w:val="00230007"/>
    <w:rsid w:val="002304C2"/>
    <w:rsid w:val="002313F1"/>
    <w:rsid w:val="0023264A"/>
    <w:rsid w:val="002332BA"/>
    <w:rsid w:val="00233689"/>
    <w:rsid w:val="002350EA"/>
    <w:rsid w:val="0023691F"/>
    <w:rsid w:val="00241B7C"/>
    <w:rsid w:val="00242166"/>
    <w:rsid w:val="00243491"/>
    <w:rsid w:val="00243965"/>
    <w:rsid w:val="002502BF"/>
    <w:rsid w:val="00250395"/>
    <w:rsid w:val="00251DE6"/>
    <w:rsid w:val="00253A77"/>
    <w:rsid w:val="002552E4"/>
    <w:rsid w:val="002553FA"/>
    <w:rsid w:val="00256CAC"/>
    <w:rsid w:val="00260C02"/>
    <w:rsid w:val="00261CEA"/>
    <w:rsid w:val="00264C2E"/>
    <w:rsid w:val="00265195"/>
    <w:rsid w:val="00265404"/>
    <w:rsid w:val="00267118"/>
    <w:rsid w:val="002676EE"/>
    <w:rsid w:val="00267A48"/>
    <w:rsid w:val="00273A97"/>
    <w:rsid w:val="00277EAB"/>
    <w:rsid w:val="00282A14"/>
    <w:rsid w:val="002834C2"/>
    <w:rsid w:val="002834D9"/>
    <w:rsid w:val="00284877"/>
    <w:rsid w:val="00284FAA"/>
    <w:rsid w:val="002875B6"/>
    <w:rsid w:val="00290DF7"/>
    <w:rsid w:val="00290E46"/>
    <w:rsid w:val="00292ECD"/>
    <w:rsid w:val="00294203"/>
    <w:rsid w:val="00295B91"/>
    <w:rsid w:val="00295D1B"/>
    <w:rsid w:val="002A01AB"/>
    <w:rsid w:val="002A18F2"/>
    <w:rsid w:val="002A1BCA"/>
    <w:rsid w:val="002A217A"/>
    <w:rsid w:val="002A21D1"/>
    <w:rsid w:val="002A2546"/>
    <w:rsid w:val="002A4498"/>
    <w:rsid w:val="002A62FD"/>
    <w:rsid w:val="002B09EE"/>
    <w:rsid w:val="002B1238"/>
    <w:rsid w:val="002B2583"/>
    <w:rsid w:val="002B37C4"/>
    <w:rsid w:val="002B3E5C"/>
    <w:rsid w:val="002B5376"/>
    <w:rsid w:val="002B599B"/>
    <w:rsid w:val="002B6FAE"/>
    <w:rsid w:val="002B7D3B"/>
    <w:rsid w:val="002C00B4"/>
    <w:rsid w:val="002C1B15"/>
    <w:rsid w:val="002C2AE3"/>
    <w:rsid w:val="002C36D7"/>
    <w:rsid w:val="002C5C1A"/>
    <w:rsid w:val="002D0690"/>
    <w:rsid w:val="002D401C"/>
    <w:rsid w:val="002D46C4"/>
    <w:rsid w:val="002E090D"/>
    <w:rsid w:val="002E197F"/>
    <w:rsid w:val="002E6304"/>
    <w:rsid w:val="002F17D9"/>
    <w:rsid w:val="002F17DA"/>
    <w:rsid w:val="002F39F4"/>
    <w:rsid w:val="002F655E"/>
    <w:rsid w:val="002F6D7E"/>
    <w:rsid w:val="003017F3"/>
    <w:rsid w:val="00302E49"/>
    <w:rsid w:val="0030577C"/>
    <w:rsid w:val="00305861"/>
    <w:rsid w:val="00305AB5"/>
    <w:rsid w:val="0030625B"/>
    <w:rsid w:val="003069D9"/>
    <w:rsid w:val="00306A5E"/>
    <w:rsid w:val="00307157"/>
    <w:rsid w:val="003078F6"/>
    <w:rsid w:val="00312097"/>
    <w:rsid w:val="0032095E"/>
    <w:rsid w:val="003236ED"/>
    <w:rsid w:val="00323D44"/>
    <w:rsid w:val="00325903"/>
    <w:rsid w:val="00330548"/>
    <w:rsid w:val="003335E6"/>
    <w:rsid w:val="003355F9"/>
    <w:rsid w:val="00336C3A"/>
    <w:rsid w:val="003371B3"/>
    <w:rsid w:val="00337AD9"/>
    <w:rsid w:val="00343167"/>
    <w:rsid w:val="00343730"/>
    <w:rsid w:val="003449B4"/>
    <w:rsid w:val="00344E64"/>
    <w:rsid w:val="00346E2F"/>
    <w:rsid w:val="003475D0"/>
    <w:rsid w:val="00347C04"/>
    <w:rsid w:val="00350262"/>
    <w:rsid w:val="00352B25"/>
    <w:rsid w:val="0035369E"/>
    <w:rsid w:val="00354567"/>
    <w:rsid w:val="003559B3"/>
    <w:rsid w:val="00355C55"/>
    <w:rsid w:val="00360CF0"/>
    <w:rsid w:val="00364D1F"/>
    <w:rsid w:val="0036770A"/>
    <w:rsid w:val="00370979"/>
    <w:rsid w:val="00370F79"/>
    <w:rsid w:val="00371CE2"/>
    <w:rsid w:val="003720F8"/>
    <w:rsid w:val="003740C6"/>
    <w:rsid w:val="00374FE9"/>
    <w:rsid w:val="00376014"/>
    <w:rsid w:val="00376477"/>
    <w:rsid w:val="00377D0D"/>
    <w:rsid w:val="00381926"/>
    <w:rsid w:val="003832AB"/>
    <w:rsid w:val="003833F4"/>
    <w:rsid w:val="00383D64"/>
    <w:rsid w:val="00385539"/>
    <w:rsid w:val="00386AED"/>
    <w:rsid w:val="00390759"/>
    <w:rsid w:val="00391018"/>
    <w:rsid w:val="00391881"/>
    <w:rsid w:val="00391A0F"/>
    <w:rsid w:val="00391BFE"/>
    <w:rsid w:val="0039259A"/>
    <w:rsid w:val="0039315C"/>
    <w:rsid w:val="0039391E"/>
    <w:rsid w:val="00393A76"/>
    <w:rsid w:val="003941FA"/>
    <w:rsid w:val="003942C6"/>
    <w:rsid w:val="00395985"/>
    <w:rsid w:val="003972B1"/>
    <w:rsid w:val="003A1B2F"/>
    <w:rsid w:val="003A4C84"/>
    <w:rsid w:val="003A5440"/>
    <w:rsid w:val="003A6DAA"/>
    <w:rsid w:val="003B0122"/>
    <w:rsid w:val="003B044E"/>
    <w:rsid w:val="003B339B"/>
    <w:rsid w:val="003B7307"/>
    <w:rsid w:val="003B7CE5"/>
    <w:rsid w:val="003C0B02"/>
    <w:rsid w:val="003C0FF8"/>
    <w:rsid w:val="003C1A16"/>
    <w:rsid w:val="003C6682"/>
    <w:rsid w:val="003D3490"/>
    <w:rsid w:val="003D599E"/>
    <w:rsid w:val="003D6CC9"/>
    <w:rsid w:val="003D790F"/>
    <w:rsid w:val="003E26CD"/>
    <w:rsid w:val="003E2E1C"/>
    <w:rsid w:val="003E32A7"/>
    <w:rsid w:val="003E4ABE"/>
    <w:rsid w:val="003E7737"/>
    <w:rsid w:val="003F3C10"/>
    <w:rsid w:val="003F434D"/>
    <w:rsid w:val="003F5E17"/>
    <w:rsid w:val="003F635A"/>
    <w:rsid w:val="003F7265"/>
    <w:rsid w:val="003F7C4D"/>
    <w:rsid w:val="00401022"/>
    <w:rsid w:val="004023FE"/>
    <w:rsid w:val="00402CF1"/>
    <w:rsid w:val="0040499E"/>
    <w:rsid w:val="004073C9"/>
    <w:rsid w:val="004076F9"/>
    <w:rsid w:val="00407B77"/>
    <w:rsid w:val="00410114"/>
    <w:rsid w:val="00413183"/>
    <w:rsid w:val="00413C7F"/>
    <w:rsid w:val="004147D8"/>
    <w:rsid w:val="00416637"/>
    <w:rsid w:val="00421995"/>
    <w:rsid w:val="004222E0"/>
    <w:rsid w:val="00422D70"/>
    <w:rsid w:val="00423F30"/>
    <w:rsid w:val="00423F3F"/>
    <w:rsid w:val="0042483A"/>
    <w:rsid w:val="00425746"/>
    <w:rsid w:val="004263FA"/>
    <w:rsid w:val="00427748"/>
    <w:rsid w:val="00432399"/>
    <w:rsid w:val="00432B16"/>
    <w:rsid w:val="00433749"/>
    <w:rsid w:val="00433F9F"/>
    <w:rsid w:val="004367CA"/>
    <w:rsid w:val="004368B9"/>
    <w:rsid w:val="00440E1E"/>
    <w:rsid w:val="0044182B"/>
    <w:rsid w:val="0044265C"/>
    <w:rsid w:val="004430CE"/>
    <w:rsid w:val="00443E1C"/>
    <w:rsid w:val="004448AA"/>
    <w:rsid w:val="00444FCC"/>
    <w:rsid w:val="004468C1"/>
    <w:rsid w:val="00446D07"/>
    <w:rsid w:val="00447672"/>
    <w:rsid w:val="004501D1"/>
    <w:rsid w:val="00451D27"/>
    <w:rsid w:val="00452651"/>
    <w:rsid w:val="00453489"/>
    <w:rsid w:val="004541A5"/>
    <w:rsid w:val="00461119"/>
    <w:rsid w:val="004629F6"/>
    <w:rsid w:val="00462F8D"/>
    <w:rsid w:val="00464BC8"/>
    <w:rsid w:val="00464D5B"/>
    <w:rsid w:val="0046535C"/>
    <w:rsid w:val="00466785"/>
    <w:rsid w:val="00471B40"/>
    <w:rsid w:val="00473A59"/>
    <w:rsid w:val="004747C3"/>
    <w:rsid w:val="004749A9"/>
    <w:rsid w:val="004761EA"/>
    <w:rsid w:val="004804E2"/>
    <w:rsid w:val="00484080"/>
    <w:rsid w:val="0048676D"/>
    <w:rsid w:val="00486A9B"/>
    <w:rsid w:val="00486B51"/>
    <w:rsid w:val="00492DCB"/>
    <w:rsid w:val="00493AF1"/>
    <w:rsid w:val="00494572"/>
    <w:rsid w:val="0049737F"/>
    <w:rsid w:val="0049778C"/>
    <w:rsid w:val="004A02CC"/>
    <w:rsid w:val="004A0CB6"/>
    <w:rsid w:val="004A116C"/>
    <w:rsid w:val="004A1DA1"/>
    <w:rsid w:val="004A338F"/>
    <w:rsid w:val="004A4458"/>
    <w:rsid w:val="004A4BBB"/>
    <w:rsid w:val="004A5ED1"/>
    <w:rsid w:val="004A611E"/>
    <w:rsid w:val="004A76E0"/>
    <w:rsid w:val="004B180C"/>
    <w:rsid w:val="004B2EF1"/>
    <w:rsid w:val="004B3E61"/>
    <w:rsid w:val="004B41BA"/>
    <w:rsid w:val="004B42D5"/>
    <w:rsid w:val="004B52C2"/>
    <w:rsid w:val="004B6AD2"/>
    <w:rsid w:val="004B7C4E"/>
    <w:rsid w:val="004C0C87"/>
    <w:rsid w:val="004C3721"/>
    <w:rsid w:val="004C38AD"/>
    <w:rsid w:val="004C4007"/>
    <w:rsid w:val="004C4654"/>
    <w:rsid w:val="004D01ED"/>
    <w:rsid w:val="004D05B0"/>
    <w:rsid w:val="004D19E3"/>
    <w:rsid w:val="004D38CF"/>
    <w:rsid w:val="004D3D3E"/>
    <w:rsid w:val="004D4BE7"/>
    <w:rsid w:val="004D4C01"/>
    <w:rsid w:val="004D5A81"/>
    <w:rsid w:val="004E05B9"/>
    <w:rsid w:val="004E1ACD"/>
    <w:rsid w:val="004E20B7"/>
    <w:rsid w:val="004E33D2"/>
    <w:rsid w:val="004E42C1"/>
    <w:rsid w:val="004E5375"/>
    <w:rsid w:val="004E69B2"/>
    <w:rsid w:val="004E7FDE"/>
    <w:rsid w:val="004F1795"/>
    <w:rsid w:val="004F29C8"/>
    <w:rsid w:val="004F323B"/>
    <w:rsid w:val="004F6B8D"/>
    <w:rsid w:val="004F728B"/>
    <w:rsid w:val="004F729B"/>
    <w:rsid w:val="004F7429"/>
    <w:rsid w:val="004F7AF1"/>
    <w:rsid w:val="005002DC"/>
    <w:rsid w:val="00500E67"/>
    <w:rsid w:val="00503C39"/>
    <w:rsid w:val="0050715C"/>
    <w:rsid w:val="00507F24"/>
    <w:rsid w:val="005130E6"/>
    <w:rsid w:val="005136BA"/>
    <w:rsid w:val="00514944"/>
    <w:rsid w:val="005153D3"/>
    <w:rsid w:val="005153D7"/>
    <w:rsid w:val="00522797"/>
    <w:rsid w:val="00522B38"/>
    <w:rsid w:val="00523BB7"/>
    <w:rsid w:val="00526A58"/>
    <w:rsid w:val="00530200"/>
    <w:rsid w:val="00531869"/>
    <w:rsid w:val="00534FFE"/>
    <w:rsid w:val="005356F4"/>
    <w:rsid w:val="00536BEE"/>
    <w:rsid w:val="00540EF1"/>
    <w:rsid w:val="005438C0"/>
    <w:rsid w:val="00543DB6"/>
    <w:rsid w:val="005451A5"/>
    <w:rsid w:val="005457FE"/>
    <w:rsid w:val="005475C0"/>
    <w:rsid w:val="005502CE"/>
    <w:rsid w:val="00550408"/>
    <w:rsid w:val="00555386"/>
    <w:rsid w:val="00556985"/>
    <w:rsid w:val="00561F3F"/>
    <w:rsid w:val="00562BB4"/>
    <w:rsid w:val="00562C50"/>
    <w:rsid w:val="00564C6D"/>
    <w:rsid w:val="005668C6"/>
    <w:rsid w:val="00570C6D"/>
    <w:rsid w:val="00571CA5"/>
    <w:rsid w:val="00574CCD"/>
    <w:rsid w:val="005772E7"/>
    <w:rsid w:val="00577EF5"/>
    <w:rsid w:val="00580872"/>
    <w:rsid w:val="00580ED3"/>
    <w:rsid w:val="005814E0"/>
    <w:rsid w:val="00584DCA"/>
    <w:rsid w:val="00585F29"/>
    <w:rsid w:val="00585FD1"/>
    <w:rsid w:val="005908AF"/>
    <w:rsid w:val="0059178C"/>
    <w:rsid w:val="00592E0E"/>
    <w:rsid w:val="00592F41"/>
    <w:rsid w:val="00593D60"/>
    <w:rsid w:val="00594A03"/>
    <w:rsid w:val="00595D03"/>
    <w:rsid w:val="00595FED"/>
    <w:rsid w:val="00597C92"/>
    <w:rsid w:val="005A0D77"/>
    <w:rsid w:val="005A29C5"/>
    <w:rsid w:val="005A3001"/>
    <w:rsid w:val="005A4047"/>
    <w:rsid w:val="005A454D"/>
    <w:rsid w:val="005A563C"/>
    <w:rsid w:val="005A60F4"/>
    <w:rsid w:val="005A7B5B"/>
    <w:rsid w:val="005B39F5"/>
    <w:rsid w:val="005B42E4"/>
    <w:rsid w:val="005B4F4A"/>
    <w:rsid w:val="005B6B72"/>
    <w:rsid w:val="005C13DF"/>
    <w:rsid w:val="005C20C7"/>
    <w:rsid w:val="005C2965"/>
    <w:rsid w:val="005C4409"/>
    <w:rsid w:val="005C4547"/>
    <w:rsid w:val="005C4AAB"/>
    <w:rsid w:val="005C511C"/>
    <w:rsid w:val="005C592E"/>
    <w:rsid w:val="005D5242"/>
    <w:rsid w:val="005D5C58"/>
    <w:rsid w:val="005E40B8"/>
    <w:rsid w:val="005E4CA3"/>
    <w:rsid w:val="005E644B"/>
    <w:rsid w:val="005E7328"/>
    <w:rsid w:val="005E773F"/>
    <w:rsid w:val="005E7ED4"/>
    <w:rsid w:val="005F44B8"/>
    <w:rsid w:val="005F46F1"/>
    <w:rsid w:val="005F4B7B"/>
    <w:rsid w:val="00600C5E"/>
    <w:rsid w:val="0060344C"/>
    <w:rsid w:val="00605276"/>
    <w:rsid w:val="0060542C"/>
    <w:rsid w:val="006056F7"/>
    <w:rsid w:val="00606C25"/>
    <w:rsid w:val="006105B3"/>
    <w:rsid w:val="006119BC"/>
    <w:rsid w:val="00612114"/>
    <w:rsid w:val="00612C4F"/>
    <w:rsid w:val="00612D98"/>
    <w:rsid w:val="00615F6A"/>
    <w:rsid w:val="00616AD6"/>
    <w:rsid w:val="00616F82"/>
    <w:rsid w:val="006172AA"/>
    <w:rsid w:val="00620803"/>
    <w:rsid w:val="00621B20"/>
    <w:rsid w:val="00623D26"/>
    <w:rsid w:val="00626174"/>
    <w:rsid w:val="00626811"/>
    <w:rsid w:val="006276A0"/>
    <w:rsid w:val="00630445"/>
    <w:rsid w:val="0063062A"/>
    <w:rsid w:val="00631442"/>
    <w:rsid w:val="00631BF1"/>
    <w:rsid w:val="00633543"/>
    <w:rsid w:val="00633E36"/>
    <w:rsid w:val="00634498"/>
    <w:rsid w:val="0063625A"/>
    <w:rsid w:val="0063768C"/>
    <w:rsid w:val="00640B2A"/>
    <w:rsid w:val="00640C1D"/>
    <w:rsid w:val="00640D1F"/>
    <w:rsid w:val="00641F60"/>
    <w:rsid w:val="00643482"/>
    <w:rsid w:val="006446CC"/>
    <w:rsid w:val="00644E41"/>
    <w:rsid w:val="0064514F"/>
    <w:rsid w:val="006455AC"/>
    <w:rsid w:val="00646EA5"/>
    <w:rsid w:val="00647459"/>
    <w:rsid w:val="006522FF"/>
    <w:rsid w:val="00652F6F"/>
    <w:rsid w:val="00653861"/>
    <w:rsid w:val="00653EF0"/>
    <w:rsid w:val="006545A7"/>
    <w:rsid w:val="00656747"/>
    <w:rsid w:val="0066040C"/>
    <w:rsid w:val="00660EA2"/>
    <w:rsid w:val="00661865"/>
    <w:rsid w:val="00661C31"/>
    <w:rsid w:val="00663179"/>
    <w:rsid w:val="00664412"/>
    <w:rsid w:val="00664DA3"/>
    <w:rsid w:val="00665B76"/>
    <w:rsid w:val="0067114B"/>
    <w:rsid w:val="00674609"/>
    <w:rsid w:val="006757FB"/>
    <w:rsid w:val="00675F88"/>
    <w:rsid w:val="006764B6"/>
    <w:rsid w:val="00676AFC"/>
    <w:rsid w:val="0068196D"/>
    <w:rsid w:val="00681D11"/>
    <w:rsid w:val="006822F9"/>
    <w:rsid w:val="0068364C"/>
    <w:rsid w:val="00685814"/>
    <w:rsid w:val="00686A3D"/>
    <w:rsid w:val="00687275"/>
    <w:rsid w:val="006926DA"/>
    <w:rsid w:val="0069369D"/>
    <w:rsid w:val="00693A73"/>
    <w:rsid w:val="00693A86"/>
    <w:rsid w:val="00693B54"/>
    <w:rsid w:val="00695518"/>
    <w:rsid w:val="006A03B7"/>
    <w:rsid w:val="006A15F8"/>
    <w:rsid w:val="006A2F38"/>
    <w:rsid w:val="006A3B05"/>
    <w:rsid w:val="006A3CFA"/>
    <w:rsid w:val="006A5023"/>
    <w:rsid w:val="006A6CC2"/>
    <w:rsid w:val="006B6347"/>
    <w:rsid w:val="006B6CC0"/>
    <w:rsid w:val="006B7F3A"/>
    <w:rsid w:val="006C0A9D"/>
    <w:rsid w:val="006C1906"/>
    <w:rsid w:val="006C2BD7"/>
    <w:rsid w:val="006C3CD5"/>
    <w:rsid w:val="006C4143"/>
    <w:rsid w:val="006C53E6"/>
    <w:rsid w:val="006C6732"/>
    <w:rsid w:val="006C7561"/>
    <w:rsid w:val="006C7870"/>
    <w:rsid w:val="006C796C"/>
    <w:rsid w:val="006D0A19"/>
    <w:rsid w:val="006D1731"/>
    <w:rsid w:val="006D2B9E"/>
    <w:rsid w:val="006D2FF3"/>
    <w:rsid w:val="006D39B7"/>
    <w:rsid w:val="006D4C26"/>
    <w:rsid w:val="006D6D30"/>
    <w:rsid w:val="006D6E86"/>
    <w:rsid w:val="006E571A"/>
    <w:rsid w:val="006E5C3A"/>
    <w:rsid w:val="006E7ED9"/>
    <w:rsid w:val="006F03E8"/>
    <w:rsid w:val="006F0E99"/>
    <w:rsid w:val="006F1272"/>
    <w:rsid w:val="006F3338"/>
    <w:rsid w:val="006F3BE9"/>
    <w:rsid w:val="006F520F"/>
    <w:rsid w:val="006F5982"/>
    <w:rsid w:val="006F73B2"/>
    <w:rsid w:val="00700C09"/>
    <w:rsid w:val="00701545"/>
    <w:rsid w:val="007017AD"/>
    <w:rsid w:val="0070503D"/>
    <w:rsid w:val="00705309"/>
    <w:rsid w:val="00706CC2"/>
    <w:rsid w:val="00714ABD"/>
    <w:rsid w:val="00716956"/>
    <w:rsid w:val="0071725E"/>
    <w:rsid w:val="00717AE0"/>
    <w:rsid w:val="00717EF6"/>
    <w:rsid w:val="00720CC5"/>
    <w:rsid w:val="00723842"/>
    <w:rsid w:val="00725A3C"/>
    <w:rsid w:val="0073236C"/>
    <w:rsid w:val="00732422"/>
    <w:rsid w:val="007338D6"/>
    <w:rsid w:val="00733A8E"/>
    <w:rsid w:val="00735CAD"/>
    <w:rsid w:val="00736058"/>
    <w:rsid w:val="00736387"/>
    <w:rsid w:val="0073746D"/>
    <w:rsid w:val="0074075C"/>
    <w:rsid w:val="00741707"/>
    <w:rsid w:val="007424B4"/>
    <w:rsid w:val="007435C0"/>
    <w:rsid w:val="0074361B"/>
    <w:rsid w:val="00743777"/>
    <w:rsid w:val="007454C2"/>
    <w:rsid w:val="007506A5"/>
    <w:rsid w:val="00753411"/>
    <w:rsid w:val="00754597"/>
    <w:rsid w:val="0075787D"/>
    <w:rsid w:val="00762C9C"/>
    <w:rsid w:val="00764293"/>
    <w:rsid w:val="007644B2"/>
    <w:rsid w:val="00766FD7"/>
    <w:rsid w:val="00771A31"/>
    <w:rsid w:val="007732C0"/>
    <w:rsid w:val="0077337D"/>
    <w:rsid w:val="007734FA"/>
    <w:rsid w:val="00774DC3"/>
    <w:rsid w:val="00776B41"/>
    <w:rsid w:val="00777330"/>
    <w:rsid w:val="00780314"/>
    <w:rsid w:val="007817C8"/>
    <w:rsid w:val="00781BA9"/>
    <w:rsid w:val="00781E96"/>
    <w:rsid w:val="00782B00"/>
    <w:rsid w:val="00783064"/>
    <w:rsid w:val="00784B9A"/>
    <w:rsid w:val="00790057"/>
    <w:rsid w:val="00791386"/>
    <w:rsid w:val="00792133"/>
    <w:rsid w:val="0079298E"/>
    <w:rsid w:val="007938D6"/>
    <w:rsid w:val="00794945"/>
    <w:rsid w:val="00795062"/>
    <w:rsid w:val="00797445"/>
    <w:rsid w:val="007A0908"/>
    <w:rsid w:val="007A4ABD"/>
    <w:rsid w:val="007A7202"/>
    <w:rsid w:val="007A7B16"/>
    <w:rsid w:val="007B0E23"/>
    <w:rsid w:val="007B2B69"/>
    <w:rsid w:val="007B3567"/>
    <w:rsid w:val="007B40DE"/>
    <w:rsid w:val="007C2070"/>
    <w:rsid w:val="007C27DC"/>
    <w:rsid w:val="007C454E"/>
    <w:rsid w:val="007C52F6"/>
    <w:rsid w:val="007C6D85"/>
    <w:rsid w:val="007C738D"/>
    <w:rsid w:val="007C7DB5"/>
    <w:rsid w:val="007D00E1"/>
    <w:rsid w:val="007D0F5C"/>
    <w:rsid w:val="007D2C57"/>
    <w:rsid w:val="007D45A3"/>
    <w:rsid w:val="007D66D9"/>
    <w:rsid w:val="007D7492"/>
    <w:rsid w:val="007E5C4C"/>
    <w:rsid w:val="007E6AA9"/>
    <w:rsid w:val="007F0B7E"/>
    <w:rsid w:val="007F1293"/>
    <w:rsid w:val="007F1F6D"/>
    <w:rsid w:val="007F4B59"/>
    <w:rsid w:val="00800E01"/>
    <w:rsid w:val="00800F56"/>
    <w:rsid w:val="00801F98"/>
    <w:rsid w:val="00803A13"/>
    <w:rsid w:val="00804821"/>
    <w:rsid w:val="00807149"/>
    <w:rsid w:val="00807E40"/>
    <w:rsid w:val="00812041"/>
    <w:rsid w:val="00812D46"/>
    <w:rsid w:val="00814430"/>
    <w:rsid w:val="0081771A"/>
    <w:rsid w:val="00820788"/>
    <w:rsid w:val="008210D9"/>
    <w:rsid w:val="00821378"/>
    <w:rsid w:val="008214EC"/>
    <w:rsid w:val="00821F7C"/>
    <w:rsid w:val="008222CC"/>
    <w:rsid w:val="00824569"/>
    <w:rsid w:val="00825881"/>
    <w:rsid w:val="008266BA"/>
    <w:rsid w:val="008312F0"/>
    <w:rsid w:val="00831443"/>
    <w:rsid w:val="008329D8"/>
    <w:rsid w:val="0083618E"/>
    <w:rsid w:val="0083628E"/>
    <w:rsid w:val="00836959"/>
    <w:rsid w:val="00840A56"/>
    <w:rsid w:val="00840A9A"/>
    <w:rsid w:val="00841520"/>
    <w:rsid w:val="008419DB"/>
    <w:rsid w:val="00841C6C"/>
    <w:rsid w:val="008422EB"/>
    <w:rsid w:val="00846BF4"/>
    <w:rsid w:val="00850067"/>
    <w:rsid w:val="008521EC"/>
    <w:rsid w:val="00852DBE"/>
    <w:rsid w:val="00853C82"/>
    <w:rsid w:val="00854D22"/>
    <w:rsid w:val="00856F24"/>
    <w:rsid w:val="008574F9"/>
    <w:rsid w:val="00860FB4"/>
    <w:rsid w:val="00864996"/>
    <w:rsid w:val="00867A89"/>
    <w:rsid w:val="00870452"/>
    <w:rsid w:val="0087091F"/>
    <w:rsid w:val="00871C94"/>
    <w:rsid w:val="00872036"/>
    <w:rsid w:val="00875D31"/>
    <w:rsid w:val="0087649C"/>
    <w:rsid w:val="00876923"/>
    <w:rsid w:val="00877CF9"/>
    <w:rsid w:val="008803CE"/>
    <w:rsid w:val="00880F58"/>
    <w:rsid w:val="00882C04"/>
    <w:rsid w:val="00882FE0"/>
    <w:rsid w:val="00884763"/>
    <w:rsid w:val="0088586D"/>
    <w:rsid w:val="008906DA"/>
    <w:rsid w:val="00891D4D"/>
    <w:rsid w:val="008956C2"/>
    <w:rsid w:val="00895C45"/>
    <w:rsid w:val="00897F13"/>
    <w:rsid w:val="00897F31"/>
    <w:rsid w:val="008A08F0"/>
    <w:rsid w:val="008A3F09"/>
    <w:rsid w:val="008A4407"/>
    <w:rsid w:val="008A5428"/>
    <w:rsid w:val="008A6559"/>
    <w:rsid w:val="008A7BD0"/>
    <w:rsid w:val="008B0D0F"/>
    <w:rsid w:val="008B4AC6"/>
    <w:rsid w:val="008B4E9A"/>
    <w:rsid w:val="008B7294"/>
    <w:rsid w:val="008B73DB"/>
    <w:rsid w:val="008C0E7D"/>
    <w:rsid w:val="008C1964"/>
    <w:rsid w:val="008C2858"/>
    <w:rsid w:val="008C4D87"/>
    <w:rsid w:val="008D03FF"/>
    <w:rsid w:val="008D2B8B"/>
    <w:rsid w:val="008D2BA4"/>
    <w:rsid w:val="008D3247"/>
    <w:rsid w:val="008D43CF"/>
    <w:rsid w:val="008D4FAD"/>
    <w:rsid w:val="008E0551"/>
    <w:rsid w:val="008E1470"/>
    <w:rsid w:val="008E1EA1"/>
    <w:rsid w:val="008E57A5"/>
    <w:rsid w:val="008E67F6"/>
    <w:rsid w:val="008F086F"/>
    <w:rsid w:val="008F0B5E"/>
    <w:rsid w:val="008F0C28"/>
    <w:rsid w:val="008F1BFE"/>
    <w:rsid w:val="008F1DBC"/>
    <w:rsid w:val="008F4030"/>
    <w:rsid w:val="008F437B"/>
    <w:rsid w:val="008F49BA"/>
    <w:rsid w:val="008F4C86"/>
    <w:rsid w:val="008F5058"/>
    <w:rsid w:val="008F5AB6"/>
    <w:rsid w:val="008F5FE5"/>
    <w:rsid w:val="00901B81"/>
    <w:rsid w:val="00902FB5"/>
    <w:rsid w:val="00907184"/>
    <w:rsid w:val="0090729E"/>
    <w:rsid w:val="00907A5B"/>
    <w:rsid w:val="00910248"/>
    <w:rsid w:val="00911803"/>
    <w:rsid w:val="00913B86"/>
    <w:rsid w:val="00916062"/>
    <w:rsid w:val="00924599"/>
    <w:rsid w:val="00924E7C"/>
    <w:rsid w:val="009269F3"/>
    <w:rsid w:val="0093000E"/>
    <w:rsid w:val="00931A4F"/>
    <w:rsid w:val="00931C4E"/>
    <w:rsid w:val="00932204"/>
    <w:rsid w:val="00932FBD"/>
    <w:rsid w:val="00935777"/>
    <w:rsid w:val="00936A98"/>
    <w:rsid w:val="00937AA7"/>
    <w:rsid w:val="00941414"/>
    <w:rsid w:val="00942972"/>
    <w:rsid w:val="0094311C"/>
    <w:rsid w:val="009432CA"/>
    <w:rsid w:val="00943333"/>
    <w:rsid w:val="00944A44"/>
    <w:rsid w:val="00947979"/>
    <w:rsid w:val="00950854"/>
    <w:rsid w:val="009571D5"/>
    <w:rsid w:val="00957509"/>
    <w:rsid w:val="00957585"/>
    <w:rsid w:val="009577BB"/>
    <w:rsid w:val="0096231A"/>
    <w:rsid w:val="009626F2"/>
    <w:rsid w:val="00962BDF"/>
    <w:rsid w:val="00963B00"/>
    <w:rsid w:val="009645B9"/>
    <w:rsid w:val="009704F3"/>
    <w:rsid w:val="009724E2"/>
    <w:rsid w:val="00976A12"/>
    <w:rsid w:val="00977756"/>
    <w:rsid w:val="009815A9"/>
    <w:rsid w:val="00982716"/>
    <w:rsid w:val="009846D3"/>
    <w:rsid w:val="00984AA6"/>
    <w:rsid w:val="00986E2D"/>
    <w:rsid w:val="00987803"/>
    <w:rsid w:val="009901B3"/>
    <w:rsid w:val="00990302"/>
    <w:rsid w:val="0099042A"/>
    <w:rsid w:val="00990AB6"/>
    <w:rsid w:val="009918FC"/>
    <w:rsid w:val="00992CE0"/>
    <w:rsid w:val="00997F9C"/>
    <w:rsid w:val="009A16FF"/>
    <w:rsid w:val="009A189C"/>
    <w:rsid w:val="009A3E56"/>
    <w:rsid w:val="009B0117"/>
    <w:rsid w:val="009B049F"/>
    <w:rsid w:val="009B0ED8"/>
    <w:rsid w:val="009B170E"/>
    <w:rsid w:val="009B47EA"/>
    <w:rsid w:val="009B4B4C"/>
    <w:rsid w:val="009B6E56"/>
    <w:rsid w:val="009C0229"/>
    <w:rsid w:val="009C3082"/>
    <w:rsid w:val="009C3864"/>
    <w:rsid w:val="009C3DC1"/>
    <w:rsid w:val="009C7462"/>
    <w:rsid w:val="009C758D"/>
    <w:rsid w:val="009C7937"/>
    <w:rsid w:val="009D14C9"/>
    <w:rsid w:val="009D2B68"/>
    <w:rsid w:val="009D3CDF"/>
    <w:rsid w:val="009D42E0"/>
    <w:rsid w:val="009D439B"/>
    <w:rsid w:val="009D4D85"/>
    <w:rsid w:val="009D57E0"/>
    <w:rsid w:val="009D5CF3"/>
    <w:rsid w:val="009D6068"/>
    <w:rsid w:val="009D77E7"/>
    <w:rsid w:val="009D793E"/>
    <w:rsid w:val="009E03E5"/>
    <w:rsid w:val="009E21BF"/>
    <w:rsid w:val="009E5D82"/>
    <w:rsid w:val="009F19BA"/>
    <w:rsid w:val="009F3147"/>
    <w:rsid w:val="009F3548"/>
    <w:rsid w:val="009F517C"/>
    <w:rsid w:val="009F64E8"/>
    <w:rsid w:val="009F71D4"/>
    <w:rsid w:val="00A011C4"/>
    <w:rsid w:val="00A02133"/>
    <w:rsid w:val="00A03C99"/>
    <w:rsid w:val="00A046CC"/>
    <w:rsid w:val="00A05103"/>
    <w:rsid w:val="00A054C8"/>
    <w:rsid w:val="00A07E81"/>
    <w:rsid w:val="00A12877"/>
    <w:rsid w:val="00A1302D"/>
    <w:rsid w:val="00A14982"/>
    <w:rsid w:val="00A14F0C"/>
    <w:rsid w:val="00A15716"/>
    <w:rsid w:val="00A16787"/>
    <w:rsid w:val="00A16CC8"/>
    <w:rsid w:val="00A170E8"/>
    <w:rsid w:val="00A17894"/>
    <w:rsid w:val="00A2058A"/>
    <w:rsid w:val="00A206D5"/>
    <w:rsid w:val="00A21891"/>
    <w:rsid w:val="00A227AE"/>
    <w:rsid w:val="00A22F74"/>
    <w:rsid w:val="00A2574F"/>
    <w:rsid w:val="00A25812"/>
    <w:rsid w:val="00A27DC3"/>
    <w:rsid w:val="00A31FAD"/>
    <w:rsid w:val="00A32581"/>
    <w:rsid w:val="00A33DE6"/>
    <w:rsid w:val="00A33F1D"/>
    <w:rsid w:val="00A34A90"/>
    <w:rsid w:val="00A34AD8"/>
    <w:rsid w:val="00A35547"/>
    <w:rsid w:val="00A3654A"/>
    <w:rsid w:val="00A367DB"/>
    <w:rsid w:val="00A37EB5"/>
    <w:rsid w:val="00A422CD"/>
    <w:rsid w:val="00A4250C"/>
    <w:rsid w:val="00A4625E"/>
    <w:rsid w:val="00A47644"/>
    <w:rsid w:val="00A47AC9"/>
    <w:rsid w:val="00A50E7A"/>
    <w:rsid w:val="00A543D4"/>
    <w:rsid w:val="00A54DBB"/>
    <w:rsid w:val="00A55586"/>
    <w:rsid w:val="00A55C35"/>
    <w:rsid w:val="00A56746"/>
    <w:rsid w:val="00A610B6"/>
    <w:rsid w:val="00A61971"/>
    <w:rsid w:val="00A62EA1"/>
    <w:rsid w:val="00A632B2"/>
    <w:rsid w:val="00A650CF"/>
    <w:rsid w:val="00A71F4F"/>
    <w:rsid w:val="00A74979"/>
    <w:rsid w:val="00A7709D"/>
    <w:rsid w:val="00A77BE6"/>
    <w:rsid w:val="00A80803"/>
    <w:rsid w:val="00A829B0"/>
    <w:rsid w:val="00A84388"/>
    <w:rsid w:val="00A85BBC"/>
    <w:rsid w:val="00A8757C"/>
    <w:rsid w:val="00A92527"/>
    <w:rsid w:val="00A9323C"/>
    <w:rsid w:val="00A947BD"/>
    <w:rsid w:val="00A95291"/>
    <w:rsid w:val="00A96F83"/>
    <w:rsid w:val="00AA049D"/>
    <w:rsid w:val="00AA0E61"/>
    <w:rsid w:val="00AA3020"/>
    <w:rsid w:val="00AA3192"/>
    <w:rsid w:val="00AA5FE7"/>
    <w:rsid w:val="00AA73C0"/>
    <w:rsid w:val="00AA7BBC"/>
    <w:rsid w:val="00AB0714"/>
    <w:rsid w:val="00AB0752"/>
    <w:rsid w:val="00AB082F"/>
    <w:rsid w:val="00AB0C15"/>
    <w:rsid w:val="00AB1C31"/>
    <w:rsid w:val="00AB1EEC"/>
    <w:rsid w:val="00AC0156"/>
    <w:rsid w:val="00AC42D1"/>
    <w:rsid w:val="00AC767F"/>
    <w:rsid w:val="00AD04CF"/>
    <w:rsid w:val="00AD192C"/>
    <w:rsid w:val="00AD7024"/>
    <w:rsid w:val="00AD75BD"/>
    <w:rsid w:val="00AD7614"/>
    <w:rsid w:val="00AD7AF9"/>
    <w:rsid w:val="00AE1C1A"/>
    <w:rsid w:val="00AE6226"/>
    <w:rsid w:val="00AF2342"/>
    <w:rsid w:val="00AF23BA"/>
    <w:rsid w:val="00AF31C3"/>
    <w:rsid w:val="00AF36D3"/>
    <w:rsid w:val="00AF42F5"/>
    <w:rsid w:val="00AF44D8"/>
    <w:rsid w:val="00B01EFD"/>
    <w:rsid w:val="00B024B4"/>
    <w:rsid w:val="00B02F83"/>
    <w:rsid w:val="00B04ACB"/>
    <w:rsid w:val="00B0748D"/>
    <w:rsid w:val="00B07C90"/>
    <w:rsid w:val="00B12340"/>
    <w:rsid w:val="00B12971"/>
    <w:rsid w:val="00B13576"/>
    <w:rsid w:val="00B14316"/>
    <w:rsid w:val="00B17F49"/>
    <w:rsid w:val="00B229F1"/>
    <w:rsid w:val="00B23B41"/>
    <w:rsid w:val="00B23FC6"/>
    <w:rsid w:val="00B24694"/>
    <w:rsid w:val="00B24B9C"/>
    <w:rsid w:val="00B26494"/>
    <w:rsid w:val="00B312DD"/>
    <w:rsid w:val="00B31698"/>
    <w:rsid w:val="00B37219"/>
    <w:rsid w:val="00B3743F"/>
    <w:rsid w:val="00B3790D"/>
    <w:rsid w:val="00B4258D"/>
    <w:rsid w:val="00B4371D"/>
    <w:rsid w:val="00B445B4"/>
    <w:rsid w:val="00B44964"/>
    <w:rsid w:val="00B44AC8"/>
    <w:rsid w:val="00B454B7"/>
    <w:rsid w:val="00B47820"/>
    <w:rsid w:val="00B520AC"/>
    <w:rsid w:val="00B52825"/>
    <w:rsid w:val="00B52BA9"/>
    <w:rsid w:val="00B52E19"/>
    <w:rsid w:val="00B5346B"/>
    <w:rsid w:val="00B53CC3"/>
    <w:rsid w:val="00B553BD"/>
    <w:rsid w:val="00B564AE"/>
    <w:rsid w:val="00B566BD"/>
    <w:rsid w:val="00B57D3A"/>
    <w:rsid w:val="00B603B8"/>
    <w:rsid w:val="00B61BD9"/>
    <w:rsid w:val="00B61CD7"/>
    <w:rsid w:val="00B63C34"/>
    <w:rsid w:val="00B63CE2"/>
    <w:rsid w:val="00B63D8F"/>
    <w:rsid w:val="00B70B84"/>
    <w:rsid w:val="00B7107F"/>
    <w:rsid w:val="00B720CE"/>
    <w:rsid w:val="00B726D7"/>
    <w:rsid w:val="00B72E28"/>
    <w:rsid w:val="00B7422C"/>
    <w:rsid w:val="00B75031"/>
    <w:rsid w:val="00B7599C"/>
    <w:rsid w:val="00B80641"/>
    <w:rsid w:val="00B80B2A"/>
    <w:rsid w:val="00B824F9"/>
    <w:rsid w:val="00B85E42"/>
    <w:rsid w:val="00B90204"/>
    <w:rsid w:val="00B91B83"/>
    <w:rsid w:val="00B94168"/>
    <w:rsid w:val="00B948B7"/>
    <w:rsid w:val="00B95C87"/>
    <w:rsid w:val="00B97328"/>
    <w:rsid w:val="00BA1456"/>
    <w:rsid w:val="00BA1D40"/>
    <w:rsid w:val="00BA4B20"/>
    <w:rsid w:val="00BA6EEF"/>
    <w:rsid w:val="00BB0794"/>
    <w:rsid w:val="00BB0CC5"/>
    <w:rsid w:val="00BB1D60"/>
    <w:rsid w:val="00BB1E57"/>
    <w:rsid w:val="00BB2E6E"/>
    <w:rsid w:val="00BB39EE"/>
    <w:rsid w:val="00BB469E"/>
    <w:rsid w:val="00BB5043"/>
    <w:rsid w:val="00BB5093"/>
    <w:rsid w:val="00BB6830"/>
    <w:rsid w:val="00BB7FF0"/>
    <w:rsid w:val="00BC0504"/>
    <w:rsid w:val="00BC332A"/>
    <w:rsid w:val="00BC3CAA"/>
    <w:rsid w:val="00BC41DF"/>
    <w:rsid w:val="00BC4476"/>
    <w:rsid w:val="00BD0E02"/>
    <w:rsid w:val="00BD1696"/>
    <w:rsid w:val="00BD3130"/>
    <w:rsid w:val="00BD363B"/>
    <w:rsid w:val="00BE07A9"/>
    <w:rsid w:val="00BE09A2"/>
    <w:rsid w:val="00BE0BD1"/>
    <w:rsid w:val="00BE28DA"/>
    <w:rsid w:val="00BE3B8D"/>
    <w:rsid w:val="00BE4D14"/>
    <w:rsid w:val="00BE50F9"/>
    <w:rsid w:val="00BE7306"/>
    <w:rsid w:val="00BE76DD"/>
    <w:rsid w:val="00BF2170"/>
    <w:rsid w:val="00BF23F7"/>
    <w:rsid w:val="00BF2DFC"/>
    <w:rsid w:val="00BF32CE"/>
    <w:rsid w:val="00BF518D"/>
    <w:rsid w:val="00BF6022"/>
    <w:rsid w:val="00BF6ACB"/>
    <w:rsid w:val="00BF6E58"/>
    <w:rsid w:val="00BF7782"/>
    <w:rsid w:val="00C006F9"/>
    <w:rsid w:val="00C02DA2"/>
    <w:rsid w:val="00C0364E"/>
    <w:rsid w:val="00C04731"/>
    <w:rsid w:val="00C04A19"/>
    <w:rsid w:val="00C04AC0"/>
    <w:rsid w:val="00C04CFC"/>
    <w:rsid w:val="00C06DBF"/>
    <w:rsid w:val="00C105C0"/>
    <w:rsid w:val="00C10C31"/>
    <w:rsid w:val="00C10F29"/>
    <w:rsid w:val="00C14041"/>
    <w:rsid w:val="00C17557"/>
    <w:rsid w:val="00C20077"/>
    <w:rsid w:val="00C20424"/>
    <w:rsid w:val="00C21AC0"/>
    <w:rsid w:val="00C22164"/>
    <w:rsid w:val="00C2223D"/>
    <w:rsid w:val="00C2506E"/>
    <w:rsid w:val="00C262AF"/>
    <w:rsid w:val="00C26852"/>
    <w:rsid w:val="00C2787C"/>
    <w:rsid w:val="00C27EA7"/>
    <w:rsid w:val="00C27EB0"/>
    <w:rsid w:val="00C30592"/>
    <w:rsid w:val="00C3555B"/>
    <w:rsid w:val="00C408AD"/>
    <w:rsid w:val="00C408E3"/>
    <w:rsid w:val="00C40CAC"/>
    <w:rsid w:val="00C42382"/>
    <w:rsid w:val="00C43230"/>
    <w:rsid w:val="00C4559A"/>
    <w:rsid w:val="00C45F41"/>
    <w:rsid w:val="00C4686F"/>
    <w:rsid w:val="00C46EFB"/>
    <w:rsid w:val="00C4738E"/>
    <w:rsid w:val="00C505A8"/>
    <w:rsid w:val="00C531BF"/>
    <w:rsid w:val="00C54911"/>
    <w:rsid w:val="00C54A18"/>
    <w:rsid w:val="00C5660E"/>
    <w:rsid w:val="00C60489"/>
    <w:rsid w:val="00C60672"/>
    <w:rsid w:val="00C638B5"/>
    <w:rsid w:val="00C6552A"/>
    <w:rsid w:val="00C67239"/>
    <w:rsid w:val="00C70E4B"/>
    <w:rsid w:val="00C71698"/>
    <w:rsid w:val="00C726A3"/>
    <w:rsid w:val="00C738FC"/>
    <w:rsid w:val="00C743C3"/>
    <w:rsid w:val="00C745FA"/>
    <w:rsid w:val="00C74CE4"/>
    <w:rsid w:val="00C77017"/>
    <w:rsid w:val="00C778DE"/>
    <w:rsid w:val="00C80055"/>
    <w:rsid w:val="00C83164"/>
    <w:rsid w:val="00C83332"/>
    <w:rsid w:val="00C85439"/>
    <w:rsid w:val="00C8594F"/>
    <w:rsid w:val="00C87F5A"/>
    <w:rsid w:val="00C909E8"/>
    <w:rsid w:val="00C91B26"/>
    <w:rsid w:val="00C94319"/>
    <w:rsid w:val="00C95AF9"/>
    <w:rsid w:val="00C96F94"/>
    <w:rsid w:val="00C97885"/>
    <w:rsid w:val="00CA0FF9"/>
    <w:rsid w:val="00CA13E2"/>
    <w:rsid w:val="00CA16F5"/>
    <w:rsid w:val="00CA443D"/>
    <w:rsid w:val="00CA44A5"/>
    <w:rsid w:val="00CA4F76"/>
    <w:rsid w:val="00CA5F4E"/>
    <w:rsid w:val="00CA71E1"/>
    <w:rsid w:val="00CB0AA9"/>
    <w:rsid w:val="00CB27A4"/>
    <w:rsid w:val="00CB2ED9"/>
    <w:rsid w:val="00CB65ED"/>
    <w:rsid w:val="00CB68AB"/>
    <w:rsid w:val="00CB69B5"/>
    <w:rsid w:val="00CC0E23"/>
    <w:rsid w:val="00CC10C9"/>
    <w:rsid w:val="00CC1A84"/>
    <w:rsid w:val="00CC1D0A"/>
    <w:rsid w:val="00CC1D8C"/>
    <w:rsid w:val="00CC2485"/>
    <w:rsid w:val="00CC2F67"/>
    <w:rsid w:val="00CC39C2"/>
    <w:rsid w:val="00CC4439"/>
    <w:rsid w:val="00CC6DCA"/>
    <w:rsid w:val="00CC739A"/>
    <w:rsid w:val="00CC764C"/>
    <w:rsid w:val="00CD2CF0"/>
    <w:rsid w:val="00CD4DEE"/>
    <w:rsid w:val="00CD5C3C"/>
    <w:rsid w:val="00CD7569"/>
    <w:rsid w:val="00CE1AE9"/>
    <w:rsid w:val="00CE1B75"/>
    <w:rsid w:val="00CE2084"/>
    <w:rsid w:val="00CE2191"/>
    <w:rsid w:val="00CE5181"/>
    <w:rsid w:val="00CE524E"/>
    <w:rsid w:val="00CE67EF"/>
    <w:rsid w:val="00CF1B63"/>
    <w:rsid w:val="00CF30B1"/>
    <w:rsid w:val="00CF5A10"/>
    <w:rsid w:val="00CF5EDA"/>
    <w:rsid w:val="00CF6960"/>
    <w:rsid w:val="00CF754C"/>
    <w:rsid w:val="00CF7C30"/>
    <w:rsid w:val="00CF7D75"/>
    <w:rsid w:val="00D041FB"/>
    <w:rsid w:val="00D0602B"/>
    <w:rsid w:val="00D06700"/>
    <w:rsid w:val="00D12499"/>
    <w:rsid w:val="00D129CC"/>
    <w:rsid w:val="00D1678F"/>
    <w:rsid w:val="00D17CB9"/>
    <w:rsid w:val="00D2014C"/>
    <w:rsid w:val="00D2072B"/>
    <w:rsid w:val="00D27A99"/>
    <w:rsid w:val="00D314FB"/>
    <w:rsid w:val="00D32D5F"/>
    <w:rsid w:val="00D350DC"/>
    <w:rsid w:val="00D35969"/>
    <w:rsid w:val="00D37205"/>
    <w:rsid w:val="00D37355"/>
    <w:rsid w:val="00D40A2F"/>
    <w:rsid w:val="00D40E00"/>
    <w:rsid w:val="00D41A4D"/>
    <w:rsid w:val="00D4283F"/>
    <w:rsid w:val="00D43A27"/>
    <w:rsid w:val="00D4655A"/>
    <w:rsid w:val="00D46CCD"/>
    <w:rsid w:val="00D4703E"/>
    <w:rsid w:val="00D47B10"/>
    <w:rsid w:val="00D512D1"/>
    <w:rsid w:val="00D554EA"/>
    <w:rsid w:val="00D56573"/>
    <w:rsid w:val="00D56CFE"/>
    <w:rsid w:val="00D57D08"/>
    <w:rsid w:val="00D57F90"/>
    <w:rsid w:val="00D6009C"/>
    <w:rsid w:val="00D6779D"/>
    <w:rsid w:val="00D677B8"/>
    <w:rsid w:val="00D67F2A"/>
    <w:rsid w:val="00D70ED5"/>
    <w:rsid w:val="00D74175"/>
    <w:rsid w:val="00D76EA7"/>
    <w:rsid w:val="00D770BF"/>
    <w:rsid w:val="00D844D8"/>
    <w:rsid w:val="00D84BB0"/>
    <w:rsid w:val="00D8541A"/>
    <w:rsid w:val="00D85945"/>
    <w:rsid w:val="00D85B6F"/>
    <w:rsid w:val="00D8762F"/>
    <w:rsid w:val="00D901B6"/>
    <w:rsid w:val="00D9104A"/>
    <w:rsid w:val="00D92E48"/>
    <w:rsid w:val="00D938C1"/>
    <w:rsid w:val="00D95984"/>
    <w:rsid w:val="00D961DE"/>
    <w:rsid w:val="00D96C6B"/>
    <w:rsid w:val="00DA06A2"/>
    <w:rsid w:val="00DA19B3"/>
    <w:rsid w:val="00DA1BBC"/>
    <w:rsid w:val="00DA1F7F"/>
    <w:rsid w:val="00DA41A0"/>
    <w:rsid w:val="00DA451C"/>
    <w:rsid w:val="00DA4D04"/>
    <w:rsid w:val="00DA522E"/>
    <w:rsid w:val="00DA785C"/>
    <w:rsid w:val="00DB0B5B"/>
    <w:rsid w:val="00DB3BFE"/>
    <w:rsid w:val="00DB5B2A"/>
    <w:rsid w:val="00DB7650"/>
    <w:rsid w:val="00DC20ED"/>
    <w:rsid w:val="00DC2D0B"/>
    <w:rsid w:val="00DC3328"/>
    <w:rsid w:val="00DC4FDD"/>
    <w:rsid w:val="00DC536A"/>
    <w:rsid w:val="00DC55BD"/>
    <w:rsid w:val="00DD35D1"/>
    <w:rsid w:val="00DD3696"/>
    <w:rsid w:val="00DD50EB"/>
    <w:rsid w:val="00DD542B"/>
    <w:rsid w:val="00DD5558"/>
    <w:rsid w:val="00DD55C2"/>
    <w:rsid w:val="00DD63EC"/>
    <w:rsid w:val="00DD6EB0"/>
    <w:rsid w:val="00DD7663"/>
    <w:rsid w:val="00DE023F"/>
    <w:rsid w:val="00DE0EB4"/>
    <w:rsid w:val="00DE1A89"/>
    <w:rsid w:val="00DE2114"/>
    <w:rsid w:val="00DE2491"/>
    <w:rsid w:val="00DE44BC"/>
    <w:rsid w:val="00DE4B13"/>
    <w:rsid w:val="00DE4BB0"/>
    <w:rsid w:val="00DE4C2D"/>
    <w:rsid w:val="00DE6404"/>
    <w:rsid w:val="00DF15E1"/>
    <w:rsid w:val="00DF18AA"/>
    <w:rsid w:val="00DF1954"/>
    <w:rsid w:val="00DF54FD"/>
    <w:rsid w:val="00DF76C7"/>
    <w:rsid w:val="00E00467"/>
    <w:rsid w:val="00E011B0"/>
    <w:rsid w:val="00E02825"/>
    <w:rsid w:val="00E0350C"/>
    <w:rsid w:val="00E0396F"/>
    <w:rsid w:val="00E03A03"/>
    <w:rsid w:val="00E03B4E"/>
    <w:rsid w:val="00E05148"/>
    <w:rsid w:val="00E05193"/>
    <w:rsid w:val="00E076D5"/>
    <w:rsid w:val="00E076F3"/>
    <w:rsid w:val="00E1110C"/>
    <w:rsid w:val="00E12ADC"/>
    <w:rsid w:val="00E14433"/>
    <w:rsid w:val="00E16308"/>
    <w:rsid w:val="00E2191E"/>
    <w:rsid w:val="00E21F46"/>
    <w:rsid w:val="00E2417A"/>
    <w:rsid w:val="00E2604E"/>
    <w:rsid w:val="00E26509"/>
    <w:rsid w:val="00E31AA0"/>
    <w:rsid w:val="00E3518B"/>
    <w:rsid w:val="00E361A4"/>
    <w:rsid w:val="00E3790C"/>
    <w:rsid w:val="00E40DDD"/>
    <w:rsid w:val="00E41A55"/>
    <w:rsid w:val="00E428C7"/>
    <w:rsid w:val="00E43CDF"/>
    <w:rsid w:val="00E44073"/>
    <w:rsid w:val="00E44371"/>
    <w:rsid w:val="00E456C0"/>
    <w:rsid w:val="00E46D96"/>
    <w:rsid w:val="00E46FE3"/>
    <w:rsid w:val="00E472D6"/>
    <w:rsid w:val="00E52776"/>
    <w:rsid w:val="00E53EE7"/>
    <w:rsid w:val="00E55058"/>
    <w:rsid w:val="00E5705E"/>
    <w:rsid w:val="00E57E6B"/>
    <w:rsid w:val="00E60592"/>
    <w:rsid w:val="00E60980"/>
    <w:rsid w:val="00E61564"/>
    <w:rsid w:val="00E6165C"/>
    <w:rsid w:val="00E633EF"/>
    <w:rsid w:val="00E65236"/>
    <w:rsid w:val="00E653A6"/>
    <w:rsid w:val="00E67C01"/>
    <w:rsid w:val="00E83BA5"/>
    <w:rsid w:val="00E847B5"/>
    <w:rsid w:val="00E85F3F"/>
    <w:rsid w:val="00E86F33"/>
    <w:rsid w:val="00E936E3"/>
    <w:rsid w:val="00E93805"/>
    <w:rsid w:val="00E93DCA"/>
    <w:rsid w:val="00E93E7F"/>
    <w:rsid w:val="00E93FEA"/>
    <w:rsid w:val="00E975AC"/>
    <w:rsid w:val="00EA0165"/>
    <w:rsid w:val="00EA28E0"/>
    <w:rsid w:val="00EA28F7"/>
    <w:rsid w:val="00EA63B8"/>
    <w:rsid w:val="00EA7559"/>
    <w:rsid w:val="00EB393E"/>
    <w:rsid w:val="00EB702E"/>
    <w:rsid w:val="00EC41B5"/>
    <w:rsid w:val="00EC52AF"/>
    <w:rsid w:val="00ED3EAD"/>
    <w:rsid w:val="00ED6ACF"/>
    <w:rsid w:val="00ED710E"/>
    <w:rsid w:val="00ED7FD5"/>
    <w:rsid w:val="00EE03D1"/>
    <w:rsid w:val="00EE282B"/>
    <w:rsid w:val="00EE2B29"/>
    <w:rsid w:val="00EE4615"/>
    <w:rsid w:val="00EE5A50"/>
    <w:rsid w:val="00EE6705"/>
    <w:rsid w:val="00EE7C6C"/>
    <w:rsid w:val="00EF09A7"/>
    <w:rsid w:val="00EF2860"/>
    <w:rsid w:val="00EF43A5"/>
    <w:rsid w:val="00EF4537"/>
    <w:rsid w:val="00EF4A9E"/>
    <w:rsid w:val="00EF4E68"/>
    <w:rsid w:val="00EF5676"/>
    <w:rsid w:val="00EF67E6"/>
    <w:rsid w:val="00F00371"/>
    <w:rsid w:val="00F010E3"/>
    <w:rsid w:val="00F01416"/>
    <w:rsid w:val="00F0164A"/>
    <w:rsid w:val="00F02F8C"/>
    <w:rsid w:val="00F040E0"/>
    <w:rsid w:val="00F060CB"/>
    <w:rsid w:val="00F06782"/>
    <w:rsid w:val="00F0767B"/>
    <w:rsid w:val="00F114CA"/>
    <w:rsid w:val="00F1283D"/>
    <w:rsid w:val="00F134B6"/>
    <w:rsid w:val="00F13B3A"/>
    <w:rsid w:val="00F14BC8"/>
    <w:rsid w:val="00F15D53"/>
    <w:rsid w:val="00F174ED"/>
    <w:rsid w:val="00F21811"/>
    <w:rsid w:val="00F21B83"/>
    <w:rsid w:val="00F22C99"/>
    <w:rsid w:val="00F2367C"/>
    <w:rsid w:val="00F25606"/>
    <w:rsid w:val="00F25DAA"/>
    <w:rsid w:val="00F26379"/>
    <w:rsid w:val="00F26858"/>
    <w:rsid w:val="00F27C3D"/>
    <w:rsid w:val="00F31673"/>
    <w:rsid w:val="00F318EF"/>
    <w:rsid w:val="00F31B35"/>
    <w:rsid w:val="00F3405B"/>
    <w:rsid w:val="00F36DE8"/>
    <w:rsid w:val="00F375D1"/>
    <w:rsid w:val="00F37C4C"/>
    <w:rsid w:val="00F42F6D"/>
    <w:rsid w:val="00F4496E"/>
    <w:rsid w:val="00F453D0"/>
    <w:rsid w:val="00F464BD"/>
    <w:rsid w:val="00F473AF"/>
    <w:rsid w:val="00F517C5"/>
    <w:rsid w:val="00F53D48"/>
    <w:rsid w:val="00F56B02"/>
    <w:rsid w:val="00F6033B"/>
    <w:rsid w:val="00F62BB1"/>
    <w:rsid w:val="00F632F5"/>
    <w:rsid w:val="00F70899"/>
    <w:rsid w:val="00F716C5"/>
    <w:rsid w:val="00F71A4D"/>
    <w:rsid w:val="00F73F45"/>
    <w:rsid w:val="00F749C2"/>
    <w:rsid w:val="00F74E7D"/>
    <w:rsid w:val="00F7684D"/>
    <w:rsid w:val="00F76CB4"/>
    <w:rsid w:val="00F76FEE"/>
    <w:rsid w:val="00F7720B"/>
    <w:rsid w:val="00F77289"/>
    <w:rsid w:val="00F77E48"/>
    <w:rsid w:val="00F80D99"/>
    <w:rsid w:val="00F8101D"/>
    <w:rsid w:val="00F827A3"/>
    <w:rsid w:val="00F82DFC"/>
    <w:rsid w:val="00F83760"/>
    <w:rsid w:val="00F84834"/>
    <w:rsid w:val="00F86164"/>
    <w:rsid w:val="00F863E2"/>
    <w:rsid w:val="00F86AB6"/>
    <w:rsid w:val="00F87444"/>
    <w:rsid w:val="00F87C60"/>
    <w:rsid w:val="00F94D67"/>
    <w:rsid w:val="00F967D7"/>
    <w:rsid w:val="00FA11F7"/>
    <w:rsid w:val="00FA5FFE"/>
    <w:rsid w:val="00FA718E"/>
    <w:rsid w:val="00FB0673"/>
    <w:rsid w:val="00FB5E69"/>
    <w:rsid w:val="00FC09E9"/>
    <w:rsid w:val="00FC0D07"/>
    <w:rsid w:val="00FC1D29"/>
    <w:rsid w:val="00FC2BD7"/>
    <w:rsid w:val="00FC2D34"/>
    <w:rsid w:val="00FC393C"/>
    <w:rsid w:val="00FC49ED"/>
    <w:rsid w:val="00FC4C3A"/>
    <w:rsid w:val="00FC52F5"/>
    <w:rsid w:val="00FC66A6"/>
    <w:rsid w:val="00FD0327"/>
    <w:rsid w:val="00FD31BD"/>
    <w:rsid w:val="00FD4D12"/>
    <w:rsid w:val="00FE0F48"/>
    <w:rsid w:val="00FE2B57"/>
    <w:rsid w:val="00FE3148"/>
    <w:rsid w:val="00FE4A94"/>
    <w:rsid w:val="00FE6353"/>
    <w:rsid w:val="00FF3269"/>
    <w:rsid w:val="00FF4A31"/>
    <w:rsid w:val="00FF6E16"/>
    <w:rsid w:val="00FF743A"/>
    <w:rsid w:val="00FF7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943DC"/>
  <w15:docId w15:val="{156F4181-6CD5-4632-B51F-04E192C97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A3C"/>
    <w:rPr>
      <w:rFonts w:ascii="Times New Roman" w:hAnsi="Times New Roman"/>
      <w:sz w:val="24"/>
      <w:szCs w:val="22"/>
    </w:rPr>
  </w:style>
  <w:style w:type="paragraph" w:styleId="Heading3">
    <w:name w:val="heading 3"/>
    <w:basedOn w:val="Normal"/>
    <w:link w:val="Heading3Char"/>
    <w:uiPriority w:val="9"/>
    <w:qFormat/>
    <w:rsid w:val="00990AB6"/>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7017"/>
    <w:rPr>
      <w:rFonts w:ascii="Tahoma" w:hAnsi="Tahoma"/>
      <w:sz w:val="16"/>
      <w:szCs w:val="16"/>
    </w:rPr>
  </w:style>
  <w:style w:type="character" w:customStyle="1" w:styleId="BalloonTextChar">
    <w:name w:val="Balloon Text Char"/>
    <w:link w:val="BalloonText"/>
    <w:uiPriority w:val="99"/>
    <w:semiHidden/>
    <w:rsid w:val="00C77017"/>
    <w:rPr>
      <w:rFonts w:ascii="Tahoma" w:hAnsi="Tahoma" w:cs="Tahoma"/>
      <w:sz w:val="16"/>
      <w:szCs w:val="16"/>
    </w:rPr>
  </w:style>
  <w:style w:type="paragraph" w:styleId="FootnoteText">
    <w:name w:val="footnote text"/>
    <w:basedOn w:val="Normal"/>
    <w:link w:val="FootnoteTextChar"/>
    <w:uiPriority w:val="99"/>
    <w:unhideWhenUsed/>
    <w:rsid w:val="00820788"/>
    <w:rPr>
      <w:sz w:val="20"/>
      <w:szCs w:val="20"/>
    </w:rPr>
  </w:style>
  <w:style w:type="character" w:customStyle="1" w:styleId="FootnoteTextChar">
    <w:name w:val="Footnote Text Char"/>
    <w:basedOn w:val="DefaultParagraphFont"/>
    <w:link w:val="FootnoteText"/>
    <w:uiPriority w:val="99"/>
    <w:rsid w:val="00820788"/>
  </w:style>
  <w:style w:type="character" w:styleId="FootnoteReference">
    <w:name w:val="footnote reference"/>
    <w:uiPriority w:val="99"/>
    <w:semiHidden/>
    <w:unhideWhenUsed/>
    <w:rsid w:val="00820788"/>
    <w:rPr>
      <w:vertAlign w:val="superscript"/>
    </w:rPr>
  </w:style>
  <w:style w:type="paragraph" w:styleId="Header">
    <w:name w:val="header"/>
    <w:basedOn w:val="Normal"/>
    <w:link w:val="HeaderChar"/>
    <w:uiPriority w:val="99"/>
    <w:unhideWhenUsed/>
    <w:rsid w:val="00CA5F4E"/>
    <w:pPr>
      <w:tabs>
        <w:tab w:val="center" w:pos="4680"/>
        <w:tab w:val="right" w:pos="9360"/>
      </w:tabs>
    </w:pPr>
    <w:rPr>
      <w:rFonts w:ascii="Calibri" w:hAnsi="Calibri"/>
      <w:sz w:val="22"/>
    </w:rPr>
  </w:style>
  <w:style w:type="character" w:customStyle="1" w:styleId="HeaderChar">
    <w:name w:val="Header Char"/>
    <w:link w:val="Header"/>
    <w:uiPriority w:val="99"/>
    <w:rsid w:val="00CA5F4E"/>
    <w:rPr>
      <w:sz w:val="22"/>
      <w:szCs w:val="22"/>
    </w:rPr>
  </w:style>
  <w:style w:type="paragraph" w:styleId="Footer">
    <w:name w:val="footer"/>
    <w:basedOn w:val="Normal"/>
    <w:link w:val="FooterChar"/>
    <w:uiPriority w:val="99"/>
    <w:unhideWhenUsed/>
    <w:rsid w:val="00CA5F4E"/>
    <w:pPr>
      <w:tabs>
        <w:tab w:val="center" w:pos="4680"/>
        <w:tab w:val="right" w:pos="9360"/>
      </w:tabs>
    </w:pPr>
    <w:rPr>
      <w:rFonts w:ascii="Calibri" w:hAnsi="Calibri"/>
      <w:sz w:val="22"/>
    </w:rPr>
  </w:style>
  <w:style w:type="character" w:customStyle="1" w:styleId="FooterChar">
    <w:name w:val="Footer Char"/>
    <w:link w:val="Footer"/>
    <w:uiPriority w:val="99"/>
    <w:rsid w:val="00CA5F4E"/>
    <w:rPr>
      <w:sz w:val="22"/>
      <w:szCs w:val="22"/>
    </w:rPr>
  </w:style>
  <w:style w:type="character" w:styleId="CommentReference">
    <w:name w:val="annotation reference"/>
    <w:uiPriority w:val="99"/>
    <w:semiHidden/>
    <w:unhideWhenUsed/>
    <w:rsid w:val="00037E5F"/>
    <w:rPr>
      <w:sz w:val="16"/>
      <w:szCs w:val="16"/>
    </w:rPr>
  </w:style>
  <w:style w:type="paragraph" w:styleId="CommentText">
    <w:name w:val="annotation text"/>
    <w:basedOn w:val="Normal"/>
    <w:link w:val="CommentTextChar"/>
    <w:uiPriority w:val="99"/>
    <w:unhideWhenUsed/>
    <w:rsid w:val="0063625A"/>
    <w:rPr>
      <w:sz w:val="20"/>
      <w:szCs w:val="20"/>
    </w:rPr>
  </w:style>
  <w:style w:type="character" w:customStyle="1" w:styleId="CommentTextChar">
    <w:name w:val="Comment Text Char"/>
    <w:link w:val="CommentText"/>
    <w:uiPriority w:val="99"/>
    <w:rsid w:val="0063625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37E5F"/>
    <w:rPr>
      <w:b/>
      <w:bCs/>
    </w:rPr>
  </w:style>
  <w:style w:type="character" w:customStyle="1" w:styleId="CommentSubjectChar">
    <w:name w:val="Comment Subject Char"/>
    <w:link w:val="CommentSubject"/>
    <w:uiPriority w:val="99"/>
    <w:semiHidden/>
    <w:rsid w:val="00037E5F"/>
    <w:rPr>
      <w:rFonts w:ascii="Times New Roman" w:hAnsi="Times New Roman"/>
      <w:b/>
      <w:bCs/>
    </w:rPr>
  </w:style>
  <w:style w:type="paragraph" w:styleId="Revision">
    <w:name w:val="Revision"/>
    <w:hidden/>
    <w:uiPriority w:val="99"/>
    <w:semiHidden/>
    <w:rsid w:val="00037E5F"/>
    <w:rPr>
      <w:sz w:val="22"/>
      <w:szCs w:val="22"/>
    </w:rPr>
  </w:style>
  <w:style w:type="character" w:styleId="Hyperlink">
    <w:name w:val="Hyperlink"/>
    <w:uiPriority w:val="99"/>
    <w:unhideWhenUsed/>
    <w:rsid w:val="00217148"/>
    <w:rPr>
      <w:color w:val="0000FF"/>
      <w:u w:val="single"/>
    </w:rPr>
  </w:style>
  <w:style w:type="table" w:styleId="TableGrid">
    <w:name w:val="Table Grid"/>
    <w:basedOn w:val="TableNormal"/>
    <w:rsid w:val="007C20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AD7024"/>
    <w:rPr>
      <w:color w:val="800080"/>
      <w:u w:val="single"/>
    </w:rPr>
  </w:style>
  <w:style w:type="character" w:customStyle="1" w:styleId="Heading3Char">
    <w:name w:val="Heading 3 Char"/>
    <w:link w:val="Heading3"/>
    <w:uiPriority w:val="9"/>
    <w:rsid w:val="00990AB6"/>
    <w:rPr>
      <w:rFonts w:ascii="Times New Roman" w:eastAsia="Times New Roman" w:hAnsi="Times New Roman"/>
      <w:b/>
      <w:bCs/>
      <w:sz w:val="27"/>
      <w:szCs w:val="27"/>
    </w:rPr>
  </w:style>
  <w:style w:type="character" w:styleId="PageNumber">
    <w:name w:val="page number"/>
    <w:basedOn w:val="DefaultParagraphFont"/>
    <w:rsid w:val="00686A3D"/>
  </w:style>
  <w:style w:type="paragraph" w:styleId="ListParagraph">
    <w:name w:val="List Paragraph"/>
    <w:basedOn w:val="Normal"/>
    <w:uiPriority w:val="34"/>
    <w:qFormat/>
    <w:rsid w:val="00171B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39600">
      <w:bodyDiv w:val="1"/>
      <w:marLeft w:val="0"/>
      <w:marRight w:val="0"/>
      <w:marTop w:val="0"/>
      <w:marBottom w:val="0"/>
      <w:divBdr>
        <w:top w:val="none" w:sz="0" w:space="0" w:color="auto"/>
        <w:left w:val="none" w:sz="0" w:space="0" w:color="auto"/>
        <w:bottom w:val="none" w:sz="0" w:space="0" w:color="auto"/>
        <w:right w:val="none" w:sz="0" w:space="0" w:color="auto"/>
      </w:divBdr>
    </w:div>
    <w:div w:id="63576545">
      <w:bodyDiv w:val="1"/>
      <w:marLeft w:val="0"/>
      <w:marRight w:val="0"/>
      <w:marTop w:val="0"/>
      <w:marBottom w:val="0"/>
      <w:divBdr>
        <w:top w:val="none" w:sz="0" w:space="0" w:color="auto"/>
        <w:left w:val="none" w:sz="0" w:space="0" w:color="auto"/>
        <w:bottom w:val="none" w:sz="0" w:space="0" w:color="auto"/>
        <w:right w:val="none" w:sz="0" w:space="0" w:color="auto"/>
      </w:divBdr>
    </w:div>
    <w:div w:id="121122926">
      <w:bodyDiv w:val="1"/>
      <w:marLeft w:val="0"/>
      <w:marRight w:val="0"/>
      <w:marTop w:val="0"/>
      <w:marBottom w:val="0"/>
      <w:divBdr>
        <w:top w:val="none" w:sz="0" w:space="0" w:color="auto"/>
        <w:left w:val="none" w:sz="0" w:space="0" w:color="auto"/>
        <w:bottom w:val="none" w:sz="0" w:space="0" w:color="auto"/>
        <w:right w:val="none" w:sz="0" w:space="0" w:color="auto"/>
      </w:divBdr>
    </w:div>
    <w:div w:id="164129255">
      <w:bodyDiv w:val="1"/>
      <w:marLeft w:val="0"/>
      <w:marRight w:val="0"/>
      <w:marTop w:val="0"/>
      <w:marBottom w:val="0"/>
      <w:divBdr>
        <w:top w:val="none" w:sz="0" w:space="0" w:color="auto"/>
        <w:left w:val="none" w:sz="0" w:space="0" w:color="auto"/>
        <w:bottom w:val="none" w:sz="0" w:space="0" w:color="auto"/>
        <w:right w:val="none" w:sz="0" w:space="0" w:color="auto"/>
      </w:divBdr>
    </w:div>
    <w:div w:id="207693926">
      <w:bodyDiv w:val="1"/>
      <w:marLeft w:val="0"/>
      <w:marRight w:val="0"/>
      <w:marTop w:val="0"/>
      <w:marBottom w:val="0"/>
      <w:divBdr>
        <w:top w:val="none" w:sz="0" w:space="0" w:color="auto"/>
        <w:left w:val="none" w:sz="0" w:space="0" w:color="auto"/>
        <w:bottom w:val="none" w:sz="0" w:space="0" w:color="auto"/>
        <w:right w:val="none" w:sz="0" w:space="0" w:color="auto"/>
      </w:divBdr>
    </w:div>
    <w:div w:id="243343911">
      <w:bodyDiv w:val="1"/>
      <w:marLeft w:val="0"/>
      <w:marRight w:val="0"/>
      <w:marTop w:val="0"/>
      <w:marBottom w:val="0"/>
      <w:divBdr>
        <w:top w:val="none" w:sz="0" w:space="0" w:color="auto"/>
        <w:left w:val="none" w:sz="0" w:space="0" w:color="auto"/>
        <w:bottom w:val="none" w:sz="0" w:space="0" w:color="auto"/>
        <w:right w:val="none" w:sz="0" w:space="0" w:color="auto"/>
      </w:divBdr>
    </w:div>
    <w:div w:id="334262718">
      <w:bodyDiv w:val="1"/>
      <w:marLeft w:val="0"/>
      <w:marRight w:val="0"/>
      <w:marTop w:val="0"/>
      <w:marBottom w:val="0"/>
      <w:divBdr>
        <w:top w:val="none" w:sz="0" w:space="0" w:color="auto"/>
        <w:left w:val="none" w:sz="0" w:space="0" w:color="auto"/>
        <w:bottom w:val="none" w:sz="0" w:space="0" w:color="auto"/>
        <w:right w:val="none" w:sz="0" w:space="0" w:color="auto"/>
      </w:divBdr>
    </w:div>
    <w:div w:id="362365781">
      <w:bodyDiv w:val="1"/>
      <w:marLeft w:val="0"/>
      <w:marRight w:val="0"/>
      <w:marTop w:val="0"/>
      <w:marBottom w:val="0"/>
      <w:divBdr>
        <w:top w:val="none" w:sz="0" w:space="0" w:color="auto"/>
        <w:left w:val="none" w:sz="0" w:space="0" w:color="auto"/>
        <w:bottom w:val="none" w:sz="0" w:space="0" w:color="auto"/>
        <w:right w:val="none" w:sz="0" w:space="0" w:color="auto"/>
      </w:divBdr>
    </w:div>
    <w:div w:id="367069773">
      <w:bodyDiv w:val="1"/>
      <w:marLeft w:val="0"/>
      <w:marRight w:val="0"/>
      <w:marTop w:val="0"/>
      <w:marBottom w:val="0"/>
      <w:divBdr>
        <w:top w:val="none" w:sz="0" w:space="0" w:color="auto"/>
        <w:left w:val="none" w:sz="0" w:space="0" w:color="auto"/>
        <w:bottom w:val="none" w:sz="0" w:space="0" w:color="auto"/>
        <w:right w:val="none" w:sz="0" w:space="0" w:color="auto"/>
      </w:divBdr>
    </w:div>
    <w:div w:id="370424321">
      <w:bodyDiv w:val="1"/>
      <w:marLeft w:val="0"/>
      <w:marRight w:val="0"/>
      <w:marTop w:val="0"/>
      <w:marBottom w:val="0"/>
      <w:divBdr>
        <w:top w:val="none" w:sz="0" w:space="0" w:color="auto"/>
        <w:left w:val="none" w:sz="0" w:space="0" w:color="auto"/>
        <w:bottom w:val="none" w:sz="0" w:space="0" w:color="auto"/>
        <w:right w:val="none" w:sz="0" w:space="0" w:color="auto"/>
      </w:divBdr>
    </w:div>
    <w:div w:id="396782943">
      <w:bodyDiv w:val="1"/>
      <w:marLeft w:val="0"/>
      <w:marRight w:val="0"/>
      <w:marTop w:val="0"/>
      <w:marBottom w:val="0"/>
      <w:divBdr>
        <w:top w:val="none" w:sz="0" w:space="0" w:color="auto"/>
        <w:left w:val="none" w:sz="0" w:space="0" w:color="auto"/>
        <w:bottom w:val="none" w:sz="0" w:space="0" w:color="auto"/>
        <w:right w:val="none" w:sz="0" w:space="0" w:color="auto"/>
      </w:divBdr>
    </w:div>
    <w:div w:id="405960872">
      <w:bodyDiv w:val="1"/>
      <w:marLeft w:val="0"/>
      <w:marRight w:val="0"/>
      <w:marTop w:val="0"/>
      <w:marBottom w:val="0"/>
      <w:divBdr>
        <w:top w:val="none" w:sz="0" w:space="0" w:color="auto"/>
        <w:left w:val="none" w:sz="0" w:space="0" w:color="auto"/>
        <w:bottom w:val="none" w:sz="0" w:space="0" w:color="auto"/>
        <w:right w:val="none" w:sz="0" w:space="0" w:color="auto"/>
      </w:divBdr>
    </w:div>
    <w:div w:id="423651419">
      <w:bodyDiv w:val="1"/>
      <w:marLeft w:val="0"/>
      <w:marRight w:val="0"/>
      <w:marTop w:val="0"/>
      <w:marBottom w:val="0"/>
      <w:divBdr>
        <w:top w:val="none" w:sz="0" w:space="0" w:color="auto"/>
        <w:left w:val="none" w:sz="0" w:space="0" w:color="auto"/>
        <w:bottom w:val="none" w:sz="0" w:space="0" w:color="auto"/>
        <w:right w:val="none" w:sz="0" w:space="0" w:color="auto"/>
      </w:divBdr>
    </w:div>
    <w:div w:id="530260957">
      <w:bodyDiv w:val="1"/>
      <w:marLeft w:val="0"/>
      <w:marRight w:val="0"/>
      <w:marTop w:val="0"/>
      <w:marBottom w:val="0"/>
      <w:divBdr>
        <w:top w:val="none" w:sz="0" w:space="0" w:color="auto"/>
        <w:left w:val="none" w:sz="0" w:space="0" w:color="auto"/>
        <w:bottom w:val="none" w:sz="0" w:space="0" w:color="auto"/>
        <w:right w:val="none" w:sz="0" w:space="0" w:color="auto"/>
      </w:divBdr>
    </w:div>
    <w:div w:id="533350158">
      <w:bodyDiv w:val="1"/>
      <w:marLeft w:val="0"/>
      <w:marRight w:val="0"/>
      <w:marTop w:val="0"/>
      <w:marBottom w:val="0"/>
      <w:divBdr>
        <w:top w:val="none" w:sz="0" w:space="0" w:color="auto"/>
        <w:left w:val="none" w:sz="0" w:space="0" w:color="auto"/>
        <w:bottom w:val="none" w:sz="0" w:space="0" w:color="auto"/>
        <w:right w:val="none" w:sz="0" w:space="0" w:color="auto"/>
      </w:divBdr>
    </w:div>
    <w:div w:id="551965180">
      <w:bodyDiv w:val="1"/>
      <w:marLeft w:val="0"/>
      <w:marRight w:val="0"/>
      <w:marTop w:val="0"/>
      <w:marBottom w:val="0"/>
      <w:divBdr>
        <w:top w:val="none" w:sz="0" w:space="0" w:color="auto"/>
        <w:left w:val="none" w:sz="0" w:space="0" w:color="auto"/>
        <w:bottom w:val="none" w:sz="0" w:space="0" w:color="auto"/>
        <w:right w:val="none" w:sz="0" w:space="0" w:color="auto"/>
      </w:divBdr>
    </w:div>
    <w:div w:id="623925226">
      <w:bodyDiv w:val="1"/>
      <w:marLeft w:val="0"/>
      <w:marRight w:val="0"/>
      <w:marTop w:val="0"/>
      <w:marBottom w:val="0"/>
      <w:divBdr>
        <w:top w:val="none" w:sz="0" w:space="0" w:color="auto"/>
        <w:left w:val="none" w:sz="0" w:space="0" w:color="auto"/>
        <w:bottom w:val="none" w:sz="0" w:space="0" w:color="auto"/>
        <w:right w:val="none" w:sz="0" w:space="0" w:color="auto"/>
      </w:divBdr>
    </w:div>
    <w:div w:id="682822662">
      <w:bodyDiv w:val="1"/>
      <w:marLeft w:val="0"/>
      <w:marRight w:val="0"/>
      <w:marTop w:val="0"/>
      <w:marBottom w:val="0"/>
      <w:divBdr>
        <w:top w:val="none" w:sz="0" w:space="0" w:color="auto"/>
        <w:left w:val="none" w:sz="0" w:space="0" w:color="auto"/>
        <w:bottom w:val="none" w:sz="0" w:space="0" w:color="auto"/>
        <w:right w:val="none" w:sz="0" w:space="0" w:color="auto"/>
      </w:divBdr>
    </w:div>
    <w:div w:id="719326962">
      <w:bodyDiv w:val="1"/>
      <w:marLeft w:val="0"/>
      <w:marRight w:val="0"/>
      <w:marTop w:val="0"/>
      <w:marBottom w:val="0"/>
      <w:divBdr>
        <w:top w:val="none" w:sz="0" w:space="0" w:color="auto"/>
        <w:left w:val="none" w:sz="0" w:space="0" w:color="auto"/>
        <w:bottom w:val="none" w:sz="0" w:space="0" w:color="auto"/>
        <w:right w:val="none" w:sz="0" w:space="0" w:color="auto"/>
      </w:divBdr>
    </w:div>
    <w:div w:id="758403782">
      <w:bodyDiv w:val="1"/>
      <w:marLeft w:val="0"/>
      <w:marRight w:val="0"/>
      <w:marTop w:val="0"/>
      <w:marBottom w:val="0"/>
      <w:divBdr>
        <w:top w:val="none" w:sz="0" w:space="0" w:color="auto"/>
        <w:left w:val="none" w:sz="0" w:space="0" w:color="auto"/>
        <w:bottom w:val="none" w:sz="0" w:space="0" w:color="auto"/>
        <w:right w:val="none" w:sz="0" w:space="0" w:color="auto"/>
      </w:divBdr>
    </w:div>
    <w:div w:id="763038841">
      <w:bodyDiv w:val="1"/>
      <w:marLeft w:val="0"/>
      <w:marRight w:val="0"/>
      <w:marTop w:val="0"/>
      <w:marBottom w:val="0"/>
      <w:divBdr>
        <w:top w:val="none" w:sz="0" w:space="0" w:color="auto"/>
        <w:left w:val="none" w:sz="0" w:space="0" w:color="auto"/>
        <w:bottom w:val="none" w:sz="0" w:space="0" w:color="auto"/>
        <w:right w:val="none" w:sz="0" w:space="0" w:color="auto"/>
      </w:divBdr>
    </w:div>
    <w:div w:id="776100317">
      <w:bodyDiv w:val="1"/>
      <w:marLeft w:val="0"/>
      <w:marRight w:val="0"/>
      <w:marTop w:val="0"/>
      <w:marBottom w:val="0"/>
      <w:divBdr>
        <w:top w:val="none" w:sz="0" w:space="0" w:color="auto"/>
        <w:left w:val="none" w:sz="0" w:space="0" w:color="auto"/>
        <w:bottom w:val="none" w:sz="0" w:space="0" w:color="auto"/>
        <w:right w:val="none" w:sz="0" w:space="0" w:color="auto"/>
      </w:divBdr>
    </w:div>
    <w:div w:id="843134347">
      <w:bodyDiv w:val="1"/>
      <w:marLeft w:val="0"/>
      <w:marRight w:val="0"/>
      <w:marTop w:val="0"/>
      <w:marBottom w:val="0"/>
      <w:divBdr>
        <w:top w:val="none" w:sz="0" w:space="0" w:color="auto"/>
        <w:left w:val="none" w:sz="0" w:space="0" w:color="auto"/>
        <w:bottom w:val="none" w:sz="0" w:space="0" w:color="auto"/>
        <w:right w:val="none" w:sz="0" w:space="0" w:color="auto"/>
      </w:divBdr>
    </w:div>
    <w:div w:id="853109204">
      <w:bodyDiv w:val="1"/>
      <w:marLeft w:val="0"/>
      <w:marRight w:val="0"/>
      <w:marTop w:val="0"/>
      <w:marBottom w:val="0"/>
      <w:divBdr>
        <w:top w:val="none" w:sz="0" w:space="0" w:color="auto"/>
        <w:left w:val="none" w:sz="0" w:space="0" w:color="auto"/>
        <w:bottom w:val="none" w:sz="0" w:space="0" w:color="auto"/>
        <w:right w:val="none" w:sz="0" w:space="0" w:color="auto"/>
      </w:divBdr>
    </w:div>
    <w:div w:id="864517638">
      <w:bodyDiv w:val="1"/>
      <w:marLeft w:val="0"/>
      <w:marRight w:val="0"/>
      <w:marTop w:val="0"/>
      <w:marBottom w:val="0"/>
      <w:divBdr>
        <w:top w:val="none" w:sz="0" w:space="0" w:color="auto"/>
        <w:left w:val="none" w:sz="0" w:space="0" w:color="auto"/>
        <w:bottom w:val="none" w:sz="0" w:space="0" w:color="auto"/>
        <w:right w:val="none" w:sz="0" w:space="0" w:color="auto"/>
      </w:divBdr>
    </w:div>
    <w:div w:id="989483813">
      <w:bodyDiv w:val="1"/>
      <w:marLeft w:val="0"/>
      <w:marRight w:val="0"/>
      <w:marTop w:val="0"/>
      <w:marBottom w:val="0"/>
      <w:divBdr>
        <w:top w:val="none" w:sz="0" w:space="0" w:color="auto"/>
        <w:left w:val="none" w:sz="0" w:space="0" w:color="auto"/>
        <w:bottom w:val="none" w:sz="0" w:space="0" w:color="auto"/>
        <w:right w:val="none" w:sz="0" w:space="0" w:color="auto"/>
      </w:divBdr>
    </w:div>
    <w:div w:id="1037654925">
      <w:bodyDiv w:val="1"/>
      <w:marLeft w:val="0"/>
      <w:marRight w:val="0"/>
      <w:marTop w:val="0"/>
      <w:marBottom w:val="0"/>
      <w:divBdr>
        <w:top w:val="none" w:sz="0" w:space="0" w:color="auto"/>
        <w:left w:val="none" w:sz="0" w:space="0" w:color="auto"/>
        <w:bottom w:val="none" w:sz="0" w:space="0" w:color="auto"/>
        <w:right w:val="none" w:sz="0" w:space="0" w:color="auto"/>
      </w:divBdr>
    </w:div>
    <w:div w:id="1063676519">
      <w:bodyDiv w:val="1"/>
      <w:marLeft w:val="0"/>
      <w:marRight w:val="0"/>
      <w:marTop w:val="0"/>
      <w:marBottom w:val="0"/>
      <w:divBdr>
        <w:top w:val="none" w:sz="0" w:space="0" w:color="auto"/>
        <w:left w:val="none" w:sz="0" w:space="0" w:color="auto"/>
        <w:bottom w:val="none" w:sz="0" w:space="0" w:color="auto"/>
        <w:right w:val="none" w:sz="0" w:space="0" w:color="auto"/>
      </w:divBdr>
    </w:div>
    <w:div w:id="1129131518">
      <w:bodyDiv w:val="1"/>
      <w:marLeft w:val="0"/>
      <w:marRight w:val="0"/>
      <w:marTop w:val="0"/>
      <w:marBottom w:val="0"/>
      <w:divBdr>
        <w:top w:val="none" w:sz="0" w:space="0" w:color="auto"/>
        <w:left w:val="none" w:sz="0" w:space="0" w:color="auto"/>
        <w:bottom w:val="none" w:sz="0" w:space="0" w:color="auto"/>
        <w:right w:val="none" w:sz="0" w:space="0" w:color="auto"/>
      </w:divBdr>
    </w:div>
    <w:div w:id="1133248965">
      <w:bodyDiv w:val="1"/>
      <w:marLeft w:val="0"/>
      <w:marRight w:val="0"/>
      <w:marTop w:val="0"/>
      <w:marBottom w:val="0"/>
      <w:divBdr>
        <w:top w:val="none" w:sz="0" w:space="0" w:color="auto"/>
        <w:left w:val="none" w:sz="0" w:space="0" w:color="auto"/>
        <w:bottom w:val="none" w:sz="0" w:space="0" w:color="auto"/>
        <w:right w:val="none" w:sz="0" w:space="0" w:color="auto"/>
      </w:divBdr>
    </w:div>
    <w:div w:id="1260945131">
      <w:bodyDiv w:val="1"/>
      <w:marLeft w:val="0"/>
      <w:marRight w:val="0"/>
      <w:marTop w:val="0"/>
      <w:marBottom w:val="0"/>
      <w:divBdr>
        <w:top w:val="none" w:sz="0" w:space="0" w:color="auto"/>
        <w:left w:val="none" w:sz="0" w:space="0" w:color="auto"/>
        <w:bottom w:val="none" w:sz="0" w:space="0" w:color="auto"/>
        <w:right w:val="none" w:sz="0" w:space="0" w:color="auto"/>
      </w:divBdr>
    </w:div>
    <w:div w:id="1460954604">
      <w:bodyDiv w:val="1"/>
      <w:marLeft w:val="0"/>
      <w:marRight w:val="0"/>
      <w:marTop w:val="0"/>
      <w:marBottom w:val="0"/>
      <w:divBdr>
        <w:top w:val="none" w:sz="0" w:space="0" w:color="auto"/>
        <w:left w:val="none" w:sz="0" w:space="0" w:color="auto"/>
        <w:bottom w:val="none" w:sz="0" w:space="0" w:color="auto"/>
        <w:right w:val="none" w:sz="0" w:space="0" w:color="auto"/>
      </w:divBdr>
    </w:div>
    <w:div w:id="1474324505">
      <w:bodyDiv w:val="1"/>
      <w:marLeft w:val="0"/>
      <w:marRight w:val="0"/>
      <w:marTop w:val="0"/>
      <w:marBottom w:val="0"/>
      <w:divBdr>
        <w:top w:val="none" w:sz="0" w:space="0" w:color="auto"/>
        <w:left w:val="none" w:sz="0" w:space="0" w:color="auto"/>
        <w:bottom w:val="none" w:sz="0" w:space="0" w:color="auto"/>
        <w:right w:val="none" w:sz="0" w:space="0" w:color="auto"/>
      </w:divBdr>
    </w:div>
    <w:div w:id="1482573772">
      <w:bodyDiv w:val="1"/>
      <w:marLeft w:val="0"/>
      <w:marRight w:val="0"/>
      <w:marTop w:val="0"/>
      <w:marBottom w:val="0"/>
      <w:divBdr>
        <w:top w:val="none" w:sz="0" w:space="0" w:color="auto"/>
        <w:left w:val="none" w:sz="0" w:space="0" w:color="auto"/>
        <w:bottom w:val="none" w:sz="0" w:space="0" w:color="auto"/>
        <w:right w:val="none" w:sz="0" w:space="0" w:color="auto"/>
      </w:divBdr>
    </w:div>
    <w:div w:id="1493058288">
      <w:bodyDiv w:val="1"/>
      <w:marLeft w:val="0"/>
      <w:marRight w:val="0"/>
      <w:marTop w:val="0"/>
      <w:marBottom w:val="0"/>
      <w:divBdr>
        <w:top w:val="none" w:sz="0" w:space="0" w:color="auto"/>
        <w:left w:val="none" w:sz="0" w:space="0" w:color="auto"/>
        <w:bottom w:val="none" w:sz="0" w:space="0" w:color="auto"/>
        <w:right w:val="none" w:sz="0" w:space="0" w:color="auto"/>
      </w:divBdr>
    </w:div>
    <w:div w:id="1506939183">
      <w:bodyDiv w:val="1"/>
      <w:marLeft w:val="0"/>
      <w:marRight w:val="0"/>
      <w:marTop w:val="0"/>
      <w:marBottom w:val="0"/>
      <w:divBdr>
        <w:top w:val="none" w:sz="0" w:space="0" w:color="auto"/>
        <w:left w:val="none" w:sz="0" w:space="0" w:color="auto"/>
        <w:bottom w:val="none" w:sz="0" w:space="0" w:color="auto"/>
        <w:right w:val="none" w:sz="0" w:space="0" w:color="auto"/>
      </w:divBdr>
    </w:div>
    <w:div w:id="1511021970">
      <w:bodyDiv w:val="1"/>
      <w:marLeft w:val="0"/>
      <w:marRight w:val="0"/>
      <w:marTop w:val="0"/>
      <w:marBottom w:val="0"/>
      <w:divBdr>
        <w:top w:val="none" w:sz="0" w:space="0" w:color="auto"/>
        <w:left w:val="none" w:sz="0" w:space="0" w:color="auto"/>
        <w:bottom w:val="none" w:sz="0" w:space="0" w:color="auto"/>
        <w:right w:val="none" w:sz="0" w:space="0" w:color="auto"/>
      </w:divBdr>
    </w:div>
    <w:div w:id="1755322551">
      <w:bodyDiv w:val="1"/>
      <w:marLeft w:val="0"/>
      <w:marRight w:val="0"/>
      <w:marTop w:val="0"/>
      <w:marBottom w:val="0"/>
      <w:divBdr>
        <w:top w:val="none" w:sz="0" w:space="0" w:color="auto"/>
        <w:left w:val="none" w:sz="0" w:space="0" w:color="auto"/>
        <w:bottom w:val="none" w:sz="0" w:space="0" w:color="auto"/>
        <w:right w:val="none" w:sz="0" w:space="0" w:color="auto"/>
      </w:divBdr>
    </w:div>
    <w:div w:id="1786459353">
      <w:bodyDiv w:val="1"/>
      <w:marLeft w:val="0"/>
      <w:marRight w:val="0"/>
      <w:marTop w:val="0"/>
      <w:marBottom w:val="0"/>
      <w:divBdr>
        <w:top w:val="none" w:sz="0" w:space="0" w:color="auto"/>
        <w:left w:val="none" w:sz="0" w:space="0" w:color="auto"/>
        <w:bottom w:val="none" w:sz="0" w:space="0" w:color="auto"/>
        <w:right w:val="none" w:sz="0" w:space="0" w:color="auto"/>
      </w:divBdr>
    </w:div>
    <w:div w:id="1798837568">
      <w:bodyDiv w:val="1"/>
      <w:marLeft w:val="0"/>
      <w:marRight w:val="0"/>
      <w:marTop w:val="0"/>
      <w:marBottom w:val="0"/>
      <w:divBdr>
        <w:top w:val="none" w:sz="0" w:space="0" w:color="auto"/>
        <w:left w:val="none" w:sz="0" w:space="0" w:color="auto"/>
        <w:bottom w:val="none" w:sz="0" w:space="0" w:color="auto"/>
        <w:right w:val="none" w:sz="0" w:space="0" w:color="auto"/>
      </w:divBdr>
    </w:div>
    <w:div w:id="1804346455">
      <w:bodyDiv w:val="1"/>
      <w:marLeft w:val="0"/>
      <w:marRight w:val="0"/>
      <w:marTop w:val="0"/>
      <w:marBottom w:val="0"/>
      <w:divBdr>
        <w:top w:val="none" w:sz="0" w:space="0" w:color="auto"/>
        <w:left w:val="none" w:sz="0" w:space="0" w:color="auto"/>
        <w:bottom w:val="none" w:sz="0" w:space="0" w:color="auto"/>
        <w:right w:val="none" w:sz="0" w:space="0" w:color="auto"/>
      </w:divBdr>
    </w:div>
    <w:div w:id="1857773012">
      <w:bodyDiv w:val="1"/>
      <w:marLeft w:val="0"/>
      <w:marRight w:val="0"/>
      <w:marTop w:val="0"/>
      <w:marBottom w:val="0"/>
      <w:divBdr>
        <w:top w:val="none" w:sz="0" w:space="0" w:color="auto"/>
        <w:left w:val="none" w:sz="0" w:space="0" w:color="auto"/>
        <w:bottom w:val="none" w:sz="0" w:space="0" w:color="auto"/>
        <w:right w:val="none" w:sz="0" w:space="0" w:color="auto"/>
      </w:divBdr>
    </w:div>
    <w:div w:id="1874924958">
      <w:bodyDiv w:val="1"/>
      <w:marLeft w:val="0"/>
      <w:marRight w:val="0"/>
      <w:marTop w:val="0"/>
      <w:marBottom w:val="0"/>
      <w:divBdr>
        <w:top w:val="none" w:sz="0" w:space="0" w:color="auto"/>
        <w:left w:val="none" w:sz="0" w:space="0" w:color="auto"/>
        <w:bottom w:val="none" w:sz="0" w:space="0" w:color="auto"/>
        <w:right w:val="none" w:sz="0" w:space="0" w:color="auto"/>
      </w:divBdr>
    </w:div>
    <w:div w:id="1953053530">
      <w:bodyDiv w:val="1"/>
      <w:marLeft w:val="0"/>
      <w:marRight w:val="0"/>
      <w:marTop w:val="0"/>
      <w:marBottom w:val="0"/>
      <w:divBdr>
        <w:top w:val="none" w:sz="0" w:space="0" w:color="auto"/>
        <w:left w:val="none" w:sz="0" w:space="0" w:color="auto"/>
        <w:bottom w:val="none" w:sz="0" w:space="0" w:color="auto"/>
        <w:right w:val="none" w:sz="0" w:space="0" w:color="auto"/>
      </w:divBdr>
    </w:div>
    <w:div w:id="2060203090">
      <w:bodyDiv w:val="1"/>
      <w:marLeft w:val="0"/>
      <w:marRight w:val="0"/>
      <w:marTop w:val="0"/>
      <w:marBottom w:val="0"/>
      <w:divBdr>
        <w:top w:val="none" w:sz="0" w:space="0" w:color="auto"/>
        <w:left w:val="none" w:sz="0" w:space="0" w:color="auto"/>
        <w:bottom w:val="none" w:sz="0" w:space="0" w:color="auto"/>
        <w:right w:val="none" w:sz="0" w:space="0" w:color="auto"/>
      </w:divBdr>
    </w:div>
    <w:div w:id="2070611705">
      <w:bodyDiv w:val="1"/>
      <w:marLeft w:val="0"/>
      <w:marRight w:val="0"/>
      <w:marTop w:val="0"/>
      <w:marBottom w:val="0"/>
      <w:divBdr>
        <w:top w:val="none" w:sz="0" w:space="0" w:color="auto"/>
        <w:left w:val="none" w:sz="0" w:space="0" w:color="auto"/>
        <w:bottom w:val="none" w:sz="0" w:space="0" w:color="auto"/>
        <w:right w:val="none" w:sz="0" w:space="0" w:color="auto"/>
      </w:divBdr>
    </w:div>
    <w:div w:id="2116712208">
      <w:bodyDiv w:val="1"/>
      <w:marLeft w:val="0"/>
      <w:marRight w:val="0"/>
      <w:marTop w:val="0"/>
      <w:marBottom w:val="0"/>
      <w:divBdr>
        <w:top w:val="none" w:sz="0" w:space="0" w:color="auto"/>
        <w:left w:val="none" w:sz="0" w:space="0" w:color="auto"/>
        <w:bottom w:val="none" w:sz="0" w:space="0" w:color="auto"/>
        <w:right w:val="none" w:sz="0" w:space="0" w:color="auto"/>
      </w:divBdr>
    </w:div>
    <w:div w:id="2117747086">
      <w:bodyDiv w:val="1"/>
      <w:marLeft w:val="0"/>
      <w:marRight w:val="0"/>
      <w:marTop w:val="0"/>
      <w:marBottom w:val="0"/>
      <w:divBdr>
        <w:top w:val="none" w:sz="0" w:space="0" w:color="auto"/>
        <w:left w:val="none" w:sz="0" w:space="0" w:color="auto"/>
        <w:bottom w:val="none" w:sz="0" w:space="0" w:color="auto"/>
        <w:right w:val="none" w:sz="0" w:space="0" w:color="auto"/>
      </w:divBdr>
    </w:div>
    <w:div w:id="214454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PA.gov/crossstater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F9F3F-8401-414F-A6E3-9BEA5C509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25</Pages>
  <Words>11511</Words>
  <Characters>65619</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DRAFT SUPPORTING STATEMENT</vt:lpstr>
    </vt:vector>
  </TitlesOfParts>
  <Company>SRA International</Company>
  <LinksUpToDate>false</LinksUpToDate>
  <CharactersWithSpaces>76977</CharactersWithSpaces>
  <SharedDoc>false</SharedDoc>
  <HLinks>
    <vt:vector size="6" baseType="variant">
      <vt:variant>
        <vt:i4>3342386</vt:i4>
      </vt:variant>
      <vt:variant>
        <vt:i4>0</vt:i4>
      </vt:variant>
      <vt:variant>
        <vt:i4>0</vt:i4>
      </vt:variant>
      <vt:variant>
        <vt:i4>5</vt:i4>
      </vt:variant>
      <vt:variant>
        <vt:lpwstr>http://stats.bls.gov/news.release/ecec.toc.htm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dc:title>
  <dc:creator>annalbrecht</dc:creator>
  <cp:lastModifiedBy>Clark, Spencer</cp:lastModifiedBy>
  <cp:revision>2</cp:revision>
  <cp:lastPrinted>2014-06-13T04:10:00Z</cp:lastPrinted>
  <dcterms:created xsi:type="dcterms:W3CDTF">2016-09-13T16:49:00Z</dcterms:created>
  <dcterms:modified xsi:type="dcterms:W3CDTF">2016-09-13T16:49:00Z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-1414652970</vt:i4>
  </property>
</Properties>
</file>