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01E0EFFC" w14:textId="7AE7EC35" w:rsidR="00D001E4" w:rsidRDefault="00817D92">
          <w:pPr>
            <w:rPr>
              <w:noProof/>
            </w:rPr>
          </w:pPr>
          <w:r>
            <w:rPr>
              <w:noProof/>
            </w:rPr>
            <w:drawing>
              <wp:anchor distT="0" distB="0" distL="114300" distR="114300" simplePos="0" relativeHeight="251675647" behindDoc="0" locked="0" layoutInCell="1" allowOverlap="1" wp14:anchorId="47FDC2A9" wp14:editId="1E23CD6A">
                <wp:simplePos x="0" y="0"/>
                <wp:positionH relativeFrom="column">
                  <wp:posOffset>6350</wp:posOffset>
                </wp:positionH>
                <wp:positionV relativeFrom="paragraph">
                  <wp:posOffset>112091</wp:posOffset>
                </wp:positionV>
                <wp:extent cx="3175000" cy="609600"/>
                <wp:effectExtent l="0" t="0" r="6350" b="0"/>
                <wp:wrapThrough wrapText="bothSides">
                  <wp:wrapPolygon edited="0">
                    <wp:start x="0" y="0"/>
                    <wp:lineTo x="0" y="20925"/>
                    <wp:lineTo x="21514" y="20925"/>
                    <wp:lineTo x="21514" y="0"/>
                    <wp:lineTo x="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sidR="00711414">
            <w:rPr>
              <w:noProof/>
            </w:rPr>
            <mc:AlternateContent>
              <mc:Choice Requires="wps">
                <w:drawing>
                  <wp:anchor distT="0" distB="0" distL="114300" distR="114300" simplePos="0" relativeHeight="251676672" behindDoc="1" locked="0" layoutInCell="1" allowOverlap="1" wp14:anchorId="4A3F9823" wp14:editId="2E5DA524">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3AF164"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711414">
            <w:rPr>
              <w:noProof/>
            </w:rPr>
            <mc:AlternateContent>
              <mc:Choice Requires="wps">
                <w:drawing>
                  <wp:anchor distT="0" distB="0" distL="114300" distR="114300" simplePos="0" relativeHeight="251678720" behindDoc="0" locked="0" layoutInCell="1" allowOverlap="1" wp14:anchorId="4207B8B7" wp14:editId="3D461C86">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2FA2E5F1"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2D634647" w14:textId="77777777" w:rsidR="00041909" w:rsidRDefault="001F3A8F" w:rsidP="00D928FD">
          <w:pPr>
            <w:ind w:left="1080"/>
          </w:pPr>
          <w:r>
            <w:rPr>
              <w:noProof/>
            </w:rPr>
            <w:softHyphen/>
          </w:r>
          <w:r>
            <w:rPr>
              <w:noProof/>
            </w:rPr>
            <w:softHyphen/>
          </w:r>
          <w:r>
            <w:rPr>
              <w:noProof/>
            </w:rPr>
            <w:softHyphen/>
          </w:r>
        </w:p>
      </w:sdtContent>
    </w:sdt>
    <w:p w14:paraId="548BE052" w14:textId="77777777" w:rsidR="00D928FD" w:rsidRDefault="00D928FD" w:rsidP="00D928FD"/>
    <w:p w14:paraId="1529820F" w14:textId="1D52F26B" w:rsidR="00711414" w:rsidRDefault="00787B5B"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Uranium Data Program</w:t>
      </w:r>
    </w:p>
    <w:p w14:paraId="746F2BE0" w14:textId="77777777" w:rsidR="0059212D" w:rsidRPr="007E53C4" w:rsidRDefault="007E53C4" w:rsidP="007E53C4">
      <w:pPr>
        <w:pStyle w:val="Heading1"/>
      </w:pPr>
      <w:bookmarkStart w:id="1" w:name="_Toc466046933"/>
      <w:r w:rsidRPr="007E53C4">
        <w:t>Part B</w:t>
      </w:r>
      <w:r w:rsidR="00EE2CAF" w:rsidRPr="007E53C4">
        <w:t xml:space="preserve">: </w:t>
      </w:r>
      <w:r w:rsidRPr="007E53C4">
        <w:t>Collections of Information Employing Statistical Methods</w:t>
      </w:r>
      <w:bookmarkEnd w:id="1"/>
    </w:p>
    <w:p w14:paraId="67F31394" w14:textId="77777777" w:rsidR="00711414" w:rsidRPr="00711414" w:rsidRDefault="007E53C4" w:rsidP="00D928FD">
      <w:pPr>
        <w:rPr>
          <w:b/>
          <w:sz w:val="36"/>
          <w:szCs w:val="36"/>
        </w:rPr>
      </w:pPr>
      <w:r>
        <w:rPr>
          <w:noProof/>
        </w:rPr>
        <mc:AlternateContent>
          <mc:Choice Requires="wps">
            <w:drawing>
              <wp:anchor distT="0" distB="0" distL="114300" distR="114300" simplePos="0" relativeHeight="251693056" behindDoc="0" locked="0" layoutInCell="1" allowOverlap="1" wp14:anchorId="45C10491" wp14:editId="18D8F7E2">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54ECE" w14:textId="30EBBD2F" w:rsidR="00D036AC" w:rsidRDefault="00D036AC" w:rsidP="00D036AC">
                            <w:pPr>
                              <w:rPr>
                                <w:i/>
                                <w:sz w:val="28"/>
                                <w:szCs w:val="28"/>
                              </w:rPr>
                            </w:pPr>
                            <w:r w:rsidRPr="00F93242">
                              <w:rPr>
                                <w:sz w:val="28"/>
                                <w:szCs w:val="28"/>
                              </w:rPr>
                              <w:t>Form EIA-851A</w:t>
                            </w:r>
                            <w:r w:rsidRPr="0059212D">
                              <w:rPr>
                                <w:i/>
                                <w:sz w:val="28"/>
                                <w:szCs w:val="28"/>
                              </w:rPr>
                              <w:t xml:space="preserve"> </w:t>
                            </w:r>
                            <w:r>
                              <w:rPr>
                                <w:i/>
                                <w:sz w:val="28"/>
                                <w:szCs w:val="28"/>
                              </w:rPr>
                              <w:t>Domestic Uranium Production Report (Annual)</w:t>
                            </w:r>
                          </w:p>
                          <w:p w14:paraId="0A8D16C5" w14:textId="5EC574D0" w:rsidR="00D036AC" w:rsidRDefault="00D036AC" w:rsidP="00D036AC">
                            <w:pPr>
                              <w:rPr>
                                <w:i/>
                                <w:sz w:val="28"/>
                                <w:szCs w:val="28"/>
                              </w:rPr>
                            </w:pPr>
                            <w:r w:rsidRPr="00F93242">
                              <w:rPr>
                                <w:sz w:val="28"/>
                                <w:szCs w:val="28"/>
                              </w:rPr>
                              <w:t>Form EIA-851Q</w:t>
                            </w:r>
                            <w:r>
                              <w:rPr>
                                <w:i/>
                                <w:sz w:val="28"/>
                                <w:szCs w:val="28"/>
                              </w:rPr>
                              <w:t xml:space="preserve"> Domestic Uranium Production Report (Quarterly)</w:t>
                            </w:r>
                          </w:p>
                          <w:p w14:paraId="61AF468D" w14:textId="581F2701" w:rsidR="00D036AC" w:rsidRPr="0059212D" w:rsidRDefault="00D036AC" w:rsidP="00D036AC">
                            <w:pPr>
                              <w:rPr>
                                <w:i/>
                                <w:sz w:val="28"/>
                                <w:szCs w:val="28"/>
                              </w:rPr>
                            </w:pPr>
                            <w:r w:rsidRPr="00F93242">
                              <w:rPr>
                                <w:sz w:val="28"/>
                                <w:szCs w:val="28"/>
                              </w:rPr>
                              <w:t>Form EIA-858</w:t>
                            </w:r>
                            <w:r>
                              <w:rPr>
                                <w:i/>
                                <w:sz w:val="28"/>
                                <w:szCs w:val="28"/>
                              </w:rPr>
                              <w:t xml:space="preserve"> Uranium Marketing Annual Survey</w:t>
                            </w:r>
                          </w:p>
                          <w:p w14:paraId="1C3277E6" w14:textId="77777777" w:rsidR="00FB6BF3" w:rsidRPr="0059212D" w:rsidRDefault="00FB6BF3" w:rsidP="00FB6BF3">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55.75pt;width:474pt;height:24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" filled="f" stroked="f">
                <v:textbox inset="0">
                  <w:txbxContent>
                    <w:p w14:paraId="35654ECE" w14:textId="30EBBD2F" w:rsidR="00D036AC" w:rsidRDefault="00D036AC" w:rsidP="00D036AC">
                      <w:pPr>
                        <w:rPr>
                          <w:i/>
                          <w:sz w:val="28"/>
                          <w:szCs w:val="28"/>
                        </w:rPr>
                      </w:pPr>
                      <w:r w:rsidRPr="00F93242">
                        <w:rPr>
                          <w:sz w:val="28"/>
                          <w:szCs w:val="28"/>
                        </w:rPr>
                        <w:t>Form EIA-851A</w:t>
                      </w:r>
                      <w:r w:rsidRPr="0059212D">
                        <w:rPr>
                          <w:i/>
                          <w:sz w:val="28"/>
                          <w:szCs w:val="28"/>
                        </w:rPr>
                        <w:t xml:space="preserve"> </w:t>
                      </w:r>
                      <w:r>
                        <w:rPr>
                          <w:i/>
                          <w:sz w:val="28"/>
                          <w:szCs w:val="28"/>
                        </w:rPr>
                        <w:t>Domestic Uranium Production Report (Annual)</w:t>
                      </w:r>
                    </w:p>
                    <w:p w14:paraId="0A8D16C5" w14:textId="5EC574D0" w:rsidR="00D036AC" w:rsidRDefault="00D036AC" w:rsidP="00D036AC">
                      <w:pPr>
                        <w:rPr>
                          <w:i/>
                          <w:sz w:val="28"/>
                          <w:szCs w:val="28"/>
                        </w:rPr>
                      </w:pPr>
                      <w:r w:rsidRPr="00F93242">
                        <w:rPr>
                          <w:sz w:val="28"/>
                          <w:szCs w:val="28"/>
                        </w:rPr>
                        <w:t>Form EIA-851Q</w:t>
                      </w:r>
                      <w:r>
                        <w:rPr>
                          <w:i/>
                          <w:sz w:val="28"/>
                          <w:szCs w:val="28"/>
                        </w:rPr>
                        <w:t xml:space="preserve"> Domestic Uranium Production Report (Quarterly)</w:t>
                      </w:r>
                    </w:p>
                    <w:p w14:paraId="61AF468D" w14:textId="581F2701" w:rsidR="00D036AC" w:rsidRPr="0059212D" w:rsidRDefault="00D036AC" w:rsidP="00D036AC">
                      <w:pPr>
                        <w:rPr>
                          <w:i/>
                          <w:sz w:val="28"/>
                          <w:szCs w:val="28"/>
                        </w:rPr>
                      </w:pPr>
                      <w:r w:rsidRPr="00F93242">
                        <w:rPr>
                          <w:sz w:val="28"/>
                          <w:szCs w:val="28"/>
                        </w:rPr>
                        <w:t>Form EIA-858</w:t>
                      </w:r>
                      <w:r>
                        <w:rPr>
                          <w:i/>
                          <w:sz w:val="28"/>
                          <w:szCs w:val="28"/>
                        </w:rPr>
                        <w:t xml:space="preserve"> Uranium Marketing Annual Survey</w:t>
                      </w:r>
                    </w:p>
                    <w:p w14:paraId="1C3277E6" w14:textId="77777777" w:rsidR="00FB6BF3" w:rsidRPr="0059212D" w:rsidRDefault="00FB6BF3" w:rsidP="00FB6BF3">
                      <w:pPr>
                        <w:rPr>
                          <w:i/>
                          <w:sz w:val="28"/>
                          <w:szCs w:val="28"/>
                        </w:rPr>
                      </w:pP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sidR="00A751DB">
        <w:rPr>
          <w:rFonts w:ascii="Times New Roman" w:hAnsi="Times New Roman" w:cs="Times New Roman"/>
          <w:b/>
          <w:sz w:val="36"/>
          <w:szCs w:val="36"/>
        </w:rPr>
        <w:t>160</w:t>
      </w:r>
    </w:p>
    <w:p w14:paraId="7343017C" w14:textId="77777777" w:rsidR="001F3A8F" w:rsidRPr="00711414" w:rsidRDefault="007E53C4" w:rsidP="00711414">
      <w:pPr>
        <w:rPr>
          <w:i/>
          <w:sz w:val="28"/>
          <w:szCs w:val="28"/>
        </w:rPr>
      </w:pPr>
      <w:r>
        <w:rPr>
          <w:noProof/>
        </w:rPr>
        <w:lastRenderedPageBreak/>
        <mc:AlternateContent>
          <mc:Choice Requires="wps">
            <w:drawing>
              <wp:anchor distT="0" distB="0" distL="114300" distR="114300" simplePos="0" relativeHeight="251689984" behindDoc="1" locked="0" layoutInCell="1" allowOverlap="1" wp14:anchorId="56AA5E56" wp14:editId="60F1DCC9">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6BD64D53" id="Rectangle 34" o:spid="_x0000_s1026" style="position:absolute;margin-left:-35.5pt;margin-top:358.9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fillcolor="#0c95d3" stroked="f" strokecolor="#f2f2f2 [3041]" strokeweight="3pt">
                <v:shadow color="#50191f [1608]" opacity=".5" offset="1pt"/>
                <w10:wrap type="through"/>
              </v:rect>
            </w:pict>
          </mc:Fallback>
        </mc:AlternateContent>
      </w:r>
      <w:r w:rsidR="00EE2CAF">
        <w:rPr>
          <w:noProof/>
        </w:rPr>
        <mc:AlternateContent>
          <mc:Choice Requires="wps">
            <w:drawing>
              <wp:anchor distT="0" distB="0" distL="114300" distR="114300" simplePos="0" relativeHeight="251681792" behindDoc="0" locked="0" layoutInCell="1" allowOverlap="1" wp14:anchorId="39AFF92A" wp14:editId="2EF69A8C">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FC0CA" w14:textId="4C6F9E3B" w:rsidR="00132F4A" w:rsidRPr="009818F9" w:rsidRDefault="00B3231B">
                            <w:pPr>
                              <w:rPr>
                                <w:color w:val="A6A6A6" w:themeColor="background1" w:themeShade="A6"/>
                                <w:sz w:val="36"/>
                              </w:rPr>
                            </w:pPr>
                            <w:r>
                              <w:rPr>
                                <w:color w:val="A6A6A6" w:themeColor="background1" w:themeShade="A6"/>
                                <w:sz w:val="36"/>
                              </w:rPr>
                              <w:t xml:space="preserve">August </w:t>
                            </w:r>
                            <w:r w:rsidR="0006447C">
                              <w:rPr>
                                <w:color w:val="A6A6A6" w:themeColor="background1" w:themeShade="A6"/>
                                <w:sz w:val="36"/>
                              </w:rPr>
                              <w:t>9</w:t>
                            </w:r>
                            <w:r w:rsidR="006F433E">
                              <w:rPr>
                                <w:color w:val="A6A6A6" w:themeColor="background1" w:themeShade="A6"/>
                                <w:sz w:val="36"/>
                              </w:rPr>
                              <w:t>,</w:t>
                            </w:r>
                            <w:r w:rsidR="004C13C1">
                              <w:rPr>
                                <w:color w:val="A6A6A6" w:themeColor="background1" w:themeShade="A6"/>
                                <w:sz w:val="36"/>
                              </w:rPr>
                              <w:t xml:space="preserve"> </w:t>
                            </w:r>
                            <w:r w:rsidR="00D036AC">
                              <w:rPr>
                                <w:color w:val="A6A6A6" w:themeColor="background1" w:themeShade="A6"/>
                                <w:sz w:val="36"/>
                              </w:rPr>
                              <w:t>201</w:t>
                            </w:r>
                            <w:r w:rsidR="00BE04AC">
                              <w:rPr>
                                <w:color w:val="A6A6A6" w:themeColor="background1" w:themeShade="A6"/>
                                <w:sz w:val="36"/>
                              </w:rPr>
                              <w:t>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2E5FC0CA" w14:textId="4C6F9E3B" w:rsidR="00132F4A" w:rsidRPr="009818F9" w:rsidRDefault="00B3231B">
                      <w:pPr>
                        <w:rPr>
                          <w:color w:val="A6A6A6" w:themeColor="background1" w:themeShade="A6"/>
                          <w:sz w:val="36"/>
                        </w:rPr>
                      </w:pPr>
                      <w:r>
                        <w:rPr>
                          <w:color w:val="A6A6A6" w:themeColor="background1" w:themeShade="A6"/>
                          <w:sz w:val="36"/>
                        </w:rPr>
                        <w:t xml:space="preserve">August </w:t>
                      </w:r>
                      <w:r w:rsidR="0006447C">
                        <w:rPr>
                          <w:color w:val="A6A6A6" w:themeColor="background1" w:themeShade="A6"/>
                          <w:sz w:val="36"/>
                        </w:rPr>
                        <w:t>9</w:t>
                      </w:r>
                      <w:r w:rsidR="006F433E">
                        <w:rPr>
                          <w:color w:val="A6A6A6" w:themeColor="background1" w:themeShade="A6"/>
                          <w:sz w:val="36"/>
                        </w:rPr>
                        <w:t>,</w:t>
                      </w:r>
                      <w:r w:rsidR="004C13C1">
                        <w:rPr>
                          <w:color w:val="A6A6A6" w:themeColor="background1" w:themeShade="A6"/>
                          <w:sz w:val="36"/>
                        </w:rPr>
                        <w:t xml:space="preserve"> </w:t>
                      </w:r>
                      <w:r w:rsidR="00D036AC">
                        <w:rPr>
                          <w:color w:val="A6A6A6" w:themeColor="background1" w:themeShade="A6"/>
                          <w:sz w:val="36"/>
                        </w:rPr>
                        <w:t>201</w:t>
                      </w:r>
                      <w:r w:rsidR="00BE04AC">
                        <w:rPr>
                          <w:color w:val="A6A6A6" w:themeColor="background1" w:themeShade="A6"/>
                          <w:sz w:val="36"/>
                        </w:rPr>
                        <w:t>8</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anchorId="4593C1FA" wp14:editId="50857AD9">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817D2" w14:textId="77777777" w:rsidR="00132F4A" w:rsidRPr="00AA3D91" w:rsidRDefault="00132F4A"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382817D2" w14:textId="77777777" w:rsidR="00132F4A" w:rsidRPr="00AA3D91" w:rsidRDefault="00132F4A"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anchorId="2BC6A74E" wp14:editId="7F0D3852">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39368B97" wp14:editId="7C95E59C">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8E963" w14:textId="77777777"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5E9E7A91" w14:textId="77777777"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6978E963" w14:textId="77777777"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5E9E7A91" w14:textId="77777777"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1D9695FF" wp14:editId="35052916">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3B182" w14:textId="77777777"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D8DB9D1" w14:textId="77777777"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6B13B182" w14:textId="77777777"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D8DB9D1" w14:textId="77777777"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14:paraId="6C9CE163" w14:textId="77777777" w:rsidR="00755C3D" w:rsidRDefault="00755C3D" w:rsidP="00D928FD">
      <w:pPr>
        <w:sectPr w:rsidR="00755C3D"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597F902B" w14:textId="77777777" w:rsidR="0059212D" w:rsidRDefault="0059212D" w:rsidP="007E53C4">
          <w:pPr>
            <w:pStyle w:val="TOCHeading"/>
          </w:pPr>
          <w:r>
            <w:t>Table of Contents</w:t>
          </w:r>
        </w:p>
        <w:p w14:paraId="0DCAAF8B" w14:textId="77777777" w:rsidR="007E53C4" w:rsidRDefault="0059212D">
          <w:pPr>
            <w:pStyle w:val="TOC1"/>
            <w:rPr>
              <w:rFonts w:eastAsiaTheme="minorEastAsia"/>
              <w:noProof/>
              <w:color w:val="auto"/>
            </w:rPr>
          </w:pPr>
          <w:r>
            <w:fldChar w:fldCharType="begin"/>
          </w:r>
          <w:r>
            <w:instrText xml:space="preserve"> TOC \o "1-3" \h \z \u </w:instrText>
          </w:r>
          <w:r>
            <w:fldChar w:fldCharType="separate"/>
          </w:r>
          <w:hyperlink w:anchor="_Toc466046933" w:history="1">
            <w:r w:rsidR="007E53C4" w:rsidRPr="008650D1">
              <w:rPr>
                <w:rStyle w:val="Hyperlink"/>
                <w:noProof/>
              </w:rPr>
              <w:t>Part B: Collections of Information Employing Statistical Methods</w:t>
            </w:r>
            <w:r w:rsidR="007E53C4">
              <w:rPr>
                <w:noProof/>
                <w:webHidden/>
              </w:rPr>
              <w:tab/>
            </w:r>
            <w:r w:rsidR="007E53C4">
              <w:rPr>
                <w:noProof/>
                <w:webHidden/>
              </w:rPr>
              <w:fldChar w:fldCharType="begin"/>
            </w:r>
            <w:r w:rsidR="007E53C4">
              <w:rPr>
                <w:noProof/>
                <w:webHidden/>
              </w:rPr>
              <w:instrText xml:space="preserve"> PAGEREF _Toc466046933 \h </w:instrText>
            </w:r>
            <w:r w:rsidR="007E53C4">
              <w:rPr>
                <w:noProof/>
                <w:webHidden/>
              </w:rPr>
            </w:r>
            <w:r w:rsidR="007E53C4">
              <w:rPr>
                <w:noProof/>
                <w:webHidden/>
              </w:rPr>
              <w:fldChar w:fldCharType="separate"/>
            </w:r>
            <w:r w:rsidR="00604B82">
              <w:rPr>
                <w:noProof/>
                <w:webHidden/>
              </w:rPr>
              <w:t>i</w:t>
            </w:r>
            <w:r w:rsidR="007E53C4">
              <w:rPr>
                <w:noProof/>
                <w:webHidden/>
              </w:rPr>
              <w:fldChar w:fldCharType="end"/>
            </w:r>
          </w:hyperlink>
        </w:p>
        <w:p w14:paraId="33BD2CE1" w14:textId="77777777" w:rsidR="007E53C4" w:rsidRDefault="00C57C7D">
          <w:pPr>
            <w:pStyle w:val="TOC2"/>
            <w:rPr>
              <w:rFonts w:eastAsiaTheme="minorEastAsia"/>
              <w:noProof/>
              <w:color w:val="auto"/>
            </w:rPr>
          </w:pPr>
          <w:hyperlink w:anchor="_Toc466046934" w:history="1">
            <w:r w:rsidR="007E53C4" w:rsidRPr="008650D1">
              <w:rPr>
                <w:rStyle w:val="Hyperlink"/>
                <w:noProof/>
              </w:rPr>
              <w:t>B.1. Respondent Universe</w:t>
            </w:r>
            <w:r w:rsidR="007E53C4">
              <w:rPr>
                <w:noProof/>
                <w:webHidden/>
              </w:rPr>
              <w:tab/>
            </w:r>
            <w:r w:rsidR="007E53C4">
              <w:rPr>
                <w:noProof/>
                <w:webHidden/>
              </w:rPr>
              <w:fldChar w:fldCharType="begin"/>
            </w:r>
            <w:r w:rsidR="007E53C4">
              <w:rPr>
                <w:noProof/>
                <w:webHidden/>
              </w:rPr>
              <w:instrText xml:space="preserve"> PAGEREF _Toc466046934 \h </w:instrText>
            </w:r>
            <w:r w:rsidR="007E53C4">
              <w:rPr>
                <w:noProof/>
                <w:webHidden/>
              </w:rPr>
            </w:r>
            <w:r w:rsidR="007E53C4">
              <w:rPr>
                <w:noProof/>
                <w:webHidden/>
              </w:rPr>
              <w:fldChar w:fldCharType="separate"/>
            </w:r>
            <w:r w:rsidR="00604B82">
              <w:rPr>
                <w:noProof/>
                <w:webHidden/>
              </w:rPr>
              <w:t>1</w:t>
            </w:r>
            <w:r w:rsidR="007E53C4">
              <w:rPr>
                <w:noProof/>
                <w:webHidden/>
              </w:rPr>
              <w:fldChar w:fldCharType="end"/>
            </w:r>
          </w:hyperlink>
        </w:p>
        <w:p w14:paraId="7B6F9537" w14:textId="77777777" w:rsidR="007E53C4" w:rsidRDefault="00C57C7D">
          <w:pPr>
            <w:pStyle w:val="TOC2"/>
            <w:rPr>
              <w:rFonts w:eastAsiaTheme="minorEastAsia"/>
              <w:noProof/>
              <w:color w:val="auto"/>
            </w:rPr>
          </w:pPr>
          <w:hyperlink w:anchor="_Toc466046935" w:history="1">
            <w:r w:rsidR="007E53C4" w:rsidRPr="008650D1">
              <w:rPr>
                <w:rStyle w:val="Hyperlink"/>
                <w:noProof/>
              </w:rPr>
              <w:t>B.2. Statistical Methods</w:t>
            </w:r>
            <w:r w:rsidR="007E53C4">
              <w:rPr>
                <w:noProof/>
                <w:webHidden/>
              </w:rPr>
              <w:tab/>
            </w:r>
            <w:r w:rsidR="007E53C4">
              <w:rPr>
                <w:noProof/>
                <w:webHidden/>
              </w:rPr>
              <w:fldChar w:fldCharType="begin"/>
            </w:r>
            <w:r w:rsidR="007E53C4">
              <w:rPr>
                <w:noProof/>
                <w:webHidden/>
              </w:rPr>
              <w:instrText xml:space="preserve"> PAGEREF _Toc466046935 \h </w:instrText>
            </w:r>
            <w:r w:rsidR="007E53C4">
              <w:rPr>
                <w:noProof/>
                <w:webHidden/>
              </w:rPr>
            </w:r>
            <w:r w:rsidR="007E53C4">
              <w:rPr>
                <w:noProof/>
                <w:webHidden/>
              </w:rPr>
              <w:fldChar w:fldCharType="separate"/>
            </w:r>
            <w:r w:rsidR="00604B82">
              <w:rPr>
                <w:noProof/>
                <w:webHidden/>
              </w:rPr>
              <w:t>1</w:t>
            </w:r>
            <w:r w:rsidR="007E53C4">
              <w:rPr>
                <w:noProof/>
                <w:webHidden/>
              </w:rPr>
              <w:fldChar w:fldCharType="end"/>
            </w:r>
          </w:hyperlink>
        </w:p>
        <w:p w14:paraId="02BC6B40" w14:textId="77777777" w:rsidR="007E53C4" w:rsidRDefault="00C57C7D">
          <w:pPr>
            <w:pStyle w:val="TOC2"/>
            <w:rPr>
              <w:rFonts w:eastAsiaTheme="minorEastAsia"/>
              <w:noProof/>
              <w:color w:val="auto"/>
            </w:rPr>
          </w:pPr>
          <w:hyperlink w:anchor="_Toc466046936" w:history="1">
            <w:r w:rsidR="007E53C4" w:rsidRPr="008650D1">
              <w:rPr>
                <w:rStyle w:val="Hyperlink"/>
                <w:noProof/>
              </w:rPr>
              <w:t>B.3. Maximizing Response Rates</w:t>
            </w:r>
            <w:r w:rsidR="007E53C4">
              <w:rPr>
                <w:noProof/>
                <w:webHidden/>
              </w:rPr>
              <w:tab/>
            </w:r>
            <w:r w:rsidR="007E53C4">
              <w:rPr>
                <w:noProof/>
                <w:webHidden/>
              </w:rPr>
              <w:fldChar w:fldCharType="begin"/>
            </w:r>
            <w:r w:rsidR="007E53C4">
              <w:rPr>
                <w:noProof/>
                <w:webHidden/>
              </w:rPr>
              <w:instrText xml:space="preserve"> PAGEREF _Toc466046936 \h </w:instrText>
            </w:r>
            <w:r w:rsidR="007E53C4">
              <w:rPr>
                <w:noProof/>
                <w:webHidden/>
              </w:rPr>
            </w:r>
            <w:r w:rsidR="007E53C4">
              <w:rPr>
                <w:noProof/>
                <w:webHidden/>
              </w:rPr>
              <w:fldChar w:fldCharType="separate"/>
            </w:r>
            <w:r w:rsidR="00604B82">
              <w:rPr>
                <w:noProof/>
                <w:webHidden/>
              </w:rPr>
              <w:t>2</w:t>
            </w:r>
            <w:r w:rsidR="007E53C4">
              <w:rPr>
                <w:noProof/>
                <w:webHidden/>
              </w:rPr>
              <w:fldChar w:fldCharType="end"/>
            </w:r>
          </w:hyperlink>
        </w:p>
        <w:p w14:paraId="116B2AEE" w14:textId="77777777" w:rsidR="007E53C4" w:rsidRDefault="00C57C7D">
          <w:pPr>
            <w:pStyle w:val="TOC2"/>
            <w:rPr>
              <w:rFonts w:eastAsiaTheme="minorEastAsia"/>
              <w:noProof/>
              <w:color w:val="auto"/>
            </w:rPr>
          </w:pPr>
          <w:hyperlink w:anchor="_Toc466046937" w:history="1">
            <w:r w:rsidR="007E53C4" w:rsidRPr="008650D1">
              <w:rPr>
                <w:rStyle w:val="Hyperlink"/>
                <w:noProof/>
              </w:rPr>
              <w:t>B.4. Test Procedures and Form Consultations</w:t>
            </w:r>
            <w:r w:rsidR="007E53C4">
              <w:rPr>
                <w:noProof/>
                <w:webHidden/>
              </w:rPr>
              <w:tab/>
            </w:r>
            <w:r w:rsidR="007E53C4">
              <w:rPr>
                <w:noProof/>
                <w:webHidden/>
              </w:rPr>
              <w:fldChar w:fldCharType="begin"/>
            </w:r>
            <w:r w:rsidR="007E53C4">
              <w:rPr>
                <w:noProof/>
                <w:webHidden/>
              </w:rPr>
              <w:instrText xml:space="preserve"> PAGEREF _Toc466046937 \h </w:instrText>
            </w:r>
            <w:r w:rsidR="007E53C4">
              <w:rPr>
                <w:noProof/>
                <w:webHidden/>
              </w:rPr>
            </w:r>
            <w:r w:rsidR="007E53C4">
              <w:rPr>
                <w:noProof/>
                <w:webHidden/>
              </w:rPr>
              <w:fldChar w:fldCharType="separate"/>
            </w:r>
            <w:r w:rsidR="00604B82">
              <w:rPr>
                <w:noProof/>
                <w:webHidden/>
              </w:rPr>
              <w:t>2</w:t>
            </w:r>
            <w:r w:rsidR="007E53C4">
              <w:rPr>
                <w:noProof/>
                <w:webHidden/>
              </w:rPr>
              <w:fldChar w:fldCharType="end"/>
            </w:r>
          </w:hyperlink>
        </w:p>
        <w:p w14:paraId="575A942D" w14:textId="77777777" w:rsidR="007E53C4" w:rsidRDefault="00C57C7D">
          <w:pPr>
            <w:pStyle w:val="TOC2"/>
            <w:rPr>
              <w:rFonts w:eastAsiaTheme="minorEastAsia"/>
              <w:noProof/>
              <w:color w:val="auto"/>
            </w:rPr>
          </w:pPr>
          <w:hyperlink w:anchor="_Toc466046938" w:history="1">
            <w:r w:rsidR="007E53C4" w:rsidRPr="008650D1">
              <w:rPr>
                <w:rStyle w:val="Hyperlink"/>
                <w:noProof/>
              </w:rPr>
              <w:t>B.5. Statistical Consultations</w:t>
            </w:r>
            <w:r w:rsidR="007E53C4">
              <w:rPr>
                <w:noProof/>
                <w:webHidden/>
              </w:rPr>
              <w:tab/>
            </w:r>
            <w:r w:rsidR="007E53C4">
              <w:rPr>
                <w:noProof/>
                <w:webHidden/>
              </w:rPr>
              <w:fldChar w:fldCharType="begin"/>
            </w:r>
            <w:r w:rsidR="007E53C4">
              <w:rPr>
                <w:noProof/>
                <w:webHidden/>
              </w:rPr>
              <w:instrText xml:space="preserve"> PAGEREF _Toc466046938 \h </w:instrText>
            </w:r>
            <w:r w:rsidR="007E53C4">
              <w:rPr>
                <w:noProof/>
                <w:webHidden/>
              </w:rPr>
            </w:r>
            <w:r w:rsidR="007E53C4">
              <w:rPr>
                <w:noProof/>
                <w:webHidden/>
              </w:rPr>
              <w:fldChar w:fldCharType="separate"/>
            </w:r>
            <w:r w:rsidR="00604B82">
              <w:rPr>
                <w:noProof/>
                <w:webHidden/>
              </w:rPr>
              <w:t>2</w:t>
            </w:r>
            <w:r w:rsidR="007E53C4">
              <w:rPr>
                <w:noProof/>
                <w:webHidden/>
              </w:rPr>
              <w:fldChar w:fldCharType="end"/>
            </w:r>
          </w:hyperlink>
        </w:p>
        <w:p w14:paraId="48F3572B" w14:textId="77777777" w:rsidR="0059212D" w:rsidRDefault="0059212D">
          <w:r>
            <w:rPr>
              <w:b/>
              <w:bCs/>
              <w:noProof/>
            </w:rPr>
            <w:fldChar w:fldCharType="end"/>
          </w:r>
        </w:p>
      </w:sdtContent>
    </w:sdt>
    <w:p w14:paraId="3A63D7C6" w14:textId="77777777" w:rsidR="001F3A8F" w:rsidRDefault="001F3A8F" w:rsidP="00D928FD"/>
    <w:p w14:paraId="2359A7E4" w14:textId="77777777" w:rsidR="00D928FD" w:rsidRDefault="00D928FD" w:rsidP="00D928FD">
      <w:pPr>
        <w:sectPr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14:paraId="418A8AF4" w14:textId="77777777" w:rsidR="00041909" w:rsidRDefault="00041909" w:rsidP="00836D62">
      <w:pPr>
        <w:spacing w:line="240" w:lineRule="auto"/>
        <w:sectPr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14:paraId="7B018429" w14:textId="77777777" w:rsidR="007E53C4" w:rsidRDefault="00844524" w:rsidP="004F2E3A">
      <w:pPr>
        <w:pStyle w:val="Heading2"/>
      </w:pPr>
      <w:bookmarkStart w:id="2" w:name="_Toc466046934"/>
      <w:r>
        <w:t>B.</w:t>
      </w:r>
      <w:r w:rsidR="00A41763" w:rsidRPr="00A41763">
        <w:t xml:space="preserve">1. </w:t>
      </w:r>
      <w:r w:rsidR="007E53C4">
        <w:t>Respondent Universe</w:t>
      </w:r>
      <w:bookmarkEnd w:id="2"/>
    </w:p>
    <w:p w14:paraId="7F0C3AA5" w14:textId="3C645B72" w:rsidR="00783181" w:rsidRDefault="0039264E" w:rsidP="004F1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Pr>
          <w:rFonts w:eastAsia="Calibri"/>
        </w:rPr>
        <w:t>EIA</w:t>
      </w:r>
      <w:r w:rsidR="00F93242">
        <w:rPr>
          <w:rFonts w:eastAsia="Calibri"/>
        </w:rPr>
        <w:t>’s</w:t>
      </w:r>
      <w:r>
        <w:rPr>
          <w:rFonts w:eastAsia="Calibri"/>
        </w:rPr>
        <w:t xml:space="preserve"> </w:t>
      </w:r>
      <w:r w:rsidRPr="00F51E0E">
        <w:rPr>
          <w:rFonts w:eastAsia="Calibri"/>
          <w:i/>
        </w:rPr>
        <w:t>Uranium Data Program</w:t>
      </w:r>
      <w:r>
        <w:rPr>
          <w:rFonts w:eastAsia="Calibri"/>
        </w:rPr>
        <w:t xml:space="preserve"> (UDP) </w:t>
      </w:r>
      <w:r w:rsidRPr="00D55E9B">
        <w:t xml:space="preserve">respondent </w:t>
      </w:r>
      <w:r w:rsidRPr="00D55E9B">
        <w:rPr>
          <w:rFonts w:eastAsia="Calibri"/>
        </w:rPr>
        <w:t xml:space="preserve">universe </w:t>
      </w:r>
      <w:r w:rsidR="00EF17BD">
        <w:rPr>
          <w:rFonts w:eastAsia="Calibri"/>
        </w:rPr>
        <w:t xml:space="preserve">currently </w:t>
      </w:r>
      <w:r w:rsidRPr="00D55E9B">
        <w:t>consists of</w:t>
      </w:r>
      <w:bookmarkStart w:id="3" w:name="OLE_LINK3"/>
      <w:r w:rsidRPr="00D55E9B">
        <w:t xml:space="preserve"> </w:t>
      </w:r>
      <w:r w:rsidR="00C810F2">
        <w:t>95</w:t>
      </w:r>
      <w:r w:rsidRPr="001F7285">
        <w:t xml:space="preserve"> </w:t>
      </w:r>
      <w:r w:rsidR="004C7F31">
        <w:t xml:space="preserve">unique </w:t>
      </w:r>
      <w:r>
        <w:t xml:space="preserve">respondents </w:t>
      </w:r>
      <w:r w:rsidR="00BE2368">
        <w:t xml:space="preserve">filing 124 </w:t>
      </w:r>
      <w:r w:rsidR="006D17D5">
        <w:t xml:space="preserve">surveys in each calendar year </w:t>
      </w:r>
      <w:r w:rsidR="00B3231B">
        <w:t>because some</w:t>
      </w:r>
      <w:r w:rsidR="006D17D5">
        <w:t xml:space="preserve"> respondents are required to complete multiple surveys based upon their business activities.</w:t>
      </w:r>
      <w:r w:rsidR="006D17D5" w:rsidDel="006D17D5">
        <w:t xml:space="preserve"> </w:t>
      </w:r>
      <w:r w:rsidR="00BA315D">
        <w:t>Tabl</w:t>
      </w:r>
      <w:r w:rsidR="00F23C1D">
        <w:t>e 1 shows the number of respondents for ea</w:t>
      </w:r>
      <w:r w:rsidR="00BA315D">
        <w:t>ch individual survey form. Tabl</w:t>
      </w:r>
      <w:r w:rsidR="00F23C1D">
        <w:t xml:space="preserve">e 2 shows which respondents are required to submit multiple survey forms. </w:t>
      </w:r>
      <w:r w:rsidR="00332498">
        <w:rPr>
          <w:color w:val="000000"/>
        </w:rPr>
        <w:t>All entities involved in the U.S. domestic uranium industry are required to fill out at least one of the three surveys</w:t>
      </w:r>
      <w:r w:rsidR="00E160C2">
        <w:rPr>
          <w:color w:val="000000"/>
        </w:rPr>
        <w:t xml:space="preserve">, regardless of </w:t>
      </w:r>
      <w:r w:rsidR="00457552">
        <w:rPr>
          <w:color w:val="000000"/>
        </w:rPr>
        <w:t>size</w:t>
      </w:r>
      <w:r w:rsidR="00332498">
        <w:rPr>
          <w:color w:val="000000"/>
        </w:rPr>
        <w:t xml:space="preserve">. </w:t>
      </w:r>
      <w:r w:rsidR="00BE2368">
        <w:rPr>
          <w:color w:val="000000"/>
        </w:rPr>
        <w:t xml:space="preserve">The respondent universe is researched and updated annually using Nuclear Regulatory Commission and state mining/environmental department project lists. Current respondents are also required to identify counterparties in the contract section of the EIA-858 survey. </w:t>
      </w:r>
      <w:r w:rsidR="00332498">
        <w:rPr>
          <w:color w:val="000000"/>
        </w:rPr>
        <w:t xml:space="preserve">Depending on the </w:t>
      </w:r>
      <w:r w:rsidR="00F766A2">
        <w:rPr>
          <w:color w:val="000000"/>
        </w:rPr>
        <w:t>range</w:t>
      </w:r>
      <w:r w:rsidR="00332498">
        <w:rPr>
          <w:color w:val="000000"/>
        </w:rPr>
        <w:t xml:space="preserve"> of business activities, a respondent may be required to fill out </w:t>
      </w:r>
      <w:r w:rsidR="00F766A2">
        <w:rPr>
          <w:color w:val="000000"/>
        </w:rPr>
        <w:t xml:space="preserve">one, </w:t>
      </w:r>
      <w:r w:rsidR="00332498">
        <w:rPr>
          <w:color w:val="000000"/>
        </w:rPr>
        <w:t>two</w:t>
      </w:r>
      <w:r w:rsidR="00F766A2">
        <w:rPr>
          <w:color w:val="000000"/>
        </w:rPr>
        <w:t>,</w:t>
      </w:r>
      <w:r w:rsidR="00332498">
        <w:rPr>
          <w:color w:val="000000"/>
        </w:rPr>
        <w:t xml:space="preserve"> or all three surveys. </w:t>
      </w:r>
      <w:r w:rsidR="00630667">
        <w:rPr>
          <w:color w:val="000000"/>
        </w:rPr>
        <w:t xml:space="preserve">Of the </w:t>
      </w:r>
      <w:r w:rsidR="00C810F2">
        <w:rPr>
          <w:color w:val="000000"/>
        </w:rPr>
        <w:t>95</w:t>
      </w:r>
      <w:r w:rsidR="00630667">
        <w:rPr>
          <w:color w:val="000000"/>
        </w:rPr>
        <w:t xml:space="preserve"> respondents, </w:t>
      </w:r>
      <w:r w:rsidR="003811D2">
        <w:t>9</w:t>
      </w:r>
      <w:r w:rsidR="006D17D5">
        <w:t xml:space="preserve"> submit all three surveys, </w:t>
      </w:r>
      <w:r w:rsidR="003811D2">
        <w:t>6</w:t>
      </w:r>
      <w:r w:rsidR="006D17D5">
        <w:t xml:space="preserve"> submit the EIA-851A and EIA-851A surveys, </w:t>
      </w:r>
      <w:r w:rsidR="003811D2">
        <w:t>5</w:t>
      </w:r>
      <w:r w:rsidR="006D17D5">
        <w:t xml:space="preserve"> submit the EIA-851A and EIA-858 surveys, 28 submit just the EIA-851A survey and 47 submit just the EIA-858 survey.</w:t>
      </w:r>
    </w:p>
    <w:p w14:paraId="4D3ADB43" w14:textId="77777777" w:rsidR="00783181" w:rsidRDefault="00783181" w:rsidP="004F1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53967059" w14:textId="689B9A2F" w:rsidR="00783181" w:rsidRPr="004F1A48" w:rsidRDefault="00BA315D" w:rsidP="004F1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rPr>
      </w:pPr>
      <w:r>
        <w:rPr>
          <w:b/>
          <w:color w:val="0070C0"/>
          <w:sz w:val="20"/>
        </w:rPr>
        <w:t>Tabl</w:t>
      </w:r>
      <w:r w:rsidR="00783181" w:rsidRPr="004F1A48">
        <w:rPr>
          <w:b/>
          <w:color w:val="0070C0"/>
          <w:sz w:val="20"/>
        </w:rPr>
        <w:t>e 1: Number of respondents for each survey</w:t>
      </w:r>
    </w:p>
    <w:bookmarkEnd w:id="3"/>
    <w:p w14:paraId="6EE01CCE" w14:textId="77777777" w:rsidR="00783181" w:rsidRDefault="00783181" w:rsidP="004F1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83181">
        <w:rPr>
          <w:noProof/>
        </w:rPr>
        <w:drawing>
          <wp:inline distT="0" distB="0" distL="0" distR="0" wp14:anchorId="3A51B7AC" wp14:editId="52F07C5F">
            <wp:extent cx="5943600" cy="1638258"/>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638258"/>
                    </a:xfrm>
                    <a:prstGeom prst="rect">
                      <a:avLst/>
                    </a:prstGeom>
                    <a:noFill/>
                    <a:ln>
                      <a:noFill/>
                    </a:ln>
                  </pic:spPr>
                </pic:pic>
              </a:graphicData>
            </a:graphic>
          </wp:inline>
        </w:drawing>
      </w:r>
    </w:p>
    <w:p w14:paraId="0F74E26B" w14:textId="09C1DA77" w:rsidR="007E53C4" w:rsidRPr="004F1A48" w:rsidRDefault="00BA315D" w:rsidP="004F1A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rPr>
      </w:pPr>
      <w:r>
        <w:rPr>
          <w:b/>
          <w:color w:val="0070C0"/>
          <w:sz w:val="20"/>
        </w:rPr>
        <w:t>Table</w:t>
      </w:r>
      <w:r w:rsidR="00783181" w:rsidRPr="004F1A48">
        <w:rPr>
          <w:b/>
          <w:color w:val="0070C0"/>
          <w:sz w:val="20"/>
        </w:rPr>
        <w:t xml:space="preserve"> 2: Unique respondent survey frame</w:t>
      </w:r>
    </w:p>
    <w:tbl>
      <w:tblPr>
        <w:tblW w:w="9363" w:type="dxa"/>
        <w:tblLook w:val="04A0" w:firstRow="1" w:lastRow="0" w:firstColumn="1" w:lastColumn="0" w:noHBand="0" w:noVBand="1"/>
      </w:tblPr>
      <w:tblGrid>
        <w:gridCol w:w="1473"/>
        <w:gridCol w:w="1315"/>
        <w:gridCol w:w="1315"/>
        <w:gridCol w:w="1315"/>
        <w:gridCol w:w="1315"/>
        <w:gridCol w:w="1315"/>
        <w:gridCol w:w="1315"/>
      </w:tblGrid>
      <w:tr w:rsidR="00AD0C19" w:rsidRPr="00AD0C19" w14:paraId="7EE9A86A" w14:textId="77777777" w:rsidTr="009A615C">
        <w:trPr>
          <w:trHeight w:val="1020"/>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A8567" w14:textId="77777777" w:rsidR="00AD0C19" w:rsidRPr="009A615C" w:rsidRDefault="00AD0C19" w:rsidP="00AD0C19">
            <w:pPr>
              <w:spacing w:after="0" w:line="240" w:lineRule="auto"/>
              <w:jc w:val="center"/>
              <w:rPr>
                <w:rFonts w:ascii="Arial" w:eastAsia="Times New Roman" w:hAnsi="Arial" w:cs="Arial"/>
                <w:b/>
                <w:color w:val="000000"/>
                <w:sz w:val="14"/>
              </w:rPr>
            </w:pPr>
            <w:r w:rsidRPr="009A615C">
              <w:rPr>
                <w:rFonts w:ascii="Arial" w:eastAsia="Times New Roman" w:hAnsi="Arial" w:cs="Arial"/>
                <w:b/>
                <w:color w:val="000000"/>
                <w:sz w:val="14"/>
              </w:rPr>
              <w:t>EIA Form Number</w:t>
            </w:r>
          </w:p>
        </w:tc>
        <w:tc>
          <w:tcPr>
            <w:tcW w:w="1315" w:type="dxa"/>
            <w:tcBorders>
              <w:top w:val="single" w:sz="4" w:space="0" w:color="auto"/>
              <w:left w:val="nil"/>
              <w:bottom w:val="nil"/>
              <w:right w:val="single" w:sz="4" w:space="0" w:color="auto"/>
            </w:tcBorders>
            <w:shd w:val="clear" w:color="auto" w:fill="auto"/>
            <w:vAlign w:val="center"/>
            <w:hideMark/>
          </w:tcPr>
          <w:p w14:paraId="4FBCB169" w14:textId="51FA42CF" w:rsidR="00AD0C19" w:rsidRPr="009A615C" w:rsidRDefault="00AD0C19" w:rsidP="00AD0C19">
            <w:pPr>
              <w:spacing w:after="0" w:line="240" w:lineRule="auto"/>
              <w:jc w:val="center"/>
              <w:rPr>
                <w:rFonts w:ascii="Arial" w:eastAsia="Times New Roman" w:hAnsi="Arial" w:cs="Arial"/>
                <w:b/>
                <w:color w:val="000000"/>
                <w:sz w:val="14"/>
              </w:rPr>
            </w:pPr>
            <w:r w:rsidRPr="009A615C">
              <w:rPr>
                <w:rFonts w:ascii="Arial" w:eastAsia="Times New Roman" w:hAnsi="Arial" w:cs="Arial"/>
                <w:b/>
                <w:color w:val="000000"/>
                <w:sz w:val="14"/>
              </w:rPr>
              <w:t xml:space="preserve">Number of respondents </w:t>
            </w:r>
            <w:r w:rsidR="0084303E" w:rsidRPr="009A615C">
              <w:rPr>
                <w:rFonts w:ascii="Arial" w:eastAsia="Times New Roman" w:hAnsi="Arial" w:cs="Arial"/>
                <w:b/>
                <w:color w:val="000000"/>
                <w:sz w:val="14"/>
              </w:rPr>
              <w:t>who submit</w:t>
            </w:r>
            <w:r w:rsidRPr="009A615C">
              <w:rPr>
                <w:rFonts w:ascii="Arial" w:eastAsia="Times New Roman" w:hAnsi="Arial" w:cs="Arial"/>
                <w:b/>
                <w:color w:val="000000"/>
                <w:sz w:val="14"/>
              </w:rPr>
              <w:t xml:space="preserve"> all three surveys</w:t>
            </w:r>
          </w:p>
        </w:tc>
        <w:tc>
          <w:tcPr>
            <w:tcW w:w="1315" w:type="dxa"/>
            <w:tcBorders>
              <w:top w:val="single" w:sz="4" w:space="0" w:color="auto"/>
              <w:left w:val="nil"/>
              <w:bottom w:val="nil"/>
              <w:right w:val="single" w:sz="4" w:space="0" w:color="auto"/>
            </w:tcBorders>
            <w:shd w:val="clear" w:color="auto" w:fill="auto"/>
            <w:vAlign w:val="center"/>
            <w:hideMark/>
          </w:tcPr>
          <w:p w14:paraId="14EEDFB1" w14:textId="03759111" w:rsidR="00AD0C19" w:rsidRPr="009A615C" w:rsidRDefault="00AD0C19" w:rsidP="00AD0C19">
            <w:pPr>
              <w:spacing w:after="0" w:line="240" w:lineRule="auto"/>
              <w:jc w:val="center"/>
              <w:rPr>
                <w:rFonts w:ascii="Arial" w:eastAsia="Times New Roman" w:hAnsi="Arial" w:cs="Arial"/>
                <w:b/>
                <w:color w:val="000000"/>
                <w:sz w:val="14"/>
              </w:rPr>
            </w:pPr>
            <w:r w:rsidRPr="009A615C">
              <w:rPr>
                <w:rFonts w:ascii="Arial" w:eastAsia="Times New Roman" w:hAnsi="Arial" w:cs="Arial"/>
                <w:b/>
                <w:color w:val="000000"/>
                <w:sz w:val="14"/>
              </w:rPr>
              <w:t xml:space="preserve">Number of respondents </w:t>
            </w:r>
            <w:r w:rsidR="0084303E" w:rsidRPr="009A615C">
              <w:rPr>
                <w:rFonts w:ascii="Arial" w:eastAsia="Times New Roman" w:hAnsi="Arial" w:cs="Arial"/>
                <w:b/>
                <w:color w:val="000000"/>
                <w:sz w:val="14"/>
              </w:rPr>
              <w:t>who</w:t>
            </w:r>
            <w:r w:rsidR="0006447C">
              <w:rPr>
                <w:rFonts w:ascii="Arial" w:eastAsia="Times New Roman" w:hAnsi="Arial" w:cs="Arial"/>
                <w:b/>
                <w:color w:val="000000"/>
                <w:sz w:val="14"/>
              </w:rPr>
              <w:t xml:space="preserve"> only</w:t>
            </w:r>
            <w:r w:rsidR="0084303E" w:rsidRPr="009A615C">
              <w:rPr>
                <w:rFonts w:ascii="Arial" w:eastAsia="Times New Roman" w:hAnsi="Arial" w:cs="Arial"/>
                <w:b/>
                <w:color w:val="000000"/>
                <w:sz w:val="14"/>
              </w:rPr>
              <w:t xml:space="preserve"> submit both the</w:t>
            </w:r>
            <w:r w:rsidRPr="009A615C">
              <w:rPr>
                <w:rFonts w:ascii="Arial" w:eastAsia="Times New Roman" w:hAnsi="Arial" w:cs="Arial"/>
                <w:b/>
                <w:color w:val="000000"/>
                <w:sz w:val="14"/>
              </w:rPr>
              <w:t xml:space="preserve">        EIA-851Q and EIA-851A</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2B0834E9" w14:textId="504AE023" w:rsidR="00AD0C19" w:rsidRPr="009A615C" w:rsidRDefault="00AD0C19" w:rsidP="00AD0C19">
            <w:pPr>
              <w:spacing w:after="0" w:line="240" w:lineRule="auto"/>
              <w:jc w:val="center"/>
              <w:rPr>
                <w:rFonts w:ascii="Arial" w:eastAsia="Times New Roman" w:hAnsi="Arial" w:cs="Arial"/>
                <w:b/>
                <w:color w:val="000000"/>
                <w:sz w:val="14"/>
              </w:rPr>
            </w:pPr>
            <w:r w:rsidRPr="009A615C">
              <w:rPr>
                <w:rFonts w:ascii="Arial" w:eastAsia="Times New Roman" w:hAnsi="Arial" w:cs="Arial"/>
                <w:b/>
                <w:color w:val="000000"/>
                <w:sz w:val="14"/>
              </w:rPr>
              <w:t>Number of respondents</w:t>
            </w:r>
            <w:r w:rsidR="0084303E" w:rsidRPr="009A615C">
              <w:rPr>
                <w:rFonts w:ascii="Arial" w:eastAsia="Times New Roman" w:hAnsi="Arial" w:cs="Arial"/>
                <w:b/>
                <w:color w:val="000000"/>
                <w:sz w:val="14"/>
              </w:rPr>
              <w:t xml:space="preserve"> who</w:t>
            </w:r>
            <w:r w:rsidR="0006447C">
              <w:rPr>
                <w:rFonts w:ascii="Arial" w:eastAsia="Times New Roman" w:hAnsi="Arial" w:cs="Arial"/>
                <w:b/>
                <w:color w:val="000000"/>
                <w:sz w:val="14"/>
              </w:rPr>
              <w:t xml:space="preserve"> only</w:t>
            </w:r>
            <w:r w:rsidR="0084303E" w:rsidRPr="009A615C">
              <w:rPr>
                <w:rFonts w:ascii="Arial" w:eastAsia="Times New Roman" w:hAnsi="Arial" w:cs="Arial"/>
                <w:b/>
                <w:color w:val="000000"/>
                <w:sz w:val="14"/>
              </w:rPr>
              <w:t xml:space="preserve"> submit both the</w:t>
            </w:r>
            <w:r w:rsidRPr="009A615C">
              <w:rPr>
                <w:rFonts w:ascii="Arial" w:eastAsia="Times New Roman" w:hAnsi="Arial" w:cs="Arial"/>
                <w:b/>
                <w:color w:val="000000"/>
                <w:sz w:val="14"/>
              </w:rPr>
              <w:t xml:space="preserve">       EIA-851A and EIA-858</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55BDEB68" w14:textId="77777777" w:rsidR="003031FE" w:rsidRPr="009A615C" w:rsidRDefault="00AD0C19" w:rsidP="00AD0C19">
            <w:pPr>
              <w:spacing w:after="0" w:line="240" w:lineRule="auto"/>
              <w:jc w:val="center"/>
              <w:rPr>
                <w:rFonts w:ascii="Arial" w:eastAsia="Times New Roman" w:hAnsi="Arial" w:cs="Arial"/>
                <w:b/>
                <w:color w:val="000000"/>
                <w:sz w:val="14"/>
              </w:rPr>
            </w:pPr>
            <w:r w:rsidRPr="009A615C">
              <w:rPr>
                <w:rFonts w:ascii="Arial" w:eastAsia="Times New Roman" w:hAnsi="Arial" w:cs="Arial"/>
                <w:b/>
                <w:color w:val="000000"/>
                <w:sz w:val="14"/>
              </w:rPr>
              <w:t xml:space="preserve">Number of respondents who only submit the </w:t>
            </w:r>
          </w:p>
          <w:p w14:paraId="74E29D8B" w14:textId="71FCE386" w:rsidR="00AD0C19" w:rsidRPr="009A615C" w:rsidRDefault="00AD0C19" w:rsidP="00AD0C19">
            <w:pPr>
              <w:spacing w:after="0" w:line="240" w:lineRule="auto"/>
              <w:jc w:val="center"/>
              <w:rPr>
                <w:rFonts w:ascii="Arial" w:eastAsia="Times New Roman" w:hAnsi="Arial" w:cs="Arial"/>
                <w:b/>
                <w:color w:val="000000"/>
                <w:sz w:val="14"/>
              </w:rPr>
            </w:pPr>
            <w:r w:rsidRPr="009A615C">
              <w:rPr>
                <w:rFonts w:ascii="Arial" w:eastAsia="Times New Roman" w:hAnsi="Arial" w:cs="Arial"/>
                <w:b/>
                <w:color w:val="000000"/>
                <w:sz w:val="14"/>
              </w:rPr>
              <w:t>EIA-851A</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0DB1775B" w14:textId="77777777" w:rsidR="003031FE" w:rsidRPr="009A615C" w:rsidRDefault="00AD0C19" w:rsidP="00AD0C19">
            <w:pPr>
              <w:spacing w:after="0" w:line="240" w:lineRule="auto"/>
              <w:jc w:val="center"/>
              <w:rPr>
                <w:rFonts w:ascii="Arial" w:eastAsia="Times New Roman" w:hAnsi="Arial" w:cs="Arial"/>
                <w:b/>
                <w:color w:val="000000"/>
                <w:sz w:val="14"/>
              </w:rPr>
            </w:pPr>
            <w:r w:rsidRPr="009A615C">
              <w:rPr>
                <w:rFonts w:ascii="Arial" w:eastAsia="Times New Roman" w:hAnsi="Arial" w:cs="Arial"/>
                <w:b/>
                <w:color w:val="000000"/>
                <w:sz w:val="14"/>
              </w:rPr>
              <w:t xml:space="preserve">Number of respondents who only submit the </w:t>
            </w:r>
          </w:p>
          <w:p w14:paraId="34C2C19A" w14:textId="6C3C9248" w:rsidR="00AD0C19" w:rsidRPr="009A615C" w:rsidRDefault="00AD0C19" w:rsidP="00AD0C19">
            <w:pPr>
              <w:spacing w:after="0" w:line="240" w:lineRule="auto"/>
              <w:jc w:val="center"/>
              <w:rPr>
                <w:rFonts w:ascii="Arial" w:eastAsia="Times New Roman" w:hAnsi="Arial" w:cs="Arial"/>
                <w:b/>
                <w:color w:val="000000"/>
                <w:sz w:val="14"/>
              </w:rPr>
            </w:pPr>
            <w:r w:rsidRPr="009A615C">
              <w:rPr>
                <w:rFonts w:ascii="Arial" w:eastAsia="Times New Roman" w:hAnsi="Arial" w:cs="Arial"/>
                <w:b/>
                <w:color w:val="000000"/>
                <w:sz w:val="14"/>
              </w:rPr>
              <w:t>EIA-858</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2E89FE33" w14:textId="77777777" w:rsidR="00AD0C19" w:rsidRPr="009A615C" w:rsidRDefault="00AD0C19" w:rsidP="00AD0C19">
            <w:pPr>
              <w:spacing w:after="0" w:line="240" w:lineRule="auto"/>
              <w:jc w:val="center"/>
              <w:rPr>
                <w:rFonts w:ascii="Arial" w:eastAsia="Times New Roman" w:hAnsi="Arial" w:cs="Arial"/>
                <w:b/>
                <w:color w:val="000000"/>
                <w:sz w:val="14"/>
              </w:rPr>
            </w:pPr>
            <w:r w:rsidRPr="009A615C">
              <w:rPr>
                <w:rFonts w:ascii="Arial" w:eastAsia="Times New Roman" w:hAnsi="Arial" w:cs="Arial"/>
                <w:b/>
                <w:color w:val="000000"/>
                <w:sz w:val="14"/>
              </w:rPr>
              <w:t>Total respondent universe</w:t>
            </w:r>
          </w:p>
        </w:tc>
      </w:tr>
      <w:tr w:rsidR="00B76A15" w:rsidRPr="00AD0C19" w14:paraId="1F26811C" w14:textId="77777777" w:rsidTr="004F1A48">
        <w:trPr>
          <w:trHeight w:val="249"/>
        </w:trPr>
        <w:tc>
          <w:tcPr>
            <w:tcW w:w="1473" w:type="dxa"/>
            <w:tcBorders>
              <w:top w:val="nil"/>
              <w:left w:val="single" w:sz="4" w:space="0" w:color="auto"/>
              <w:bottom w:val="single" w:sz="4" w:space="0" w:color="auto"/>
              <w:right w:val="nil"/>
            </w:tcBorders>
            <w:shd w:val="clear" w:color="auto" w:fill="auto"/>
            <w:noWrap/>
            <w:vAlign w:val="bottom"/>
            <w:hideMark/>
          </w:tcPr>
          <w:p w14:paraId="64EEEC0F" w14:textId="77777777" w:rsidR="00AD0C19" w:rsidRPr="009A615C" w:rsidRDefault="00AD0C19" w:rsidP="00AD0C19">
            <w:pPr>
              <w:spacing w:after="0" w:line="240" w:lineRule="auto"/>
              <w:rPr>
                <w:rFonts w:ascii="Arial" w:eastAsia="Times New Roman" w:hAnsi="Arial" w:cs="Arial"/>
                <w:b/>
                <w:color w:val="000000"/>
                <w:sz w:val="16"/>
              </w:rPr>
            </w:pPr>
            <w:r w:rsidRPr="009A615C">
              <w:rPr>
                <w:rFonts w:ascii="Arial" w:eastAsia="Times New Roman" w:hAnsi="Arial" w:cs="Arial"/>
                <w:b/>
                <w:color w:val="000000"/>
                <w:sz w:val="16"/>
              </w:rPr>
              <w:t>Form EIA-851Q</w:t>
            </w:r>
          </w:p>
        </w:tc>
        <w:tc>
          <w:tcPr>
            <w:tcW w:w="1315" w:type="dxa"/>
            <w:vMerge w:val="restart"/>
            <w:tcBorders>
              <w:top w:val="single" w:sz="12" w:space="0" w:color="auto"/>
              <w:left w:val="single" w:sz="12" w:space="0" w:color="auto"/>
              <w:bottom w:val="single" w:sz="12" w:space="0" w:color="000000"/>
              <w:right w:val="single" w:sz="12" w:space="0" w:color="auto"/>
            </w:tcBorders>
            <w:shd w:val="clear" w:color="auto" w:fill="848484" w:themeFill="background2" w:themeFillTint="99"/>
            <w:noWrap/>
            <w:vAlign w:val="center"/>
            <w:hideMark/>
          </w:tcPr>
          <w:p w14:paraId="3CE2D789" w14:textId="77777777" w:rsidR="00AD0C19" w:rsidRPr="009A615C" w:rsidRDefault="00AD0C19" w:rsidP="00AD0C19">
            <w:pPr>
              <w:spacing w:after="0" w:line="240" w:lineRule="auto"/>
              <w:jc w:val="center"/>
              <w:rPr>
                <w:rFonts w:ascii="Arial" w:eastAsia="Times New Roman" w:hAnsi="Arial" w:cs="Arial"/>
                <w:b/>
                <w:bCs/>
                <w:color w:val="000000"/>
                <w:sz w:val="20"/>
              </w:rPr>
            </w:pPr>
            <w:r w:rsidRPr="009A615C">
              <w:rPr>
                <w:rFonts w:ascii="Arial" w:eastAsia="Times New Roman" w:hAnsi="Arial" w:cs="Arial"/>
                <w:b/>
                <w:bCs/>
                <w:color w:val="000000"/>
                <w:sz w:val="20"/>
              </w:rPr>
              <w:t>9</w:t>
            </w:r>
          </w:p>
        </w:tc>
        <w:tc>
          <w:tcPr>
            <w:tcW w:w="1315" w:type="dxa"/>
            <w:vMerge w:val="restart"/>
            <w:tcBorders>
              <w:top w:val="single" w:sz="12" w:space="0" w:color="auto"/>
              <w:left w:val="single" w:sz="12" w:space="0" w:color="auto"/>
              <w:bottom w:val="single" w:sz="12" w:space="0" w:color="000000"/>
              <w:right w:val="single" w:sz="12" w:space="0" w:color="auto"/>
            </w:tcBorders>
            <w:shd w:val="clear" w:color="auto" w:fill="848484" w:themeFill="background2" w:themeFillTint="99"/>
            <w:noWrap/>
            <w:vAlign w:val="center"/>
            <w:hideMark/>
          </w:tcPr>
          <w:p w14:paraId="657385AC" w14:textId="77777777" w:rsidR="00AD0C19" w:rsidRPr="009A615C" w:rsidRDefault="00AD0C19" w:rsidP="00AD0C19">
            <w:pPr>
              <w:spacing w:after="0" w:line="240" w:lineRule="auto"/>
              <w:jc w:val="center"/>
              <w:rPr>
                <w:rFonts w:ascii="Arial" w:eastAsia="Times New Roman" w:hAnsi="Arial" w:cs="Arial"/>
                <w:b/>
                <w:bCs/>
                <w:color w:val="000000"/>
                <w:sz w:val="20"/>
              </w:rPr>
            </w:pPr>
            <w:r w:rsidRPr="009A615C">
              <w:rPr>
                <w:rFonts w:ascii="Arial" w:eastAsia="Times New Roman" w:hAnsi="Arial" w:cs="Arial"/>
                <w:b/>
                <w:bCs/>
                <w:color w:val="000000"/>
                <w:sz w:val="20"/>
              </w:rPr>
              <w:t>6</w:t>
            </w:r>
          </w:p>
        </w:tc>
        <w:tc>
          <w:tcPr>
            <w:tcW w:w="1315" w:type="dxa"/>
            <w:tcBorders>
              <w:top w:val="nil"/>
              <w:left w:val="nil"/>
              <w:bottom w:val="nil"/>
              <w:right w:val="single" w:sz="4" w:space="0" w:color="auto"/>
            </w:tcBorders>
            <w:shd w:val="clear" w:color="auto" w:fill="D6D6D6" w:themeFill="background2" w:themeFillTint="33"/>
            <w:noWrap/>
            <w:vAlign w:val="bottom"/>
            <w:hideMark/>
          </w:tcPr>
          <w:p w14:paraId="1BDC0EB3" w14:textId="77777777" w:rsidR="00AD0C19" w:rsidRPr="009A615C" w:rsidRDefault="00AD0C19" w:rsidP="00AD0C19">
            <w:pPr>
              <w:spacing w:after="0" w:line="240" w:lineRule="auto"/>
              <w:rPr>
                <w:rFonts w:ascii="Arial" w:eastAsia="Times New Roman" w:hAnsi="Arial" w:cs="Arial"/>
                <w:color w:val="000000"/>
                <w:sz w:val="20"/>
              </w:rPr>
            </w:pPr>
            <w:r w:rsidRPr="009A615C">
              <w:rPr>
                <w:rFonts w:ascii="Arial" w:eastAsia="Times New Roman" w:hAnsi="Arial" w:cs="Arial"/>
                <w:color w:val="000000"/>
                <w:sz w:val="20"/>
              </w:rPr>
              <w:t> </w:t>
            </w:r>
          </w:p>
        </w:tc>
        <w:tc>
          <w:tcPr>
            <w:tcW w:w="1315" w:type="dxa"/>
            <w:tcBorders>
              <w:top w:val="nil"/>
              <w:left w:val="nil"/>
              <w:bottom w:val="nil"/>
              <w:right w:val="single" w:sz="4" w:space="0" w:color="auto"/>
            </w:tcBorders>
            <w:shd w:val="clear" w:color="auto" w:fill="D6D6D6" w:themeFill="background2" w:themeFillTint="33"/>
            <w:noWrap/>
            <w:vAlign w:val="bottom"/>
            <w:hideMark/>
          </w:tcPr>
          <w:p w14:paraId="642C9C20" w14:textId="77777777" w:rsidR="00AD0C19" w:rsidRPr="009A615C" w:rsidRDefault="00AD0C19" w:rsidP="00AD0C19">
            <w:pPr>
              <w:spacing w:after="0" w:line="240" w:lineRule="auto"/>
              <w:rPr>
                <w:rFonts w:ascii="Arial" w:eastAsia="Times New Roman" w:hAnsi="Arial" w:cs="Arial"/>
                <w:color w:val="000000"/>
                <w:sz w:val="20"/>
              </w:rPr>
            </w:pPr>
            <w:r w:rsidRPr="009A615C">
              <w:rPr>
                <w:rFonts w:ascii="Arial" w:eastAsia="Times New Roman" w:hAnsi="Arial" w:cs="Arial"/>
                <w:color w:val="000000"/>
                <w:sz w:val="20"/>
              </w:rPr>
              <w:t> </w:t>
            </w:r>
          </w:p>
        </w:tc>
        <w:tc>
          <w:tcPr>
            <w:tcW w:w="1315" w:type="dxa"/>
            <w:tcBorders>
              <w:top w:val="nil"/>
              <w:left w:val="nil"/>
              <w:bottom w:val="single" w:sz="4" w:space="0" w:color="auto"/>
              <w:right w:val="single" w:sz="4" w:space="0" w:color="auto"/>
            </w:tcBorders>
            <w:shd w:val="clear" w:color="auto" w:fill="D6D6D6" w:themeFill="background2" w:themeFillTint="33"/>
            <w:noWrap/>
            <w:vAlign w:val="bottom"/>
            <w:hideMark/>
          </w:tcPr>
          <w:p w14:paraId="1E6E732F" w14:textId="77777777" w:rsidR="00AD0C19" w:rsidRPr="009A615C" w:rsidRDefault="00AD0C19" w:rsidP="00AD0C19">
            <w:pPr>
              <w:spacing w:after="0" w:line="240" w:lineRule="auto"/>
              <w:rPr>
                <w:rFonts w:ascii="Arial" w:eastAsia="Times New Roman" w:hAnsi="Arial" w:cs="Arial"/>
                <w:color w:val="000000"/>
                <w:sz w:val="20"/>
              </w:rPr>
            </w:pPr>
            <w:r w:rsidRPr="009A615C">
              <w:rPr>
                <w:rFonts w:ascii="Arial" w:eastAsia="Times New Roman" w:hAnsi="Arial" w:cs="Arial"/>
                <w:color w:val="000000"/>
                <w:sz w:val="20"/>
              </w:rPr>
              <w:t> </w:t>
            </w:r>
          </w:p>
        </w:tc>
        <w:tc>
          <w:tcPr>
            <w:tcW w:w="1315" w:type="dxa"/>
            <w:tcBorders>
              <w:top w:val="nil"/>
              <w:left w:val="nil"/>
              <w:bottom w:val="single" w:sz="4" w:space="0" w:color="auto"/>
              <w:right w:val="single" w:sz="4" w:space="0" w:color="auto"/>
            </w:tcBorders>
            <w:shd w:val="clear" w:color="auto" w:fill="D9D9D9" w:themeFill="background1" w:themeFillShade="D9"/>
            <w:noWrap/>
            <w:vAlign w:val="bottom"/>
          </w:tcPr>
          <w:p w14:paraId="0E4599B6" w14:textId="21BA88C6" w:rsidR="00AD0C19" w:rsidRPr="009A615C" w:rsidRDefault="00AD0C19" w:rsidP="009A615C">
            <w:pPr>
              <w:spacing w:after="0" w:line="240" w:lineRule="auto"/>
              <w:jc w:val="center"/>
              <w:rPr>
                <w:rFonts w:ascii="Arial" w:eastAsia="Times New Roman" w:hAnsi="Arial" w:cs="Arial"/>
                <w:color w:val="ADADAD" w:themeColor="background2" w:themeTint="66"/>
                <w:sz w:val="18"/>
              </w:rPr>
            </w:pPr>
          </w:p>
        </w:tc>
      </w:tr>
      <w:tr w:rsidR="00B76A15" w:rsidRPr="00AD0C19" w14:paraId="67211E68" w14:textId="77777777" w:rsidTr="004F1A48">
        <w:trPr>
          <w:trHeight w:val="261"/>
        </w:trPr>
        <w:tc>
          <w:tcPr>
            <w:tcW w:w="1473" w:type="dxa"/>
            <w:tcBorders>
              <w:top w:val="nil"/>
              <w:left w:val="single" w:sz="4" w:space="0" w:color="auto"/>
              <w:bottom w:val="single" w:sz="4" w:space="0" w:color="auto"/>
              <w:right w:val="nil"/>
            </w:tcBorders>
            <w:shd w:val="clear" w:color="auto" w:fill="auto"/>
            <w:noWrap/>
            <w:vAlign w:val="bottom"/>
            <w:hideMark/>
          </w:tcPr>
          <w:p w14:paraId="2333C62C" w14:textId="77777777" w:rsidR="00AD0C19" w:rsidRPr="009A615C" w:rsidRDefault="00AD0C19" w:rsidP="00AD0C19">
            <w:pPr>
              <w:spacing w:after="0" w:line="240" w:lineRule="auto"/>
              <w:rPr>
                <w:rFonts w:ascii="Arial" w:eastAsia="Times New Roman" w:hAnsi="Arial" w:cs="Arial"/>
                <w:b/>
                <w:color w:val="000000"/>
                <w:sz w:val="16"/>
              </w:rPr>
            </w:pPr>
            <w:r w:rsidRPr="009A615C">
              <w:rPr>
                <w:rFonts w:ascii="Arial" w:eastAsia="Times New Roman" w:hAnsi="Arial" w:cs="Arial"/>
                <w:b/>
                <w:color w:val="000000"/>
                <w:sz w:val="16"/>
              </w:rPr>
              <w:t>Form EIA-851A</w:t>
            </w:r>
          </w:p>
        </w:tc>
        <w:tc>
          <w:tcPr>
            <w:tcW w:w="1315" w:type="dxa"/>
            <w:vMerge/>
            <w:tcBorders>
              <w:top w:val="single" w:sz="12" w:space="0" w:color="auto"/>
              <w:left w:val="single" w:sz="12" w:space="0" w:color="auto"/>
              <w:bottom w:val="single" w:sz="12" w:space="0" w:color="000000"/>
              <w:right w:val="single" w:sz="12" w:space="0" w:color="auto"/>
            </w:tcBorders>
            <w:shd w:val="clear" w:color="auto" w:fill="848484" w:themeFill="background2" w:themeFillTint="99"/>
            <w:vAlign w:val="center"/>
            <w:hideMark/>
          </w:tcPr>
          <w:p w14:paraId="144645E7" w14:textId="77777777" w:rsidR="00AD0C19" w:rsidRPr="009A615C" w:rsidRDefault="00AD0C19" w:rsidP="00AD0C19">
            <w:pPr>
              <w:spacing w:after="0" w:line="240" w:lineRule="auto"/>
              <w:rPr>
                <w:rFonts w:ascii="Arial" w:eastAsia="Times New Roman" w:hAnsi="Arial" w:cs="Arial"/>
                <w:b/>
                <w:bCs/>
                <w:color w:val="000000"/>
                <w:sz w:val="20"/>
              </w:rPr>
            </w:pPr>
          </w:p>
        </w:tc>
        <w:tc>
          <w:tcPr>
            <w:tcW w:w="1315" w:type="dxa"/>
            <w:vMerge/>
            <w:tcBorders>
              <w:top w:val="single" w:sz="12" w:space="0" w:color="auto"/>
              <w:left w:val="single" w:sz="12" w:space="0" w:color="auto"/>
              <w:bottom w:val="single" w:sz="12" w:space="0" w:color="000000"/>
              <w:right w:val="single" w:sz="12" w:space="0" w:color="auto"/>
            </w:tcBorders>
            <w:shd w:val="clear" w:color="auto" w:fill="848484" w:themeFill="background2" w:themeFillTint="99"/>
            <w:vAlign w:val="center"/>
            <w:hideMark/>
          </w:tcPr>
          <w:p w14:paraId="66F46012" w14:textId="77777777" w:rsidR="00AD0C19" w:rsidRPr="009A615C" w:rsidRDefault="00AD0C19" w:rsidP="00AD0C19">
            <w:pPr>
              <w:spacing w:after="0" w:line="240" w:lineRule="auto"/>
              <w:rPr>
                <w:rFonts w:ascii="Arial" w:eastAsia="Times New Roman" w:hAnsi="Arial" w:cs="Arial"/>
                <w:b/>
                <w:bCs/>
                <w:color w:val="000000"/>
                <w:sz w:val="20"/>
              </w:rPr>
            </w:pPr>
          </w:p>
        </w:tc>
        <w:tc>
          <w:tcPr>
            <w:tcW w:w="1315" w:type="dxa"/>
            <w:vMerge w:val="restart"/>
            <w:tcBorders>
              <w:top w:val="single" w:sz="12" w:space="0" w:color="auto"/>
              <w:left w:val="single" w:sz="12" w:space="0" w:color="auto"/>
              <w:bottom w:val="single" w:sz="12" w:space="0" w:color="000000"/>
              <w:right w:val="single" w:sz="12" w:space="0" w:color="auto"/>
            </w:tcBorders>
            <w:shd w:val="clear" w:color="auto" w:fill="848484" w:themeFill="background2" w:themeFillTint="99"/>
            <w:noWrap/>
            <w:vAlign w:val="center"/>
            <w:hideMark/>
          </w:tcPr>
          <w:p w14:paraId="4816725F" w14:textId="77777777" w:rsidR="00AD0C19" w:rsidRPr="009A615C" w:rsidRDefault="00AD0C19" w:rsidP="00AD0C19">
            <w:pPr>
              <w:spacing w:after="0" w:line="240" w:lineRule="auto"/>
              <w:jc w:val="center"/>
              <w:rPr>
                <w:rFonts w:ascii="Arial" w:eastAsia="Times New Roman" w:hAnsi="Arial" w:cs="Arial"/>
                <w:b/>
                <w:bCs/>
                <w:color w:val="000000"/>
                <w:sz w:val="20"/>
              </w:rPr>
            </w:pPr>
            <w:r w:rsidRPr="009A615C">
              <w:rPr>
                <w:rFonts w:ascii="Arial" w:eastAsia="Times New Roman" w:hAnsi="Arial" w:cs="Arial"/>
                <w:b/>
                <w:bCs/>
                <w:color w:val="000000"/>
                <w:sz w:val="20"/>
              </w:rPr>
              <w:t>5</w:t>
            </w:r>
          </w:p>
        </w:tc>
        <w:tc>
          <w:tcPr>
            <w:tcW w:w="1315" w:type="dxa"/>
            <w:tcBorders>
              <w:top w:val="single" w:sz="12" w:space="0" w:color="auto"/>
              <w:left w:val="nil"/>
              <w:bottom w:val="single" w:sz="12" w:space="0" w:color="auto"/>
              <w:right w:val="single" w:sz="12" w:space="0" w:color="auto"/>
            </w:tcBorders>
            <w:shd w:val="clear" w:color="auto" w:fill="848484" w:themeFill="background2" w:themeFillTint="99"/>
            <w:noWrap/>
            <w:vAlign w:val="bottom"/>
            <w:hideMark/>
          </w:tcPr>
          <w:p w14:paraId="202E8C91" w14:textId="77777777" w:rsidR="00AD0C19" w:rsidRPr="009A615C" w:rsidRDefault="00AD0C19" w:rsidP="00AD0C19">
            <w:pPr>
              <w:spacing w:after="0" w:line="240" w:lineRule="auto"/>
              <w:jc w:val="center"/>
              <w:rPr>
                <w:rFonts w:ascii="Arial" w:eastAsia="Times New Roman" w:hAnsi="Arial" w:cs="Arial"/>
                <w:b/>
                <w:bCs/>
                <w:color w:val="000000"/>
                <w:sz w:val="20"/>
              </w:rPr>
            </w:pPr>
            <w:r w:rsidRPr="009A615C">
              <w:rPr>
                <w:rFonts w:ascii="Arial" w:eastAsia="Times New Roman" w:hAnsi="Arial" w:cs="Arial"/>
                <w:b/>
                <w:bCs/>
                <w:color w:val="000000"/>
                <w:sz w:val="20"/>
              </w:rPr>
              <w:t>28</w:t>
            </w:r>
          </w:p>
        </w:tc>
        <w:tc>
          <w:tcPr>
            <w:tcW w:w="1315" w:type="dxa"/>
            <w:tcBorders>
              <w:top w:val="nil"/>
              <w:left w:val="nil"/>
              <w:bottom w:val="nil"/>
              <w:right w:val="single" w:sz="4" w:space="0" w:color="auto"/>
            </w:tcBorders>
            <w:shd w:val="clear" w:color="auto" w:fill="D6D6D6" w:themeFill="background2" w:themeFillTint="33"/>
            <w:noWrap/>
            <w:vAlign w:val="bottom"/>
            <w:hideMark/>
          </w:tcPr>
          <w:p w14:paraId="34D3594A" w14:textId="77777777" w:rsidR="00AD0C19" w:rsidRPr="009A615C" w:rsidRDefault="00AD0C19" w:rsidP="00AD0C19">
            <w:pPr>
              <w:spacing w:after="0" w:line="240" w:lineRule="auto"/>
              <w:jc w:val="center"/>
              <w:rPr>
                <w:rFonts w:ascii="Arial" w:eastAsia="Times New Roman" w:hAnsi="Arial" w:cs="Arial"/>
                <w:color w:val="000000"/>
                <w:sz w:val="20"/>
              </w:rPr>
            </w:pPr>
            <w:r w:rsidRPr="009A615C">
              <w:rPr>
                <w:rFonts w:ascii="Arial" w:eastAsia="Times New Roman" w:hAnsi="Arial" w:cs="Arial"/>
                <w:color w:val="000000"/>
                <w:sz w:val="20"/>
              </w:rPr>
              <w:t> </w:t>
            </w:r>
          </w:p>
        </w:tc>
        <w:tc>
          <w:tcPr>
            <w:tcW w:w="1315" w:type="dxa"/>
            <w:tcBorders>
              <w:top w:val="nil"/>
              <w:left w:val="nil"/>
              <w:bottom w:val="single" w:sz="4" w:space="0" w:color="auto"/>
              <w:right w:val="single" w:sz="4" w:space="0" w:color="auto"/>
            </w:tcBorders>
            <w:shd w:val="clear" w:color="auto" w:fill="D9D9D9" w:themeFill="background1" w:themeFillShade="D9"/>
            <w:noWrap/>
            <w:vAlign w:val="bottom"/>
          </w:tcPr>
          <w:p w14:paraId="2B1531B8" w14:textId="6E5AC83C" w:rsidR="00AD0C19" w:rsidRPr="009A615C" w:rsidRDefault="00AD0C19" w:rsidP="009A615C">
            <w:pPr>
              <w:spacing w:after="0" w:line="240" w:lineRule="auto"/>
              <w:jc w:val="center"/>
              <w:rPr>
                <w:rFonts w:ascii="Arial" w:eastAsia="Times New Roman" w:hAnsi="Arial" w:cs="Arial"/>
                <w:color w:val="ADADAD" w:themeColor="background2" w:themeTint="66"/>
                <w:sz w:val="18"/>
              </w:rPr>
            </w:pPr>
          </w:p>
        </w:tc>
      </w:tr>
      <w:tr w:rsidR="00B76A15" w:rsidRPr="00AD0C19" w14:paraId="3C630F59" w14:textId="77777777" w:rsidTr="004F1A48">
        <w:trPr>
          <w:trHeight w:val="261"/>
        </w:trPr>
        <w:tc>
          <w:tcPr>
            <w:tcW w:w="1473" w:type="dxa"/>
            <w:tcBorders>
              <w:top w:val="nil"/>
              <w:left w:val="single" w:sz="4" w:space="0" w:color="auto"/>
              <w:bottom w:val="nil"/>
              <w:right w:val="nil"/>
            </w:tcBorders>
            <w:shd w:val="clear" w:color="auto" w:fill="auto"/>
            <w:noWrap/>
            <w:vAlign w:val="bottom"/>
            <w:hideMark/>
          </w:tcPr>
          <w:p w14:paraId="7C986F51" w14:textId="77777777" w:rsidR="00AD0C19" w:rsidRPr="009A615C" w:rsidRDefault="00AD0C19" w:rsidP="00AD0C19">
            <w:pPr>
              <w:spacing w:after="0" w:line="240" w:lineRule="auto"/>
              <w:rPr>
                <w:rFonts w:ascii="Arial" w:eastAsia="Times New Roman" w:hAnsi="Arial" w:cs="Arial"/>
                <w:b/>
                <w:color w:val="000000"/>
                <w:sz w:val="16"/>
              </w:rPr>
            </w:pPr>
            <w:r w:rsidRPr="009A615C">
              <w:rPr>
                <w:rFonts w:ascii="Arial" w:eastAsia="Times New Roman" w:hAnsi="Arial" w:cs="Arial"/>
                <w:b/>
                <w:color w:val="000000"/>
                <w:sz w:val="16"/>
              </w:rPr>
              <w:t>Form EIA-858</w:t>
            </w:r>
          </w:p>
        </w:tc>
        <w:tc>
          <w:tcPr>
            <w:tcW w:w="1315" w:type="dxa"/>
            <w:vMerge/>
            <w:tcBorders>
              <w:top w:val="single" w:sz="12" w:space="0" w:color="auto"/>
              <w:left w:val="single" w:sz="12" w:space="0" w:color="auto"/>
              <w:bottom w:val="single" w:sz="12" w:space="0" w:color="000000"/>
              <w:right w:val="single" w:sz="12" w:space="0" w:color="auto"/>
            </w:tcBorders>
            <w:shd w:val="clear" w:color="auto" w:fill="848484" w:themeFill="background2" w:themeFillTint="99"/>
            <w:vAlign w:val="center"/>
            <w:hideMark/>
          </w:tcPr>
          <w:p w14:paraId="7EF37A12" w14:textId="77777777" w:rsidR="00AD0C19" w:rsidRPr="009A615C" w:rsidRDefault="00AD0C19" w:rsidP="00AD0C19">
            <w:pPr>
              <w:spacing w:after="0" w:line="240" w:lineRule="auto"/>
              <w:rPr>
                <w:rFonts w:ascii="Arial" w:eastAsia="Times New Roman" w:hAnsi="Arial" w:cs="Arial"/>
                <w:b/>
                <w:bCs/>
                <w:color w:val="000000"/>
                <w:sz w:val="20"/>
              </w:rPr>
            </w:pPr>
          </w:p>
        </w:tc>
        <w:tc>
          <w:tcPr>
            <w:tcW w:w="1315" w:type="dxa"/>
            <w:tcBorders>
              <w:top w:val="nil"/>
              <w:left w:val="nil"/>
              <w:bottom w:val="nil"/>
              <w:right w:val="nil"/>
            </w:tcBorders>
            <w:shd w:val="clear" w:color="auto" w:fill="D6D6D6" w:themeFill="background2" w:themeFillTint="33"/>
            <w:noWrap/>
            <w:vAlign w:val="bottom"/>
            <w:hideMark/>
          </w:tcPr>
          <w:p w14:paraId="5D9F0A49" w14:textId="77777777" w:rsidR="00AD0C19" w:rsidRPr="009A615C" w:rsidRDefault="00AD0C19" w:rsidP="00AD0C19">
            <w:pPr>
              <w:spacing w:after="0" w:line="240" w:lineRule="auto"/>
              <w:rPr>
                <w:rFonts w:ascii="Arial" w:eastAsia="Times New Roman" w:hAnsi="Arial" w:cs="Arial"/>
                <w:color w:val="000000"/>
                <w:sz w:val="20"/>
              </w:rPr>
            </w:pPr>
            <w:r w:rsidRPr="009A615C">
              <w:rPr>
                <w:rFonts w:ascii="Arial" w:eastAsia="Times New Roman" w:hAnsi="Arial" w:cs="Arial"/>
                <w:color w:val="000000"/>
                <w:sz w:val="20"/>
              </w:rPr>
              <w:t> </w:t>
            </w:r>
          </w:p>
        </w:tc>
        <w:tc>
          <w:tcPr>
            <w:tcW w:w="1315" w:type="dxa"/>
            <w:vMerge/>
            <w:tcBorders>
              <w:top w:val="single" w:sz="12" w:space="0" w:color="auto"/>
              <w:left w:val="single" w:sz="12" w:space="0" w:color="auto"/>
              <w:bottom w:val="single" w:sz="12" w:space="0" w:color="000000"/>
              <w:right w:val="single" w:sz="12" w:space="0" w:color="auto"/>
            </w:tcBorders>
            <w:shd w:val="clear" w:color="auto" w:fill="848484" w:themeFill="background2" w:themeFillTint="99"/>
            <w:vAlign w:val="center"/>
            <w:hideMark/>
          </w:tcPr>
          <w:p w14:paraId="395A7533" w14:textId="77777777" w:rsidR="00AD0C19" w:rsidRPr="009A615C" w:rsidRDefault="00AD0C19" w:rsidP="00AD0C19">
            <w:pPr>
              <w:spacing w:after="0" w:line="240" w:lineRule="auto"/>
              <w:rPr>
                <w:rFonts w:ascii="Arial" w:eastAsia="Times New Roman" w:hAnsi="Arial" w:cs="Arial"/>
                <w:b/>
                <w:bCs/>
                <w:color w:val="000000"/>
                <w:sz w:val="20"/>
              </w:rPr>
            </w:pPr>
          </w:p>
        </w:tc>
        <w:tc>
          <w:tcPr>
            <w:tcW w:w="1315" w:type="dxa"/>
            <w:tcBorders>
              <w:top w:val="nil"/>
              <w:left w:val="nil"/>
              <w:bottom w:val="nil"/>
              <w:right w:val="nil"/>
            </w:tcBorders>
            <w:shd w:val="clear" w:color="auto" w:fill="D6D6D6" w:themeFill="background2" w:themeFillTint="33"/>
            <w:noWrap/>
            <w:vAlign w:val="bottom"/>
            <w:hideMark/>
          </w:tcPr>
          <w:p w14:paraId="5E4F07D5" w14:textId="77777777" w:rsidR="00AD0C19" w:rsidRPr="009A615C" w:rsidRDefault="00AD0C19" w:rsidP="00AD0C19">
            <w:pPr>
              <w:spacing w:after="0" w:line="240" w:lineRule="auto"/>
              <w:jc w:val="center"/>
              <w:rPr>
                <w:rFonts w:ascii="Arial" w:eastAsia="Times New Roman" w:hAnsi="Arial" w:cs="Arial"/>
                <w:color w:val="000000"/>
                <w:sz w:val="20"/>
              </w:rPr>
            </w:pPr>
            <w:r w:rsidRPr="009A615C">
              <w:rPr>
                <w:rFonts w:ascii="Arial" w:eastAsia="Times New Roman" w:hAnsi="Arial" w:cs="Arial"/>
                <w:color w:val="000000"/>
                <w:sz w:val="20"/>
              </w:rPr>
              <w:t> </w:t>
            </w:r>
          </w:p>
        </w:tc>
        <w:tc>
          <w:tcPr>
            <w:tcW w:w="1315" w:type="dxa"/>
            <w:tcBorders>
              <w:top w:val="single" w:sz="12" w:space="0" w:color="auto"/>
              <w:left w:val="single" w:sz="12" w:space="0" w:color="auto"/>
              <w:bottom w:val="single" w:sz="12" w:space="0" w:color="auto"/>
              <w:right w:val="single" w:sz="12" w:space="0" w:color="auto"/>
            </w:tcBorders>
            <w:shd w:val="clear" w:color="auto" w:fill="848484" w:themeFill="background2" w:themeFillTint="99"/>
            <w:noWrap/>
            <w:vAlign w:val="bottom"/>
            <w:hideMark/>
          </w:tcPr>
          <w:p w14:paraId="18EC5C36" w14:textId="77777777" w:rsidR="00AD0C19" w:rsidRPr="009A615C" w:rsidRDefault="00AD0C19" w:rsidP="00AD0C19">
            <w:pPr>
              <w:spacing w:after="0" w:line="240" w:lineRule="auto"/>
              <w:jc w:val="center"/>
              <w:rPr>
                <w:rFonts w:ascii="Arial" w:eastAsia="Times New Roman" w:hAnsi="Arial" w:cs="Arial"/>
                <w:b/>
                <w:bCs/>
                <w:color w:val="000000"/>
                <w:sz w:val="20"/>
              </w:rPr>
            </w:pPr>
            <w:r w:rsidRPr="009A615C">
              <w:rPr>
                <w:rFonts w:ascii="Arial" w:eastAsia="Times New Roman" w:hAnsi="Arial" w:cs="Arial"/>
                <w:b/>
                <w:bCs/>
                <w:color w:val="000000"/>
                <w:sz w:val="20"/>
              </w:rPr>
              <w:t>47</w:t>
            </w:r>
          </w:p>
        </w:tc>
        <w:tc>
          <w:tcPr>
            <w:tcW w:w="1315" w:type="dxa"/>
            <w:tcBorders>
              <w:top w:val="nil"/>
              <w:left w:val="nil"/>
              <w:bottom w:val="nil"/>
              <w:right w:val="single" w:sz="4" w:space="0" w:color="auto"/>
            </w:tcBorders>
            <w:shd w:val="clear" w:color="auto" w:fill="D9D9D9" w:themeFill="background1" w:themeFillShade="D9"/>
            <w:noWrap/>
            <w:vAlign w:val="bottom"/>
          </w:tcPr>
          <w:p w14:paraId="3E9A3153" w14:textId="15D020A7" w:rsidR="00AD0C19" w:rsidRPr="009A615C" w:rsidRDefault="00AD0C19" w:rsidP="009A615C">
            <w:pPr>
              <w:spacing w:after="0" w:line="240" w:lineRule="auto"/>
              <w:jc w:val="center"/>
              <w:rPr>
                <w:rFonts w:ascii="Arial" w:eastAsia="Times New Roman" w:hAnsi="Arial" w:cs="Arial"/>
                <w:color w:val="ADADAD" w:themeColor="background2" w:themeTint="66"/>
                <w:sz w:val="18"/>
              </w:rPr>
            </w:pPr>
          </w:p>
        </w:tc>
      </w:tr>
      <w:tr w:rsidR="008525F8" w:rsidRPr="00AD0C19" w14:paraId="12594AFE" w14:textId="77777777" w:rsidTr="009A615C">
        <w:trPr>
          <w:trHeight w:val="261"/>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0AD23" w14:textId="77777777" w:rsidR="00AD0C19" w:rsidRPr="00AD0C19" w:rsidRDefault="00AD0C19" w:rsidP="00AD0C19">
            <w:pPr>
              <w:spacing w:after="0" w:line="240" w:lineRule="auto"/>
              <w:rPr>
                <w:rFonts w:ascii="Arial" w:eastAsia="Times New Roman" w:hAnsi="Arial" w:cs="Arial"/>
                <w:b/>
                <w:bCs/>
                <w:color w:val="000000"/>
              </w:rPr>
            </w:pPr>
            <w:r w:rsidRPr="009A615C">
              <w:rPr>
                <w:rFonts w:ascii="Arial" w:eastAsia="Times New Roman" w:hAnsi="Arial" w:cs="Arial"/>
                <w:b/>
                <w:bCs/>
                <w:color w:val="000000"/>
                <w:sz w:val="18"/>
              </w:rPr>
              <w:t>Total</w:t>
            </w:r>
          </w:p>
        </w:tc>
        <w:tc>
          <w:tcPr>
            <w:tcW w:w="1315" w:type="dxa"/>
            <w:tcBorders>
              <w:top w:val="nil"/>
              <w:left w:val="nil"/>
              <w:bottom w:val="single" w:sz="4" w:space="0" w:color="auto"/>
              <w:right w:val="single" w:sz="4" w:space="0" w:color="auto"/>
            </w:tcBorders>
            <w:shd w:val="clear" w:color="auto" w:fill="auto"/>
            <w:noWrap/>
            <w:vAlign w:val="bottom"/>
            <w:hideMark/>
          </w:tcPr>
          <w:p w14:paraId="150EEF75" w14:textId="77777777" w:rsidR="00AD0C19" w:rsidRPr="009A615C" w:rsidRDefault="00AD0C19" w:rsidP="00AD0C19">
            <w:pPr>
              <w:spacing w:after="0" w:line="240" w:lineRule="auto"/>
              <w:jc w:val="center"/>
              <w:rPr>
                <w:rFonts w:ascii="Arial" w:eastAsia="Times New Roman" w:hAnsi="Arial" w:cs="Arial"/>
                <w:color w:val="ADADAD" w:themeColor="background2" w:themeTint="66"/>
                <w:sz w:val="18"/>
              </w:rPr>
            </w:pPr>
            <w:r w:rsidRPr="009A615C">
              <w:rPr>
                <w:rFonts w:ascii="Arial" w:eastAsia="Times New Roman" w:hAnsi="Arial" w:cs="Arial"/>
                <w:color w:val="ADADAD" w:themeColor="background2" w:themeTint="66"/>
                <w:sz w:val="18"/>
              </w:rPr>
              <w:t>9</w:t>
            </w:r>
          </w:p>
        </w:tc>
        <w:tc>
          <w:tcPr>
            <w:tcW w:w="1315" w:type="dxa"/>
            <w:tcBorders>
              <w:top w:val="single" w:sz="4" w:space="0" w:color="auto"/>
              <w:left w:val="nil"/>
              <w:bottom w:val="single" w:sz="4" w:space="0" w:color="auto"/>
              <w:right w:val="single" w:sz="4" w:space="0" w:color="auto"/>
            </w:tcBorders>
            <w:shd w:val="clear" w:color="auto" w:fill="auto"/>
            <w:noWrap/>
            <w:vAlign w:val="bottom"/>
            <w:hideMark/>
          </w:tcPr>
          <w:p w14:paraId="790529E0" w14:textId="77777777" w:rsidR="00AD0C19" w:rsidRPr="009A615C" w:rsidRDefault="00AD0C19" w:rsidP="00AD0C19">
            <w:pPr>
              <w:spacing w:after="0" w:line="240" w:lineRule="auto"/>
              <w:jc w:val="center"/>
              <w:rPr>
                <w:rFonts w:ascii="Arial" w:eastAsia="Times New Roman" w:hAnsi="Arial" w:cs="Arial"/>
                <w:color w:val="ADADAD" w:themeColor="background2" w:themeTint="66"/>
                <w:sz w:val="18"/>
              </w:rPr>
            </w:pPr>
            <w:r w:rsidRPr="009A615C">
              <w:rPr>
                <w:rFonts w:ascii="Arial" w:eastAsia="Times New Roman" w:hAnsi="Arial" w:cs="Arial"/>
                <w:color w:val="ADADAD" w:themeColor="background2" w:themeTint="66"/>
                <w:sz w:val="18"/>
              </w:rPr>
              <w:t>6</w:t>
            </w:r>
          </w:p>
        </w:tc>
        <w:tc>
          <w:tcPr>
            <w:tcW w:w="1315" w:type="dxa"/>
            <w:tcBorders>
              <w:top w:val="nil"/>
              <w:left w:val="nil"/>
              <w:bottom w:val="single" w:sz="4" w:space="0" w:color="auto"/>
              <w:right w:val="single" w:sz="4" w:space="0" w:color="auto"/>
            </w:tcBorders>
            <w:shd w:val="clear" w:color="auto" w:fill="auto"/>
            <w:noWrap/>
            <w:vAlign w:val="bottom"/>
            <w:hideMark/>
          </w:tcPr>
          <w:p w14:paraId="5624766D" w14:textId="77777777" w:rsidR="00AD0C19" w:rsidRPr="009A615C" w:rsidRDefault="00AD0C19" w:rsidP="00AD0C19">
            <w:pPr>
              <w:spacing w:after="0" w:line="240" w:lineRule="auto"/>
              <w:jc w:val="center"/>
              <w:rPr>
                <w:rFonts w:ascii="Arial" w:eastAsia="Times New Roman" w:hAnsi="Arial" w:cs="Arial"/>
                <w:color w:val="ADADAD" w:themeColor="background2" w:themeTint="66"/>
                <w:sz w:val="18"/>
              </w:rPr>
            </w:pPr>
            <w:r w:rsidRPr="009A615C">
              <w:rPr>
                <w:rFonts w:ascii="Arial" w:eastAsia="Times New Roman" w:hAnsi="Arial" w:cs="Arial"/>
                <w:color w:val="ADADAD" w:themeColor="background2" w:themeTint="66"/>
                <w:sz w:val="18"/>
              </w:rPr>
              <w:t>5</w:t>
            </w:r>
          </w:p>
        </w:tc>
        <w:tc>
          <w:tcPr>
            <w:tcW w:w="1315" w:type="dxa"/>
            <w:tcBorders>
              <w:top w:val="single" w:sz="4" w:space="0" w:color="auto"/>
              <w:left w:val="nil"/>
              <w:bottom w:val="single" w:sz="4" w:space="0" w:color="auto"/>
              <w:right w:val="single" w:sz="4" w:space="0" w:color="auto"/>
            </w:tcBorders>
            <w:shd w:val="clear" w:color="auto" w:fill="auto"/>
            <w:noWrap/>
            <w:vAlign w:val="bottom"/>
            <w:hideMark/>
          </w:tcPr>
          <w:p w14:paraId="4FE01DC5" w14:textId="77777777" w:rsidR="00AD0C19" w:rsidRPr="009A615C" w:rsidRDefault="00AD0C19" w:rsidP="00AD0C19">
            <w:pPr>
              <w:spacing w:after="0" w:line="240" w:lineRule="auto"/>
              <w:jc w:val="center"/>
              <w:rPr>
                <w:rFonts w:ascii="Arial" w:eastAsia="Times New Roman" w:hAnsi="Arial" w:cs="Arial"/>
                <w:color w:val="ADADAD" w:themeColor="background2" w:themeTint="66"/>
                <w:sz w:val="18"/>
              </w:rPr>
            </w:pPr>
            <w:r w:rsidRPr="009A615C">
              <w:rPr>
                <w:rFonts w:ascii="Arial" w:eastAsia="Times New Roman" w:hAnsi="Arial" w:cs="Arial"/>
                <w:color w:val="ADADAD" w:themeColor="background2" w:themeTint="66"/>
                <w:sz w:val="18"/>
              </w:rPr>
              <w:t>28</w:t>
            </w:r>
          </w:p>
        </w:tc>
        <w:tc>
          <w:tcPr>
            <w:tcW w:w="1315" w:type="dxa"/>
            <w:tcBorders>
              <w:top w:val="nil"/>
              <w:left w:val="nil"/>
              <w:bottom w:val="single" w:sz="4" w:space="0" w:color="auto"/>
              <w:right w:val="nil"/>
            </w:tcBorders>
            <w:shd w:val="clear" w:color="auto" w:fill="auto"/>
            <w:noWrap/>
            <w:vAlign w:val="bottom"/>
            <w:hideMark/>
          </w:tcPr>
          <w:p w14:paraId="63E2F72A" w14:textId="77777777" w:rsidR="00AD0C19" w:rsidRPr="009A615C" w:rsidRDefault="00AD0C19" w:rsidP="00AD0C19">
            <w:pPr>
              <w:spacing w:after="0" w:line="240" w:lineRule="auto"/>
              <w:jc w:val="center"/>
              <w:rPr>
                <w:rFonts w:ascii="Arial" w:eastAsia="Times New Roman" w:hAnsi="Arial" w:cs="Arial"/>
                <w:color w:val="ADADAD" w:themeColor="background2" w:themeTint="66"/>
                <w:sz w:val="18"/>
              </w:rPr>
            </w:pPr>
            <w:r w:rsidRPr="009A615C">
              <w:rPr>
                <w:rFonts w:ascii="Arial" w:eastAsia="Times New Roman" w:hAnsi="Arial" w:cs="Arial"/>
                <w:color w:val="ADADAD" w:themeColor="background2" w:themeTint="66"/>
                <w:sz w:val="18"/>
              </w:rPr>
              <w:t>47</w:t>
            </w:r>
          </w:p>
        </w:tc>
        <w:tc>
          <w:tcPr>
            <w:tcW w:w="1315" w:type="dxa"/>
            <w:tcBorders>
              <w:top w:val="single" w:sz="12" w:space="0" w:color="auto"/>
              <w:left w:val="single" w:sz="12" w:space="0" w:color="auto"/>
              <w:bottom w:val="single" w:sz="12" w:space="0" w:color="auto"/>
              <w:right w:val="single" w:sz="12" w:space="0" w:color="auto"/>
            </w:tcBorders>
            <w:shd w:val="clear" w:color="auto" w:fill="848484" w:themeFill="background2" w:themeFillTint="99"/>
            <w:noWrap/>
            <w:vAlign w:val="bottom"/>
            <w:hideMark/>
          </w:tcPr>
          <w:p w14:paraId="1530F5FB" w14:textId="77777777" w:rsidR="00AD0C19" w:rsidRPr="00AD0C19" w:rsidRDefault="00AD0C19" w:rsidP="00AD0C19">
            <w:pPr>
              <w:spacing w:after="0" w:line="240" w:lineRule="auto"/>
              <w:jc w:val="center"/>
              <w:rPr>
                <w:rFonts w:ascii="Arial" w:eastAsia="Times New Roman" w:hAnsi="Arial" w:cs="Arial"/>
                <w:b/>
                <w:bCs/>
                <w:color w:val="000000"/>
              </w:rPr>
            </w:pPr>
            <w:r w:rsidRPr="00AD0C19">
              <w:rPr>
                <w:rFonts w:ascii="Arial" w:eastAsia="Times New Roman" w:hAnsi="Arial" w:cs="Arial"/>
                <w:b/>
                <w:bCs/>
                <w:color w:val="000000"/>
              </w:rPr>
              <w:t>95</w:t>
            </w:r>
          </w:p>
        </w:tc>
      </w:tr>
    </w:tbl>
    <w:p w14:paraId="4C0869E0" w14:textId="77777777" w:rsidR="00A22684" w:rsidRDefault="00A22684" w:rsidP="00A41763"/>
    <w:p w14:paraId="79D29D2C" w14:textId="77777777" w:rsidR="00A22684" w:rsidRPr="00A41763" w:rsidRDefault="00A22684" w:rsidP="00A41763"/>
    <w:p w14:paraId="121EDE11" w14:textId="77777777" w:rsidR="007E53C4" w:rsidRDefault="00844524" w:rsidP="004F2E3A">
      <w:pPr>
        <w:pStyle w:val="Heading2"/>
      </w:pPr>
      <w:bookmarkStart w:id="4" w:name="_Toc466046935"/>
      <w:r>
        <w:t>B.</w:t>
      </w:r>
      <w:r w:rsidR="00A41763" w:rsidRPr="00A41763">
        <w:t xml:space="preserve">2. </w:t>
      </w:r>
      <w:r w:rsidR="007E53C4">
        <w:t>Statistical Methods</w:t>
      </w:r>
      <w:bookmarkEnd w:id="4"/>
    </w:p>
    <w:p w14:paraId="4539F8AF" w14:textId="2E0EC841" w:rsidR="00EC0ABA" w:rsidRPr="00A41763" w:rsidRDefault="00EC0ABA" w:rsidP="00A41763">
      <w:r w:rsidRPr="001E75C4">
        <w:t xml:space="preserve">There are no </w:t>
      </w:r>
      <w:r>
        <w:t>sampling</w:t>
      </w:r>
      <w:r w:rsidRPr="001E75C4">
        <w:t xml:space="preserve"> methodologies used with</w:t>
      </w:r>
      <w:r w:rsidR="00EF17BD">
        <w:t xml:space="preserve"> </w:t>
      </w:r>
      <w:r>
        <w:t>EIA UDP</w:t>
      </w:r>
      <w:r w:rsidRPr="001E75C4">
        <w:t xml:space="preserve"> form</w:t>
      </w:r>
      <w:r>
        <w:t xml:space="preserve">s, as </w:t>
      </w:r>
      <w:r w:rsidR="00EF17BD">
        <w:t xml:space="preserve">all </w:t>
      </w:r>
      <w:r>
        <w:t xml:space="preserve">these surveys </w:t>
      </w:r>
      <w:r w:rsidR="00EF17BD">
        <w:t>are</w:t>
      </w:r>
      <w:r w:rsidR="004F2E3A">
        <w:t xml:space="preserve"> </w:t>
      </w:r>
      <w:r>
        <w:t>censuses of the target populations</w:t>
      </w:r>
      <w:r w:rsidR="00F93242">
        <w:t>.</w:t>
      </w:r>
      <w:r w:rsidR="000A36C6">
        <w:t xml:space="preserve"> Surveys have historically received 100% response rates and have not used imputation or estimation methods. </w:t>
      </w:r>
      <w:r w:rsidR="00E160C2">
        <w:t xml:space="preserve">After data checks, if there are any edits </w:t>
      </w:r>
      <w:r w:rsidR="00B67957">
        <w:t>the</w:t>
      </w:r>
      <w:r w:rsidR="00893AC6">
        <w:t>n the respondent is contacted to ensure their reported figures are correct</w:t>
      </w:r>
      <w:r w:rsidR="000A36C6">
        <w:t>.</w:t>
      </w:r>
    </w:p>
    <w:p w14:paraId="734C3838" w14:textId="77777777" w:rsidR="007E53C4" w:rsidRDefault="00844524" w:rsidP="004F2E3A">
      <w:pPr>
        <w:pStyle w:val="Heading2"/>
      </w:pPr>
      <w:bookmarkStart w:id="5" w:name="_Toc466046936"/>
      <w:r>
        <w:t>B.</w:t>
      </w:r>
      <w:r w:rsidR="00A41763" w:rsidRPr="00A41763">
        <w:t xml:space="preserve">3. </w:t>
      </w:r>
      <w:r w:rsidR="007E53C4">
        <w:t>Maximizing Response Rates</w:t>
      </w:r>
      <w:bookmarkEnd w:id="5"/>
    </w:p>
    <w:p w14:paraId="4E15C35D" w14:textId="1903A385" w:rsidR="0011303F" w:rsidRPr="00EC2EF7" w:rsidRDefault="0011303F" w:rsidP="0011303F">
      <w:pPr>
        <w:rPr>
          <w:bCs/>
        </w:rPr>
      </w:pPr>
      <w:r w:rsidRPr="00EC2EF7">
        <w:rPr>
          <w:bCs/>
        </w:rPr>
        <w:t>To maximize response rates, EIA surveys and instructions are designed and written for clarity and conciseness.</w:t>
      </w:r>
      <w:r>
        <w:rPr>
          <w:bCs/>
        </w:rPr>
        <w:t xml:space="preserve"> </w:t>
      </w:r>
      <w:r w:rsidRPr="00EC2EF7">
        <w:rPr>
          <w:bCs/>
        </w:rPr>
        <w:t>Data that are not expected to change from year-to-year or month-to-month are pre-populated on the forms</w:t>
      </w:r>
      <w:r w:rsidR="003971AC">
        <w:rPr>
          <w:bCs/>
        </w:rPr>
        <w:t>, such as respondent contact information and prior year uranium inventory balances</w:t>
      </w:r>
      <w:r w:rsidRPr="00EC2EF7">
        <w:rPr>
          <w:bCs/>
        </w:rPr>
        <w:t>.</w:t>
      </w:r>
      <w:r>
        <w:rPr>
          <w:bCs/>
        </w:rPr>
        <w:t xml:space="preserve"> </w:t>
      </w:r>
      <w:r w:rsidRPr="00EC2EF7">
        <w:rPr>
          <w:bCs/>
        </w:rPr>
        <w:t>Notifications are emailed early to maximize the time that respondents have to complete the surveys.</w:t>
      </w:r>
    </w:p>
    <w:p w14:paraId="33F4ACEA" w14:textId="371DC0B7" w:rsidR="0011303F" w:rsidRPr="00EC2EF7" w:rsidRDefault="0011303F" w:rsidP="0011303F">
      <w:pPr>
        <w:rPr>
          <w:bCs/>
        </w:rPr>
      </w:pPr>
      <w:r w:rsidRPr="00EC2EF7">
        <w:rPr>
          <w:bCs/>
        </w:rPr>
        <w:t>EIA’s Internet data collection system makes forms available on-line as soon as respondents obtain a secure ID and password.</w:t>
      </w:r>
      <w:r>
        <w:rPr>
          <w:bCs/>
        </w:rPr>
        <w:t xml:space="preserve"> </w:t>
      </w:r>
      <w:r w:rsidR="009B4C6D">
        <w:rPr>
          <w:bCs/>
        </w:rPr>
        <w:t xml:space="preserve">All respondents currently access and complete their required forms through the on-line </w:t>
      </w:r>
      <w:r w:rsidR="0076739E">
        <w:rPr>
          <w:bCs/>
        </w:rPr>
        <w:t xml:space="preserve">EIA </w:t>
      </w:r>
      <w:r w:rsidR="009B4C6D">
        <w:rPr>
          <w:bCs/>
        </w:rPr>
        <w:t xml:space="preserve">Internet data collection system. </w:t>
      </w:r>
      <w:r w:rsidRPr="00EC2EF7">
        <w:rPr>
          <w:bCs/>
        </w:rPr>
        <w:t>Form due dates are the same each period so that respondents can schedule their completion activities.</w:t>
      </w:r>
    </w:p>
    <w:p w14:paraId="4C9A5696" w14:textId="452E3CC5" w:rsidR="0011303F" w:rsidRDefault="00D303E4" w:rsidP="005318A1">
      <w:pPr>
        <w:spacing w:after="120"/>
      </w:pPr>
      <w:r>
        <w:rPr>
          <w:bCs/>
        </w:rPr>
        <w:t>Response</w:t>
      </w:r>
      <w:r w:rsidR="007E5C92">
        <w:rPr>
          <w:bCs/>
        </w:rPr>
        <w:t xml:space="preserve"> rates are 100%. The table below shows the response rates of each survey for the 2017 calendar year. </w:t>
      </w:r>
      <w:r w:rsidR="0011303F" w:rsidRPr="00EC2EF7">
        <w:rPr>
          <w:bCs/>
        </w:rPr>
        <w:t xml:space="preserve">Any non-respondents are contacted by email, telephone, and letter to request data submission, until </w:t>
      </w:r>
      <w:r>
        <w:rPr>
          <w:bCs/>
        </w:rPr>
        <w:t xml:space="preserve">a </w:t>
      </w:r>
      <w:r w:rsidR="0011303F" w:rsidRPr="00EC2EF7">
        <w:rPr>
          <w:bCs/>
        </w:rPr>
        <w:t>zero non-response rate is obtained.</w:t>
      </w:r>
      <w:r w:rsidR="0011303F">
        <w:rPr>
          <w:bCs/>
        </w:rPr>
        <w:t xml:space="preserve"> </w:t>
      </w:r>
      <w:r w:rsidR="0011303F" w:rsidRPr="00EC2EF7">
        <w:rPr>
          <w:bCs/>
        </w:rPr>
        <w:t>Follow-up email messages citing failure to file the required form are sent to all non-respondents.</w:t>
      </w:r>
      <w:r w:rsidR="0011303F">
        <w:rPr>
          <w:bCs/>
        </w:rPr>
        <w:t xml:space="preserve"> </w:t>
      </w:r>
      <w:r w:rsidR="0011303F" w:rsidRPr="00EC2EF7">
        <w:rPr>
          <w:bCs/>
        </w:rPr>
        <w:t>If the follow-up email messages do not result in a response, additional correspondence requesting immediate submission is sent to the supervisor of the primary contact and, if necessary, to higher-level management officials at the non-responding entity.</w:t>
      </w:r>
      <w:r w:rsidR="0011303F">
        <w:rPr>
          <w:bCs/>
        </w:rPr>
        <w:t xml:space="preserve"> </w:t>
      </w:r>
      <w:r w:rsidR="0011303F" w:rsidRPr="00EC2EF7">
        <w:rPr>
          <w:bCs/>
        </w:rPr>
        <w:t>These letters are sent from the EIA Office Director or, on rare occasions, from the Assistant Administrator or Administrator of EIA.</w:t>
      </w:r>
      <w:r w:rsidR="0011303F" w:rsidRPr="00EF6D5F">
        <w:t xml:space="preserve"> </w:t>
      </w:r>
    </w:p>
    <w:p w14:paraId="75002BC9" w14:textId="7587AFD8" w:rsidR="005318A1" w:rsidRDefault="005318A1" w:rsidP="005318A1">
      <w:pPr>
        <w:spacing w:after="0"/>
        <w:jc w:val="center"/>
      </w:pPr>
      <w:r>
        <w:rPr>
          <w:b/>
          <w:color w:val="0070C0"/>
          <w:sz w:val="20"/>
        </w:rPr>
        <w:t>Table 3</w:t>
      </w:r>
      <w:r w:rsidRPr="004F1A48">
        <w:rPr>
          <w:b/>
          <w:color w:val="0070C0"/>
          <w:sz w:val="20"/>
        </w:rPr>
        <w:t>:</w:t>
      </w:r>
      <w:r>
        <w:rPr>
          <w:b/>
          <w:color w:val="0070C0"/>
          <w:sz w:val="20"/>
        </w:rPr>
        <w:t xml:space="preserve"> 2017 Response Rates</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7E5C92" w14:paraId="64BD4948" w14:textId="77777777" w:rsidTr="00222BFC">
        <w:tc>
          <w:tcPr>
            <w:tcW w:w="4680" w:type="dxa"/>
            <w:shd w:val="clear" w:color="auto" w:fill="FFFFFF" w:themeFill="background1"/>
          </w:tcPr>
          <w:p w14:paraId="0C22F48E" w14:textId="33D7DAB2" w:rsidR="007E5C92" w:rsidRPr="00222BFC" w:rsidRDefault="007E5C92" w:rsidP="00222BFC">
            <w:pPr>
              <w:jc w:val="center"/>
              <w:rPr>
                <w:b/>
              </w:rPr>
            </w:pPr>
            <w:r w:rsidRPr="00222BFC">
              <w:rPr>
                <w:b/>
                <w:sz w:val="20"/>
              </w:rPr>
              <w:t>EIA Survey</w:t>
            </w:r>
          </w:p>
        </w:tc>
        <w:tc>
          <w:tcPr>
            <w:tcW w:w="4680" w:type="dxa"/>
            <w:shd w:val="clear" w:color="auto" w:fill="FFFFFF" w:themeFill="background1"/>
          </w:tcPr>
          <w:p w14:paraId="340CA907" w14:textId="3A116739" w:rsidR="007E5C92" w:rsidRPr="00222BFC" w:rsidRDefault="007E5C92" w:rsidP="00222BFC">
            <w:pPr>
              <w:jc w:val="center"/>
              <w:rPr>
                <w:b/>
                <w:sz w:val="20"/>
                <w:szCs w:val="20"/>
              </w:rPr>
            </w:pPr>
            <w:r w:rsidRPr="00222BFC">
              <w:rPr>
                <w:b/>
                <w:sz w:val="20"/>
                <w:szCs w:val="20"/>
              </w:rPr>
              <w:t>Response Rates for 2017</w:t>
            </w:r>
          </w:p>
        </w:tc>
      </w:tr>
      <w:tr w:rsidR="007E5C92" w14:paraId="0E317ED7" w14:textId="77777777" w:rsidTr="00222BFC">
        <w:tc>
          <w:tcPr>
            <w:tcW w:w="4680" w:type="dxa"/>
          </w:tcPr>
          <w:p w14:paraId="4CB143E5" w14:textId="48B1B924" w:rsidR="007E5C92" w:rsidRDefault="007E5C92" w:rsidP="00222BFC">
            <w:pPr>
              <w:jc w:val="center"/>
            </w:pPr>
            <w:r>
              <w:t>851Q</w:t>
            </w:r>
          </w:p>
        </w:tc>
        <w:tc>
          <w:tcPr>
            <w:tcW w:w="4680" w:type="dxa"/>
          </w:tcPr>
          <w:p w14:paraId="478681E1" w14:textId="5F2FB1FA" w:rsidR="007E5C92" w:rsidRDefault="00ED4EC5" w:rsidP="00222BFC">
            <w:pPr>
              <w:jc w:val="center"/>
            </w:pPr>
            <w:r>
              <w:t>100</w:t>
            </w:r>
            <w:r w:rsidR="007E5C92">
              <w:t>%</w:t>
            </w:r>
          </w:p>
        </w:tc>
      </w:tr>
      <w:tr w:rsidR="007E5C92" w14:paraId="1B34007E" w14:textId="77777777" w:rsidTr="00222BFC">
        <w:tc>
          <w:tcPr>
            <w:tcW w:w="4680" w:type="dxa"/>
          </w:tcPr>
          <w:p w14:paraId="1BDBB960" w14:textId="65188633" w:rsidR="007E5C92" w:rsidRDefault="007E5C92" w:rsidP="00222BFC">
            <w:pPr>
              <w:jc w:val="center"/>
            </w:pPr>
            <w:r>
              <w:t>851A</w:t>
            </w:r>
          </w:p>
        </w:tc>
        <w:tc>
          <w:tcPr>
            <w:tcW w:w="4680" w:type="dxa"/>
          </w:tcPr>
          <w:p w14:paraId="5763655A" w14:textId="04BB4B31" w:rsidR="007E5C92" w:rsidRDefault="00ED4EC5" w:rsidP="00222BFC">
            <w:pPr>
              <w:jc w:val="center"/>
            </w:pPr>
            <w:r>
              <w:t>100</w:t>
            </w:r>
            <w:r w:rsidR="007E5C92">
              <w:t>%</w:t>
            </w:r>
          </w:p>
        </w:tc>
      </w:tr>
      <w:tr w:rsidR="007E5C92" w14:paraId="6FF9F637" w14:textId="77777777" w:rsidTr="00222BFC">
        <w:tc>
          <w:tcPr>
            <w:tcW w:w="4680" w:type="dxa"/>
          </w:tcPr>
          <w:p w14:paraId="3503B099" w14:textId="78E1307C" w:rsidR="007E5C92" w:rsidRDefault="007E5C92" w:rsidP="00222BFC">
            <w:pPr>
              <w:jc w:val="center"/>
            </w:pPr>
            <w:r>
              <w:t>858</w:t>
            </w:r>
          </w:p>
        </w:tc>
        <w:tc>
          <w:tcPr>
            <w:tcW w:w="4680" w:type="dxa"/>
          </w:tcPr>
          <w:p w14:paraId="699ABAB7" w14:textId="7EB8C29E" w:rsidR="007E5C92" w:rsidRDefault="00ED4EC5" w:rsidP="00222BFC">
            <w:pPr>
              <w:jc w:val="center"/>
            </w:pPr>
            <w:r>
              <w:t>100</w:t>
            </w:r>
            <w:r w:rsidR="007E5C92">
              <w:t>%</w:t>
            </w:r>
          </w:p>
        </w:tc>
      </w:tr>
    </w:tbl>
    <w:p w14:paraId="0E5BEA85" w14:textId="77777777" w:rsidR="0006447C" w:rsidRDefault="0006447C" w:rsidP="004F1A48">
      <w:pPr>
        <w:spacing w:after="0"/>
      </w:pPr>
    </w:p>
    <w:p w14:paraId="57F8A091" w14:textId="77777777" w:rsidR="007E53C4" w:rsidRDefault="0011303F" w:rsidP="00A41763">
      <w:pPr>
        <w:rPr>
          <w:i/>
          <w:iCs/>
        </w:rPr>
      </w:pPr>
      <w:r>
        <w:t xml:space="preserve">Respondents who file via the Internet system are given the opportunity to either correct or explain unusual data during their submission. These explanations are reviewed by EIA staff. Respondents are contacted if further clarification is needed. </w:t>
      </w:r>
    </w:p>
    <w:p w14:paraId="7834BFFA" w14:textId="77777777" w:rsidR="009B4C6D" w:rsidRDefault="009B4C6D" w:rsidP="00A41763">
      <w:pPr>
        <w:rPr>
          <w:i/>
          <w:iCs/>
        </w:rPr>
      </w:pPr>
    </w:p>
    <w:p w14:paraId="1AB5C9D7" w14:textId="71A2B33D" w:rsidR="007E53C4" w:rsidRDefault="00844524" w:rsidP="004F2E3A">
      <w:pPr>
        <w:pStyle w:val="Heading2"/>
      </w:pPr>
      <w:bookmarkStart w:id="6" w:name="_Toc466046937"/>
      <w:r>
        <w:t>B.</w:t>
      </w:r>
      <w:r w:rsidR="00A41763" w:rsidRPr="00A41763">
        <w:t xml:space="preserve">4. </w:t>
      </w:r>
      <w:r w:rsidR="007E53C4">
        <w:t xml:space="preserve">Test Procedures </w:t>
      </w:r>
      <w:bookmarkEnd w:id="6"/>
    </w:p>
    <w:p w14:paraId="4B0D05DC" w14:textId="7E1A7C5A" w:rsidR="00A41763" w:rsidRPr="00BF06AB" w:rsidRDefault="00EF6B47" w:rsidP="00A41763">
      <w:r>
        <w:rPr>
          <w:rFonts w:eastAsia="Calibri"/>
        </w:rPr>
        <w:t xml:space="preserve">All surveys undergo suppression testing </w:t>
      </w:r>
      <w:r w:rsidRPr="009A615C">
        <w:rPr>
          <w:rFonts w:eastAsia="Calibri"/>
        </w:rPr>
        <w:t>using p =10 in the EIA Standard 2008-22. Every data element of every survey submission is reviewed for accuracy by the survey manager.</w:t>
      </w:r>
      <w:r>
        <w:rPr>
          <w:rFonts w:ascii="Times New Roman" w:hAnsi="Times New Roman"/>
        </w:rPr>
        <w:t xml:space="preserve"> </w:t>
      </w:r>
    </w:p>
    <w:p w14:paraId="4DA6B112" w14:textId="77777777" w:rsidR="007E53C4" w:rsidRPr="00A41763" w:rsidRDefault="007E53C4" w:rsidP="00A41763"/>
    <w:p w14:paraId="0EE3EBD0" w14:textId="77777777" w:rsidR="007E53C4" w:rsidRDefault="00844524" w:rsidP="004F2E3A">
      <w:pPr>
        <w:pStyle w:val="Heading2"/>
      </w:pPr>
      <w:bookmarkStart w:id="7" w:name="_Toc466046938"/>
      <w:r>
        <w:t>B.</w:t>
      </w:r>
      <w:r w:rsidR="00A41763" w:rsidRPr="00A41763">
        <w:t xml:space="preserve">5. </w:t>
      </w:r>
      <w:r w:rsidR="007E53C4">
        <w:t>Statistical Consultations</w:t>
      </w:r>
      <w:bookmarkEnd w:id="7"/>
    </w:p>
    <w:p w14:paraId="58DA5018" w14:textId="61FC5E0C" w:rsidR="00980B6A" w:rsidRDefault="007D525C" w:rsidP="005338FC">
      <w:r>
        <w:t xml:space="preserve">For information concerning this request for OMB approval, please contact </w:t>
      </w:r>
      <w:r w:rsidR="00721A74">
        <w:t>Tim Shear</w:t>
      </w:r>
      <w:r>
        <w:t>, at 202-</w:t>
      </w:r>
      <w:r w:rsidR="00721A74">
        <w:t>586-0403</w:t>
      </w:r>
      <w:r w:rsidR="00630667">
        <w:t xml:space="preserve">, </w:t>
      </w:r>
      <w:r>
        <w:t>or</w:t>
      </w:r>
      <w:r w:rsidR="00630667">
        <w:t xml:space="preserve"> by email at </w:t>
      </w:r>
      <w:hyperlink r:id="rId17" w:history="1">
        <w:r w:rsidR="00902821" w:rsidRPr="006D4C88">
          <w:rPr>
            <w:rStyle w:val="Hyperlink"/>
          </w:rPr>
          <w:t>Tim.Shear@eia.gov</w:t>
        </w:r>
      </w:hyperlink>
      <w:r>
        <w:t>.</w:t>
      </w:r>
      <w:r w:rsidR="00902821">
        <w:t xml:space="preserve"> </w:t>
      </w:r>
    </w:p>
    <w:sectPr w:rsidR="00980B6A" w:rsidSect="008F4CBD">
      <w:headerReference w:type="even" r:id="rId18"/>
      <w:headerReference w:type="default" r:id="rId19"/>
      <w:footerReference w:type="even"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A4275" w14:textId="77777777" w:rsidR="00354468" w:rsidRDefault="00354468" w:rsidP="00536CE1">
      <w:pPr>
        <w:spacing w:after="0" w:line="240" w:lineRule="auto"/>
      </w:pPr>
      <w:r>
        <w:separator/>
      </w:r>
    </w:p>
  </w:endnote>
  <w:endnote w:type="continuationSeparator" w:id="0">
    <w:p w14:paraId="31BF54E3" w14:textId="77777777" w:rsidR="00354468" w:rsidRDefault="00354468"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8BBCF" w14:textId="7A3CD192" w:rsidR="00132F4A" w:rsidRPr="001F3A8F" w:rsidRDefault="00132F4A" w:rsidP="00616E46">
    <w:pPr>
      <w:pStyle w:val="Footer"/>
      <w:tabs>
        <w:tab w:val="clear" w:pos="9720"/>
        <w:tab w:val="left" w:pos="8655"/>
      </w:tabs>
    </w:pPr>
    <w:r w:rsidRPr="00CB180D">
      <w:t>U.S. Energy Information Administration |</w:t>
    </w:r>
    <w:r w:rsidR="00A41763">
      <w:t xml:space="preserve"> </w:t>
    </w:r>
    <w:r w:rsidR="00A751DB">
      <w:t>Supporting Statement for Uranium Data Program</w:t>
    </w:r>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222BFC">
      <w:rPr>
        <w:noProof/>
      </w:rPr>
      <w:t>1</w:t>
    </w:r>
    <w:r w:rsidR="00616E4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DA289" w14:textId="74826344" w:rsidR="00132F4A" w:rsidRDefault="00C57C7D" w:rsidP="00760677">
    <w:pPr>
      <w:pStyle w:val="Footer"/>
    </w:pPr>
    <w:sdt>
      <w:sdtPr>
        <w:id w:val="37707256"/>
        <w:docPartObj>
          <w:docPartGallery w:val="Page Numbers (Bottom of Page)"/>
          <w:docPartUnique/>
        </w:docPartObj>
      </w:sdtPr>
      <w:sdtEndPr/>
      <w:sdtContent>
        <w:r w:rsidR="00132F4A" w:rsidRPr="00CB180D">
          <w:t>U.S. Energy Information Administration</w:t>
        </w:r>
        <w:r w:rsidR="00202310">
          <w:t xml:space="preserve"> </w:t>
        </w:r>
        <w:r w:rsidR="00132F4A" w:rsidRPr="00CB180D">
          <w:t xml:space="preserve"> |</w:t>
        </w:r>
        <w:r w:rsidR="00202310">
          <w:t xml:space="preserve"> </w:t>
        </w:r>
        <w:r w:rsidR="00132F4A" w:rsidRPr="00CB180D">
          <w:t xml:space="preserve"> </w:t>
        </w:r>
        <w:r w:rsidR="00132F4A">
          <w:t>Improving the Quality and Scope of EIA Data</w:t>
        </w:r>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14:paraId="0FF142CE" w14:textId="77777777" w:rsidR="00132F4A" w:rsidRDefault="00132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A3BDC" w14:textId="7C86745E" w:rsidR="00132F4A" w:rsidRDefault="00C57C7D" w:rsidP="00760677">
    <w:pPr>
      <w:pStyle w:val="Footer"/>
    </w:pPr>
    <w:sdt>
      <w:sdtPr>
        <w:id w:val="1300337987"/>
        <w:docPartObj>
          <w:docPartGallery w:val="Page Numbers (Bottom of Page)"/>
          <w:docPartUnique/>
        </w:docPartObj>
      </w:sdtPr>
      <w:sdtEndPr/>
      <w:sdtContent>
        <w:r w:rsidR="00132F4A" w:rsidRPr="00CB180D">
          <w:t>U.S. Energy Information Administration</w:t>
        </w:r>
        <w:r w:rsidR="00202310">
          <w:t xml:space="preserve"> </w:t>
        </w:r>
        <w:r w:rsidR="00132F4A" w:rsidRPr="00CB180D">
          <w:t xml:space="preserve"> |</w:t>
        </w:r>
        <w:r w:rsidR="00202310">
          <w:t xml:space="preserve"> </w:t>
        </w:r>
        <w:r w:rsidR="00132F4A" w:rsidRPr="00CB180D">
          <w:t xml:space="preserve"> </w:t>
        </w:r>
        <w:r w:rsidR="00132F4A">
          <w:t>Improving the Quality and Scope of EIA Data</w:t>
        </w:r>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14:paraId="4AA7591D" w14:textId="77777777" w:rsidR="00132F4A" w:rsidRDefault="00132F4A"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557895"/>
      <w:docPartObj>
        <w:docPartGallery w:val="Page Numbers (Bottom of Page)"/>
        <w:docPartUnique/>
      </w:docPartObj>
    </w:sdtPr>
    <w:sdtEndPr/>
    <w:sdtContent>
      <w:p w14:paraId="256DBD7D" w14:textId="7CC2151B" w:rsidR="00132F4A" w:rsidRDefault="007A0E7F" w:rsidP="00760677">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r>
        <w:r w:rsidR="00202310">
          <w:t xml:space="preserve">                                              </w:t>
        </w:r>
        <w:r w:rsidR="00132F4A">
          <w:t xml:space="preserve"> </w:t>
        </w:r>
        <w:r w:rsidR="00132F4A" w:rsidRPr="00CB180D">
          <w:t>U.S. Energy Information Administration</w:t>
        </w:r>
        <w:r w:rsidR="00202310">
          <w:t xml:space="preserve"> </w:t>
        </w:r>
        <w:r w:rsidR="00132F4A" w:rsidRPr="00CB180D">
          <w:t xml:space="preserve"> |</w:t>
        </w:r>
        <w:r w:rsidR="00202310">
          <w:t xml:space="preserve"> </w:t>
        </w:r>
        <w:r w:rsidR="00132F4A" w:rsidRPr="00CB180D">
          <w:t xml:space="preserve">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DF2D0" w14:textId="25E3D83F" w:rsidR="00132F4A" w:rsidRDefault="00C57C7D" w:rsidP="00760677">
    <w:pPr>
      <w:pStyle w:val="Footer"/>
    </w:pPr>
    <w:sdt>
      <w:sdtPr>
        <w:id w:val="1705557553"/>
        <w:docPartObj>
          <w:docPartGallery w:val="Page Numbers (Bottom of Page)"/>
          <w:docPartUnique/>
        </w:docPartObj>
      </w:sdtPr>
      <w:sdtEndPr/>
      <w:sdtContent>
        <w:r w:rsidR="00132F4A" w:rsidRPr="00CB180D">
          <w:t>U.S. Energy Information Administration</w:t>
        </w:r>
        <w:r w:rsidR="00202310">
          <w:t xml:space="preserve"> </w:t>
        </w:r>
        <w:r w:rsidR="00132F4A" w:rsidRPr="00CB180D">
          <w:t xml:space="preserve"> |</w:t>
        </w:r>
        <w:r w:rsidR="00202310">
          <w:t xml:space="preserve"> </w:t>
        </w:r>
        <w:r w:rsidR="00132F4A" w:rsidRPr="00CB180D">
          <w:t xml:space="preserve"> </w:t>
        </w:r>
        <w:r w:rsidR="00132F4A">
          <w:t>Improving the Quality and Scope of EIA Data</w:t>
        </w:r>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14:paraId="5E48F4A5" w14:textId="77777777" w:rsidR="00132F4A" w:rsidRDefault="00132F4A"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879C2" w14:textId="77777777" w:rsidR="00354468" w:rsidRDefault="00354468" w:rsidP="00536CE1">
      <w:pPr>
        <w:spacing w:after="0" w:line="240" w:lineRule="auto"/>
      </w:pPr>
      <w:r>
        <w:separator/>
      </w:r>
    </w:p>
  </w:footnote>
  <w:footnote w:type="continuationSeparator" w:id="0">
    <w:p w14:paraId="0697613C" w14:textId="77777777" w:rsidR="00354468" w:rsidRDefault="00354468" w:rsidP="0053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01406" w14:textId="77777777" w:rsidR="00132F4A" w:rsidRDefault="00132F4A"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7CB73" w14:textId="77777777" w:rsidR="00132F4A" w:rsidRPr="00373208" w:rsidRDefault="00132F4A"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00DD3" w14:textId="107868DB" w:rsidR="00132F4A" w:rsidRPr="00F8298C" w:rsidRDefault="00B3231B" w:rsidP="00041909">
    <w:pPr>
      <w:pStyle w:val="Header"/>
    </w:pPr>
    <w:r>
      <w:t>August</w:t>
    </w:r>
    <w:r w:rsidR="004C13C1">
      <w:t xml:space="preserve"> </w:t>
    </w:r>
    <w:r w:rsidR="00EE2CAF">
      <w:t>201</w:t>
    </w:r>
    <w:r w:rsidR="00BE04AC">
      <w:t>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9C35C" w14:textId="77777777" w:rsidR="00132F4A" w:rsidRDefault="00132F4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2529"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xMLY0sTQ3NAUSJko6SsGpxcWZ+XkgBYa1ADg47sUsAAAA"/>
  </w:docVars>
  <w:rsids>
    <w:rsidRoot w:val="00A41763"/>
    <w:rsid w:val="0000019D"/>
    <w:rsid w:val="0000364C"/>
    <w:rsid w:val="00003C2A"/>
    <w:rsid w:val="00004135"/>
    <w:rsid w:val="000041A1"/>
    <w:rsid w:val="0000508E"/>
    <w:rsid w:val="000053BB"/>
    <w:rsid w:val="00011B3F"/>
    <w:rsid w:val="00013373"/>
    <w:rsid w:val="000142E5"/>
    <w:rsid w:val="00015DA7"/>
    <w:rsid w:val="000248CE"/>
    <w:rsid w:val="00024E1E"/>
    <w:rsid w:val="00034A4B"/>
    <w:rsid w:val="00041909"/>
    <w:rsid w:val="00046593"/>
    <w:rsid w:val="00047C08"/>
    <w:rsid w:val="0005401F"/>
    <w:rsid w:val="00055769"/>
    <w:rsid w:val="00056EC3"/>
    <w:rsid w:val="00062CFE"/>
    <w:rsid w:val="0006447C"/>
    <w:rsid w:val="0007129A"/>
    <w:rsid w:val="000831C4"/>
    <w:rsid w:val="000844CA"/>
    <w:rsid w:val="000A36C6"/>
    <w:rsid w:val="000B3FBE"/>
    <w:rsid w:val="000C28E1"/>
    <w:rsid w:val="000C38AB"/>
    <w:rsid w:val="000C5311"/>
    <w:rsid w:val="000D7C55"/>
    <w:rsid w:val="000F040A"/>
    <w:rsid w:val="001034E8"/>
    <w:rsid w:val="00112A69"/>
    <w:rsid w:val="0011303F"/>
    <w:rsid w:val="0011541D"/>
    <w:rsid w:val="0012492C"/>
    <w:rsid w:val="00132F4A"/>
    <w:rsid w:val="001519B1"/>
    <w:rsid w:val="00154192"/>
    <w:rsid w:val="00160BC8"/>
    <w:rsid w:val="00167425"/>
    <w:rsid w:val="00171907"/>
    <w:rsid w:val="001807A3"/>
    <w:rsid w:val="001912C8"/>
    <w:rsid w:val="001947D5"/>
    <w:rsid w:val="001A2427"/>
    <w:rsid w:val="001A6E1E"/>
    <w:rsid w:val="001B0E69"/>
    <w:rsid w:val="001B6585"/>
    <w:rsid w:val="001D03A8"/>
    <w:rsid w:val="001D4333"/>
    <w:rsid w:val="001F0BA8"/>
    <w:rsid w:val="001F3A8F"/>
    <w:rsid w:val="001F6846"/>
    <w:rsid w:val="002008B4"/>
    <w:rsid w:val="00201F24"/>
    <w:rsid w:val="00202310"/>
    <w:rsid w:val="002127CE"/>
    <w:rsid w:val="00215842"/>
    <w:rsid w:val="002207DF"/>
    <w:rsid w:val="00221AC2"/>
    <w:rsid w:val="00222BFC"/>
    <w:rsid w:val="00227E4B"/>
    <w:rsid w:val="0023015A"/>
    <w:rsid w:val="0023708A"/>
    <w:rsid w:val="0025022D"/>
    <w:rsid w:val="002530BB"/>
    <w:rsid w:val="002556F3"/>
    <w:rsid w:val="00260EDF"/>
    <w:rsid w:val="00264148"/>
    <w:rsid w:val="00274179"/>
    <w:rsid w:val="002B0FD2"/>
    <w:rsid w:val="002C378C"/>
    <w:rsid w:val="002E3FD5"/>
    <w:rsid w:val="002E7A38"/>
    <w:rsid w:val="003031FE"/>
    <w:rsid w:val="00306516"/>
    <w:rsid w:val="00306BFC"/>
    <w:rsid w:val="00332498"/>
    <w:rsid w:val="003469CB"/>
    <w:rsid w:val="00350C8B"/>
    <w:rsid w:val="00351F25"/>
    <w:rsid w:val="00354468"/>
    <w:rsid w:val="00360BBD"/>
    <w:rsid w:val="00363331"/>
    <w:rsid w:val="0036472B"/>
    <w:rsid w:val="00371E14"/>
    <w:rsid w:val="00373208"/>
    <w:rsid w:val="00373C8E"/>
    <w:rsid w:val="003811D2"/>
    <w:rsid w:val="00383DB3"/>
    <w:rsid w:val="003854B2"/>
    <w:rsid w:val="00385AE6"/>
    <w:rsid w:val="00387C8D"/>
    <w:rsid w:val="0039264E"/>
    <w:rsid w:val="00392DD0"/>
    <w:rsid w:val="00396BCB"/>
    <w:rsid w:val="003971AC"/>
    <w:rsid w:val="00397825"/>
    <w:rsid w:val="00397AE6"/>
    <w:rsid w:val="003A1073"/>
    <w:rsid w:val="003A10F3"/>
    <w:rsid w:val="003A3906"/>
    <w:rsid w:val="003A7912"/>
    <w:rsid w:val="003B03A4"/>
    <w:rsid w:val="003C03EA"/>
    <w:rsid w:val="003C2983"/>
    <w:rsid w:val="003C5ED5"/>
    <w:rsid w:val="003C690C"/>
    <w:rsid w:val="003E40FA"/>
    <w:rsid w:val="003F24ED"/>
    <w:rsid w:val="003F529E"/>
    <w:rsid w:val="00410D42"/>
    <w:rsid w:val="00420667"/>
    <w:rsid w:val="00426481"/>
    <w:rsid w:val="00432966"/>
    <w:rsid w:val="0045608E"/>
    <w:rsid w:val="0045662F"/>
    <w:rsid w:val="00457552"/>
    <w:rsid w:val="00466959"/>
    <w:rsid w:val="0047784B"/>
    <w:rsid w:val="004946F0"/>
    <w:rsid w:val="00497C2A"/>
    <w:rsid w:val="004A44D2"/>
    <w:rsid w:val="004B1075"/>
    <w:rsid w:val="004C13C1"/>
    <w:rsid w:val="004C277B"/>
    <w:rsid w:val="004C7656"/>
    <w:rsid w:val="004C7F31"/>
    <w:rsid w:val="004D05FB"/>
    <w:rsid w:val="004D29C7"/>
    <w:rsid w:val="004F1A48"/>
    <w:rsid w:val="004F2E3A"/>
    <w:rsid w:val="005009FC"/>
    <w:rsid w:val="00504119"/>
    <w:rsid w:val="005065CF"/>
    <w:rsid w:val="00506BB4"/>
    <w:rsid w:val="0050705F"/>
    <w:rsid w:val="00510910"/>
    <w:rsid w:val="005170D3"/>
    <w:rsid w:val="0052385C"/>
    <w:rsid w:val="0052493A"/>
    <w:rsid w:val="005318A1"/>
    <w:rsid w:val="005338FC"/>
    <w:rsid w:val="00535CAF"/>
    <w:rsid w:val="00536054"/>
    <w:rsid w:val="0053654B"/>
    <w:rsid w:val="00536CE1"/>
    <w:rsid w:val="0054180D"/>
    <w:rsid w:val="00547B53"/>
    <w:rsid w:val="00571D8F"/>
    <w:rsid w:val="0057367D"/>
    <w:rsid w:val="00585BE3"/>
    <w:rsid w:val="0059212D"/>
    <w:rsid w:val="005B2B58"/>
    <w:rsid w:val="005C00FA"/>
    <w:rsid w:val="005C2D89"/>
    <w:rsid w:val="005C485B"/>
    <w:rsid w:val="005C7AEA"/>
    <w:rsid w:val="005D39D7"/>
    <w:rsid w:val="005D5956"/>
    <w:rsid w:val="005D6F63"/>
    <w:rsid w:val="005F4848"/>
    <w:rsid w:val="00604B82"/>
    <w:rsid w:val="00616E46"/>
    <w:rsid w:val="0062008C"/>
    <w:rsid w:val="00620797"/>
    <w:rsid w:val="00626494"/>
    <w:rsid w:val="00630667"/>
    <w:rsid w:val="00641DE2"/>
    <w:rsid w:val="00643384"/>
    <w:rsid w:val="0065391D"/>
    <w:rsid w:val="0065406F"/>
    <w:rsid w:val="00663EC4"/>
    <w:rsid w:val="00677C5F"/>
    <w:rsid w:val="00690C36"/>
    <w:rsid w:val="006A0BC7"/>
    <w:rsid w:val="006B6DC2"/>
    <w:rsid w:val="006C0062"/>
    <w:rsid w:val="006C097E"/>
    <w:rsid w:val="006C2DC3"/>
    <w:rsid w:val="006D0439"/>
    <w:rsid w:val="006D17D5"/>
    <w:rsid w:val="006D42EC"/>
    <w:rsid w:val="006F433E"/>
    <w:rsid w:val="006F5B2A"/>
    <w:rsid w:val="006F6490"/>
    <w:rsid w:val="00711414"/>
    <w:rsid w:val="00721A74"/>
    <w:rsid w:val="00725453"/>
    <w:rsid w:val="00730CB2"/>
    <w:rsid w:val="00730DA0"/>
    <w:rsid w:val="00737591"/>
    <w:rsid w:val="007438F2"/>
    <w:rsid w:val="007547C7"/>
    <w:rsid w:val="00755C3D"/>
    <w:rsid w:val="007576EF"/>
    <w:rsid w:val="00760677"/>
    <w:rsid w:val="00761C12"/>
    <w:rsid w:val="007658BA"/>
    <w:rsid w:val="00766A75"/>
    <w:rsid w:val="0076739E"/>
    <w:rsid w:val="00776CF4"/>
    <w:rsid w:val="00783181"/>
    <w:rsid w:val="00784F89"/>
    <w:rsid w:val="00786336"/>
    <w:rsid w:val="00787B5B"/>
    <w:rsid w:val="007A0E7F"/>
    <w:rsid w:val="007A4378"/>
    <w:rsid w:val="007A69DE"/>
    <w:rsid w:val="007C5CE9"/>
    <w:rsid w:val="007D39CC"/>
    <w:rsid w:val="007D525C"/>
    <w:rsid w:val="007D6AAF"/>
    <w:rsid w:val="007E53C4"/>
    <w:rsid w:val="007E5A11"/>
    <w:rsid w:val="007E5C92"/>
    <w:rsid w:val="007E73E6"/>
    <w:rsid w:val="007F1954"/>
    <w:rsid w:val="007F21D7"/>
    <w:rsid w:val="007F7C4D"/>
    <w:rsid w:val="008057F8"/>
    <w:rsid w:val="00817D92"/>
    <w:rsid w:val="008213F9"/>
    <w:rsid w:val="008244C5"/>
    <w:rsid w:val="008307E1"/>
    <w:rsid w:val="00836D62"/>
    <w:rsid w:val="0084303E"/>
    <w:rsid w:val="008439DD"/>
    <w:rsid w:val="00844524"/>
    <w:rsid w:val="008525F8"/>
    <w:rsid w:val="00867160"/>
    <w:rsid w:val="0087205B"/>
    <w:rsid w:val="00874FB8"/>
    <w:rsid w:val="00893AC6"/>
    <w:rsid w:val="00895669"/>
    <w:rsid w:val="00897946"/>
    <w:rsid w:val="008A3276"/>
    <w:rsid w:val="008A3447"/>
    <w:rsid w:val="008C734C"/>
    <w:rsid w:val="008D4AD8"/>
    <w:rsid w:val="008E4BF2"/>
    <w:rsid w:val="008F4CBD"/>
    <w:rsid w:val="009017AD"/>
    <w:rsid w:val="00901BED"/>
    <w:rsid w:val="00902821"/>
    <w:rsid w:val="00905735"/>
    <w:rsid w:val="009131B9"/>
    <w:rsid w:val="00935805"/>
    <w:rsid w:val="009368F3"/>
    <w:rsid w:val="00947C42"/>
    <w:rsid w:val="00950489"/>
    <w:rsid w:val="00957DE9"/>
    <w:rsid w:val="00965A44"/>
    <w:rsid w:val="00967D7C"/>
    <w:rsid w:val="009757AD"/>
    <w:rsid w:val="00980B6A"/>
    <w:rsid w:val="009818F9"/>
    <w:rsid w:val="0098618F"/>
    <w:rsid w:val="00987C32"/>
    <w:rsid w:val="00990505"/>
    <w:rsid w:val="00991646"/>
    <w:rsid w:val="0099448B"/>
    <w:rsid w:val="00997347"/>
    <w:rsid w:val="009A615C"/>
    <w:rsid w:val="009B19CE"/>
    <w:rsid w:val="009B4C6D"/>
    <w:rsid w:val="009C202F"/>
    <w:rsid w:val="009C77F7"/>
    <w:rsid w:val="009E1719"/>
    <w:rsid w:val="009E5ABC"/>
    <w:rsid w:val="009E5B9C"/>
    <w:rsid w:val="009F4ED1"/>
    <w:rsid w:val="00A00D71"/>
    <w:rsid w:val="00A00EDF"/>
    <w:rsid w:val="00A02551"/>
    <w:rsid w:val="00A10FEF"/>
    <w:rsid w:val="00A22684"/>
    <w:rsid w:val="00A26A17"/>
    <w:rsid w:val="00A30169"/>
    <w:rsid w:val="00A312A3"/>
    <w:rsid w:val="00A33D9F"/>
    <w:rsid w:val="00A37229"/>
    <w:rsid w:val="00A41763"/>
    <w:rsid w:val="00A418C9"/>
    <w:rsid w:val="00A61D83"/>
    <w:rsid w:val="00A74C9B"/>
    <w:rsid w:val="00A751DB"/>
    <w:rsid w:val="00A93478"/>
    <w:rsid w:val="00A9795B"/>
    <w:rsid w:val="00A97FE7"/>
    <w:rsid w:val="00AA027F"/>
    <w:rsid w:val="00AA46CA"/>
    <w:rsid w:val="00AA7EFA"/>
    <w:rsid w:val="00AB61B3"/>
    <w:rsid w:val="00AC323A"/>
    <w:rsid w:val="00AD0C19"/>
    <w:rsid w:val="00AD6357"/>
    <w:rsid w:val="00AD7F81"/>
    <w:rsid w:val="00AE4CA9"/>
    <w:rsid w:val="00AF367D"/>
    <w:rsid w:val="00AF45FD"/>
    <w:rsid w:val="00B3231B"/>
    <w:rsid w:val="00B35E2A"/>
    <w:rsid w:val="00B4263D"/>
    <w:rsid w:val="00B55457"/>
    <w:rsid w:val="00B56F49"/>
    <w:rsid w:val="00B60F78"/>
    <w:rsid w:val="00B62798"/>
    <w:rsid w:val="00B67957"/>
    <w:rsid w:val="00B7442A"/>
    <w:rsid w:val="00B76A15"/>
    <w:rsid w:val="00B913C6"/>
    <w:rsid w:val="00B97002"/>
    <w:rsid w:val="00BA144C"/>
    <w:rsid w:val="00BA315D"/>
    <w:rsid w:val="00BB2F70"/>
    <w:rsid w:val="00BB6CF4"/>
    <w:rsid w:val="00BC14C3"/>
    <w:rsid w:val="00BC1ABE"/>
    <w:rsid w:val="00BD2F20"/>
    <w:rsid w:val="00BD4F62"/>
    <w:rsid w:val="00BE04AC"/>
    <w:rsid w:val="00BE2368"/>
    <w:rsid w:val="00BE4AFD"/>
    <w:rsid w:val="00BE7D70"/>
    <w:rsid w:val="00BF06AB"/>
    <w:rsid w:val="00C00590"/>
    <w:rsid w:val="00C04647"/>
    <w:rsid w:val="00C058CF"/>
    <w:rsid w:val="00C12551"/>
    <w:rsid w:val="00C211CD"/>
    <w:rsid w:val="00C25328"/>
    <w:rsid w:val="00C3744D"/>
    <w:rsid w:val="00C43A84"/>
    <w:rsid w:val="00C50030"/>
    <w:rsid w:val="00C57C7D"/>
    <w:rsid w:val="00C64137"/>
    <w:rsid w:val="00C658E4"/>
    <w:rsid w:val="00C7266E"/>
    <w:rsid w:val="00C76C66"/>
    <w:rsid w:val="00C810F2"/>
    <w:rsid w:val="00C82DF9"/>
    <w:rsid w:val="00C87190"/>
    <w:rsid w:val="00CA1564"/>
    <w:rsid w:val="00CA7C8A"/>
    <w:rsid w:val="00CB44E8"/>
    <w:rsid w:val="00CB7978"/>
    <w:rsid w:val="00CC1D12"/>
    <w:rsid w:val="00CC3CC3"/>
    <w:rsid w:val="00CD6B2E"/>
    <w:rsid w:val="00CE42E9"/>
    <w:rsid w:val="00D001E4"/>
    <w:rsid w:val="00D00AA8"/>
    <w:rsid w:val="00D02778"/>
    <w:rsid w:val="00D036AC"/>
    <w:rsid w:val="00D115DE"/>
    <w:rsid w:val="00D119B7"/>
    <w:rsid w:val="00D13E84"/>
    <w:rsid w:val="00D300F4"/>
    <w:rsid w:val="00D303E4"/>
    <w:rsid w:val="00D3344B"/>
    <w:rsid w:val="00D40175"/>
    <w:rsid w:val="00D55243"/>
    <w:rsid w:val="00D62F90"/>
    <w:rsid w:val="00D63E74"/>
    <w:rsid w:val="00D672BC"/>
    <w:rsid w:val="00D715C4"/>
    <w:rsid w:val="00D869A6"/>
    <w:rsid w:val="00D928FD"/>
    <w:rsid w:val="00DA64BC"/>
    <w:rsid w:val="00DA7051"/>
    <w:rsid w:val="00DC79E3"/>
    <w:rsid w:val="00DD51E1"/>
    <w:rsid w:val="00DE04A9"/>
    <w:rsid w:val="00DE2D54"/>
    <w:rsid w:val="00E02BB0"/>
    <w:rsid w:val="00E03CE6"/>
    <w:rsid w:val="00E13716"/>
    <w:rsid w:val="00E160C2"/>
    <w:rsid w:val="00E266FF"/>
    <w:rsid w:val="00E27661"/>
    <w:rsid w:val="00E357E6"/>
    <w:rsid w:val="00E419B1"/>
    <w:rsid w:val="00E442D0"/>
    <w:rsid w:val="00E47DB3"/>
    <w:rsid w:val="00E509A9"/>
    <w:rsid w:val="00E51F8B"/>
    <w:rsid w:val="00E5242A"/>
    <w:rsid w:val="00E53398"/>
    <w:rsid w:val="00E664BD"/>
    <w:rsid w:val="00E66AE2"/>
    <w:rsid w:val="00E74DA4"/>
    <w:rsid w:val="00E81B89"/>
    <w:rsid w:val="00E91432"/>
    <w:rsid w:val="00E91B5A"/>
    <w:rsid w:val="00EA3E4F"/>
    <w:rsid w:val="00EC0ABA"/>
    <w:rsid w:val="00ED4EC5"/>
    <w:rsid w:val="00ED6E45"/>
    <w:rsid w:val="00EE2CAF"/>
    <w:rsid w:val="00EE43E4"/>
    <w:rsid w:val="00EF17BD"/>
    <w:rsid w:val="00EF6B47"/>
    <w:rsid w:val="00F001EA"/>
    <w:rsid w:val="00F025D4"/>
    <w:rsid w:val="00F03035"/>
    <w:rsid w:val="00F056C3"/>
    <w:rsid w:val="00F16B90"/>
    <w:rsid w:val="00F23C1D"/>
    <w:rsid w:val="00F34F19"/>
    <w:rsid w:val="00F44A21"/>
    <w:rsid w:val="00F51E0E"/>
    <w:rsid w:val="00F575F0"/>
    <w:rsid w:val="00F6664C"/>
    <w:rsid w:val="00F766A2"/>
    <w:rsid w:val="00F80AF1"/>
    <w:rsid w:val="00F8298C"/>
    <w:rsid w:val="00F90245"/>
    <w:rsid w:val="00F920D9"/>
    <w:rsid w:val="00F93242"/>
    <w:rsid w:val="00F94781"/>
    <w:rsid w:val="00FA5388"/>
    <w:rsid w:val="00FB08E3"/>
    <w:rsid w:val="00FB6BF3"/>
    <w:rsid w:val="00FD397B"/>
    <w:rsid w:val="00FD4B01"/>
    <w:rsid w:val="00FD52F2"/>
    <w:rsid w:val="00FD7CDC"/>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fill="f" fillcolor="white" stroke="f">
      <v:fill color="white" on="f"/>
      <v:stroke on="f"/>
    </o:shapedefaults>
    <o:shapelayout v:ext="edit">
      <o:idmap v:ext="edit" data="1"/>
    </o:shapelayout>
  </w:shapeDefaults>
  <w:decimalSymbol w:val="."/>
  <w:listSeparator w:val=","/>
  <w14:docId w14:val="51B6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4F2E3A"/>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4F2E3A"/>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4F2E3A"/>
    <w:rPr>
      <w:sz w:val="16"/>
      <w:szCs w:val="16"/>
    </w:rPr>
  </w:style>
  <w:style w:type="paragraph" w:styleId="CommentText">
    <w:name w:val="annotation text"/>
    <w:basedOn w:val="Normal"/>
    <w:link w:val="CommentTextChar"/>
    <w:uiPriority w:val="99"/>
    <w:semiHidden/>
    <w:unhideWhenUsed/>
    <w:locked/>
    <w:rsid w:val="004F2E3A"/>
    <w:pPr>
      <w:spacing w:line="240" w:lineRule="auto"/>
    </w:pPr>
    <w:rPr>
      <w:sz w:val="20"/>
      <w:szCs w:val="20"/>
    </w:rPr>
  </w:style>
  <w:style w:type="character" w:customStyle="1" w:styleId="CommentTextChar">
    <w:name w:val="Comment Text Char"/>
    <w:basedOn w:val="DefaultParagraphFont"/>
    <w:link w:val="CommentText"/>
    <w:uiPriority w:val="99"/>
    <w:semiHidden/>
    <w:rsid w:val="004F2E3A"/>
    <w:rPr>
      <w:sz w:val="20"/>
      <w:szCs w:val="20"/>
    </w:rPr>
  </w:style>
  <w:style w:type="paragraph" w:styleId="CommentSubject">
    <w:name w:val="annotation subject"/>
    <w:basedOn w:val="CommentText"/>
    <w:next w:val="CommentText"/>
    <w:link w:val="CommentSubjectChar"/>
    <w:uiPriority w:val="99"/>
    <w:semiHidden/>
    <w:unhideWhenUsed/>
    <w:locked/>
    <w:rsid w:val="004F2E3A"/>
    <w:rPr>
      <w:b/>
      <w:bCs/>
    </w:rPr>
  </w:style>
  <w:style w:type="character" w:customStyle="1" w:styleId="CommentSubjectChar">
    <w:name w:val="Comment Subject Char"/>
    <w:basedOn w:val="CommentTextChar"/>
    <w:link w:val="CommentSubject"/>
    <w:uiPriority w:val="99"/>
    <w:semiHidden/>
    <w:rsid w:val="004F2E3A"/>
    <w:rPr>
      <w:b/>
      <w:bCs/>
      <w:sz w:val="20"/>
      <w:szCs w:val="20"/>
    </w:rPr>
  </w:style>
  <w:style w:type="paragraph" w:styleId="Revision">
    <w:name w:val="Revision"/>
    <w:hidden/>
    <w:uiPriority w:val="99"/>
    <w:semiHidden/>
    <w:rsid w:val="004F2E3A"/>
    <w:pPr>
      <w:spacing w:after="0"/>
    </w:pPr>
  </w:style>
  <w:style w:type="table" w:customStyle="1" w:styleId="PlainTable11">
    <w:name w:val="Plain Table 11"/>
    <w:basedOn w:val="TableNormal"/>
    <w:uiPriority w:val="41"/>
    <w:rsid w:val="007E5C9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7E5C9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4F2E3A"/>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4F2E3A"/>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4F2E3A"/>
    <w:rPr>
      <w:sz w:val="16"/>
      <w:szCs w:val="16"/>
    </w:rPr>
  </w:style>
  <w:style w:type="paragraph" w:styleId="CommentText">
    <w:name w:val="annotation text"/>
    <w:basedOn w:val="Normal"/>
    <w:link w:val="CommentTextChar"/>
    <w:uiPriority w:val="99"/>
    <w:semiHidden/>
    <w:unhideWhenUsed/>
    <w:locked/>
    <w:rsid w:val="004F2E3A"/>
    <w:pPr>
      <w:spacing w:line="240" w:lineRule="auto"/>
    </w:pPr>
    <w:rPr>
      <w:sz w:val="20"/>
      <w:szCs w:val="20"/>
    </w:rPr>
  </w:style>
  <w:style w:type="character" w:customStyle="1" w:styleId="CommentTextChar">
    <w:name w:val="Comment Text Char"/>
    <w:basedOn w:val="DefaultParagraphFont"/>
    <w:link w:val="CommentText"/>
    <w:uiPriority w:val="99"/>
    <w:semiHidden/>
    <w:rsid w:val="004F2E3A"/>
    <w:rPr>
      <w:sz w:val="20"/>
      <w:szCs w:val="20"/>
    </w:rPr>
  </w:style>
  <w:style w:type="paragraph" w:styleId="CommentSubject">
    <w:name w:val="annotation subject"/>
    <w:basedOn w:val="CommentText"/>
    <w:next w:val="CommentText"/>
    <w:link w:val="CommentSubjectChar"/>
    <w:uiPriority w:val="99"/>
    <w:semiHidden/>
    <w:unhideWhenUsed/>
    <w:locked/>
    <w:rsid w:val="004F2E3A"/>
    <w:rPr>
      <w:b/>
      <w:bCs/>
    </w:rPr>
  </w:style>
  <w:style w:type="character" w:customStyle="1" w:styleId="CommentSubjectChar">
    <w:name w:val="Comment Subject Char"/>
    <w:basedOn w:val="CommentTextChar"/>
    <w:link w:val="CommentSubject"/>
    <w:uiPriority w:val="99"/>
    <w:semiHidden/>
    <w:rsid w:val="004F2E3A"/>
    <w:rPr>
      <w:b/>
      <w:bCs/>
      <w:sz w:val="20"/>
      <w:szCs w:val="20"/>
    </w:rPr>
  </w:style>
  <w:style w:type="paragraph" w:styleId="Revision">
    <w:name w:val="Revision"/>
    <w:hidden/>
    <w:uiPriority w:val="99"/>
    <w:semiHidden/>
    <w:rsid w:val="004F2E3A"/>
    <w:pPr>
      <w:spacing w:after="0"/>
    </w:pPr>
  </w:style>
  <w:style w:type="table" w:customStyle="1" w:styleId="PlainTable11">
    <w:name w:val="Plain Table 11"/>
    <w:basedOn w:val="TableNormal"/>
    <w:uiPriority w:val="41"/>
    <w:rsid w:val="007E5C9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7E5C9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765226372">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74923393">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894226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51668470">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Tim.Shear@eia.gov"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180D28-02E3-40B7-8D40-FF6589E63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upporting Statement for Uranium Data Progra</dc:title>
  <dc:subject>mproving the Quality and Scope of EIA Dat</dc:subject>
  <dc:creator/>
  <cp:keywords/>
  <dc:description/>
  <cp:lastModifiedBy/>
  <cp:revision>1</cp:revision>
  <dcterms:created xsi:type="dcterms:W3CDTF">2018-08-10T13:05:00Z</dcterms:created>
  <dcterms:modified xsi:type="dcterms:W3CDTF">2018-08-10T13:05:00Z</dcterms:modified>
</cp:coreProperties>
</file>