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FBA64" w14:textId="77777777" w:rsidR="00EB3E6F" w:rsidRDefault="00FD66F1" w:rsidP="00FD66F1">
      <w:pPr>
        <w:spacing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Supporting Statement</w:t>
      </w:r>
    </w:p>
    <w:p w14:paraId="5E2E51C3" w14:textId="3DAB4DD1" w:rsidR="00A96B65" w:rsidRDefault="00640365" w:rsidP="00570861">
      <w:pPr>
        <w:spacing w:after="0"/>
        <w:jc w:val="center"/>
        <w:rPr>
          <w:rFonts w:ascii="Times New Roman" w:hAnsi="Times New Roman" w:cs="Times New Roman"/>
          <w:b/>
          <w:sz w:val="24"/>
          <w:szCs w:val="24"/>
        </w:rPr>
      </w:pPr>
      <w:r>
        <w:rPr>
          <w:rFonts w:ascii="Times New Roman" w:hAnsi="Times New Roman" w:cs="Times New Roman"/>
          <w:b/>
          <w:sz w:val="24"/>
          <w:szCs w:val="24"/>
        </w:rPr>
        <w:t>FERC-725X</w:t>
      </w:r>
      <w:r w:rsidR="00570861">
        <w:rPr>
          <w:rFonts w:ascii="Times New Roman" w:hAnsi="Times New Roman" w:cs="Times New Roman"/>
          <w:b/>
          <w:sz w:val="24"/>
          <w:szCs w:val="24"/>
        </w:rPr>
        <w:t xml:space="preserve">, </w:t>
      </w:r>
      <w:r w:rsidRPr="003E5045">
        <w:rPr>
          <w:rFonts w:ascii="Times New Roman" w:hAnsi="Times New Roman"/>
          <w:b/>
          <w:sz w:val="24"/>
          <w:szCs w:val="24"/>
        </w:rPr>
        <w:t xml:space="preserve">Mandatory Reliability Standards: </w:t>
      </w:r>
      <w:r>
        <w:rPr>
          <w:rFonts w:ascii="Times New Roman" w:hAnsi="Times New Roman"/>
          <w:b/>
          <w:sz w:val="24"/>
          <w:szCs w:val="24"/>
        </w:rPr>
        <w:t>Voltage and Reactive (VAR) Standards</w:t>
      </w:r>
    </w:p>
    <w:p w14:paraId="320391F6" w14:textId="2BCE5C14" w:rsidR="003B3B61" w:rsidRDefault="00546870" w:rsidP="003B3B61">
      <w:pPr>
        <w:spacing w:after="0"/>
        <w:jc w:val="center"/>
        <w:rPr>
          <w:rFonts w:ascii="Times New Roman" w:hAnsi="Times New Roman" w:cs="Times New Roman"/>
          <w:sz w:val="24"/>
          <w:szCs w:val="24"/>
        </w:rPr>
      </w:pPr>
      <w:r>
        <w:rPr>
          <w:rFonts w:ascii="Times New Roman" w:hAnsi="Times New Roman" w:cs="Times New Roman"/>
          <w:sz w:val="24"/>
          <w:szCs w:val="24"/>
        </w:rPr>
        <w:t>(Three-year extension requested)</w:t>
      </w:r>
    </w:p>
    <w:p w14:paraId="4E036854" w14:textId="77777777" w:rsidR="00FD66F1" w:rsidRDefault="00FD66F1" w:rsidP="00F8440A">
      <w:pPr>
        <w:spacing w:after="0"/>
        <w:rPr>
          <w:rFonts w:ascii="Times New Roman" w:hAnsi="Times New Roman" w:cs="Times New Roman"/>
          <w:sz w:val="24"/>
          <w:szCs w:val="24"/>
        </w:rPr>
      </w:pPr>
    </w:p>
    <w:p w14:paraId="56B41986" w14:textId="16AAF6B8" w:rsidR="00546870" w:rsidRDefault="00546870" w:rsidP="00546870">
      <w:pPr>
        <w:spacing w:after="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640365">
        <w:rPr>
          <w:rFonts w:ascii="Times New Roman" w:hAnsi="Times New Roman" w:cs="Times New Roman"/>
          <w:sz w:val="24"/>
          <w:szCs w:val="24"/>
        </w:rPr>
        <w:t>FERC-725X</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640365">
        <w:rPr>
          <w:rFonts w:ascii="Times New Roman" w:hAnsi="Times New Roman" w:cs="Times New Roman"/>
          <w:sz w:val="24"/>
          <w:szCs w:val="24"/>
        </w:rPr>
        <w:t>der OMB Control No. 1902-0278</w:t>
      </w:r>
      <w:r>
        <w:rPr>
          <w:rFonts w:ascii="Times New Roman" w:hAnsi="Times New Roman" w:cs="Times New Roman"/>
          <w:sz w:val="24"/>
          <w:szCs w:val="24"/>
        </w:rPr>
        <w:t xml:space="preserve">. </w:t>
      </w:r>
      <w:r w:rsidRPr="00A44AE9">
        <w:rPr>
          <w:rFonts w:ascii="Times New Roman" w:hAnsi="Times New Roman" w:cs="Times New Roman"/>
          <w:sz w:val="24"/>
          <w:szCs w:val="24"/>
        </w:rPr>
        <w:t xml:space="preserve">This supporting statement covers the requirements </w:t>
      </w:r>
      <w:r>
        <w:rPr>
          <w:rFonts w:ascii="Times New Roman" w:hAnsi="Times New Roman" w:cs="Times New Roman"/>
          <w:sz w:val="24"/>
          <w:szCs w:val="24"/>
        </w:rPr>
        <w:t>of the FERC-725</w:t>
      </w:r>
      <w:r w:rsidR="00640365">
        <w:rPr>
          <w:rFonts w:ascii="Times New Roman" w:hAnsi="Times New Roman" w:cs="Times New Roman"/>
          <w:sz w:val="24"/>
          <w:szCs w:val="24"/>
        </w:rPr>
        <w:t>X</w:t>
      </w:r>
      <w:r>
        <w:rPr>
          <w:rFonts w:ascii="Times New Roman" w:hAnsi="Times New Roman" w:cs="Times New Roman"/>
          <w:sz w:val="24"/>
          <w:szCs w:val="24"/>
        </w:rPr>
        <w:t xml:space="preserve"> information collection</w:t>
      </w:r>
      <w:r w:rsidRPr="00A44AE9">
        <w:rPr>
          <w:rFonts w:ascii="Times New Roman" w:hAnsi="Times New Roman" w:cs="Times New Roman"/>
          <w:sz w:val="24"/>
          <w:szCs w:val="24"/>
        </w:rPr>
        <w:t>.</w:t>
      </w:r>
      <w:r>
        <w:rPr>
          <w:rFonts w:ascii="Times New Roman" w:hAnsi="Times New Roman" w:cs="Times New Roman"/>
          <w:sz w:val="24"/>
          <w:szCs w:val="24"/>
        </w:rPr>
        <w:t xml:space="preserve"> The reporti</w:t>
      </w:r>
      <w:r w:rsidR="00640365">
        <w:rPr>
          <w:rFonts w:ascii="Times New Roman" w:hAnsi="Times New Roman" w:cs="Times New Roman"/>
          <w:sz w:val="24"/>
          <w:szCs w:val="24"/>
        </w:rPr>
        <w:t>ng requirements in the FERC-725X</w:t>
      </w:r>
      <w:r>
        <w:rPr>
          <w:rFonts w:ascii="Times New Roman" w:hAnsi="Times New Roman" w:cs="Times New Roman"/>
          <w:sz w:val="24"/>
          <w:szCs w:val="24"/>
        </w:rPr>
        <w:t xml:space="preserve"> are also contained in FERC’s regulations in 18 Code of Federal Regulations (CFR) Part 40.</w:t>
      </w:r>
    </w:p>
    <w:p w14:paraId="18F22398" w14:textId="4FBE74BD" w:rsidR="009276A9" w:rsidRDefault="009276A9" w:rsidP="00546870">
      <w:pPr>
        <w:spacing w:after="0"/>
        <w:rPr>
          <w:rFonts w:ascii="Times New Roman" w:hAnsi="Times New Roman" w:cs="Times New Roman"/>
          <w:sz w:val="24"/>
          <w:szCs w:val="24"/>
        </w:rPr>
      </w:pPr>
    </w:p>
    <w:p w14:paraId="3E294164" w14:textId="66339850" w:rsidR="009276A9" w:rsidRDefault="009276A9" w:rsidP="00546870">
      <w:pPr>
        <w:spacing w:after="0"/>
        <w:rPr>
          <w:rFonts w:ascii="Times New Roman" w:hAnsi="Times New Roman" w:cs="Times New Roman"/>
          <w:sz w:val="24"/>
          <w:szCs w:val="24"/>
        </w:rPr>
      </w:pPr>
      <w:r>
        <w:rPr>
          <w:rFonts w:ascii="Times New Roman" w:hAnsi="Times New Roman" w:cs="Times New Roman"/>
          <w:sz w:val="24"/>
          <w:szCs w:val="24"/>
        </w:rPr>
        <w:t>NOTE: the 60 and 30-day public notices related to this extension request sought comment on the paperwork burden related to VAR-001-4 and VAR-002-3 Reliability Standards.</w:t>
      </w:r>
      <w:r w:rsidR="00756810">
        <w:rPr>
          <w:rFonts w:ascii="Times New Roman" w:hAnsi="Times New Roman" w:cs="Times New Roman"/>
          <w:sz w:val="24"/>
          <w:szCs w:val="24"/>
        </w:rPr>
        <w:t xml:space="preserve">  Those standards have both been revised into newer versions, VAR-001-4.2 and VAR-002-4.1 respectively.  The updates make slight administrative corrections to each standard and had no effect on the reporting requirements for either. The burden estimate and reporting requir</w:t>
      </w:r>
      <w:r w:rsidR="00E453EB">
        <w:rPr>
          <w:rFonts w:ascii="Times New Roman" w:hAnsi="Times New Roman" w:cs="Times New Roman"/>
          <w:sz w:val="24"/>
          <w:szCs w:val="24"/>
        </w:rPr>
        <w:t>ements presented here are the same as they were proposed in the 60 and 30-day public notices</w:t>
      </w:r>
      <w:r w:rsidR="00756810">
        <w:rPr>
          <w:rFonts w:ascii="Times New Roman" w:hAnsi="Times New Roman" w:cs="Times New Roman"/>
          <w:sz w:val="24"/>
          <w:szCs w:val="24"/>
        </w:rPr>
        <w:t>.  All subsequent references in this supporting statement will use the revised standards, VAR-001-4.2 and VAR-002-4.1.</w:t>
      </w:r>
    </w:p>
    <w:p w14:paraId="3418B643" w14:textId="78B1DB2E" w:rsidR="0002242D" w:rsidRDefault="00F8440A" w:rsidP="00FD66F1">
      <w:pPr>
        <w:spacing w:after="0"/>
        <w:rPr>
          <w:rFonts w:ascii="Times New Roman" w:hAnsi="Times New Roman" w:cs="Times New Roman"/>
          <w:sz w:val="24"/>
          <w:szCs w:val="24"/>
        </w:rPr>
      </w:pPr>
      <w:r w:rsidRPr="00F8440A">
        <w:rPr>
          <w:rFonts w:ascii="Times New Roman" w:hAnsi="Times New Roman" w:cs="Times New Roman"/>
          <w:sz w:val="24"/>
          <w:szCs w:val="24"/>
        </w:rPr>
        <w:tab/>
      </w:r>
    </w:p>
    <w:p w14:paraId="331505ED"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489129EB" w14:textId="77777777" w:rsidR="00A72E7B" w:rsidRDefault="00A72E7B" w:rsidP="00EB3E6F">
      <w:pPr>
        <w:spacing w:after="0"/>
        <w:rPr>
          <w:rFonts w:ascii="Times New Roman" w:hAnsi="Times New Roman" w:cs="Times New Roman"/>
          <w:sz w:val="24"/>
          <w:szCs w:val="24"/>
        </w:rPr>
      </w:pPr>
    </w:p>
    <w:p w14:paraId="79B20183" w14:textId="77777777" w:rsidR="0000761B" w:rsidRPr="00A44AE9" w:rsidRDefault="0000761B" w:rsidP="0000761B">
      <w:pPr>
        <w:spacing w:after="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1"/>
      </w:r>
    </w:p>
    <w:p w14:paraId="41C0BFB7" w14:textId="77777777" w:rsidR="00EB3E6F" w:rsidRPr="00EB3E6F" w:rsidRDefault="00EB3E6F" w:rsidP="00EB3E6F">
      <w:pPr>
        <w:spacing w:after="0"/>
        <w:rPr>
          <w:rFonts w:ascii="Times New Roman" w:hAnsi="Times New Roman" w:cs="Times New Roman"/>
          <w:sz w:val="24"/>
          <w:szCs w:val="24"/>
        </w:rPr>
      </w:pPr>
    </w:p>
    <w:p w14:paraId="1A879F5B" w14:textId="77777777"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070BEF3D" w14:textId="77777777" w:rsidR="004B3FFA" w:rsidRDefault="004B3FFA" w:rsidP="004276A5">
      <w:pPr>
        <w:spacing w:after="0"/>
        <w:rPr>
          <w:rFonts w:ascii="Times New Roman" w:hAnsi="Times New Roman" w:cs="Times New Roman"/>
          <w:sz w:val="24"/>
          <w:szCs w:val="24"/>
        </w:rPr>
      </w:pPr>
    </w:p>
    <w:p w14:paraId="0875DB34" w14:textId="758CE6C5" w:rsidR="00756810" w:rsidRDefault="00756810" w:rsidP="004276A5">
      <w:pPr>
        <w:spacing w:after="0"/>
        <w:rPr>
          <w:rFonts w:ascii="Times New Roman" w:hAnsi="Times New Roman" w:cs="Times New Roman"/>
          <w:sz w:val="24"/>
          <w:szCs w:val="24"/>
        </w:rPr>
      </w:pPr>
      <w:r>
        <w:rPr>
          <w:rFonts w:ascii="Times New Roman" w:hAnsi="Times New Roman" w:cs="Times New Roman"/>
          <w:sz w:val="24"/>
          <w:szCs w:val="24"/>
        </w:rPr>
        <w:t>The Commission approved Reliability Standards VAR-001-4 and VAR-002-3 in the order in Docket No. RD14-11-000</w:t>
      </w:r>
      <w:r w:rsidRPr="00756810">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w:t>
      </w:r>
      <w:r w:rsidR="00DE0976">
        <w:rPr>
          <w:rFonts w:ascii="Times New Roman" w:hAnsi="Times New Roman" w:cs="Times New Roman"/>
          <w:sz w:val="24"/>
          <w:szCs w:val="24"/>
        </w:rPr>
        <w:t xml:space="preserve">Reliability Standard </w:t>
      </w:r>
      <w:r>
        <w:rPr>
          <w:rFonts w:ascii="Times New Roman" w:hAnsi="Times New Roman" w:cs="Times New Roman"/>
          <w:sz w:val="24"/>
          <w:szCs w:val="24"/>
        </w:rPr>
        <w:t xml:space="preserve">VAR-001-4 was revised </w:t>
      </w:r>
      <w:r w:rsidR="00DE0976">
        <w:rPr>
          <w:rFonts w:ascii="Times New Roman" w:hAnsi="Times New Roman" w:cs="Times New Roman"/>
          <w:sz w:val="24"/>
          <w:szCs w:val="24"/>
        </w:rPr>
        <w:t xml:space="preserve">by two errata notices </w:t>
      </w:r>
      <w:r w:rsidR="00DE0976">
        <w:rPr>
          <w:rFonts w:ascii="Times New Roman" w:hAnsi="Times New Roman" w:cs="Times New Roman"/>
          <w:sz w:val="24"/>
          <w:szCs w:val="24"/>
        </w:rPr>
        <w:lastRenderedPageBreak/>
        <w:t>approved by the Commission</w:t>
      </w:r>
      <w:r w:rsidR="00DE0976" w:rsidRPr="00DE0976">
        <w:rPr>
          <w:rStyle w:val="FootnoteReference"/>
          <w:rFonts w:ascii="Times New Roman" w:hAnsi="Times New Roman" w:cs="Times New Roman"/>
          <w:sz w:val="24"/>
          <w:szCs w:val="24"/>
          <w:vertAlign w:val="superscript"/>
        </w:rPr>
        <w:footnoteReference w:id="3"/>
      </w:r>
      <w:r w:rsidR="00DE0976">
        <w:rPr>
          <w:rFonts w:ascii="Times New Roman" w:hAnsi="Times New Roman" w:cs="Times New Roman"/>
          <w:sz w:val="24"/>
          <w:szCs w:val="24"/>
        </w:rPr>
        <w:t>.  Reliability Standard VAR-002-3 was revised into VAR-002-4 in the Order in Docket No. RD15-3-000.  The revision updated the applicability language in provisions related to generation owners and generation operators of “any resources identified through inclusion I4 of the bulk electric system definition”</w:t>
      </w:r>
      <w:r w:rsidR="00DE0976" w:rsidRPr="00DE0976">
        <w:rPr>
          <w:rStyle w:val="FootnoteReference"/>
          <w:rFonts w:ascii="Times New Roman" w:hAnsi="Times New Roman" w:cs="Times New Roman"/>
          <w:sz w:val="24"/>
          <w:szCs w:val="24"/>
          <w:vertAlign w:val="superscript"/>
        </w:rPr>
        <w:footnoteReference w:id="4"/>
      </w:r>
      <w:r w:rsidR="00DE0976">
        <w:rPr>
          <w:rFonts w:ascii="Times New Roman" w:hAnsi="Times New Roman" w:cs="Times New Roman"/>
          <w:sz w:val="24"/>
          <w:szCs w:val="24"/>
        </w:rPr>
        <w:t>.</w:t>
      </w:r>
    </w:p>
    <w:p w14:paraId="0660A699" w14:textId="77777777" w:rsidR="00640365" w:rsidRPr="003E5045" w:rsidRDefault="00640365" w:rsidP="00640365">
      <w:pPr>
        <w:spacing w:after="0" w:line="240" w:lineRule="auto"/>
        <w:rPr>
          <w:rFonts w:ascii="Times New Roman" w:hAnsi="Times New Roman" w:cs="Times New Roman"/>
          <w:sz w:val="24"/>
          <w:szCs w:val="24"/>
        </w:rPr>
      </w:pPr>
    </w:p>
    <w:p w14:paraId="44E3FABF" w14:textId="2DAB2903" w:rsidR="00640365" w:rsidRDefault="00640365" w:rsidP="006403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the following paragraphs describe the information collection requirements contained in this collection.  Each Reliability Standard requirement is accompanied by a compliance measure which requires the applicable entity to have evidence that it complied with the requirement.  </w:t>
      </w:r>
      <w:r w:rsidR="00B51D20">
        <w:rPr>
          <w:rFonts w:ascii="Times New Roman" w:hAnsi="Times New Roman" w:cs="Times New Roman"/>
          <w:sz w:val="24"/>
          <w:szCs w:val="24"/>
        </w:rPr>
        <w:t>Each Reliability Standard is</w:t>
      </w:r>
      <w:r>
        <w:rPr>
          <w:rFonts w:ascii="Times New Roman" w:hAnsi="Times New Roman" w:cs="Times New Roman"/>
          <w:sz w:val="24"/>
          <w:szCs w:val="24"/>
        </w:rPr>
        <w:t xml:space="preserve"> included as supplemental documents to this</w:t>
      </w:r>
      <w:r w:rsidR="00B51D20">
        <w:rPr>
          <w:rFonts w:ascii="Times New Roman" w:hAnsi="Times New Roman" w:cs="Times New Roman"/>
          <w:sz w:val="24"/>
          <w:szCs w:val="24"/>
        </w:rPr>
        <w:t xml:space="preserve"> extension request.</w:t>
      </w:r>
    </w:p>
    <w:p w14:paraId="79174FF1" w14:textId="77777777" w:rsidR="00640365" w:rsidRDefault="00640365" w:rsidP="00640365">
      <w:pPr>
        <w:spacing w:after="0" w:line="240" w:lineRule="auto"/>
        <w:rPr>
          <w:rFonts w:ascii="Times New Roman" w:hAnsi="Times New Roman" w:cs="Times New Roman"/>
          <w:sz w:val="24"/>
          <w:szCs w:val="24"/>
        </w:rPr>
      </w:pPr>
    </w:p>
    <w:p w14:paraId="1A51190E" w14:textId="5E84DC84" w:rsidR="00B51D20" w:rsidRDefault="00640365" w:rsidP="00640365">
      <w:pPr>
        <w:pStyle w:val="Default"/>
        <w:rPr>
          <w:b/>
        </w:rPr>
      </w:pPr>
      <w:r w:rsidRPr="001C1D2F">
        <w:rPr>
          <w:b/>
        </w:rPr>
        <w:t>Reliability Standard VAR-001-4</w:t>
      </w:r>
      <w:r w:rsidR="009276A9">
        <w:rPr>
          <w:b/>
        </w:rPr>
        <w:t>.2</w:t>
      </w:r>
    </w:p>
    <w:p w14:paraId="4DAD7575" w14:textId="206735A1" w:rsidR="00B51D20" w:rsidRDefault="00B51D20" w:rsidP="00B51D20">
      <w:pPr>
        <w:pStyle w:val="Default"/>
      </w:pPr>
      <w:r>
        <w:t>Reliability Standard VAR-001-4</w:t>
      </w:r>
      <w:r w:rsidR="009276A9">
        <w:t>.2</w:t>
      </w:r>
      <w:r w:rsidR="00640365" w:rsidRPr="001C1D2F">
        <w:t xml:space="preserve"> requires</w:t>
      </w:r>
      <w:r>
        <w:t xml:space="preserve"> each Transmission Operator to:</w:t>
      </w:r>
    </w:p>
    <w:p w14:paraId="39BF6C35" w14:textId="77777777" w:rsidR="00B51D20" w:rsidRDefault="00640365" w:rsidP="00B51D20">
      <w:pPr>
        <w:pStyle w:val="Default"/>
        <w:numPr>
          <w:ilvl w:val="0"/>
          <w:numId w:val="15"/>
        </w:numPr>
      </w:pPr>
      <w:r w:rsidRPr="001C1D2F">
        <w:t>Specify a system-wide voltage schedule (which is either a range or a target value with an associated tolerance band) as part of its plan to operate within SOLs and IROLs, and to provide the voltage schedule to its Reliability Coordinator and adjacent Transmission Operators</w:t>
      </w:r>
      <w:r w:rsidR="00B51D20">
        <w:t xml:space="preserve"> upon request (Requirement R1);</w:t>
      </w:r>
    </w:p>
    <w:p w14:paraId="10623B3E" w14:textId="77777777" w:rsidR="00B51D20" w:rsidRDefault="00640365" w:rsidP="00B51D20">
      <w:pPr>
        <w:pStyle w:val="Default"/>
        <w:numPr>
          <w:ilvl w:val="0"/>
          <w:numId w:val="15"/>
        </w:numPr>
      </w:pPr>
      <w:r w:rsidRPr="001C1D2F">
        <w:t>Schedule sufficient reactive resources to regulate voltage level</w:t>
      </w:r>
      <w:r w:rsidR="00B51D20">
        <w:t>s (Requirement R2);</w:t>
      </w:r>
    </w:p>
    <w:p w14:paraId="3C08B0F9" w14:textId="77777777" w:rsidR="00B51D20" w:rsidRDefault="00640365" w:rsidP="00B51D20">
      <w:pPr>
        <w:pStyle w:val="Default"/>
        <w:numPr>
          <w:ilvl w:val="0"/>
          <w:numId w:val="15"/>
        </w:numPr>
      </w:pPr>
      <w:r w:rsidRPr="001C1D2F">
        <w:t>Operate or direct the operation of devices to regulate transmission voltage and r</w:t>
      </w:r>
      <w:r w:rsidR="00B51D20">
        <w:t>eactive flows (Requirement R3);</w:t>
      </w:r>
    </w:p>
    <w:p w14:paraId="000062EC" w14:textId="227B885B" w:rsidR="00B51D20" w:rsidRDefault="00640365" w:rsidP="00640365">
      <w:pPr>
        <w:pStyle w:val="Default"/>
        <w:numPr>
          <w:ilvl w:val="0"/>
          <w:numId w:val="15"/>
        </w:numPr>
      </w:pPr>
      <w:r w:rsidRPr="001C1D2F">
        <w:t>Develop a set of criteria to exempt generators from certain requirements unde</w:t>
      </w:r>
      <w:r w:rsidR="009276A9">
        <w:t>r Reliability Standard VAR-002-4.1</w:t>
      </w:r>
      <w:r w:rsidRPr="001C1D2F">
        <w:t xml:space="preserve"> related to voltage or Reactive Power schedules, automatic voltage regulations, and</w:t>
      </w:r>
      <w:r w:rsidR="00B51D20">
        <w:t xml:space="preserve"> notification (Requirement R4);</w:t>
      </w:r>
    </w:p>
    <w:p w14:paraId="7C0407F3" w14:textId="77777777" w:rsidR="00B51D20" w:rsidRDefault="00640365" w:rsidP="00640365">
      <w:pPr>
        <w:pStyle w:val="Default"/>
        <w:numPr>
          <w:ilvl w:val="0"/>
          <w:numId w:val="15"/>
        </w:numPr>
      </w:pPr>
      <w:r w:rsidRPr="001C1D2F">
        <w:t>Specify a voltage or Reactive Power schedule (which is either a range or a target value with an associated tolerance band) for generators at either the high or low voltage side of the generator step-up transformer, provide the schedule to the associated Generator Operator, direct the Generator Operator to comply with that schedule in automatic voltage control mode, provide the Generator Operator the notification requirements for deviating from the schedule, and, if requested, provide the Generator Operator the criteria used to develop the schedule (Requirement R5); and</w:t>
      </w:r>
    </w:p>
    <w:p w14:paraId="55AFE510" w14:textId="41B1E00D" w:rsidR="00640365" w:rsidRPr="00B51D20" w:rsidRDefault="00640365" w:rsidP="00640365">
      <w:pPr>
        <w:pStyle w:val="Default"/>
        <w:numPr>
          <w:ilvl w:val="0"/>
          <w:numId w:val="15"/>
        </w:numPr>
      </w:pPr>
      <w:r w:rsidRPr="00B51D20">
        <w:t xml:space="preserve">Communicate step-up transformer tap changes, the time frame for completion, and the justification for these changes to Generator Owners (Requirement R6). </w:t>
      </w:r>
    </w:p>
    <w:p w14:paraId="57F3834F" w14:textId="77777777" w:rsidR="00640365" w:rsidRPr="001C1D2F" w:rsidRDefault="00640365" w:rsidP="00640365">
      <w:pPr>
        <w:spacing w:after="0" w:line="240" w:lineRule="auto"/>
        <w:rPr>
          <w:rFonts w:ascii="Times New Roman" w:hAnsi="Times New Roman" w:cs="Times New Roman"/>
          <w:sz w:val="24"/>
          <w:szCs w:val="24"/>
        </w:rPr>
      </w:pPr>
    </w:p>
    <w:p w14:paraId="5FED266A" w14:textId="2E171DA2" w:rsidR="00B51D20" w:rsidRDefault="009276A9" w:rsidP="00640365">
      <w:pPr>
        <w:pStyle w:val="Default"/>
        <w:rPr>
          <w:b/>
        </w:rPr>
      </w:pPr>
      <w:r>
        <w:rPr>
          <w:b/>
        </w:rPr>
        <w:t>Reliability Standard VAR-002-4.1</w:t>
      </w:r>
    </w:p>
    <w:p w14:paraId="2AFEEBD3" w14:textId="697256B6" w:rsidR="00B51D20" w:rsidRDefault="009276A9" w:rsidP="00B51D20">
      <w:pPr>
        <w:pStyle w:val="Default"/>
      </w:pPr>
      <w:r>
        <w:t>Reliability Standard VAR-002-4.1</w:t>
      </w:r>
      <w:r w:rsidR="00640365" w:rsidRPr="001C1D2F">
        <w:t xml:space="preserve"> requires each Generator Operator to:</w:t>
      </w:r>
    </w:p>
    <w:p w14:paraId="7A1A8E9C" w14:textId="1A67CDDF" w:rsidR="00B51D20" w:rsidRDefault="00640365" w:rsidP="00B51D20">
      <w:pPr>
        <w:pStyle w:val="Default"/>
        <w:numPr>
          <w:ilvl w:val="0"/>
          <w:numId w:val="16"/>
        </w:numPr>
      </w:pPr>
      <w:r w:rsidRPr="001C1D2F">
        <w:t>Operate each of its generators connected to the interconnected transmission system in automatic voltage control mode or in a different control mode as instructed by the Transmission Operator, unless the Generator Operator (1) is exempted pursuant to the criteria developed under VAR-001-4</w:t>
      </w:r>
      <w:r w:rsidR="009276A9">
        <w:t>.1</w:t>
      </w:r>
      <w:r w:rsidRPr="001C1D2F">
        <w:t>, Requirement R4, or (2) makes certain notifications to the Transmission Operator specifying the reasons it cann</w:t>
      </w:r>
      <w:r w:rsidR="00B51D20">
        <w:t>ot so operate (Requirement R1);</w:t>
      </w:r>
    </w:p>
    <w:p w14:paraId="633D706A" w14:textId="39D1FCDA" w:rsidR="00B51D20" w:rsidRDefault="00640365" w:rsidP="00B51D20">
      <w:pPr>
        <w:pStyle w:val="Default"/>
        <w:numPr>
          <w:ilvl w:val="0"/>
          <w:numId w:val="16"/>
        </w:numPr>
      </w:pPr>
      <w:r w:rsidRPr="001C1D2F">
        <w:t>Maintain the Transmission Operator’s generator voltage or Reactive Power schedule, unless the Generator Operator (1) is exempted pursuant to the criteria developed under VAR-001-4</w:t>
      </w:r>
      <w:r w:rsidR="009276A9">
        <w:t>.2</w:t>
      </w:r>
      <w:r w:rsidRPr="001C1D2F">
        <w:t>, Requirement R4, or (2) complies with the notification requirements for deviations as established by the Transmission Owner pursuant to VAR-001-4</w:t>
      </w:r>
      <w:r w:rsidR="009276A9">
        <w:t>.2</w:t>
      </w:r>
      <w:r w:rsidRPr="001C1D2F">
        <w:t>, Requ</w:t>
      </w:r>
      <w:r w:rsidR="00B51D20">
        <w:t>irement R5 (Requirement R2);</w:t>
      </w:r>
    </w:p>
    <w:p w14:paraId="3FBFE63E" w14:textId="77777777" w:rsidR="000A49C8" w:rsidRDefault="00640365" w:rsidP="00640365">
      <w:pPr>
        <w:pStyle w:val="Default"/>
        <w:numPr>
          <w:ilvl w:val="0"/>
          <w:numId w:val="16"/>
        </w:numPr>
      </w:pPr>
      <w:r w:rsidRPr="001C1D2F">
        <w:t>Notify the Transmission Operator of a change in status of its voltage controlling device within 30 minutes, unless the status is restored within that ti</w:t>
      </w:r>
      <w:r w:rsidR="000A49C8">
        <w:t>me period (Requirement R3);</w:t>
      </w:r>
    </w:p>
    <w:p w14:paraId="7C5892CA" w14:textId="65049814" w:rsidR="000A49C8" w:rsidRDefault="00640365" w:rsidP="000A49C8">
      <w:pPr>
        <w:pStyle w:val="Default"/>
        <w:numPr>
          <w:ilvl w:val="0"/>
          <w:numId w:val="16"/>
        </w:numPr>
      </w:pPr>
      <w:r w:rsidRPr="001C1D2F">
        <w:t>Notify the Transmission Operator of a change in reactive capability due to factors other t</w:t>
      </w:r>
      <w:r w:rsidR="009276A9">
        <w:t>han those described in VAR-002-4.1</w:t>
      </w:r>
      <w:r w:rsidRPr="001C1D2F">
        <w:t>, Requirement R3 within 30 minutes unless the capability has been restored during tha</w:t>
      </w:r>
      <w:r w:rsidR="000A49C8">
        <w:t>t time period (Requirement R4);</w:t>
      </w:r>
    </w:p>
    <w:p w14:paraId="6BAA71E1" w14:textId="77777777" w:rsidR="000A49C8" w:rsidRDefault="00640365" w:rsidP="00640365">
      <w:pPr>
        <w:pStyle w:val="Default"/>
        <w:numPr>
          <w:ilvl w:val="0"/>
          <w:numId w:val="16"/>
        </w:numPr>
      </w:pPr>
      <w:r w:rsidRPr="001C1D2F">
        <w:t>Provide information on its step-up transformers and auxiliary transformers within 30 days of a request from the Transmission Operator or Transmissio</w:t>
      </w:r>
      <w:r w:rsidR="000A49C8">
        <w:t>n Planner (Requirement R5); and</w:t>
      </w:r>
    </w:p>
    <w:p w14:paraId="6BA33460" w14:textId="04DFC518" w:rsidR="00640365" w:rsidRPr="001C1D2F" w:rsidRDefault="00640365" w:rsidP="00640365">
      <w:pPr>
        <w:pStyle w:val="Default"/>
        <w:numPr>
          <w:ilvl w:val="0"/>
          <w:numId w:val="16"/>
        </w:numPr>
      </w:pPr>
      <w:r w:rsidRPr="001C1D2F">
        <w:t xml:space="preserve">Comply with the Transmission Operator’s step-up transformer tap change directives unless compliance would violate safety, an equipment rating, or applicable laws, rules or regulations (Requirement R6). </w:t>
      </w:r>
    </w:p>
    <w:p w14:paraId="4683B0AA" w14:textId="77777777" w:rsidR="000D6FBE" w:rsidRPr="00EB3E6F" w:rsidRDefault="000D6FBE" w:rsidP="004276A5">
      <w:pPr>
        <w:spacing w:after="0"/>
        <w:rPr>
          <w:rFonts w:ascii="Times New Roman" w:hAnsi="Times New Roman" w:cs="Times New Roman"/>
          <w:sz w:val="24"/>
          <w:szCs w:val="24"/>
        </w:rPr>
      </w:pPr>
    </w:p>
    <w:p w14:paraId="383755D2"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3DE42D36" w14:textId="77777777" w:rsidR="00EB3E6F" w:rsidRDefault="00EB3E6F" w:rsidP="00EB3E6F">
      <w:pPr>
        <w:spacing w:after="0"/>
        <w:rPr>
          <w:rFonts w:ascii="Times New Roman" w:hAnsi="Times New Roman" w:cs="Times New Roman"/>
          <w:sz w:val="24"/>
          <w:szCs w:val="24"/>
        </w:rPr>
      </w:pPr>
    </w:p>
    <w:p w14:paraId="5F4E1DCA" w14:textId="5F4ACEBF" w:rsidR="00D43F0E"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w:t>
      </w:r>
      <w:r>
        <w:rPr>
          <w:rFonts w:ascii="Times New Roman" w:hAnsi="Times New Roman" w:cs="Times New Roman"/>
          <w:sz w:val="24"/>
          <w:szCs w:val="24"/>
        </w:rPr>
        <w:t>is</w:t>
      </w:r>
      <w:r w:rsidRPr="00A44AE9">
        <w:rPr>
          <w:rFonts w:ascii="Times New Roman" w:hAnsi="Times New Roman" w:cs="Times New Roman"/>
          <w:sz w:val="24"/>
          <w:szCs w:val="24"/>
        </w:rPr>
        <w:t xml:space="preserve"> collection do</w:t>
      </w:r>
      <w:r>
        <w:rPr>
          <w:rFonts w:ascii="Times New Roman" w:hAnsi="Times New Roman" w:cs="Times New Roman"/>
          <w:sz w:val="24"/>
          <w:szCs w:val="24"/>
        </w:rPr>
        <w:t>es</w:t>
      </w:r>
      <w:r w:rsidRPr="00A44AE9">
        <w:rPr>
          <w:rFonts w:ascii="Times New Roman" w:hAnsi="Times New Roman" w:cs="Times New Roman"/>
          <w:sz w:val="24"/>
          <w:szCs w:val="24"/>
        </w:rPr>
        <w:t xml:space="preserve"> not require</w:t>
      </w:r>
      <w:r>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w:t>
      </w:r>
      <w:r w:rsidR="000A49C8">
        <w:rPr>
          <w:rFonts w:ascii="Times New Roman" w:hAnsi="Times New Roman" w:cs="Times New Roman"/>
          <w:sz w:val="24"/>
          <w:szCs w:val="24"/>
        </w:rPr>
        <w:t>FERC-725X</w:t>
      </w:r>
      <w:r w:rsidRPr="00A44AE9">
        <w:rPr>
          <w:rFonts w:ascii="Times New Roman" w:hAnsi="Times New Roman" w:cs="Times New Roman"/>
          <w:sz w:val="24"/>
          <w:szCs w:val="24"/>
        </w:rPr>
        <w:t xml:space="preserve"> do</w:t>
      </w:r>
      <w:r>
        <w:rPr>
          <w:rFonts w:ascii="Times New Roman" w:hAnsi="Times New Roman" w:cs="Times New Roman"/>
          <w:sz w:val="24"/>
          <w:szCs w:val="24"/>
        </w:rPr>
        <w:t>es</w:t>
      </w:r>
      <w:r w:rsidRPr="00A44AE9">
        <w:rPr>
          <w:rFonts w:ascii="Times New Roman" w:hAnsi="Times New Roman" w:cs="Times New Roman"/>
          <w:sz w:val="24"/>
          <w:szCs w:val="24"/>
        </w:rPr>
        <w:t xml:space="preserve"> contain information collection and record retention requirements for which using cu</w:t>
      </w:r>
      <w:r>
        <w:rPr>
          <w:rFonts w:ascii="Times New Roman" w:hAnsi="Times New Roman" w:cs="Times New Roman"/>
          <w:sz w:val="24"/>
          <w:szCs w:val="24"/>
        </w:rPr>
        <w:t>rrent technology is an option.</w:t>
      </w:r>
    </w:p>
    <w:p w14:paraId="52D9AB71" w14:textId="77777777" w:rsidR="00D43F0E" w:rsidRDefault="00D43F0E" w:rsidP="00D43F0E">
      <w:pPr>
        <w:spacing w:after="0"/>
        <w:ind w:firstLine="360"/>
        <w:rPr>
          <w:rFonts w:ascii="Times New Roman" w:hAnsi="Times New Roman" w:cs="Times New Roman"/>
          <w:sz w:val="24"/>
          <w:szCs w:val="24"/>
        </w:rPr>
      </w:pPr>
    </w:p>
    <w:p w14:paraId="0392FED2" w14:textId="77777777" w:rsidR="00D43F0E" w:rsidRPr="00A44AE9" w:rsidRDefault="00D43F0E" w:rsidP="00D43F0E">
      <w:pPr>
        <w:spacing w:after="0"/>
        <w:rPr>
          <w:rFonts w:ascii="Times New Roman" w:hAnsi="Times New Roman" w:cs="Times New Roman"/>
          <w:sz w:val="24"/>
          <w:szCs w:val="24"/>
        </w:rPr>
      </w:pPr>
      <w:r>
        <w:rPr>
          <w:rFonts w:ascii="Times New Roman" w:hAnsi="Times New Roman" w:cs="Times New Roman"/>
          <w:sz w:val="24"/>
          <w:szCs w:val="24"/>
        </w:rPr>
        <w:t>The information technology to meet the information collection requirements is not specifically covered in the Reliability Standard.</w:t>
      </w:r>
    </w:p>
    <w:p w14:paraId="2AA4616C" w14:textId="77777777" w:rsidR="00466C57" w:rsidRPr="00EB3E6F" w:rsidRDefault="00466C57" w:rsidP="00EB3E6F">
      <w:pPr>
        <w:spacing w:after="0"/>
        <w:rPr>
          <w:rFonts w:ascii="Times New Roman" w:hAnsi="Times New Roman" w:cs="Times New Roman"/>
          <w:sz w:val="24"/>
          <w:szCs w:val="24"/>
        </w:rPr>
      </w:pPr>
    </w:p>
    <w:p w14:paraId="7F3A435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79379D3A" w14:textId="77777777" w:rsidR="00EB3E6F" w:rsidRDefault="00EB3E6F" w:rsidP="00EB3E6F">
      <w:pPr>
        <w:spacing w:after="0"/>
        <w:rPr>
          <w:rFonts w:ascii="Times New Roman" w:hAnsi="Times New Roman" w:cs="Times New Roman"/>
          <w:sz w:val="24"/>
          <w:szCs w:val="24"/>
        </w:rPr>
      </w:pPr>
    </w:p>
    <w:p w14:paraId="2FB02FDA" w14:textId="77777777"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The Commission periodically reviews filing requirements concurrent with OMB review or as the Commission deems necessary to eliminate duplicative filing and</w:t>
      </w:r>
      <w:r>
        <w:rPr>
          <w:rFonts w:ascii="Times New Roman" w:hAnsi="Times New Roman" w:cs="Times New Roman"/>
          <w:sz w:val="24"/>
          <w:szCs w:val="24"/>
        </w:rPr>
        <w:t xml:space="preserve"> to minimize the filing burden.  The Commission is unaware of any other source of information related to bulk-electric system physical security.</w:t>
      </w:r>
    </w:p>
    <w:p w14:paraId="0802EA7E" w14:textId="77777777" w:rsidR="00466C57" w:rsidRPr="00EB3E6F" w:rsidRDefault="00466C57" w:rsidP="00EB3E6F">
      <w:pPr>
        <w:spacing w:after="0"/>
        <w:rPr>
          <w:rFonts w:ascii="Times New Roman" w:hAnsi="Times New Roman" w:cs="Times New Roman"/>
          <w:sz w:val="24"/>
          <w:szCs w:val="24"/>
        </w:rPr>
      </w:pPr>
    </w:p>
    <w:p w14:paraId="72EA9393"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2C2C6A43" w14:textId="77777777" w:rsidR="00EB3E6F" w:rsidRDefault="00EB3E6F" w:rsidP="00EB3E6F">
      <w:pPr>
        <w:spacing w:after="0"/>
        <w:rPr>
          <w:rFonts w:ascii="Times New Roman" w:hAnsi="Times New Roman" w:cs="Times New Roman"/>
          <w:sz w:val="24"/>
          <w:szCs w:val="24"/>
        </w:rPr>
      </w:pPr>
    </w:p>
    <w:p w14:paraId="07808E18" w14:textId="77777777"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5"/>
      </w:r>
      <w:r w:rsidRPr="00A44AE9">
        <w:rPr>
          <w:rFonts w:ascii="Times New Roman" w:hAnsi="Times New Roman" w:cs="Times New Roman"/>
          <w:sz w:val="24"/>
          <w:szCs w:val="24"/>
        </w:rPr>
        <w:t>.</w:t>
      </w:r>
    </w:p>
    <w:p w14:paraId="6313B5C9" w14:textId="77777777" w:rsidR="001348AC" w:rsidRPr="00EB3E6F" w:rsidRDefault="001348AC" w:rsidP="00EB3E6F">
      <w:pPr>
        <w:spacing w:after="0"/>
        <w:rPr>
          <w:rFonts w:ascii="Times New Roman" w:hAnsi="Times New Roman" w:cs="Times New Roman"/>
          <w:sz w:val="24"/>
          <w:szCs w:val="24"/>
        </w:rPr>
      </w:pPr>
    </w:p>
    <w:p w14:paraId="0631BAC3"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3CD67D0B" w14:textId="77777777" w:rsidR="00EB3E6F" w:rsidRDefault="00EB3E6F" w:rsidP="00EB3E6F">
      <w:pPr>
        <w:spacing w:after="0"/>
        <w:rPr>
          <w:rFonts w:ascii="Times New Roman" w:hAnsi="Times New Roman" w:cs="Times New Roman"/>
          <w:sz w:val="24"/>
          <w:szCs w:val="24"/>
        </w:rPr>
      </w:pPr>
    </w:p>
    <w:p w14:paraId="0B87DD4D" w14:textId="357EDA12" w:rsidR="00CF759C" w:rsidRDefault="000517E2" w:rsidP="00EB3E6F">
      <w:pPr>
        <w:spacing w:after="0"/>
        <w:rPr>
          <w:rFonts w:ascii="Times New Roman" w:hAnsi="Times New Roman" w:cs="Times New Roman"/>
          <w:sz w:val="24"/>
          <w:szCs w:val="24"/>
        </w:rPr>
      </w:pPr>
      <w:r>
        <w:rPr>
          <w:rFonts w:ascii="Times New Roman" w:hAnsi="Times New Roman" w:cs="Times New Roman"/>
          <w:sz w:val="24"/>
          <w:szCs w:val="24"/>
        </w:rPr>
        <w:t>The</w:t>
      </w:r>
      <w:r w:rsidR="00297631">
        <w:rPr>
          <w:rFonts w:ascii="Times New Roman" w:hAnsi="Times New Roman" w:cs="Times New Roman"/>
          <w:sz w:val="24"/>
          <w:szCs w:val="24"/>
        </w:rPr>
        <w:t xml:space="preserve"> Reliability Standard provides consistent documentation and information sharing practices for demand and energy data while promoting efficient planning practices across industry and supporting identification of necessary system reinforcements.  As stated earlier, all of this would be hindered if th</w:t>
      </w:r>
      <w:r w:rsidR="00FF69D6">
        <w:rPr>
          <w:rFonts w:ascii="Times New Roman" w:hAnsi="Times New Roman" w:cs="Times New Roman"/>
          <w:sz w:val="24"/>
          <w:szCs w:val="24"/>
        </w:rPr>
        <w:t>is</w:t>
      </w:r>
      <w:r w:rsidR="00297631">
        <w:rPr>
          <w:rFonts w:ascii="Times New Roman" w:hAnsi="Times New Roman" w:cs="Times New Roman"/>
          <w:sz w:val="24"/>
          <w:szCs w:val="24"/>
        </w:rPr>
        <w:t xml:space="preserve"> collection of information were discontinued</w:t>
      </w:r>
      <w:r w:rsidR="007E3C37">
        <w:rPr>
          <w:rFonts w:ascii="Times New Roman" w:hAnsi="Times New Roman" w:cs="Times New Roman"/>
          <w:sz w:val="24"/>
          <w:szCs w:val="24"/>
        </w:rPr>
        <w:t xml:space="preserve"> or conducted less frequently</w:t>
      </w:r>
      <w:r w:rsidR="00297631">
        <w:rPr>
          <w:rFonts w:ascii="Times New Roman" w:hAnsi="Times New Roman" w:cs="Times New Roman"/>
          <w:sz w:val="24"/>
          <w:szCs w:val="24"/>
        </w:rPr>
        <w:t>.</w:t>
      </w:r>
    </w:p>
    <w:p w14:paraId="76417F54" w14:textId="77777777" w:rsidR="00297631" w:rsidRPr="00EB3E6F" w:rsidRDefault="00297631" w:rsidP="00EB3E6F">
      <w:pPr>
        <w:spacing w:after="0"/>
        <w:rPr>
          <w:rFonts w:ascii="Times New Roman" w:hAnsi="Times New Roman" w:cs="Times New Roman"/>
          <w:sz w:val="24"/>
          <w:szCs w:val="24"/>
        </w:rPr>
      </w:pPr>
    </w:p>
    <w:p w14:paraId="49BEA7BC"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3235B8A1" w14:textId="77777777" w:rsidR="00EB3E6F" w:rsidRDefault="00EB3E6F" w:rsidP="00EB3E6F">
      <w:pPr>
        <w:spacing w:after="0"/>
        <w:rPr>
          <w:rFonts w:ascii="Times New Roman" w:hAnsi="Times New Roman" w:cs="Times New Roman"/>
          <w:sz w:val="24"/>
          <w:szCs w:val="24"/>
        </w:rPr>
      </w:pPr>
    </w:p>
    <w:p w14:paraId="51F8D074" w14:textId="626F0D64" w:rsidR="00EB3E6F" w:rsidRDefault="00C61E8F" w:rsidP="00EB3E6F">
      <w:pPr>
        <w:spacing w:after="0"/>
        <w:rPr>
          <w:rFonts w:ascii="Times New Roman" w:hAnsi="Times New Roman" w:cs="Times New Roman"/>
          <w:sz w:val="24"/>
          <w:szCs w:val="24"/>
        </w:rPr>
      </w:pPr>
      <w:r>
        <w:rPr>
          <w:rFonts w:ascii="Times New Roman" w:hAnsi="Times New Roman" w:cs="Times New Roman"/>
          <w:sz w:val="24"/>
          <w:szCs w:val="24"/>
        </w:rPr>
        <w:t xml:space="preserve">There are no special circumstances </w:t>
      </w:r>
      <w:r w:rsidR="000A49C8">
        <w:rPr>
          <w:rFonts w:ascii="Times New Roman" w:hAnsi="Times New Roman" w:cs="Times New Roman"/>
          <w:sz w:val="24"/>
          <w:szCs w:val="24"/>
        </w:rPr>
        <w:t>related to the FERC-725X</w:t>
      </w:r>
      <w:r w:rsidR="00D43F0E">
        <w:rPr>
          <w:rFonts w:ascii="Times New Roman" w:hAnsi="Times New Roman" w:cs="Times New Roman"/>
          <w:sz w:val="24"/>
          <w:szCs w:val="24"/>
        </w:rPr>
        <w:t xml:space="preserve"> information collection.</w:t>
      </w:r>
    </w:p>
    <w:p w14:paraId="5161D56B" w14:textId="77777777" w:rsidR="008D310F" w:rsidRPr="00EB3E6F" w:rsidRDefault="008D310F" w:rsidP="00EB3E6F">
      <w:pPr>
        <w:spacing w:after="0"/>
        <w:rPr>
          <w:rFonts w:ascii="Times New Roman" w:hAnsi="Times New Roman" w:cs="Times New Roman"/>
          <w:sz w:val="24"/>
          <w:szCs w:val="24"/>
        </w:rPr>
      </w:pPr>
    </w:p>
    <w:p w14:paraId="31455D90"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4D23222C" w14:textId="77777777" w:rsidR="00EB3E6F" w:rsidRDefault="00EB3E6F" w:rsidP="00EB3E6F">
      <w:pPr>
        <w:spacing w:after="0"/>
        <w:rPr>
          <w:rFonts w:ascii="Times New Roman" w:hAnsi="Times New Roman" w:cs="Times New Roman"/>
          <w:sz w:val="24"/>
          <w:szCs w:val="24"/>
        </w:rPr>
      </w:pPr>
    </w:p>
    <w:p w14:paraId="58C70201" w14:textId="77777777" w:rsidR="00D43F0E" w:rsidRPr="00A44AE9" w:rsidRDefault="00D43F0E" w:rsidP="00D43F0E">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sidRPr="006400AE">
        <w:rPr>
          <w:rStyle w:val="FootnoteReference"/>
          <w:rFonts w:ascii="Times New Roman" w:hAnsi="Times New Roman" w:cs="Times New Roman"/>
          <w:sz w:val="24"/>
          <w:szCs w:val="24"/>
          <w:vertAlign w:val="superscript"/>
        </w:rPr>
        <w:footnoteReference w:id="6"/>
      </w:r>
      <w:r w:rsidRPr="00A44AE9">
        <w:rPr>
          <w:rFonts w:ascii="Times New Roman" w:hAnsi="Times New Roman" w:cs="Times New Roman"/>
          <w:sz w:val="24"/>
          <w:szCs w:val="24"/>
        </w:rPr>
        <w:t xml:space="preserve">  The </w:t>
      </w:r>
      <w:r>
        <w:rPr>
          <w:rFonts w:ascii="Times New Roman" w:hAnsi="Times New Roman" w:cs="Times New Roman"/>
          <w:sz w:val="24"/>
          <w:szCs w:val="24"/>
        </w:rPr>
        <w:t>NERC-</w:t>
      </w:r>
      <w:r w:rsidRPr="00A44AE9">
        <w:rPr>
          <w:rFonts w:ascii="Times New Roman" w:hAnsi="Times New Roman" w:cs="Times New Roman"/>
          <w:sz w:val="24"/>
          <w:szCs w:val="24"/>
        </w:rPr>
        <w:t xml:space="preserve">approved </w:t>
      </w:r>
      <w:r>
        <w:rPr>
          <w:rFonts w:ascii="Times New Roman" w:hAnsi="Times New Roman" w:cs="Times New Roman"/>
          <w:sz w:val="24"/>
          <w:szCs w:val="24"/>
        </w:rPr>
        <w:t>R</w:t>
      </w:r>
      <w:r w:rsidRPr="00A44AE9">
        <w:rPr>
          <w:rFonts w:ascii="Times New Roman" w:hAnsi="Times New Roman" w:cs="Times New Roman"/>
          <w:sz w:val="24"/>
          <w:szCs w:val="24"/>
        </w:rPr>
        <w:t xml:space="preserve">eliability </w:t>
      </w:r>
      <w:r>
        <w:rPr>
          <w:rFonts w:ascii="Times New Roman" w:hAnsi="Times New Roman" w:cs="Times New Roman"/>
          <w:sz w:val="24"/>
          <w:szCs w:val="24"/>
        </w:rPr>
        <w:t>S</w:t>
      </w:r>
      <w:r w:rsidRPr="00A44AE9">
        <w:rPr>
          <w:rFonts w:ascii="Times New Roman" w:hAnsi="Times New Roman" w:cs="Times New Roman"/>
          <w:sz w:val="24"/>
          <w:szCs w:val="24"/>
        </w:rPr>
        <w:t xml:space="preserve">tandards were </w:t>
      </w:r>
      <w:r>
        <w:rPr>
          <w:rFonts w:ascii="Times New Roman" w:hAnsi="Times New Roman" w:cs="Times New Roman"/>
          <w:sz w:val="24"/>
          <w:szCs w:val="24"/>
        </w:rPr>
        <w:t xml:space="preserve">then </w:t>
      </w:r>
      <w:r w:rsidRPr="00A44AE9">
        <w:rPr>
          <w:rFonts w:ascii="Times New Roman" w:hAnsi="Times New Roman" w:cs="Times New Roman"/>
          <w:sz w:val="24"/>
          <w:szCs w:val="24"/>
        </w:rPr>
        <w:t>submitted by NERC to the</w:t>
      </w:r>
      <w:r>
        <w:rPr>
          <w:rFonts w:ascii="Times New Roman" w:hAnsi="Times New Roman" w:cs="Times New Roman"/>
          <w:sz w:val="24"/>
          <w:szCs w:val="24"/>
        </w:rPr>
        <w:t xml:space="preserve"> FERC for review and approval.</w:t>
      </w:r>
    </w:p>
    <w:p w14:paraId="65A4CC8F" w14:textId="77777777" w:rsidR="00D43F0E" w:rsidRPr="00A44AE9" w:rsidRDefault="00D43F0E" w:rsidP="00D43F0E">
      <w:pPr>
        <w:spacing w:after="0"/>
        <w:rPr>
          <w:rFonts w:ascii="Times New Roman" w:hAnsi="Times New Roman" w:cs="Times New Roman"/>
          <w:sz w:val="24"/>
          <w:szCs w:val="24"/>
        </w:rPr>
      </w:pPr>
    </w:p>
    <w:p w14:paraId="7E486EE0" w14:textId="2D18D2C6" w:rsidR="00D43F0E" w:rsidRDefault="00D43F0E" w:rsidP="00D43F0E">
      <w:pPr>
        <w:autoSpaceDE w:val="0"/>
        <w:autoSpaceDN w:val="0"/>
        <w:adjustRightInd w:val="0"/>
        <w:spacing w:after="0"/>
        <w:rPr>
          <w:rFonts w:ascii="Times New Roman" w:hAnsi="Times New Roman" w:cs="Times New Roman"/>
          <w:sz w:val="24"/>
          <w:szCs w:val="24"/>
        </w:rPr>
      </w:pPr>
      <w:r w:rsidRPr="00D4396D">
        <w:rPr>
          <w:rFonts w:ascii="Times New Roman" w:hAnsi="Times New Roman" w:cs="Times New Roman"/>
          <w:sz w:val="24"/>
          <w:szCs w:val="24"/>
        </w:rPr>
        <w:t>In accordance with OMB requirements, the Commi</w:t>
      </w:r>
      <w:r>
        <w:rPr>
          <w:rFonts w:ascii="Times New Roman" w:hAnsi="Times New Roman" w:cs="Times New Roman"/>
          <w:sz w:val="24"/>
          <w:szCs w:val="24"/>
        </w:rPr>
        <w:t>ssion published a 60-day notice</w:t>
      </w:r>
      <w:r w:rsidRPr="00D4396D">
        <w:rPr>
          <w:rStyle w:val="FootnoteReference"/>
          <w:rFonts w:ascii="Times New Roman" w:hAnsi="Times New Roman" w:cs="Times New Roman"/>
          <w:sz w:val="24"/>
          <w:szCs w:val="24"/>
          <w:vertAlign w:val="superscript"/>
        </w:rPr>
        <w:footnoteReference w:id="7"/>
      </w:r>
      <w:r>
        <w:rPr>
          <w:rFonts w:ascii="Times New Roman" w:hAnsi="Times New Roman" w:cs="Times New Roman"/>
          <w:sz w:val="24"/>
          <w:szCs w:val="24"/>
        </w:rPr>
        <w:t xml:space="preserve"> and a 30-day notice</w:t>
      </w:r>
      <w:r w:rsidRPr="009C06CD">
        <w:rPr>
          <w:rStyle w:val="FootnoteReference"/>
          <w:rFonts w:ascii="Times New Roman" w:hAnsi="Times New Roman" w:cs="Times New Roman"/>
          <w:sz w:val="24"/>
          <w:szCs w:val="24"/>
          <w:vertAlign w:val="superscript"/>
        </w:rPr>
        <w:footnoteReference w:id="8"/>
      </w:r>
      <w:r w:rsidRPr="00D4396D">
        <w:rPr>
          <w:rFonts w:ascii="Times New Roman" w:hAnsi="Times New Roman" w:cs="Times New Roman"/>
          <w:sz w:val="24"/>
          <w:szCs w:val="24"/>
        </w:rPr>
        <w:t xml:space="preserve"> to the public regarding thi</w:t>
      </w:r>
      <w:r w:rsidR="000A49C8">
        <w:rPr>
          <w:rFonts w:ascii="Times New Roman" w:hAnsi="Times New Roman" w:cs="Times New Roman"/>
          <w:sz w:val="24"/>
          <w:szCs w:val="24"/>
        </w:rPr>
        <w:t>s information collection on 2/7/2018 and 4/25</w:t>
      </w:r>
      <w:r>
        <w:rPr>
          <w:rFonts w:ascii="Times New Roman" w:hAnsi="Times New Roman" w:cs="Times New Roman"/>
          <w:sz w:val="24"/>
          <w:szCs w:val="24"/>
        </w:rPr>
        <w:t>/2018</w:t>
      </w:r>
      <w:r w:rsidRPr="00D4396D">
        <w:rPr>
          <w:rFonts w:ascii="Times New Roman" w:hAnsi="Times New Roman" w:cs="Times New Roman"/>
          <w:sz w:val="24"/>
          <w:szCs w:val="24"/>
        </w:rPr>
        <w:t xml:space="preserve"> respectively.  Within the public notices, the Commission noted that it would be requesting a three-year extension of the public reporting burden.</w:t>
      </w:r>
      <w:r>
        <w:rPr>
          <w:rFonts w:ascii="Times New Roman" w:hAnsi="Times New Roman" w:cs="Times New Roman"/>
          <w:sz w:val="24"/>
          <w:szCs w:val="24"/>
        </w:rPr>
        <w:t xml:space="preserve"> The Commission received no comments from the public in response to </w:t>
      </w:r>
      <w:r w:rsidR="00744A3C">
        <w:rPr>
          <w:rFonts w:ascii="Times New Roman" w:hAnsi="Times New Roman" w:cs="Times New Roman"/>
          <w:sz w:val="24"/>
          <w:szCs w:val="24"/>
        </w:rPr>
        <w:t>the 60-day</w:t>
      </w:r>
      <w:r w:rsidR="000A49C8">
        <w:rPr>
          <w:rFonts w:ascii="Times New Roman" w:hAnsi="Times New Roman" w:cs="Times New Roman"/>
          <w:sz w:val="24"/>
          <w:szCs w:val="24"/>
        </w:rPr>
        <w:t xml:space="preserve"> notice regarding the FERC-725X</w:t>
      </w:r>
      <w:r>
        <w:rPr>
          <w:rFonts w:ascii="Times New Roman" w:hAnsi="Times New Roman" w:cs="Times New Roman"/>
          <w:sz w:val="24"/>
          <w:szCs w:val="24"/>
        </w:rPr>
        <w:t xml:space="preserve"> information collection.</w:t>
      </w:r>
    </w:p>
    <w:p w14:paraId="45339A23" w14:textId="595D6301" w:rsidR="00EB3E6F" w:rsidRPr="00EB3E6F" w:rsidRDefault="00EB3E6F" w:rsidP="00EB3E6F">
      <w:pPr>
        <w:spacing w:after="0"/>
        <w:rPr>
          <w:rFonts w:ascii="Times New Roman" w:hAnsi="Times New Roman" w:cs="Times New Roman"/>
          <w:sz w:val="24"/>
          <w:szCs w:val="24"/>
        </w:rPr>
      </w:pPr>
    </w:p>
    <w:p w14:paraId="67AD048F"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7394C59A" w14:textId="77777777" w:rsidR="00D80FBD" w:rsidRDefault="00D80FBD" w:rsidP="00D80FBD">
      <w:pPr>
        <w:spacing w:after="0"/>
        <w:rPr>
          <w:rFonts w:ascii="Times New Roman" w:hAnsi="Times New Roman" w:cs="Times New Roman"/>
          <w:sz w:val="24"/>
          <w:szCs w:val="24"/>
        </w:rPr>
      </w:pPr>
    </w:p>
    <w:p w14:paraId="2D6D951D" w14:textId="77777777" w:rsidR="00D80FBD" w:rsidRDefault="008D310F" w:rsidP="00D80FBD">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B9413E">
        <w:rPr>
          <w:rFonts w:ascii="Times New Roman" w:hAnsi="Times New Roman" w:cs="Times New Roman"/>
          <w:sz w:val="24"/>
          <w:szCs w:val="24"/>
        </w:rPr>
        <w:t>is</w:t>
      </w:r>
      <w:r w:rsidRPr="008D310F">
        <w:rPr>
          <w:rFonts w:ascii="Times New Roman" w:hAnsi="Times New Roman" w:cs="Times New Roman"/>
          <w:sz w:val="24"/>
          <w:szCs w:val="24"/>
        </w:rPr>
        <w:t xml:space="preserve"> collection.</w:t>
      </w:r>
    </w:p>
    <w:p w14:paraId="5FFE503A" w14:textId="77777777" w:rsidR="008D310F" w:rsidRPr="00D80FBD" w:rsidRDefault="008D310F" w:rsidP="00D80FBD">
      <w:pPr>
        <w:spacing w:after="0"/>
        <w:rPr>
          <w:rFonts w:ascii="Times New Roman" w:hAnsi="Times New Roman" w:cs="Times New Roman"/>
          <w:sz w:val="24"/>
          <w:szCs w:val="24"/>
        </w:rPr>
      </w:pPr>
    </w:p>
    <w:p w14:paraId="3A58A0FB"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752483D7" w14:textId="77777777" w:rsidR="00D80FBD" w:rsidRDefault="00D80FBD" w:rsidP="00D80FBD">
      <w:pPr>
        <w:spacing w:after="0"/>
        <w:rPr>
          <w:rFonts w:ascii="Times New Roman" w:hAnsi="Times New Roman" w:cs="Times New Roman"/>
          <w:sz w:val="24"/>
          <w:szCs w:val="24"/>
        </w:rPr>
      </w:pPr>
    </w:p>
    <w:p w14:paraId="14E2B3F6" w14:textId="77777777"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 xml:space="preserve">According to the </w:t>
      </w:r>
      <w:r w:rsidRPr="00147F3A">
        <w:rPr>
          <w:rFonts w:ascii="Times New Roman" w:hAnsi="Times New Roman" w:cs="Times New Roman"/>
          <w:sz w:val="24"/>
          <w:szCs w:val="24"/>
        </w:rPr>
        <w:t>NERC Rule of Procedure</w:t>
      </w:r>
      <w:r w:rsidRPr="001507E4">
        <w:rPr>
          <w:rStyle w:val="FootnoteReference"/>
          <w:rFonts w:ascii="Times New Roman" w:hAnsi="Times New Roman" w:cs="Times New Roman"/>
          <w:sz w:val="24"/>
          <w:szCs w:val="24"/>
          <w:vertAlign w:val="superscript"/>
        </w:rPr>
        <w:footnoteReference w:id="9"/>
      </w:r>
      <w:r w:rsidRPr="00147F3A">
        <w:rPr>
          <w:rFonts w:ascii="Times New Roman" w:hAnsi="Times New Roman" w:cs="Times New Roman"/>
          <w:sz w:val="24"/>
          <w:szCs w:val="24"/>
        </w:rPr>
        <w:t>, “…a Receiving Entity shall keep in confidence and not copy, disclose, or distribute any Confidential</w:t>
      </w:r>
      <w:r>
        <w:rPr>
          <w:rFonts w:ascii="Times New Roman" w:hAnsi="Times New Roman" w:cs="Times New Roman"/>
          <w:sz w:val="24"/>
          <w:szCs w:val="24"/>
        </w:rPr>
        <w:t xml:space="preserve"> Information or any part thereof without the permission of the Submitting Entity, except as otherwise legally required.”  This serves to protect confidential information submitted to NERC or Regional Entities.</w:t>
      </w:r>
    </w:p>
    <w:p w14:paraId="581EAAB9" w14:textId="77777777" w:rsidR="002C1BFB" w:rsidRDefault="002C1BFB" w:rsidP="002C1BFB">
      <w:pPr>
        <w:spacing w:after="0"/>
        <w:rPr>
          <w:rFonts w:ascii="Times New Roman" w:hAnsi="Times New Roman" w:cs="Times New Roman"/>
          <w:sz w:val="24"/>
          <w:szCs w:val="24"/>
        </w:rPr>
      </w:pPr>
    </w:p>
    <w:p w14:paraId="2B886A8D" w14:textId="27A5CA86" w:rsidR="002C1BFB" w:rsidRDefault="002C1BFB" w:rsidP="002C1BFB">
      <w:pPr>
        <w:spacing w:after="0"/>
        <w:rPr>
          <w:rFonts w:ascii="Times New Roman" w:hAnsi="Times New Roman" w:cs="Times New Roman"/>
          <w:sz w:val="24"/>
          <w:szCs w:val="24"/>
        </w:rPr>
      </w:pPr>
      <w:r>
        <w:rPr>
          <w:rFonts w:ascii="Times New Roman" w:hAnsi="Times New Roman" w:cs="Times New Roman"/>
          <w:sz w:val="24"/>
          <w:szCs w:val="24"/>
        </w:rPr>
        <w:t>Responding entities do not submit the informat</w:t>
      </w:r>
      <w:r w:rsidR="00952D21">
        <w:rPr>
          <w:rFonts w:ascii="Times New Roman" w:hAnsi="Times New Roman" w:cs="Times New Roman"/>
          <w:sz w:val="24"/>
          <w:szCs w:val="24"/>
        </w:rPr>
        <w:t>ion collected under the</w:t>
      </w:r>
      <w:r w:rsidR="006437A2">
        <w:rPr>
          <w:rFonts w:ascii="Times New Roman" w:hAnsi="Times New Roman" w:cs="Times New Roman"/>
          <w:sz w:val="24"/>
          <w:szCs w:val="24"/>
        </w:rPr>
        <w:t>se</w:t>
      </w:r>
      <w:r>
        <w:rPr>
          <w:rFonts w:ascii="Times New Roman" w:hAnsi="Times New Roman" w:cs="Times New Roman"/>
          <w:sz w:val="24"/>
          <w:szCs w:val="24"/>
        </w:rPr>
        <w:t xml:space="preserve"> Reliability Standard</w:t>
      </w:r>
      <w:r w:rsidR="006437A2">
        <w:rPr>
          <w:rFonts w:ascii="Times New Roman" w:hAnsi="Times New Roman" w:cs="Times New Roman"/>
          <w:sz w:val="24"/>
          <w:szCs w:val="24"/>
        </w:rPr>
        <w:t>s</w:t>
      </w:r>
      <w:r>
        <w:rPr>
          <w:rFonts w:ascii="Times New Roman" w:hAnsi="Times New Roman" w:cs="Times New Roman"/>
          <w:sz w:val="24"/>
          <w:szCs w:val="24"/>
        </w:rPr>
        <w:t xml:space="preserve"> to FERC.  Rather, they maintain it internally</w:t>
      </w:r>
      <w:r w:rsidR="00FF69D6">
        <w:rPr>
          <w:rFonts w:ascii="Times New Roman" w:hAnsi="Times New Roman" w:cs="Times New Roman"/>
          <w:sz w:val="24"/>
          <w:szCs w:val="24"/>
        </w:rPr>
        <w:t xml:space="preserve"> and provide information collected to applicable Regional Entities</w:t>
      </w:r>
      <w:r>
        <w:rPr>
          <w:rFonts w:ascii="Times New Roman" w:hAnsi="Times New Roman" w:cs="Times New Roman"/>
          <w:sz w:val="24"/>
          <w:szCs w:val="24"/>
        </w:rPr>
        <w:t xml:space="preserve">.  Since there are no submissions made to FERC, FERC provides no specific provisions in order to protect confidentiality. </w:t>
      </w:r>
    </w:p>
    <w:p w14:paraId="2B6C79EB" w14:textId="77777777" w:rsidR="008D310F" w:rsidRPr="00D80FBD" w:rsidRDefault="008D310F" w:rsidP="00D80FBD">
      <w:pPr>
        <w:spacing w:after="0"/>
        <w:rPr>
          <w:rFonts w:ascii="Times New Roman" w:hAnsi="Times New Roman" w:cs="Times New Roman"/>
          <w:sz w:val="24"/>
          <w:szCs w:val="24"/>
        </w:rPr>
      </w:pPr>
    </w:p>
    <w:p w14:paraId="7B8DE5EA"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004C5E0E" w:rsidRP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DBA2F08" w14:textId="77777777" w:rsidR="00D80FBD" w:rsidRDefault="00D80FBD" w:rsidP="00D80FBD">
      <w:pPr>
        <w:spacing w:after="0"/>
        <w:rPr>
          <w:rFonts w:ascii="Times New Roman" w:hAnsi="Times New Roman" w:cs="Times New Roman"/>
          <w:sz w:val="24"/>
          <w:szCs w:val="24"/>
        </w:rPr>
      </w:pPr>
    </w:p>
    <w:p w14:paraId="3AAB0479" w14:textId="77777777" w:rsidR="00D80FBD" w:rsidRDefault="0074195A"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4DD76322" w14:textId="77777777" w:rsidR="0074195A" w:rsidRPr="00D80FBD" w:rsidRDefault="0074195A" w:rsidP="00D80FBD">
      <w:pPr>
        <w:spacing w:after="0"/>
        <w:rPr>
          <w:rFonts w:ascii="Times New Roman" w:hAnsi="Times New Roman" w:cs="Times New Roman"/>
          <w:sz w:val="24"/>
          <w:szCs w:val="24"/>
        </w:rPr>
      </w:pPr>
    </w:p>
    <w:p w14:paraId="5B02ECA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0DE6E184" w14:textId="47194AFA" w:rsidR="00AE14A8" w:rsidRDefault="00AE14A8" w:rsidP="00D80FBD">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640365" w:rsidRPr="00640365" w14:paraId="20AC1ECE" w14:textId="77777777" w:rsidTr="007425EF">
        <w:trPr>
          <w:cantSplit/>
        </w:trPr>
        <w:tc>
          <w:tcPr>
            <w:tcW w:w="5000" w:type="pct"/>
            <w:gridSpan w:val="7"/>
            <w:tcBorders>
              <w:bottom w:val="single" w:sz="4" w:space="0" w:color="auto"/>
            </w:tcBorders>
            <w:shd w:val="clear" w:color="auto" w:fill="D9D9D9"/>
          </w:tcPr>
          <w:p w14:paraId="20560FE2"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FERC-725X, Mandatory Reliability Standards: Voltage and Reactive (VAR) Standards</w:t>
            </w:r>
          </w:p>
        </w:tc>
      </w:tr>
      <w:tr w:rsidR="00640365" w:rsidRPr="00640365" w14:paraId="4B3C6D4D" w14:textId="77777777" w:rsidTr="007425EF">
        <w:trPr>
          <w:cantSplit/>
        </w:trPr>
        <w:tc>
          <w:tcPr>
            <w:tcW w:w="878" w:type="pct"/>
            <w:shd w:val="clear" w:color="auto" w:fill="D9D9D9"/>
          </w:tcPr>
          <w:p w14:paraId="0626862D" w14:textId="77777777" w:rsidR="00640365" w:rsidRPr="00640365" w:rsidRDefault="00640365" w:rsidP="00640365">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0EF62ED0"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Number of Respondents</w:t>
            </w:r>
            <w:r w:rsidRPr="00640365">
              <w:rPr>
                <w:rFonts w:ascii="Times New Roman" w:eastAsia="Calibri" w:hAnsi="Times New Roman" w:cs="Times New Roman"/>
                <w:b/>
                <w:sz w:val="26"/>
                <w:szCs w:val="26"/>
                <w:vertAlign w:val="superscript"/>
              </w:rPr>
              <w:footnoteReference w:id="10"/>
            </w:r>
            <w:r w:rsidRPr="00640365">
              <w:rPr>
                <w:rFonts w:ascii="Times New Roman" w:eastAsia="Calibri" w:hAnsi="Times New Roman" w:cs="Times New Roman"/>
                <w:b/>
                <w:sz w:val="20"/>
                <w:szCs w:val="20"/>
              </w:rPr>
              <w:br/>
              <w:t>(1)</w:t>
            </w:r>
          </w:p>
        </w:tc>
        <w:tc>
          <w:tcPr>
            <w:tcW w:w="746" w:type="pct"/>
            <w:shd w:val="clear" w:color="auto" w:fill="D9D9D9"/>
            <w:vAlign w:val="bottom"/>
          </w:tcPr>
          <w:p w14:paraId="156E9976"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Annual Number of Responses per Respondent</w:t>
            </w:r>
          </w:p>
          <w:p w14:paraId="4F020AAD"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(2)</w:t>
            </w:r>
          </w:p>
        </w:tc>
        <w:tc>
          <w:tcPr>
            <w:tcW w:w="703" w:type="pct"/>
            <w:shd w:val="clear" w:color="auto" w:fill="D9D9D9"/>
            <w:vAlign w:val="bottom"/>
          </w:tcPr>
          <w:p w14:paraId="1C605B47"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Total Number of Responses (1)*(2)=(3)</w:t>
            </w:r>
          </w:p>
        </w:tc>
        <w:tc>
          <w:tcPr>
            <w:tcW w:w="654" w:type="pct"/>
            <w:shd w:val="clear" w:color="auto" w:fill="D9D9D9"/>
            <w:vAlign w:val="bottom"/>
          </w:tcPr>
          <w:p w14:paraId="379A70C2"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Average Burden &amp; Cost Per Response</w:t>
            </w:r>
            <w:r w:rsidRPr="00640365">
              <w:rPr>
                <w:rFonts w:ascii="Times New Roman" w:eastAsia="Calibri" w:hAnsi="Times New Roman" w:cs="Times New Roman"/>
                <w:b/>
                <w:sz w:val="26"/>
                <w:szCs w:val="26"/>
                <w:vertAlign w:val="superscript"/>
              </w:rPr>
              <w:footnoteReference w:id="11"/>
            </w:r>
          </w:p>
          <w:p w14:paraId="3AE4A4A2"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(4)</w:t>
            </w:r>
          </w:p>
        </w:tc>
        <w:tc>
          <w:tcPr>
            <w:tcW w:w="657" w:type="pct"/>
            <w:shd w:val="clear" w:color="auto" w:fill="D9D9D9"/>
            <w:vAlign w:val="bottom"/>
          </w:tcPr>
          <w:p w14:paraId="708CB2BD"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Total Annual Burden Hours &amp; Total Annual Cost</w:t>
            </w:r>
          </w:p>
          <w:p w14:paraId="60B1FF55"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(3)*(4)=(5)</w:t>
            </w:r>
          </w:p>
        </w:tc>
        <w:tc>
          <w:tcPr>
            <w:tcW w:w="616" w:type="pct"/>
            <w:shd w:val="clear" w:color="auto" w:fill="D9D9D9"/>
            <w:vAlign w:val="bottom"/>
          </w:tcPr>
          <w:p w14:paraId="279D57B1"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Cost per Respondent</w:t>
            </w:r>
          </w:p>
          <w:p w14:paraId="5A39E5C9"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 xml:space="preserve"> ($)</w:t>
            </w:r>
          </w:p>
          <w:p w14:paraId="7A312A9B" w14:textId="77777777" w:rsidR="00640365" w:rsidRPr="00640365" w:rsidRDefault="00640365" w:rsidP="00640365">
            <w:pPr>
              <w:spacing w:after="0" w:line="240" w:lineRule="auto"/>
              <w:jc w:val="center"/>
              <w:rPr>
                <w:rFonts w:ascii="Times New Roman" w:eastAsia="Calibri" w:hAnsi="Times New Roman" w:cs="Times New Roman"/>
                <w:b/>
                <w:sz w:val="20"/>
                <w:szCs w:val="20"/>
              </w:rPr>
            </w:pPr>
            <w:r w:rsidRPr="00640365">
              <w:rPr>
                <w:rFonts w:ascii="Times New Roman" w:eastAsia="Calibri" w:hAnsi="Times New Roman" w:cs="Times New Roman"/>
                <w:b/>
                <w:sz w:val="20"/>
                <w:szCs w:val="20"/>
              </w:rPr>
              <w:t>(5)÷(1)</w:t>
            </w:r>
          </w:p>
        </w:tc>
      </w:tr>
      <w:tr w:rsidR="00640365" w:rsidRPr="00640365" w14:paraId="705DD373" w14:textId="77777777" w:rsidTr="007425EF">
        <w:trPr>
          <w:cantSplit/>
        </w:trPr>
        <w:tc>
          <w:tcPr>
            <w:tcW w:w="878" w:type="pct"/>
          </w:tcPr>
          <w:p w14:paraId="6839F983" w14:textId="6F07CA8B" w:rsidR="00640365" w:rsidRPr="00640365" w:rsidRDefault="00640365" w:rsidP="00640365">
            <w:pPr>
              <w:spacing w:after="0" w:line="240" w:lineRule="auto"/>
              <w:rPr>
                <w:rFonts w:ascii="Times New Roman" w:eastAsia="Calibri" w:hAnsi="Times New Roman" w:cs="Times New Roman"/>
                <w:sz w:val="20"/>
                <w:szCs w:val="20"/>
              </w:rPr>
            </w:pPr>
            <w:r w:rsidRPr="00640365">
              <w:rPr>
                <w:rFonts w:ascii="Times New Roman" w:eastAsia="Calibri" w:hAnsi="Times New Roman" w:cs="Times New Roman"/>
                <w:sz w:val="20"/>
                <w:szCs w:val="20"/>
              </w:rPr>
              <w:t>VAR-001-4</w:t>
            </w:r>
            <w:r w:rsidR="009276A9">
              <w:rPr>
                <w:rFonts w:ascii="Times New Roman" w:eastAsia="Calibri" w:hAnsi="Times New Roman" w:cs="Times New Roman"/>
                <w:sz w:val="20"/>
                <w:szCs w:val="20"/>
              </w:rPr>
              <w:t>.2</w:t>
            </w:r>
          </w:p>
          <w:p w14:paraId="13260EEE" w14:textId="7275532D" w:rsidR="00640365" w:rsidRPr="00640365" w:rsidRDefault="00640365" w:rsidP="00640365">
            <w:pPr>
              <w:spacing w:after="0" w:line="240" w:lineRule="auto"/>
              <w:rPr>
                <w:rFonts w:ascii="Times New Roman" w:eastAsia="Calibri" w:hAnsi="Times New Roman" w:cs="Times New Roman"/>
                <w:sz w:val="20"/>
                <w:szCs w:val="20"/>
              </w:rPr>
            </w:pPr>
            <w:r w:rsidRPr="00640365">
              <w:rPr>
                <w:rFonts w:ascii="Times New Roman" w:eastAsia="Calibri" w:hAnsi="Times New Roman" w:cs="Times New Roman"/>
                <w:sz w:val="20"/>
                <w:szCs w:val="20"/>
              </w:rPr>
              <w:t>(Requirement</w:t>
            </w:r>
            <w:r w:rsidR="006E48BC">
              <w:rPr>
                <w:rFonts w:ascii="Times New Roman" w:eastAsia="Calibri" w:hAnsi="Times New Roman" w:cs="Times New Roman"/>
                <w:sz w:val="20"/>
                <w:szCs w:val="20"/>
              </w:rPr>
              <w:t>s</w:t>
            </w:r>
            <w:r w:rsidRPr="00640365">
              <w:rPr>
                <w:rFonts w:ascii="Times New Roman" w:eastAsia="Calibri" w:hAnsi="Times New Roman" w:cs="Times New Roman"/>
                <w:sz w:val="20"/>
                <w:szCs w:val="20"/>
              </w:rPr>
              <w:t xml:space="preserve"> R1-R6)</w:t>
            </w:r>
          </w:p>
        </w:tc>
        <w:tc>
          <w:tcPr>
            <w:tcW w:w="746" w:type="pct"/>
          </w:tcPr>
          <w:p w14:paraId="36176900"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181 (TOP)</w:t>
            </w:r>
          </w:p>
          <w:p w14:paraId="3B23E2BE" w14:textId="77777777" w:rsidR="00640365" w:rsidRPr="00640365" w:rsidRDefault="00640365" w:rsidP="00640365">
            <w:pPr>
              <w:spacing w:after="0" w:line="240" w:lineRule="auto"/>
              <w:jc w:val="right"/>
              <w:rPr>
                <w:rFonts w:ascii="Times New Roman" w:eastAsia="Calibri" w:hAnsi="Times New Roman" w:cs="Times New Roman"/>
                <w:sz w:val="20"/>
                <w:szCs w:val="20"/>
              </w:rPr>
            </w:pPr>
          </w:p>
        </w:tc>
        <w:tc>
          <w:tcPr>
            <w:tcW w:w="746" w:type="pct"/>
          </w:tcPr>
          <w:p w14:paraId="6ABE6046"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w:t>
            </w:r>
          </w:p>
        </w:tc>
        <w:tc>
          <w:tcPr>
            <w:tcW w:w="703" w:type="pct"/>
          </w:tcPr>
          <w:p w14:paraId="248041B0"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181</w:t>
            </w:r>
          </w:p>
        </w:tc>
        <w:tc>
          <w:tcPr>
            <w:tcW w:w="654" w:type="pct"/>
          </w:tcPr>
          <w:p w14:paraId="6764B1C3"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160 hrs.;</w:t>
            </w:r>
          </w:p>
          <w:p w14:paraId="1D0461DB"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$10,899.20</w:t>
            </w:r>
          </w:p>
        </w:tc>
        <w:tc>
          <w:tcPr>
            <w:tcW w:w="657" w:type="pct"/>
          </w:tcPr>
          <w:p w14:paraId="4C2AC422"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 xml:space="preserve"> 28,960 hrs.;</w:t>
            </w:r>
          </w:p>
          <w:p w14:paraId="1FB32153"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 xml:space="preserve">$1,972,755 </w:t>
            </w:r>
          </w:p>
        </w:tc>
        <w:tc>
          <w:tcPr>
            <w:tcW w:w="616" w:type="pct"/>
          </w:tcPr>
          <w:p w14:paraId="36121FE1"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$10,899.20</w:t>
            </w:r>
          </w:p>
        </w:tc>
      </w:tr>
      <w:tr w:rsidR="00640365" w:rsidRPr="00640365" w14:paraId="50509188" w14:textId="77777777" w:rsidTr="007425EF">
        <w:trPr>
          <w:cantSplit/>
        </w:trPr>
        <w:tc>
          <w:tcPr>
            <w:tcW w:w="878" w:type="pct"/>
          </w:tcPr>
          <w:p w14:paraId="5A85E560" w14:textId="33E3E63C" w:rsidR="00640365" w:rsidRPr="00640365" w:rsidRDefault="009276A9" w:rsidP="0064036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VAR-002-4.1</w:t>
            </w:r>
          </w:p>
          <w:p w14:paraId="5DBD84CA" w14:textId="77777777" w:rsidR="00640365" w:rsidRPr="00640365" w:rsidRDefault="00640365" w:rsidP="00640365">
            <w:pPr>
              <w:spacing w:after="0" w:line="240" w:lineRule="auto"/>
              <w:rPr>
                <w:rFonts w:ascii="Times New Roman" w:eastAsia="Calibri" w:hAnsi="Times New Roman" w:cs="Times New Roman"/>
                <w:sz w:val="20"/>
                <w:szCs w:val="20"/>
              </w:rPr>
            </w:pPr>
            <w:r w:rsidRPr="00640365">
              <w:rPr>
                <w:rFonts w:ascii="Times New Roman" w:eastAsia="Calibri" w:hAnsi="Times New Roman" w:cs="Times New Roman"/>
                <w:sz w:val="20"/>
                <w:szCs w:val="20"/>
              </w:rPr>
              <w:t>(Requirement R1)</w:t>
            </w:r>
          </w:p>
        </w:tc>
        <w:tc>
          <w:tcPr>
            <w:tcW w:w="746" w:type="pct"/>
          </w:tcPr>
          <w:p w14:paraId="4A9C2F52"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944 (GOP)</w:t>
            </w:r>
          </w:p>
        </w:tc>
        <w:tc>
          <w:tcPr>
            <w:tcW w:w="746" w:type="pct"/>
          </w:tcPr>
          <w:p w14:paraId="64D032E1"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w:t>
            </w:r>
          </w:p>
        </w:tc>
        <w:tc>
          <w:tcPr>
            <w:tcW w:w="703" w:type="pct"/>
          </w:tcPr>
          <w:p w14:paraId="223CD6A1"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944</w:t>
            </w:r>
          </w:p>
        </w:tc>
        <w:tc>
          <w:tcPr>
            <w:tcW w:w="654" w:type="pct"/>
          </w:tcPr>
          <w:p w14:paraId="13029FC1"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80 hrs.;</w:t>
            </w:r>
          </w:p>
          <w:p w14:paraId="66B76A9B"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$5,449.60</w:t>
            </w:r>
          </w:p>
        </w:tc>
        <w:tc>
          <w:tcPr>
            <w:tcW w:w="657" w:type="pct"/>
          </w:tcPr>
          <w:p w14:paraId="25819EB1"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75,520 hrs.;</w:t>
            </w:r>
          </w:p>
          <w:p w14:paraId="78B1B2BB"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$5,144,422</w:t>
            </w:r>
          </w:p>
        </w:tc>
        <w:tc>
          <w:tcPr>
            <w:tcW w:w="616" w:type="pct"/>
          </w:tcPr>
          <w:p w14:paraId="5422A63F"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$5,449.60</w:t>
            </w:r>
          </w:p>
        </w:tc>
      </w:tr>
      <w:tr w:rsidR="00640365" w:rsidRPr="00640365" w14:paraId="17939108" w14:textId="77777777" w:rsidTr="007425EF">
        <w:trPr>
          <w:cantSplit/>
        </w:trPr>
        <w:tc>
          <w:tcPr>
            <w:tcW w:w="878" w:type="pct"/>
          </w:tcPr>
          <w:p w14:paraId="3DEBF5A8" w14:textId="61825FE3" w:rsidR="00640365" w:rsidRPr="00640365" w:rsidRDefault="009276A9" w:rsidP="0064036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VAR-002-4.1</w:t>
            </w:r>
          </w:p>
          <w:p w14:paraId="203C1369" w14:textId="1A04C855" w:rsidR="00640365" w:rsidRPr="00640365" w:rsidRDefault="00640365" w:rsidP="00640365">
            <w:pPr>
              <w:spacing w:after="0" w:line="240" w:lineRule="auto"/>
              <w:rPr>
                <w:rFonts w:ascii="Times New Roman" w:eastAsia="Calibri" w:hAnsi="Times New Roman" w:cs="Times New Roman"/>
                <w:sz w:val="20"/>
                <w:szCs w:val="20"/>
              </w:rPr>
            </w:pPr>
            <w:r w:rsidRPr="00640365">
              <w:rPr>
                <w:rFonts w:ascii="Times New Roman" w:eastAsia="Calibri" w:hAnsi="Times New Roman" w:cs="Times New Roman"/>
                <w:sz w:val="20"/>
                <w:szCs w:val="20"/>
              </w:rPr>
              <w:t>(Requirement</w:t>
            </w:r>
            <w:r w:rsidR="006E48BC">
              <w:rPr>
                <w:rFonts w:ascii="Times New Roman" w:eastAsia="Calibri" w:hAnsi="Times New Roman" w:cs="Times New Roman"/>
                <w:sz w:val="20"/>
                <w:szCs w:val="20"/>
              </w:rPr>
              <w:t>s</w:t>
            </w:r>
            <w:r w:rsidRPr="00640365">
              <w:rPr>
                <w:rFonts w:ascii="Times New Roman" w:eastAsia="Calibri" w:hAnsi="Times New Roman" w:cs="Times New Roman"/>
                <w:sz w:val="20"/>
                <w:szCs w:val="20"/>
              </w:rPr>
              <w:t xml:space="preserve"> R2-R6)</w:t>
            </w:r>
          </w:p>
        </w:tc>
        <w:tc>
          <w:tcPr>
            <w:tcW w:w="746" w:type="pct"/>
          </w:tcPr>
          <w:p w14:paraId="3BC173C5"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944 (GOP)</w:t>
            </w:r>
          </w:p>
        </w:tc>
        <w:tc>
          <w:tcPr>
            <w:tcW w:w="746" w:type="pct"/>
          </w:tcPr>
          <w:p w14:paraId="07831121"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w:t>
            </w:r>
          </w:p>
        </w:tc>
        <w:tc>
          <w:tcPr>
            <w:tcW w:w="703" w:type="pct"/>
          </w:tcPr>
          <w:p w14:paraId="4A34DA2E"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944</w:t>
            </w:r>
          </w:p>
        </w:tc>
        <w:tc>
          <w:tcPr>
            <w:tcW w:w="654" w:type="pct"/>
          </w:tcPr>
          <w:p w14:paraId="68A30394"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120 hrs.;</w:t>
            </w:r>
          </w:p>
          <w:p w14:paraId="50CD420C"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$8,174.40</w:t>
            </w:r>
          </w:p>
          <w:p w14:paraId="6D6B94CF" w14:textId="77777777" w:rsidR="00640365" w:rsidRPr="00640365" w:rsidRDefault="00640365" w:rsidP="00640365">
            <w:pPr>
              <w:spacing w:after="0" w:line="240" w:lineRule="auto"/>
              <w:jc w:val="right"/>
              <w:rPr>
                <w:rFonts w:ascii="Times New Roman" w:eastAsia="Calibri" w:hAnsi="Times New Roman" w:cs="Times New Roman"/>
                <w:sz w:val="20"/>
                <w:szCs w:val="20"/>
              </w:rPr>
            </w:pPr>
          </w:p>
        </w:tc>
        <w:tc>
          <w:tcPr>
            <w:tcW w:w="657" w:type="pct"/>
          </w:tcPr>
          <w:p w14:paraId="5338A9DB"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113,280 hrs.;</w:t>
            </w:r>
          </w:p>
          <w:p w14:paraId="3FD91CB0"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$7,716,634</w:t>
            </w:r>
          </w:p>
        </w:tc>
        <w:tc>
          <w:tcPr>
            <w:tcW w:w="616" w:type="pct"/>
          </w:tcPr>
          <w:p w14:paraId="072E5585" w14:textId="77777777" w:rsidR="00640365" w:rsidRPr="00640365" w:rsidRDefault="00640365" w:rsidP="00640365">
            <w:pPr>
              <w:spacing w:after="0" w:line="240" w:lineRule="auto"/>
              <w:jc w:val="right"/>
              <w:rPr>
                <w:rFonts w:ascii="Times New Roman" w:eastAsia="Calibri" w:hAnsi="Times New Roman" w:cs="Times New Roman"/>
                <w:sz w:val="20"/>
                <w:szCs w:val="20"/>
              </w:rPr>
            </w:pPr>
            <w:r w:rsidRPr="00640365">
              <w:rPr>
                <w:rFonts w:ascii="Times New Roman" w:eastAsia="Calibri" w:hAnsi="Times New Roman" w:cs="Times New Roman"/>
                <w:sz w:val="20"/>
                <w:szCs w:val="20"/>
              </w:rPr>
              <w:t>$8,174.40</w:t>
            </w:r>
          </w:p>
        </w:tc>
      </w:tr>
      <w:tr w:rsidR="00640365" w:rsidRPr="00640365" w14:paraId="5AB0DBAE" w14:textId="77777777" w:rsidTr="007425EF">
        <w:trPr>
          <w:cantSplit/>
          <w:trHeight w:val="485"/>
        </w:trPr>
        <w:tc>
          <w:tcPr>
            <w:tcW w:w="878" w:type="pct"/>
            <w:tcBorders>
              <w:bottom w:val="single" w:sz="4" w:space="0" w:color="auto"/>
            </w:tcBorders>
          </w:tcPr>
          <w:p w14:paraId="132F9ED9" w14:textId="77777777" w:rsidR="00640365" w:rsidRPr="00640365" w:rsidRDefault="00640365" w:rsidP="00640365">
            <w:pPr>
              <w:spacing w:after="0" w:line="240" w:lineRule="auto"/>
              <w:rPr>
                <w:rFonts w:ascii="Times New Roman" w:eastAsia="Calibri" w:hAnsi="Times New Roman" w:cs="Times New Roman"/>
                <w:b/>
                <w:sz w:val="20"/>
                <w:szCs w:val="20"/>
              </w:rPr>
            </w:pPr>
            <w:r w:rsidRPr="00640365">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14:paraId="24EDB47D" w14:textId="77777777" w:rsidR="00640365" w:rsidRPr="00640365" w:rsidRDefault="00640365" w:rsidP="00640365">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14:paraId="4E31E817" w14:textId="77777777" w:rsidR="00640365" w:rsidRPr="00640365" w:rsidRDefault="00640365" w:rsidP="00640365">
            <w:pPr>
              <w:spacing w:after="0" w:line="240" w:lineRule="auto"/>
              <w:jc w:val="right"/>
              <w:rPr>
                <w:rFonts w:ascii="Times New Roman" w:eastAsia="Calibri" w:hAnsi="Times New Roman" w:cs="Times New Roman"/>
                <w:b/>
                <w:sz w:val="20"/>
                <w:szCs w:val="20"/>
              </w:rPr>
            </w:pPr>
            <w:r w:rsidRPr="00640365">
              <w:rPr>
                <w:rFonts w:ascii="Times New Roman" w:eastAsia="Calibri" w:hAnsi="Times New Roman" w:cs="Times New Roman"/>
                <w:b/>
                <w:sz w:val="20"/>
                <w:szCs w:val="20"/>
              </w:rPr>
              <w:t>2,069</w:t>
            </w:r>
          </w:p>
        </w:tc>
        <w:tc>
          <w:tcPr>
            <w:tcW w:w="654" w:type="pct"/>
            <w:tcBorders>
              <w:bottom w:val="single" w:sz="4" w:space="0" w:color="auto"/>
            </w:tcBorders>
            <w:shd w:val="clear" w:color="auto" w:fill="D9D9D9"/>
          </w:tcPr>
          <w:p w14:paraId="6BA19B89" w14:textId="77777777" w:rsidR="00640365" w:rsidRPr="00640365" w:rsidRDefault="00640365" w:rsidP="00640365">
            <w:pPr>
              <w:spacing w:after="0" w:line="240" w:lineRule="auto"/>
              <w:jc w:val="right"/>
              <w:rPr>
                <w:rFonts w:ascii="Times New Roman" w:eastAsia="Calibri" w:hAnsi="Times New Roman" w:cs="Times New Roman"/>
                <w:sz w:val="20"/>
                <w:szCs w:val="20"/>
              </w:rPr>
            </w:pPr>
          </w:p>
        </w:tc>
        <w:tc>
          <w:tcPr>
            <w:tcW w:w="657" w:type="pct"/>
            <w:tcBorders>
              <w:bottom w:val="single" w:sz="4" w:space="0" w:color="auto"/>
            </w:tcBorders>
          </w:tcPr>
          <w:p w14:paraId="31D8C72A" w14:textId="77777777" w:rsidR="00640365" w:rsidRPr="00640365" w:rsidRDefault="00640365" w:rsidP="00640365">
            <w:pPr>
              <w:spacing w:after="0" w:line="240" w:lineRule="auto"/>
              <w:jc w:val="right"/>
              <w:rPr>
                <w:rFonts w:ascii="Times New Roman" w:eastAsia="Calibri" w:hAnsi="Times New Roman" w:cs="Times New Roman"/>
                <w:b/>
                <w:sz w:val="20"/>
                <w:szCs w:val="20"/>
              </w:rPr>
            </w:pPr>
            <w:r w:rsidRPr="00640365">
              <w:rPr>
                <w:rFonts w:ascii="Times New Roman" w:eastAsia="Calibri" w:hAnsi="Times New Roman" w:cs="Times New Roman"/>
                <w:b/>
                <w:sz w:val="20"/>
                <w:szCs w:val="20"/>
              </w:rPr>
              <w:t>217,760 hrs.;</w:t>
            </w:r>
          </w:p>
          <w:p w14:paraId="645D5B6A" w14:textId="77777777" w:rsidR="00640365" w:rsidRPr="00640365" w:rsidRDefault="00640365" w:rsidP="00640365">
            <w:pPr>
              <w:spacing w:after="0" w:line="240" w:lineRule="auto"/>
              <w:jc w:val="right"/>
              <w:rPr>
                <w:rFonts w:ascii="Times New Roman" w:eastAsia="Calibri" w:hAnsi="Times New Roman" w:cs="Times New Roman"/>
                <w:b/>
                <w:sz w:val="20"/>
                <w:szCs w:val="20"/>
              </w:rPr>
            </w:pPr>
            <w:r w:rsidRPr="00640365">
              <w:rPr>
                <w:rFonts w:ascii="Times New Roman" w:eastAsia="Calibri" w:hAnsi="Times New Roman" w:cs="Times New Roman"/>
                <w:b/>
                <w:sz w:val="20"/>
                <w:szCs w:val="20"/>
              </w:rPr>
              <w:t>$14,833,811</w:t>
            </w:r>
          </w:p>
        </w:tc>
        <w:tc>
          <w:tcPr>
            <w:tcW w:w="616" w:type="pct"/>
            <w:tcBorders>
              <w:bottom w:val="single" w:sz="4" w:space="0" w:color="auto"/>
            </w:tcBorders>
            <w:shd w:val="clear" w:color="auto" w:fill="D9D9D9"/>
          </w:tcPr>
          <w:p w14:paraId="6C88E472" w14:textId="77777777" w:rsidR="00640365" w:rsidRPr="00640365" w:rsidRDefault="00640365" w:rsidP="00640365">
            <w:pPr>
              <w:spacing w:after="0" w:line="240" w:lineRule="auto"/>
              <w:jc w:val="right"/>
              <w:rPr>
                <w:rFonts w:ascii="Times New Roman" w:eastAsia="Calibri" w:hAnsi="Times New Roman" w:cs="Times New Roman"/>
                <w:b/>
                <w:sz w:val="20"/>
                <w:szCs w:val="20"/>
              </w:rPr>
            </w:pPr>
          </w:p>
        </w:tc>
      </w:tr>
    </w:tbl>
    <w:p w14:paraId="700D2BF0" w14:textId="77777777" w:rsidR="00640365" w:rsidRDefault="00640365" w:rsidP="00D80FBD">
      <w:pPr>
        <w:spacing w:after="0"/>
        <w:rPr>
          <w:rFonts w:ascii="Times New Roman" w:hAnsi="Times New Roman" w:cs="Times New Roman"/>
          <w:sz w:val="24"/>
          <w:szCs w:val="24"/>
        </w:rPr>
      </w:pPr>
    </w:p>
    <w:p w14:paraId="026CA84A" w14:textId="329DC71C" w:rsidR="002C5784" w:rsidRDefault="000A49C8" w:rsidP="002C5784">
      <w:pPr>
        <w:spacing w:after="0"/>
        <w:rPr>
          <w:rFonts w:ascii="Times New Roman" w:hAnsi="Times New Roman" w:cs="Times New Roman"/>
          <w:sz w:val="24"/>
          <w:szCs w:val="24"/>
        </w:rPr>
      </w:pPr>
      <w:r>
        <w:rPr>
          <w:rFonts w:ascii="Times New Roman" w:hAnsi="Times New Roman" w:cs="Times New Roman"/>
          <w:sz w:val="24"/>
          <w:szCs w:val="24"/>
        </w:rPr>
        <w:t>The burden for the FERC-725X</w:t>
      </w:r>
      <w:r w:rsidR="006437A2">
        <w:rPr>
          <w:rFonts w:ascii="Times New Roman" w:hAnsi="Times New Roman" w:cs="Times New Roman"/>
          <w:sz w:val="24"/>
          <w:szCs w:val="24"/>
        </w:rPr>
        <w:t xml:space="preserve"> information collection includes estimates related </w:t>
      </w:r>
      <w:r w:rsidR="006E48BC">
        <w:rPr>
          <w:rFonts w:ascii="Times New Roman" w:hAnsi="Times New Roman" w:cs="Times New Roman"/>
          <w:sz w:val="24"/>
          <w:szCs w:val="24"/>
        </w:rPr>
        <w:t xml:space="preserve">to </w:t>
      </w:r>
      <w:r>
        <w:rPr>
          <w:rFonts w:ascii="Times New Roman" w:hAnsi="Times New Roman" w:cs="Times New Roman"/>
          <w:sz w:val="24"/>
          <w:szCs w:val="24"/>
        </w:rPr>
        <w:t xml:space="preserve">both of the </w:t>
      </w:r>
      <w:r w:rsidR="006437A2">
        <w:rPr>
          <w:rFonts w:ascii="Times New Roman" w:hAnsi="Times New Roman" w:cs="Times New Roman"/>
          <w:sz w:val="24"/>
          <w:szCs w:val="24"/>
        </w:rPr>
        <w:t>previously approved Reliability Standards</w:t>
      </w:r>
      <w:r>
        <w:rPr>
          <w:rFonts w:ascii="Times New Roman" w:hAnsi="Times New Roman" w:cs="Times New Roman"/>
          <w:sz w:val="24"/>
          <w:szCs w:val="24"/>
        </w:rPr>
        <w:t xml:space="preserve"> (VAR-001-4</w:t>
      </w:r>
      <w:r w:rsidR="00E453EB">
        <w:rPr>
          <w:rFonts w:ascii="Times New Roman" w:hAnsi="Times New Roman" w:cs="Times New Roman"/>
          <w:sz w:val="24"/>
          <w:szCs w:val="24"/>
        </w:rPr>
        <w:t>.2 and VAR-002-4.1</w:t>
      </w:r>
      <w:r>
        <w:rPr>
          <w:rFonts w:ascii="Times New Roman" w:hAnsi="Times New Roman" w:cs="Times New Roman"/>
          <w:sz w:val="24"/>
          <w:szCs w:val="24"/>
        </w:rPr>
        <w:t>)</w:t>
      </w:r>
      <w:r w:rsidR="006437A2">
        <w:rPr>
          <w:rFonts w:ascii="Times New Roman" w:hAnsi="Times New Roman" w:cs="Times New Roman"/>
          <w:sz w:val="24"/>
          <w:szCs w:val="24"/>
        </w:rPr>
        <w:t>.</w:t>
      </w:r>
      <w:r w:rsidR="00CE0A63">
        <w:rPr>
          <w:rFonts w:ascii="Times New Roman" w:hAnsi="Times New Roman" w:cs="Times New Roman"/>
          <w:sz w:val="24"/>
          <w:szCs w:val="24"/>
        </w:rPr>
        <w:t xml:space="preserve"> </w:t>
      </w:r>
    </w:p>
    <w:p w14:paraId="00756926" w14:textId="31C31977" w:rsidR="00DE18D9" w:rsidRPr="00DE18D9" w:rsidRDefault="00DE18D9" w:rsidP="002C5784">
      <w:pPr>
        <w:spacing w:after="0"/>
        <w:rPr>
          <w:rFonts w:ascii="Times New Roman" w:hAnsi="Times New Roman" w:cs="Times New Roman"/>
          <w:sz w:val="24"/>
          <w:szCs w:val="24"/>
        </w:rPr>
      </w:pPr>
      <w:r w:rsidRPr="00DE18D9">
        <w:rPr>
          <w:rFonts w:ascii="Times New Roman" w:hAnsi="Times New Roman" w:cs="Times New Roman"/>
          <w:sz w:val="24"/>
          <w:szCs w:val="24"/>
        </w:rPr>
        <w:t xml:space="preserve">The total annual </w:t>
      </w:r>
      <w:r w:rsidR="000A49C8">
        <w:rPr>
          <w:rFonts w:ascii="Times New Roman" w:hAnsi="Times New Roman" w:cs="Times New Roman"/>
          <w:sz w:val="24"/>
          <w:szCs w:val="24"/>
        </w:rPr>
        <w:t>burden and cost of the FERC-725X</w:t>
      </w:r>
      <w:r w:rsidRPr="00DE18D9">
        <w:rPr>
          <w:rFonts w:ascii="Times New Roman" w:hAnsi="Times New Roman" w:cs="Times New Roman"/>
          <w:sz w:val="24"/>
          <w:szCs w:val="24"/>
        </w:rPr>
        <w:t xml:space="preserve"> </w:t>
      </w:r>
      <w:r w:rsidR="000A49C8">
        <w:rPr>
          <w:rFonts w:ascii="Times New Roman" w:hAnsi="Times New Roman" w:cs="Times New Roman"/>
          <w:sz w:val="24"/>
          <w:szCs w:val="24"/>
        </w:rPr>
        <w:t>information collection is 217,760 hours and $14,833,811</w:t>
      </w:r>
      <w:r w:rsidRPr="00DE18D9">
        <w:rPr>
          <w:rFonts w:ascii="Times New Roman" w:hAnsi="Times New Roman" w:cs="Times New Roman"/>
          <w:sz w:val="24"/>
          <w:szCs w:val="24"/>
        </w:rPr>
        <w:t>.</w:t>
      </w:r>
    </w:p>
    <w:p w14:paraId="15AB793E" w14:textId="77777777" w:rsidR="00EA5C58" w:rsidRPr="00D80FBD" w:rsidRDefault="00EA5C58" w:rsidP="008D310F">
      <w:pPr>
        <w:spacing w:after="0"/>
        <w:rPr>
          <w:rFonts w:ascii="Times New Roman" w:hAnsi="Times New Roman" w:cs="Times New Roman"/>
          <w:sz w:val="24"/>
          <w:szCs w:val="24"/>
        </w:rPr>
      </w:pPr>
    </w:p>
    <w:p w14:paraId="6E56FBEA" w14:textId="77777777" w:rsidR="00D80FBD" w:rsidRPr="00414F32" w:rsidRDefault="00E636D7"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1A0B2949" w14:textId="77777777" w:rsidR="00E636D7" w:rsidRDefault="00E636D7" w:rsidP="00E636D7">
      <w:pPr>
        <w:spacing w:after="0"/>
        <w:rPr>
          <w:rFonts w:ascii="Times New Roman" w:hAnsi="Times New Roman" w:cs="Times New Roman"/>
          <w:sz w:val="24"/>
          <w:szCs w:val="24"/>
        </w:rPr>
      </w:pPr>
    </w:p>
    <w:p w14:paraId="393B90F0" w14:textId="44F2824C" w:rsidR="0074195A" w:rsidRPr="0074195A"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0A49C8">
        <w:rPr>
          <w:rFonts w:ascii="Times New Roman" w:hAnsi="Times New Roman" w:cs="Times New Roman"/>
          <w:sz w:val="24"/>
          <w:szCs w:val="24"/>
        </w:rPr>
        <w:t xml:space="preserve"> FERC-725X</w:t>
      </w:r>
      <w:r w:rsidRPr="0074195A">
        <w:rPr>
          <w:rFonts w:ascii="Times New Roman" w:hAnsi="Times New Roman" w:cs="Times New Roman"/>
          <w:sz w:val="24"/>
          <w:szCs w:val="24"/>
        </w:rPr>
        <w:t>.</w:t>
      </w:r>
    </w:p>
    <w:p w14:paraId="3D34229A" w14:textId="77777777" w:rsidR="0074195A" w:rsidRPr="0074195A" w:rsidRDefault="0074195A" w:rsidP="0074195A">
      <w:pPr>
        <w:spacing w:after="0"/>
        <w:rPr>
          <w:rFonts w:ascii="Times New Roman" w:hAnsi="Times New Roman" w:cs="Times New Roman"/>
          <w:sz w:val="24"/>
          <w:szCs w:val="24"/>
        </w:rPr>
      </w:pPr>
    </w:p>
    <w:p w14:paraId="14203881" w14:textId="084451FC" w:rsidR="00E636D7" w:rsidRDefault="0074195A" w:rsidP="0074195A">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described in #12 and 15.</w:t>
      </w:r>
    </w:p>
    <w:p w14:paraId="33245613" w14:textId="77777777" w:rsidR="0074195A" w:rsidRPr="00E636D7" w:rsidRDefault="0074195A" w:rsidP="0074195A">
      <w:pPr>
        <w:spacing w:after="0"/>
        <w:rPr>
          <w:rFonts w:ascii="Times New Roman" w:hAnsi="Times New Roman" w:cs="Times New Roman"/>
          <w:sz w:val="24"/>
          <w:szCs w:val="24"/>
        </w:rPr>
      </w:pPr>
    </w:p>
    <w:p w14:paraId="1406ECFF" w14:textId="77777777" w:rsidR="00E636D7"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8BEC129" w14:textId="77777777" w:rsidR="00A276F5" w:rsidRDefault="00A276F5" w:rsidP="00A276F5">
      <w:pPr>
        <w:spacing w:after="0"/>
        <w:rPr>
          <w:rFonts w:ascii="Times New Roman" w:hAnsi="Times New Roman" w:cs="Times New Roman"/>
          <w:sz w:val="24"/>
          <w:szCs w:val="24"/>
        </w:rPr>
      </w:pPr>
    </w:p>
    <w:p w14:paraId="37038A7A" w14:textId="0FF6338F" w:rsidR="00D85DBB" w:rsidRDefault="00D85DBB" w:rsidP="00D85DBB">
      <w:pPr>
        <w:spacing w:after="0"/>
        <w:rPr>
          <w:rFonts w:ascii="Times New Roman" w:hAnsi="Times New Roman" w:cs="Times New Roman"/>
          <w:sz w:val="24"/>
          <w:szCs w:val="24"/>
        </w:rPr>
      </w:pPr>
      <w:r>
        <w:rPr>
          <w:rFonts w:ascii="Times New Roman" w:hAnsi="Times New Roman"/>
          <w:sz w:val="24"/>
          <w:szCs w:val="24"/>
        </w:rPr>
        <w:t>The Regional Entities and NERC do most of the data processing, monitoring and compliance work for Reliability Standards</w:t>
      </w:r>
      <w:r w:rsidR="00E67CF3">
        <w:rPr>
          <w:rFonts w:ascii="Times New Roman" w:hAnsi="Times New Roman"/>
          <w:sz w:val="24"/>
          <w:szCs w:val="24"/>
        </w:rPr>
        <w:t xml:space="preserve">; the burden and cost are included </w:t>
      </w:r>
      <w:r w:rsidR="00E67CF3" w:rsidRPr="00E67CF3">
        <w:rPr>
          <w:rFonts w:ascii="Times New Roman" w:hAnsi="Times New Roman"/>
          <w:sz w:val="24"/>
          <w:szCs w:val="24"/>
        </w:rPr>
        <w:t xml:space="preserve">under the FERC-725 collection (OMB Control No. 1902-0225) and </w:t>
      </w:r>
      <w:r w:rsidR="00E67CF3">
        <w:rPr>
          <w:rFonts w:ascii="Times New Roman" w:hAnsi="Times New Roman"/>
          <w:sz w:val="24"/>
          <w:szCs w:val="24"/>
        </w:rPr>
        <w:t>are</w:t>
      </w:r>
      <w:r w:rsidR="00E67CF3" w:rsidRPr="00E67CF3">
        <w:rPr>
          <w:rFonts w:ascii="Times New Roman" w:hAnsi="Times New Roman"/>
          <w:sz w:val="24"/>
          <w:szCs w:val="24"/>
        </w:rPr>
        <w:t xml:space="preserve"> not part of this request or package</w:t>
      </w:r>
      <w:r>
        <w:rPr>
          <w:rFonts w:ascii="Times New Roman" w:hAnsi="Times New Roman"/>
          <w:sz w:val="24"/>
          <w:szCs w:val="24"/>
        </w:rPr>
        <w:t>.  Any involvement by the Commission is covered under the FERC-725 collection (OMB Control No. 1902-0225) and is not part of this request or package.</w:t>
      </w:r>
    </w:p>
    <w:p w14:paraId="20A27179" w14:textId="77777777" w:rsidR="00D85DBB" w:rsidRDefault="00D85DBB" w:rsidP="00A276F5">
      <w:pPr>
        <w:spacing w:after="0"/>
        <w:rPr>
          <w:rFonts w:ascii="Times New Roman" w:hAnsi="Times New Roman" w:cs="Times New Roman"/>
          <w:sz w:val="24"/>
          <w:szCs w:val="24"/>
        </w:rPr>
      </w:pPr>
    </w:p>
    <w:p w14:paraId="79052984" w14:textId="3878B023" w:rsidR="00A276F5" w:rsidRDefault="00630A34" w:rsidP="00A276F5">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0A49C8">
        <w:rPr>
          <w:rFonts w:ascii="Times New Roman" w:hAnsi="Times New Roman" w:cs="Times New Roman"/>
          <w:sz w:val="24"/>
          <w:szCs w:val="24"/>
        </w:rPr>
        <w:t>ment for FERC-725X</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14:paraId="5616B52C" w14:textId="77777777" w:rsidR="00630A34" w:rsidRDefault="00630A3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30A34" w:rsidRPr="00630A34" w14:paraId="4D55693E" w14:textId="77777777" w:rsidTr="002C63E1">
        <w:tc>
          <w:tcPr>
            <w:tcW w:w="3182" w:type="dxa"/>
            <w:tcBorders>
              <w:top w:val="single" w:sz="4" w:space="0" w:color="auto"/>
              <w:left w:val="single" w:sz="4" w:space="0" w:color="auto"/>
              <w:bottom w:val="single" w:sz="4" w:space="0" w:color="auto"/>
              <w:right w:val="single" w:sz="4" w:space="0" w:color="auto"/>
            </w:tcBorders>
            <w:shd w:val="clear" w:color="auto" w:fill="CCCCCC"/>
          </w:tcPr>
          <w:p w14:paraId="40313B84" w14:textId="77777777" w:rsidR="00630A34" w:rsidRPr="00630A34" w:rsidRDefault="00630A34" w:rsidP="00630A34">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BC50B53"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115036DD" w14:textId="77777777" w:rsidR="00630A34" w:rsidRPr="00630A34" w:rsidRDefault="00630A34" w:rsidP="00630A34">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630A34" w:rsidRPr="00630A34" w14:paraId="0442D0CC"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60B348C3" w14:textId="5FC64EF7" w:rsidR="00630A34" w:rsidRPr="00630A34" w:rsidRDefault="000A49C8" w:rsidP="00630A34">
            <w:pPr>
              <w:spacing w:after="0"/>
              <w:rPr>
                <w:rFonts w:ascii="Times New Roman" w:hAnsi="Times New Roman" w:cs="Times New Roman"/>
                <w:sz w:val="24"/>
                <w:szCs w:val="24"/>
              </w:rPr>
            </w:pPr>
            <w:r>
              <w:rPr>
                <w:rFonts w:ascii="Times New Roman" w:hAnsi="Times New Roman" w:cs="Times New Roman"/>
                <w:sz w:val="24"/>
                <w:szCs w:val="24"/>
              </w:rPr>
              <w:t>FERC-725X</w:t>
            </w:r>
            <w:r w:rsidR="00630A34">
              <w:rPr>
                <w:rFonts w:ascii="Times New Roman" w:hAnsi="Times New Roman" w:cs="Times New Roman"/>
                <w:sz w:val="24"/>
                <w:szCs w:val="24"/>
              </w:rPr>
              <w:t xml:space="preserve"> </w:t>
            </w:r>
            <w:r w:rsidR="00630A34" w:rsidRPr="00630A34">
              <w:rPr>
                <w:rFonts w:ascii="Times New Roman" w:hAnsi="Times New Roman" w:cs="Times New Roman"/>
                <w:sz w:val="24"/>
                <w:szCs w:val="24"/>
              </w:rPr>
              <w:t>Analysis and Processing of filings</w:t>
            </w:r>
            <w:r w:rsidR="00630A34" w:rsidRPr="00630A34">
              <w:rPr>
                <w:rFonts w:ascii="Times New Roman" w:hAnsi="Times New Roman" w:cs="Times New Roman"/>
                <w:sz w:val="24"/>
                <w:szCs w:val="24"/>
                <w:vertAlign w:val="superscript"/>
              </w:rPr>
              <w:footnoteReference w:id="12"/>
            </w:r>
          </w:p>
        </w:tc>
        <w:tc>
          <w:tcPr>
            <w:tcW w:w="3201" w:type="dxa"/>
            <w:tcBorders>
              <w:top w:val="single" w:sz="4" w:space="0" w:color="auto"/>
              <w:left w:val="single" w:sz="4" w:space="0" w:color="auto"/>
              <w:bottom w:val="single" w:sz="4" w:space="0" w:color="auto"/>
              <w:right w:val="single" w:sz="4" w:space="0" w:color="auto"/>
            </w:tcBorders>
            <w:vAlign w:val="bottom"/>
            <w:hideMark/>
          </w:tcPr>
          <w:p w14:paraId="58FB477E" w14:textId="77777777" w:rsidR="00630A34" w:rsidRPr="00630A34" w:rsidRDefault="007B193F" w:rsidP="00630A34">
            <w:pPr>
              <w:spacing w:after="0"/>
              <w:rPr>
                <w:rFonts w:ascii="Times New Roman" w:hAnsi="Times New Roman" w:cs="Times New Roman"/>
                <w:sz w:val="24"/>
                <w:szCs w:val="24"/>
              </w:rPr>
            </w:pPr>
            <w:r>
              <w:rPr>
                <w:rFonts w:ascii="Times New Roman" w:hAnsi="Times New Roman" w:cs="Times New Roman"/>
                <w:sz w:val="24"/>
                <w:szCs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AF280C5" w14:textId="77777777" w:rsidR="00630A34" w:rsidRPr="00630A34" w:rsidRDefault="00630A34"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0</w:t>
            </w:r>
          </w:p>
        </w:tc>
      </w:tr>
      <w:tr w:rsidR="00AD16A3" w:rsidRPr="00630A34" w14:paraId="574B7DA6" w14:textId="77777777" w:rsidTr="002C63E1">
        <w:tc>
          <w:tcPr>
            <w:tcW w:w="3182" w:type="dxa"/>
            <w:tcBorders>
              <w:top w:val="single" w:sz="4" w:space="0" w:color="auto"/>
              <w:left w:val="single" w:sz="4" w:space="0" w:color="auto"/>
              <w:bottom w:val="single" w:sz="4" w:space="0" w:color="auto"/>
              <w:right w:val="single" w:sz="4" w:space="0" w:color="auto"/>
            </w:tcBorders>
          </w:tcPr>
          <w:p w14:paraId="1250E3AD" w14:textId="582555DF" w:rsidR="00AD16A3" w:rsidRDefault="00AD16A3" w:rsidP="00F82B8E">
            <w:pPr>
              <w:spacing w:after="0"/>
              <w:rPr>
                <w:rFonts w:ascii="Times New Roman" w:hAnsi="Times New Roman" w:cs="Times New Roman"/>
                <w:sz w:val="24"/>
                <w:szCs w:val="24"/>
              </w:rPr>
            </w:pPr>
            <w:r w:rsidRPr="00630A34">
              <w:rPr>
                <w:rFonts w:ascii="Times New Roman" w:hAnsi="Times New Roman" w:cs="Times New Roman"/>
                <w:sz w:val="24"/>
                <w:szCs w:val="24"/>
              </w:rPr>
              <w:t>PRA</w:t>
            </w:r>
            <w:r w:rsidRPr="00630A34">
              <w:rPr>
                <w:rFonts w:ascii="Times New Roman" w:hAnsi="Times New Roman" w:cs="Times New Roman"/>
                <w:sz w:val="24"/>
                <w:szCs w:val="24"/>
                <w:vertAlign w:val="superscript"/>
              </w:rPr>
              <w:footnoteReference w:id="13"/>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443B14DA"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299BC118" w14:textId="689908C4"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sz w:val="24"/>
                <w:szCs w:val="24"/>
              </w:rPr>
              <w:t>$</w:t>
            </w:r>
            <w:r w:rsidR="00DE18D9">
              <w:rPr>
                <w:rFonts w:ascii="Times New Roman" w:hAnsi="Times New Roman" w:cs="Times New Roman"/>
                <w:sz w:val="24"/>
                <w:szCs w:val="24"/>
              </w:rPr>
              <w:t>5,723</w:t>
            </w:r>
          </w:p>
        </w:tc>
      </w:tr>
      <w:tr w:rsidR="00AD16A3" w:rsidRPr="00630A34" w14:paraId="3CFDFA41" w14:textId="77777777" w:rsidTr="002C63E1">
        <w:tc>
          <w:tcPr>
            <w:tcW w:w="3182" w:type="dxa"/>
            <w:tcBorders>
              <w:top w:val="single" w:sz="4" w:space="0" w:color="auto"/>
              <w:left w:val="single" w:sz="4" w:space="0" w:color="auto"/>
              <w:bottom w:val="single" w:sz="4" w:space="0" w:color="auto"/>
              <w:right w:val="single" w:sz="4" w:space="0" w:color="auto"/>
            </w:tcBorders>
            <w:hideMark/>
          </w:tcPr>
          <w:p w14:paraId="06203189" w14:textId="77777777" w:rsidR="00AD16A3" w:rsidRPr="00630A34" w:rsidRDefault="00AD16A3" w:rsidP="00630A34">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1C18FB49" w14:textId="77777777" w:rsidR="00AD16A3" w:rsidRPr="00630A34" w:rsidRDefault="00AD16A3" w:rsidP="00630A34">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6CE0F0" w14:textId="525D5AFD" w:rsidR="00AD16A3" w:rsidRPr="00630A34" w:rsidRDefault="00AD16A3" w:rsidP="00E67CF3">
            <w:pPr>
              <w:spacing w:after="0"/>
              <w:rPr>
                <w:rFonts w:ascii="Times New Roman" w:hAnsi="Times New Roman" w:cs="Times New Roman"/>
                <w:sz w:val="24"/>
                <w:szCs w:val="24"/>
              </w:rPr>
            </w:pPr>
            <w:r w:rsidRPr="00630A34">
              <w:rPr>
                <w:rFonts w:ascii="Times New Roman" w:hAnsi="Times New Roman" w:cs="Times New Roman"/>
                <w:sz w:val="24"/>
                <w:szCs w:val="24"/>
              </w:rPr>
              <w:t>$</w:t>
            </w:r>
            <w:r w:rsidR="007B193F">
              <w:rPr>
                <w:rFonts w:ascii="Times New Roman" w:hAnsi="Times New Roman" w:cs="Times New Roman"/>
                <w:sz w:val="24"/>
                <w:szCs w:val="24"/>
              </w:rPr>
              <w:t>5,</w:t>
            </w:r>
            <w:r w:rsidR="00DE18D9">
              <w:rPr>
                <w:rFonts w:ascii="Times New Roman" w:hAnsi="Times New Roman" w:cs="Times New Roman"/>
                <w:sz w:val="24"/>
                <w:szCs w:val="24"/>
              </w:rPr>
              <w:t>723</w:t>
            </w:r>
          </w:p>
        </w:tc>
      </w:tr>
    </w:tbl>
    <w:p w14:paraId="767669C0" w14:textId="77777777" w:rsidR="006B437C" w:rsidRPr="006B437C" w:rsidRDefault="006B437C" w:rsidP="006B437C">
      <w:pPr>
        <w:spacing w:after="0"/>
        <w:rPr>
          <w:rFonts w:ascii="Times New Roman" w:hAnsi="Times New Roman" w:cs="Times New Roman"/>
          <w:sz w:val="24"/>
          <w:szCs w:val="24"/>
        </w:rPr>
      </w:pPr>
    </w:p>
    <w:p w14:paraId="37C3D84C" w14:textId="77777777" w:rsidR="00630A34" w:rsidRDefault="006B437C" w:rsidP="006B437C">
      <w:pPr>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51438554" w14:textId="77777777" w:rsidR="00F82B8E" w:rsidRDefault="00F82B8E" w:rsidP="006B437C">
      <w:pPr>
        <w:spacing w:after="0"/>
        <w:rPr>
          <w:rFonts w:ascii="Times New Roman" w:hAnsi="Times New Roman" w:cs="Times New Roman"/>
          <w:sz w:val="24"/>
          <w:szCs w:val="24"/>
        </w:rPr>
      </w:pPr>
    </w:p>
    <w:p w14:paraId="265EC661" w14:textId="7541260A" w:rsidR="00F82B8E" w:rsidRDefault="00F82B8E" w:rsidP="006B437C">
      <w:pPr>
        <w:spacing w:after="0"/>
        <w:rPr>
          <w:rFonts w:ascii="Times New Roman" w:hAnsi="Times New Roman" w:cs="Times New Roman"/>
          <w:sz w:val="24"/>
          <w:szCs w:val="24"/>
        </w:rPr>
      </w:pPr>
      <w:r w:rsidRPr="00F82B8E">
        <w:rPr>
          <w:rFonts w:ascii="Times New Roman" w:hAnsi="Times New Roman" w:cs="Times New Roman"/>
          <w:sz w:val="24"/>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p w14:paraId="6F4DA4A9" w14:textId="77777777" w:rsidR="006B437C" w:rsidRPr="00A276F5" w:rsidRDefault="006B437C" w:rsidP="006B437C">
      <w:pPr>
        <w:spacing w:after="0"/>
        <w:rPr>
          <w:rFonts w:ascii="Times New Roman" w:hAnsi="Times New Roman" w:cs="Times New Roman"/>
          <w:sz w:val="24"/>
          <w:szCs w:val="24"/>
        </w:rPr>
      </w:pPr>
    </w:p>
    <w:p w14:paraId="10B2EB6C"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3AFE43CF" w14:textId="77777777" w:rsidR="003316E0" w:rsidRPr="003316E0" w:rsidRDefault="003316E0" w:rsidP="003316E0">
      <w:pPr>
        <w:spacing w:after="0"/>
        <w:rPr>
          <w:rFonts w:ascii="Times New Roman" w:hAnsi="Times New Roman" w:cs="Times New Roman"/>
          <w:sz w:val="24"/>
          <w:szCs w:val="24"/>
        </w:rPr>
      </w:pPr>
    </w:p>
    <w:p w14:paraId="2167566C" w14:textId="77777777" w:rsidR="006F4640" w:rsidRDefault="006F4640" w:rsidP="00BE7025">
      <w:pPr>
        <w:spacing w:after="0"/>
        <w:rPr>
          <w:rFonts w:ascii="Times New Roman" w:hAnsi="Times New Roman" w:cs="Times New Roman"/>
          <w:sz w:val="24"/>
          <w:szCs w:val="24"/>
        </w:rPr>
      </w:pPr>
      <w:r>
        <w:rPr>
          <w:rFonts w:ascii="Times New Roman" w:hAnsi="Times New Roman" w:cs="Times New Roman"/>
          <w:sz w:val="24"/>
          <w:szCs w:val="24"/>
        </w:rPr>
        <w:t>There are no program changes or changes to reporting requirements for the FERC-725X information collection.</w:t>
      </w:r>
    </w:p>
    <w:p w14:paraId="6E1A690B" w14:textId="77777777" w:rsidR="006F4640" w:rsidRDefault="006F4640" w:rsidP="00BE7025">
      <w:pPr>
        <w:spacing w:after="0"/>
        <w:rPr>
          <w:rFonts w:ascii="Times New Roman" w:hAnsi="Times New Roman" w:cs="Times New Roman"/>
          <w:sz w:val="24"/>
          <w:szCs w:val="24"/>
        </w:rPr>
      </w:pPr>
    </w:p>
    <w:p w14:paraId="68E5D5A9" w14:textId="3BE7A41E" w:rsidR="000158B8" w:rsidRDefault="003316E0" w:rsidP="00BE7025">
      <w:pPr>
        <w:spacing w:after="0"/>
        <w:rPr>
          <w:rFonts w:ascii="Times New Roman" w:hAnsi="Times New Roman" w:cs="Times New Roman"/>
          <w:sz w:val="24"/>
          <w:szCs w:val="24"/>
        </w:rPr>
      </w:pPr>
      <w:r w:rsidRPr="003316E0">
        <w:rPr>
          <w:rFonts w:ascii="Times New Roman" w:hAnsi="Times New Roman" w:cs="Times New Roman"/>
          <w:sz w:val="24"/>
          <w:szCs w:val="24"/>
        </w:rPr>
        <w:t>The burden for</w:t>
      </w:r>
      <w:r>
        <w:rPr>
          <w:rFonts w:ascii="Times New Roman" w:hAnsi="Times New Roman" w:cs="Times New Roman"/>
          <w:sz w:val="24"/>
          <w:szCs w:val="24"/>
        </w:rPr>
        <w:t xml:space="preserve"> </w:t>
      </w:r>
      <w:r w:rsidR="000A49C8">
        <w:rPr>
          <w:rFonts w:ascii="Times New Roman" w:hAnsi="Times New Roman" w:cs="Times New Roman"/>
          <w:sz w:val="24"/>
          <w:szCs w:val="24"/>
        </w:rPr>
        <w:t>the FERC-725X</w:t>
      </w:r>
      <w:r w:rsidR="007B193F">
        <w:rPr>
          <w:rFonts w:ascii="Times New Roman" w:hAnsi="Times New Roman" w:cs="Times New Roman"/>
          <w:sz w:val="24"/>
          <w:szCs w:val="24"/>
        </w:rPr>
        <w:t xml:space="preserve"> </w:t>
      </w:r>
      <w:r w:rsidR="00BE7025">
        <w:rPr>
          <w:rFonts w:ascii="Times New Roman" w:hAnsi="Times New Roman" w:cs="Times New Roman"/>
          <w:sz w:val="24"/>
          <w:szCs w:val="24"/>
        </w:rPr>
        <w:t xml:space="preserve">information collection </w:t>
      </w:r>
      <w:r w:rsidR="000A49C8">
        <w:rPr>
          <w:rFonts w:ascii="Times New Roman" w:hAnsi="Times New Roman" w:cs="Times New Roman"/>
          <w:sz w:val="24"/>
          <w:szCs w:val="24"/>
        </w:rPr>
        <w:t>will increase</w:t>
      </w:r>
      <w:r w:rsidR="009115AB">
        <w:rPr>
          <w:rFonts w:ascii="Times New Roman" w:hAnsi="Times New Roman" w:cs="Times New Roman"/>
          <w:sz w:val="24"/>
          <w:szCs w:val="24"/>
        </w:rPr>
        <w:t xml:space="preserve"> by 13,520 hours</w:t>
      </w:r>
      <w:r w:rsidR="000A49C8">
        <w:rPr>
          <w:rFonts w:ascii="Times New Roman" w:hAnsi="Times New Roman" w:cs="Times New Roman"/>
          <w:sz w:val="24"/>
          <w:szCs w:val="24"/>
        </w:rPr>
        <w:t xml:space="preserve"> du</w:t>
      </w:r>
      <w:r w:rsidR="009115AB">
        <w:rPr>
          <w:rFonts w:ascii="Times New Roman" w:hAnsi="Times New Roman" w:cs="Times New Roman"/>
          <w:sz w:val="24"/>
          <w:szCs w:val="24"/>
        </w:rPr>
        <w:t>e to normal industry fluctuations</w:t>
      </w:r>
      <w:r w:rsidR="006F4640">
        <w:rPr>
          <w:rFonts w:ascii="Times New Roman" w:hAnsi="Times New Roman" w:cs="Times New Roman"/>
          <w:sz w:val="24"/>
          <w:szCs w:val="24"/>
        </w:rPr>
        <w:t xml:space="preserve"> and correction of an accounting error described below</w:t>
      </w:r>
      <w:r w:rsidR="000A49C8">
        <w:rPr>
          <w:rFonts w:ascii="Times New Roman" w:hAnsi="Times New Roman" w:cs="Times New Roman"/>
          <w:sz w:val="24"/>
          <w:szCs w:val="24"/>
        </w:rPr>
        <w:t>.</w:t>
      </w:r>
      <w:r w:rsidR="009115AB">
        <w:rPr>
          <w:rFonts w:ascii="Times New Roman" w:hAnsi="Times New Roman" w:cs="Times New Roman"/>
          <w:sz w:val="24"/>
          <w:szCs w:val="24"/>
        </w:rPr>
        <w:t xml:space="preserve">  These </w:t>
      </w:r>
      <w:r w:rsidR="006F4640">
        <w:rPr>
          <w:rFonts w:ascii="Times New Roman" w:hAnsi="Times New Roman" w:cs="Times New Roman"/>
          <w:sz w:val="24"/>
          <w:szCs w:val="24"/>
        </w:rPr>
        <w:t xml:space="preserve">industry </w:t>
      </w:r>
      <w:r w:rsidR="009115AB">
        <w:rPr>
          <w:rFonts w:ascii="Times New Roman" w:hAnsi="Times New Roman" w:cs="Times New Roman"/>
          <w:sz w:val="24"/>
          <w:szCs w:val="24"/>
        </w:rPr>
        <w:t>fluctuations (e.g. companies merging/splitting, companies entering or leaving the industry) caused the number of respondents and their associated annual burden to increase.</w:t>
      </w:r>
      <w:r w:rsidR="000A49C8">
        <w:rPr>
          <w:rFonts w:ascii="Times New Roman" w:hAnsi="Times New Roman" w:cs="Times New Roman"/>
          <w:sz w:val="24"/>
          <w:szCs w:val="24"/>
        </w:rPr>
        <w:t xml:space="preserve">  </w:t>
      </w:r>
    </w:p>
    <w:p w14:paraId="238839D0" w14:textId="77777777" w:rsidR="000A49C8" w:rsidRDefault="000A49C8" w:rsidP="00BE7025">
      <w:pPr>
        <w:spacing w:after="0"/>
        <w:rPr>
          <w:rFonts w:ascii="Times New Roman" w:hAnsi="Times New Roman" w:cs="Times New Roman"/>
          <w:sz w:val="24"/>
          <w:szCs w:val="24"/>
        </w:rPr>
      </w:pPr>
    </w:p>
    <w:p w14:paraId="7D868544" w14:textId="182F2437" w:rsidR="000A49C8" w:rsidRDefault="000A49C8" w:rsidP="00BE7025">
      <w:pPr>
        <w:spacing w:after="0"/>
        <w:rPr>
          <w:rFonts w:ascii="Times New Roman" w:hAnsi="Times New Roman" w:cs="Times New Roman"/>
          <w:sz w:val="24"/>
          <w:szCs w:val="24"/>
        </w:rPr>
      </w:pPr>
      <w:r>
        <w:rPr>
          <w:rFonts w:ascii="Times New Roman" w:hAnsi="Times New Roman" w:cs="Times New Roman"/>
          <w:sz w:val="24"/>
          <w:szCs w:val="24"/>
        </w:rPr>
        <w:t>NOTE: The table below shows an increase in the number of annual responses of 1,011.  This is due to an accounting error in the previous approval for the FERC-725X information collection.  Specifically, res</w:t>
      </w:r>
      <w:r w:rsidR="00E453EB">
        <w:rPr>
          <w:rFonts w:ascii="Times New Roman" w:hAnsi="Times New Roman" w:cs="Times New Roman"/>
          <w:sz w:val="24"/>
          <w:szCs w:val="24"/>
        </w:rPr>
        <w:t>ponses required by the VAR-002-4.1</w:t>
      </w:r>
      <w:r>
        <w:rPr>
          <w:rFonts w:ascii="Times New Roman" w:hAnsi="Times New Roman" w:cs="Times New Roman"/>
          <w:sz w:val="24"/>
          <w:szCs w:val="24"/>
        </w:rPr>
        <w:t xml:space="preserve"> Reliability Standard were previously assumed to include the requirements in R1-R6</w:t>
      </w:r>
      <w:r w:rsidR="009115AB">
        <w:rPr>
          <w:rFonts w:ascii="Times New Roman" w:hAnsi="Times New Roman" w:cs="Times New Roman"/>
          <w:sz w:val="24"/>
          <w:szCs w:val="24"/>
        </w:rPr>
        <w:t xml:space="preserve"> in one response category (i.e. Requirements R1-R6 was assumed to be one response per entity)</w:t>
      </w:r>
      <w:r>
        <w:rPr>
          <w:rFonts w:ascii="Times New Roman" w:hAnsi="Times New Roman" w:cs="Times New Roman"/>
          <w:sz w:val="24"/>
          <w:szCs w:val="24"/>
        </w:rPr>
        <w:t>.  This assumption was incorrec</w:t>
      </w:r>
      <w:r w:rsidR="009115AB">
        <w:rPr>
          <w:rFonts w:ascii="Times New Roman" w:hAnsi="Times New Roman" w:cs="Times New Roman"/>
          <w:sz w:val="24"/>
          <w:szCs w:val="24"/>
        </w:rPr>
        <w:t>t.  The response categories are now</w:t>
      </w:r>
      <w:r>
        <w:rPr>
          <w:rFonts w:ascii="Times New Roman" w:hAnsi="Times New Roman" w:cs="Times New Roman"/>
          <w:sz w:val="24"/>
          <w:szCs w:val="24"/>
        </w:rPr>
        <w:t xml:space="preserve"> split between Requirements R1 and Requi</w:t>
      </w:r>
      <w:r w:rsidR="009115AB">
        <w:rPr>
          <w:rFonts w:ascii="Times New Roman" w:hAnsi="Times New Roman" w:cs="Times New Roman"/>
          <w:sz w:val="24"/>
          <w:szCs w:val="24"/>
        </w:rPr>
        <w:t>rements R2-R6.  Moreover</w:t>
      </w:r>
      <w:r>
        <w:rPr>
          <w:rFonts w:ascii="Times New Roman" w:hAnsi="Times New Roman" w:cs="Times New Roman"/>
          <w:sz w:val="24"/>
          <w:szCs w:val="24"/>
        </w:rPr>
        <w:t>, both response categories possess different levels of associated burden.</w:t>
      </w:r>
      <w:r w:rsidR="009115AB">
        <w:rPr>
          <w:rFonts w:ascii="Times New Roman" w:hAnsi="Times New Roman" w:cs="Times New Roman"/>
          <w:sz w:val="24"/>
          <w:szCs w:val="24"/>
        </w:rPr>
        <w:t xml:space="preserve">  The result of these corrections is the response cou</w:t>
      </w:r>
      <w:r w:rsidR="00E453EB">
        <w:rPr>
          <w:rFonts w:ascii="Times New Roman" w:hAnsi="Times New Roman" w:cs="Times New Roman"/>
          <w:sz w:val="24"/>
          <w:szCs w:val="24"/>
        </w:rPr>
        <w:t>nt associated with the VAR-002-4.1</w:t>
      </w:r>
      <w:r w:rsidR="009115AB">
        <w:rPr>
          <w:rFonts w:ascii="Times New Roman" w:hAnsi="Times New Roman" w:cs="Times New Roman"/>
          <w:sz w:val="24"/>
          <w:szCs w:val="24"/>
        </w:rPr>
        <w:t xml:space="preserve"> Reliability Standard essentially doubled from the previous approval despite there being no programmatic change to the FERC-725X information collection.</w:t>
      </w:r>
    </w:p>
    <w:p w14:paraId="0599760A" w14:textId="77777777" w:rsidR="00D76508" w:rsidRDefault="00D76508" w:rsidP="003316E0">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683"/>
        <w:gridCol w:w="1357"/>
      </w:tblGrid>
      <w:tr w:rsidR="003316E0" w:rsidRPr="003316E0" w14:paraId="092CED9A" w14:textId="77777777" w:rsidTr="002C63E1">
        <w:trPr>
          <w:trHeight w:val="870"/>
        </w:trPr>
        <w:tc>
          <w:tcPr>
            <w:tcW w:w="2589" w:type="dxa"/>
            <w:shd w:val="clear" w:color="auto" w:fill="D9D9D9"/>
            <w:vAlign w:val="bottom"/>
          </w:tcPr>
          <w:p w14:paraId="6B520AF6" w14:textId="61BA4AF9" w:rsidR="003316E0" w:rsidRPr="003316E0" w:rsidRDefault="000A49C8" w:rsidP="003316E0">
            <w:pPr>
              <w:spacing w:after="0"/>
              <w:rPr>
                <w:rFonts w:ascii="Times New Roman" w:hAnsi="Times New Roman" w:cs="Times New Roman"/>
                <w:b/>
                <w:sz w:val="24"/>
                <w:szCs w:val="24"/>
              </w:rPr>
            </w:pPr>
            <w:r>
              <w:rPr>
                <w:rFonts w:ascii="Times New Roman" w:hAnsi="Times New Roman" w:cs="Times New Roman"/>
                <w:b/>
                <w:sz w:val="24"/>
                <w:szCs w:val="24"/>
              </w:rPr>
              <w:t>FERC-725X</w:t>
            </w:r>
          </w:p>
        </w:tc>
        <w:tc>
          <w:tcPr>
            <w:tcW w:w="1779" w:type="dxa"/>
            <w:shd w:val="clear" w:color="auto" w:fill="D9D9D9"/>
            <w:vAlign w:val="bottom"/>
          </w:tcPr>
          <w:p w14:paraId="457B7B7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14:paraId="2D3BBCD3"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14:paraId="67C7C085"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14:paraId="75318E4C" w14:textId="77777777" w:rsidR="003316E0" w:rsidRPr="003316E0" w:rsidRDefault="003316E0" w:rsidP="003316E0">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rsidR="003316E0" w:rsidRPr="003316E0" w14:paraId="35507E46" w14:textId="77777777" w:rsidTr="002C63E1">
        <w:trPr>
          <w:trHeight w:val="591"/>
        </w:trPr>
        <w:tc>
          <w:tcPr>
            <w:tcW w:w="2589" w:type="dxa"/>
          </w:tcPr>
          <w:p w14:paraId="1BA3E751"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14:paraId="79EDD501" w14:textId="57EFADBD"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2,069</w:t>
            </w:r>
          </w:p>
        </w:tc>
        <w:tc>
          <w:tcPr>
            <w:tcW w:w="1959" w:type="dxa"/>
            <w:vAlign w:val="center"/>
          </w:tcPr>
          <w:p w14:paraId="34118B9D" w14:textId="08F69183"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1,058</w:t>
            </w:r>
          </w:p>
        </w:tc>
        <w:tc>
          <w:tcPr>
            <w:tcW w:w="1683" w:type="dxa"/>
            <w:vAlign w:val="center"/>
          </w:tcPr>
          <w:p w14:paraId="2025D071" w14:textId="5B950BE1"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1,011</w:t>
            </w:r>
          </w:p>
        </w:tc>
        <w:tc>
          <w:tcPr>
            <w:tcW w:w="1357" w:type="dxa"/>
            <w:vAlign w:val="center"/>
          </w:tcPr>
          <w:p w14:paraId="65BA40B0" w14:textId="0C30DE80"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3316E0" w:rsidRPr="003316E0" w14:paraId="782CF625" w14:textId="77777777" w:rsidTr="002C63E1">
        <w:trPr>
          <w:trHeight w:val="575"/>
        </w:trPr>
        <w:tc>
          <w:tcPr>
            <w:tcW w:w="2589" w:type="dxa"/>
          </w:tcPr>
          <w:p w14:paraId="6C091134" w14:textId="3E97752B"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14:paraId="32E5E690" w14:textId="740F82C1"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217,760</w:t>
            </w:r>
          </w:p>
        </w:tc>
        <w:tc>
          <w:tcPr>
            <w:tcW w:w="1959" w:type="dxa"/>
            <w:vAlign w:val="center"/>
          </w:tcPr>
          <w:p w14:paraId="38CAE0BB" w14:textId="3E67BF24"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204,240</w:t>
            </w:r>
          </w:p>
        </w:tc>
        <w:tc>
          <w:tcPr>
            <w:tcW w:w="1683" w:type="dxa"/>
            <w:vAlign w:val="center"/>
          </w:tcPr>
          <w:p w14:paraId="5A1C252C" w14:textId="0B229F6C"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13,520</w:t>
            </w:r>
          </w:p>
        </w:tc>
        <w:tc>
          <w:tcPr>
            <w:tcW w:w="1357" w:type="dxa"/>
            <w:vAlign w:val="center"/>
          </w:tcPr>
          <w:p w14:paraId="04CAEE84" w14:textId="2C093132" w:rsidR="003316E0" w:rsidRPr="003316E0" w:rsidRDefault="000A49C8" w:rsidP="00007B68">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rsidR="003316E0" w:rsidRPr="003316E0" w14:paraId="568E6D4A" w14:textId="77777777" w:rsidTr="002C63E1">
        <w:trPr>
          <w:trHeight w:val="295"/>
        </w:trPr>
        <w:tc>
          <w:tcPr>
            <w:tcW w:w="2589" w:type="dxa"/>
          </w:tcPr>
          <w:p w14:paraId="6FEBF27C" w14:textId="77777777" w:rsidR="003316E0" w:rsidRPr="003316E0" w:rsidRDefault="003316E0" w:rsidP="003316E0">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14:paraId="49C2616D"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14:paraId="41207F78"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14:paraId="16C6F583"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14:paraId="69C5710A" w14:textId="77777777" w:rsidR="003316E0" w:rsidRPr="003316E0" w:rsidRDefault="003316E0" w:rsidP="00007B68">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14:paraId="310395DD" w14:textId="77777777" w:rsidR="003316E0" w:rsidRDefault="003316E0" w:rsidP="003316E0">
      <w:pPr>
        <w:spacing w:after="0"/>
        <w:rPr>
          <w:rFonts w:ascii="Times New Roman" w:hAnsi="Times New Roman" w:cs="Times New Roman"/>
          <w:sz w:val="24"/>
          <w:szCs w:val="24"/>
        </w:rPr>
      </w:pPr>
    </w:p>
    <w:p w14:paraId="7198FAED" w14:textId="77777777" w:rsidR="003316E0" w:rsidRPr="00A276F5" w:rsidRDefault="003316E0" w:rsidP="003316E0">
      <w:pPr>
        <w:spacing w:after="0"/>
        <w:rPr>
          <w:rFonts w:ascii="Times New Roman" w:hAnsi="Times New Roman" w:cs="Times New Roman"/>
          <w:sz w:val="24"/>
          <w:szCs w:val="24"/>
        </w:rPr>
      </w:pPr>
    </w:p>
    <w:p w14:paraId="14DF466B"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549D3523" w14:textId="77777777" w:rsidR="00414F32" w:rsidRDefault="00414F32" w:rsidP="00414F32">
      <w:pPr>
        <w:spacing w:after="0"/>
        <w:rPr>
          <w:rFonts w:ascii="Times New Roman" w:hAnsi="Times New Roman" w:cs="Times New Roman"/>
          <w:sz w:val="24"/>
          <w:szCs w:val="24"/>
        </w:rPr>
      </w:pPr>
    </w:p>
    <w:p w14:paraId="2E0C5762" w14:textId="3A06D1F2" w:rsidR="00414F32" w:rsidRDefault="00197A36" w:rsidP="00414F3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14:paraId="2A811203" w14:textId="77777777" w:rsidR="00197A36" w:rsidRPr="00414F32" w:rsidRDefault="00197A36" w:rsidP="00414F32">
      <w:pPr>
        <w:spacing w:after="0"/>
        <w:rPr>
          <w:rFonts w:ascii="Times New Roman" w:hAnsi="Times New Roman" w:cs="Times New Roman"/>
          <w:sz w:val="24"/>
          <w:szCs w:val="24"/>
        </w:rPr>
      </w:pPr>
    </w:p>
    <w:p w14:paraId="349CB48A"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7AC6D57D" w14:textId="77777777" w:rsidR="00414F32" w:rsidRDefault="00414F32" w:rsidP="00414F32">
      <w:pPr>
        <w:spacing w:after="0"/>
        <w:rPr>
          <w:rFonts w:ascii="Times New Roman" w:hAnsi="Times New Roman" w:cs="Times New Roman"/>
          <w:sz w:val="24"/>
          <w:szCs w:val="24"/>
        </w:rPr>
      </w:pPr>
    </w:p>
    <w:p w14:paraId="713D225F" w14:textId="77777777" w:rsidR="00C27D56" w:rsidRDefault="00C27D56" w:rsidP="00414F32">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hyperlink r:id="rId14" w:history="1">
        <w:r w:rsidRPr="00F50384">
          <w:rPr>
            <w:rStyle w:val="Hyperlink"/>
            <w:rFonts w:ascii="Times New Roman" w:hAnsi="Times New Roman" w:cs="Times New Roman"/>
            <w:sz w:val="24"/>
            <w:szCs w:val="24"/>
          </w:rPr>
          <w:t>http://www.ferc.gov/docs-filing/info-collections.asp</w:t>
        </w:r>
      </w:hyperlink>
      <w:r w:rsidRPr="00F50384">
        <w:rPr>
          <w:rFonts w:ascii="Times New Roman" w:hAnsi="Times New Roman" w:cs="Times New Roman"/>
          <w:sz w:val="24"/>
          <w:szCs w:val="24"/>
        </w:rPr>
        <w:t xml:space="preserve">. </w:t>
      </w:r>
    </w:p>
    <w:p w14:paraId="515C9511" w14:textId="77777777" w:rsidR="00197A36" w:rsidRPr="00414F32" w:rsidRDefault="00197A36" w:rsidP="00414F32">
      <w:pPr>
        <w:spacing w:after="0"/>
        <w:rPr>
          <w:rFonts w:ascii="Times New Roman" w:hAnsi="Times New Roman" w:cs="Times New Roman"/>
          <w:sz w:val="24"/>
          <w:szCs w:val="24"/>
        </w:rPr>
      </w:pPr>
    </w:p>
    <w:p w14:paraId="67CF7F12"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1E4AC3D6" w14:textId="77777777" w:rsidR="00970FE4" w:rsidRDefault="00970FE4" w:rsidP="0057700F">
      <w:pPr>
        <w:spacing w:after="0"/>
        <w:rPr>
          <w:rFonts w:ascii="Times New Roman" w:hAnsi="Times New Roman" w:cs="Times New Roman"/>
          <w:sz w:val="24"/>
          <w:szCs w:val="24"/>
        </w:rPr>
      </w:pPr>
    </w:p>
    <w:p w14:paraId="3547AA9B" w14:textId="2627D09E" w:rsidR="00414F32" w:rsidRDefault="00F26E86" w:rsidP="007A2F92">
      <w:pPr>
        <w:spacing w:after="0"/>
        <w:rPr>
          <w:rFonts w:ascii="Times New Roman" w:hAnsi="Times New Roman" w:cs="Times New Roman"/>
          <w:sz w:val="24"/>
          <w:szCs w:val="24"/>
        </w:rPr>
      </w:pPr>
      <w:r>
        <w:rPr>
          <w:rFonts w:ascii="Times New Roman" w:hAnsi="Times New Roman" w:cs="Times New Roman"/>
          <w:sz w:val="24"/>
          <w:szCs w:val="24"/>
        </w:rPr>
        <w:t>There are no exceptions.</w:t>
      </w:r>
    </w:p>
    <w:p w14:paraId="71D2FDBE" w14:textId="0B90ED0D" w:rsidR="001968F8" w:rsidRPr="007A2F92" w:rsidRDefault="001968F8" w:rsidP="002C5784">
      <w:pPr>
        <w:rPr>
          <w:rFonts w:ascii="Times New Roman" w:hAnsi="Times New Roman" w:cs="Times New Roman"/>
          <w:sz w:val="24"/>
          <w:szCs w:val="24"/>
        </w:rPr>
      </w:pPr>
    </w:p>
    <w:sectPr w:rsidR="001968F8" w:rsidRPr="007A2F92" w:rsidSect="0078612A">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FA4C16" w14:textId="77777777" w:rsidR="00007B68" w:rsidRDefault="00007B68" w:rsidP="00FD66F1">
      <w:pPr>
        <w:spacing w:after="0" w:line="240" w:lineRule="auto"/>
      </w:pPr>
      <w:r>
        <w:separator/>
      </w:r>
    </w:p>
  </w:endnote>
  <w:endnote w:type="continuationSeparator" w:id="0">
    <w:p w14:paraId="0DF822B4" w14:textId="77777777" w:rsidR="00007B68" w:rsidRDefault="00007B6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007B68" w:rsidRPr="00DD79FB" w:rsidRDefault="00007B68">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1C033B">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007B68" w:rsidRDefault="00007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0C9FF" w14:textId="77777777" w:rsidR="00007B68" w:rsidRDefault="00007B68" w:rsidP="00FD66F1">
      <w:pPr>
        <w:spacing w:after="0" w:line="240" w:lineRule="auto"/>
      </w:pPr>
      <w:r>
        <w:separator/>
      </w:r>
    </w:p>
  </w:footnote>
  <w:footnote w:type="continuationSeparator" w:id="0">
    <w:p w14:paraId="29ECC354" w14:textId="77777777" w:rsidR="00007B68" w:rsidRDefault="00007B68" w:rsidP="00FD66F1">
      <w:pPr>
        <w:spacing w:after="0" w:line="240" w:lineRule="auto"/>
      </w:pPr>
      <w:r>
        <w:continuationSeparator/>
      </w:r>
    </w:p>
  </w:footnote>
  <w:footnote w:id="1">
    <w:p w14:paraId="3CF10310" w14:textId="77777777" w:rsidR="00007B68" w:rsidRPr="00F82B8E" w:rsidRDefault="00007B68" w:rsidP="0020384F">
      <w:pPr>
        <w:pStyle w:val="FootnoteText"/>
      </w:pPr>
      <w:r w:rsidRPr="00F82B8E">
        <w:rPr>
          <w:rStyle w:val="FootnoteReference"/>
        </w:rPr>
        <w:footnoteRef/>
      </w:r>
      <w:r w:rsidRPr="00F82B8E">
        <w:t xml:space="preserve"> </w:t>
      </w:r>
      <w:r w:rsidRPr="00F82B8E">
        <w:rPr>
          <w:i/>
          <w:iCs/>
        </w:rPr>
        <w:t>North American Electric Reliability Corp.</w:t>
      </w:r>
      <w:r w:rsidRPr="00F82B8E">
        <w:t xml:space="preserve">, 116 FERC ¶ 61,062, </w:t>
      </w:r>
      <w:r w:rsidRPr="00F82B8E">
        <w:rPr>
          <w:i/>
          <w:iCs/>
        </w:rPr>
        <w:t>order on reh’g &amp; compliance</w:t>
      </w:r>
      <w:r w:rsidRPr="00F82B8E">
        <w:t xml:space="preserve">, 117 FERC ¶ 61,126 (2006), </w:t>
      </w:r>
      <w:r w:rsidRPr="00F82B8E">
        <w:rPr>
          <w:i/>
        </w:rPr>
        <w:t xml:space="preserve">aff’d </w:t>
      </w:r>
      <w:r w:rsidRPr="00F82B8E">
        <w:rPr>
          <w:i/>
          <w:iCs/>
        </w:rPr>
        <w:t>sub nom. Alcoa, Inc. v. FERC</w:t>
      </w:r>
      <w:r w:rsidRPr="00F82B8E">
        <w:t xml:space="preserve">, 564 F.3d 1342 (D.C. Cir. 2009).  </w:t>
      </w:r>
    </w:p>
  </w:footnote>
  <w:footnote w:id="2">
    <w:p w14:paraId="1F7ECB31" w14:textId="75BE88AA" w:rsidR="00756810" w:rsidRDefault="00756810">
      <w:pPr>
        <w:pStyle w:val="FootnoteText"/>
      </w:pPr>
      <w:r>
        <w:rPr>
          <w:rStyle w:val="FootnoteReference"/>
        </w:rPr>
        <w:footnoteRef/>
      </w:r>
      <w:r>
        <w:t xml:space="preserve"> The Order in Docket No. RD14-11-000 was issued on 8/1/2014 (</w:t>
      </w:r>
      <w:hyperlink r:id="rId1" w:history="1">
        <w:r w:rsidRPr="00756810">
          <w:rPr>
            <w:rStyle w:val="Hyperlink"/>
          </w:rPr>
          <w:t>https://elibrary-backup.ferc.gov/idmws/common/OpenNat.asp?fileID=13606637</w:t>
        </w:r>
      </w:hyperlink>
      <w:r>
        <w:t>)</w:t>
      </w:r>
    </w:p>
  </w:footnote>
  <w:footnote w:id="3">
    <w:p w14:paraId="488E2AD1" w14:textId="63D86160" w:rsidR="00DE0976" w:rsidRDefault="00DE0976">
      <w:pPr>
        <w:pStyle w:val="FootnoteText"/>
      </w:pPr>
      <w:r>
        <w:rPr>
          <w:rStyle w:val="FootnoteReference"/>
        </w:rPr>
        <w:footnoteRef/>
      </w:r>
      <w:r>
        <w:t xml:space="preserve"> VAR-001-4 was revised into VAR-001-4.1 by an errata</w:t>
      </w:r>
      <w:r w:rsidR="00E453EB">
        <w:t xml:space="preserve"> in Docket No. RD15-3-000</w:t>
      </w:r>
      <w:r>
        <w:t xml:space="preserve"> on 11/13/2015. VAR-001-4.1 was then revised into VAR-001-4.2 </w:t>
      </w:r>
      <w:r w:rsidR="00E453EB">
        <w:t xml:space="preserve">and VAR-002-4 was revised into VAR-002-4.1 </w:t>
      </w:r>
      <w:r>
        <w:t>by another errata</w:t>
      </w:r>
      <w:r w:rsidR="00E453EB">
        <w:t xml:space="preserve"> in Docket No. RD17-7-000</w:t>
      </w:r>
      <w:r>
        <w:t xml:space="preserve"> on 9/26/2017. Both of these errata notice provided administrative corrections only and had no effect on the reporting burden for either reliability standard.</w:t>
      </w:r>
    </w:p>
  </w:footnote>
  <w:footnote w:id="4">
    <w:p w14:paraId="1A6208B3" w14:textId="4049FDF2" w:rsidR="00DE0976" w:rsidRDefault="00DE0976">
      <w:pPr>
        <w:pStyle w:val="FootnoteText"/>
      </w:pPr>
      <w:r>
        <w:rPr>
          <w:rStyle w:val="FootnoteReference"/>
        </w:rPr>
        <w:footnoteRef/>
      </w:r>
      <w:r>
        <w:t xml:space="preserve"> Order in Docket No.  RD15-3-000, page 3, paragraph 4.</w:t>
      </w:r>
    </w:p>
  </w:footnote>
  <w:footnote w:id="5">
    <w:p w14:paraId="69D7D514" w14:textId="77777777" w:rsidR="00007B68" w:rsidRPr="00F82B8E" w:rsidRDefault="00007B68" w:rsidP="0020384F">
      <w:pPr>
        <w:pStyle w:val="FootnoteText"/>
      </w:pPr>
      <w:r w:rsidRPr="00F82B8E">
        <w:rPr>
          <w:rStyle w:val="FootnoteReference"/>
        </w:rPr>
        <w:footnoteRef/>
      </w:r>
      <w:r w:rsidRPr="00F82B8E">
        <w:t xml:space="preserve"> </w:t>
      </w:r>
      <w:hyperlink r:id="rId2" w:history="1">
        <w:r w:rsidRPr="00F82B8E">
          <w:rPr>
            <w:rStyle w:val="Hyperlink"/>
          </w:rPr>
          <w:t>http://www.nerc.com/FilingsOrders/us/RuleOfProcedureDL/NERC_ROP_Effective_20161031.pdf</w:t>
        </w:r>
      </w:hyperlink>
      <w:r w:rsidRPr="00F82B8E">
        <w:t xml:space="preserve"> </w:t>
      </w:r>
    </w:p>
  </w:footnote>
  <w:footnote w:id="6">
    <w:p w14:paraId="3BD27AEA" w14:textId="77777777" w:rsidR="00007B68" w:rsidRPr="00F82B8E" w:rsidRDefault="00007B68" w:rsidP="0020384F">
      <w:pPr>
        <w:pStyle w:val="FootnoteText"/>
      </w:pPr>
      <w:r w:rsidRPr="00F82B8E">
        <w:rPr>
          <w:rStyle w:val="FootnoteReference"/>
        </w:rPr>
        <w:footnoteRef/>
      </w:r>
      <w:r w:rsidRPr="00F82B8E">
        <w:t xml:space="preserve"> Details of the ERO standards development process are available on the NERC website at </w:t>
      </w:r>
      <w:hyperlink r:id="rId3" w:history="1">
        <w:r w:rsidRPr="00F82B8E">
          <w:rPr>
            <w:rStyle w:val="Hyperlink"/>
          </w:rPr>
          <w:t>http://www.nerc.com/pa/Stand/Documents/Appendix_3A_StandardsProcessesManual.pdf</w:t>
        </w:r>
      </w:hyperlink>
      <w:r w:rsidRPr="00F82B8E">
        <w:t>.</w:t>
      </w:r>
    </w:p>
  </w:footnote>
  <w:footnote w:id="7">
    <w:p w14:paraId="14C24072" w14:textId="1175D700" w:rsidR="00007B68" w:rsidRPr="00F82B8E" w:rsidRDefault="00007B68" w:rsidP="0020384F">
      <w:pPr>
        <w:pStyle w:val="FootnoteText"/>
      </w:pPr>
      <w:r w:rsidRPr="00F82B8E">
        <w:rPr>
          <w:rStyle w:val="FootnoteReference"/>
        </w:rPr>
        <w:footnoteRef/>
      </w:r>
      <w:r w:rsidR="000A49C8">
        <w:t xml:space="preserve"> 83 FR 5416</w:t>
      </w:r>
    </w:p>
  </w:footnote>
  <w:footnote w:id="8">
    <w:p w14:paraId="7B2F1C4B" w14:textId="6CBC12FC" w:rsidR="00007B68" w:rsidRPr="00F82B8E" w:rsidRDefault="00007B68" w:rsidP="0020384F">
      <w:pPr>
        <w:pStyle w:val="FootnoteText"/>
      </w:pPr>
      <w:r w:rsidRPr="00F82B8E">
        <w:rPr>
          <w:rStyle w:val="FootnoteReference"/>
        </w:rPr>
        <w:footnoteRef/>
      </w:r>
      <w:r w:rsidR="000A49C8">
        <w:t xml:space="preserve"> 83 FR 18019</w:t>
      </w:r>
    </w:p>
  </w:footnote>
  <w:footnote w:id="9">
    <w:p w14:paraId="227080BC" w14:textId="77777777" w:rsidR="00007B68" w:rsidRPr="00F82B8E" w:rsidRDefault="00007B68" w:rsidP="0020384F">
      <w:pPr>
        <w:pStyle w:val="FootnoteText"/>
      </w:pPr>
      <w:r w:rsidRPr="00F82B8E">
        <w:rPr>
          <w:rStyle w:val="FootnoteReference"/>
        </w:rPr>
        <w:footnoteRef/>
      </w:r>
      <w:r w:rsidRPr="00F82B8E">
        <w:t xml:space="preserve"> Section 1502, Paragraph 2, available at NERCs website.</w:t>
      </w:r>
    </w:p>
  </w:footnote>
  <w:footnote w:id="10">
    <w:p w14:paraId="4DE87C33" w14:textId="77777777" w:rsidR="00640365" w:rsidRPr="002E75BF" w:rsidRDefault="00640365" w:rsidP="00640365">
      <w:pPr>
        <w:pStyle w:val="FootnoteText"/>
      </w:pPr>
      <w:r w:rsidRPr="002E75BF">
        <w:rPr>
          <w:rStyle w:val="FootnoteReference"/>
        </w:rPr>
        <w:footnoteRef/>
      </w:r>
      <w:r w:rsidRPr="002E75BF">
        <w:t xml:space="preserve"> TOP = transmission operator; GOP = generator operators.</w:t>
      </w:r>
    </w:p>
  </w:footnote>
  <w:footnote w:id="11">
    <w:p w14:paraId="6AF19022" w14:textId="77777777" w:rsidR="00640365" w:rsidRPr="002E75BF" w:rsidRDefault="00640365" w:rsidP="00640365">
      <w:pPr>
        <w:pStyle w:val="FootnoteText"/>
      </w:pPr>
      <w:r w:rsidRPr="002E75BF">
        <w:rPr>
          <w:rStyle w:val="FootnoteReference"/>
        </w:rPr>
        <w:footnoteRef/>
      </w:r>
      <w:r w:rsidRPr="002E75BF">
        <w:t xml:space="preserve"> The estimate for hourly cost is $68.12/hour.  This figure is the average salary plus benefits for an electrical engineer (Occupation Code: 17-2071) from the Bureau of Labor Statistics at </w:t>
      </w:r>
      <w:hyperlink r:id="rId4" w:history="1">
        <w:r w:rsidRPr="002E75BF">
          <w:rPr>
            <w:rStyle w:val="Hyperlink"/>
          </w:rPr>
          <w:t>https://www.bls.gov/oes/current/naics2_22.htm</w:t>
        </w:r>
      </w:hyperlink>
      <w:r w:rsidRPr="002E75BF">
        <w:t>.</w:t>
      </w:r>
    </w:p>
  </w:footnote>
  <w:footnote w:id="12">
    <w:p w14:paraId="3C6FE927" w14:textId="15B83DBE" w:rsidR="00007B68" w:rsidRPr="00F82B8E" w:rsidRDefault="00007B68" w:rsidP="0020384F">
      <w:pPr>
        <w:pStyle w:val="FootnoteText"/>
      </w:pPr>
      <w:r w:rsidRPr="00F82B8E">
        <w:rPr>
          <w:rStyle w:val="FootnoteReference"/>
        </w:rPr>
        <w:footnoteRef/>
      </w:r>
      <w:r w:rsidRPr="00F82B8E">
        <w:rPr>
          <w:vertAlign w:val="superscript"/>
        </w:rPr>
        <w:t xml:space="preserve"> </w:t>
      </w:r>
      <w:r w:rsidRPr="00F82B8E">
        <w:t>Based upon FERC’s 2017 FTE</w:t>
      </w:r>
      <w:r>
        <w:t xml:space="preserve"> average salary plus benefits.</w:t>
      </w:r>
    </w:p>
  </w:footnote>
  <w:footnote w:id="13">
    <w:p w14:paraId="2C5047DF" w14:textId="77777777" w:rsidR="00007B68" w:rsidRPr="00F82B8E" w:rsidRDefault="00007B68" w:rsidP="0020384F">
      <w:pPr>
        <w:pStyle w:val="FootnoteText"/>
      </w:pPr>
      <w:r w:rsidRPr="00F82B8E">
        <w:rPr>
          <w:rStyle w:val="FootnoteReference"/>
        </w:rPr>
        <w:footnoteRef/>
      </w:r>
      <w:r w:rsidRPr="00F82B8E">
        <w:t xml:space="preserve"> Paperwork Reduction Act of 1995 (PRA)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FEECE" w14:textId="68EFD4F8" w:rsidR="00007B68" w:rsidRDefault="00A45BD2">
    <w:pPr>
      <w:pStyle w:val="Header"/>
    </w:pPr>
    <w:r>
      <w:rPr>
        <w:rFonts w:ascii="Times New Roman" w:hAnsi="Times New Roman" w:cs="Times New Roman"/>
        <w:sz w:val="24"/>
        <w:szCs w:val="24"/>
      </w:rPr>
      <w:t>FERC-725X</w:t>
    </w:r>
    <w:r w:rsidR="00007B68">
      <w:rPr>
        <w:rFonts w:ascii="Times New Roman" w:hAnsi="Times New Roman" w:cs="Times New Roman"/>
        <w:sz w:val="24"/>
        <w:szCs w:val="24"/>
      </w:rPr>
      <w:t xml:space="preserve"> (OMB Control </w:t>
    </w:r>
    <w:r w:rsidR="00640365">
      <w:rPr>
        <w:rFonts w:ascii="Times New Roman" w:hAnsi="Times New Roman" w:cs="Times New Roman"/>
        <w:sz w:val="24"/>
        <w:szCs w:val="24"/>
      </w:rPr>
      <w:t>No. 1902-0278</w:t>
    </w:r>
    <w:r w:rsidR="00007B68">
      <w:rPr>
        <w:rFonts w:ascii="Times New Roman" w:hAnsi="Times New Roman" w:cs="Times New Roman"/>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2"/>
  </w:num>
  <w:num w:numId="4">
    <w:abstractNumId w:val="14"/>
  </w:num>
  <w:num w:numId="5">
    <w:abstractNumId w:val="9"/>
  </w:num>
  <w:num w:numId="6">
    <w:abstractNumId w:val="0"/>
  </w:num>
  <w:num w:numId="7">
    <w:abstractNumId w:val="5"/>
  </w:num>
  <w:num w:numId="8">
    <w:abstractNumId w:val="7"/>
  </w:num>
  <w:num w:numId="9">
    <w:abstractNumId w:val="15"/>
  </w:num>
  <w:num w:numId="10">
    <w:abstractNumId w:val="11"/>
  </w:num>
  <w:num w:numId="11">
    <w:abstractNumId w:val="2"/>
  </w:num>
  <w:num w:numId="12">
    <w:abstractNumId w:val="3"/>
  </w:num>
  <w:num w:numId="13">
    <w:abstractNumId w:val="1"/>
  </w:num>
  <w:num w:numId="14">
    <w:abstractNumId w:val="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742"/>
    <w:rsid w:val="0000761B"/>
    <w:rsid w:val="00007B68"/>
    <w:rsid w:val="000158B8"/>
    <w:rsid w:val="0002242D"/>
    <w:rsid w:val="0002567F"/>
    <w:rsid w:val="00030C21"/>
    <w:rsid w:val="00035845"/>
    <w:rsid w:val="000517E2"/>
    <w:rsid w:val="00074DC8"/>
    <w:rsid w:val="0007636B"/>
    <w:rsid w:val="00097E6C"/>
    <w:rsid w:val="000A18A4"/>
    <w:rsid w:val="000A49C8"/>
    <w:rsid w:val="000B0C37"/>
    <w:rsid w:val="000B45EB"/>
    <w:rsid w:val="000C5CD7"/>
    <w:rsid w:val="000D58F6"/>
    <w:rsid w:val="000D6FBE"/>
    <w:rsid w:val="000E15B3"/>
    <w:rsid w:val="000E2B20"/>
    <w:rsid w:val="000E5772"/>
    <w:rsid w:val="000E5F31"/>
    <w:rsid w:val="000F1DBC"/>
    <w:rsid w:val="000F34E5"/>
    <w:rsid w:val="000F41C9"/>
    <w:rsid w:val="001115C7"/>
    <w:rsid w:val="001119AF"/>
    <w:rsid w:val="0012296A"/>
    <w:rsid w:val="001348AC"/>
    <w:rsid w:val="00143103"/>
    <w:rsid w:val="00144325"/>
    <w:rsid w:val="00150D8F"/>
    <w:rsid w:val="00162B26"/>
    <w:rsid w:val="0017533A"/>
    <w:rsid w:val="00175AD1"/>
    <w:rsid w:val="00181727"/>
    <w:rsid w:val="00185730"/>
    <w:rsid w:val="001968F8"/>
    <w:rsid w:val="00197A36"/>
    <w:rsid w:val="001A05A0"/>
    <w:rsid w:val="001C033B"/>
    <w:rsid w:val="001C1170"/>
    <w:rsid w:val="001C1E51"/>
    <w:rsid w:val="001C2970"/>
    <w:rsid w:val="001C2DAF"/>
    <w:rsid w:val="001E6AC0"/>
    <w:rsid w:val="0020384F"/>
    <w:rsid w:val="00212A83"/>
    <w:rsid w:val="00236674"/>
    <w:rsid w:val="00247B75"/>
    <w:rsid w:val="0026674D"/>
    <w:rsid w:val="00272108"/>
    <w:rsid w:val="002779D9"/>
    <w:rsid w:val="00297631"/>
    <w:rsid w:val="002A0D26"/>
    <w:rsid w:val="002A1294"/>
    <w:rsid w:val="002A40A7"/>
    <w:rsid w:val="002B13E2"/>
    <w:rsid w:val="002B4DD2"/>
    <w:rsid w:val="002B5629"/>
    <w:rsid w:val="002C1BFB"/>
    <w:rsid w:val="002C5784"/>
    <w:rsid w:val="002C63E1"/>
    <w:rsid w:val="00304952"/>
    <w:rsid w:val="003316E0"/>
    <w:rsid w:val="003528CC"/>
    <w:rsid w:val="00362710"/>
    <w:rsid w:val="00362A6A"/>
    <w:rsid w:val="00363B01"/>
    <w:rsid w:val="003800E6"/>
    <w:rsid w:val="003967A4"/>
    <w:rsid w:val="003B0249"/>
    <w:rsid w:val="003B3B61"/>
    <w:rsid w:val="003C51DB"/>
    <w:rsid w:val="003D5A4D"/>
    <w:rsid w:val="003D5BDA"/>
    <w:rsid w:val="003E6C01"/>
    <w:rsid w:val="0040192F"/>
    <w:rsid w:val="00414F32"/>
    <w:rsid w:val="004276A5"/>
    <w:rsid w:val="00443588"/>
    <w:rsid w:val="0045480C"/>
    <w:rsid w:val="0045680D"/>
    <w:rsid w:val="00466C57"/>
    <w:rsid w:val="004B3FFA"/>
    <w:rsid w:val="004C02F0"/>
    <w:rsid w:val="004C4C89"/>
    <w:rsid w:val="004C5E0E"/>
    <w:rsid w:val="004D29AB"/>
    <w:rsid w:val="004E651C"/>
    <w:rsid w:val="004F6977"/>
    <w:rsid w:val="00507511"/>
    <w:rsid w:val="005121A2"/>
    <w:rsid w:val="00513A16"/>
    <w:rsid w:val="00522F69"/>
    <w:rsid w:val="0053287C"/>
    <w:rsid w:val="00540572"/>
    <w:rsid w:val="00541B4E"/>
    <w:rsid w:val="00541FBD"/>
    <w:rsid w:val="005462B6"/>
    <w:rsid w:val="00546870"/>
    <w:rsid w:val="00547FA1"/>
    <w:rsid w:val="00570861"/>
    <w:rsid w:val="00571C5E"/>
    <w:rsid w:val="00576FDE"/>
    <w:rsid w:val="0057700F"/>
    <w:rsid w:val="00582E7E"/>
    <w:rsid w:val="00591BAD"/>
    <w:rsid w:val="005A2792"/>
    <w:rsid w:val="005A29F9"/>
    <w:rsid w:val="005B77CE"/>
    <w:rsid w:val="005E2146"/>
    <w:rsid w:val="005F1C3C"/>
    <w:rsid w:val="005F44CB"/>
    <w:rsid w:val="006166FA"/>
    <w:rsid w:val="00621C29"/>
    <w:rsid w:val="00625238"/>
    <w:rsid w:val="00630A34"/>
    <w:rsid w:val="00637CE1"/>
    <w:rsid w:val="00640365"/>
    <w:rsid w:val="006437A2"/>
    <w:rsid w:val="00656FFC"/>
    <w:rsid w:val="00657A47"/>
    <w:rsid w:val="00664BC0"/>
    <w:rsid w:val="00674FD8"/>
    <w:rsid w:val="00682634"/>
    <w:rsid w:val="00690136"/>
    <w:rsid w:val="0069237F"/>
    <w:rsid w:val="00697657"/>
    <w:rsid w:val="006B437C"/>
    <w:rsid w:val="006B6D60"/>
    <w:rsid w:val="006D5F25"/>
    <w:rsid w:val="006E3CFD"/>
    <w:rsid w:val="006E48BC"/>
    <w:rsid w:val="006F4640"/>
    <w:rsid w:val="00711903"/>
    <w:rsid w:val="00716469"/>
    <w:rsid w:val="00731C22"/>
    <w:rsid w:val="00736047"/>
    <w:rsid w:val="0074195A"/>
    <w:rsid w:val="00744A3C"/>
    <w:rsid w:val="00756810"/>
    <w:rsid w:val="00761A02"/>
    <w:rsid w:val="00773AEB"/>
    <w:rsid w:val="007763AF"/>
    <w:rsid w:val="0078612A"/>
    <w:rsid w:val="00787670"/>
    <w:rsid w:val="007A2F92"/>
    <w:rsid w:val="007A6142"/>
    <w:rsid w:val="007B06B3"/>
    <w:rsid w:val="007B193F"/>
    <w:rsid w:val="007B7E0C"/>
    <w:rsid w:val="007C1FB6"/>
    <w:rsid w:val="007D719C"/>
    <w:rsid w:val="007E3C37"/>
    <w:rsid w:val="007E7C0F"/>
    <w:rsid w:val="007F4AE4"/>
    <w:rsid w:val="00825EE1"/>
    <w:rsid w:val="00834C7F"/>
    <w:rsid w:val="008524C6"/>
    <w:rsid w:val="00855EC8"/>
    <w:rsid w:val="008619E1"/>
    <w:rsid w:val="00873A94"/>
    <w:rsid w:val="00876F75"/>
    <w:rsid w:val="00896C01"/>
    <w:rsid w:val="008A21A4"/>
    <w:rsid w:val="008A52E9"/>
    <w:rsid w:val="008B703B"/>
    <w:rsid w:val="008C238C"/>
    <w:rsid w:val="008C25E0"/>
    <w:rsid w:val="008C288D"/>
    <w:rsid w:val="008C2F02"/>
    <w:rsid w:val="008C76E2"/>
    <w:rsid w:val="008D310F"/>
    <w:rsid w:val="008E58B7"/>
    <w:rsid w:val="008E70CD"/>
    <w:rsid w:val="009115AB"/>
    <w:rsid w:val="00911FF4"/>
    <w:rsid w:val="00913A8B"/>
    <w:rsid w:val="009276A9"/>
    <w:rsid w:val="0093102B"/>
    <w:rsid w:val="0093357F"/>
    <w:rsid w:val="009430EF"/>
    <w:rsid w:val="00950ECA"/>
    <w:rsid w:val="00952D21"/>
    <w:rsid w:val="00963609"/>
    <w:rsid w:val="00970C75"/>
    <w:rsid w:val="00970FE4"/>
    <w:rsid w:val="00971AB3"/>
    <w:rsid w:val="00977929"/>
    <w:rsid w:val="0099336E"/>
    <w:rsid w:val="009A5447"/>
    <w:rsid w:val="009C45B8"/>
    <w:rsid w:val="009E1190"/>
    <w:rsid w:val="00A276F5"/>
    <w:rsid w:val="00A45BD2"/>
    <w:rsid w:val="00A5648B"/>
    <w:rsid w:val="00A61802"/>
    <w:rsid w:val="00A62953"/>
    <w:rsid w:val="00A72E7B"/>
    <w:rsid w:val="00A741BA"/>
    <w:rsid w:val="00A81C16"/>
    <w:rsid w:val="00A82B09"/>
    <w:rsid w:val="00A84355"/>
    <w:rsid w:val="00A84BED"/>
    <w:rsid w:val="00A9186C"/>
    <w:rsid w:val="00A93F1B"/>
    <w:rsid w:val="00A96B65"/>
    <w:rsid w:val="00AC5D45"/>
    <w:rsid w:val="00AD16A3"/>
    <w:rsid w:val="00AD3DE5"/>
    <w:rsid w:val="00AD50EA"/>
    <w:rsid w:val="00AE14A8"/>
    <w:rsid w:val="00AE298A"/>
    <w:rsid w:val="00AF2217"/>
    <w:rsid w:val="00B015EC"/>
    <w:rsid w:val="00B01AC9"/>
    <w:rsid w:val="00B072C3"/>
    <w:rsid w:val="00B27783"/>
    <w:rsid w:val="00B33B5F"/>
    <w:rsid w:val="00B51D20"/>
    <w:rsid w:val="00B57039"/>
    <w:rsid w:val="00B72662"/>
    <w:rsid w:val="00B837BA"/>
    <w:rsid w:val="00B85235"/>
    <w:rsid w:val="00B8706D"/>
    <w:rsid w:val="00B9413E"/>
    <w:rsid w:val="00BA1C7D"/>
    <w:rsid w:val="00BA7C56"/>
    <w:rsid w:val="00BB3B2C"/>
    <w:rsid w:val="00BC27F0"/>
    <w:rsid w:val="00BE526B"/>
    <w:rsid w:val="00BE7025"/>
    <w:rsid w:val="00BF2816"/>
    <w:rsid w:val="00BF3F67"/>
    <w:rsid w:val="00C01698"/>
    <w:rsid w:val="00C03F29"/>
    <w:rsid w:val="00C05F12"/>
    <w:rsid w:val="00C27D56"/>
    <w:rsid w:val="00C35DFC"/>
    <w:rsid w:val="00C47527"/>
    <w:rsid w:val="00C510DD"/>
    <w:rsid w:val="00C61E8F"/>
    <w:rsid w:val="00C6263B"/>
    <w:rsid w:val="00C676C1"/>
    <w:rsid w:val="00C96C91"/>
    <w:rsid w:val="00CA495F"/>
    <w:rsid w:val="00CA59C3"/>
    <w:rsid w:val="00CB26E8"/>
    <w:rsid w:val="00CE0A63"/>
    <w:rsid w:val="00CE15BC"/>
    <w:rsid w:val="00CE2CDA"/>
    <w:rsid w:val="00CE535C"/>
    <w:rsid w:val="00CF759C"/>
    <w:rsid w:val="00D075A0"/>
    <w:rsid w:val="00D21D86"/>
    <w:rsid w:val="00D407F7"/>
    <w:rsid w:val="00D43F0E"/>
    <w:rsid w:val="00D47528"/>
    <w:rsid w:val="00D63739"/>
    <w:rsid w:val="00D76508"/>
    <w:rsid w:val="00D80FBD"/>
    <w:rsid w:val="00D83445"/>
    <w:rsid w:val="00D85DBB"/>
    <w:rsid w:val="00D87A76"/>
    <w:rsid w:val="00D9209B"/>
    <w:rsid w:val="00DA06F4"/>
    <w:rsid w:val="00DB55F4"/>
    <w:rsid w:val="00DB58D2"/>
    <w:rsid w:val="00DB6DC8"/>
    <w:rsid w:val="00DC015E"/>
    <w:rsid w:val="00DC4E36"/>
    <w:rsid w:val="00DD3B35"/>
    <w:rsid w:val="00DD79FB"/>
    <w:rsid w:val="00DE0976"/>
    <w:rsid w:val="00DE18D9"/>
    <w:rsid w:val="00E06351"/>
    <w:rsid w:val="00E0690B"/>
    <w:rsid w:val="00E11CA6"/>
    <w:rsid w:val="00E12A4B"/>
    <w:rsid w:val="00E14565"/>
    <w:rsid w:val="00E20612"/>
    <w:rsid w:val="00E23E64"/>
    <w:rsid w:val="00E25683"/>
    <w:rsid w:val="00E36A45"/>
    <w:rsid w:val="00E453EB"/>
    <w:rsid w:val="00E50DF3"/>
    <w:rsid w:val="00E52D63"/>
    <w:rsid w:val="00E57CCE"/>
    <w:rsid w:val="00E636D7"/>
    <w:rsid w:val="00E67CF3"/>
    <w:rsid w:val="00E760F8"/>
    <w:rsid w:val="00E87A4F"/>
    <w:rsid w:val="00EA5C58"/>
    <w:rsid w:val="00EB3E6F"/>
    <w:rsid w:val="00EB554A"/>
    <w:rsid w:val="00ED5560"/>
    <w:rsid w:val="00F0169F"/>
    <w:rsid w:val="00F109D2"/>
    <w:rsid w:val="00F12DC2"/>
    <w:rsid w:val="00F14038"/>
    <w:rsid w:val="00F152DF"/>
    <w:rsid w:val="00F26E86"/>
    <w:rsid w:val="00F41092"/>
    <w:rsid w:val="00F62674"/>
    <w:rsid w:val="00F707CA"/>
    <w:rsid w:val="00F77257"/>
    <w:rsid w:val="00F81142"/>
    <w:rsid w:val="00F82B8E"/>
    <w:rsid w:val="00F8440A"/>
    <w:rsid w:val="00F918F6"/>
    <w:rsid w:val="00FC037A"/>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C91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erc.com/pa/Stand/Documents/Appendix_3A_StandardsProcessesManual.pdf" TargetMode="External"/><Relationship Id="rId2" Type="http://schemas.openxmlformats.org/officeDocument/2006/relationships/hyperlink" Target="http://www.nerc.com/FilingsOrders/us/RuleOfProcedureDL/NERC_ROP_Effective_20161031.pdf" TargetMode="External"/><Relationship Id="rId1" Type="http://schemas.openxmlformats.org/officeDocument/2006/relationships/hyperlink" Target="https://elibrary-backup.ferc.gov/idmws/common/OpenNat.asp?fileID=13606637" TargetMode="External"/><Relationship Id="rId4"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ate xmlns="d6eefc7d-9817-4fa6-84d5-3bc009be21b8">2018-04-30T00:00:00-04:00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725X</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IC18-9</_x0031__x002e__x0020_Docket_x0020_Number>
    <_x0033__x002e__x0020_Collection_x0020_Number xmlns="d6eefc7d-9817-4fa6-84d5-3bc009be21b8"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3.xml><?xml version="1.0" encoding="utf-8"?>
<ds:datastoreItem xmlns:ds="http://schemas.openxmlformats.org/officeDocument/2006/customXml" ds:itemID="{DC3A4479-0543-455B-A152-110FB41B2830}">
  <ds:schemaRefs>
    <ds:schemaRef ds:uri="http://purl.org/dc/elements/1.1/"/>
    <ds:schemaRef ds:uri="d6eefc7d-9817-4fa6-84d5-3bc009be21b8"/>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5.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6.xml><?xml version="1.0" encoding="utf-8"?>
<ds:datastoreItem xmlns:ds="http://schemas.openxmlformats.org/officeDocument/2006/customXml" ds:itemID="{91FF8BDD-45AD-4EB1-8BC6-6C9CC126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2240</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FERC-725X supporting statement</vt:lpstr>
    </vt:vector>
  </TitlesOfParts>
  <Company>FERC</Company>
  <LinksUpToDate>false</LinksUpToDate>
  <CharactersWithSpaces>14979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FERC-725X supporting statement</dc:title>
  <dc:creator>ferc</dc:creator>
  <cp:lastModifiedBy>SYSTEM</cp:lastModifiedBy>
  <cp:revision>2</cp:revision>
  <dcterms:created xsi:type="dcterms:W3CDTF">2018-04-30T13:10:00Z</dcterms:created>
  <dcterms:modified xsi:type="dcterms:W3CDTF">2018-04-30T13:10:00Z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