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62D5" w14:textId="77777777" w:rsidR="00155EEA" w:rsidRDefault="00155EEA" w:rsidP="00B03D2B">
      <w:pPr>
        <w:spacing w:after="360"/>
        <w:outlineLvl w:val="0"/>
        <w:rPr>
          <w:rFonts w:ascii="Times New Roman" w:hAnsi="Times New Roman"/>
          <w:b/>
          <w:sz w:val="24"/>
          <w:szCs w:val="24"/>
        </w:rPr>
      </w:pPr>
      <w:bookmarkStart w:id="0" w:name="_GoBack"/>
      <w:bookmarkEnd w:id="0"/>
    </w:p>
    <w:p w14:paraId="22276C68" w14:textId="77777777" w:rsidR="00BE4155" w:rsidRPr="00F4129F" w:rsidRDefault="00BE4155" w:rsidP="00BE4155">
      <w:pPr>
        <w:outlineLvl w:val="0"/>
        <w:rPr>
          <w:rFonts w:ascii="Times New Roman" w:hAnsi="Times New Roman"/>
          <w:b/>
          <w:sz w:val="24"/>
          <w:szCs w:val="24"/>
        </w:rPr>
      </w:pPr>
      <w:r w:rsidRPr="00F4129F">
        <w:rPr>
          <w:rFonts w:ascii="Times New Roman" w:hAnsi="Times New Roman"/>
          <w:b/>
          <w:sz w:val="24"/>
          <w:szCs w:val="24"/>
        </w:rPr>
        <w:t>MEMORANDUM</w:t>
      </w:r>
    </w:p>
    <w:p w14:paraId="5D76A241" w14:textId="478265CA" w:rsidR="00155EEA" w:rsidRPr="002853F7" w:rsidRDefault="00155EEA" w:rsidP="00155EEA">
      <w:pPr>
        <w:pStyle w:val="MessageHeaderFirst"/>
        <w:tabs>
          <w:tab w:val="left" w:pos="1260"/>
        </w:tabs>
        <w:spacing w:after="120" w:line="240" w:lineRule="auto"/>
        <w:ind w:left="0" w:firstLine="0"/>
        <w:outlineLvl w:val="0"/>
        <w:rPr>
          <w:b/>
          <w:bCs/>
        </w:rPr>
      </w:pPr>
      <w:r w:rsidRPr="002853F7">
        <w:rPr>
          <w:rStyle w:val="MessageHeaderLabel"/>
          <w:rFonts w:ascii="Times New Roman" w:hAnsi="Times New Roman" w:cs="Times New Roman"/>
          <w:spacing w:val="0"/>
          <w:sz w:val="24"/>
          <w:szCs w:val="24"/>
        </w:rPr>
        <w:t>Date:</w:t>
      </w:r>
      <w:r w:rsidRPr="002853F7">
        <w:rPr>
          <w:rStyle w:val="MessageHeaderLabel"/>
          <w:rFonts w:ascii="Times New Roman" w:hAnsi="Times New Roman" w:cs="Times New Roman"/>
          <w:spacing w:val="0"/>
          <w:sz w:val="24"/>
          <w:szCs w:val="24"/>
        </w:rPr>
        <w:tab/>
      </w:r>
      <w:r w:rsidR="003F17DD">
        <w:rPr>
          <w:rStyle w:val="MessageHeaderLabel"/>
          <w:rFonts w:ascii="Times New Roman" w:hAnsi="Times New Roman" w:cs="Times New Roman"/>
          <w:b w:val="0"/>
          <w:spacing w:val="0"/>
          <w:sz w:val="24"/>
          <w:szCs w:val="24"/>
        </w:rPr>
        <w:t xml:space="preserve">February </w:t>
      </w:r>
      <w:r w:rsidR="0089511B">
        <w:rPr>
          <w:rStyle w:val="MessageHeaderLabel"/>
          <w:rFonts w:ascii="Times New Roman" w:hAnsi="Times New Roman" w:cs="Times New Roman"/>
          <w:b w:val="0"/>
          <w:spacing w:val="0"/>
          <w:sz w:val="24"/>
          <w:szCs w:val="24"/>
        </w:rPr>
        <w:t>12</w:t>
      </w:r>
      <w:r w:rsidR="003F17DD">
        <w:rPr>
          <w:rStyle w:val="MessageHeaderLabel"/>
          <w:rFonts w:ascii="Times New Roman" w:hAnsi="Times New Roman" w:cs="Times New Roman"/>
          <w:b w:val="0"/>
          <w:spacing w:val="0"/>
          <w:sz w:val="24"/>
          <w:szCs w:val="24"/>
        </w:rPr>
        <w:t>, 2018</w:t>
      </w:r>
    </w:p>
    <w:p w14:paraId="2B3B749A" w14:textId="77777777" w:rsidR="00BE4155" w:rsidRPr="002853F7" w:rsidRDefault="00BE4155" w:rsidP="00155EEA">
      <w:pPr>
        <w:pStyle w:val="MessageHeaderFirst"/>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To:</w:t>
      </w:r>
      <w:r w:rsidRPr="002853F7">
        <w:rPr>
          <w:sz w:val="24"/>
          <w:szCs w:val="24"/>
        </w:rPr>
        <w:tab/>
      </w:r>
      <w:r w:rsidR="004D2330" w:rsidRPr="002853F7">
        <w:rPr>
          <w:sz w:val="24"/>
          <w:szCs w:val="24"/>
        </w:rPr>
        <w:t xml:space="preserve">Robert Sivinski, </w:t>
      </w:r>
      <w:r w:rsidR="003C68E4" w:rsidRPr="002853F7">
        <w:rPr>
          <w:sz w:val="24"/>
          <w:szCs w:val="24"/>
        </w:rPr>
        <w:t>OMB</w:t>
      </w:r>
    </w:p>
    <w:p w14:paraId="22F4FB62" w14:textId="6E0FB829" w:rsidR="00BE4155" w:rsidRPr="002853F7" w:rsidRDefault="00BE4155" w:rsidP="00155EEA">
      <w:pPr>
        <w:pStyle w:val="MessageHeader"/>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From:</w:t>
      </w:r>
      <w:r w:rsidRPr="002853F7">
        <w:rPr>
          <w:sz w:val="24"/>
          <w:szCs w:val="24"/>
        </w:rPr>
        <w:tab/>
      </w:r>
      <w:r w:rsidR="002912D5" w:rsidRPr="002853F7">
        <w:rPr>
          <w:sz w:val="24"/>
          <w:szCs w:val="24"/>
        </w:rPr>
        <w:t>Andrew Zukerberg</w:t>
      </w:r>
      <w:r w:rsidR="00A76613" w:rsidRPr="002853F7">
        <w:rPr>
          <w:sz w:val="24"/>
          <w:szCs w:val="24"/>
        </w:rPr>
        <w:t xml:space="preserve">, </w:t>
      </w:r>
      <w:r w:rsidR="002267D6" w:rsidRPr="002853F7">
        <w:rPr>
          <w:sz w:val="24"/>
          <w:szCs w:val="24"/>
        </w:rPr>
        <w:t>NCES</w:t>
      </w:r>
    </w:p>
    <w:p w14:paraId="2B5CA45D" w14:textId="77777777" w:rsidR="002267D6" w:rsidRPr="002853F7" w:rsidRDefault="002267D6" w:rsidP="00155EEA">
      <w:pPr>
        <w:pStyle w:val="MessageHeader"/>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Through:</w:t>
      </w:r>
      <w:r w:rsidRPr="002853F7">
        <w:rPr>
          <w:sz w:val="24"/>
          <w:szCs w:val="24"/>
        </w:rPr>
        <w:tab/>
        <w:t>Kashka Kubzdela, NCES</w:t>
      </w:r>
    </w:p>
    <w:p w14:paraId="1C1A3B62" w14:textId="1C450730" w:rsidR="00BE4155" w:rsidRPr="002853F7" w:rsidRDefault="00BE4155" w:rsidP="00155EEA">
      <w:pPr>
        <w:pBdr>
          <w:bottom w:val="single" w:sz="6" w:space="1" w:color="auto"/>
        </w:pBdr>
        <w:tabs>
          <w:tab w:val="left" w:pos="1260"/>
        </w:tabs>
        <w:spacing w:after="120" w:line="240" w:lineRule="auto"/>
        <w:ind w:left="1267" w:hanging="1267"/>
        <w:rPr>
          <w:rFonts w:ascii="Times New Roman" w:hAnsi="Times New Roman"/>
          <w:sz w:val="24"/>
          <w:szCs w:val="24"/>
        </w:rPr>
      </w:pPr>
      <w:r w:rsidRPr="002853F7">
        <w:rPr>
          <w:rStyle w:val="MessageHeaderLabel"/>
          <w:rFonts w:ascii="Times New Roman" w:hAnsi="Times New Roman" w:cs="Times New Roman"/>
          <w:spacing w:val="0"/>
          <w:sz w:val="24"/>
          <w:szCs w:val="24"/>
        </w:rPr>
        <w:t>Re:</w:t>
      </w:r>
      <w:r w:rsidRPr="002853F7">
        <w:rPr>
          <w:rFonts w:ascii="Times New Roman" w:hAnsi="Times New Roman"/>
          <w:sz w:val="24"/>
          <w:szCs w:val="24"/>
        </w:rPr>
        <w:tab/>
      </w:r>
      <w:r w:rsidR="00660F4F" w:rsidRPr="002853F7">
        <w:rPr>
          <w:rFonts w:ascii="Times New Roman" w:hAnsi="Times New Roman"/>
          <w:sz w:val="24"/>
          <w:szCs w:val="24"/>
        </w:rPr>
        <w:t>2017–18 National Teacher and Principal Survey (NTPS 2017-18)</w:t>
      </w:r>
      <w:r w:rsidR="00907C8C" w:rsidRPr="002853F7">
        <w:rPr>
          <w:rFonts w:ascii="Times New Roman" w:hAnsi="Times New Roman"/>
          <w:sz w:val="24"/>
          <w:szCs w:val="24"/>
        </w:rPr>
        <w:t xml:space="preserve"> </w:t>
      </w:r>
      <w:r w:rsidR="0016321E">
        <w:rPr>
          <w:rFonts w:ascii="Times New Roman" w:hAnsi="Times New Roman"/>
          <w:sz w:val="24"/>
          <w:szCs w:val="24"/>
        </w:rPr>
        <w:t xml:space="preserve">Contingency Plan and </w:t>
      </w:r>
      <w:r w:rsidR="000033B0" w:rsidRPr="000033B0">
        <w:rPr>
          <w:rFonts w:ascii="Times New Roman" w:hAnsi="Times New Roman"/>
          <w:sz w:val="24"/>
          <w:szCs w:val="24"/>
        </w:rPr>
        <w:t xml:space="preserve">Email </w:t>
      </w:r>
      <w:r w:rsidR="00BC3248" w:rsidRPr="002853F7">
        <w:rPr>
          <w:rFonts w:ascii="Times New Roman" w:hAnsi="Times New Roman"/>
          <w:bCs/>
          <w:sz w:val="24"/>
          <w:szCs w:val="24"/>
        </w:rPr>
        <w:t>Change Request</w:t>
      </w:r>
      <w:r w:rsidR="00BC3248" w:rsidRPr="002853F7">
        <w:rPr>
          <w:rFonts w:ascii="Times New Roman" w:hAnsi="Times New Roman"/>
          <w:sz w:val="24"/>
          <w:szCs w:val="24"/>
        </w:rPr>
        <w:t xml:space="preserve"> </w:t>
      </w:r>
      <w:r w:rsidR="002267D6" w:rsidRPr="002853F7">
        <w:rPr>
          <w:rFonts w:ascii="Times New Roman" w:hAnsi="Times New Roman"/>
          <w:sz w:val="24"/>
          <w:szCs w:val="24"/>
        </w:rPr>
        <w:t>(OMB# 1850-</w:t>
      </w:r>
      <w:r w:rsidR="00D469D3" w:rsidRPr="002853F7">
        <w:rPr>
          <w:rFonts w:ascii="Times New Roman" w:hAnsi="Times New Roman"/>
          <w:sz w:val="24"/>
          <w:szCs w:val="24"/>
        </w:rPr>
        <w:t>0</w:t>
      </w:r>
      <w:r w:rsidR="006B4AE4" w:rsidRPr="002853F7">
        <w:rPr>
          <w:rFonts w:ascii="Times New Roman" w:hAnsi="Times New Roman"/>
          <w:sz w:val="24"/>
          <w:szCs w:val="24"/>
        </w:rPr>
        <w:t>598</w:t>
      </w:r>
      <w:r w:rsidR="002267D6" w:rsidRPr="002853F7">
        <w:rPr>
          <w:rFonts w:ascii="Times New Roman" w:hAnsi="Times New Roman"/>
          <w:sz w:val="24"/>
          <w:szCs w:val="24"/>
        </w:rPr>
        <w:t xml:space="preserve"> v.</w:t>
      </w:r>
      <w:r w:rsidR="00AE4662">
        <w:rPr>
          <w:rFonts w:ascii="Times New Roman" w:hAnsi="Times New Roman"/>
          <w:sz w:val="24"/>
          <w:szCs w:val="24"/>
        </w:rPr>
        <w:t>22</w:t>
      </w:r>
      <w:r w:rsidR="002267D6" w:rsidRPr="002853F7">
        <w:rPr>
          <w:rFonts w:ascii="Times New Roman" w:hAnsi="Times New Roman"/>
          <w:sz w:val="24"/>
          <w:szCs w:val="24"/>
        </w:rPr>
        <w:t>)</w:t>
      </w:r>
    </w:p>
    <w:p w14:paraId="3564EFE6" w14:textId="77777777" w:rsidR="001D744A" w:rsidRPr="006B4AE4" w:rsidRDefault="001D744A" w:rsidP="00D469D3">
      <w:pPr>
        <w:spacing w:after="0" w:line="240" w:lineRule="auto"/>
        <w:rPr>
          <w:rFonts w:ascii="Times New Roman" w:hAnsi="Times New Roman"/>
          <w:sz w:val="24"/>
          <w:szCs w:val="24"/>
        </w:rPr>
      </w:pPr>
    </w:p>
    <w:p w14:paraId="490B0E41" w14:textId="19260FDA" w:rsidR="006F1FFB" w:rsidRDefault="000033B0" w:rsidP="006B4AE4">
      <w:pPr>
        <w:rPr>
          <w:rFonts w:ascii="Times New Roman" w:hAnsi="Times New Roman"/>
          <w:sz w:val="24"/>
          <w:szCs w:val="24"/>
        </w:rPr>
      </w:pPr>
      <w:r w:rsidRPr="000033B0">
        <w:rPr>
          <w:rFonts w:ascii="Times New Roman" w:hAnsi="Times New Roman"/>
          <w:sz w:val="24"/>
          <w:szCs w:val="24"/>
        </w:rPr>
        <w:t xml:space="preserve">The National Teacher and Principal Survey (NTPS), conducted biennially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w:t>
      </w:r>
      <w:r w:rsidR="000C3AB6">
        <w:rPr>
          <w:rFonts w:ascii="Times New Roman" w:hAnsi="Times New Roman"/>
          <w:sz w:val="24"/>
          <w:szCs w:val="24"/>
        </w:rPr>
        <w:t xml:space="preserve">and private </w:t>
      </w:r>
      <w:r w:rsidRPr="000033B0">
        <w:rPr>
          <w:rFonts w:ascii="Times New Roman" w:hAnsi="Times New Roman"/>
          <w:sz w:val="24"/>
          <w:szCs w:val="24"/>
        </w:rPr>
        <w:t xml:space="preserve">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r w:rsidR="0016321E" w:rsidRPr="00FD120C">
        <w:rPr>
          <w:rFonts w:ascii="Times New Roman" w:hAnsi="Times New Roman"/>
          <w:sz w:val="24"/>
          <w:szCs w:val="24"/>
        </w:rPr>
        <w:t xml:space="preserve">NTPS 2017-18 was approved in June 2017 </w:t>
      </w:r>
      <w:r w:rsidR="0016321E">
        <w:rPr>
          <w:rFonts w:ascii="Times New Roman" w:hAnsi="Times New Roman"/>
          <w:sz w:val="24"/>
          <w:szCs w:val="24"/>
        </w:rPr>
        <w:t xml:space="preserve">with the latest change request approved in September 2017 </w:t>
      </w:r>
      <w:r w:rsidR="0016321E" w:rsidRPr="00FD120C">
        <w:rPr>
          <w:rFonts w:ascii="Times New Roman" w:hAnsi="Times New Roman"/>
          <w:sz w:val="24"/>
          <w:szCs w:val="24"/>
        </w:rPr>
        <w:t>(OMB# 1850-0598 v.18-</w:t>
      </w:r>
      <w:r w:rsidR="0016321E">
        <w:rPr>
          <w:rFonts w:ascii="Times New Roman" w:hAnsi="Times New Roman"/>
          <w:sz w:val="24"/>
          <w:szCs w:val="24"/>
        </w:rPr>
        <w:t>21</w:t>
      </w:r>
      <w:r w:rsidR="0016321E" w:rsidRPr="00FD120C">
        <w:rPr>
          <w:rFonts w:ascii="Times New Roman" w:hAnsi="Times New Roman"/>
          <w:sz w:val="24"/>
          <w:szCs w:val="24"/>
        </w:rPr>
        <w:t xml:space="preserve">). </w:t>
      </w:r>
      <w:r w:rsidR="00ED3D3C" w:rsidRPr="00ED3D3C">
        <w:rPr>
          <w:rFonts w:ascii="Times New Roman" w:hAnsi="Times New Roman"/>
          <w:sz w:val="24"/>
          <w:szCs w:val="24"/>
        </w:rPr>
        <w:t xml:space="preserve">This request </w:t>
      </w:r>
      <w:r w:rsidR="00012CB1">
        <w:rPr>
          <w:rFonts w:ascii="Times New Roman" w:hAnsi="Times New Roman"/>
          <w:sz w:val="24"/>
          <w:szCs w:val="24"/>
        </w:rPr>
        <w:t>update</w:t>
      </w:r>
      <w:r w:rsidR="0016321E">
        <w:rPr>
          <w:rFonts w:ascii="Times New Roman" w:hAnsi="Times New Roman"/>
          <w:sz w:val="24"/>
          <w:szCs w:val="24"/>
        </w:rPr>
        <w:t>s</w:t>
      </w:r>
      <w:r w:rsidR="0016321E" w:rsidRPr="0016321E">
        <w:rPr>
          <w:rFonts w:ascii="Times New Roman" w:hAnsi="Times New Roman"/>
          <w:sz w:val="24"/>
          <w:szCs w:val="24"/>
        </w:rPr>
        <w:t xml:space="preserve"> </w:t>
      </w:r>
      <w:r w:rsidR="0016321E">
        <w:rPr>
          <w:rFonts w:ascii="Times New Roman" w:hAnsi="Times New Roman"/>
          <w:sz w:val="24"/>
          <w:szCs w:val="24"/>
        </w:rPr>
        <w:t xml:space="preserve">the approved for </w:t>
      </w:r>
      <w:r w:rsidR="0016321E" w:rsidRPr="00ED3D3C">
        <w:rPr>
          <w:rFonts w:ascii="Times New Roman" w:hAnsi="Times New Roman"/>
          <w:sz w:val="24"/>
          <w:szCs w:val="24"/>
        </w:rPr>
        <w:t>NTPS 2017-18</w:t>
      </w:r>
      <w:r w:rsidR="0016321E">
        <w:rPr>
          <w:rFonts w:ascii="Times New Roman" w:hAnsi="Times New Roman"/>
          <w:sz w:val="24"/>
          <w:szCs w:val="24"/>
        </w:rPr>
        <w:t xml:space="preserve">: (a) </w:t>
      </w:r>
      <w:r w:rsidR="00012CB1">
        <w:rPr>
          <w:rFonts w:ascii="Times New Roman" w:hAnsi="Times New Roman"/>
          <w:sz w:val="24"/>
          <w:szCs w:val="24"/>
        </w:rPr>
        <w:t xml:space="preserve">contingency plan </w:t>
      </w:r>
      <w:r w:rsidR="0016321E">
        <w:rPr>
          <w:rFonts w:ascii="Times New Roman" w:hAnsi="Times New Roman"/>
          <w:sz w:val="24"/>
          <w:szCs w:val="24"/>
        </w:rPr>
        <w:t xml:space="preserve">for an </w:t>
      </w:r>
      <w:r w:rsidR="00012CB1">
        <w:rPr>
          <w:rFonts w:ascii="Times New Roman" w:hAnsi="Times New Roman"/>
          <w:sz w:val="24"/>
          <w:szCs w:val="24"/>
        </w:rPr>
        <w:t xml:space="preserve">incentive experiment and </w:t>
      </w:r>
      <w:r w:rsidR="0016321E">
        <w:rPr>
          <w:rFonts w:ascii="Times New Roman" w:hAnsi="Times New Roman"/>
          <w:sz w:val="24"/>
          <w:szCs w:val="24"/>
        </w:rPr>
        <w:t>(b)</w:t>
      </w:r>
      <w:r w:rsidR="00012CB1" w:rsidRPr="00ED3D3C">
        <w:rPr>
          <w:rFonts w:ascii="Times New Roman" w:hAnsi="Times New Roman"/>
          <w:sz w:val="24"/>
          <w:szCs w:val="24"/>
        </w:rPr>
        <w:t xml:space="preserve"> </w:t>
      </w:r>
      <w:r w:rsidR="002912D5">
        <w:rPr>
          <w:rFonts w:ascii="Times New Roman" w:hAnsi="Times New Roman"/>
          <w:sz w:val="24"/>
          <w:szCs w:val="24"/>
        </w:rPr>
        <w:t>procedures and materials with</w:t>
      </w:r>
      <w:r w:rsidR="006F1FFB">
        <w:rPr>
          <w:rFonts w:ascii="Times New Roman" w:hAnsi="Times New Roman"/>
          <w:sz w:val="24"/>
          <w:szCs w:val="24"/>
        </w:rPr>
        <w:t xml:space="preserve"> an addition of a</w:t>
      </w:r>
      <w:r w:rsidR="002912D5">
        <w:rPr>
          <w:rFonts w:ascii="Times New Roman" w:hAnsi="Times New Roman"/>
          <w:sz w:val="24"/>
          <w:szCs w:val="24"/>
        </w:rPr>
        <w:t xml:space="preserve"> reminder email to </w:t>
      </w:r>
      <w:r w:rsidR="00B9133A">
        <w:rPr>
          <w:rFonts w:ascii="Times New Roman" w:hAnsi="Times New Roman"/>
          <w:sz w:val="24"/>
          <w:szCs w:val="24"/>
        </w:rPr>
        <w:t>schools</w:t>
      </w:r>
      <w:r w:rsidR="00F75B12">
        <w:rPr>
          <w:rFonts w:ascii="Times New Roman" w:hAnsi="Times New Roman"/>
          <w:sz w:val="24"/>
          <w:szCs w:val="24"/>
        </w:rPr>
        <w:t>, p</w:t>
      </w:r>
      <w:r w:rsidR="00B9133A">
        <w:rPr>
          <w:rFonts w:ascii="Times New Roman" w:hAnsi="Times New Roman"/>
          <w:sz w:val="24"/>
          <w:szCs w:val="24"/>
        </w:rPr>
        <w:t>rinc</w:t>
      </w:r>
      <w:r w:rsidR="00F80C99">
        <w:rPr>
          <w:rFonts w:ascii="Times New Roman" w:hAnsi="Times New Roman"/>
          <w:sz w:val="24"/>
          <w:szCs w:val="24"/>
        </w:rPr>
        <w:t>ipals</w:t>
      </w:r>
      <w:r w:rsidR="0016321E">
        <w:rPr>
          <w:rFonts w:ascii="Times New Roman" w:hAnsi="Times New Roman"/>
          <w:sz w:val="24"/>
          <w:szCs w:val="24"/>
        </w:rPr>
        <w:t>,</w:t>
      </w:r>
      <w:r w:rsidR="00F75B12">
        <w:rPr>
          <w:rFonts w:ascii="Times New Roman" w:hAnsi="Times New Roman"/>
          <w:sz w:val="24"/>
          <w:szCs w:val="24"/>
        </w:rPr>
        <w:t xml:space="preserve"> and teachers</w:t>
      </w:r>
      <w:r w:rsidR="002912D5">
        <w:rPr>
          <w:rFonts w:ascii="Times New Roman" w:hAnsi="Times New Roman"/>
          <w:sz w:val="24"/>
          <w:szCs w:val="24"/>
        </w:rPr>
        <w:t xml:space="preserve"> urging co</w:t>
      </w:r>
      <w:r w:rsidR="00F80C99">
        <w:rPr>
          <w:rFonts w:ascii="Times New Roman" w:hAnsi="Times New Roman"/>
          <w:sz w:val="24"/>
          <w:szCs w:val="24"/>
        </w:rPr>
        <w:t>mpletion of the questionnaire(s)</w:t>
      </w:r>
      <w:r w:rsidR="00CE208E">
        <w:rPr>
          <w:rFonts w:ascii="Times New Roman" w:hAnsi="Times New Roman"/>
          <w:sz w:val="24"/>
          <w:szCs w:val="24"/>
        </w:rPr>
        <w:t>.</w:t>
      </w:r>
    </w:p>
    <w:p w14:paraId="1FB09E81" w14:textId="24524EA2" w:rsidR="004F6DF1" w:rsidRDefault="00CE208E" w:rsidP="00CE208E">
      <w:pPr>
        <w:rPr>
          <w:rFonts w:ascii="Times New Roman" w:hAnsi="Times New Roman"/>
          <w:sz w:val="24"/>
          <w:szCs w:val="24"/>
        </w:rPr>
      </w:pPr>
      <w:r w:rsidRPr="00CE208E">
        <w:rPr>
          <w:rFonts w:ascii="Times New Roman" w:hAnsi="Times New Roman"/>
          <w:sz w:val="24"/>
          <w:szCs w:val="24"/>
        </w:rPr>
        <w:t xml:space="preserve">NTPS is currently </w:t>
      </w:r>
      <w:r w:rsidR="00F80C99">
        <w:rPr>
          <w:rFonts w:ascii="Times New Roman" w:hAnsi="Times New Roman"/>
          <w:sz w:val="24"/>
          <w:szCs w:val="24"/>
        </w:rPr>
        <w:t>in the field and</w:t>
      </w:r>
      <w:r w:rsidR="0016321E">
        <w:rPr>
          <w:rFonts w:ascii="Times New Roman" w:hAnsi="Times New Roman"/>
          <w:sz w:val="24"/>
          <w:szCs w:val="24"/>
        </w:rPr>
        <w:t>, per the approved plan,</w:t>
      </w:r>
      <w:r w:rsidR="00F80C99">
        <w:rPr>
          <w:rFonts w:ascii="Times New Roman" w:hAnsi="Times New Roman"/>
          <w:sz w:val="24"/>
          <w:szCs w:val="24"/>
        </w:rPr>
        <w:t xml:space="preserve"> w</w:t>
      </w:r>
      <w:r w:rsidRPr="00CE208E">
        <w:rPr>
          <w:rFonts w:ascii="Times New Roman" w:hAnsi="Times New Roman"/>
          <w:sz w:val="24"/>
          <w:szCs w:val="24"/>
        </w:rPr>
        <w:t xml:space="preserve">e </w:t>
      </w:r>
      <w:r w:rsidR="00012CB1">
        <w:rPr>
          <w:rFonts w:ascii="Times New Roman" w:hAnsi="Times New Roman"/>
          <w:sz w:val="24"/>
          <w:szCs w:val="24"/>
        </w:rPr>
        <w:t xml:space="preserve">have </w:t>
      </w:r>
      <w:r w:rsidRPr="00CE208E">
        <w:rPr>
          <w:rFonts w:ascii="Times New Roman" w:hAnsi="Times New Roman"/>
          <w:sz w:val="24"/>
          <w:szCs w:val="24"/>
        </w:rPr>
        <w:t xml:space="preserve">mailed </w:t>
      </w:r>
      <w:r w:rsidR="00F80C99">
        <w:rPr>
          <w:rFonts w:ascii="Times New Roman" w:hAnsi="Times New Roman"/>
          <w:sz w:val="24"/>
          <w:szCs w:val="24"/>
        </w:rPr>
        <w:t>three packages to schools</w:t>
      </w:r>
      <w:r w:rsidR="0016321E">
        <w:rPr>
          <w:rFonts w:ascii="Times New Roman" w:hAnsi="Times New Roman"/>
          <w:sz w:val="24"/>
          <w:szCs w:val="24"/>
        </w:rPr>
        <w:t xml:space="preserve"> asking them</w:t>
      </w:r>
      <w:r w:rsidR="00F80C99">
        <w:rPr>
          <w:rFonts w:ascii="Times New Roman" w:hAnsi="Times New Roman"/>
          <w:sz w:val="24"/>
          <w:szCs w:val="24"/>
        </w:rPr>
        <w:t xml:space="preserve"> to complete the questionnaires. A fourth package is scheduled for February 12, 2018. Our current response rates for the school and principal </w:t>
      </w:r>
      <w:r w:rsidR="00B878F1">
        <w:rPr>
          <w:rFonts w:ascii="Times New Roman" w:hAnsi="Times New Roman"/>
          <w:sz w:val="24"/>
          <w:szCs w:val="24"/>
        </w:rPr>
        <w:t>questionnaires</w:t>
      </w:r>
      <w:r w:rsidR="00F80C99">
        <w:rPr>
          <w:rFonts w:ascii="Times New Roman" w:hAnsi="Times New Roman"/>
          <w:sz w:val="24"/>
          <w:szCs w:val="24"/>
        </w:rPr>
        <w:t xml:space="preserve"> are approximately </w:t>
      </w:r>
      <w:r w:rsidR="00A4762D">
        <w:rPr>
          <w:rFonts w:ascii="Times New Roman" w:hAnsi="Times New Roman"/>
          <w:sz w:val="24"/>
          <w:szCs w:val="24"/>
        </w:rPr>
        <w:t>53 percent and 49 percent respectively</w:t>
      </w:r>
      <w:r w:rsidR="00012CB1">
        <w:rPr>
          <w:rFonts w:ascii="Times New Roman" w:hAnsi="Times New Roman"/>
          <w:sz w:val="24"/>
          <w:szCs w:val="24"/>
        </w:rPr>
        <w:t xml:space="preserve">. </w:t>
      </w:r>
      <w:r w:rsidR="001845E2">
        <w:rPr>
          <w:rFonts w:ascii="Times New Roman" w:hAnsi="Times New Roman"/>
          <w:sz w:val="24"/>
          <w:szCs w:val="24"/>
        </w:rPr>
        <w:t>We propose an additional email contact</w:t>
      </w:r>
      <w:r w:rsidR="005D52A7">
        <w:rPr>
          <w:rFonts w:ascii="Times New Roman" w:hAnsi="Times New Roman"/>
          <w:sz w:val="24"/>
          <w:szCs w:val="24"/>
        </w:rPr>
        <w:t xml:space="preserve"> in</w:t>
      </w:r>
      <w:r w:rsidR="001845E2">
        <w:rPr>
          <w:rFonts w:ascii="Times New Roman" w:hAnsi="Times New Roman"/>
          <w:sz w:val="24"/>
          <w:szCs w:val="24"/>
        </w:rPr>
        <w:t xml:space="preserve"> late</w:t>
      </w:r>
      <w:r w:rsidR="005D52A7">
        <w:rPr>
          <w:rFonts w:ascii="Times New Roman" w:hAnsi="Times New Roman"/>
          <w:sz w:val="24"/>
          <w:szCs w:val="24"/>
        </w:rPr>
        <w:t xml:space="preserve"> </w:t>
      </w:r>
      <w:r w:rsidR="001845E2">
        <w:rPr>
          <w:rFonts w:ascii="Times New Roman" w:hAnsi="Times New Roman"/>
          <w:sz w:val="24"/>
          <w:szCs w:val="24"/>
        </w:rPr>
        <w:t>February or early March to boost response rate</w:t>
      </w:r>
      <w:r w:rsidR="00B55828">
        <w:rPr>
          <w:rFonts w:ascii="Times New Roman" w:hAnsi="Times New Roman"/>
          <w:sz w:val="24"/>
          <w:szCs w:val="24"/>
        </w:rPr>
        <w:t>s</w:t>
      </w:r>
      <w:r w:rsidR="001845E2">
        <w:rPr>
          <w:rFonts w:ascii="Times New Roman" w:hAnsi="Times New Roman"/>
          <w:sz w:val="24"/>
          <w:szCs w:val="24"/>
        </w:rPr>
        <w:t xml:space="preserve"> for the school and principal questionnaires</w:t>
      </w:r>
      <w:r w:rsidR="005D52A7">
        <w:rPr>
          <w:rFonts w:ascii="Times New Roman" w:hAnsi="Times New Roman"/>
          <w:sz w:val="24"/>
          <w:szCs w:val="24"/>
        </w:rPr>
        <w:t xml:space="preserve"> in an effort to reduce the number of cases included </w:t>
      </w:r>
      <w:r w:rsidR="001845E2">
        <w:rPr>
          <w:rFonts w:ascii="Times New Roman" w:hAnsi="Times New Roman"/>
          <w:sz w:val="24"/>
          <w:szCs w:val="24"/>
        </w:rPr>
        <w:t>in</w:t>
      </w:r>
      <w:r w:rsidR="005D52A7">
        <w:rPr>
          <w:rFonts w:ascii="Times New Roman" w:hAnsi="Times New Roman"/>
          <w:sz w:val="24"/>
          <w:szCs w:val="24"/>
        </w:rPr>
        <w:t xml:space="preserve"> the in</w:t>
      </w:r>
      <w:r w:rsidR="00FE4F4D">
        <w:rPr>
          <w:rFonts w:ascii="Times New Roman" w:hAnsi="Times New Roman"/>
          <w:sz w:val="24"/>
          <w:szCs w:val="24"/>
        </w:rPr>
        <w:t>-</w:t>
      </w:r>
      <w:r w:rsidR="001845E2">
        <w:rPr>
          <w:rFonts w:ascii="Times New Roman" w:hAnsi="Times New Roman"/>
          <w:sz w:val="24"/>
          <w:szCs w:val="24"/>
        </w:rPr>
        <w:t>person follow-up operation scheduled</w:t>
      </w:r>
      <w:r w:rsidR="005D52A7">
        <w:rPr>
          <w:rFonts w:ascii="Times New Roman" w:hAnsi="Times New Roman"/>
          <w:sz w:val="24"/>
          <w:szCs w:val="24"/>
        </w:rPr>
        <w:t xml:space="preserve"> to begin in mid-March.</w:t>
      </w:r>
      <w:r w:rsidR="00F75B12">
        <w:rPr>
          <w:rFonts w:ascii="Times New Roman" w:hAnsi="Times New Roman"/>
          <w:sz w:val="24"/>
          <w:szCs w:val="24"/>
        </w:rPr>
        <w:t xml:space="preserve"> We also propose sending an additional email to teachers that are not eligible for the contingency</w:t>
      </w:r>
      <w:r w:rsidR="00812EF3">
        <w:rPr>
          <w:rFonts w:ascii="Times New Roman" w:hAnsi="Times New Roman"/>
          <w:sz w:val="24"/>
          <w:szCs w:val="24"/>
        </w:rPr>
        <w:t xml:space="preserve"> plan</w:t>
      </w:r>
      <w:r w:rsidR="00F75B12">
        <w:rPr>
          <w:rFonts w:ascii="Times New Roman" w:hAnsi="Times New Roman"/>
          <w:sz w:val="24"/>
          <w:szCs w:val="24"/>
        </w:rPr>
        <w:t xml:space="preserve"> incentive experiment.</w:t>
      </w:r>
      <w:r w:rsidR="004F6DF1">
        <w:rPr>
          <w:rFonts w:ascii="Times New Roman" w:hAnsi="Times New Roman"/>
          <w:sz w:val="24"/>
          <w:szCs w:val="24"/>
        </w:rPr>
        <w:t xml:space="preserve"> </w:t>
      </w:r>
      <w:r w:rsidR="0016321E">
        <w:rPr>
          <w:rFonts w:ascii="Times New Roman" w:hAnsi="Times New Roman"/>
          <w:sz w:val="24"/>
          <w:szCs w:val="24"/>
        </w:rPr>
        <w:t>Lastly</w:t>
      </w:r>
      <w:r w:rsidR="00465D4F">
        <w:rPr>
          <w:rFonts w:ascii="Times New Roman" w:hAnsi="Times New Roman"/>
          <w:sz w:val="24"/>
          <w:szCs w:val="24"/>
        </w:rPr>
        <w:t xml:space="preserve">, we have </w:t>
      </w:r>
      <w:r w:rsidR="00B55828">
        <w:rPr>
          <w:rFonts w:ascii="Times New Roman" w:hAnsi="Times New Roman"/>
          <w:sz w:val="24"/>
          <w:szCs w:val="24"/>
        </w:rPr>
        <w:t xml:space="preserve">included </w:t>
      </w:r>
      <w:r w:rsidR="00465D4F">
        <w:rPr>
          <w:rFonts w:ascii="Times New Roman" w:hAnsi="Times New Roman"/>
          <w:sz w:val="24"/>
          <w:szCs w:val="24"/>
        </w:rPr>
        <w:t xml:space="preserve">updated information on the domains </w:t>
      </w:r>
      <w:r w:rsidR="00B55828">
        <w:rPr>
          <w:rFonts w:ascii="Times New Roman" w:hAnsi="Times New Roman"/>
          <w:sz w:val="24"/>
          <w:szCs w:val="24"/>
        </w:rPr>
        <w:t xml:space="preserve">that </w:t>
      </w:r>
      <w:r w:rsidR="00465D4F">
        <w:rPr>
          <w:rFonts w:ascii="Times New Roman" w:hAnsi="Times New Roman"/>
          <w:sz w:val="24"/>
          <w:szCs w:val="24"/>
        </w:rPr>
        <w:t>we intend to target for the teacher contingency plan incentive.</w:t>
      </w:r>
    </w:p>
    <w:p w14:paraId="7D9C0D28" w14:textId="28ECCE3C" w:rsidR="006F1FFB" w:rsidRDefault="006F1FFB" w:rsidP="00CE208E">
      <w:pPr>
        <w:rPr>
          <w:rFonts w:ascii="Times New Roman" w:hAnsi="Times New Roman"/>
          <w:sz w:val="24"/>
          <w:szCs w:val="24"/>
        </w:rPr>
      </w:pPr>
      <w:r w:rsidRPr="006F1FFB">
        <w:rPr>
          <w:rFonts w:ascii="Times New Roman" w:hAnsi="Times New Roman"/>
          <w:sz w:val="24"/>
          <w:szCs w:val="24"/>
        </w:rPr>
        <w:t>This request does not introduce changes to respondent burden or</w:t>
      </w:r>
      <w:r w:rsidR="0038441E">
        <w:rPr>
          <w:rFonts w:ascii="Times New Roman" w:hAnsi="Times New Roman"/>
          <w:sz w:val="24"/>
          <w:szCs w:val="24"/>
        </w:rPr>
        <w:t xml:space="preserve"> </w:t>
      </w:r>
      <w:r w:rsidR="0016321E">
        <w:rPr>
          <w:rFonts w:ascii="Times New Roman" w:hAnsi="Times New Roman"/>
          <w:sz w:val="24"/>
          <w:szCs w:val="24"/>
        </w:rPr>
        <w:t>the</w:t>
      </w:r>
      <w:r w:rsidR="0038441E">
        <w:rPr>
          <w:rFonts w:ascii="Times New Roman" w:hAnsi="Times New Roman"/>
          <w:sz w:val="24"/>
          <w:szCs w:val="24"/>
        </w:rPr>
        <w:t xml:space="preserve"> </w:t>
      </w:r>
      <w:r w:rsidRPr="006F1FFB">
        <w:rPr>
          <w:rFonts w:ascii="Times New Roman" w:hAnsi="Times New Roman"/>
          <w:sz w:val="24"/>
          <w:szCs w:val="24"/>
        </w:rPr>
        <w:t>cost to the federal government</w:t>
      </w:r>
      <w:r>
        <w:rPr>
          <w:rFonts w:ascii="Times New Roman" w:hAnsi="Times New Roman"/>
          <w:sz w:val="24"/>
          <w:szCs w:val="24"/>
        </w:rPr>
        <w:t>. The following changes were made to the approved package materials as part of this change request.</w:t>
      </w:r>
    </w:p>
    <w:p w14:paraId="3FEFD744" w14:textId="77777777" w:rsidR="00BD64FC" w:rsidRDefault="00BD64FC" w:rsidP="00E12507">
      <w:pPr>
        <w:spacing w:after="120" w:line="240" w:lineRule="atLeast"/>
        <w:rPr>
          <w:rFonts w:ascii="Times New Roman" w:hAnsi="Times New Roman"/>
          <w:b/>
          <w:sz w:val="24"/>
          <w:szCs w:val="24"/>
        </w:rPr>
      </w:pPr>
      <w:r>
        <w:rPr>
          <w:rFonts w:ascii="Times New Roman" w:hAnsi="Times New Roman"/>
          <w:b/>
          <w:sz w:val="24"/>
          <w:szCs w:val="24"/>
        </w:rPr>
        <w:t>Part A</w:t>
      </w:r>
    </w:p>
    <w:p w14:paraId="0D51A84D" w14:textId="7D9F91A6" w:rsidR="00BD64FC" w:rsidRDefault="00BD64FC" w:rsidP="00E12507">
      <w:pPr>
        <w:spacing w:after="120" w:line="240" w:lineRule="atLeast"/>
        <w:rPr>
          <w:rFonts w:ascii="Times New Roman" w:hAnsi="Times New Roman"/>
          <w:b/>
          <w:sz w:val="24"/>
          <w:szCs w:val="24"/>
        </w:rPr>
      </w:pPr>
      <w:r w:rsidRPr="00A93916">
        <w:rPr>
          <w:rFonts w:ascii="Times New Roman" w:hAnsi="Times New Roman"/>
          <w:sz w:val="24"/>
        </w:rPr>
        <w:t xml:space="preserve">In addition, NCES </w:t>
      </w:r>
      <w:r w:rsidRPr="00F60306">
        <w:rPr>
          <w:rFonts w:ascii="Times New Roman" w:hAnsi="Times New Roman"/>
          <w:strike/>
          <w:color w:val="FF0000"/>
          <w:sz w:val="24"/>
        </w:rPr>
        <w:t>seeks approval</w:t>
      </w:r>
      <w:r w:rsidR="00F60306">
        <w:rPr>
          <w:rFonts w:ascii="Times New Roman" w:hAnsi="Times New Roman"/>
          <w:strike/>
          <w:color w:val="FF0000"/>
          <w:sz w:val="24"/>
        </w:rPr>
        <w:t xml:space="preserve"> </w:t>
      </w:r>
      <w:r w:rsidR="00F60306" w:rsidRPr="00F60306">
        <w:rPr>
          <w:rFonts w:ascii="Times New Roman" w:hAnsi="Times New Roman"/>
          <w:strike/>
          <w:color w:val="FF0000"/>
          <w:sz w:val="24"/>
        </w:rPr>
        <w:t>to</w:t>
      </w:r>
      <w:r>
        <w:rPr>
          <w:rFonts w:ascii="Times New Roman" w:hAnsi="Times New Roman"/>
          <w:sz w:val="24"/>
        </w:rPr>
        <w:t xml:space="preserve"> </w:t>
      </w:r>
      <w:r w:rsidR="00F60306" w:rsidRPr="00B03D2B">
        <w:rPr>
          <w:rFonts w:ascii="Times New Roman" w:hAnsi="Times New Roman"/>
          <w:color w:val="FF0000"/>
          <w:sz w:val="24"/>
        </w:rPr>
        <w:t>will</w:t>
      </w:r>
      <w:r w:rsidR="00F60306">
        <w:rPr>
          <w:rFonts w:ascii="Times New Roman" w:hAnsi="Times New Roman"/>
          <w:sz w:val="24"/>
        </w:rPr>
        <w:t xml:space="preserve"> </w:t>
      </w:r>
      <w:r>
        <w:rPr>
          <w:rFonts w:ascii="Times New Roman" w:hAnsi="Times New Roman"/>
          <w:sz w:val="24"/>
        </w:rPr>
        <w:t xml:space="preserve">provide monetary boosts </w:t>
      </w:r>
      <w:r w:rsidRPr="00A93916">
        <w:rPr>
          <w:rFonts w:ascii="Times New Roman" w:hAnsi="Times New Roman"/>
          <w:sz w:val="24"/>
        </w:rPr>
        <w:t>as a</w:t>
      </w:r>
      <w:r>
        <w:rPr>
          <w:rFonts w:ascii="Times New Roman" w:hAnsi="Times New Roman"/>
          <w:sz w:val="24"/>
        </w:rPr>
        <w:t xml:space="preserve"> </w:t>
      </w:r>
      <w:r w:rsidRPr="00A93916">
        <w:rPr>
          <w:rFonts w:ascii="Times New Roman" w:hAnsi="Times New Roman"/>
          <w:sz w:val="24"/>
        </w:rPr>
        <w:t xml:space="preserve">contingency </w:t>
      </w:r>
      <w:r w:rsidRPr="00F60306">
        <w:rPr>
          <w:rFonts w:ascii="Times New Roman" w:hAnsi="Times New Roman"/>
          <w:strike/>
          <w:color w:val="FF0000"/>
          <w:sz w:val="24"/>
        </w:rPr>
        <w:t>plan</w:t>
      </w:r>
      <w:r w:rsidRPr="00A93916">
        <w:rPr>
          <w:rFonts w:ascii="Times New Roman" w:hAnsi="Times New Roman"/>
          <w:sz w:val="24"/>
        </w:rPr>
        <w:t xml:space="preserve"> to combat </w:t>
      </w:r>
      <w:r w:rsidRPr="00F60306">
        <w:rPr>
          <w:rFonts w:ascii="Times New Roman" w:hAnsi="Times New Roman"/>
          <w:strike/>
          <w:color w:val="FF0000"/>
          <w:sz w:val="24"/>
        </w:rPr>
        <w:t xml:space="preserve">potential </w:t>
      </w:r>
      <w:r w:rsidRPr="00A93916">
        <w:rPr>
          <w:rFonts w:ascii="Times New Roman" w:hAnsi="Times New Roman"/>
          <w:sz w:val="24"/>
        </w:rPr>
        <w:t xml:space="preserve">low </w:t>
      </w:r>
      <w:r>
        <w:rPr>
          <w:rFonts w:ascii="Times New Roman" w:hAnsi="Times New Roman"/>
          <w:sz w:val="24"/>
        </w:rPr>
        <w:t>response rates from teachers in the later teacher mailing waves</w:t>
      </w:r>
      <w:r w:rsidRPr="00A93916">
        <w:rPr>
          <w:rFonts w:ascii="Times New Roman" w:hAnsi="Times New Roman"/>
          <w:sz w:val="24"/>
        </w:rPr>
        <w:t xml:space="preserve">. </w:t>
      </w:r>
      <w:r w:rsidRPr="00BD64FC">
        <w:rPr>
          <w:rFonts w:ascii="Times New Roman" w:hAnsi="Times New Roman"/>
          <w:strike/>
          <w:color w:val="FF0000"/>
          <w:sz w:val="24"/>
        </w:rPr>
        <w:t>If activated, t</w:t>
      </w:r>
      <w:r w:rsidR="00B03D2B">
        <w:rPr>
          <w:rFonts w:ascii="Times New Roman" w:hAnsi="Times New Roman"/>
          <w:strike/>
          <w:color w:val="FF0000"/>
          <w:sz w:val="24"/>
        </w:rPr>
        <w:t xml:space="preserve"> </w:t>
      </w:r>
      <w:r w:rsidRPr="00BD64FC">
        <w:rPr>
          <w:rFonts w:ascii="Times New Roman" w:hAnsi="Times New Roman"/>
          <w:color w:val="FF0000"/>
          <w:sz w:val="24"/>
        </w:rPr>
        <w:t>T</w:t>
      </w:r>
      <w:r w:rsidRPr="00A93916">
        <w:rPr>
          <w:rFonts w:ascii="Times New Roman" w:hAnsi="Times New Roman"/>
          <w:sz w:val="24"/>
        </w:rPr>
        <w:t xml:space="preserve">he contingency plan </w:t>
      </w:r>
      <w:r w:rsidRPr="00BD64FC">
        <w:rPr>
          <w:rFonts w:ascii="Times New Roman" w:hAnsi="Times New Roman"/>
          <w:strike/>
          <w:color w:val="FF0000"/>
          <w:sz w:val="24"/>
        </w:rPr>
        <w:t>would</w:t>
      </w:r>
      <w:r w:rsidRPr="00A93916">
        <w:rPr>
          <w:rFonts w:ascii="Times New Roman" w:hAnsi="Times New Roman"/>
          <w:sz w:val="24"/>
        </w:rPr>
        <w:t xml:space="preserve"> </w:t>
      </w:r>
      <w:r w:rsidRPr="00BD64FC">
        <w:rPr>
          <w:rFonts w:ascii="Times New Roman" w:hAnsi="Times New Roman"/>
          <w:color w:val="FF0000"/>
          <w:sz w:val="24"/>
        </w:rPr>
        <w:t>will</w:t>
      </w:r>
      <w:r>
        <w:rPr>
          <w:rFonts w:ascii="Times New Roman" w:hAnsi="Times New Roman"/>
          <w:sz w:val="24"/>
        </w:rPr>
        <w:t xml:space="preserve"> </w:t>
      </w:r>
      <w:r w:rsidRPr="00A93916">
        <w:rPr>
          <w:rFonts w:ascii="Times New Roman" w:hAnsi="Times New Roman"/>
          <w:sz w:val="24"/>
        </w:rPr>
        <w:t>be executed as needed based on monitoring data collection status.</w:t>
      </w:r>
    </w:p>
    <w:p w14:paraId="10B23784" w14:textId="77777777" w:rsidR="00BD64FC" w:rsidRDefault="00BD64FC" w:rsidP="00E12507">
      <w:pPr>
        <w:spacing w:after="120" w:line="240" w:lineRule="atLeast"/>
        <w:rPr>
          <w:rFonts w:ascii="Times New Roman" w:hAnsi="Times New Roman"/>
          <w:b/>
          <w:sz w:val="24"/>
          <w:szCs w:val="24"/>
        </w:rPr>
      </w:pPr>
    </w:p>
    <w:p w14:paraId="30D3902D" w14:textId="6F222E28" w:rsidR="00E12507" w:rsidRPr="00441A8E" w:rsidRDefault="00E12507" w:rsidP="00E12507">
      <w:pPr>
        <w:spacing w:after="120" w:line="240" w:lineRule="atLeast"/>
        <w:rPr>
          <w:rFonts w:ascii="Times New Roman" w:hAnsi="Times New Roman"/>
          <w:b/>
          <w:sz w:val="24"/>
          <w:szCs w:val="24"/>
        </w:rPr>
      </w:pPr>
      <w:r w:rsidRPr="00441A8E">
        <w:rPr>
          <w:rFonts w:ascii="Times New Roman" w:hAnsi="Times New Roman"/>
          <w:b/>
          <w:sz w:val="24"/>
          <w:szCs w:val="24"/>
        </w:rPr>
        <w:lastRenderedPageBreak/>
        <w:t>Part B</w:t>
      </w:r>
    </w:p>
    <w:p w14:paraId="7DD9E99F" w14:textId="6B0BB398" w:rsidR="00AF1D85" w:rsidRPr="00A3792C" w:rsidRDefault="00A3792C" w:rsidP="00A3792C">
      <w:pPr>
        <w:pStyle w:val="Heading2"/>
        <w:keepNext w:val="0"/>
        <w:tabs>
          <w:tab w:val="clear" w:pos="1152"/>
        </w:tabs>
        <w:spacing w:after="120" w:line="240" w:lineRule="auto"/>
        <w:ind w:left="0" w:firstLine="14"/>
        <w:rPr>
          <w:rFonts w:ascii="Times New Roman" w:eastAsia="Calibri" w:hAnsi="Times New Roman"/>
          <w:b w:val="0"/>
          <w:color w:val="auto"/>
          <w:sz w:val="24"/>
          <w:szCs w:val="24"/>
        </w:rPr>
      </w:pPr>
      <w:bookmarkStart w:id="1" w:name="_Toc455496447"/>
      <w:bookmarkStart w:id="2" w:name="_Toc468187457"/>
      <w:bookmarkStart w:id="3" w:name="_Toc481483738"/>
      <w:r w:rsidRPr="00A3792C">
        <w:rPr>
          <w:rFonts w:ascii="Times New Roman" w:eastAsia="Calibri" w:hAnsi="Times New Roman"/>
          <w:b w:val="0"/>
          <w:color w:val="auto"/>
          <w:sz w:val="24"/>
          <w:szCs w:val="24"/>
        </w:rPr>
        <w:t xml:space="preserve">In section </w:t>
      </w:r>
      <w:r>
        <w:rPr>
          <w:rFonts w:ascii="Times New Roman" w:eastAsia="Calibri" w:hAnsi="Times New Roman"/>
          <w:b w:val="0"/>
          <w:color w:val="auto"/>
          <w:sz w:val="24"/>
          <w:szCs w:val="24"/>
        </w:rPr>
        <w:t>B.2.2 (</w:t>
      </w:r>
      <w:r w:rsidRPr="00A3792C">
        <w:rPr>
          <w:rFonts w:ascii="Times New Roman" w:eastAsia="Calibri" w:hAnsi="Times New Roman"/>
          <w:b w:val="0"/>
          <w:color w:val="auto"/>
          <w:sz w:val="24"/>
          <w:szCs w:val="24"/>
        </w:rPr>
        <w:t>School-level Data Collection Procedures</w:t>
      </w:r>
      <w:r>
        <w:rPr>
          <w:rFonts w:ascii="Times New Roman" w:eastAsia="Calibri" w:hAnsi="Times New Roman"/>
          <w:b w:val="0"/>
          <w:color w:val="auto"/>
          <w:sz w:val="24"/>
          <w:szCs w:val="24"/>
        </w:rPr>
        <w:t>), t</w:t>
      </w:r>
      <w:r w:rsidR="00642358" w:rsidRPr="00A3792C">
        <w:rPr>
          <w:rFonts w:ascii="Times New Roman" w:eastAsia="Calibri" w:hAnsi="Times New Roman"/>
          <w:b w:val="0"/>
          <w:color w:val="auto"/>
          <w:sz w:val="24"/>
          <w:szCs w:val="24"/>
        </w:rPr>
        <w:t xml:space="preserve">he </w:t>
      </w:r>
      <w:r w:rsidRPr="00A3792C">
        <w:rPr>
          <w:rFonts w:ascii="Times New Roman" w:eastAsia="Calibri" w:hAnsi="Times New Roman"/>
          <w:b w:val="0"/>
          <w:color w:val="auto"/>
          <w:sz w:val="24"/>
          <w:szCs w:val="24"/>
        </w:rPr>
        <w:t xml:space="preserve">following paragraph </w:t>
      </w:r>
      <w:r>
        <w:rPr>
          <w:rFonts w:ascii="Times New Roman" w:eastAsia="Calibri" w:hAnsi="Times New Roman"/>
          <w:b w:val="0"/>
          <w:color w:val="auto"/>
          <w:sz w:val="24"/>
          <w:szCs w:val="24"/>
        </w:rPr>
        <w:t xml:space="preserve">was added to the text (p.8) </w:t>
      </w:r>
      <w:r w:rsidRPr="00A3792C">
        <w:rPr>
          <w:rFonts w:ascii="Times New Roman" w:eastAsia="Calibri" w:hAnsi="Times New Roman"/>
          <w:b w:val="0"/>
          <w:color w:val="auto"/>
          <w:sz w:val="24"/>
          <w:szCs w:val="24"/>
        </w:rPr>
        <w:t xml:space="preserve">and </w:t>
      </w:r>
      <w:r>
        <w:rPr>
          <w:rFonts w:ascii="Times New Roman" w:eastAsia="Calibri" w:hAnsi="Times New Roman"/>
          <w:b w:val="0"/>
          <w:color w:val="auto"/>
          <w:sz w:val="24"/>
          <w:szCs w:val="24"/>
        </w:rPr>
        <w:t xml:space="preserve">the following </w:t>
      </w:r>
      <w:r w:rsidR="00642358" w:rsidRPr="00A3792C">
        <w:rPr>
          <w:rFonts w:ascii="Times New Roman" w:eastAsia="Calibri" w:hAnsi="Times New Roman"/>
          <w:b w:val="0"/>
          <w:color w:val="auto"/>
          <w:sz w:val="24"/>
          <w:szCs w:val="24"/>
        </w:rPr>
        <w:t xml:space="preserve">text </w:t>
      </w:r>
      <w:r>
        <w:rPr>
          <w:rFonts w:ascii="Times New Roman" w:eastAsia="Calibri" w:hAnsi="Times New Roman"/>
          <w:b w:val="0"/>
          <w:color w:val="auto"/>
          <w:sz w:val="24"/>
          <w:szCs w:val="24"/>
        </w:rPr>
        <w:t>box to</w:t>
      </w:r>
      <w:r w:rsidR="00642358" w:rsidRPr="00A3792C">
        <w:rPr>
          <w:rFonts w:ascii="Times New Roman" w:eastAsia="Calibri" w:hAnsi="Times New Roman"/>
          <w:b w:val="0"/>
          <w:color w:val="auto"/>
          <w:sz w:val="24"/>
          <w:szCs w:val="24"/>
        </w:rPr>
        <w:t xml:space="preserve"> Exhibit 1</w:t>
      </w:r>
      <w:r>
        <w:rPr>
          <w:rFonts w:ascii="Times New Roman" w:eastAsia="Calibri" w:hAnsi="Times New Roman"/>
          <w:b w:val="0"/>
          <w:color w:val="auto"/>
          <w:sz w:val="24"/>
          <w:szCs w:val="24"/>
        </w:rPr>
        <w:t xml:space="preserve"> (p.9):</w:t>
      </w:r>
    </w:p>
    <w:bookmarkEnd w:id="1"/>
    <w:bookmarkEnd w:id="2"/>
    <w:bookmarkEnd w:id="3"/>
    <w:p w14:paraId="2369AED4" w14:textId="0761293E" w:rsidR="004F6DF1" w:rsidRDefault="00A3792C" w:rsidP="00A3792C">
      <w:pPr>
        <w:spacing w:after="120" w:line="240" w:lineRule="auto"/>
        <w:ind w:left="360"/>
        <w:rPr>
          <w:rFonts w:ascii="Times New Roman" w:hAnsi="Times New Roman"/>
          <w:sz w:val="24"/>
          <w:szCs w:val="24"/>
        </w:rPr>
      </w:pPr>
      <w:r>
        <w:rPr>
          <w:rFonts w:ascii="Times New Roman" w:hAnsi="Times New Roman"/>
          <w:noProof/>
        </w:rPr>
        <mc:AlternateContent>
          <mc:Choice Requires="wps">
            <w:drawing>
              <wp:anchor distT="0" distB="0" distL="114300" distR="114300" simplePos="0" relativeHeight="251659264" behindDoc="0" locked="0" layoutInCell="1" allowOverlap="1" wp14:anchorId="5C108A0F" wp14:editId="7864169D">
                <wp:simplePos x="0" y="0"/>
                <wp:positionH relativeFrom="column">
                  <wp:posOffset>229235</wp:posOffset>
                </wp:positionH>
                <wp:positionV relativeFrom="paragraph">
                  <wp:posOffset>976630</wp:posOffset>
                </wp:positionV>
                <wp:extent cx="1600200" cy="603885"/>
                <wp:effectExtent l="0" t="0" r="19050" b="24765"/>
                <wp:wrapTopAndBottom/>
                <wp:docPr id="6" name="Flowchart: Process 6"/>
                <wp:cNvGraphicFramePr/>
                <a:graphic xmlns:a="http://schemas.openxmlformats.org/drawingml/2006/main">
                  <a:graphicData uri="http://schemas.microsoft.com/office/word/2010/wordprocessingShape">
                    <wps:wsp>
                      <wps:cNvSpPr/>
                      <wps:spPr>
                        <a:xfrm>
                          <a:off x="0" y="0"/>
                          <a:ext cx="1600200" cy="60388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71465E73" w14:textId="77777777" w:rsidR="00B03D2B" w:rsidRPr="0014277C" w:rsidRDefault="00B03D2B" w:rsidP="00A3792C">
                            <w:pPr>
                              <w:spacing w:after="0" w:line="240" w:lineRule="auto"/>
                              <w:ind w:left="-90" w:right="-59"/>
                              <w:rPr>
                                <w:rFonts w:asciiTheme="minorHAnsi" w:hAnsiTheme="minorHAnsi"/>
                                <w:sz w:val="14"/>
                                <w:szCs w:val="14"/>
                              </w:rPr>
                            </w:pPr>
                            <w:r w:rsidRPr="0014277C">
                              <w:rPr>
                                <w:rFonts w:asciiTheme="minorHAnsi" w:hAnsiTheme="minorHAnsi"/>
                                <w:sz w:val="14"/>
                                <w:szCs w:val="14"/>
                              </w:rPr>
                              <w:t>Reminder email to Principals/Schools</w:t>
                            </w:r>
                          </w:p>
                          <w:p w14:paraId="33A26354" w14:textId="77777777" w:rsidR="00B03D2B" w:rsidRPr="0014277C" w:rsidRDefault="00B03D2B" w:rsidP="00A3792C">
                            <w:pPr>
                              <w:spacing w:after="0" w:line="240" w:lineRule="auto"/>
                              <w:jc w:val="center"/>
                              <w:rPr>
                                <w:rFonts w:asciiTheme="minorHAnsi" w:hAnsiTheme="minorHAnsi"/>
                                <w:sz w:val="14"/>
                                <w:szCs w:val="14"/>
                              </w:rPr>
                            </w:pPr>
                            <w:r w:rsidRPr="0014277C">
                              <w:rPr>
                                <w:rFonts w:asciiTheme="minorHAnsi" w:hAnsiTheme="minorHAnsi"/>
                                <w:sz w:val="14"/>
                                <w:szCs w:val="14"/>
                              </w:rPr>
                              <w:t>Late February-Early March</w:t>
                            </w:r>
                          </w:p>
                          <w:p w14:paraId="77C96999" w14:textId="77777777" w:rsidR="00B03D2B" w:rsidRPr="0014277C" w:rsidRDefault="00B03D2B" w:rsidP="00A3792C">
                            <w:pPr>
                              <w:spacing w:after="0" w:line="240" w:lineRule="auto"/>
                              <w:jc w:val="center"/>
                              <w:rPr>
                                <w:rFonts w:asciiTheme="minorHAnsi" w:hAnsiTheme="minorHAnsi"/>
                                <w:sz w:val="8"/>
                                <w:szCs w:val="8"/>
                              </w:rPr>
                            </w:pPr>
                          </w:p>
                          <w:p w14:paraId="04E51BDB" w14:textId="77777777" w:rsidR="00B03D2B" w:rsidRPr="0014277C" w:rsidRDefault="00B03D2B" w:rsidP="00A3792C">
                            <w:pPr>
                              <w:spacing w:after="0" w:line="240" w:lineRule="auto"/>
                              <w:jc w:val="center"/>
                              <w:rPr>
                                <w:rFonts w:asciiTheme="minorHAnsi" w:hAnsiTheme="minorHAnsi"/>
                                <w:sz w:val="14"/>
                                <w:szCs w:val="14"/>
                              </w:rPr>
                            </w:pPr>
                            <w:r w:rsidRPr="0014277C">
                              <w:rPr>
                                <w:rFonts w:asciiTheme="minorHAnsi" w:hAnsiTheme="minorHAnsi"/>
                                <w:sz w:val="14"/>
                                <w:szCs w:val="14"/>
                              </w:rPr>
                              <w:t>Reminder email to Teachers</w:t>
                            </w:r>
                          </w:p>
                          <w:p w14:paraId="646A4B0B" w14:textId="77777777" w:rsidR="00B03D2B" w:rsidRPr="0014277C" w:rsidRDefault="00B03D2B" w:rsidP="00A3792C">
                            <w:pPr>
                              <w:spacing w:after="0" w:line="240" w:lineRule="auto"/>
                              <w:jc w:val="center"/>
                              <w:rPr>
                                <w:rFonts w:asciiTheme="minorHAnsi" w:hAnsiTheme="minorHAnsi"/>
                                <w:sz w:val="14"/>
                                <w:szCs w:val="14"/>
                              </w:rPr>
                            </w:pPr>
                            <w:r w:rsidRPr="0014277C">
                              <w:rPr>
                                <w:rFonts w:asciiTheme="minorHAnsi" w:hAnsiTheme="minorHAnsi"/>
                                <w:sz w:val="14"/>
                                <w:szCs w:val="14"/>
                              </w:rPr>
                              <w:t>Late February- Early June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6" o:spid="_x0000_s1026" type="#_x0000_t109" style="position:absolute;left:0;text-align:left;margin-left:18.05pt;margin-top:76.9pt;width:126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" fillcolor="white [3201]" strokecolor="#f79646 [3209]" strokeweight="2pt">
                <v:textbox>
                  <w:txbxContent>
                    <w:p w14:paraId="71465E73" w14:textId="77777777" w:rsidR="00B03D2B" w:rsidRPr="0014277C" w:rsidRDefault="00B03D2B" w:rsidP="00A3792C">
                      <w:pPr>
                        <w:spacing w:after="0" w:line="240" w:lineRule="auto"/>
                        <w:ind w:left="-90" w:right="-59"/>
                        <w:rPr>
                          <w:rFonts w:asciiTheme="minorHAnsi" w:hAnsiTheme="minorHAnsi"/>
                          <w:sz w:val="14"/>
                          <w:szCs w:val="14"/>
                        </w:rPr>
                      </w:pPr>
                      <w:r w:rsidRPr="0014277C">
                        <w:rPr>
                          <w:rFonts w:asciiTheme="minorHAnsi" w:hAnsiTheme="minorHAnsi"/>
                          <w:sz w:val="14"/>
                          <w:szCs w:val="14"/>
                        </w:rPr>
                        <w:t>Reminder email to Principals/Schools</w:t>
                      </w:r>
                    </w:p>
                    <w:p w14:paraId="33A26354" w14:textId="77777777" w:rsidR="00B03D2B" w:rsidRPr="0014277C" w:rsidRDefault="00B03D2B" w:rsidP="00A3792C">
                      <w:pPr>
                        <w:spacing w:after="0" w:line="240" w:lineRule="auto"/>
                        <w:jc w:val="center"/>
                        <w:rPr>
                          <w:rFonts w:asciiTheme="minorHAnsi" w:hAnsiTheme="minorHAnsi"/>
                          <w:sz w:val="14"/>
                          <w:szCs w:val="14"/>
                        </w:rPr>
                      </w:pPr>
                      <w:r w:rsidRPr="0014277C">
                        <w:rPr>
                          <w:rFonts w:asciiTheme="minorHAnsi" w:hAnsiTheme="minorHAnsi"/>
                          <w:sz w:val="14"/>
                          <w:szCs w:val="14"/>
                        </w:rPr>
                        <w:t>Late February-Early March</w:t>
                      </w:r>
                    </w:p>
                    <w:p w14:paraId="77C96999" w14:textId="77777777" w:rsidR="00B03D2B" w:rsidRPr="0014277C" w:rsidRDefault="00B03D2B" w:rsidP="00A3792C">
                      <w:pPr>
                        <w:spacing w:after="0" w:line="240" w:lineRule="auto"/>
                        <w:jc w:val="center"/>
                        <w:rPr>
                          <w:rFonts w:asciiTheme="minorHAnsi" w:hAnsiTheme="minorHAnsi"/>
                          <w:sz w:val="8"/>
                          <w:szCs w:val="8"/>
                        </w:rPr>
                      </w:pPr>
                    </w:p>
                    <w:p w14:paraId="04E51BDB" w14:textId="77777777" w:rsidR="00B03D2B" w:rsidRPr="0014277C" w:rsidRDefault="00B03D2B" w:rsidP="00A3792C">
                      <w:pPr>
                        <w:spacing w:after="0" w:line="240" w:lineRule="auto"/>
                        <w:jc w:val="center"/>
                        <w:rPr>
                          <w:rFonts w:asciiTheme="minorHAnsi" w:hAnsiTheme="minorHAnsi"/>
                          <w:sz w:val="14"/>
                          <w:szCs w:val="14"/>
                        </w:rPr>
                      </w:pPr>
                      <w:r w:rsidRPr="0014277C">
                        <w:rPr>
                          <w:rFonts w:asciiTheme="minorHAnsi" w:hAnsiTheme="minorHAnsi"/>
                          <w:sz w:val="14"/>
                          <w:szCs w:val="14"/>
                        </w:rPr>
                        <w:t>Reminder email to Teachers</w:t>
                      </w:r>
                    </w:p>
                    <w:p w14:paraId="646A4B0B" w14:textId="77777777" w:rsidR="00B03D2B" w:rsidRPr="0014277C" w:rsidRDefault="00B03D2B" w:rsidP="00A3792C">
                      <w:pPr>
                        <w:spacing w:after="0" w:line="240" w:lineRule="auto"/>
                        <w:jc w:val="center"/>
                        <w:rPr>
                          <w:rFonts w:asciiTheme="minorHAnsi" w:hAnsiTheme="minorHAnsi"/>
                          <w:sz w:val="14"/>
                          <w:szCs w:val="14"/>
                        </w:rPr>
                      </w:pPr>
                      <w:r w:rsidRPr="0014277C">
                        <w:rPr>
                          <w:rFonts w:asciiTheme="minorHAnsi" w:hAnsiTheme="minorHAnsi"/>
                          <w:sz w:val="14"/>
                          <w:szCs w:val="14"/>
                        </w:rPr>
                        <w:t>Late February- Early June</w:t>
                      </w:r>
                    </w:p>
                  </w:txbxContent>
                </v:textbox>
                <w10:wrap type="topAndBottom"/>
              </v:shape>
            </w:pict>
          </mc:Fallback>
        </mc:AlternateContent>
      </w:r>
      <w:r w:rsidR="00E75608">
        <w:rPr>
          <w:rFonts w:ascii="Times New Roman" w:hAnsi="Times New Roman"/>
          <w:sz w:val="24"/>
          <w:szCs w:val="24"/>
        </w:rPr>
        <w:t>Between</w:t>
      </w:r>
      <w:r w:rsidR="00F743FD">
        <w:rPr>
          <w:rFonts w:ascii="Times New Roman" w:hAnsi="Times New Roman"/>
          <w:sz w:val="24"/>
          <w:szCs w:val="24"/>
        </w:rPr>
        <w:t xml:space="preserve"> la</w:t>
      </w:r>
      <w:r w:rsidR="00305832">
        <w:rPr>
          <w:rFonts w:ascii="Times New Roman" w:hAnsi="Times New Roman"/>
          <w:sz w:val="24"/>
          <w:szCs w:val="24"/>
        </w:rPr>
        <w:t xml:space="preserve">te February </w:t>
      </w:r>
      <w:r w:rsidR="00E75608">
        <w:rPr>
          <w:rFonts w:ascii="Times New Roman" w:hAnsi="Times New Roman"/>
          <w:sz w:val="24"/>
          <w:szCs w:val="24"/>
        </w:rPr>
        <w:t>and</w:t>
      </w:r>
      <w:r w:rsidR="00305832">
        <w:rPr>
          <w:rFonts w:ascii="Times New Roman" w:hAnsi="Times New Roman"/>
          <w:sz w:val="24"/>
          <w:szCs w:val="24"/>
        </w:rPr>
        <w:t xml:space="preserve"> early March</w:t>
      </w:r>
      <w:r w:rsidR="00E75608">
        <w:rPr>
          <w:rFonts w:ascii="Times New Roman" w:hAnsi="Times New Roman"/>
          <w:sz w:val="24"/>
          <w:szCs w:val="24"/>
        </w:rPr>
        <w:t xml:space="preserve"> 2018</w:t>
      </w:r>
      <w:r w:rsidR="00305832">
        <w:rPr>
          <w:rFonts w:ascii="Times New Roman" w:hAnsi="Times New Roman"/>
          <w:sz w:val="24"/>
          <w:szCs w:val="24"/>
        </w:rPr>
        <w:t>, an additional reminder email will be sent to Principals</w:t>
      </w:r>
      <w:r w:rsidR="00F743FD">
        <w:rPr>
          <w:rFonts w:ascii="Times New Roman" w:hAnsi="Times New Roman"/>
          <w:sz w:val="24"/>
          <w:szCs w:val="24"/>
        </w:rPr>
        <w:t xml:space="preserve"> and/or Survey Coordinators of nonresponding schools</w:t>
      </w:r>
      <w:r w:rsidR="00E75608">
        <w:rPr>
          <w:rFonts w:ascii="Times New Roman" w:hAnsi="Times New Roman"/>
          <w:sz w:val="24"/>
          <w:szCs w:val="24"/>
        </w:rPr>
        <w:t xml:space="preserve">, and between late February and early June 2018, an email reminder will be sent to teachers who are not eligible for the contingency plan incentive experiment. Each of these emails </w:t>
      </w:r>
      <w:r w:rsidR="004F4FAF" w:rsidRPr="004F4FAF">
        <w:rPr>
          <w:rFonts w:ascii="Times New Roman" w:hAnsi="Times New Roman"/>
          <w:sz w:val="24"/>
          <w:szCs w:val="24"/>
        </w:rPr>
        <w:t xml:space="preserve">will include a link to an informational NTPS video </w:t>
      </w:r>
      <w:r w:rsidR="00E75608">
        <w:rPr>
          <w:rFonts w:ascii="Times New Roman" w:hAnsi="Times New Roman"/>
          <w:sz w:val="24"/>
          <w:szCs w:val="24"/>
        </w:rPr>
        <w:t>and</w:t>
      </w:r>
      <w:r w:rsidR="00B4060B">
        <w:rPr>
          <w:rFonts w:ascii="Times New Roman" w:hAnsi="Times New Roman"/>
          <w:sz w:val="24"/>
          <w:szCs w:val="24"/>
        </w:rPr>
        <w:t xml:space="preserve"> to the </w:t>
      </w:r>
      <w:r w:rsidR="00E75608">
        <w:rPr>
          <w:rFonts w:ascii="Times New Roman" w:hAnsi="Times New Roman"/>
          <w:sz w:val="24"/>
          <w:szCs w:val="24"/>
        </w:rPr>
        <w:t xml:space="preserve">relevant </w:t>
      </w:r>
      <w:r w:rsidR="00B4060B">
        <w:rPr>
          <w:rFonts w:ascii="Times New Roman" w:hAnsi="Times New Roman"/>
          <w:sz w:val="24"/>
          <w:szCs w:val="24"/>
        </w:rPr>
        <w:t>survey, the respondent’s User ID</w:t>
      </w:r>
      <w:r w:rsidR="00E75608">
        <w:rPr>
          <w:rFonts w:ascii="Times New Roman" w:hAnsi="Times New Roman"/>
          <w:sz w:val="24"/>
          <w:szCs w:val="24"/>
        </w:rPr>
        <w:t>, and</w:t>
      </w:r>
      <w:r w:rsidR="00E75608" w:rsidRPr="00E75608">
        <w:rPr>
          <w:rFonts w:ascii="Times New Roman" w:hAnsi="Times New Roman"/>
          <w:sz w:val="24"/>
          <w:szCs w:val="24"/>
        </w:rPr>
        <w:t xml:space="preserve"> </w:t>
      </w:r>
      <w:r w:rsidR="00E75608">
        <w:rPr>
          <w:rFonts w:ascii="Times New Roman" w:hAnsi="Times New Roman"/>
          <w:sz w:val="24"/>
          <w:szCs w:val="24"/>
        </w:rPr>
        <w:t xml:space="preserve">selected </w:t>
      </w:r>
      <w:r w:rsidR="00B4060B">
        <w:rPr>
          <w:rFonts w:ascii="Times New Roman" w:hAnsi="Times New Roman"/>
          <w:sz w:val="24"/>
          <w:szCs w:val="24"/>
        </w:rPr>
        <w:t>findings from the 2015-16 NTPS.</w:t>
      </w:r>
    </w:p>
    <w:p w14:paraId="5B682140" w14:textId="77777777" w:rsidR="00456FDC" w:rsidRPr="00B63199" w:rsidRDefault="00456FDC" w:rsidP="00B63199">
      <w:pPr>
        <w:spacing w:after="0" w:line="240" w:lineRule="auto"/>
        <w:rPr>
          <w:rFonts w:ascii="Times New Roman" w:hAnsi="Times New Roman"/>
          <w:sz w:val="14"/>
          <w:szCs w:val="14"/>
        </w:rPr>
      </w:pPr>
    </w:p>
    <w:p w14:paraId="44D08817" w14:textId="1ED06514" w:rsidR="00456FDC" w:rsidRDefault="00456FDC" w:rsidP="00456FDC">
      <w:pPr>
        <w:spacing w:after="120" w:line="240" w:lineRule="auto"/>
        <w:rPr>
          <w:rFonts w:ascii="Times New Roman" w:hAnsi="Times New Roman"/>
          <w:sz w:val="24"/>
          <w:szCs w:val="24"/>
        </w:rPr>
      </w:pPr>
      <w:r>
        <w:rPr>
          <w:rFonts w:ascii="Times New Roman" w:hAnsi="Times New Roman"/>
          <w:sz w:val="24"/>
          <w:szCs w:val="24"/>
        </w:rPr>
        <w:t>In Section B.4.</w:t>
      </w:r>
      <w:r w:rsidR="00B03D2B">
        <w:rPr>
          <w:rFonts w:ascii="Times New Roman" w:hAnsi="Times New Roman"/>
          <w:sz w:val="24"/>
          <w:szCs w:val="24"/>
        </w:rPr>
        <w:t>2</w:t>
      </w:r>
      <w:r>
        <w:rPr>
          <w:rFonts w:ascii="Times New Roman" w:hAnsi="Times New Roman"/>
          <w:sz w:val="24"/>
          <w:szCs w:val="24"/>
        </w:rPr>
        <w:t xml:space="preserve">, table 9 and its accompanying text </w:t>
      </w:r>
      <w:r w:rsidR="00B03D2B">
        <w:rPr>
          <w:rFonts w:ascii="Times New Roman" w:hAnsi="Times New Roman"/>
          <w:sz w:val="24"/>
          <w:szCs w:val="24"/>
        </w:rPr>
        <w:t xml:space="preserve">(p.19-20) </w:t>
      </w:r>
      <w:r>
        <w:rPr>
          <w:rFonts w:ascii="Times New Roman" w:hAnsi="Times New Roman"/>
          <w:sz w:val="24"/>
          <w:szCs w:val="24"/>
        </w:rPr>
        <w:t>were revised to show the correct allocation to treatment groups</w:t>
      </w:r>
      <w:r w:rsidR="00B63199">
        <w:rPr>
          <w:rFonts w:ascii="Times New Roman" w:hAnsi="Times New Roman"/>
          <w:sz w:val="24"/>
          <w:szCs w:val="24"/>
        </w:rPr>
        <w:t xml:space="preserve"> (in the “</w:t>
      </w:r>
      <w:r w:rsidR="00B63199" w:rsidRPr="00B63199">
        <w:rPr>
          <w:rFonts w:ascii="Times New Roman" w:hAnsi="Times New Roman"/>
          <w:sz w:val="24"/>
          <w:szCs w:val="24"/>
        </w:rPr>
        <w:t>Initial School Sample Sizes</w:t>
      </w:r>
      <w:r w:rsidR="00B63199">
        <w:rPr>
          <w:rFonts w:ascii="Times New Roman" w:hAnsi="Times New Roman"/>
          <w:sz w:val="24"/>
          <w:szCs w:val="24"/>
        </w:rPr>
        <w:t>” column of Table 9, “1,298 Public Schools” were replaced with “1,325 Public Schools” in each row – the revised portions are reflect in red font below)</w:t>
      </w:r>
      <w:r>
        <w:rPr>
          <w:rFonts w:ascii="Times New Roman" w:hAnsi="Times New Roman"/>
          <w:sz w:val="24"/>
          <w:szCs w:val="24"/>
        </w:rPr>
        <w:t>:</w:t>
      </w:r>
    </w:p>
    <w:p w14:paraId="49C1B29C" w14:textId="77777777" w:rsidR="00456FDC" w:rsidRPr="00C637D0" w:rsidRDefault="00456FDC" w:rsidP="00456FDC">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sidRPr="00C637D0">
        <w:rPr>
          <w:rFonts w:ascii="Times New Roman" w:hAnsi="Times New Roman"/>
          <w:b/>
          <w:szCs w:val="24"/>
        </w:rPr>
        <w:t>Table 9. Experimental G</w:t>
      </w:r>
      <w:r>
        <w:rPr>
          <w:rFonts w:ascii="Times New Roman" w:hAnsi="Times New Roman"/>
          <w:b/>
          <w:szCs w:val="24"/>
        </w:rPr>
        <w:t>roups and initial sample sizes.</w:t>
      </w:r>
    </w:p>
    <w:tbl>
      <w:tblPr>
        <w:tblStyle w:val="TableGrid"/>
        <w:tblW w:w="4553" w:type="pct"/>
        <w:tblInd w:w="648" w:type="dxa"/>
        <w:tblLayout w:type="fixed"/>
        <w:tblLook w:val="04A0" w:firstRow="1" w:lastRow="0" w:firstColumn="1" w:lastColumn="0" w:noHBand="0" w:noVBand="1"/>
      </w:tblPr>
      <w:tblGrid>
        <w:gridCol w:w="1155"/>
        <w:gridCol w:w="1510"/>
        <w:gridCol w:w="2307"/>
        <w:gridCol w:w="2034"/>
        <w:gridCol w:w="2763"/>
      </w:tblGrid>
      <w:tr w:rsidR="00456FDC" w:rsidRPr="00231C89" w14:paraId="6F3433B3" w14:textId="77777777" w:rsidTr="00B63199">
        <w:trPr>
          <w:trHeight w:val="20"/>
          <w:tblHeader/>
        </w:trPr>
        <w:tc>
          <w:tcPr>
            <w:tcW w:w="591" w:type="pct"/>
            <w:tcBorders>
              <w:bottom w:val="double" w:sz="4" w:space="0" w:color="auto"/>
            </w:tcBorders>
            <w:vAlign w:val="center"/>
          </w:tcPr>
          <w:p w14:paraId="26EDE4BD" w14:textId="77777777" w:rsidR="00456FDC" w:rsidRPr="00EA1968" w:rsidRDefault="00456FDC" w:rsidP="00732AEC">
            <w:pPr>
              <w:pStyle w:val="ListParagraph"/>
              <w:tabs>
                <w:tab w:val="left" w:pos="-2358"/>
              </w:tabs>
              <w:spacing w:after="0" w:line="240" w:lineRule="auto"/>
              <w:ind w:left="-108" w:right="-107"/>
              <w:jc w:val="center"/>
              <w:rPr>
                <w:rFonts w:ascii="Times New Roman" w:hAnsi="Times New Roman"/>
                <w:b/>
                <w:sz w:val="18"/>
                <w:szCs w:val="18"/>
              </w:rPr>
            </w:pPr>
            <w:r w:rsidRPr="00EA1968">
              <w:rPr>
                <w:rFonts w:ascii="Times New Roman" w:hAnsi="Times New Roman"/>
                <w:b/>
                <w:sz w:val="18"/>
                <w:szCs w:val="18"/>
              </w:rPr>
              <w:t>Experimental Group</w:t>
            </w:r>
          </w:p>
        </w:tc>
        <w:tc>
          <w:tcPr>
            <w:tcW w:w="773" w:type="pct"/>
            <w:tcBorders>
              <w:bottom w:val="double" w:sz="4" w:space="0" w:color="auto"/>
            </w:tcBorders>
            <w:vAlign w:val="center"/>
          </w:tcPr>
          <w:p w14:paraId="0F6CE6E1" w14:textId="77777777" w:rsidR="00456FDC" w:rsidRPr="00EA1968" w:rsidRDefault="00456FDC" w:rsidP="00732AEC">
            <w:pPr>
              <w:pStyle w:val="ListParagraph"/>
              <w:spacing w:after="0" w:line="240" w:lineRule="auto"/>
              <w:ind w:left="-18"/>
              <w:jc w:val="center"/>
              <w:rPr>
                <w:rFonts w:ascii="Times New Roman" w:hAnsi="Times New Roman"/>
                <w:b/>
                <w:sz w:val="18"/>
                <w:szCs w:val="18"/>
              </w:rPr>
            </w:pPr>
            <w:r w:rsidRPr="00EA1968">
              <w:rPr>
                <w:rFonts w:ascii="Times New Roman" w:hAnsi="Times New Roman"/>
                <w:b/>
                <w:sz w:val="18"/>
                <w:szCs w:val="18"/>
              </w:rPr>
              <w:t>Phase One</w:t>
            </w:r>
          </w:p>
          <w:p w14:paraId="5FE1EC66" w14:textId="77777777" w:rsidR="00456FDC" w:rsidRPr="00EA1968" w:rsidRDefault="00456FDC" w:rsidP="00732AEC">
            <w:pPr>
              <w:pStyle w:val="ListParagraph"/>
              <w:spacing w:after="0" w:line="240" w:lineRule="auto"/>
              <w:ind w:left="-18"/>
              <w:jc w:val="center"/>
              <w:rPr>
                <w:rFonts w:ascii="Times New Roman" w:hAnsi="Times New Roman"/>
                <w:b/>
                <w:sz w:val="18"/>
                <w:szCs w:val="18"/>
              </w:rPr>
            </w:pPr>
            <w:r w:rsidRPr="00EA1968">
              <w:rPr>
                <w:rFonts w:ascii="Times New Roman" w:hAnsi="Times New Roman"/>
                <w:b/>
                <w:sz w:val="18"/>
                <w:szCs w:val="18"/>
              </w:rPr>
              <w:t>(Waves 1-12)</w:t>
            </w:r>
          </w:p>
        </w:tc>
        <w:tc>
          <w:tcPr>
            <w:tcW w:w="1181" w:type="pct"/>
            <w:tcBorders>
              <w:bottom w:val="double" w:sz="4" w:space="0" w:color="auto"/>
            </w:tcBorders>
            <w:vAlign w:val="center"/>
          </w:tcPr>
          <w:p w14:paraId="7936FAC4" w14:textId="77777777" w:rsidR="00456FDC" w:rsidRPr="00EA1968" w:rsidRDefault="00456FDC" w:rsidP="00732AEC">
            <w:pPr>
              <w:pStyle w:val="ListParagraph"/>
              <w:spacing w:after="0" w:line="240" w:lineRule="auto"/>
              <w:ind w:left="0"/>
              <w:jc w:val="center"/>
              <w:rPr>
                <w:rFonts w:ascii="Times New Roman" w:hAnsi="Times New Roman"/>
                <w:b/>
                <w:sz w:val="18"/>
                <w:szCs w:val="18"/>
              </w:rPr>
            </w:pPr>
            <w:r w:rsidRPr="00EA1968">
              <w:rPr>
                <w:rFonts w:ascii="Times New Roman" w:hAnsi="Times New Roman"/>
                <w:b/>
                <w:sz w:val="18"/>
                <w:szCs w:val="18"/>
              </w:rPr>
              <w:t>Phase Two</w:t>
            </w:r>
          </w:p>
          <w:p w14:paraId="4D3F18C1" w14:textId="77777777" w:rsidR="00456FDC" w:rsidRPr="00EA1968" w:rsidRDefault="00456FDC" w:rsidP="00732AEC">
            <w:pPr>
              <w:pStyle w:val="ListParagraph"/>
              <w:spacing w:after="0" w:line="240" w:lineRule="auto"/>
              <w:ind w:left="0"/>
              <w:jc w:val="center"/>
              <w:rPr>
                <w:rFonts w:ascii="Times New Roman" w:hAnsi="Times New Roman"/>
                <w:b/>
                <w:sz w:val="18"/>
                <w:szCs w:val="18"/>
              </w:rPr>
            </w:pPr>
            <w:r w:rsidRPr="00EA1968">
              <w:rPr>
                <w:rFonts w:ascii="Times New Roman" w:hAnsi="Times New Roman"/>
                <w:b/>
                <w:sz w:val="18"/>
                <w:szCs w:val="18"/>
              </w:rPr>
              <w:t>(Waves 13-20)</w:t>
            </w:r>
          </w:p>
        </w:tc>
        <w:tc>
          <w:tcPr>
            <w:tcW w:w="1041" w:type="pct"/>
            <w:tcBorders>
              <w:bottom w:val="double" w:sz="4" w:space="0" w:color="auto"/>
            </w:tcBorders>
            <w:vAlign w:val="center"/>
          </w:tcPr>
          <w:p w14:paraId="08A57F28" w14:textId="77777777" w:rsidR="00456FDC" w:rsidRPr="00EA1968" w:rsidRDefault="00456FDC" w:rsidP="00732AEC">
            <w:pPr>
              <w:pStyle w:val="ListParagraph"/>
              <w:spacing w:after="0" w:line="240" w:lineRule="auto"/>
              <w:ind w:left="23"/>
              <w:jc w:val="center"/>
              <w:rPr>
                <w:rFonts w:ascii="Times New Roman" w:hAnsi="Times New Roman"/>
                <w:b/>
                <w:sz w:val="18"/>
                <w:szCs w:val="18"/>
              </w:rPr>
            </w:pPr>
            <w:r w:rsidRPr="00EA1968">
              <w:rPr>
                <w:rFonts w:ascii="Times New Roman" w:hAnsi="Times New Roman"/>
                <w:b/>
                <w:sz w:val="18"/>
                <w:szCs w:val="18"/>
              </w:rPr>
              <w:t>Initial School Sample Sizes</w:t>
            </w:r>
          </w:p>
        </w:tc>
        <w:tc>
          <w:tcPr>
            <w:tcW w:w="1414" w:type="pct"/>
            <w:tcBorders>
              <w:bottom w:val="double" w:sz="4" w:space="0" w:color="auto"/>
            </w:tcBorders>
            <w:vAlign w:val="center"/>
          </w:tcPr>
          <w:p w14:paraId="500BC93E" w14:textId="77777777" w:rsidR="00456FDC" w:rsidRPr="00EA1968" w:rsidRDefault="00456FDC" w:rsidP="00732AEC">
            <w:pPr>
              <w:pStyle w:val="ListParagraph"/>
              <w:spacing w:after="0" w:line="240" w:lineRule="auto"/>
              <w:ind w:left="-9"/>
              <w:jc w:val="center"/>
              <w:rPr>
                <w:rFonts w:ascii="Times New Roman" w:hAnsi="Times New Roman"/>
                <w:b/>
                <w:sz w:val="18"/>
                <w:szCs w:val="18"/>
              </w:rPr>
            </w:pPr>
            <w:r w:rsidRPr="00EA1968">
              <w:rPr>
                <w:rFonts w:ascii="Times New Roman" w:hAnsi="Times New Roman"/>
                <w:b/>
                <w:sz w:val="18"/>
                <w:szCs w:val="18"/>
              </w:rPr>
              <w:t>Initial Teacher Sample Sizes</w:t>
            </w:r>
            <w:r w:rsidRPr="00EA1968">
              <w:rPr>
                <w:rFonts w:ascii="Times New Roman" w:hAnsi="Times New Roman"/>
                <w:b/>
                <w:sz w:val="18"/>
                <w:szCs w:val="18"/>
                <w:vertAlign w:val="superscript"/>
              </w:rPr>
              <w:footnoteReference w:id="1"/>
            </w:r>
          </w:p>
        </w:tc>
      </w:tr>
      <w:tr w:rsidR="00456FDC" w:rsidRPr="00231C89" w14:paraId="5001D010" w14:textId="77777777" w:rsidTr="00B63199">
        <w:trPr>
          <w:trHeight w:val="20"/>
        </w:trPr>
        <w:tc>
          <w:tcPr>
            <w:tcW w:w="591" w:type="pct"/>
            <w:tcBorders>
              <w:top w:val="double" w:sz="4" w:space="0" w:color="auto"/>
            </w:tcBorders>
            <w:vAlign w:val="center"/>
          </w:tcPr>
          <w:p w14:paraId="40B0549C" w14:textId="77777777" w:rsidR="00456FDC" w:rsidRPr="00EA1968" w:rsidRDefault="00456FDC" w:rsidP="00732AEC">
            <w:pPr>
              <w:pStyle w:val="ListParagraph"/>
              <w:tabs>
                <w:tab w:val="left" w:pos="0"/>
                <w:tab w:val="left" w:pos="540"/>
              </w:tabs>
              <w:spacing w:after="0" w:line="240" w:lineRule="auto"/>
              <w:ind w:left="0"/>
              <w:jc w:val="center"/>
              <w:rPr>
                <w:rFonts w:ascii="Times New Roman" w:hAnsi="Times New Roman"/>
                <w:sz w:val="18"/>
                <w:szCs w:val="18"/>
              </w:rPr>
            </w:pPr>
            <w:r w:rsidRPr="00EA1968">
              <w:rPr>
                <w:rFonts w:ascii="Times New Roman" w:hAnsi="Times New Roman"/>
                <w:sz w:val="18"/>
                <w:szCs w:val="18"/>
              </w:rPr>
              <w:t>1</w:t>
            </w:r>
          </w:p>
        </w:tc>
        <w:tc>
          <w:tcPr>
            <w:tcW w:w="773" w:type="pct"/>
            <w:tcBorders>
              <w:top w:val="double" w:sz="4" w:space="0" w:color="auto"/>
            </w:tcBorders>
            <w:vAlign w:val="center"/>
          </w:tcPr>
          <w:p w14:paraId="47AAC4CE" w14:textId="77777777" w:rsidR="00456FDC" w:rsidRPr="00EA1968" w:rsidRDefault="00456FDC" w:rsidP="00732AEC">
            <w:pPr>
              <w:pStyle w:val="ListParagraph"/>
              <w:spacing w:after="0"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tcBorders>
              <w:top w:val="double" w:sz="4" w:space="0" w:color="auto"/>
            </w:tcBorders>
            <w:vAlign w:val="center"/>
          </w:tcPr>
          <w:p w14:paraId="7D4CEE65"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Teacher Incentive</w:t>
            </w:r>
          </w:p>
          <w:p w14:paraId="0B62978C"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School Coordinator (SC) or Principal Incentive</w:t>
            </w:r>
          </w:p>
        </w:tc>
        <w:tc>
          <w:tcPr>
            <w:tcW w:w="1041" w:type="pct"/>
            <w:tcBorders>
              <w:top w:val="double" w:sz="4" w:space="0" w:color="auto"/>
            </w:tcBorders>
            <w:vAlign w:val="center"/>
          </w:tcPr>
          <w:p w14:paraId="605C9D44"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sidRPr="00456FDC">
              <w:rPr>
                <w:rFonts w:ascii="Times New Roman" w:hAnsi="Times New Roman"/>
                <w:color w:val="FF0000"/>
                <w:sz w:val="18"/>
                <w:szCs w:val="18"/>
              </w:rPr>
              <w:t>1,325</w:t>
            </w:r>
            <w:r w:rsidRPr="00EA1968">
              <w:rPr>
                <w:rFonts w:ascii="Times New Roman" w:hAnsi="Times New Roman"/>
                <w:sz w:val="18"/>
                <w:szCs w:val="18"/>
              </w:rPr>
              <w:t xml:space="preserve"> Public Schools</w:t>
            </w:r>
          </w:p>
          <w:p w14:paraId="5C0A1783"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Pr>
                <w:rFonts w:ascii="Times New Roman" w:hAnsi="Times New Roman"/>
                <w:sz w:val="18"/>
                <w:szCs w:val="18"/>
              </w:rPr>
              <w:t xml:space="preserve"> 500</w:t>
            </w:r>
            <w:r w:rsidRPr="00EA1968">
              <w:rPr>
                <w:rFonts w:ascii="Times New Roman" w:hAnsi="Times New Roman"/>
                <w:sz w:val="18"/>
                <w:szCs w:val="18"/>
              </w:rPr>
              <w:t xml:space="preserve"> Private Schools</w:t>
            </w:r>
          </w:p>
        </w:tc>
        <w:tc>
          <w:tcPr>
            <w:tcW w:w="1414" w:type="pct"/>
            <w:tcBorders>
              <w:top w:val="double" w:sz="4" w:space="0" w:color="auto"/>
            </w:tcBorders>
            <w:vAlign w:val="center"/>
          </w:tcPr>
          <w:p w14:paraId="0A34E651"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14:paraId="2A747038"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Pr>
                <w:rFonts w:ascii="Times New Roman" w:hAnsi="Times New Roman"/>
                <w:sz w:val="18"/>
                <w:szCs w:val="18"/>
              </w:rPr>
              <w:t xml:space="preserve"> 875</w:t>
            </w:r>
            <w:r w:rsidRPr="00EA1968">
              <w:rPr>
                <w:rFonts w:ascii="Times New Roman" w:hAnsi="Times New Roman"/>
                <w:sz w:val="18"/>
                <w:szCs w:val="18"/>
              </w:rPr>
              <w:t xml:space="preserve"> Private School Teachers</w:t>
            </w:r>
          </w:p>
        </w:tc>
      </w:tr>
      <w:tr w:rsidR="00456FDC" w:rsidRPr="00231C89" w14:paraId="66B11288" w14:textId="77777777" w:rsidTr="00B63199">
        <w:trPr>
          <w:trHeight w:val="20"/>
        </w:trPr>
        <w:tc>
          <w:tcPr>
            <w:tcW w:w="591" w:type="pct"/>
            <w:vAlign w:val="center"/>
          </w:tcPr>
          <w:p w14:paraId="7097C6BB" w14:textId="77777777" w:rsidR="00456FDC" w:rsidRPr="00EA1968" w:rsidRDefault="00456FDC" w:rsidP="00732AEC">
            <w:pPr>
              <w:pStyle w:val="ListParagraph"/>
              <w:tabs>
                <w:tab w:val="left" w:pos="0"/>
                <w:tab w:val="left" w:pos="540"/>
              </w:tabs>
              <w:spacing w:after="0" w:line="240" w:lineRule="auto"/>
              <w:ind w:left="0"/>
              <w:jc w:val="center"/>
              <w:rPr>
                <w:rFonts w:ascii="Times New Roman" w:hAnsi="Times New Roman"/>
                <w:sz w:val="18"/>
                <w:szCs w:val="18"/>
              </w:rPr>
            </w:pPr>
            <w:r w:rsidRPr="00EA1968">
              <w:rPr>
                <w:rFonts w:ascii="Times New Roman" w:hAnsi="Times New Roman"/>
                <w:sz w:val="18"/>
                <w:szCs w:val="18"/>
              </w:rPr>
              <w:t>2</w:t>
            </w:r>
          </w:p>
        </w:tc>
        <w:tc>
          <w:tcPr>
            <w:tcW w:w="773" w:type="pct"/>
            <w:vAlign w:val="center"/>
          </w:tcPr>
          <w:p w14:paraId="09AFFABC" w14:textId="77777777" w:rsidR="00456FDC" w:rsidRPr="00EA1968" w:rsidRDefault="00456FDC" w:rsidP="00732AEC">
            <w:pPr>
              <w:pStyle w:val="ListParagraph"/>
              <w:spacing w:after="0"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14:paraId="3F32A915"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Teacher Incentive</w:t>
            </w:r>
          </w:p>
          <w:p w14:paraId="158D599B"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14:paraId="6AB35404"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sidRPr="00456FDC">
              <w:rPr>
                <w:rFonts w:ascii="Times New Roman" w:hAnsi="Times New Roman"/>
                <w:color w:val="FF0000"/>
                <w:sz w:val="18"/>
                <w:szCs w:val="18"/>
              </w:rPr>
              <w:t>1,325</w:t>
            </w:r>
            <w:r w:rsidRPr="00EA1968">
              <w:rPr>
                <w:rFonts w:ascii="Times New Roman" w:hAnsi="Times New Roman"/>
                <w:sz w:val="18"/>
                <w:szCs w:val="18"/>
              </w:rPr>
              <w:t xml:space="preserve"> Public Schools</w:t>
            </w:r>
          </w:p>
          <w:p w14:paraId="7CAB0CF1"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Pr>
                <w:rFonts w:ascii="Times New Roman" w:hAnsi="Times New Roman"/>
                <w:sz w:val="18"/>
                <w:szCs w:val="18"/>
              </w:rPr>
              <w:t xml:space="preserve"> 500</w:t>
            </w:r>
            <w:r w:rsidRPr="00EA1968">
              <w:rPr>
                <w:rFonts w:ascii="Times New Roman" w:hAnsi="Times New Roman"/>
                <w:sz w:val="18"/>
                <w:szCs w:val="18"/>
              </w:rPr>
              <w:t xml:space="preserve"> Private Schools</w:t>
            </w:r>
          </w:p>
        </w:tc>
        <w:tc>
          <w:tcPr>
            <w:tcW w:w="1414" w:type="pct"/>
            <w:vAlign w:val="center"/>
          </w:tcPr>
          <w:p w14:paraId="491C848B"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14:paraId="6615A03C"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Pr>
                <w:rFonts w:ascii="Times New Roman" w:hAnsi="Times New Roman"/>
                <w:sz w:val="18"/>
                <w:szCs w:val="18"/>
              </w:rPr>
              <w:t xml:space="preserve"> 875</w:t>
            </w:r>
            <w:r w:rsidRPr="00EA1968">
              <w:rPr>
                <w:rFonts w:ascii="Times New Roman" w:hAnsi="Times New Roman"/>
                <w:sz w:val="18"/>
                <w:szCs w:val="18"/>
              </w:rPr>
              <w:t xml:space="preserve"> Private School Teachers</w:t>
            </w:r>
          </w:p>
        </w:tc>
      </w:tr>
      <w:tr w:rsidR="00456FDC" w:rsidRPr="00231C89" w14:paraId="654E74AD" w14:textId="77777777" w:rsidTr="00B63199">
        <w:trPr>
          <w:trHeight w:val="20"/>
        </w:trPr>
        <w:tc>
          <w:tcPr>
            <w:tcW w:w="591" w:type="pct"/>
            <w:vAlign w:val="center"/>
          </w:tcPr>
          <w:p w14:paraId="3220EB76" w14:textId="77777777" w:rsidR="00456FDC" w:rsidRPr="00EA1968" w:rsidRDefault="00456FDC" w:rsidP="00732AEC">
            <w:pPr>
              <w:pStyle w:val="ListParagraph"/>
              <w:tabs>
                <w:tab w:val="left" w:pos="0"/>
                <w:tab w:val="left" w:pos="540"/>
              </w:tabs>
              <w:spacing w:after="0" w:line="240" w:lineRule="auto"/>
              <w:ind w:left="0"/>
              <w:jc w:val="center"/>
              <w:rPr>
                <w:rFonts w:ascii="Times New Roman" w:hAnsi="Times New Roman"/>
                <w:sz w:val="18"/>
                <w:szCs w:val="18"/>
              </w:rPr>
            </w:pPr>
            <w:r w:rsidRPr="00EA1968">
              <w:rPr>
                <w:rFonts w:ascii="Times New Roman" w:hAnsi="Times New Roman"/>
                <w:sz w:val="18"/>
                <w:szCs w:val="18"/>
              </w:rPr>
              <w:t>3</w:t>
            </w:r>
          </w:p>
        </w:tc>
        <w:tc>
          <w:tcPr>
            <w:tcW w:w="773" w:type="pct"/>
            <w:vAlign w:val="center"/>
          </w:tcPr>
          <w:p w14:paraId="33F5D19A" w14:textId="77777777" w:rsidR="00456FDC" w:rsidRPr="00EA1968" w:rsidRDefault="00456FDC" w:rsidP="00732AEC">
            <w:pPr>
              <w:pStyle w:val="ListParagraph"/>
              <w:spacing w:after="0"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14:paraId="7876E293"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No Teacher Incentive</w:t>
            </w:r>
          </w:p>
          <w:p w14:paraId="03DF153F"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14:paraId="203EBE79"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sidRPr="00456FDC">
              <w:rPr>
                <w:rFonts w:ascii="Times New Roman" w:hAnsi="Times New Roman"/>
                <w:color w:val="FF0000"/>
                <w:sz w:val="18"/>
                <w:szCs w:val="18"/>
              </w:rPr>
              <w:t>1,325</w:t>
            </w:r>
            <w:r w:rsidRPr="00EA1968">
              <w:rPr>
                <w:rFonts w:ascii="Times New Roman" w:hAnsi="Times New Roman"/>
                <w:sz w:val="18"/>
                <w:szCs w:val="18"/>
              </w:rPr>
              <w:t xml:space="preserve"> Public Schools</w:t>
            </w:r>
          </w:p>
          <w:p w14:paraId="221DDE5B"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Pr>
                <w:rFonts w:ascii="Times New Roman" w:hAnsi="Times New Roman"/>
                <w:sz w:val="18"/>
                <w:szCs w:val="18"/>
              </w:rPr>
              <w:t xml:space="preserve"> 500</w:t>
            </w:r>
            <w:r w:rsidRPr="00EA1968">
              <w:rPr>
                <w:rFonts w:ascii="Times New Roman" w:hAnsi="Times New Roman"/>
                <w:sz w:val="18"/>
                <w:szCs w:val="18"/>
              </w:rPr>
              <w:t xml:space="preserve"> Private Schools</w:t>
            </w:r>
          </w:p>
        </w:tc>
        <w:tc>
          <w:tcPr>
            <w:tcW w:w="1414" w:type="pct"/>
            <w:vAlign w:val="center"/>
          </w:tcPr>
          <w:p w14:paraId="6EE81DF3"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14:paraId="59D1EBC3"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Pr>
                <w:rFonts w:ascii="Times New Roman" w:hAnsi="Times New Roman"/>
                <w:sz w:val="18"/>
                <w:szCs w:val="18"/>
              </w:rPr>
              <w:t xml:space="preserve"> 875</w:t>
            </w:r>
            <w:r w:rsidRPr="00EA1968">
              <w:rPr>
                <w:rFonts w:ascii="Times New Roman" w:hAnsi="Times New Roman"/>
                <w:sz w:val="18"/>
                <w:szCs w:val="18"/>
              </w:rPr>
              <w:t xml:space="preserve"> Private School Teachers</w:t>
            </w:r>
          </w:p>
        </w:tc>
      </w:tr>
      <w:tr w:rsidR="00456FDC" w:rsidRPr="00231C89" w14:paraId="3CDDF106" w14:textId="77777777" w:rsidTr="00B63199">
        <w:trPr>
          <w:trHeight w:val="20"/>
        </w:trPr>
        <w:tc>
          <w:tcPr>
            <w:tcW w:w="591" w:type="pct"/>
            <w:vAlign w:val="center"/>
          </w:tcPr>
          <w:p w14:paraId="0DDEECB7" w14:textId="77777777" w:rsidR="00456FDC" w:rsidRPr="00EA1968" w:rsidRDefault="00456FDC" w:rsidP="00732AEC">
            <w:pPr>
              <w:pStyle w:val="ListParagraph"/>
              <w:tabs>
                <w:tab w:val="left" w:pos="0"/>
                <w:tab w:val="left" w:pos="540"/>
              </w:tabs>
              <w:spacing w:after="0" w:line="240" w:lineRule="auto"/>
              <w:ind w:left="0"/>
              <w:jc w:val="center"/>
              <w:rPr>
                <w:rFonts w:ascii="Times New Roman" w:hAnsi="Times New Roman"/>
                <w:sz w:val="18"/>
                <w:szCs w:val="18"/>
              </w:rPr>
            </w:pPr>
            <w:r w:rsidRPr="00EA1968">
              <w:rPr>
                <w:rFonts w:ascii="Times New Roman" w:hAnsi="Times New Roman"/>
                <w:sz w:val="18"/>
                <w:szCs w:val="18"/>
              </w:rPr>
              <w:t>4</w:t>
            </w:r>
          </w:p>
        </w:tc>
        <w:tc>
          <w:tcPr>
            <w:tcW w:w="773" w:type="pct"/>
            <w:vAlign w:val="center"/>
          </w:tcPr>
          <w:p w14:paraId="3C2BD01E" w14:textId="77777777" w:rsidR="00456FDC" w:rsidRPr="00EA1968" w:rsidRDefault="00456FDC" w:rsidP="00732AEC">
            <w:pPr>
              <w:pStyle w:val="ListParagraph"/>
              <w:spacing w:after="0"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14:paraId="77DBEC1B"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No Teacher Incentive</w:t>
            </w:r>
          </w:p>
          <w:p w14:paraId="4AFDC683"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14:paraId="04B56F6D"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sidRPr="00456FDC">
              <w:rPr>
                <w:rFonts w:ascii="Times New Roman" w:hAnsi="Times New Roman"/>
                <w:color w:val="FF0000"/>
                <w:sz w:val="18"/>
                <w:szCs w:val="18"/>
              </w:rPr>
              <w:t>1,325</w:t>
            </w:r>
            <w:r w:rsidRPr="00EA1968">
              <w:rPr>
                <w:rFonts w:ascii="Times New Roman" w:hAnsi="Times New Roman"/>
                <w:sz w:val="18"/>
                <w:szCs w:val="18"/>
              </w:rPr>
              <w:t xml:space="preserve"> Public Schools</w:t>
            </w:r>
          </w:p>
          <w:p w14:paraId="3F806849"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Pr>
                <w:rFonts w:ascii="Times New Roman" w:hAnsi="Times New Roman"/>
                <w:sz w:val="18"/>
                <w:szCs w:val="18"/>
              </w:rPr>
              <w:t xml:space="preserve"> 500</w:t>
            </w:r>
            <w:r w:rsidRPr="00EA1968">
              <w:rPr>
                <w:rFonts w:ascii="Times New Roman" w:hAnsi="Times New Roman"/>
                <w:sz w:val="18"/>
                <w:szCs w:val="18"/>
              </w:rPr>
              <w:t xml:space="preserve"> Private Schools</w:t>
            </w:r>
          </w:p>
        </w:tc>
        <w:tc>
          <w:tcPr>
            <w:tcW w:w="1414" w:type="pct"/>
            <w:vAlign w:val="center"/>
          </w:tcPr>
          <w:p w14:paraId="3C2DA17F"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14:paraId="3D994AF8"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Pr>
                <w:rFonts w:ascii="Times New Roman" w:hAnsi="Times New Roman"/>
                <w:sz w:val="18"/>
                <w:szCs w:val="18"/>
              </w:rPr>
              <w:t xml:space="preserve"> 875</w:t>
            </w:r>
            <w:r w:rsidRPr="00EA1968">
              <w:rPr>
                <w:rFonts w:ascii="Times New Roman" w:hAnsi="Times New Roman"/>
                <w:sz w:val="18"/>
                <w:szCs w:val="18"/>
              </w:rPr>
              <w:t xml:space="preserve"> Private School Teachers</w:t>
            </w:r>
          </w:p>
        </w:tc>
      </w:tr>
      <w:tr w:rsidR="00456FDC" w:rsidRPr="00231C89" w14:paraId="44E4A8FA" w14:textId="77777777" w:rsidTr="00B63199">
        <w:trPr>
          <w:trHeight w:val="20"/>
        </w:trPr>
        <w:tc>
          <w:tcPr>
            <w:tcW w:w="591" w:type="pct"/>
            <w:vAlign w:val="center"/>
          </w:tcPr>
          <w:p w14:paraId="2974405C" w14:textId="77777777" w:rsidR="00456FDC" w:rsidRPr="00EA1968" w:rsidRDefault="00456FDC" w:rsidP="00732AEC">
            <w:pPr>
              <w:pStyle w:val="ListParagraph"/>
              <w:tabs>
                <w:tab w:val="left" w:pos="0"/>
                <w:tab w:val="left" w:pos="540"/>
              </w:tabs>
              <w:spacing w:after="0" w:line="240" w:lineRule="auto"/>
              <w:ind w:left="0"/>
              <w:jc w:val="center"/>
              <w:rPr>
                <w:rFonts w:ascii="Times New Roman" w:hAnsi="Times New Roman"/>
                <w:sz w:val="18"/>
                <w:szCs w:val="18"/>
              </w:rPr>
            </w:pPr>
            <w:r w:rsidRPr="00EA1968">
              <w:rPr>
                <w:rFonts w:ascii="Times New Roman" w:hAnsi="Times New Roman"/>
                <w:sz w:val="18"/>
                <w:szCs w:val="18"/>
              </w:rPr>
              <w:t>5</w:t>
            </w:r>
          </w:p>
        </w:tc>
        <w:tc>
          <w:tcPr>
            <w:tcW w:w="773" w:type="pct"/>
            <w:vAlign w:val="center"/>
          </w:tcPr>
          <w:p w14:paraId="6BD5C058" w14:textId="77777777" w:rsidR="00456FDC" w:rsidRPr="00EA1968" w:rsidRDefault="00456FDC" w:rsidP="00732AEC">
            <w:pPr>
              <w:pStyle w:val="ListParagraph"/>
              <w:spacing w:after="0"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14:paraId="0240CF48"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Teacher Incentive</w:t>
            </w:r>
          </w:p>
          <w:p w14:paraId="0B5CB26F"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14:paraId="7E36056B"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sidRPr="00456FDC">
              <w:rPr>
                <w:rFonts w:ascii="Times New Roman" w:hAnsi="Times New Roman"/>
                <w:color w:val="FF0000"/>
                <w:sz w:val="18"/>
                <w:szCs w:val="18"/>
              </w:rPr>
              <w:t xml:space="preserve">1,325 </w:t>
            </w:r>
            <w:r w:rsidRPr="00EA1968">
              <w:rPr>
                <w:rFonts w:ascii="Times New Roman" w:hAnsi="Times New Roman"/>
                <w:sz w:val="18"/>
                <w:szCs w:val="18"/>
              </w:rPr>
              <w:t>Public Schools</w:t>
            </w:r>
          </w:p>
          <w:p w14:paraId="797ADA6F"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Pr>
                <w:rFonts w:ascii="Times New Roman" w:hAnsi="Times New Roman"/>
                <w:sz w:val="18"/>
                <w:szCs w:val="18"/>
              </w:rPr>
              <w:t xml:space="preserve"> 500</w:t>
            </w:r>
            <w:r w:rsidRPr="00EA1968">
              <w:rPr>
                <w:rFonts w:ascii="Times New Roman" w:hAnsi="Times New Roman"/>
                <w:sz w:val="18"/>
                <w:szCs w:val="18"/>
              </w:rPr>
              <w:t xml:space="preserve"> Private Schools</w:t>
            </w:r>
          </w:p>
        </w:tc>
        <w:tc>
          <w:tcPr>
            <w:tcW w:w="1414" w:type="pct"/>
            <w:vAlign w:val="center"/>
          </w:tcPr>
          <w:p w14:paraId="791AE010"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14:paraId="1712BCE0"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Pr>
                <w:rFonts w:ascii="Times New Roman" w:hAnsi="Times New Roman"/>
                <w:sz w:val="18"/>
                <w:szCs w:val="18"/>
              </w:rPr>
              <w:t xml:space="preserve"> 875</w:t>
            </w:r>
            <w:r w:rsidRPr="00EA1968">
              <w:rPr>
                <w:rFonts w:ascii="Times New Roman" w:hAnsi="Times New Roman"/>
                <w:sz w:val="18"/>
                <w:szCs w:val="18"/>
              </w:rPr>
              <w:t xml:space="preserve"> Private School Teachers</w:t>
            </w:r>
          </w:p>
        </w:tc>
      </w:tr>
      <w:tr w:rsidR="00456FDC" w:rsidRPr="00231C89" w14:paraId="7A74FC45" w14:textId="77777777" w:rsidTr="00B63199">
        <w:trPr>
          <w:trHeight w:val="20"/>
        </w:trPr>
        <w:tc>
          <w:tcPr>
            <w:tcW w:w="591" w:type="pct"/>
            <w:vAlign w:val="center"/>
          </w:tcPr>
          <w:p w14:paraId="1333633A" w14:textId="77777777" w:rsidR="00456FDC" w:rsidRPr="00EA1968" w:rsidRDefault="00456FDC" w:rsidP="00732AEC">
            <w:pPr>
              <w:pStyle w:val="ListParagraph"/>
              <w:tabs>
                <w:tab w:val="left" w:pos="0"/>
                <w:tab w:val="left" w:pos="540"/>
              </w:tabs>
              <w:spacing w:after="0" w:line="240" w:lineRule="auto"/>
              <w:ind w:left="0"/>
              <w:jc w:val="center"/>
              <w:rPr>
                <w:rFonts w:ascii="Times New Roman" w:hAnsi="Times New Roman"/>
                <w:sz w:val="18"/>
                <w:szCs w:val="18"/>
              </w:rPr>
            </w:pPr>
            <w:r w:rsidRPr="00EA1968">
              <w:rPr>
                <w:rFonts w:ascii="Times New Roman" w:hAnsi="Times New Roman"/>
                <w:sz w:val="18"/>
                <w:szCs w:val="18"/>
              </w:rPr>
              <w:t>6</w:t>
            </w:r>
          </w:p>
        </w:tc>
        <w:tc>
          <w:tcPr>
            <w:tcW w:w="773" w:type="pct"/>
            <w:vAlign w:val="center"/>
          </w:tcPr>
          <w:p w14:paraId="35726AD5" w14:textId="77777777" w:rsidR="00456FDC" w:rsidRPr="00EA1968" w:rsidRDefault="00456FDC" w:rsidP="00732AEC">
            <w:pPr>
              <w:pStyle w:val="ListParagraph"/>
              <w:spacing w:after="0"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14:paraId="01794127"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Teacher Incentive</w:t>
            </w:r>
          </w:p>
          <w:p w14:paraId="23C52B7E"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14:paraId="5E224EB3"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sidRPr="00456FDC">
              <w:rPr>
                <w:rFonts w:ascii="Times New Roman" w:hAnsi="Times New Roman"/>
                <w:color w:val="FF0000"/>
                <w:sz w:val="18"/>
                <w:szCs w:val="18"/>
              </w:rPr>
              <w:t>1,325</w:t>
            </w:r>
            <w:r w:rsidRPr="00EA1968">
              <w:rPr>
                <w:rFonts w:ascii="Times New Roman" w:hAnsi="Times New Roman"/>
                <w:sz w:val="18"/>
                <w:szCs w:val="18"/>
              </w:rPr>
              <w:t xml:space="preserve"> Public Schools</w:t>
            </w:r>
          </w:p>
          <w:p w14:paraId="65320AC5"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Pr>
                <w:rFonts w:ascii="Times New Roman" w:hAnsi="Times New Roman"/>
                <w:sz w:val="18"/>
                <w:szCs w:val="18"/>
              </w:rPr>
              <w:t xml:space="preserve"> 500</w:t>
            </w:r>
            <w:r w:rsidRPr="00EA1968">
              <w:rPr>
                <w:rFonts w:ascii="Times New Roman" w:hAnsi="Times New Roman"/>
                <w:sz w:val="18"/>
                <w:szCs w:val="18"/>
              </w:rPr>
              <w:t xml:space="preserve"> Private Schools</w:t>
            </w:r>
          </w:p>
        </w:tc>
        <w:tc>
          <w:tcPr>
            <w:tcW w:w="1414" w:type="pct"/>
            <w:vAlign w:val="center"/>
          </w:tcPr>
          <w:p w14:paraId="4BD412B7"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14:paraId="21DEC695"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Pr>
                <w:rFonts w:ascii="Times New Roman" w:hAnsi="Times New Roman"/>
                <w:sz w:val="18"/>
                <w:szCs w:val="18"/>
              </w:rPr>
              <w:t xml:space="preserve"> 875</w:t>
            </w:r>
            <w:r w:rsidRPr="00EA1968">
              <w:rPr>
                <w:rFonts w:ascii="Times New Roman" w:hAnsi="Times New Roman"/>
                <w:sz w:val="18"/>
                <w:szCs w:val="18"/>
              </w:rPr>
              <w:t xml:space="preserve"> Private School Teachers</w:t>
            </w:r>
          </w:p>
        </w:tc>
      </w:tr>
      <w:tr w:rsidR="00456FDC" w:rsidRPr="00231C89" w14:paraId="3FD9374D" w14:textId="77777777" w:rsidTr="00B63199">
        <w:trPr>
          <w:trHeight w:val="20"/>
        </w:trPr>
        <w:tc>
          <w:tcPr>
            <w:tcW w:w="591" w:type="pct"/>
            <w:vAlign w:val="center"/>
          </w:tcPr>
          <w:p w14:paraId="74FEE178" w14:textId="77777777" w:rsidR="00456FDC" w:rsidRPr="00EA1968" w:rsidRDefault="00456FDC" w:rsidP="00732AEC">
            <w:pPr>
              <w:pStyle w:val="ListParagraph"/>
              <w:tabs>
                <w:tab w:val="left" w:pos="0"/>
                <w:tab w:val="left" w:pos="540"/>
              </w:tabs>
              <w:spacing w:after="0" w:line="240" w:lineRule="auto"/>
              <w:ind w:left="0"/>
              <w:jc w:val="center"/>
              <w:rPr>
                <w:rFonts w:ascii="Times New Roman" w:hAnsi="Times New Roman"/>
                <w:sz w:val="18"/>
                <w:szCs w:val="18"/>
              </w:rPr>
            </w:pPr>
            <w:r w:rsidRPr="00EA1968">
              <w:rPr>
                <w:rFonts w:ascii="Times New Roman" w:hAnsi="Times New Roman"/>
                <w:sz w:val="18"/>
                <w:szCs w:val="18"/>
              </w:rPr>
              <w:t>7</w:t>
            </w:r>
          </w:p>
        </w:tc>
        <w:tc>
          <w:tcPr>
            <w:tcW w:w="773" w:type="pct"/>
            <w:vAlign w:val="center"/>
          </w:tcPr>
          <w:p w14:paraId="711CA2EA" w14:textId="77777777" w:rsidR="00456FDC" w:rsidRPr="00EA1968" w:rsidRDefault="00456FDC" w:rsidP="00732AEC">
            <w:pPr>
              <w:pStyle w:val="ListParagraph"/>
              <w:spacing w:after="0"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14:paraId="72A2E19E"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No Teacher Incentive</w:t>
            </w:r>
          </w:p>
          <w:p w14:paraId="6DB658EA"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14:paraId="077E0637"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sidRPr="00456FDC">
              <w:rPr>
                <w:rFonts w:ascii="Times New Roman" w:hAnsi="Times New Roman"/>
                <w:color w:val="FF0000"/>
                <w:sz w:val="18"/>
                <w:szCs w:val="18"/>
              </w:rPr>
              <w:t>1,325</w:t>
            </w:r>
            <w:r w:rsidRPr="00EA1968">
              <w:rPr>
                <w:rFonts w:ascii="Times New Roman" w:hAnsi="Times New Roman"/>
                <w:sz w:val="18"/>
                <w:szCs w:val="18"/>
              </w:rPr>
              <w:t xml:space="preserve"> Public Schools</w:t>
            </w:r>
          </w:p>
          <w:p w14:paraId="08C1338A"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Pr>
                <w:rFonts w:ascii="Times New Roman" w:hAnsi="Times New Roman"/>
                <w:sz w:val="18"/>
                <w:szCs w:val="18"/>
              </w:rPr>
              <w:t xml:space="preserve"> 500</w:t>
            </w:r>
            <w:r w:rsidRPr="00EA1968">
              <w:rPr>
                <w:rFonts w:ascii="Times New Roman" w:hAnsi="Times New Roman"/>
                <w:sz w:val="18"/>
                <w:szCs w:val="18"/>
              </w:rPr>
              <w:t xml:space="preserve"> Private Schools</w:t>
            </w:r>
          </w:p>
        </w:tc>
        <w:tc>
          <w:tcPr>
            <w:tcW w:w="1414" w:type="pct"/>
            <w:vAlign w:val="center"/>
          </w:tcPr>
          <w:p w14:paraId="76E2FA83"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14:paraId="7CB17B6E"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Pr>
                <w:rFonts w:ascii="Times New Roman" w:hAnsi="Times New Roman"/>
                <w:sz w:val="18"/>
                <w:szCs w:val="18"/>
              </w:rPr>
              <w:t xml:space="preserve"> 875</w:t>
            </w:r>
            <w:r w:rsidRPr="00EA1968">
              <w:rPr>
                <w:rFonts w:ascii="Times New Roman" w:hAnsi="Times New Roman"/>
                <w:sz w:val="18"/>
                <w:szCs w:val="18"/>
              </w:rPr>
              <w:t xml:space="preserve"> Private School Teachers</w:t>
            </w:r>
          </w:p>
        </w:tc>
      </w:tr>
      <w:tr w:rsidR="00456FDC" w:rsidRPr="00231C89" w14:paraId="2A8E82DF" w14:textId="77777777" w:rsidTr="00B63199">
        <w:trPr>
          <w:trHeight w:val="20"/>
        </w:trPr>
        <w:tc>
          <w:tcPr>
            <w:tcW w:w="591" w:type="pct"/>
            <w:vAlign w:val="center"/>
          </w:tcPr>
          <w:p w14:paraId="0B2B670F" w14:textId="77777777" w:rsidR="00456FDC" w:rsidRPr="00EA1968" w:rsidRDefault="00456FDC" w:rsidP="00732AEC">
            <w:pPr>
              <w:pStyle w:val="ListParagraph"/>
              <w:tabs>
                <w:tab w:val="left" w:pos="0"/>
                <w:tab w:val="left" w:pos="540"/>
              </w:tabs>
              <w:spacing w:after="0" w:line="240" w:lineRule="auto"/>
              <w:ind w:left="0"/>
              <w:jc w:val="center"/>
              <w:rPr>
                <w:rFonts w:ascii="Times New Roman" w:hAnsi="Times New Roman"/>
                <w:sz w:val="18"/>
                <w:szCs w:val="18"/>
              </w:rPr>
            </w:pPr>
            <w:r w:rsidRPr="00EA1968">
              <w:rPr>
                <w:rFonts w:ascii="Times New Roman" w:hAnsi="Times New Roman"/>
                <w:sz w:val="18"/>
                <w:szCs w:val="18"/>
              </w:rPr>
              <w:t>8</w:t>
            </w:r>
          </w:p>
        </w:tc>
        <w:tc>
          <w:tcPr>
            <w:tcW w:w="773" w:type="pct"/>
            <w:vAlign w:val="center"/>
          </w:tcPr>
          <w:p w14:paraId="1B1D5503" w14:textId="77777777" w:rsidR="00456FDC" w:rsidRPr="00EA1968" w:rsidRDefault="00456FDC" w:rsidP="00732AEC">
            <w:pPr>
              <w:pStyle w:val="ListParagraph"/>
              <w:spacing w:after="0"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14:paraId="4F530E29"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No Teacher Incentive</w:t>
            </w:r>
          </w:p>
          <w:p w14:paraId="40530BF8" w14:textId="77777777" w:rsidR="00456FDC" w:rsidRPr="00EA1968" w:rsidRDefault="00456FDC" w:rsidP="00732AEC">
            <w:pPr>
              <w:pStyle w:val="ListParagraph"/>
              <w:spacing w:after="0"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14:paraId="4CFEF119"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sidRPr="00456FDC">
              <w:rPr>
                <w:rFonts w:ascii="Times New Roman" w:hAnsi="Times New Roman"/>
                <w:color w:val="FF0000"/>
                <w:sz w:val="18"/>
                <w:szCs w:val="18"/>
              </w:rPr>
              <w:t xml:space="preserve">1,325 </w:t>
            </w:r>
            <w:r w:rsidRPr="00EA1968">
              <w:rPr>
                <w:rFonts w:ascii="Times New Roman" w:hAnsi="Times New Roman"/>
                <w:sz w:val="18"/>
                <w:szCs w:val="18"/>
              </w:rPr>
              <w:t>Public Schools</w:t>
            </w:r>
          </w:p>
          <w:p w14:paraId="6B743B46" w14:textId="77777777" w:rsidR="00456FDC" w:rsidRPr="00EA1968" w:rsidRDefault="00456FDC" w:rsidP="00732AEC">
            <w:pPr>
              <w:pStyle w:val="ListParagraph"/>
              <w:spacing w:after="0" w:line="240" w:lineRule="auto"/>
              <w:ind w:left="23" w:right="152"/>
              <w:jc w:val="right"/>
              <w:rPr>
                <w:rFonts w:ascii="Times New Roman" w:hAnsi="Times New Roman"/>
                <w:sz w:val="18"/>
                <w:szCs w:val="18"/>
              </w:rPr>
            </w:pPr>
            <w:r>
              <w:rPr>
                <w:rFonts w:ascii="Times New Roman" w:hAnsi="Times New Roman"/>
                <w:sz w:val="18"/>
                <w:szCs w:val="18"/>
              </w:rPr>
              <w:t xml:space="preserve"> 500</w:t>
            </w:r>
            <w:r w:rsidRPr="00EA1968">
              <w:rPr>
                <w:rFonts w:ascii="Times New Roman" w:hAnsi="Times New Roman"/>
                <w:sz w:val="18"/>
                <w:szCs w:val="18"/>
              </w:rPr>
              <w:t xml:space="preserve"> Private Schools</w:t>
            </w:r>
          </w:p>
        </w:tc>
        <w:tc>
          <w:tcPr>
            <w:tcW w:w="1414" w:type="pct"/>
            <w:vAlign w:val="center"/>
          </w:tcPr>
          <w:p w14:paraId="6512DB8C"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14:paraId="1F7D7216" w14:textId="77777777" w:rsidR="00456FDC" w:rsidRPr="00EA1968" w:rsidRDefault="00456FDC" w:rsidP="00732AEC">
            <w:pPr>
              <w:pStyle w:val="ListParagraph"/>
              <w:spacing w:after="0" w:line="240" w:lineRule="auto"/>
              <w:ind w:left="-9" w:right="252"/>
              <w:jc w:val="right"/>
              <w:rPr>
                <w:rFonts w:ascii="Times New Roman" w:hAnsi="Times New Roman"/>
                <w:sz w:val="18"/>
                <w:szCs w:val="18"/>
              </w:rPr>
            </w:pPr>
            <w:r>
              <w:rPr>
                <w:rFonts w:ascii="Times New Roman" w:hAnsi="Times New Roman"/>
                <w:sz w:val="18"/>
                <w:szCs w:val="18"/>
              </w:rPr>
              <w:t xml:space="preserve"> 875</w:t>
            </w:r>
            <w:r w:rsidRPr="00EA1968">
              <w:rPr>
                <w:rFonts w:ascii="Times New Roman" w:hAnsi="Times New Roman"/>
                <w:sz w:val="18"/>
                <w:szCs w:val="18"/>
              </w:rPr>
              <w:t xml:space="preserve"> Private School Teachers</w:t>
            </w:r>
          </w:p>
        </w:tc>
      </w:tr>
    </w:tbl>
    <w:p w14:paraId="383F666D" w14:textId="77777777" w:rsidR="00456FDC" w:rsidRPr="00EA1968" w:rsidRDefault="00456FDC" w:rsidP="00B63199">
      <w:pPr>
        <w:widowControl w:val="0"/>
        <w:tabs>
          <w:tab w:val="left" w:pos="0"/>
          <w:tab w:val="left" w:pos="540"/>
          <w:tab w:val="left" w:pos="2160"/>
          <w:tab w:val="left" w:pos="5040"/>
          <w:tab w:val="left" w:pos="7200"/>
        </w:tabs>
        <w:spacing w:after="0" w:line="240" w:lineRule="auto"/>
        <w:rPr>
          <w:rFonts w:ascii="Times New Roman" w:hAnsi="Times New Roman"/>
          <w:sz w:val="18"/>
          <w:szCs w:val="18"/>
        </w:rPr>
      </w:pPr>
    </w:p>
    <w:p w14:paraId="73492D06" w14:textId="14E6DAEC" w:rsidR="00456FDC" w:rsidRPr="00B63199" w:rsidRDefault="00456FDC" w:rsidP="00B03D2B">
      <w:pPr>
        <w:pStyle w:val="ListParagraph"/>
        <w:widowControl w:val="0"/>
        <w:tabs>
          <w:tab w:val="left" w:pos="360"/>
          <w:tab w:val="left" w:pos="540"/>
          <w:tab w:val="left" w:pos="2160"/>
          <w:tab w:val="left" w:pos="5040"/>
          <w:tab w:val="left" w:pos="7200"/>
        </w:tabs>
        <w:spacing w:after="120" w:line="240" w:lineRule="auto"/>
        <w:ind w:left="446"/>
        <w:rPr>
          <w:rFonts w:ascii="Times New Roman" w:hAnsi="Times New Roman"/>
        </w:rPr>
      </w:pPr>
      <w:r w:rsidRPr="00D321F9">
        <w:rPr>
          <w:rFonts w:ascii="Times New Roman" w:hAnsi="Times New Roman"/>
          <w:szCs w:val="24"/>
        </w:rPr>
        <w:t xml:space="preserve">The schools will be </w:t>
      </w:r>
      <w:r>
        <w:rPr>
          <w:rFonts w:ascii="Times New Roman" w:hAnsi="Times New Roman"/>
          <w:szCs w:val="24"/>
        </w:rPr>
        <w:t>assigned</w:t>
      </w:r>
      <w:r w:rsidRPr="00D321F9">
        <w:rPr>
          <w:rFonts w:ascii="Times New Roman" w:hAnsi="Times New Roman"/>
          <w:szCs w:val="24"/>
        </w:rPr>
        <w:t xml:space="preserve"> into </w:t>
      </w:r>
      <w:r>
        <w:rPr>
          <w:rFonts w:ascii="Times New Roman" w:hAnsi="Times New Roman"/>
          <w:szCs w:val="24"/>
        </w:rPr>
        <w:t>one of eight</w:t>
      </w:r>
      <w:r w:rsidRPr="00D321F9">
        <w:rPr>
          <w:rFonts w:ascii="Times New Roman" w:hAnsi="Times New Roman"/>
          <w:szCs w:val="24"/>
        </w:rPr>
        <w:t xml:space="preserve"> experimental groups prior to the beginning of data collection.</w:t>
      </w:r>
      <w:r>
        <w:rPr>
          <w:rFonts w:ascii="Times New Roman" w:hAnsi="Times New Roman"/>
          <w:szCs w:val="24"/>
        </w:rPr>
        <w:t xml:space="preserve"> As such,</w:t>
      </w:r>
      <w:r w:rsidRPr="00D321F9">
        <w:rPr>
          <w:rFonts w:ascii="Times New Roman" w:hAnsi="Times New Roman"/>
          <w:szCs w:val="24"/>
        </w:rPr>
        <w:t xml:space="preserve"> the random assignment should result in similar TLF response rates across all groups</w:t>
      </w:r>
      <w:r>
        <w:rPr>
          <w:rFonts w:ascii="Times New Roman" w:hAnsi="Times New Roman"/>
          <w:szCs w:val="24"/>
        </w:rPr>
        <w:t xml:space="preserve"> by the beginning of </w:t>
      </w:r>
      <w:r w:rsidRPr="00B63199">
        <w:rPr>
          <w:rFonts w:ascii="Times New Roman" w:hAnsi="Times New Roman"/>
        </w:rPr>
        <w:t xml:space="preserve">Phase Two of the experiment. Approximately </w:t>
      </w:r>
      <w:r w:rsidR="00B63199" w:rsidRPr="00B63199">
        <w:rPr>
          <w:rFonts w:ascii="Times New Roman" w:hAnsi="Times New Roman"/>
          <w:strike/>
          <w:color w:val="FF0000"/>
        </w:rPr>
        <w:t>10,385</w:t>
      </w:r>
      <w:r w:rsidR="00B63199" w:rsidRPr="00B63199">
        <w:rPr>
          <w:rFonts w:ascii="Times New Roman" w:hAnsi="Times New Roman"/>
        </w:rPr>
        <w:t xml:space="preserve"> </w:t>
      </w:r>
      <w:r w:rsidRPr="00B63199">
        <w:rPr>
          <w:rFonts w:ascii="Times New Roman" w:eastAsiaTheme="minorHAnsi" w:hAnsi="Times New Roman" w:cstheme="minorBidi"/>
          <w:color w:val="FF0000"/>
        </w:rPr>
        <w:t>10,600</w:t>
      </w:r>
      <w:r w:rsidRPr="00B63199">
        <w:rPr>
          <w:rFonts w:ascii="Times New Roman" w:hAnsi="Times New Roman"/>
        </w:rPr>
        <w:t xml:space="preserve"> public schools and 4,000 private schools will be sampled for NTPS 2017-18. Because Phase One of the incentive experiment is independent of Phase Two of the data collection period, the random assignment of schools into the eight groups should result in similar TLF response rates across all groups at the start of Phase Two. Before the start of data collection, each experimental group will be assigned </w:t>
      </w:r>
      <w:r w:rsidR="00B63199" w:rsidRPr="00B63199">
        <w:rPr>
          <w:rFonts w:ascii="Times New Roman" w:hAnsi="Times New Roman"/>
          <w:strike/>
          <w:color w:val="FF0000"/>
        </w:rPr>
        <w:t>1,298</w:t>
      </w:r>
      <w:r w:rsidR="00B63199">
        <w:rPr>
          <w:rFonts w:ascii="Times New Roman" w:hAnsi="Times New Roman"/>
        </w:rPr>
        <w:t xml:space="preserve"> </w:t>
      </w:r>
      <w:r w:rsidRPr="00B63199">
        <w:rPr>
          <w:rFonts w:ascii="Times New Roman" w:eastAsiaTheme="minorHAnsi" w:hAnsi="Times New Roman" w:cstheme="minorBidi"/>
          <w:color w:val="FF0000"/>
        </w:rPr>
        <w:t>1,325</w:t>
      </w:r>
      <w:r w:rsidRPr="00B63199">
        <w:rPr>
          <w:rFonts w:ascii="Times New Roman" w:hAnsi="Times New Roman"/>
        </w:rPr>
        <w:t xml:space="preserve"> public schools and 500 private schools. Therefore, </w:t>
      </w:r>
      <w:r w:rsidR="00B63199">
        <w:rPr>
          <w:rFonts w:ascii="Times New Roman" w:hAnsi="Times New Roman"/>
        </w:rPr>
        <w:t xml:space="preserve">approximately </w:t>
      </w:r>
      <w:r w:rsidR="00B63199" w:rsidRPr="00B63199">
        <w:rPr>
          <w:rFonts w:ascii="Times New Roman" w:hAnsi="Times New Roman"/>
          <w:strike/>
          <w:color w:val="FF0000"/>
        </w:rPr>
        <w:t>5,192</w:t>
      </w:r>
      <w:r w:rsidRPr="00B63199">
        <w:rPr>
          <w:rFonts w:ascii="Times New Roman" w:hAnsi="Times New Roman"/>
        </w:rPr>
        <w:t xml:space="preserve"> </w:t>
      </w:r>
      <w:r w:rsidRPr="00B63199">
        <w:rPr>
          <w:rFonts w:ascii="Times New Roman" w:eastAsiaTheme="minorHAnsi" w:hAnsi="Times New Roman" w:cstheme="minorBidi"/>
          <w:color w:val="FF0000"/>
        </w:rPr>
        <w:t>5,300</w:t>
      </w:r>
      <w:r w:rsidRPr="00B63199">
        <w:rPr>
          <w:rFonts w:ascii="Times New Roman" w:hAnsi="Times New Roman"/>
        </w:rPr>
        <w:t xml:space="preserve"> public schools and 2,000 private schools will be assigned to the treatment groups that send teacher incentives during Phase One of the experiment.</w:t>
      </w:r>
    </w:p>
    <w:p w14:paraId="2C5E0508" w14:textId="2B1B1C39" w:rsidR="00CB2DE4" w:rsidRDefault="00CB2DE4" w:rsidP="00A5115E">
      <w:pPr>
        <w:pStyle w:val="L1-FlLSp12"/>
        <w:spacing w:line="240" w:lineRule="auto"/>
        <w:rPr>
          <w:rFonts w:ascii="Times New Roman" w:hAnsi="Times New Roman"/>
          <w:color w:val="000000" w:themeColor="text1"/>
          <w:sz w:val="16"/>
          <w:szCs w:val="16"/>
        </w:rPr>
      </w:pPr>
    </w:p>
    <w:p w14:paraId="01CC7BE4" w14:textId="1D14C6A2" w:rsidR="00B03D2B" w:rsidRDefault="00B03D2B" w:rsidP="00FF247E">
      <w:pPr>
        <w:pStyle w:val="ListParagraph"/>
        <w:spacing w:after="120"/>
        <w:ind w:left="450"/>
        <w:rPr>
          <w:rFonts w:ascii="Times New Roman" w:hAnsi="Times New Roman"/>
          <w:sz w:val="24"/>
          <w:szCs w:val="24"/>
        </w:rPr>
      </w:pPr>
      <w:r>
        <w:rPr>
          <w:rFonts w:ascii="Times New Roman" w:hAnsi="Times New Roman"/>
          <w:sz w:val="24"/>
          <w:szCs w:val="24"/>
        </w:rPr>
        <w:t>In Section B.4.2, in subsection “</w:t>
      </w:r>
      <w:r w:rsidRPr="00B03D2B">
        <w:rPr>
          <w:rFonts w:ascii="Times New Roman" w:hAnsi="Times New Roman"/>
          <w:sz w:val="24"/>
          <w:szCs w:val="24"/>
        </w:rPr>
        <w:t>Contingency Plan</w:t>
      </w:r>
      <w:r>
        <w:rPr>
          <w:rFonts w:ascii="Times New Roman" w:hAnsi="Times New Roman"/>
          <w:sz w:val="24"/>
          <w:szCs w:val="24"/>
        </w:rPr>
        <w:t>” (p.22</w:t>
      </w:r>
      <w:r w:rsidR="00011E6F">
        <w:rPr>
          <w:rFonts w:ascii="Times New Roman" w:hAnsi="Times New Roman"/>
          <w:sz w:val="24"/>
          <w:szCs w:val="24"/>
        </w:rPr>
        <w:t>-23</w:t>
      </w:r>
      <w:r>
        <w:rPr>
          <w:rFonts w:ascii="Times New Roman" w:hAnsi="Times New Roman"/>
          <w:sz w:val="24"/>
          <w:szCs w:val="24"/>
        </w:rPr>
        <w:t>) text was revised as follows:</w:t>
      </w:r>
    </w:p>
    <w:p w14:paraId="4EF3437E" w14:textId="74E42853" w:rsidR="00FF247E" w:rsidRPr="00824C9E" w:rsidRDefault="00FF247E" w:rsidP="00B03D2B">
      <w:pPr>
        <w:pStyle w:val="ListParagraph"/>
        <w:widowControl w:val="0"/>
        <w:spacing w:after="120" w:line="240" w:lineRule="auto"/>
        <w:ind w:left="446"/>
        <w:rPr>
          <w:rFonts w:ascii="Times New Roman" w:hAnsi="Times New Roman"/>
          <w:color w:val="000000" w:themeColor="text1"/>
        </w:rPr>
      </w:pPr>
      <w:r w:rsidRPr="00824C9E">
        <w:rPr>
          <w:rFonts w:ascii="Times New Roman" w:hAnsi="Times New Roman"/>
        </w:rPr>
        <w:t xml:space="preserve">NCES </w:t>
      </w:r>
      <w:r w:rsidRPr="00FF247E">
        <w:rPr>
          <w:rFonts w:ascii="Times New Roman" w:hAnsi="Times New Roman"/>
          <w:strike/>
          <w:color w:val="FF0000"/>
        </w:rPr>
        <w:t>will</w:t>
      </w:r>
      <w:r w:rsidRPr="00824C9E">
        <w:rPr>
          <w:rFonts w:ascii="Times New Roman" w:hAnsi="Times New Roman"/>
        </w:rPr>
        <w:t xml:space="preserve"> monitor</w:t>
      </w:r>
      <w:r w:rsidR="00640C8A">
        <w:rPr>
          <w:rFonts w:ascii="Times New Roman" w:hAnsi="Times New Roman"/>
          <w:color w:val="FF0000"/>
        </w:rPr>
        <w:t>ed</w:t>
      </w:r>
      <w:r w:rsidRPr="00824C9E">
        <w:rPr>
          <w:rFonts w:ascii="Times New Roman" w:hAnsi="Times New Roman"/>
        </w:rPr>
        <w:t xml:space="preserve"> actual and expected response in each of the </w:t>
      </w:r>
      <w:r>
        <w:rPr>
          <w:rFonts w:ascii="Times New Roman" w:hAnsi="Times New Roman"/>
        </w:rPr>
        <w:t>key domains on a weekly basis</w:t>
      </w:r>
      <w:r w:rsidR="0076067B">
        <w:rPr>
          <w:rFonts w:ascii="Times New Roman" w:hAnsi="Times New Roman"/>
        </w:rPr>
        <w:t xml:space="preserve"> </w:t>
      </w:r>
      <w:r w:rsidR="0076067B" w:rsidRPr="0076067B">
        <w:rPr>
          <w:rFonts w:ascii="Times New Roman" w:hAnsi="Times New Roman"/>
          <w:color w:val="FF0000"/>
        </w:rPr>
        <w:t>and</w:t>
      </w:r>
      <w:r w:rsidR="0076067B">
        <w:rPr>
          <w:rFonts w:ascii="Times New Roman" w:hAnsi="Times New Roman"/>
        </w:rPr>
        <w:t xml:space="preserve"> </w:t>
      </w:r>
      <w:r w:rsidR="0076067B">
        <w:rPr>
          <w:rFonts w:ascii="Times New Roman" w:hAnsi="Times New Roman"/>
          <w:color w:val="FF0000"/>
        </w:rPr>
        <w:t xml:space="preserve">identified domains that are </w:t>
      </w:r>
      <w:r w:rsidRPr="00640C8A">
        <w:rPr>
          <w:rFonts w:ascii="Times New Roman" w:hAnsi="Times New Roman"/>
          <w:strike/>
          <w:color w:val="FF0000"/>
        </w:rPr>
        <w:t>If a</w:t>
      </w:r>
      <w:r w:rsidRPr="00824C9E">
        <w:rPr>
          <w:rFonts w:ascii="Times New Roman" w:hAnsi="Times New Roman"/>
        </w:rPr>
        <w:t xml:space="preserve"> </w:t>
      </w:r>
      <w:r w:rsidRPr="00640C8A">
        <w:rPr>
          <w:rFonts w:ascii="Times New Roman" w:hAnsi="Times New Roman"/>
          <w:strike/>
          <w:color w:val="FF0000"/>
        </w:rPr>
        <w:t>domain is determined to be</w:t>
      </w:r>
      <w:r w:rsidR="00011E6F">
        <w:rPr>
          <w:rFonts w:ascii="Times New Roman" w:hAnsi="Times New Roman"/>
          <w:strike/>
          <w:color w:val="FF0000"/>
        </w:rPr>
        <w:t xml:space="preserve"> </w:t>
      </w:r>
      <w:r>
        <w:rPr>
          <w:rFonts w:ascii="Times New Roman" w:hAnsi="Times New Roman"/>
        </w:rPr>
        <w:t>‘at-</w:t>
      </w:r>
      <w:r w:rsidRPr="00824C9E">
        <w:rPr>
          <w:rFonts w:ascii="Times New Roman" w:hAnsi="Times New Roman"/>
        </w:rPr>
        <w:t>risk</w:t>
      </w:r>
      <w:r>
        <w:rPr>
          <w:rFonts w:ascii="Times New Roman" w:hAnsi="Times New Roman"/>
        </w:rPr>
        <w:t>’</w:t>
      </w:r>
      <w:r w:rsidRPr="00824C9E">
        <w:rPr>
          <w:rFonts w:ascii="Times New Roman" w:hAnsi="Times New Roman"/>
        </w:rPr>
        <w:t xml:space="preserve"> </w:t>
      </w:r>
      <w:r>
        <w:rPr>
          <w:rFonts w:ascii="Times New Roman" w:hAnsi="Times New Roman"/>
        </w:rPr>
        <w:t xml:space="preserve">(at risk for meeting NCES publishability standards) </w:t>
      </w:r>
      <w:r w:rsidRPr="00640C8A">
        <w:rPr>
          <w:rFonts w:ascii="Times New Roman" w:hAnsi="Times New Roman"/>
          <w:strike/>
          <w:color w:val="FF0000"/>
        </w:rPr>
        <w:t>by</w:t>
      </w:r>
      <w:r w:rsidR="0076067B">
        <w:rPr>
          <w:rFonts w:ascii="Times New Roman" w:hAnsi="Times New Roman"/>
          <w:strike/>
          <w:color w:val="FF0000"/>
        </w:rPr>
        <w:t xml:space="preserve"> </w:t>
      </w:r>
      <w:r w:rsidR="0076067B">
        <w:rPr>
          <w:rFonts w:ascii="Times New Roman" w:hAnsi="Times New Roman"/>
          <w:color w:val="FF0000"/>
        </w:rPr>
        <w:t>as</w:t>
      </w:r>
      <w:r w:rsidR="0076067B" w:rsidRPr="0076067B">
        <w:rPr>
          <w:rFonts w:ascii="Times New Roman" w:hAnsi="Times New Roman"/>
          <w:color w:val="FF0000"/>
        </w:rPr>
        <w:t xml:space="preserve"> of</w:t>
      </w:r>
      <w:r w:rsidRPr="00824C9E">
        <w:rPr>
          <w:rFonts w:ascii="Times New Roman" w:hAnsi="Times New Roman"/>
          <w:color w:val="000000" w:themeColor="text1"/>
        </w:rPr>
        <w:t xml:space="preserve"> </w:t>
      </w:r>
      <w:r>
        <w:rPr>
          <w:rFonts w:ascii="Times New Roman" w:hAnsi="Times New Roman"/>
          <w:color w:val="000000" w:themeColor="text1"/>
        </w:rPr>
        <w:t xml:space="preserve">February 12, </w:t>
      </w:r>
      <w:r w:rsidRPr="00824C9E">
        <w:rPr>
          <w:rFonts w:ascii="Times New Roman" w:hAnsi="Times New Roman"/>
          <w:color w:val="000000" w:themeColor="text1"/>
        </w:rPr>
        <w:t>2018</w:t>
      </w:r>
      <w:r w:rsidRPr="00B03D2B">
        <w:rPr>
          <w:rFonts w:ascii="Times New Roman" w:hAnsi="Times New Roman"/>
          <w:strike/>
          <w:color w:val="FF0000"/>
        </w:rPr>
        <w:t>, NCES will activate the contingency plan</w:t>
      </w:r>
      <w:r w:rsidRPr="00824C9E">
        <w:rPr>
          <w:rFonts w:ascii="Times New Roman" w:hAnsi="Times New Roman"/>
        </w:rPr>
        <w:t>.</w:t>
      </w:r>
      <w:r>
        <w:rPr>
          <w:rFonts w:ascii="Times New Roman" w:hAnsi="Times New Roman"/>
        </w:rPr>
        <w:t xml:space="preserve"> </w:t>
      </w:r>
      <w:r w:rsidRPr="00824C9E">
        <w:rPr>
          <w:rFonts w:ascii="Times New Roman" w:hAnsi="Times New Roman"/>
        </w:rPr>
        <w:t>Since this is the first year utilizing a contingency incentive</w:t>
      </w:r>
      <w:r>
        <w:rPr>
          <w:rFonts w:ascii="Times New Roman" w:hAnsi="Times New Roman"/>
        </w:rPr>
        <w:t>,</w:t>
      </w:r>
      <w:r w:rsidRPr="00824C9E">
        <w:rPr>
          <w:rFonts w:ascii="Times New Roman" w:hAnsi="Times New Roman"/>
        </w:rPr>
        <w:t xml:space="preserve"> </w:t>
      </w:r>
      <w:r w:rsidRPr="0076067B">
        <w:rPr>
          <w:rFonts w:ascii="Times New Roman" w:hAnsi="Times New Roman"/>
          <w:color w:val="FF0000"/>
        </w:rPr>
        <w:t xml:space="preserve">it </w:t>
      </w:r>
      <w:r w:rsidR="0076067B" w:rsidRPr="0076067B">
        <w:rPr>
          <w:rFonts w:ascii="Times New Roman" w:hAnsi="Times New Roman"/>
          <w:color w:val="FF0000"/>
        </w:rPr>
        <w:t>is being implemented</w:t>
      </w:r>
      <w:r w:rsidR="0076067B">
        <w:rPr>
          <w:rFonts w:ascii="Times New Roman" w:hAnsi="Times New Roman"/>
        </w:rPr>
        <w:t xml:space="preserve"> </w:t>
      </w:r>
      <w:r w:rsidRPr="00640C8A">
        <w:rPr>
          <w:rFonts w:ascii="Times New Roman" w:hAnsi="Times New Roman"/>
          <w:strike/>
          <w:color w:val="FF0000"/>
        </w:rPr>
        <w:t>will be</w:t>
      </w:r>
      <w:r w:rsidRPr="00824C9E">
        <w:rPr>
          <w:rFonts w:ascii="Times New Roman" w:hAnsi="Times New Roman"/>
        </w:rPr>
        <w:t xml:space="preserve"> </w:t>
      </w:r>
      <w:r w:rsidRPr="00640C8A">
        <w:rPr>
          <w:rFonts w:ascii="Times New Roman" w:hAnsi="Times New Roman"/>
          <w:strike/>
          <w:color w:val="FF0000"/>
        </w:rPr>
        <w:t>done</w:t>
      </w:r>
      <w:r w:rsidRPr="00824C9E">
        <w:rPr>
          <w:rFonts w:ascii="Times New Roman" w:hAnsi="Times New Roman"/>
        </w:rPr>
        <w:t xml:space="preserve"> as an experiment with a control group that does not </w:t>
      </w:r>
      <w:r w:rsidRPr="00824C9E">
        <w:rPr>
          <w:rFonts w:ascii="Times New Roman" w:hAnsi="Times New Roman"/>
        </w:rPr>
        <w:lastRenderedPageBreak/>
        <w:t>receive the incentive.</w:t>
      </w:r>
      <w:r w:rsidRPr="00B03D2B">
        <w:rPr>
          <w:rFonts w:ascii="Times New Roman" w:hAnsi="Times New Roman"/>
        </w:rPr>
        <w:t xml:space="preserve"> </w:t>
      </w:r>
      <w:r w:rsidR="00B03D2B" w:rsidRPr="00B03D2B">
        <w:rPr>
          <w:rFonts w:ascii="Times New Roman" w:hAnsi="Times New Roman"/>
        </w:rPr>
        <w:t>(…)</w:t>
      </w:r>
    </w:p>
    <w:p w14:paraId="54976464" w14:textId="3A0BDB4E" w:rsidR="00FF247E" w:rsidRPr="0089511B" w:rsidRDefault="00FF247E" w:rsidP="0089511B">
      <w:pPr>
        <w:pStyle w:val="ListParagraph"/>
        <w:widowControl w:val="0"/>
        <w:spacing w:after="0" w:line="240" w:lineRule="auto"/>
        <w:ind w:left="446"/>
        <w:rPr>
          <w:rFonts w:ascii="Times New Roman" w:hAnsi="Times New Roman"/>
          <w:strike/>
          <w:color w:val="FF0000"/>
        </w:rPr>
      </w:pPr>
      <w:r w:rsidRPr="00824C9E">
        <w:rPr>
          <w:rFonts w:ascii="Times New Roman" w:hAnsi="Times New Roman"/>
          <w:color w:val="000000" w:themeColor="text1"/>
        </w:rPr>
        <w:t xml:space="preserve">The earliest the contingency plan may go into effect will be </w:t>
      </w:r>
      <w:r w:rsidRPr="00011E6F">
        <w:rPr>
          <w:rFonts w:ascii="Times New Roman" w:hAnsi="Times New Roman"/>
          <w:strike/>
          <w:color w:val="FF0000"/>
        </w:rPr>
        <w:t>at</w:t>
      </w:r>
      <w:r w:rsidRPr="00824C9E">
        <w:rPr>
          <w:rFonts w:ascii="Times New Roman" w:hAnsi="Times New Roman"/>
          <w:color w:val="000000" w:themeColor="text1"/>
        </w:rPr>
        <w:t xml:space="preserve"> </w:t>
      </w:r>
      <w:r w:rsidR="00011E6F" w:rsidRPr="00011E6F">
        <w:rPr>
          <w:rFonts w:ascii="Times New Roman" w:hAnsi="Times New Roman"/>
          <w:color w:val="FF0000"/>
        </w:rPr>
        <w:t>during</w:t>
      </w:r>
      <w:r w:rsidR="00011E6F">
        <w:rPr>
          <w:rFonts w:ascii="Times New Roman" w:hAnsi="Times New Roman"/>
          <w:color w:val="000000" w:themeColor="text1"/>
        </w:rPr>
        <w:t xml:space="preserve"> </w:t>
      </w:r>
      <w:r w:rsidRPr="00824C9E">
        <w:rPr>
          <w:rFonts w:ascii="Times New Roman" w:hAnsi="Times New Roman"/>
          <w:color w:val="000000" w:themeColor="text1"/>
        </w:rPr>
        <w:t xml:space="preserve">wave 13 (2/26/2018). </w:t>
      </w:r>
      <w:r w:rsidRPr="00640C8A">
        <w:rPr>
          <w:rFonts w:ascii="Times New Roman" w:hAnsi="Times New Roman"/>
          <w:strike/>
          <w:color w:val="FF0000"/>
        </w:rPr>
        <w:t>We would like to meet with OMB during early in the week of 2/12/2018 to brief OMB on the status of data collection and any domains that have been identified for the contingency plans, and to agree on the next steps. Subsequent to this meeting, we would submit a change request to update the NTPS 2017-18 active record with further details of how the contingency plan will be implemented.</w:t>
      </w:r>
      <w:r w:rsidR="00011E6F">
        <w:rPr>
          <w:rFonts w:ascii="Times New Roman" w:hAnsi="Times New Roman"/>
          <w:strike/>
          <w:color w:val="FF0000"/>
        </w:rPr>
        <w:t xml:space="preserve"> </w:t>
      </w:r>
      <w:r w:rsidR="00011E6F" w:rsidRPr="00011E6F">
        <w:rPr>
          <w:rFonts w:ascii="Times New Roman" w:hAnsi="Times New Roman"/>
          <w:color w:val="FF0000"/>
        </w:rPr>
        <w:t>The NTPS 2017-18 Contingency Plan and Email Change Request Memo (OMB# 1850-0598 v.22) provides the final details about the contingency plan</w:t>
      </w:r>
      <w:r w:rsidR="00011E6F">
        <w:rPr>
          <w:rFonts w:ascii="Times New Roman" w:hAnsi="Times New Roman"/>
          <w:color w:val="FF0000"/>
        </w:rPr>
        <w:t>.</w:t>
      </w:r>
    </w:p>
    <w:p w14:paraId="3A13B57E" w14:textId="77777777" w:rsidR="00FF247E" w:rsidRPr="00A3792C" w:rsidRDefault="00FF247E" w:rsidP="00A5115E">
      <w:pPr>
        <w:pStyle w:val="L1-FlLSp12"/>
        <w:spacing w:line="240" w:lineRule="auto"/>
        <w:rPr>
          <w:rFonts w:ascii="Times New Roman" w:hAnsi="Times New Roman"/>
          <w:color w:val="000000" w:themeColor="text1"/>
          <w:sz w:val="16"/>
          <w:szCs w:val="16"/>
        </w:rPr>
      </w:pPr>
    </w:p>
    <w:p w14:paraId="0EBE34AA" w14:textId="02E37822" w:rsidR="006A55CC" w:rsidRPr="00CB2DE4" w:rsidRDefault="006A55CC" w:rsidP="006A55CC">
      <w:pPr>
        <w:spacing w:after="120" w:line="240" w:lineRule="atLeast"/>
        <w:rPr>
          <w:rFonts w:ascii="Times New Roman" w:hAnsi="Times New Roman"/>
          <w:b/>
          <w:sz w:val="24"/>
          <w:szCs w:val="24"/>
        </w:rPr>
      </w:pPr>
      <w:r w:rsidRPr="00CB2DE4">
        <w:rPr>
          <w:rFonts w:ascii="Times New Roman" w:hAnsi="Times New Roman"/>
          <w:b/>
          <w:sz w:val="24"/>
          <w:szCs w:val="24"/>
        </w:rPr>
        <w:t xml:space="preserve">Appendix </w:t>
      </w:r>
      <w:r>
        <w:rPr>
          <w:rFonts w:ascii="Times New Roman" w:hAnsi="Times New Roman"/>
          <w:b/>
          <w:sz w:val="24"/>
          <w:szCs w:val="24"/>
        </w:rPr>
        <w:t>A</w:t>
      </w:r>
      <w:r w:rsidRPr="00CB2DE4">
        <w:rPr>
          <w:rFonts w:ascii="Times New Roman" w:hAnsi="Times New Roman"/>
          <w:b/>
          <w:sz w:val="24"/>
          <w:szCs w:val="24"/>
        </w:rPr>
        <w:t xml:space="preserve"> – </w:t>
      </w:r>
      <w:r w:rsidRPr="006A55CC">
        <w:rPr>
          <w:rFonts w:ascii="Times New Roman" w:hAnsi="Times New Roman"/>
          <w:b/>
          <w:sz w:val="24"/>
          <w:szCs w:val="24"/>
        </w:rPr>
        <w:t>Communication Materials</w:t>
      </w:r>
    </w:p>
    <w:p w14:paraId="31F729D0" w14:textId="61AF9FBF" w:rsidR="006A55CC" w:rsidRPr="00EB2601" w:rsidRDefault="00A1771B" w:rsidP="00EB2601">
      <w:pPr>
        <w:spacing w:after="120" w:line="240" w:lineRule="atLeast"/>
        <w:rPr>
          <w:rFonts w:ascii="Times New Roman" w:hAnsi="Times New Roman"/>
          <w:sz w:val="24"/>
          <w:szCs w:val="24"/>
        </w:rPr>
      </w:pPr>
      <w:r w:rsidRPr="00EB2601">
        <w:rPr>
          <w:rFonts w:ascii="Times New Roman" w:hAnsi="Times New Roman"/>
          <w:sz w:val="24"/>
          <w:szCs w:val="24"/>
        </w:rPr>
        <w:t>We added</w:t>
      </w:r>
      <w:r w:rsidR="0004769B" w:rsidRPr="00EB2601">
        <w:rPr>
          <w:rFonts w:ascii="Times New Roman" w:hAnsi="Times New Roman"/>
          <w:sz w:val="24"/>
          <w:szCs w:val="24"/>
        </w:rPr>
        <w:t xml:space="preserve"> </w:t>
      </w:r>
      <w:r w:rsidR="00972BDA" w:rsidRPr="00EB2601">
        <w:rPr>
          <w:rFonts w:ascii="Times New Roman" w:hAnsi="Times New Roman"/>
          <w:color w:val="000000" w:themeColor="text1"/>
          <w:sz w:val="24"/>
          <w:szCs w:val="24"/>
        </w:rPr>
        <w:t>the “</w:t>
      </w:r>
      <w:r w:rsidR="004F4FAF" w:rsidRPr="004F4FAF">
        <w:rPr>
          <w:rFonts w:ascii="Times New Roman" w:hAnsi="Times New Roman"/>
          <w:color w:val="000000" w:themeColor="text1"/>
          <w:sz w:val="24"/>
          <w:szCs w:val="24"/>
        </w:rPr>
        <w:t>Targeted Reminder E-mail with NTPS Video</w:t>
      </w:r>
      <w:r w:rsidR="0004769B" w:rsidRPr="00EB2601">
        <w:rPr>
          <w:rFonts w:ascii="Times New Roman" w:hAnsi="Times New Roman"/>
          <w:color w:val="000000" w:themeColor="text1"/>
          <w:sz w:val="24"/>
          <w:szCs w:val="24"/>
        </w:rPr>
        <w:t>”</w:t>
      </w:r>
      <w:r w:rsidR="00972BDA" w:rsidRPr="00EB2601">
        <w:rPr>
          <w:rFonts w:ascii="Times New Roman" w:hAnsi="Times New Roman"/>
          <w:color w:val="000000" w:themeColor="text1"/>
          <w:sz w:val="24"/>
          <w:szCs w:val="24"/>
        </w:rPr>
        <w:t xml:space="preserve"> on page</w:t>
      </w:r>
      <w:r w:rsidR="004F4FAF">
        <w:rPr>
          <w:rFonts w:ascii="Times New Roman" w:hAnsi="Times New Roman"/>
          <w:color w:val="000000" w:themeColor="text1"/>
          <w:sz w:val="24"/>
          <w:szCs w:val="24"/>
        </w:rPr>
        <w:t>s</w:t>
      </w:r>
      <w:r w:rsidR="00F14C44" w:rsidRPr="00EB2601">
        <w:rPr>
          <w:rFonts w:ascii="Times New Roman" w:hAnsi="Times New Roman"/>
          <w:color w:val="000000" w:themeColor="text1"/>
          <w:sz w:val="24"/>
          <w:szCs w:val="24"/>
        </w:rPr>
        <w:t xml:space="preserve"> 81</w:t>
      </w:r>
      <w:r w:rsidR="004F4FAF">
        <w:rPr>
          <w:rFonts w:ascii="Times New Roman" w:hAnsi="Times New Roman"/>
          <w:color w:val="000000" w:themeColor="text1"/>
          <w:sz w:val="24"/>
          <w:szCs w:val="24"/>
        </w:rPr>
        <w:t>-82</w:t>
      </w:r>
      <w:r w:rsidR="0004769B" w:rsidRPr="00EB2601">
        <w:rPr>
          <w:rFonts w:ascii="Times New Roman" w:hAnsi="Times New Roman"/>
          <w:color w:val="000000" w:themeColor="text1"/>
          <w:sz w:val="24"/>
          <w:szCs w:val="24"/>
        </w:rPr>
        <w:t xml:space="preserve"> </w:t>
      </w:r>
      <w:r w:rsidR="00972BDA" w:rsidRPr="00EB2601">
        <w:rPr>
          <w:rFonts w:ascii="Times New Roman" w:hAnsi="Times New Roman"/>
          <w:color w:val="000000" w:themeColor="text1"/>
          <w:sz w:val="24"/>
          <w:szCs w:val="24"/>
        </w:rPr>
        <w:t xml:space="preserve">and information about this </w:t>
      </w:r>
      <w:r w:rsidRPr="00EB2601">
        <w:rPr>
          <w:rFonts w:ascii="Times New Roman" w:hAnsi="Times New Roman"/>
          <w:color w:val="000000" w:themeColor="text1"/>
          <w:sz w:val="24"/>
          <w:szCs w:val="24"/>
        </w:rPr>
        <w:t xml:space="preserve">email </w:t>
      </w:r>
      <w:r w:rsidR="004F4FAF">
        <w:rPr>
          <w:rFonts w:ascii="Times New Roman" w:hAnsi="Times New Roman"/>
          <w:color w:val="000000" w:themeColor="text1"/>
          <w:sz w:val="24"/>
          <w:szCs w:val="24"/>
        </w:rPr>
        <w:t xml:space="preserve">and video </w:t>
      </w:r>
      <w:r w:rsidRPr="00EB2601">
        <w:rPr>
          <w:rFonts w:ascii="Times New Roman" w:hAnsi="Times New Roman"/>
          <w:color w:val="000000" w:themeColor="text1"/>
          <w:sz w:val="24"/>
          <w:szCs w:val="24"/>
        </w:rPr>
        <w:t xml:space="preserve">to the summary table </w:t>
      </w:r>
      <w:r w:rsidR="00972BDA" w:rsidRPr="00EB2601">
        <w:rPr>
          <w:rFonts w:ascii="Times New Roman" w:hAnsi="Times New Roman"/>
          <w:color w:val="000000" w:themeColor="text1"/>
          <w:sz w:val="24"/>
          <w:szCs w:val="24"/>
        </w:rPr>
        <w:t>on page</w:t>
      </w:r>
      <w:r w:rsidR="008430B3" w:rsidRPr="00EB2601">
        <w:rPr>
          <w:rFonts w:ascii="Times New Roman" w:hAnsi="Times New Roman"/>
          <w:color w:val="000000" w:themeColor="text1"/>
          <w:sz w:val="24"/>
          <w:szCs w:val="24"/>
        </w:rPr>
        <w:t xml:space="preserve"> 2</w:t>
      </w:r>
      <w:r w:rsidR="008745A5" w:rsidRPr="00EB2601">
        <w:rPr>
          <w:rFonts w:ascii="Times New Roman" w:hAnsi="Times New Roman"/>
          <w:color w:val="000000" w:themeColor="text1"/>
          <w:sz w:val="24"/>
          <w:szCs w:val="24"/>
        </w:rPr>
        <w:t>9</w:t>
      </w:r>
      <w:r w:rsidR="00EB2601">
        <w:rPr>
          <w:rFonts w:ascii="Times New Roman" w:hAnsi="Times New Roman"/>
          <w:sz w:val="24"/>
          <w:szCs w:val="24"/>
        </w:rPr>
        <w:t>, as follows:</w:t>
      </w:r>
    </w:p>
    <w:tbl>
      <w:tblPr>
        <w:tblW w:w="10536" w:type="dxa"/>
        <w:tblLayout w:type="fixed"/>
        <w:tblCellMar>
          <w:left w:w="0" w:type="dxa"/>
          <w:right w:w="0" w:type="dxa"/>
        </w:tblCellMar>
        <w:tblLook w:val="01E0" w:firstRow="1" w:lastRow="1" w:firstColumn="1" w:lastColumn="1" w:noHBand="0" w:noVBand="0"/>
      </w:tblPr>
      <w:tblGrid>
        <w:gridCol w:w="6"/>
        <w:gridCol w:w="2160"/>
        <w:gridCol w:w="1530"/>
        <w:gridCol w:w="6828"/>
        <w:gridCol w:w="12"/>
      </w:tblGrid>
      <w:tr w:rsidR="00A1771B" w14:paraId="40F1DCB7" w14:textId="77777777" w:rsidTr="004F6DF1">
        <w:trPr>
          <w:gridBefore w:val="1"/>
          <w:wBefore w:w="6" w:type="dxa"/>
          <w:trHeight w:val="144"/>
          <w:tblHeader/>
        </w:trPr>
        <w:tc>
          <w:tcPr>
            <w:tcW w:w="2160" w:type="dxa"/>
            <w:tcBorders>
              <w:top w:val="single" w:sz="5" w:space="0" w:color="000000"/>
              <w:left w:val="single" w:sz="5" w:space="0" w:color="000000"/>
              <w:bottom w:val="single" w:sz="5" w:space="0" w:color="000000"/>
              <w:right w:val="single" w:sz="5" w:space="0" w:color="000000"/>
            </w:tcBorders>
            <w:vAlign w:val="center"/>
          </w:tcPr>
          <w:p w14:paraId="2A903195" w14:textId="77777777" w:rsidR="00A1771B" w:rsidRDefault="00A1771B" w:rsidP="00732AEC">
            <w:pPr>
              <w:pStyle w:val="TableParagraph"/>
              <w:keepNext/>
              <w:ind w:left="253"/>
              <w:rPr>
                <w:rFonts w:ascii="Calibri" w:eastAsia="Calibri" w:hAnsi="Calibri" w:cs="Calibri"/>
                <w:sz w:val="20"/>
                <w:szCs w:val="20"/>
              </w:rPr>
            </w:pPr>
            <w:r>
              <w:rPr>
                <w:rFonts w:ascii="Calibri"/>
                <w:b/>
                <w:spacing w:val="-1"/>
                <w:sz w:val="20"/>
              </w:rPr>
              <w:t>Data</w:t>
            </w:r>
            <w:r>
              <w:rPr>
                <w:rFonts w:ascii="Calibri"/>
                <w:b/>
                <w:spacing w:val="-14"/>
                <w:sz w:val="20"/>
              </w:rPr>
              <w:t xml:space="preserve"> </w:t>
            </w:r>
            <w:r>
              <w:rPr>
                <w:rFonts w:ascii="Calibri"/>
                <w:b/>
                <w:spacing w:val="-1"/>
                <w:sz w:val="20"/>
              </w:rPr>
              <w:t>Collection</w:t>
            </w:r>
            <w:r>
              <w:rPr>
                <w:rFonts w:ascii="Calibri"/>
                <w:b/>
                <w:spacing w:val="-13"/>
                <w:sz w:val="20"/>
              </w:rPr>
              <w:t xml:space="preserve"> </w:t>
            </w:r>
            <w:r>
              <w:rPr>
                <w:rFonts w:ascii="Calibri"/>
                <w:b/>
                <w:spacing w:val="-1"/>
                <w:sz w:val="20"/>
              </w:rPr>
              <w:t>Activity/Operation</w:t>
            </w:r>
          </w:p>
        </w:tc>
        <w:tc>
          <w:tcPr>
            <w:tcW w:w="1530" w:type="dxa"/>
            <w:tcBorders>
              <w:top w:val="single" w:sz="5" w:space="0" w:color="000000"/>
              <w:left w:val="single" w:sz="5" w:space="0" w:color="000000"/>
              <w:bottom w:val="single" w:sz="5" w:space="0" w:color="000000"/>
              <w:right w:val="single" w:sz="5" w:space="0" w:color="000000"/>
            </w:tcBorders>
            <w:vAlign w:val="center"/>
          </w:tcPr>
          <w:p w14:paraId="78CAFCFD" w14:textId="77777777" w:rsidR="00A1771B" w:rsidRDefault="00A1771B" w:rsidP="00732AEC">
            <w:pPr>
              <w:pStyle w:val="TableParagraph"/>
              <w:keepNext/>
              <w:ind w:left="90"/>
              <w:rPr>
                <w:rFonts w:ascii="Calibri" w:eastAsia="Calibri" w:hAnsi="Calibri" w:cs="Calibri"/>
                <w:sz w:val="20"/>
                <w:szCs w:val="20"/>
              </w:rPr>
            </w:pPr>
            <w:r>
              <w:rPr>
                <w:rFonts w:ascii="Calibri"/>
                <w:b/>
                <w:w w:val="95"/>
                <w:sz w:val="20"/>
              </w:rPr>
              <w:t>Correspondence</w:t>
            </w:r>
            <w:r>
              <w:rPr>
                <w:rFonts w:ascii="Calibri"/>
                <w:b/>
                <w:spacing w:val="22"/>
                <w:w w:val="99"/>
                <w:sz w:val="20"/>
              </w:rPr>
              <w:t xml:space="preserve"> </w:t>
            </w:r>
            <w:r>
              <w:rPr>
                <w:rFonts w:ascii="Calibri"/>
                <w:b/>
                <w:spacing w:val="-1"/>
                <w:sz w:val="20"/>
              </w:rPr>
              <w:t>Identifier(s)</w:t>
            </w:r>
          </w:p>
        </w:tc>
        <w:tc>
          <w:tcPr>
            <w:tcW w:w="6840" w:type="dxa"/>
            <w:gridSpan w:val="2"/>
            <w:tcBorders>
              <w:top w:val="single" w:sz="5" w:space="0" w:color="000000"/>
              <w:left w:val="single" w:sz="5" w:space="0" w:color="000000"/>
              <w:bottom w:val="single" w:sz="5" w:space="0" w:color="000000"/>
              <w:right w:val="single" w:sz="5" w:space="0" w:color="000000"/>
            </w:tcBorders>
            <w:vAlign w:val="center"/>
          </w:tcPr>
          <w:p w14:paraId="1E586A47" w14:textId="77777777" w:rsidR="00A1771B" w:rsidRDefault="00A1771B" w:rsidP="00732AEC">
            <w:pPr>
              <w:pStyle w:val="TableParagraph"/>
              <w:keepNext/>
              <w:ind w:right="3"/>
              <w:jc w:val="center"/>
              <w:rPr>
                <w:rFonts w:ascii="Calibri" w:eastAsia="Calibri" w:hAnsi="Calibri" w:cs="Calibri"/>
                <w:sz w:val="20"/>
                <w:szCs w:val="20"/>
              </w:rPr>
            </w:pPr>
            <w:r>
              <w:rPr>
                <w:rFonts w:ascii="Calibri"/>
                <w:b/>
                <w:spacing w:val="-1"/>
                <w:sz w:val="20"/>
              </w:rPr>
              <w:t>Description</w:t>
            </w:r>
          </w:p>
        </w:tc>
      </w:tr>
      <w:tr w:rsidR="004F4FAF" w:rsidRPr="001D0DB5" w14:paraId="338E8835" w14:textId="77777777" w:rsidTr="004F6DF1">
        <w:trPr>
          <w:gridAfter w:val="1"/>
          <w:wAfter w:w="12" w:type="dxa"/>
          <w:trHeight w:val="144"/>
        </w:trPr>
        <w:tc>
          <w:tcPr>
            <w:tcW w:w="2166" w:type="dxa"/>
            <w:gridSpan w:val="2"/>
            <w:tcBorders>
              <w:top w:val="single" w:sz="5" w:space="0" w:color="000000"/>
              <w:left w:val="single" w:sz="5" w:space="0" w:color="000000"/>
              <w:bottom w:val="single" w:sz="5" w:space="0" w:color="000000"/>
              <w:right w:val="single" w:sz="5" w:space="0" w:color="000000"/>
            </w:tcBorders>
            <w:vAlign w:val="center"/>
          </w:tcPr>
          <w:p w14:paraId="123D30B8" w14:textId="0E636E95" w:rsidR="004F4FAF" w:rsidRPr="00EB2601" w:rsidRDefault="004F4FAF" w:rsidP="004F6DF1">
            <w:pPr>
              <w:pStyle w:val="TableParagraph"/>
              <w:ind w:left="102" w:right="413"/>
              <w:rPr>
                <w:rFonts w:ascii="Calibri" w:eastAsia="Calibri" w:hAnsi="Calibri" w:cs="Calibri"/>
                <w:spacing w:val="-1"/>
                <w:sz w:val="20"/>
                <w:szCs w:val="20"/>
              </w:rPr>
            </w:pPr>
            <w:r w:rsidRPr="009D2BB5">
              <w:rPr>
                <w:rFonts w:ascii="Calibri" w:eastAsia="Calibri" w:hAnsi="Calibri" w:cs="Calibri"/>
                <w:spacing w:val="-1"/>
                <w:sz w:val="20"/>
                <w:szCs w:val="20"/>
              </w:rPr>
              <w:t>Targeted Reminder E-mail with NTPS Video</w:t>
            </w:r>
          </w:p>
        </w:tc>
        <w:tc>
          <w:tcPr>
            <w:tcW w:w="1530" w:type="dxa"/>
            <w:tcBorders>
              <w:top w:val="single" w:sz="5" w:space="0" w:color="000000"/>
              <w:left w:val="single" w:sz="5" w:space="0" w:color="000000"/>
              <w:bottom w:val="single" w:sz="5" w:space="0" w:color="000000"/>
              <w:right w:val="single" w:sz="5" w:space="0" w:color="000000"/>
            </w:tcBorders>
            <w:vAlign w:val="center"/>
          </w:tcPr>
          <w:p w14:paraId="73D80AD1" w14:textId="77777777" w:rsidR="004F4FAF" w:rsidRDefault="004F4FAF" w:rsidP="00B63199">
            <w:pPr>
              <w:pStyle w:val="TableParagraph"/>
              <w:ind w:left="102"/>
              <w:rPr>
                <w:rFonts w:ascii="Calibri"/>
                <w:spacing w:val="-1"/>
                <w:sz w:val="20"/>
              </w:rPr>
            </w:pPr>
            <w:r>
              <w:rPr>
                <w:rFonts w:ascii="Calibri"/>
                <w:spacing w:val="-1"/>
                <w:sz w:val="20"/>
              </w:rPr>
              <w:t>NTPS-23E(P1//P2//</w:t>
            </w:r>
          </w:p>
          <w:p w14:paraId="45704D3B" w14:textId="4223F2EE" w:rsidR="004F4FAF" w:rsidRPr="00EB2601" w:rsidRDefault="004F4FAF" w:rsidP="004F6DF1">
            <w:pPr>
              <w:pStyle w:val="TableParagraph"/>
              <w:ind w:left="102"/>
              <w:rPr>
                <w:rFonts w:ascii="Calibri"/>
                <w:spacing w:val="-1"/>
                <w:sz w:val="20"/>
              </w:rPr>
            </w:pPr>
            <w:r>
              <w:rPr>
                <w:rFonts w:ascii="Calibri"/>
                <w:spacing w:val="-1"/>
                <w:sz w:val="20"/>
              </w:rPr>
              <w:t>S1//S2//T1//T2)</w:t>
            </w:r>
          </w:p>
        </w:tc>
        <w:tc>
          <w:tcPr>
            <w:tcW w:w="6828" w:type="dxa"/>
            <w:tcBorders>
              <w:top w:val="single" w:sz="5" w:space="0" w:color="000000"/>
              <w:left w:val="single" w:sz="5" w:space="0" w:color="000000"/>
              <w:bottom w:val="single" w:sz="5" w:space="0" w:color="000000"/>
              <w:right w:val="single" w:sz="5" w:space="0" w:color="000000"/>
            </w:tcBorders>
            <w:vAlign w:val="center"/>
          </w:tcPr>
          <w:p w14:paraId="3486D968" w14:textId="77777777" w:rsidR="004F4FAF" w:rsidRDefault="004F4FAF" w:rsidP="00B63199">
            <w:pPr>
              <w:pStyle w:val="TableParagraph"/>
              <w:ind w:left="101" w:right="119"/>
              <w:rPr>
                <w:rFonts w:ascii="Calibri"/>
                <w:spacing w:val="-1"/>
                <w:sz w:val="20"/>
              </w:rPr>
            </w:pPr>
            <w:r>
              <w:rPr>
                <w:rFonts w:ascii="Calibri"/>
                <w:spacing w:val="-1"/>
                <w:sz w:val="20"/>
              </w:rPr>
              <w:t>Email is targeted by school level, state, and urbanicity and reminds respondent to complete their questionnaire. It includes a link to a new NTPS informational video.</w:t>
            </w:r>
          </w:p>
          <w:p w14:paraId="344F2EE4" w14:textId="77777777" w:rsidR="004F4FAF" w:rsidRDefault="004F4FAF" w:rsidP="00B63199">
            <w:pPr>
              <w:pStyle w:val="TableParagraph"/>
              <w:ind w:left="101" w:right="119"/>
              <w:rPr>
                <w:rFonts w:ascii="Calibri"/>
                <w:spacing w:val="-1"/>
                <w:sz w:val="20"/>
              </w:rPr>
            </w:pPr>
            <w:r>
              <w:rPr>
                <w:rFonts w:ascii="Calibri"/>
                <w:spacing w:val="-1"/>
                <w:sz w:val="20"/>
              </w:rPr>
              <w:t>Six versions:</w:t>
            </w:r>
          </w:p>
          <w:p w14:paraId="5CC6BEF0" w14:textId="77777777" w:rsidR="004F4FAF" w:rsidRDefault="004F4FAF" w:rsidP="00B63199">
            <w:pPr>
              <w:pStyle w:val="TableParagraph"/>
              <w:ind w:left="101" w:right="119"/>
              <w:rPr>
                <w:rFonts w:ascii="Calibri"/>
                <w:spacing w:val="-1"/>
                <w:sz w:val="20"/>
              </w:rPr>
            </w:pPr>
            <w:r>
              <w:rPr>
                <w:rFonts w:ascii="Calibri"/>
                <w:spacing w:val="-1"/>
                <w:sz w:val="20"/>
              </w:rPr>
              <w:t>NTPS-23E(P1): Sent to public school principals, includes data from the 2015-16 NTPS principal survey.</w:t>
            </w:r>
          </w:p>
          <w:p w14:paraId="4F97DC6C" w14:textId="77777777" w:rsidR="004F4FAF" w:rsidRDefault="004F4FAF" w:rsidP="00B63199">
            <w:pPr>
              <w:pStyle w:val="TableParagraph"/>
              <w:ind w:left="101" w:right="119"/>
              <w:rPr>
                <w:rFonts w:ascii="Calibri"/>
                <w:spacing w:val="-1"/>
                <w:sz w:val="20"/>
              </w:rPr>
            </w:pPr>
            <w:r>
              <w:rPr>
                <w:rFonts w:ascii="Calibri"/>
                <w:spacing w:val="-1"/>
                <w:sz w:val="20"/>
              </w:rPr>
              <w:t>NTPS-23E(P2): Sent to private school principals.</w:t>
            </w:r>
          </w:p>
          <w:p w14:paraId="0FEFEFE8" w14:textId="77777777" w:rsidR="004F4FAF" w:rsidRDefault="004F4FAF" w:rsidP="00B63199">
            <w:pPr>
              <w:pStyle w:val="TableParagraph"/>
              <w:ind w:left="101" w:right="119"/>
              <w:rPr>
                <w:rFonts w:ascii="Calibri"/>
                <w:spacing w:val="-1"/>
                <w:sz w:val="20"/>
              </w:rPr>
            </w:pPr>
            <w:r>
              <w:rPr>
                <w:rFonts w:ascii="Calibri"/>
                <w:spacing w:val="-1"/>
                <w:sz w:val="20"/>
              </w:rPr>
              <w:t>NTPS-23E(S1): Sent to public school survey coordinators or school principals. Includes data from the 2015-16 NTPS school survey.</w:t>
            </w:r>
          </w:p>
          <w:p w14:paraId="02D35480" w14:textId="77777777" w:rsidR="004F4FAF" w:rsidRDefault="004F4FAF" w:rsidP="00B63199">
            <w:pPr>
              <w:pStyle w:val="TableParagraph"/>
              <w:ind w:left="101" w:right="119"/>
              <w:rPr>
                <w:rFonts w:ascii="Calibri"/>
                <w:spacing w:val="-1"/>
                <w:sz w:val="20"/>
              </w:rPr>
            </w:pPr>
            <w:r>
              <w:rPr>
                <w:rFonts w:ascii="Calibri"/>
                <w:spacing w:val="-1"/>
                <w:sz w:val="20"/>
              </w:rPr>
              <w:t>NTPS-23E(S2): Sent to private school survey coordinators or school principals.</w:t>
            </w:r>
          </w:p>
          <w:p w14:paraId="005D7557" w14:textId="77777777" w:rsidR="004F4FAF" w:rsidRDefault="004F4FAF" w:rsidP="00B63199">
            <w:pPr>
              <w:pStyle w:val="TableParagraph"/>
              <w:ind w:left="101" w:right="119"/>
              <w:rPr>
                <w:rFonts w:ascii="Calibri"/>
                <w:spacing w:val="-1"/>
                <w:sz w:val="20"/>
              </w:rPr>
            </w:pPr>
            <w:r>
              <w:rPr>
                <w:rFonts w:ascii="Calibri"/>
                <w:spacing w:val="-1"/>
                <w:sz w:val="20"/>
              </w:rPr>
              <w:t>NTPS-23E(T1): Sent to public school principals, includes data from the 2015-16 NTPS teacher survey.</w:t>
            </w:r>
          </w:p>
          <w:p w14:paraId="4159F811" w14:textId="1C6B3EFC" w:rsidR="004F4FAF" w:rsidRPr="00EB2601" w:rsidRDefault="004F4FAF" w:rsidP="004F6DF1">
            <w:pPr>
              <w:pStyle w:val="TableParagraph"/>
              <w:ind w:left="101" w:right="119"/>
              <w:rPr>
                <w:rFonts w:ascii="Calibri"/>
                <w:spacing w:val="-1"/>
                <w:sz w:val="20"/>
              </w:rPr>
            </w:pPr>
            <w:r>
              <w:rPr>
                <w:rFonts w:ascii="Calibri"/>
                <w:spacing w:val="-1"/>
                <w:sz w:val="20"/>
              </w:rPr>
              <w:t>NTPS-23E(T2): Sent to private school teachers.</w:t>
            </w:r>
          </w:p>
        </w:tc>
      </w:tr>
    </w:tbl>
    <w:p w14:paraId="3C9DD826" w14:textId="3E72591A" w:rsidR="00441A8E" w:rsidRDefault="00441A8E" w:rsidP="002C65A1">
      <w:pPr>
        <w:pStyle w:val="ListParagraph"/>
        <w:spacing w:after="0" w:line="240" w:lineRule="auto"/>
        <w:ind w:left="360"/>
        <w:rPr>
          <w:color w:val="FF0000"/>
        </w:rPr>
      </w:pPr>
    </w:p>
    <w:p w14:paraId="73561BB1" w14:textId="77777777" w:rsidR="004F4FAF" w:rsidRPr="004F4FAF" w:rsidRDefault="004F4FAF" w:rsidP="004F4FAF">
      <w:pPr>
        <w:pStyle w:val="Heading1"/>
        <w:spacing w:before="0" w:line="240" w:lineRule="auto"/>
        <w:rPr>
          <w:sz w:val="24"/>
          <w:szCs w:val="24"/>
        </w:rPr>
      </w:pPr>
      <w:bookmarkStart w:id="4" w:name="_Toc505691365"/>
      <w:r w:rsidRPr="004F4FAF">
        <w:rPr>
          <w:sz w:val="24"/>
          <w:szCs w:val="24"/>
        </w:rPr>
        <w:t>Targeted Reminder E-mail</w:t>
      </w:r>
      <w:bookmarkEnd w:id="4"/>
      <w:r w:rsidRPr="004F4FAF">
        <w:rPr>
          <w:sz w:val="24"/>
          <w:szCs w:val="24"/>
        </w:rPr>
        <w:t xml:space="preserve"> with NTPS Video</w:t>
      </w:r>
    </w:p>
    <w:p w14:paraId="49713F40" w14:textId="77777777" w:rsidR="004F4FAF" w:rsidRPr="004F4FAF" w:rsidRDefault="004F4FAF" w:rsidP="004F4FAF">
      <w:pPr>
        <w:pStyle w:val="Heading1"/>
        <w:spacing w:before="0" w:line="240" w:lineRule="auto"/>
        <w:rPr>
          <w:rFonts w:cs="Times New Roman"/>
          <w:b w:val="0"/>
          <w:sz w:val="10"/>
          <w:szCs w:val="10"/>
        </w:rPr>
      </w:pPr>
    </w:p>
    <w:p w14:paraId="18944DF3" w14:textId="77777777" w:rsidR="004F4FAF" w:rsidRDefault="004F4FAF" w:rsidP="004F4FAF">
      <w:pPr>
        <w:spacing w:after="0" w:line="240" w:lineRule="auto"/>
        <w:rPr>
          <w:i/>
        </w:rPr>
      </w:pPr>
      <w:r>
        <w:t>NTPS-23E(</w:t>
      </w:r>
      <w:r w:rsidRPr="00FD3A1F">
        <w:rPr>
          <w:color w:val="FF0000"/>
        </w:rPr>
        <w:t>P</w:t>
      </w:r>
      <w:r>
        <w:rPr>
          <w:color w:val="FF0000"/>
        </w:rPr>
        <w:t>1//P2</w:t>
      </w:r>
      <w:r>
        <w:t>//</w:t>
      </w:r>
      <w:r w:rsidRPr="00FD3A1F">
        <w:rPr>
          <w:color w:val="FF0000"/>
        </w:rPr>
        <w:t>S</w:t>
      </w:r>
      <w:r>
        <w:rPr>
          <w:color w:val="FF0000"/>
        </w:rPr>
        <w:t>1//S2</w:t>
      </w:r>
      <w:r>
        <w:t>//</w:t>
      </w:r>
      <w:r w:rsidRPr="00FD3A1F">
        <w:rPr>
          <w:color w:val="FF0000"/>
        </w:rPr>
        <w:t>T</w:t>
      </w:r>
      <w:r>
        <w:rPr>
          <w:color w:val="FF0000"/>
        </w:rPr>
        <w:t>1//T2</w:t>
      </w:r>
      <w:r>
        <w:t xml:space="preserve">) </w:t>
      </w:r>
      <w:r w:rsidRPr="00B4462E">
        <w:rPr>
          <w:i/>
        </w:rPr>
        <w:t>(P=Principal Questionnaire; S=School Questionnaire; T=Teacher Questionnaire</w:t>
      </w:r>
      <w:r>
        <w:rPr>
          <w:i/>
        </w:rPr>
        <w:t>; 1=Public School Version; 2=Private School Version</w:t>
      </w:r>
      <w:r w:rsidRPr="00B4462E">
        <w:rPr>
          <w:i/>
        </w:rPr>
        <w:t>)</w:t>
      </w:r>
    </w:p>
    <w:p w14:paraId="0C7F12A3" w14:textId="77777777" w:rsidR="004F4FAF" w:rsidRPr="004F4FAF" w:rsidRDefault="004F4FAF" w:rsidP="004F4FAF">
      <w:pPr>
        <w:spacing w:after="0" w:line="240" w:lineRule="auto"/>
        <w:rPr>
          <w:sz w:val="10"/>
          <w:szCs w:val="10"/>
        </w:rPr>
      </w:pPr>
    </w:p>
    <w:p w14:paraId="01FAA2E7" w14:textId="77777777" w:rsidR="004F4FAF" w:rsidRDefault="004F4FAF" w:rsidP="004F4FAF">
      <w:pPr>
        <w:spacing w:after="0" w:line="240" w:lineRule="auto"/>
      </w:pPr>
      <w:r>
        <w:t xml:space="preserve">Subject: Please help us produce representative data for [P1, P2: </w:t>
      </w:r>
      <w:r w:rsidRPr="000D7FD6">
        <w:rPr>
          <w:color w:val="FF0000"/>
        </w:rPr>
        <w:t>principals in</w:t>
      </w:r>
      <w:r>
        <w:t xml:space="preserve">//T1, T2: </w:t>
      </w:r>
      <w:r w:rsidRPr="00776652">
        <w:rPr>
          <w:color w:val="FF0000"/>
        </w:rPr>
        <w:t>teachers in</w:t>
      </w:r>
      <w:r>
        <w:t>] schools like yours.</w:t>
      </w:r>
    </w:p>
    <w:p w14:paraId="0748276D" w14:textId="77777777" w:rsidR="004F4FAF" w:rsidRPr="004F4FAF" w:rsidRDefault="004F4FAF" w:rsidP="004F4FAF">
      <w:pPr>
        <w:spacing w:after="0" w:line="240" w:lineRule="auto"/>
        <w:rPr>
          <w:sz w:val="10"/>
          <w:szCs w:val="10"/>
        </w:rPr>
      </w:pPr>
    </w:p>
    <w:p w14:paraId="761D3A38" w14:textId="77777777" w:rsidR="004F4FAF" w:rsidRDefault="004F4FAF" w:rsidP="004F4FAF">
      <w:pPr>
        <w:spacing w:after="0" w:line="240" w:lineRule="auto"/>
      </w:pPr>
      <w:r>
        <w:t xml:space="preserve">Dear </w:t>
      </w:r>
      <w:r w:rsidRPr="00776652">
        <w:rPr>
          <w:highlight w:val="yellow"/>
        </w:rPr>
        <w:t>&lt;P</w:t>
      </w:r>
      <w:r>
        <w:rPr>
          <w:highlight w:val="yellow"/>
        </w:rPr>
        <w:t>1, P2</w:t>
      </w:r>
      <w:r w:rsidRPr="00776652">
        <w:rPr>
          <w:highlight w:val="yellow"/>
        </w:rPr>
        <w:t xml:space="preserve">: </w:t>
      </w:r>
      <w:r w:rsidRPr="00776652">
        <w:rPr>
          <w:color w:val="FF0000"/>
          <w:highlight w:val="yellow"/>
        </w:rPr>
        <w:t>PRIN_NAME</w:t>
      </w:r>
      <w:r w:rsidRPr="00776652">
        <w:rPr>
          <w:highlight w:val="yellow"/>
        </w:rPr>
        <w:t>//S</w:t>
      </w:r>
      <w:r>
        <w:rPr>
          <w:highlight w:val="yellow"/>
        </w:rPr>
        <w:t>1, S2</w:t>
      </w:r>
      <w:r w:rsidRPr="00776652">
        <w:rPr>
          <w:highlight w:val="yellow"/>
        </w:rPr>
        <w:t xml:space="preserve">: </w:t>
      </w:r>
      <w:r w:rsidRPr="00776652">
        <w:rPr>
          <w:color w:val="FF0000"/>
          <w:highlight w:val="yellow"/>
        </w:rPr>
        <w:t>COOR_NAME if available, else PRIN_NAME</w:t>
      </w:r>
      <w:r w:rsidRPr="00776652">
        <w:rPr>
          <w:highlight w:val="yellow"/>
        </w:rPr>
        <w:t>//T</w:t>
      </w:r>
      <w:r>
        <w:rPr>
          <w:highlight w:val="yellow"/>
        </w:rPr>
        <w:t>1,T2</w:t>
      </w:r>
      <w:r w:rsidRPr="00776652">
        <w:rPr>
          <w:highlight w:val="yellow"/>
        </w:rPr>
        <w:t xml:space="preserve">: </w:t>
      </w:r>
      <w:r w:rsidRPr="00776652">
        <w:rPr>
          <w:color w:val="FF0000"/>
          <w:highlight w:val="yellow"/>
        </w:rPr>
        <w:t>TCH_NAME</w:t>
      </w:r>
      <w:r w:rsidRPr="00776652">
        <w:rPr>
          <w:highlight w:val="yellow"/>
        </w:rPr>
        <w:t>&gt;</w:t>
      </w:r>
      <w:r>
        <w:t>:</w:t>
      </w:r>
    </w:p>
    <w:p w14:paraId="5A4F5AF6" w14:textId="77777777" w:rsidR="004F4FAF" w:rsidRPr="004F4FAF" w:rsidRDefault="004F4FAF" w:rsidP="004F4FAF">
      <w:pPr>
        <w:spacing w:after="0" w:line="240" w:lineRule="auto"/>
        <w:rPr>
          <w:sz w:val="10"/>
          <w:szCs w:val="10"/>
        </w:rPr>
      </w:pPr>
    </w:p>
    <w:p w14:paraId="31617E30" w14:textId="77777777" w:rsidR="004F4FAF" w:rsidRDefault="004F4FAF" w:rsidP="004F4FAF">
      <w:pPr>
        <w:spacing w:after="0" w:line="240" w:lineRule="auto"/>
      </w:pPr>
      <w:r>
        <w:t xml:space="preserve">We’ve contacted [S1, S2: </w:t>
      </w:r>
      <w:r w:rsidRPr="00776652">
        <w:rPr>
          <w:color w:val="FF0000"/>
        </w:rPr>
        <w:t>your school</w:t>
      </w:r>
      <w:r>
        <w:t xml:space="preserve">//P1, P2, T1, T2: </w:t>
      </w:r>
      <w:r w:rsidRPr="00776652">
        <w:rPr>
          <w:color w:val="FF0000"/>
        </w:rPr>
        <w:t>you</w:t>
      </w:r>
      <w:r>
        <w:t xml:space="preserve">] throughout the school year regarding the 2017–18 National Teacher and Principal Survey (NTPS). We wanted to take an opportunity to share a brief video with you that highlights the importance of this survey, and provides selected findings from previous surveys. You can view the video at: </w:t>
      </w:r>
      <w:r w:rsidRPr="00033054">
        <w:t>https:</w:t>
      </w:r>
      <w:r w:rsidRPr="00033054">
        <w:rPr>
          <w:color w:val="1F497D"/>
          <w:sz w:val="23"/>
          <w:szCs w:val="23"/>
          <w:vertAlign w:val="subscript"/>
        </w:rPr>
        <w:t xml:space="preserve"> </w:t>
      </w:r>
      <w:r w:rsidRPr="00033054">
        <w:rPr>
          <w:color w:val="1F497D"/>
          <w:sz w:val="32"/>
          <w:szCs w:val="32"/>
          <w:u w:val="single"/>
          <w:vertAlign w:val="subscript"/>
        </w:rPr>
        <w:t>//www.youtube.com/watch?v=YaO87bhBOXc</w:t>
      </w:r>
    </w:p>
    <w:p w14:paraId="0432C3B8" w14:textId="77777777" w:rsidR="004F4FAF" w:rsidRDefault="004F4FAF" w:rsidP="004F4FAF">
      <w:pPr>
        <w:spacing w:after="0" w:line="240" w:lineRule="auto"/>
      </w:pPr>
      <w:r>
        <w:t xml:space="preserve">[P1, S1, T1: </w:t>
      </w:r>
      <w:r w:rsidRPr="008202DC">
        <w:rPr>
          <w:color w:val="FF0000"/>
        </w:rPr>
        <w:t>The 2015-16 NTPS included findings such as:</w:t>
      </w:r>
      <w:r>
        <w:t>]</w:t>
      </w:r>
    </w:p>
    <w:p w14:paraId="2A8B19E0" w14:textId="77777777" w:rsidR="004F4FAF" w:rsidRDefault="004F4FAF" w:rsidP="004F4FAF">
      <w:pPr>
        <w:spacing w:after="0" w:line="240" w:lineRule="auto"/>
      </w:pPr>
      <w:r>
        <w:t>[P1:</w:t>
      </w:r>
    </w:p>
    <w:p w14:paraId="356C6A69" w14:textId="77777777" w:rsidR="004F4FAF" w:rsidRPr="0033799A" w:rsidRDefault="004F4FAF" w:rsidP="004F4FAF">
      <w:pPr>
        <w:pStyle w:val="ListParagraph"/>
        <w:numPr>
          <w:ilvl w:val="0"/>
          <w:numId w:val="25"/>
        </w:numPr>
        <w:spacing w:after="0" w:line="240" w:lineRule="auto"/>
        <w:contextualSpacing/>
        <w:rPr>
          <w:color w:val="FF0000"/>
        </w:rPr>
      </w:pPr>
      <w:r w:rsidRPr="0033799A">
        <w:rPr>
          <w:color w:val="FF0000"/>
        </w:rPr>
        <w:t>Public school principals spent an average of 58.6 hours per week on all school-related activities.</w:t>
      </w:r>
    </w:p>
    <w:p w14:paraId="1B3B154A" w14:textId="77777777" w:rsidR="004F4FAF" w:rsidRDefault="004F4FAF" w:rsidP="004F4FAF">
      <w:pPr>
        <w:pStyle w:val="ListParagraph"/>
        <w:numPr>
          <w:ilvl w:val="0"/>
          <w:numId w:val="25"/>
        </w:numPr>
        <w:spacing w:after="0" w:line="240" w:lineRule="auto"/>
        <w:contextualSpacing/>
      </w:pPr>
      <w:r w:rsidRPr="0033799A">
        <w:rPr>
          <w:color w:val="FF0000"/>
        </w:rPr>
        <w:t>Public school principals had an average of 6.6 years of experience as a principal and an average of 4 years as a principal of their current school.</w:t>
      </w:r>
      <w:r>
        <w:t>//</w:t>
      </w:r>
    </w:p>
    <w:p w14:paraId="44AC74E0" w14:textId="77777777" w:rsidR="004F4FAF" w:rsidRDefault="004F4FAF" w:rsidP="004F4FAF">
      <w:pPr>
        <w:spacing w:after="0" w:line="240" w:lineRule="auto"/>
      </w:pPr>
      <w:r>
        <w:t>S:</w:t>
      </w:r>
    </w:p>
    <w:p w14:paraId="270C89AC" w14:textId="77777777" w:rsidR="004F4FAF" w:rsidRPr="0033799A" w:rsidRDefault="004F4FAF" w:rsidP="004F4FAF">
      <w:pPr>
        <w:pStyle w:val="ListParagraph"/>
        <w:widowControl w:val="0"/>
        <w:numPr>
          <w:ilvl w:val="0"/>
          <w:numId w:val="24"/>
        </w:numPr>
        <w:spacing w:after="0" w:line="240" w:lineRule="auto"/>
        <w:contextualSpacing/>
        <w:rPr>
          <w:color w:val="FF0000"/>
        </w:rPr>
      </w:pPr>
      <w:r w:rsidRPr="0033799A">
        <w:rPr>
          <w:color w:val="FF0000"/>
        </w:rPr>
        <w:t>Nationwide, about 21 percent of public schools offered at least one course entirely online.</w:t>
      </w:r>
    </w:p>
    <w:p w14:paraId="270A4C39" w14:textId="77777777" w:rsidR="004F4FAF" w:rsidRDefault="004F4FAF" w:rsidP="004F4FAF">
      <w:pPr>
        <w:pStyle w:val="ListParagraph"/>
        <w:numPr>
          <w:ilvl w:val="0"/>
          <w:numId w:val="24"/>
        </w:numPr>
        <w:spacing w:after="0" w:line="240" w:lineRule="auto"/>
        <w:contextualSpacing/>
      </w:pPr>
      <w:r w:rsidRPr="0033799A">
        <w:rPr>
          <w:color w:val="FF0000"/>
        </w:rPr>
        <w:t>Overall, 59 percent of public schools had instruction beyond the normal school day for students who need academic assistance.</w:t>
      </w:r>
      <w:r>
        <w:t>//</w:t>
      </w:r>
    </w:p>
    <w:p w14:paraId="511AFE26" w14:textId="77777777" w:rsidR="004F4FAF" w:rsidRDefault="004F4FAF" w:rsidP="004F4FAF">
      <w:pPr>
        <w:spacing w:after="0" w:line="240" w:lineRule="auto"/>
      </w:pPr>
      <w:r>
        <w:t>T:</w:t>
      </w:r>
    </w:p>
    <w:p w14:paraId="1394D0AC" w14:textId="77777777" w:rsidR="004F4FAF" w:rsidRPr="0033799A" w:rsidRDefault="004F4FAF" w:rsidP="004F4FAF">
      <w:pPr>
        <w:pStyle w:val="ListParagraph"/>
        <w:numPr>
          <w:ilvl w:val="0"/>
          <w:numId w:val="26"/>
        </w:numPr>
        <w:spacing w:after="0" w:line="240" w:lineRule="auto"/>
        <w:contextualSpacing/>
        <w:rPr>
          <w:color w:val="FF0000"/>
        </w:rPr>
      </w:pPr>
      <w:r w:rsidRPr="0033799A">
        <w:rPr>
          <w:color w:val="FF0000"/>
        </w:rPr>
        <w:t>On average, regular full-time teachers in public schools spent 53 hours per week on all school-related activities, including 27 hours that they were paid to deliver instruction to students during a typical full week.</w:t>
      </w:r>
    </w:p>
    <w:p w14:paraId="4F161A4B" w14:textId="77777777" w:rsidR="004F4FAF" w:rsidRDefault="004F4FAF" w:rsidP="004F4FAF">
      <w:pPr>
        <w:pStyle w:val="ListParagraph"/>
        <w:numPr>
          <w:ilvl w:val="0"/>
          <w:numId w:val="26"/>
        </w:numPr>
        <w:spacing w:after="0" w:line="240" w:lineRule="auto"/>
        <w:contextualSpacing/>
      </w:pPr>
      <w:r w:rsidRPr="0033799A">
        <w:rPr>
          <w:color w:val="FF0000"/>
        </w:rPr>
        <w:t>Among teachers in self-contained classrooms, the average class size was 21 students in primary schools, 14 students in middle schools, 15 students for high schools, and 16 students for combined-grade schools. Among departmentalized teachers, the average class size was 27 for primary and middle schools, 26 for high schools, and 22 for combined-grade schools.</w:t>
      </w:r>
      <w:r>
        <w:t xml:space="preserve"> ]</w:t>
      </w:r>
    </w:p>
    <w:p w14:paraId="1DFB97D9" w14:textId="77777777" w:rsidR="004F4FAF" w:rsidRDefault="004F4FAF" w:rsidP="004F4FAF">
      <w:pPr>
        <w:spacing w:after="0" w:line="240" w:lineRule="auto"/>
      </w:pPr>
      <w:r>
        <w:t xml:space="preserve">We need your help to produce representative data for </w:t>
      </w:r>
      <w:r w:rsidRPr="00776652">
        <w:rPr>
          <w:highlight w:val="yellow"/>
        </w:rPr>
        <w:t>&lt;primary/middle/high/combined grade level&gt;</w:t>
      </w:r>
      <w:r>
        <w:t xml:space="preserve"> [P: </w:t>
      </w:r>
      <w:r w:rsidRPr="00776652">
        <w:rPr>
          <w:color w:val="FF0000"/>
        </w:rPr>
        <w:t>school principals</w:t>
      </w:r>
      <w:r>
        <w:t xml:space="preserve">//S: </w:t>
      </w:r>
      <w:r w:rsidRPr="00776652">
        <w:rPr>
          <w:color w:val="FF0000"/>
        </w:rPr>
        <w:t>schools</w:t>
      </w:r>
      <w:r>
        <w:t xml:space="preserve">//T: </w:t>
      </w:r>
      <w:r w:rsidRPr="00776652">
        <w:rPr>
          <w:color w:val="FF0000"/>
        </w:rPr>
        <w:t>school teachers</w:t>
      </w:r>
      <w:r>
        <w:t xml:space="preserve">] in </w:t>
      </w:r>
      <w:r w:rsidRPr="00776652">
        <w:rPr>
          <w:highlight w:val="yellow"/>
        </w:rPr>
        <w:t>&lt;state</w:t>
      </w:r>
      <w:r>
        <w:rPr>
          <w:highlight w:val="yellow"/>
        </w:rPr>
        <w:t>’s</w:t>
      </w:r>
      <w:r w:rsidRPr="00776652">
        <w:rPr>
          <w:highlight w:val="yellow"/>
        </w:rPr>
        <w:t>&gt;</w:t>
      </w:r>
      <w:r>
        <w:t xml:space="preserve"> </w:t>
      </w:r>
      <w:r w:rsidRPr="00776652">
        <w:rPr>
          <w:highlight w:val="yellow"/>
        </w:rPr>
        <w:t>&lt;cities/suburbs/towns/rural areas&gt;</w:t>
      </w:r>
      <w:r>
        <w:t xml:space="preserve"> this year. Policy makers at the state, federal, and local levels use this data to set education policy and improve teacher and principal working conditions. This is your chance to let your voice be heard.</w:t>
      </w:r>
    </w:p>
    <w:p w14:paraId="57FD2930" w14:textId="77777777" w:rsidR="004F4FAF" w:rsidRDefault="004F4FAF" w:rsidP="004F4FAF">
      <w:pPr>
        <w:spacing w:after="0" w:line="240" w:lineRule="auto"/>
      </w:pPr>
    </w:p>
    <w:p w14:paraId="2621E99C" w14:textId="77777777" w:rsidR="004F4FAF" w:rsidRDefault="004F4FAF" w:rsidP="004F4FAF">
      <w:pPr>
        <w:spacing w:after="0" w:line="240" w:lineRule="auto"/>
      </w:pPr>
      <w:r>
        <w:t xml:space="preserve">Please complete the &lt;P: </w:t>
      </w:r>
      <w:r w:rsidRPr="00776652">
        <w:rPr>
          <w:color w:val="FF0000"/>
        </w:rPr>
        <w:t>Principal</w:t>
      </w:r>
      <w:r>
        <w:t xml:space="preserve">//S: </w:t>
      </w:r>
      <w:r w:rsidRPr="00776652">
        <w:rPr>
          <w:color w:val="FF0000"/>
        </w:rPr>
        <w:t>School</w:t>
      </w:r>
      <w:r>
        <w:t xml:space="preserve">//T: </w:t>
      </w:r>
      <w:r w:rsidRPr="00776652">
        <w:rPr>
          <w:color w:val="FF0000"/>
        </w:rPr>
        <w:t>Teacher</w:t>
      </w:r>
      <w:r>
        <w:t>&gt; Survey using the login information provided below. Alternatively, you may complete and return the paper questionnaire we sent you [P, S: in mid-February//T: a few weeks ago].</w:t>
      </w:r>
    </w:p>
    <w:p w14:paraId="7E0BD0F9" w14:textId="323D8420" w:rsidR="004F4FAF" w:rsidRDefault="004F4FAF" w:rsidP="004F4FAF">
      <w:pPr>
        <w:pStyle w:val="Heading2"/>
        <w:spacing w:after="0" w:line="240" w:lineRule="auto"/>
        <w:ind w:left="840"/>
        <w:rPr>
          <w:color w:val="FF0000"/>
          <w:spacing w:val="-1"/>
        </w:rPr>
      </w:pPr>
      <w:r>
        <w:t>To</w:t>
      </w:r>
      <w:r>
        <w:rPr>
          <w:spacing w:val="-1"/>
        </w:rPr>
        <w:t xml:space="preserve"> complete the survey,</w:t>
      </w:r>
      <w:r>
        <w:rPr>
          <w:spacing w:val="1"/>
        </w:rPr>
        <w:t xml:space="preserve"> </w:t>
      </w:r>
      <w:r>
        <w:rPr>
          <w:spacing w:val="-2"/>
        </w:rPr>
        <w:t>please</w:t>
      </w:r>
      <w:r>
        <w:rPr>
          <w:spacing w:val="-1"/>
        </w:rPr>
        <w:t xml:space="preserve"> </w:t>
      </w:r>
      <w:r>
        <w:t>go</w:t>
      </w:r>
      <w:r>
        <w:rPr>
          <w:spacing w:val="-1"/>
        </w:rPr>
        <w:t xml:space="preserve"> to:</w:t>
      </w:r>
      <w:r w:rsidR="00011E6F">
        <w:t xml:space="preserve"> </w:t>
      </w:r>
      <w:hyperlink r:id="rId9">
        <w:r w:rsidRPr="004F6763">
          <w:rPr>
            <w:color w:val="0563C1"/>
            <w:spacing w:val="-1"/>
            <w:u w:val="single"/>
          </w:rPr>
          <w:t>https://respond.census.gov/ntps</w:t>
        </w:r>
        <w:r w:rsidRPr="004F6763">
          <w:rPr>
            <w:color w:val="FF0000"/>
            <w:spacing w:val="-1"/>
            <w:u w:val="single"/>
          </w:rPr>
          <w:t>xx</w:t>
        </w:r>
      </w:hyperlink>
    </w:p>
    <w:p w14:paraId="265CCF5A" w14:textId="77777777" w:rsidR="004F4FAF" w:rsidRDefault="004F4FAF" w:rsidP="004F4FAF">
      <w:pPr>
        <w:pStyle w:val="Heading2"/>
        <w:spacing w:after="0" w:line="240" w:lineRule="auto"/>
        <w:ind w:left="840"/>
        <w:rPr>
          <w:rFonts w:cs="Calibri"/>
        </w:rPr>
      </w:pPr>
      <w:r>
        <w:rPr>
          <w:b w:val="0"/>
          <w:spacing w:val="-1"/>
        </w:rPr>
        <w:t>Log</w:t>
      </w:r>
      <w:r>
        <w:rPr>
          <w:b w:val="0"/>
          <w:spacing w:val="1"/>
        </w:rPr>
        <w:t xml:space="preserve"> </w:t>
      </w:r>
      <w:r>
        <w:rPr>
          <w:b w:val="0"/>
        </w:rPr>
        <w:t>in</w:t>
      </w:r>
      <w:r>
        <w:rPr>
          <w:b w:val="0"/>
          <w:spacing w:val="-1"/>
        </w:rPr>
        <w:t xml:space="preserve"> using this</w:t>
      </w:r>
      <w:r>
        <w:rPr>
          <w:b w:val="0"/>
          <w:spacing w:val="1"/>
        </w:rPr>
        <w:t xml:space="preserve"> </w:t>
      </w:r>
      <w:r>
        <w:rPr>
          <w:b w:val="0"/>
          <w:spacing w:val="-2"/>
        </w:rPr>
        <w:t>User</w:t>
      </w:r>
      <w:r>
        <w:rPr>
          <w:b w:val="0"/>
          <w:spacing w:val="-1"/>
        </w:rPr>
        <w:t xml:space="preserve"> </w:t>
      </w:r>
      <w:r>
        <w:rPr>
          <w:b w:val="0"/>
        </w:rPr>
        <w:t>ID:</w:t>
      </w:r>
      <w:r>
        <w:rPr>
          <w:b w:val="0"/>
          <w:spacing w:val="-1"/>
        </w:rPr>
        <w:t xml:space="preserve"> </w:t>
      </w:r>
      <w:r>
        <w:rPr>
          <w:b w:val="0"/>
          <w:spacing w:val="-1"/>
          <w:highlight w:val="yellow"/>
        </w:rPr>
        <w:t>&lt;USERID</w:t>
      </w:r>
      <w:r>
        <w:rPr>
          <w:b w:val="0"/>
          <w:spacing w:val="-3"/>
          <w:highlight w:val="yellow"/>
        </w:rPr>
        <w:t xml:space="preserve"> </w:t>
      </w:r>
      <w:r>
        <w:rPr>
          <w:b w:val="0"/>
          <w:highlight w:val="yellow"/>
        </w:rPr>
        <w:t>&gt;</w:t>
      </w:r>
    </w:p>
    <w:p w14:paraId="702B29D2" w14:textId="77777777" w:rsidR="004F4FAF" w:rsidRDefault="004F4FAF" w:rsidP="004F4FAF">
      <w:pPr>
        <w:spacing w:after="0" w:line="240" w:lineRule="auto"/>
        <w:ind w:right="-18"/>
      </w:pPr>
      <w:r w:rsidRPr="00762783">
        <w:t xml:space="preserve">The National Center for Education Statistics (NCES), within the U.S. Department of Education,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 If you have any questions about the survey or need assistance, please contact the U.S. Census Bureau at 1-888-595-1338 between 8:00 a.m. and 8:00 p.m. (Eastern Time) Monday through Friday. The U.S. Census Bureau is also available to answer your questions via e-mail at </w:t>
      </w:r>
      <w:hyperlink r:id="rId10">
        <w:r w:rsidRPr="00762783">
          <w:t>ntps@census.gov.</w:t>
        </w:r>
      </w:hyperlink>
    </w:p>
    <w:p w14:paraId="42F04810" w14:textId="77777777" w:rsidR="004F4FAF" w:rsidRPr="00762783" w:rsidRDefault="004F4FAF" w:rsidP="004F4FAF">
      <w:pPr>
        <w:spacing w:after="0" w:line="240" w:lineRule="auto"/>
        <w:ind w:right="-18"/>
      </w:pPr>
    </w:p>
    <w:p w14:paraId="17096183" w14:textId="77777777" w:rsidR="004F4FAF" w:rsidRDefault="004F4FAF" w:rsidP="004F4FAF">
      <w:pPr>
        <w:pStyle w:val="BodyText"/>
        <w:spacing w:after="0" w:line="240" w:lineRule="auto"/>
        <w:ind w:right="-18"/>
        <w:rPr>
          <w:color w:val="231F20"/>
          <w:spacing w:val="59"/>
        </w:rPr>
      </w:pPr>
      <w:r>
        <w:rPr>
          <w:color w:val="231F20"/>
          <w:spacing w:val="-1"/>
        </w:rPr>
        <w:t>Thank</w:t>
      </w:r>
      <w:r>
        <w:rPr>
          <w:color w:val="231F20"/>
          <w:spacing w:val="1"/>
        </w:rPr>
        <w:t xml:space="preserve"> </w:t>
      </w:r>
      <w:r>
        <w:rPr>
          <w:color w:val="231F20"/>
          <w:spacing w:val="-1"/>
        </w:rPr>
        <w:t>you in advance</w:t>
      </w:r>
      <w:r>
        <w:rPr>
          <w:color w:val="231F20"/>
          <w:spacing w:val="1"/>
        </w:rPr>
        <w:t xml:space="preserve"> </w:t>
      </w:r>
      <w:r>
        <w:rPr>
          <w:color w:val="231F20"/>
          <w:spacing w:val="-1"/>
        </w:rPr>
        <w:t>for</w:t>
      </w:r>
      <w:r>
        <w:rPr>
          <w:color w:val="231F20"/>
          <w:spacing w:val="-2"/>
        </w:rPr>
        <w:t xml:space="preserve"> </w:t>
      </w:r>
      <w:r>
        <w:rPr>
          <w:color w:val="231F20"/>
          <w:spacing w:val="-1"/>
        </w:rPr>
        <w:t>your</w:t>
      </w:r>
      <w:r>
        <w:rPr>
          <w:color w:val="231F20"/>
        </w:rPr>
        <w:t xml:space="preserve"> </w:t>
      </w:r>
      <w:r>
        <w:rPr>
          <w:color w:val="231F20"/>
          <w:spacing w:val="-1"/>
        </w:rPr>
        <w:t>help to ensure</w:t>
      </w:r>
      <w:r>
        <w:rPr>
          <w:color w:val="231F20"/>
          <w:spacing w:val="-2"/>
        </w:rPr>
        <w:t xml:space="preserve"> </w:t>
      </w:r>
      <w:r>
        <w:rPr>
          <w:color w:val="231F20"/>
        </w:rPr>
        <w:t>your</w:t>
      </w:r>
      <w:r>
        <w:rPr>
          <w:color w:val="231F20"/>
          <w:spacing w:val="-2"/>
        </w:rPr>
        <w:t xml:space="preserve"> </w:t>
      </w:r>
      <w:r>
        <w:rPr>
          <w:color w:val="231F20"/>
          <w:spacing w:val="-1"/>
        </w:rPr>
        <w:t>school</w:t>
      </w:r>
      <w:r>
        <w:rPr>
          <w:color w:val="231F20"/>
          <w:spacing w:val="-3"/>
        </w:rPr>
        <w:t xml:space="preserve"> </w:t>
      </w:r>
      <w:r>
        <w:rPr>
          <w:color w:val="231F20"/>
          <w:spacing w:val="-1"/>
        </w:rPr>
        <w:t>is</w:t>
      </w:r>
      <w:r>
        <w:rPr>
          <w:color w:val="231F20"/>
        </w:rPr>
        <w:t xml:space="preserve"> </w:t>
      </w:r>
      <w:r>
        <w:rPr>
          <w:color w:val="231F20"/>
          <w:spacing w:val="-1"/>
        </w:rPr>
        <w:t>represented in this</w:t>
      </w:r>
      <w:r>
        <w:rPr>
          <w:color w:val="231F20"/>
          <w:spacing w:val="-2"/>
        </w:rPr>
        <w:t xml:space="preserve"> </w:t>
      </w:r>
      <w:r>
        <w:rPr>
          <w:color w:val="231F20"/>
          <w:spacing w:val="-1"/>
        </w:rPr>
        <w:t>survey.</w:t>
      </w:r>
    </w:p>
    <w:p w14:paraId="5DEE8DF1" w14:textId="77777777" w:rsidR="004F4FAF" w:rsidRDefault="004F4FAF" w:rsidP="004F4FAF">
      <w:pPr>
        <w:pStyle w:val="BodyText"/>
        <w:spacing w:after="0" w:line="240" w:lineRule="auto"/>
        <w:ind w:right="-18"/>
      </w:pPr>
      <w:r>
        <w:rPr>
          <w:spacing w:val="-1"/>
        </w:rPr>
        <w:t>Sincerely,</w:t>
      </w:r>
    </w:p>
    <w:p w14:paraId="23C84EF6" w14:textId="77777777" w:rsidR="004F4FAF" w:rsidRDefault="004F4FAF" w:rsidP="004F4FAF">
      <w:pPr>
        <w:pStyle w:val="BodyText"/>
        <w:spacing w:after="0" w:line="240" w:lineRule="auto"/>
        <w:ind w:right="-18"/>
      </w:pPr>
      <w:r>
        <w:rPr>
          <w:spacing w:val="-1"/>
        </w:rPr>
        <w:t>National</w:t>
      </w:r>
      <w:r>
        <w:t xml:space="preserve"> </w:t>
      </w:r>
      <w:r>
        <w:rPr>
          <w:spacing w:val="-1"/>
        </w:rPr>
        <w:t>Teacher</w:t>
      </w:r>
      <w:r>
        <w:rPr>
          <w:spacing w:val="-2"/>
        </w:rPr>
        <w:t xml:space="preserve"> </w:t>
      </w:r>
      <w:r>
        <w:rPr>
          <w:spacing w:val="-1"/>
        </w:rPr>
        <w:t>and Principal</w:t>
      </w:r>
      <w:r>
        <w:t xml:space="preserve"> </w:t>
      </w:r>
      <w:r>
        <w:rPr>
          <w:spacing w:val="-1"/>
        </w:rPr>
        <w:t>Survey Team</w:t>
      </w:r>
    </w:p>
    <w:p w14:paraId="568A093C" w14:textId="77777777" w:rsidR="004F4FAF" w:rsidRDefault="004F4FAF" w:rsidP="004F4FAF">
      <w:pPr>
        <w:pStyle w:val="BodyText"/>
        <w:spacing w:after="0" w:line="240" w:lineRule="auto"/>
        <w:ind w:right="-18"/>
        <w:rPr>
          <w:spacing w:val="31"/>
        </w:rPr>
      </w:pPr>
      <w:r>
        <w:rPr>
          <w:spacing w:val="-1"/>
        </w:rPr>
        <w:t>U.S.</w:t>
      </w:r>
      <w:r>
        <w:t xml:space="preserve"> </w:t>
      </w:r>
      <w:r>
        <w:rPr>
          <w:spacing w:val="-1"/>
        </w:rPr>
        <w:t>Census</w:t>
      </w:r>
      <w:r>
        <w:t xml:space="preserve"> </w:t>
      </w:r>
      <w:r>
        <w:rPr>
          <w:spacing w:val="-1"/>
        </w:rPr>
        <w:t>Bureau,</w:t>
      </w:r>
      <w:r>
        <w:rPr>
          <w:spacing w:val="-2"/>
        </w:rPr>
        <w:t xml:space="preserve"> </w:t>
      </w:r>
      <w:r>
        <w:t>on</w:t>
      </w:r>
      <w:r>
        <w:rPr>
          <w:spacing w:val="-1"/>
        </w:rPr>
        <w:t xml:space="preserve"> </w:t>
      </w:r>
      <w:r>
        <w:rPr>
          <w:spacing w:val="-2"/>
        </w:rPr>
        <w:t>behalf</w:t>
      </w:r>
      <w:r>
        <w:t xml:space="preserve"> of</w:t>
      </w:r>
      <w:r>
        <w:rPr>
          <w:spacing w:val="-2"/>
        </w:rPr>
        <w:t xml:space="preserve"> </w:t>
      </w:r>
      <w:r>
        <w:rPr>
          <w:spacing w:val="-1"/>
        </w:rPr>
        <w:t>the</w:t>
      </w:r>
    </w:p>
    <w:p w14:paraId="42F02048" w14:textId="749B3B06" w:rsidR="004F4FAF" w:rsidRDefault="004F4FAF" w:rsidP="004F4FAF">
      <w:pPr>
        <w:pStyle w:val="BodyText"/>
        <w:spacing w:after="0" w:line="240" w:lineRule="auto"/>
        <w:ind w:right="-18"/>
        <w:rPr>
          <w:spacing w:val="-1"/>
        </w:rPr>
      </w:pPr>
      <w:r>
        <w:rPr>
          <w:spacing w:val="-1"/>
        </w:rPr>
        <w:t>National Center for Education Statistics (NCES)</w:t>
      </w:r>
    </w:p>
    <w:p w14:paraId="11134AE4" w14:textId="77777777" w:rsidR="004F4FAF" w:rsidRDefault="004F4FAF" w:rsidP="004F4FAF">
      <w:pPr>
        <w:pStyle w:val="BodyText"/>
        <w:spacing w:after="0" w:line="240" w:lineRule="auto"/>
        <w:ind w:right="-18"/>
        <w:jc w:val="center"/>
        <w:rPr>
          <w:b/>
          <w:spacing w:val="-1"/>
          <w:sz w:val="24"/>
          <w:szCs w:val="24"/>
        </w:rPr>
      </w:pPr>
      <w:r>
        <w:rPr>
          <w:b/>
          <w:spacing w:val="-1"/>
          <w:sz w:val="24"/>
          <w:szCs w:val="24"/>
        </w:rPr>
        <w:t>-------</w:t>
      </w:r>
    </w:p>
    <w:p w14:paraId="2C2CD36A" w14:textId="77777777" w:rsidR="004F4FAF" w:rsidRPr="009D2BB5" w:rsidRDefault="004F4FAF" w:rsidP="004F4FAF">
      <w:pPr>
        <w:pStyle w:val="BodyText"/>
        <w:spacing w:after="0" w:line="240" w:lineRule="auto"/>
        <w:ind w:right="-18"/>
        <w:jc w:val="center"/>
        <w:rPr>
          <w:b/>
          <w:spacing w:val="-1"/>
          <w:sz w:val="24"/>
          <w:szCs w:val="24"/>
        </w:rPr>
      </w:pPr>
      <w:r w:rsidRPr="009D2BB5">
        <w:rPr>
          <w:b/>
          <w:spacing w:val="-1"/>
          <w:sz w:val="24"/>
          <w:szCs w:val="24"/>
        </w:rPr>
        <w:t>Voiceover Script for the NTPS Information Video at the url Included in the Email</w:t>
      </w:r>
    </w:p>
    <w:p w14:paraId="4EB74107" w14:textId="77777777" w:rsidR="004F4FAF" w:rsidRPr="009D2BB5" w:rsidRDefault="004F4FAF" w:rsidP="004F4FAF">
      <w:pPr>
        <w:pStyle w:val="BodyText"/>
        <w:spacing w:after="0" w:line="240" w:lineRule="auto"/>
        <w:ind w:right="-18"/>
        <w:rPr>
          <w:spacing w:val="-1"/>
          <w:sz w:val="14"/>
          <w:szCs w:val="14"/>
        </w:rPr>
      </w:pPr>
    </w:p>
    <w:p w14:paraId="67469A3C" w14:textId="77777777" w:rsidR="004F4FAF" w:rsidRPr="009D2BB5" w:rsidRDefault="004F4FAF" w:rsidP="004F4FAF">
      <w:pPr>
        <w:spacing w:after="0" w:line="240" w:lineRule="auto"/>
        <w:jc w:val="center"/>
        <w:rPr>
          <w:rFonts w:ascii="Cambria" w:hAnsi="Cambria"/>
          <w:b/>
        </w:rPr>
      </w:pPr>
      <w:r w:rsidRPr="009D2BB5">
        <w:rPr>
          <w:rFonts w:ascii="Cambria" w:hAnsi="Cambria"/>
          <w:b/>
        </w:rPr>
        <w:t>Audio Text for the National Teacher and Principal Survey (NTPS) Video</w:t>
      </w:r>
    </w:p>
    <w:p w14:paraId="5E35213E" w14:textId="77777777" w:rsidR="00011E6F" w:rsidRDefault="004F4FAF" w:rsidP="004F4FAF">
      <w:pPr>
        <w:pStyle w:val="NoSpacing"/>
        <w:rPr>
          <w:rFonts w:ascii="Cambria" w:hAnsi="Cambria"/>
          <w:b/>
          <w:color w:val="FF0000"/>
        </w:rPr>
      </w:pPr>
      <w:r w:rsidRPr="009D2BB5">
        <w:rPr>
          <w:rFonts w:ascii="Cambria" w:hAnsi="Cambria"/>
          <w:b/>
          <w:color w:val="FF0000"/>
          <w:highlight w:val="yellow"/>
        </w:rPr>
        <w:t>NOTE FOR NARRATOR - Pronunciation instructions:</w:t>
      </w:r>
    </w:p>
    <w:p w14:paraId="4D333779" w14:textId="41150387" w:rsidR="004F4FAF" w:rsidRPr="009D2BB5" w:rsidRDefault="004F4FAF" w:rsidP="004F4FAF">
      <w:pPr>
        <w:pStyle w:val="NoSpacing"/>
        <w:numPr>
          <w:ilvl w:val="1"/>
          <w:numId w:val="34"/>
        </w:numPr>
        <w:ind w:left="720"/>
        <w:rPr>
          <w:rFonts w:ascii="Cambria" w:hAnsi="Cambria"/>
        </w:rPr>
      </w:pPr>
      <w:r w:rsidRPr="009D2BB5">
        <w:rPr>
          <w:rFonts w:ascii="Cambria" w:hAnsi="Cambria"/>
        </w:rPr>
        <w:t>Please pronounce “2015-16”: two-thousand fifteen sixteen</w:t>
      </w:r>
    </w:p>
    <w:p w14:paraId="40E3EA5C" w14:textId="77777777" w:rsidR="004F4FAF" w:rsidRPr="009D2BB5" w:rsidRDefault="004F4FAF" w:rsidP="004F4FAF">
      <w:pPr>
        <w:pStyle w:val="NoSpacing"/>
        <w:numPr>
          <w:ilvl w:val="1"/>
          <w:numId w:val="34"/>
        </w:numPr>
        <w:ind w:left="720"/>
        <w:rPr>
          <w:rFonts w:ascii="Cambria" w:hAnsi="Cambria"/>
        </w:rPr>
      </w:pPr>
      <w:r w:rsidRPr="009D2BB5">
        <w:rPr>
          <w:rFonts w:ascii="Cambria" w:hAnsi="Cambria"/>
        </w:rPr>
        <w:t>Please pronounce “SASS” as “sass,” like the word.</w:t>
      </w:r>
    </w:p>
    <w:p w14:paraId="0B891ED9" w14:textId="77777777" w:rsidR="00011E6F" w:rsidRDefault="004F4FAF" w:rsidP="004F4FAF">
      <w:pPr>
        <w:pStyle w:val="NoSpacing"/>
        <w:numPr>
          <w:ilvl w:val="1"/>
          <w:numId w:val="34"/>
        </w:numPr>
        <w:ind w:left="720"/>
        <w:rPr>
          <w:rFonts w:ascii="Cambria" w:hAnsi="Cambria"/>
        </w:rPr>
      </w:pPr>
      <w:r w:rsidRPr="009D2BB5">
        <w:rPr>
          <w:rFonts w:ascii="Cambria" w:hAnsi="Cambria"/>
        </w:rPr>
        <w:t>In the web address, pronounce the letters “ED”. Do not say “Ed” like the name.</w:t>
      </w:r>
    </w:p>
    <w:p w14:paraId="5E6D99CF" w14:textId="77777777" w:rsidR="00011E6F" w:rsidRDefault="004F4FAF" w:rsidP="004F4FAF">
      <w:pPr>
        <w:pStyle w:val="NoSpacing"/>
        <w:numPr>
          <w:ilvl w:val="1"/>
          <w:numId w:val="34"/>
        </w:numPr>
        <w:ind w:left="720"/>
        <w:rPr>
          <w:rFonts w:ascii="Cambria" w:hAnsi="Cambria"/>
        </w:rPr>
      </w:pPr>
      <w:r w:rsidRPr="009D2BB5">
        <w:rPr>
          <w:rFonts w:ascii="Cambria" w:hAnsi="Cambria"/>
        </w:rPr>
        <w:t>In the web address, pronounce “guv”. Do not spell out “GOV”.</w:t>
      </w:r>
    </w:p>
    <w:p w14:paraId="0A186BEE" w14:textId="26712A39" w:rsidR="004F4FAF" w:rsidRPr="009D2BB5" w:rsidRDefault="004F4FAF" w:rsidP="004F4FAF">
      <w:pPr>
        <w:pStyle w:val="NoSpacing"/>
        <w:ind w:left="720"/>
        <w:rPr>
          <w:rFonts w:ascii="Cambria" w:hAnsi="Cambria"/>
          <w:sz w:val="10"/>
          <w:szCs w:val="10"/>
        </w:rPr>
      </w:pPr>
    </w:p>
    <w:tbl>
      <w:tblPr>
        <w:tblStyle w:val="TableGrid"/>
        <w:tblW w:w="5000" w:type="pct"/>
        <w:tblLook w:val="04A0" w:firstRow="1" w:lastRow="0" w:firstColumn="1" w:lastColumn="0" w:noHBand="0" w:noVBand="1"/>
      </w:tblPr>
      <w:tblGrid>
        <w:gridCol w:w="10728"/>
      </w:tblGrid>
      <w:tr w:rsidR="004F4FAF" w:rsidRPr="00C574D3" w14:paraId="757055B0" w14:textId="77777777" w:rsidTr="00B63199">
        <w:tc>
          <w:tcPr>
            <w:tcW w:w="5000" w:type="pct"/>
          </w:tcPr>
          <w:p w14:paraId="65F14EFE" w14:textId="77777777" w:rsidR="004F4FAF" w:rsidRPr="009D2BB5" w:rsidRDefault="004F4FAF" w:rsidP="004F4FAF">
            <w:pPr>
              <w:spacing w:after="0" w:line="240" w:lineRule="auto"/>
              <w:rPr>
                <w:rFonts w:ascii="Cambria" w:hAnsi="Cambria"/>
                <w:noProof/>
              </w:rPr>
            </w:pPr>
            <w:r w:rsidRPr="009D2BB5">
              <w:rPr>
                <w:rFonts w:ascii="Cambria" w:hAnsi="Cambria"/>
                <w:shd w:val="clear" w:color="auto" w:fill="FFFFFF"/>
              </w:rPr>
              <w:t xml:space="preserve">Teachers and principals form the foundation of the educational process, and it is important to have nationally representative data on the characteristics and experiences of these key staff. </w:t>
            </w:r>
            <w:r w:rsidRPr="009D2BB5">
              <w:rPr>
                <w:rFonts w:ascii="Cambria" w:hAnsi="Cambria" w:cs="Arial"/>
                <w:shd w:val="clear" w:color="auto" w:fill="FFFFFF"/>
              </w:rPr>
              <w:t>The National Teacher and Principal Survey, or NTPS, provides descriptive data on the context of elementary and secondary education in America. As the country’s primary source of information on teachers and administrators, the survey gives policymakers vital statistics on the condition of education in the United States.</w:t>
            </w:r>
          </w:p>
        </w:tc>
      </w:tr>
      <w:tr w:rsidR="004F4FAF" w:rsidRPr="00C574D3" w14:paraId="60266D27" w14:textId="77777777" w:rsidTr="00B63199">
        <w:tc>
          <w:tcPr>
            <w:tcW w:w="5000" w:type="pct"/>
          </w:tcPr>
          <w:p w14:paraId="719444F5" w14:textId="77777777" w:rsidR="004F4FAF" w:rsidRPr="009D2BB5" w:rsidRDefault="004F4FAF" w:rsidP="004F4FAF">
            <w:pPr>
              <w:spacing w:after="0" w:line="240" w:lineRule="auto"/>
              <w:rPr>
                <w:rFonts w:ascii="Cambria" w:eastAsia="Times New Roman" w:hAnsi="Cambria" w:cs="Times New Roman"/>
              </w:rPr>
            </w:pPr>
            <w:r w:rsidRPr="009D2BB5">
              <w:rPr>
                <w:rFonts w:ascii="Cambria" w:hAnsi="Cambria"/>
                <w:shd w:val="clear" w:color="auto" w:fill="FFFFFF"/>
              </w:rPr>
              <w:t xml:space="preserve">Historically, NCES collected data from school staff using the Schools and Staffing Survey, or SASS. Since 1987, SASS has provided data that made it possible to answer critical questions about schools, teachers, principals, and students. This includes questions about teacher preparation, principals’ goals, and how the workforce has changed over time. </w:t>
            </w:r>
          </w:p>
        </w:tc>
      </w:tr>
      <w:tr w:rsidR="004F4FAF" w:rsidRPr="00C574D3" w14:paraId="57644ACC" w14:textId="77777777" w:rsidTr="00B63199">
        <w:tc>
          <w:tcPr>
            <w:tcW w:w="5000" w:type="pct"/>
          </w:tcPr>
          <w:p w14:paraId="31935B62" w14:textId="77777777" w:rsidR="00011E6F" w:rsidRDefault="004F4FAF" w:rsidP="004F4FAF">
            <w:pPr>
              <w:spacing w:after="0" w:line="240" w:lineRule="auto"/>
              <w:rPr>
                <w:rFonts w:ascii="Cambria" w:hAnsi="Cambria"/>
                <w:shd w:val="clear" w:color="auto" w:fill="FFFFFF"/>
              </w:rPr>
            </w:pPr>
            <w:r w:rsidRPr="009D2BB5">
              <w:rPr>
                <w:rFonts w:ascii="Cambria" w:hAnsi="Cambria"/>
                <w:shd w:val="clear" w:color="auto" w:fill="FFFFFF"/>
              </w:rPr>
              <w:t>NCES updated the SASS, to reflect changes to the structure of teaching and new opportunities to integrate data from a variety of different sources.</w:t>
            </w:r>
          </w:p>
          <w:p w14:paraId="69D97B83" w14:textId="2DB27085" w:rsidR="004F4FAF" w:rsidRPr="009D2BB5" w:rsidRDefault="004F4FAF" w:rsidP="004F4FAF">
            <w:pPr>
              <w:spacing w:after="0" w:line="240" w:lineRule="auto"/>
              <w:rPr>
                <w:rFonts w:ascii="Cambria" w:hAnsi="Cambria"/>
                <w:noProof/>
              </w:rPr>
            </w:pPr>
            <w:r w:rsidRPr="009D2BB5">
              <w:rPr>
                <w:rFonts w:ascii="Cambria" w:hAnsi="Cambria"/>
                <w:shd w:val="clear" w:color="auto" w:fill="FFFFFF"/>
              </w:rPr>
              <w:t>NCES launched NTPS, the new survey, in the 2015-16 school year. NTPS includes updated content that addresses pressing topics like online courses and teacher and principal evaluations.</w:t>
            </w:r>
          </w:p>
        </w:tc>
      </w:tr>
      <w:tr w:rsidR="004F4FAF" w:rsidRPr="00C574D3" w14:paraId="4BB1C402" w14:textId="77777777" w:rsidTr="00B63199">
        <w:tc>
          <w:tcPr>
            <w:tcW w:w="5000" w:type="pct"/>
          </w:tcPr>
          <w:p w14:paraId="3D9657C4" w14:textId="77777777" w:rsidR="004F4FAF" w:rsidRPr="009D2BB5" w:rsidRDefault="004F4FAF" w:rsidP="004F4FAF">
            <w:pPr>
              <w:spacing w:after="0" w:line="240" w:lineRule="auto"/>
              <w:rPr>
                <w:rFonts w:ascii="Cambria" w:hAnsi="Cambria" w:cs="Arial"/>
              </w:rPr>
            </w:pPr>
            <w:r w:rsidRPr="009D2BB5">
              <w:rPr>
                <w:rFonts w:ascii="Cambria" w:hAnsi="Cambria"/>
                <w:shd w:val="clear" w:color="auto" w:fill="FFFFFF"/>
              </w:rPr>
              <w:t>NTPS includes several different but related questionnaires that collect data from multiple points within a school. The Teacher Questionnaire includes questions about teacher satisfaction, use of instructional software in the classroom, and first year teaching experiences, along with questions on the characteristics of teachers.</w:t>
            </w:r>
          </w:p>
        </w:tc>
      </w:tr>
      <w:tr w:rsidR="004F4FAF" w:rsidRPr="00C574D3" w14:paraId="7D41AF95" w14:textId="77777777" w:rsidTr="00B63199">
        <w:tc>
          <w:tcPr>
            <w:tcW w:w="5000" w:type="pct"/>
          </w:tcPr>
          <w:p w14:paraId="268C9644" w14:textId="77777777" w:rsidR="00011E6F" w:rsidRDefault="004F4FAF" w:rsidP="004F4FAF">
            <w:pPr>
              <w:spacing w:after="0" w:line="240" w:lineRule="auto"/>
              <w:rPr>
                <w:rFonts w:ascii="Cambria" w:hAnsi="Cambria"/>
                <w:noProof/>
              </w:rPr>
            </w:pPr>
            <w:r w:rsidRPr="009D2BB5">
              <w:rPr>
                <w:rFonts w:ascii="Cambria" w:hAnsi="Cambria"/>
                <w:noProof/>
              </w:rPr>
              <w:t>Here’s a first look at some of the data from the survey.</w:t>
            </w:r>
          </w:p>
          <w:p w14:paraId="56D15188" w14:textId="77777777" w:rsidR="00011E6F" w:rsidRDefault="004F4FAF" w:rsidP="004F4FAF">
            <w:pPr>
              <w:spacing w:after="0" w:line="240" w:lineRule="auto"/>
              <w:rPr>
                <w:rFonts w:ascii="Cambria" w:hAnsi="Cambria"/>
                <w:noProof/>
              </w:rPr>
            </w:pPr>
            <w:r w:rsidRPr="009D2BB5">
              <w:rPr>
                <w:rFonts w:ascii="Cambria" w:hAnsi="Cambria"/>
                <w:noProof/>
              </w:rPr>
              <w:t>In 2015-16, over 40 percent of public school teachers had 15 or more years of teaching experience.</w:t>
            </w:r>
          </w:p>
          <w:p w14:paraId="4594EC7F" w14:textId="7A6D8697" w:rsidR="004F4FAF" w:rsidRPr="009D2BB5" w:rsidRDefault="004F4FAF" w:rsidP="004F4FAF">
            <w:pPr>
              <w:spacing w:after="0" w:line="240" w:lineRule="auto"/>
              <w:rPr>
                <w:rFonts w:ascii="Cambria" w:hAnsi="Cambria"/>
                <w:shd w:val="clear" w:color="auto" w:fill="FFFFFF"/>
              </w:rPr>
            </w:pPr>
            <w:r w:rsidRPr="009D2BB5">
              <w:rPr>
                <w:rFonts w:ascii="Cambria" w:hAnsi="Cambria"/>
                <w:noProof/>
              </w:rPr>
              <w:t xml:space="preserve">By contrast, 15 percent of teachers had less than 4 years of experience. </w:t>
            </w:r>
          </w:p>
        </w:tc>
      </w:tr>
      <w:tr w:rsidR="004F4FAF" w:rsidRPr="00C574D3" w14:paraId="7FFF2100" w14:textId="77777777" w:rsidTr="00B63199">
        <w:tc>
          <w:tcPr>
            <w:tcW w:w="5000" w:type="pct"/>
          </w:tcPr>
          <w:p w14:paraId="05CE590C" w14:textId="77777777" w:rsidR="00011E6F" w:rsidRDefault="004F4FAF" w:rsidP="004F4FAF">
            <w:pPr>
              <w:spacing w:after="0" w:line="240" w:lineRule="auto"/>
              <w:rPr>
                <w:rFonts w:ascii="Cambria" w:hAnsi="Cambria"/>
                <w:noProof/>
              </w:rPr>
            </w:pPr>
            <w:r w:rsidRPr="009D2BB5">
              <w:rPr>
                <w:rFonts w:ascii="Cambria" w:hAnsi="Cambria"/>
                <w:noProof/>
              </w:rPr>
              <w:t>The average base salary for regular full-time teachers in 2015-16 was 55,100 dollars.</w:t>
            </w:r>
          </w:p>
          <w:p w14:paraId="1A245C8C" w14:textId="37319FDB" w:rsidR="004F4FAF" w:rsidRPr="009D2BB5" w:rsidRDefault="004F4FAF" w:rsidP="004F4FAF">
            <w:pPr>
              <w:spacing w:after="0" w:line="240" w:lineRule="auto"/>
              <w:rPr>
                <w:rFonts w:ascii="Cambria" w:hAnsi="Cambria"/>
                <w:noProof/>
                <w:highlight w:val="yellow"/>
              </w:rPr>
            </w:pPr>
            <w:r w:rsidRPr="009D2BB5">
              <w:rPr>
                <w:rFonts w:ascii="Cambria" w:hAnsi="Cambria"/>
                <w:noProof/>
              </w:rPr>
              <w:t>Salaries differed by school level and ranged from 54,300 dollars for primary school teachers to 57,400 dollars for high school teachers.</w:t>
            </w:r>
          </w:p>
        </w:tc>
      </w:tr>
      <w:tr w:rsidR="004F4FAF" w:rsidRPr="00C574D3" w14:paraId="563688BD" w14:textId="77777777" w:rsidTr="00B63199">
        <w:tc>
          <w:tcPr>
            <w:tcW w:w="5000" w:type="pct"/>
          </w:tcPr>
          <w:p w14:paraId="79A1FB67" w14:textId="77777777" w:rsidR="004F4FAF" w:rsidRPr="009D2BB5" w:rsidRDefault="004F4FAF" w:rsidP="004F4FAF">
            <w:pPr>
              <w:spacing w:after="0" w:line="240" w:lineRule="auto"/>
              <w:rPr>
                <w:rFonts w:ascii="Cambria" w:hAnsi="Cambria"/>
                <w:noProof/>
              </w:rPr>
            </w:pPr>
            <w:r w:rsidRPr="009D2BB5">
              <w:rPr>
                <w:rFonts w:ascii="Cambria" w:hAnsi="Cambria"/>
                <w:shd w:val="clear" w:color="auto" w:fill="FFFFFF"/>
              </w:rPr>
              <w:t>The Principal Questionnaire asks questions on parent or guardian involvement, frequency of problems such as bullying, how teachers and principals are evaluated, and principals’ top goals, along with questions on the characteristics of principals.</w:t>
            </w:r>
          </w:p>
        </w:tc>
      </w:tr>
      <w:tr w:rsidR="004F4FAF" w:rsidRPr="00C574D3" w14:paraId="0D727B64" w14:textId="77777777" w:rsidTr="00B63199">
        <w:tc>
          <w:tcPr>
            <w:tcW w:w="5000" w:type="pct"/>
          </w:tcPr>
          <w:p w14:paraId="6420A61E" w14:textId="77777777" w:rsidR="00011E6F" w:rsidRDefault="004F4FAF" w:rsidP="004F4FAF">
            <w:pPr>
              <w:spacing w:after="0" w:line="240" w:lineRule="auto"/>
              <w:rPr>
                <w:rFonts w:ascii="Cambria" w:hAnsi="Cambria"/>
                <w:noProof/>
              </w:rPr>
            </w:pPr>
            <w:r w:rsidRPr="009D2BB5">
              <w:rPr>
                <w:rFonts w:ascii="Cambria" w:hAnsi="Cambria"/>
                <w:noProof/>
              </w:rPr>
              <w:t>In 2015-16, a majority of public school principals were White.</w:t>
            </w:r>
          </w:p>
          <w:p w14:paraId="05259284" w14:textId="583AD595" w:rsidR="004F4FAF" w:rsidRPr="009D2BB5" w:rsidRDefault="004F4FAF" w:rsidP="004F4FAF">
            <w:pPr>
              <w:spacing w:after="0" w:line="240" w:lineRule="auto"/>
              <w:rPr>
                <w:rFonts w:ascii="Cambria" w:hAnsi="Cambria"/>
                <w:shd w:val="clear" w:color="auto" w:fill="FFFFFF"/>
              </w:rPr>
            </w:pPr>
            <w:r w:rsidRPr="009D2BB5">
              <w:rPr>
                <w:rFonts w:ascii="Cambria" w:hAnsi="Cambria"/>
                <w:noProof/>
              </w:rPr>
              <w:t>About 11 percent of principals were Black, 8 percent were Hispanic, and 3 percent were of other races and ethnicities.</w:t>
            </w:r>
          </w:p>
        </w:tc>
      </w:tr>
      <w:tr w:rsidR="004F4FAF" w:rsidRPr="00C574D3" w14:paraId="6B7818E4" w14:textId="77777777" w:rsidTr="00B63199">
        <w:tc>
          <w:tcPr>
            <w:tcW w:w="5000" w:type="pct"/>
          </w:tcPr>
          <w:p w14:paraId="7BF46FF6" w14:textId="77777777" w:rsidR="004F4FAF" w:rsidRPr="009D2BB5" w:rsidRDefault="004F4FAF" w:rsidP="004F4FAF">
            <w:pPr>
              <w:spacing w:after="0" w:line="240" w:lineRule="auto"/>
              <w:rPr>
                <w:rFonts w:ascii="Cambria" w:hAnsi="Cambria"/>
                <w:noProof/>
              </w:rPr>
            </w:pPr>
            <w:r w:rsidRPr="009D2BB5">
              <w:rPr>
                <w:rFonts w:ascii="Cambria" w:hAnsi="Cambria"/>
                <w:shd w:val="clear" w:color="auto" w:fill="FFFFFF"/>
              </w:rPr>
              <w:t xml:space="preserve">The School Questionnaire asks about topics like the length of the school day, how difficult it is to fill vacancies at the school, online course offerings, and school start times. </w:t>
            </w:r>
          </w:p>
        </w:tc>
      </w:tr>
      <w:tr w:rsidR="004F4FAF" w:rsidRPr="00C574D3" w14:paraId="6B14A400" w14:textId="77777777" w:rsidTr="00B63199">
        <w:tc>
          <w:tcPr>
            <w:tcW w:w="5000" w:type="pct"/>
          </w:tcPr>
          <w:p w14:paraId="795FCBA6" w14:textId="77777777" w:rsidR="004F4FAF" w:rsidRPr="009D2BB5" w:rsidRDefault="004F4FAF" w:rsidP="004F4FAF">
            <w:pPr>
              <w:spacing w:after="0" w:line="240" w:lineRule="auto"/>
              <w:rPr>
                <w:rFonts w:ascii="Cambria" w:hAnsi="Cambria"/>
                <w:shd w:val="clear" w:color="auto" w:fill="FFFFFF"/>
              </w:rPr>
            </w:pPr>
            <w:r w:rsidRPr="009D2BB5">
              <w:rPr>
                <w:rFonts w:ascii="Cambria" w:hAnsi="Cambria"/>
                <w:noProof/>
              </w:rPr>
              <w:t>In 2015-16, high schools had the earliest start times, with an average start time of 7:59am. Primary schools had the latest start times, with an average start time of 8:17am.</w:t>
            </w:r>
          </w:p>
        </w:tc>
      </w:tr>
      <w:tr w:rsidR="004F4FAF" w:rsidRPr="00C574D3" w14:paraId="074A7555" w14:textId="77777777" w:rsidTr="00B63199">
        <w:tc>
          <w:tcPr>
            <w:tcW w:w="5000" w:type="pct"/>
          </w:tcPr>
          <w:p w14:paraId="11E48838" w14:textId="77777777" w:rsidR="004F4FAF" w:rsidRPr="009D2BB5" w:rsidRDefault="004F4FAF" w:rsidP="004F4FAF">
            <w:pPr>
              <w:spacing w:after="0" w:line="240" w:lineRule="auto"/>
              <w:rPr>
                <w:rFonts w:ascii="Cambria" w:hAnsi="Cambria"/>
                <w:noProof/>
              </w:rPr>
            </w:pPr>
            <w:r w:rsidRPr="009D2BB5">
              <w:rPr>
                <w:rFonts w:ascii="Cambria" w:hAnsi="Cambria"/>
                <w:noProof/>
              </w:rPr>
              <w:t>Visit nces.ed.gov to learn more about the NTPS, and to find out more about teachers, principals, and schools in the United States.</w:t>
            </w:r>
          </w:p>
        </w:tc>
      </w:tr>
    </w:tbl>
    <w:p w14:paraId="02E0B981" w14:textId="77777777" w:rsidR="00375E2A" w:rsidRPr="00375E2A" w:rsidRDefault="00375E2A" w:rsidP="00375E2A">
      <w:pPr>
        <w:widowControl w:val="0"/>
        <w:pBdr>
          <w:bottom w:val="single" w:sz="6" w:space="1" w:color="auto"/>
        </w:pBdr>
        <w:spacing w:after="0" w:line="240" w:lineRule="auto"/>
        <w:ind w:right="-18"/>
        <w:rPr>
          <w:rFonts w:cstheme="minorBidi"/>
          <w:spacing w:val="-1"/>
          <w:sz w:val="10"/>
          <w:szCs w:val="10"/>
        </w:rPr>
      </w:pPr>
    </w:p>
    <w:p w14:paraId="38835343" w14:textId="77777777" w:rsidR="00375E2A" w:rsidRPr="004F6DF1" w:rsidRDefault="00375E2A" w:rsidP="00375E2A">
      <w:pPr>
        <w:widowControl w:val="0"/>
        <w:spacing w:after="0" w:line="240" w:lineRule="auto"/>
        <w:ind w:right="-18"/>
        <w:rPr>
          <w:rFonts w:cstheme="minorBidi"/>
        </w:rPr>
      </w:pPr>
    </w:p>
    <w:p w14:paraId="4054ECA8" w14:textId="77777777" w:rsidR="003A1246" w:rsidRPr="004F6DF1" w:rsidRDefault="003A1246" w:rsidP="004F6DF1">
      <w:pPr>
        <w:spacing w:after="120" w:line="240" w:lineRule="auto"/>
        <w:jc w:val="center"/>
        <w:rPr>
          <w:b/>
          <w:sz w:val="28"/>
          <w:szCs w:val="28"/>
        </w:rPr>
      </w:pPr>
      <w:r w:rsidRPr="004F6DF1">
        <w:rPr>
          <w:b/>
          <w:sz w:val="28"/>
          <w:szCs w:val="28"/>
        </w:rPr>
        <w:t>NTPS 2017-18 – Updates</w:t>
      </w:r>
      <w:r w:rsidRPr="004F6DF1">
        <w:rPr>
          <w:rStyle w:val="FootnoteReference"/>
          <w:b/>
          <w:sz w:val="28"/>
          <w:szCs w:val="28"/>
        </w:rPr>
        <w:footnoteReference w:id="2"/>
      </w:r>
      <w:r w:rsidRPr="004F6DF1">
        <w:rPr>
          <w:b/>
          <w:sz w:val="28"/>
          <w:szCs w:val="28"/>
        </w:rPr>
        <w:t xml:space="preserve"> for Implementing the Contingency Plan Teacher Incentives</w:t>
      </w:r>
    </w:p>
    <w:p w14:paraId="67BFE02E" w14:textId="77777777" w:rsidR="003A1246" w:rsidRPr="0059486C" w:rsidRDefault="003A1246" w:rsidP="004F6DF1">
      <w:pPr>
        <w:pStyle w:val="ListParagraph"/>
        <w:numPr>
          <w:ilvl w:val="0"/>
          <w:numId w:val="27"/>
        </w:numPr>
        <w:spacing w:after="120" w:line="240" w:lineRule="auto"/>
        <w:rPr>
          <w:b/>
        </w:rPr>
      </w:pPr>
      <w:r w:rsidRPr="0059486C">
        <w:rPr>
          <w:b/>
        </w:rPr>
        <w:t>Purpose</w:t>
      </w:r>
    </w:p>
    <w:p w14:paraId="36123AFD" w14:textId="6B29C5C0" w:rsidR="004F6DF1" w:rsidRDefault="003A1246" w:rsidP="004F6DF1">
      <w:pPr>
        <w:spacing w:after="120" w:line="240" w:lineRule="auto"/>
      </w:pPr>
      <w:r>
        <w:t xml:space="preserve">The purpose of this document is to expand on the information contained in the </w:t>
      </w:r>
      <w:r w:rsidR="0059486C">
        <w:t xml:space="preserve">last approved </w:t>
      </w:r>
      <w:r>
        <w:t xml:space="preserve">2017-18 National Teacher and Principal Survey (NTPS) clearance request </w:t>
      </w:r>
      <w:r w:rsidR="0059486C">
        <w:t xml:space="preserve">(OMB# 1850-0598 v.21) </w:t>
      </w:r>
      <w:r>
        <w:t xml:space="preserve">regarding a contingency incentive plan and </w:t>
      </w:r>
      <w:r w:rsidR="0059486C">
        <w:t>confirm that</w:t>
      </w:r>
      <w:r>
        <w:t xml:space="preserve"> the contingency plan teacher incentives </w:t>
      </w:r>
      <w:r w:rsidR="0059486C">
        <w:t xml:space="preserve">will be implemented </w:t>
      </w:r>
      <w:r>
        <w:t>during the 2017-18 NTPS. The NTPS is a system of surveys, and in its current design, has only been fielded once before, in 2015-16. During that fielding, response rates for some key sub groups (e.g., city teachers) did not meet NCES reporting standards (e.g., a response rate of at least 50% within the subgroup).</w:t>
      </w:r>
      <w:r w:rsidR="004F6DF1">
        <w:t xml:space="preserve"> </w:t>
      </w:r>
      <w:r>
        <w:t xml:space="preserve">To prepare for this possibility occurring during the 2017-18 collection, we included </w:t>
      </w:r>
      <w:r w:rsidR="0059486C">
        <w:t xml:space="preserve">in the approved clearance documents (OMB# 1850-0598 v.18-21) </w:t>
      </w:r>
      <w:r>
        <w:t>a contingency incentive experiment that could be implemented if needed during data collection.</w:t>
      </w:r>
      <w:r w:rsidR="004F6DF1">
        <w:t xml:space="preserve"> </w:t>
      </w:r>
      <w:r>
        <w:t xml:space="preserve">A description of this plan was included in </w:t>
      </w:r>
      <w:r w:rsidR="0059486C">
        <w:t>section B.4.2 of the Supporting Statement Part B (pp.21-22)</w:t>
      </w:r>
      <w:r>
        <w:t>.</w:t>
      </w:r>
      <w:r w:rsidR="004F6DF1">
        <w:t xml:space="preserve"> </w:t>
      </w:r>
      <w:r w:rsidR="0059486C">
        <w:t>Below, we</w:t>
      </w:r>
      <w:r>
        <w:t xml:space="preserve"> outline the current </w:t>
      </w:r>
      <w:r w:rsidR="0059486C">
        <w:t xml:space="preserve">2017-18 NTPS </w:t>
      </w:r>
      <w:r>
        <w:t>response rates, impact of incentives to date</w:t>
      </w:r>
      <w:r w:rsidR="0059486C">
        <w:t>,</w:t>
      </w:r>
      <w:r>
        <w:t xml:space="preserve"> and groups where we believe additional (contingency) incentives are needed.</w:t>
      </w:r>
    </w:p>
    <w:p w14:paraId="50BA9B2D" w14:textId="77777777" w:rsidR="003A1246" w:rsidRPr="0059486C" w:rsidRDefault="003A1246" w:rsidP="004F6DF1">
      <w:pPr>
        <w:pStyle w:val="ListParagraph"/>
        <w:numPr>
          <w:ilvl w:val="0"/>
          <w:numId w:val="27"/>
        </w:numPr>
        <w:spacing w:after="120" w:line="240" w:lineRule="auto"/>
        <w:rPr>
          <w:b/>
        </w:rPr>
      </w:pPr>
      <w:r w:rsidRPr="0059486C">
        <w:rPr>
          <w:b/>
        </w:rPr>
        <w:t>Overview of the Contingency Incentive Plan</w:t>
      </w:r>
    </w:p>
    <w:p w14:paraId="31949C1E" w14:textId="4A91A224" w:rsidR="004F6DF1" w:rsidRDefault="003A1246" w:rsidP="0059486C">
      <w:pPr>
        <w:widowControl w:val="0"/>
        <w:spacing w:after="120" w:line="240" w:lineRule="auto"/>
      </w:pPr>
      <w:r>
        <w:t>The contingency plan teacher incen</w:t>
      </w:r>
      <w:r w:rsidR="0059486C">
        <w:t>tive is a secondary incentive (</w:t>
      </w:r>
      <w:r>
        <w:t>boost incentive)</w:t>
      </w:r>
      <w:r w:rsidR="00F8539C">
        <w:t xml:space="preserve">, and </w:t>
      </w:r>
      <w:r>
        <w:t>will be implemented on an experimental basis at the school level (all NTPS sampled teachers in the school are in the same condition group (treatment or control)).</w:t>
      </w:r>
      <w:r w:rsidR="004F6DF1">
        <w:t xml:space="preserve"> </w:t>
      </w:r>
      <w:r>
        <w:t>The incentive will be sent with the third survey mailout (this will be the first time many teachers receive a paper questionnaire rather than an invitation to take the survey by internet)</w:t>
      </w:r>
      <w:r w:rsidR="00F8539C">
        <w:t>.</w:t>
      </w:r>
      <w:r w:rsidR="004F6DF1">
        <w:t xml:space="preserve"> </w:t>
      </w:r>
      <w:r>
        <w:t>Eligible</w:t>
      </w:r>
      <w:r w:rsidRPr="00633B39">
        <w:t xml:space="preserve"> non-priority school teachers will receive a pre-paid $1</w:t>
      </w:r>
      <w:r>
        <w:t>0 cash incentive</w:t>
      </w:r>
      <w:r w:rsidR="004F6DF1">
        <w:t xml:space="preserve"> </w:t>
      </w:r>
      <w:r w:rsidRPr="00633B39">
        <w:t xml:space="preserve">and </w:t>
      </w:r>
      <w:r>
        <w:t>eligible</w:t>
      </w:r>
      <w:r w:rsidRPr="00633B39">
        <w:t xml:space="preserve"> priority school teachers will receive a pre-paid</w:t>
      </w:r>
      <w:r>
        <w:t xml:space="preserve"> cash</w:t>
      </w:r>
      <w:r w:rsidRPr="00633B39">
        <w:t xml:space="preserve"> </w:t>
      </w:r>
      <w:r>
        <w:t>$20 incentive</w:t>
      </w:r>
      <w:r w:rsidRPr="00633B39">
        <w:t>.</w:t>
      </w:r>
      <w:r w:rsidR="004F6DF1">
        <w:t xml:space="preserve"> </w:t>
      </w:r>
      <w:r>
        <w:t>If</w:t>
      </w:r>
      <w:r w:rsidRPr="00633B39">
        <w:t xml:space="preserve"> the teacher has already completed their interview by the time of the third mail-out, they will receive the incentive with a ‘thank-you’ letter as opposed to the paper questionnaire.</w:t>
      </w:r>
      <w:r w:rsidR="004F6DF1">
        <w:t xml:space="preserve"> </w:t>
      </w:r>
      <w:r w:rsidRPr="00633B39">
        <w:t xml:space="preserve">This will prevent </w:t>
      </w:r>
      <w:r w:rsidR="00F8539C">
        <w:t>incentive conditioning (e.g., i</w:t>
      </w:r>
      <w:r>
        <w:t xml:space="preserve">f </w:t>
      </w:r>
      <w:r w:rsidRPr="00633B39">
        <w:t>teachers</w:t>
      </w:r>
      <w:r>
        <w:t xml:space="preserve"> observe other teachers receiving larger incentives by delaying response during this round, they may choose to delay response in </w:t>
      </w:r>
      <w:r w:rsidR="00F8539C" w:rsidRPr="00633B39">
        <w:t>subsequent NTPS data collection cycles, should they be sampled again</w:t>
      </w:r>
      <w:r w:rsidR="00F8539C">
        <w:t xml:space="preserve">, in </w:t>
      </w:r>
      <w:r>
        <w:t>hopes of receiving larger incentives</w:t>
      </w:r>
      <w:r w:rsidR="00F8539C">
        <w:t>)</w:t>
      </w:r>
      <w:r w:rsidRPr="00633B39">
        <w:t>.</w:t>
      </w:r>
    </w:p>
    <w:p w14:paraId="0A49F064" w14:textId="77777777" w:rsidR="004F6DF1" w:rsidRDefault="003A1246" w:rsidP="004F6DF1">
      <w:pPr>
        <w:spacing w:after="120" w:line="240" w:lineRule="auto"/>
      </w:pPr>
      <w:r>
        <w:t>Prior to data collection, schools were selected to be eligible to receive the contingency plan teacher incentives at random across eight experimental groups that were created for the main incentive experiment (described below).</w:t>
      </w:r>
      <w:r w:rsidR="004F6DF1">
        <w:t xml:space="preserve"> </w:t>
      </w:r>
      <w:r>
        <w:t>Half of the schools in sample are eligible to receive the contingency plan teacher incentives and the other half are in the control group.</w:t>
      </w:r>
      <w:r w:rsidR="004F6DF1">
        <w:t xml:space="preserve"> </w:t>
      </w:r>
      <w:r>
        <w:t>This will allow comparisons between the teachers that receive the contingency plan incentives and teachers that do not receive the contingency plan incentives, within the selected school domains.</w:t>
      </w:r>
    </w:p>
    <w:p w14:paraId="692C829A" w14:textId="77777777" w:rsidR="003A1246" w:rsidRPr="00F8539C" w:rsidRDefault="003A1246" w:rsidP="004F6DF1">
      <w:pPr>
        <w:pStyle w:val="ListParagraph"/>
        <w:numPr>
          <w:ilvl w:val="0"/>
          <w:numId w:val="27"/>
        </w:numPr>
        <w:spacing w:after="120" w:line="240" w:lineRule="auto"/>
        <w:rPr>
          <w:b/>
        </w:rPr>
      </w:pPr>
      <w:r w:rsidRPr="00F8539C">
        <w:rPr>
          <w:b/>
        </w:rPr>
        <w:t>Background on the NTPS 2017-18 Teacher Incentive Experiment</w:t>
      </w:r>
    </w:p>
    <w:p w14:paraId="4A43B594" w14:textId="3478E0AC" w:rsidR="004F6DF1" w:rsidRDefault="003A1246" w:rsidP="0089511B">
      <w:pPr>
        <w:widowControl w:val="0"/>
        <w:spacing w:after="120" w:line="240" w:lineRule="auto"/>
      </w:pPr>
      <w:r>
        <w:t>For the 2017-18 data collection period, NTPS is conducting a teacher incentive experiment. The goal of the experiment is to determine whether or not providing teachers with incentives increases the overall teacher response rates.</w:t>
      </w:r>
      <w:r w:rsidR="004F6DF1">
        <w:t xml:space="preserve"> </w:t>
      </w:r>
      <w:r>
        <w:t>Because teachers are sampled on a flow basis, the teacher incentive experiment is comprised of two phases.</w:t>
      </w:r>
      <w:r w:rsidR="004F6DF1">
        <w:t xml:space="preserve"> </w:t>
      </w:r>
      <w:r w:rsidRPr="00EF3819">
        <w:t>Phase one of the teacher incentive experiment is currently active.</w:t>
      </w:r>
      <w:r w:rsidR="004F6DF1">
        <w:t xml:space="preserve"> </w:t>
      </w:r>
      <w:r w:rsidRPr="00EF3819">
        <w:t>This phase runs during waves 1 through 12 of the teacher sampling period.</w:t>
      </w:r>
      <w:r w:rsidR="004F6DF1">
        <w:t xml:space="preserve"> </w:t>
      </w:r>
      <w:r w:rsidRPr="00EF3819">
        <w:t xml:space="preserve">Phase two of the teacher incentive experiment </w:t>
      </w:r>
      <w:r>
        <w:t>began with wave 13 on February 6</w:t>
      </w:r>
      <w:r w:rsidRPr="00B72739">
        <w:rPr>
          <w:vertAlign w:val="superscript"/>
        </w:rPr>
        <w:t>th</w:t>
      </w:r>
      <w:r w:rsidR="00F8539C">
        <w:t xml:space="preserve">, 2018, </w:t>
      </w:r>
      <w:r>
        <w:t xml:space="preserve">and runs </w:t>
      </w:r>
      <w:r w:rsidRPr="00EF3819">
        <w:t xml:space="preserve">through </w:t>
      </w:r>
      <w:r>
        <w:t xml:space="preserve">wave </w:t>
      </w:r>
      <w:r w:rsidRPr="00EF3819">
        <w:t>20</w:t>
      </w:r>
      <w:r>
        <w:t xml:space="preserve">. </w:t>
      </w:r>
      <w:r w:rsidRPr="00EF3819">
        <w:t>During phase one of the experiment, teachers in the experimental group are receiving a $5 incentive with their first mail-out invitation to complete the survey.</w:t>
      </w:r>
      <w:r w:rsidR="004F6DF1">
        <w:t xml:space="preserve"> </w:t>
      </w:r>
      <w:r w:rsidRPr="00EF3819">
        <w:t xml:space="preserve">During phase two of the experiment, teachers in experimental group </w:t>
      </w:r>
      <w:r>
        <w:t xml:space="preserve">are </w:t>
      </w:r>
      <w:r w:rsidRPr="00EF3819">
        <w:t>receiv</w:t>
      </w:r>
      <w:r>
        <w:t>ing</w:t>
      </w:r>
      <w:r w:rsidRPr="00EF3819">
        <w:t xml:space="preserve"> $5 or $10</w:t>
      </w:r>
      <w:r w:rsidR="00F8539C">
        <w:t>,</w:t>
      </w:r>
      <w:r w:rsidRPr="00EF3819">
        <w:t xml:space="preserve"> depending on whether their school is considered a priority school.</w:t>
      </w:r>
      <w:r w:rsidR="004F6DF1">
        <w:t xml:space="preserve"> </w:t>
      </w:r>
      <w:r w:rsidRPr="00EF3819">
        <w:t>Schools in the phase two of the teacher incentive experiment tend have lower response rates, which impact</w:t>
      </w:r>
      <w:r w:rsidR="00F8539C">
        <w:t>s results</w:t>
      </w:r>
      <w:r w:rsidRPr="00EF3819">
        <w:t xml:space="preserve"> publishabi</w:t>
      </w:r>
      <w:r w:rsidR="00F8539C">
        <w:t>li</w:t>
      </w:r>
      <w:r w:rsidRPr="00EF3819">
        <w:t xml:space="preserve">ty. As such, an incentive </w:t>
      </w:r>
      <w:r w:rsidR="00F8539C">
        <w:t>is</w:t>
      </w:r>
      <w:r w:rsidRPr="00EF3819">
        <w:t xml:space="preserve"> be</w:t>
      </w:r>
      <w:r w:rsidR="00F8539C">
        <w:t>ing</w:t>
      </w:r>
      <w:r w:rsidRPr="00EF3819">
        <w:t xml:space="preserve"> provided to the school coordinator or principal in the first teacher mailout package in waves 13-20. The school coordinator or principal is responsible for distributing the teacher questionnaires and act</w:t>
      </w:r>
      <w:r w:rsidR="00F8539C">
        <w:t>s</w:t>
      </w:r>
      <w:r w:rsidRPr="00EF3819">
        <w:t xml:space="preserve"> as a gatekeeper to the teachers. Therefore, an incentive is provided to the school’s coordinator or principal as a token of appreciation for their assistance with distributing the teacher questionnaires.</w:t>
      </w:r>
    </w:p>
    <w:p w14:paraId="41898863" w14:textId="2DB5E1D3" w:rsidR="003A1246" w:rsidRPr="00EF3819" w:rsidRDefault="003A1246" w:rsidP="004F6DF1">
      <w:pPr>
        <w:spacing w:after="120" w:line="240" w:lineRule="auto"/>
      </w:pPr>
      <w:r w:rsidRPr="00EF3819">
        <w:t xml:space="preserve">Table 1 shows the </w:t>
      </w:r>
      <w:r w:rsidR="00F8539C">
        <w:t xml:space="preserve">approved </w:t>
      </w:r>
      <w:r w:rsidRPr="00EF3819">
        <w:t>incentive types and amounts for each phase.</w:t>
      </w:r>
      <w:r w:rsidR="004F6DF1">
        <w:t xml:space="preserve"> </w:t>
      </w:r>
      <w:r w:rsidRPr="00EF3819">
        <w:t xml:space="preserve">Priority schools receive a higher incentive during phase two of the incentives experiment because these school were identified prior to data collection as having low propensity to respond and larger impacts on weighting, and </w:t>
      </w:r>
      <w:r w:rsidR="00F8539C">
        <w:t>thus</w:t>
      </w:r>
      <w:r w:rsidRPr="00EF3819">
        <w:t xml:space="preserve"> requir</w:t>
      </w:r>
      <w:r w:rsidR="00F8539C">
        <w:t>e</w:t>
      </w:r>
      <w:r w:rsidRPr="00EF3819">
        <w:t xml:space="preserve"> extra intervention, based on previous cycles of NTPS or SASS data collection.</w:t>
      </w:r>
    </w:p>
    <w:p w14:paraId="54421F25" w14:textId="5F68969C" w:rsidR="003A1246" w:rsidRPr="00C70E18" w:rsidRDefault="003A1246" w:rsidP="00C70E18">
      <w:pPr>
        <w:pStyle w:val="Caption"/>
        <w:keepNext/>
        <w:keepLines/>
        <w:spacing w:before="240" w:after="60"/>
        <w:rPr>
          <w:b/>
        </w:rPr>
      </w:pPr>
      <w:r w:rsidRPr="00C70E18">
        <w:rPr>
          <w:b/>
        </w:rPr>
        <w:t xml:space="preserve">Table </w:t>
      </w:r>
      <w:r w:rsidRPr="00C70E18">
        <w:rPr>
          <w:b/>
        </w:rPr>
        <w:fldChar w:fldCharType="begin"/>
      </w:r>
      <w:r w:rsidRPr="00C70E18">
        <w:rPr>
          <w:b/>
        </w:rPr>
        <w:instrText xml:space="preserve"> SEQ Table \* ARABIC </w:instrText>
      </w:r>
      <w:r w:rsidRPr="00C70E18">
        <w:rPr>
          <w:b/>
        </w:rPr>
        <w:fldChar w:fldCharType="separate"/>
      </w:r>
      <w:r w:rsidRPr="00C70E18">
        <w:rPr>
          <w:b/>
          <w:noProof/>
        </w:rPr>
        <w:t>1</w:t>
      </w:r>
      <w:r w:rsidRPr="00C70E18">
        <w:rPr>
          <w:b/>
          <w:noProof/>
        </w:rPr>
        <w:fldChar w:fldCharType="end"/>
      </w:r>
      <w:r w:rsidRPr="00C70E18">
        <w:rPr>
          <w:b/>
        </w:rPr>
        <w:t>.</w:t>
      </w:r>
      <w:r w:rsidR="004F6DF1" w:rsidRPr="00C70E18">
        <w:rPr>
          <w:b/>
        </w:rPr>
        <w:t xml:space="preserve"> </w:t>
      </w:r>
      <w:r w:rsidRPr="00C70E18">
        <w:rPr>
          <w:b/>
        </w:rPr>
        <w:t>Incentive Types and Amounts</w:t>
      </w:r>
    </w:p>
    <w:tbl>
      <w:tblPr>
        <w:tblW w:w="5000" w:type="pct"/>
        <w:tblLook w:val="04A0" w:firstRow="1" w:lastRow="0" w:firstColumn="1" w:lastColumn="0" w:noHBand="0" w:noVBand="1"/>
      </w:tblPr>
      <w:tblGrid>
        <w:gridCol w:w="1028"/>
        <w:gridCol w:w="4684"/>
        <w:gridCol w:w="2495"/>
        <w:gridCol w:w="2521"/>
      </w:tblGrid>
      <w:tr w:rsidR="003A1246" w14:paraId="3C30120A" w14:textId="77777777" w:rsidTr="00707EB7">
        <w:tc>
          <w:tcPr>
            <w:tcW w:w="479" w:type="pct"/>
            <w:vMerge w:val="restart"/>
            <w:tcBorders>
              <w:top w:val="single" w:sz="4" w:space="0" w:color="auto"/>
              <w:left w:val="single" w:sz="4" w:space="0" w:color="auto"/>
              <w:bottom w:val="single" w:sz="4" w:space="0" w:color="auto"/>
              <w:right w:val="single" w:sz="4" w:space="0" w:color="auto"/>
            </w:tcBorders>
            <w:vAlign w:val="center"/>
          </w:tcPr>
          <w:p w14:paraId="07B1BED6" w14:textId="77777777" w:rsidR="003A1246" w:rsidRPr="007F0BEF" w:rsidRDefault="003A1246" w:rsidP="002C65A1">
            <w:pPr>
              <w:keepNext/>
              <w:keepLines/>
              <w:tabs>
                <w:tab w:val="left" w:pos="720"/>
                <w:tab w:val="left" w:pos="2160"/>
                <w:tab w:val="left" w:pos="5040"/>
                <w:tab w:val="left" w:pos="7200"/>
              </w:tabs>
              <w:spacing w:after="0" w:line="240" w:lineRule="auto"/>
              <w:jc w:val="center"/>
              <w:rPr>
                <w:b/>
              </w:rPr>
            </w:pPr>
            <w:r w:rsidRPr="007F0BEF">
              <w:rPr>
                <w:b/>
              </w:rPr>
              <w:t>Waves</w:t>
            </w:r>
          </w:p>
        </w:tc>
        <w:tc>
          <w:tcPr>
            <w:tcW w:w="2183" w:type="pct"/>
            <w:vMerge w:val="restart"/>
            <w:tcBorders>
              <w:top w:val="single" w:sz="4" w:space="0" w:color="auto"/>
              <w:left w:val="single" w:sz="4" w:space="0" w:color="auto"/>
              <w:bottom w:val="single" w:sz="4" w:space="0" w:color="auto"/>
              <w:right w:val="single" w:sz="4" w:space="0" w:color="auto"/>
            </w:tcBorders>
            <w:vAlign w:val="center"/>
          </w:tcPr>
          <w:p w14:paraId="48F2DCE7" w14:textId="77777777" w:rsidR="003A1246" w:rsidRPr="007F0BEF" w:rsidRDefault="003A1246" w:rsidP="002C65A1">
            <w:pPr>
              <w:keepNext/>
              <w:keepLines/>
              <w:tabs>
                <w:tab w:val="left" w:pos="720"/>
                <w:tab w:val="left" w:pos="2160"/>
                <w:tab w:val="left" w:pos="5040"/>
                <w:tab w:val="left" w:pos="7200"/>
              </w:tabs>
              <w:spacing w:after="0" w:line="240" w:lineRule="auto"/>
              <w:jc w:val="center"/>
              <w:rPr>
                <w:b/>
              </w:rPr>
            </w:pPr>
            <w:r w:rsidRPr="007F0BEF">
              <w:rPr>
                <w:b/>
              </w:rPr>
              <w:t xml:space="preserve">Incentive </w:t>
            </w:r>
            <w:r>
              <w:rPr>
                <w:b/>
              </w:rPr>
              <w:t>Type</w:t>
            </w:r>
          </w:p>
        </w:tc>
        <w:tc>
          <w:tcPr>
            <w:tcW w:w="2338" w:type="pct"/>
            <w:gridSpan w:val="2"/>
            <w:tcBorders>
              <w:top w:val="single" w:sz="4" w:space="0" w:color="auto"/>
              <w:left w:val="single" w:sz="4" w:space="0" w:color="auto"/>
              <w:bottom w:val="single" w:sz="4" w:space="0" w:color="auto"/>
              <w:right w:val="single" w:sz="4" w:space="0" w:color="auto"/>
            </w:tcBorders>
            <w:vAlign w:val="center"/>
          </w:tcPr>
          <w:p w14:paraId="2811567F" w14:textId="77777777" w:rsidR="003A1246" w:rsidRPr="007F0BEF" w:rsidRDefault="003A1246" w:rsidP="002C65A1">
            <w:pPr>
              <w:keepNext/>
              <w:keepLines/>
              <w:tabs>
                <w:tab w:val="left" w:pos="720"/>
                <w:tab w:val="left" w:pos="2160"/>
                <w:tab w:val="left" w:pos="5040"/>
                <w:tab w:val="left" w:pos="7200"/>
              </w:tabs>
              <w:spacing w:after="0" w:line="240" w:lineRule="auto"/>
              <w:jc w:val="center"/>
              <w:rPr>
                <w:b/>
              </w:rPr>
            </w:pPr>
            <w:r w:rsidRPr="007F0BEF">
              <w:rPr>
                <w:b/>
              </w:rPr>
              <w:t>Incentive Amount</w:t>
            </w:r>
          </w:p>
        </w:tc>
      </w:tr>
      <w:tr w:rsidR="003A1246" w14:paraId="09048ADB" w14:textId="77777777" w:rsidTr="00707EB7">
        <w:tc>
          <w:tcPr>
            <w:tcW w:w="479" w:type="pct"/>
            <w:vMerge/>
            <w:tcBorders>
              <w:top w:val="single" w:sz="4" w:space="0" w:color="auto"/>
              <w:left w:val="single" w:sz="4" w:space="0" w:color="auto"/>
              <w:bottom w:val="single" w:sz="4" w:space="0" w:color="auto"/>
              <w:right w:val="single" w:sz="4" w:space="0" w:color="auto"/>
            </w:tcBorders>
            <w:vAlign w:val="center"/>
          </w:tcPr>
          <w:p w14:paraId="1B30E38D" w14:textId="77777777" w:rsidR="003A1246" w:rsidRPr="007F0BEF" w:rsidRDefault="003A1246" w:rsidP="002C65A1">
            <w:pPr>
              <w:keepNext/>
              <w:keepLines/>
              <w:tabs>
                <w:tab w:val="left" w:pos="720"/>
                <w:tab w:val="left" w:pos="2160"/>
                <w:tab w:val="left" w:pos="5040"/>
                <w:tab w:val="left" w:pos="7200"/>
              </w:tabs>
              <w:spacing w:after="0" w:line="240" w:lineRule="auto"/>
              <w:jc w:val="center"/>
              <w:rPr>
                <w:b/>
              </w:rPr>
            </w:pPr>
          </w:p>
        </w:tc>
        <w:tc>
          <w:tcPr>
            <w:tcW w:w="2183" w:type="pct"/>
            <w:vMerge/>
            <w:tcBorders>
              <w:top w:val="single" w:sz="4" w:space="0" w:color="auto"/>
              <w:left w:val="single" w:sz="4" w:space="0" w:color="auto"/>
              <w:bottom w:val="single" w:sz="4" w:space="0" w:color="auto"/>
              <w:right w:val="single" w:sz="4" w:space="0" w:color="auto"/>
            </w:tcBorders>
            <w:vAlign w:val="center"/>
          </w:tcPr>
          <w:p w14:paraId="3D964A80" w14:textId="77777777" w:rsidR="003A1246" w:rsidRPr="007F0BEF" w:rsidRDefault="003A1246" w:rsidP="002C65A1">
            <w:pPr>
              <w:keepNext/>
              <w:keepLines/>
              <w:tabs>
                <w:tab w:val="left" w:pos="720"/>
                <w:tab w:val="left" w:pos="2160"/>
                <w:tab w:val="left" w:pos="5040"/>
                <w:tab w:val="left" w:pos="7200"/>
              </w:tabs>
              <w:spacing w:after="0" w:line="240" w:lineRule="auto"/>
              <w:jc w:val="center"/>
              <w:rPr>
                <w:b/>
              </w:rPr>
            </w:pPr>
          </w:p>
        </w:tc>
        <w:tc>
          <w:tcPr>
            <w:tcW w:w="1163" w:type="pct"/>
            <w:tcBorders>
              <w:top w:val="single" w:sz="4" w:space="0" w:color="auto"/>
              <w:left w:val="single" w:sz="4" w:space="0" w:color="auto"/>
              <w:bottom w:val="single" w:sz="4" w:space="0" w:color="auto"/>
              <w:right w:val="single" w:sz="4" w:space="0" w:color="auto"/>
            </w:tcBorders>
            <w:vAlign w:val="center"/>
          </w:tcPr>
          <w:p w14:paraId="49B4E5C5" w14:textId="77777777" w:rsidR="003A1246" w:rsidRPr="007F0BEF" w:rsidRDefault="003A1246" w:rsidP="002C65A1">
            <w:pPr>
              <w:keepNext/>
              <w:keepLines/>
              <w:tabs>
                <w:tab w:val="left" w:pos="720"/>
                <w:tab w:val="left" w:pos="2160"/>
                <w:tab w:val="left" w:pos="5040"/>
                <w:tab w:val="left" w:pos="7200"/>
              </w:tabs>
              <w:spacing w:after="0" w:line="240" w:lineRule="auto"/>
              <w:jc w:val="center"/>
              <w:rPr>
                <w:b/>
              </w:rPr>
            </w:pPr>
            <w:r w:rsidRPr="007F0BEF">
              <w:rPr>
                <w:b/>
              </w:rPr>
              <w:t>Non-Priority</w:t>
            </w:r>
            <w:r>
              <w:rPr>
                <w:b/>
              </w:rPr>
              <w:t xml:space="preserve"> School</w:t>
            </w:r>
          </w:p>
        </w:tc>
        <w:tc>
          <w:tcPr>
            <w:tcW w:w="1175" w:type="pct"/>
            <w:tcBorders>
              <w:top w:val="single" w:sz="4" w:space="0" w:color="auto"/>
              <w:left w:val="single" w:sz="4" w:space="0" w:color="auto"/>
              <w:bottom w:val="single" w:sz="4" w:space="0" w:color="auto"/>
              <w:right w:val="single" w:sz="4" w:space="0" w:color="auto"/>
            </w:tcBorders>
            <w:vAlign w:val="center"/>
          </w:tcPr>
          <w:p w14:paraId="3BDF852B" w14:textId="77777777" w:rsidR="003A1246" w:rsidRPr="007F0BEF" w:rsidRDefault="003A1246" w:rsidP="002C65A1">
            <w:pPr>
              <w:keepNext/>
              <w:keepLines/>
              <w:tabs>
                <w:tab w:val="left" w:pos="720"/>
                <w:tab w:val="left" w:pos="2160"/>
                <w:tab w:val="left" w:pos="5040"/>
                <w:tab w:val="left" w:pos="7200"/>
              </w:tabs>
              <w:spacing w:after="0" w:line="240" w:lineRule="auto"/>
              <w:jc w:val="center"/>
              <w:rPr>
                <w:b/>
              </w:rPr>
            </w:pPr>
            <w:r w:rsidRPr="007F0BEF">
              <w:rPr>
                <w:b/>
              </w:rPr>
              <w:t>Priority</w:t>
            </w:r>
            <w:r>
              <w:rPr>
                <w:b/>
              </w:rPr>
              <w:t xml:space="preserve"> Schools</w:t>
            </w:r>
          </w:p>
        </w:tc>
      </w:tr>
      <w:tr w:rsidR="003A1246" w14:paraId="71DC0B3B" w14:textId="77777777" w:rsidTr="00707EB7">
        <w:tc>
          <w:tcPr>
            <w:tcW w:w="479" w:type="pct"/>
            <w:tcBorders>
              <w:top w:val="single" w:sz="4" w:space="0" w:color="auto"/>
              <w:left w:val="single" w:sz="4" w:space="0" w:color="auto"/>
              <w:bottom w:val="single" w:sz="4" w:space="0" w:color="auto"/>
              <w:right w:val="single" w:sz="4" w:space="0" w:color="auto"/>
            </w:tcBorders>
            <w:vAlign w:val="center"/>
          </w:tcPr>
          <w:p w14:paraId="0E4FAAEF" w14:textId="77777777" w:rsidR="003A1246" w:rsidRDefault="003A1246" w:rsidP="002C65A1">
            <w:pPr>
              <w:keepNext/>
              <w:keepLines/>
              <w:tabs>
                <w:tab w:val="left" w:pos="720"/>
                <w:tab w:val="left" w:pos="2160"/>
                <w:tab w:val="left" w:pos="5040"/>
                <w:tab w:val="left" w:pos="7200"/>
              </w:tabs>
              <w:spacing w:after="0" w:line="240" w:lineRule="auto"/>
              <w:jc w:val="center"/>
            </w:pPr>
            <w:r>
              <w:t>1-12</w:t>
            </w:r>
          </w:p>
        </w:tc>
        <w:tc>
          <w:tcPr>
            <w:tcW w:w="2183" w:type="pct"/>
            <w:tcBorders>
              <w:top w:val="single" w:sz="4" w:space="0" w:color="auto"/>
              <w:left w:val="single" w:sz="4" w:space="0" w:color="auto"/>
              <w:bottom w:val="single" w:sz="4" w:space="0" w:color="auto"/>
              <w:right w:val="single" w:sz="4" w:space="0" w:color="auto"/>
            </w:tcBorders>
          </w:tcPr>
          <w:p w14:paraId="215D4F38" w14:textId="77777777" w:rsidR="003A1246" w:rsidRDefault="003A1246" w:rsidP="002C65A1">
            <w:pPr>
              <w:keepNext/>
              <w:keepLines/>
              <w:tabs>
                <w:tab w:val="left" w:pos="720"/>
                <w:tab w:val="left" w:pos="2160"/>
                <w:tab w:val="left" w:pos="5040"/>
                <w:tab w:val="left" w:pos="7200"/>
              </w:tabs>
              <w:spacing w:after="0" w:line="240" w:lineRule="auto"/>
            </w:pPr>
            <w:r>
              <w:t>Teacher Incentive</w:t>
            </w:r>
          </w:p>
        </w:tc>
        <w:tc>
          <w:tcPr>
            <w:tcW w:w="1163" w:type="pct"/>
            <w:tcBorders>
              <w:top w:val="single" w:sz="4" w:space="0" w:color="auto"/>
              <w:left w:val="single" w:sz="4" w:space="0" w:color="auto"/>
              <w:bottom w:val="single" w:sz="4" w:space="0" w:color="auto"/>
              <w:right w:val="single" w:sz="4" w:space="0" w:color="auto"/>
            </w:tcBorders>
          </w:tcPr>
          <w:p w14:paraId="13B4DA42" w14:textId="77777777" w:rsidR="003A1246" w:rsidRDefault="003A1246" w:rsidP="007D6A82">
            <w:pPr>
              <w:keepNext/>
              <w:keepLines/>
              <w:tabs>
                <w:tab w:val="left" w:pos="720"/>
                <w:tab w:val="left" w:pos="2160"/>
                <w:tab w:val="left" w:pos="5040"/>
                <w:tab w:val="left" w:pos="7200"/>
              </w:tabs>
              <w:spacing w:after="0" w:line="240" w:lineRule="auto"/>
              <w:ind w:left="768"/>
            </w:pPr>
            <w:r>
              <w:t>$5</w:t>
            </w:r>
          </w:p>
        </w:tc>
        <w:tc>
          <w:tcPr>
            <w:tcW w:w="1175" w:type="pct"/>
            <w:tcBorders>
              <w:top w:val="single" w:sz="4" w:space="0" w:color="auto"/>
              <w:left w:val="single" w:sz="4" w:space="0" w:color="auto"/>
              <w:bottom w:val="single" w:sz="4" w:space="0" w:color="auto"/>
              <w:right w:val="single" w:sz="4" w:space="0" w:color="auto"/>
            </w:tcBorders>
          </w:tcPr>
          <w:p w14:paraId="1C25D153" w14:textId="77777777" w:rsidR="003A1246" w:rsidRDefault="003A1246" w:rsidP="007D6A82">
            <w:pPr>
              <w:keepNext/>
              <w:keepLines/>
              <w:tabs>
                <w:tab w:val="left" w:pos="720"/>
                <w:tab w:val="left" w:pos="2160"/>
                <w:tab w:val="left" w:pos="5040"/>
                <w:tab w:val="left" w:pos="7200"/>
              </w:tabs>
              <w:spacing w:after="0" w:line="240" w:lineRule="auto"/>
              <w:ind w:left="703"/>
            </w:pPr>
            <w:r>
              <w:t>$5</w:t>
            </w:r>
          </w:p>
        </w:tc>
      </w:tr>
      <w:tr w:rsidR="003A1246" w14:paraId="2451703D" w14:textId="77777777" w:rsidTr="00707EB7">
        <w:tc>
          <w:tcPr>
            <w:tcW w:w="479" w:type="pct"/>
            <w:tcBorders>
              <w:top w:val="single" w:sz="4" w:space="0" w:color="auto"/>
              <w:left w:val="single" w:sz="4" w:space="0" w:color="auto"/>
              <w:bottom w:val="single" w:sz="4" w:space="0" w:color="auto"/>
              <w:right w:val="single" w:sz="4" w:space="0" w:color="auto"/>
            </w:tcBorders>
            <w:vAlign w:val="center"/>
          </w:tcPr>
          <w:p w14:paraId="21A7CB79" w14:textId="77777777" w:rsidR="003A1246" w:rsidRDefault="003A1246" w:rsidP="002C65A1">
            <w:pPr>
              <w:keepNext/>
              <w:keepLines/>
              <w:tabs>
                <w:tab w:val="left" w:pos="720"/>
                <w:tab w:val="left" w:pos="2160"/>
                <w:tab w:val="left" w:pos="5040"/>
                <w:tab w:val="left" w:pos="7200"/>
              </w:tabs>
              <w:spacing w:after="0" w:line="240" w:lineRule="auto"/>
              <w:jc w:val="center"/>
            </w:pPr>
            <w:r>
              <w:t>13-20</w:t>
            </w:r>
          </w:p>
        </w:tc>
        <w:tc>
          <w:tcPr>
            <w:tcW w:w="2183" w:type="pct"/>
            <w:tcBorders>
              <w:top w:val="single" w:sz="4" w:space="0" w:color="auto"/>
              <w:left w:val="single" w:sz="4" w:space="0" w:color="auto"/>
              <w:bottom w:val="single" w:sz="4" w:space="0" w:color="auto"/>
              <w:right w:val="single" w:sz="4" w:space="0" w:color="auto"/>
            </w:tcBorders>
          </w:tcPr>
          <w:p w14:paraId="3D35B028" w14:textId="77777777" w:rsidR="003A1246" w:rsidRDefault="003A1246" w:rsidP="002C65A1">
            <w:pPr>
              <w:keepNext/>
              <w:keepLines/>
              <w:tabs>
                <w:tab w:val="left" w:pos="720"/>
                <w:tab w:val="left" w:pos="2160"/>
                <w:tab w:val="left" w:pos="5040"/>
                <w:tab w:val="left" w:pos="7200"/>
              </w:tabs>
              <w:spacing w:after="0" w:line="240" w:lineRule="auto"/>
            </w:pPr>
            <w:r>
              <w:t>School Coordinator/Principal Incentive</w:t>
            </w:r>
          </w:p>
          <w:p w14:paraId="4FB3C825" w14:textId="77777777" w:rsidR="003A1246" w:rsidRDefault="003A1246" w:rsidP="002C65A1">
            <w:pPr>
              <w:keepNext/>
              <w:keepLines/>
              <w:tabs>
                <w:tab w:val="left" w:pos="720"/>
                <w:tab w:val="left" w:pos="2160"/>
                <w:tab w:val="left" w:pos="5040"/>
                <w:tab w:val="left" w:pos="7200"/>
              </w:tabs>
              <w:spacing w:after="0" w:line="240" w:lineRule="auto"/>
            </w:pPr>
            <w:r>
              <w:t>Teacher Incentive</w:t>
            </w:r>
          </w:p>
        </w:tc>
        <w:tc>
          <w:tcPr>
            <w:tcW w:w="1163" w:type="pct"/>
            <w:tcBorders>
              <w:top w:val="single" w:sz="4" w:space="0" w:color="auto"/>
              <w:left w:val="single" w:sz="4" w:space="0" w:color="auto"/>
              <w:bottom w:val="single" w:sz="4" w:space="0" w:color="auto"/>
              <w:right w:val="single" w:sz="4" w:space="0" w:color="auto"/>
            </w:tcBorders>
          </w:tcPr>
          <w:p w14:paraId="3F121692" w14:textId="77777777" w:rsidR="003A1246" w:rsidRDefault="003A1246" w:rsidP="007D6A82">
            <w:pPr>
              <w:keepNext/>
              <w:keepLines/>
              <w:tabs>
                <w:tab w:val="left" w:pos="720"/>
                <w:tab w:val="left" w:pos="2160"/>
                <w:tab w:val="left" w:pos="5040"/>
                <w:tab w:val="left" w:pos="7200"/>
              </w:tabs>
              <w:spacing w:after="0" w:line="240" w:lineRule="auto"/>
              <w:ind w:left="768"/>
            </w:pPr>
            <w:r>
              <w:t>$5</w:t>
            </w:r>
          </w:p>
          <w:p w14:paraId="33F8C4CB" w14:textId="77777777" w:rsidR="003A1246" w:rsidRDefault="003A1246" w:rsidP="007D6A82">
            <w:pPr>
              <w:keepNext/>
              <w:keepLines/>
              <w:tabs>
                <w:tab w:val="left" w:pos="720"/>
                <w:tab w:val="left" w:pos="2160"/>
                <w:tab w:val="left" w:pos="5040"/>
                <w:tab w:val="left" w:pos="7200"/>
              </w:tabs>
              <w:spacing w:after="0" w:line="240" w:lineRule="auto"/>
              <w:ind w:left="768"/>
            </w:pPr>
            <w:r>
              <w:t>$5</w:t>
            </w:r>
          </w:p>
        </w:tc>
        <w:tc>
          <w:tcPr>
            <w:tcW w:w="1175" w:type="pct"/>
            <w:tcBorders>
              <w:top w:val="single" w:sz="4" w:space="0" w:color="auto"/>
              <w:left w:val="single" w:sz="4" w:space="0" w:color="auto"/>
              <w:bottom w:val="single" w:sz="4" w:space="0" w:color="auto"/>
              <w:right w:val="single" w:sz="4" w:space="0" w:color="auto"/>
            </w:tcBorders>
          </w:tcPr>
          <w:p w14:paraId="69A26CD8" w14:textId="77777777" w:rsidR="003A1246" w:rsidRDefault="003A1246" w:rsidP="007D6A82">
            <w:pPr>
              <w:keepNext/>
              <w:keepLines/>
              <w:tabs>
                <w:tab w:val="left" w:pos="720"/>
                <w:tab w:val="left" w:pos="2160"/>
                <w:tab w:val="left" w:pos="5040"/>
                <w:tab w:val="left" w:pos="7200"/>
              </w:tabs>
              <w:spacing w:after="0" w:line="240" w:lineRule="auto"/>
              <w:ind w:left="703"/>
            </w:pPr>
            <w:r>
              <w:t>$10</w:t>
            </w:r>
          </w:p>
          <w:p w14:paraId="17369727" w14:textId="77777777" w:rsidR="003A1246" w:rsidRDefault="003A1246" w:rsidP="007D6A82">
            <w:pPr>
              <w:keepNext/>
              <w:keepLines/>
              <w:tabs>
                <w:tab w:val="left" w:pos="720"/>
                <w:tab w:val="left" w:pos="2160"/>
                <w:tab w:val="left" w:pos="5040"/>
                <w:tab w:val="left" w:pos="7200"/>
              </w:tabs>
              <w:spacing w:after="0" w:line="240" w:lineRule="auto"/>
              <w:ind w:left="703"/>
            </w:pPr>
            <w:r>
              <w:t>$10</w:t>
            </w:r>
          </w:p>
        </w:tc>
      </w:tr>
    </w:tbl>
    <w:p w14:paraId="634B890F" w14:textId="77777777" w:rsidR="003A1246" w:rsidRDefault="003A1246" w:rsidP="003A1246">
      <w:pPr>
        <w:pStyle w:val="ListParagraph"/>
        <w:spacing w:after="0" w:line="240" w:lineRule="auto"/>
      </w:pPr>
    </w:p>
    <w:p w14:paraId="7F028760" w14:textId="5D834F18" w:rsidR="004F6DF1" w:rsidRDefault="003A1246" w:rsidP="004F6DF1">
      <w:pPr>
        <w:tabs>
          <w:tab w:val="left" w:pos="630"/>
          <w:tab w:val="left" w:pos="2160"/>
          <w:tab w:val="left" w:pos="5040"/>
          <w:tab w:val="left" w:pos="7200"/>
        </w:tabs>
        <w:spacing w:after="120" w:line="240" w:lineRule="auto"/>
      </w:pPr>
      <w:r w:rsidRPr="00EF3819">
        <w:t>The sampling design for the teacher incentive experiment is comprised of eight experimental groups, with schools sampled into the groups at random.</w:t>
      </w:r>
      <w:r w:rsidR="004F6DF1">
        <w:t xml:space="preserve"> </w:t>
      </w:r>
      <w:r w:rsidRPr="00EF3819">
        <w:t>All schools were assigned to the experimental groups prior to the beginning of data collection.</w:t>
      </w:r>
      <w:r w:rsidR="004F6DF1">
        <w:t xml:space="preserve"> </w:t>
      </w:r>
      <w:r w:rsidRPr="00EF3819">
        <w:t xml:space="preserve">To ensure a similar distribution of schools for each of the eight experimental groups, the sample was sorted by an indicator for whether or not the school is covered on a vendor list, an indicator for priority schools, </w:t>
      </w:r>
      <w:r>
        <w:t>the Census region, the urban/rural locale code, the response propensity for each school, and a random number</w:t>
      </w:r>
      <w:r w:rsidRPr="00EF3819">
        <w:t xml:space="preserve"> (for the purpose of breaking ties).</w:t>
      </w:r>
    </w:p>
    <w:p w14:paraId="54F14049" w14:textId="77777777" w:rsidR="004F6DF1" w:rsidRDefault="003A1246" w:rsidP="00E92B2F">
      <w:pPr>
        <w:widowControl w:val="0"/>
        <w:tabs>
          <w:tab w:val="left" w:pos="630"/>
          <w:tab w:val="left" w:pos="2160"/>
          <w:tab w:val="left" w:pos="5040"/>
          <w:tab w:val="left" w:pos="7200"/>
        </w:tabs>
        <w:spacing w:after="120" w:line="240" w:lineRule="auto"/>
      </w:pPr>
      <w:r w:rsidRPr="00EF3819">
        <w:t>There are 10,600 public schools and 4,000 private schools in sample for the 2017-18 NTPS.</w:t>
      </w:r>
      <w:r w:rsidR="004F6DF1">
        <w:t xml:space="preserve"> </w:t>
      </w:r>
      <w:r w:rsidRPr="00EF3819">
        <w:t>Before the start of data collection, 1,325 public schools and 500 private schools were assigned to each of the eight experimental groups.</w:t>
      </w:r>
      <w:r w:rsidR="004F6DF1">
        <w:t xml:space="preserve"> </w:t>
      </w:r>
      <w:r w:rsidRPr="00EF3819">
        <w:t>Therefore, 5,300 public schools and 2,000 private schools are included treatment groups that receive teacher incentives in the experiment.</w:t>
      </w:r>
      <w:r w:rsidR="004F6DF1">
        <w:t xml:space="preserve"> </w:t>
      </w:r>
      <w:r w:rsidRPr="00EF3819">
        <w:t>Table 2 shows which experimental groups will receive incentive and the initial school and teacher sample sizes within each group.</w:t>
      </w:r>
    </w:p>
    <w:p w14:paraId="35453221" w14:textId="5628F910" w:rsidR="003A1246" w:rsidRPr="00C70E18" w:rsidRDefault="003A1246" w:rsidP="00C70E18">
      <w:pPr>
        <w:pStyle w:val="Caption"/>
        <w:keepNext/>
        <w:keepLines/>
        <w:spacing w:after="0"/>
        <w:rPr>
          <w:b/>
        </w:rPr>
      </w:pPr>
      <w:r w:rsidRPr="00C70E18">
        <w:rPr>
          <w:b/>
        </w:rPr>
        <w:t xml:space="preserve">Table </w:t>
      </w:r>
      <w:r w:rsidRPr="00C70E18">
        <w:rPr>
          <w:b/>
        </w:rPr>
        <w:fldChar w:fldCharType="begin"/>
      </w:r>
      <w:r w:rsidRPr="00C70E18">
        <w:rPr>
          <w:b/>
        </w:rPr>
        <w:instrText xml:space="preserve"> SEQ Table \* ARABIC </w:instrText>
      </w:r>
      <w:r w:rsidRPr="00C70E18">
        <w:rPr>
          <w:b/>
        </w:rPr>
        <w:fldChar w:fldCharType="separate"/>
      </w:r>
      <w:r w:rsidRPr="00C70E18">
        <w:rPr>
          <w:b/>
          <w:noProof/>
        </w:rPr>
        <w:t>2</w:t>
      </w:r>
      <w:r w:rsidRPr="00C70E18">
        <w:rPr>
          <w:b/>
          <w:noProof/>
        </w:rPr>
        <w:fldChar w:fldCharType="end"/>
      </w:r>
      <w:r w:rsidRPr="00C70E18">
        <w:rPr>
          <w:b/>
        </w:rPr>
        <w:t>.</w:t>
      </w:r>
      <w:r w:rsidR="004F6DF1" w:rsidRPr="00C70E18">
        <w:rPr>
          <w:b/>
        </w:rPr>
        <w:t xml:space="preserve"> </w:t>
      </w:r>
      <w:r w:rsidRPr="00C70E18">
        <w:rPr>
          <w:b/>
        </w:rPr>
        <w:t>Experimental Group Descriptions and Initial Sample Sizes</w:t>
      </w:r>
    </w:p>
    <w:tbl>
      <w:tblPr>
        <w:tblW w:w="5000" w:type="pct"/>
        <w:tblLook w:val="04A0" w:firstRow="1" w:lastRow="0" w:firstColumn="1" w:lastColumn="0" w:noHBand="0" w:noVBand="1"/>
      </w:tblPr>
      <w:tblGrid>
        <w:gridCol w:w="1357"/>
        <w:gridCol w:w="1812"/>
        <w:gridCol w:w="1169"/>
        <w:gridCol w:w="1890"/>
        <w:gridCol w:w="2249"/>
        <w:gridCol w:w="2251"/>
      </w:tblGrid>
      <w:tr w:rsidR="003A1246" w:rsidRPr="00C70E18" w14:paraId="697E4469" w14:textId="77777777" w:rsidTr="00011E6F">
        <w:trPr>
          <w:tblHeader/>
        </w:trPr>
        <w:tc>
          <w:tcPr>
            <w:tcW w:w="632" w:type="pct"/>
            <w:vMerge w:val="restart"/>
            <w:tcBorders>
              <w:top w:val="single" w:sz="4" w:space="0" w:color="auto"/>
              <w:left w:val="single" w:sz="4" w:space="0" w:color="auto"/>
              <w:bottom w:val="single" w:sz="4" w:space="0" w:color="auto"/>
              <w:right w:val="single" w:sz="4" w:space="0" w:color="auto"/>
            </w:tcBorders>
            <w:vAlign w:val="center"/>
          </w:tcPr>
          <w:p w14:paraId="3AA0FA19"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jc w:val="center"/>
              <w:rPr>
                <w:b/>
                <w:sz w:val="18"/>
                <w:szCs w:val="20"/>
              </w:rPr>
            </w:pPr>
            <w:r w:rsidRPr="00C70E18">
              <w:rPr>
                <w:b/>
                <w:sz w:val="18"/>
                <w:szCs w:val="20"/>
              </w:rPr>
              <w:t>Experimental Group</w:t>
            </w:r>
          </w:p>
        </w:tc>
        <w:tc>
          <w:tcPr>
            <w:tcW w:w="844" w:type="pct"/>
            <w:tcBorders>
              <w:top w:val="single" w:sz="4" w:space="0" w:color="auto"/>
              <w:left w:val="single" w:sz="4" w:space="0" w:color="auto"/>
              <w:bottom w:val="single" w:sz="4" w:space="0" w:color="auto"/>
              <w:right w:val="single" w:sz="4" w:space="0" w:color="auto"/>
            </w:tcBorders>
            <w:vAlign w:val="center"/>
          </w:tcPr>
          <w:p w14:paraId="4CA77051"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jc w:val="center"/>
              <w:rPr>
                <w:b/>
                <w:sz w:val="18"/>
                <w:szCs w:val="20"/>
              </w:rPr>
            </w:pPr>
            <w:r w:rsidRPr="00C70E18">
              <w:rPr>
                <w:b/>
                <w:sz w:val="18"/>
                <w:szCs w:val="20"/>
              </w:rPr>
              <w:t>Phase One</w:t>
            </w:r>
          </w:p>
          <w:p w14:paraId="4E8CA818"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jc w:val="center"/>
              <w:rPr>
                <w:b/>
                <w:sz w:val="18"/>
                <w:szCs w:val="20"/>
              </w:rPr>
            </w:pPr>
            <w:r w:rsidRPr="00C70E18">
              <w:rPr>
                <w:b/>
                <w:sz w:val="18"/>
                <w:szCs w:val="20"/>
              </w:rPr>
              <w:t>(Waves 1-12)</w:t>
            </w: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0519844D"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jc w:val="center"/>
              <w:rPr>
                <w:b/>
                <w:sz w:val="18"/>
                <w:szCs w:val="20"/>
              </w:rPr>
            </w:pPr>
            <w:r w:rsidRPr="00C70E18">
              <w:rPr>
                <w:b/>
                <w:sz w:val="18"/>
                <w:szCs w:val="20"/>
              </w:rPr>
              <w:t>Phase Two</w:t>
            </w:r>
          </w:p>
          <w:p w14:paraId="3EF540CF"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jc w:val="center"/>
              <w:rPr>
                <w:b/>
                <w:sz w:val="18"/>
                <w:szCs w:val="20"/>
              </w:rPr>
            </w:pPr>
            <w:r w:rsidRPr="00C70E18">
              <w:rPr>
                <w:b/>
                <w:sz w:val="18"/>
                <w:szCs w:val="20"/>
              </w:rPr>
              <w:t>(Waves 13-20)</w:t>
            </w:r>
          </w:p>
        </w:tc>
        <w:tc>
          <w:tcPr>
            <w:tcW w:w="1048" w:type="pct"/>
            <w:vMerge w:val="restart"/>
            <w:tcBorders>
              <w:top w:val="single" w:sz="4" w:space="0" w:color="auto"/>
              <w:left w:val="single" w:sz="4" w:space="0" w:color="auto"/>
              <w:bottom w:val="single" w:sz="4" w:space="0" w:color="auto"/>
              <w:right w:val="single" w:sz="4" w:space="0" w:color="auto"/>
            </w:tcBorders>
            <w:vAlign w:val="center"/>
          </w:tcPr>
          <w:p w14:paraId="61C41FF0"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jc w:val="center"/>
              <w:rPr>
                <w:b/>
                <w:sz w:val="18"/>
                <w:szCs w:val="20"/>
              </w:rPr>
            </w:pPr>
            <w:r w:rsidRPr="00C70E18">
              <w:rPr>
                <w:b/>
                <w:sz w:val="18"/>
                <w:szCs w:val="20"/>
              </w:rPr>
              <w:t>Initial School Sample Sizes</w:t>
            </w:r>
          </w:p>
        </w:tc>
        <w:tc>
          <w:tcPr>
            <w:tcW w:w="1049" w:type="pct"/>
            <w:vMerge w:val="restart"/>
            <w:tcBorders>
              <w:top w:val="single" w:sz="4" w:space="0" w:color="auto"/>
              <w:left w:val="single" w:sz="4" w:space="0" w:color="auto"/>
              <w:bottom w:val="single" w:sz="4" w:space="0" w:color="auto"/>
              <w:right w:val="single" w:sz="4" w:space="0" w:color="auto"/>
            </w:tcBorders>
            <w:vAlign w:val="center"/>
          </w:tcPr>
          <w:p w14:paraId="3C0A12C1"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jc w:val="center"/>
              <w:rPr>
                <w:b/>
                <w:sz w:val="18"/>
                <w:szCs w:val="20"/>
              </w:rPr>
            </w:pPr>
            <w:r w:rsidRPr="00C70E18">
              <w:rPr>
                <w:b/>
                <w:sz w:val="18"/>
                <w:szCs w:val="20"/>
              </w:rPr>
              <w:t>Initial Teacher Sample Sizes</w:t>
            </w:r>
            <w:r w:rsidRPr="00C70E18">
              <w:rPr>
                <w:rStyle w:val="FootnoteReference"/>
                <w:b/>
                <w:sz w:val="18"/>
                <w:szCs w:val="20"/>
              </w:rPr>
              <w:footnoteReference w:id="3"/>
            </w:r>
          </w:p>
        </w:tc>
      </w:tr>
      <w:tr w:rsidR="00707EB7" w:rsidRPr="00C70E18" w14:paraId="50D44C06" w14:textId="77777777" w:rsidTr="00011E6F">
        <w:trPr>
          <w:tblHeader/>
        </w:trPr>
        <w:tc>
          <w:tcPr>
            <w:tcW w:w="632" w:type="pct"/>
            <w:vMerge/>
            <w:tcBorders>
              <w:top w:val="single" w:sz="4" w:space="0" w:color="auto"/>
              <w:left w:val="single" w:sz="4" w:space="0" w:color="auto"/>
              <w:bottom w:val="single" w:sz="4" w:space="0" w:color="auto"/>
              <w:right w:val="single" w:sz="4" w:space="0" w:color="auto"/>
            </w:tcBorders>
            <w:vAlign w:val="center"/>
          </w:tcPr>
          <w:p w14:paraId="2C13693B"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jc w:val="center"/>
              <w:rPr>
                <w:b/>
                <w:sz w:val="20"/>
                <w:szCs w:val="20"/>
              </w:rPr>
            </w:pPr>
          </w:p>
        </w:tc>
        <w:tc>
          <w:tcPr>
            <w:tcW w:w="844" w:type="pct"/>
            <w:tcBorders>
              <w:top w:val="single" w:sz="4" w:space="0" w:color="auto"/>
              <w:left w:val="single" w:sz="4" w:space="0" w:color="auto"/>
              <w:bottom w:val="single" w:sz="4" w:space="0" w:color="auto"/>
              <w:right w:val="single" w:sz="4" w:space="0" w:color="auto"/>
            </w:tcBorders>
            <w:vAlign w:val="center"/>
          </w:tcPr>
          <w:p w14:paraId="7FB8C449"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rPr>
                <w:b/>
                <w:sz w:val="18"/>
                <w:szCs w:val="20"/>
              </w:rPr>
            </w:pPr>
            <w:r w:rsidRPr="00C70E18">
              <w:rPr>
                <w:b/>
                <w:sz w:val="18"/>
                <w:szCs w:val="20"/>
              </w:rPr>
              <w:t>Teacher Incentive?</w:t>
            </w:r>
          </w:p>
        </w:tc>
        <w:tc>
          <w:tcPr>
            <w:tcW w:w="545" w:type="pct"/>
            <w:tcBorders>
              <w:top w:val="single" w:sz="4" w:space="0" w:color="auto"/>
              <w:left w:val="single" w:sz="4" w:space="0" w:color="auto"/>
              <w:bottom w:val="single" w:sz="4" w:space="0" w:color="auto"/>
              <w:right w:val="single" w:sz="4" w:space="0" w:color="auto"/>
            </w:tcBorders>
            <w:vAlign w:val="center"/>
          </w:tcPr>
          <w:p w14:paraId="6E4F2C23"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rPr>
                <w:b/>
                <w:sz w:val="18"/>
                <w:szCs w:val="20"/>
              </w:rPr>
            </w:pPr>
            <w:r w:rsidRPr="00C70E18">
              <w:rPr>
                <w:b/>
                <w:sz w:val="18"/>
                <w:szCs w:val="20"/>
              </w:rPr>
              <w:t>Teacher Incentive?</w:t>
            </w:r>
          </w:p>
        </w:tc>
        <w:tc>
          <w:tcPr>
            <w:tcW w:w="881" w:type="pct"/>
            <w:tcBorders>
              <w:top w:val="single" w:sz="4" w:space="0" w:color="auto"/>
              <w:left w:val="single" w:sz="4" w:space="0" w:color="auto"/>
              <w:bottom w:val="single" w:sz="4" w:space="0" w:color="auto"/>
              <w:right w:val="single" w:sz="4" w:space="0" w:color="auto"/>
            </w:tcBorders>
            <w:vAlign w:val="center"/>
          </w:tcPr>
          <w:p w14:paraId="6E5D3213"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rPr>
                <w:b/>
                <w:sz w:val="18"/>
                <w:szCs w:val="20"/>
              </w:rPr>
            </w:pPr>
            <w:r w:rsidRPr="00C70E18">
              <w:rPr>
                <w:b/>
                <w:sz w:val="18"/>
                <w:szCs w:val="20"/>
              </w:rPr>
              <w:t>School Coordinator or Principal Incentive?</w:t>
            </w:r>
          </w:p>
        </w:tc>
        <w:tc>
          <w:tcPr>
            <w:tcW w:w="1048" w:type="pct"/>
            <w:vMerge/>
            <w:tcBorders>
              <w:top w:val="single" w:sz="4" w:space="0" w:color="auto"/>
              <w:left w:val="single" w:sz="4" w:space="0" w:color="auto"/>
              <w:bottom w:val="single" w:sz="4" w:space="0" w:color="auto"/>
              <w:right w:val="single" w:sz="4" w:space="0" w:color="auto"/>
            </w:tcBorders>
            <w:vAlign w:val="center"/>
          </w:tcPr>
          <w:p w14:paraId="0856EA62"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rPr>
                <w:b/>
                <w:sz w:val="20"/>
                <w:szCs w:val="20"/>
              </w:rPr>
            </w:pPr>
          </w:p>
        </w:tc>
        <w:tc>
          <w:tcPr>
            <w:tcW w:w="1049" w:type="pct"/>
            <w:vMerge/>
            <w:tcBorders>
              <w:top w:val="single" w:sz="4" w:space="0" w:color="auto"/>
              <w:left w:val="single" w:sz="4" w:space="0" w:color="auto"/>
              <w:bottom w:val="single" w:sz="4" w:space="0" w:color="auto"/>
              <w:right w:val="single" w:sz="4" w:space="0" w:color="auto"/>
            </w:tcBorders>
            <w:vAlign w:val="center"/>
          </w:tcPr>
          <w:p w14:paraId="096A5F3D" w14:textId="77777777" w:rsidR="003A1246" w:rsidRPr="00C70E18" w:rsidRDefault="003A1246" w:rsidP="00707EB7">
            <w:pPr>
              <w:pStyle w:val="ListParagraph"/>
              <w:keepNext/>
              <w:keepLines/>
              <w:tabs>
                <w:tab w:val="left" w:pos="720"/>
                <w:tab w:val="left" w:pos="2160"/>
                <w:tab w:val="left" w:pos="5040"/>
                <w:tab w:val="left" w:pos="7200"/>
              </w:tabs>
              <w:spacing w:after="0" w:line="240" w:lineRule="auto"/>
              <w:ind w:left="0"/>
              <w:rPr>
                <w:b/>
                <w:sz w:val="20"/>
                <w:szCs w:val="20"/>
              </w:rPr>
            </w:pPr>
          </w:p>
        </w:tc>
      </w:tr>
      <w:tr w:rsidR="00707EB7" w:rsidRPr="00615B51" w14:paraId="070657A8" w14:textId="77777777" w:rsidTr="00C70E18">
        <w:tc>
          <w:tcPr>
            <w:tcW w:w="632" w:type="pct"/>
            <w:tcBorders>
              <w:top w:val="single" w:sz="4" w:space="0" w:color="auto"/>
              <w:left w:val="single" w:sz="4" w:space="0" w:color="auto"/>
              <w:bottom w:val="single" w:sz="4" w:space="0" w:color="auto"/>
              <w:right w:val="single" w:sz="4" w:space="0" w:color="auto"/>
            </w:tcBorders>
            <w:vAlign w:val="center"/>
          </w:tcPr>
          <w:p w14:paraId="7B756A1A" w14:textId="77777777" w:rsidR="003A1246" w:rsidRPr="00615B51" w:rsidRDefault="003A1246" w:rsidP="00707EB7">
            <w:pPr>
              <w:pStyle w:val="ListParagraph"/>
              <w:keepNext/>
              <w:keepLines/>
              <w:tabs>
                <w:tab w:val="left" w:pos="720"/>
                <w:tab w:val="left" w:pos="2160"/>
                <w:tab w:val="left" w:pos="5040"/>
                <w:tab w:val="left" w:pos="7200"/>
              </w:tabs>
              <w:spacing w:after="0" w:line="240" w:lineRule="auto"/>
              <w:ind w:left="0"/>
              <w:jc w:val="center"/>
              <w:rPr>
                <w:sz w:val="20"/>
                <w:szCs w:val="20"/>
              </w:rPr>
            </w:pPr>
            <w:r w:rsidRPr="00615B51">
              <w:rPr>
                <w:sz w:val="20"/>
                <w:szCs w:val="20"/>
              </w:rPr>
              <w:t>1</w:t>
            </w:r>
          </w:p>
        </w:tc>
        <w:tc>
          <w:tcPr>
            <w:tcW w:w="844" w:type="pct"/>
            <w:tcBorders>
              <w:top w:val="single" w:sz="4" w:space="0" w:color="auto"/>
              <w:left w:val="single" w:sz="4" w:space="0" w:color="auto"/>
              <w:bottom w:val="single" w:sz="4" w:space="0" w:color="auto"/>
              <w:right w:val="single" w:sz="4" w:space="0" w:color="auto"/>
            </w:tcBorders>
            <w:vAlign w:val="center"/>
          </w:tcPr>
          <w:p w14:paraId="6274652C" w14:textId="77777777" w:rsidR="003A1246" w:rsidRPr="00615B51" w:rsidRDefault="003A1246" w:rsidP="00707EB7">
            <w:pPr>
              <w:pStyle w:val="ListParagraph"/>
              <w:keepNext/>
              <w:keepLines/>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545" w:type="pct"/>
            <w:tcBorders>
              <w:top w:val="single" w:sz="4" w:space="0" w:color="auto"/>
              <w:left w:val="single" w:sz="4" w:space="0" w:color="auto"/>
              <w:bottom w:val="single" w:sz="4" w:space="0" w:color="auto"/>
              <w:right w:val="single" w:sz="4" w:space="0" w:color="auto"/>
            </w:tcBorders>
            <w:vAlign w:val="center"/>
          </w:tcPr>
          <w:p w14:paraId="265A413F" w14:textId="77777777" w:rsidR="003A1246" w:rsidRPr="00615B51" w:rsidRDefault="003A1246" w:rsidP="00707EB7">
            <w:pPr>
              <w:pStyle w:val="ListParagraph"/>
              <w:keepNext/>
              <w:keepLines/>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881" w:type="pct"/>
            <w:tcBorders>
              <w:top w:val="single" w:sz="4" w:space="0" w:color="auto"/>
              <w:left w:val="single" w:sz="4" w:space="0" w:color="auto"/>
              <w:bottom w:val="single" w:sz="4" w:space="0" w:color="auto"/>
              <w:right w:val="single" w:sz="4" w:space="0" w:color="auto"/>
            </w:tcBorders>
            <w:vAlign w:val="center"/>
          </w:tcPr>
          <w:p w14:paraId="6F85D5D1" w14:textId="77777777" w:rsidR="003A1246" w:rsidRPr="00615B51" w:rsidRDefault="003A1246" w:rsidP="00707EB7">
            <w:pPr>
              <w:pStyle w:val="ListParagraph"/>
              <w:keepNext/>
              <w:keepLines/>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1048" w:type="pct"/>
            <w:tcBorders>
              <w:top w:val="single" w:sz="4" w:space="0" w:color="auto"/>
              <w:left w:val="single" w:sz="4" w:space="0" w:color="auto"/>
              <w:bottom w:val="single" w:sz="4" w:space="0" w:color="auto"/>
              <w:right w:val="single" w:sz="4" w:space="0" w:color="auto"/>
            </w:tcBorders>
          </w:tcPr>
          <w:p w14:paraId="7C689B26" w14:textId="77777777" w:rsidR="003A1246" w:rsidRPr="00615B51" w:rsidRDefault="003A1246" w:rsidP="00707EB7">
            <w:pPr>
              <w:pStyle w:val="ListParagraph"/>
              <w:keepNext/>
              <w:keepLines/>
              <w:tabs>
                <w:tab w:val="left" w:pos="720"/>
                <w:tab w:val="left" w:pos="2160"/>
                <w:tab w:val="left" w:pos="5040"/>
                <w:tab w:val="left" w:pos="7200"/>
              </w:tabs>
              <w:spacing w:after="0" w:line="240" w:lineRule="auto"/>
              <w:ind w:left="0"/>
              <w:rPr>
                <w:sz w:val="20"/>
                <w:szCs w:val="20"/>
              </w:rPr>
            </w:pPr>
            <w:r>
              <w:rPr>
                <w:sz w:val="20"/>
                <w:szCs w:val="20"/>
              </w:rPr>
              <w:t>1,325</w:t>
            </w:r>
            <w:r w:rsidRPr="00615B51">
              <w:rPr>
                <w:sz w:val="20"/>
                <w:szCs w:val="20"/>
              </w:rPr>
              <w:t xml:space="preserve"> Public Schools</w:t>
            </w:r>
          </w:p>
          <w:p w14:paraId="5414F41E" w14:textId="77777777" w:rsidR="003A1246" w:rsidRPr="00615B51" w:rsidRDefault="003A1246" w:rsidP="00707EB7">
            <w:pPr>
              <w:pStyle w:val="ListParagraph"/>
              <w:keepNext/>
              <w:keepLines/>
              <w:tabs>
                <w:tab w:val="left" w:pos="720"/>
                <w:tab w:val="left" w:pos="2160"/>
                <w:tab w:val="left" w:pos="5040"/>
                <w:tab w:val="left" w:pos="7200"/>
              </w:tabs>
              <w:spacing w:after="0" w:line="240" w:lineRule="auto"/>
              <w:ind w:left="0"/>
              <w:rPr>
                <w:sz w:val="20"/>
                <w:szCs w:val="20"/>
              </w:rPr>
            </w:pPr>
            <w:r w:rsidRPr="00615B51">
              <w:rPr>
                <w:sz w:val="20"/>
                <w:szCs w:val="20"/>
              </w:rPr>
              <w:t>500 Private Schools</w:t>
            </w:r>
          </w:p>
        </w:tc>
        <w:tc>
          <w:tcPr>
            <w:tcW w:w="1049" w:type="pct"/>
            <w:tcBorders>
              <w:top w:val="single" w:sz="4" w:space="0" w:color="auto"/>
              <w:left w:val="single" w:sz="4" w:space="0" w:color="auto"/>
              <w:bottom w:val="single" w:sz="4" w:space="0" w:color="auto"/>
              <w:right w:val="single" w:sz="4" w:space="0" w:color="auto"/>
            </w:tcBorders>
          </w:tcPr>
          <w:p w14:paraId="42E611B8" w14:textId="77777777" w:rsidR="003A1246" w:rsidRPr="00615B51" w:rsidRDefault="003A1246" w:rsidP="00707EB7">
            <w:pPr>
              <w:pStyle w:val="ListParagraph"/>
              <w:keepNext/>
              <w:keepLines/>
              <w:tabs>
                <w:tab w:val="left" w:pos="720"/>
                <w:tab w:val="left" w:pos="2160"/>
                <w:tab w:val="left" w:pos="5040"/>
                <w:tab w:val="left" w:pos="7200"/>
              </w:tabs>
              <w:spacing w:after="0" w:line="240" w:lineRule="auto"/>
              <w:ind w:left="0"/>
              <w:rPr>
                <w:sz w:val="20"/>
                <w:szCs w:val="20"/>
              </w:rPr>
            </w:pPr>
            <w:r w:rsidRPr="00615B51">
              <w:rPr>
                <w:sz w:val="20"/>
                <w:szCs w:val="20"/>
              </w:rPr>
              <w:t>5,784 Public Teachers</w:t>
            </w:r>
          </w:p>
          <w:p w14:paraId="0F428C20" w14:textId="77777777" w:rsidR="003A1246" w:rsidRPr="00615B51" w:rsidRDefault="003A1246" w:rsidP="00707EB7">
            <w:pPr>
              <w:pStyle w:val="ListParagraph"/>
              <w:keepNext/>
              <w:keepLines/>
              <w:tabs>
                <w:tab w:val="left" w:pos="720"/>
                <w:tab w:val="left" w:pos="2160"/>
                <w:tab w:val="left" w:pos="5040"/>
                <w:tab w:val="left" w:pos="7200"/>
              </w:tabs>
              <w:spacing w:after="0" w:line="240" w:lineRule="auto"/>
              <w:ind w:left="0"/>
              <w:rPr>
                <w:sz w:val="20"/>
                <w:szCs w:val="20"/>
              </w:rPr>
            </w:pPr>
            <w:r w:rsidRPr="00615B51">
              <w:rPr>
                <w:sz w:val="20"/>
                <w:szCs w:val="20"/>
              </w:rPr>
              <w:t>875 Private Teachers</w:t>
            </w:r>
          </w:p>
        </w:tc>
      </w:tr>
      <w:tr w:rsidR="00707EB7" w:rsidRPr="00615B51" w14:paraId="786F8280" w14:textId="77777777" w:rsidTr="00011E6F">
        <w:trPr>
          <w:cantSplit/>
        </w:trPr>
        <w:tc>
          <w:tcPr>
            <w:tcW w:w="632" w:type="pct"/>
            <w:tcBorders>
              <w:top w:val="single" w:sz="4" w:space="0" w:color="auto"/>
              <w:left w:val="single" w:sz="4" w:space="0" w:color="auto"/>
              <w:bottom w:val="single" w:sz="4" w:space="0" w:color="auto"/>
              <w:right w:val="single" w:sz="4" w:space="0" w:color="auto"/>
            </w:tcBorders>
            <w:vAlign w:val="center"/>
          </w:tcPr>
          <w:p w14:paraId="195D8C12"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sidRPr="00615B51">
              <w:rPr>
                <w:sz w:val="20"/>
                <w:szCs w:val="20"/>
              </w:rPr>
              <w:t>2</w:t>
            </w:r>
          </w:p>
        </w:tc>
        <w:tc>
          <w:tcPr>
            <w:tcW w:w="844" w:type="pct"/>
            <w:tcBorders>
              <w:top w:val="single" w:sz="4" w:space="0" w:color="auto"/>
              <w:left w:val="single" w:sz="4" w:space="0" w:color="auto"/>
              <w:bottom w:val="single" w:sz="4" w:space="0" w:color="auto"/>
              <w:right w:val="single" w:sz="4" w:space="0" w:color="auto"/>
            </w:tcBorders>
            <w:vAlign w:val="center"/>
          </w:tcPr>
          <w:p w14:paraId="34D33F52"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545" w:type="pct"/>
            <w:tcBorders>
              <w:top w:val="single" w:sz="4" w:space="0" w:color="auto"/>
              <w:left w:val="single" w:sz="4" w:space="0" w:color="auto"/>
              <w:bottom w:val="single" w:sz="4" w:space="0" w:color="auto"/>
              <w:right w:val="single" w:sz="4" w:space="0" w:color="auto"/>
            </w:tcBorders>
            <w:vAlign w:val="center"/>
          </w:tcPr>
          <w:p w14:paraId="2730E9C8"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881" w:type="pct"/>
            <w:tcBorders>
              <w:top w:val="single" w:sz="4" w:space="0" w:color="auto"/>
              <w:left w:val="single" w:sz="4" w:space="0" w:color="auto"/>
              <w:bottom w:val="single" w:sz="4" w:space="0" w:color="auto"/>
              <w:right w:val="single" w:sz="4" w:space="0" w:color="auto"/>
            </w:tcBorders>
            <w:vAlign w:val="center"/>
          </w:tcPr>
          <w:p w14:paraId="1A8571F4"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1048" w:type="pct"/>
            <w:tcBorders>
              <w:top w:val="single" w:sz="4" w:space="0" w:color="auto"/>
              <w:left w:val="single" w:sz="4" w:space="0" w:color="auto"/>
              <w:bottom w:val="single" w:sz="4" w:space="0" w:color="auto"/>
              <w:right w:val="single" w:sz="4" w:space="0" w:color="auto"/>
            </w:tcBorders>
          </w:tcPr>
          <w:p w14:paraId="0C715E62"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Pr>
                <w:sz w:val="20"/>
                <w:szCs w:val="20"/>
              </w:rPr>
              <w:t>1,325</w:t>
            </w:r>
            <w:r w:rsidRPr="00615B51">
              <w:rPr>
                <w:sz w:val="20"/>
                <w:szCs w:val="20"/>
              </w:rPr>
              <w:t xml:space="preserve"> Public Schools</w:t>
            </w:r>
          </w:p>
          <w:p w14:paraId="743E86AD"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500 Private Schools</w:t>
            </w:r>
          </w:p>
        </w:tc>
        <w:tc>
          <w:tcPr>
            <w:tcW w:w="1049" w:type="pct"/>
            <w:tcBorders>
              <w:top w:val="single" w:sz="4" w:space="0" w:color="auto"/>
              <w:left w:val="single" w:sz="4" w:space="0" w:color="auto"/>
              <w:bottom w:val="single" w:sz="4" w:space="0" w:color="auto"/>
              <w:right w:val="single" w:sz="4" w:space="0" w:color="auto"/>
            </w:tcBorders>
          </w:tcPr>
          <w:p w14:paraId="1DC19A14"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5,784 Public Teachers</w:t>
            </w:r>
          </w:p>
          <w:p w14:paraId="2740B514"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875 Private Teachers</w:t>
            </w:r>
          </w:p>
        </w:tc>
      </w:tr>
      <w:tr w:rsidR="00707EB7" w:rsidRPr="00615B51" w14:paraId="2220AF1B" w14:textId="77777777" w:rsidTr="00011E6F">
        <w:trPr>
          <w:cantSplit/>
        </w:trPr>
        <w:tc>
          <w:tcPr>
            <w:tcW w:w="632" w:type="pct"/>
            <w:tcBorders>
              <w:top w:val="single" w:sz="4" w:space="0" w:color="auto"/>
              <w:left w:val="single" w:sz="4" w:space="0" w:color="auto"/>
              <w:bottom w:val="single" w:sz="4" w:space="0" w:color="auto"/>
              <w:right w:val="single" w:sz="4" w:space="0" w:color="auto"/>
            </w:tcBorders>
            <w:vAlign w:val="center"/>
          </w:tcPr>
          <w:p w14:paraId="68EE5837"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sidRPr="00615B51">
              <w:rPr>
                <w:sz w:val="20"/>
                <w:szCs w:val="20"/>
              </w:rPr>
              <w:t>3</w:t>
            </w:r>
          </w:p>
        </w:tc>
        <w:tc>
          <w:tcPr>
            <w:tcW w:w="844" w:type="pct"/>
            <w:tcBorders>
              <w:top w:val="single" w:sz="4" w:space="0" w:color="auto"/>
              <w:left w:val="single" w:sz="4" w:space="0" w:color="auto"/>
              <w:bottom w:val="single" w:sz="4" w:space="0" w:color="auto"/>
              <w:right w:val="single" w:sz="4" w:space="0" w:color="auto"/>
            </w:tcBorders>
            <w:vAlign w:val="center"/>
          </w:tcPr>
          <w:p w14:paraId="1ABB2F97"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545" w:type="pct"/>
            <w:tcBorders>
              <w:top w:val="single" w:sz="4" w:space="0" w:color="auto"/>
              <w:left w:val="single" w:sz="4" w:space="0" w:color="auto"/>
              <w:bottom w:val="single" w:sz="4" w:space="0" w:color="auto"/>
              <w:right w:val="single" w:sz="4" w:space="0" w:color="auto"/>
            </w:tcBorders>
            <w:vAlign w:val="center"/>
          </w:tcPr>
          <w:p w14:paraId="1A1D8621"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881" w:type="pct"/>
            <w:tcBorders>
              <w:top w:val="single" w:sz="4" w:space="0" w:color="auto"/>
              <w:left w:val="single" w:sz="4" w:space="0" w:color="auto"/>
              <w:bottom w:val="single" w:sz="4" w:space="0" w:color="auto"/>
              <w:right w:val="single" w:sz="4" w:space="0" w:color="auto"/>
            </w:tcBorders>
            <w:vAlign w:val="center"/>
          </w:tcPr>
          <w:p w14:paraId="79AF6465"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1048" w:type="pct"/>
            <w:tcBorders>
              <w:top w:val="single" w:sz="4" w:space="0" w:color="auto"/>
              <w:left w:val="single" w:sz="4" w:space="0" w:color="auto"/>
              <w:bottom w:val="single" w:sz="4" w:space="0" w:color="auto"/>
              <w:right w:val="single" w:sz="4" w:space="0" w:color="auto"/>
            </w:tcBorders>
          </w:tcPr>
          <w:p w14:paraId="58AB70AC"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Pr>
                <w:sz w:val="20"/>
                <w:szCs w:val="20"/>
              </w:rPr>
              <w:t>1,325</w:t>
            </w:r>
            <w:r w:rsidRPr="00615B51">
              <w:rPr>
                <w:sz w:val="20"/>
                <w:szCs w:val="20"/>
              </w:rPr>
              <w:t xml:space="preserve"> Public Schools</w:t>
            </w:r>
          </w:p>
          <w:p w14:paraId="440E6B99"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500 Private Schools</w:t>
            </w:r>
          </w:p>
        </w:tc>
        <w:tc>
          <w:tcPr>
            <w:tcW w:w="1049" w:type="pct"/>
            <w:tcBorders>
              <w:top w:val="single" w:sz="4" w:space="0" w:color="auto"/>
              <w:left w:val="single" w:sz="4" w:space="0" w:color="auto"/>
              <w:bottom w:val="single" w:sz="4" w:space="0" w:color="auto"/>
              <w:right w:val="single" w:sz="4" w:space="0" w:color="auto"/>
            </w:tcBorders>
          </w:tcPr>
          <w:p w14:paraId="7842A2BF"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5,784 Public Teachers</w:t>
            </w:r>
          </w:p>
          <w:p w14:paraId="2F6A753F"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875 Private Teachers</w:t>
            </w:r>
          </w:p>
        </w:tc>
      </w:tr>
      <w:tr w:rsidR="00707EB7" w:rsidRPr="00615B51" w14:paraId="459B20F7" w14:textId="77777777" w:rsidTr="00011E6F">
        <w:trPr>
          <w:cantSplit/>
        </w:trPr>
        <w:tc>
          <w:tcPr>
            <w:tcW w:w="632" w:type="pct"/>
            <w:tcBorders>
              <w:top w:val="single" w:sz="4" w:space="0" w:color="auto"/>
              <w:left w:val="single" w:sz="4" w:space="0" w:color="auto"/>
              <w:bottom w:val="single" w:sz="4" w:space="0" w:color="auto"/>
              <w:right w:val="single" w:sz="4" w:space="0" w:color="auto"/>
            </w:tcBorders>
            <w:vAlign w:val="center"/>
          </w:tcPr>
          <w:p w14:paraId="5AEA61A5"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sidRPr="00615B51">
              <w:rPr>
                <w:sz w:val="20"/>
                <w:szCs w:val="20"/>
              </w:rPr>
              <w:t>4</w:t>
            </w:r>
          </w:p>
        </w:tc>
        <w:tc>
          <w:tcPr>
            <w:tcW w:w="844" w:type="pct"/>
            <w:tcBorders>
              <w:top w:val="single" w:sz="4" w:space="0" w:color="auto"/>
              <w:left w:val="single" w:sz="4" w:space="0" w:color="auto"/>
              <w:bottom w:val="single" w:sz="4" w:space="0" w:color="auto"/>
              <w:right w:val="single" w:sz="4" w:space="0" w:color="auto"/>
            </w:tcBorders>
            <w:vAlign w:val="center"/>
          </w:tcPr>
          <w:p w14:paraId="6CB0D1AD"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545" w:type="pct"/>
            <w:tcBorders>
              <w:top w:val="single" w:sz="4" w:space="0" w:color="auto"/>
              <w:left w:val="single" w:sz="4" w:space="0" w:color="auto"/>
              <w:bottom w:val="single" w:sz="4" w:space="0" w:color="auto"/>
              <w:right w:val="single" w:sz="4" w:space="0" w:color="auto"/>
            </w:tcBorders>
            <w:vAlign w:val="center"/>
          </w:tcPr>
          <w:p w14:paraId="5668D8C6"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881" w:type="pct"/>
            <w:tcBorders>
              <w:top w:val="single" w:sz="4" w:space="0" w:color="auto"/>
              <w:left w:val="single" w:sz="4" w:space="0" w:color="auto"/>
              <w:bottom w:val="single" w:sz="4" w:space="0" w:color="auto"/>
              <w:right w:val="single" w:sz="4" w:space="0" w:color="auto"/>
            </w:tcBorders>
            <w:vAlign w:val="center"/>
          </w:tcPr>
          <w:p w14:paraId="0F511899"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1048" w:type="pct"/>
            <w:tcBorders>
              <w:top w:val="single" w:sz="4" w:space="0" w:color="auto"/>
              <w:left w:val="single" w:sz="4" w:space="0" w:color="auto"/>
              <w:bottom w:val="single" w:sz="4" w:space="0" w:color="auto"/>
              <w:right w:val="single" w:sz="4" w:space="0" w:color="auto"/>
            </w:tcBorders>
          </w:tcPr>
          <w:p w14:paraId="352951F1"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Pr>
                <w:sz w:val="20"/>
                <w:szCs w:val="20"/>
              </w:rPr>
              <w:t>1,325</w:t>
            </w:r>
            <w:r w:rsidRPr="00615B51">
              <w:rPr>
                <w:sz w:val="20"/>
                <w:szCs w:val="20"/>
              </w:rPr>
              <w:t xml:space="preserve"> Public Schools</w:t>
            </w:r>
          </w:p>
          <w:p w14:paraId="0D395269"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500 Private Schools</w:t>
            </w:r>
          </w:p>
        </w:tc>
        <w:tc>
          <w:tcPr>
            <w:tcW w:w="1049" w:type="pct"/>
            <w:tcBorders>
              <w:top w:val="single" w:sz="4" w:space="0" w:color="auto"/>
              <w:left w:val="single" w:sz="4" w:space="0" w:color="auto"/>
              <w:bottom w:val="single" w:sz="4" w:space="0" w:color="auto"/>
              <w:right w:val="single" w:sz="4" w:space="0" w:color="auto"/>
            </w:tcBorders>
          </w:tcPr>
          <w:p w14:paraId="6B1B4109"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5,784 Public Teachers</w:t>
            </w:r>
          </w:p>
          <w:p w14:paraId="0F9AEDA2"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875 Private Teachers</w:t>
            </w:r>
          </w:p>
        </w:tc>
      </w:tr>
      <w:tr w:rsidR="00707EB7" w:rsidRPr="00615B51" w14:paraId="07AB065B" w14:textId="77777777" w:rsidTr="00011E6F">
        <w:trPr>
          <w:cantSplit/>
        </w:trPr>
        <w:tc>
          <w:tcPr>
            <w:tcW w:w="632" w:type="pct"/>
            <w:tcBorders>
              <w:top w:val="single" w:sz="4" w:space="0" w:color="auto"/>
              <w:left w:val="single" w:sz="4" w:space="0" w:color="auto"/>
              <w:bottom w:val="single" w:sz="4" w:space="0" w:color="auto"/>
              <w:right w:val="single" w:sz="4" w:space="0" w:color="auto"/>
            </w:tcBorders>
            <w:vAlign w:val="center"/>
          </w:tcPr>
          <w:p w14:paraId="6B4C77A6"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sidRPr="00615B51">
              <w:rPr>
                <w:sz w:val="20"/>
                <w:szCs w:val="20"/>
              </w:rPr>
              <w:t>5</w:t>
            </w:r>
          </w:p>
        </w:tc>
        <w:tc>
          <w:tcPr>
            <w:tcW w:w="844" w:type="pct"/>
            <w:tcBorders>
              <w:top w:val="single" w:sz="4" w:space="0" w:color="auto"/>
              <w:left w:val="single" w:sz="4" w:space="0" w:color="auto"/>
              <w:bottom w:val="single" w:sz="4" w:space="0" w:color="auto"/>
              <w:right w:val="single" w:sz="4" w:space="0" w:color="auto"/>
            </w:tcBorders>
            <w:vAlign w:val="center"/>
          </w:tcPr>
          <w:p w14:paraId="6F9705ED"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14:paraId="0FCB4139"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881" w:type="pct"/>
            <w:tcBorders>
              <w:top w:val="single" w:sz="4" w:space="0" w:color="auto"/>
              <w:left w:val="single" w:sz="4" w:space="0" w:color="auto"/>
              <w:bottom w:val="single" w:sz="4" w:space="0" w:color="auto"/>
              <w:right w:val="single" w:sz="4" w:space="0" w:color="auto"/>
            </w:tcBorders>
            <w:vAlign w:val="center"/>
          </w:tcPr>
          <w:p w14:paraId="0391DF62"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1048" w:type="pct"/>
            <w:tcBorders>
              <w:top w:val="single" w:sz="4" w:space="0" w:color="auto"/>
              <w:left w:val="single" w:sz="4" w:space="0" w:color="auto"/>
              <w:bottom w:val="single" w:sz="4" w:space="0" w:color="auto"/>
              <w:right w:val="single" w:sz="4" w:space="0" w:color="auto"/>
            </w:tcBorders>
          </w:tcPr>
          <w:p w14:paraId="0E336482"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Pr>
                <w:sz w:val="20"/>
                <w:szCs w:val="20"/>
              </w:rPr>
              <w:t>1,325</w:t>
            </w:r>
            <w:r w:rsidRPr="00615B51">
              <w:rPr>
                <w:sz w:val="20"/>
                <w:szCs w:val="20"/>
              </w:rPr>
              <w:t xml:space="preserve"> Public Schools</w:t>
            </w:r>
          </w:p>
          <w:p w14:paraId="64A381A7"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500 Private Schools</w:t>
            </w:r>
          </w:p>
        </w:tc>
        <w:tc>
          <w:tcPr>
            <w:tcW w:w="1049" w:type="pct"/>
            <w:tcBorders>
              <w:top w:val="single" w:sz="4" w:space="0" w:color="auto"/>
              <w:left w:val="single" w:sz="4" w:space="0" w:color="auto"/>
              <w:bottom w:val="single" w:sz="4" w:space="0" w:color="auto"/>
              <w:right w:val="single" w:sz="4" w:space="0" w:color="auto"/>
            </w:tcBorders>
          </w:tcPr>
          <w:p w14:paraId="6FB1C6DF"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5,784 Public Teachers</w:t>
            </w:r>
          </w:p>
          <w:p w14:paraId="122745BC"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875 Private Teachers</w:t>
            </w:r>
          </w:p>
        </w:tc>
      </w:tr>
      <w:tr w:rsidR="00707EB7" w:rsidRPr="00615B51" w14:paraId="4C7455A4" w14:textId="77777777" w:rsidTr="00011E6F">
        <w:trPr>
          <w:cantSplit/>
        </w:trPr>
        <w:tc>
          <w:tcPr>
            <w:tcW w:w="632" w:type="pct"/>
            <w:tcBorders>
              <w:top w:val="single" w:sz="4" w:space="0" w:color="auto"/>
              <w:left w:val="single" w:sz="4" w:space="0" w:color="auto"/>
              <w:bottom w:val="single" w:sz="4" w:space="0" w:color="auto"/>
              <w:right w:val="single" w:sz="4" w:space="0" w:color="auto"/>
            </w:tcBorders>
            <w:vAlign w:val="center"/>
          </w:tcPr>
          <w:p w14:paraId="471F885B"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sidRPr="00615B51">
              <w:rPr>
                <w:sz w:val="20"/>
                <w:szCs w:val="20"/>
              </w:rPr>
              <w:t>6</w:t>
            </w:r>
          </w:p>
        </w:tc>
        <w:tc>
          <w:tcPr>
            <w:tcW w:w="844" w:type="pct"/>
            <w:tcBorders>
              <w:top w:val="single" w:sz="4" w:space="0" w:color="auto"/>
              <w:left w:val="single" w:sz="4" w:space="0" w:color="auto"/>
              <w:bottom w:val="single" w:sz="4" w:space="0" w:color="auto"/>
              <w:right w:val="single" w:sz="4" w:space="0" w:color="auto"/>
            </w:tcBorders>
            <w:vAlign w:val="center"/>
          </w:tcPr>
          <w:p w14:paraId="1FBEE6D9"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14:paraId="79AAD9DC"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881" w:type="pct"/>
            <w:tcBorders>
              <w:top w:val="single" w:sz="4" w:space="0" w:color="auto"/>
              <w:left w:val="single" w:sz="4" w:space="0" w:color="auto"/>
              <w:bottom w:val="single" w:sz="4" w:space="0" w:color="auto"/>
              <w:right w:val="single" w:sz="4" w:space="0" w:color="auto"/>
            </w:tcBorders>
            <w:vAlign w:val="center"/>
          </w:tcPr>
          <w:p w14:paraId="2A74D49E"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1048" w:type="pct"/>
            <w:tcBorders>
              <w:top w:val="single" w:sz="4" w:space="0" w:color="auto"/>
              <w:left w:val="single" w:sz="4" w:space="0" w:color="auto"/>
              <w:bottom w:val="single" w:sz="4" w:space="0" w:color="auto"/>
              <w:right w:val="single" w:sz="4" w:space="0" w:color="auto"/>
            </w:tcBorders>
          </w:tcPr>
          <w:p w14:paraId="5F0D8970"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Pr>
                <w:sz w:val="20"/>
                <w:szCs w:val="20"/>
              </w:rPr>
              <w:t>1,325</w:t>
            </w:r>
            <w:r w:rsidRPr="00615B51">
              <w:rPr>
                <w:sz w:val="20"/>
                <w:szCs w:val="20"/>
              </w:rPr>
              <w:t xml:space="preserve"> Public Schools</w:t>
            </w:r>
          </w:p>
          <w:p w14:paraId="255E77F0"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500 Private Schools</w:t>
            </w:r>
          </w:p>
        </w:tc>
        <w:tc>
          <w:tcPr>
            <w:tcW w:w="1049" w:type="pct"/>
            <w:tcBorders>
              <w:top w:val="single" w:sz="4" w:space="0" w:color="auto"/>
              <w:left w:val="single" w:sz="4" w:space="0" w:color="auto"/>
              <w:bottom w:val="single" w:sz="4" w:space="0" w:color="auto"/>
              <w:right w:val="single" w:sz="4" w:space="0" w:color="auto"/>
            </w:tcBorders>
          </w:tcPr>
          <w:p w14:paraId="342BFB65"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5,784 Public Teachers</w:t>
            </w:r>
          </w:p>
          <w:p w14:paraId="165816EE"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875 Private Teachers</w:t>
            </w:r>
          </w:p>
        </w:tc>
      </w:tr>
      <w:tr w:rsidR="00707EB7" w:rsidRPr="00615B51" w14:paraId="2CB6A0EE" w14:textId="77777777" w:rsidTr="00011E6F">
        <w:trPr>
          <w:cantSplit/>
        </w:trPr>
        <w:tc>
          <w:tcPr>
            <w:tcW w:w="632" w:type="pct"/>
            <w:tcBorders>
              <w:top w:val="single" w:sz="4" w:space="0" w:color="auto"/>
              <w:left w:val="single" w:sz="4" w:space="0" w:color="auto"/>
              <w:bottom w:val="single" w:sz="4" w:space="0" w:color="auto"/>
              <w:right w:val="single" w:sz="4" w:space="0" w:color="auto"/>
            </w:tcBorders>
            <w:vAlign w:val="center"/>
          </w:tcPr>
          <w:p w14:paraId="260662BA"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sidRPr="00615B51">
              <w:rPr>
                <w:sz w:val="20"/>
                <w:szCs w:val="20"/>
              </w:rPr>
              <w:t>7</w:t>
            </w:r>
          </w:p>
        </w:tc>
        <w:tc>
          <w:tcPr>
            <w:tcW w:w="844" w:type="pct"/>
            <w:tcBorders>
              <w:top w:val="single" w:sz="4" w:space="0" w:color="auto"/>
              <w:left w:val="single" w:sz="4" w:space="0" w:color="auto"/>
              <w:bottom w:val="single" w:sz="4" w:space="0" w:color="auto"/>
              <w:right w:val="single" w:sz="4" w:space="0" w:color="auto"/>
            </w:tcBorders>
            <w:vAlign w:val="center"/>
          </w:tcPr>
          <w:p w14:paraId="5E062D7E"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14:paraId="2E0C3642"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881" w:type="pct"/>
            <w:tcBorders>
              <w:top w:val="single" w:sz="4" w:space="0" w:color="auto"/>
              <w:left w:val="single" w:sz="4" w:space="0" w:color="auto"/>
              <w:bottom w:val="single" w:sz="4" w:space="0" w:color="auto"/>
              <w:right w:val="single" w:sz="4" w:space="0" w:color="auto"/>
            </w:tcBorders>
            <w:vAlign w:val="center"/>
          </w:tcPr>
          <w:p w14:paraId="258A42A4"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Yes</w:t>
            </w:r>
          </w:p>
        </w:tc>
        <w:tc>
          <w:tcPr>
            <w:tcW w:w="1048" w:type="pct"/>
            <w:tcBorders>
              <w:top w:val="single" w:sz="4" w:space="0" w:color="auto"/>
              <w:left w:val="single" w:sz="4" w:space="0" w:color="auto"/>
              <w:bottom w:val="single" w:sz="4" w:space="0" w:color="auto"/>
              <w:right w:val="single" w:sz="4" w:space="0" w:color="auto"/>
            </w:tcBorders>
          </w:tcPr>
          <w:p w14:paraId="442B5E0D"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Pr>
                <w:sz w:val="20"/>
                <w:szCs w:val="20"/>
              </w:rPr>
              <w:t>1,325</w:t>
            </w:r>
            <w:r w:rsidRPr="00615B51">
              <w:rPr>
                <w:sz w:val="20"/>
                <w:szCs w:val="20"/>
              </w:rPr>
              <w:t xml:space="preserve"> Public Schools</w:t>
            </w:r>
          </w:p>
          <w:p w14:paraId="4EC3F5B5"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500 Private Schools</w:t>
            </w:r>
          </w:p>
        </w:tc>
        <w:tc>
          <w:tcPr>
            <w:tcW w:w="1049" w:type="pct"/>
            <w:tcBorders>
              <w:top w:val="single" w:sz="4" w:space="0" w:color="auto"/>
              <w:left w:val="single" w:sz="4" w:space="0" w:color="auto"/>
              <w:bottom w:val="single" w:sz="4" w:space="0" w:color="auto"/>
              <w:right w:val="single" w:sz="4" w:space="0" w:color="auto"/>
            </w:tcBorders>
          </w:tcPr>
          <w:p w14:paraId="4EB60A8D"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5,784 Public Teachers</w:t>
            </w:r>
          </w:p>
          <w:p w14:paraId="38BFAF58"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875 Private Teachers</w:t>
            </w:r>
          </w:p>
        </w:tc>
      </w:tr>
      <w:tr w:rsidR="00707EB7" w:rsidRPr="00615B51" w14:paraId="5C27FECD" w14:textId="77777777" w:rsidTr="00011E6F">
        <w:trPr>
          <w:cantSplit/>
        </w:trPr>
        <w:tc>
          <w:tcPr>
            <w:tcW w:w="632" w:type="pct"/>
            <w:tcBorders>
              <w:top w:val="single" w:sz="4" w:space="0" w:color="auto"/>
              <w:left w:val="single" w:sz="4" w:space="0" w:color="auto"/>
              <w:bottom w:val="single" w:sz="4" w:space="0" w:color="auto"/>
              <w:right w:val="single" w:sz="4" w:space="0" w:color="auto"/>
            </w:tcBorders>
            <w:vAlign w:val="center"/>
          </w:tcPr>
          <w:p w14:paraId="75489BC1"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sidRPr="00615B51">
              <w:rPr>
                <w:sz w:val="20"/>
                <w:szCs w:val="20"/>
              </w:rPr>
              <w:t>8</w:t>
            </w:r>
          </w:p>
        </w:tc>
        <w:tc>
          <w:tcPr>
            <w:tcW w:w="844" w:type="pct"/>
            <w:tcBorders>
              <w:top w:val="single" w:sz="4" w:space="0" w:color="auto"/>
              <w:left w:val="single" w:sz="4" w:space="0" w:color="auto"/>
              <w:bottom w:val="single" w:sz="4" w:space="0" w:color="auto"/>
              <w:right w:val="single" w:sz="4" w:space="0" w:color="auto"/>
            </w:tcBorders>
            <w:vAlign w:val="center"/>
          </w:tcPr>
          <w:p w14:paraId="7D8C3E62"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545" w:type="pct"/>
            <w:tcBorders>
              <w:top w:val="single" w:sz="4" w:space="0" w:color="auto"/>
              <w:left w:val="single" w:sz="4" w:space="0" w:color="auto"/>
              <w:bottom w:val="single" w:sz="4" w:space="0" w:color="auto"/>
              <w:right w:val="single" w:sz="4" w:space="0" w:color="auto"/>
            </w:tcBorders>
            <w:vAlign w:val="center"/>
          </w:tcPr>
          <w:p w14:paraId="08423ECD"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881" w:type="pct"/>
            <w:tcBorders>
              <w:top w:val="single" w:sz="4" w:space="0" w:color="auto"/>
              <w:left w:val="single" w:sz="4" w:space="0" w:color="auto"/>
              <w:bottom w:val="single" w:sz="4" w:space="0" w:color="auto"/>
              <w:right w:val="single" w:sz="4" w:space="0" w:color="auto"/>
            </w:tcBorders>
            <w:vAlign w:val="center"/>
          </w:tcPr>
          <w:p w14:paraId="706FE210"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jc w:val="center"/>
              <w:rPr>
                <w:sz w:val="20"/>
                <w:szCs w:val="20"/>
              </w:rPr>
            </w:pPr>
            <w:r>
              <w:rPr>
                <w:sz w:val="20"/>
                <w:szCs w:val="20"/>
              </w:rPr>
              <w:t>No</w:t>
            </w:r>
          </w:p>
        </w:tc>
        <w:tc>
          <w:tcPr>
            <w:tcW w:w="1048" w:type="pct"/>
            <w:tcBorders>
              <w:top w:val="single" w:sz="4" w:space="0" w:color="auto"/>
              <w:left w:val="single" w:sz="4" w:space="0" w:color="auto"/>
              <w:bottom w:val="single" w:sz="4" w:space="0" w:color="auto"/>
              <w:right w:val="single" w:sz="4" w:space="0" w:color="auto"/>
            </w:tcBorders>
          </w:tcPr>
          <w:p w14:paraId="0F40645F"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Pr>
                <w:sz w:val="20"/>
                <w:szCs w:val="20"/>
              </w:rPr>
              <w:t>1,325</w:t>
            </w:r>
            <w:r w:rsidRPr="00615B51">
              <w:rPr>
                <w:sz w:val="20"/>
                <w:szCs w:val="20"/>
              </w:rPr>
              <w:t xml:space="preserve"> Public Schools</w:t>
            </w:r>
          </w:p>
          <w:p w14:paraId="34573AD9"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500 Private Schools</w:t>
            </w:r>
          </w:p>
        </w:tc>
        <w:tc>
          <w:tcPr>
            <w:tcW w:w="1049" w:type="pct"/>
            <w:tcBorders>
              <w:top w:val="single" w:sz="4" w:space="0" w:color="auto"/>
              <w:left w:val="single" w:sz="4" w:space="0" w:color="auto"/>
              <w:bottom w:val="single" w:sz="4" w:space="0" w:color="auto"/>
              <w:right w:val="single" w:sz="4" w:space="0" w:color="auto"/>
            </w:tcBorders>
          </w:tcPr>
          <w:p w14:paraId="1179625D"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5,784 Public Teachers</w:t>
            </w:r>
          </w:p>
          <w:p w14:paraId="78BF40DB" w14:textId="77777777" w:rsidR="003A1246" w:rsidRPr="00615B51" w:rsidRDefault="003A1246" w:rsidP="00011E6F">
            <w:pPr>
              <w:pStyle w:val="ListParagraph"/>
              <w:widowControl w:val="0"/>
              <w:tabs>
                <w:tab w:val="left" w:pos="720"/>
                <w:tab w:val="left" w:pos="2160"/>
                <w:tab w:val="left" w:pos="5040"/>
                <w:tab w:val="left" w:pos="7200"/>
              </w:tabs>
              <w:spacing w:after="0" w:line="240" w:lineRule="auto"/>
              <w:ind w:left="0"/>
              <w:rPr>
                <w:sz w:val="20"/>
                <w:szCs w:val="20"/>
              </w:rPr>
            </w:pPr>
            <w:r w:rsidRPr="00615B51">
              <w:rPr>
                <w:sz w:val="20"/>
                <w:szCs w:val="20"/>
              </w:rPr>
              <w:t>875 Private Teachers</w:t>
            </w:r>
          </w:p>
        </w:tc>
      </w:tr>
    </w:tbl>
    <w:p w14:paraId="0566F83C" w14:textId="77777777" w:rsidR="003A1246" w:rsidRDefault="003A1246" w:rsidP="003A1246">
      <w:pPr>
        <w:pStyle w:val="ListParagraph"/>
        <w:spacing w:after="0" w:line="240" w:lineRule="auto"/>
      </w:pPr>
    </w:p>
    <w:p w14:paraId="0BC1B66E" w14:textId="581603FB" w:rsidR="004F6DF1" w:rsidRDefault="003A1246" w:rsidP="004F6DF1">
      <w:pPr>
        <w:spacing w:after="120" w:line="240" w:lineRule="auto"/>
      </w:pPr>
      <w:r>
        <w:t xml:space="preserve">For analysis purposes, the experimental groups </w:t>
      </w:r>
      <w:r w:rsidR="00CA6804">
        <w:t>are</w:t>
      </w:r>
      <w:r>
        <w:t xml:space="preserve"> collapsed based on the phase of the experiment (breakdown shown in Table 3</w:t>
      </w:r>
      <w:r w:rsidR="00F622A3">
        <w:t xml:space="preserve"> below</w:t>
      </w:r>
      <w:r>
        <w:t>).</w:t>
      </w:r>
      <w:r w:rsidR="004F6DF1">
        <w:t xml:space="preserve"> </w:t>
      </w:r>
      <w:r>
        <w:t>For teachers that are sampled during phase one, the analysis groups collapse into treatment (1, 2, 3, and 4) and control (5, 6, 7, and 8).</w:t>
      </w:r>
      <w:r w:rsidR="004F6DF1">
        <w:t xml:space="preserve"> </w:t>
      </w:r>
      <w:r>
        <w:t>For phase two, the analysis groups collapse into treatment one (1,5), treatment two (2,6), treatment three (3,7), and control (4,8).</w:t>
      </w:r>
    </w:p>
    <w:p w14:paraId="511B6B8A" w14:textId="77777777" w:rsidR="003A1246" w:rsidRPr="00C70E18" w:rsidRDefault="003A1246" w:rsidP="00C70E18">
      <w:pPr>
        <w:pStyle w:val="Caption"/>
        <w:keepNext/>
        <w:keepLines/>
        <w:spacing w:before="240" w:after="60"/>
        <w:rPr>
          <w:b/>
        </w:rPr>
      </w:pPr>
      <w:r w:rsidRPr="00C70E18">
        <w:rPr>
          <w:b/>
        </w:rPr>
        <w:t xml:space="preserve">Table </w:t>
      </w:r>
      <w:r w:rsidRPr="00C70E18">
        <w:rPr>
          <w:b/>
        </w:rPr>
        <w:fldChar w:fldCharType="begin"/>
      </w:r>
      <w:r w:rsidRPr="00C70E18">
        <w:rPr>
          <w:b/>
        </w:rPr>
        <w:instrText xml:space="preserve"> SEQ Table \* ARABIC </w:instrText>
      </w:r>
      <w:r w:rsidRPr="00C70E18">
        <w:rPr>
          <w:b/>
        </w:rPr>
        <w:fldChar w:fldCharType="separate"/>
      </w:r>
      <w:r w:rsidRPr="00C70E18">
        <w:rPr>
          <w:b/>
          <w:noProof/>
        </w:rPr>
        <w:t>3</w:t>
      </w:r>
      <w:r w:rsidRPr="00C70E18">
        <w:rPr>
          <w:b/>
          <w:noProof/>
        </w:rPr>
        <w:fldChar w:fldCharType="end"/>
      </w:r>
      <w:r w:rsidRPr="00C70E18">
        <w:rPr>
          <w:b/>
        </w:rPr>
        <w:t>. Breakdown of Experimental Groups into Analysis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066"/>
        <w:gridCol w:w="5676"/>
      </w:tblGrid>
      <w:tr w:rsidR="003A1246" w14:paraId="08A2B49E" w14:textId="77777777" w:rsidTr="007D6A82">
        <w:tc>
          <w:tcPr>
            <w:tcW w:w="2358" w:type="pct"/>
            <w:vAlign w:val="center"/>
          </w:tcPr>
          <w:p w14:paraId="23F97B34" w14:textId="77777777" w:rsidR="003A1246" w:rsidRDefault="003A1246" w:rsidP="002C65A1">
            <w:pPr>
              <w:pStyle w:val="ListParagraph"/>
              <w:keepNext/>
              <w:keepLines/>
              <w:tabs>
                <w:tab w:val="left" w:pos="360"/>
                <w:tab w:val="left" w:pos="2160"/>
                <w:tab w:val="left" w:pos="5040"/>
                <w:tab w:val="left" w:pos="7200"/>
              </w:tabs>
              <w:spacing w:after="0" w:line="240" w:lineRule="auto"/>
              <w:ind w:left="0"/>
              <w:jc w:val="center"/>
              <w:rPr>
                <w:b/>
              </w:rPr>
            </w:pPr>
            <w:r>
              <w:rPr>
                <w:b/>
              </w:rPr>
              <w:t>Description of Two Analysis Groups</w:t>
            </w:r>
          </w:p>
          <w:p w14:paraId="34F84D36" w14:textId="77777777" w:rsidR="003A1246" w:rsidRPr="007C50AB" w:rsidRDefault="003A1246" w:rsidP="002C65A1">
            <w:pPr>
              <w:pStyle w:val="ListParagraph"/>
              <w:keepNext/>
              <w:keepLines/>
              <w:tabs>
                <w:tab w:val="left" w:pos="360"/>
                <w:tab w:val="left" w:pos="2160"/>
                <w:tab w:val="left" w:pos="5040"/>
                <w:tab w:val="left" w:pos="7200"/>
              </w:tabs>
              <w:spacing w:after="0" w:line="240" w:lineRule="auto"/>
              <w:ind w:left="0"/>
              <w:jc w:val="center"/>
              <w:rPr>
                <w:b/>
              </w:rPr>
            </w:pPr>
            <w:r w:rsidRPr="007C50AB">
              <w:rPr>
                <w:b/>
              </w:rPr>
              <w:t>for Phase One</w:t>
            </w:r>
          </w:p>
        </w:tc>
        <w:tc>
          <w:tcPr>
            <w:tcW w:w="2642" w:type="pct"/>
            <w:vAlign w:val="center"/>
          </w:tcPr>
          <w:p w14:paraId="34B6E9DC" w14:textId="77777777" w:rsidR="003A1246" w:rsidRDefault="003A1246" w:rsidP="002C65A1">
            <w:pPr>
              <w:pStyle w:val="ListParagraph"/>
              <w:keepNext/>
              <w:keepLines/>
              <w:tabs>
                <w:tab w:val="left" w:pos="360"/>
                <w:tab w:val="left" w:pos="2160"/>
                <w:tab w:val="left" w:pos="5040"/>
                <w:tab w:val="left" w:pos="7200"/>
              </w:tabs>
              <w:spacing w:after="0" w:line="240" w:lineRule="auto"/>
              <w:ind w:left="0"/>
              <w:jc w:val="center"/>
              <w:rPr>
                <w:b/>
              </w:rPr>
            </w:pPr>
            <w:r>
              <w:rPr>
                <w:b/>
              </w:rPr>
              <w:t>Description of Four Analysis Groups</w:t>
            </w:r>
          </w:p>
          <w:p w14:paraId="68365D35" w14:textId="77777777" w:rsidR="003A1246" w:rsidRPr="007C50AB" w:rsidRDefault="003A1246" w:rsidP="002C65A1">
            <w:pPr>
              <w:pStyle w:val="ListParagraph"/>
              <w:keepNext/>
              <w:keepLines/>
              <w:tabs>
                <w:tab w:val="left" w:pos="360"/>
                <w:tab w:val="left" w:pos="2160"/>
                <w:tab w:val="left" w:pos="5040"/>
                <w:tab w:val="left" w:pos="7200"/>
              </w:tabs>
              <w:spacing w:after="0" w:line="240" w:lineRule="auto"/>
              <w:ind w:left="0"/>
              <w:jc w:val="center"/>
              <w:rPr>
                <w:b/>
              </w:rPr>
            </w:pPr>
            <w:r w:rsidRPr="007C50AB">
              <w:rPr>
                <w:b/>
              </w:rPr>
              <w:t>for Phase Two</w:t>
            </w:r>
          </w:p>
        </w:tc>
      </w:tr>
      <w:tr w:rsidR="003A1246" w14:paraId="4C34D812" w14:textId="77777777" w:rsidTr="007D6A82">
        <w:tc>
          <w:tcPr>
            <w:tcW w:w="2358" w:type="pct"/>
            <w:vMerge w:val="restart"/>
            <w:vAlign w:val="center"/>
          </w:tcPr>
          <w:p w14:paraId="4D40701F" w14:textId="24867215" w:rsidR="007D6A82" w:rsidRDefault="003A1246" w:rsidP="007D6A82">
            <w:pPr>
              <w:pStyle w:val="ListParagraph"/>
              <w:keepNext/>
              <w:keepLines/>
              <w:tabs>
                <w:tab w:val="left" w:pos="360"/>
                <w:tab w:val="left" w:pos="2160"/>
                <w:tab w:val="left" w:pos="5040"/>
                <w:tab w:val="left" w:pos="7200"/>
              </w:tabs>
              <w:spacing w:after="0" w:line="240" w:lineRule="auto"/>
              <w:ind w:left="0"/>
              <w:jc w:val="center"/>
            </w:pPr>
            <w:r>
              <w:t xml:space="preserve">Experimental Groups 1, 2, 3, and 4 </w:t>
            </w:r>
            <w:r w:rsidR="007D6A82">
              <w:t>–</w:t>
            </w:r>
          </w:p>
          <w:p w14:paraId="64F7B643" w14:textId="3C1A426F" w:rsidR="003A1246" w:rsidRDefault="003A1246" w:rsidP="007D6A82">
            <w:pPr>
              <w:pStyle w:val="ListParagraph"/>
              <w:keepNext/>
              <w:keepLines/>
              <w:tabs>
                <w:tab w:val="left" w:pos="360"/>
                <w:tab w:val="left" w:pos="2160"/>
                <w:tab w:val="left" w:pos="5040"/>
                <w:tab w:val="left" w:pos="7200"/>
              </w:tabs>
              <w:spacing w:after="0" w:line="240" w:lineRule="auto"/>
              <w:ind w:left="0"/>
              <w:jc w:val="center"/>
            </w:pPr>
            <w:r>
              <w:t>Teacher Incentive</w:t>
            </w:r>
          </w:p>
        </w:tc>
        <w:tc>
          <w:tcPr>
            <w:tcW w:w="2642" w:type="pct"/>
            <w:vAlign w:val="center"/>
          </w:tcPr>
          <w:p w14:paraId="313163F7" w14:textId="77777777" w:rsidR="007D6A82" w:rsidRDefault="003A1246" w:rsidP="007D6A82">
            <w:pPr>
              <w:pStyle w:val="ListParagraph"/>
              <w:keepNext/>
              <w:keepLines/>
              <w:tabs>
                <w:tab w:val="left" w:pos="360"/>
                <w:tab w:val="left" w:pos="2160"/>
                <w:tab w:val="left" w:pos="5040"/>
                <w:tab w:val="left" w:pos="7200"/>
              </w:tabs>
              <w:spacing w:after="0" w:line="240" w:lineRule="auto"/>
              <w:ind w:left="0"/>
              <w:jc w:val="center"/>
            </w:pPr>
            <w:r>
              <w:t>Experimental Groups 1 and 5 – Teacher Incentive and</w:t>
            </w:r>
          </w:p>
          <w:p w14:paraId="0E181045" w14:textId="54480997" w:rsidR="003A1246" w:rsidRDefault="003A1246" w:rsidP="007D6A82">
            <w:pPr>
              <w:pStyle w:val="ListParagraph"/>
              <w:keepNext/>
              <w:keepLines/>
              <w:tabs>
                <w:tab w:val="left" w:pos="360"/>
                <w:tab w:val="left" w:pos="2160"/>
                <w:tab w:val="left" w:pos="5040"/>
                <w:tab w:val="left" w:pos="7200"/>
              </w:tabs>
              <w:spacing w:after="0" w:line="240" w:lineRule="auto"/>
              <w:ind w:left="0"/>
              <w:jc w:val="center"/>
            </w:pPr>
            <w:r>
              <w:t>SC/Principal Incentive</w:t>
            </w:r>
          </w:p>
        </w:tc>
      </w:tr>
      <w:tr w:rsidR="003A1246" w14:paraId="55ACC19F" w14:textId="77777777" w:rsidTr="007D6A82">
        <w:tc>
          <w:tcPr>
            <w:tcW w:w="2358" w:type="pct"/>
            <w:vMerge/>
            <w:vAlign w:val="center"/>
          </w:tcPr>
          <w:p w14:paraId="2251FC70" w14:textId="77777777" w:rsidR="003A1246" w:rsidRDefault="003A1246" w:rsidP="007D6A82">
            <w:pPr>
              <w:pStyle w:val="ListParagraph"/>
              <w:keepNext/>
              <w:keepLines/>
              <w:tabs>
                <w:tab w:val="left" w:pos="360"/>
                <w:tab w:val="left" w:pos="2160"/>
                <w:tab w:val="left" w:pos="5040"/>
                <w:tab w:val="left" w:pos="7200"/>
              </w:tabs>
              <w:spacing w:after="0" w:line="240" w:lineRule="auto"/>
              <w:ind w:left="0"/>
              <w:jc w:val="center"/>
            </w:pPr>
          </w:p>
        </w:tc>
        <w:tc>
          <w:tcPr>
            <w:tcW w:w="2642" w:type="pct"/>
            <w:vAlign w:val="center"/>
          </w:tcPr>
          <w:p w14:paraId="6AA4D978" w14:textId="77777777" w:rsidR="007D6A82" w:rsidRDefault="003A1246" w:rsidP="007D6A82">
            <w:pPr>
              <w:pStyle w:val="ListParagraph"/>
              <w:keepNext/>
              <w:keepLines/>
              <w:tabs>
                <w:tab w:val="left" w:pos="360"/>
                <w:tab w:val="left" w:pos="2160"/>
                <w:tab w:val="left" w:pos="5040"/>
                <w:tab w:val="left" w:pos="7200"/>
              </w:tabs>
              <w:spacing w:after="0" w:line="240" w:lineRule="auto"/>
              <w:ind w:left="0"/>
              <w:jc w:val="center"/>
            </w:pPr>
            <w:r>
              <w:t>Experimental Groups 2 and 6 – Teacher Incentive</w:t>
            </w:r>
            <w:r w:rsidR="007D6A82">
              <w:t xml:space="preserve"> and</w:t>
            </w:r>
          </w:p>
          <w:p w14:paraId="3E4E1C9E" w14:textId="6121C405" w:rsidR="003A1246" w:rsidRDefault="003A1246" w:rsidP="007D6A82">
            <w:pPr>
              <w:pStyle w:val="ListParagraph"/>
              <w:keepNext/>
              <w:keepLines/>
              <w:tabs>
                <w:tab w:val="left" w:pos="360"/>
                <w:tab w:val="left" w:pos="2160"/>
                <w:tab w:val="left" w:pos="5040"/>
                <w:tab w:val="left" w:pos="7200"/>
              </w:tabs>
              <w:spacing w:after="0" w:line="240" w:lineRule="auto"/>
              <w:ind w:left="0"/>
              <w:jc w:val="center"/>
            </w:pPr>
            <w:r>
              <w:t>No SC/Principal Incentive</w:t>
            </w:r>
          </w:p>
        </w:tc>
      </w:tr>
      <w:tr w:rsidR="003A1246" w14:paraId="7F178AB8" w14:textId="77777777" w:rsidTr="007D6A82">
        <w:tc>
          <w:tcPr>
            <w:tcW w:w="2358" w:type="pct"/>
            <w:vMerge w:val="restart"/>
            <w:vAlign w:val="center"/>
          </w:tcPr>
          <w:p w14:paraId="50EC15F0" w14:textId="77777777" w:rsidR="007D6A82" w:rsidRDefault="003A1246" w:rsidP="007D6A82">
            <w:pPr>
              <w:pStyle w:val="ListParagraph"/>
              <w:keepNext/>
              <w:keepLines/>
              <w:tabs>
                <w:tab w:val="left" w:pos="360"/>
                <w:tab w:val="left" w:pos="2160"/>
                <w:tab w:val="left" w:pos="5040"/>
                <w:tab w:val="left" w:pos="7200"/>
              </w:tabs>
              <w:spacing w:after="0" w:line="240" w:lineRule="auto"/>
              <w:ind w:left="0"/>
              <w:jc w:val="center"/>
            </w:pPr>
            <w:r>
              <w:t>Exper</w:t>
            </w:r>
            <w:r w:rsidR="007D6A82">
              <w:t>imental Groups 5, 6, 7, and 8 –</w:t>
            </w:r>
          </w:p>
          <w:p w14:paraId="5F8CE400" w14:textId="0C1269A3" w:rsidR="003A1246" w:rsidRDefault="003A1246" w:rsidP="007D6A82">
            <w:pPr>
              <w:pStyle w:val="ListParagraph"/>
              <w:keepNext/>
              <w:keepLines/>
              <w:tabs>
                <w:tab w:val="left" w:pos="360"/>
                <w:tab w:val="left" w:pos="2160"/>
                <w:tab w:val="left" w:pos="5040"/>
                <w:tab w:val="left" w:pos="7200"/>
              </w:tabs>
              <w:spacing w:after="0" w:line="240" w:lineRule="auto"/>
              <w:ind w:left="0"/>
              <w:jc w:val="center"/>
            </w:pPr>
            <w:r>
              <w:t>No Teacher Incentive</w:t>
            </w:r>
          </w:p>
        </w:tc>
        <w:tc>
          <w:tcPr>
            <w:tcW w:w="2642" w:type="pct"/>
            <w:vAlign w:val="center"/>
          </w:tcPr>
          <w:p w14:paraId="6769CFD4" w14:textId="77777777" w:rsidR="007D6A82" w:rsidRDefault="003A1246" w:rsidP="007D6A82">
            <w:pPr>
              <w:pStyle w:val="ListParagraph"/>
              <w:keepNext/>
              <w:keepLines/>
              <w:tabs>
                <w:tab w:val="left" w:pos="360"/>
                <w:tab w:val="left" w:pos="2160"/>
                <w:tab w:val="left" w:pos="5040"/>
                <w:tab w:val="left" w:pos="7200"/>
              </w:tabs>
              <w:spacing w:after="0" w:line="240" w:lineRule="auto"/>
              <w:ind w:left="0"/>
              <w:jc w:val="center"/>
            </w:pPr>
            <w:r>
              <w:t>Experimental Groups 3 and 7 – No Teacher Incentive</w:t>
            </w:r>
            <w:r w:rsidR="007D6A82">
              <w:t xml:space="preserve"> and</w:t>
            </w:r>
          </w:p>
          <w:p w14:paraId="3B13BBC7" w14:textId="450695C3" w:rsidR="003A1246" w:rsidRDefault="003A1246" w:rsidP="007D6A82">
            <w:pPr>
              <w:pStyle w:val="ListParagraph"/>
              <w:keepNext/>
              <w:keepLines/>
              <w:tabs>
                <w:tab w:val="left" w:pos="360"/>
                <w:tab w:val="left" w:pos="2160"/>
                <w:tab w:val="left" w:pos="5040"/>
                <w:tab w:val="left" w:pos="7200"/>
              </w:tabs>
              <w:spacing w:after="0" w:line="240" w:lineRule="auto"/>
              <w:ind w:left="0"/>
              <w:jc w:val="center"/>
            </w:pPr>
            <w:r>
              <w:t>SC/Principal Incentive</w:t>
            </w:r>
          </w:p>
        </w:tc>
      </w:tr>
      <w:tr w:rsidR="003A1246" w14:paraId="659616BA" w14:textId="77777777" w:rsidTr="007D6A82">
        <w:tc>
          <w:tcPr>
            <w:tcW w:w="2358" w:type="pct"/>
            <w:vMerge/>
            <w:vAlign w:val="center"/>
          </w:tcPr>
          <w:p w14:paraId="4531B559" w14:textId="6156D3F3" w:rsidR="003A1246" w:rsidRDefault="003A1246" w:rsidP="002C65A1">
            <w:pPr>
              <w:pStyle w:val="ListParagraph"/>
              <w:keepNext/>
              <w:keepLines/>
              <w:tabs>
                <w:tab w:val="left" w:pos="360"/>
                <w:tab w:val="left" w:pos="2160"/>
                <w:tab w:val="left" w:pos="5040"/>
                <w:tab w:val="left" w:pos="7200"/>
              </w:tabs>
              <w:spacing w:after="0" w:line="240" w:lineRule="auto"/>
              <w:ind w:left="0"/>
            </w:pPr>
          </w:p>
        </w:tc>
        <w:tc>
          <w:tcPr>
            <w:tcW w:w="2642" w:type="pct"/>
            <w:vAlign w:val="center"/>
          </w:tcPr>
          <w:p w14:paraId="28AC328F" w14:textId="77777777" w:rsidR="007D6A82" w:rsidRDefault="003A1246" w:rsidP="007D6A82">
            <w:pPr>
              <w:pStyle w:val="ListParagraph"/>
              <w:keepNext/>
              <w:keepLines/>
              <w:tabs>
                <w:tab w:val="left" w:pos="360"/>
                <w:tab w:val="left" w:pos="2160"/>
                <w:tab w:val="left" w:pos="5040"/>
                <w:tab w:val="left" w:pos="7200"/>
              </w:tabs>
              <w:spacing w:after="0" w:line="240" w:lineRule="auto"/>
              <w:ind w:left="0"/>
              <w:jc w:val="center"/>
            </w:pPr>
            <w:r>
              <w:t>Experimental Groups 4 and 8 – No Teacher Incentive and</w:t>
            </w:r>
          </w:p>
          <w:p w14:paraId="1F06DE97" w14:textId="65E26221" w:rsidR="003A1246" w:rsidRDefault="007D6A82" w:rsidP="007D6A82">
            <w:pPr>
              <w:pStyle w:val="ListParagraph"/>
              <w:keepNext/>
              <w:keepLines/>
              <w:tabs>
                <w:tab w:val="left" w:pos="360"/>
                <w:tab w:val="left" w:pos="2160"/>
                <w:tab w:val="left" w:pos="5040"/>
                <w:tab w:val="left" w:pos="7200"/>
              </w:tabs>
              <w:spacing w:after="0" w:line="240" w:lineRule="auto"/>
              <w:ind w:left="0"/>
              <w:jc w:val="center"/>
            </w:pPr>
            <w:r>
              <w:t>N</w:t>
            </w:r>
            <w:r w:rsidR="003A1246">
              <w:t>o SC/Principal Incentive</w:t>
            </w:r>
          </w:p>
        </w:tc>
      </w:tr>
    </w:tbl>
    <w:p w14:paraId="24BCB9F2" w14:textId="77777777" w:rsidR="003A1246" w:rsidRPr="00F622A3" w:rsidRDefault="003A1246" w:rsidP="00F622A3">
      <w:pPr>
        <w:pStyle w:val="ListParagraph"/>
        <w:numPr>
          <w:ilvl w:val="0"/>
          <w:numId w:val="27"/>
        </w:numPr>
        <w:spacing w:before="120" w:after="120" w:line="240" w:lineRule="auto"/>
        <w:rPr>
          <w:b/>
        </w:rPr>
      </w:pPr>
      <w:r w:rsidRPr="00F622A3">
        <w:rPr>
          <w:b/>
        </w:rPr>
        <w:t>Current Status of the Teacher Questionnaire Response Rates by Domain</w:t>
      </w:r>
    </w:p>
    <w:p w14:paraId="1B522A4D" w14:textId="49561BCF" w:rsidR="0077316C" w:rsidRDefault="0077316C" w:rsidP="0077316C">
      <w:pPr>
        <w:spacing w:after="120" w:line="240" w:lineRule="auto"/>
      </w:pPr>
      <w:r>
        <w:t>At the time of this memo, data for waves 1-8 from NTPS 2017-18 was available for preliminary analysis to determine the effectiveness of the incentive experiment on response rates.</w:t>
      </w:r>
      <w:r w:rsidR="00011E6F">
        <w:t xml:space="preserve"> </w:t>
      </w:r>
      <w:r w:rsidR="00CA6804">
        <w:t>Although other waves have received initial mailings, waves 1-8 were the only groups for which a data file was available and enough time had passed to see the effectiveness of the incentives.</w:t>
      </w:r>
      <w:r w:rsidR="00011E6F">
        <w:t xml:space="preserve"> </w:t>
      </w:r>
      <w:r>
        <w:t>Data was analyzed separately for the public school domains and the private school domains</w:t>
      </w:r>
    </w:p>
    <w:p w14:paraId="740EAE54" w14:textId="77777777" w:rsidR="003A1246" w:rsidRPr="0005620D" w:rsidRDefault="003A1246" w:rsidP="008D3E51">
      <w:pPr>
        <w:pStyle w:val="ListParagraph"/>
        <w:keepNext/>
        <w:numPr>
          <w:ilvl w:val="0"/>
          <w:numId w:val="27"/>
        </w:numPr>
        <w:spacing w:after="120" w:line="240" w:lineRule="auto"/>
        <w:rPr>
          <w:b/>
        </w:rPr>
      </w:pPr>
      <w:r w:rsidRPr="0005620D">
        <w:rPr>
          <w:b/>
        </w:rPr>
        <w:t>Current Results for the NTPS 2017-18 Teacher Incentive Experiment</w:t>
      </w:r>
    </w:p>
    <w:p w14:paraId="63509798" w14:textId="574D50CE" w:rsidR="004F6DF1" w:rsidRDefault="00C252A4" w:rsidP="00C252A4">
      <w:pPr>
        <w:widowControl w:val="0"/>
        <w:spacing w:after="120" w:line="240" w:lineRule="auto"/>
      </w:pPr>
      <w:r>
        <w:t xml:space="preserve">The current teacher response rates for the first eight waves of the 2017-18 NTPS teacher sample data collection are shown for the private school domains in Table 4 and for the public school domains in </w:t>
      </w:r>
      <w:r w:rsidR="003A1246">
        <w:t xml:space="preserve">Table </w:t>
      </w:r>
      <w:r>
        <w:t>5</w:t>
      </w:r>
      <w:r w:rsidR="003A1246">
        <w:t>.</w:t>
      </w:r>
      <w:r w:rsidR="004F6DF1">
        <w:t xml:space="preserve"> </w:t>
      </w:r>
      <w:r w:rsidR="003A1246">
        <w:t>The response rates were calculated overall and for the incentive and non-incentive groups.</w:t>
      </w:r>
      <w:r w:rsidR="004F6DF1">
        <w:t xml:space="preserve"> </w:t>
      </w:r>
      <w:r w:rsidR="003A1246">
        <w:t>The table shows that for “all schools” and within a majority of the domains, the teachers receiving an incentive are responding at a significantly higher rate than the teachers that are not receiving an incentive.</w:t>
      </w:r>
      <w:r w:rsidR="004F6DF1">
        <w:t xml:space="preserve"> </w:t>
      </w:r>
      <w:r w:rsidR="00CB7030">
        <w:t xml:space="preserve">Cells in blue indicate the domains with </w:t>
      </w:r>
      <w:r w:rsidR="00556154">
        <w:t>r</w:t>
      </w:r>
      <w:r w:rsidR="00CB7030">
        <w:t xml:space="preserve">esponse rates </w:t>
      </w:r>
      <w:r w:rsidR="00556154">
        <w:t>below 50%</w:t>
      </w:r>
      <w:r w:rsidR="00CB7030">
        <w:t>, which may make good candidates for receiving contingency incentives, while c</w:t>
      </w:r>
      <w:r w:rsidR="00CB7030" w:rsidRPr="00CB7030">
        <w:t>ells highlighted in red indicate that the response rate for the teacher incentive group is significantly higher than the response rate for the non-incentive group with 95% confidence</w:t>
      </w:r>
      <w:r w:rsidR="003A1246">
        <w:t>.</w:t>
      </w:r>
    </w:p>
    <w:p w14:paraId="258886FD" w14:textId="081F4EA0" w:rsidR="00C252A4" w:rsidRPr="008D3E51" w:rsidRDefault="00C252A4" w:rsidP="00C252A4">
      <w:pPr>
        <w:pStyle w:val="Caption"/>
        <w:keepNext/>
        <w:keepLines/>
        <w:spacing w:before="240" w:after="60"/>
        <w:rPr>
          <w:b/>
        </w:rPr>
      </w:pPr>
      <w:r w:rsidRPr="008D3E51">
        <w:rPr>
          <w:b/>
        </w:rPr>
        <w:t xml:space="preserve">Table </w:t>
      </w:r>
      <w:r>
        <w:rPr>
          <w:b/>
        </w:rPr>
        <w:t>4</w:t>
      </w:r>
      <w:r w:rsidRPr="008D3E51">
        <w:rPr>
          <w:b/>
        </w:rPr>
        <w:t xml:space="preserve">. Current TQ Response Rates </w:t>
      </w:r>
      <w:r>
        <w:rPr>
          <w:b/>
        </w:rPr>
        <w:t xml:space="preserve">across and </w:t>
      </w:r>
      <w:r w:rsidRPr="008D3E51">
        <w:rPr>
          <w:b/>
        </w:rPr>
        <w:t>within the Private School Domains</w:t>
      </w:r>
    </w:p>
    <w:tbl>
      <w:tblPr>
        <w:tblW w:w="0" w:type="auto"/>
        <w:tblLayout w:type="fixed"/>
        <w:tblLook w:val="04A0" w:firstRow="1" w:lastRow="0" w:firstColumn="1" w:lastColumn="0" w:noHBand="0" w:noVBand="1"/>
      </w:tblPr>
      <w:tblGrid>
        <w:gridCol w:w="4614"/>
        <w:gridCol w:w="1342"/>
        <w:gridCol w:w="1640"/>
        <w:gridCol w:w="1640"/>
      </w:tblGrid>
      <w:tr w:rsidR="00C252A4" w:rsidRPr="00B83898" w14:paraId="2EC5CA12" w14:textId="77777777" w:rsidTr="00B63199">
        <w:trPr>
          <w:trHeight w:val="144"/>
          <w:tblHeader/>
        </w:trPr>
        <w:tc>
          <w:tcPr>
            <w:tcW w:w="4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F5EF2" w14:textId="77777777" w:rsidR="00C252A4" w:rsidRPr="00B83898" w:rsidRDefault="00C252A4" w:rsidP="00B63199">
            <w:pPr>
              <w:keepNext/>
              <w:keepLines/>
              <w:spacing w:after="0" w:line="240" w:lineRule="auto"/>
              <w:jc w:val="center"/>
              <w:rPr>
                <w:rFonts w:eastAsia="Times New Roman"/>
                <w:b/>
                <w:bCs/>
                <w:color w:val="000000"/>
                <w:sz w:val="18"/>
              </w:rPr>
            </w:pPr>
            <w:r w:rsidRPr="00B83898">
              <w:rPr>
                <w:rFonts w:eastAsia="Times New Roman"/>
                <w:b/>
                <w:bCs/>
                <w:color w:val="000000"/>
                <w:sz w:val="18"/>
              </w:rPr>
              <w:t>Private School Domain</w:t>
            </w:r>
          </w:p>
        </w:tc>
        <w:tc>
          <w:tcPr>
            <w:tcW w:w="462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DA24E2" w14:textId="77777777" w:rsidR="00C252A4" w:rsidRPr="00B83898" w:rsidRDefault="00C252A4" w:rsidP="00B63199">
            <w:pPr>
              <w:keepNext/>
              <w:keepLines/>
              <w:spacing w:after="0" w:line="240" w:lineRule="auto"/>
              <w:jc w:val="center"/>
              <w:rPr>
                <w:rFonts w:eastAsia="Times New Roman"/>
                <w:b/>
                <w:bCs/>
                <w:color w:val="000000"/>
                <w:sz w:val="18"/>
              </w:rPr>
            </w:pPr>
            <w:r w:rsidRPr="00B83898">
              <w:rPr>
                <w:rFonts w:eastAsia="Times New Roman"/>
                <w:b/>
                <w:bCs/>
                <w:color w:val="000000"/>
                <w:sz w:val="18"/>
              </w:rPr>
              <w:t>TQ Response Rates</w:t>
            </w:r>
          </w:p>
        </w:tc>
      </w:tr>
      <w:tr w:rsidR="00C252A4" w:rsidRPr="00B83898" w14:paraId="0A38E6A2" w14:textId="77777777" w:rsidTr="00B63199">
        <w:trPr>
          <w:trHeight w:val="144"/>
          <w:tblHeader/>
        </w:trPr>
        <w:tc>
          <w:tcPr>
            <w:tcW w:w="4614" w:type="dxa"/>
            <w:vMerge/>
            <w:tcBorders>
              <w:top w:val="single" w:sz="4" w:space="0" w:color="auto"/>
              <w:left w:val="single" w:sz="4" w:space="0" w:color="auto"/>
              <w:bottom w:val="single" w:sz="4" w:space="0" w:color="auto"/>
              <w:right w:val="single" w:sz="4" w:space="0" w:color="auto"/>
            </w:tcBorders>
            <w:vAlign w:val="center"/>
            <w:hideMark/>
          </w:tcPr>
          <w:p w14:paraId="74E5E875" w14:textId="77777777" w:rsidR="00C252A4" w:rsidRPr="00B83898" w:rsidRDefault="00C252A4" w:rsidP="00B63199">
            <w:pPr>
              <w:keepNext/>
              <w:keepLines/>
              <w:spacing w:after="0" w:line="240" w:lineRule="auto"/>
              <w:rPr>
                <w:rFonts w:eastAsia="Times New Roman"/>
                <w:b/>
                <w:bCs/>
                <w:color w:val="000000"/>
                <w:sz w:val="18"/>
              </w:rPr>
            </w:pPr>
          </w:p>
        </w:tc>
        <w:tc>
          <w:tcPr>
            <w:tcW w:w="1342" w:type="dxa"/>
            <w:tcBorders>
              <w:top w:val="nil"/>
              <w:left w:val="nil"/>
              <w:bottom w:val="single" w:sz="4" w:space="0" w:color="auto"/>
              <w:right w:val="single" w:sz="4" w:space="0" w:color="auto"/>
            </w:tcBorders>
            <w:shd w:val="clear" w:color="auto" w:fill="auto"/>
            <w:noWrap/>
            <w:vAlign w:val="bottom"/>
            <w:hideMark/>
          </w:tcPr>
          <w:p w14:paraId="3313BB21" w14:textId="77777777" w:rsidR="00C252A4" w:rsidRPr="00B83898" w:rsidRDefault="00C252A4" w:rsidP="00B63199">
            <w:pPr>
              <w:keepNext/>
              <w:keepLines/>
              <w:spacing w:after="0" w:line="240" w:lineRule="auto"/>
              <w:jc w:val="center"/>
              <w:rPr>
                <w:rFonts w:eastAsia="Times New Roman"/>
                <w:b/>
                <w:bCs/>
                <w:color w:val="000000"/>
                <w:sz w:val="18"/>
              </w:rPr>
            </w:pPr>
            <w:r w:rsidRPr="00B83898">
              <w:rPr>
                <w:rFonts w:eastAsia="Times New Roman"/>
                <w:b/>
                <w:bCs/>
                <w:color w:val="000000"/>
                <w:sz w:val="18"/>
              </w:rPr>
              <w:t>Overall</w:t>
            </w:r>
          </w:p>
        </w:tc>
        <w:tc>
          <w:tcPr>
            <w:tcW w:w="1640" w:type="dxa"/>
            <w:tcBorders>
              <w:top w:val="nil"/>
              <w:left w:val="nil"/>
              <w:bottom w:val="single" w:sz="4" w:space="0" w:color="auto"/>
              <w:right w:val="single" w:sz="4" w:space="0" w:color="auto"/>
            </w:tcBorders>
            <w:shd w:val="clear" w:color="auto" w:fill="auto"/>
            <w:noWrap/>
            <w:vAlign w:val="bottom"/>
            <w:hideMark/>
          </w:tcPr>
          <w:p w14:paraId="16FEA6C0" w14:textId="77777777" w:rsidR="00C252A4" w:rsidRPr="00B83898" w:rsidRDefault="00C252A4" w:rsidP="00B63199">
            <w:pPr>
              <w:keepNext/>
              <w:keepLines/>
              <w:spacing w:after="0" w:line="240" w:lineRule="auto"/>
              <w:jc w:val="center"/>
              <w:rPr>
                <w:rFonts w:eastAsia="Times New Roman"/>
                <w:b/>
                <w:bCs/>
                <w:color w:val="000000"/>
                <w:sz w:val="18"/>
              </w:rPr>
            </w:pPr>
            <w:r w:rsidRPr="00B83898">
              <w:rPr>
                <w:rFonts w:eastAsia="Times New Roman"/>
                <w:b/>
                <w:bCs/>
                <w:color w:val="000000"/>
                <w:sz w:val="18"/>
              </w:rPr>
              <w:t>Incentive</w:t>
            </w:r>
          </w:p>
        </w:tc>
        <w:tc>
          <w:tcPr>
            <w:tcW w:w="1640" w:type="dxa"/>
            <w:tcBorders>
              <w:top w:val="nil"/>
              <w:left w:val="nil"/>
              <w:bottom w:val="single" w:sz="4" w:space="0" w:color="auto"/>
              <w:right w:val="single" w:sz="4" w:space="0" w:color="auto"/>
            </w:tcBorders>
            <w:shd w:val="clear" w:color="auto" w:fill="auto"/>
            <w:noWrap/>
            <w:vAlign w:val="bottom"/>
            <w:hideMark/>
          </w:tcPr>
          <w:p w14:paraId="424FCB59" w14:textId="77777777" w:rsidR="00C252A4" w:rsidRPr="00B83898" w:rsidRDefault="00C252A4" w:rsidP="00B63199">
            <w:pPr>
              <w:keepNext/>
              <w:keepLines/>
              <w:spacing w:after="0" w:line="240" w:lineRule="auto"/>
              <w:jc w:val="center"/>
              <w:rPr>
                <w:rFonts w:eastAsia="Times New Roman"/>
                <w:b/>
                <w:bCs/>
                <w:color w:val="000000"/>
                <w:sz w:val="18"/>
              </w:rPr>
            </w:pPr>
            <w:r w:rsidRPr="00B83898">
              <w:rPr>
                <w:rFonts w:eastAsia="Times New Roman"/>
                <w:b/>
                <w:bCs/>
                <w:color w:val="000000"/>
                <w:sz w:val="18"/>
              </w:rPr>
              <w:t>Non-Incentive</w:t>
            </w:r>
          </w:p>
        </w:tc>
      </w:tr>
      <w:tr w:rsidR="00C252A4" w:rsidRPr="00B83898" w14:paraId="2213E568"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43F48B66" w14:textId="77777777" w:rsidR="00C252A4" w:rsidRPr="00B83898" w:rsidRDefault="00C252A4" w:rsidP="00B63199">
            <w:pPr>
              <w:keepNext/>
              <w:keepLines/>
              <w:spacing w:after="0" w:line="240" w:lineRule="auto"/>
              <w:rPr>
                <w:rFonts w:eastAsia="Times New Roman"/>
                <w:color w:val="000000"/>
                <w:sz w:val="18"/>
              </w:rPr>
            </w:pPr>
            <w:r w:rsidRPr="00B83898">
              <w:rPr>
                <w:rFonts w:eastAsia="Times New Roman"/>
                <w:color w:val="000000"/>
                <w:sz w:val="18"/>
              </w:rPr>
              <w:t>All</w:t>
            </w:r>
          </w:p>
        </w:tc>
        <w:tc>
          <w:tcPr>
            <w:tcW w:w="1342" w:type="dxa"/>
            <w:tcBorders>
              <w:top w:val="nil"/>
              <w:left w:val="nil"/>
              <w:bottom w:val="single" w:sz="4" w:space="0" w:color="auto"/>
              <w:right w:val="single" w:sz="4" w:space="0" w:color="auto"/>
            </w:tcBorders>
            <w:shd w:val="clear" w:color="auto" w:fill="auto"/>
            <w:noWrap/>
            <w:vAlign w:val="center"/>
            <w:hideMark/>
          </w:tcPr>
          <w:p w14:paraId="1794AAE3"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51.63%</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3D6C9058" w14:textId="77777777" w:rsidR="00C252A4" w:rsidRPr="00B83898" w:rsidRDefault="00C252A4" w:rsidP="00B63199">
            <w:pPr>
              <w:keepNext/>
              <w:keepLines/>
              <w:spacing w:after="0" w:line="240" w:lineRule="auto"/>
              <w:jc w:val="right"/>
              <w:rPr>
                <w:rFonts w:eastAsia="Times New Roman"/>
                <w:color w:val="000000"/>
                <w:sz w:val="18"/>
                <w:vertAlign w:val="superscript"/>
              </w:rPr>
            </w:pPr>
            <w:r w:rsidRPr="00B83898">
              <w:rPr>
                <w:rFonts w:eastAsia="Times New Roman"/>
                <w:color w:val="000000"/>
                <w:sz w:val="18"/>
              </w:rPr>
              <w:t>55.50%</w:t>
            </w:r>
            <w:r>
              <w:rPr>
                <w:rFonts w:eastAsia="Times New Roman"/>
                <w:color w:val="000000"/>
                <w:sz w:val="18"/>
                <w:vertAlign w:val="superscript"/>
              </w:rPr>
              <w:t>1</w:t>
            </w:r>
          </w:p>
        </w:tc>
        <w:tc>
          <w:tcPr>
            <w:tcW w:w="1640" w:type="dxa"/>
            <w:tcBorders>
              <w:top w:val="nil"/>
              <w:left w:val="nil"/>
              <w:bottom w:val="single" w:sz="4" w:space="0" w:color="auto"/>
              <w:right w:val="single" w:sz="4" w:space="0" w:color="auto"/>
            </w:tcBorders>
            <w:shd w:val="clear" w:color="000000" w:fill="FFFFFF"/>
            <w:noWrap/>
            <w:vAlign w:val="center"/>
            <w:hideMark/>
          </w:tcPr>
          <w:p w14:paraId="08EA5D8F"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47.76%</w:t>
            </w:r>
          </w:p>
        </w:tc>
      </w:tr>
      <w:tr w:rsidR="00C252A4" w:rsidRPr="00B83898" w14:paraId="1A49650E"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tcPr>
          <w:p w14:paraId="705491EF" w14:textId="77777777" w:rsidR="00C252A4" w:rsidRPr="009B6710" w:rsidRDefault="00C252A4" w:rsidP="00B63199">
            <w:pPr>
              <w:keepNext/>
              <w:keepLines/>
              <w:spacing w:after="0" w:line="240" w:lineRule="auto"/>
              <w:rPr>
                <w:rFonts w:eastAsia="Times New Roman"/>
                <w:i/>
                <w:color w:val="000000"/>
                <w:sz w:val="18"/>
              </w:rPr>
            </w:pPr>
            <w:r w:rsidRPr="009B6710">
              <w:rPr>
                <w:rFonts w:eastAsia="Times New Roman"/>
                <w:i/>
                <w:color w:val="000000"/>
                <w:sz w:val="18"/>
              </w:rPr>
              <w:t>3-Category Affiliation</w:t>
            </w:r>
          </w:p>
        </w:tc>
        <w:tc>
          <w:tcPr>
            <w:tcW w:w="1342" w:type="dxa"/>
            <w:tcBorders>
              <w:top w:val="nil"/>
              <w:left w:val="nil"/>
              <w:bottom w:val="single" w:sz="4" w:space="0" w:color="auto"/>
              <w:right w:val="single" w:sz="4" w:space="0" w:color="auto"/>
            </w:tcBorders>
            <w:shd w:val="clear" w:color="auto" w:fill="auto"/>
            <w:noWrap/>
            <w:vAlign w:val="center"/>
          </w:tcPr>
          <w:p w14:paraId="776F5EC7"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auto" w:fill="D99594" w:themeFill="accent2" w:themeFillTint="99"/>
            <w:noWrap/>
            <w:vAlign w:val="center"/>
          </w:tcPr>
          <w:p w14:paraId="0693FA26"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000000" w:fill="FFFFFF"/>
            <w:noWrap/>
            <w:vAlign w:val="center"/>
          </w:tcPr>
          <w:p w14:paraId="75F02F09" w14:textId="77777777" w:rsidR="00C252A4" w:rsidRPr="00B83898" w:rsidRDefault="00C252A4" w:rsidP="00B63199">
            <w:pPr>
              <w:keepNext/>
              <w:keepLines/>
              <w:spacing w:after="0" w:line="240" w:lineRule="auto"/>
              <w:jc w:val="right"/>
              <w:rPr>
                <w:rFonts w:eastAsia="Times New Roman"/>
                <w:color w:val="000000"/>
                <w:sz w:val="18"/>
              </w:rPr>
            </w:pPr>
          </w:p>
        </w:tc>
      </w:tr>
      <w:tr w:rsidR="00C252A4" w:rsidRPr="00B83898" w14:paraId="12B05D4A"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0CB69C70"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Catholic</w:t>
            </w:r>
          </w:p>
        </w:tc>
        <w:tc>
          <w:tcPr>
            <w:tcW w:w="1342" w:type="dxa"/>
            <w:tcBorders>
              <w:top w:val="nil"/>
              <w:left w:val="nil"/>
              <w:bottom w:val="single" w:sz="4" w:space="0" w:color="auto"/>
              <w:right w:val="single" w:sz="4" w:space="0" w:color="auto"/>
            </w:tcBorders>
            <w:shd w:val="clear" w:color="auto" w:fill="auto"/>
            <w:noWrap/>
            <w:vAlign w:val="center"/>
            <w:hideMark/>
          </w:tcPr>
          <w:p w14:paraId="549C19B3"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53.08%</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0392DDE5"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58.32%</w:t>
            </w:r>
          </w:p>
        </w:tc>
        <w:tc>
          <w:tcPr>
            <w:tcW w:w="1640" w:type="dxa"/>
            <w:tcBorders>
              <w:top w:val="nil"/>
              <w:left w:val="nil"/>
              <w:bottom w:val="single" w:sz="4" w:space="0" w:color="auto"/>
              <w:right w:val="single" w:sz="4" w:space="0" w:color="auto"/>
            </w:tcBorders>
            <w:shd w:val="clear" w:color="000000" w:fill="FFFFFF"/>
            <w:noWrap/>
            <w:vAlign w:val="center"/>
            <w:hideMark/>
          </w:tcPr>
          <w:p w14:paraId="345742F4"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48.14%</w:t>
            </w:r>
          </w:p>
        </w:tc>
      </w:tr>
      <w:tr w:rsidR="00C252A4" w:rsidRPr="00B83898" w14:paraId="14B437DC"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12F7A0C6"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Other Religious (non-Catholic)</w:t>
            </w:r>
          </w:p>
        </w:tc>
        <w:tc>
          <w:tcPr>
            <w:tcW w:w="1342" w:type="dxa"/>
            <w:tcBorders>
              <w:top w:val="nil"/>
              <w:left w:val="nil"/>
              <w:bottom w:val="single" w:sz="4" w:space="0" w:color="auto"/>
              <w:right w:val="single" w:sz="4" w:space="0" w:color="auto"/>
            </w:tcBorders>
            <w:shd w:val="clear" w:color="auto" w:fill="auto"/>
            <w:noWrap/>
            <w:vAlign w:val="center"/>
            <w:hideMark/>
          </w:tcPr>
          <w:p w14:paraId="40DF8AF2"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51.91%</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5AE2368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55.02%</w:t>
            </w:r>
          </w:p>
        </w:tc>
        <w:tc>
          <w:tcPr>
            <w:tcW w:w="1640" w:type="dxa"/>
            <w:tcBorders>
              <w:top w:val="nil"/>
              <w:left w:val="nil"/>
              <w:bottom w:val="single" w:sz="4" w:space="0" w:color="auto"/>
              <w:right w:val="single" w:sz="4" w:space="0" w:color="auto"/>
            </w:tcBorders>
            <w:shd w:val="clear" w:color="000000" w:fill="FFFFFF"/>
            <w:noWrap/>
            <w:vAlign w:val="center"/>
            <w:hideMark/>
          </w:tcPr>
          <w:p w14:paraId="335310B1"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48.65%</w:t>
            </w:r>
          </w:p>
        </w:tc>
      </w:tr>
      <w:tr w:rsidR="00C252A4" w:rsidRPr="00B83898" w14:paraId="5923E1B2" w14:textId="77777777" w:rsidTr="00556154">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60CFB96D"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Nonsectarian</w:t>
            </w:r>
          </w:p>
        </w:tc>
        <w:tc>
          <w:tcPr>
            <w:tcW w:w="1342" w:type="dxa"/>
            <w:tcBorders>
              <w:top w:val="nil"/>
              <w:left w:val="nil"/>
              <w:bottom w:val="single" w:sz="4" w:space="0" w:color="auto"/>
              <w:right w:val="single" w:sz="4" w:space="0" w:color="auto"/>
            </w:tcBorders>
            <w:shd w:val="clear" w:color="auto" w:fill="auto"/>
            <w:noWrap/>
            <w:vAlign w:val="center"/>
            <w:hideMark/>
          </w:tcPr>
          <w:p w14:paraId="1C0987E1"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50.10%</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34AE9130"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53.83%</w:t>
            </w:r>
          </w:p>
        </w:tc>
        <w:tc>
          <w:tcPr>
            <w:tcW w:w="1640" w:type="dxa"/>
            <w:tcBorders>
              <w:top w:val="nil"/>
              <w:left w:val="nil"/>
              <w:bottom w:val="single" w:sz="4" w:space="0" w:color="auto"/>
              <w:right w:val="single" w:sz="4" w:space="0" w:color="auto"/>
            </w:tcBorders>
            <w:shd w:val="clear" w:color="000000" w:fill="FFFFFF"/>
            <w:noWrap/>
            <w:vAlign w:val="center"/>
            <w:hideMark/>
          </w:tcPr>
          <w:p w14:paraId="2804BF1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46.41%</w:t>
            </w:r>
          </w:p>
        </w:tc>
      </w:tr>
      <w:tr w:rsidR="00C252A4" w:rsidRPr="00B83898" w14:paraId="7B46053B"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tcPr>
          <w:p w14:paraId="50964BAB" w14:textId="77777777" w:rsidR="00C252A4" w:rsidRPr="00AE4B3E" w:rsidRDefault="00C252A4" w:rsidP="00B63199">
            <w:pPr>
              <w:keepNext/>
              <w:keepLines/>
              <w:spacing w:after="0" w:line="240" w:lineRule="auto"/>
              <w:rPr>
                <w:rFonts w:eastAsia="Times New Roman"/>
                <w:i/>
                <w:color w:val="000000"/>
                <w:sz w:val="18"/>
              </w:rPr>
            </w:pPr>
            <w:r w:rsidRPr="00AE4B3E">
              <w:rPr>
                <w:rFonts w:eastAsia="Times New Roman"/>
                <w:i/>
                <w:color w:val="000000"/>
                <w:sz w:val="18"/>
              </w:rPr>
              <w:t>School Level</w:t>
            </w:r>
          </w:p>
        </w:tc>
        <w:tc>
          <w:tcPr>
            <w:tcW w:w="1342" w:type="dxa"/>
            <w:tcBorders>
              <w:top w:val="nil"/>
              <w:left w:val="nil"/>
              <w:bottom w:val="single" w:sz="4" w:space="0" w:color="auto"/>
              <w:right w:val="single" w:sz="4" w:space="0" w:color="auto"/>
            </w:tcBorders>
            <w:shd w:val="clear" w:color="auto" w:fill="auto"/>
            <w:noWrap/>
            <w:vAlign w:val="center"/>
          </w:tcPr>
          <w:p w14:paraId="30E1CF71"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auto" w:fill="D99594" w:themeFill="accent2" w:themeFillTint="99"/>
            <w:noWrap/>
            <w:vAlign w:val="center"/>
          </w:tcPr>
          <w:p w14:paraId="61DFE03D"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000000" w:fill="FFFFFF"/>
            <w:noWrap/>
            <w:vAlign w:val="center"/>
          </w:tcPr>
          <w:p w14:paraId="64AA7B38" w14:textId="77777777" w:rsidR="00C252A4" w:rsidRPr="00B83898" w:rsidRDefault="00C252A4" w:rsidP="00B63199">
            <w:pPr>
              <w:keepNext/>
              <w:keepLines/>
              <w:spacing w:after="0" w:line="240" w:lineRule="auto"/>
              <w:jc w:val="right"/>
              <w:rPr>
                <w:rFonts w:eastAsia="Times New Roman"/>
                <w:color w:val="000000"/>
                <w:sz w:val="18"/>
              </w:rPr>
            </w:pPr>
          </w:p>
        </w:tc>
      </w:tr>
      <w:tr w:rsidR="00C252A4" w:rsidRPr="00B83898" w14:paraId="47BF42B0"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4843AC3B"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Elementary</w:t>
            </w:r>
          </w:p>
        </w:tc>
        <w:tc>
          <w:tcPr>
            <w:tcW w:w="1342" w:type="dxa"/>
            <w:tcBorders>
              <w:top w:val="nil"/>
              <w:left w:val="nil"/>
              <w:bottom w:val="single" w:sz="4" w:space="0" w:color="auto"/>
              <w:right w:val="single" w:sz="4" w:space="0" w:color="auto"/>
            </w:tcBorders>
            <w:shd w:val="clear" w:color="auto" w:fill="auto"/>
            <w:noWrap/>
            <w:vAlign w:val="center"/>
            <w:hideMark/>
          </w:tcPr>
          <w:p w14:paraId="673340C0"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50.67%</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3448067A"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54.42%</w:t>
            </w:r>
          </w:p>
        </w:tc>
        <w:tc>
          <w:tcPr>
            <w:tcW w:w="1640" w:type="dxa"/>
            <w:tcBorders>
              <w:top w:val="nil"/>
              <w:left w:val="nil"/>
              <w:bottom w:val="single" w:sz="4" w:space="0" w:color="auto"/>
              <w:right w:val="single" w:sz="4" w:space="0" w:color="auto"/>
            </w:tcBorders>
            <w:shd w:val="clear" w:color="000000" w:fill="FFFFFF"/>
            <w:noWrap/>
            <w:vAlign w:val="center"/>
            <w:hideMark/>
          </w:tcPr>
          <w:p w14:paraId="4A2D526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46.88%</w:t>
            </w:r>
          </w:p>
        </w:tc>
      </w:tr>
      <w:tr w:rsidR="00C252A4" w:rsidRPr="00B83898" w14:paraId="791CB0E1"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0F6E2ACA"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Secondary</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106C3A7D"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49.69%</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230C7C3E"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54.25%</w:t>
            </w:r>
          </w:p>
        </w:tc>
        <w:tc>
          <w:tcPr>
            <w:tcW w:w="1640" w:type="dxa"/>
            <w:tcBorders>
              <w:top w:val="nil"/>
              <w:left w:val="nil"/>
              <w:bottom w:val="single" w:sz="4" w:space="0" w:color="auto"/>
              <w:right w:val="single" w:sz="4" w:space="0" w:color="auto"/>
            </w:tcBorders>
            <w:shd w:val="clear" w:color="000000" w:fill="FFFFFF"/>
            <w:noWrap/>
            <w:vAlign w:val="center"/>
            <w:hideMark/>
          </w:tcPr>
          <w:p w14:paraId="31071E2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45.28%</w:t>
            </w:r>
          </w:p>
        </w:tc>
      </w:tr>
      <w:tr w:rsidR="00C252A4" w:rsidRPr="00B83898" w14:paraId="3470FA2F"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5CBAAB76"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Combined</w:t>
            </w:r>
          </w:p>
        </w:tc>
        <w:tc>
          <w:tcPr>
            <w:tcW w:w="1342" w:type="dxa"/>
            <w:tcBorders>
              <w:top w:val="nil"/>
              <w:left w:val="nil"/>
              <w:bottom w:val="single" w:sz="4" w:space="0" w:color="auto"/>
              <w:right w:val="single" w:sz="4" w:space="0" w:color="auto"/>
            </w:tcBorders>
            <w:shd w:val="clear" w:color="auto" w:fill="auto"/>
            <w:noWrap/>
            <w:vAlign w:val="center"/>
            <w:hideMark/>
          </w:tcPr>
          <w:p w14:paraId="0050B426"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54.00%</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331BC6F5"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57.37%</w:t>
            </w:r>
          </w:p>
        </w:tc>
        <w:tc>
          <w:tcPr>
            <w:tcW w:w="1640" w:type="dxa"/>
            <w:tcBorders>
              <w:top w:val="nil"/>
              <w:left w:val="nil"/>
              <w:bottom w:val="single" w:sz="4" w:space="0" w:color="auto"/>
              <w:right w:val="single" w:sz="4" w:space="0" w:color="auto"/>
            </w:tcBorders>
            <w:shd w:val="clear" w:color="000000" w:fill="FFFFFF"/>
            <w:noWrap/>
            <w:vAlign w:val="center"/>
            <w:hideMark/>
          </w:tcPr>
          <w:p w14:paraId="4BAC84D7"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50.58%</w:t>
            </w:r>
          </w:p>
        </w:tc>
      </w:tr>
      <w:tr w:rsidR="00C252A4" w:rsidRPr="00B83898" w14:paraId="0024059B"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tcPr>
          <w:p w14:paraId="6D3A9AE3" w14:textId="77777777" w:rsidR="00C252A4" w:rsidRPr="00AE4B3E" w:rsidRDefault="00C252A4" w:rsidP="00B63199">
            <w:pPr>
              <w:keepNext/>
              <w:keepLines/>
              <w:spacing w:after="0" w:line="240" w:lineRule="auto"/>
              <w:rPr>
                <w:rFonts w:eastAsia="Times New Roman"/>
                <w:i/>
                <w:color w:val="000000"/>
                <w:sz w:val="18"/>
              </w:rPr>
            </w:pPr>
            <w:r w:rsidRPr="00AE4B3E">
              <w:rPr>
                <w:rFonts w:eastAsia="Times New Roman"/>
                <w:i/>
                <w:color w:val="000000"/>
                <w:sz w:val="18"/>
              </w:rPr>
              <w:t>School Region</w:t>
            </w:r>
          </w:p>
        </w:tc>
        <w:tc>
          <w:tcPr>
            <w:tcW w:w="1342" w:type="dxa"/>
            <w:tcBorders>
              <w:top w:val="nil"/>
              <w:left w:val="nil"/>
              <w:bottom w:val="single" w:sz="4" w:space="0" w:color="auto"/>
              <w:right w:val="single" w:sz="4" w:space="0" w:color="auto"/>
            </w:tcBorders>
            <w:shd w:val="clear" w:color="auto" w:fill="auto"/>
            <w:noWrap/>
            <w:vAlign w:val="center"/>
          </w:tcPr>
          <w:p w14:paraId="7C54F10B"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auto" w:fill="auto"/>
            <w:noWrap/>
            <w:vAlign w:val="center"/>
          </w:tcPr>
          <w:p w14:paraId="61B0397E"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000000" w:fill="FFFFFF"/>
            <w:noWrap/>
            <w:vAlign w:val="center"/>
          </w:tcPr>
          <w:p w14:paraId="409A7269" w14:textId="77777777" w:rsidR="00C252A4" w:rsidRPr="00B83898" w:rsidRDefault="00C252A4" w:rsidP="00B63199">
            <w:pPr>
              <w:keepNext/>
              <w:keepLines/>
              <w:spacing w:after="0" w:line="240" w:lineRule="auto"/>
              <w:jc w:val="right"/>
              <w:rPr>
                <w:rFonts w:eastAsia="Times New Roman"/>
                <w:color w:val="000000"/>
                <w:sz w:val="18"/>
              </w:rPr>
            </w:pPr>
          </w:p>
        </w:tc>
      </w:tr>
      <w:tr w:rsidR="00C252A4" w:rsidRPr="00B83898" w14:paraId="3FC5E098"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00F7CE86"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Northeast</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3DBA9B8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48.71%</w:t>
            </w:r>
          </w:p>
        </w:tc>
        <w:tc>
          <w:tcPr>
            <w:tcW w:w="1640" w:type="dxa"/>
            <w:tcBorders>
              <w:top w:val="nil"/>
              <w:left w:val="nil"/>
              <w:bottom w:val="single" w:sz="4" w:space="0" w:color="auto"/>
              <w:right w:val="single" w:sz="4" w:space="0" w:color="auto"/>
            </w:tcBorders>
            <w:shd w:val="clear" w:color="auto" w:fill="auto"/>
            <w:noWrap/>
            <w:vAlign w:val="center"/>
            <w:hideMark/>
          </w:tcPr>
          <w:p w14:paraId="3AEDA91A"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50.23%</w:t>
            </w:r>
          </w:p>
        </w:tc>
        <w:tc>
          <w:tcPr>
            <w:tcW w:w="1640" w:type="dxa"/>
            <w:tcBorders>
              <w:top w:val="nil"/>
              <w:left w:val="nil"/>
              <w:bottom w:val="single" w:sz="4" w:space="0" w:color="auto"/>
              <w:right w:val="single" w:sz="4" w:space="0" w:color="auto"/>
            </w:tcBorders>
            <w:shd w:val="clear" w:color="000000" w:fill="FFFFFF"/>
            <w:noWrap/>
            <w:vAlign w:val="center"/>
            <w:hideMark/>
          </w:tcPr>
          <w:p w14:paraId="4A7D30CC"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47.13%</w:t>
            </w:r>
          </w:p>
        </w:tc>
      </w:tr>
      <w:tr w:rsidR="00C252A4" w:rsidRPr="00B83898" w14:paraId="6FFD3D2B"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254602EF"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Midwest</w:t>
            </w:r>
          </w:p>
        </w:tc>
        <w:tc>
          <w:tcPr>
            <w:tcW w:w="1342" w:type="dxa"/>
            <w:tcBorders>
              <w:top w:val="nil"/>
              <w:left w:val="nil"/>
              <w:bottom w:val="single" w:sz="4" w:space="0" w:color="auto"/>
              <w:right w:val="single" w:sz="4" w:space="0" w:color="auto"/>
            </w:tcBorders>
            <w:shd w:val="clear" w:color="auto" w:fill="auto"/>
            <w:noWrap/>
            <w:vAlign w:val="center"/>
            <w:hideMark/>
          </w:tcPr>
          <w:p w14:paraId="09EB4AE4"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58.02%</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22A4CBE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63.15%</w:t>
            </w:r>
          </w:p>
        </w:tc>
        <w:tc>
          <w:tcPr>
            <w:tcW w:w="1640" w:type="dxa"/>
            <w:tcBorders>
              <w:top w:val="nil"/>
              <w:left w:val="nil"/>
              <w:bottom w:val="single" w:sz="4" w:space="0" w:color="auto"/>
              <w:right w:val="single" w:sz="4" w:space="0" w:color="auto"/>
            </w:tcBorders>
            <w:shd w:val="clear" w:color="000000" w:fill="FFFFFF"/>
            <w:noWrap/>
            <w:vAlign w:val="center"/>
            <w:hideMark/>
          </w:tcPr>
          <w:p w14:paraId="272FCDF7"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53.23%</w:t>
            </w:r>
          </w:p>
        </w:tc>
      </w:tr>
      <w:tr w:rsidR="00C252A4" w:rsidRPr="00B83898" w14:paraId="23960917"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61207C8D"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South</w:t>
            </w:r>
          </w:p>
        </w:tc>
        <w:tc>
          <w:tcPr>
            <w:tcW w:w="1342" w:type="dxa"/>
            <w:tcBorders>
              <w:top w:val="nil"/>
              <w:left w:val="nil"/>
              <w:bottom w:val="single" w:sz="4" w:space="0" w:color="auto"/>
              <w:right w:val="single" w:sz="4" w:space="0" w:color="auto"/>
            </w:tcBorders>
            <w:shd w:val="clear" w:color="auto" w:fill="auto"/>
            <w:noWrap/>
            <w:vAlign w:val="center"/>
            <w:hideMark/>
          </w:tcPr>
          <w:p w14:paraId="365716A6"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52.35%</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460CA796"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58.73%</w:t>
            </w:r>
          </w:p>
        </w:tc>
        <w:tc>
          <w:tcPr>
            <w:tcW w:w="1640" w:type="dxa"/>
            <w:tcBorders>
              <w:top w:val="nil"/>
              <w:left w:val="nil"/>
              <w:bottom w:val="single" w:sz="4" w:space="0" w:color="auto"/>
              <w:right w:val="single" w:sz="4" w:space="0" w:color="auto"/>
            </w:tcBorders>
            <w:shd w:val="clear" w:color="000000" w:fill="FFFFFF"/>
            <w:noWrap/>
            <w:vAlign w:val="center"/>
            <w:hideMark/>
          </w:tcPr>
          <w:p w14:paraId="6E85F1B1"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46.18%</w:t>
            </w:r>
          </w:p>
        </w:tc>
      </w:tr>
      <w:tr w:rsidR="00C252A4" w:rsidRPr="00B83898" w14:paraId="38C66B70"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4DE77F83"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West</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45139B5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47.76%</w:t>
            </w:r>
          </w:p>
        </w:tc>
        <w:tc>
          <w:tcPr>
            <w:tcW w:w="1640" w:type="dxa"/>
            <w:tcBorders>
              <w:top w:val="nil"/>
              <w:left w:val="nil"/>
              <w:bottom w:val="single" w:sz="4" w:space="0" w:color="auto"/>
              <w:right w:val="single" w:sz="4" w:space="0" w:color="auto"/>
            </w:tcBorders>
            <w:shd w:val="clear" w:color="auto" w:fill="auto"/>
            <w:noWrap/>
            <w:vAlign w:val="center"/>
            <w:hideMark/>
          </w:tcPr>
          <w:p w14:paraId="1C3BD8F0"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50.22%</w:t>
            </w:r>
          </w:p>
        </w:tc>
        <w:tc>
          <w:tcPr>
            <w:tcW w:w="1640" w:type="dxa"/>
            <w:tcBorders>
              <w:top w:val="nil"/>
              <w:left w:val="nil"/>
              <w:bottom w:val="single" w:sz="4" w:space="0" w:color="auto"/>
              <w:right w:val="single" w:sz="4" w:space="0" w:color="auto"/>
            </w:tcBorders>
            <w:shd w:val="clear" w:color="000000" w:fill="FFFFFF"/>
            <w:noWrap/>
            <w:vAlign w:val="center"/>
            <w:hideMark/>
          </w:tcPr>
          <w:p w14:paraId="3EFE31B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45.14%</w:t>
            </w:r>
          </w:p>
        </w:tc>
      </w:tr>
      <w:tr w:rsidR="00C252A4" w:rsidRPr="00B83898" w14:paraId="6C6B69E4"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tcPr>
          <w:p w14:paraId="2F146A60" w14:textId="77777777" w:rsidR="00C252A4" w:rsidRPr="00AE4B3E" w:rsidRDefault="00C252A4" w:rsidP="00B63199">
            <w:pPr>
              <w:keepNext/>
              <w:keepLines/>
              <w:spacing w:after="0" w:line="240" w:lineRule="auto"/>
              <w:rPr>
                <w:rFonts w:eastAsia="Times New Roman"/>
                <w:i/>
                <w:color w:val="000000"/>
                <w:sz w:val="18"/>
              </w:rPr>
            </w:pPr>
            <w:r w:rsidRPr="00AE4B3E">
              <w:rPr>
                <w:rFonts w:eastAsia="Times New Roman"/>
                <w:i/>
                <w:color w:val="000000"/>
                <w:sz w:val="18"/>
              </w:rPr>
              <w:t>11-Category Affiliation</w:t>
            </w:r>
          </w:p>
        </w:tc>
        <w:tc>
          <w:tcPr>
            <w:tcW w:w="1342" w:type="dxa"/>
            <w:tcBorders>
              <w:top w:val="nil"/>
              <w:left w:val="nil"/>
              <w:bottom w:val="single" w:sz="4" w:space="0" w:color="auto"/>
              <w:right w:val="single" w:sz="4" w:space="0" w:color="auto"/>
            </w:tcBorders>
            <w:shd w:val="clear" w:color="auto" w:fill="auto"/>
            <w:noWrap/>
            <w:vAlign w:val="center"/>
          </w:tcPr>
          <w:p w14:paraId="3D41B1AD"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auto" w:fill="D99594" w:themeFill="accent2" w:themeFillTint="99"/>
            <w:noWrap/>
            <w:vAlign w:val="center"/>
          </w:tcPr>
          <w:p w14:paraId="1C4A1AA8"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000000" w:fill="FFFFFF"/>
            <w:noWrap/>
            <w:vAlign w:val="center"/>
          </w:tcPr>
          <w:p w14:paraId="61ED6C95" w14:textId="77777777" w:rsidR="00C252A4" w:rsidRPr="00B83898" w:rsidRDefault="00C252A4" w:rsidP="00B63199">
            <w:pPr>
              <w:keepNext/>
              <w:keepLines/>
              <w:spacing w:after="0" w:line="240" w:lineRule="auto"/>
              <w:jc w:val="right"/>
              <w:rPr>
                <w:rFonts w:eastAsia="Times New Roman"/>
                <w:color w:val="000000"/>
                <w:sz w:val="18"/>
              </w:rPr>
            </w:pPr>
          </w:p>
        </w:tc>
      </w:tr>
      <w:tr w:rsidR="00C252A4" w:rsidRPr="00B83898" w14:paraId="465BA6C9"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6FCA40E4"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Catholic-parochial</w:t>
            </w:r>
          </w:p>
        </w:tc>
        <w:tc>
          <w:tcPr>
            <w:tcW w:w="1342" w:type="dxa"/>
            <w:tcBorders>
              <w:top w:val="nil"/>
              <w:left w:val="nil"/>
              <w:bottom w:val="single" w:sz="4" w:space="0" w:color="auto"/>
              <w:right w:val="single" w:sz="4" w:space="0" w:color="auto"/>
            </w:tcBorders>
            <w:shd w:val="clear" w:color="auto" w:fill="auto"/>
            <w:noWrap/>
            <w:vAlign w:val="center"/>
            <w:hideMark/>
          </w:tcPr>
          <w:p w14:paraId="3D286EC7"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51.51%</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532E9D30"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59.86%</w:t>
            </w:r>
          </w:p>
        </w:tc>
        <w:tc>
          <w:tcPr>
            <w:tcW w:w="1640" w:type="dxa"/>
            <w:tcBorders>
              <w:top w:val="nil"/>
              <w:left w:val="nil"/>
              <w:bottom w:val="single" w:sz="4" w:space="0" w:color="auto"/>
              <w:right w:val="single" w:sz="4" w:space="0" w:color="auto"/>
            </w:tcBorders>
            <w:shd w:val="clear" w:color="000000" w:fill="FFFFFF"/>
            <w:noWrap/>
            <w:vAlign w:val="center"/>
            <w:hideMark/>
          </w:tcPr>
          <w:p w14:paraId="3E510C8F"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43.42%</w:t>
            </w:r>
          </w:p>
        </w:tc>
      </w:tr>
      <w:tr w:rsidR="00C252A4" w:rsidRPr="00B83898" w14:paraId="39C16345"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451A48E2"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Catholic-diocesan</w:t>
            </w:r>
          </w:p>
        </w:tc>
        <w:tc>
          <w:tcPr>
            <w:tcW w:w="1342" w:type="dxa"/>
            <w:tcBorders>
              <w:top w:val="nil"/>
              <w:left w:val="nil"/>
              <w:bottom w:val="single" w:sz="4" w:space="0" w:color="auto"/>
              <w:right w:val="single" w:sz="4" w:space="0" w:color="auto"/>
            </w:tcBorders>
            <w:shd w:val="clear" w:color="auto" w:fill="auto"/>
            <w:noWrap/>
            <w:vAlign w:val="center"/>
            <w:hideMark/>
          </w:tcPr>
          <w:p w14:paraId="1C6AD41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53.23%</w:t>
            </w:r>
          </w:p>
        </w:tc>
        <w:tc>
          <w:tcPr>
            <w:tcW w:w="1640" w:type="dxa"/>
            <w:tcBorders>
              <w:top w:val="nil"/>
              <w:left w:val="nil"/>
              <w:bottom w:val="single" w:sz="4" w:space="0" w:color="auto"/>
              <w:right w:val="single" w:sz="4" w:space="0" w:color="auto"/>
            </w:tcBorders>
            <w:shd w:val="clear" w:color="auto" w:fill="auto"/>
            <w:noWrap/>
            <w:vAlign w:val="center"/>
            <w:hideMark/>
          </w:tcPr>
          <w:p w14:paraId="4957C6A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54.37%</w:t>
            </w:r>
          </w:p>
        </w:tc>
        <w:tc>
          <w:tcPr>
            <w:tcW w:w="1640" w:type="dxa"/>
            <w:tcBorders>
              <w:top w:val="nil"/>
              <w:left w:val="nil"/>
              <w:bottom w:val="single" w:sz="4" w:space="0" w:color="auto"/>
              <w:right w:val="single" w:sz="4" w:space="0" w:color="auto"/>
            </w:tcBorders>
            <w:shd w:val="clear" w:color="000000" w:fill="FFFFFF"/>
            <w:noWrap/>
            <w:vAlign w:val="center"/>
            <w:hideMark/>
          </w:tcPr>
          <w:p w14:paraId="476CF35F"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52.29%</w:t>
            </w:r>
          </w:p>
        </w:tc>
      </w:tr>
      <w:tr w:rsidR="00C252A4" w:rsidRPr="00B83898" w14:paraId="7AA81EEE"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4B0A2D26"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Catholic-private</w:t>
            </w:r>
          </w:p>
        </w:tc>
        <w:tc>
          <w:tcPr>
            <w:tcW w:w="1342" w:type="dxa"/>
            <w:tcBorders>
              <w:top w:val="nil"/>
              <w:left w:val="nil"/>
              <w:bottom w:val="single" w:sz="4" w:space="0" w:color="auto"/>
              <w:right w:val="single" w:sz="4" w:space="0" w:color="auto"/>
            </w:tcBorders>
            <w:shd w:val="clear" w:color="auto" w:fill="auto"/>
            <w:noWrap/>
            <w:vAlign w:val="center"/>
            <w:hideMark/>
          </w:tcPr>
          <w:p w14:paraId="6072F7E6"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54.06%</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359D1E61"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62.02%</w:t>
            </w:r>
          </w:p>
        </w:tc>
        <w:tc>
          <w:tcPr>
            <w:tcW w:w="1640" w:type="dxa"/>
            <w:tcBorders>
              <w:top w:val="nil"/>
              <w:left w:val="nil"/>
              <w:bottom w:val="single" w:sz="4" w:space="0" w:color="auto"/>
              <w:right w:val="single" w:sz="4" w:space="0" w:color="auto"/>
            </w:tcBorders>
            <w:shd w:val="clear" w:color="000000" w:fill="FFFFFF"/>
            <w:noWrap/>
            <w:vAlign w:val="center"/>
            <w:hideMark/>
          </w:tcPr>
          <w:p w14:paraId="67A33153"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45.16%</w:t>
            </w:r>
          </w:p>
        </w:tc>
      </w:tr>
      <w:tr w:rsidR="00C252A4" w:rsidRPr="00B83898" w14:paraId="74D77A3C"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1EB7923D"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Baptist</w:t>
            </w:r>
          </w:p>
        </w:tc>
        <w:tc>
          <w:tcPr>
            <w:tcW w:w="1342" w:type="dxa"/>
            <w:tcBorders>
              <w:top w:val="nil"/>
              <w:left w:val="nil"/>
              <w:bottom w:val="single" w:sz="4" w:space="0" w:color="auto"/>
              <w:right w:val="single" w:sz="4" w:space="0" w:color="auto"/>
            </w:tcBorders>
            <w:shd w:val="clear" w:color="auto" w:fill="auto"/>
            <w:noWrap/>
            <w:vAlign w:val="center"/>
            <w:hideMark/>
          </w:tcPr>
          <w:p w14:paraId="0371F8B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54.10%</w:t>
            </w:r>
          </w:p>
        </w:tc>
        <w:tc>
          <w:tcPr>
            <w:tcW w:w="1640" w:type="dxa"/>
            <w:tcBorders>
              <w:top w:val="nil"/>
              <w:left w:val="nil"/>
              <w:bottom w:val="single" w:sz="4" w:space="0" w:color="auto"/>
              <w:right w:val="single" w:sz="4" w:space="0" w:color="auto"/>
            </w:tcBorders>
            <w:shd w:val="clear" w:color="auto" w:fill="auto"/>
            <w:noWrap/>
            <w:vAlign w:val="center"/>
            <w:hideMark/>
          </w:tcPr>
          <w:p w14:paraId="465F540E"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60.47%</w:t>
            </w:r>
          </w:p>
        </w:tc>
        <w:tc>
          <w:tcPr>
            <w:tcW w:w="1640" w:type="dxa"/>
            <w:tcBorders>
              <w:top w:val="nil"/>
              <w:left w:val="nil"/>
              <w:bottom w:val="single" w:sz="4" w:space="0" w:color="auto"/>
              <w:right w:val="single" w:sz="4" w:space="0" w:color="auto"/>
            </w:tcBorders>
            <w:shd w:val="clear" w:color="000000" w:fill="FFFFFF"/>
            <w:noWrap/>
            <w:vAlign w:val="center"/>
            <w:hideMark/>
          </w:tcPr>
          <w:p w14:paraId="5228732E"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50.63%</w:t>
            </w:r>
          </w:p>
        </w:tc>
      </w:tr>
      <w:tr w:rsidR="00C252A4" w:rsidRPr="00B83898" w14:paraId="30C6FDDF"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0979376D"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Jewish</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0A500C2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43.38%</w:t>
            </w:r>
          </w:p>
        </w:tc>
        <w:tc>
          <w:tcPr>
            <w:tcW w:w="1640" w:type="dxa"/>
            <w:tcBorders>
              <w:top w:val="nil"/>
              <w:left w:val="nil"/>
              <w:bottom w:val="single" w:sz="4" w:space="0" w:color="auto"/>
              <w:right w:val="single" w:sz="4" w:space="0" w:color="auto"/>
            </w:tcBorders>
            <w:shd w:val="clear" w:color="auto" w:fill="auto"/>
            <w:noWrap/>
            <w:vAlign w:val="center"/>
            <w:hideMark/>
          </w:tcPr>
          <w:p w14:paraId="3BEF909C"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40.28%</w:t>
            </w:r>
          </w:p>
        </w:tc>
        <w:tc>
          <w:tcPr>
            <w:tcW w:w="1640" w:type="dxa"/>
            <w:tcBorders>
              <w:top w:val="nil"/>
              <w:left w:val="nil"/>
              <w:bottom w:val="single" w:sz="4" w:space="0" w:color="auto"/>
              <w:right w:val="single" w:sz="4" w:space="0" w:color="auto"/>
            </w:tcBorders>
            <w:shd w:val="clear" w:color="000000" w:fill="FFFFFF"/>
            <w:noWrap/>
            <w:vAlign w:val="center"/>
            <w:hideMark/>
          </w:tcPr>
          <w:p w14:paraId="708B72F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49.33%</w:t>
            </w:r>
          </w:p>
        </w:tc>
      </w:tr>
      <w:tr w:rsidR="00C252A4" w:rsidRPr="00B83898" w14:paraId="6C994E89"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5D06230F"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Lutheran</w:t>
            </w:r>
          </w:p>
        </w:tc>
        <w:tc>
          <w:tcPr>
            <w:tcW w:w="1342" w:type="dxa"/>
            <w:tcBorders>
              <w:top w:val="nil"/>
              <w:left w:val="nil"/>
              <w:bottom w:val="single" w:sz="4" w:space="0" w:color="auto"/>
              <w:right w:val="single" w:sz="4" w:space="0" w:color="auto"/>
            </w:tcBorders>
            <w:shd w:val="clear" w:color="auto" w:fill="auto"/>
            <w:noWrap/>
            <w:vAlign w:val="center"/>
            <w:hideMark/>
          </w:tcPr>
          <w:p w14:paraId="4F7BE87D"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67.70%</w:t>
            </w:r>
          </w:p>
        </w:tc>
        <w:tc>
          <w:tcPr>
            <w:tcW w:w="1640" w:type="dxa"/>
            <w:tcBorders>
              <w:top w:val="nil"/>
              <w:left w:val="nil"/>
              <w:bottom w:val="single" w:sz="4" w:space="0" w:color="auto"/>
              <w:right w:val="single" w:sz="4" w:space="0" w:color="auto"/>
            </w:tcBorders>
            <w:shd w:val="clear" w:color="auto" w:fill="auto"/>
            <w:noWrap/>
            <w:vAlign w:val="center"/>
            <w:hideMark/>
          </w:tcPr>
          <w:p w14:paraId="5F92EEC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68.14%</w:t>
            </w:r>
          </w:p>
        </w:tc>
        <w:tc>
          <w:tcPr>
            <w:tcW w:w="1640" w:type="dxa"/>
            <w:tcBorders>
              <w:top w:val="nil"/>
              <w:left w:val="nil"/>
              <w:bottom w:val="single" w:sz="4" w:space="0" w:color="auto"/>
              <w:right w:val="single" w:sz="4" w:space="0" w:color="auto"/>
            </w:tcBorders>
            <w:shd w:val="clear" w:color="000000" w:fill="FFFFFF"/>
            <w:noWrap/>
            <w:vAlign w:val="center"/>
            <w:hideMark/>
          </w:tcPr>
          <w:p w14:paraId="22DF53A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67.26%</w:t>
            </w:r>
          </w:p>
        </w:tc>
      </w:tr>
      <w:tr w:rsidR="00C252A4" w:rsidRPr="00B83898" w14:paraId="7F9723A9"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5066DD4C"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Seventh-Day Adventist</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15448C4C"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45.00%</w:t>
            </w:r>
          </w:p>
        </w:tc>
        <w:tc>
          <w:tcPr>
            <w:tcW w:w="1640" w:type="dxa"/>
            <w:tcBorders>
              <w:top w:val="nil"/>
              <w:left w:val="nil"/>
              <w:bottom w:val="single" w:sz="4" w:space="0" w:color="auto"/>
              <w:right w:val="single" w:sz="4" w:space="0" w:color="auto"/>
            </w:tcBorders>
            <w:shd w:val="clear" w:color="auto" w:fill="auto"/>
            <w:noWrap/>
            <w:vAlign w:val="center"/>
            <w:hideMark/>
          </w:tcPr>
          <w:p w14:paraId="01C6F15E"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41.18%</w:t>
            </w:r>
          </w:p>
        </w:tc>
        <w:tc>
          <w:tcPr>
            <w:tcW w:w="1640" w:type="dxa"/>
            <w:tcBorders>
              <w:top w:val="nil"/>
              <w:left w:val="nil"/>
              <w:bottom w:val="single" w:sz="4" w:space="0" w:color="auto"/>
              <w:right w:val="single" w:sz="4" w:space="0" w:color="auto"/>
            </w:tcBorders>
            <w:shd w:val="clear" w:color="000000" w:fill="FFFFFF"/>
            <w:noWrap/>
            <w:vAlign w:val="center"/>
            <w:hideMark/>
          </w:tcPr>
          <w:p w14:paraId="482647A3"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47.83%</w:t>
            </w:r>
          </w:p>
        </w:tc>
      </w:tr>
      <w:tr w:rsidR="00C252A4" w:rsidRPr="00B83898" w14:paraId="29BFA543"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64400D5E"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Other Religious</w:t>
            </w:r>
          </w:p>
        </w:tc>
        <w:tc>
          <w:tcPr>
            <w:tcW w:w="1342" w:type="dxa"/>
            <w:tcBorders>
              <w:top w:val="nil"/>
              <w:left w:val="nil"/>
              <w:bottom w:val="single" w:sz="4" w:space="0" w:color="auto"/>
              <w:right w:val="single" w:sz="4" w:space="0" w:color="auto"/>
            </w:tcBorders>
            <w:shd w:val="clear" w:color="auto" w:fill="auto"/>
            <w:noWrap/>
            <w:vAlign w:val="center"/>
            <w:hideMark/>
          </w:tcPr>
          <w:p w14:paraId="084DBC7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50.53%</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294421F5"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56.06%</w:t>
            </w:r>
          </w:p>
        </w:tc>
        <w:tc>
          <w:tcPr>
            <w:tcW w:w="1640" w:type="dxa"/>
            <w:tcBorders>
              <w:top w:val="nil"/>
              <w:left w:val="nil"/>
              <w:bottom w:val="single" w:sz="4" w:space="0" w:color="auto"/>
              <w:right w:val="single" w:sz="4" w:space="0" w:color="auto"/>
            </w:tcBorders>
            <w:shd w:val="clear" w:color="000000" w:fill="FFFFFF"/>
            <w:noWrap/>
            <w:vAlign w:val="center"/>
            <w:hideMark/>
          </w:tcPr>
          <w:p w14:paraId="35D79017"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44.85%</w:t>
            </w:r>
          </w:p>
        </w:tc>
      </w:tr>
      <w:tr w:rsidR="00C252A4" w:rsidRPr="00B83898" w14:paraId="4EC5E6F9"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3833CC30"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Nonsectarian - Regular</w:t>
            </w:r>
          </w:p>
        </w:tc>
        <w:tc>
          <w:tcPr>
            <w:tcW w:w="1342" w:type="dxa"/>
            <w:tcBorders>
              <w:top w:val="nil"/>
              <w:left w:val="nil"/>
              <w:bottom w:val="single" w:sz="4" w:space="0" w:color="auto"/>
              <w:right w:val="single" w:sz="4" w:space="0" w:color="auto"/>
            </w:tcBorders>
            <w:shd w:val="clear" w:color="auto" w:fill="auto"/>
            <w:noWrap/>
            <w:vAlign w:val="center"/>
            <w:hideMark/>
          </w:tcPr>
          <w:p w14:paraId="362D26E7"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51.15%</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7D3A411C"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56.84%</w:t>
            </w:r>
          </w:p>
        </w:tc>
        <w:tc>
          <w:tcPr>
            <w:tcW w:w="1640" w:type="dxa"/>
            <w:tcBorders>
              <w:top w:val="nil"/>
              <w:left w:val="nil"/>
              <w:bottom w:val="single" w:sz="4" w:space="0" w:color="auto"/>
              <w:right w:val="single" w:sz="4" w:space="0" w:color="auto"/>
            </w:tcBorders>
            <w:shd w:val="clear" w:color="000000" w:fill="FFFFFF"/>
            <w:noWrap/>
            <w:vAlign w:val="center"/>
            <w:hideMark/>
          </w:tcPr>
          <w:p w14:paraId="3EE0BD2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45.57%</w:t>
            </w:r>
          </w:p>
        </w:tc>
      </w:tr>
      <w:tr w:rsidR="00C252A4" w:rsidRPr="00B83898" w14:paraId="6072E316"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193ABBD2" w14:textId="73327978"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Nonsectarian - Special Em</w:t>
            </w:r>
            <w:r w:rsidR="006F3B48">
              <w:rPr>
                <w:rFonts w:eastAsia="Times New Roman"/>
                <w:color w:val="000000"/>
                <w:sz w:val="18"/>
              </w:rPr>
              <w:t>phasis</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7D442733"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41.49%</w:t>
            </w:r>
          </w:p>
        </w:tc>
        <w:tc>
          <w:tcPr>
            <w:tcW w:w="1640" w:type="dxa"/>
            <w:tcBorders>
              <w:top w:val="nil"/>
              <w:left w:val="nil"/>
              <w:bottom w:val="single" w:sz="4" w:space="0" w:color="auto"/>
              <w:right w:val="single" w:sz="4" w:space="0" w:color="auto"/>
            </w:tcBorders>
            <w:shd w:val="clear" w:color="auto" w:fill="auto"/>
            <w:noWrap/>
            <w:vAlign w:val="center"/>
            <w:hideMark/>
          </w:tcPr>
          <w:p w14:paraId="3AA0CD6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41.72%</w:t>
            </w:r>
          </w:p>
        </w:tc>
        <w:tc>
          <w:tcPr>
            <w:tcW w:w="1640" w:type="dxa"/>
            <w:tcBorders>
              <w:top w:val="nil"/>
              <w:left w:val="nil"/>
              <w:bottom w:val="single" w:sz="4" w:space="0" w:color="auto"/>
              <w:right w:val="single" w:sz="4" w:space="0" w:color="auto"/>
            </w:tcBorders>
            <w:shd w:val="clear" w:color="000000" w:fill="FFFFFF"/>
            <w:noWrap/>
            <w:vAlign w:val="center"/>
            <w:hideMark/>
          </w:tcPr>
          <w:p w14:paraId="45F4EE9D"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41.28%</w:t>
            </w:r>
          </w:p>
        </w:tc>
      </w:tr>
      <w:tr w:rsidR="00C252A4" w:rsidRPr="00B83898" w14:paraId="02D5FC22"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327EABF8" w14:textId="726AD91E"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Nonsectarian - Special Ed</w:t>
            </w:r>
            <w:r w:rsidR="006F3B48">
              <w:rPr>
                <w:rFonts w:eastAsia="Times New Roman"/>
                <w:color w:val="000000"/>
                <w:sz w:val="18"/>
              </w:rPr>
              <w:t>ucation</w:t>
            </w:r>
          </w:p>
        </w:tc>
        <w:tc>
          <w:tcPr>
            <w:tcW w:w="1342" w:type="dxa"/>
            <w:tcBorders>
              <w:top w:val="nil"/>
              <w:left w:val="nil"/>
              <w:bottom w:val="single" w:sz="4" w:space="0" w:color="auto"/>
              <w:right w:val="single" w:sz="4" w:space="0" w:color="auto"/>
            </w:tcBorders>
            <w:shd w:val="clear" w:color="auto" w:fill="auto"/>
            <w:noWrap/>
            <w:vAlign w:val="center"/>
            <w:hideMark/>
          </w:tcPr>
          <w:p w14:paraId="40980EED"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57.44%</w:t>
            </w:r>
          </w:p>
        </w:tc>
        <w:tc>
          <w:tcPr>
            <w:tcW w:w="1640" w:type="dxa"/>
            <w:tcBorders>
              <w:top w:val="nil"/>
              <w:left w:val="nil"/>
              <w:bottom w:val="single" w:sz="4" w:space="0" w:color="auto"/>
              <w:right w:val="single" w:sz="4" w:space="0" w:color="auto"/>
            </w:tcBorders>
            <w:shd w:val="clear" w:color="auto" w:fill="auto"/>
            <w:noWrap/>
            <w:vAlign w:val="center"/>
            <w:hideMark/>
          </w:tcPr>
          <w:p w14:paraId="24817F07"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56.82%</w:t>
            </w:r>
          </w:p>
        </w:tc>
        <w:tc>
          <w:tcPr>
            <w:tcW w:w="1640" w:type="dxa"/>
            <w:tcBorders>
              <w:top w:val="nil"/>
              <w:left w:val="nil"/>
              <w:bottom w:val="single" w:sz="4" w:space="0" w:color="auto"/>
              <w:right w:val="single" w:sz="4" w:space="0" w:color="auto"/>
            </w:tcBorders>
            <w:shd w:val="clear" w:color="000000" w:fill="FFFFFF"/>
            <w:noWrap/>
            <w:vAlign w:val="center"/>
            <w:hideMark/>
          </w:tcPr>
          <w:p w14:paraId="16F2FCB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58.18%</w:t>
            </w:r>
          </w:p>
        </w:tc>
      </w:tr>
      <w:tr w:rsidR="00C252A4" w:rsidRPr="00B83898" w14:paraId="56D6B525"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tcPr>
          <w:p w14:paraId="66365D4C" w14:textId="77777777" w:rsidR="00C252A4" w:rsidRPr="00AE4B3E" w:rsidRDefault="00C252A4" w:rsidP="00B63199">
            <w:pPr>
              <w:keepNext/>
              <w:keepLines/>
              <w:spacing w:after="0" w:line="240" w:lineRule="auto"/>
              <w:rPr>
                <w:rFonts w:eastAsia="Times New Roman"/>
                <w:i/>
                <w:color w:val="000000"/>
                <w:sz w:val="18"/>
              </w:rPr>
            </w:pPr>
            <w:r w:rsidRPr="00AE4B3E">
              <w:rPr>
                <w:rFonts w:eastAsia="Times New Roman"/>
                <w:i/>
                <w:color w:val="000000"/>
                <w:sz w:val="18"/>
              </w:rPr>
              <w:t>School Locale</w:t>
            </w:r>
          </w:p>
        </w:tc>
        <w:tc>
          <w:tcPr>
            <w:tcW w:w="1342" w:type="dxa"/>
            <w:tcBorders>
              <w:top w:val="nil"/>
              <w:left w:val="nil"/>
              <w:bottom w:val="single" w:sz="4" w:space="0" w:color="auto"/>
              <w:right w:val="single" w:sz="4" w:space="0" w:color="auto"/>
            </w:tcBorders>
            <w:shd w:val="clear" w:color="auto" w:fill="auto"/>
            <w:noWrap/>
            <w:vAlign w:val="center"/>
          </w:tcPr>
          <w:p w14:paraId="4EA60840"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auto" w:fill="D99594" w:themeFill="accent2" w:themeFillTint="99"/>
            <w:noWrap/>
            <w:vAlign w:val="center"/>
          </w:tcPr>
          <w:p w14:paraId="52974F59"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000000" w:fill="FFFFFF"/>
            <w:noWrap/>
            <w:vAlign w:val="center"/>
          </w:tcPr>
          <w:p w14:paraId="11CBE9D8" w14:textId="77777777" w:rsidR="00C252A4" w:rsidRPr="00B83898" w:rsidRDefault="00C252A4" w:rsidP="00B63199">
            <w:pPr>
              <w:keepNext/>
              <w:keepLines/>
              <w:spacing w:after="0" w:line="240" w:lineRule="auto"/>
              <w:jc w:val="right"/>
              <w:rPr>
                <w:rFonts w:eastAsia="Times New Roman"/>
                <w:color w:val="000000"/>
                <w:sz w:val="18"/>
              </w:rPr>
            </w:pPr>
          </w:p>
        </w:tc>
      </w:tr>
      <w:tr w:rsidR="00C252A4" w:rsidRPr="00B83898" w14:paraId="7162C549"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05F036B2"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City</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6B6EED81"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48.98%</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199A5977"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54.75%</w:t>
            </w:r>
          </w:p>
        </w:tc>
        <w:tc>
          <w:tcPr>
            <w:tcW w:w="1640" w:type="dxa"/>
            <w:tcBorders>
              <w:top w:val="nil"/>
              <w:left w:val="nil"/>
              <w:bottom w:val="single" w:sz="4" w:space="0" w:color="auto"/>
              <w:right w:val="single" w:sz="4" w:space="0" w:color="auto"/>
            </w:tcBorders>
            <w:shd w:val="clear" w:color="000000" w:fill="FFFFFF"/>
            <w:noWrap/>
            <w:vAlign w:val="center"/>
            <w:hideMark/>
          </w:tcPr>
          <w:p w14:paraId="5166D76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43.41%</w:t>
            </w:r>
          </w:p>
        </w:tc>
      </w:tr>
      <w:tr w:rsidR="00C252A4" w:rsidRPr="00B83898" w14:paraId="2CD14BEA"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7537822B"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Suburban</w:t>
            </w:r>
          </w:p>
        </w:tc>
        <w:tc>
          <w:tcPr>
            <w:tcW w:w="1342" w:type="dxa"/>
            <w:tcBorders>
              <w:top w:val="nil"/>
              <w:left w:val="nil"/>
              <w:bottom w:val="single" w:sz="4" w:space="0" w:color="auto"/>
              <w:right w:val="single" w:sz="4" w:space="0" w:color="auto"/>
            </w:tcBorders>
            <w:shd w:val="clear" w:color="auto" w:fill="auto"/>
            <w:noWrap/>
            <w:vAlign w:val="center"/>
            <w:hideMark/>
          </w:tcPr>
          <w:p w14:paraId="6D89A72D"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54.20%</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54DF576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56.69%</w:t>
            </w:r>
          </w:p>
        </w:tc>
        <w:tc>
          <w:tcPr>
            <w:tcW w:w="1640" w:type="dxa"/>
            <w:tcBorders>
              <w:top w:val="nil"/>
              <w:left w:val="nil"/>
              <w:bottom w:val="single" w:sz="4" w:space="0" w:color="auto"/>
              <w:right w:val="single" w:sz="4" w:space="0" w:color="auto"/>
            </w:tcBorders>
            <w:shd w:val="clear" w:color="000000" w:fill="FFFFFF"/>
            <w:noWrap/>
            <w:vAlign w:val="center"/>
            <w:hideMark/>
          </w:tcPr>
          <w:p w14:paraId="17297745"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51.73%</w:t>
            </w:r>
          </w:p>
        </w:tc>
      </w:tr>
      <w:tr w:rsidR="00C252A4" w:rsidRPr="00B83898" w14:paraId="2399A1BD"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745A0C2C"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Town</w:t>
            </w:r>
          </w:p>
        </w:tc>
        <w:tc>
          <w:tcPr>
            <w:tcW w:w="1342" w:type="dxa"/>
            <w:tcBorders>
              <w:top w:val="nil"/>
              <w:left w:val="nil"/>
              <w:bottom w:val="single" w:sz="4" w:space="0" w:color="auto"/>
              <w:right w:val="single" w:sz="4" w:space="0" w:color="auto"/>
            </w:tcBorders>
            <w:shd w:val="clear" w:color="auto" w:fill="auto"/>
            <w:noWrap/>
            <w:vAlign w:val="center"/>
            <w:hideMark/>
          </w:tcPr>
          <w:p w14:paraId="3D91EEB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57.14%</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227FD08D"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62.90%</w:t>
            </w:r>
          </w:p>
        </w:tc>
        <w:tc>
          <w:tcPr>
            <w:tcW w:w="1640" w:type="dxa"/>
            <w:tcBorders>
              <w:top w:val="nil"/>
              <w:left w:val="nil"/>
              <w:bottom w:val="single" w:sz="4" w:space="0" w:color="auto"/>
              <w:right w:val="single" w:sz="4" w:space="0" w:color="auto"/>
            </w:tcBorders>
            <w:shd w:val="clear" w:color="000000" w:fill="FFFFFF"/>
            <w:noWrap/>
            <w:vAlign w:val="center"/>
            <w:hideMark/>
          </w:tcPr>
          <w:p w14:paraId="1C70848C"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50.32%</w:t>
            </w:r>
          </w:p>
        </w:tc>
      </w:tr>
      <w:tr w:rsidR="00C252A4" w:rsidRPr="00B83898" w14:paraId="0F104F60"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57DE8FF3"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Rural</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10453146"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49.51%</w:t>
            </w:r>
          </w:p>
        </w:tc>
        <w:tc>
          <w:tcPr>
            <w:tcW w:w="1640" w:type="dxa"/>
            <w:tcBorders>
              <w:top w:val="nil"/>
              <w:left w:val="nil"/>
              <w:bottom w:val="single" w:sz="4" w:space="0" w:color="auto"/>
              <w:right w:val="single" w:sz="4" w:space="0" w:color="auto"/>
            </w:tcBorders>
            <w:shd w:val="clear" w:color="auto" w:fill="auto"/>
            <w:noWrap/>
            <w:vAlign w:val="center"/>
            <w:hideMark/>
          </w:tcPr>
          <w:p w14:paraId="498015A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50.69%</w:t>
            </w:r>
          </w:p>
        </w:tc>
        <w:tc>
          <w:tcPr>
            <w:tcW w:w="1640" w:type="dxa"/>
            <w:tcBorders>
              <w:top w:val="nil"/>
              <w:left w:val="nil"/>
              <w:bottom w:val="single" w:sz="4" w:space="0" w:color="auto"/>
              <w:right w:val="single" w:sz="4" w:space="0" w:color="auto"/>
            </w:tcBorders>
            <w:shd w:val="clear" w:color="000000" w:fill="FFFFFF"/>
            <w:noWrap/>
            <w:vAlign w:val="center"/>
            <w:hideMark/>
          </w:tcPr>
          <w:p w14:paraId="51CBB5F5"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48.30%</w:t>
            </w:r>
          </w:p>
        </w:tc>
      </w:tr>
      <w:tr w:rsidR="00C252A4" w:rsidRPr="00B83898" w14:paraId="6F33BA0F"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tcPr>
          <w:p w14:paraId="7FC1C168" w14:textId="77777777" w:rsidR="00C252A4" w:rsidRPr="00AE4B3E" w:rsidRDefault="00C252A4" w:rsidP="00B63199">
            <w:pPr>
              <w:keepNext/>
              <w:keepLines/>
              <w:spacing w:after="0" w:line="240" w:lineRule="auto"/>
              <w:rPr>
                <w:rFonts w:eastAsia="Times New Roman"/>
                <w:i/>
                <w:color w:val="000000"/>
                <w:sz w:val="18"/>
              </w:rPr>
            </w:pPr>
            <w:r w:rsidRPr="00AE4B3E">
              <w:rPr>
                <w:rFonts w:eastAsia="Times New Roman"/>
                <w:i/>
                <w:color w:val="000000"/>
                <w:sz w:val="18"/>
              </w:rPr>
              <w:t>School Size (Enrollment)</w:t>
            </w:r>
          </w:p>
        </w:tc>
        <w:tc>
          <w:tcPr>
            <w:tcW w:w="1342" w:type="dxa"/>
            <w:tcBorders>
              <w:top w:val="nil"/>
              <w:left w:val="nil"/>
              <w:bottom w:val="single" w:sz="4" w:space="0" w:color="auto"/>
              <w:right w:val="single" w:sz="4" w:space="0" w:color="auto"/>
            </w:tcBorders>
            <w:shd w:val="clear" w:color="auto" w:fill="auto"/>
            <w:noWrap/>
            <w:vAlign w:val="center"/>
          </w:tcPr>
          <w:p w14:paraId="4725A113"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auto" w:fill="D99594" w:themeFill="accent2" w:themeFillTint="99"/>
            <w:noWrap/>
            <w:vAlign w:val="center"/>
          </w:tcPr>
          <w:p w14:paraId="09A13E22" w14:textId="77777777" w:rsidR="00C252A4" w:rsidRPr="00B83898" w:rsidRDefault="00C252A4" w:rsidP="00B63199">
            <w:pPr>
              <w:keepNext/>
              <w:keepLines/>
              <w:spacing w:after="0" w:line="240" w:lineRule="auto"/>
              <w:jc w:val="right"/>
              <w:rPr>
                <w:rFonts w:eastAsia="Times New Roman"/>
                <w:color w:val="000000"/>
                <w:sz w:val="18"/>
              </w:rPr>
            </w:pPr>
          </w:p>
        </w:tc>
        <w:tc>
          <w:tcPr>
            <w:tcW w:w="1640" w:type="dxa"/>
            <w:tcBorders>
              <w:top w:val="nil"/>
              <w:left w:val="nil"/>
              <w:bottom w:val="single" w:sz="4" w:space="0" w:color="auto"/>
              <w:right w:val="single" w:sz="4" w:space="0" w:color="auto"/>
            </w:tcBorders>
            <w:shd w:val="clear" w:color="000000" w:fill="FFFFFF"/>
            <w:noWrap/>
            <w:vAlign w:val="center"/>
          </w:tcPr>
          <w:p w14:paraId="09D944DE" w14:textId="77777777" w:rsidR="00C252A4" w:rsidRPr="00B83898" w:rsidRDefault="00C252A4" w:rsidP="00B63199">
            <w:pPr>
              <w:keepNext/>
              <w:keepLines/>
              <w:spacing w:after="0" w:line="240" w:lineRule="auto"/>
              <w:jc w:val="right"/>
              <w:rPr>
                <w:rFonts w:eastAsia="Times New Roman"/>
                <w:color w:val="000000"/>
                <w:sz w:val="18"/>
              </w:rPr>
            </w:pPr>
          </w:p>
        </w:tc>
      </w:tr>
      <w:tr w:rsidR="00C252A4" w:rsidRPr="00B83898" w14:paraId="7AA66B39"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2E75C13E"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Enrollment: less than 100</w:t>
            </w:r>
          </w:p>
        </w:tc>
        <w:tc>
          <w:tcPr>
            <w:tcW w:w="1342" w:type="dxa"/>
            <w:tcBorders>
              <w:top w:val="nil"/>
              <w:left w:val="nil"/>
              <w:bottom w:val="single" w:sz="4" w:space="0" w:color="auto"/>
              <w:right w:val="single" w:sz="4" w:space="0" w:color="auto"/>
            </w:tcBorders>
            <w:shd w:val="clear" w:color="auto" w:fill="B8CCE4" w:themeFill="accent1" w:themeFillTint="66"/>
            <w:noWrap/>
            <w:vAlign w:val="center"/>
            <w:hideMark/>
          </w:tcPr>
          <w:p w14:paraId="768341A9"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45.25%</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247ADDF1"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49.34%</w:t>
            </w:r>
          </w:p>
        </w:tc>
        <w:tc>
          <w:tcPr>
            <w:tcW w:w="1640" w:type="dxa"/>
            <w:tcBorders>
              <w:top w:val="nil"/>
              <w:left w:val="nil"/>
              <w:bottom w:val="single" w:sz="4" w:space="0" w:color="auto"/>
              <w:right w:val="single" w:sz="4" w:space="0" w:color="auto"/>
            </w:tcBorders>
            <w:shd w:val="clear" w:color="000000" w:fill="FFFFFF"/>
            <w:noWrap/>
            <w:vAlign w:val="center"/>
            <w:hideMark/>
          </w:tcPr>
          <w:p w14:paraId="18A12F75"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40.92%</w:t>
            </w:r>
          </w:p>
        </w:tc>
      </w:tr>
      <w:tr w:rsidR="00C252A4" w:rsidRPr="00B83898" w14:paraId="16D23F4F"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5D6C7419"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Enrollment: 100-199</w:t>
            </w:r>
          </w:p>
        </w:tc>
        <w:tc>
          <w:tcPr>
            <w:tcW w:w="1342" w:type="dxa"/>
            <w:tcBorders>
              <w:top w:val="nil"/>
              <w:left w:val="nil"/>
              <w:bottom w:val="single" w:sz="4" w:space="0" w:color="auto"/>
              <w:right w:val="single" w:sz="4" w:space="0" w:color="auto"/>
            </w:tcBorders>
            <w:shd w:val="clear" w:color="auto" w:fill="auto"/>
            <w:noWrap/>
            <w:vAlign w:val="center"/>
            <w:hideMark/>
          </w:tcPr>
          <w:p w14:paraId="24AECFCE"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52.57%</w:t>
            </w:r>
          </w:p>
        </w:tc>
        <w:tc>
          <w:tcPr>
            <w:tcW w:w="1640" w:type="dxa"/>
            <w:tcBorders>
              <w:top w:val="nil"/>
              <w:left w:val="nil"/>
              <w:bottom w:val="single" w:sz="4" w:space="0" w:color="auto"/>
              <w:right w:val="single" w:sz="4" w:space="0" w:color="auto"/>
            </w:tcBorders>
            <w:shd w:val="clear" w:color="auto" w:fill="auto"/>
            <w:noWrap/>
            <w:vAlign w:val="center"/>
            <w:hideMark/>
          </w:tcPr>
          <w:p w14:paraId="6166DAD0"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53.73%</w:t>
            </w:r>
          </w:p>
        </w:tc>
        <w:tc>
          <w:tcPr>
            <w:tcW w:w="1640" w:type="dxa"/>
            <w:tcBorders>
              <w:top w:val="nil"/>
              <w:left w:val="nil"/>
              <w:bottom w:val="single" w:sz="4" w:space="0" w:color="auto"/>
              <w:right w:val="single" w:sz="4" w:space="0" w:color="auto"/>
            </w:tcBorders>
            <w:shd w:val="clear" w:color="000000" w:fill="FFFFFF"/>
            <w:noWrap/>
            <w:vAlign w:val="center"/>
            <w:hideMark/>
          </w:tcPr>
          <w:p w14:paraId="41E55A9E"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51.43%</w:t>
            </w:r>
          </w:p>
        </w:tc>
      </w:tr>
      <w:tr w:rsidR="00C252A4" w:rsidRPr="00B83898" w14:paraId="2CD4E9E7"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1AD3805C"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Enrollment: 200-499</w:t>
            </w:r>
          </w:p>
        </w:tc>
        <w:tc>
          <w:tcPr>
            <w:tcW w:w="1342" w:type="dxa"/>
            <w:tcBorders>
              <w:top w:val="nil"/>
              <w:left w:val="nil"/>
              <w:bottom w:val="single" w:sz="4" w:space="0" w:color="auto"/>
              <w:right w:val="single" w:sz="4" w:space="0" w:color="auto"/>
            </w:tcBorders>
            <w:shd w:val="clear" w:color="auto" w:fill="auto"/>
            <w:noWrap/>
            <w:vAlign w:val="center"/>
            <w:hideMark/>
          </w:tcPr>
          <w:p w14:paraId="3EF007EA"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53.34%</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196C6238"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57.59%</w:t>
            </w:r>
          </w:p>
        </w:tc>
        <w:tc>
          <w:tcPr>
            <w:tcW w:w="1640" w:type="dxa"/>
            <w:tcBorders>
              <w:top w:val="nil"/>
              <w:left w:val="nil"/>
              <w:bottom w:val="single" w:sz="4" w:space="0" w:color="auto"/>
              <w:right w:val="single" w:sz="4" w:space="0" w:color="auto"/>
            </w:tcBorders>
            <w:shd w:val="clear" w:color="000000" w:fill="FFFFFF"/>
            <w:noWrap/>
            <w:vAlign w:val="center"/>
            <w:hideMark/>
          </w:tcPr>
          <w:p w14:paraId="6E00B962"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48.64%</w:t>
            </w:r>
          </w:p>
        </w:tc>
      </w:tr>
      <w:tr w:rsidR="00C252A4" w:rsidRPr="00B83898" w14:paraId="4A49ACB9"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7F1DFBC9"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Enrollment: 500-749</w:t>
            </w:r>
          </w:p>
        </w:tc>
        <w:tc>
          <w:tcPr>
            <w:tcW w:w="1342" w:type="dxa"/>
            <w:tcBorders>
              <w:top w:val="nil"/>
              <w:left w:val="nil"/>
              <w:bottom w:val="single" w:sz="4" w:space="0" w:color="auto"/>
              <w:right w:val="single" w:sz="4" w:space="0" w:color="auto"/>
            </w:tcBorders>
            <w:shd w:val="clear" w:color="auto" w:fill="auto"/>
            <w:noWrap/>
            <w:vAlign w:val="center"/>
            <w:hideMark/>
          </w:tcPr>
          <w:p w14:paraId="3C51490D"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52.53%</w:t>
            </w:r>
          </w:p>
        </w:tc>
        <w:tc>
          <w:tcPr>
            <w:tcW w:w="1640" w:type="dxa"/>
            <w:tcBorders>
              <w:top w:val="nil"/>
              <w:left w:val="nil"/>
              <w:bottom w:val="single" w:sz="4" w:space="0" w:color="auto"/>
              <w:right w:val="single" w:sz="4" w:space="0" w:color="auto"/>
            </w:tcBorders>
            <w:shd w:val="clear" w:color="auto" w:fill="auto"/>
            <w:noWrap/>
            <w:vAlign w:val="center"/>
            <w:hideMark/>
          </w:tcPr>
          <w:p w14:paraId="156C5B4E"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56.86%</w:t>
            </w:r>
          </w:p>
        </w:tc>
        <w:tc>
          <w:tcPr>
            <w:tcW w:w="1640" w:type="dxa"/>
            <w:tcBorders>
              <w:top w:val="nil"/>
              <w:left w:val="nil"/>
              <w:bottom w:val="single" w:sz="4" w:space="0" w:color="auto"/>
              <w:right w:val="single" w:sz="4" w:space="0" w:color="auto"/>
            </w:tcBorders>
            <w:shd w:val="clear" w:color="000000" w:fill="FFFFFF"/>
            <w:noWrap/>
            <w:vAlign w:val="center"/>
            <w:hideMark/>
          </w:tcPr>
          <w:p w14:paraId="78F7822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48.70%</w:t>
            </w:r>
          </w:p>
        </w:tc>
      </w:tr>
      <w:tr w:rsidR="00C252A4" w:rsidRPr="00B83898" w14:paraId="0594F598" w14:textId="77777777" w:rsidTr="00B63199">
        <w:trPr>
          <w:trHeight w:val="144"/>
        </w:trPr>
        <w:tc>
          <w:tcPr>
            <w:tcW w:w="4614" w:type="dxa"/>
            <w:tcBorders>
              <w:top w:val="nil"/>
              <w:left w:val="single" w:sz="4" w:space="0" w:color="auto"/>
              <w:bottom w:val="single" w:sz="4" w:space="0" w:color="auto"/>
              <w:right w:val="single" w:sz="4" w:space="0" w:color="auto"/>
            </w:tcBorders>
            <w:shd w:val="clear" w:color="auto" w:fill="auto"/>
            <w:noWrap/>
            <w:vAlign w:val="center"/>
            <w:hideMark/>
          </w:tcPr>
          <w:p w14:paraId="07740DDA" w14:textId="77777777" w:rsidR="00C252A4" w:rsidRPr="00B83898" w:rsidRDefault="00C252A4" w:rsidP="00B63199">
            <w:pPr>
              <w:keepNext/>
              <w:keepLines/>
              <w:spacing w:after="0" w:line="240" w:lineRule="auto"/>
              <w:ind w:left="180"/>
              <w:rPr>
                <w:rFonts w:eastAsia="Times New Roman"/>
                <w:color w:val="000000"/>
                <w:sz w:val="18"/>
              </w:rPr>
            </w:pPr>
            <w:r w:rsidRPr="00B83898">
              <w:rPr>
                <w:rFonts w:eastAsia="Times New Roman"/>
                <w:color w:val="000000"/>
                <w:sz w:val="18"/>
              </w:rPr>
              <w:t>Enrollment: 750 or more</w:t>
            </w:r>
          </w:p>
        </w:tc>
        <w:tc>
          <w:tcPr>
            <w:tcW w:w="1342" w:type="dxa"/>
            <w:tcBorders>
              <w:top w:val="nil"/>
              <w:left w:val="nil"/>
              <w:bottom w:val="single" w:sz="4" w:space="0" w:color="auto"/>
              <w:right w:val="single" w:sz="4" w:space="0" w:color="auto"/>
            </w:tcBorders>
            <w:shd w:val="clear" w:color="auto" w:fill="auto"/>
            <w:noWrap/>
            <w:vAlign w:val="center"/>
            <w:hideMark/>
          </w:tcPr>
          <w:p w14:paraId="0A44131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56.50%</w:t>
            </w:r>
          </w:p>
        </w:tc>
        <w:tc>
          <w:tcPr>
            <w:tcW w:w="1640" w:type="dxa"/>
            <w:tcBorders>
              <w:top w:val="nil"/>
              <w:left w:val="nil"/>
              <w:bottom w:val="single" w:sz="4" w:space="0" w:color="auto"/>
              <w:right w:val="single" w:sz="4" w:space="0" w:color="auto"/>
            </w:tcBorders>
            <w:shd w:val="clear" w:color="auto" w:fill="D99594" w:themeFill="accent2" w:themeFillTint="99"/>
            <w:noWrap/>
            <w:vAlign w:val="center"/>
            <w:hideMark/>
          </w:tcPr>
          <w:p w14:paraId="709D9B0B"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64.14%</w:t>
            </w:r>
          </w:p>
        </w:tc>
        <w:tc>
          <w:tcPr>
            <w:tcW w:w="1640" w:type="dxa"/>
            <w:tcBorders>
              <w:top w:val="nil"/>
              <w:left w:val="nil"/>
              <w:bottom w:val="single" w:sz="4" w:space="0" w:color="auto"/>
              <w:right w:val="single" w:sz="4" w:space="0" w:color="auto"/>
            </w:tcBorders>
            <w:shd w:val="clear" w:color="000000" w:fill="FFFFFF"/>
            <w:noWrap/>
            <w:vAlign w:val="center"/>
            <w:hideMark/>
          </w:tcPr>
          <w:p w14:paraId="6951E397" w14:textId="77777777" w:rsidR="00C252A4" w:rsidRPr="00B83898" w:rsidRDefault="00C252A4" w:rsidP="00B63199">
            <w:pPr>
              <w:keepNext/>
              <w:keepLines/>
              <w:spacing w:after="0" w:line="240" w:lineRule="auto"/>
              <w:jc w:val="right"/>
              <w:rPr>
                <w:rFonts w:eastAsia="Times New Roman"/>
                <w:color w:val="000000"/>
                <w:sz w:val="18"/>
              </w:rPr>
            </w:pPr>
            <w:r w:rsidRPr="00B83898">
              <w:rPr>
                <w:rFonts w:eastAsia="Times New Roman"/>
                <w:color w:val="000000"/>
                <w:sz w:val="18"/>
              </w:rPr>
              <w:t>50.17%</w:t>
            </w:r>
          </w:p>
        </w:tc>
      </w:tr>
    </w:tbl>
    <w:p w14:paraId="3E9E849D" w14:textId="1FEA8B42" w:rsidR="00C252A4" w:rsidRDefault="00C252A4" w:rsidP="00C252A4">
      <w:pPr>
        <w:pStyle w:val="ListParagraph"/>
        <w:spacing w:after="0" w:line="240" w:lineRule="auto"/>
        <w:ind w:left="90" w:hanging="90"/>
      </w:pPr>
      <w:r w:rsidRPr="009B6710">
        <w:rPr>
          <w:sz w:val="16"/>
          <w:vertAlign w:val="superscript"/>
        </w:rPr>
        <w:t>1</w:t>
      </w:r>
      <w:r w:rsidRPr="009A414E">
        <w:rPr>
          <w:sz w:val="16"/>
        </w:rPr>
        <w:t xml:space="preserve"> </w:t>
      </w:r>
      <w:r w:rsidRPr="00CB7030">
        <w:rPr>
          <w:sz w:val="16"/>
        </w:rPr>
        <w:t xml:space="preserve">Cells in blue indicate the domains </w:t>
      </w:r>
      <w:r w:rsidR="00CB40B8">
        <w:rPr>
          <w:sz w:val="16"/>
        </w:rPr>
        <w:t>below 50%</w:t>
      </w:r>
      <w:r w:rsidR="00556154">
        <w:rPr>
          <w:sz w:val="16"/>
        </w:rPr>
        <w:t>.</w:t>
      </w:r>
      <w:r w:rsidR="00011E6F">
        <w:rPr>
          <w:sz w:val="16"/>
        </w:rPr>
        <w:t xml:space="preserve"> </w:t>
      </w:r>
      <w:r w:rsidR="00556154">
        <w:rPr>
          <w:sz w:val="16"/>
        </w:rPr>
        <w:t>C</w:t>
      </w:r>
      <w:r w:rsidRPr="00CB7030">
        <w:rPr>
          <w:sz w:val="16"/>
        </w:rPr>
        <w:t>ells highlighted in red indicate that the response rate for the teacher incentive group is significantly higher than the response rate for the non-incentive group with 95% confidence</w:t>
      </w:r>
      <w:r>
        <w:rPr>
          <w:sz w:val="16"/>
        </w:rPr>
        <w:t>.</w:t>
      </w:r>
    </w:p>
    <w:p w14:paraId="62523DF2" w14:textId="77777777" w:rsidR="00C252A4" w:rsidRDefault="00C252A4" w:rsidP="00C252A4">
      <w:pPr>
        <w:spacing w:after="0" w:line="240" w:lineRule="auto"/>
      </w:pPr>
    </w:p>
    <w:p w14:paraId="716AD616" w14:textId="3BF82178" w:rsidR="003A1246" w:rsidRPr="00CB7030" w:rsidRDefault="003A1246" w:rsidP="00CB7030">
      <w:pPr>
        <w:pStyle w:val="Caption"/>
        <w:keepNext/>
        <w:keepLines/>
        <w:spacing w:before="240" w:after="60"/>
        <w:rPr>
          <w:b/>
        </w:rPr>
      </w:pPr>
      <w:r w:rsidRPr="00CB7030">
        <w:rPr>
          <w:b/>
        </w:rPr>
        <w:t xml:space="preserve">Table </w:t>
      </w:r>
      <w:r w:rsidR="00C252A4">
        <w:rPr>
          <w:b/>
        </w:rPr>
        <w:t>5</w:t>
      </w:r>
      <w:r w:rsidRPr="00CB7030">
        <w:rPr>
          <w:b/>
        </w:rPr>
        <w:t>.</w:t>
      </w:r>
      <w:r w:rsidR="004F6DF1" w:rsidRPr="00CB7030">
        <w:rPr>
          <w:b/>
        </w:rPr>
        <w:t xml:space="preserve"> </w:t>
      </w:r>
      <w:r w:rsidRPr="00CB7030">
        <w:rPr>
          <w:b/>
        </w:rPr>
        <w:t xml:space="preserve">Current TQ Response Rates </w:t>
      </w:r>
      <w:r w:rsidR="00CB7030">
        <w:rPr>
          <w:b/>
        </w:rPr>
        <w:t xml:space="preserve">across and </w:t>
      </w:r>
      <w:r w:rsidRPr="00CB7030">
        <w:rPr>
          <w:b/>
        </w:rPr>
        <w:t>within the Public School Domains</w:t>
      </w:r>
    </w:p>
    <w:tbl>
      <w:tblPr>
        <w:tblW w:w="0" w:type="auto"/>
        <w:tblLayout w:type="fixed"/>
        <w:tblLook w:val="04A0" w:firstRow="1" w:lastRow="0" w:firstColumn="1" w:lastColumn="0" w:noHBand="0" w:noVBand="1"/>
      </w:tblPr>
      <w:tblGrid>
        <w:gridCol w:w="4710"/>
        <w:gridCol w:w="1370"/>
        <w:gridCol w:w="1676"/>
        <w:gridCol w:w="1676"/>
      </w:tblGrid>
      <w:tr w:rsidR="003A1246" w:rsidRPr="00353AA3" w14:paraId="50A4F498" w14:textId="77777777" w:rsidTr="00BD64FC">
        <w:trPr>
          <w:trHeight w:val="144"/>
          <w:tblHeader/>
        </w:trPr>
        <w:tc>
          <w:tcPr>
            <w:tcW w:w="4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A3EFE6" w14:textId="77777777" w:rsidR="003A1246" w:rsidRPr="00353AA3" w:rsidRDefault="003A1246" w:rsidP="00BD64FC">
            <w:pPr>
              <w:keepNext/>
              <w:keepLines/>
              <w:spacing w:after="0" w:line="240" w:lineRule="auto"/>
              <w:jc w:val="center"/>
              <w:rPr>
                <w:rFonts w:eastAsia="Times New Roman"/>
                <w:b/>
                <w:bCs/>
                <w:color w:val="000000"/>
                <w:sz w:val="18"/>
              </w:rPr>
            </w:pPr>
            <w:r w:rsidRPr="00353AA3">
              <w:rPr>
                <w:rFonts w:eastAsia="Times New Roman"/>
                <w:b/>
                <w:bCs/>
                <w:color w:val="000000"/>
                <w:sz w:val="18"/>
              </w:rPr>
              <w:t>Public School Domain</w:t>
            </w:r>
          </w:p>
        </w:tc>
        <w:tc>
          <w:tcPr>
            <w:tcW w:w="472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370AC4" w14:textId="77777777" w:rsidR="003A1246" w:rsidRPr="00353AA3" w:rsidRDefault="003A1246" w:rsidP="00BD64FC">
            <w:pPr>
              <w:keepNext/>
              <w:keepLines/>
              <w:spacing w:after="0" w:line="240" w:lineRule="auto"/>
              <w:jc w:val="center"/>
              <w:rPr>
                <w:rFonts w:eastAsia="Times New Roman"/>
                <w:b/>
                <w:bCs/>
                <w:color w:val="000000"/>
                <w:sz w:val="18"/>
              </w:rPr>
            </w:pPr>
            <w:r w:rsidRPr="00353AA3">
              <w:rPr>
                <w:rFonts w:eastAsia="Times New Roman"/>
                <w:b/>
                <w:bCs/>
                <w:color w:val="000000"/>
                <w:sz w:val="18"/>
              </w:rPr>
              <w:t>TQ Response Rates</w:t>
            </w:r>
          </w:p>
        </w:tc>
      </w:tr>
      <w:tr w:rsidR="003A1246" w:rsidRPr="00353AA3" w14:paraId="3387F149" w14:textId="77777777" w:rsidTr="00BD64FC">
        <w:trPr>
          <w:trHeight w:val="144"/>
          <w:tblHeader/>
        </w:trPr>
        <w:tc>
          <w:tcPr>
            <w:tcW w:w="4710" w:type="dxa"/>
            <w:vMerge/>
            <w:tcBorders>
              <w:top w:val="single" w:sz="4" w:space="0" w:color="auto"/>
              <w:left w:val="single" w:sz="4" w:space="0" w:color="auto"/>
              <w:bottom w:val="single" w:sz="4" w:space="0" w:color="000000"/>
              <w:right w:val="single" w:sz="4" w:space="0" w:color="auto"/>
            </w:tcBorders>
            <w:vAlign w:val="center"/>
            <w:hideMark/>
          </w:tcPr>
          <w:p w14:paraId="63483A91" w14:textId="77777777" w:rsidR="003A1246" w:rsidRPr="00353AA3" w:rsidRDefault="003A1246" w:rsidP="00BD64FC">
            <w:pPr>
              <w:keepNext/>
              <w:keepLines/>
              <w:spacing w:after="0" w:line="240" w:lineRule="auto"/>
              <w:rPr>
                <w:rFonts w:eastAsia="Times New Roman"/>
                <w:b/>
                <w:bCs/>
                <w:color w:val="000000"/>
                <w:sz w:val="18"/>
              </w:rPr>
            </w:pPr>
          </w:p>
        </w:tc>
        <w:tc>
          <w:tcPr>
            <w:tcW w:w="1370" w:type="dxa"/>
            <w:tcBorders>
              <w:top w:val="nil"/>
              <w:left w:val="nil"/>
              <w:bottom w:val="single" w:sz="4" w:space="0" w:color="auto"/>
              <w:right w:val="single" w:sz="4" w:space="0" w:color="auto"/>
            </w:tcBorders>
            <w:shd w:val="clear" w:color="auto" w:fill="auto"/>
            <w:noWrap/>
            <w:vAlign w:val="bottom"/>
            <w:hideMark/>
          </w:tcPr>
          <w:p w14:paraId="64FBB43A" w14:textId="77777777" w:rsidR="003A1246" w:rsidRPr="00353AA3" w:rsidRDefault="003A1246" w:rsidP="00BD64FC">
            <w:pPr>
              <w:keepNext/>
              <w:keepLines/>
              <w:spacing w:after="0" w:line="240" w:lineRule="auto"/>
              <w:jc w:val="center"/>
              <w:rPr>
                <w:rFonts w:eastAsia="Times New Roman"/>
                <w:b/>
                <w:bCs/>
                <w:color w:val="000000"/>
                <w:sz w:val="18"/>
              </w:rPr>
            </w:pPr>
            <w:r w:rsidRPr="00353AA3">
              <w:rPr>
                <w:rFonts w:eastAsia="Times New Roman"/>
                <w:b/>
                <w:bCs/>
                <w:color w:val="000000"/>
                <w:sz w:val="18"/>
              </w:rPr>
              <w:t>Overall</w:t>
            </w:r>
          </w:p>
        </w:tc>
        <w:tc>
          <w:tcPr>
            <w:tcW w:w="1676" w:type="dxa"/>
            <w:tcBorders>
              <w:top w:val="nil"/>
              <w:left w:val="nil"/>
              <w:bottom w:val="single" w:sz="4" w:space="0" w:color="auto"/>
              <w:right w:val="single" w:sz="4" w:space="0" w:color="auto"/>
            </w:tcBorders>
            <w:shd w:val="clear" w:color="auto" w:fill="auto"/>
            <w:noWrap/>
            <w:vAlign w:val="bottom"/>
            <w:hideMark/>
          </w:tcPr>
          <w:p w14:paraId="273DEFF6" w14:textId="77777777" w:rsidR="003A1246" w:rsidRPr="00353AA3" w:rsidRDefault="003A1246" w:rsidP="00BD64FC">
            <w:pPr>
              <w:keepNext/>
              <w:keepLines/>
              <w:spacing w:after="0" w:line="240" w:lineRule="auto"/>
              <w:jc w:val="center"/>
              <w:rPr>
                <w:rFonts w:eastAsia="Times New Roman"/>
                <w:b/>
                <w:bCs/>
                <w:color w:val="000000"/>
                <w:sz w:val="18"/>
              </w:rPr>
            </w:pPr>
            <w:r w:rsidRPr="00353AA3">
              <w:rPr>
                <w:rFonts w:eastAsia="Times New Roman"/>
                <w:b/>
                <w:bCs/>
                <w:color w:val="000000"/>
                <w:sz w:val="18"/>
              </w:rPr>
              <w:t>Incentive</w:t>
            </w:r>
          </w:p>
        </w:tc>
        <w:tc>
          <w:tcPr>
            <w:tcW w:w="1676" w:type="dxa"/>
            <w:tcBorders>
              <w:top w:val="nil"/>
              <w:left w:val="nil"/>
              <w:bottom w:val="single" w:sz="4" w:space="0" w:color="auto"/>
              <w:right w:val="single" w:sz="4" w:space="0" w:color="auto"/>
            </w:tcBorders>
            <w:shd w:val="clear" w:color="auto" w:fill="auto"/>
            <w:noWrap/>
            <w:vAlign w:val="bottom"/>
            <w:hideMark/>
          </w:tcPr>
          <w:p w14:paraId="0E2B7082" w14:textId="77777777" w:rsidR="003A1246" w:rsidRPr="00353AA3" w:rsidRDefault="003A1246" w:rsidP="00BD64FC">
            <w:pPr>
              <w:keepNext/>
              <w:keepLines/>
              <w:spacing w:after="0" w:line="240" w:lineRule="auto"/>
              <w:jc w:val="center"/>
              <w:rPr>
                <w:rFonts w:eastAsia="Times New Roman"/>
                <w:b/>
                <w:bCs/>
                <w:color w:val="000000"/>
                <w:sz w:val="18"/>
              </w:rPr>
            </w:pPr>
            <w:r w:rsidRPr="00353AA3">
              <w:rPr>
                <w:rFonts w:eastAsia="Times New Roman"/>
                <w:b/>
                <w:bCs/>
                <w:color w:val="000000"/>
                <w:sz w:val="18"/>
              </w:rPr>
              <w:t>Non-Incentive</w:t>
            </w:r>
          </w:p>
        </w:tc>
      </w:tr>
      <w:tr w:rsidR="003A1246" w:rsidRPr="00353AA3" w14:paraId="10D35E98" w14:textId="77777777" w:rsidTr="00556154">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014050FE" w14:textId="77777777" w:rsidR="003A1246" w:rsidRPr="00353AA3" w:rsidRDefault="003A1246" w:rsidP="00BD64FC">
            <w:pPr>
              <w:keepNext/>
              <w:keepLines/>
              <w:spacing w:after="0" w:line="240" w:lineRule="auto"/>
              <w:rPr>
                <w:rFonts w:eastAsia="Times New Roman"/>
                <w:color w:val="000000"/>
                <w:sz w:val="18"/>
              </w:rPr>
            </w:pPr>
            <w:r w:rsidRPr="00353AA3">
              <w:rPr>
                <w:rFonts w:eastAsia="Times New Roman"/>
                <w:color w:val="000000"/>
                <w:sz w:val="18"/>
              </w:rPr>
              <w:t>All</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1B6FE117"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48.30%</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2E1AE768" w14:textId="77777777" w:rsidR="003A1246" w:rsidRPr="00353AA3" w:rsidRDefault="003A1246" w:rsidP="00BD64FC">
            <w:pPr>
              <w:keepNext/>
              <w:keepLines/>
              <w:spacing w:after="0" w:line="240" w:lineRule="auto"/>
              <w:jc w:val="right"/>
              <w:rPr>
                <w:rFonts w:eastAsia="Times New Roman"/>
                <w:color w:val="000000"/>
                <w:sz w:val="18"/>
                <w:vertAlign w:val="superscript"/>
              </w:rPr>
            </w:pPr>
            <w:r w:rsidRPr="000642D4">
              <w:rPr>
                <w:rFonts w:eastAsia="Times New Roman"/>
                <w:color w:val="000000"/>
                <w:sz w:val="18"/>
                <w:shd w:val="clear" w:color="auto" w:fill="D99594" w:themeFill="accent2" w:themeFillTint="99"/>
              </w:rPr>
              <w:t>52.61%</w:t>
            </w:r>
            <w:r>
              <w:rPr>
                <w:rFonts w:eastAsia="Times New Roman"/>
                <w:color w:val="000000"/>
                <w:sz w:val="18"/>
                <w:vertAlign w:val="superscript"/>
              </w:rPr>
              <w:t>1</w:t>
            </w:r>
          </w:p>
        </w:tc>
        <w:tc>
          <w:tcPr>
            <w:tcW w:w="1676" w:type="dxa"/>
            <w:tcBorders>
              <w:top w:val="nil"/>
              <w:left w:val="nil"/>
              <w:bottom w:val="single" w:sz="4" w:space="0" w:color="auto"/>
              <w:right w:val="single" w:sz="4" w:space="0" w:color="auto"/>
            </w:tcBorders>
            <w:shd w:val="clear" w:color="auto" w:fill="auto"/>
            <w:noWrap/>
            <w:vAlign w:val="center"/>
            <w:hideMark/>
          </w:tcPr>
          <w:p w14:paraId="592C3AAA"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44.67%</w:t>
            </w:r>
          </w:p>
        </w:tc>
      </w:tr>
      <w:tr w:rsidR="0077316C" w:rsidRPr="00353AA3" w14:paraId="40617417"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tcPr>
          <w:p w14:paraId="25A684B3" w14:textId="38DF6A3F" w:rsidR="0077316C" w:rsidRPr="0077316C" w:rsidRDefault="0077316C" w:rsidP="00BD64FC">
            <w:pPr>
              <w:keepNext/>
              <w:keepLines/>
              <w:spacing w:after="0" w:line="240" w:lineRule="auto"/>
              <w:rPr>
                <w:rFonts w:eastAsia="Times New Roman"/>
                <w:i/>
                <w:color w:val="000000"/>
                <w:sz w:val="18"/>
              </w:rPr>
            </w:pPr>
            <w:r w:rsidRPr="0077316C">
              <w:rPr>
                <w:rFonts w:eastAsia="Times New Roman"/>
                <w:i/>
                <w:color w:val="000000"/>
                <w:sz w:val="18"/>
              </w:rPr>
              <w:t>Charter, Non-Charter</w:t>
            </w:r>
          </w:p>
        </w:tc>
        <w:tc>
          <w:tcPr>
            <w:tcW w:w="1370" w:type="dxa"/>
            <w:tcBorders>
              <w:top w:val="nil"/>
              <w:left w:val="nil"/>
              <w:bottom w:val="single" w:sz="4" w:space="0" w:color="auto"/>
              <w:right w:val="single" w:sz="4" w:space="0" w:color="auto"/>
            </w:tcBorders>
            <w:shd w:val="clear" w:color="auto" w:fill="auto"/>
            <w:noWrap/>
            <w:vAlign w:val="center"/>
          </w:tcPr>
          <w:p w14:paraId="003D7F87" w14:textId="77777777" w:rsidR="0077316C" w:rsidRPr="00353AA3" w:rsidRDefault="0077316C" w:rsidP="00BD64FC">
            <w:pPr>
              <w:keepNext/>
              <w:keepLines/>
              <w:spacing w:after="0" w:line="240" w:lineRule="auto"/>
              <w:jc w:val="right"/>
              <w:rPr>
                <w:rFonts w:eastAsia="Times New Roman"/>
                <w:color w:val="000000"/>
                <w:sz w:val="18"/>
              </w:rPr>
            </w:pPr>
          </w:p>
        </w:tc>
        <w:tc>
          <w:tcPr>
            <w:tcW w:w="1676" w:type="dxa"/>
            <w:tcBorders>
              <w:top w:val="nil"/>
              <w:left w:val="nil"/>
              <w:bottom w:val="single" w:sz="4" w:space="0" w:color="auto"/>
              <w:right w:val="single" w:sz="4" w:space="0" w:color="auto"/>
            </w:tcBorders>
            <w:shd w:val="clear" w:color="auto" w:fill="auto"/>
            <w:noWrap/>
            <w:vAlign w:val="center"/>
          </w:tcPr>
          <w:p w14:paraId="52520FDF" w14:textId="77777777" w:rsidR="0077316C" w:rsidRPr="00353AA3" w:rsidRDefault="0077316C" w:rsidP="00BD64FC">
            <w:pPr>
              <w:keepNext/>
              <w:keepLines/>
              <w:spacing w:after="0" w:line="240" w:lineRule="auto"/>
              <w:jc w:val="right"/>
              <w:rPr>
                <w:rFonts w:eastAsia="Times New Roman"/>
                <w:color w:val="000000"/>
                <w:sz w:val="18"/>
              </w:rPr>
            </w:pPr>
          </w:p>
        </w:tc>
        <w:tc>
          <w:tcPr>
            <w:tcW w:w="1676" w:type="dxa"/>
            <w:tcBorders>
              <w:top w:val="nil"/>
              <w:left w:val="nil"/>
              <w:bottom w:val="single" w:sz="4" w:space="0" w:color="auto"/>
              <w:right w:val="single" w:sz="4" w:space="0" w:color="auto"/>
            </w:tcBorders>
            <w:shd w:val="clear" w:color="auto" w:fill="auto"/>
            <w:noWrap/>
            <w:vAlign w:val="center"/>
          </w:tcPr>
          <w:p w14:paraId="3137AFD6" w14:textId="77777777" w:rsidR="0077316C" w:rsidRPr="00353AA3" w:rsidRDefault="0077316C" w:rsidP="00BD64FC">
            <w:pPr>
              <w:keepNext/>
              <w:keepLines/>
              <w:spacing w:after="0" w:line="240" w:lineRule="auto"/>
              <w:jc w:val="right"/>
              <w:rPr>
                <w:rFonts w:eastAsia="Times New Roman"/>
                <w:color w:val="000000"/>
                <w:sz w:val="18"/>
              </w:rPr>
            </w:pPr>
          </w:p>
        </w:tc>
      </w:tr>
      <w:tr w:rsidR="003A1246" w:rsidRPr="00353AA3" w14:paraId="28A25B95" w14:textId="77777777" w:rsidTr="00CB40B8">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17E0AC63"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Charter</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21420A2A"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45.48%</w:t>
            </w:r>
          </w:p>
        </w:tc>
        <w:tc>
          <w:tcPr>
            <w:tcW w:w="1676" w:type="dxa"/>
            <w:tcBorders>
              <w:top w:val="nil"/>
              <w:left w:val="nil"/>
              <w:bottom w:val="single" w:sz="4" w:space="0" w:color="auto"/>
              <w:right w:val="single" w:sz="4" w:space="0" w:color="auto"/>
            </w:tcBorders>
            <w:shd w:val="clear" w:color="auto" w:fill="auto"/>
            <w:noWrap/>
            <w:vAlign w:val="center"/>
            <w:hideMark/>
          </w:tcPr>
          <w:p w14:paraId="7D8CA992"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46.00%</w:t>
            </w:r>
          </w:p>
        </w:tc>
        <w:tc>
          <w:tcPr>
            <w:tcW w:w="1676" w:type="dxa"/>
            <w:tcBorders>
              <w:top w:val="nil"/>
              <w:left w:val="nil"/>
              <w:bottom w:val="single" w:sz="4" w:space="0" w:color="auto"/>
              <w:right w:val="single" w:sz="4" w:space="0" w:color="auto"/>
            </w:tcBorders>
            <w:shd w:val="clear" w:color="auto" w:fill="auto"/>
            <w:noWrap/>
            <w:vAlign w:val="center"/>
            <w:hideMark/>
          </w:tcPr>
          <w:p w14:paraId="18524EB6"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45.02%</w:t>
            </w:r>
          </w:p>
        </w:tc>
      </w:tr>
      <w:tr w:rsidR="003A1246" w:rsidRPr="00353AA3" w14:paraId="0D937FA6" w14:textId="77777777" w:rsidTr="00CB40B8">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77A03732"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Non-Charter</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587271B9"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48.58%</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3981AA16"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53.29%</w:t>
            </w:r>
          </w:p>
        </w:tc>
        <w:tc>
          <w:tcPr>
            <w:tcW w:w="1676" w:type="dxa"/>
            <w:tcBorders>
              <w:top w:val="nil"/>
              <w:left w:val="nil"/>
              <w:bottom w:val="single" w:sz="4" w:space="0" w:color="auto"/>
              <w:right w:val="single" w:sz="4" w:space="0" w:color="auto"/>
            </w:tcBorders>
            <w:shd w:val="clear" w:color="auto" w:fill="auto"/>
            <w:noWrap/>
            <w:vAlign w:val="center"/>
            <w:hideMark/>
          </w:tcPr>
          <w:p w14:paraId="3E66ECB4"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44.63%</w:t>
            </w:r>
          </w:p>
        </w:tc>
      </w:tr>
      <w:tr w:rsidR="0077316C" w:rsidRPr="00353AA3" w14:paraId="6CE98906"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tcPr>
          <w:p w14:paraId="453363EF" w14:textId="7BDB923D" w:rsidR="0077316C" w:rsidRPr="00440EA1" w:rsidRDefault="00440EA1" w:rsidP="00BD64FC">
            <w:pPr>
              <w:keepNext/>
              <w:keepLines/>
              <w:spacing w:after="0" w:line="240" w:lineRule="auto"/>
              <w:rPr>
                <w:rFonts w:eastAsia="Times New Roman"/>
                <w:i/>
                <w:color w:val="000000"/>
                <w:sz w:val="18"/>
              </w:rPr>
            </w:pPr>
            <w:r w:rsidRPr="00440EA1">
              <w:rPr>
                <w:rFonts w:eastAsia="Times New Roman"/>
                <w:i/>
                <w:color w:val="000000"/>
                <w:sz w:val="18"/>
              </w:rPr>
              <w:t>School Level</w:t>
            </w:r>
          </w:p>
        </w:tc>
        <w:tc>
          <w:tcPr>
            <w:tcW w:w="1370" w:type="dxa"/>
            <w:tcBorders>
              <w:top w:val="nil"/>
              <w:left w:val="nil"/>
              <w:bottom w:val="single" w:sz="4" w:space="0" w:color="auto"/>
              <w:right w:val="single" w:sz="4" w:space="0" w:color="auto"/>
            </w:tcBorders>
            <w:shd w:val="clear" w:color="auto" w:fill="auto"/>
            <w:noWrap/>
            <w:vAlign w:val="center"/>
          </w:tcPr>
          <w:p w14:paraId="5F8DAF60" w14:textId="77777777" w:rsidR="0077316C" w:rsidRPr="00353AA3" w:rsidRDefault="0077316C" w:rsidP="00BD64FC">
            <w:pPr>
              <w:keepNext/>
              <w:keepLines/>
              <w:spacing w:after="0" w:line="240" w:lineRule="auto"/>
              <w:jc w:val="right"/>
              <w:rPr>
                <w:rFonts w:eastAsia="Times New Roman"/>
                <w:color w:val="000000"/>
                <w:sz w:val="18"/>
              </w:rPr>
            </w:pPr>
          </w:p>
        </w:tc>
        <w:tc>
          <w:tcPr>
            <w:tcW w:w="1676" w:type="dxa"/>
            <w:tcBorders>
              <w:top w:val="nil"/>
              <w:left w:val="nil"/>
              <w:bottom w:val="single" w:sz="4" w:space="0" w:color="auto"/>
              <w:right w:val="single" w:sz="4" w:space="0" w:color="auto"/>
            </w:tcBorders>
            <w:shd w:val="clear" w:color="auto" w:fill="D99594" w:themeFill="accent2" w:themeFillTint="99"/>
            <w:noWrap/>
            <w:vAlign w:val="center"/>
          </w:tcPr>
          <w:p w14:paraId="598DD0C3" w14:textId="77777777" w:rsidR="0077316C" w:rsidRPr="000642D4" w:rsidRDefault="0077316C" w:rsidP="00BD64FC">
            <w:pPr>
              <w:keepNext/>
              <w:keepLines/>
              <w:spacing w:after="0" w:line="240" w:lineRule="auto"/>
              <w:jc w:val="right"/>
              <w:rPr>
                <w:rFonts w:eastAsia="Times New Roman"/>
                <w:color w:val="000000"/>
                <w:sz w:val="18"/>
                <w:shd w:val="clear" w:color="auto" w:fill="D99594" w:themeFill="accent2" w:themeFillTint="99"/>
              </w:rPr>
            </w:pPr>
          </w:p>
        </w:tc>
        <w:tc>
          <w:tcPr>
            <w:tcW w:w="1676" w:type="dxa"/>
            <w:tcBorders>
              <w:top w:val="nil"/>
              <w:left w:val="nil"/>
              <w:bottom w:val="single" w:sz="4" w:space="0" w:color="auto"/>
              <w:right w:val="single" w:sz="4" w:space="0" w:color="auto"/>
            </w:tcBorders>
            <w:shd w:val="clear" w:color="auto" w:fill="auto"/>
            <w:noWrap/>
            <w:vAlign w:val="center"/>
          </w:tcPr>
          <w:p w14:paraId="308EAF58" w14:textId="77777777" w:rsidR="0077316C" w:rsidRPr="00353AA3" w:rsidRDefault="0077316C" w:rsidP="00BD64FC">
            <w:pPr>
              <w:keepNext/>
              <w:keepLines/>
              <w:spacing w:after="0" w:line="240" w:lineRule="auto"/>
              <w:jc w:val="right"/>
              <w:rPr>
                <w:rFonts w:eastAsia="Times New Roman"/>
                <w:color w:val="000000"/>
                <w:sz w:val="18"/>
              </w:rPr>
            </w:pPr>
          </w:p>
        </w:tc>
      </w:tr>
      <w:tr w:rsidR="003A1246" w:rsidRPr="00353AA3" w14:paraId="3C70EFFA" w14:textId="77777777" w:rsidTr="00CB40B8">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6E94B701"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Primary</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5A3D87F0"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48.09%</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0594F5A8"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52.87%</w:t>
            </w:r>
          </w:p>
        </w:tc>
        <w:tc>
          <w:tcPr>
            <w:tcW w:w="1676" w:type="dxa"/>
            <w:tcBorders>
              <w:top w:val="nil"/>
              <w:left w:val="nil"/>
              <w:bottom w:val="single" w:sz="4" w:space="0" w:color="auto"/>
              <w:right w:val="single" w:sz="4" w:space="0" w:color="auto"/>
            </w:tcBorders>
            <w:shd w:val="clear" w:color="auto" w:fill="auto"/>
            <w:noWrap/>
            <w:vAlign w:val="center"/>
            <w:hideMark/>
          </w:tcPr>
          <w:p w14:paraId="3EA0DDFC"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43.92%</w:t>
            </w:r>
          </w:p>
        </w:tc>
      </w:tr>
      <w:tr w:rsidR="003A1246" w:rsidRPr="00353AA3" w14:paraId="287D66AF"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53B32515"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Middle (school level)</w:t>
            </w:r>
          </w:p>
        </w:tc>
        <w:tc>
          <w:tcPr>
            <w:tcW w:w="1370" w:type="dxa"/>
            <w:tcBorders>
              <w:top w:val="nil"/>
              <w:left w:val="nil"/>
              <w:bottom w:val="single" w:sz="4" w:space="0" w:color="auto"/>
              <w:right w:val="single" w:sz="4" w:space="0" w:color="auto"/>
            </w:tcBorders>
            <w:shd w:val="clear" w:color="auto" w:fill="auto"/>
            <w:noWrap/>
            <w:vAlign w:val="center"/>
            <w:hideMark/>
          </w:tcPr>
          <w:p w14:paraId="1AA2799D"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50.18%</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66202D7C"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55.85%</w:t>
            </w:r>
          </w:p>
        </w:tc>
        <w:tc>
          <w:tcPr>
            <w:tcW w:w="1676" w:type="dxa"/>
            <w:tcBorders>
              <w:top w:val="nil"/>
              <w:left w:val="nil"/>
              <w:bottom w:val="single" w:sz="4" w:space="0" w:color="auto"/>
              <w:right w:val="single" w:sz="4" w:space="0" w:color="auto"/>
            </w:tcBorders>
            <w:shd w:val="clear" w:color="auto" w:fill="auto"/>
            <w:noWrap/>
            <w:vAlign w:val="center"/>
            <w:hideMark/>
          </w:tcPr>
          <w:p w14:paraId="7B7DE9C0"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45.58%</w:t>
            </w:r>
          </w:p>
        </w:tc>
      </w:tr>
      <w:tr w:rsidR="003A1246" w:rsidRPr="00353AA3" w14:paraId="7B16433A" w14:textId="77777777" w:rsidTr="00CB7030">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6DD90BAE"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High (school level)</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3AA216AF"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46.70%</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774D16CE"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49.80%</w:t>
            </w:r>
          </w:p>
        </w:tc>
        <w:tc>
          <w:tcPr>
            <w:tcW w:w="1676" w:type="dxa"/>
            <w:tcBorders>
              <w:top w:val="nil"/>
              <w:left w:val="nil"/>
              <w:bottom w:val="single" w:sz="4" w:space="0" w:color="auto"/>
              <w:right w:val="single" w:sz="4" w:space="0" w:color="auto"/>
            </w:tcBorders>
            <w:shd w:val="clear" w:color="auto" w:fill="auto"/>
            <w:noWrap/>
            <w:vAlign w:val="center"/>
            <w:hideMark/>
          </w:tcPr>
          <w:p w14:paraId="6370D7DE"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44.12%</w:t>
            </w:r>
          </w:p>
        </w:tc>
      </w:tr>
      <w:tr w:rsidR="003A1246" w:rsidRPr="00353AA3" w14:paraId="370AF391"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201DF146"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Combined (school level)</w:t>
            </w:r>
          </w:p>
        </w:tc>
        <w:tc>
          <w:tcPr>
            <w:tcW w:w="1370" w:type="dxa"/>
            <w:tcBorders>
              <w:top w:val="nil"/>
              <w:left w:val="nil"/>
              <w:bottom w:val="single" w:sz="4" w:space="0" w:color="auto"/>
              <w:right w:val="single" w:sz="4" w:space="0" w:color="auto"/>
            </w:tcBorders>
            <w:shd w:val="clear" w:color="auto" w:fill="auto"/>
            <w:noWrap/>
            <w:vAlign w:val="center"/>
            <w:hideMark/>
          </w:tcPr>
          <w:p w14:paraId="37BDBECE"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50.59%</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054DBD68"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54.20%</w:t>
            </w:r>
          </w:p>
        </w:tc>
        <w:tc>
          <w:tcPr>
            <w:tcW w:w="1676" w:type="dxa"/>
            <w:tcBorders>
              <w:top w:val="nil"/>
              <w:left w:val="nil"/>
              <w:bottom w:val="single" w:sz="4" w:space="0" w:color="auto"/>
              <w:right w:val="single" w:sz="4" w:space="0" w:color="auto"/>
            </w:tcBorders>
            <w:shd w:val="clear" w:color="auto" w:fill="auto"/>
            <w:noWrap/>
            <w:vAlign w:val="center"/>
            <w:hideMark/>
          </w:tcPr>
          <w:p w14:paraId="1267E6B9"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47.65%</w:t>
            </w:r>
          </w:p>
        </w:tc>
      </w:tr>
      <w:tr w:rsidR="0077316C" w:rsidRPr="00353AA3" w14:paraId="05C4F03F"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tcPr>
          <w:p w14:paraId="3B072557" w14:textId="46D16C24" w:rsidR="0077316C" w:rsidRPr="00440EA1" w:rsidRDefault="00440EA1" w:rsidP="00BD64FC">
            <w:pPr>
              <w:keepNext/>
              <w:keepLines/>
              <w:spacing w:after="0" w:line="240" w:lineRule="auto"/>
              <w:rPr>
                <w:rFonts w:eastAsia="Times New Roman"/>
                <w:i/>
                <w:color w:val="000000"/>
                <w:sz w:val="18"/>
              </w:rPr>
            </w:pPr>
            <w:r w:rsidRPr="00440EA1">
              <w:rPr>
                <w:rFonts w:eastAsia="Times New Roman"/>
                <w:i/>
                <w:color w:val="000000"/>
                <w:sz w:val="18"/>
              </w:rPr>
              <w:t>School Locale</w:t>
            </w:r>
          </w:p>
        </w:tc>
        <w:tc>
          <w:tcPr>
            <w:tcW w:w="1370" w:type="dxa"/>
            <w:tcBorders>
              <w:top w:val="nil"/>
              <w:left w:val="nil"/>
              <w:bottom w:val="single" w:sz="4" w:space="0" w:color="auto"/>
              <w:right w:val="single" w:sz="4" w:space="0" w:color="auto"/>
            </w:tcBorders>
            <w:shd w:val="clear" w:color="auto" w:fill="auto"/>
            <w:noWrap/>
            <w:vAlign w:val="center"/>
          </w:tcPr>
          <w:p w14:paraId="1C305FB0" w14:textId="77777777" w:rsidR="0077316C" w:rsidRPr="00353AA3" w:rsidRDefault="0077316C" w:rsidP="00BD64FC">
            <w:pPr>
              <w:keepNext/>
              <w:keepLines/>
              <w:spacing w:after="0" w:line="240" w:lineRule="auto"/>
              <w:jc w:val="right"/>
              <w:rPr>
                <w:rFonts w:eastAsia="Times New Roman"/>
                <w:color w:val="000000"/>
                <w:sz w:val="18"/>
              </w:rPr>
            </w:pPr>
          </w:p>
        </w:tc>
        <w:tc>
          <w:tcPr>
            <w:tcW w:w="1676" w:type="dxa"/>
            <w:tcBorders>
              <w:top w:val="nil"/>
              <w:left w:val="nil"/>
              <w:bottom w:val="single" w:sz="4" w:space="0" w:color="auto"/>
              <w:right w:val="single" w:sz="4" w:space="0" w:color="auto"/>
            </w:tcBorders>
            <w:shd w:val="clear" w:color="auto" w:fill="D99594" w:themeFill="accent2" w:themeFillTint="99"/>
            <w:noWrap/>
            <w:vAlign w:val="center"/>
          </w:tcPr>
          <w:p w14:paraId="06D397B1" w14:textId="77777777" w:rsidR="0077316C" w:rsidRPr="000642D4" w:rsidRDefault="0077316C" w:rsidP="00BD64FC">
            <w:pPr>
              <w:keepNext/>
              <w:keepLines/>
              <w:spacing w:after="0" w:line="240" w:lineRule="auto"/>
              <w:jc w:val="right"/>
              <w:rPr>
                <w:rFonts w:eastAsia="Times New Roman"/>
                <w:color w:val="000000"/>
                <w:sz w:val="18"/>
                <w:shd w:val="clear" w:color="auto" w:fill="D99594" w:themeFill="accent2" w:themeFillTint="99"/>
              </w:rPr>
            </w:pPr>
          </w:p>
        </w:tc>
        <w:tc>
          <w:tcPr>
            <w:tcW w:w="1676" w:type="dxa"/>
            <w:tcBorders>
              <w:top w:val="nil"/>
              <w:left w:val="nil"/>
              <w:bottom w:val="single" w:sz="4" w:space="0" w:color="auto"/>
              <w:right w:val="single" w:sz="4" w:space="0" w:color="auto"/>
            </w:tcBorders>
            <w:shd w:val="clear" w:color="auto" w:fill="auto"/>
            <w:noWrap/>
            <w:vAlign w:val="center"/>
          </w:tcPr>
          <w:p w14:paraId="7E6F0FFA" w14:textId="77777777" w:rsidR="0077316C" w:rsidRPr="00353AA3" w:rsidRDefault="0077316C" w:rsidP="00BD64FC">
            <w:pPr>
              <w:keepNext/>
              <w:keepLines/>
              <w:spacing w:after="0" w:line="240" w:lineRule="auto"/>
              <w:jc w:val="right"/>
              <w:rPr>
                <w:rFonts w:eastAsia="Times New Roman"/>
                <w:color w:val="000000"/>
                <w:sz w:val="18"/>
              </w:rPr>
            </w:pPr>
          </w:p>
        </w:tc>
      </w:tr>
      <w:tr w:rsidR="003A1246" w:rsidRPr="00353AA3" w14:paraId="569DB8E7" w14:textId="77777777" w:rsidTr="00CB7030">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3A2EC988"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City</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2FF647AA"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39.18%</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162815C2"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42.94%</w:t>
            </w:r>
          </w:p>
        </w:tc>
        <w:tc>
          <w:tcPr>
            <w:tcW w:w="1676" w:type="dxa"/>
            <w:tcBorders>
              <w:top w:val="nil"/>
              <w:left w:val="nil"/>
              <w:bottom w:val="single" w:sz="4" w:space="0" w:color="auto"/>
              <w:right w:val="single" w:sz="4" w:space="0" w:color="auto"/>
            </w:tcBorders>
            <w:shd w:val="clear" w:color="auto" w:fill="auto"/>
            <w:noWrap/>
            <w:vAlign w:val="center"/>
            <w:hideMark/>
          </w:tcPr>
          <w:p w14:paraId="1AD77484"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36.55%</w:t>
            </w:r>
          </w:p>
        </w:tc>
      </w:tr>
      <w:tr w:rsidR="003A1246" w:rsidRPr="00353AA3" w14:paraId="2F389BEC" w14:textId="77777777" w:rsidTr="00CB40B8">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7BCB64A9"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Suburban</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44E19311"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49.39%</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1CD3CDC4"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53.91%</w:t>
            </w:r>
          </w:p>
        </w:tc>
        <w:tc>
          <w:tcPr>
            <w:tcW w:w="1676" w:type="dxa"/>
            <w:tcBorders>
              <w:top w:val="nil"/>
              <w:left w:val="nil"/>
              <w:bottom w:val="single" w:sz="4" w:space="0" w:color="auto"/>
              <w:right w:val="single" w:sz="4" w:space="0" w:color="auto"/>
            </w:tcBorders>
            <w:shd w:val="clear" w:color="auto" w:fill="auto"/>
            <w:noWrap/>
            <w:vAlign w:val="center"/>
            <w:hideMark/>
          </w:tcPr>
          <w:p w14:paraId="0489A2D6"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44.87%</w:t>
            </w:r>
          </w:p>
        </w:tc>
      </w:tr>
      <w:tr w:rsidR="003A1246" w:rsidRPr="00353AA3" w14:paraId="2830FBF7"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29C27EB5"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Town</w:t>
            </w:r>
          </w:p>
        </w:tc>
        <w:tc>
          <w:tcPr>
            <w:tcW w:w="1370" w:type="dxa"/>
            <w:tcBorders>
              <w:top w:val="nil"/>
              <w:left w:val="nil"/>
              <w:bottom w:val="single" w:sz="4" w:space="0" w:color="auto"/>
              <w:right w:val="single" w:sz="4" w:space="0" w:color="auto"/>
            </w:tcBorders>
            <w:shd w:val="clear" w:color="auto" w:fill="auto"/>
            <w:noWrap/>
            <w:vAlign w:val="center"/>
            <w:hideMark/>
          </w:tcPr>
          <w:p w14:paraId="2583B4A8"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56.69%</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48B64EC6"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60.95%</w:t>
            </w:r>
          </w:p>
        </w:tc>
        <w:tc>
          <w:tcPr>
            <w:tcW w:w="1676" w:type="dxa"/>
            <w:tcBorders>
              <w:top w:val="nil"/>
              <w:left w:val="nil"/>
              <w:bottom w:val="single" w:sz="4" w:space="0" w:color="auto"/>
              <w:right w:val="single" w:sz="4" w:space="0" w:color="auto"/>
            </w:tcBorders>
            <w:shd w:val="clear" w:color="auto" w:fill="auto"/>
            <w:noWrap/>
            <w:vAlign w:val="center"/>
            <w:hideMark/>
          </w:tcPr>
          <w:p w14:paraId="14F8CF2F"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52.91%</w:t>
            </w:r>
          </w:p>
        </w:tc>
      </w:tr>
      <w:tr w:rsidR="003A1246" w:rsidRPr="00353AA3" w14:paraId="4E6B7489"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7A3F0DEA"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Rural</w:t>
            </w:r>
          </w:p>
        </w:tc>
        <w:tc>
          <w:tcPr>
            <w:tcW w:w="1370" w:type="dxa"/>
            <w:tcBorders>
              <w:top w:val="nil"/>
              <w:left w:val="nil"/>
              <w:bottom w:val="single" w:sz="4" w:space="0" w:color="auto"/>
              <w:right w:val="single" w:sz="4" w:space="0" w:color="auto"/>
            </w:tcBorders>
            <w:shd w:val="clear" w:color="auto" w:fill="auto"/>
            <w:noWrap/>
            <w:vAlign w:val="center"/>
            <w:hideMark/>
          </w:tcPr>
          <w:p w14:paraId="6005CC62"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55.70%</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597EA78A"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58.68%</w:t>
            </w:r>
          </w:p>
        </w:tc>
        <w:tc>
          <w:tcPr>
            <w:tcW w:w="1676" w:type="dxa"/>
            <w:tcBorders>
              <w:top w:val="nil"/>
              <w:left w:val="nil"/>
              <w:bottom w:val="single" w:sz="4" w:space="0" w:color="auto"/>
              <w:right w:val="single" w:sz="4" w:space="0" w:color="auto"/>
            </w:tcBorders>
            <w:shd w:val="clear" w:color="auto" w:fill="auto"/>
            <w:noWrap/>
            <w:vAlign w:val="center"/>
            <w:hideMark/>
          </w:tcPr>
          <w:p w14:paraId="6AEE2E19"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53.12%</w:t>
            </w:r>
          </w:p>
        </w:tc>
      </w:tr>
      <w:tr w:rsidR="0077316C" w:rsidRPr="00353AA3" w14:paraId="734054EF"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tcPr>
          <w:p w14:paraId="5FC0B5CB" w14:textId="0EDF18F9" w:rsidR="0077316C" w:rsidRPr="00440EA1" w:rsidRDefault="00440EA1" w:rsidP="00BD64FC">
            <w:pPr>
              <w:keepNext/>
              <w:keepLines/>
              <w:spacing w:after="0" w:line="240" w:lineRule="auto"/>
              <w:rPr>
                <w:rFonts w:eastAsia="Times New Roman"/>
                <w:i/>
                <w:color w:val="000000"/>
                <w:sz w:val="18"/>
              </w:rPr>
            </w:pPr>
            <w:r w:rsidRPr="00440EA1">
              <w:rPr>
                <w:rFonts w:eastAsia="Times New Roman"/>
                <w:i/>
                <w:color w:val="000000"/>
                <w:sz w:val="18"/>
              </w:rPr>
              <w:t>School Size (Enrollment)</w:t>
            </w:r>
          </w:p>
        </w:tc>
        <w:tc>
          <w:tcPr>
            <w:tcW w:w="1370" w:type="dxa"/>
            <w:tcBorders>
              <w:top w:val="nil"/>
              <w:left w:val="nil"/>
              <w:bottom w:val="single" w:sz="4" w:space="0" w:color="auto"/>
              <w:right w:val="single" w:sz="4" w:space="0" w:color="auto"/>
            </w:tcBorders>
            <w:shd w:val="clear" w:color="auto" w:fill="auto"/>
            <w:noWrap/>
            <w:vAlign w:val="center"/>
          </w:tcPr>
          <w:p w14:paraId="7F0B0FA6" w14:textId="77777777" w:rsidR="0077316C" w:rsidRPr="00353AA3" w:rsidRDefault="0077316C" w:rsidP="00BD64FC">
            <w:pPr>
              <w:keepNext/>
              <w:keepLines/>
              <w:spacing w:after="0" w:line="240" w:lineRule="auto"/>
              <w:jc w:val="right"/>
              <w:rPr>
                <w:rFonts w:eastAsia="Times New Roman"/>
                <w:color w:val="000000"/>
                <w:sz w:val="18"/>
              </w:rPr>
            </w:pPr>
          </w:p>
        </w:tc>
        <w:tc>
          <w:tcPr>
            <w:tcW w:w="1676" w:type="dxa"/>
            <w:tcBorders>
              <w:top w:val="nil"/>
              <w:left w:val="nil"/>
              <w:bottom w:val="single" w:sz="4" w:space="0" w:color="auto"/>
              <w:right w:val="single" w:sz="4" w:space="0" w:color="auto"/>
            </w:tcBorders>
            <w:shd w:val="clear" w:color="auto" w:fill="auto"/>
            <w:noWrap/>
            <w:vAlign w:val="center"/>
          </w:tcPr>
          <w:p w14:paraId="66644A83" w14:textId="77777777" w:rsidR="0077316C" w:rsidRPr="00353AA3" w:rsidRDefault="0077316C" w:rsidP="00BD64FC">
            <w:pPr>
              <w:keepNext/>
              <w:keepLines/>
              <w:spacing w:after="0" w:line="240" w:lineRule="auto"/>
              <w:jc w:val="right"/>
              <w:rPr>
                <w:rFonts w:eastAsia="Times New Roman"/>
                <w:color w:val="000000"/>
                <w:sz w:val="18"/>
              </w:rPr>
            </w:pPr>
          </w:p>
        </w:tc>
        <w:tc>
          <w:tcPr>
            <w:tcW w:w="1676" w:type="dxa"/>
            <w:tcBorders>
              <w:top w:val="nil"/>
              <w:left w:val="nil"/>
              <w:bottom w:val="single" w:sz="4" w:space="0" w:color="auto"/>
              <w:right w:val="single" w:sz="4" w:space="0" w:color="auto"/>
            </w:tcBorders>
            <w:shd w:val="clear" w:color="auto" w:fill="auto"/>
            <w:noWrap/>
            <w:vAlign w:val="center"/>
          </w:tcPr>
          <w:p w14:paraId="308B837E" w14:textId="77777777" w:rsidR="0077316C" w:rsidRPr="00353AA3" w:rsidRDefault="0077316C" w:rsidP="00BD64FC">
            <w:pPr>
              <w:keepNext/>
              <w:keepLines/>
              <w:spacing w:after="0" w:line="240" w:lineRule="auto"/>
              <w:jc w:val="right"/>
              <w:rPr>
                <w:rFonts w:eastAsia="Times New Roman"/>
                <w:color w:val="000000"/>
                <w:sz w:val="18"/>
              </w:rPr>
            </w:pPr>
          </w:p>
        </w:tc>
      </w:tr>
      <w:tr w:rsidR="003A1246" w:rsidRPr="00353AA3" w14:paraId="54395FE4" w14:textId="77777777" w:rsidTr="00CB40B8">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0B628490"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Enrollment: less than 100</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5D844527" w14:textId="77777777" w:rsidR="003A1246" w:rsidRPr="00353AA3" w:rsidRDefault="003A1246" w:rsidP="00BD64FC">
            <w:pPr>
              <w:keepNext/>
              <w:keepLines/>
              <w:spacing w:after="0" w:line="240" w:lineRule="auto"/>
              <w:jc w:val="right"/>
              <w:rPr>
                <w:rFonts w:eastAsia="Times New Roman"/>
                <w:color w:val="000000"/>
                <w:sz w:val="18"/>
              </w:rPr>
            </w:pPr>
            <w:r w:rsidRPr="00CB40B8">
              <w:rPr>
                <w:rFonts w:eastAsia="Times New Roman"/>
                <w:color w:val="000000"/>
                <w:sz w:val="18"/>
                <w:shd w:val="clear" w:color="auto" w:fill="B8CCE4" w:themeFill="accent1" w:themeFillTint="66"/>
              </w:rPr>
              <w:t>48.99</w:t>
            </w:r>
            <w:r w:rsidRPr="00353AA3">
              <w:rPr>
                <w:rFonts w:eastAsia="Times New Roman"/>
                <w:color w:val="000000"/>
                <w:sz w:val="18"/>
              </w:rPr>
              <w:t>%</w:t>
            </w:r>
          </w:p>
        </w:tc>
        <w:tc>
          <w:tcPr>
            <w:tcW w:w="1676" w:type="dxa"/>
            <w:tcBorders>
              <w:top w:val="nil"/>
              <w:left w:val="nil"/>
              <w:bottom w:val="single" w:sz="4" w:space="0" w:color="auto"/>
              <w:right w:val="single" w:sz="4" w:space="0" w:color="auto"/>
            </w:tcBorders>
            <w:shd w:val="clear" w:color="auto" w:fill="auto"/>
            <w:noWrap/>
            <w:vAlign w:val="center"/>
            <w:hideMark/>
          </w:tcPr>
          <w:p w14:paraId="365DD5E4"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48.99%</w:t>
            </w:r>
          </w:p>
        </w:tc>
        <w:tc>
          <w:tcPr>
            <w:tcW w:w="1676" w:type="dxa"/>
            <w:tcBorders>
              <w:top w:val="nil"/>
              <w:left w:val="nil"/>
              <w:bottom w:val="single" w:sz="4" w:space="0" w:color="auto"/>
              <w:right w:val="single" w:sz="4" w:space="0" w:color="auto"/>
            </w:tcBorders>
            <w:shd w:val="clear" w:color="auto" w:fill="auto"/>
            <w:noWrap/>
            <w:vAlign w:val="center"/>
            <w:hideMark/>
          </w:tcPr>
          <w:p w14:paraId="48E354CF"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48.99%</w:t>
            </w:r>
          </w:p>
        </w:tc>
      </w:tr>
      <w:tr w:rsidR="003A1246" w:rsidRPr="00353AA3" w14:paraId="753D0330"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38208DBD"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Enrollment: 100-199</w:t>
            </w:r>
          </w:p>
        </w:tc>
        <w:tc>
          <w:tcPr>
            <w:tcW w:w="1370" w:type="dxa"/>
            <w:tcBorders>
              <w:top w:val="nil"/>
              <w:left w:val="nil"/>
              <w:bottom w:val="single" w:sz="4" w:space="0" w:color="auto"/>
              <w:right w:val="single" w:sz="4" w:space="0" w:color="auto"/>
            </w:tcBorders>
            <w:shd w:val="clear" w:color="auto" w:fill="auto"/>
            <w:noWrap/>
            <w:vAlign w:val="center"/>
            <w:hideMark/>
          </w:tcPr>
          <w:p w14:paraId="53EA5251"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53.21%</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5F64D247"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59.59%</w:t>
            </w:r>
          </w:p>
        </w:tc>
        <w:tc>
          <w:tcPr>
            <w:tcW w:w="1676" w:type="dxa"/>
            <w:tcBorders>
              <w:top w:val="nil"/>
              <w:left w:val="nil"/>
              <w:bottom w:val="single" w:sz="4" w:space="0" w:color="auto"/>
              <w:right w:val="single" w:sz="4" w:space="0" w:color="auto"/>
            </w:tcBorders>
            <w:shd w:val="clear" w:color="auto" w:fill="auto"/>
            <w:noWrap/>
            <w:vAlign w:val="center"/>
            <w:hideMark/>
          </w:tcPr>
          <w:p w14:paraId="39E3DA5D"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47.82%</w:t>
            </w:r>
          </w:p>
        </w:tc>
      </w:tr>
      <w:tr w:rsidR="003A1246" w:rsidRPr="00353AA3" w14:paraId="69FF1DF5"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40B04DBC"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Enrollment: 200-499</w:t>
            </w:r>
          </w:p>
        </w:tc>
        <w:tc>
          <w:tcPr>
            <w:tcW w:w="1370" w:type="dxa"/>
            <w:tcBorders>
              <w:top w:val="nil"/>
              <w:left w:val="nil"/>
              <w:bottom w:val="single" w:sz="4" w:space="0" w:color="auto"/>
              <w:right w:val="single" w:sz="4" w:space="0" w:color="auto"/>
            </w:tcBorders>
            <w:shd w:val="clear" w:color="auto" w:fill="auto"/>
            <w:noWrap/>
            <w:vAlign w:val="center"/>
            <w:hideMark/>
          </w:tcPr>
          <w:p w14:paraId="46A30488"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51.10%</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76F1AA12"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55.91%</w:t>
            </w:r>
          </w:p>
        </w:tc>
        <w:tc>
          <w:tcPr>
            <w:tcW w:w="1676" w:type="dxa"/>
            <w:tcBorders>
              <w:top w:val="nil"/>
              <w:left w:val="nil"/>
              <w:bottom w:val="single" w:sz="4" w:space="0" w:color="auto"/>
              <w:right w:val="single" w:sz="4" w:space="0" w:color="auto"/>
            </w:tcBorders>
            <w:shd w:val="clear" w:color="auto" w:fill="auto"/>
            <w:noWrap/>
            <w:vAlign w:val="center"/>
            <w:hideMark/>
          </w:tcPr>
          <w:p w14:paraId="30167E7C"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46.88%</w:t>
            </w:r>
          </w:p>
        </w:tc>
      </w:tr>
      <w:tr w:rsidR="003A1246" w:rsidRPr="00353AA3" w14:paraId="62CB0FAD" w14:textId="77777777" w:rsidTr="00CB40B8">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7B2D21B5"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Enrollment: 500-749</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0D731791"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47.18%</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135BBE11"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51.75%</w:t>
            </w:r>
          </w:p>
        </w:tc>
        <w:tc>
          <w:tcPr>
            <w:tcW w:w="1676" w:type="dxa"/>
            <w:tcBorders>
              <w:top w:val="nil"/>
              <w:left w:val="nil"/>
              <w:bottom w:val="single" w:sz="4" w:space="0" w:color="auto"/>
              <w:right w:val="single" w:sz="4" w:space="0" w:color="auto"/>
            </w:tcBorders>
            <w:shd w:val="clear" w:color="auto" w:fill="auto"/>
            <w:noWrap/>
            <w:vAlign w:val="center"/>
            <w:hideMark/>
          </w:tcPr>
          <w:p w14:paraId="419741FB"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43.30%</w:t>
            </w:r>
          </w:p>
        </w:tc>
      </w:tr>
      <w:tr w:rsidR="003A1246" w:rsidRPr="00353AA3" w14:paraId="30FABE10" w14:textId="77777777" w:rsidTr="00CB40B8">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2325435B"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Enrollment: 750-999</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6795B5ED"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49.71%</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757123F4"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52.42%</w:t>
            </w:r>
          </w:p>
        </w:tc>
        <w:tc>
          <w:tcPr>
            <w:tcW w:w="1676" w:type="dxa"/>
            <w:tcBorders>
              <w:top w:val="nil"/>
              <w:left w:val="nil"/>
              <w:bottom w:val="single" w:sz="4" w:space="0" w:color="auto"/>
              <w:right w:val="single" w:sz="4" w:space="0" w:color="auto"/>
            </w:tcBorders>
            <w:shd w:val="clear" w:color="auto" w:fill="auto"/>
            <w:noWrap/>
            <w:vAlign w:val="center"/>
            <w:hideMark/>
          </w:tcPr>
          <w:p w14:paraId="107D4633"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47.34%</w:t>
            </w:r>
          </w:p>
        </w:tc>
      </w:tr>
      <w:tr w:rsidR="003A1246" w:rsidRPr="00353AA3" w14:paraId="3A444BD9" w14:textId="77777777" w:rsidTr="00CB7030">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1E5A33BF"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Enrollment: 1000 or more</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057FE841"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43.26%</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16FDAC21"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47.08%</w:t>
            </w:r>
          </w:p>
        </w:tc>
        <w:tc>
          <w:tcPr>
            <w:tcW w:w="1676" w:type="dxa"/>
            <w:tcBorders>
              <w:top w:val="nil"/>
              <w:left w:val="nil"/>
              <w:bottom w:val="single" w:sz="4" w:space="0" w:color="auto"/>
              <w:right w:val="single" w:sz="4" w:space="0" w:color="auto"/>
            </w:tcBorders>
            <w:shd w:val="clear" w:color="auto" w:fill="auto"/>
            <w:noWrap/>
            <w:vAlign w:val="center"/>
            <w:hideMark/>
          </w:tcPr>
          <w:p w14:paraId="1CC12F67"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40.30%</w:t>
            </w:r>
          </w:p>
        </w:tc>
      </w:tr>
      <w:tr w:rsidR="0077316C" w:rsidRPr="00353AA3" w14:paraId="3FC05312"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tcPr>
          <w:p w14:paraId="17F826A8" w14:textId="2DA397C9" w:rsidR="0077316C" w:rsidRPr="00440EA1" w:rsidRDefault="00440EA1" w:rsidP="00BD64FC">
            <w:pPr>
              <w:keepNext/>
              <w:keepLines/>
              <w:spacing w:after="0" w:line="240" w:lineRule="auto"/>
              <w:rPr>
                <w:rFonts w:eastAsia="Times New Roman"/>
                <w:i/>
                <w:color w:val="000000"/>
                <w:sz w:val="18"/>
              </w:rPr>
            </w:pPr>
            <w:r w:rsidRPr="00440EA1">
              <w:rPr>
                <w:rFonts w:eastAsia="Times New Roman"/>
                <w:i/>
                <w:color w:val="000000"/>
                <w:sz w:val="18"/>
              </w:rPr>
              <w:t>Free/Reduce Price Lunch Participation</w:t>
            </w:r>
          </w:p>
        </w:tc>
        <w:tc>
          <w:tcPr>
            <w:tcW w:w="1370" w:type="dxa"/>
            <w:tcBorders>
              <w:top w:val="nil"/>
              <w:left w:val="nil"/>
              <w:bottom w:val="single" w:sz="4" w:space="0" w:color="auto"/>
              <w:right w:val="single" w:sz="4" w:space="0" w:color="auto"/>
            </w:tcBorders>
            <w:shd w:val="clear" w:color="auto" w:fill="auto"/>
            <w:noWrap/>
            <w:vAlign w:val="center"/>
          </w:tcPr>
          <w:p w14:paraId="25EFC5BD" w14:textId="77777777" w:rsidR="0077316C" w:rsidRPr="00353AA3" w:rsidRDefault="0077316C" w:rsidP="00BD64FC">
            <w:pPr>
              <w:keepNext/>
              <w:keepLines/>
              <w:spacing w:after="0" w:line="240" w:lineRule="auto"/>
              <w:jc w:val="right"/>
              <w:rPr>
                <w:rFonts w:eastAsia="Times New Roman"/>
                <w:color w:val="000000"/>
                <w:sz w:val="18"/>
              </w:rPr>
            </w:pPr>
          </w:p>
        </w:tc>
        <w:tc>
          <w:tcPr>
            <w:tcW w:w="1676" w:type="dxa"/>
            <w:tcBorders>
              <w:top w:val="nil"/>
              <w:left w:val="nil"/>
              <w:bottom w:val="single" w:sz="4" w:space="0" w:color="auto"/>
              <w:right w:val="single" w:sz="4" w:space="0" w:color="auto"/>
            </w:tcBorders>
            <w:shd w:val="clear" w:color="auto" w:fill="auto"/>
            <w:noWrap/>
            <w:vAlign w:val="center"/>
          </w:tcPr>
          <w:p w14:paraId="7A819ACE" w14:textId="77777777" w:rsidR="0077316C" w:rsidRPr="00353AA3" w:rsidRDefault="0077316C" w:rsidP="00BD64FC">
            <w:pPr>
              <w:keepNext/>
              <w:keepLines/>
              <w:spacing w:after="0" w:line="240" w:lineRule="auto"/>
              <w:jc w:val="right"/>
              <w:rPr>
                <w:rFonts w:eastAsia="Times New Roman"/>
                <w:color w:val="000000"/>
                <w:sz w:val="18"/>
              </w:rPr>
            </w:pPr>
          </w:p>
        </w:tc>
        <w:tc>
          <w:tcPr>
            <w:tcW w:w="1676" w:type="dxa"/>
            <w:tcBorders>
              <w:top w:val="nil"/>
              <w:left w:val="nil"/>
              <w:bottom w:val="single" w:sz="4" w:space="0" w:color="auto"/>
              <w:right w:val="single" w:sz="4" w:space="0" w:color="auto"/>
            </w:tcBorders>
            <w:shd w:val="clear" w:color="auto" w:fill="auto"/>
            <w:noWrap/>
            <w:vAlign w:val="center"/>
          </w:tcPr>
          <w:p w14:paraId="591CC50C" w14:textId="77777777" w:rsidR="0077316C" w:rsidRPr="00353AA3" w:rsidRDefault="0077316C" w:rsidP="00BD64FC">
            <w:pPr>
              <w:keepNext/>
              <w:keepLines/>
              <w:spacing w:after="0" w:line="240" w:lineRule="auto"/>
              <w:jc w:val="right"/>
              <w:rPr>
                <w:rFonts w:eastAsia="Times New Roman"/>
                <w:color w:val="000000"/>
                <w:sz w:val="18"/>
              </w:rPr>
            </w:pPr>
          </w:p>
        </w:tc>
      </w:tr>
      <w:tr w:rsidR="003A1246" w:rsidRPr="00353AA3" w14:paraId="09C69999"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691E9DF8"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Free/Reduced Price Lunch: 0-34%</w:t>
            </w:r>
          </w:p>
        </w:tc>
        <w:tc>
          <w:tcPr>
            <w:tcW w:w="1370" w:type="dxa"/>
            <w:tcBorders>
              <w:top w:val="nil"/>
              <w:left w:val="nil"/>
              <w:bottom w:val="single" w:sz="4" w:space="0" w:color="auto"/>
              <w:right w:val="single" w:sz="4" w:space="0" w:color="auto"/>
            </w:tcBorders>
            <w:shd w:val="clear" w:color="auto" w:fill="auto"/>
            <w:noWrap/>
            <w:vAlign w:val="center"/>
            <w:hideMark/>
          </w:tcPr>
          <w:p w14:paraId="569F20A3"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52.38%</w:t>
            </w:r>
          </w:p>
        </w:tc>
        <w:tc>
          <w:tcPr>
            <w:tcW w:w="1676" w:type="dxa"/>
            <w:tcBorders>
              <w:top w:val="nil"/>
              <w:left w:val="nil"/>
              <w:bottom w:val="single" w:sz="4" w:space="0" w:color="auto"/>
              <w:right w:val="single" w:sz="4" w:space="0" w:color="auto"/>
            </w:tcBorders>
            <w:shd w:val="clear" w:color="auto" w:fill="auto"/>
            <w:noWrap/>
            <w:vAlign w:val="center"/>
            <w:hideMark/>
          </w:tcPr>
          <w:p w14:paraId="31B3FC7C"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53.74%</w:t>
            </w:r>
          </w:p>
        </w:tc>
        <w:tc>
          <w:tcPr>
            <w:tcW w:w="1676" w:type="dxa"/>
            <w:tcBorders>
              <w:top w:val="nil"/>
              <w:left w:val="nil"/>
              <w:bottom w:val="single" w:sz="4" w:space="0" w:color="auto"/>
              <w:right w:val="single" w:sz="4" w:space="0" w:color="auto"/>
            </w:tcBorders>
            <w:shd w:val="clear" w:color="auto" w:fill="auto"/>
            <w:noWrap/>
            <w:vAlign w:val="center"/>
            <w:hideMark/>
          </w:tcPr>
          <w:p w14:paraId="60E9F0C5"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51.07%</w:t>
            </w:r>
          </w:p>
        </w:tc>
      </w:tr>
      <w:tr w:rsidR="003A1246" w:rsidRPr="00353AA3" w14:paraId="1282A3A4"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22FF48DE"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Free/Reduced Price Lunch: 35-49%</w:t>
            </w:r>
          </w:p>
        </w:tc>
        <w:tc>
          <w:tcPr>
            <w:tcW w:w="1370" w:type="dxa"/>
            <w:tcBorders>
              <w:top w:val="nil"/>
              <w:left w:val="nil"/>
              <w:bottom w:val="single" w:sz="4" w:space="0" w:color="auto"/>
              <w:right w:val="single" w:sz="4" w:space="0" w:color="auto"/>
            </w:tcBorders>
            <w:shd w:val="clear" w:color="auto" w:fill="auto"/>
            <w:noWrap/>
            <w:vAlign w:val="center"/>
            <w:hideMark/>
          </w:tcPr>
          <w:p w14:paraId="369B2EA9"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52.07%</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7A59E434"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57.44%</w:t>
            </w:r>
          </w:p>
        </w:tc>
        <w:tc>
          <w:tcPr>
            <w:tcW w:w="1676" w:type="dxa"/>
            <w:tcBorders>
              <w:top w:val="nil"/>
              <w:left w:val="nil"/>
              <w:bottom w:val="single" w:sz="4" w:space="0" w:color="auto"/>
              <w:right w:val="single" w:sz="4" w:space="0" w:color="auto"/>
            </w:tcBorders>
            <w:shd w:val="clear" w:color="auto" w:fill="auto"/>
            <w:noWrap/>
            <w:vAlign w:val="center"/>
            <w:hideMark/>
          </w:tcPr>
          <w:p w14:paraId="6594A4C9"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47.59%</w:t>
            </w:r>
          </w:p>
        </w:tc>
      </w:tr>
      <w:tr w:rsidR="003A1246" w:rsidRPr="00353AA3" w14:paraId="72A1603B" w14:textId="77777777" w:rsidTr="00CB40B8">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38CC7E48"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Free/Reduced Price Lunch: 50-74%</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1815505F"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48.07%</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04B9198B"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52.59%</w:t>
            </w:r>
          </w:p>
        </w:tc>
        <w:tc>
          <w:tcPr>
            <w:tcW w:w="1676" w:type="dxa"/>
            <w:tcBorders>
              <w:top w:val="nil"/>
              <w:left w:val="nil"/>
              <w:bottom w:val="single" w:sz="4" w:space="0" w:color="auto"/>
              <w:right w:val="single" w:sz="4" w:space="0" w:color="auto"/>
            </w:tcBorders>
            <w:shd w:val="clear" w:color="auto" w:fill="auto"/>
            <w:noWrap/>
            <w:vAlign w:val="center"/>
            <w:hideMark/>
          </w:tcPr>
          <w:p w14:paraId="4C15927B"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44.50%</w:t>
            </w:r>
          </w:p>
        </w:tc>
      </w:tr>
      <w:tr w:rsidR="003A1246" w:rsidRPr="00353AA3" w14:paraId="56C9E724" w14:textId="77777777" w:rsidTr="00CB7030">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33F5B8B0"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Free/Reduced Price Lunch: 75% or more</w:t>
            </w:r>
          </w:p>
        </w:tc>
        <w:tc>
          <w:tcPr>
            <w:tcW w:w="1370" w:type="dxa"/>
            <w:tcBorders>
              <w:top w:val="nil"/>
              <w:left w:val="nil"/>
              <w:bottom w:val="single" w:sz="4" w:space="0" w:color="auto"/>
              <w:right w:val="single" w:sz="4" w:space="0" w:color="auto"/>
            </w:tcBorders>
            <w:shd w:val="clear" w:color="auto" w:fill="B8CCE4" w:themeFill="accent1" w:themeFillTint="66"/>
            <w:noWrap/>
            <w:vAlign w:val="center"/>
            <w:hideMark/>
          </w:tcPr>
          <w:p w14:paraId="74BAF826"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40.19%</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43CEBD32"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46.39%</w:t>
            </w:r>
          </w:p>
        </w:tc>
        <w:tc>
          <w:tcPr>
            <w:tcW w:w="1676" w:type="dxa"/>
            <w:tcBorders>
              <w:top w:val="nil"/>
              <w:left w:val="nil"/>
              <w:bottom w:val="single" w:sz="4" w:space="0" w:color="auto"/>
              <w:right w:val="single" w:sz="4" w:space="0" w:color="auto"/>
            </w:tcBorders>
            <w:shd w:val="clear" w:color="auto" w:fill="auto"/>
            <w:noWrap/>
            <w:vAlign w:val="center"/>
            <w:hideMark/>
          </w:tcPr>
          <w:p w14:paraId="6D3CF683"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35.26%</w:t>
            </w:r>
          </w:p>
        </w:tc>
      </w:tr>
      <w:tr w:rsidR="003A1246" w:rsidRPr="00353AA3" w14:paraId="69C4DBB8" w14:textId="77777777" w:rsidTr="00BD64FC">
        <w:trPr>
          <w:trHeight w:val="144"/>
        </w:trPr>
        <w:tc>
          <w:tcPr>
            <w:tcW w:w="4710" w:type="dxa"/>
            <w:tcBorders>
              <w:top w:val="nil"/>
              <w:left w:val="single" w:sz="4" w:space="0" w:color="auto"/>
              <w:bottom w:val="single" w:sz="4" w:space="0" w:color="auto"/>
              <w:right w:val="single" w:sz="4" w:space="0" w:color="auto"/>
            </w:tcBorders>
            <w:shd w:val="clear" w:color="auto" w:fill="auto"/>
            <w:noWrap/>
            <w:vAlign w:val="center"/>
            <w:hideMark/>
          </w:tcPr>
          <w:p w14:paraId="1AB52AF8" w14:textId="77777777" w:rsidR="003A1246" w:rsidRPr="00353AA3" w:rsidRDefault="003A1246" w:rsidP="0077316C">
            <w:pPr>
              <w:keepNext/>
              <w:keepLines/>
              <w:spacing w:after="0" w:line="240" w:lineRule="auto"/>
              <w:ind w:left="180"/>
              <w:rPr>
                <w:rFonts w:eastAsia="Times New Roman"/>
                <w:color w:val="000000"/>
                <w:sz w:val="18"/>
              </w:rPr>
            </w:pPr>
            <w:r w:rsidRPr="00353AA3">
              <w:rPr>
                <w:rFonts w:eastAsia="Times New Roman"/>
                <w:color w:val="000000"/>
                <w:sz w:val="18"/>
              </w:rPr>
              <w:t>Free/Reduced Price Lunch: DNP</w:t>
            </w:r>
          </w:p>
        </w:tc>
        <w:tc>
          <w:tcPr>
            <w:tcW w:w="1370" w:type="dxa"/>
            <w:tcBorders>
              <w:top w:val="nil"/>
              <w:left w:val="nil"/>
              <w:bottom w:val="single" w:sz="4" w:space="0" w:color="auto"/>
              <w:right w:val="single" w:sz="4" w:space="0" w:color="auto"/>
            </w:tcBorders>
            <w:shd w:val="clear" w:color="auto" w:fill="auto"/>
            <w:noWrap/>
            <w:vAlign w:val="center"/>
            <w:hideMark/>
          </w:tcPr>
          <w:p w14:paraId="333E2C3C"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51.71%</w:t>
            </w:r>
          </w:p>
        </w:tc>
        <w:tc>
          <w:tcPr>
            <w:tcW w:w="1676" w:type="dxa"/>
            <w:tcBorders>
              <w:top w:val="nil"/>
              <w:left w:val="nil"/>
              <w:bottom w:val="single" w:sz="4" w:space="0" w:color="auto"/>
              <w:right w:val="single" w:sz="4" w:space="0" w:color="auto"/>
            </w:tcBorders>
            <w:shd w:val="clear" w:color="auto" w:fill="D99594" w:themeFill="accent2" w:themeFillTint="99"/>
            <w:noWrap/>
            <w:vAlign w:val="center"/>
            <w:hideMark/>
          </w:tcPr>
          <w:p w14:paraId="7333BFDA" w14:textId="77777777" w:rsidR="003A1246" w:rsidRPr="000642D4" w:rsidRDefault="003A1246" w:rsidP="00BD64FC">
            <w:pPr>
              <w:keepNext/>
              <w:keepLines/>
              <w:spacing w:after="0" w:line="240" w:lineRule="auto"/>
              <w:jc w:val="right"/>
              <w:rPr>
                <w:rFonts w:eastAsia="Times New Roman"/>
                <w:color w:val="000000"/>
                <w:sz w:val="18"/>
                <w:shd w:val="clear" w:color="auto" w:fill="D99594" w:themeFill="accent2" w:themeFillTint="99"/>
              </w:rPr>
            </w:pPr>
            <w:r w:rsidRPr="000642D4">
              <w:rPr>
                <w:rFonts w:eastAsia="Times New Roman"/>
                <w:color w:val="000000"/>
                <w:sz w:val="18"/>
                <w:shd w:val="clear" w:color="auto" w:fill="D99594" w:themeFill="accent2" w:themeFillTint="99"/>
              </w:rPr>
              <w:t>61.81%</w:t>
            </w:r>
          </w:p>
        </w:tc>
        <w:tc>
          <w:tcPr>
            <w:tcW w:w="1676" w:type="dxa"/>
            <w:tcBorders>
              <w:top w:val="nil"/>
              <w:left w:val="nil"/>
              <w:bottom w:val="single" w:sz="4" w:space="0" w:color="auto"/>
              <w:right w:val="single" w:sz="4" w:space="0" w:color="auto"/>
            </w:tcBorders>
            <w:shd w:val="clear" w:color="auto" w:fill="auto"/>
            <w:noWrap/>
            <w:vAlign w:val="center"/>
            <w:hideMark/>
          </w:tcPr>
          <w:p w14:paraId="23540808" w14:textId="77777777" w:rsidR="003A1246" w:rsidRPr="00353AA3" w:rsidRDefault="003A1246" w:rsidP="00BD64FC">
            <w:pPr>
              <w:keepNext/>
              <w:keepLines/>
              <w:spacing w:after="0" w:line="240" w:lineRule="auto"/>
              <w:jc w:val="right"/>
              <w:rPr>
                <w:rFonts w:eastAsia="Times New Roman"/>
                <w:color w:val="000000"/>
                <w:sz w:val="18"/>
              </w:rPr>
            </w:pPr>
            <w:r w:rsidRPr="00353AA3">
              <w:rPr>
                <w:rFonts w:eastAsia="Times New Roman"/>
                <w:color w:val="000000"/>
                <w:sz w:val="18"/>
              </w:rPr>
              <w:t>44.66%</w:t>
            </w:r>
          </w:p>
        </w:tc>
      </w:tr>
    </w:tbl>
    <w:p w14:paraId="402E0041" w14:textId="3EA1F6D7" w:rsidR="003A1246" w:rsidRPr="009A414E" w:rsidRDefault="003A1246" w:rsidP="0077316C">
      <w:pPr>
        <w:spacing w:after="0" w:line="240" w:lineRule="auto"/>
        <w:ind w:left="90" w:hanging="90"/>
        <w:rPr>
          <w:sz w:val="16"/>
        </w:rPr>
      </w:pPr>
      <w:r w:rsidRPr="0077316C">
        <w:rPr>
          <w:sz w:val="16"/>
          <w:vertAlign w:val="superscript"/>
        </w:rPr>
        <w:t>1</w:t>
      </w:r>
      <w:r>
        <w:rPr>
          <w:sz w:val="16"/>
        </w:rPr>
        <w:t xml:space="preserve"> </w:t>
      </w:r>
      <w:r w:rsidR="00CB7030" w:rsidRPr="00CB7030">
        <w:rPr>
          <w:sz w:val="16"/>
        </w:rPr>
        <w:t xml:space="preserve">Cells in blue indicate the domains with </w:t>
      </w:r>
      <w:r w:rsidR="00CB40B8">
        <w:rPr>
          <w:sz w:val="16"/>
        </w:rPr>
        <w:t xml:space="preserve">a </w:t>
      </w:r>
      <w:r w:rsidR="00CB7030" w:rsidRPr="00CB7030">
        <w:rPr>
          <w:sz w:val="16"/>
        </w:rPr>
        <w:t>response rate</w:t>
      </w:r>
      <w:r w:rsidR="00CB40B8">
        <w:rPr>
          <w:sz w:val="16"/>
        </w:rPr>
        <w:t xml:space="preserve"> below 50%.</w:t>
      </w:r>
      <w:r w:rsidR="00011E6F">
        <w:rPr>
          <w:sz w:val="16"/>
        </w:rPr>
        <w:t xml:space="preserve"> </w:t>
      </w:r>
      <w:r w:rsidR="00CB40B8">
        <w:rPr>
          <w:sz w:val="16"/>
        </w:rPr>
        <w:t>Cells</w:t>
      </w:r>
      <w:r w:rsidR="00CB7030" w:rsidRPr="00CB7030">
        <w:rPr>
          <w:sz w:val="16"/>
        </w:rPr>
        <w:t xml:space="preserve"> highlighted in red indicate that the response rate for the teacher incentive group is significantly higher than the response rate for the non-incentive group with 95% confidence</w:t>
      </w:r>
      <w:r>
        <w:rPr>
          <w:sz w:val="16"/>
        </w:rPr>
        <w:t>.</w:t>
      </w:r>
    </w:p>
    <w:p w14:paraId="3FCC925C" w14:textId="77777777" w:rsidR="003A1246" w:rsidRDefault="003A1246" w:rsidP="003A1246">
      <w:pPr>
        <w:pStyle w:val="ListParagraph"/>
        <w:spacing w:after="0" w:line="240" w:lineRule="auto"/>
        <w:ind w:left="1440"/>
      </w:pPr>
    </w:p>
    <w:p w14:paraId="1DFED4BD" w14:textId="6DDBF3A0" w:rsidR="003A1246" w:rsidRPr="008E692F" w:rsidRDefault="003A1246" w:rsidP="004F6DF1">
      <w:pPr>
        <w:spacing w:after="120" w:line="240" w:lineRule="auto"/>
      </w:pPr>
      <w:r>
        <w:t>The r</w:t>
      </w:r>
      <w:r w:rsidRPr="008E692F">
        <w:t xml:space="preserve">esponse rates </w:t>
      </w:r>
      <w:r>
        <w:t xml:space="preserve">reported in tables </w:t>
      </w:r>
      <w:r w:rsidR="00C252A4">
        <w:t>4 and 5</w:t>
      </w:r>
      <w:r>
        <w:t xml:space="preserve"> </w:t>
      </w:r>
      <w:r w:rsidRPr="008E692F">
        <w:t>do not take into account the multiplicative eff</w:t>
      </w:r>
      <w:r>
        <w:t>ect of response rates from the Teacher Listing F</w:t>
      </w:r>
      <w:r w:rsidRPr="008E692F">
        <w:t>orm</w:t>
      </w:r>
      <w:r>
        <w:t xml:space="preserve"> (TLF)</w:t>
      </w:r>
      <w:r w:rsidRPr="008E692F">
        <w:t>, which affects the final teacher response rates</w:t>
      </w:r>
      <w:r>
        <w:t>.</w:t>
      </w:r>
      <w:r w:rsidR="004F6DF1">
        <w:t xml:space="preserve"> </w:t>
      </w:r>
      <w:r>
        <w:t xml:space="preserve">The TLF response rate is </w:t>
      </w:r>
      <w:r w:rsidRPr="008E692F">
        <w:t xml:space="preserve">approximately at </w:t>
      </w:r>
      <w:r w:rsidR="007E117E">
        <w:t>59</w:t>
      </w:r>
      <w:r w:rsidRPr="008E692F">
        <w:t>% for most domains. While the highlighted cells show that the incentives are effective at increasing response rates, the final teacher response rates are still well below NCES</w:t>
      </w:r>
      <w:r>
        <w:t>’s</w:t>
      </w:r>
      <w:r w:rsidRPr="008E692F">
        <w:t xml:space="preserve"> publishability standards (a minimum response rate of 50% or higher within each domain must be reached in order to publish </w:t>
      </w:r>
      <w:r w:rsidR="00C252A4" w:rsidRPr="008E692F">
        <w:t xml:space="preserve">results </w:t>
      </w:r>
      <w:r w:rsidR="00C252A4">
        <w:t xml:space="preserve">for </w:t>
      </w:r>
      <w:r w:rsidRPr="008E692F">
        <w:t>that domain).</w:t>
      </w:r>
    </w:p>
    <w:p w14:paraId="669EFAFA" w14:textId="16E412DC" w:rsidR="004F6DF1" w:rsidRDefault="003A1246" w:rsidP="004F6DF1">
      <w:pPr>
        <w:spacing w:after="120" w:line="240" w:lineRule="auto"/>
      </w:pPr>
      <w:r>
        <w:t xml:space="preserve">The results </w:t>
      </w:r>
      <w:r w:rsidR="00C252A4">
        <w:t xml:space="preserve">in tables 4 and 5 </w:t>
      </w:r>
      <w:r>
        <w:t xml:space="preserve">show that overall, for both </w:t>
      </w:r>
      <w:r w:rsidR="00C252A4">
        <w:t xml:space="preserve">private and </w:t>
      </w:r>
      <w:r>
        <w:t>public schools, the incentive group has a significantly higher response rate than the control group (teachers receiving no incentive)</w:t>
      </w:r>
      <w:r w:rsidR="00916AAD">
        <w:t xml:space="preserve"> by approximately 8 percentage points</w:t>
      </w:r>
      <w:r>
        <w:t xml:space="preserve">. It should be noted that the </w:t>
      </w:r>
      <w:r w:rsidR="00C252A4">
        <w:t xml:space="preserve">private school </w:t>
      </w:r>
      <w:r>
        <w:t>11-category affiliation breakout resulted in small cell sizes, thus a significant difference would be harder to detect</w:t>
      </w:r>
      <w:r w:rsidR="00526238">
        <w:t>, while t</w:t>
      </w:r>
      <w:r>
        <w:t>he 3-category affiliation breakout showed significant difference between the incentive and non-incentive group, with the incentive group having higher response rates.</w:t>
      </w:r>
    </w:p>
    <w:p w14:paraId="51B0F0D7" w14:textId="77777777" w:rsidR="003A1246" w:rsidRPr="00DE41BB" w:rsidRDefault="003A1246" w:rsidP="00916AAD">
      <w:pPr>
        <w:pStyle w:val="ListParagraph"/>
        <w:numPr>
          <w:ilvl w:val="0"/>
          <w:numId w:val="27"/>
        </w:numPr>
        <w:spacing w:after="120" w:line="240" w:lineRule="auto"/>
        <w:contextualSpacing/>
        <w:rPr>
          <w:b/>
        </w:rPr>
      </w:pPr>
      <w:r w:rsidRPr="00DE41BB">
        <w:rPr>
          <w:b/>
        </w:rPr>
        <w:t>Historically Under-Performing Domains</w:t>
      </w:r>
    </w:p>
    <w:p w14:paraId="78EF562E" w14:textId="77777777" w:rsidR="00011E6F" w:rsidRDefault="00B454AB" w:rsidP="004F6DF1">
      <w:pPr>
        <w:spacing w:after="0" w:line="240" w:lineRule="auto"/>
      </w:pPr>
      <w:r>
        <w:t>Groups for which historically NCES has not been able to report results at the end of data collection activities are as follows:</w:t>
      </w:r>
    </w:p>
    <w:p w14:paraId="0FEB4022" w14:textId="44548140" w:rsidR="003A1246" w:rsidRDefault="003A1246" w:rsidP="004F6DF1">
      <w:pPr>
        <w:pStyle w:val="ListParagraph"/>
        <w:numPr>
          <w:ilvl w:val="1"/>
          <w:numId w:val="27"/>
        </w:numPr>
        <w:spacing w:after="0" w:line="240" w:lineRule="auto"/>
        <w:ind w:left="720"/>
        <w:contextualSpacing/>
      </w:pPr>
      <w:r w:rsidRPr="00B454AB">
        <w:rPr>
          <w:u w:val="single"/>
        </w:rPr>
        <w:t>Public School Domains - NTPS 2015-16</w:t>
      </w:r>
      <w:r w:rsidR="00B454AB" w:rsidRPr="00B454AB">
        <w:t xml:space="preserve"> – upon </w:t>
      </w:r>
      <w:r>
        <w:t>review of the NTPS 2015-16 Teacher First Look document</w:t>
      </w:r>
      <w:r>
        <w:rPr>
          <w:rStyle w:val="FootnoteReference"/>
        </w:rPr>
        <w:footnoteReference w:id="4"/>
      </w:r>
      <w:r>
        <w:t>, the following domains had one or more unpublishable estimates:</w:t>
      </w:r>
    </w:p>
    <w:p w14:paraId="4F0807A1" w14:textId="77777777" w:rsidR="003A1246" w:rsidRDefault="003A1246" w:rsidP="003A1246">
      <w:pPr>
        <w:pStyle w:val="ListParagraph"/>
        <w:numPr>
          <w:ilvl w:val="0"/>
          <w:numId w:val="29"/>
        </w:numPr>
        <w:spacing w:after="0" w:line="240" w:lineRule="auto"/>
        <w:contextualSpacing/>
      </w:pPr>
      <w:r>
        <w:t>City</w:t>
      </w:r>
    </w:p>
    <w:p w14:paraId="02199CEF" w14:textId="77777777" w:rsidR="003A1246" w:rsidRDefault="003A1246" w:rsidP="003A1246">
      <w:pPr>
        <w:pStyle w:val="ListParagraph"/>
        <w:numPr>
          <w:ilvl w:val="0"/>
          <w:numId w:val="29"/>
        </w:numPr>
        <w:spacing w:after="0" w:line="240" w:lineRule="auto"/>
        <w:contextualSpacing/>
      </w:pPr>
      <w:r>
        <w:t>Charter</w:t>
      </w:r>
    </w:p>
    <w:p w14:paraId="2BA63074" w14:textId="77777777" w:rsidR="003A1246" w:rsidRDefault="003A1246" w:rsidP="003A1246">
      <w:pPr>
        <w:pStyle w:val="ListParagraph"/>
        <w:numPr>
          <w:ilvl w:val="0"/>
          <w:numId w:val="29"/>
        </w:numPr>
        <w:spacing w:after="0" w:line="240" w:lineRule="auto"/>
        <w:contextualSpacing/>
      </w:pPr>
      <w:r>
        <w:t>Enrollment: Less than 100</w:t>
      </w:r>
    </w:p>
    <w:p w14:paraId="219D8B64" w14:textId="77777777" w:rsidR="003A1246" w:rsidRDefault="003A1246" w:rsidP="003A1246">
      <w:pPr>
        <w:pStyle w:val="ListParagraph"/>
        <w:numPr>
          <w:ilvl w:val="0"/>
          <w:numId w:val="29"/>
        </w:numPr>
        <w:spacing w:after="0" w:line="240" w:lineRule="auto"/>
        <w:contextualSpacing/>
      </w:pPr>
      <w:r>
        <w:t>Free/Reduced-Price Lunch: 75% or more</w:t>
      </w:r>
    </w:p>
    <w:p w14:paraId="33F93D1E" w14:textId="77777777" w:rsidR="003A1246" w:rsidRDefault="003A1246" w:rsidP="003A1246">
      <w:pPr>
        <w:pStyle w:val="ListParagraph"/>
        <w:spacing w:after="0" w:line="240" w:lineRule="auto"/>
        <w:ind w:left="1440"/>
      </w:pPr>
    </w:p>
    <w:p w14:paraId="544363BB" w14:textId="08C13798" w:rsidR="003A1246" w:rsidRDefault="003A1246" w:rsidP="004F6DF1">
      <w:pPr>
        <w:pStyle w:val="ListParagraph"/>
        <w:numPr>
          <w:ilvl w:val="1"/>
          <w:numId w:val="27"/>
        </w:numPr>
        <w:spacing w:after="0" w:line="240" w:lineRule="auto"/>
        <w:ind w:left="720"/>
        <w:contextualSpacing/>
      </w:pPr>
      <w:r w:rsidRPr="00B454AB">
        <w:rPr>
          <w:u w:val="single"/>
        </w:rPr>
        <w:t>Private School Domains – SASS 2011-12</w:t>
      </w:r>
      <w:r w:rsidR="00B454AB">
        <w:t xml:space="preserve"> – upon </w:t>
      </w:r>
      <w:r>
        <w:t>review of the SASS 2011-12 Teacher First Look document</w:t>
      </w:r>
      <w:r>
        <w:rPr>
          <w:rStyle w:val="FootnoteReference"/>
        </w:rPr>
        <w:footnoteReference w:id="5"/>
      </w:r>
      <w:r>
        <w:t>, the following domains had one or more unpublishable estimates:</w:t>
      </w:r>
    </w:p>
    <w:p w14:paraId="4B97B93A" w14:textId="77777777" w:rsidR="004F6DF1" w:rsidRDefault="003A1246" w:rsidP="003A1246">
      <w:pPr>
        <w:pStyle w:val="ListParagraph"/>
        <w:numPr>
          <w:ilvl w:val="0"/>
          <w:numId w:val="30"/>
        </w:numPr>
        <w:spacing w:after="0" w:line="240" w:lineRule="auto"/>
        <w:contextualSpacing/>
      </w:pPr>
      <w:r>
        <w:t>Other Religious</w:t>
      </w:r>
    </w:p>
    <w:p w14:paraId="5359165B" w14:textId="57935E5B" w:rsidR="003A1246" w:rsidRDefault="003A1246" w:rsidP="003A1246">
      <w:pPr>
        <w:pStyle w:val="ListParagraph"/>
        <w:numPr>
          <w:ilvl w:val="0"/>
          <w:numId w:val="30"/>
        </w:numPr>
        <w:spacing w:after="0" w:line="240" w:lineRule="auto"/>
        <w:contextualSpacing/>
      </w:pPr>
      <w:r>
        <w:t>Nonsectarian</w:t>
      </w:r>
    </w:p>
    <w:p w14:paraId="1BBB7CD9" w14:textId="77777777" w:rsidR="003A1246" w:rsidRDefault="003A1246" w:rsidP="003A1246">
      <w:pPr>
        <w:pStyle w:val="ListParagraph"/>
        <w:numPr>
          <w:ilvl w:val="0"/>
          <w:numId w:val="30"/>
        </w:numPr>
        <w:spacing w:after="0" w:line="240" w:lineRule="auto"/>
        <w:contextualSpacing/>
      </w:pPr>
      <w:r>
        <w:t>Suburban</w:t>
      </w:r>
    </w:p>
    <w:p w14:paraId="02B157DE" w14:textId="77777777" w:rsidR="003A1246" w:rsidRDefault="003A1246" w:rsidP="003A1246">
      <w:pPr>
        <w:pStyle w:val="ListParagraph"/>
        <w:numPr>
          <w:ilvl w:val="0"/>
          <w:numId w:val="30"/>
        </w:numPr>
        <w:spacing w:after="0" w:line="240" w:lineRule="auto"/>
        <w:contextualSpacing/>
      </w:pPr>
      <w:r>
        <w:t>Rural</w:t>
      </w:r>
    </w:p>
    <w:p w14:paraId="68849A9D" w14:textId="77777777" w:rsidR="003A1246" w:rsidRDefault="003A1246" w:rsidP="003A1246">
      <w:pPr>
        <w:pStyle w:val="ListParagraph"/>
        <w:numPr>
          <w:ilvl w:val="0"/>
          <w:numId w:val="30"/>
        </w:numPr>
        <w:spacing w:after="0" w:line="240" w:lineRule="auto"/>
        <w:contextualSpacing/>
      </w:pPr>
      <w:r>
        <w:t>Combined</w:t>
      </w:r>
    </w:p>
    <w:p w14:paraId="422C775E" w14:textId="77777777" w:rsidR="003A1246" w:rsidRDefault="003A1246" w:rsidP="003A1246">
      <w:pPr>
        <w:pStyle w:val="ListParagraph"/>
        <w:numPr>
          <w:ilvl w:val="0"/>
          <w:numId w:val="30"/>
        </w:numPr>
        <w:spacing w:after="0" w:line="240" w:lineRule="auto"/>
        <w:contextualSpacing/>
      </w:pPr>
      <w:r>
        <w:t>Enrollment: Less than 100</w:t>
      </w:r>
    </w:p>
    <w:p w14:paraId="3EEC2512" w14:textId="77777777" w:rsidR="003A1246" w:rsidRDefault="003A1246" w:rsidP="003A1246">
      <w:pPr>
        <w:pStyle w:val="ListParagraph"/>
        <w:numPr>
          <w:ilvl w:val="0"/>
          <w:numId w:val="30"/>
        </w:numPr>
        <w:spacing w:after="0" w:line="240" w:lineRule="auto"/>
        <w:contextualSpacing/>
      </w:pPr>
      <w:r>
        <w:t>Enrollment: 100-199</w:t>
      </w:r>
    </w:p>
    <w:p w14:paraId="0456E7CD" w14:textId="77777777" w:rsidR="003A1246" w:rsidRDefault="003A1246" w:rsidP="00B454AB">
      <w:pPr>
        <w:pStyle w:val="ListParagraph"/>
        <w:numPr>
          <w:ilvl w:val="0"/>
          <w:numId w:val="30"/>
        </w:numPr>
        <w:spacing w:after="120" w:line="240" w:lineRule="auto"/>
      </w:pPr>
      <w:r>
        <w:t>Enrollment: 750 or more</w:t>
      </w:r>
    </w:p>
    <w:p w14:paraId="15076929" w14:textId="5205032C" w:rsidR="003A1246" w:rsidRDefault="003A1246" w:rsidP="004F6DF1">
      <w:pPr>
        <w:spacing w:after="120" w:line="240" w:lineRule="auto"/>
      </w:pPr>
      <w:r>
        <w:t xml:space="preserve">Note: Due to </w:t>
      </w:r>
      <w:r w:rsidR="00B454AB">
        <w:t xml:space="preserve">the </w:t>
      </w:r>
      <w:r w:rsidR="00B454AB" w:rsidRPr="00B454AB">
        <w:t>SASS 2011-12</w:t>
      </w:r>
      <w:r w:rsidR="00B454AB">
        <w:t xml:space="preserve"> </w:t>
      </w:r>
      <w:r>
        <w:t>publishability issues, private schools were not part of NTPS 2015-16. They are included in NTPS 2017-18 to test collection strategies to increase response rates before bringing private school back in future collections.</w:t>
      </w:r>
    </w:p>
    <w:p w14:paraId="2AF8E79F" w14:textId="0ADFF1A6" w:rsidR="003A1246" w:rsidRDefault="003A1246" w:rsidP="004F6DF1">
      <w:pPr>
        <w:spacing w:after="120" w:line="240" w:lineRule="auto"/>
      </w:pPr>
      <w:r>
        <w:t xml:space="preserve">These unpublishable domains from NTPS 2015-16 public school reports and 2011-12 SASS private school reports were considered as potential candidates for targeting </w:t>
      </w:r>
      <w:r w:rsidR="00F64F1F">
        <w:t xml:space="preserve">as part of </w:t>
      </w:r>
      <w:r>
        <w:t>the contingency plan teacher incentive experiment. Teachers eligible for the contingency plan incentive experiment are teachers in waves 13 through 20. Teachers in these waves have historically been from schools in the domains listed above. Thus, targeting the contingency plan teacher incentive experiment to teachers in these school</w:t>
      </w:r>
      <w:r w:rsidR="00F64F1F">
        <w:t xml:space="preserve"> domain</w:t>
      </w:r>
      <w:r>
        <w:t>s is expected to increase response rates in these domains.</w:t>
      </w:r>
    </w:p>
    <w:p w14:paraId="3E3D6A3C" w14:textId="24B17A74" w:rsidR="003A1246" w:rsidRPr="00B454AB" w:rsidRDefault="003A1246" w:rsidP="00B454AB">
      <w:pPr>
        <w:pStyle w:val="ListParagraph"/>
        <w:numPr>
          <w:ilvl w:val="0"/>
          <w:numId w:val="27"/>
        </w:numPr>
        <w:spacing w:after="120" w:line="240" w:lineRule="auto"/>
        <w:contextualSpacing/>
        <w:rPr>
          <w:b/>
        </w:rPr>
      </w:pPr>
      <w:r w:rsidRPr="00B454AB">
        <w:rPr>
          <w:b/>
        </w:rPr>
        <w:t>Recommendation</w:t>
      </w:r>
    </w:p>
    <w:p w14:paraId="55215B82" w14:textId="7B1F6178" w:rsidR="003A1246" w:rsidRDefault="00732AEC" w:rsidP="004F6DF1">
      <w:pPr>
        <w:spacing w:after="120" w:line="240" w:lineRule="auto"/>
      </w:pPr>
      <w:r>
        <w:t xml:space="preserve">The contingency incentive is being implemented as an experiment, and we will track the effectiveness among the incentivized groups to make a determination about implementing this type of incentive sample-wide in future NTPS administrations. </w:t>
      </w:r>
      <w:r w:rsidR="003A1246">
        <w:t xml:space="preserve">Based on </w:t>
      </w:r>
      <w:r w:rsidR="00526238">
        <w:t xml:space="preserve">the </w:t>
      </w:r>
      <w:r w:rsidR="003A1246">
        <w:t xml:space="preserve">previous NTPS and SASS </w:t>
      </w:r>
      <w:r w:rsidR="00526238">
        <w:t>school</w:t>
      </w:r>
      <w:r w:rsidR="003A1246">
        <w:t xml:space="preserve"> domains </w:t>
      </w:r>
      <w:r w:rsidR="00526238">
        <w:t xml:space="preserve">that </w:t>
      </w:r>
      <w:r w:rsidR="003A1246">
        <w:t xml:space="preserve">historically </w:t>
      </w:r>
      <w:r w:rsidR="00526238">
        <w:t>did</w:t>
      </w:r>
      <w:r w:rsidR="003A1246">
        <w:t xml:space="preserve"> not meet </w:t>
      </w:r>
      <w:r w:rsidR="00526238">
        <w:t xml:space="preserve">NCES </w:t>
      </w:r>
      <w:r w:rsidR="003A1246">
        <w:t xml:space="preserve">publishability standards, the current status of the teacher response rates, and the initial results of the teacher incentives experiment, domains recommended to be targeted for contingency plan teacher incentive experiment </w:t>
      </w:r>
      <w:r w:rsidR="00526238">
        <w:t>are</w:t>
      </w:r>
      <w:r w:rsidR="003A1246">
        <w:t xml:space="preserve"> based on the following criteria:</w:t>
      </w:r>
    </w:p>
    <w:p w14:paraId="7BC070A6" w14:textId="77777777" w:rsidR="003A1246" w:rsidRDefault="003A1246" w:rsidP="003A1246">
      <w:pPr>
        <w:pStyle w:val="ListParagraph"/>
        <w:numPr>
          <w:ilvl w:val="0"/>
          <w:numId w:val="32"/>
        </w:numPr>
        <w:spacing w:after="0" w:line="240" w:lineRule="auto"/>
        <w:contextualSpacing/>
      </w:pPr>
      <w:r>
        <w:t>The domain was previously an unpublished domain</w:t>
      </w:r>
    </w:p>
    <w:p w14:paraId="20AE9C20" w14:textId="77777777" w:rsidR="003A1246" w:rsidRDefault="003A1246" w:rsidP="003A1246">
      <w:pPr>
        <w:pStyle w:val="ListParagraph"/>
        <w:numPr>
          <w:ilvl w:val="0"/>
          <w:numId w:val="32"/>
        </w:numPr>
        <w:spacing w:after="0" w:line="240" w:lineRule="auto"/>
        <w:contextualSpacing/>
      </w:pPr>
      <w:r>
        <w:t>The domain currently has a lower response rate than domains of the same type</w:t>
      </w:r>
    </w:p>
    <w:p w14:paraId="7F3419FE" w14:textId="008A37E2" w:rsidR="003A1246" w:rsidRDefault="003A1246" w:rsidP="004F6DF1">
      <w:pPr>
        <w:pStyle w:val="ListParagraph"/>
        <w:numPr>
          <w:ilvl w:val="0"/>
          <w:numId w:val="32"/>
        </w:numPr>
        <w:spacing w:after="120" w:line="240" w:lineRule="auto"/>
        <w:contextualSpacing/>
      </w:pPr>
      <w:r>
        <w:t>The domain has shown a significant increase in response due to the initial incentive</w:t>
      </w:r>
    </w:p>
    <w:p w14:paraId="0CD62D92" w14:textId="120094DE" w:rsidR="003A1246" w:rsidRDefault="003A1246" w:rsidP="004F6DF1">
      <w:pPr>
        <w:spacing w:after="120" w:line="240" w:lineRule="auto"/>
      </w:pPr>
      <w:r>
        <w:t>Based on th</w:t>
      </w:r>
      <w:r w:rsidR="00526238">
        <w:t>e</w:t>
      </w:r>
      <w:r>
        <w:t>s</w:t>
      </w:r>
      <w:r w:rsidR="00526238">
        <w:t>e</w:t>
      </w:r>
      <w:r>
        <w:t xml:space="preserve"> criteria, </w:t>
      </w:r>
      <w:r w:rsidR="00732AEC">
        <w:t xml:space="preserve">and our estimation of the group having the best chance of reaching publishablity with the contingency incentive while maintaining the cost effectiveness of the operation, </w:t>
      </w:r>
      <w:r>
        <w:t>the following domains are recommended to be targeted in the contingency plan teacher incentive experiment:</w:t>
      </w:r>
    </w:p>
    <w:p w14:paraId="1F8639FC" w14:textId="5B6C9443" w:rsidR="00732AEC" w:rsidRDefault="00732AEC" w:rsidP="00732AEC">
      <w:pPr>
        <w:tabs>
          <w:tab w:val="left" w:pos="5040"/>
        </w:tabs>
        <w:spacing w:after="0" w:line="240" w:lineRule="auto"/>
        <w:rPr>
          <w:b/>
        </w:rPr>
      </w:pPr>
      <w:r>
        <w:rPr>
          <w:b/>
        </w:rPr>
        <w:t>Private School Domain:</w:t>
      </w:r>
      <w:r>
        <w:rPr>
          <w:b/>
        </w:rPr>
        <w:tab/>
      </w:r>
      <w:r w:rsidRPr="00732AEC">
        <w:rPr>
          <w:b/>
        </w:rPr>
        <w:t>Public School Domain:</w:t>
      </w:r>
    </w:p>
    <w:p w14:paraId="7F19486C" w14:textId="7DD60D06" w:rsidR="00732AEC" w:rsidRDefault="00732AEC" w:rsidP="00911563">
      <w:pPr>
        <w:tabs>
          <w:tab w:val="left" w:pos="5220"/>
        </w:tabs>
        <w:spacing w:after="0" w:line="240" w:lineRule="auto"/>
        <w:ind w:left="180"/>
      </w:pPr>
      <w:r>
        <w:t>Secondary</w:t>
      </w:r>
      <w:r>
        <w:tab/>
        <w:t>High Schools</w:t>
      </w:r>
    </w:p>
    <w:p w14:paraId="17276247" w14:textId="214E18D8" w:rsidR="00732AEC" w:rsidRDefault="00732AEC" w:rsidP="00911563">
      <w:pPr>
        <w:tabs>
          <w:tab w:val="left" w:pos="5220"/>
        </w:tabs>
        <w:spacing w:after="0" w:line="240" w:lineRule="auto"/>
        <w:ind w:left="180"/>
      </w:pPr>
      <w:r>
        <w:t>Enrollment: Less than 100</w:t>
      </w:r>
      <w:r>
        <w:tab/>
      </w:r>
      <w:r w:rsidR="00911563">
        <w:t>Combined Schools</w:t>
      </w:r>
    </w:p>
    <w:p w14:paraId="155F073A" w14:textId="3555D38C" w:rsidR="00732AEC" w:rsidRDefault="00732AEC" w:rsidP="00911563">
      <w:pPr>
        <w:tabs>
          <w:tab w:val="left" w:pos="5220"/>
        </w:tabs>
        <w:spacing w:after="0" w:line="240" w:lineRule="auto"/>
        <w:ind w:left="180"/>
      </w:pPr>
      <w:r>
        <w:t>City</w:t>
      </w:r>
      <w:r>
        <w:tab/>
      </w:r>
      <w:r w:rsidR="00911563">
        <w:t>Enrollment: 1000 or more</w:t>
      </w:r>
    </w:p>
    <w:p w14:paraId="79A50007" w14:textId="4756A147" w:rsidR="00732AEC" w:rsidRDefault="00732AEC" w:rsidP="00911563">
      <w:pPr>
        <w:tabs>
          <w:tab w:val="left" w:pos="5220"/>
        </w:tabs>
        <w:spacing w:after="0" w:line="240" w:lineRule="auto"/>
        <w:ind w:left="180"/>
      </w:pPr>
      <w:r>
        <w:t>Rural</w:t>
      </w:r>
      <w:r w:rsidR="00911563">
        <w:tab/>
        <w:t>City</w:t>
      </w:r>
    </w:p>
    <w:p w14:paraId="7B6B48DE" w14:textId="2199E30A" w:rsidR="00732AEC" w:rsidRDefault="00732AEC" w:rsidP="00911563">
      <w:pPr>
        <w:tabs>
          <w:tab w:val="left" w:pos="5220"/>
        </w:tabs>
        <w:spacing w:after="0" w:line="240" w:lineRule="auto"/>
        <w:ind w:left="180"/>
      </w:pPr>
      <w:r>
        <w:t>Other religious</w:t>
      </w:r>
      <w:r w:rsidR="00911563">
        <w:tab/>
        <w:t>Free/Reduced Price Lunch: 75% or more</w:t>
      </w:r>
    </w:p>
    <w:p w14:paraId="5DD7620F" w14:textId="2492337D" w:rsidR="00732AEC" w:rsidRDefault="00732AEC" w:rsidP="00911563">
      <w:pPr>
        <w:tabs>
          <w:tab w:val="left" w:pos="5220"/>
        </w:tabs>
        <w:spacing w:after="0" w:line="240" w:lineRule="auto"/>
        <w:ind w:left="180"/>
      </w:pPr>
      <w:r>
        <w:t>Nonsectarian</w:t>
      </w:r>
      <w:r w:rsidR="00911563">
        <w:tab/>
        <w:t>Charter</w:t>
      </w:r>
    </w:p>
    <w:p w14:paraId="1503160E" w14:textId="77777777" w:rsidR="00732AEC" w:rsidRDefault="00732AEC" w:rsidP="00911563">
      <w:pPr>
        <w:tabs>
          <w:tab w:val="left" w:pos="5220"/>
        </w:tabs>
        <w:spacing w:after="0" w:line="240" w:lineRule="auto"/>
        <w:ind w:left="180"/>
        <w:rPr>
          <w:sz w:val="10"/>
          <w:szCs w:val="10"/>
        </w:rPr>
      </w:pPr>
    </w:p>
    <w:p w14:paraId="1B0D6D4E" w14:textId="454AA58A" w:rsidR="00732AEC" w:rsidRPr="00726ACB" w:rsidRDefault="00CB40B8" w:rsidP="00B454AB">
      <w:pPr>
        <w:spacing w:after="0" w:line="240" w:lineRule="auto"/>
      </w:pPr>
      <w:r>
        <w:t xml:space="preserve">The number of teachers eligible for the contingency incentive will not exceed the totals </w:t>
      </w:r>
      <w:r w:rsidR="00011E6F">
        <w:t>provided</w:t>
      </w:r>
      <w:r>
        <w:t xml:space="preserve"> in table 11 of </w:t>
      </w:r>
      <w:r w:rsidR="00011E6F">
        <w:t xml:space="preserve">the approved Supporting Statement </w:t>
      </w:r>
      <w:r>
        <w:t>Part B (</w:t>
      </w:r>
      <w:r w:rsidR="00011E6F">
        <w:t xml:space="preserve">p.23): </w:t>
      </w:r>
      <w:r>
        <w:t>2,860 private school teachers and 15,230 public school teachers.</w:t>
      </w:r>
    </w:p>
    <w:sectPr w:rsidR="00732AEC" w:rsidRPr="00726ACB" w:rsidSect="004066A4">
      <w:footerReference w:type="default" r:id="rId11"/>
      <w:headerReference w:type="first" r:id="rId12"/>
      <w:footerReference w:type="first" r:id="rId13"/>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B56B6" w15:done="0"/>
  <w15:commentEx w15:paraId="31F4ECA5" w15:paraIdParent="41CB56B6" w15:done="0"/>
  <w15:commentEx w15:paraId="32CCF837" w15:done="0"/>
  <w15:commentEx w15:paraId="51EA7F34" w15:paraIdParent="32CCF8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6F7A2" w14:textId="77777777" w:rsidR="00363F9E" w:rsidRDefault="00363F9E" w:rsidP="00F375C9">
      <w:pPr>
        <w:spacing w:after="0" w:line="240" w:lineRule="auto"/>
      </w:pPr>
      <w:r>
        <w:separator/>
      </w:r>
    </w:p>
  </w:endnote>
  <w:endnote w:type="continuationSeparator" w:id="0">
    <w:p w14:paraId="6A2158E4" w14:textId="77777777" w:rsidR="00363F9E" w:rsidRDefault="00363F9E"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1807" w14:textId="1ACA85FF" w:rsidR="00B03D2B" w:rsidRDefault="00B03D2B" w:rsidP="004066A4">
    <w:pPr>
      <w:pStyle w:val="Footer"/>
      <w:jc w:val="center"/>
    </w:pPr>
    <w:r>
      <w:fldChar w:fldCharType="begin"/>
    </w:r>
    <w:r>
      <w:instrText xml:space="preserve"> PAGE   \* MERGEFORMAT </w:instrText>
    </w:r>
    <w:r>
      <w:fldChar w:fldCharType="separate"/>
    </w:r>
    <w:r w:rsidR="009C2F7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C66A" w14:textId="77777777" w:rsidR="00B03D2B" w:rsidRDefault="00B03D2B"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D275F" w14:textId="77777777" w:rsidR="00363F9E" w:rsidRDefault="00363F9E" w:rsidP="00F375C9">
      <w:pPr>
        <w:spacing w:after="0" w:line="240" w:lineRule="auto"/>
      </w:pPr>
      <w:r>
        <w:separator/>
      </w:r>
    </w:p>
  </w:footnote>
  <w:footnote w:type="continuationSeparator" w:id="0">
    <w:p w14:paraId="0D5EA802" w14:textId="77777777" w:rsidR="00363F9E" w:rsidRDefault="00363F9E" w:rsidP="00F375C9">
      <w:pPr>
        <w:spacing w:after="0" w:line="240" w:lineRule="auto"/>
      </w:pPr>
      <w:r>
        <w:continuationSeparator/>
      </w:r>
    </w:p>
  </w:footnote>
  <w:footnote w:id="1">
    <w:p w14:paraId="59513FAE" w14:textId="77777777" w:rsidR="00B03D2B" w:rsidRPr="00EA1968" w:rsidRDefault="00B03D2B" w:rsidP="00456FDC">
      <w:pPr>
        <w:pStyle w:val="FootnoteText"/>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 w:id="2">
    <w:p w14:paraId="5B29BA37" w14:textId="5591DA3C" w:rsidR="00B03D2B" w:rsidRDefault="00B03D2B" w:rsidP="00B454AB">
      <w:pPr>
        <w:pStyle w:val="FootnoteText"/>
        <w:ind w:left="90" w:hanging="90"/>
      </w:pPr>
      <w:r>
        <w:rPr>
          <w:rStyle w:val="FootnoteReference"/>
        </w:rPr>
        <w:footnoteRef/>
      </w:r>
      <w:r>
        <w:t xml:space="preserve"> All NTPS 2017-18 analyses included in this section reflect data collection results as of January 25</w:t>
      </w:r>
      <w:r w:rsidRPr="00E12328">
        <w:rPr>
          <w:vertAlign w:val="superscript"/>
        </w:rPr>
        <w:t>th</w:t>
      </w:r>
      <w:r>
        <w:t>, 2018</w:t>
      </w:r>
    </w:p>
  </w:footnote>
  <w:footnote w:id="3">
    <w:p w14:paraId="3F0C2428" w14:textId="7FC8A757" w:rsidR="00B03D2B" w:rsidRDefault="00B03D2B" w:rsidP="00B454AB">
      <w:pPr>
        <w:pStyle w:val="FootnoteText"/>
        <w:ind w:left="90" w:hanging="90"/>
      </w:pPr>
      <w:r>
        <w:rPr>
          <w:rStyle w:val="FootnoteReference"/>
        </w:rPr>
        <w:footnoteRef/>
      </w:r>
      <w:r>
        <w:t xml:space="preserve"> The teacher samples sizes will not be exactly equal across experimental groups, as the number of teachers sampled from each school is not equal. However, each group should contain roughly the same number of teachers.</w:t>
      </w:r>
    </w:p>
  </w:footnote>
  <w:footnote w:id="4">
    <w:p w14:paraId="4FD3D6A4" w14:textId="2017DD89" w:rsidR="00B03D2B" w:rsidRDefault="00B03D2B" w:rsidP="00B454AB">
      <w:pPr>
        <w:pStyle w:val="FootnoteText"/>
        <w:ind w:left="90" w:hanging="90"/>
      </w:pPr>
      <w:r>
        <w:rPr>
          <w:rStyle w:val="FootnoteReference"/>
        </w:rPr>
        <w:footnoteRef/>
      </w:r>
      <w:r>
        <w:t xml:space="preserve"> For more information, please reference the “Characteristics of Public Elementary and Secondary School Teachers in the United States: Results from the 2015-16 NTPS” First Look document (</w:t>
      </w:r>
      <w:hyperlink r:id="rId1" w:history="1">
        <w:r w:rsidRPr="00323A44">
          <w:rPr>
            <w:rStyle w:val="Hyperlink"/>
          </w:rPr>
          <w:t>https://nces.ed.gov/pubs2017/2017072.pdf</w:t>
        </w:r>
      </w:hyperlink>
      <w:r>
        <w:t>)</w:t>
      </w:r>
    </w:p>
  </w:footnote>
  <w:footnote w:id="5">
    <w:p w14:paraId="0CDE2FB1" w14:textId="1DE4FCA0" w:rsidR="00B03D2B" w:rsidRDefault="00B03D2B" w:rsidP="00B454AB">
      <w:pPr>
        <w:pStyle w:val="FootnoteText"/>
        <w:ind w:left="90" w:hanging="90"/>
      </w:pPr>
      <w:r>
        <w:rPr>
          <w:rStyle w:val="FootnoteReference"/>
        </w:rPr>
        <w:footnoteRef/>
      </w:r>
      <w:r>
        <w:t xml:space="preserve"> For more information, please reference the “Characteristics of Public and Private Elementary and Secondary School Teachers in the United States: Results from the 2011-12 Schools and Staffing Survey” First Look document (</w:t>
      </w:r>
      <w:hyperlink r:id="rId2" w:history="1">
        <w:r w:rsidRPr="00323A44">
          <w:rPr>
            <w:rStyle w:val="Hyperlink"/>
          </w:rPr>
          <w:t>https://nces.ed.gov/pubs2013/2013314.pdf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8BF3" w14:textId="77777777" w:rsidR="00B03D2B" w:rsidRPr="00502D44" w:rsidRDefault="00B03D2B"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DCA6968" wp14:editId="593ABA15">
          <wp:simplePos x="0" y="0"/>
          <wp:positionH relativeFrom="column">
            <wp:posOffset>-75656</wp:posOffset>
          </wp:positionH>
          <wp:positionV relativeFrom="paragraph">
            <wp:posOffset>-121920</wp:posOffset>
          </wp:positionV>
          <wp:extent cx="1021806" cy="10160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16679DE1" w14:textId="77777777" w:rsidR="00B03D2B" w:rsidRPr="00502D44" w:rsidRDefault="00B03D2B"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202087D9" w14:textId="77777777" w:rsidR="00B03D2B" w:rsidRDefault="00B03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515E3"/>
    <w:multiLevelType w:val="hybridMultilevel"/>
    <w:tmpl w:val="9488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315D9"/>
    <w:multiLevelType w:val="hybridMultilevel"/>
    <w:tmpl w:val="A352F932"/>
    <w:lvl w:ilvl="0" w:tplc="9858D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6D1004"/>
    <w:multiLevelType w:val="hybridMultilevel"/>
    <w:tmpl w:val="5860D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D52D2C"/>
    <w:multiLevelType w:val="hybridMultilevel"/>
    <w:tmpl w:val="689A3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5A55D46"/>
    <w:multiLevelType w:val="hybridMultilevel"/>
    <w:tmpl w:val="344A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30241"/>
    <w:multiLevelType w:val="hybridMultilevel"/>
    <w:tmpl w:val="28A0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440B"/>
    <w:multiLevelType w:val="hybridMultilevel"/>
    <w:tmpl w:val="1C5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50E80"/>
    <w:multiLevelType w:val="hybridMultilevel"/>
    <w:tmpl w:val="F8C65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4">
    <w:nsid w:val="3B710E7E"/>
    <w:multiLevelType w:val="hybridMultilevel"/>
    <w:tmpl w:val="74789BD6"/>
    <w:lvl w:ilvl="0" w:tplc="41C0C0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4156F"/>
    <w:multiLevelType w:val="hybridMultilevel"/>
    <w:tmpl w:val="E098A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E57D3"/>
    <w:multiLevelType w:val="hybridMultilevel"/>
    <w:tmpl w:val="07382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31172A"/>
    <w:multiLevelType w:val="hybridMultilevel"/>
    <w:tmpl w:val="4112DE54"/>
    <w:lvl w:ilvl="0" w:tplc="22AED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B4E0F"/>
    <w:multiLevelType w:val="hybridMultilevel"/>
    <w:tmpl w:val="BD8E90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863BB9"/>
    <w:multiLevelType w:val="hybridMultilevel"/>
    <w:tmpl w:val="E37489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C0D9A"/>
    <w:multiLevelType w:val="hybridMultilevel"/>
    <w:tmpl w:val="52C25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3E5084"/>
    <w:multiLevelType w:val="hybridMultilevel"/>
    <w:tmpl w:val="23664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A5369B"/>
    <w:multiLevelType w:val="hybridMultilevel"/>
    <w:tmpl w:val="28A6BDC0"/>
    <w:lvl w:ilvl="0" w:tplc="B228190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1"/>
  </w:num>
  <w:num w:numId="4">
    <w:abstractNumId w:val="22"/>
  </w:num>
  <w:num w:numId="5">
    <w:abstractNumId w:val="2"/>
  </w:num>
  <w:num w:numId="6">
    <w:abstractNumId w:val="31"/>
  </w:num>
  <w:num w:numId="7">
    <w:abstractNumId w:val="17"/>
  </w:num>
  <w:num w:numId="8">
    <w:abstractNumId w:val="29"/>
  </w:num>
  <w:num w:numId="9">
    <w:abstractNumId w:val="7"/>
  </w:num>
  <w:num w:numId="10">
    <w:abstractNumId w:val="28"/>
  </w:num>
  <w:num w:numId="11">
    <w:abstractNumId w:val="19"/>
  </w:num>
  <w:num w:numId="12">
    <w:abstractNumId w:val="20"/>
  </w:num>
  <w:num w:numId="13">
    <w:abstractNumId w:val="1"/>
  </w:num>
  <w:num w:numId="14">
    <w:abstractNumId w:val="26"/>
  </w:num>
  <w:num w:numId="15">
    <w:abstractNumId w:val="30"/>
  </w:num>
  <w:num w:numId="16">
    <w:abstractNumId w:val="11"/>
  </w:num>
  <w:num w:numId="17">
    <w:abstractNumId w:val="24"/>
  </w:num>
  <w:num w:numId="18">
    <w:abstractNumId w:val="23"/>
  </w:num>
  <w:num w:numId="19">
    <w:abstractNumId w:val="14"/>
  </w:num>
  <w:num w:numId="20">
    <w:abstractNumId w:val="4"/>
  </w:num>
  <w:num w:numId="21">
    <w:abstractNumId w:val="33"/>
  </w:num>
  <w:num w:numId="22">
    <w:abstractNumId w:val="18"/>
  </w:num>
  <w:num w:numId="23">
    <w:abstractNumId w:val="13"/>
  </w:num>
  <w:num w:numId="24">
    <w:abstractNumId w:val="9"/>
  </w:num>
  <w:num w:numId="25">
    <w:abstractNumId w:val="3"/>
  </w:num>
  <w:num w:numId="26">
    <w:abstractNumId w:val="10"/>
  </w:num>
  <w:num w:numId="27">
    <w:abstractNumId w:val="27"/>
  </w:num>
  <w:num w:numId="28">
    <w:abstractNumId w:val="25"/>
  </w:num>
  <w:num w:numId="29">
    <w:abstractNumId w:val="6"/>
  </w:num>
  <w:num w:numId="30">
    <w:abstractNumId w:val="8"/>
  </w:num>
  <w:num w:numId="31">
    <w:abstractNumId w:val="12"/>
  </w:num>
  <w:num w:numId="32">
    <w:abstractNumId w:val="32"/>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505DDA"/>
    <w:rsid w:val="000033B0"/>
    <w:rsid w:val="00011E6F"/>
    <w:rsid w:val="00012CB1"/>
    <w:rsid w:val="00034D5F"/>
    <w:rsid w:val="0004769B"/>
    <w:rsid w:val="000508ED"/>
    <w:rsid w:val="0005620D"/>
    <w:rsid w:val="000722C0"/>
    <w:rsid w:val="000913E4"/>
    <w:rsid w:val="000968B1"/>
    <w:rsid w:val="000A2A92"/>
    <w:rsid w:val="000C3AB6"/>
    <w:rsid w:val="000D6C99"/>
    <w:rsid w:val="000E0831"/>
    <w:rsid w:val="000F1EB7"/>
    <w:rsid w:val="000F2300"/>
    <w:rsid w:val="001049A2"/>
    <w:rsid w:val="001071D4"/>
    <w:rsid w:val="00126287"/>
    <w:rsid w:val="001300D3"/>
    <w:rsid w:val="00133D40"/>
    <w:rsid w:val="0015373F"/>
    <w:rsid w:val="00155EEA"/>
    <w:rsid w:val="0016321E"/>
    <w:rsid w:val="001721A9"/>
    <w:rsid w:val="00172BD6"/>
    <w:rsid w:val="001840DE"/>
    <w:rsid w:val="001845E2"/>
    <w:rsid w:val="001A4513"/>
    <w:rsid w:val="001B15B9"/>
    <w:rsid w:val="001B6FEB"/>
    <w:rsid w:val="001D493C"/>
    <w:rsid w:val="001D61F8"/>
    <w:rsid w:val="001D744A"/>
    <w:rsid w:val="001E4DD4"/>
    <w:rsid w:val="001F6A14"/>
    <w:rsid w:val="00205D9C"/>
    <w:rsid w:val="00221A04"/>
    <w:rsid w:val="0022234B"/>
    <w:rsid w:val="002267D6"/>
    <w:rsid w:val="00245E2C"/>
    <w:rsid w:val="0024707A"/>
    <w:rsid w:val="00247CC5"/>
    <w:rsid w:val="00250D9E"/>
    <w:rsid w:val="00254439"/>
    <w:rsid w:val="00257B47"/>
    <w:rsid w:val="00262389"/>
    <w:rsid w:val="002853F7"/>
    <w:rsid w:val="002912D5"/>
    <w:rsid w:val="00294B3B"/>
    <w:rsid w:val="002C0F81"/>
    <w:rsid w:val="002C65A1"/>
    <w:rsid w:val="002D2B29"/>
    <w:rsid w:val="002D3868"/>
    <w:rsid w:val="002D462D"/>
    <w:rsid w:val="002D5D5A"/>
    <w:rsid w:val="002E30EE"/>
    <w:rsid w:val="002E5F79"/>
    <w:rsid w:val="002F4C0D"/>
    <w:rsid w:val="002F5177"/>
    <w:rsid w:val="00305832"/>
    <w:rsid w:val="00310A12"/>
    <w:rsid w:val="003213B7"/>
    <w:rsid w:val="00321813"/>
    <w:rsid w:val="00331A00"/>
    <w:rsid w:val="003577EB"/>
    <w:rsid w:val="003604E6"/>
    <w:rsid w:val="00363F9E"/>
    <w:rsid w:val="00375E2A"/>
    <w:rsid w:val="0038441E"/>
    <w:rsid w:val="00385A8F"/>
    <w:rsid w:val="00394D4C"/>
    <w:rsid w:val="003A1246"/>
    <w:rsid w:val="003A4036"/>
    <w:rsid w:val="003B3ADF"/>
    <w:rsid w:val="003B40BF"/>
    <w:rsid w:val="003C68E4"/>
    <w:rsid w:val="003D1E6B"/>
    <w:rsid w:val="003D271E"/>
    <w:rsid w:val="003D2F42"/>
    <w:rsid w:val="003D6A37"/>
    <w:rsid w:val="003D7BF5"/>
    <w:rsid w:val="003E4CB8"/>
    <w:rsid w:val="003F17DD"/>
    <w:rsid w:val="003F561C"/>
    <w:rsid w:val="00404DEB"/>
    <w:rsid w:val="004066A4"/>
    <w:rsid w:val="00410B65"/>
    <w:rsid w:val="00440EA1"/>
    <w:rsid w:val="00441A8E"/>
    <w:rsid w:val="0045069D"/>
    <w:rsid w:val="00456FDC"/>
    <w:rsid w:val="004600B7"/>
    <w:rsid w:val="00463A4A"/>
    <w:rsid w:val="004658A1"/>
    <w:rsid w:val="00465D4F"/>
    <w:rsid w:val="004906BD"/>
    <w:rsid w:val="004941A6"/>
    <w:rsid w:val="004C221E"/>
    <w:rsid w:val="004C6EF6"/>
    <w:rsid w:val="004D2330"/>
    <w:rsid w:val="004E22C6"/>
    <w:rsid w:val="004F4FAF"/>
    <w:rsid w:val="004F6DF1"/>
    <w:rsid w:val="00502D44"/>
    <w:rsid w:val="00505DDA"/>
    <w:rsid w:val="005100EB"/>
    <w:rsid w:val="00517B18"/>
    <w:rsid w:val="0052501C"/>
    <w:rsid w:val="00526238"/>
    <w:rsid w:val="00556154"/>
    <w:rsid w:val="00565565"/>
    <w:rsid w:val="005729E8"/>
    <w:rsid w:val="00577C47"/>
    <w:rsid w:val="0059486C"/>
    <w:rsid w:val="005C7BF6"/>
    <w:rsid w:val="005D52A7"/>
    <w:rsid w:val="005F3A51"/>
    <w:rsid w:val="00615891"/>
    <w:rsid w:val="00640C8A"/>
    <w:rsid w:val="00642358"/>
    <w:rsid w:val="00642D4B"/>
    <w:rsid w:val="006558F8"/>
    <w:rsid w:val="00660F4F"/>
    <w:rsid w:val="0066148C"/>
    <w:rsid w:val="006741B2"/>
    <w:rsid w:val="00675EA6"/>
    <w:rsid w:val="006762FF"/>
    <w:rsid w:val="00676708"/>
    <w:rsid w:val="006777BE"/>
    <w:rsid w:val="00685E99"/>
    <w:rsid w:val="00690855"/>
    <w:rsid w:val="006A3A61"/>
    <w:rsid w:val="006A55CC"/>
    <w:rsid w:val="006B4AE4"/>
    <w:rsid w:val="006C43FA"/>
    <w:rsid w:val="006D7E19"/>
    <w:rsid w:val="006E2C4D"/>
    <w:rsid w:val="006F07B5"/>
    <w:rsid w:val="006F1FFB"/>
    <w:rsid w:val="006F3B48"/>
    <w:rsid w:val="007041A6"/>
    <w:rsid w:val="00707EB7"/>
    <w:rsid w:val="00710206"/>
    <w:rsid w:val="007164E0"/>
    <w:rsid w:val="007253BB"/>
    <w:rsid w:val="00726ACB"/>
    <w:rsid w:val="00732AEC"/>
    <w:rsid w:val="00733459"/>
    <w:rsid w:val="00740559"/>
    <w:rsid w:val="0076067B"/>
    <w:rsid w:val="0077316C"/>
    <w:rsid w:val="00790066"/>
    <w:rsid w:val="007926EA"/>
    <w:rsid w:val="007B4C04"/>
    <w:rsid w:val="007C27F1"/>
    <w:rsid w:val="007D6A82"/>
    <w:rsid w:val="007E117E"/>
    <w:rsid w:val="00800495"/>
    <w:rsid w:val="00812EF3"/>
    <w:rsid w:val="008173DB"/>
    <w:rsid w:val="00821F4D"/>
    <w:rsid w:val="00826162"/>
    <w:rsid w:val="0082793D"/>
    <w:rsid w:val="00835988"/>
    <w:rsid w:val="008430B3"/>
    <w:rsid w:val="008449C1"/>
    <w:rsid w:val="00853968"/>
    <w:rsid w:val="00855634"/>
    <w:rsid w:val="008569C8"/>
    <w:rsid w:val="008609EE"/>
    <w:rsid w:val="00860F2E"/>
    <w:rsid w:val="008745A5"/>
    <w:rsid w:val="0089511B"/>
    <w:rsid w:val="008A2331"/>
    <w:rsid w:val="008B588D"/>
    <w:rsid w:val="008C241F"/>
    <w:rsid w:val="008C35F6"/>
    <w:rsid w:val="008D3E51"/>
    <w:rsid w:val="008D43E7"/>
    <w:rsid w:val="008E31E8"/>
    <w:rsid w:val="008E5945"/>
    <w:rsid w:val="008E6AF6"/>
    <w:rsid w:val="008F771E"/>
    <w:rsid w:val="008F7D30"/>
    <w:rsid w:val="00901096"/>
    <w:rsid w:val="00907C8C"/>
    <w:rsid w:val="00911563"/>
    <w:rsid w:val="00916AAD"/>
    <w:rsid w:val="009276DC"/>
    <w:rsid w:val="0094538A"/>
    <w:rsid w:val="009632A5"/>
    <w:rsid w:val="00972BDA"/>
    <w:rsid w:val="0099268B"/>
    <w:rsid w:val="009A24B0"/>
    <w:rsid w:val="009A6996"/>
    <w:rsid w:val="009B6346"/>
    <w:rsid w:val="009B6710"/>
    <w:rsid w:val="009C1D3A"/>
    <w:rsid w:val="009C1F1C"/>
    <w:rsid w:val="009C2F7E"/>
    <w:rsid w:val="009D231F"/>
    <w:rsid w:val="009D4FF3"/>
    <w:rsid w:val="009E7C66"/>
    <w:rsid w:val="009F3E0D"/>
    <w:rsid w:val="009F4150"/>
    <w:rsid w:val="00A017C5"/>
    <w:rsid w:val="00A1771B"/>
    <w:rsid w:val="00A30293"/>
    <w:rsid w:val="00A35AAD"/>
    <w:rsid w:val="00A3792C"/>
    <w:rsid w:val="00A4762D"/>
    <w:rsid w:val="00A5115E"/>
    <w:rsid w:val="00A620E6"/>
    <w:rsid w:val="00A7311A"/>
    <w:rsid w:val="00A76613"/>
    <w:rsid w:val="00A83556"/>
    <w:rsid w:val="00A9348D"/>
    <w:rsid w:val="00A94A54"/>
    <w:rsid w:val="00A95F37"/>
    <w:rsid w:val="00AA2E08"/>
    <w:rsid w:val="00AB4A23"/>
    <w:rsid w:val="00AC28A1"/>
    <w:rsid w:val="00AD10E7"/>
    <w:rsid w:val="00AE4662"/>
    <w:rsid w:val="00AE4B3E"/>
    <w:rsid w:val="00AE6A18"/>
    <w:rsid w:val="00AE77CC"/>
    <w:rsid w:val="00AF1001"/>
    <w:rsid w:val="00AF1D85"/>
    <w:rsid w:val="00AF2650"/>
    <w:rsid w:val="00B03D2B"/>
    <w:rsid w:val="00B07EA8"/>
    <w:rsid w:val="00B11336"/>
    <w:rsid w:val="00B11F00"/>
    <w:rsid w:val="00B36147"/>
    <w:rsid w:val="00B4060B"/>
    <w:rsid w:val="00B44146"/>
    <w:rsid w:val="00B454AB"/>
    <w:rsid w:val="00B55828"/>
    <w:rsid w:val="00B63199"/>
    <w:rsid w:val="00B73454"/>
    <w:rsid w:val="00B82075"/>
    <w:rsid w:val="00B858EA"/>
    <w:rsid w:val="00B878F1"/>
    <w:rsid w:val="00B9133A"/>
    <w:rsid w:val="00B96988"/>
    <w:rsid w:val="00BA746C"/>
    <w:rsid w:val="00BC3248"/>
    <w:rsid w:val="00BD64FC"/>
    <w:rsid w:val="00BE4155"/>
    <w:rsid w:val="00BE53C5"/>
    <w:rsid w:val="00BF02C4"/>
    <w:rsid w:val="00C045E2"/>
    <w:rsid w:val="00C04EB2"/>
    <w:rsid w:val="00C154DF"/>
    <w:rsid w:val="00C252A4"/>
    <w:rsid w:val="00C33701"/>
    <w:rsid w:val="00C36065"/>
    <w:rsid w:val="00C37C3A"/>
    <w:rsid w:val="00C60903"/>
    <w:rsid w:val="00C6393B"/>
    <w:rsid w:val="00C66DB8"/>
    <w:rsid w:val="00C67FDB"/>
    <w:rsid w:val="00C70E18"/>
    <w:rsid w:val="00C80C5B"/>
    <w:rsid w:val="00C81AAF"/>
    <w:rsid w:val="00C90CAF"/>
    <w:rsid w:val="00CA0B0F"/>
    <w:rsid w:val="00CA1E5F"/>
    <w:rsid w:val="00CA6804"/>
    <w:rsid w:val="00CB2DE4"/>
    <w:rsid w:val="00CB40B8"/>
    <w:rsid w:val="00CB7030"/>
    <w:rsid w:val="00CD7072"/>
    <w:rsid w:val="00CE208E"/>
    <w:rsid w:val="00CE6DD0"/>
    <w:rsid w:val="00CF49AF"/>
    <w:rsid w:val="00D0249E"/>
    <w:rsid w:val="00D02991"/>
    <w:rsid w:val="00D20378"/>
    <w:rsid w:val="00D212BC"/>
    <w:rsid w:val="00D469D3"/>
    <w:rsid w:val="00D50181"/>
    <w:rsid w:val="00D51232"/>
    <w:rsid w:val="00D54011"/>
    <w:rsid w:val="00D645A6"/>
    <w:rsid w:val="00D96623"/>
    <w:rsid w:val="00DA1897"/>
    <w:rsid w:val="00DA30F3"/>
    <w:rsid w:val="00DB1971"/>
    <w:rsid w:val="00DC081E"/>
    <w:rsid w:val="00DE41BB"/>
    <w:rsid w:val="00E079F6"/>
    <w:rsid w:val="00E12507"/>
    <w:rsid w:val="00E31BB5"/>
    <w:rsid w:val="00E33FBD"/>
    <w:rsid w:val="00E47142"/>
    <w:rsid w:val="00E47270"/>
    <w:rsid w:val="00E61F4A"/>
    <w:rsid w:val="00E75608"/>
    <w:rsid w:val="00E764F7"/>
    <w:rsid w:val="00E84ABB"/>
    <w:rsid w:val="00E92B2F"/>
    <w:rsid w:val="00E94D2F"/>
    <w:rsid w:val="00E967CB"/>
    <w:rsid w:val="00EA6316"/>
    <w:rsid w:val="00EB2601"/>
    <w:rsid w:val="00EB5100"/>
    <w:rsid w:val="00EC43CC"/>
    <w:rsid w:val="00ED3D3C"/>
    <w:rsid w:val="00ED689D"/>
    <w:rsid w:val="00F1132D"/>
    <w:rsid w:val="00F1236F"/>
    <w:rsid w:val="00F14C44"/>
    <w:rsid w:val="00F35D8B"/>
    <w:rsid w:val="00F375C9"/>
    <w:rsid w:val="00F4129F"/>
    <w:rsid w:val="00F4316B"/>
    <w:rsid w:val="00F5389B"/>
    <w:rsid w:val="00F60306"/>
    <w:rsid w:val="00F622A3"/>
    <w:rsid w:val="00F64DE2"/>
    <w:rsid w:val="00F64F1F"/>
    <w:rsid w:val="00F743FD"/>
    <w:rsid w:val="00F75B12"/>
    <w:rsid w:val="00F80C99"/>
    <w:rsid w:val="00F8539C"/>
    <w:rsid w:val="00F96555"/>
    <w:rsid w:val="00FA215D"/>
    <w:rsid w:val="00FC1236"/>
    <w:rsid w:val="00FC7000"/>
    <w:rsid w:val="00FE4F4D"/>
    <w:rsid w:val="00FE6DE9"/>
    <w:rsid w:val="00FF247E"/>
    <w:rsid w:val="00FF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459174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666713882">
      <w:bodyDiv w:val="1"/>
      <w:marLeft w:val="0"/>
      <w:marRight w:val="0"/>
      <w:marTop w:val="0"/>
      <w:marBottom w:val="0"/>
      <w:divBdr>
        <w:top w:val="none" w:sz="0" w:space="0" w:color="auto"/>
        <w:left w:val="none" w:sz="0" w:space="0" w:color="auto"/>
        <w:bottom w:val="none" w:sz="0" w:space="0" w:color="auto"/>
        <w:right w:val="none" w:sz="0" w:space="0" w:color="auto"/>
      </w:divBdr>
    </w:div>
    <w:div w:id="764375978">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301154493">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tps@census.gov" TargetMode="External"/><Relationship Id="rId4" Type="http://schemas.microsoft.com/office/2007/relationships/stylesWithEffects" Target="stylesWithEffects.xml"/><Relationship Id="rId9" Type="http://schemas.openxmlformats.org/officeDocument/2006/relationships/hyperlink" Target="https://respond.census.gov/ntpstq"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ces.ed.gov/pubs2013/2013314.pdf" TargetMode="External"/><Relationship Id="rId1" Type="http://schemas.openxmlformats.org/officeDocument/2006/relationships/hyperlink" Target="https://nces.ed.gov/pubs2017/201707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B53E0-3844-4EF4-859F-2362B983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4889</Words>
  <Characters>27872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2018-02-13T11:59:00Z</dcterms:created>
  <dcterms:modified xsi:type="dcterms:W3CDTF">2018-02-13T11:59:00Z</dcterms:modified>
</cp:coreProperties>
</file>