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4C3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71A61752" w14:textId="77777777" w:rsidR="00A92222" w:rsidRDefault="00A9222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14:paraId="0BD9A538" w14:textId="77777777" w:rsidR="00A92222" w:rsidRPr="00A92222" w:rsidRDefault="00A9222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Yukon-Kuskokwim Delta Berry Outlook</w:t>
      </w:r>
    </w:p>
    <w:p w14:paraId="37A415B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2CE19BB8" w14:textId="77777777"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0E6986">
        <w:rPr>
          <w:b/>
          <w:bCs/>
          <w:sz w:val="32"/>
          <w:szCs w:val="32"/>
        </w:rPr>
        <w:t>0122</w:t>
      </w:r>
    </w:p>
    <w:p w14:paraId="661FA8F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67A15A9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341CB39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4C234B5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D9F5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02A5E36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11E5B9" w14:textId="77777777" w:rsidR="008126AE" w:rsidRPr="008B21E0" w:rsidRDefault="008126AE" w:rsidP="008B21E0">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B21E0">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6A6C07D" w14:textId="77777777" w:rsidR="008B21E0" w:rsidRDefault="008B21E0" w:rsidP="008B21E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633312D" w14:textId="1D3ABD97" w:rsidR="000E6986" w:rsidRDefault="000E6986" w:rsidP="000E6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potential respondent universe</w:t>
      </w:r>
      <w:r w:rsidR="007A6309">
        <w:rPr>
          <w:sz w:val="24"/>
          <w:szCs w:val="24"/>
        </w:rPr>
        <w:t>, or sampling frame,</w:t>
      </w:r>
      <w:r>
        <w:rPr>
          <w:sz w:val="24"/>
          <w:szCs w:val="24"/>
        </w:rPr>
        <w:t xml:space="preserve"> includes all</w:t>
      </w:r>
      <w:r w:rsidR="00FF69A1">
        <w:rPr>
          <w:sz w:val="24"/>
          <w:szCs w:val="24"/>
        </w:rPr>
        <w:t xml:space="preserve"> occupied</w:t>
      </w:r>
      <w:r>
        <w:rPr>
          <w:sz w:val="24"/>
          <w:szCs w:val="24"/>
        </w:rPr>
        <w:t xml:space="preserve"> households in the Yukon-Kuskokwim</w:t>
      </w:r>
      <w:r w:rsidR="00D93F90">
        <w:rPr>
          <w:sz w:val="24"/>
          <w:szCs w:val="24"/>
        </w:rPr>
        <w:t xml:space="preserve"> (YK)</w:t>
      </w:r>
      <w:r>
        <w:rPr>
          <w:sz w:val="24"/>
          <w:szCs w:val="24"/>
        </w:rPr>
        <w:t xml:space="preserve"> Delta region of western Alaska</w:t>
      </w:r>
      <w:r w:rsidR="00FF69A1">
        <w:rPr>
          <w:sz w:val="24"/>
          <w:szCs w:val="24"/>
        </w:rPr>
        <w:t xml:space="preserve"> with the exception of households in the village of Bethel</w:t>
      </w:r>
      <w:r w:rsidR="000466BA">
        <w:rPr>
          <w:sz w:val="24"/>
          <w:szCs w:val="24"/>
        </w:rPr>
        <w:t xml:space="preserve">.  </w:t>
      </w:r>
      <w:r w:rsidR="00FF69A1">
        <w:rPr>
          <w:sz w:val="24"/>
          <w:szCs w:val="24"/>
        </w:rPr>
        <w:t>The village of Bethel will be excluded from our potential respondent universe as it is a more densely populated, more urban, and differs from the rest of the region in nearly all demographic categories and thus is not representative of our target population</w:t>
      </w:r>
      <w:r w:rsidR="00240283">
        <w:rPr>
          <w:sz w:val="24"/>
          <w:szCs w:val="24"/>
        </w:rPr>
        <w:t>.</w:t>
      </w:r>
      <w:r w:rsidR="00FF69A1">
        <w:rPr>
          <w:sz w:val="24"/>
          <w:szCs w:val="24"/>
        </w:rPr>
        <w:t xml:space="preserve"> </w:t>
      </w:r>
      <w:r>
        <w:rPr>
          <w:sz w:val="24"/>
          <w:szCs w:val="24"/>
        </w:rPr>
        <w:t>To determine the villages in this region we have used the service area of the Yukon-Kuskokwim Health Corporation (YKHC), which represents 58 federally recognized tribes served</w:t>
      </w:r>
      <w:r w:rsidR="00377753">
        <w:rPr>
          <w:sz w:val="24"/>
          <w:szCs w:val="24"/>
        </w:rPr>
        <w:t xml:space="preserve"> by five sub-regional clinics</w:t>
      </w:r>
      <w:r w:rsidR="00D02082">
        <w:rPr>
          <w:sz w:val="24"/>
          <w:szCs w:val="24"/>
        </w:rPr>
        <w:t xml:space="preserve"> and one regional clinic located in the major regional hub of Bethel</w:t>
      </w:r>
      <w:r w:rsidR="00377753">
        <w:rPr>
          <w:sz w:val="24"/>
          <w:szCs w:val="24"/>
        </w:rPr>
        <w:t xml:space="preserve">.  </w:t>
      </w:r>
      <w:r w:rsidR="00FF69A1">
        <w:rPr>
          <w:sz w:val="24"/>
          <w:szCs w:val="24"/>
        </w:rPr>
        <w:t>Excluding Bethel and using 2010 census data on occupied households our potential respondent universe includ</w:t>
      </w:r>
      <w:r w:rsidR="000466BA">
        <w:rPr>
          <w:sz w:val="24"/>
          <w:szCs w:val="24"/>
        </w:rPr>
        <w:t xml:space="preserve">es 4,240 households.  </w:t>
      </w:r>
      <w:r>
        <w:rPr>
          <w:sz w:val="24"/>
          <w:szCs w:val="24"/>
        </w:rPr>
        <w:t xml:space="preserve">We will </w:t>
      </w:r>
      <w:r w:rsidR="00D02082">
        <w:rPr>
          <w:sz w:val="24"/>
          <w:szCs w:val="24"/>
        </w:rPr>
        <w:t xml:space="preserve">use a </w:t>
      </w:r>
      <w:r w:rsidR="00D02082" w:rsidRPr="00536F7E">
        <w:rPr>
          <w:sz w:val="24"/>
          <w:szCs w:val="24"/>
        </w:rPr>
        <w:t xml:space="preserve">proportionate probability sampling </w:t>
      </w:r>
      <w:r w:rsidR="00D02082">
        <w:rPr>
          <w:sz w:val="24"/>
          <w:szCs w:val="24"/>
        </w:rPr>
        <w:t xml:space="preserve">method in which the chance of </w:t>
      </w:r>
      <w:r w:rsidR="00CF6659">
        <w:rPr>
          <w:sz w:val="24"/>
          <w:szCs w:val="24"/>
        </w:rPr>
        <w:t xml:space="preserve">a household’s </w:t>
      </w:r>
      <w:r w:rsidR="00D02082">
        <w:rPr>
          <w:sz w:val="24"/>
          <w:szCs w:val="24"/>
        </w:rPr>
        <w:t xml:space="preserve">selection is based on the percent of households represented by each region.  </w:t>
      </w:r>
      <w:r w:rsidR="00CF6659">
        <w:rPr>
          <w:sz w:val="24"/>
          <w:szCs w:val="24"/>
        </w:rPr>
        <w:t>This will ensure proportionate representation of different geographic and environmental regions in the YK Delta.</w:t>
      </w:r>
      <w:r w:rsidR="000466BA">
        <w:rPr>
          <w:sz w:val="24"/>
          <w:szCs w:val="24"/>
        </w:rPr>
        <w:t xml:space="preserve">  We are targeting households as our sampling unit as berries are harvested at the household level.  </w:t>
      </w:r>
      <w:r>
        <w:rPr>
          <w:sz w:val="24"/>
          <w:szCs w:val="24"/>
        </w:rPr>
        <w:t xml:space="preserve">We have no way of estimating the expected response rate as we have never used this mode of survey administration in this region.  </w:t>
      </w:r>
    </w:p>
    <w:p w14:paraId="44F23831"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6291C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2F7F0C2F"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380323D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6B82D4DB"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152CC90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7228C192"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Any use of periodic (less frequent than annual) data collection cycles to reduce burden.</w:t>
      </w:r>
    </w:p>
    <w:p w14:paraId="2096E871" w14:textId="77777777" w:rsidR="000466BA" w:rsidRDefault="000466B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585FE7D4" w14:textId="45D31FA1" w:rsidR="00536F7E" w:rsidRDefault="000466BA" w:rsidP="00536F7E">
      <w:pPr>
        <w:rPr>
          <w:sz w:val="24"/>
        </w:rPr>
      </w:pPr>
      <w:r>
        <w:rPr>
          <w:sz w:val="24"/>
          <w:szCs w:val="24"/>
        </w:rPr>
        <w:t xml:space="preserve">Information will be collected via a mailed, self-administered, household survey.  Households will be randomly </w:t>
      </w:r>
      <w:r w:rsidR="00AC7C03">
        <w:rPr>
          <w:sz w:val="24"/>
          <w:szCs w:val="24"/>
        </w:rPr>
        <w:t>selected from each region based on the proportion of to</w:t>
      </w:r>
      <w:r w:rsidR="00536F7E">
        <w:rPr>
          <w:sz w:val="24"/>
          <w:szCs w:val="24"/>
        </w:rPr>
        <w:t xml:space="preserve">tal households in each region.  </w:t>
      </w:r>
      <w:r w:rsidR="00536F7E" w:rsidRPr="00536F7E">
        <w:rPr>
          <w:sz w:val="24"/>
        </w:rPr>
        <w:t xml:space="preserve">Each </w:t>
      </w:r>
      <w:r w:rsidR="00536F7E">
        <w:rPr>
          <w:sz w:val="24"/>
        </w:rPr>
        <w:t xml:space="preserve">of the six </w:t>
      </w:r>
      <w:r w:rsidR="00536F7E" w:rsidRPr="00536F7E">
        <w:rPr>
          <w:sz w:val="24"/>
        </w:rPr>
        <w:t>region</w:t>
      </w:r>
      <w:r w:rsidR="00536F7E">
        <w:rPr>
          <w:sz w:val="24"/>
        </w:rPr>
        <w:t>s</w:t>
      </w:r>
      <w:r w:rsidR="00536F7E" w:rsidRPr="00536F7E">
        <w:rPr>
          <w:sz w:val="24"/>
        </w:rPr>
        <w:t xml:space="preserve"> was assigned a number</w:t>
      </w:r>
      <w:r w:rsidR="00536F7E">
        <w:rPr>
          <w:sz w:val="24"/>
        </w:rPr>
        <w:t xml:space="preserve"> (1-6) randomly and each household within each region assigned a</w:t>
      </w:r>
      <w:r w:rsidR="0042287F">
        <w:rPr>
          <w:sz w:val="24"/>
        </w:rPr>
        <w:t xml:space="preserve"> number from 1-n, n</w:t>
      </w:r>
      <w:r w:rsidR="00536F7E">
        <w:rPr>
          <w:sz w:val="24"/>
        </w:rPr>
        <w:t xml:space="preserve"> being the total number of households within the</w:t>
      </w:r>
      <w:r w:rsidR="00D93F90">
        <w:rPr>
          <w:sz w:val="24"/>
        </w:rPr>
        <w:t xml:space="preserve"> specific</w:t>
      </w:r>
      <w:r w:rsidR="00536F7E">
        <w:rPr>
          <w:sz w:val="24"/>
        </w:rPr>
        <w:t xml:space="preserve"> region.  Household numbers were assigned by sorting the names of the villages within each region alphabetically and then numbering households starting with the lowest address number and proceeding sequentially through all villages in each region.  A random number generator was used to select households by generating a separate group of numbers for each region based on a proportionate sample (villages locat</w:t>
      </w:r>
      <w:r w:rsidR="00C671CD">
        <w:rPr>
          <w:sz w:val="24"/>
        </w:rPr>
        <w:t>ed in a more densely populated region have a greater chance of being selected).  The number of sampling units generated for each region was dependent on the percentage of households represented in each region in order to obtain an overall sample of 150 households.  This is shown in Table 1.</w:t>
      </w:r>
    </w:p>
    <w:p w14:paraId="724D935E" w14:textId="77777777" w:rsidR="00C671CD" w:rsidRDefault="00C671CD" w:rsidP="00536F7E">
      <w:pPr>
        <w:rPr>
          <w:sz w:val="24"/>
        </w:rPr>
      </w:pPr>
    </w:p>
    <w:tbl>
      <w:tblPr>
        <w:tblStyle w:val="TableGrid"/>
        <w:tblW w:w="0" w:type="auto"/>
        <w:tblLook w:val="04A0" w:firstRow="1" w:lastRow="0" w:firstColumn="1" w:lastColumn="0" w:noHBand="0" w:noVBand="1"/>
      </w:tblPr>
      <w:tblGrid>
        <w:gridCol w:w="1944"/>
        <w:gridCol w:w="2484"/>
        <w:gridCol w:w="2340"/>
        <w:gridCol w:w="2700"/>
      </w:tblGrid>
      <w:tr w:rsidR="008C13CB" w14:paraId="0E1A999F" w14:textId="77777777" w:rsidTr="00D93F90">
        <w:tc>
          <w:tcPr>
            <w:tcW w:w="1944" w:type="dxa"/>
          </w:tcPr>
          <w:p w14:paraId="251B77CF" w14:textId="77777777" w:rsidR="008C13CB" w:rsidRPr="00124588" w:rsidRDefault="008C13CB" w:rsidP="00C2292E">
            <w:pPr>
              <w:rPr>
                <w:b/>
              </w:rPr>
            </w:pPr>
            <w:r w:rsidRPr="00124588">
              <w:rPr>
                <w:b/>
              </w:rPr>
              <w:t>Regions</w:t>
            </w:r>
          </w:p>
        </w:tc>
        <w:tc>
          <w:tcPr>
            <w:tcW w:w="2484" w:type="dxa"/>
          </w:tcPr>
          <w:p w14:paraId="29D00104" w14:textId="77777777" w:rsidR="008C13CB" w:rsidRPr="00124588" w:rsidRDefault="008C13CB" w:rsidP="00C2292E">
            <w:pPr>
              <w:rPr>
                <w:b/>
              </w:rPr>
            </w:pPr>
            <w:r w:rsidRPr="00124588">
              <w:rPr>
                <w:b/>
              </w:rPr>
              <w:t>Number of Households</w:t>
            </w:r>
          </w:p>
        </w:tc>
        <w:tc>
          <w:tcPr>
            <w:tcW w:w="2340" w:type="dxa"/>
          </w:tcPr>
          <w:p w14:paraId="2BC3AE80" w14:textId="77777777" w:rsidR="008C13CB" w:rsidRPr="00124588" w:rsidRDefault="008C13CB" w:rsidP="00C2292E">
            <w:pPr>
              <w:rPr>
                <w:b/>
              </w:rPr>
            </w:pPr>
            <w:r w:rsidRPr="00124588">
              <w:rPr>
                <w:b/>
              </w:rPr>
              <w:t>Percentage of households</w:t>
            </w:r>
          </w:p>
        </w:tc>
        <w:tc>
          <w:tcPr>
            <w:tcW w:w="2700" w:type="dxa"/>
          </w:tcPr>
          <w:p w14:paraId="0D0A393F" w14:textId="77777777" w:rsidR="008C13CB" w:rsidRPr="00124588" w:rsidRDefault="008C13CB" w:rsidP="00C2292E">
            <w:pPr>
              <w:rPr>
                <w:b/>
              </w:rPr>
            </w:pPr>
            <w:r w:rsidRPr="00124588">
              <w:rPr>
                <w:b/>
              </w:rPr>
              <w:t>Sample per region</w:t>
            </w:r>
          </w:p>
        </w:tc>
      </w:tr>
      <w:tr w:rsidR="008C13CB" w14:paraId="02A756E4" w14:textId="77777777" w:rsidTr="00D93F90">
        <w:tc>
          <w:tcPr>
            <w:tcW w:w="1944" w:type="dxa"/>
          </w:tcPr>
          <w:p w14:paraId="2D841D83" w14:textId="77777777" w:rsidR="008C13CB" w:rsidRDefault="008C13CB" w:rsidP="00C2292E">
            <w:r>
              <w:t>Region 1</w:t>
            </w:r>
          </w:p>
        </w:tc>
        <w:tc>
          <w:tcPr>
            <w:tcW w:w="2484" w:type="dxa"/>
          </w:tcPr>
          <w:p w14:paraId="406CFFA2" w14:textId="77777777" w:rsidR="008C13CB" w:rsidRDefault="008C13CB" w:rsidP="00C2292E">
            <w:r>
              <w:t>516</w:t>
            </w:r>
          </w:p>
        </w:tc>
        <w:tc>
          <w:tcPr>
            <w:tcW w:w="2340" w:type="dxa"/>
          </w:tcPr>
          <w:p w14:paraId="3097C9E9" w14:textId="77777777" w:rsidR="008C13CB" w:rsidRDefault="008C13CB" w:rsidP="00C2292E">
            <w:r>
              <w:t>12</w:t>
            </w:r>
          </w:p>
        </w:tc>
        <w:tc>
          <w:tcPr>
            <w:tcW w:w="2700" w:type="dxa"/>
          </w:tcPr>
          <w:p w14:paraId="4A29C43D" w14:textId="77777777" w:rsidR="008C13CB" w:rsidRDefault="008C13CB" w:rsidP="00C2292E">
            <w:r>
              <w:t>18</w:t>
            </w:r>
          </w:p>
        </w:tc>
      </w:tr>
      <w:tr w:rsidR="008C13CB" w14:paraId="2F8C73D0" w14:textId="77777777" w:rsidTr="00D93F90">
        <w:tc>
          <w:tcPr>
            <w:tcW w:w="1944" w:type="dxa"/>
          </w:tcPr>
          <w:p w14:paraId="68BD1CD4" w14:textId="77777777" w:rsidR="008C13CB" w:rsidRDefault="008C13CB" w:rsidP="00C2292E">
            <w:r>
              <w:t>Region 2</w:t>
            </w:r>
          </w:p>
        </w:tc>
        <w:tc>
          <w:tcPr>
            <w:tcW w:w="2484" w:type="dxa"/>
          </w:tcPr>
          <w:p w14:paraId="3A07CD1B" w14:textId="77777777" w:rsidR="008C13CB" w:rsidRDefault="008C13CB" w:rsidP="00C2292E">
            <w:r>
              <w:t>561</w:t>
            </w:r>
          </w:p>
        </w:tc>
        <w:tc>
          <w:tcPr>
            <w:tcW w:w="2340" w:type="dxa"/>
          </w:tcPr>
          <w:p w14:paraId="5854585A" w14:textId="77777777" w:rsidR="008C13CB" w:rsidRDefault="008C13CB" w:rsidP="00C2292E">
            <w:r>
              <w:t>13</w:t>
            </w:r>
          </w:p>
        </w:tc>
        <w:tc>
          <w:tcPr>
            <w:tcW w:w="2700" w:type="dxa"/>
          </w:tcPr>
          <w:p w14:paraId="36CE62D7" w14:textId="77777777" w:rsidR="008C13CB" w:rsidRDefault="008C13CB" w:rsidP="00C2292E">
            <w:r>
              <w:t>20</w:t>
            </w:r>
          </w:p>
        </w:tc>
      </w:tr>
      <w:tr w:rsidR="008C13CB" w14:paraId="270603CC" w14:textId="77777777" w:rsidTr="00D93F90">
        <w:tc>
          <w:tcPr>
            <w:tcW w:w="1944" w:type="dxa"/>
          </w:tcPr>
          <w:p w14:paraId="3A43B33A" w14:textId="77777777" w:rsidR="008C13CB" w:rsidRDefault="008C13CB" w:rsidP="00C2292E">
            <w:r>
              <w:t>Region 3</w:t>
            </w:r>
          </w:p>
        </w:tc>
        <w:tc>
          <w:tcPr>
            <w:tcW w:w="2484" w:type="dxa"/>
          </w:tcPr>
          <w:p w14:paraId="523F888B" w14:textId="77777777" w:rsidR="008C13CB" w:rsidRDefault="008C13CB" w:rsidP="00C2292E">
            <w:r>
              <w:t>416</w:t>
            </w:r>
          </w:p>
        </w:tc>
        <w:tc>
          <w:tcPr>
            <w:tcW w:w="2340" w:type="dxa"/>
          </w:tcPr>
          <w:p w14:paraId="6A66197B" w14:textId="77777777" w:rsidR="008C13CB" w:rsidRDefault="008C13CB" w:rsidP="00C2292E">
            <w:r>
              <w:t>10</w:t>
            </w:r>
          </w:p>
        </w:tc>
        <w:tc>
          <w:tcPr>
            <w:tcW w:w="2700" w:type="dxa"/>
          </w:tcPr>
          <w:p w14:paraId="69EC6D7B" w14:textId="77777777" w:rsidR="008C13CB" w:rsidRDefault="008C13CB" w:rsidP="00C2292E">
            <w:r>
              <w:t>15</w:t>
            </w:r>
          </w:p>
        </w:tc>
      </w:tr>
      <w:tr w:rsidR="008C13CB" w14:paraId="7D7BD8A2" w14:textId="77777777" w:rsidTr="00D93F90">
        <w:tc>
          <w:tcPr>
            <w:tcW w:w="1944" w:type="dxa"/>
          </w:tcPr>
          <w:p w14:paraId="2CCC7A68" w14:textId="77777777" w:rsidR="008C13CB" w:rsidRDefault="008C13CB" w:rsidP="00C2292E">
            <w:r>
              <w:t>Region 4</w:t>
            </w:r>
          </w:p>
        </w:tc>
        <w:tc>
          <w:tcPr>
            <w:tcW w:w="2484" w:type="dxa"/>
          </w:tcPr>
          <w:p w14:paraId="3B80C4B1" w14:textId="77777777" w:rsidR="008C13CB" w:rsidRDefault="008C13CB" w:rsidP="00C2292E">
            <w:r>
              <w:t>1445</w:t>
            </w:r>
          </w:p>
        </w:tc>
        <w:tc>
          <w:tcPr>
            <w:tcW w:w="2340" w:type="dxa"/>
          </w:tcPr>
          <w:p w14:paraId="56069D21" w14:textId="77777777" w:rsidR="008C13CB" w:rsidRDefault="008C13CB" w:rsidP="00C2292E">
            <w:r>
              <w:t>34</w:t>
            </w:r>
          </w:p>
        </w:tc>
        <w:tc>
          <w:tcPr>
            <w:tcW w:w="2700" w:type="dxa"/>
          </w:tcPr>
          <w:p w14:paraId="56C6EB3B" w14:textId="77777777" w:rsidR="008C13CB" w:rsidRDefault="008C13CB" w:rsidP="00C2292E">
            <w:r>
              <w:t>51</w:t>
            </w:r>
          </w:p>
        </w:tc>
      </w:tr>
      <w:tr w:rsidR="008C13CB" w14:paraId="697EBAAC" w14:textId="77777777" w:rsidTr="00D93F90">
        <w:tc>
          <w:tcPr>
            <w:tcW w:w="1944" w:type="dxa"/>
          </w:tcPr>
          <w:p w14:paraId="1332B05F" w14:textId="77777777" w:rsidR="008C13CB" w:rsidRDefault="008C13CB" w:rsidP="00C2292E">
            <w:r>
              <w:t>Region 5</w:t>
            </w:r>
          </w:p>
        </w:tc>
        <w:tc>
          <w:tcPr>
            <w:tcW w:w="2484" w:type="dxa"/>
          </w:tcPr>
          <w:p w14:paraId="1AA4E72F" w14:textId="77777777" w:rsidR="008C13CB" w:rsidRDefault="008C13CB" w:rsidP="00C2292E">
            <w:r>
              <w:t>587</w:t>
            </w:r>
          </w:p>
        </w:tc>
        <w:tc>
          <w:tcPr>
            <w:tcW w:w="2340" w:type="dxa"/>
          </w:tcPr>
          <w:p w14:paraId="4345B22B" w14:textId="77777777" w:rsidR="008C13CB" w:rsidRDefault="008C13CB" w:rsidP="00C2292E">
            <w:r>
              <w:t>14</w:t>
            </w:r>
          </w:p>
        </w:tc>
        <w:tc>
          <w:tcPr>
            <w:tcW w:w="2700" w:type="dxa"/>
          </w:tcPr>
          <w:p w14:paraId="63D0E905" w14:textId="77777777" w:rsidR="008C13CB" w:rsidRDefault="008C13CB" w:rsidP="00C2292E">
            <w:r>
              <w:t>21</w:t>
            </w:r>
          </w:p>
        </w:tc>
      </w:tr>
      <w:tr w:rsidR="008C13CB" w14:paraId="5759B158" w14:textId="77777777" w:rsidTr="00D93F90">
        <w:tc>
          <w:tcPr>
            <w:tcW w:w="1944" w:type="dxa"/>
          </w:tcPr>
          <w:p w14:paraId="3DCC353F" w14:textId="77777777" w:rsidR="008C13CB" w:rsidRDefault="008C13CB" w:rsidP="00C2292E">
            <w:r>
              <w:t>Region 6</w:t>
            </w:r>
          </w:p>
        </w:tc>
        <w:tc>
          <w:tcPr>
            <w:tcW w:w="2484" w:type="dxa"/>
          </w:tcPr>
          <w:p w14:paraId="5E2386C7" w14:textId="77777777" w:rsidR="008C13CB" w:rsidRDefault="008C13CB" w:rsidP="00C2292E">
            <w:r>
              <w:t>715</w:t>
            </w:r>
          </w:p>
        </w:tc>
        <w:tc>
          <w:tcPr>
            <w:tcW w:w="2340" w:type="dxa"/>
          </w:tcPr>
          <w:p w14:paraId="13F678C8" w14:textId="77777777" w:rsidR="008C13CB" w:rsidRDefault="008C13CB" w:rsidP="00C2292E">
            <w:r>
              <w:t>17</w:t>
            </w:r>
          </w:p>
        </w:tc>
        <w:tc>
          <w:tcPr>
            <w:tcW w:w="2700" w:type="dxa"/>
          </w:tcPr>
          <w:p w14:paraId="71844720" w14:textId="77777777" w:rsidR="008C13CB" w:rsidRDefault="008C13CB" w:rsidP="00C2292E">
            <w:r>
              <w:t>25</w:t>
            </w:r>
          </w:p>
        </w:tc>
      </w:tr>
      <w:tr w:rsidR="008C13CB" w14:paraId="469BF8F0" w14:textId="77777777" w:rsidTr="00D93F90">
        <w:tc>
          <w:tcPr>
            <w:tcW w:w="1944" w:type="dxa"/>
          </w:tcPr>
          <w:p w14:paraId="26F56831" w14:textId="77777777" w:rsidR="008C13CB" w:rsidRPr="00124588" w:rsidRDefault="008C13CB" w:rsidP="00C2292E">
            <w:pPr>
              <w:rPr>
                <w:b/>
              </w:rPr>
            </w:pPr>
            <w:r w:rsidRPr="00124588">
              <w:rPr>
                <w:b/>
              </w:rPr>
              <w:t xml:space="preserve">Total </w:t>
            </w:r>
          </w:p>
        </w:tc>
        <w:tc>
          <w:tcPr>
            <w:tcW w:w="2484" w:type="dxa"/>
          </w:tcPr>
          <w:p w14:paraId="2FAAF6DE" w14:textId="77777777" w:rsidR="008C13CB" w:rsidRPr="00124588" w:rsidRDefault="008C13CB" w:rsidP="00C2292E">
            <w:pPr>
              <w:rPr>
                <w:b/>
              </w:rPr>
            </w:pPr>
            <w:r w:rsidRPr="00124588">
              <w:rPr>
                <w:b/>
              </w:rPr>
              <w:t>4240</w:t>
            </w:r>
          </w:p>
        </w:tc>
        <w:tc>
          <w:tcPr>
            <w:tcW w:w="2340" w:type="dxa"/>
          </w:tcPr>
          <w:p w14:paraId="4CCD7F09" w14:textId="77777777" w:rsidR="008C13CB" w:rsidRPr="00124588" w:rsidRDefault="008C13CB" w:rsidP="00C2292E">
            <w:pPr>
              <w:rPr>
                <w:b/>
              </w:rPr>
            </w:pPr>
            <w:r w:rsidRPr="00124588">
              <w:rPr>
                <w:b/>
              </w:rPr>
              <w:t>100</w:t>
            </w:r>
          </w:p>
        </w:tc>
        <w:tc>
          <w:tcPr>
            <w:tcW w:w="2700" w:type="dxa"/>
          </w:tcPr>
          <w:p w14:paraId="028F54B0" w14:textId="77777777" w:rsidR="008C13CB" w:rsidRPr="00124588" w:rsidRDefault="008C13CB" w:rsidP="00C2292E">
            <w:pPr>
              <w:rPr>
                <w:b/>
              </w:rPr>
            </w:pPr>
            <w:r w:rsidRPr="00124588">
              <w:rPr>
                <w:b/>
              </w:rPr>
              <w:t>150</w:t>
            </w:r>
          </w:p>
        </w:tc>
      </w:tr>
    </w:tbl>
    <w:p w14:paraId="68A9ED4C" w14:textId="77777777" w:rsidR="00C671CD" w:rsidRDefault="00C671CD" w:rsidP="00536F7E">
      <w:pPr>
        <w:rPr>
          <w:sz w:val="24"/>
        </w:rPr>
      </w:pPr>
    </w:p>
    <w:p w14:paraId="5A015BD8" w14:textId="77777777" w:rsidR="000466BA" w:rsidRPr="000466BA" w:rsidRDefault="000466BA" w:rsidP="00AC7C0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2D4224" w14:textId="77777777" w:rsidR="000466BA" w:rsidRDefault="00536F7E" w:rsidP="006D558A">
      <w:pPr>
        <w:pStyle w:val="Level1"/>
        <w:numPr>
          <w:ilvl w:val="0"/>
          <w:numId w:val="0"/>
        </w:numPr>
        <w:tabs>
          <w:tab w:val="left" w:pos="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b/>
        </w:rPr>
      </w:pPr>
      <w:r w:rsidRPr="006D558A">
        <w:rPr>
          <w:bCs/>
          <w:color w:val="000000"/>
        </w:rPr>
        <w:t>No estimation procedures are needed beyond the stratified random sampling of household region combinations describe</w:t>
      </w:r>
      <w:r w:rsidR="006D558A" w:rsidRPr="006D558A">
        <w:rPr>
          <w:bCs/>
          <w:color w:val="000000"/>
        </w:rPr>
        <w:t>d above.  Given the size of the sample and an anticipated response rate of 66% we expect</w:t>
      </w:r>
      <w:r w:rsidRPr="006D558A">
        <w:rPr>
          <w:bCs/>
          <w:color w:val="000000"/>
        </w:rPr>
        <w:t xml:space="preserve"> </w:t>
      </w:r>
      <w:r w:rsidR="006D558A" w:rsidRPr="006D558A">
        <w:rPr>
          <w:bCs/>
          <w:color w:val="000000"/>
        </w:rPr>
        <w:t xml:space="preserve">to </w:t>
      </w:r>
      <w:r w:rsidR="006D558A" w:rsidRPr="006D558A">
        <w:rPr>
          <w:color w:val="000000"/>
        </w:rPr>
        <w:t>achieve +/- 10% accuracy with 95% confidence.</w:t>
      </w:r>
      <w:r w:rsidR="006D558A">
        <w:rPr>
          <w:color w:val="000000"/>
        </w:rPr>
        <w:t xml:space="preserve">  There are no unusual problems that we are aware of that require specialized sampling procedures. </w:t>
      </w:r>
    </w:p>
    <w:p w14:paraId="404F1C4B" w14:textId="77777777" w:rsidR="000466BA" w:rsidRPr="005C17DE" w:rsidRDefault="000466B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5FD5273" w14:textId="77777777" w:rsidR="008126AE" w:rsidRPr="00FF69A1" w:rsidRDefault="008126AE" w:rsidP="00FF69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F69A1">
        <w:rPr>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250C59E"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BA0EF1" w14:textId="7637FD44" w:rsidR="00B92936" w:rsidRDefault="006D558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Traditional methods to maximize response rates will be used</w:t>
      </w:r>
      <w:r w:rsidR="000C6BFD">
        <w:rPr>
          <w:sz w:val="24"/>
          <w:szCs w:val="24"/>
        </w:rPr>
        <w:t>, specifically we will use the method of multiple carefully designed contacts that are strategically timed (Dillman</w:t>
      </w:r>
      <w:r>
        <w:rPr>
          <w:sz w:val="24"/>
          <w:szCs w:val="24"/>
        </w:rPr>
        <w:t>.</w:t>
      </w:r>
      <w:r w:rsidR="00D93F90">
        <w:rPr>
          <w:sz w:val="24"/>
          <w:szCs w:val="24"/>
        </w:rPr>
        <w:t xml:space="preserve"> Smyth, and Christian 2014).</w:t>
      </w:r>
      <w:r>
        <w:rPr>
          <w:sz w:val="24"/>
          <w:szCs w:val="24"/>
        </w:rPr>
        <w:t xml:space="preserve">  This</w:t>
      </w:r>
      <w:r w:rsidR="000C6BFD">
        <w:rPr>
          <w:sz w:val="24"/>
          <w:szCs w:val="24"/>
        </w:rPr>
        <w:t xml:space="preserve"> will include a pre-notice letter to introduce the project and let the respondent know that the survey is coming followed by an invitational letter, the survey itself, and a postage paid envelope to return the survey roughly a week later.  The following week respondents will receive a postcard thanking them for participating in the survey, which also serves as a reminder for those who have not yet completed the survey.  Roughly two-weeks later a follow up reminder letter will be mailed to all non-respondents with a replacement survey and replacement postage paid return envelope.  </w:t>
      </w:r>
      <w:r>
        <w:rPr>
          <w:sz w:val="24"/>
          <w:szCs w:val="24"/>
        </w:rPr>
        <w:t xml:space="preserve"> </w:t>
      </w:r>
    </w:p>
    <w:p w14:paraId="1FDC3DDF" w14:textId="77777777" w:rsidR="002964CE" w:rsidRPr="002964CE" w:rsidRDefault="002964C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3E537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515436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C72586" w14:textId="77777777" w:rsidR="001435C6" w:rsidRDefault="0042287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survey has been revised based on results and feedback from a previously administered survey.  </w:t>
      </w:r>
      <w:r w:rsidR="001435C6">
        <w:rPr>
          <w:sz w:val="24"/>
          <w:szCs w:val="24"/>
        </w:rPr>
        <w:t xml:space="preserve">The </w:t>
      </w:r>
      <w:r>
        <w:rPr>
          <w:sz w:val="24"/>
          <w:szCs w:val="24"/>
        </w:rPr>
        <w:t xml:space="preserve">updated </w:t>
      </w:r>
      <w:r w:rsidR="001435C6">
        <w:rPr>
          <w:sz w:val="24"/>
          <w:szCs w:val="24"/>
        </w:rPr>
        <w:t>survey has been circulated to community members in the villages participating in the study as well as experts in the field</w:t>
      </w:r>
      <w:r w:rsidR="007544D4">
        <w:rPr>
          <w:sz w:val="24"/>
          <w:szCs w:val="24"/>
        </w:rPr>
        <w:t xml:space="preserve"> for comment</w:t>
      </w:r>
      <w:r>
        <w:rPr>
          <w:sz w:val="24"/>
          <w:szCs w:val="24"/>
        </w:rPr>
        <w:t xml:space="preserve">.  </w:t>
      </w:r>
      <w:r w:rsidR="001435C6">
        <w:rPr>
          <w:sz w:val="24"/>
          <w:szCs w:val="24"/>
        </w:rPr>
        <w:t xml:space="preserve">No further tests are planned. </w:t>
      </w:r>
    </w:p>
    <w:p w14:paraId="31F7698F"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9971A8"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48AA2AA6"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332FC72" w14:textId="5CFC14E2" w:rsidR="005C17DE" w:rsidRDefault="001435C6" w:rsidP="00D93F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Nicole Herman-Mercer</w:t>
      </w:r>
      <w:r w:rsidR="00D93F90">
        <w:rPr>
          <w:sz w:val="24"/>
          <w:szCs w:val="24"/>
        </w:rPr>
        <w:t xml:space="preserve">, Social Scientist, USGS – Water Mission Area ph. 303-236-5031 and Rachel Loehman, Research Ecologist, USGS – Alaska Science Center ph. </w:t>
      </w:r>
      <w:r w:rsidR="00D93F90" w:rsidRPr="00D93F90">
        <w:rPr>
          <w:sz w:val="24"/>
          <w:szCs w:val="24"/>
          <w:shd w:val="clear" w:color="auto" w:fill="FFFFFF"/>
        </w:rPr>
        <w:t>505-724-3664</w:t>
      </w:r>
      <w:r w:rsidRPr="00D93F90">
        <w:rPr>
          <w:sz w:val="24"/>
          <w:szCs w:val="24"/>
        </w:rPr>
        <w:t xml:space="preserve"> </w:t>
      </w:r>
      <w:r>
        <w:rPr>
          <w:sz w:val="24"/>
          <w:szCs w:val="24"/>
        </w:rPr>
        <w:t>will actually collect and analyze the information for the USGS.</w:t>
      </w:r>
    </w:p>
    <w:p w14:paraId="4DBA139E" w14:textId="768F755A" w:rsidR="00D93F90" w:rsidRDefault="00D93F90" w:rsidP="00D93F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95FF8B" w14:textId="26989512" w:rsidR="00D93F90" w:rsidRDefault="00D93F90" w:rsidP="00D93F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D93F90">
        <w:rPr>
          <w:sz w:val="24"/>
          <w:szCs w:val="24"/>
          <w:u w:val="single"/>
        </w:rPr>
        <w:t>References</w:t>
      </w:r>
    </w:p>
    <w:p w14:paraId="469BAD4E" w14:textId="77777777" w:rsidR="00D93F90" w:rsidRPr="00D93F90" w:rsidRDefault="00D93F90" w:rsidP="00D93F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26B5AE00" w14:textId="21CE032A" w:rsidR="00D93F90" w:rsidRPr="00D93F90" w:rsidRDefault="00D93F90" w:rsidP="00D93F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93F90">
        <w:rPr>
          <w:color w:val="222222"/>
          <w:sz w:val="24"/>
          <w:szCs w:val="24"/>
          <w:shd w:val="clear" w:color="auto" w:fill="FFFFFF"/>
        </w:rPr>
        <w:t>Dillman, D. A., Smyth, J. D., &amp; Christian, L. M. (2014). Internet, Phone, Mail, and Mixed‐Method Surveys: The Tailored Design Method.</w:t>
      </w:r>
    </w:p>
    <w:p w14:paraId="4EB87E7D"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D9512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3F7C7E">
        <w:rPr>
          <w:sz w:val="24"/>
          <w:szCs w:val="24"/>
        </w:rPr>
        <w:t>OMB-</w:t>
      </w:r>
      <w:r>
        <w:rPr>
          <w:sz w:val="24"/>
          <w:szCs w:val="24"/>
        </w:rPr>
        <w:t>OIRA has produced a number of documents that may serve as useful reference material for completing Supporting Statement B.  These can be found at:</w:t>
      </w:r>
    </w:p>
    <w:p w14:paraId="2A0A6962" w14:textId="77777777" w:rsidR="00A76BEF" w:rsidRDefault="00F360FC"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hyperlink r:id="rId9" w:history="1">
        <w:r w:rsidR="00A76BEF" w:rsidRPr="00941192">
          <w:rPr>
            <w:rStyle w:val="Hyperlink"/>
            <w:sz w:val="24"/>
            <w:szCs w:val="24"/>
          </w:rPr>
          <w:t>http://www.whitehouse.gov/omb/inforeg_statpolicy</w:t>
        </w:r>
      </w:hyperlink>
      <w:r w:rsidR="00A76BEF">
        <w:rPr>
          <w:sz w:val="24"/>
          <w:szCs w:val="24"/>
        </w:rPr>
        <w:t>]</w:t>
      </w:r>
    </w:p>
    <w:sectPr w:rsidR="00A76BEF" w:rsidSect="00EB3B4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3C441" w14:textId="77777777" w:rsidR="00557235" w:rsidRDefault="00557235" w:rsidP="00320B2A">
      <w:r>
        <w:separator/>
      </w:r>
    </w:p>
  </w:endnote>
  <w:endnote w:type="continuationSeparator" w:id="0">
    <w:p w14:paraId="45EC544B" w14:textId="77777777" w:rsidR="00557235" w:rsidRDefault="00557235"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8CE02" w14:textId="77777777" w:rsidR="00320B2A" w:rsidRDefault="00320B2A"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3F359" w14:textId="77777777" w:rsidR="00320B2A" w:rsidRDefault="00320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327FB" w:rsidRPr="004513E4" w14:paraId="6622C794" w14:textId="77777777" w:rsidTr="004513E4">
          <w:tc>
            <w:tcPr>
              <w:tcW w:w="6750" w:type="dxa"/>
            </w:tcPr>
            <w:p w14:paraId="3F97073F" w14:textId="77777777" w:rsidR="000327FB" w:rsidRPr="004513E4" w:rsidRDefault="00557235" w:rsidP="004513E4">
              <w:pPr>
                <w:pStyle w:val="Footer"/>
              </w:pPr>
              <w:r>
                <w:fldChar w:fldCharType="begin"/>
              </w:r>
              <w:r>
                <w:instrText xml:space="preserve"> FILENAME   \* MERGEFORMAT </w:instrText>
              </w:r>
              <w:r>
                <w:fldChar w:fldCharType="separate"/>
              </w:r>
              <w:r w:rsidR="007B61E0">
                <w:rPr>
                  <w:noProof/>
                </w:rPr>
                <w:t>1028- Template SS-B 2015.docx</w:t>
              </w:r>
              <w:r>
                <w:rPr>
                  <w:noProof/>
                </w:rPr>
                <w:fldChar w:fldCharType="end"/>
              </w:r>
            </w:p>
          </w:tc>
          <w:tc>
            <w:tcPr>
              <w:tcW w:w="2600" w:type="dxa"/>
            </w:tcPr>
            <w:p w14:paraId="1FFDC95D" w14:textId="77777777" w:rsidR="000327FB" w:rsidRPr="004513E4" w:rsidRDefault="000327F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F360FC">
                <w:rPr>
                  <w:rFonts w:cs="Arial"/>
                  <w:noProof/>
                </w:rPr>
                <w:t>1</w:t>
              </w:r>
              <w:r w:rsidRPr="004513E4">
                <w:rPr>
                  <w:rFonts w:cs="Arial"/>
                </w:rPr>
                <w:fldChar w:fldCharType="end"/>
              </w:r>
            </w:p>
          </w:tc>
        </w:tr>
      </w:tbl>
      <w:p w14:paraId="5F4F6DF4" w14:textId="77777777" w:rsidR="000327FB" w:rsidRPr="004513E4" w:rsidRDefault="000327FB">
        <w:pPr>
          <w:pStyle w:val="Footer"/>
        </w:pPr>
      </w:p>
      <w:p w14:paraId="053A06C8" w14:textId="77777777" w:rsidR="00320B2A" w:rsidRPr="001272A9" w:rsidRDefault="00F360FC"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6A871" w14:textId="77777777" w:rsidR="00557235" w:rsidRDefault="00557235" w:rsidP="00320B2A">
      <w:r>
        <w:separator/>
      </w:r>
    </w:p>
  </w:footnote>
  <w:footnote w:type="continuationSeparator" w:id="0">
    <w:p w14:paraId="0825A870" w14:textId="77777777" w:rsidR="00557235" w:rsidRDefault="00557235"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52024EE5"/>
    <w:multiLevelType w:val="hybridMultilevel"/>
    <w:tmpl w:val="CA886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327FB"/>
    <w:rsid w:val="000466BA"/>
    <w:rsid w:val="000C30DF"/>
    <w:rsid w:val="000C6BFD"/>
    <w:rsid w:val="000E6986"/>
    <w:rsid w:val="001272A9"/>
    <w:rsid w:val="001435C6"/>
    <w:rsid w:val="00161F38"/>
    <w:rsid w:val="00240283"/>
    <w:rsid w:val="00260880"/>
    <w:rsid w:val="002964CE"/>
    <w:rsid w:val="00320B2A"/>
    <w:rsid w:val="00377753"/>
    <w:rsid w:val="003F7C7E"/>
    <w:rsid w:val="0042287F"/>
    <w:rsid w:val="004F4F19"/>
    <w:rsid w:val="00536F7E"/>
    <w:rsid w:val="00557235"/>
    <w:rsid w:val="005C17DE"/>
    <w:rsid w:val="005C3211"/>
    <w:rsid w:val="006C319A"/>
    <w:rsid w:val="006D558A"/>
    <w:rsid w:val="00712445"/>
    <w:rsid w:val="007415FD"/>
    <w:rsid w:val="007544D4"/>
    <w:rsid w:val="007A6309"/>
    <w:rsid w:val="007B61E0"/>
    <w:rsid w:val="008126AE"/>
    <w:rsid w:val="008454F4"/>
    <w:rsid w:val="00861423"/>
    <w:rsid w:val="008B21E0"/>
    <w:rsid w:val="008C13CB"/>
    <w:rsid w:val="008E62EF"/>
    <w:rsid w:val="0095122F"/>
    <w:rsid w:val="009B3BC7"/>
    <w:rsid w:val="00A76BEF"/>
    <w:rsid w:val="00A92222"/>
    <w:rsid w:val="00AC7C03"/>
    <w:rsid w:val="00B31CAC"/>
    <w:rsid w:val="00B92936"/>
    <w:rsid w:val="00BA376C"/>
    <w:rsid w:val="00C07772"/>
    <w:rsid w:val="00C671CD"/>
    <w:rsid w:val="00C92210"/>
    <w:rsid w:val="00CA3AF7"/>
    <w:rsid w:val="00CF6659"/>
    <w:rsid w:val="00D02082"/>
    <w:rsid w:val="00D93F90"/>
    <w:rsid w:val="00DD29FE"/>
    <w:rsid w:val="00E36906"/>
    <w:rsid w:val="00E532BA"/>
    <w:rsid w:val="00EB3B45"/>
    <w:rsid w:val="00ED7FB8"/>
    <w:rsid w:val="00F360FC"/>
    <w:rsid w:val="00FD4038"/>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A7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1E0"/>
    <w:pPr>
      <w:ind w:left="720"/>
      <w:contextualSpacing/>
    </w:pPr>
  </w:style>
  <w:style w:type="paragraph" w:styleId="BalloonText">
    <w:name w:val="Balloon Text"/>
    <w:basedOn w:val="Normal"/>
    <w:link w:val="BalloonTextChar"/>
    <w:uiPriority w:val="99"/>
    <w:semiHidden/>
    <w:unhideWhenUsed/>
    <w:rsid w:val="00A92222"/>
    <w:rPr>
      <w:rFonts w:ascii="Tahoma" w:hAnsi="Tahoma" w:cs="Tahoma"/>
      <w:sz w:val="16"/>
      <w:szCs w:val="16"/>
    </w:rPr>
  </w:style>
  <w:style w:type="character" w:customStyle="1" w:styleId="BalloonTextChar">
    <w:name w:val="Balloon Text Char"/>
    <w:basedOn w:val="DefaultParagraphFont"/>
    <w:link w:val="BalloonText"/>
    <w:uiPriority w:val="99"/>
    <w:semiHidden/>
    <w:rsid w:val="00A9222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F69A1"/>
    <w:rPr>
      <w:color w:val="954F72" w:themeColor="followedHyperlink"/>
      <w:u w:val="single"/>
    </w:rPr>
  </w:style>
  <w:style w:type="paragraph" w:customStyle="1" w:styleId="Level1">
    <w:name w:val="Level 1"/>
    <w:basedOn w:val="Normal"/>
    <w:uiPriority w:val="99"/>
    <w:rsid w:val="00536F7E"/>
    <w:pPr>
      <w:numPr>
        <w:numId w:val="3"/>
      </w:numPr>
      <w:ind w:left="474" w:hanging="186"/>
      <w:outlineLvl w:val="0"/>
    </w:pPr>
    <w:rPr>
      <w:sz w:val="24"/>
      <w:szCs w:val="24"/>
    </w:rPr>
  </w:style>
  <w:style w:type="character" w:styleId="CommentReference">
    <w:name w:val="annotation reference"/>
    <w:basedOn w:val="DefaultParagraphFont"/>
    <w:uiPriority w:val="99"/>
    <w:semiHidden/>
    <w:unhideWhenUsed/>
    <w:rsid w:val="0042287F"/>
    <w:rPr>
      <w:sz w:val="16"/>
      <w:szCs w:val="16"/>
    </w:rPr>
  </w:style>
  <w:style w:type="paragraph" w:styleId="CommentText">
    <w:name w:val="annotation text"/>
    <w:basedOn w:val="Normal"/>
    <w:link w:val="CommentTextChar"/>
    <w:uiPriority w:val="99"/>
    <w:semiHidden/>
    <w:unhideWhenUsed/>
    <w:rsid w:val="0042287F"/>
  </w:style>
  <w:style w:type="character" w:customStyle="1" w:styleId="CommentTextChar">
    <w:name w:val="Comment Text Char"/>
    <w:basedOn w:val="DefaultParagraphFont"/>
    <w:link w:val="CommentText"/>
    <w:uiPriority w:val="99"/>
    <w:semiHidden/>
    <w:rsid w:val="004228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287F"/>
    <w:rPr>
      <w:b/>
      <w:bCs/>
    </w:rPr>
  </w:style>
  <w:style w:type="character" w:customStyle="1" w:styleId="CommentSubjectChar">
    <w:name w:val="Comment Subject Char"/>
    <w:basedOn w:val="CommentTextChar"/>
    <w:link w:val="CommentSubject"/>
    <w:uiPriority w:val="99"/>
    <w:semiHidden/>
    <w:rsid w:val="0042287F"/>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1E0"/>
    <w:pPr>
      <w:ind w:left="720"/>
      <w:contextualSpacing/>
    </w:pPr>
  </w:style>
  <w:style w:type="paragraph" w:styleId="BalloonText">
    <w:name w:val="Balloon Text"/>
    <w:basedOn w:val="Normal"/>
    <w:link w:val="BalloonTextChar"/>
    <w:uiPriority w:val="99"/>
    <w:semiHidden/>
    <w:unhideWhenUsed/>
    <w:rsid w:val="00A92222"/>
    <w:rPr>
      <w:rFonts w:ascii="Tahoma" w:hAnsi="Tahoma" w:cs="Tahoma"/>
      <w:sz w:val="16"/>
      <w:szCs w:val="16"/>
    </w:rPr>
  </w:style>
  <w:style w:type="character" w:customStyle="1" w:styleId="BalloonTextChar">
    <w:name w:val="Balloon Text Char"/>
    <w:basedOn w:val="DefaultParagraphFont"/>
    <w:link w:val="BalloonText"/>
    <w:uiPriority w:val="99"/>
    <w:semiHidden/>
    <w:rsid w:val="00A9222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F69A1"/>
    <w:rPr>
      <w:color w:val="954F72" w:themeColor="followedHyperlink"/>
      <w:u w:val="single"/>
    </w:rPr>
  </w:style>
  <w:style w:type="paragraph" w:customStyle="1" w:styleId="Level1">
    <w:name w:val="Level 1"/>
    <w:basedOn w:val="Normal"/>
    <w:uiPriority w:val="99"/>
    <w:rsid w:val="00536F7E"/>
    <w:pPr>
      <w:numPr>
        <w:numId w:val="3"/>
      </w:numPr>
      <w:ind w:left="474" w:hanging="186"/>
      <w:outlineLvl w:val="0"/>
    </w:pPr>
    <w:rPr>
      <w:sz w:val="24"/>
      <w:szCs w:val="24"/>
    </w:rPr>
  </w:style>
  <w:style w:type="character" w:styleId="CommentReference">
    <w:name w:val="annotation reference"/>
    <w:basedOn w:val="DefaultParagraphFont"/>
    <w:uiPriority w:val="99"/>
    <w:semiHidden/>
    <w:unhideWhenUsed/>
    <w:rsid w:val="0042287F"/>
    <w:rPr>
      <w:sz w:val="16"/>
      <w:szCs w:val="16"/>
    </w:rPr>
  </w:style>
  <w:style w:type="paragraph" w:styleId="CommentText">
    <w:name w:val="annotation text"/>
    <w:basedOn w:val="Normal"/>
    <w:link w:val="CommentTextChar"/>
    <w:uiPriority w:val="99"/>
    <w:semiHidden/>
    <w:unhideWhenUsed/>
    <w:rsid w:val="0042287F"/>
  </w:style>
  <w:style w:type="character" w:customStyle="1" w:styleId="CommentTextChar">
    <w:name w:val="Comment Text Char"/>
    <w:basedOn w:val="DefaultParagraphFont"/>
    <w:link w:val="CommentText"/>
    <w:uiPriority w:val="99"/>
    <w:semiHidden/>
    <w:rsid w:val="004228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287F"/>
    <w:rPr>
      <w:b/>
      <w:bCs/>
    </w:rPr>
  </w:style>
  <w:style w:type="character" w:customStyle="1" w:styleId="CommentSubjectChar">
    <w:name w:val="Comment Subject Char"/>
    <w:basedOn w:val="CommentTextChar"/>
    <w:link w:val="CommentSubject"/>
    <w:uiPriority w:val="99"/>
    <w:semiHidden/>
    <w:rsid w:val="0042287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omb/inforeg_stat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484FFD"/>
    <w:rsid w:val="006A10B5"/>
    <w:rsid w:val="008D268C"/>
    <w:rsid w:val="008D296D"/>
    <w:rsid w:val="008F7C46"/>
    <w:rsid w:val="0097418A"/>
    <w:rsid w:val="00A47368"/>
    <w:rsid w:val="00A94E53"/>
    <w:rsid w:val="00B2254E"/>
    <w:rsid w:val="00DB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B5F7-9CAD-4A4D-BD2E-6B8E6D02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7393</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2018-11-14T01:04:00Z</dcterms:created>
  <dcterms:modified xsi:type="dcterms:W3CDTF">2018-11-14T01:04:00Z</dcterms:modified>
</cp:coreProperties>
</file>