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BB3C6" w14:textId="77777777" w:rsidR="007626F1" w:rsidRDefault="007626F1" w:rsidP="007626F1">
      <w:pPr>
        <w:pStyle w:val="ReportCover-Title"/>
        <w:jc w:val="center"/>
        <w:rPr>
          <w:rFonts w:ascii="Calibri Light" w:eastAsia="Arial Unicode MS" w:hAnsi="Calibri Light" w:cs="Calibri Light"/>
          <w:b w:val="0"/>
          <w:noProof/>
          <w:color w:val="E44044"/>
        </w:rPr>
      </w:pPr>
      <w:bookmarkStart w:id="0" w:name="_GoBack"/>
      <w:bookmarkEnd w:id="0"/>
    </w:p>
    <w:p w14:paraId="76ECB3E1" w14:textId="77777777" w:rsidR="007626F1" w:rsidRDefault="007626F1" w:rsidP="007626F1">
      <w:pPr>
        <w:pStyle w:val="ReportCover-Title"/>
        <w:jc w:val="center"/>
        <w:rPr>
          <w:rFonts w:ascii="Calibri Light" w:eastAsia="Arial Unicode MS" w:hAnsi="Calibri Light" w:cs="Calibri Light"/>
          <w:b w:val="0"/>
          <w:noProof/>
          <w:color w:val="E44044"/>
        </w:rPr>
      </w:pPr>
    </w:p>
    <w:p w14:paraId="71BDAFCD" w14:textId="77777777" w:rsidR="000F5D39" w:rsidRPr="003D0ED9" w:rsidRDefault="00CA4429" w:rsidP="007626F1">
      <w:pPr>
        <w:pStyle w:val="ReportCover-Title"/>
        <w:jc w:val="center"/>
        <w:rPr>
          <w:rFonts w:ascii="Calibri Light" w:hAnsi="Calibri Light" w:cs="Calibri Light"/>
          <w:b w:val="0"/>
          <w:color w:val="E44044"/>
        </w:rPr>
      </w:pPr>
      <w:r>
        <w:rPr>
          <w:rFonts w:ascii="Calibri Light" w:eastAsia="Arial Unicode MS" w:hAnsi="Calibri Light" w:cs="Calibri Light"/>
          <w:b w:val="0"/>
          <w:noProof/>
          <w:color w:val="E44044"/>
        </w:rPr>
        <w:t xml:space="preserve">TANF Office Culture </w:t>
      </w:r>
    </w:p>
    <w:p w14:paraId="150E4F6D" w14:textId="77777777" w:rsidR="000F5D39" w:rsidRPr="003D0ED9" w:rsidRDefault="000F5D39" w:rsidP="000F5D39">
      <w:pPr>
        <w:pStyle w:val="ReportCover-Title"/>
        <w:rPr>
          <w:rFonts w:ascii="Calibri" w:hAnsi="Calibri" w:cs="Calibri"/>
          <w:color w:val="E44044"/>
        </w:rPr>
      </w:pPr>
    </w:p>
    <w:p w14:paraId="6109B720" w14:textId="77777777" w:rsidR="000F5D39" w:rsidRPr="003D0ED9" w:rsidRDefault="000F5D39" w:rsidP="000F5D39">
      <w:pPr>
        <w:pStyle w:val="ReportCover-Title"/>
        <w:rPr>
          <w:rFonts w:ascii="Calibri" w:hAnsi="Calibri" w:cs="Calibri"/>
          <w:color w:val="E44044"/>
        </w:rPr>
      </w:pPr>
    </w:p>
    <w:p w14:paraId="4CC33F1C" w14:textId="77777777" w:rsidR="000F5D39" w:rsidRPr="003D0ED9" w:rsidRDefault="0073498D" w:rsidP="000F5D39">
      <w:pPr>
        <w:pStyle w:val="ReportCover-Title"/>
        <w:jc w:val="center"/>
        <w:rPr>
          <w:rFonts w:ascii="Calibri Light" w:hAnsi="Calibri Light" w:cs="Calibri Light"/>
          <w:b w:val="0"/>
          <w:color w:val="E44044"/>
          <w:sz w:val="32"/>
          <w:szCs w:val="32"/>
        </w:rPr>
      </w:pPr>
      <w:r w:rsidRPr="003D0ED9">
        <w:rPr>
          <w:rFonts w:ascii="Calibri Light" w:hAnsi="Calibri Light" w:cs="Calibri Light"/>
          <w:b w:val="0"/>
          <w:color w:val="E44044"/>
          <w:sz w:val="32"/>
          <w:szCs w:val="32"/>
        </w:rPr>
        <w:t>New Collection</w:t>
      </w:r>
    </w:p>
    <w:p w14:paraId="7958F201" w14:textId="77777777" w:rsidR="000F5D39" w:rsidRPr="003D0ED9" w:rsidRDefault="000F5D39" w:rsidP="000F5D39">
      <w:pPr>
        <w:rPr>
          <w:rFonts w:ascii="Calibri" w:hAnsi="Calibri" w:cs="Calibri"/>
          <w:color w:val="E44044"/>
          <w:szCs w:val="22"/>
        </w:rPr>
      </w:pPr>
    </w:p>
    <w:p w14:paraId="64491296" w14:textId="0F011273" w:rsidR="000F5D39" w:rsidRPr="003D0ED9" w:rsidRDefault="000F5D39" w:rsidP="000F5D39">
      <w:pPr>
        <w:pStyle w:val="ReportCover-Date"/>
        <w:jc w:val="center"/>
        <w:rPr>
          <w:rFonts w:ascii="Calibri" w:hAnsi="Calibri" w:cs="Calibri"/>
          <w:color w:val="E44044"/>
        </w:rPr>
      </w:pPr>
    </w:p>
    <w:p w14:paraId="625AF901" w14:textId="77777777" w:rsidR="000F5D39" w:rsidRPr="003D0ED9" w:rsidRDefault="000F5D39" w:rsidP="000F5D39">
      <w:pPr>
        <w:pStyle w:val="ReportCover-Date"/>
        <w:spacing w:after="360" w:line="240" w:lineRule="auto"/>
        <w:jc w:val="center"/>
        <w:rPr>
          <w:rFonts w:ascii="Calibri Light" w:hAnsi="Calibri Light" w:cs="Calibri Light"/>
          <w:b w:val="0"/>
          <w:color w:val="E44044"/>
          <w:sz w:val="48"/>
          <w:szCs w:val="48"/>
        </w:rPr>
      </w:pPr>
      <w:r w:rsidRPr="003D0ED9">
        <w:rPr>
          <w:rFonts w:ascii="Calibri Light" w:hAnsi="Calibri Light" w:cs="Calibri Light"/>
          <w:b w:val="0"/>
          <w:color w:val="E44044"/>
          <w:sz w:val="48"/>
          <w:szCs w:val="48"/>
        </w:rPr>
        <w:t>Supporting Statement</w:t>
      </w:r>
    </w:p>
    <w:p w14:paraId="570F8682" w14:textId="77777777" w:rsidR="000F5D39" w:rsidRPr="003D0ED9" w:rsidRDefault="000F5D39" w:rsidP="000F5D39">
      <w:pPr>
        <w:pStyle w:val="ReportCover-Date"/>
        <w:spacing w:after="360" w:line="240" w:lineRule="auto"/>
        <w:jc w:val="center"/>
        <w:rPr>
          <w:rFonts w:ascii="Calibri Light" w:hAnsi="Calibri Light" w:cs="Calibri Light"/>
          <w:b w:val="0"/>
          <w:color w:val="E44044"/>
          <w:sz w:val="48"/>
          <w:szCs w:val="48"/>
        </w:rPr>
      </w:pPr>
      <w:r w:rsidRPr="003D0ED9">
        <w:rPr>
          <w:rFonts w:ascii="Calibri Light" w:hAnsi="Calibri Light" w:cs="Calibri Light"/>
          <w:b w:val="0"/>
          <w:color w:val="E44044"/>
          <w:sz w:val="48"/>
          <w:szCs w:val="48"/>
        </w:rPr>
        <w:t xml:space="preserve">Part </w:t>
      </w:r>
      <w:r w:rsidR="006F30E0" w:rsidRPr="003D0ED9">
        <w:rPr>
          <w:rFonts w:ascii="Calibri Light" w:hAnsi="Calibri Light" w:cs="Calibri Light"/>
          <w:b w:val="0"/>
          <w:color w:val="E44044"/>
          <w:sz w:val="48"/>
          <w:szCs w:val="48"/>
        </w:rPr>
        <w:t>B</w:t>
      </w:r>
    </w:p>
    <w:p w14:paraId="09A81FB1" w14:textId="54CBE608" w:rsidR="000F5D39" w:rsidRPr="003D0ED9" w:rsidRDefault="00F47803" w:rsidP="000F5D39">
      <w:pPr>
        <w:pStyle w:val="ReportCover-Date"/>
        <w:jc w:val="center"/>
        <w:rPr>
          <w:rFonts w:ascii="Calibri Light" w:hAnsi="Calibri Light" w:cs="Calibri Light"/>
          <w:b w:val="0"/>
          <w:color w:val="auto"/>
        </w:rPr>
      </w:pPr>
      <w:r>
        <w:rPr>
          <w:rFonts w:ascii="Calibri Light" w:hAnsi="Calibri Light" w:cs="Calibri Light"/>
          <w:b w:val="0"/>
          <w:color w:val="auto"/>
        </w:rPr>
        <w:t>April 2018</w:t>
      </w:r>
    </w:p>
    <w:p w14:paraId="11D48373" w14:textId="77777777" w:rsidR="000F5D39" w:rsidRPr="002C4F75" w:rsidRDefault="000F5D39" w:rsidP="000F5D39">
      <w:pPr>
        <w:jc w:val="center"/>
        <w:rPr>
          <w:rFonts w:ascii="Arial" w:hAnsi="Arial" w:cs="Arial"/>
        </w:rPr>
      </w:pPr>
    </w:p>
    <w:p w14:paraId="20C38475" w14:textId="77777777"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Submitted By:</w:t>
      </w:r>
    </w:p>
    <w:p w14:paraId="07BD4065" w14:textId="77777777"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Office of Planning, Research</w:t>
      </w:r>
      <w:r w:rsidR="00695FA7">
        <w:rPr>
          <w:rFonts w:ascii="Calibri Light" w:hAnsi="Calibri Light" w:cs="Calibri Light"/>
          <w:color w:val="787E8B"/>
        </w:rPr>
        <w:t>,</w:t>
      </w:r>
      <w:r w:rsidRPr="003D0ED9">
        <w:rPr>
          <w:rFonts w:ascii="Calibri Light" w:hAnsi="Calibri Light" w:cs="Calibri Light"/>
          <w:color w:val="787E8B"/>
        </w:rPr>
        <w:t xml:space="preserve"> and Evaluation</w:t>
      </w:r>
    </w:p>
    <w:p w14:paraId="025C058A" w14:textId="77777777"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 xml:space="preserve">Administration for Children and Families </w:t>
      </w:r>
    </w:p>
    <w:p w14:paraId="1F4D1E01" w14:textId="77777777"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U.S. Department of Health and Human Services</w:t>
      </w:r>
    </w:p>
    <w:p w14:paraId="6C84DFE9" w14:textId="77777777" w:rsidR="000F5D39" w:rsidRPr="003D0ED9" w:rsidRDefault="000F5D39" w:rsidP="000F5D39">
      <w:pPr>
        <w:jc w:val="center"/>
        <w:rPr>
          <w:rFonts w:ascii="Calibri Light" w:hAnsi="Calibri Light" w:cs="Calibri Light"/>
          <w:color w:val="787E8B"/>
        </w:rPr>
      </w:pPr>
    </w:p>
    <w:p w14:paraId="408ECC6E" w14:textId="77777777" w:rsidR="000F5D39" w:rsidRPr="003D0ED9" w:rsidRDefault="00D70E19" w:rsidP="000F5D39">
      <w:pPr>
        <w:jc w:val="center"/>
        <w:rPr>
          <w:rFonts w:ascii="Calibri Light" w:hAnsi="Calibri Light" w:cs="Calibri Light"/>
          <w:color w:val="787E8B"/>
        </w:rPr>
      </w:pPr>
      <w:r>
        <w:rPr>
          <w:rFonts w:ascii="Calibri Light" w:hAnsi="Calibri Light" w:cs="Calibri Light"/>
          <w:color w:val="787E8B"/>
        </w:rPr>
        <w:t>4</w:t>
      </w:r>
      <w:r w:rsidR="000F5D39" w:rsidRPr="003D0ED9">
        <w:rPr>
          <w:rFonts w:ascii="Calibri Light" w:hAnsi="Calibri Light" w:cs="Calibri Light"/>
          <w:color w:val="787E8B"/>
          <w:vertAlign w:val="superscript"/>
        </w:rPr>
        <w:t>th</w:t>
      </w:r>
      <w:r w:rsidR="000F5D39" w:rsidRPr="003D0ED9">
        <w:rPr>
          <w:rFonts w:ascii="Calibri Light" w:hAnsi="Calibri Light" w:cs="Calibri Light"/>
          <w:color w:val="787E8B"/>
        </w:rPr>
        <w:t xml:space="preserve"> Floor, </w:t>
      </w:r>
      <w:r>
        <w:rPr>
          <w:rFonts w:ascii="Calibri Light" w:hAnsi="Calibri Light" w:cs="Calibri Light"/>
          <w:color w:val="787E8B"/>
        </w:rPr>
        <w:t>Mary E. Switzer Building</w:t>
      </w:r>
    </w:p>
    <w:p w14:paraId="41456942" w14:textId="77777777" w:rsidR="000F5D39" w:rsidRPr="003D0ED9" w:rsidRDefault="00D70E19" w:rsidP="000F5D39">
      <w:pPr>
        <w:jc w:val="center"/>
        <w:rPr>
          <w:rFonts w:ascii="Calibri Light" w:hAnsi="Calibri Light" w:cs="Calibri Light"/>
          <w:color w:val="787E8B"/>
        </w:rPr>
      </w:pPr>
      <w:r>
        <w:rPr>
          <w:rFonts w:ascii="Calibri Light" w:hAnsi="Calibri Light" w:cs="Calibri Light"/>
          <w:color w:val="787E8B"/>
        </w:rPr>
        <w:t>330 C Street</w:t>
      </w:r>
      <w:r w:rsidR="000F5D39" w:rsidRPr="003D0ED9">
        <w:rPr>
          <w:rFonts w:ascii="Calibri Light" w:hAnsi="Calibri Light" w:cs="Calibri Light"/>
          <w:color w:val="787E8B"/>
        </w:rPr>
        <w:t>, SW</w:t>
      </w:r>
    </w:p>
    <w:p w14:paraId="1EE3E5E4" w14:textId="77777777" w:rsidR="000F5D39" w:rsidRPr="003D0ED9" w:rsidRDefault="000F5D39" w:rsidP="000F5D39">
      <w:pPr>
        <w:jc w:val="center"/>
        <w:rPr>
          <w:rFonts w:ascii="Calibri Light" w:hAnsi="Calibri Light" w:cs="Calibri Light"/>
          <w:color w:val="787E8B"/>
        </w:rPr>
      </w:pPr>
      <w:r w:rsidRPr="003D0ED9">
        <w:rPr>
          <w:rFonts w:ascii="Calibri Light" w:hAnsi="Calibri Light" w:cs="Calibri Light"/>
          <w:color w:val="787E8B"/>
        </w:rPr>
        <w:t xml:space="preserve">Washington, D.C. </w:t>
      </w:r>
      <w:r w:rsidR="00D70E19">
        <w:rPr>
          <w:rFonts w:ascii="Calibri Light" w:hAnsi="Calibri Light" w:cs="Calibri Light"/>
          <w:color w:val="787E8B"/>
        </w:rPr>
        <w:t>20201</w:t>
      </w:r>
    </w:p>
    <w:p w14:paraId="27F7184C" w14:textId="77777777" w:rsidR="000F5D39" w:rsidRPr="003D0ED9" w:rsidRDefault="000F5D39" w:rsidP="000F5D39">
      <w:pPr>
        <w:jc w:val="center"/>
        <w:rPr>
          <w:rFonts w:ascii="Calibri Light" w:hAnsi="Calibri Light" w:cs="Calibri Light"/>
          <w:color w:val="787E8B"/>
        </w:rPr>
      </w:pPr>
    </w:p>
    <w:p w14:paraId="4D6BE57D" w14:textId="327F0B48" w:rsidR="000F5D39" w:rsidRDefault="000F5D39" w:rsidP="000F5D39">
      <w:pPr>
        <w:jc w:val="center"/>
        <w:rPr>
          <w:rFonts w:ascii="Calibri Light" w:hAnsi="Calibri Light" w:cs="Calibri Light"/>
          <w:color w:val="787E8B"/>
        </w:rPr>
      </w:pPr>
      <w:r w:rsidRPr="005217C9">
        <w:rPr>
          <w:rFonts w:ascii="Calibri Light" w:hAnsi="Calibri Light" w:cs="Calibri Light"/>
          <w:color w:val="787E8B"/>
        </w:rPr>
        <w:t>Project Officer:</w:t>
      </w:r>
    </w:p>
    <w:p w14:paraId="3F4FC9FF" w14:textId="4EE08D87" w:rsidR="00695FA7" w:rsidRPr="003D0ED9" w:rsidRDefault="00695FA7" w:rsidP="000F5D39">
      <w:pPr>
        <w:jc w:val="center"/>
        <w:rPr>
          <w:rFonts w:ascii="Calibri Light" w:hAnsi="Calibri Light" w:cs="Calibri Light"/>
          <w:color w:val="787E8B"/>
        </w:rPr>
      </w:pPr>
      <w:r>
        <w:rPr>
          <w:rFonts w:ascii="Calibri Light" w:hAnsi="Calibri Light" w:cs="Calibri Light"/>
          <w:color w:val="787E8B"/>
        </w:rPr>
        <w:t xml:space="preserve">Amelia Popham </w:t>
      </w:r>
    </w:p>
    <w:p w14:paraId="73051074" w14:textId="77777777" w:rsidR="000F5D39" w:rsidRPr="002C4F75" w:rsidRDefault="000F5D39" w:rsidP="000F5D39">
      <w:pPr>
        <w:pStyle w:val="ReportCover-Date"/>
        <w:jc w:val="center"/>
        <w:rPr>
          <w:rFonts w:ascii="Arial" w:hAnsi="Arial" w:cs="Arial"/>
          <w:highlight w:val="yellow"/>
        </w:rPr>
      </w:pPr>
    </w:p>
    <w:p w14:paraId="245523A9" w14:textId="77777777" w:rsidR="000F5D39" w:rsidRDefault="000F5D39" w:rsidP="000F5D39">
      <w:pPr>
        <w:jc w:val="center"/>
        <w:rPr>
          <w:b/>
        </w:rPr>
      </w:pPr>
    </w:p>
    <w:p w14:paraId="7145C510" w14:textId="77777777" w:rsidR="00EE6519" w:rsidRDefault="00EE6519" w:rsidP="0073498D">
      <w:pPr>
        <w:autoSpaceDE w:val="0"/>
        <w:autoSpaceDN w:val="0"/>
        <w:adjustRightInd w:val="0"/>
        <w:rPr>
          <w:rFonts w:ascii="Calibri Light" w:hAnsi="Calibri Light"/>
          <w:color w:val="2F5496"/>
          <w:sz w:val="32"/>
          <w:szCs w:val="32"/>
        </w:rPr>
      </w:pPr>
    </w:p>
    <w:p w14:paraId="1CA5D945" w14:textId="77777777" w:rsidR="00EE6519" w:rsidRDefault="00EE6519" w:rsidP="0073498D">
      <w:pPr>
        <w:autoSpaceDE w:val="0"/>
        <w:autoSpaceDN w:val="0"/>
        <w:adjustRightInd w:val="0"/>
        <w:rPr>
          <w:rFonts w:ascii="Calibri Light" w:hAnsi="Calibri Light"/>
          <w:color w:val="2F5496"/>
          <w:sz w:val="32"/>
          <w:szCs w:val="32"/>
        </w:rPr>
      </w:pPr>
    </w:p>
    <w:p w14:paraId="218CF99F" w14:textId="77777777" w:rsidR="007626F1" w:rsidRDefault="007626F1" w:rsidP="0073498D">
      <w:pPr>
        <w:autoSpaceDE w:val="0"/>
        <w:autoSpaceDN w:val="0"/>
        <w:adjustRightInd w:val="0"/>
        <w:rPr>
          <w:rFonts w:ascii="Garamond" w:hAnsi="Garamond"/>
        </w:rPr>
      </w:pPr>
    </w:p>
    <w:p w14:paraId="3850FC2A" w14:textId="77777777" w:rsidR="00465120" w:rsidRDefault="00465120">
      <w:pPr>
        <w:pStyle w:val="TOCHeading"/>
      </w:pPr>
      <w:r>
        <w:lastRenderedPageBreak/>
        <w:t>Contents</w:t>
      </w:r>
    </w:p>
    <w:p w14:paraId="61D965DB" w14:textId="0E875BE1" w:rsidR="002F4517" w:rsidRPr="002F4517" w:rsidRDefault="00465120">
      <w:pPr>
        <w:pStyle w:val="TOC1"/>
        <w:tabs>
          <w:tab w:val="right" w:leader="dot" w:pos="9350"/>
        </w:tabs>
        <w:rPr>
          <w:rFonts w:asciiTheme="minorHAnsi" w:eastAsiaTheme="minorEastAsia" w:hAnsiTheme="minorHAnsi" w:cstheme="minorHAnsi"/>
          <w:noProof/>
          <w:sz w:val="22"/>
          <w:szCs w:val="22"/>
        </w:rPr>
      </w:pPr>
      <w:r w:rsidRPr="002F4517">
        <w:rPr>
          <w:rFonts w:asciiTheme="minorHAnsi" w:hAnsiTheme="minorHAnsi" w:cstheme="minorHAnsi"/>
        </w:rPr>
        <w:fldChar w:fldCharType="begin"/>
      </w:r>
      <w:r w:rsidRPr="002F4517">
        <w:rPr>
          <w:rFonts w:asciiTheme="minorHAnsi" w:hAnsiTheme="minorHAnsi" w:cstheme="minorHAnsi"/>
        </w:rPr>
        <w:instrText xml:space="preserve"> TOC \o "1-3" \h \z \u </w:instrText>
      </w:r>
      <w:r w:rsidRPr="002F4517">
        <w:rPr>
          <w:rFonts w:asciiTheme="minorHAnsi" w:hAnsiTheme="minorHAnsi" w:cstheme="minorHAnsi"/>
        </w:rPr>
        <w:fldChar w:fldCharType="separate"/>
      </w:r>
      <w:hyperlink w:anchor="_Toc527043739" w:history="1">
        <w:r w:rsidR="002F4517" w:rsidRPr="002F4517">
          <w:rPr>
            <w:rStyle w:val="Hyperlink"/>
            <w:rFonts w:asciiTheme="minorHAnsi" w:hAnsiTheme="minorHAnsi" w:cstheme="minorHAnsi"/>
            <w:noProof/>
          </w:rPr>
          <w:t>B.1 Respondent Universe and Sampling Methods</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_Toc527043739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3</w:t>
        </w:r>
        <w:r w:rsidR="002F4517" w:rsidRPr="002F4517">
          <w:rPr>
            <w:rFonts w:asciiTheme="minorHAnsi" w:hAnsiTheme="minorHAnsi" w:cstheme="minorHAnsi"/>
            <w:noProof/>
            <w:webHidden/>
          </w:rPr>
          <w:fldChar w:fldCharType="end"/>
        </w:r>
      </w:hyperlink>
    </w:p>
    <w:p w14:paraId="6C257891" w14:textId="31D1B034" w:rsidR="002F4517" w:rsidRPr="002F4517" w:rsidRDefault="0088574D">
      <w:pPr>
        <w:pStyle w:val="TOC2"/>
        <w:tabs>
          <w:tab w:val="right" w:leader="dot" w:pos="9350"/>
        </w:tabs>
        <w:rPr>
          <w:rFonts w:asciiTheme="minorHAnsi" w:eastAsiaTheme="minorEastAsia" w:hAnsiTheme="minorHAnsi" w:cstheme="minorHAnsi"/>
          <w:noProof/>
          <w:sz w:val="22"/>
          <w:szCs w:val="22"/>
        </w:rPr>
      </w:pPr>
      <w:hyperlink w:anchor="_Toc527043740" w:history="1">
        <w:r w:rsidR="002F4517" w:rsidRPr="002F4517">
          <w:rPr>
            <w:rStyle w:val="Hyperlink"/>
            <w:rFonts w:asciiTheme="minorHAnsi" w:hAnsiTheme="minorHAnsi" w:cstheme="minorHAnsi"/>
            <w:noProof/>
          </w:rPr>
          <w:t>B.1.1 Considerations for Selecting Sites</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_Toc527043740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3</w:t>
        </w:r>
        <w:r w:rsidR="002F4517" w:rsidRPr="002F4517">
          <w:rPr>
            <w:rFonts w:asciiTheme="minorHAnsi" w:hAnsiTheme="minorHAnsi" w:cstheme="minorHAnsi"/>
            <w:noProof/>
            <w:webHidden/>
          </w:rPr>
          <w:fldChar w:fldCharType="end"/>
        </w:r>
      </w:hyperlink>
    </w:p>
    <w:p w14:paraId="748F5619" w14:textId="194C27BE" w:rsidR="002F4517" w:rsidRPr="002F4517" w:rsidRDefault="0088574D">
      <w:pPr>
        <w:pStyle w:val="TOC2"/>
        <w:tabs>
          <w:tab w:val="right" w:leader="dot" w:pos="9350"/>
        </w:tabs>
        <w:rPr>
          <w:rFonts w:asciiTheme="minorHAnsi" w:eastAsiaTheme="minorEastAsia" w:hAnsiTheme="minorHAnsi" w:cstheme="minorHAnsi"/>
          <w:noProof/>
          <w:sz w:val="22"/>
          <w:szCs w:val="22"/>
        </w:rPr>
      </w:pPr>
      <w:hyperlink w:anchor="_Toc527043741" w:history="1">
        <w:r w:rsidR="002F4517" w:rsidRPr="002F4517">
          <w:rPr>
            <w:rStyle w:val="Hyperlink"/>
            <w:rFonts w:asciiTheme="minorHAnsi" w:hAnsiTheme="minorHAnsi" w:cstheme="minorHAnsi"/>
            <w:noProof/>
          </w:rPr>
          <w:t>B.1.2. Focus Group Participants</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_Toc527043741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5</w:t>
        </w:r>
        <w:r w:rsidR="002F4517" w:rsidRPr="002F4517">
          <w:rPr>
            <w:rFonts w:asciiTheme="minorHAnsi" w:hAnsiTheme="minorHAnsi" w:cstheme="minorHAnsi"/>
            <w:noProof/>
            <w:webHidden/>
          </w:rPr>
          <w:fldChar w:fldCharType="end"/>
        </w:r>
      </w:hyperlink>
    </w:p>
    <w:p w14:paraId="39E6EE00" w14:textId="43EF69F0" w:rsidR="002F4517" w:rsidRPr="002F4517" w:rsidRDefault="0088574D">
      <w:pPr>
        <w:pStyle w:val="TOC1"/>
        <w:tabs>
          <w:tab w:val="right" w:leader="dot" w:pos="9350"/>
        </w:tabs>
        <w:rPr>
          <w:rFonts w:asciiTheme="minorHAnsi" w:eastAsiaTheme="minorEastAsia" w:hAnsiTheme="minorHAnsi" w:cstheme="minorHAnsi"/>
          <w:noProof/>
          <w:sz w:val="22"/>
          <w:szCs w:val="22"/>
        </w:rPr>
      </w:pPr>
      <w:hyperlink w:anchor="_Toc527043742" w:history="1">
        <w:r w:rsidR="002F4517" w:rsidRPr="002F4517">
          <w:rPr>
            <w:rStyle w:val="Hyperlink"/>
            <w:rFonts w:asciiTheme="minorHAnsi" w:hAnsiTheme="minorHAnsi" w:cstheme="minorHAnsi"/>
            <w:noProof/>
          </w:rPr>
          <w:t>B.2 Procedures for Collection of Information</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_Toc527043742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5</w:t>
        </w:r>
        <w:r w:rsidR="002F4517" w:rsidRPr="002F4517">
          <w:rPr>
            <w:rFonts w:asciiTheme="minorHAnsi" w:hAnsiTheme="minorHAnsi" w:cstheme="minorHAnsi"/>
            <w:noProof/>
            <w:webHidden/>
          </w:rPr>
          <w:fldChar w:fldCharType="end"/>
        </w:r>
      </w:hyperlink>
    </w:p>
    <w:p w14:paraId="6B4545A5" w14:textId="51A9BAD9" w:rsidR="002F4517" w:rsidRPr="002F4517" w:rsidRDefault="0088574D">
      <w:pPr>
        <w:pStyle w:val="TOC1"/>
        <w:tabs>
          <w:tab w:val="right" w:leader="dot" w:pos="9350"/>
        </w:tabs>
        <w:rPr>
          <w:rFonts w:asciiTheme="minorHAnsi" w:eastAsiaTheme="minorEastAsia" w:hAnsiTheme="minorHAnsi" w:cstheme="minorHAnsi"/>
          <w:noProof/>
          <w:sz w:val="22"/>
          <w:szCs w:val="22"/>
        </w:rPr>
      </w:pPr>
      <w:hyperlink w:anchor="_Toc527043743" w:history="1">
        <w:r w:rsidR="002F4517" w:rsidRPr="002F4517">
          <w:rPr>
            <w:rStyle w:val="Hyperlink"/>
            <w:rFonts w:asciiTheme="minorHAnsi" w:hAnsiTheme="minorHAnsi" w:cstheme="minorHAnsi"/>
            <w:noProof/>
          </w:rPr>
          <w:t>B.3 Methods to Maximize Response Rates and Deal with Nonresponse</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_Toc527043743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5</w:t>
        </w:r>
        <w:r w:rsidR="002F4517" w:rsidRPr="002F4517">
          <w:rPr>
            <w:rFonts w:asciiTheme="minorHAnsi" w:hAnsiTheme="minorHAnsi" w:cstheme="minorHAnsi"/>
            <w:noProof/>
            <w:webHidden/>
          </w:rPr>
          <w:fldChar w:fldCharType="end"/>
        </w:r>
      </w:hyperlink>
    </w:p>
    <w:p w14:paraId="5B8DCE5D" w14:textId="350210E8" w:rsidR="002F4517" w:rsidRPr="002F4517" w:rsidRDefault="0088574D">
      <w:pPr>
        <w:pStyle w:val="TOC2"/>
        <w:tabs>
          <w:tab w:val="right" w:leader="dot" w:pos="9350"/>
        </w:tabs>
        <w:rPr>
          <w:rFonts w:asciiTheme="minorHAnsi" w:eastAsiaTheme="minorEastAsia" w:hAnsiTheme="minorHAnsi" w:cstheme="minorHAnsi"/>
          <w:noProof/>
          <w:sz w:val="22"/>
          <w:szCs w:val="22"/>
        </w:rPr>
      </w:pPr>
      <w:hyperlink w:anchor="_Toc527043744" w:history="1">
        <w:r w:rsidR="002F4517" w:rsidRPr="002F4517">
          <w:rPr>
            <w:rStyle w:val="Hyperlink"/>
            <w:rFonts w:asciiTheme="minorHAnsi" w:hAnsiTheme="minorHAnsi" w:cstheme="minorHAnsi"/>
            <w:noProof/>
          </w:rPr>
          <w:t>B.3.1 Expected Response Rates</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_Toc527043744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5</w:t>
        </w:r>
        <w:r w:rsidR="002F4517" w:rsidRPr="002F4517">
          <w:rPr>
            <w:rFonts w:asciiTheme="minorHAnsi" w:hAnsiTheme="minorHAnsi" w:cstheme="minorHAnsi"/>
            <w:noProof/>
            <w:webHidden/>
          </w:rPr>
          <w:fldChar w:fldCharType="end"/>
        </w:r>
      </w:hyperlink>
    </w:p>
    <w:p w14:paraId="6A32B6B3" w14:textId="045BB065" w:rsidR="002F4517" w:rsidRPr="002F4517" w:rsidRDefault="0088574D">
      <w:pPr>
        <w:pStyle w:val="TOC2"/>
        <w:tabs>
          <w:tab w:val="right" w:leader="dot" w:pos="9350"/>
        </w:tabs>
        <w:rPr>
          <w:rFonts w:asciiTheme="minorHAnsi" w:eastAsiaTheme="minorEastAsia" w:hAnsiTheme="minorHAnsi" w:cstheme="minorHAnsi"/>
          <w:noProof/>
          <w:sz w:val="22"/>
          <w:szCs w:val="22"/>
        </w:rPr>
      </w:pPr>
      <w:hyperlink w:anchor="_Toc527043745" w:history="1">
        <w:r w:rsidR="002F4517" w:rsidRPr="002F4517">
          <w:rPr>
            <w:rStyle w:val="Hyperlink"/>
            <w:rFonts w:asciiTheme="minorHAnsi" w:hAnsiTheme="minorHAnsi" w:cstheme="minorHAnsi"/>
            <w:noProof/>
          </w:rPr>
          <w:t>B.3.2 Dealing with Nonresponse</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_Toc527043745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6</w:t>
        </w:r>
        <w:r w:rsidR="002F4517" w:rsidRPr="002F4517">
          <w:rPr>
            <w:rFonts w:asciiTheme="minorHAnsi" w:hAnsiTheme="minorHAnsi" w:cstheme="minorHAnsi"/>
            <w:noProof/>
            <w:webHidden/>
          </w:rPr>
          <w:fldChar w:fldCharType="end"/>
        </w:r>
      </w:hyperlink>
    </w:p>
    <w:p w14:paraId="3697E6F7" w14:textId="685ACBC3" w:rsidR="002F4517" w:rsidRPr="002F4517" w:rsidRDefault="0088574D">
      <w:pPr>
        <w:pStyle w:val="TOC2"/>
        <w:tabs>
          <w:tab w:val="right" w:leader="dot" w:pos="9350"/>
        </w:tabs>
        <w:rPr>
          <w:rFonts w:asciiTheme="minorHAnsi" w:eastAsiaTheme="minorEastAsia" w:hAnsiTheme="minorHAnsi" w:cstheme="minorHAnsi"/>
          <w:noProof/>
          <w:sz w:val="22"/>
          <w:szCs w:val="22"/>
        </w:rPr>
      </w:pPr>
      <w:hyperlink w:anchor="_Toc527043746" w:history="1">
        <w:r w:rsidR="002F4517" w:rsidRPr="002F4517">
          <w:rPr>
            <w:rStyle w:val="Hyperlink"/>
            <w:rFonts w:asciiTheme="minorHAnsi" w:hAnsiTheme="minorHAnsi" w:cstheme="minorHAnsi"/>
            <w:noProof/>
          </w:rPr>
          <w:t>B.3.3 Maximizing Response Rates</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_Toc527043746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6</w:t>
        </w:r>
        <w:r w:rsidR="002F4517" w:rsidRPr="002F4517">
          <w:rPr>
            <w:rFonts w:asciiTheme="minorHAnsi" w:hAnsiTheme="minorHAnsi" w:cstheme="minorHAnsi"/>
            <w:noProof/>
            <w:webHidden/>
          </w:rPr>
          <w:fldChar w:fldCharType="end"/>
        </w:r>
      </w:hyperlink>
    </w:p>
    <w:p w14:paraId="7C8467D2" w14:textId="1A6491A4" w:rsidR="002F4517" w:rsidRPr="002F4517" w:rsidRDefault="0088574D">
      <w:pPr>
        <w:pStyle w:val="TOC1"/>
        <w:tabs>
          <w:tab w:val="right" w:leader="dot" w:pos="9350"/>
        </w:tabs>
        <w:rPr>
          <w:rFonts w:asciiTheme="minorHAnsi" w:eastAsiaTheme="minorEastAsia" w:hAnsiTheme="minorHAnsi" w:cstheme="minorHAnsi"/>
          <w:noProof/>
          <w:sz w:val="22"/>
          <w:szCs w:val="22"/>
        </w:rPr>
      </w:pPr>
      <w:hyperlink w:anchor="_Toc527043747" w:history="1">
        <w:r w:rsidR="002F4517" w:rsidRPr="002F4517">
          <w:rPr>
            <w:rStyle w:val="Hyperlink"/>
            <w:rFonts w:asciiTheme="minorHAnsi" w:hAnsiTheme="minorHAnsi" w:cstheme="minorHAnsi"/>
            <w:noProof/>
          </w:rPr>
          <w:t>B.4 Tests of Procedures or Methods to be Undertaken</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_Toc527043747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6</w:t>
        </w:r>
        <w:r w:rsidR="002F4517" w:rsidRPr="002F4517">
          <w:rPr>
            <w:rFonts w:asciiTheme="minorHAnsi" w:hAnsiTheme="minorHAnsi" w:cstheme="minorHAnsi"/>
            <w:noProof/>
            <w:webHidden/>
          </w:rPr>
          <w:fldChar w:fldCharType="end"/>
        </w:r>
      </w:hyperlink>
    </w:p>
    <w:p w14:paraId="7E8FD82C" w14:textId="0A2617B4" w:rsidR="002F4517" w:rsidRPr="002F4517" w:rsidRDefault="0088574D">
      <w:pPr>
        <w:pStyle w:val="TOC1"/>
        <w:tabs>
          <w:tab w:val="right" w:leader="dot" w:pos="9350"/>
        </w:tabs>
        <w:rPr>
          <w:rFonts w:asciiTheme="minorHAnsi" w:eastAsiaTheme="minorEastAsia" w:hAnsiTheme="minorHAnsi" w:cstheme="minorHAnsi"/>
          <w:noProof/>
          <w:sz w:val="22"/>
          <w:szCs w:val="22"/>
        </w:rPr>
      </w:pPr>
      <w:hyperlink w:anchor="_Toc527043748" w:history="1">
        <w:r w:rsidR="002F4517" w:rsidRPr="002F4517">
          <w:rPr>
            <w:rStyle w:val="Hyperlink"/>
            <w:rFonts w:asciiTheme="minorHAnsi" w:hAnsiTheme="minorHAnsi" w:cstheme="minorHAnsi"/>
            <w:noProof/>
          </w:rPr>
          <w:t>B.5 Individual Consulted on Statistical Aspects and Individuals Collecting and/or Analyzing Data</w:t>
        </w:r>
        <w:r w:rsidR="002F4517" w:rsidRPr="002F4517">
          <w:rPr>
            <w:rFonts w:asciiTheme="minorHAnsi" w:hAnsiTheme="minorHAnsi" w:cstheme="minorHAnsi"/>
            <w:noProof/>
            <w:webHidden/>
          </w:rPr>
          <w:tab/>
        </w:r>
        <w:r w:rsidR="002F4517" w:rsidRPr="002F4517">
          <w:rPr>
            <w:rFonts w:asciiTheme="minorHAnsi" w:hAnsiTheme="minorHAnsi" w:cstheme="minorHAnsi"/>
            <w:noProof/>
            <w:webHidden/>
          </w:rPr>
          <w:fldChar w:fldCharType="begin"/>
        </w:r>
        <w:r w:rsidR="002F4517" w:rsidRPr="002F4517">
          <w:rPr>
            <w:rFonts w:asciiTheme="minorHAnsi" w:hAnsiTheme="minorHAnsi" w:cstheme="minorHAnsi"/>
            <w:noProof/>
            <w:webHidden/>
          </w:rPr>
          <w:instrText xml:space="preserve"> PAGEREF _Toc527043748 \h </w:instrText>
        </w:r>
        <w:r w:rsidR="002F4517" w:rsidRPr="002F4517">
          <w:rPr>
            <w:rFonts w:asciiTheme="minorHAnsi" w:hAnsiTheme="minorHAnsi" w:cstheme="minorHAnsi"/>
            <w:noProof/>
            <w:webHidden/>
          </w:rPr>
        </w:r>
        <w:r w:rsidR="002F4517" w:rsidRPr="002F4517">
          <w:rPr>
            <w:rFonts w:asciiTheme="minorHAnsi" w:hAnsiTheme="minorHAnsi" w:cstheme="minorHAnsi"/>
            <w:noProof/>
            <w:webHidden/>
          </w:rPr>
          <w:fldChar w:fldCharType="separate"/>
        </w:r>
        <w:r w:rsidR="002F4517" w:rsidRPr="002F4517">
          <w:rPr>
            <w:rFonts w:asciiTheme="minorHAnsi" w:hAnsiTheme="minorHAnsi" w:cstheme="minorHAnsi"/>
            <w:noProof/>
            <w:webHidden/>
          </w:rPr>
          <w:t>6</w:t>
        </w:r>
        <w:r w:rsidR="002F4517" w:rsidRPr="002F4517">
          <w:rPr>
            <w:rFonts w:asciiTheme="minorHAnsi" w:hAnsiTheme="minorHAnsi" w:cstheme="minorHAnsi"/>
            <w:noProof/>
            <w:webHidden/>
          </w:rPr>
          <w:fldChar w:fldCharType="end"/>
        </w:r>
      </w:hyperlink>
    </w:p>
    <w:p w14:paraId="1E19D3AA" w14:textId="509AE894" w:rsidR="00465120" w:rsidRPr="00974C7E" w:rsidRDefault="00465120">
      <w:pPr>
        <w:rPr>
          <w:rFonts w:asciiTheme="minorHAnsi" w:hAnsiTheme="minorHAnsi" w:cstheme="minorHAnsi"/>
        </w:rPr>
      </w:pPr>
      <w:r w:rsidRPr="002F4517">
        <w:rPr>
          <w:rFonts w:asciiTheme="minorHAnsi" w:hAnsiTheme="minorHAnsi" w:cstheme="minorHAnsi"/>
          <w:b/>
          <w:bCs/>
          <w:noProof/>
        </w:rPr>
        <w:fldChar w:fldCharType="end"/>
      </w:r>
    </w:p>
    <w:p w14:paraId="5FD9EE28" w14:textId="77777777" w:rsidR="0073498D" w:rsidRPr="0073498D" w:rsidRDefault="00465120" w:rsidP="0073498D">
      <w:pPr>
        <w:autoSpaceDE w:val="0"/>
        <w:autoSpaceDN w:val="0"/>
        <w:adjustRightInd w:val="0"/>
        <w:rPr>
          <w:rFonts w:ascii="Garamond" w:hAnsi="Garamond"/>
        </w:rPr>
      </w:pPr>
      <w:r>
        <w:rPr>
          <w:rFonts w:ascii="Garamond" w:hAnsi="Garamond"/>
        </w:rPr>
        <w:br w:type="page"/>
      </w:r>
      <w:r w:rsidR="00910080">
        <w:rPr>
          <w:rFonts w:ascii="Garamond" w:hAnsi="Garamond"/>
        </w:rPr>
        <w:lastRenderedPageBreak/>
        <w:t xml:space="preserve">This document discusses the planned statistical methods for the </w:t>
      </w:r>
      <w:r w:rsidR="00CA4429">
        <w:rPr>
          <w:rFonts w:ascii="Garamond" w:hAnsi="Garamond"/>
          <w:i/>
        </w:rPr>
        <w:t xml:space="preserve">TANF Office Culture </w:t>
      </w:r>
      <w:r w:rsidR="00910080">
        <w:rPr>
          <w:rFonts w:ascii="Garamond" w:hAnsi="Garamond"/>
        </w:rPr>
        <w:t>(</w:t>
      </w:r>
      <w:r w:rsidR="00CA4429">
        <w:rPr>
          <w:rFonts w:ascii="Garamond" w:hAnsi="Garamond"/>
        </w:rPr>
        <w:t>TOC</w:t>
      </w:r>
      <w:r w:rsidR="00910080">
        <w:rPr>
          <w:rFonts w:ascii="Garamond" w:hAnsi="Garamond"/>
        </w:rPr>
        <w:t xml:space="preserve">) study. </w:t>
      </w:r>
      <w:r w:rsidR="0073498D" w:rsidRPr="0073498D">
        <w:rPr>
          <w:rFonts w:ascii="Garamond" w:hAnsi="Garamond"/>
        </w:rPr>
        <w:t>This study is</w:t>
      </w:r>
      <w:r w:rsidR="0073498D" w:rsidRPr="0073498D">
        <w:rPr>
          <w:rFonts w:ascii="Garamond" w:hAnsi="Garamond"/>
          <w:i/>
        </w:rPr>
        <w:t xml:space="preserve"> </w:t>
      </w:r>
      <w:r w:rsidR="0073498D" w:rsidRPr="0073498D">
        <w:rPr>
          <w:rFonts w:ascii="Garamond" w:hAnsi="Garamond"/>
        </w:rPr>
        <w:t>sponsored by the Office of Planning, Research</w:t>
      </w:r>
      <w:r w:rsidR="00695FA7">
        <w:rPr>
          <w:rFonts w:ascii="Garamond" w:hAnsi="Garamond"/>
        </w:rPr>
        <w:t>,</w:t>
      </w:r>
      <w:r w:rsidR="0073498D" w:rsidRPr="0073498D">
        <w:rPr>
          <w:rFonts w:ascii="Garamond" w:hAnsi="Garamond"/>
        </w:rPr>
        <w:t xml:space="preserve"> and Evaluation (OPRE) in the Administration for Children and Families (ACF) in the U.S. Department of Health and Human Services (HHS). This submi</w:t>
      </w:r>
      <w:r w:rsidR="00910080">
        <w:rPr>
          <w:rFonts w:ascii="Garamond" w:hAnsi="Garamond"/>
        </w:rPr>
        <w:t xml:space="preserve">ssion seeks OMB approval for </w:t>
      </w:r>
      <w:r w:rsidR="00CA4429">
        <w:rPr>
          <w:rFonts w:ascii="Garamond" w:hAnsi="Garamond"/>
        </w:rPr>
        <w:t>three</w:t>
      </w:r>
      <w:r w:rsidR="00262109" w:rsidRPr="0073498D">
        <w:rPr>
          <w:rFonts w:ascii="Garamond" w:hAnsi="Garamond"/>
        </w:rPr>
        <w:t xml:space="preserve"> </w:t>
      </w:r>
      <w:r w:rsidR="0073498D" w:rsidRPr="0073498D">
        <w:rPr>
          <w:rFonts w:ascii="Garamond" w:hAnsi="Garamond"/>
        </w:rPr>
        <w:t xml:space="preserve">data collection instruments that will be used as part of the </w:t>
      </w:r>
      <w:r w:rsidR="00910080">
        <w:rPr>
          <w:rFonts w:ascii="Garamond" w:hAnsi="Garamond"/>
        </w:rPr>
        <w:t>sample selection and interview process</w:t>
      </w:r>
      <w:r w:rsidR="0073498D" w:rsidRPr="0073498D">
        <w:rPr>
          <w:rFonts w:ascii="Garamond" w:hAnsi="Garamond"/>
        </w:rPr>
        <w:t>:</w:t>
      </w:r>
    </w:p>
    <w:p w14:paraId="469266B9" w14:textId="77777777" w:rsidR="0073498D" w:rsidRPr="0073498D" w:rsidRDefault="0073498D" w:rsidP="0073498D">
      <w:pPr>
        <w:autoSpaceDE w:val="0"/>
        <w:autoSpaceDN w:val="0"/>
        <w:adjustRightInd w:val="0"/>
        <w:rPr>
          <w:rFonts w:ascii="Garamond" w:hAnsi="Garamond"/>
        </w:rPr>
      </w:pPr>
    </w:p>
    <w:p w14:paraId="797B9A26" w14:textId="77777777" w:rsidR="0073498D" w:rsidRPr="0073498D" w:rsidRDefault="00CA4429" w:rsidP="0073498D">
      <w:pPr>
        <w:numPr>
          <w:ilvl w:val="0"/>
          <w:numId w:val="15"/>
        </w:numPr>
        <w:autoSpaceDE w:val="0"/>
        <w:autoSpaceDN w:val="0"/>
        <w:adjustRightInd w:val="0"/>
        <w:rPr>
          <w:rFonts w:ascii="Garamond" w:hAnsi="Garamond"/>
          <w:szCs w:val="22"/>
        </w:rPr>
      </w:pPr>
      <w:r>
        <w:rPr>
          <w:rFonts w:ascii="Garamond" w:hAnsi="Garamond"/>
          <w:szCs w:val="22"/>
        </w:rPr>
        <w:t xml:space="preserve">Leadership and Supervisor Interview Guide </w:t>
      </w:r>
    </w:p>
    <w:p w14:paraId="15D5A6EF" w14:textId="77777777" w:rsidR="0073498D" w:rsidRPr="0073498D" w:rsidRDefault="00CA4429" w:rsidP="0073498D">
      <w:pPr>
        <w:numPr>
          <w:ilvl w:val="0"/>
          <w:numId w:val="15"/>
        </w:numPr>
        <w:autoSpaceDE w:val="0"/>
        <w:autoSpaceDN w:val="0"/>
        <w:adjustRightInd w:val="0"/>
        <w:rPr>
          <w:rFonts w:ascii="Garamond" w:hAnsi="Garamond"/>
          <w:szCs w:val="22"/>
        </w:rPr>
      </w:pPr>
      <w:r>
        <w:rPr>
          <w:rFonts w:ascii="Garamond" w:hAnsi="Garamond"/>
          <w:szCs w:val="22"/>
        </w:rPr>
        <w:t xml:space="preserve">Frontline Staff Interview Guide </w:t>
      </w:r>
    </w:p>
    <w:p w14:paraId="4071CD81" w14:textId="77777777" w:rsidR="0073498D" w:rsidRPr="0073498D" w:rsidRDefault="00CA4429" w:rsidP="0073498D">
      <w:pPr>
        <w:numPr>
          <w:ilvl w:val="0"/>
          <w:numId w:val="15"/>
        </w:numPr>
        <w:autoSpaceDE w:val="0"/>
        <w:autoSpaceDN w:val="0"/>
        <w:adjustRightInd w:val="0"/>
        <w:rPr>
          <w:rFonts w:ascii="Garamond" w:hAnsi="Garamond"/>
          <w:szCs w:val="22"/>
        </w:rPr>
      </w:pPr>
      <w:r>
        <w:rPr>
          <w:rFonts w:ascii="Garamond" w:hAnsi="Garamond"/>
          <w:szCs w:val="22"/>
        </w:rPr>
        <w:t>Focus Group Interview Guide</w:t>
      </w:r>
    </w:p>
    <w:p w14:paraId="68E5ADEB" w14:textId="77777777" w:rsidR="00CA4429" w:rsidRDefault="00CA4429" w:rsidP="0073498D">
      <w:pPr>
        <w:autoSpaceDE w:val="0"/>
        <w:autoSpaceDN w:val="0"/>
        <w:adjustRightInd w:val="0"/>
        <w:rPr>
          <w:rFonts w:ascii="Garamond" w:hAnsi="Garamond"/>
          <w:szCs w:val="22"/>
        </w:rPr>
      </w:pPr>
    </w:p>
    <w:p w14:paraId="4E4E0B54" w14:textId="77777777" w:rsidR="0073498D" w:rsidRPr="0073498D" w:rsidRDefault="0073498D" w:rsidP="0073498D">
      <w:pPr>
        <w:autoSpaceDE w:val="0"/>
        <w:autoSpaceDN w:val="0"/>
        <w:adjustRightInd w:val="0"/>
        <w:rPr>
          <w:rFonts w:ascii="Garamond" w:hAnsi="Garamond"/>
          <w:szCs w:val="22"/>
        </w:rPr>
      </w:pPr>
      <w:r w:rsidRPr="0073498D">
        <w:rPr>
          <w:rFonts w:ascii="Garamond" w:hAnsi="Garamond"/>
          <w:szCs w:val="22"/>
        </w:rPr>
        <w:t>This justification provides supporting statements for each of the five points outlined in Part B of the OMB guidelines.</w:t>
      </w:r>
    </w:p>
    <w:p w14:paraId="23157221" w14:textId="77777777" w:rsidR="00F20419" w:rsidRDefault="00E05A0A" w:rsidP="0073498D">
      <w:pPr>
        <w:pStyle w:val="Heading1"/>
        <w:spacing w:before="320" w:after="120"/>
      </w:pPr>
      <w:bookmarkStart w:id="1" w:name="_Toc493250721"/>
      <w:bookmarkStart w:id="2" w:name="_Toc527043739"/>
      <w:r w:rsidRPr="0073498D">
        <w:t>B</w:t>
      </w:r>
      <w:r w:rsidR="0073498D" w:rsidRPr="0073498D">
        <w:t>.1</w:t>
      </w:r>
      <w:r w:rsidRPr="0073498D">
        <w:t xml:space="preserve"> Respondent Universe and Sampling Methods</w:t>
      </w:r>
      <w:bookmarkEnd w:id="1"/>
      <w:bookmarkEnd w:id="2"/>
    </w:p>
    <w:p w14:paraId="08C822F3" w14:textId="0CF987D0" w:rsidR="007C2A68" w:rsidRDefault="00910080" w:rsidP="00910080">
      <w:pPr>
        <w:rPr>
          <w:rFonts w:ascii="Garamond" w:hAnsi="Garamond"/>
        </w:rPr>
      </w:pPr>
      <w:r>
        <w:rPr>
          <w:rFonts w:ascii="Garamond" w:hAnsi="Garamond"/>
        </w:rPr>
        <w:t>The respondent u</w:t>
      </w:r>
      <w:r w:rsidR="002314BA">
        <w:rPr>
          <w:rFonts w:ascii="Garamond" w:hAnsi="Garamond"/>
        </w:rPr>
        <w:t>niverse for this</w:t>
      </w:r>
      <w:r w:rsidR="003157F8">
        <w:rPr>
          <w:rFonts w:ascii="Garamond" w:hAnsi="Garamond"/>
        </w:rPr>
        <w:t xml:space="preserve"> study includes</w:t>
      </w:r>
      <w:r w:rsidR="00695FA7">
        <w:rPr>
          <w:rFonts w:ascii="Garamond" w:hAnsi="Garamond"/>
        </w:rPr>
        <w:t xml:space="preserve"> Temporary Assistance for Needy Families</w:t>
      </w:r>
      <w:r w:rsidR="003157F8">
        <w:rPr>
          <w:rFonts w:ascii="Garamond" w:hAnsi="Garamond"/>
        </w:rPr>
        <w:t xml:space="preserve"> </w:t>
      </w:r>
      <w:r w:rsidR="00695FA7">
        <w:rPr>
          <w:rFonts w:ascii="Garamond" w:hAnsi="Garamond"/>
        </w:rPr>
        <w:t>(</w:t>
      </w:r>
      <w:r w:rsidR="00FB498F">
        <w:rPr>
          <w:rFonts w:ascii="Garamond" w:hAnsi="Garamond"/>
        </w:rPr>
        <w:t>TANF</w:t>
      </w:r>
      <w:r w:rsidR="00695FA7">
        <w:rPr>
          <w:rFonts w:ascii="Garamond" w:hAnsi="Garamond"/>
        </w:rPr>
        <w:t>)</w:t>
      </w:r>
      <w:r w:rsidR="00FB498F">
        <w:rPr>
          <w:rFonts w:ascii="Garamond" w:hAnsi="Garamond"/>
        </w:rPr>
        <w:t xml:space="preserve"> program</w:t>
      </w:r>
      <w:r w:rsidR="002314BA">
        <w:rPr>
          <w:rFonts w:ascii="Garamond" w:hAnsi="Garamond"/>
        </w:rPr>
        <w:t xml:space="preserve"> leadership and </w:t>
      </w:r>
      <w:r w:rsidR="00FB498F">
        <w:rPr>
          <w:rFonts w:ascii="Garamond" w:hAnsi="Garamond"/>
        </w:rPr>
        <w:t>staff</w:t>
      </w:r>
      <w:r w:rsidR="002314BA">
        <w:rPr>
          <w:rFonts w:ascii="Garamond" w:hAnsi="Garamond"/>
        </w:rPr>
        <w:t xml:space="preserve"> </w:t>
      </w:r>
      <w:r w:rsidR="0049768F">
        <w:rPr>
          <w:rFonts w:ascii="Garamond" w:hAnsi="Garamond"/>
        </w:rPr>
        <w:t>supervisors</w:t>
      </w:r>
      <w:r w:rsidR="00CA4429">
        <w:rPr>
          <w:rFonts w:ascii="Garamond" w:hAnsi="Garamond"/>
        </w:rPr>
        <w:t>,</w:t>
      </w:r>
      <w:r w:rsidR="003157F8">
        <w:rPr>
          <w:rFonts w:ascii="Garamond" w:hAnsi="Garamond"/>
        </w:rPr>
        <w:t xml:space="preserve"> </w:t>
      </w:r>
      <w:r w:rsidR="00CA4429">
        <w:rPr>
          <w:rFonts w:ascii="Garamond" w:hAnsi="Garamond"/>
        </w:rPr>
        <w:t>front</w:t>
      </w:r>
      <w:r w:rsidR="004E1006">
        <w:rPr>
          <w:rFonts w:ascii="Garamond" w:hAnsi="Garamond"/>
        </w:rPr>
        <w:t>-</w:t>
      </w:r>
      <w:r w:rsidR="00CA4429">
        <w:rPr>
          <w:rFonts w:ascii="Garamond" w:hAnsi="Garamond"/>
        </w:rPr>
        <w:t>line staff</w:t>
      </w:r>
      <w:r w:rsidR="002314BA">
        <w:rPr>
          <w:rFonts w:ascii="Garamond" w:hAnsi="Garamond"/>
        </w:rPr>
        <w:t xml:space="preserve"> in TANF offices</w:t>
      </w:r>
      <w:r w:rsidR="00CA4429">
        <w:rPr>
          <w:rFonts w:ascii="Garamond" w:hAnsi="Garamond"/>
        </w:rPr>
        <w:t xml:space="preserve">, and </w:t>
      </w:r>
      <w:r w:rsidR="00FB498F">
        <w:rPr>
          <w:rFonts w:ascii="Garamond" w:hAnsi="Garamond"/>
        </w:rPr>
        <w:t>TANF clients</w:t>
      </w:r>
      <w:r w:rsidR="00FF1229">
        <w:rPr>
          <w:rFonts w:ascii="Garamond" w:hAnsi="Garamond"/>
        </w:rPr>
        <w:t xml:space="preserve"> in six sites. </w:t>
      </w:r>
      <w:r w:rsidR="00A97D32">
        <w:rPr>
          <w:rFonts w:ascii="Garamond" w:hAnsi="Garamond"/>
        </w:rPr>
        <w:t xml:space="preserve">The sample </w:t>
      </w:r>
      <w:r w:rsidR="00D365E6">
        <w:rPr>
          <w:rFonts w:ascii="Garamond" w:hAnsi="Garamond"/>
        </w:rPr>
        <w:t xml:space="preserve">goal is six </w:t>
      </w:r>
      <w:r w:rsidR="000D2ED2">
        <w:rPr>
          <w:rFonts w:ascii="Garamond" w:hAnsi="Garamond"/>
        </w:rPr>
        <w:t xml:space="preserve">State, </w:t>
      </w:r>
      <w:r w:rsidR="00D365E6">
        <w:rPr>
          <w:rFonts w:ascii="Garamond" w:hAnsi="Garamond"/>
        </w:rPr>
        <w:t>County</w:t>
      </w:r>
      <w:r w:rsidR="000D2ED2">
        <w:rPr>
          <w:rFonts w:ascii="Garamond" w:hAnsi="Garamond"/>
        </w:rPr>
        <w:t xml:space="preserve">, or Regional </w:t>
      </w:r>
      <w:r w:rsidR="00D365E6">
        <w:rPr>
          <w:rFonts w:ascii="Garamond" w:hAnsi="Garamond"/>
        </w:rPr>
        <w:t xml:space="preserve">Directors, 18 </w:t>
      </w:r>
      <w:r w:rsidR="004E1006">
        <w:rPr>
          <w:rFonts w:ascii="Garamond" w:hAnsi="Garamond"/>
        </w:rPr>
        <w:t>supervisors</w:t>
      </w:r>
      <w:r w:rsidR="00D365E6">
        <w:rPr>
          <w:rFonts w:ascii="Garamond" w:hAnsi="Garamond"/>
        </w:rPr>
        <w:t>, 1</w:t>
      </w:r>
      <w:r w:rsidR="00A97D32">
        <w:rPr>
          <w:rFonts w:ascii="Garamond" w:hAnsi="Garamond"/>
        </w:rPr>
        <w:t>2 front</w:t>
      </w:r>
      <w:r w:rsidR="004E1006">
        <w:rPr>
          <w:rFonts w:ascii="Garamond" w:hAnsi="Garamond"/>
        </w:rPr>
        <w:t>-</w:t>
      </w:r>
      <w:r w:rsidR="00A97D32">
        <w:rPr>
          <w:rFonts w:ascii="Garamond" w:hAnsi="Garamond"/>
        </w:rPr>
        <w:t>line staff, and 54 TANF clients across all</w:t>
      </w:r>
      <w:r w:rsidR="00D365E6">
        <w:rPr>
          <w:rFonts w:ascii="Garamond" w:hAnsi="Garamond"/>
        </w:rPr>
        <w:t xml:space="preserve"> six sites.</w:t>
      </w:r>
      <w:r w:rsidR="00EB2FB0">
        <w:rPr>
          <w:rFonts w:ascii="Garamond" w:hAnsi="Garamond"/>
        </w:rPr>
        <w:t xml:space="preserve"> Although sites chosen will vary by geographic region as well as along an urban/suburban/rural dimension, this sample will not be representative of all TANF leadership, staff, and clients. </w:t>
      </w:r>
    </w:p>
    <w:p w14:paraId="00F17848" w14:textId="77777777" w:rsidR="00910080" w:rsidRDefault="00910080" w:rsidP="003D0ED9">
      <w:pPr>
        <w:pStyle w:val="Heading2"/>
        <w:spacing w:before="280" w:after="120"/>
      </w:pPr>
      <w:bookmarkStart w:id="3" w:name="_Toc493250722"/>
      <w:bookmarkStart w:id="4" w:name="_Toc527043740"/>
      <w:r>
        <w:t xml:space="preserve">B.1.1 </w:t>
      </w:r>
      <w:r w:rsidR="003D0ED9">
        <w:t>Considerations for Selecting Sites</w:t>
      </w:r>
      <w:bookmarkEnd w:id="3"/>
      <w:bookmarkEnd w:id="4"/>
    </w:p>
    <w:p w14:paraId="4AA017E1" w14:textId="77777777" w:rsidR="003D0ED9" w:rsidRPr="003D0ED9" w:rsidRDefault="00EE62F3" w:rsidP="003D0ED9">
      <w:pPr>
        <w:rPr>
          <w:rFonts w:ascii="Garamond" w:hAnsi="Garamond"/>
        </w:rPr>
      </w:pPr>
      <w:r>
        <w:rPr>
          <w:rFonts w:ascii="Garamond" w:hAnsi="Garamond"/>
        </w:rPr>
        <w:t xml:space="preserve">The study team will purposefully select six sites to address the </w:t>
      </w:r>
      <w:r w:rsidRPr="00465120">
        <w:rPr>
          <w:rFonts w:ascii="Garamond" w:hAnsi="Garamond"/>
        </w:rPr>
        <w:t xml:space="preserve">objectives of this study. </w:t>
      </w:r>
      <w:r w:rsidR="00465120" w:rsidRPr="00465120">
        <w:rPr>
          <w:rFonts w:ascii="Garamond" w:hAnsi="Garamond"/>
        </w:rPr>
        <w:t xml:space="preserve">They will </w:t>
      </w:r>
      <w:r w:rsidR="003157F8" w:rsidRPr="00465120">
        <w:rPr>
          <w:rFonts w:ascii="Garamond" w:hAnsi="Garamond"/>
          <w:color w:val="000000"/>
        </w:rPr>
        <w:t>identify a diverse array of TANF programs that exhibit characteristics that are indicative of a positive office culture. This includes the following criteria:</w:t>
      </w:r>
      <w:r w:rsidR="003D0ED9" w:rsidRPr="003D0ED9">
        <w:rPr>
          <w:rFonts w:ascii="Garamond" w:hAnsi="Garamond"/>
        </w:rPr>
        <w:t xml:space="preserve"> </w:t>
      </w:r>
    </w:p>
    <w:p w14:paraId="0D94A222" w14:textId="2A821CF9" w:rsidR="005217C9" w:rsidRPr="005217C9" w:rsidRDefault="005217C9" w:rsidP="00A45853">
      <w:pPr>
        <w:numPr>
          <w:ilvl w:val="0"/>
          <w:numId w:val="25"/>
        </w:numPr>
        <w:spacing w:before="100" w:beforeAutospacing="1" w:after="100" w:afterAutospacing="1"/>
        <w:rPr>
          <w:rFonts w:ascii="Garamond" w:hAnsi="Garamond"/>
          <w:color w:val="000000"/>
        </w:rPr>
      </w:pPr>
      <w:bookmarkStart w:id="5" w:name="_Toc493250725"/>
      <w:r w:rsidRPr="005217C9">
        <w:rPr>
          <w:rFonts w:ascii="Garamond" w:hAnsi="Garamond"/>
          <w:b/>
          <w:color w:val="000000"/>
        </w:rPr>
        <w:t>Clear and consistent program mission and goals</w:t>
      </w:r>
      <w:r w:rsidRPr="005217C9">
        <w:rPr>
          <w:rFonts w:ascii="Garamond" w:hAnsi="Garamond"/>
          <w:color w:val="000000"/>
        </w:rPr>
        <w:t xml:space="preserve">. The literature review emphasized the importance of clear and well-defined organizational imperatives that are clearly communicated to staff at all levels and regularly monitored using performance benchmarks. Additionally, goals and performance measures should be outcome- as opposed to process-driven, and client- as opposed to compliance-centered. Beyond mission and vision statements alone, </w:t>
      </w:r>
      <w:r>
        <w:rPr>
          <w:rFonts w:ascii="Garamond" w:hAnsi="Garamond"/>
          <w:color w:val="000000"/>
        </w:rPr>
        <w:t>the research team will</w:t>
      </w:r>
      <w:r w:rsidRPr="005217C9">
        <w:rPr>
          <w:rFonts w:ascii="Garamond" w:hAnsi="Garamond"/>
          <w:color w:val="000000"/>
        </w:rPr>
        <w:t xml:space="preserve"> seek</w:t>
      </w:r>
      <w:r>
        <w:rPr>
          <w:rFonts w:ascii="Garamond" w:hAnsi="Garamond"/>
          <w:color w:val="000000"/>
        </w:rPr>
        <w:t xml:space="preserve"> </w:t>
      </w:r>
      <w:r w:rsidRPr="005217C9">
        <w:rPr>
          <w:rFonts w:ascii="Garamond" w:hAnsi="Garamond"/>
          <w:color w:val="000000"/>
        </w:rPr>
        <w:t xml:space="preserve">agencies whose goals for a specific program or initiative demonstrate a commitment to “vertically integrating” these goals throughout staff levels. While it is also important to verify that staff at all levels are able to articulate these shared goals and the extent to which their roles relate to them, this is something </w:t>
      </w:r>
      <w:r>
        <w:rPr>
          <w:rFonts w:ascii="Garamond" w:hAnsi="Garamond"/>
          <w:color w:val="000000"/>
        </w:rPr>
        <w:t>the research team</w:t>
      </w:r>
      <w:r w:rsidRPr="005217C9">
        <w:rPr>
          <w:rFonts w:ascii="Garamond" w:hAnsi="Garamond"/>
          <w:color w:val="000000"/>
        </w:rPr>
        <w:t xml:space="preserve"> will assess during site visits as opposed to a selection criterion.</w:t>
      </w:r>
    </w:p>
    <w:p w14:paraId="3FC4DD1F" w14:textId="076018EB" w:rsidR="005217C9" w:rsidRPr="005217C9" w:rsidRDefault="005217C9" w:rsidP="005217C9">
      <w:pPr>
        <w:pStyle w:val="ListParagraph"/>
        <w:numPr>
          <w:ilvl w:val="0"/>
          <w:numId w:val="25"/>
        </w:numPr>
        <w:spacing w:before="100" w:beforeAutospacing="1" w:after="100" w:afterAutospacing="1"/>
        <w:rPr>
          <w:rFonts w:ascii="Garamond" w:hAnsi="Garamond"/>
          <w:color w:val="000000"/>
          <w:sz w:val="24"/>
          <w:szCs w:val="24"/>
        </w:rPr>
      </w:pPr>
      <w:r w:rsidRPr="005217C9">
        <w:rPr>
          <w:rFonts w:ascii="Garamond" w:hAnsi="Garamond"/>
          <w:b/>
          <w:color w:val="000000"/>
          <w:sz w:val="24"/>
          <w:szCs w:val="24"/>
        </w:rPr>
        <w:t>Focus on innovation and learning</w:t>
      </w:r>
      <w:r w:rsidRPr="005217C9">
        <w:rPr>
          <w:rFonts w:ascii="Garamond" w:hAnsi="Garamond"/>
          <w:color w:val="000000"/>
          <w:sz w:val="24"/>
          <w:szCs w:val="24"/>
        </w:rPr>
        <w:t xml:space="preserve">. Research suggests the importance of organizations maintaining a commitment to program improvement by adapting to new and changing information. Agencies can use internal program data and staff insights or borrow lessons from other programs and outside research to inform their improvement efforts. Accordingly, this criterion can be demonstrated to some degree through a willingness to take part in pilots or special initiatives to improve services. However, </w:t>
      </w:r>
      <w:r>
        <w:rPr>
          <w:rFonts w:ascii="Garamond" w:hAnsi="Garamond"/>
          <w:color w:val="000000"/>
          <w:sz w:val="24"/>
          <w:szCs w:val="24"/>
        </w:rPr>
        <w:t>the research teams’</w:t>
      </w:r>
      <w:r w:rsidRPr="005217C9">
        <w:rPr>
          <w:rFonts w:ascii="Garamond" w:hAnsi="Garamond"/>
          <w:color w:val="000000"/>
          <w:sz w:val="24"/>
          <w:szCs w:val="24"/>
        </w:rPr>
        <w:t xml:space="preserve"> field experience suggests that a constant focus on pilot programs and new initiatives can cause organizational stress. To balance the presence of innovative strategies with the organizational prioritization of innovation, </w:t>
      </w:r>
      <w:r>
        <w:rPr>
          <w:rFonts w:ascii="Garamond" w:hAnsi="Garamond"/>
          <w:color w:val="000000"/>
          <w:sz w:val="24"/>
          <w:szCs w:val="24"/>
        </w:rPr>
        <w:t>the research team will</w:t>
      </w:r>
      <w:r w:rsidRPr="005217C9">
        <w:rPr>
          <w:rFonts w:ascii="Garamond" w:hAnsi="Garamond"/>
          <w:color w:val="000000"/>
          <w:sz w:val="24"/>
          <w:szCs w:val="24"/>
        </w:rPr>
        <w:t xml:space="preserve"> seek sites that demonstrate a commitment to organizational learning by allowing staff discretion and risk taking or by using performance metrics to direct the program in new directions, as opposed to constant programmatic change.</w:t>
      </w:r>
    </w:p>
    <w:p w14:paraId="52DA522F" w14:textId="3B529481" w:rsidR="005217C9" w:rsidRPr="005217C9" w:rsidRDefault="005217C9" w:rsidP="00FB498F">
      <w:pPr>
        <w:numPr>
          <w:ilvl w:val="0"/>
          <w:numId w:val="25"/>
        </w:numPr>
        <w:spacing w:before="100" w:beforeAutospacing="1" w:after="100" w:afterAutospacing="1"/>
        <w:rPr>
          <w:rFonts w:ascii="Garamond" w:hAnsi="Garamond"/>
          <w:color w:val="000000"/>
        </w:rPr>
      </w:pPr>
      <w:r w:rsidRPr="005217C9">
        <w:rPr>
          <w:rFonts w:ascii="Garamond" w:hAnsi="Garamond"/>
          <w:b/>
          <w:color w:val="000000"/>
        </w:rPr>
        <w:t>Staff development and empowerment</w:t>
      </w:r>
      <w:r w:rsidRPr="005217C9">
        <w:rPr>
          <w:rFonts w:ascii="Garamond" w:hAnsi="Garamond"/>
          <w:color w:val="000000"/>
        </w:rPr>
        <w:t xml:space="preserve">. The literature emphasizes the value of organizations supporting staff to feel adequately trained to be effective in their role. Investing in qualified staff, fostering constructive risk-taking among staff, and giving them autonomy to exercise discretion in their casework through decentralized decision-making systems helps to improve staff morale and client outcomes. </w:t>
      </w:r>
      <w:r>
        <w:rPr>
          <w:rFonts w:ascii="Garamond" w:hAnsi="Garamond"/>
          <w:color w:val="000000"/>
        </w:rPr>
        <w:t>The research team will</w:t>
      </w:r>
      <w:r w:rsidRPr="005217C9">
        <w:rPr>
          <w:rFonts w:ascii="Garamond" w:hAnsi="Garamond"/>
          <w:color w:val="000000"/>
        </w:rPr>
        <w:t xml:space="preserve"> seek organizations that invest in professional development opportunities for their staff, building the skills to independently handle the varying and complex case circumstances they face.</w:t>
      </w:r>
    </w:p>
    <w:p w14:paraId="1D48AF61" w14:textId="0EE82685" w:rsidR="005217C9" w:rsidRPr="002F6775" w:rsidRDefault="005217C9" w:rsidP="000620E7">
      <w:pPr>
        <w:numPr>
          <w:ilvl w:val="0"/>
          <w:numId w:val="25"/>
        </w:numPr>
        <w:spacing w:before="100" w:beforeAutospacing="1" w:after="100" w:afterAutospacing="1"/>
        <w:rPr>
          <w:rFonts w:ascii="Garamond" w:hAnsi="Garamond"/>
          <w:color w:val="000000"/>
        </w:rPr>
      </w:pPr>
      <w:r w:rsidRPr="005217C9">
        <w:rPr>
          <w:rFonts w:ascii="Garamond" w:hAnsi="Garamond"/>
          <w:b/>
          <w:color w:val="000000"/>
        </w:rPr>
        <w:t>Client-centered office and business processes</w:t>
      </w:r>
      <w:r w:rsidRPr="005217C9">
        <w:rPr>
          <w:rFonts w:ascii="Garamond" w:hAnsi="Garamond"/>
          <w:color w:val="000000"/>
        </w:rPr>
        <w:t xml:space="preserve">. The literature suggests organizations that design their offices and processes to ease clients’ access to services and benefits for clients and staff. Organizational characteristics that can support client accessibility include physical office space layout; efforts to minimize paperwork; and efforts to minimize the number of in-person office trips required while still maintaining opportunities for meaningful client-staff interaction. Several states have streamlined and redesigned business processes to make service delivery more efficient and accessible in order to promote an overall culture of client service. In addition, the literature emphasized the benefit of staffing arrangements to effectively manage staff workload given fluctuations in client demand. </w:t>
      </w:r>
      <w:r>
        <w:rPr>
          <w:rFonts w:ascii="Garamond" w:hAnsi="Garamond"/>
          <w:color w:val="000000"/>
        </w:rPr>
        <w:t>The research team will</w:t>
      </w:r>
      <w:r w:rsidRPr="005217C9">
        <w:rPr>
          <w:rFonts w:ascii="Garamond" w:hAnsi="Garamond"/>
          <w:color w:val="000000"/>
        </w:rPr>
        <w:t xml:space="preserve"> seek organizations whose processes demonstrate attention to improving client access.</w:t>
      </w:r>
    </w:p>
    <w:p w14:paraId="4E26BA32" w14:textId="77777777" w:rsidR="00AF5366" w:rsidRDefault="00AF5366" w:rsidP="000620E7">
      <w:pPr>
        <w:numPr>
          <w:ilvl w:val="0"/>
          <w:numId w:val="25"/>
        </w:numPr>
        <w:spacing w:before="100" w:beforeAutospacing="1" w:after="100" w:afterAutospacing="1"/>
        <w:rPr>
          <w:rFonts w:ascii="Garamond" w:hAnsi="Garamond"/>
          <w:color w:val="000000"/>
        </w:rPr>
      </w:pPr>
      <w:r w:rsidRPr="003F48F4">
        <w:rPr>
          <w:rFonts w:ascii="Garamond" w:hAnsi="Garamond"/>
          <w:b/>
          <w:color w:val="000000"/>
        </w:rPr>
        <w:t>Diversity:</w:t>
      </w:r>
      <w:r>
        <w:rPr>
          <w:rFonts w:ascii="Garamond" w:hAnsi="Garamond"/>
          <w:color w:val="000000"/>
        </w:rPr>
        <w:t xml:space="preserve"> The research team will seek diversity in sites along two primary dimensions: program characteristics and nature of improvement efforts. In addition, we will select a combination of sites that include a focus on both the upfront eligibility determination and recertification process as well as services offered from welfare-to-work programs. Lastly, sites will vary along an urban/rural/suburban dimension as well as by geographic region. </w:t>
      </w:r>
    </w:p>
    <w:p w14:paraId="3EC20128" w14:textId="77777777" w:rsidR="000620E7" w:rsidRDefault="000620E7" w:rsidP="000620E7">
      <w:pPr>
        <w:numPr>
          <w:ilvl w:val="0"/>
          <w:numId w:val="25"/>
        </w:numPr>
        <w:spacing w:before="100" w:beforeAutospacing="1" w:after="100" w:afterAutospacing="1"/>
        <w:rPr>
          <w:rFonts w:ascii="Garamond" w:hAnsi="Garamond"/>
          <w:color w:val="000000"/>
        </w:rPr>
      </w:pPr>
      <w:r w:rsidRPr="003F48F4">
        <w:rPr>
          <w:rFonts w:ascii="Garamond" w:hAnsi="Garamond"/>
          <w:b/>
          <w:color w:val="000000"/>
        </w:rPr>
        <w:t>Willingness to participate</w:t>
      </w:r>
      <w:r>
        <w:rPr>
          <w:rFonts w:ascii="Garamond" w:hAnsi="Garamond"/>
          <w:color w:val="000000"/>
        </w:rPr>
        <w:t xml:space="preserve">: The research team will only include sites that are interested in participating. </w:t>
      </w:r>
    </w:p>
    <w:p w14:paraId="4D86E0B7" w14:textId="439DB4F9" w:rsidR="00325E91" w:rsidRPr="00E66ABD" w:rsidRDefault="00D546C3" w:rsidP="00325E91">
      <w:pPr>
        <w:pStyle w:val="BodyText"/>
        <w:rPr>
          <w:rFonts w:ascii="Garamond" w:hAnsi="Garamond"/>
          <w:sz w:val="24"/>
          <w:szCs w:val="24"/>
        </w:rPr>
      </w:pPr>
      <w:r w:rsidRPr="00E66ABD">
        <w:rPr>
          <w:rFonts w:ascii="Garamond" w:hAnsi="Garamond"/>
          <w:color w:val="000000"/>
          <w:sz w:val="24"/>
          <w:szCs w:val="24"/>
        </w:rPr>
        <w:t xml:space="preserve">Site selection will be a multi-stage process. </w:t>
      </w:r>
      <w:r w:rsidR="000620E7" w:rsidRPr="00E66ABD">
        <w:rPr>
          <w:rFonts w:ascii="Garamond" w:hAnsi="Garamond"/>
          <w:color w:val="000000"/>
          <w:sz w:val="24"/>
          <w:szCs w:val="24"/>
        </w:rPr>
        <w:t>T</w:t>
      </w:r>
      <w:r w:rsidR="0041162F" w:rsidRPr="00E66ABD">
        <w:rPr>
          <w:rFonts w:ascii="Garamond" w:hAnsi="Garamond"/>
          <w:color w:val="000000"/>
          <w:sz w:val="24"/>
          <w:szCs w:val="24"/>
        </w:rPr>
        <w:t xml:space="preserve">he study team will </w:t>
      </w:r>
      <w:r w:rsidR="000620E7" w:rsidRPr="00E66ABD">
        <w:rPr>
          <w:rFonts w:ascii="Garamond" w:hAnsi="Garamond"/>
          <w:color w:val="000000"/>
          <w:sz w:val="24"/>
          <w:szCs w:val="24"/>
        </w:rPr>
        <w:t>review an array of available sources</w:t>
      </w:r>
      <w:r w:rsidR="0044558C" w:rsidRPr="00E66ABD">
        <w:rPr>
          <w:rFonts w:ascii="Garamond" w:hAnsi="Garamond"/>
          <w:color w:val="000000"/>
          <w:sz w:val="24"/>
          <w:szCs w:val="24"/>
        </w:rPr>
        <w:t xml:space="preserve">, including agendas and presentations from recent conferences and public reports highlighting TANF programs, </w:t>
      </w:r>
      <w:r w:rsidR="00684EC1" w:rsidRPr="00E66ABD">
        <w:rPr>
          <w:rFonts w:ascii="Garamond" w:hAnsi="Garamond"/>
          <w:color w:val="000000"/>
          <w:sz w:val="24"/>
          <w:szCs w:val="24"/>
        </w:rPr>
        <w:t xml:space="preserve">as well as solicit recommendations from a subset of the experts listed in A.8.2 </w:t>
      </w:r>
      <w:r w:rsidR="000620E7" w:rsidRPr="00E66ABD">
        <w:rPr>
          <w:rFonts w:ascii="Garamond" w:hAnsi="Garamond"/>
          <w:color w:val="000000"/>
          <w:sz w:val="24"/>
          <w:szCs w:val="24"/>
        </w:rPr>
        <w:t xml:space="preserve">to </w:t>
      </w:r>
      <w:r w:rsidR="00E66ABD">
        <w:rPr>
          <w:rFonts w:ascii="Garamond" w:hAnsi="Garamond"/>
          <w:color w:val="000000"/>
          <w:sz w:val="24"/>
          <w:szCs w:val="24"/>
        </w:rPr>
        <w:t>identify an initial</w:t>
      </w:r>
      <w:r w:rsidR="000620E7" w:rsidRPr="00E66ABD">
        <w:rPr>
          <w:rFonts w:ascii="Garamond" w:hAnsi="Garamond"/>
          <w:color w:val="000000"/>
          <w:sz w:val="24"/>
          <w:szCs w:val="24"/>
        </w:rPr>
        <w:t xml:space="preserve"> </w:t>
      </w:r>
      <w:r w:rsidR="00AF5366" w:rsidRPr="00E66ABD">
        <w:rPr>
          <w:rFonts w:ascii="Garamond" w:hAnsi="Garamond"/>
          <w:color w:val="000000"/>
          <w:sz w:val="24"/>
          <w:szCs w:val="24"/>
        </w:rPr>
        <w:t xml:space="preserve">10 to 12 potential site visit locations </w:t>
      </w:r>
      <w:r w:rsidR="0044558C" w:rsidRPr="00E66ABD">
        <w:rPr>
          <w:rFonts w:ascii="Garamond" w:hAnsi="Garamond"/>
          <w:color w:val="000000"/>
          <w:sz w:val="24"/>
          <w:szCs w:val="24"/>
        </w:rPr>
        <w:t>whose TANF programs exhibit at least two of the above criteria</w:t>
      </w:r>
      <w:r w:rsidR="00AF5366" w:rsidRPr="00E66ABD">
        <w:rPr>
          <w:rFonts w:ascii="Garamond" w:hAnsi="Garamond"/>
          <w:color w:val="000000"/>
          <w:sz w:val="24"/>
          <w:szCs w:val="24"/>
        </w:rPr>
        <w:t xml:space="preserve">. </w:t>
      </w:r>
      <w:r w:rsidR="004C2CF4">
        <w:rPr>
          <w:rFonts w:ascii="Garamond" w:hAnsi="Garamond"/>
          <w:sz w:val="24"/>
          <w:szCs w:val="24"/>
        </w:rPr>
        <w:t>Sites</w:t>
      </w:r>
      <w:r w:rsidR="00325E91" w:rsidRPr="00E66ABD">
        <w:rPr>
          <w:rFonts w:ascii="Garamond" w:hAnsi="Garamond"/>
          <w:sz w:val="24"/>
          <w:szCs w:val="24"/>
        </w:rPr>
        <w:t xml:space="preserve"> meeting those minimum criteria will then be the starting point for a “site selection matrix.” The study team will use that matrix to summarize additional information reviewed and gathered du</w:t>
      </w:r>
      <w:r w:rsidR="00D65A64" w:rsidRPr="00D65A64">
        <w:rPr>
          <w:rFonts w:ascii="Garamond" w:hAnsi="Garamond"/>
          <w:sz w:val="24"/>
          <w:szCs w:val="24"/>
        </w:rPr>
        <w:t xml:space="preserve">ring the site </w:t>
      </w:r>
      <w:r w:rsidR="00E66ABD">
        <w:rPr>
          <w:rFonts w:ascii="Garamond" w:hAnsi="Garamond"/>
          <w:sz w:val="24"/>
          <w:szCs w:val="24"/>
        </w:rPr>
        <w:t xml:space="preserve">identification </w:t>
      </w:r>
      <w:r w:rsidR="00D65A64" w:rsidRPr="00D65A64">
        <w:rPr>
          <w:rFonts w:ascii="Garamond" w:hAnsi="Garamond"/>
          <w:sz w:val="24"/>
          <w:szCs w:val="24"/>
        </w:rPr>
        <w:t>process</w:t>
      </w:r>
      <w:r w:rsidR="00325E91" w:rsidRPr="00E66ABD">
        <w:rPr>
          <w:rFonts w:ascii="Garamond" w:hAnsi="Garamond"/>
          <w:sz w:val="24"/>
          <w:szCs w:val="24"/>
        </w:rPr>
        <w:t xml:space="preserve">. The matrix will primarily include qualitative descriptions relevant to each of the site selection criteria. </w:t>
      </w:r>
    </w:p>
    <w:p w14:paraId="33B33213" w14:textId="5CBB6C08" w:rsidR="0041162F" w:rsidRPr="002E3D9A" w:rsidRDefault="00AF5366" w:rsidP="000620E7">
      <w:pPr>
        <w:spacing w:before="100" w:beforeAutospacing="1" w:after="100" w:afterAutospacing="1"/>
        <w:rPr>
          <w:color w:val="000000"/>
          <w:sz w:val="27"/>
          <w:szCs w:val="27"/>
        </w:rPr>
      </w:pPr>
      <w:r>
        <w:rPr>
          <w:rFonts w:ascii="Garamond" w:hAnsi="Garamond"/>
          <w:color w:val="000000"/>
        </w:rPr>
        <w:t>From the initial list of 10 to 12 sites, the research</w:t>
      </w:r>
      <w:r w:rsidR="004E1006">
        <w:rPr>
          <w:rFonts w:ascii="Garamond" w:hAnsi="Garamond"/>
          <w:color w:val="000000"/>
        </w:rPr>
        <w:t xml:space="preserve"> team will contact </w:t>
      </w:r>
      <w:r w:rsidR="00CB74DA">
        <w:rPr>
          <w:rFonts w:ascii="Garamond" w:hAnsi="Garamond"/>
          <w:color w:val="000000"/>
        </w:rPr>
        <w:t>fewer</w:t>
      </w:r>
      <w:r w:rsidR="004E1006">
        <w:rPr>
          <w:rFonts w:ascii="Garamond" w:hAnsi="Garamond"/>
          <w:color w:val="000000"/>
        </w:rPr>
        <w:t xml:space="preserve"> than 10</w:t>
      </w:r>
      <w:r>
        <w:rPr>
          <w:rFonts w:ascii="Garamond" w:hAnsi="Garamond"/>
          <w:color w:val="000000"/>
        </w:rPr>
        <w:t xml:space="preserve"> administrators in potential sites to summarize the goals of the study</w:t>
      </w:r>
      <w:r w:rsidR="0044558C">
        <w:rPr>
          <w:rFonts w:ascii="Garamond" w:hAnsi="Garamond"/>
          <w:color w:val="000000"/>
        </w:rPr>
        <w:t xml:space="preserve">, </w:t>
      </w:r>
      <w:r w:rsidR="00325E91">
        <w:rPr>
          <w:rFonts w:ascii="Garamond" w:hAnsi="Garamond"/>
          <w:color w:val="000000"/>
        </w:rPr>
        <w:t xml:space="preserve">confirm the </w:t>
      </w:r>
      <w:r w:rsidR="00D65A64">
        <w:rPr>
          <w:rFonts w:ascii="Garamond" w:hAnsi="Garamond"/>
          <w:color w:val="000000"/>
        </w:rPr>
        <w:t>information in the site selection matrix is accurate</w:t>
      </w:r>
      <w:r w:rsidR="00325E91">
        <w:rPr>
          <w:rFonts w:ascii="Garamond" w:hAnsi="Garamond"/>
          <w:color w:val="000000"/>
        </w:rPr>
        <w:t>,</w:t>
      </w:r>
      <w:r>
        <w:rPr>
          <w:rFonts w:ascii="Garamond" w:hAnsi="Garamond"/>
          <w:color w:val="000000"/>
        </w:rPr>
        <w:t xml:space="preserve"> </w:t>
      </w:r>
      <w:r w:rsidR="00D65A64">
        <w:rPr>
          <w:rFonts w:ascii="Garamond" w:hAnsi="Garamond"/>
          <w:color w:val="000000"/>
        </w:rPr>
        <w:t xml:space="preserve">gather </w:t>
      </w:r>
      <w:r w:rsidR="00E66ABD">
        <w:rPr>
          <w:rFonts w:ascii="Garamond" w:hAnsi="Garamond"/>
          <w:color w:val="000000"/>
        </w:rPr>
        <w:t xml:space="preserve">more </w:t>
      </w:r>
      <w:r w:rsidR="00D65A64">
        <w:rPr>
          <w:rFonts w:ascii="Garamond" w:hAnsi="Garamond"/>
          <w:color w:val="000000"/>
        </w:rPr>
        <w:t xml:space="preserve">information </w:t>
      </w:r>
      <w:r w:rsidR="00E66ABD">
        <w:rPr>
          <w:rFonts w:ascii="Garamond" w:hAnsi="Garamond"/>
          <w:color w:val="000000"/>
        </w:rPr>
        <w:t xml:space="preserve">about sites’ </w:t>
      </w:r>
      <w:r w:rsidR="00D65A64">
        <w:rPr>
          <w:rFonts w:ascii="Garamond" w:hAnsi="Garamond"/>
          <w:color w:val="000000"/>
        </w:rPr>
        <w:t xml:space="preserve">organizational cultures not found </w:t>
      </w:r>
      <w:r w:rsidR="00E66ABD">
        <w:rPr>
          <w:rFonts w:ascii="Garamond" w:hAnsi="Garamond"/>
          <w:color w:val="000000"/>
        </w:rPr>
        <w:t>during the site identification process</w:t>
      </w:r>
      <w:r w:rsidR="00D65A64">
        <w:rPr>
          <w:rFonts w:ascii="Garamond" w:hAnsi="Garamond"/>
          <w:color w:val="000000"/>
        </w:rPr>
        <w:t xml:space="preserve">, </w:t>
      </w:r>
      <w:r>
        <w:rPr>
          <w:rFonts w:ascii="Garamond" w:hAnsi="Garamond"/>
          <w:color w:val="000000"/>
        </w:rPr>
        <w:t xml:space="preserve">and gauge interest in potential participation. These conversations, combined with input from ACF and the Office of Family Assistance, will determine </w:t>
      </w:r>
      <w:r w:rsidR="00974C7E">
        <w:rPr>
          <w:rFonts w:ascii="Garamond" w:hAnsi="Garamond"/>
          <w:color w:val="000000"/>
        </w:rPr>
        <w:t xml:space="preserve">which </w:t>
      </w:r>
      <w:r w:rsidR="004B425C">
        <w:rPr>
          <w:rFonts w:ascii="Garamond" w:hAnsi="Garamond"/>
          <w:color w:val="000000"/>
        </w:rPr>
        <w:t>six sites</w:t>
      </w:r>
      <w:r w:rsidR="00974C7E">
        <w:rPr>
          <w:rFonts w:ascii="Garamond" w:hAnsi="Garamond"/>
          <w:color w:val="000000"/>
        </w:rPr>
        <w:t xml:space="preserve"> </w:t>
      </w:r>
      <w:r w:rsidR="00E66ABD">
        <w:rPr>
          <w:rFonts w:ascii="Garamond" w:hAnsi="Garamond"/>
          <w:color w:val="000000"/>
        </w:rPr>
        <w:t>best meet the criteria mentioned above</w:t>
      </w:r>
      <w:r w:rsidR="004C2CF4">
        <w:rPr>
          <w:rFonts w:ascii="Garamond" w:hAnsi="Garamond"/>
          <w:color w:val="000000"/>
        </w:rPr>
        <w:t xml:space="preserve"> and will be considered the final sites for the study</w:t>
      </w:r>
      <w:r>
        <w:rPr>
          <w:rFonts w:ascii="Garamond" w:hAnsi="Garamond"/>
          <w:color w:val="000000"/>
        </w:rPr>
        <w:t xml:space="preserve">.  </w:t>
      </w:r>
    </w:p>
    <w:p w14:paraId="44AF22E6" w14:textId="7FE31E74" w:rsidR="00BD5D0D" w:rsidRDefault="00BD5D0D" w:rsidP="00974C7E">
      <w:pPr>
        <w:pStyle w:val="Heading2"/>
        <w:rPr>
          <w:highlight w:val="yellow"/>
        </w:rPr>
      </w:pPr>
      <w:bookmarkStart w:id="6" w:name="_Toc527043741"/>
      <w:r>
        <w:t>B.1.2. Focus Group Participants</w:t>
      </w:r>
      <w:bookmarkEnd w:id="6"/>
      <w:r>
        <w:t xml:space="preserve"> </w:t>
      </w:r>
    </w:p>
    <w:p w14:paraId="47A5F971" w14:textId="580F4B8C" w:rsidR="00BD5D0D" w:rsidRDefault="00BD5D0D" w:rsidP="00974C7E">
      <w:pPr>
        <w:pStyle w:val="ListParagraph"/>
        <w:spacing w:after="160" w:line="256" w:lineRule="auto"/>
        <w:ind w:left="0"/>
      </w:pPr>
      <w:r w:rsidRPr="00974C7E">
        <w:rPr>
          <w:rFonts w:ascii="Garamond" w:hAnsi="Garamond"/>
          <w:sz w:val="24"/>
        </w:rPr>
        <w:t>Once the six sites have been selected for site visits, the research team will work with the TANF program staff to identify and convene</w:t>
      </w:r>
      <w:r w:rsidR="00974C7E" w:rsidRPr="00974C7E">
        <w:rPr>
          <w:rFonts w:ascii="Garamond" w:hAnsi="Garamond"/>
          <w:sz w:val="24"/>
        </w:rPr>
        <w:t xml:space="preserve"> current</w:t>
      </w:r>
      <w:r w:rsidRPr="00974C7E">
        <w:rPr>
          <w:rFonts w:ascii="Garamond" w:hAnsi="Garamond"/>
          <w:sz w:val="24"/>
        </w:rPr>
        <w:t xml:space="preserve"> TANF participants to participate in focus groups. We will aim for each focus group discussion to include about </w:t>
      </w:r>
      <w:r w:rsidR="00974C7E" w:rsidRPr="00974C7E">
        <w:rPr>
          <w:rFonts w:ascii="Garamond" w:hAnsi="Garamond"/>
          <w:sz w:val="24"/>
        </w:rPr>
        <w:t xml:space="preserve">six to </w:t>
      </w:r>
      <w:r w:rsidRPr="00974C7E">
        <w:rPr>
          <w:rFonts w:ascii="Garamond" w:hAnsi="Garamond"/>
          <w:sz w:val="24"/>
        </w:rPr>
        <w:t xml:space="preserve">nine participants. </w:t>
      </w:r>
      <w:r w:rsidR="00974C7E" w:rsidRPr="00974C7E">
        <w:rPr>
          <w:rFonts w:ascii="Garamond" w:hAnsi="Garamond"/>
          <w:sz w:val="24"/>
        </w:rPr>
        <w:t xml:space="preserve">Focus groups participants </w:t>
      </w:r>
      <w:r w:rsidRPr="00974C7E">
        <w:rPr>
          <w:rFonts w:ascii="Garamond" w:hAnsi="Garamond"/>
          <w:sz w:val="24"/>
        </w:rPr>
        <w:t xml:space="preserve">will represent a convenience sample; the study team will work with the </w:t>
      </w:r>
      <w:r w:rsidR="00974C7E" w:rsidRPr="00974C7E">
        <w:rPr>
          <w:rFonts w:ascii="Garamond" w:hAnsi="Garamond"/>
          <w:sz w:val="24"/>
        </w:rPr>
        <w:t xml:space="preserve">TANF </w:t>
      </w:r>
      <w:r w:rsidRPr="00974C7E">
        <w:rPr>
          <w:rFonts w:ascii="Garamond" w:hAnsi="Garamond"/>
          <w:sz w:val="24"/>
        </w:rPr>
        <w:t>program</w:t>
      </w:r>
      <w:r w:rsidR="00974C7E" w:rsidRPr="00974C7E">
        <w:rPr>
          <w:rFonts w:ascii="Garamond" w:hAnsi="Garamond"/>
          <w:sz w:val="24"/>
        </w:rPr>
        <w:t xml:space="preserve"> staff</w:t>
      </w:r>
      <w:r w:rsidRPr="00974C7E">
        <w:rPr>
          <w:rFonts w:ascii="Garamond" w:hAnsi="Garamond"/>
          <w:sz w:val="24"/>
        </w:rPr>
        <w:t xml:space="preserve"> in each site to identify individuals who may be appropriate for </w:t>
      </w:r>
      <w:r w:rsidR="00974C7E">
        <w:rPr>
          <w:rFonts w:ascii="Garamond" w:hAnsi="Garamond"/>
          <w:sz w:val="24"/>
        </w:rPr>
        <w:t xml:space="preserve">and interested in </w:t>
      </w:r>
      <w:r w:rsidRPr="00974C7E">
        <w:rPr>
          <w:rFonts w:ascii="Garamond" w:hAnsi="Garamond"/>
          <w:sz w:val="24"/>
        </w:rPr>
        <w:t xml:space="preserve">the </w:t>
      </w:r>
      <w:r w:rsidR="00974C7E">
        <w:rPr>
          <w:rFonts w:ascii="Garamond" w:hAnsi="Garamond"/>
          <w:sz w:val="24"/>
        </w:rPr>
        <w:t xml:space="preserve">focus </w:t>
      </w:r>
      <w:r w:rsidRPr="00974C7E">
        <w:rPr>
          <w:rFonts w:ascii="Garamond" w:hAnsi="Garamond"/>
          <w:sz w:val="24"/>
        </w:rPr>
        <w:t>group and to invite them to participate</w:t>
      </w:r>
      <w:r>
        <w:t>.</w:t>
      </w:r>
    </w:p>
    <w:p w14:paraId="7C94D4DF" w14:textId="258703B5" w:rsidR="0040617B" w:rsidRPr="00C44479" w:rsidRDefault="0073498D" w:rsidP="00C44479">
      <w:pPr>
        <w:pStyle w:val="Heading1"/>
        <w:spacing w:before="320" w:after="120"/>
      </w:pPr>
      <w:bookmarkStart w:id="7" w:name="_Toc527043742"/>
      <w:r>
        <w:t>B.2</w:t>
      </w:r>
      <w:r w:rsidR="00E05A0A">
        <w:t xml:space="preserve"> Procedures for Collection of Information</w:t>
      </w:r>
      <w:bookmarkEnd w:id="5"/>
      <w:bookmarkEnd w:id="7"/>
    </w:p>
    <w:p w14:paraId="10950425" w14:textId="1FE2366D" w:rsidR="00EB2FB0" w:rsidRDefault="00465120" w:rsidP="00D365E6">
      <w:pPr>
        <w:spacing w:before="100" w:beforeAutospacing="1" w:after="100" w:afterAutospacing="1"/>
        <w:rPr>
          <w:rFonts w:ascii="Garamond" w:hAnsi="Garamond"/>
        </w:rPr>
      </w:pPr>
      <w:r>
        <w:rPr>
          <w:rFonts w:ascii="Garamond" w:hAnsi="Garamond"/>
        </w:rPr>
        <w:t xml:space="preserve">Using the criteria </w:t>
      </w:r>
      <w:r w:rsidR="00325E91">
        <w:rPr>
          <w:rFonts w:ascii="Garamond" w:hAnsi="Garamond"/>
        </w:rPr>
        <w:t xml:space="preserve">and process </w:t>
      </w:r>
      <w:r>
        <w:rPr>
          <w:rFonts w:ascii="Garamond" w:hAnsi="Garamond"/>
        </w:rPr>
        <w:t>mentioned above</w:t>
      </w:r>
      <w:r w:rsidR="00996B29">
        <w:rPr>
          <w:rFonts w:ascii="Garamond" w:hAnsi="Garamond"/>
        </w:rPr>
        <w:t xml:space="preserve"> in Section B.1.1</w:t>
      </w:r>
      <w:r>
        <w:rPr>
          <w:rFonts w:ascii="Garamond" w:hAnsi="Garamond"/>
        </w:rPr>
        <w:t xml:space="preserve">, the study team will select sites that represent exemplars of TANF organizational culture. </w:t>
      </w:r>
      <w:r w:rsidR="00E52AFD">
        <w:rPr>
          <w:rFonts w:ascii="Garamond" w:hAnsi="Garamond"/>
        </w:rPr>
        <w:t xml:space="preserve">Drawing on relationships with state and local TANF agencies, the researchers will recruit sites. Once sites have been selected, the research team will schedule site visits that include interviews with the TANF Director, County Director, </w:t>
      </w:r>
      <w:r w:rsidR="00C769F8">
        <w:rPr>
          <w:rFonts w:ascii="Garamond" w:hAnsi="Garamond"/>
        </w:rPr>
        <w:t xml:space="preserve">or </w:t>
      </w:r>
      <w:r w:rsidR="00E52AFD">
        <w:rPr>
          <w:rFonts w:ascii="Garamond" w:hAnsi="Garamond"/>
        </w:rPr>
        <w:t xml:space="preserve">Regional Director; three supervisors; </w:t>
      </w:r>
      <w:r w:rsidR="00C26D4B">
        <w:rPr>
          <w:rFonts w:ascii="Garamond" w:hAnsi="Garamond"/>
        </w:rPr>
        <w:t xml:space="preserve">and </w:t>
      </w:r>
      <w:r w:rsidR="00E52AFD">
        <w:rPr>
          <w:rFonts w:ascii="Garamond" w:hAnsi="Garamond"/>
        </w:rPr>
        <w:t>two front-line staff</w:t>
      </w:r>
      <w:r w:rsidR="00C26D4B">
        <w:rPr>
          <w:rFonts w:ascii="Garamond" w:hAnsi="Garamond"/>
        </w:rPr>
        <w:t xml:space="preserve"> in each site</w:t>
      </w:r>
      <w:r w:rsidR="00015CF2">
        <w:rPr>
          <w:rFonts w:ascii="Garamond" w:hAnsi="Garamond"/>
        </w:rPr>
        <w:t xml:space="preserve"> as well as</w:t>
      </w:r>
      <w:r w:rsidR="00C769F8">
        <w:rPr>
          <w:rFonts w:ascii="Garamond" w:hAnsi="Garamond"/>
        </w:rPr>
        <w:t xml:space="preserve"> a focus group with nine TANF clients</w:t>
      </w:r>
      <w:r w:rsidR="00C26D4B">
        <w:rPr>
          <w:rFonts w:ascii="Garamond" w:hAnsi="Garamond"/>
        </w:rPr>
        <w:t>.</w:t>
      </w:r>
      <w:r w:rsidR="00E52AFD">
        <w:rPr>
          <w:rFonts w:ascii="Garamond" w:hAnsi="Garamond"/>
        </w:rPr>
        <w:t xml:space="preserve"> After consent is provided, staff and TANF clients will be interviewed using the appropriate interview guides during site visits in each of the six sites (Appendices A</w:t>
      </w:r>
      <w:r w:rsidR="00C26D4B">
        <w:rPr>
          <w:rFonts w:ascii="Garamond" w:hAnsi="Garamond"/>
        </w:rPr>
        <w:t xml:space="preserve"> and B</w:t>
      </w:r>
      <w:r w:rsidR="00E52AFD">
        <w:rPr>
          <w:rFonts w:ascii="Garamond" w:hAnsi="Garamond"/>
        </w:rPr>
        <w:t>)</w:t>
      </w:r>
      <w:r w:rsidR="00C26D4B">
        <w:rPr>
          <w:rFonts w:ascii="Garamond" w:hAnsi="Garamond"/>
        </w:rPr>
        <w:t>.</w:t>
      </w:r>
      <w:r w:rsidR="0019233B">
        <w:rPr>
          <w:rFonts w:ascii="Garamond" w:hAnsi="Garamond"/>
        </w:rPr>
        <w:t xml:space="preserve"> </w:t>
      </w:r>
    </w:p>
    <w:p w14:paraId="74B76446" w14:textId="3D3FD708" w:rsidR="00D365E6" w:rsidRPr="00606FEC" w:rsidRDefault="0019233B" w:rsidP="00D365E6">
      <w:pPr>
        <w:spacing w:before="100" w:beforeAutospacing="1" w:after="100" w:afterAutospacing="1"/>
        <w:rPr>
          <w:rFonts w:ascii="Garamond" w:hAnsi="Garamond"/>
          <w:color w:val="000000"/>
        </w:rPr>
      </w:pPr>
      <w:r>
        <w:rPr>
          <w:rFonts w:ascii="Garamond" w:hAnsi="Garamond"/>
        </w:rPr>
        <w:t>In-person interviews allow for the collection of non-verbal information</w:t>
      </w:r>
      <w:r w:rsidRPr="0083344A">
        <w:rPr>
          <w:rFonts w:ascii="Garamond" w:hAnsi="Garamond"/>
        </w:rPr>
        <w:t xml:space="preserve"> </w:t>
      </w:r>
      <w:r>
        <w:rPr>
          <w:rFonts w:ascii="Garamond" w:hAnsi="Garamond"/>
        </w:rPr>
        <w:t>(</w:t>
      </w:r>
      <w:r w:rsidRPr="0083344A">
        <w:rPr>
          <w:rFonts w:ascii="Garamond" w:hAnsi="Garamond"/>
        </w:rPr>
        <w:t>for example, general attitude of the interviewee, assessments of rapport built during the interview</w:t>
      </w:r>
      <w:r>
        <w:rPr>
          <w:rFonts w:ascii="Garamond" w:hAnsi="Garamond"/>
        </w:rPr>
        <w:t>, how the interviewee interacts with</w:t>
      </w:r>
      <w:r w:rsidR="00EB2FB0">
        <w:rPr>
          <w:rFonts w:ascii="Garamond" w:hAnsi="Garamond"/>
        </w:rPr>
        <w:t xml:space="preserve"> their surroundings</w:t>
      </w:r>
      <w:r w:rsidRPr="0083344A">
        <w:rPr>
          <w:rFonts w:ascii="Garamond" w:hAnsi="Garamond"/>
        </w:rPr>
        <w:t>)</w:t>
      </w:r>
      <w:r>
        <w:rPr>
          <w:rFonts w:ascii="Garamond" w:hAnsi="Garamond"/>
        </w:rPr>
        <w:t xml:space="preserve"> that other data collection methods </w:t>
      </w:r>
      <w:r w:rsidR="00EB2FB0">
        <w:rPr>
          <w:rFonts w:ascii="Garamond" w:hAnsi="Garamond"/>
        </w:rPr>
        <w:t>do not.</w:t>
      </w:r>
      <w:r w:rsidR="00C26D4B">
        <w:rPr>
          <w:rFonts w:ascii="Garamond" w:hAnsi="Garamond"/>
        </w:rPr>
        <w:t xml:space="preserve"> </w:t>
      </w:r>
      <w:r w:rsidR="00E52AFD">
        <w:rPr>
          <w:rFonts w:ascii="Garamond" w:hAnsi="Garamond"/>
        </w:rPr>
        <w:t>Interviewers will take detailed notes during each interview</w:t>
      </w:r>
      <w:r>
        <w:rPr>
          <w:rFonts w:ascii="Garamond" w:hAnsi="Garamond"/>
        </w:rPr>
        <w:t xml:space="preserve"> to capture both verbal and non-verbal information</w:t>
      </w:r>
      <w:r w:rsidR="00C769F8">
        <w:rPr>
          <w:rFonts w:ascii="Garamond" w:hAnsi="Garamond"/>
        </w:rPr>
        <w:t>, and some interviews may be audio recorded</w:t>
      </w:r>
      <w:r w:rsidR="00E52AFD">
        <w:rPr>
          <w:rFonts w:ascii="Garamond" w:hAnsi="Garamond"/>
        </w:rPr>
        <w:t>. I</w:t>
      </w:r>
      <w:r w:rsidR="00E52AFD" w:rsidRPr="00FD0B34">
        <w:rPr>
          <w:rFonts w:ascii="Garamond" w:hAnsi="Garamond"/>
        </w:rPr>
        <w:t>nterviewers will write summary notes after each interview to record early impressions and themes that emerged during the interview</w:t>
      </w:r>
      <w:r w:rsidR="00E52AFD" w:rsidRPr="00FD0B34">
        <w:rPr>
          <w:rFonts w:ascii="Garamond" w:hAnsi="Garamond"/>
          <w:color w:val="000000"/>
        </w:rPr>
        <w:t>.</w:t>
      </w:r>
    </w:p>
    <w:p w14:paraId="16FB8888" w14:textId="77777777" w:rsidR="005B43D0" w:rsidRDefault="00D365E6" w:rsidP="005B43D0">
      <w:pPr>
        <w:rPr>
          <w:rFonts w:ascii="Garamond" w:hAnsi="Garamond"/>
        </w:rPr>
      </w:pPr>
      <w:r w:rsidRPr="00AF5366">
        <w:rPr>
          <w:rFonts w:ascii="Garamond" w:hAnsi="Garamond"/>
          <w:color w:val="000000"/>
        </w:rPr>
        <w:t>The research team plans to conduct one focus group</w:t>
      </w:r>
      <w:r>
        <w:rPr>
          <w:rFonts w:ascii="Garamond" w:hAnsi="Garamond"/>
          <w:color w:val="000000"/>
        </w:rPr>
        <w:t xml:space="preserve"> </w:t>
      </w:r>
      <w:r w:rsidR="00A97D32">
        <w:rPr>
          <w:rFonts w:ascii="Garamond" w:hAnsi="Garamond"/>
          <w:color w:val="000000"/>
        </w:rPr>
        <w:t xml:space="preserve">comprised </w:t>
      </w:r>
      <w:r>
        <w:rPr>
          <w:rFonts w:ascii="Garamond" w:hAnsi="Garamond"/>
          <w:color w:val="000000"/>
        </w:rPr>
        <w:t>of TANF clients</w:t>
      </w:r>
      <w:r w:rsidRPr="00AF5366">
        <w:rPr>
          <w:rFonts w:ascii="Garamond" w:hAnsi="Garamond"/>
          <w:color w:val="000000"/>
        </w:rPr>
        <w:t xml:space="preserve"> per site with </w:t>
      </w:r>
      <w:r w:rsidR="004E1006">
        <w:rPr>
          <w:rFonts w:ascii="Garamond" w:hAnsi="Garamond"/>
          <w:color w:val="000000"/>
        </w:rPr>
        <w:t xml:space="preserve">approximately </w:t>
      </w:r>
      <w:r w:rsidRPr="00AF5366">
        <w:rPr>
          <w:rFonts w:ascii="Garamond" w:hAnsi="Garamond"/>
          <w:color w:val="000000"/>
        </w:rPr>
        <w:t xml:space="preserve">nine individuals. The study will include </w:t>
      </w:r>
      <w:r>
        <w:rPr>
          <w:rFonts w:ascii="Garamond" w:hAnsi="Garamond"/>
          <w:color w:val="000000"/>
        </w:rPr>
        <w:t>individuals who have</w:t>
      </w:r>
      <w:r w:rsidRPr="00AF5366">
        <w:rPr>
          <w:rFonts w:ascii="Garamond" w:hAnsi="Garamond"/>
          <w:color w:val="000000"/>
        </w:rPr>
        <w:t xml:space="preserve"> received </w:t>
      </w:r>
      <w:r w:rsidR="00A61A64">
        <w:rPr>
          <w:rFonts w:ascii="Garamond" w:hAnsi="Garamond"/>
          <w:color w:val="000000"/>
        </w:rPr>
        <w:t>TANF</w:t>
      </w:r>
      <w:r w:rsidRPr="00AF5366">
        <w:rPr>
          <w:rFonts w:ascii="Garamond" w:hAnsi="Garamond"/>
          <w:color w:val="000000"/>
        </w:rPr>
        <w:t xml:space="preserve"> assistance </w:t>
      </w:r>
      <w:r>
        <w:rPr>
          <w:rFonts w:ascii="Garamond" w:hAnsi="Garamond"/>
          <w:color w:val="000000"/>
        </w:rPr>
        <w:t>and interacted with staff at the site</w:t>
      </w:r>
      <w:r w:rsidRPr="00AF5366">
        <w:rPr>
          <w:rFonts w:ascii="Garamond" w:hAnsi="Garamond"/>
          <w:color w:val="000000"/>
        </w:rPr>
        <w:t xml:space="preserve">. The group discussions will last 90 minutes. The focus group </w:t>
      </w:r>
      <w:r w:rsidR="001D04DF">
        <w:rPr>
          <w:rFonts w:ascii="Garamond" w:hAnsi="Garamond"/>
          <w:color w:val="000000"/>
        </w:rPr>
        <w:t xml:space="preserve">interview </w:t>
      </w:r>
      <w:r>
        <w:rPr>
          <w:rFonts w:ascii="Garamond" w:hAnsi="Garamond"/>
          <w:color w:val="000000"/>
        </w:rPr>
        <w:t>guide is included in Appendix C</w:t>
      </w:r>
      <w:r w:rsidRPr="00AF5366">
        <w:rPr>
          <w:rFonts w:ascii="Garamond" w:hAnsi="Garamond"/>
          <w:color w:val="000000"/>
        </w:rPr>
        <w:t>.</w:t>
      </w:r>
      <w:r w:rsidR="005B43D0">
        <w:rPr>
          <w:rFonts w:ascii="Garamond" w:hAnsi="Garamond"/>
          <w:color w:val="000000"/>
        </w:rPr>
        <w:t xml:space="preserve"> </w:t>
      </w:r>
      <w:r w:rsidR="005B43D0">
        <w:rPr>
          <w:rFonts w:ascii="Garamond" w:hAnsi="Garamond"/>
        </w:rPr>
        <w:t xml:space="preserve">The research team will also use an observation checklist to document the degree to which office design and service delivery flow highlights or embodies principles that are associated with a more client-oriented setting. This supplementary document (Appendix D) will not impose any burden on staff. </w:t>
      </w:r>
    </w:p>
    <w:p w14:paraId="6758AA47" w14:textId="7E0B1607" w:rsidR="00D365E6" w:rsidRPr="002F6775" w:rsidRDefault="00D365E6" w:rsidP="00606FEC">
      <w:pPr>
        <w:rPr>
          <w:rFonts w:ascii="Garamond" w:hAnsi="Garamond"/>
          <w:b/>
        </w:rPr>
      </w:pPr>
    </w:p>
    <w:p w14:paraId="4F895C7B" w14:textId="77777777" w:rsidR="00F56220" w:rsidRPr="0073498D" w:rsidRDefault="00E05A0A" w:rsidP="0073498D">
      <w:pPr>
        <w:pStyle w:val="Heading1"/>
        <w:spacing w:before="320" w:after="120"/>
      </w:pPr>
      <w:bookmarkStart w:id="8" w:name="_Toc493250726"/>
      <w:bookmarkStart w:id="9" w:name="_Toc527043743"/>
      <w:r>
        <w:t>B</w:t>
      </w:r>
      <w:r w:rsidR="0073498D">
        <w:t>.3</w:t>
      </w:r>
      <w:r>
        <w:t xml:space="preserve"> Methods to Maximize Response Rates and Deal with Nonresponse</w:t>
      </w:r>
      <w:bookmarkEnd w:id="8"/>
      <w:bookmarkEnd w:id="9"/>
    </w:p>
    <w:p w14:paraId="63ADA9BB" w14:textId="77777777" w:rsidR="00F56220" w:rsidRDefault="0073498D" w:rsidP="0073498D">
      <w:pPr>
        <w:pStyle w:val="Heading2"/>
        <w:spacing w:before="280" w:after="120"/>
      </w:pPr>
      <w:bookmarkStart w:id="10" w:name="_Toc493250727"/>
      <w:bookmarkStart w:id="11" w:name="_Toc527043744"/>
      <w:r w:rsidRPr="0073498D">
        <w:t xml:space="preserve">B.3.1 </w:t>
      </w:r>
      <w:r w:rsidR="00EC6101" w:rsidRPr="0073498D">
        <w:t>Expected Response Rates</w:t>
      </w:r>
      <w:bookmarkEnd w:id="10"/>
      <w:bookmarkEnd w:id="11"/>
    </w:p>
    <w:p w14:paraId="18555CFA" w14:textId="71E0FE52" w:rsidR="000620E7" w:rsidRPr="000620E7" w:rsidRDefault="000620E7" w:rsidP="000620E7">
      <w:pPr>
        <w:spacing w:before="100" w:beforeAutospacing="1" w:after="100" w:afterAutospacing="1"/>
        <w:rPr>
          <w:rFonts w:ascii="Garamond" w:hAnsi="Garamond"/>
          <w:color w:val="000000"/>
        </w:rPr>
      </w:pPr>
      <w:bookmarkStart w:id="12" w:name="_Toc493250728"/>
      <w:r w:rsidRPr="000620E7">
        <w:rPr>
          <w:rFonts w:ascii="Garamond" w:hAnsi="Garamond"/>
          <w:color w:val="000000"/>
        </w:rPr>
        <w:t>This study uses a qualitative approach to identify and describe exemplars of TANF organizational culture. As described above, the research team will select sites that will inform ACF and others about successful strategies human services offices have undertaken to improve their organizational culture</w:t>
      </w:r>
      <w:r w:rsidR="004E1006">
        <w:rPr>
          <w:rFonts w:ascii="Garamond" w:hAnsi="Garamond"/>
          <w:color w:val="000000"/>
        </w:rPr>
        <w:t xml:space="preserve"> as well as describe TANF programs that exhibit a positive organizational culture</w:t>
      </w:r>
      <w:r w:rsidRPr="000620E7">
        <w:rPr>
          <w:rFonts w:ascii="Garamond" w:hAnsi="Garamond"/>
          <w:color w:val="000000"/>
        </w:rPr>
        <w:t>.</w:t>
      </w:r>
    </w:p>
    <w:p w14:paraId="1DDCA7D5" w14:textId="77777777" w:rsidR="000620E7" w:rsidRPr="000620E7" w:rsidRDefault="000620E7" w:rsidP="000620E7">
      <w:pPr>
        <w:spacing w:before="100" w:beforeAutospacing="1" w:after="100" w:afterAutospacing="1"/>
        <w:rPr>
          <w:rFonts w:ascii="Garamond" w:hAnsi="Garamond"/>
          <w:color w:val="000000"/>
        </w:rPr>
      </w:pPr>
      <w:r w:rsidRPr="000620E7">
        <w:rPr>
          <w:rFonts w:ascii="Garamond" w:hAnsi="Garamond"/>
          <w:color w:val="000000"/>
        </w:rPr>
        <w:t>We expect the following response rates:</w:t>
      </w:r>
    </w:p>
    <w:p w14:paraId="351F5505" w14:textId="04A3AB37" w:rsidR="000620E7" w:rsidRDefault="000620E7" w:rsidP="000620E7">
      <w:pPr>
        <w:numPr>
          <w:ilvl w:val="0"/>
          <w:numId w:val="26"/>
        </w:numPr>
        <w:spacing w:before="100" w:beforeAutospacing="1" w:after="100" w:afterAutospacing="1"/>
        <w:rPr>
          <w:rFonts w:ascii="Garamond" w:hAnsi="Garamond"/>
          <w:color w:val="000000"/>
        </w:rPr>
      </w:pPr>
      <w:r>
        <w:rPr>
          <w:rFonts w:ascii="Garamond" w:hAnsi="Garamond"/>
          <w:color w:val="000000"/>
        </w:rPr>
        <w:t xml:space="preserve">Program leadership, staff supervisors, and frontline staff: </w:t>
      </w:r>
      <w:r w:rsidRPr="000620E7">
        <w:rPr>
          <w:rFonts w:ascii="Garamond" w:hAnsi="Garamond"/>
          <w:color w:val="000000"/>
        </w:rPr>
        <w:t>Because the research team will be working with staff and managers who have expressed their willingness to participate, response rates will be close to 100 percent. In the event of scheduling conflicts, the research team will conduct phone interviews</w:t>
      </w:r>
      <w:r w:rsidR="00C769F8">
        <w:rPr>
          <w:rFonts w:ascii="Garamond" w:hAnsi="Garamond"/>
          <w:color w:val="000000"/>
        </w:rPr>
        <w:t xml:space="preserve"> with those unable to meet </w:t>
      </w:r>
      <w:r w:rsidR="00AE23E5">
        <w:rPr>
          <w:rFonts w:ascii="Garamond" w:hAnsi="Garamond"/>
          <w:color w:val="000000"/>
        </w:rPr>
        <w:t>on-site</w:t>
      </w:r>
      <w:r w:rsidRPr="000620E7">
        <w:rPr>
          <w:rFonts w:ascii="Garamond" w:hAnsi="Garamond"/>
          <w:color w:val="000000"/>
        </w:rPr>
        <w:t xml:space="preserve"> at a time convenient to the respondent.</w:t>
      </w:r>
    </w:p>
    <w:p w14:paraId="0E0D74F7" w14:textId="705E623C" w:rsidR="000620E7" w:rsidRPr="000620E7" w:rsidRDefault="000620E7" w:rsidP="000620E7">
      <w:pPr>
        <w:numPr>
          <w:ilvl w:val="0"/>
          <w:numId w:val="26"/>
        </w:numPr>
        <w:spacing w:before="100" w:beforeAutospacing="1" w:after="100" w:afterAutospacing="1"/>
        <w:rPr>
          <w:rFonts w:ascii="Garamond" w:hAnsi="Garamond"/>
          <w:color w:val="000000"/>
        </w:rPr>
      </w:pPr>
      <w:r>
        <w:rPr>
          <w:rFonts w:ascii="Garamond" w:hAnsi="Garamond"/>
          <w:color w:val="000000"/>
        </w:rPr>
        <w:t>TANF clients:</w:t>
      </w:r>
      <w:r w:rsidRPr="000620E7">
        <w:rPr>
          <w:rFonts w:ascii="Garamond" w:hAnsi="Garamond"/>
          <w:color w:val="000000"/>
        </w:rPr>
        <w:t xml:space="preserve"> </w:t>
      </w:r>
      <w:r w:rsidR="00996B29">
        <w:rPr>
          <w:rFonts w:ascii="Garamond" w:hAnsi="Garamond"/>
          <w:color w:val="000000"/>
        </w:rPr>
        <w:t>As described in Section B.1.2,</w:t>
      </w:r>
      <w:r w:rsidRPr="000620E7">
        <w:rPr>
          <w:rFonts w:ascii="Garamond" w:hAnsi="Garamond"/>
          <w:color w:val="000000"/>
        </w:rPr>
        <w:t xml:space="preserve"> the research team will seek focus group participants who are interested in participating.</w:t>
      </w:r>
      <w:r>
        <w:rPr>
          <w:rFonts w:ascii="Garamond" w:hAnsi="Garamond"/>
          <w:color w:val="000000"/>
        </w:rPr>
        <w:t xml:space="preserve"> W</w:t>
      </w:r>
      <w:r w:rsidRPr="000620E7">
        <w:rPr>
          <w:rFonts w:ascii="Garamond" w:hAnsi="Garamond"/>
          <w:color w:val="000000"/>
        </w:rPr>
        <w:t>e will plan to recruit 8-10 individuals per site to yield focus groups of 6-9 individuals yielding response rates of about 75-90 percent.</w:t>
      </w:r>
    </w:p>
    <w:p w14:paraId="354CDA88" w14:textId="77777777" w:rsidR="00253148" w:rsidRDefault="0073498D" w:rsidP="0073498D">
      <w:pPr>
        <w:pStyle w:val="Heading2"/>
        <w:spacing w:before="280" w:after="120"/>
      </w:pPr>
      <w:bookmarkStart w:id="13" w:name="_Toc527043745"/>
      <w:r>
        <w:t xml:space="preserve">B.3.2 </w:t>
      </w:r>
      <w:r w:rsidR="00EC6101" w:rsidRPr="007378E7">
        <w:t>Dealing with Nonresponse</w:t>
      </w:r>
      <w:bookmarkEnd w:id="12"/>
      <w:bookmarkEnd w:id="13"/>
    </w:p>
    <w:p w14:paraId="60687317" w14:textId="110414AB" w:rsidR="0040424F" w:rsidRDefault="00890643" w:rsidP="007269B0">
      <w:r>
        <w:rPr>
          <w:rFonts w:ascii="Garamond" w:hAnsi="Garamond"/>
        </w:rPr>
        <w:t xml:space="preserve">Focus groups with TANF clients </w:t>
      </w:r>
      <w:r w:rsidR="0019233B">
        <w:rPr>
          <w:rFonts w:ascii="Garamond" w:hAnsi="Garamond"/>
        </w:rPr>
        <w:t xml:space="preserve">have the </w:t>
      </w:r>
      <w:r>
        <w:rPr>
          <w:rFonts w:ascii="Garamond" w:hAnsi="Garamond"/>
        </w:rPr>
        <w:t xml:space="preserve">potential </w:t>
      </w:r>
      <w:r w:rsidR="0019233B">
        <w:rPr>
          <w:rFonts w:ascii="Garamond" w:hAnsi="Garamond"/>
        </w:rPr>
        <w:t>to suffer from</w:t>
      </w:r>
      <w:r>
        <w:rPr>
          <w:rFonts w:ascii="Garamond" w:hAnsi="Garamond"/>
        </w:rPr>
        <w:t xml:space="preserve"> nonresponse bias. Participation in the focus group may require individuals to arrange for transportation and childcare and may exclude those who are unable to overcome these barriers to attend.</w:t>
      </w:r>
      <w:r w:rsidR="0019233B" w:rsidRPr="0019233B">
        <w:rPr>
          <w:rFonts w:ascii="Garamond" w:hAnsi="Garamond"/>
        </w:rPr>
        <w:t xml:space="preserve"> </w:t>
      </w:r>
      <w:r w:rsidR="0019233B" w:rsidRPr="0040424F">
        <w:rPr>
          <w:rFonts w:ascii="Garamond" w:hAnsi="Garamond"/>
        </w:rPr>
        <w:t xml:space="preserve">Offering </w:t>
      </w:r>
      <w:r w:rsidR="00C7122F">
        <w:rPr>
          <w:rFonts w:ascii="Garamond" w:hAnsi="Garamond"/>
        </w:rPr>
        <w:t>an incentive</w:t>
      </w:r>
      <w:r w:rsidR="0019233B" w:rsidRPr="0040424F">
        <w:rPr>
          <w:rFonts w:ascii="Garamond" w:hAnsi="Garamond"/>
        </w:rPr>
        <w:t xml:space="preserve"> to potential </w:t>
      </w:r>
      <w:r w:rsidR="0019233B">
        <w:rPr>
          <w:rFonts w:ascii="Garamond" w:hAnsi="Garamond"/>
        </w:rPr>
        <w:t>focus group participants</w:t>
      </w:r>
      <w:r w:rsidR="0019233B" w:rsidRPr="0040424F">
        <w:rPr>
          <w:rFonts w:ascii="Garamond" w:hAnsi="Garamond"/>
        </w:rPr>
        <w:t xml:space="preserve"> can </w:t>
      </w:r>
      <w:r w:rsidR="0019233B">
        <w:rPr>
          <w:rFonts w:ascii="Garamond" w:hAnsi="Garamond"/>
        </w:rPr>
        <w:t xml:space="preserve">reduce nonresponse bias by </w:t>
      </w:r>
      <w:r w:rsidR="00C769F8">
        <w:rPr>
          <w:rFonts w:ascii="Garamond" w:hAnsi="Garamond"/>
        </w:rPr>
        <w:t xml:space="preserve">offsetting the costs of expenses incurred by </w:t>
      </w:r>
      <w:r w:rsidR="0019233B">
        <w:rPr>
          <w:rFonts w:ascii="Garamond" w:hAnsi="Garamond"/>
        </w:rPr>
        <w:t>individuals</w:t>
      </w:r>
      <w:r w:rsidR="0019233B" w:rsidRPr="0040424F">
        <w:rPr>
          <w:rFonts w:ascii="Garamond" w:hAnsi="Garamond"/>
        </w:rPr>
        <w:t xml:space="preserve">. Each </w:t>
      </w:r>
      <w:r w:rsidR="0019233B">
        <w:rPr>
          <w:rFonts w:ascii="Garamond" w:hAnsi="Garamond"/>
        </w:rPr>
        <w:t>focus group participant will receive a $25 gift card</w:t>
      </w:r>
      <w:r w:rsidR="005D4CBA">
        <w:rPr>
          <w:rFonts w:ascii="Garamond" w:hAnsi="Garamond"/>
        </w:rPr>
        <w:t>.</w:t>
      </w:r>
    </w:p>
    <w:p w14:paraId="22141179" w14:textId="77777777" w:rsidR="0040424F" w:rsidRPr="0040424F" w:rsidRDefault="0040424F" w:rsidP="0040424F">
      <w:pPr>
        <w:pStyle w:val="Heading2"/>
      </w:pPr>
      <w:bookmarkStart w:id="14" w:name="_Toc527043746"/>
      <w:r w:rsidRPr="0040424F">
        <w:t>B.3.3 Maximizing Response Rates</w:t>
      </w:r>
      <w:bookmarkEnd w:id="14"/>
    </w:p>
    <w:p w14:paraId="76EF19CF" w14:textId="38A1D4BB" w:rsidR="0040424F" w:rsidRDefault="00F62DDC" w:rsidP="0040424F">
      <w:pPr>
        <w:rPr>
          <w:rFonts w:ascii="Garamond" w:hAnsi="Garamond"/>
        </w:rPr>
      </w:pPr>
      <w:r>
        <w:rPr>
          <w:rFonts w:ascii="Garamond" w:hAnsi="Garamond"/>
        </w:rPr>
        <w:t>The research team will maximize response rates by drawing on relationships with state and local TANF agencies to recruit sites, work with staff to schedule interviews with those willing to participate at a convenient time</w:t>
      </w:r>
      <w:r w:rsidR="00C7122F">
        <w:rPr>
          <w:rFonts w:ascii="Garamond" w:hAnsi="Garamond"/>
        </w:rPr>
        <w:t xml:space="preserve"> on-site</w:t>
      </w:r>
      <w:r>
        <w:rPr>
          <w:rFonts w:ascii="Garamond" w:hAnsi="Garamond"/>
        </w:rPr>
        <w:t xml:space="preserve">, and will follow-up by phone with those unable to attend </w:t>
      </w:r>
      <w:r w:rsidR="00C7122F">
        <w:rPr>
          <w:rFonts w:ascii="Garamond" w:hAnsi="Garamond"/>
        </w:rPr>
        <w:t xml:space="preserve">in-person </w:t>
      </w:r>
      <w:r>
        <w:rPr>
          <w:rFonts w:ascii="Garamond" w:hAnsi="Garamond"/>
        </w:rPr>
        <w:t xml:space="preserve">due to scheduling conflicts. </w:t>
      </w:r>
    </w:p>
    <w:p w14:paraId="4DBE05A5" w14:textId="72D98C25" w:rsidR="0040424F" w:rsidRPr="0040424F" w:rsidRDefault="0040424F" w:rsidP="007269B0">
      <w:pPr>
        <w:rPr>
          <w:rFonts w:ascii="Garamond" w:hAnsi="Garamond"/>
        </w:rPr>
      </w:pPr>
    </w:p>
    <w:p w14:paraId="0DEB7711" w14:textId="77777777" w:rsidR="00520A96" w:rsidRDefault="00E05A0A" w:rsidP="0049768F">
      <w:pPr>
        <w:pStyle w:val="Heading1"/>
        <w:spacing w:before="320" w:after="120"/>
      </w:pPr>
      <w:bookmarkStart w:id="15" w:name="_Toc493250730"/>
      <w:bookmarkStart w:id="16" w:name="_Toc527043747"/>
      <w:r>
        <w:t>B</w:t>
      </w:r>
      <w:r w:rsidR="0073498D">
        <w:t>.4</w:t>
      </w:r>
      <w:r>
        <w:t xml:space="preserve"> Tests of Procedures or Methods to be Undertaken</w:t>
      </w:r>
      <w:bookmarkEnd w:id="15"/>
      <w:bookmarkEnd w:id="16"/>
    </w:p>
    <w:p w14:paraId="1D437EC6" w14:textId="77777777" w:rsidR="00465120" w:rsidRPr="00465120" w:rsidRDefault="00465120" w:rsidP="00465120">
      <w:pPr>
        <w:rPr>
          <w:rFonts w:ascii="Garamond" w:hAnsi="Garamond"/>
        </w:rPr>
      </w:pPr>
      <w:r>
        <w:rPr>
          <w:rFonts w:ascii="Garamond" w:hAnsi="Garamond"/>
        </w:rPr>
        <w:t xml:space="preserve">There are no plans to test any of the mentioned procedures or methods. </w:t>
      </w:r>
    </w:p>
    <w:p w14:paraId="4163433A" w14:textId="77777777" w:rsidR="00E05A0A" w:rsidRDefault="00E05A0A" w:rsidP="0073498D">
      <w:pPr>
        <w:pStyle w:val="Heading1"/>
        <w:spacing w:before="320" w:after="120"/>
      </w:pPr>
      <w:bookmarkStart w:id="17" w:name="_Toc493250731"/>
      <w:bookmarkStart w:id="18" w:name="_Toc527043748"/>
      <w:r>
        <w:t>B</w:t>
      </w:r>
      <w:r w:rsidR="0073498D">
        <w:t>.5 Indi</w:t>
      </w:r>
      <w:r>
        <w:t>vidual Consulted on Statistical Aspects and Individuals Collecting and/or Analyzing Data</w:t>
      </w:r>
      <w:bookmarkEnd w:id="17"/>
      <w:bookmarkEnd w:id="18"/>
    </w:p>
    <w:p w14:paraId="1816E4FC" w14:textId="77777777" w:rsidR="00FE1C8E" w:rsidRDefault="00690968" w:rsidP="0073498D">
      <w:r>
        <w:t>Exhibit B-</w:t>
      </w:r>
      <w:r w:rsidR="00D3291E">
        <w:t>1</w:t>
      </w:r>
      <w:r>
        <w:t xml:space="preserve"> lists individuals who will be responsible for collecting and analyzing data. </w:t>
      </w:r>
    </w:p>
    <w:p w14:paraId="415B5404" w14:textId="77777777" w:rsidR="00690968" w:rsidRDefault="00690968" w:rsidP="0073498D"/>
    <w:p w14:paraId="67B2E755" w14:textId="14EC11F6" w:rsidR="00690968" w:rsidRPr="00F74F04" w:rsidRDefault="00690968" w:rsidP="0073498D">
      <w:pPr>
        <w:rPr>
          <w:rFonts w:ascii="Calibri" w:hAnsi="Calibri"/>
          <w:b/>
        </w:rPr>
      </w:pPr>
      <w:r w:rsidRPr="00F74F04">
        <w:rPr>
          <w:rFonts w:ascii="Calibri" w:hAnsi="Calibri"/>
          <w:b/>
        </w:rPr>
        <w:t>Exhibit B-</w:t>
      </w:r>
      <w:r w:rsidR="00776C0A">
        <w:rPr>
          <w:rFonts w:ascii="Calibri" w:hAnsi="Calibri"/>
          <w:b/>
        </w:rPr>
        <w:t>1</w:t>
      </w:r>
      <w:r w:rsidRPr="00F74F04">
        <w:rPr>
          <w:rFonts w:ascii="Calibri" w:hAnsi="Calibri"/>
          <w:b/>
        </w:rPr>
        <w:t xml:space="preserve">: Individuals </w:t>
      </w:r>
      <w:r w:rsidR="0018479A">
        <w:rPr>
          <w:rFonts w:ascii="Calibri" w:hAnsi="Calibri"/>
          <w:b/>
        </w:rPr>
        <w:t xml:space="preserve">Consulted on Statistical Aspects and </w:t>
      </w:r>
      <w:r w:rsidRPr="00F74F04">
        <w:rPr>
          <w:rFonts w:ascii="Calibri" w:hAnsi="Calibri"/>
          <w:b/>
        </w:rPr>
        <w:t>Involved in</w:t>
      </w:r>
      <w:r w:rsidR="00776C0A">
        <w:rPr>
          <w:rFonts w:ascii="Calibri" w:hAnsi="Calibri"/>
          <w:b/>
        </w:rPr>
        <w:t xml:space="preserve"> Collecting and Analyzing </w:t>
      </w:r>
      <w:r w:rsidRPr="00F74F04">
        <w:rPr>
          <w:rFonts w:ascii="Calibri" w:hAnsi="Calibri"/>
          <w:b/>
        </w:rPr>
        <w:t xml:space="preserve">Data </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2567"/>
        <w:gridCol w:w="3705"/>
        <w:gridCol w:w="3203"/>
      </w:tblGrid>
      <w:tr w:rsidR="00690968" w:rsidRPr="00B52FE9" w14:paraId="5DFC2E55" w14:textId="77777777" w:rsidTr="0018479A">
        <w:trPr>
          <w:tblHeader/>
          <w:jc w:val="center"/>
        </w:trPr>
        <w:tc>
          <w:tcPr>
            <w:tcW w:w="1355" w:type="pct"/>
            <w:shd w:val="clear" w:color="auto" w:fill="1E4F5C"/>
          </w:tcPr>
          <w:p w14:paraId="55618577" w14:textId="77777777" w:rsidR="00690968" w:rsidRPr="00F74F04" w:rsidRDefault="00690968" w:rsidP="00D843C8">
            <w:pPr>
              <w:pStyle w:val="ExhibitColumnHeader"/>
              <w:rPr>
                <w:rFonts w:ascii="Calibri" w:hAnsi="Calibri"/>
                <w:color w:val="FFFFFF"/>
              </w:rPr>
            </w:pPr>
            <w:r w:rsidRPr="00F74F04">
              <w:rPr>
                <w:rFonts w:ascii="Calibri" w:hAnsi="Calibri"/>
              </w:rPr>
              <w:br w:type="page"/>
            </w:r>
            <w:r w:rsidRPr="00F74F04">
              <w:rPr>
                <w:rFonts w:ascii="Calibri" w:hAnsi="Calibri"/>
                <w:color w:val="FFFFFF"/>
              </w:rPr>
              <w:t>Individual</w:t>
            </w:r>
          </w:p>
        </w:tc>
        <w:tc>
          <w:tcPr>
            <w:tcW w:w="1955" w:type="pct"/>
            <w:shd w:val="clear" w:color="auto" w:fill="1E4F5C"/>
          </w:tcPr>
          <w:p w14:paraId="1949FB0D" w14:textId="77777777" w:rsidR="00690968" w:rsidRPr="00F74F04" w:rsidRDefault="00690968" w:rsidP="00D843C8">
            <w:pPr>
              <w:pStyle w:val="ExhibitColumnHeader"/>
              <w:rPr>
                <w:rFonts w:ascii="Calibri" w:hAnsi="Calibri"/>
                <w:color w:val="FFFFFF"/>
              </w:rPr>
            </w:pPr>
            <w:r w:rsidRPr="00F74F04">
              <w:rPr>
                <w:rFonts w:ascii="Calibri" w:hAnsi="Calibri"/>
                <w:color w:val="FFFFFF"/>
              </w:rPr>
              <w:t>Affiliation</w:t>
            </w:r>
          </w:p>
        </w:tc>
        <w:tc>
          <w:tcPr>
            <w:tcW w:w="1690" w:type="pct"/>
            <w:shd w:val="clear" w:color="auto" w:fill="1E4F5C"/>
          </w:tcPr>
          <w:p w14:paraId="4630ECE0" w14:textId="77777777" w:rsidR="00690968" w:rsidRPr="00F74F04" w:rsidRDefault="00690968" w:rsidP="00D843C8">
            <w:pPr>
              <w:pStyle w:val="ExhibitColumnHeader"/>
              <w:rPr>
                <w:rFonts w:ascii="Calibri" w:hAnsi="Calibri"/>
                <w:color w:val="FFFFFF"/>
              </w:rPr>
            </w:pPr>
            <w:r w:rsidRPr="00F74F04">
              <w:rPr>
                <w:rFonts w:ascii="Calibri" w:hAnsi="Calibri"/>
                <w:color w:val="FFFFFF"/>
              </w:rPr>
              <w:t>Role in Study</w:t>
            </w:r>
          </w:p>
        </w:tc>
      </w:tr>
      <w:tr w:rsidR="000D3855" w14:paraId="6F075FA7" w14:textId="77777777" w:rsidTr="0018479A">
        <w:trPr>
          <w:cantSplit/>
          <w:jc w:val="center"/>
        </w:trPr>
        <w:tc>
          <w:tcPr>
            <w:tcW w:w="1355" w:type="pct"/>
          </w:tcPr>
          <w:p w14:paraId="2E8A4E5E" w14:textId="77777777" w:rsidR="000D3855" w:rsidRDefault="00D365E6" w:rsidP="00D843C8">
            <w:pPr>
              <w:pStyle w:val="Exhibit"/>
              <w:rPr>
                <w:rFonts w:ascii="Calibri" w:hAnsi="Calibri"/>
                <w:szCs w:val="18"/>
              </w:rPr>
            </w:pPr>
            <w:r>
              <w:rPr>
                <w:rFonts w:ascii="Calibri" w:hAnsi="Calibri"/>
                <w:szCs w:val="18"/>
              </w:rPr>
              <w:t>Mary Farrell</w:t>
            </w:r>
          </w:p>
        </w:tc>
        <w:tc>
          <w:tcPr>
            <w:tcW w:w="1955" w:type="pct"/>
          </w:tcPr>
          <w:p w14:paraId="0AED3DAD" w14:textId="77777777" w:rsidR="000D3855" w:rsidRDefault="00D365E6" w:rsidP="00D365E6">
            <w:pPr>
              <w:pStyle w:val="Exhibit"/>
              <w:rPr>
                <w:rFonts w:ascii="Calibri" w:hAnsi="Calibri"/>
                <w:szCs w:val="18"/>
              </w:rPr>
            </w:pPr>
            <w:r>
              <w:rPr>
                <w:rFonts w:ascii="Calibri" w:hAnsi="Calibri"/>
                <w:szCs w:val="18"/>
              </w:rPr>
              <w:t>MEF Associates</w:t>
            </w:r>
          </w:p>
        </w:tc>
        <w:tc>
          <w:tcPr>
            <w:tcW w:w="1690" w:type="pct"/>
          </w:tcPr>
          <w:p w14:paraId="4A63BAF0" w14:textId="77777777" w:rsidR="000D3855" w:rsidRDefault="00D365E6" w:rsidP="00D843C8">
            <w:pPr>
              <w:pStyle w:val="Exhibit"/>
              <w:rPr>
                <w:rFonts w:ascii="Calibri" w:hAnsi="Calibri"/>
                <w:szCs w:val="18"/>
              </w:rPr>
            </w:pPr>
            <w:r>
              <w:rPr>
                <w:rFonts w:ascii="Calibri" w:hAnsi="Calibri"/>
                <w:szCs w:val="18"/>
              </w:rPr>
              <w:t>Interview and data analysis</w:t>
            </w:r>
          </w:p>
        </w:tc>
      </w:tr>
      <w:tr w:rsidR="009C59CB" w14:paraId="0E9486B4" w14:textId="77777777" w:rsidTr="0018479A">
        <w:trPr>
          <w:cantSplit/>
          <w:jc w:val="center"/>
        </w:trPr>
        <w:tc>
          <w:tcPr>
            <w:tcW w:w="1355" w:type="pct"/>
          </w:tcPr>
          <w:p w14:paraId="08ED7B0A" w14:textId="77777777" w:rsidR="009C59CB" w:rsidRPr="00F74F04" w:rsidRDefault="00D365E6" w:rsidP="00262109">
            <w:pPr>
              <w:pStyle w:val="Exhibit"/>
              <w:rPr>
                <w:rFonts w:ascii="Calibri" w:hAnsi="Calibri"/>
                <w:szCs w:val="18"/>
              </w:rPr>
            </w:pPr>
            <w:r>
              <w:rPr>
                <w:rFonts w:ascii="Calibri" w:hAnsi="Calibri"/>
                <w:szCs w:val="18"/>
              </w:rPr>
              <w:t>Asaph Glosser</w:t>
            </w:r>
          </w:p>
        </w:tc>
        <w:tc>
          <w:tcPr>
            <w:tcW w:w="1955" w:type="pct"/>
          </w:tcPr>
          <w:p w14:paraId="1995DB5E" w14:textId="77777777" w:rsidR="009C59CB" w:rsidRPr="00F74F04" w:rsidRDefault="00D365E6" w:rsidP="00112E64">
            <w:pPr>
              <w:pStyle w:val="Exhibit"/>
              <w:rPr>
                <w:rFonts w:ascii="Calibri" w:hAnsi="Calibri"/>
                <w:szCs w:val="18"/>
              </w:rPr>
            </w:pPr>
            <w:r>
              <w:rPr>
                <w:rFonts w:ascii="Calibri" w:hAnsi="Calibri"/>
                <w:szCs w:val="18"/>
              </w:rPr>
              <w:t>MEF Associates</w:t>
            </w:r>
          </w:p>
        </w:tc>
        <w:tc>
          <w:tcPr>
            <w:tcW w:w="1690" w:type="pct"/>
          </w:tcPr>
          <w:p w14:paraId="250D697C" w14:textId="77777777" w:rsidR="009C59CB" w:rsidRPr="00F74F04" w:rsidRDefault="00D365E6" w:rsidP="00262109">
            <w:pPr>
              <w:pStyle w:val="Exhibit"/>
              <w:rPr>
                <w:rFonts w:ascii="Calibri" w:hAnsi="Calibri"/>
                <w:szCs w:val="18"/>
              </w:rPr>
            </w:pPr>
            <w:r>
              <w:rPr>
                <w:rFonts w:ascii="Calibri" w:hAnsi="Calibri"/>
                <w:szCs w:val="18"/>
              </w:rPr>
              <w:t>Interview and data analysis</w:t>
            </w:r>
          </w:p>
        </w:tc>
      </w:tr>
      <w:tr w:rsidR="00690968" w14:paraId="76702F05" w14:textId="77777777" w:rsidTr="0018479A">
        <w:trPr>
          <w:cantSplit/>
          <w:jc w:val="center"/>
        </w:trPr>
        <w:tc>
          <w:tcPr>
            <w:tcW w:w="1355" w:type="pct"/>
          </w:tcPr>
          <w:p w14:paraId="730053E5" w14:textId="77777777" w:rsidR="00690968" w:rsidRPr="00F74F04" w:rsidRDefault="00D365E6" w:rsidP="00262109">
            <w:pPr>
              <w:pStyle w:val="Exhibit"/>
              <w:rPr>
                <w:rFonts w:ascii="Calibri" w:hAnsi="Calibri"/>
                <w:szCs w:val="18"/>
              </w:rPr>
            </w:pPr>
            <w:r>
              <w:rPr>
                <w:rFonts w:ascii="Calibri" w:hAnsi="Calibri"/>
                <w:szCs w:val="18"/>
              </w:rPr>
              <w:t>Angela Gaffney</w:t>
            </w:r>
          </w:p>
        </w:tc>
        <w:tc>
          <w:tcPr>
            <w:tcW w:w="1955" w:type="pct"/>
          </w:tcPr>
          <w:p w14:paraId="6E9F7458" w14:textId="77777777" w:rsidR="00690968" w:rsidRPr="00F74F04" w:rsidRDefault="00D365E6" w:rsidP="00D843C8">
            <w:pPr>
              <w:pStyle w:val="Exhibit"/>
              <w:rPr>
                <w:rFonts w:ascii="Calibri" w:hAnsi="Calibri"/>
                <w:szCs w:val="18"/>
              </w:rPr>
            </w:pPr>
            <w:r>
              <w:rPr>
                <w:rFonts w:ascii="Calibri" w:hAnsi="Calibri"/>
                <w:szCs w:val="18"/>
              </w:rPr>
              <w:t>MEF Associates</w:t>
            </w:r>
          </w:p>
        </w:tc>
        <w:tc>
          <w:tcPr>
            <w:tcW w:w="1690" w:type="pct"/>
          </w:tcPr>
          <w:p w14:paraId="763F536B" w14:textId="77777777" w:rsidR="00690968" w:rsidRPr="00F74F04" w:rsidRDefault="00D365E6" w:rsidP="00262109">
            <w:pPr>
              <w:pStyle w:val="Exhibit"/>
              <w:rPr>
                <w:rFonts w:ascii="Calibri" w:hAnsi="Calibri"/>
                <w:szCs w:val="18"/>
              </w:rPr>
            </w:pPr>
            <w:r>
              <w:rPr>
                <w:rFonts w:ascii="Calibri" w:hAnsi="Calibri"/>
                <w:szCs w:val="18"/>
              </w:rPr>
              <w:t xml:space="preserve">Interview and data analysis </w:t>
            </w:r>
          </w:p>
        </w:tc>
      </w:tr>
      <w:tr w:rsidR="00690968" w14:paraId="5DEA2623" w14:textId="77777777" w:rsidTr="0018479A">
        <w:trPr>
          <w:cantSplit/>
          <w:jc w:val="center"/>
        </w:trPr>
        <w:tc>
          <w:tcPr>
            <w:tcW w:w="1355" w:type="pct"/>
          </w:tcPr>
          <w:p w14:paraId="48C8DC76" w14:textId="77777777" w:rsidR="00690968" w:rsidRPr="00F74F04" w:rsidRDefault="00D365E6" w:rsidP="00D843C8">
            <w:pPr>
              <w:pStyle w:val="Exhibit"/>
              <w:rPr>
                <w:rFonts w:ascii="Calibri" w:hAnsi="Calibri"/>
                <w:szCs w:val="18"/>
              </w:rPr>
            </w:pPr>
            <w:r>
              <w:rPr>
                <w:rFonts w:ascii="Calibri" w:hAnsi="Calibri"/>
                <w:szCs w:val="18"/>
              </w:rPr>
              <w:t>Riley Webster</w:t>
            </w:r>
          </w:p>
        </w:tc>
        <w:tc>
          <w:tcPr>
            <w:tcW w:w="1955" w:type="pct"/>
          </w:tcPr>
          <w:p w14:paraId="5CBE6844" w14:textId="77777777" w:rsidR="00690968" w:rsidRPr="00F74F04" w:rsidRDefault="00D365E6" w:rsidP="00D843C8">
            <w:pPr>
              <w:pStyle w:val="Exhibit"/>
              <w:rPr>
                <w:rFonts w:ascii="Calibri" w:hAnsi="Calibri"/>
                <w:szCs w:val="18"/>
              </w:rPr>
            </w:pPr>
            <w:r>
              <w:rPr>
                <w:rFonts w:ascii="Calibri" w:hAnsi="Calibri"/>
                <w:szCs w:val="18"/>
              </w:rPr>
              <w:t>MEF Associates</w:t>
            </w:r>
          </w:p>
        </w:tc>
        <w:tc>
          <w:tcPr>
            <w:tcW w:w="1690" w:type="pct"/>
          </w:tcPr>
          <w:p w14:paraId="0FB2EAE6" w14:textId="77777777" w:rsidR="00690968" w:rsidRPr="00F74F04" w:rsidRDefault="00D365E6" w:rsidP="00D843C8">
            <w:pPr>
              <w:pStyle w:val="Exhibit"/>
              <w:rPr>
                <w:rFonts w:ascii="Calibri" w:hAnsi="Calibri"/>
                <w:szCs w:val="18"/>
              </w:rPr>
            </w:pPr>
            <w:r>
              <w:rPr>
                <w:rFonts w:ascii="Calibri" w:hAnsi="Calibri"/>
                <w:szCs w:val="18"/>
              </w:rPr>
              <w:t>Interview and data analysis</w:t>
            </w:r>
          </w:p>
        </w:tc>
      </w:tr>
      <w:tr w:rsidR="00776C0A" w14:paraId="07D6C428" w14:textId="77777777" w:rsidTr="0018479A">
        <w:trPr>
          <w:cantSplit/>
          <w:jc w:val="center"/>
        </w:trPr>
        <w:tc>
          <w:tcPr>
            <w:tcW w:w="1355" w:type="pct"/>
          </w:tcPr>
          <w:p w14:paraId="7AC5E979" w14:textId="77777777" w:rsidR="00776C0A" w:rsidRDefault="00776C0A" w:rsidP="00D843C8">
            <w:pPr>
              <w:pStyle w:val="Exhibit"/>
              <w:rPr>
                <w:rFonts w:ascii="Calibri" w:hAnsi="Calibri"/>
                <w:szCs w:val="18"/>
              </w:rPr>
            </w:pPr>
            <w:r>
              <w:rPr>
                <w:rFonts w:ascii="Calibri" w:hAnsi="Calibri"/>
                <w:szCs w:val="18"/>
              </w:rPr>
              <w:t>Carolyn Hill</w:t>
            </w:r>
          </w:p>
        </w:tc>
        <w:tc>
          <w:tcPr>
            <w:tcW w:w="1955" w:type="pct"/>
          </w:tcPr>
          <w:p w14:paraId="159AC238" w14:textId="77777777" w:rsidR="00776C0A" w:rsidRDefault="00776C0A" w:rsidP="00D843C8">
            <w:pPr>
              <w:pStyle w:val="Exhibit"/>
              <w:rPr>
                <w:rFonts w:ascii="Calibri" w:hAnsi="Calibri"/>
                <w:szCs w:val="18"/>
              </w:rPr>
            </w:pPr>
            <w:r>
              <w:rPr>
                <w:rFonts w:ascii="Calibri" w:hAnsi="Calibri"/>
                <w:szCs w:val="18"/>
              </w:rPr>
              <w:t>MDRC</w:t>
            </w:r>
          </w:p>
        </w:tc>
        <w:tc>
          <w:tcPr>
            <w:tcW w:w="1690" w:type="pct"/>
          </w:tcPr>
          <w:p w14:paraId="6D198A2D" w14:textId="77777777" w:rsidR="00776C0A" w:rsidRDefault="00776C0A" w:rsidP="00D843C8">
            <w:pPr>
              <w:pStyle w:val="Exhibit"/>
              <w:rPr>
                <w:rFonts w:ascii="Calibri" w:hAnsi="Calibri"/>
                <w:szCs w:val="18"/>
              </w:rPr>
            </w:pPr>
            <w:r>
              <w:rPr>
                <w:rFonts w:ascii="Calibri" w:hAnsi="Calibri"/>
                <w:szCs w:val="18"/>
              </w:rPr>
              <w:t>Senior Adviser</w:t>
            </w:r>
          </w:p>
        </w:tc>
      </w:tr>
      <w:tr w:rsidR="00776C0A" w14:paraId="3B1B83F6" w14:textId="77777777" w:rsidTr="0018479A">
        <w:trPr>
          <w:cantSplit/>
          <w:jc w:val="center"/>
        </w:trPr>
        <w:tc>
          <w:tcPr>
            <w:tcW w:w="1355" w:type="pct"/>
          </w:tcPr>
          <w:p w14:paraId="552FE3E8" w14:textId="77777777" w:rsidR="00776C0A" w:rsidRDefault="00776C0A" w:rsidP="00D843C8">
            <w:pPr>
              <w:pStyle w:val="Exhibit"/>
              <w:rPr>
                <w:rFonts w:ascii="Calibri" w:hAnsi="Calibri"/>
                <w:szCs w:val="18"/>
              </w:rPr>
            </w:pPr>
            <w:r>
              <w:rPr>
                <w:rFonts w:ascii="Calibri" w:hAnsi="Calibri"/>
                <w:szCs w:val="18"/>
              </w:rPr>
              <w:t>Mike Fishman</w:t>
            </w:r>
          </w:p>
        </w:tc>
        <w:tc>
          <w:tcPr>
            <w:tcW w:w="1955" w:type="pct"/>
          </w:tcPr>
          <w:p w14:paraId="29473005" w14:textId="77777777" w:rsidR="00776C0A" w:rsidRDefault="00776C0A" w:rsidP="00D843C8">
            <w:pPr>
              <w:pStyle w:val="Exhibit"/>
              <w:rPr>
                <w:rFonts w:ascii="Calibri" w:hAnsi="Calibri"/>
                <w:szCs w:val="18"/>
              </w:rPr>
            </w:pPr>
            <w:r>
              <w:rPr>
                <w:rFonts w:ascii="Calibri" w:hAnsi="Calibri"/>
                <w:szCs w:val="18"/>
              </w:rPr>
              <w:t>MEF Associates</w:t>
            </w:r>
          </w:p>
        </w:tc>
        <w:tc>
          <w:tcPr>
            <w:tcW w:w="1690" w:type="pct"/>
          </w:tcPr>
          <w:p w14:paraId="2B0A0982" w14:textId="77777777" w:rsidR="00776C0A" w:rsidRDefault="00776C0A" w:rsidP="00D843C8">
            <w:pPr>
              <w:pStyle w:val="Exhibit"/>
              <w:rPr>
                <w:rFonts w:ascii="Calibri" w:hAnsi="Calibri"/>
                <w:szCs w:val="18"/>
              </w:rPr>
            </w:pPr>
            <w:r>
              <w:rPr>
                <w:rFonts w:ascii="Calibri" w:hAnsi="Calibri"/>
                <w:szCs w:val="18"/>
              </w:rPr>
              <w:t>Senior Adviser</w:t>
            </w:r>
          </w:p>
        </w:tc>
      </w:tr>
      <w:tr w:rsidR="0018479A" w14:paraId="3B1E3D4A" w14:textId="77777777" w:rsidTr="0018479A">
        <w:trPr>
          <w:cantSplit/>
          <w:jc w:val="center"/>
        </w:trPr>
        <w:tc>
          <w:tcPr>
            <w:tcW w:w="1355" w:type="pct"/>
          </w:tcPr>
          <w:p w14:paraId="0A78AA54" w14:textId="770CF83E" w:rsidR="0018479A" w:rsidRDefault="0018479A" w:rsidP="00D843C8">
            <w:pPr>
              <w:pStyle w:val="Exhibit"/>
              <w:rPr>
                <w:rFonts w:ascii="Calibri" w:hAnsi="Calibri"/>
                <w:szCs w:val="18"/>
              </w:rPr>
            </w:pPr>
            <w:r>
              <w:rPr>
                <w:rFonts w:ascii="Calibri" w:hAnsi="Calibri"/>
                <w:szCs w:val="18"/>
              </w:rPr>
              <w:t>Amelia Popham</w:t>
            </w:r>
          </w:p>
        </w:tc>
        <w:tc>
          <w:tcPr>
            <w:tcW w:w="1955" w:type="pct"/>
          </w:tcPr>
          <w:p w14:paraId="522B101D" w14:textId="1D95A9B2" w:rsidR="0018479A" w:rsidRDefault="0018479A" w:rsidP="00D843C8">
            <w:pPr>
              <w:pStyle w:val="Exhibit"/>
              <w:rPr>
                <w:rFonts w:ascii="Calibri" w:hAnsi="Calibri"/>
                <w:szCs w:val="18"/>
              </w:rPr>
            </w:pPr>
            <w:r>
              <w:rPr>
                <w:rFonts w:ascii="Calibri" w:hAnsi="Calibri"/>
                <w:szCs w:val="18"/>
              </w:rPr>
              <w:t>Office of Planning, Research, and Evaluation</w:t>
            </w:r>
          </w:p>
        </w:tc>
        <w:tc>
          <w:tcPr>
            <w:tcW w:w="1690" w:type="pct"/>
          </w:tcPr>
          <w:p w14:paraId="5915F9D5" w14:textId="22278E01" w:rsidR="0018479A" w:rsidRDefault="0018479A" w:rsidP="00D843C8">
            <w:pPr>
              <w:pStyle w:val="Exhibit"/>
              <w:rPr>
                <w:rFonts w:ascii="Calibri" w:hAnsi="Calibri"/>
                <w:szCs w:val="18"/>
              </w:rPr>
            </w:pPr>
            <w:r>
              <w:rPr>
                <w:rFonts w:ascii="Calibri" w:hAnsi="Calibri"/>
                <w:szCs w:val="18"/>
              </w:rPr>
              <w:t xml:space="preserve">Project Officer </w:t>
            </w:r>
          </w:p>
        </w:tc>
      </w:tr>
      <w:tr w:rsidR="0018479A" w14:paraId="0C38171C" w14:textId="77777777" w:rsidTr="0018479A">
        <w:trPr>
          <w:cantSplit/>
          <w:jc w:val="center"/>
        </w:trPr>
        <w:tc>
          <w:tcPr>
            <w:tcW w:w="1355" w:type="pct"/>
          </w:tcPr>
          <w:p w14:paraId="71D911A4" w14:textId="58ABA96B" w:rsidR="0018479A" w:rsidRDefault="0018479A" w:rsidP="00D843C8">
            <w:pPr>
              <w:pStyle w:val="Exhibit"/>
              <w:rPr>
                <w:rFonts w:ascii="Calibri" w:hAnsi="Calibri"/>
                <w:szCs w:val="18"/>
              </w:rPr>
            </w:pPr>
            <w:r>
              <w:rPr>
                <w:rFonts w:ascii="Calibri" w:hAnsi="Calibri"/>
                <w:szCs w:val="18"/>
              </w:rPr>
              <w:t xml:space="preserve">Lauren Deutsch </w:t>
            </w:r>
          </w:p>
        </w:tc>
        <w:tc>
          <w:tcPr>
            <w:tcW w:w="1955" w:type="pct"/>
          </w:tcPr>
          <w:p w14:paraId="2F86A475" w14:textId="79DC4793" w:rsidR="0018479A" w:rsidRDefault="0018479A" w:rsidP="00D843C8">
            <w:pPr>
              <w:pStyle w:val="Exhibit"/>
              <w:rPr>
                <w:rFonts w:ascii="Calibri" w:hAnsi="Calibri"/>
                <w:szCs w:val="18"/>
              </w:rPr>
            </w:pPr>
            <w:r>
              <w:rPr>
                <w:rFonts w:ascii="Calibri" w:hAnsi="Calibri"/>
                <w:szCs w:val="18"/>
              </w:rPr>
              <w:t>Office of Planning, Research, and Evaluation/Business Strategies Consultants</w:t>
            </w:r>
          </w:p>
        </w:tc>
        <w:tc>
          <w:tcPr>
            <w:tcW w:w="1690" w:type="pct"/>
          </w:tcPr>
          <w:p w14:paraId="5B5FFB49" w14:textId="668C5C19" w:rsidR="0018479A" w:rsidRDefault="00C7122F" w:rsidP="00D843C8">
            <w:pPr>
              <w:pStyle w:val="Exhibit"/>
              <w:rPr>
                <w:rFonts w:ascii="Calibri" w:hAnsi="Calibri"/>
                <w:szCs w:val="18"/>
              </w:rPr>
            </w:pPr>
            <w:r>
              <w:rPr>
                <w:rFonts w:ascii="Calibri" w:hAnsi="Calibri"/>
                <w:szCs w:val="18"/>
              </w:rPr>
              <w:t xml:space="preserve">Contract </w:t>
            </w:r>
            <w:r w:rsidR="0018479A">
              <w:rPr>
                <w:rFonts w:ascii="Calibri" w:hAnsi="Calibri"/>
                <w:szCs w:val="18"/>
              </w:rPr>
              <w:t xml:space="preserve">Project Officer </w:t>
            </w:r>
          </w:p>
        </w:tc>
      </w:tr>
    </w:tbl>
    <w:p w14:paraId="09271A1F" w14:textId="77777777" w:rsidR="000D53DF" w:rsidRDefault="000D53DF" w:rsidP="00961783"/>
    <w:sectPr w:rsidR="000D53DF" w:rsidSect="0052073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1677F" w14:textId="77777777" w:rsidR="007E2B80" w:rsidRDefault="007E2B80">
      <w:r>
        <w:separator/>
      </w:r>
    </w:p>
  </w:endnote>
  <w:endnote w:type="continuationSeparator" w:id="0">
    <w:p w14:paraId="5A89F72C" w14:textId="77777777" w:rsidR="007E2B80" w:rsidRDefault="007E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ource Sans Pro">
    <w:altName w:val="Cambria Math"/>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58AFE" w14:textId="1FBEC86F" w:rsidR="00EC6101" w:rsidRDefault="0073498D" w:rsidP="0073498D">
    <w:pPr>
      <w:pStyle w:val="Footer"/>
      <w:jc w:val="right"/>
    </w:pPr>
    <w:r w:rsidRPr="002A255E">
      <w:rPr>
        <w:rFonts w:ascii="Garamond" w:hAnsi="Garamond"/>
        <w:sz w:val="18"/>
        <w:szCs w:val="18"/>
      </w:rPr>
      <w:t xml:space="preserve">Supporting Statements for OMB Clearance Request Part </w:t>
    </w:r>
    <w:r>
      <w:rPr>
        <w:rFonts w:ascii="Garamond" w:hAnsi="Garamond"/>
        <w:sz w:val="18"/>
        <w:szCs w:val="18"/>
      </w:rPr>
      <w:t>B</w:t>
    </w:r>
    <w:r>
      <w:rPr>
        <w:rFonts w:ascii="Garamond" w:hAnsi="Garamond"/>
        <w:color w:val="A5A5A5"/>
        <w:sz w:val="18"/>
        <w:szCs w:val="18"/>
      </w:rPr>
      <w:t xml:space="preserve"> </w:t>
    </w:r>
    <w:r w:rsidRPr="00B55501">
      <w:rPr>
        <w:rFonts w:ascii="Source Sans Pro" w:hAnsi="Source Sans Pro"/>
        <w:b/>
        <w:bCs/>
        <w:color w:val="E44044"/>
        <w:sz w:val="16"/>
        <w:szCs w:val="16"/>
      </w:rPr>
      <w:t>|</w:t>
    </w:r>
    <w:r w:rsidRPr="00BB1534">
      <w:rPr>
        <w:rFonts w:ascii="Source Sans Pro" w:hAnsi="Source Sans Pro"/>
        <w:b/>
        <w:bCs/>
        <w:sz w:val="16"/>
        <w:szCs w:val="16"/>
      </w:rPr>
      <w:t xml:space="preserve">  </w:t>
    </w:r>
    <w:r w:rsidRPr="00B55501">
      <w:rPr>
        <w:rFonts w:ascii="Calibri" w:hAnsi="Calibri"/>
        <w:b/>
        <w:bCs/>
        <w:color w:val="1E4F5C"/>
        <w:sz w:val="16"/>
        <w:szCs w:val="16"/>
      </w:rPr>
      <w:fldChar w:fldCharType="begin"/>
    </w:r>
    <w:r w:rsidRPr="00B55501">
      <w:rPr>
        <w:rFonts w:ascii="Calibri" w:hAnsi="Calibri"/>
        <w:b/>
        <w:bCs/>
        <w:color w:val="1E4F5C"/>
        <w:sz w:val="16"/>
        <w:szCs w:val="16"/>
      </w:rPr>
      <w:instrText xml:space="preserve"> PAGE  \* MERGEFORMAT </w:instrText>
    </w:r>
    <w:r w:rsidRPr="00B55501">
      <w:rPr>
        <w:rFonts w:ascii="Calibri" w:hAnsi="Calibri"/>
        <w:b/>
        <w:bCs/>
        <w:color w:val="1E4F5C"/>
        <w:sz w:val="16"/>
        <w:szCs w:val="16"/>
      </w:rPr>
      <w:fldChar w:fldCharType="separate"/>
    </w:r>
    <w:r w:rsidR="0088574D">
      <w:rPr>
        <w:rFonts w:ascii="Calibri" w:hAnsi="Calibri"/>
        <w:b/>
        <w:bCs/>
        <w:noProof/>
        <w:color w:val="1E4F5C"/>
        <w:sz w:val="16"/>
        <w:szCs w:val="16"/>
      </w:rPr>
      <w:t>1</w:t>
    </w:r>
    <w:r w:rsidRPr="00B55501">
      <w:rPr>
        <w:rFonts w:ascii="Calibri" w:hAnsi="Calibri"/>
        <w:b/>
        <w:bCs/>
        <w:color w:val="1E4F5C"/>
        <w:sz w:val="16"/>
        <w:szCs w:val="16"/>
      </w:rPr>
      <w:fldChar w:fldCharType="end"/>
    </w:r>
  </w:p>
  <w:p w14:paraId="54A20E6F" w14:textId="77777777" w:rsidR="00EC6101" w:rsidRDefault="00EC6101"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028B8" w14:textId="77777777" w:rsidR="007E2B80" w:rsidRDefault="007E2B80">
      <w:r>
        <w:separator/>
      </w:r>
    </w:p>
  </w:footnote>
  <w:footnote w:type="continuationSeparator" w:id="0">
    <w:p w14:paraId="72487A4F" w14:textId="77777777" w:rsidR="007E2B80" w:rsidRDefault="007E2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C8C17" w14:textId="6ADEF7FC" w:rsidR="00EC6101" w:rsidRDefault="00EC6101" w:rsidP="00FE1C8E">
    <w:pPr>
      <w:pStyle w:val="Header"/>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731131"/>
    <w:multiLevelType w:val="hybridMultilevel"/>
    <w:tmpl w:val="8D7097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1B4B5D"/>
    <w:multiLevelType w:val="hybridMultilevel"/>
    <w:tmpl w:val="960CBC6C"/>
    <w:lvl w:ilvl="0" w:tplc="04090003">
      <w:start w:val="1"/>
      <w:numFmt w:val="bullet"/>
      <w:lvlText w:val="o"/>
      <w:lvlJc w:val="left"/>
      <w:pPr>
        <w:ind w:left="1440" w:hanging="360"/>
      </w:pPr>
      <w:rPr>
        <w:rFonts w:ascii="Courier New" w:hAnsi="Courier New" w:cs="Courier New"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024239"/>
    <w:multiLevelType w:val="hybridMultilevel"/>
    <w:tmpl w:val="6926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EF2527"/>
    <w:multiLevelType w:val="hybridMultilevel"/>
    <w:tmpl w:val="F1FCF0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0308F9"/>
    <w:multiLevelType w:val="hybridMultilevel"/>
    <w:tmpl w:val="BB0C3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EA7BD4"/>
    <w:multiLevelType w:val="hybridMultilevel"/>
    <w:tmpl w:val="7C06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B447C3"/>
    <w:multiLevelType w:val="hybridMultilevel"/>
    <w:tmpl w:val="708659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D236FD"/>
    <w:multiLevelType w:val="hybridMultilevel"/>
    <w:tmpl w:val="433E282E"/>
    <w:lvl w:ilvl="0" w:tplc="9F68D79E">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982752"/>
    <w:multiLevelType w:val="hybridMultilevel"/>
    <w:tmpl w:val="49FE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ED140A"/>
    <w:multiLevelType w:val="hybridMultilevel"/>
    <w:tmpl w:val="03F07EEA"/>
    <w:lvl w:ilvl="0" w:tplc="FA309B3E">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2704697"/>
    <w:multiLevelType w:val="hybridMultilevel"/>
    <w:tmpl w:val="805E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0F5412"/>
    <w:multiLevelType w:val="hybridMultilevel"/>
    <w:tmpl w:val="87AA09F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411DDA"/>
    <w:multiLevelType w:val="multilevel"/>
    <w:tmpl w:val="C50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B08024D"/>
    <w:multiLevelType w:val="hybridMultilevel"/>
    <w:tmpl w:val="F920FE66"/>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BA1725E"/>
    <w:multiLevelType w:val="hybridMultilevel"/>
    <w:tmpl w:val="82DE0C8A"/>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FD2594"/>
    <w:multiLevelType w:val="hybridMultilevel"/>
    <w:tmpl w:val="9FFE65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510D81"/>
    <w:multiLevelType w:val="hybridMultilevel"/>
    <w:tmpl w:val="71A2EA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5F148B"/>
    <w:multiLevelType w:val="hybridMultilevel"/>
    <w:tmpl w:val="B2E8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3"/>
  </w:num>
  <w:num w:numId="4">
    <w:abstractNumId w:val="12"/>
  </w:num>
  <w:num w:numId="5">
    <w:abstractNumId w:val="13"/>
  </w:num>
  <w:num w:numId="6">
    <w:abstractNumId w:val="27"/>
  </w:num>
  <w:num w:numId="7">
    <w:abstractNumId w:val="26"/>
  </w:num>
  <w:num w:numId="8">
    <w:abstractNumId w:val="15"/>
  </w:num>
  <w:num w:numId="9">
    <w:abstractNumId w:val="18"/>
  </w:num>
  <w:num w:numId="10">
    <w:abstractNumId w:val="2"/>
  </w:num>
  <w:num w:numId="11">
    <w:abstractNumId w:val="0"/>
  </w:num>
  <w:num w:numId="12">
    <w:abstractNumId w:val="3"/>
  </w:num>
  <w:num w:numId="13">
    <w:abstractNumId w:val="29"/>
  </w:num>
  <w:num w:numId="14">
    <w:abstractNumId w:val="9"/>
  </w:num>
  <w:num w:numId="15">
    <w:abstractNumId w:val="21"/>
  </w:num>
  <w:num w:numId="16">
    <w:abstractNumId w:val="8"/>
  </w:num>
  <w:num w:numId="17">
    <w:abstractNumId w:val="28"/>
  </w:num>
  <w:num w:numId="18">
    <w:abstractNumId w:val="30"/>
  </w:num>
  <w:num w:numId="19">
    <w:abstractNumId w:val="14"/>
  </w:num>
  <w:num w:numId="20">
    <w:abstractNumId w:val="5"/>
  </w:num>
  <w:num w:numId="21">
    <w:abstractNumId w:val="22"/>
  </w:num>
  <w:num w:numId="22">
    <w:abstractNumId w:val="6"/>
  </w:num>
  <w:num w:numId="23">
    <w:abstractNumId w:val="20"/>
  </w:num>
  <w:num w:numId="24">
    <w:abstractNumId w:val="10"/>
  </w:num>
  <w:num w:numId="25">
    <w:abstractNumId w:val="11"/>
  </w:num>
  <w:num w:numId="26">
    <w:abstractNumId w:val="17"/>
  </w:num>
  <w:num w:numId="27">
    <w:abstractNumId w:val="7"/>
  </w:num>
  <w:num w:numId="28">
    <w:abstractNumId w:val="19"/>
  </w:num>
  <w:num w:numId="29">
    <w:abstractNumId w:val="25"/>
  </w:num>
  <w:num w:numId="30">
    <w:abstractNumId w:val="31"/>
  </w:num>
  <w:num w:numId="31">
    <w:abstractNumId w:val="1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15CF2"/>
    <w:rsid w:val="00034CD6"/>
    <w:rsid w:val="000620E7"/>
    <w:rsid w:val="00071845"/>
    <w:rsid w:val="0007448A"/>
    <w:rsid w:val="000860DA"/>
    <w:rsid w:val="00091C59"/>
    <w:rsid w:val="00096C05"/>
    <w:rsid w:val="000B5EA8"/>
    <w:rsid w:val="000D2ED2"/>
    <w:rsid w:val="000D3855"/>
    <w:rsid w:val="000D53DF"/>
    <w:rsid w:val="000F0F8E"/>
    <w:rsid w:val="000F5D39"/>
    <w:rsid w:val="00112E64"/>
    <w:rsid w:val="0013084C"/>
    <w:rsid w:val="00141E6B"/>
    <w:rsid w:val="00153246"/>
    <w:rsid w:val="0016012E"/>
    <w:rsid w:val="001779C2"/>
    <w:rsid w:val="00180E15"/>
    <w:rsid w:val="00183C0F"/>
    <w:rsid w:val="0018479A"/>
    <w:rsid w:val="0019233B"/>
    <w:rsid w:val="00195F19"/>
    <w:rsid w:val="001C4D60"/>
    <w:rsid w:val="001D04DF"/>
    <w:rsid w:val="001D69A8"/>
    <w:rsid w:val="001E1819"/>
    <w:rsid w:val="001E1D51"/>
    <w:rsid w:val="001F52D2"/>
    <w:rsid w:val="0020382F"/>
    <w:rsid w:val="002231FA"/>
    <w:rsid w:val="002314BA"/>
    <w:rsid w:val="00233693"/>
    <w:rsid w:val="00234E8D"/>
    <w:rsid w:val="00235A6D"/>
    <w:rsid w:val="00253148"/>
    <w:rsid w:val="00260DD3"/>
    <w:rsid w:val="00262109"/>
    <w:rsid w:val="00292B70"/>
    <w:rsid w:val="002A1F68"/>
    <w:rsid w:val="002B4DBE"/>
    <w:rsid w:val="002E3D9A"/>
    <w:rsid w:val="002F4517"/>
    <w:rsid w:val="002F6775"/>
    <w:rsid w:val="003157F8"/>
    <w:rsid w:val="00325E91"/>
    <w:rsid w:val="00346B88"/>
    <w:rsid w:val="00351D12"/>
    <w:rsid w:val="0037156C"/>
    <w:rsid w:val="00374DAB"/>
    <w:rsid w:val="003D0ED9"/>
    <w:rsid w:val="003D5231"/>
    <w:rsid w:val="003D6E2B"/>
    <w:rsid w:val="003F48F4"/>
    <w:rsid w:val="0040424F"/>
    <w:rsid w:val="0040617B"/>
    <w:rsid w:val="0041162F"/>
    <w:rsid w:val="004171A2"/>
    <w:rsid w:val="0044558C"/>
    <w:rsid w:val="00446D17"/>
    <w:rsid w:val="00454E23"/>
    <w:rsid w:val="004554B1"/>
    <w:rsid w:val="00456E2F"/>
    <w:rsid w:val="00463693"/>
    <w:rsid w:val="00465120"/>
    <w:rsid w:val="00482DDE"/>
    <w:rsid w:val="004969E2"/>
    <w:rsid w:val="0049768F"/>
    <w:rsid w:val="004B425C"/>
    <w:rsid w:val="004B587E"/>
    <w:rsid w:val="004C2CF4"/>
    <w:rsid w:val="004C31E6"/>
    <w:rsid w:val="004D6CA9"/>
    <w:rsid w:val="004E0DF4"/>
    <w:rsid w:val="004E1006"/>
    <w:rsid w:val="004E42E3"/>
    <w:rsid w:val="004F4E1D"/>
    <w:rsid w:val="005046F0"/>
    <w:rsid w:val="00520737"/>
    <w:rsid w:val="00520A96"/>
    <w:rsid w:val="005217C9"/>
    <w:rsid w:val="005353B7"/>
    <w:rsid w:val="00541024"/>
    <w:rsid w:val="005417EB"/>
    <w:rsid w:val="005448D2"/>
    <w:rsid w:val="00576420"/>
    <w:rsid w:val="005852F9"/>
    <w:rsid w:val="0059790A"/>
    <w:rsid w:val="005A64C5"/>
    <w:rsid w:val="005B43D0"/>
    <w:rsid w:val="005D4CBA"/>
    <w:rsid w:val="005D57B9"/>
    <w:rsid w:val="005E17E2"/>
    <w:rsid w:val="005E39B9"/>
    <w:rsid w:val="005E5184"/>
    <w:rsid w:val="005F2061"/>
    <w:rsid w:val="00606FEC"/>
    <w:rsid w:val="00607351"/>
    <w:rsid w:val="00622ADF"/>
    <w:rsid w:val="006236EE"/>
    <w:rsid w:val="00646B36"/>
    <w:rsid w:val="00651DBA"/>
    <w:rsid w:val="00654FA3"/>
    <w:rsid w:val="00657424"/>
    <w:rsid w:val="00684EC1"/>
    <w:rsid w:val="00690968"/>
    <w:rsid w:val="0069170B"/>
    <w:rsid w:val="00695FA7"/>
    <w:rsid w:val="0069639A"/>
    <w:rsid w:val="006B2DB9"/>
    <w:rsid w:val="006B6845"/>
    <w:rsid w:val="006F23D8"/>
    <w:rsid w:val="006F30E0"/>
    <w:rsid w:val="00701045"/>
    <w:rsid w:val="0072204D"/>
    <w:rsid w:val="007269B0"/>
    <w:rsid w:val="0073498D"/>
    <w:rsid w:val="0074014E"/>
    <w:rsid w:val="00751AA0"/>
    <w:rsid w:val="00757978"/>
    <w:rsid w:val="007626F1"/>
    <w:rsid w:val="007710CF"/>
    <w:rsid w:val="00772457"/>
    <w:rsid w:val="00776C0A"/>
    <w:rsid w:val="00784137"/>
    <w:rsid w:val="007A4058"/>
    <w:rsid w:val="007C2A68"/>
    <w:rsid w:val="007E2B80"/>
    <w:rsid w:val="007F2F9C"/>
    <w:rsid w:val="008172E0"/>
    <w:rsid w:val="00851340"/>
    <w:rsid w:val="0087234E"/>
    <w:rsid w:val="008762CB"/>
    <w:rsid w:val="0087693D"/>
    <w:rsid w:val="0088574D"/>
    <w:rsid w:val="00890643"/>
    <w:rsid w:val="008B6A5B"/>
    <w:rsid w:val="008B7F2C"/>
    <w:rsid w:val="008D4864"/>
    <w:rsid w:val="00910080"/>
    <w:rsid w:val="00932D71"/>
    <w:rsid w:val="00941FC2"/>
    <w:rsid w:val="00945CD6"/>
    <w:rsid w:val="00961783"/>
    <w:rsid w:val="009648CE"/>
    <w:rsid w:val="00974826"/>
    <w:rsid w:val="00974C7E"/>
    <w:rsid w:val="00996B29"/>
    <w:rsid w:val="009A2DD2"/>
    <w:rsid w:val="009C0634"/>
    <w:rsid w:val="009C59CB"/>
    <w:rsid w:val="009D272E"/>
    <w:rsid w:val="009D47D2"/>
    <w:rsid w:val="00A07009"/>
    <w:rsid w:val="00A35E23"/>
    <w:rsid w:val="00A45853"/>
    <w:rsid w:val="00A61A64"/>
    <w:rsid w:val="00A93093"/>
    <w:rsid w:val="00A97D32"/>
    <w:rsid w:val="00AA29C0"/>
    <w:rsid w:val="00AC4338"/>
    <w:rsid w:val="00AD31E9"/>
    <w:rsid w:val="00AE23E5"/>
    <w:rsid w:val="00AF1DB6"/>
    <w:rsid w:val="00AF51CC"/>
    <w:rsid w:val="00AF5366"/>
    <w:rsid w:val="00B14396"/>
    <w:rsid w:val="00B33FF1"/>
    <w:rsid w:val="00B603B0"/>
    <w:rsid w:val="00B70BCD"/>
    <w:rsid w:val="00B70EF6"/>
    <w:rsid w:val="00B73A61"/>
    <w:rsid w:val="00B907E1"/>
    <w:rsid w:val="00BD2E46"/>
    <w:rsid w:val="00BD4CFB"/>
    <w:rsid w:val="00BD5D0D"/>
    <w:rsid w:val="00BE17F5"/>
    <w:rsid w:val="00BF3200"/>
    <w:rsid w:val="00C12B95"/>
    <w:rsid w:val="00C26D4B"/>
    <w:rsid w:val="00C424EA"/>
    <w:rsid w:val="00C44479"/>
    <w:rsid w:val="00C52ECC"/>
    <w:rsid w:val="00C56EA9"/>
    <w:rsid w:val="00C57756"/>
    <w:rsid w:val="00C7122F"/>
    <w:rsid w:val="00C769F8"/>
    <w:rsid w:val="00C93C89"/>
    <w:rsid w:val="00C97851"/>
    <w:rsid w:val="00CA4429"/>
    <w:rsid w:val="00CB0100"/>
    <w:rsid w:val="00CB74DA"/>
    <w:rsid w:val="00CE6EFF"/>
    <w:rsid w:val="00CF43C7"/>
    <w:rsid w:val="00CF4DA2"/>
    <w:rsid w:val="00CF578E"/>
    <w:rsid w:val="00D012A6"/>
    <w:rsid w:val="00D06D5F"/>
    <w:rsid w:val="00D10533"/>
    <w:rsid w:val="00D3291E"/>
    <w:rsid w:val="00D365E6"/>
    <w:rsid w:val="00D37C7C"/>
    <w:rsid w:val="00D519D9"/>
    <w:rsid w:val="00D546C3"/>
    <w:rsid w:val="00D65A64"/>
    <w:rsid w:val="00D70E19"/>
    <w:rsid w:val="00D761BB"/>
    <w:rsid w:val="00D843C8"/>
    <w:rsid w:val="00DD7D2D"/>
    <w:rsid w:val="00DE1830"/>
    <w:rsid w:val="00DF245A"/>
    <w:rsid w:val="00E05A0A"/>
    <w:rsid w:val="00E155DA"/>
    <w:rsid w:val="00E20EE6"/>
    <w:rsid w:val="00E403E6"/>
    <w:rsid w:val="00E41D46"/>
    <w:rsid w:val="00E44357"/>
    <w:rsid w:val="00E52AFD"/>
    <w:rsid w:val="00E66ABD"/>
    <w:rsid w:val="00E67892"/>
    <w:rsid w:val="00E72E9A"/>
    <w:rsid w:val="00EB2FB0"/>
    <w:rsid w:val="00EB5B54"/>
    <w:rsid w:val="00EC329F"/>
    <w:rsid w:val="00EC6101"/>
    <w:rsid w:val="00EE62F3"/>
    <w:rsid w:val="00EE6519"/>
    <w:rsid w:val="00F0670D"/>
    <w:rsid w:val="00F20419"/>
    <w:rsid w:val="00F302DA"/>
    <w:rsid w:val="00F34FF2"/>
    <w:rsid w:val="00F36B53"/>
    <w:rsid w:val="00F47803"/>
    <w:rsid w:val="00F56220"/>
    <w:rsid w:val="00F62DDC"/>
    <w:rsid w:val="00F73374"/>
    <w:rsid w:val="00F74F04"/>
    <w:rsid w:val="00F75027"/>
    <w:rsid w:val="00F808EF"/>
    <w:rsid w:val="00F8471C"/>
    <w:rsid w:val="00F95F02"/>
    <w:rsid w:val="00FB498F"/>
    <w:rsid w:val="00FB7B63"/>
    <w:rsid w:val="00FC04C5"/>
    <w:rsid w:val="00FC5BE7"/>
    <w:rsid w:val="00FD1B70"/>
    <w:rsid w:val="00FD7600"/>
    <w:rsid w:val="00FE1C8E"/>
    <w:rsid w:val="00FE3541"/>
    <w:rsid w:val="00FF1229"/>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5E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3498D"/>
    <w:pPr>
      <w:outlineLvl w:val="0"/>
    </w:pPr>
    <w:rPr>
      <w:rFonts w:ascii="Calibri Light" w:hAnsi="Calibri Light" w:cs="Calibri Light"/>
      <w:color w:val="E44044"/>
      <w:sz w:val="34"/>
      <w:szCs w:val="34"/>
    </w:rPr>
  </w:style>
  <w:style w:type="paragraph" w:styleId="Heading2">
    <w:name w:val="heading 2"/>
    <w:basedOn w:val="Normal"/>
    <w:next w:val="Normal"/>
    <w:link w:val="Heading2Char"/>
    <w:unhideWhenUsed/>
    <w:qFormat/>
    <w:rsid w:val="0073498D"/>
    <w:pPr>
      <w:keepNext/>
      <w:spacing w:before="240" w:after="60"/>
      <w:outlineLvl w:val="1"/>
    </w:pPr>
    <w:rPr>
      <w:rFonts w:ascii="Calibri" w:hAnsi="Calibri"/>
      <w:b/>
      <w:bCs/>
      <w:iCs/>
      <w:color w:val="1E4F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1Char">
    <w:name w:val="Heading 1 Char"/>
    <w:link w:val="Heading1"/>
    <w:rsid w:val="0073498D"/>
    <w:rPr>
      <w:rFonts w:ascii="Calibri Light" w:hAnsi="Calibri Light" w:cs="Calibri Light"/>
      <w:color w:val="E44044"/>
      <w:sz w:val="34"/>
      <w:szCs w:val="34"/>
    </w:rPr>
  </w:style>
  <w:style w:type="character" w:customStyle="1" w:styleId="Heading2Char">
    <w:name w:val="Heading 2 Char"/>
    <w:link w:val="Heading2"/>
    <w:rsid w:val="0073498D"/>
    <w:rPr>
      <w:rFonts w:ascii="Calibri" w:eastAsia="Times New Roman" w:hAnsi="Calibri" w:cs="Times New Roman"/>
      <w:b/>
      <w:bCs/>
      <w:iCs/>
      <w:color w:val="1E4F5C"/>
      <w:sz w:val="24"/>
      <w:szCs w:val="24"/>
    </w:rPr>
  </w:style>
  <w:style w:type="paragraph" w:styleId="ListParagraph">
    <w:name w:val="List Paragraph"/>
    <w:basedOn w:val="Normal"/>
    <w:uiPriority w:val="34"/>
    <w:qFormat/>
    <w:rsid w:val="003D0ED9"/>
    <w:pPr>
      <w:ind w:left="720"/>
    </w:pPr>
    <w:rPr>
      <w:rFonts w:ascii="Calibri" w:eastAsia="Calibri" w:hAnsi="Calibri"/>
      <w:sz w:val="22"/>
      <w:szCs w:val="22"/>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
    <w:basedOn w:val="Normal"/>
    <w:link w:val="FootnoteTextChar"/>
    <w:uiPriority w:val="99"/>
    <w:unhideWhenUsed/>
    <w:qFormat/>
    <w:rsid w:val="003D0ED9"/>
    <w:rPr>
      <w:sz w:val="20"/>
      <w:szCs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3D0ED9"/>
  </w:style>
  <w:style w:type="character" w:styleId="FootnoteReference">
    <w:name w:val="footnote reference"/>
    <w:aliases w:val="*Footnote Reference"/>
    <w:uiPriority w:val="99"/>
    <w:unhideWhenUsed/>
    <w:rsid w:val="003D0ED9"/>
    <w:rPr>
      <w:vertAlign w:val="superscript"/>
    </w:rPr>
  </w:style>
  <w:style w:type="paragraph" w:styleId="NormalWeb">
    <w:name w:val="Normal (Web)"/>
    <w:basedOn w:val="Normal"/>
    <w:uiPriority w:val="99"/>
    <w:unhideWhenUsed/>
    <w:rsid w:val="00CF578E"/>
    <w:rPr>
      <w:rFonts w:eastAsia="Calibri"/>
    </w:rPr>
  </w:style>
  <w:style w:type="paragraph" w:customStyle="1" w:styleId="Exhibit">
    <w:name w:val="Exhibit"/>
    <w:basedOn w:val="Normal"/>
    <w:uiPriority w:val="99"/>
    <w:rsid w:val="00690968"/>
    <w:pPr>
      <w:spacing w:line="264" w:lineRule="auto"/>
    </w:pPr>
    <w:rPr>
      <w:rFonts w:ascii="Arial" w:hAnsi="Arial"/>
      <w:sz w:val="18"/>
      <w:szCs w:val="20"/>
    </w:rPr>
  </w:style>
  <w:style w:type="paragraph" w:customStyle="1" w:styleId="ExhibitColumnHeader">
    <w:name w:val="Exhibit Column Header"/>
    <w:basedOn w:val="Normal"/>
    <w:uiPriority w:val="99"/>
    <w:qFormat/>
    <w:rsid w:val="00690968"/>
    <w:pPr>
      <w:spacing w:before="20" w:after="20"/>
      <w:jc w:val="center"/>
    </w:pPr>
    <w:rPr>
      <w:rFonts w:ascii="Arial" w:hAnsi="Arial" w:cs="Arial"/>
      <w:b/>
      <w:color w:val="000000"/>
      <w:sz w:val="20"/>
      <w:szCs w:val="20"/>
    </w:rPr>
  </w:style>
  <w:style w:type="paragraph" w:styleId="TOCHeading">
    <w:name w:val="TOC Heading"/>
    <w:basedOn w:val="Heading1"/>
    <w:next w:val="Normal"/>
    <w:uiPriority w:val="39"/>
    <w:unhideWhenUsed/>
    <w:qFormat/>
    <w:rsid w:val="00F74F04"/>
    <w:pPr>
      <w:keepNext/>
      <w:keepLines/>
      <w:spacing w:before="240" w:line="259" w:lineRule="auto"/>
      <w:outlineLvl w:val="9"/>
    </w:pPr>
    <w:rPr>
      <w:rFonts w:cs="Times New Roman"/>
      <w:color w:val="2F5496"/>
      <w:sz w:val="32"/>
      <w:szCs w:val="32"/>
    </w:rPr>
  </w:style>
  <w:style w:type="paragraph" w:styleId="TOC1">
    <w:name w:val="toc 1"/>
    <w:basedOn w:val="Normal"/>
    <w:next w:val="Normal"/>
    <w:autoRedefine/>
    <w:uiPriority w:val="39"/>
    <w:rsid w:val="00F74F04"/>
  </w:style>
  <w:style w:type="paragraph" w:styleId="TOC2">
    <w:name w:val="toc 2"/>
    <w:basedOn w:val="Normal"/>
    <w:next w:val="Normal"/>
    <w:autoRedefine/>
    <w:uiPriority w:val="39"/>
    <w:rsid w:val="00F74F04"/>
    <w:pPr>
      <w:ind w:left="240"/>
    </w:pPr>
  </w:style>
  <w:style w:type="paragraph" w:styleId="BodyText">
    <w:name w:val="Body Text"/>
    <w:basedOn w:val="Normal"/>
    <w:link w:val="BodyTextChar"/>
    <w:semiHidden/>
    <w:unhideWhenUsed/>
    <w:rsid w:val="00325E91"/>
    <w:pPr>
      <w:spacing w:after="180" w:line="264" w:lineRule="auto"/>
    </w:pPr>
    <w:rPr>
      <w:sz w:val="22"/>
      <w:szCs w:val="20"/>
    </w:rPr>
  </w:style>
  <w:style w:type="character" w:customStyle="1" w:styleId="BodyTextChar">
    <w:name w:val="Body Text Char"/>
    <w:basedOn w:val="DefaultParagraphFont"/>
    <w:link w:val="BodyText"/>
    <w:semiHidden/>
    <w:rsid w:val="00325E9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3498D"/>
    <w:pPr>
      <w:outlineLvl w:val="0"/>
    </w:pPr>
    <w:rPr>
      <w:rFonts w:ascii="Calibri Light" w:hAnsi="Calibri Light" w:cs="Calibri Light"/>
      <w:color w:val="E44044"/>
      <w:sz w:val="34"/>
      <w:szCs w:val="34"/>
    </w:rPr>
  </w:style>
  <w:style w:type="paragraph" w:styleId="Heading2">
    <w:name w:val="heading 2"/>
    <w:basedOn w:val="Normal"/>
    <w:next w:val="Normal"/>
    <w:link w:val="Heading2Char"/>
    <w:unhideWhenUsed/>
    <w:qFormat/>
    <w:rsid w:val="0073498D"/>
    <w:pPr>
      <w:keepNext/>
      <w:spacing w:before="240" w:after="60"/>
      <w:outlineLvl w:val="1"/>
    </w:pPr>
    <w:rPr>
      <w:rFonts w:ascii="Calibri" w:hAnsi="Calibri"/>
      <w:b/>
      <w:bCs/>
      <w:iCs/>
      <w:color w:val="1E4F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uiPriority w:val="99"/>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1Char">
    <w:name w:val="Heading 1 Char"/>
    <w:link w:val="Heading1"/>
    <w:rsid w:val="0073498D"/>
    <w:rPr>
      <w:rFonts w:ascii="Calibri Light" w:hAnsi="Calibri Light" w:cs="Calibri Light"/>
      <w:color w:val="E44044"/>
      <w:sz w:val="34"/>
      <w:szCs w:val="34"/>
    </w:rPr>
  </w:style>
  <w:style w:type="character" w:customStyle="1" w:styleId="Heading2Char">
    <w:name w:val="Heading 2 Char"/>
    <w:link w:val="Heading2"/>
    <w:rsid w:val="0073498D"/>
    <w:rPr>
      <w:rFonts w:ascii="Calibri" w:eastAsia="Times New Roman" w:hAnsi="Calibri" w:cs="Times New Roman"/>
      <w:b/>
      <w:bCs/>
      <w:iCs/>
      <w:color w:val="1E4F5C"/>
      <w:sz w:val="24"/>
      <w:szCs w:val="24"/>
    </w:rPr>
  </w:style>
  <w:style w:type="paragraph" w:styleId="ListParagraph">
    <w:name w:val="List Paragraph"/>
    <w:basedOn w:val="Normal"/>
    <w:uiPriority w:val="34"/>
    <w:qFormat/>
    <w:rsid w:val="003D0ED9"/>
    <w:pPr>
      <w:ind w:left="720"/>
    </w:pPr>
    <w:rPr>
      <w:rFonts w:ascii="Calibri" w:eastAsia="Calibri" w:hAnsi="Calibri"/>
      <w:sz w:val="22"/>
      <w:szCs w:val="22"/>
    </w:rPr>
  </w:style>
  <w:style w:type="paragraph" w:styleId="FootnoteText">
    <w:name w:val="footnote text"/>
    <w:aliases w:val="*Footnote Text,F1,Footnote Text Char Char Char Char,Footnote Text Char Char,Footnote Text ERA,Footnote Text ERA1,Footnote Text ERA2,Footnote Text ERA11,Footnote Text ERA3,Footnote Text ERA12,Footnote Text ERA21,Footnote Text ERA111,fn"/>
    <w:basedOn w:val="Normal"/>
    <w:link w:val="FootnoteTextChar"/>
    <w:uiPriority w:val="99"/>
    <w:unhideWhenUsed/>
    <w:qFormat/>
    <w:rsid w:val="003D0ED9"/>
    <w:rPr>
      <w:sz w:val="20"/>
      <w:szCs w:val="20"/>
    </w:rPr>
  </w:style>
  <w:style w:type="character" w:customStyle="1" w:styleId="FootnoteTextChar">
    <w:name w:val="Footnote Text Char"/>
    <w:aliases w:val="*Footnote Text Char,F1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3D0ED9"/>
  </w:style>
  <w:style w:type="character" w:styleId="FootnoteReference">
    <w:name w:val="footnote reference"/>
    <w:aliases w:val="*Footnote Reference"/>
    <w:uiPriority w:val="99"/>
    <w:unhideWhenUsed/>
    <w:rsid w:val="003D0ED9"/>
    <w:rPr>
      <w:vertAlign w:val="superscript"/>
    </w:rPr>
  </w:style>
  <w:style w:type="paragraph" w:styleId="NormalWeb">
    <w:name w:val="Normal (Web)"/>
    <w:basedOn w:val="Normal"/>
    <w:uiPriority w:val="99"/>
    <w:unhideWhenUsed/>
    <w:rsid w:val="00CF578E"/>
    <w:rPr>
      <w:rFonts w:eastAsia="Calibri"/>
    </w:rPr>
  </w:style>
  <w:style w:type="paragraph" w:customStyle="1" w:styleId="Exhibit">
    <w:name w:val="Exhibit"/>
    <w:basedOn w:val="Normal"/>
    <w:uiPriority w:val="99"/>
    <w:rsid w:val="00690968"/>
    <w:pPr>
      <w:spacing w:line="264" w:lineRule="auto"/>
    </w:pPr>
    <w:rPr>
      <w:rFonts w:ascii="Arial" w:hAnsi="Arial"/>
      <w:sz w:val="18"/>
      <w:szCs w:val="20"/>
    </w:rPr>
  </w:style>
  <w:style w:type="paragraph" w:customStyle="1" w:styleId="ExhibitColumnHeader">
    <w:name w:val="Exhibit Column Header"/>
    <w:basedOn w:val="Normal"/>
    <w:uiPriority w:val="99"/>
    <w:qFormat/>
    <w:rsid w:val="00690968"/>
    <w:pPr>
      <w:spacing w:before="20" w:after="20"/>
      <w:jc w:val="center"/>
    </w:pPr>
    <w:rPr>
      <w:rFonts w:ascii="Arial" w:hAnsi="Arial" w:cs="Arial"/>
      <w:b/>
      <w:color w:val="000000"/>
      <w:sz w:val="20"/>
      <w:szCs w:val="20"/>
    </w:rPr>
  </w:style>
  <w:style w:type="paragraph" w:styleId="TOCHeading">
    <w:name w:val="TOC Heading"/>
    <w:basedOn w:val="Heading1"/>
    <w:next w:val="Normal"/>
    <w:uiPriority w:val="39"/>
    <w:unhideWhenUsed/>
    <w:qFormat/>
    <w:rsid w:val="00F74F04"/>
    <w:pPr>
      <w:keepNext/>
      <w:keepLines/>
      <w:spacing w:before="240" w:line="259" w:lineRule="auto"/>
      <w:outlineLvl w:val="9"/>
    </w:pPr>
    <w:rPr>
      <w:rFonts w:cs="Times New Roman"/>
      <w:color w:val="2F5496"/>
      <w:sz w:val="32"/>
      <w:szCs w:val="32"/>
    </w:rPr>
  </w:style>
  <w:style w:type="paragraph" w:styleId="TOC1">
    <w:name w:val="toc 1"/>
    <w:basedOn w:val="Normal"/>
    <w:next w:val="Normal"/>
    <w:autoRedefine/>
    <w:uiPriority w:val="39"/>
    <w:rsid w:val="00F74F04"/>
  </w:style>
  <w:style w:type="paragraph" w:styleId="TOC2">
    <w:name w:val="toc 2"/>
    <w:basedOn w:val="Normal"/>
    <w:next w:val="Normal"/>
    <w:autoRedefine/>
    <w:uiPriority w:val="39"/>
    <w:rsid w:val="00F74F04"/>
    <w:pPr>
      <w:ind w:left="240"/>
    </w:pPr>
  </w:style>
  <w:style w:type="paragraph" w:styleId="BodyText">
    <w:name w:val="Body Text"/>
    <w:basedOn w:val="Normal"/>
    <w:link w:val="BodyTextChar"/>
    <w:semiHidden/>
    <w:unhideWhenUsed/>
    <w:rsid w:val="00325E91"/>
    <w:pPr>
      <w:spacing w:after="180" w:line="264" w:lineRule="auto"/>
    </w:pPr>
    <w:rPr>
      <w:sz w:val="22"/>
      <w:szCs w:val="20"/>
    </w:rPr>
  </w:style>
  <w:style w:type="character" w:customStyle="1" w:styleId="BodyTextChar">
    <w:name w:val="Body Text Char"/>
    <w:basedOn w:val="DefaultParagraphFont"/>
    <w:link w:val="BodyText"/>
    <w:semiHidden/>
    <w:rsid w:val="00325E9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1321">
      <w:bodyDiv w:val="1"/>
      <w:marLeft w:val="0"/>
      <w:marRight w:val="0"/>
      <w:marTop w:val="0"/>
      <w:marBottom w:val="0"/>
      <w:divBdr>
        <w:top w:val="none" w:sz="0" w:space="0" w:color="auto"/>
        <w:left w:val="none" w:sz="0" w:space="0" w:color="auto"/>
        <w:bottom w:val="none" w:sz="0" w:space="0" w:color="auto"/>
        <w:right w:val="none" w:sz="0" w:space="0" w:color="auto"/>
      </w:divBdr>
    </w:div>
    <w:div w:id="447284614">
      <w:bodyDiv w:val="1"/>
      <w:marLeft w:val="0"/>
      <w:marRight w:val="0"/>
      <w:marTop w:val="0"/>
      <w:marBottom w:val="0"/>
      <w:divBdr>
        <w:top w:val="none" w:sz="0" w:space="0" w:color="auto"/>
        <w:left w:val="none" w:sz="0" w:space="0" w:color="auto"/>
        <w:bottom w:val="none" w:sz="0" w:space="0" w:color="auto"/>
        <w:right w:val="none" w:sz="0" w:space="0" w:color="auto"/>
      </w:divBdr>
    </w:div>
    <w:div w:id="739913532">
      <w:bodyDiv w:val="1"/>
      <w:marLeft w:val="0"/>
      <w:marRight w:val="0"/>
      <w:marTop w:val="0"/>
      <w:marBottom w:val="0"/>
      <w:divBdr>
        <w:top w:val="none" w:sz="0" w:space="0" w:color="auto"/>
        <w:left w:val="none" w:sz="0" w:space="0" w:color="auto"/>
        <w:bottom w:val="none" w:sz="0" w:space="0" w:color="auto"/>
        <w:right w:val="none" w:sz="0" w:space="0" w:color="auto"/>
      </w:divBdr>
    </w:div>
    <w:div w:id="1026100987">
      <w:bodyDiv w:val="1"/>
      <w:marLeft w:val="0"/>
      <w:marRight w:val="0"/>
      <w:marTop w:val="0"/>
      <w:marBottom w:val="0"/>
      <w:divBdr>
        <w:top w:val="none" w:sz="0" w:space="0" w:color="auto"/>
        <w:left w:val="none" w:sz="0" w:space="0" w:color="auto"/>
        <w:bottom w:val="none" w:sz="0" w:space="0" w:color="auto"/>
        <w:right w:val="none" w:sz="0" w:space="0" w:color="auto"/>
      </w:divBdr>
    </w:div>
    <w:div w:id="1033387229">
      <w:bodyDiv w:val="1"/>
      <w:marLeft w:val="0"/>
      <w:marRight w:val="0"/>
      <w:marTop w:val="0"/>
      <w:marBottom w:val="0"/>
      <w:divBdr>
        <w:top w:val="none" w:sz="0" w:space="0" w:color="auto"/>
        <w:left w:val="none" w:sz="0" w:space="0" w:color="auto"/>
        <w:bottom w:val="none" w:sz="0" w:space="0" w:color="auto"/>
        <w:right w:val="none" w:sz="0" w:space="0" w:color="auto"/>
      </w:divBdr>
    </w:div>
    <w:div w:id="1267469937">
      <w:bodyDiv w:val="1"/>
      <w:marLeft w:val="0"/>
      <w:marRight w:val="0"/>
      <w:marTop w:val="0"/>
      <w:marBottom w:val="0"/>
      <w:divBdr>
        <w:top w:val="none" w:sz="0" w:space="0" w:color="auto"/>
        <w:left w:val="none" w:sz="0" w:space="0" w:color="auto"/>
        <w:bottom w:val="none" w:sz="0" w:space="0" w:color="auto"/>
        <w:right w:val="none" w:sz="0" w:space="0" w:color="auto"/>
      </w:divBdr>
    </w:div>
    <w:div w:id="1751466675">
      <w:bodyDiv w:val="1"/>
      <w:marLeft w:val="0"/>
      <w:marRight w:val="0"/>
      <w:marTop w:val="0"/>
      <w:marBottom w:val="0"/>
      <w:divBdr>
        <w:top w:val="none" w:sz="0" w:space="0" w:color="auto"/>
        <w:left w:val="none" w:sz="0" w:space="0" w:color="auto"/>
        <w:bottom w:val="none" w:sz="0" w:space="0" w:color="auto"/>
        <w:right w:val="none" w:sz="0" w:space="0" w:color="auto"/>
      </w:divBdr>
    </w:div>
    <w:div w:id="1817409050">
      <w:bodyDiv w:val="1"/>
      <w:marLeft w:val="0"/>
      <w:marRight w:val="0"/>
      <w:marTop w:val="0"/>
      <w:marBottom w:val="0"/>
      <w:divBdr>
        <w:top w:val="none" w:sz="0" w:space="0" w:color="auto"/>
        <w:left w:val="none" w:sz="0" w:space="0" w:color="auto"/>
        <w:bottom w:val="none" w:sz="0" w:space="0" w:color="auto"/>
        <w:right w:val="none" w:sz="0" w:space="0" w:color="auto"/>
      </w:divBdr>
    </w:div>
    <w:div w:id="184716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BEFB55DEF6F42830FCFF4C4FCD798" ma:contentTypeVersion="6" ma:contentTypeDescription="Create a new document." ma:contentTypeScope="" ma:versionID="01b3f1f5399e97ffa6e14a966dbd8690">
  <xsd:schema xmlns:xsd="http://www.w3.org/2001/XMLSchema" xmlns:xs="http://www.w3.org/2001/XMLSchema" xmlns:p="http://schemas.microsoft.com/office/2006/metadata/properties" xmlns:ns2="166fd782-24a1-4c18-b023-e227e68e1b62" xmlns:ns3="90be5d16-8c8d-4cbb-90aa-e8ba6b89d39f" targetNamespace="http://schemas.microsoft.com/office/2006/metadata/properties" ma:root="true" ma:fieldsID="2f20eb708e5cbbdce3d1334bcd1ada9c" ns2:_="" ns3:_="">
    <xsd:import namespace="166fd782-24a1-4c18-b023-e227e68e1b62"/>
    <xsd:import namespace="90be5d16-8c8d-4cbb-90aa-e8ba6b89d39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0be5d16-8c8d-4cbb-90aa-e8ba6b89d39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41D77-B759-4860-A822-60FC3717E6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660D8D-6D94-4265-A215-80D4E6BBE5D5}">
  <ds:schemaRefs>
    <ds:schemaRef ds:uri="http://schemas.microsoft.com/sharepoint/v3/contenttype/forms"/>
  </ds:schemaRefs>
</ds:datastoreItem>
</file>

<file path=customXml/itemProps3.xml><?xml version="1.0" encoding="utf-8"?>
<ds:datastoreItem xmlns:ds="http://schemas.openxmlformats.org/officeDocument/2006/customXml" ds:itemID="{98CF88B0-BC00-4A73-ADDD-967375B1A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90be5d16-8c8d-4cbb-90aa-e8ba6b89d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E485D-AE08-413B-A2E0-1175D34CE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13825</CharactersWithSpaces>
  <SharedDoc>false</SharedDoc>
  <HLinks>
    <vt:vector size="54" baseType="variant">
      <vt:variant>
        <vt:i4>1966135</vt:i4>
      </vt:variant>
      <vt:variant>
        <vt:i4>50</vt:i4>
      </vt:variant>
      <vt:variant>
        <vt:i4>0</vt:i4>
      </vt:variant>
      <vt:variant>
        <vt:i4>5</vt:i4>
      </vt:variant>
      <vt:variant>
        <vt:lpwstr/>
      </vt:variant>
      <vt:variant>
        <vt:lpwstr>_Toc498681378</vt:lpwstr>
      </vt:variant>
      <vt:variant>
        <vt:i4>1966135</vt:i4>
      </vt:variant>
      <vt:variant>
        <vt:i4>44</vt:i4>
      </vt:variant>
      <vt:variant>
        <vt:i4>0</vt:i4>
      </vt:variant>
      <vt:variant>
        <vt:i4>5</vt:i4>
      </vt:variant>
      <vt:variant>
        <vt:lpwstr/>
      </vt:variant>
      <vt:variant>
        <vt:lpwstr>_Toc498681377</vt:lpwstr>
      </vt:variant>
      <vt:variant>
        <vt:i4>1966135</vt:i4>
      </vt:variant>
      <vt:variant>
        <vt:i4>38</vt:i4>
      </vt:variant>
      <vt:variant>
        <vt:i4>0</vt:i4>
      </vt:variant>
      <vt:variant>
        <vt:i4>5</vt:i4>
      </vt:variant>
      <vt:variant>
        <vt:lpwstr/>
      </vt:variant>
      <vt:variant>
        <vt:lpwstr>_Toc498681376</vt:lpwstr>
      </vt:variant>
      <vt:variant>
        <vt:i4>1966135</vt:i4>
      </vt:variant>
      <vt:variant>
        <vt:i4>32</vt:i4>
      </vt:variant>
      <vt:variant>
        <vt:i4>0</vt:i4>
      </vt:variant>
      <vt:variant>
        <vt:i4>5</vt:i4>
      </vt:variant>
      <vt:variant>
        <vt:lpwstr/>
      </vt:variant>
      <vt:variant>
        <vt:lpwstr>_Toc498681375</vt:lpwstr>
      </vt:variant>
      <vt:variant>
        <vt:i4>1966135</vt:i4>
      </vt:variant>
      <vt:variant>
        <vt:i4>26</vt:i4>
      </vt:variant>
      <vt:variant>
        <vt:i4>0</vt:i4>
      </vt:variant>
      <vt:variant>
        <vt:i4>5</vt:i4>
      </vt:variant>
      <vt:variant>
        <vt:lpwstr/>
      </vt:variant>
      <vt:variant>
        <vt:lpwstr>_Toc498681374</vt:lpwstr>
      </vt:variant>
      <vt:variant>
        <vt:i4>1966135</vt:i4>
      </vt:variant>
      <vt:variant>
        <vt:i4>20</vt:i4>
      </vt:variant>
      <vt:variant>
        <vt:i4>0</vt:i4>
      </vt:variant>
      <vt:variant>
        <vt:i4>5</vt:i4>
      </vt:variant>
      <vt:variant>
        <vt:lpwstr/>
      </vt:variant>
      <vt:variant>
        <vt:lpwstr>_Toc498681373</vt:lpwstr>
      </vt:variant>
      <vt:variant>
        <vt:i4>1966135</vt:i4>
      </vt:variant>
      <vt:variant>
        <vt:i4>14</vt:i4>
      </vt:variant>
      <vt:variant>
        <vt:i4>0</vt:i4>
      </vt:variant>
      <vt:variant>
        <vt:i4>5</vt:i4>
      </vt:variant>
      <vt:variant>
        <vt:lpwstr/>
      </vt:variant>
      <vt:variant>
        <vt:lpwstr>_Toc498681372</vt:lpwstr>
      </vt:variant>
      <vt:variant>
        <vt:i4>1966135</vt:i4>
      </vt:variant>
      <vt:variant>
        <vt:i4>8</vt:i4>
      </vt:variant>
      <vt:variant>
        <vt:i4>0</vt:i4>
      </vt:variant>
      <vt:variant>
        <vt:i4>5</vt:i4>
      </vt:variant>
      <vt:variant>
        <vt:lpwstr/>
      </vt:variant>
      <vt:variant>
        <vt:lpwstr>_Toc498681371</vt:lpwstr>
      </vt:variant>
      <vt:variant>
        <vt:i4>1966135</vt:i4>
      </vt:variant>
      <vt:variant>
        <vt:i4>2</vt:i4>
      </vt:variant>
      <vt:variant>
        <vt:i4>0</vt:i4>
      </vt:variant>
      <vt:variant>
        <vt:i4>5</vt:i4>
      </vt:variant>
      <vt:variant>
        <vt:lpwstr/>
      </vt:variant>
      <vt:variant>
        <vt:lpwstr>_Toc498681370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SYSTEM</cp:lastModifiedBy>
  <cp:revision>2</cp:revision>
  <cp:lastPrinted>2018-03-27T15:30:00Z</cp:lastPrinted>
  <dcterms:created xsi:type="dcterms:W3CDTF">2018-10-24T13:14:00Z</dcterms:created>
  <dcterms:modified xsi:type="dcterms:W3CDTF">2018-10-24T13:14:00Z</dcterms:modified>
</cp:coreProperties>
</file>